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framePr w:wrap="around"/>
        <w:rPr>
          <w:rFonts w:hint="default" w:ascii="Times New Roman" w:eastAsiaTheme="minorEastAsia"/>
          <w:lang w:val="en-US" w:eastAsia="zh-CN"/>
        </w:rPr>
      </w:pPr>
      <w:r>
        <w:rPr>
          <w:rFonts w:ascii="Times New Roman"/>
        </w:rPr>
        <w:t>ICS</w:t>
      </w:r>
      <w:r>
        <w:rPr>
          <w:rFonts w:ascii="Times New Roman" w:eastAsia="MS Mincho"/>
        </w:rPr>
        <w:t> </w:t>
      </w:r>
      <w:r>
        <w:rPr>
          <w:rFonts w:hint="eastAsia" w:ascii="Times New Roman" w:eastAsiaTheme="minorEastAsia"/>
          <w:lang w:val="en-US" w:eastAsia="zh-CN"/>
        </w:rPr>
        <w:t>xx</w:t>
      </w:r>
      <w:r>
        <w:rPr>
          <w:rFonts w:ascii="Times New Roman" w:eastAsiaTheme="minorEastAsia"/>
        </w:rPr>
        <w:t>.</w:t>
      </w:r>
      <w:r>
        <w:rPr>
          <w:rFonts w:hint="eastAsia" w:ascii="Times New Roman" w:eastAsiaTheme="minorEastAsia"/>
          <w:lang w:val="en-US" w:eastAsia="zh-CN"/>
        </w:rPr>
        <w:t>xxx</w:t>
      </w:r>
      <w:r>
        <w:rPr>
          <w:rFonts w:ascii="Times New Roman" w:eastAsiaTheme="minorEastAsia"/>
        </w:rPr>
        <w:t>.</w:t>
      </w:r>
      <w:r>
        <w:rPr>
          <w:rFonts w:hint="eastAsia" w:ascii="Times New Roman" w:eastAsiaTheme="minorEastAsia"/>
          <w:lang w:val="en-US" w:eastAsia="zh-CN"/>
        </w:rPr>
        <w:t>xx</w:t>
      </w:r>
    </w:p>
    <w:tbl>
      <w:tblPr>
        <w:tblStyle w:val="13"/>
        <w:tblW w:w="985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tcPr>
          <w:p>
            <w:pPr>
              <w:pStyle w:val="19"/>
              <w:framePr w:wrap="around"/>
              <w:ind w:firstLine="210" w:firstLineChars="100"/>
              <w:rPr>
                <w:rFonts w:hint="default" w:ascii="Times New Roman" w:eastAsia="黑体"/>
                <w:lang w:val="en-US" w:eastAsia="zh-CN"/>
              </w:rPr>
            </w:pPr>
            <w:r>
              <w:rPr>
                <w:rFonts w:ascii="Times New Roman"/>
              </w:rP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9"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004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iuL+zVAAAABwEAAA8AAAAAAAAAAQAgAAAA&#10;IgAAAGRycy9kb3ducmV2LnhtbFBLAQIUABQAAAAIAIdO4kCHwbF4DgIAACAEAAAOAAAAAAAAAAEA&#10;IAAAACQBAABkcnMvZTJvRG9jLnhtbFBLBQYAAAAABgAGAFkBAACkBQAAAAA=&#10;">
                      <v:fill on="t" focussize="0,0"/>
                      <v:stroke on="f"/>
                      <v:imagedata o:title=""/>
                      <o:lock v:ext="edit" aspectratio="f"/>
                    </v:rect>
                  </w:pict>
                </mc:Fallback>
              </mc:AlternateContent>
            </w:r>
            <w:r>
              <w:rPr>
                <w:rFonts w:ascii="Times New Roman"/>
              </w:rPr>
              <w:t xml:space="preserve">Q </w:t>
            </w:r>
            <w:r>
              <w:rPr>
                <w:rFonts w:hint="eastAsia" w:ascii="Times New Roman"/>
                <w:lang w:val="en-US" w:eastAsia="zh-CN"/>
              </w:rPr>
              <w:t>xx</w:t>
            </w:r>
          </w:p>
        </w:tc>
      </w:tr>
    </w:tbl>
    <w:p>
      <w:pPr>
        <w:pStyle w:val="20"/>
        <w:framePr w:wrap="around"/>
        <w:rPr>
          <w:rFonts w:hint="eastAsia" w:hAnsi="黑体" w:eastAsia="黑体"/>
          <w:lang w:eastAsia="zh-CN"/>
        </w:rPr>
      </w:pPr>
      <w:r>
        <w:rPr>
          <w:rFonts w:hAnsi="黑体"/>
        </w:rPr>
        <w:t>T/CECS 1000X—202</w:t>
      </w:r>
      <w:r>
        <w:rPr>
          <w:rFonts w:hint="eastAsia" w:hAnsi="黑体"/>
          <w:lang w:val="en-US" w:eastAsia="zh-CN"/>
        </w:rPr>
        <w:t>3</w:t>
      </w:r>
    </w:p>
    <w:tbl>
      <w:tblPr>
        <w:tblStyle w:val="13"/>
        <w:tblW w:w="1871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21"/>
              <w:framePr w:wrap="around"/>
            </w:pPr>
            <w:bookmarkStart w:id="0" w:name="DT"/>
            <w:r>
              <mc:AlternateContent>
                <mc:Choice Requires="wps">
                  <w:drawing>
                    <wp:anchor distT="0" distB="0" distL="114300" distR="114300" simplePos="0" relativeHeight="25166540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107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ID0rnsJAgAAIAQAAA4AAAAAAAAAAQAgAAAA&#10;JQEAAGRycy9lMm9Eb2MueG1sUEsFBgAAAAAGAAYAWQEAAKAFAAAAAA==&#10;">
                      <v:fill on="t" focussize="0,0"/>
                      <v:stroke on="f"/>
                      <v:imagedata o:title=""/>
                      <o:lock v:ext="edit" aspectratio="f"/>
                    </v:rect>
                  </w:pict>
                </mc:Fallback>
              </mc:AlternateContent>
            </w:r>
            <w:bookmarkEnd w:id="0"/>
          </w:p>
        </w:tc>
        <w:tc>
          <w:tcPr>
            <w:tcW w:w="9356" w:type="dxa"/>
            <w:tcBorders>
              <w:top w:val="nil"/>
              <w:left w:val="nil"/>
              <w:bottom w:val="nil"/>
              <w:right w:val="nil"/>
            </w:tcBorders>
          </w:tcPr>
          <w:p>
            <w:pPr>
              <w:pStyle w:val="21"/>
              <w:framePr w:wrap="around"/>
            </w:pPr>
          </w:p>
        </w:tc>
      </w:tr>
    </w:tbl>
    <w:p>
      <w:pPr>
        <w:pStyle w:val="20"/>
        <w:framePr w:wrap="around"/>
        <w:rPr>
          <w:rFonts w:hAnsi="黑体"/>
        </w:rPr>
      </w:pPr>
    </w:p>
    <w:p>
      <w:pPr>
        <w:pStyle w:val="20"/>
        <w:framePr w:wrap="around"/>
        <w:rPr>
          <w:rFonts w:hAnsi="黑体"/>
        </w:rPr>
      </w:pPr>
    </w:p>
    <w:p>
      <w:pPr>
        <w:pStyle w:val="22"/>
        <w:framePr w:wrap="around" w:x="1346" w:y="6336"/>
        <w:rPr>
          <w:rFonts w:hint="eastAsia" w:eastAsia="黑体"/>
          <w:lang w:val="en-US" w:eastAsia="zh-CN"/>
        </w:rPr>
      </w:pPr>
      <w:r>
        <w:rPr>
          <w:rFonts w:hint="eastAsia"/>
        </w:rPr>
        <w:t xml:space="preserve">绿色建材评价 </w:t>
      </w:r>
      <w:r>
        <w:rPr>
          <w:rFonts w:hint="eastAsia"/>
          <w:lang w:eastAsia="zh-CN"/>
        </w:rPr>
        <w:t>石膏基结构防火板</w:t>
      </w:r>
      <w:bookmarkStart w:id="125" w:name="_GoBack"/>
      <w:bookmarkEnd w:id="125"/>
    </w:p>
    <w:p>
      <w:pPr>
        <w:pStyle w:val="23"/>
        <w:framePr w:wrap="around" w:x="1346" w:y="6336"/>
      </w:pPr>
      <w:r>
        <w:rPr>
          <w:rFonts w:hint="eastAsia"/>
        </w:rPr>
        <w:t>Green building material assessment</w:t>
      </w:r>
      <w:r>
        <w:t>—</w:t>
      </w:r>
      <w:r>
        <w:rPr>
          <w:rFonts w:hint="eastAsia"/>
        </w:rPr>
        <w:t xml:space="preserve"> artificial </w:t>
      </w:r>
      <w:r>
        <w:t>stone</w:t>
      </w:r>
    </w:p>
    <w:p>
      <w:pPr>
        <w:pStyle w:val="24"/>
        <w:framePr w:wrap="around" w:x="1346" w:y="6336"/>
      </w:pPr>
    </w:p>
    <w:tbl>
      <w:tblPr>
        <w:tblStyle w:val="13"/>
        <w:tblW w:w="985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5"/>
              <w:framePr w:wrap="around" w:x="1346" w:y="6336"/>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xLv7Q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O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SxLv7QkCAAAgBAAADgAAAAAAAAABACAAAAAk&#10;AQAAZHJzL2Uyb0RvYy54bWxQSwUGAAAAAAYABgBZAQAAnwUAAAAA&#10;">
                      <v:fill on="t" focussize="0,0"/>
                      <v:stroke on="f"/>
                      <v:imagedata o:title=""/>
                      <o:lock v:ext="edit" aspectratio="f"/>
                      <w10:anchorlock/>
                    </v:rect>
                  </w:pict>
                </mc:Fallback>
              </mc:AlternateContent>
            </w:r>
            <w:r>
              <mc:AlternateContent>
                <mc:Choice Requires="wps">
                  <w:drawing>
                    <wp:anchor distT="0" distB="0" distL="114300" distR="114300" simplePos="0" relativeHeight="251662336" behindDoc="1" locked="1" layoutInCell="1" allowOverlap="1">
                      <wp:simplePos x="0" y="0"/>
                      <wp:positionH relativeFrom="column">
                        <wp:posOffset>2454910</wp:posOffset>
                      </wp:positionH>
                      <wp:positionV relativeFrom="paragraph">
                        <wp:posOffset>255905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&#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4Yvl1gAAAAkBAAAPAAAAAAAAAAEAIAAAACIAAABk&#10;cnMvZG93bnJldi54bWxQSwECFAAUAAAACACHTuJAqAqHdQgCAAAgBAAADgAAAAAAAAABACAAAAAl&#10;AQAAZHJzL2Uyb0RvYy54bWxQSwUGAAAAAAYABgBZAQAAnwUAAAAA&#10;">
                      <v:fill on="t" focussize="0,0"/>
                      <v:stroke on="f"/>
                      <v:imagedata o:title=""/>
                      <o:lock v:ext="edit" aspectratio="f"/>
                      <w10:anchorlock/>
                    </v:rect>
                  </w:pict>
                </mc:Fallback>
              </mc:AlternateContent>
            </w:r>
            <w:r>
              <w:rPr>
                <w:rFonts w:hint="eastAsia"/>
              </w:rPr>
              <w:t>（报批稿）</w:t>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6"/>
              <w:framePr w:wrap="around" w:x="1346" w:y="6336"/>
            </w:pPr>
          </w:p>
        </w:tc>
      </w:tr>
    </w:tbl>
    <w:p>
      <w:pPr>
        <w:pStyle w:val="27"/>
        <w:framePr w:wrap="around" w:hAnchor="page" w:x="1454" w:y="14138"/>
      </w:pPr>
      <w:bookmarkStart w:id="1"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2"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Line 6"/>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WHazzWAAAACwEAAA8AAAAAAAAAAQAgAAAAIgAAAGRycy9kb3du&#10;cmV2LnhtbFBLAQIUABQAAAAIAIdO4kBw1QfZyAEAAJ8DAAAOAAAAAAAAAAEAIAAAACUBAABkcnMv&#10;ZTJvRG9jLnhtbFBLBQYAAAAABgAGAFkBAABfBQAAAAA=&#10;">
                <v:fill on="f" focussize="0,0"/>
                <v:stroke color="#000000" joinstyle="round"/>
                <v:imagedata o:title=""/>
                <o:lock v:ext="edit" aspectratio="f"/>
                <w10:anchorlock/>
              </v:line>
            </w:pict>
          </mc:Fallback>
        </mc:AlternateContent>
      </w:r>
    </w:p>
    <w:p>
      <w:pPr>
        <w:pStyle w:val="29"/>
        <w:framePr w:wrap="around" w:hAnchor="page" w:x="7051" w:y="14113"/>
      </w:pPr>
      <w:bookmarkStart w:id="3"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3"/>
      <w:r>
        <w:t xml:space="preserve"> </w:t>
      </w:r>
      <w:r>
        <w:rPr>
          <w:rFonts w:ascii="黑体"/>
        </w:rPr>
        <w:t>-</w:t>
      </w:r>
      <w:r>
        <w:t xml:space="preserve"> </w:t>
      </w:r>
      <w:bookmarkStart w:id="4"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bookmarkStart w:id="5"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实施</w:t>
      </w:r>
    </w:p>
    <w:p>
      <w:pPr>
        <w:pStyle w:val="31"/>
        <w:framePr w:wrap="around"/>
      </w:pPr>
      <w:r>
        <w:rPr>
          <w:rFonts w:hint="eastAsia"/>
        </w:rPr>
        <w:t>中国工程建设标准化协会</w:t>
      </w:r>
      <w:r>
        <w:rPr>
          <w:rFonts w:hint="eastAsia" w:ascii="MS Mincho" w:hAnsi="MS Mincho" w:eastAsia="MS Mincho" w:cs="MS Mincho"/>
        </w:rPr>
        <w:t>   </w:t>
      </w:r>
      <w:r>
        <w:rPr>
          <w:rStyle w:val="34"/>
          <w:rFonts w:hint="eastAsia"/>
          <w:szCs w:val="28"/>
        </w:rPr>
        <w:t>发布</w:t>
      </w:r>
    </w:p>
    <w:p>
      <w:pPr>
        <w:pStyle w:val="33"/>
        <w:sectPr>
          <w:pgSz w:w="11906" w:h="16838"/>
          <w:pgMar w:top="567" w:right="850" w:bottom="1134" w:left="1418" w:header="0" w:footer="0" w:gutter="0"/>
          <w:pgNumType w:fmt="upperRoman" w:start="1"/>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8917305</wp:posOffset>
                </wp:positionV>
                <wp:extent cx="6120130" cy="28575"/>
                <wp:effectExtent l="0" t="4445" r="13970" b="5080"/>
                <wp:wrapNone/>
                <wp:docPr id="8" name="直接连接符 8"/>
                <wp:cNvGraphicFramePr/>
                <a:graphic xmlns:a="http://schemas.openxmlformats.org/drawingml/2006/main">
                  <a:graphicData uri="http://schemas.microsoft.com/office/word/2010/wordprocessingShape">
                    <wps:wsp>
                      <wps:cNvCnPr/>
                      <wps:spPr>
                        <a:xfrm flipV="1">
                          <a:off x="0" y="0"/>
                          <a:ext cx="6120000" cy="28575"/>
                        </a:xfrm>
                        <a:prstGeom prst="line">
                          <a:avLst/>
                        </a:prstGeom>
                        <a:ln w="9525">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pt;margin-top:702.15pt;height:2.25pt;width:481.9pt;z-index:251664384;mso-width-relative:page;mso-height-relative:page;" filled="f" stroked="t" coordsize="21600,21600" o:gfxdata="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HIzw7X&#10;AAAACwEAAA8AAAAAAAAAAQAgAAAAIgAAAGRycy9kb3ducmV2LnhtbFBLAQIUABQAAAAIAIdO4kCt&#10;hZ+K6AEAALIDAAAOAAAAAAAAAAEAIAAAACYBAABkcnMvZTJvRG9jLnhtbFBLBQYAAAAABgAGAFkB&#10;AACABQAAAAA=&#10;">
                <v:fill on="f" focussize="0,0"/>
                <v:stroke color="#000000 [3213]" miterlimit="8" joinstyle="round"/>
                <v:imagedata o:title=""/>
                <o:lock v:ext="edit" aspectratio="f"/>
              </v:lin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7620</wp:posOffset>
                </wp:positionH>
                <wp:positionV relativeFrom="paragraph">
                  <wp:posOffset>979170</wp:posOffset>
                </wp:positionV>
                <wp:extent cx="6119495" cy="695325"/>
                <wp:effectExtent l="4445" t="4445" r="10160" b="5080"/>
                <wp:wrapNone/>
                <wp:docPr id="2" name="Text Box 7"/>
                <wp:cNvGraphicFramePr/>
                <a:graphic xmlns:a="http://schemas.openxmlformats.org/drawingml/2006/main">
                  <a:graphicData uri="http://schemas.microsoft.com/office/word/2010/wordprocessingShape">
                    <wps:wsp>
                      <wps:cNvSpPr txBox="1">
                        <a:spLocks noChangeArrowheads="1"/>
                      </wps:cNvSpPr>
                      <wps:spPr bwMode="auto">
                        <a:xfrm>
                          <a:off x="0" y="0"/>
                          <a:ext cx="6119495" cy="695325"/>
                        </a:xfrm>
                        <a:prstGeom prst="rect">
                          <a:avLst/>
                        </a:prstGeom>
                        <a:solidFill>
                          <a:srgbClr val="FFFFFF"/>
                        </a:solidFill>
                        <a:ln w="9525">
                          <a:solidFill>
                            <a:srgbClr val="FFFFFF"/>
                          </a:solidFill>
                          <a:miter lim="800000"/>
                        </a:ln>
                      </wps:spPr>
                      <wps:txbx>
                        <w:txbxContent>
                          <w:p>
                            <w:pPr>
                              <w:jc w:val="distribute"/>
                              <w:rPr>
                                <w:rFonts w:ascii="黑体" w:hAnsi="黑体" w:eastAsia="黑体"/>
                                <w:sz w:val="72"/>
                                <w:szCs w:val="72"/>
                              </w:rPr>
                            </w:pPr>
                            <w:r>
                              <w:rPr>
                                <w:rFonts w:hint="eastAsia" w:ascii="黑体" w:hAnsi="黑体" w:eastAsia="黑体"/>
                                <w:sz w:val="72"/>
                                <w:szCs w:val="72"/>
                              </w:rPr>
                              <w:t>团体标准</w:t>
                            </w:r>
                          </w:p>
                        </w:txbxContent>
                      </wps:txbx>
                      <wps:bodyPr rot="0" vert="horz" wrap="square" lIns="91440" tIns="45720" rIns="91440" bIns="45720" anchor="t" anchorCtr="0" upright="1">
                        <a:spAutoFit/>
                      </wps:bodyPr>
                    </wps:wsp>
                  </a:graphicData>
                </a:graphic>
              </wp:anchor>
            </w:drawing>
          </mc:Choice>
          <mc:Fallback>
            <w:pict>
              <v:shape id="Text Box 7" o:spid="_x0000_s1026" o:spt="202" type="#_x0000_t202" style="position:absolute;left:0pt;margin-left:0.6pt;margin-top:77.1pt;height:54.75pt;width:481.85pt;z-index:251661312;mso-width-relative:page;mso-height-relative:page;" fillcolor="#FFFFFF" filled="t" stroked="t" coordsize="21600,21600" o:gfxdata="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3NfiPZAAAACQEAAA8AAAAAAAAAAQAgAAAAIgAAAGRycy9kb3ducmV2LnhtbFBLAQIU&#10;ABQAAAAIAIdO4kAcRxoMKwIAAIYEAAAOAAAAAAAAAAEAIAAAACgBAABkcnMvZTJvRG9jLnhtbFBL&#10;BQYAAAAABgAGAFkBAADFBQAAAAA=&#10;">
                <v:fill on="t" focussize="0,0"/>
                <v:stroke color="#FFFFFF" miterlimit="8" joinstyle="miter"/>
                <v:imagedata o:title=""/>
                <o:lock v:ext="edit" aspectratio="f"/>
                <v:textbox style="mso-fit-shape-to-text:t;">
                  <w:txbxContent>
                    <w:p>
                      <w:pPr>
                        <w:jc w:val="distribute"/>
                        <w:rPr>
                          <w:rFonts w:ascii="黑体" w:hAnsi="黑体" w:eastAsia="黑体"/>
                          <w:sz w:val="72"/>
                          <w:szCs w:val="72"/>
                        </w:rPr>
                      </w:pPr>
                      <w:r>
                        <w:rPr>
                          <w:rFonts w:hint="eastAsia" w:ascii="黑体" w:hAnsi="黑体" w:eastAsia="黑体"/>
                          <w:sz w:val="72"/>
                          <w:szCs w:val="72"/>
                        </w:rPr>
                        <w:t>团体标准</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ragraph">
                  <wp:posOffset>2339975</wp:posOffset>
                </wp:positionV>
                <wp:extent cx="6120130" cy="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3LobEcgBAACfAwAADgAAAAAAAAABACAAAAAmAQAAZHJz&#10;L2Uyb0RvYy54bWxQSwUGAAAAAAYABgBZAQAAYAUAAAAA&#10;">
                <v:fill on="f" focussize="0,0"/>
                <v:stroke color="#000000" joinstyle="round"/>
                <v:imagedata o:title=""/>
                <o:lock v:ext="edit" aspectratio="f"/>
                <w10:anchorlock/>
              </v:line>
            </w:pict>
          </mc:Fallback>
        </mc:AlternateContent>
      </w:r>
    </w:p>
    <w:p>
      <w:pPr>
        <w:pStyle w:val="37"/>
        <w:rPr>
          <w:color w:val="000000"/>
        </w:rPr>
      </w:pPr>
      <w:bookmarkStart w:id="6" w:name="_Toc462063249"/>
      <w:bookmarkStart w:id="7" w:name="_Toc360436831"/>
      <w:bookmarkStart w:id="8" w:name="_Toc360632419"/>
      <w:bookmarkStart w:id="9" w:name="_Toc396134026"/>
      <w:bookmarkStart w:id="10" w:name="_Toc360632688"/>
      <w:bookmarkStart w:id="11" w:name="_Toc384816578"/>
      <w:bookmarkStart w:id="12" w:name="_Toc396118232"/>
      <w:bookmarkStart w:id="13" w:name="_Toc350864024"/>
      <w:bookmarkStart w:id="14" w:name="_Toc360632459"/>
      <w:bookmarkStart w:id="15" w:name="_Toc360436780"/>
      <w:bookmarkStart w:id="16" w:name="_Toc383344133"/>
      <w:bookmarkStart w:id="17" w:name="_Toc360436867"/>
      <w:r>
        <w:rPr>
          <w:rFonts w:hint="eastAsia"/>
          <w:color w:val="000000"/>
        </w:rPr>
        <w:t>前</w:t>
      </w:r>
      <w:bookmarkStart w:id="18" w:name="BKQY"/>
      <w:r>
        <w:rPr>
          <w:rFonts w:hint="eastAsia"/>
          <w:color w:val="000000"/>
        </w:rPr>
        <w:t>  言</w:t>
      </w:r>
      <w:bookmarkEnd w:id="6"/>
      <w:bookmarkEnd w:id="7"/>
      <w:bookmarkEnd w:id="8"/>
      <w:bookmarkEnd w:id="9"/>
      <w:bookmarkEnd w:id="18"/>
    </w:p>
    <w:p>
      <w:pPr>
        <w:pStyle w:val="33"/>
        <w:adjustRightInd w:val="0"/>
        <w:snapToGrid w:val="0"/>
        <w:spacing w:line="360" w:lineRule="auto"/>
        <w:ind w:firstLine="403" w:firstLineChars="192"/>
        <w:rPr>
          <w:color w:val="000000"/>
        </w:rPr>
      </w:pPr>
      <w:r>
        <w:rPr>
          <w:color w:val="000000"/>
        </w:rPr>
        <w:t>本标准按</w:t>
      </w:r>
      <w:r>
        <w:rPr>
          <w:rFonts w:ascii="Times New Roman"/>
          <w:color w:val="000000"/>
        </w:rPr>
        <w:t>GB/T 1.1-2009</w:t>
      </w:r>
      <w:r>
        <w:rPr>
          <w:color w:val="000000"/>
        </w:rPr>
        <w:t>给出的规则</w:t>
      </w:r>
      <w:r>
        <w:rPr>
          <w:rFonts w:hint="eastAsia"/>
          <w:color w:val="000000"/>
        </w:rPr>
        <w:t>起草</w:t>
      </w:r>
      <w:r>
        <w:rPr>
          <w:color w:val="000000"/>
        </w:rPr>
        <w:t>。</w:t>
      </w:r>
    </w:p>
    <w:p>
      <w:pPr>
        <w:pStyle w:val="33"/>
        <w:adjustRightInd w:val="0"/>
        <w:snapToGrid w:val="0"/>
        <w:spacing w:line="360" w:lineRule="auto"/>
        <w:ind w:firstLine="403" w:firstLineChars="192"/>
        <w:rPr>
          <w:color w:val="000000"/>
        </w:rPr>
      </w:pPr>
      <w:r>
        <w:rPr>
          <w:rFonts w:hint="eastAsia"/>
          <w:color w:val="000000"/>
        </w:rPr>
        <w:t>本标准由</w:t>
      </w:r>
      <w:r>
        <w:rPr>
          <w:rFonts w:hint="eastAsia"/>
          <w:color w:val="FF0000"/>
        </w:rPr>
        <w:t>XXXXXXXXXXXXX</w:t>
      </w:r>
      <w:r>
        <w:rPr>
          <w:rFonts w:hint="eastAsia"/>
          <w:color w:val="000000"/>
        </w:rPr>
        <w:t>提出并归口。。</w:t>
      </w:r>
    </w:p>
    <w:p>
      <w:pPr>
        <w:pStyle w:val="33"/>
        <w:adjustRightInd w:val="0"/>
        <w:snapToGrid w:val="0"/>
        <w:spacing w:line="360" w:lineRule="auto"/>
        <w:ind w:firstLine="403" w:firstLineChars="192"/>
        <w:rPr>
          <w:color w:val="000000"/>
        </w:rPr>
      </w:pPr>
      <w:r>
        <w:rPr>
          <w:rFonts w:hint="eastAsia"/>
          <w:color w:val="000000"/>
        </w:rPr>
        <w:t>本标准负责编制单位：</w:t>
      </w:r>
      <w:r>
        <w:rPr>
          <w:color w:val="000000"/>
        </w:rPr>
        <w:t xml:space="preserve"> </w:t>
      </w:r>
    </w:p>
    <w:p>
      <w:pPr>
        <w:pStyle w:val="33"/>
        <w:adjustRightInd w:val="0"/>
        <w:snapToGrid w:val="0"/>
        <w:spacing w:line="360" w:lineRule="auto"/>
        <w:ind w:firstLine="403" w:firstLineChars="192"/>
        <w:rPr>
          <w:rFonts w:hint="eastAsia"/>
          <w:color w:val="000000"/>
        </w:rPr>
      </w:pPr>
      <w:r>
        <w:rPr>
          <w:rFonts w:hint="eastAsia"/>
          <w:color w:val="000000"/>
        </w:rPr>
        <w:t xml:space="preserve">本标准参与编制单位： </w:t>
      </w:r>
    </w:p>
    <w:p>
      <w:pPr>
        <w:pStyle w:val="33"/>
        <w:adjustRightInd w:val="0"/>
        <w:snapToGrid w:val="0"/>
        <w:spacing w:line="360" w:lineRule="auto"/>
        <w:ind w:firstLine="403" w:firstLineChars="192"/>
        <w:rPr>
          <w:color w:val="000000"/>
        </w:rPr>
      </w:pPr>
      <w:r>
        <w:rPr>
          <w:rFonts w:hint="eastAsia"/>
          <w:color w:val="000000"/>
        </w:rPr>
        <w:t>本</w:t>
      </w:r>
      <w:r>
        <w:rPr>
          <w:rFonts w:hint="eastAsia"/>
          <w:color w:val="000000"/>
          <w:szCs w:val="21"/>
        </w:rPr>
        <w:t>标准</w:t>
      </w:r>
      <w:r>
        <w:rPr>
          <w:rFonts w:hint="eastAsia"/>
          <w:color w:val="000000"/>
        </w:rPr>
        <w:t>主要起草人：</w:t>
      </w:r>
      <w:r>
        <w:rPr>
          <w:color w:val="000000"/>
        </w:rPr>
        <w:t xml:space="preserve"> </w:t>
      </w:r>
    </w:p>
    <w:p>
      <w:pPr>
        <w:pStyle w:val="33"/>
        <w:adjustRightInd w:val="0"/>
        <w:snapToGrid w:val="0"/>
        <w:spacing w:line="360" w:lineRule="auto"/>
        <w:ind w:firstLine="403" w:firstLineChars="192"/>
        <w:rPr>
          <w:rFonts w:hint="eastAsia"/>
          <w:color w:val="000000"/>
        </w:rPr>
        <w:sectPr>
          <w:footerReference r:id="rId3" w:type="default"/>
          <w:pgSz w:w="11906" w:h="16838"/>
          <w:pgMar w:top="1246" w:right="1134" w:bottom="1134" w:left="1418" w:header="1418" w:footer="1134" w:gutter="0"/>
          <w:pgNumType w:fmt="upperRoman" w:start="1"/>
          <w:cols w:space="720" w:num="1"/>
          <w:formProt w:val="0"/>
          <w:docGrid w:type="lines" w:linePitch="312" w:charSpace="0"/>
        </w:sectPr>
      </w:pPr>
    </w:p>
    <w:p>
      <w:pPr>
        <w:pStyle w:val="37"/>
        <w:rPr>
          <w:color w:val="000000"/>
        </w:rPr>
      </w:pPr>
      <w:r>
        <w:rPr>
          <w:rFonts w:hint="eastAsia"/>
          <w:color w:val="000000"/>
        </w:rPr>
        <w:t>绿色建材评价 石膏基结构防火板</w:t>
      </w:r>
    </w:p>
    <w:p>
      <w:pPr>
        <w:pStyle w:val="38"/>
        <w:numPr>
          <w:ilvl w:val="0"/>
          <w:numId w:val="4"/>
        </w:numPr>
        <w:tabs>
          <w:tab w:val="left" w:pos="0"/>
        </w:tabs>
        <w:spacing w:before="312" w:after="312"/>
        <w:ind w:left="0" w:firstLine="0"/>
        <w:rPr>
          <w:color w:val="000000"/>
        </w:rPr>
      </w:pPr>
      <w:bookmarkStart w:id="19" w:name="_Toc350863984"/>
      <w:bookmarkStart w:id="20" w:name="_Toc462063250"/>
      <w:bookmarkStart w:id="21" w:name="_Toc406486337"/>
      <w:bookmarkStart w:id="22" w:name="_Toc396134027"/>
      <w:bookmarkStart w:id="23" w:name="_Toc360436832"/>
      <w:bookmarkStart w:id="24" w:name="_Toc360632420"/>
      <w:bookmarkStart w:id="25" w:name="_Toc360436746"/>
      <w:r>
        <w:rPr>
          <w:rFonts w:hint="eastAsia"/>
          <w:color w:val="000000"/>
        </w:rPr>
        <w:t>范围</w:t>
      </w:r>
      <w:bookmarkEnd w:id="19"/>
      <w:bookmarkEnd w:id="20"/>
      <w:bookmarkEnd w:id="21"/>
      <w:bookmarkEnd w:id="22"/>
      <w:bookmarkEnd w:id="23"/>
      <w:bookmarkEnd w:id="24"/>
      <w:bookmarkEnd w:id="25"/>
    </w:p>
    <w:p>
      <w:pPr>
        <w:pStyle w:val="33"/>
        <w:rPr>
          <w:rFonts w:ascii="Times New Roman"/>
          <w:color w:val="000000"/>
        </w:rPr>
      </w:pPr>
      <w:bookmarkStart w:id="26" w:name="_Toc360632421"/>
      <w:bookmarkStart w:id="27" w:name="_Toc396134028"/>
      <w:bookmarkStart w:id="28" w:name="_Toc406486338"/>
      <w:bookmarkStart w:id="29" w:name="_Toc360436833"/>
      <w:bookmarkStart w:id="30" w:name="_Toc350863985"/>
      <w:bookmarkStart w:id="31" w:name="_Toc360436747"/>
      <w:r>
        <w:rPr>
          <w:rFonts w:ascii="Times New Roman"/>
          <w:color w:val="000000"/>
        </w:rPr>
        <w:t>本标准规定了</w:t>
      </w:r>
      <w:r>
        <w:rPr>
          <w:rFonts w:hint="eastAsia" w:ascii="Times New Roman"/>
          <w:color w:val="000000"/>
          <w:kern w:val="2"/>
          <w:szCs w:val="24"/>
          <w:lang w:val="en-US" w:eastAsia="zh-CN"/>
        </w:rPr>
        <w:t>石膏基结构防火板</w:t>
      </w:r>
      <w:r>
        <w:rPr>
          <w:rFonts w:ascii="Times New Roman"/>
          <w:color w:val="000000"/>
        </w:rPr>
        <w:t>绿色建材评价的</w:t>
      </w:r>
      <w:r>
        <w:rPr>
          <w:rFonts w:hint="eastAsia" w:ascii="Times New Roman"/>
          <w:color w:val="000000"/>
        </w:rPr>
        <w:t>术语和定义、</w:t>
      </w:r>
      <w:r>
        <w:rPr>
          <w:rFonts w:ascii="Times New Roman"/>
          <w:color w:val="000000"/>
        </w:rPr>
        <w:t>评价要求和评价方法。</w:t>
      </w:r>
    </w:p>
    <w:p>
      <w:pPr>
        <w:pStyle w:val="38"/>
        <w:numPr>
          <w:ilvl w:val="0"/>
          <w:numId w:val="4"/>
        </w:numPr>
        <w:tabs>
          <w:tab w:val="left" w:pos="0"/>
        </w:tabs>
        <w:spacing w:before="312" w:after="312"/>
        <w:ind w:left="0" w:firstLine="0"/>
        <w:rPr>
          <w:color w:val="000000"/>
        </w:rPr>
      </w:pPr>
      <w:bookmarkStart w:id="32" w:name="_Toc462063251"/>
      <w:r>
        <w:rPr>
          <w:rFonts w:hint="eastAsia"/>
          <w:color w:val="000000"/>
        </w:rPr>
        <w:t>规范性引用文件</w:t>
      </w:r>
      <w:bookmarkEnd w:id="26"/>
      <w:bookmarkEnd w:id="27"/>
      <w:bookmarkEnd w:id="28"/>
      <w:bookmarkEnd w:id="29"/>
      <w:bookmarkEnd w:id="30"/>
      <w:bookmarkEnd w:id="31"/>
      <w:bookmarkEnd w:id="32"/>
    </w:p>
    <w:p>
      <w:pPr>
        <w:pStyle w:val="33"/>
        <w:rPr>
          <w:rFonts w:ascii="Times New Roman"/>
          <w:color w:val="000000"/>
        </w:rPr>
      </w:pPr>
      <w:r>
        <w:rPr>
          <w:rFonts w:hint="eastAsia"/>
          <w:color w:val="000000"/>
        </w:rPr>
        <w:t>下列文件对于本文件的应用是必不可少的。凡是注日期的引用文件，仅注日期的版本适用于本文件。凡是不注</w:t>
      </w:r>
      <w:r>
        <w:rPr>
          <w:rFonts w:ascii="Times New Roman"/>
          <w:color w:val="000000"/>
        </w:rPr>
        <w:t>日期的引用文件，其最新版本（包括所有的修改单）适用于本文件。</w:t>
      </w:r>
    </w:p>
    <w:p>
      <w:pPr>
        <w:widowControl/>
        <w:tabs>
          <w:tab w:val="center" w:pos="4201"/>
          <w:tab w:val="right" w:leader="dot" w:pos="9298"/>
        </w:tabs>
        <w:autoSpaceDE w:val="0"/>
        <w:autoSpaceDN w:val="0"/>
        <w:ind w:firstLine="420" w:firstLineChars="200"/>
        <w:rPr>
          <w:color w:val="000000"/>
        </w:rPr>
      </w:pPr>
      <w:r>
        <w:rPr>
          <w:rFonts w:hint="eastAsia"/>
          <w:bCs/>
          <w:color w:val="000000"/>
        </w:rPr>
        <w:t>GB 6566</w:t>
      </w:r>
      <w:r>
        <w:rPr>
          <w:bCs/>
          <w:color w:val="000000"/>
        </w:rPr>
        <w:t xml:space="preserve"> </w:t>
      </w:r>
      <w:r>
        <w:rPr>
          <w:rFonts w:hint="eastAsia"/>
          <w:color w:val="000000"/>
        </w:rPr>
        <w:t>建筑材料放射性核素限量</w:t>
      </w:r>
    </w:p>
    <w:p>
      <w:pPr>
        <w:widowControl/>
        <w:tabs>
          <w:tab w:val="center" w:pos="4201"/>
          <w:tab w:val="right" w:leader="dot" w:pos="9298"/>
        </w:tabs>
        <w:autoSpaceDE w:val="0"/>
        <w:autoSpaceDN w:val="0"/>
        <w:ind w:firstLine="420" w:firstLineChars="200"/>
        <w:rPr>
          <w:rFonts w:hint="eastAsia"/>
          <w:color w:val="000000"/>
          <w:kern w:val="0"/>
          <w:szCs w:val="20"/>
        </w:rPr>
      </w:pPr>
      <w:r>
        <w:rPr>
          <w:color w:val="000000"/>
          <w:kern w:val="0"/>
          <w:szCs w:val="20"/>
        </w:rPr>
        <w:t>GB/T 9775 纸面石膏</w:t>
      </w:r>
      <w:r>
        <w:rPr>
          <w:rFonts w:hint="eastAsia"/>
          <w:color w:val="000000"/>
          <w:kern w:val="0"/>
          <w:szCs w:val="20"/>
        </w:rPr>
        <w:t>板</w:t>
      </w:r>
    </w:p>
    <w:p>
      <w:pPr>
        <w:pStyle w:val="33"/>
        <w:rPr>
          <w:rFonts w:ascii="Times New Roman"/>
          <w:color w:val="000000"/>
        </w:rPr>
      </w:pPr>
      <w:r>
        <w:rPr>
          <w:rFonts w:ascii="Times New Roman"/>
          <w:color w:val="000000"/>
        </w:rPr>
        <w:t>GB 18597</w:t>
      </w:r>
      <w:r>
        <w:rPr>
          <w:rFonts w:hint="eastAsia" w:ascii="Times New Roman"/>
          <w:color w:val="000000"/>
        </w:rPr>
        <w:t xml:space="preserve"> </w:t>
      </w:r>
      <w:r>
        <w:rPr>
          <w:rFonts w:ascii="Times New Roman"/>
          <w:color w:val="000000"/>
        </w:rPr>
        <w:t>危险废物贮存污染控制标准</w:t>
      </w:r>
    </w:p>
    <w:p>
      <w:pPr>
        <w:widowControl/>
        <w:tabs>
          <w:tab w:val="center" w:pos="4201"/>
          <w:tab w:val="right" w:leader="dot" w:pos="9298"/>
        </w:tabs>
        <w:autoSpaceDE w:val="0"/>
        <w:autoSpaceDN w:val="0"/>
        <w:ind w:firstLine="420" w:firstLineChars="200"/>
        <w:rPr>
          <w:color w:val="000000"/>
        </w:rPr>
      </w:pPr>
      <w:r>
        <w:rPr>
          <w:color w:val="000000"/>
        </w:rPr>
        <w:t>GB 18599</w:t>
      </w:r>
      <w:r>
        <w:rPr>
          <w:rFonts w:hint="eastAsia"/>
          <w:color w:val="000000"/>
        </w:rPr>
        <w:t xml:space="preserve"> </w:t>
      </w:r>
      <w:r>
        <w:rPr>
          <w:color w:val="000000"/>
        </w:rPr>
        <w:t>一般工业固体废物贮存、处置场污染控制标准</w:t>
      </w:r>
    </w:p>
    <w:p>
      <w:pPr>
        <w:pStyle w:val="33"/>
        <w:rPr>
          <w:rFonts w:ascii="Times New Roman"/>
          <w:color w:val="000000"/>
        </w:rPr>
      </w:pPr>
      <w:r>
        <w:rPr>
          <w:rFonts w:ascii="Times New Roman"/>
          <w:color w:val="000000"/>
        </w:rPr>
        <w:t>GB/T 19001 质量管理体系 要求</w:t>
      </w:r>
    </w:p>
    <w:p>
      <w:pPr>
        <w:pStyle w:val="33"/>
        <w:rPr>
          <w:rFonts w:hint="eastAsia" w:ascii="Times New Roman"/>
          <w:color w:val="000000"/>
        </w:rPr>
      </w:pPr>
      <w:r>
        <w:rPr>
          <w:rFonts w:hint="eastAsia" w:ascii="Times New Roman"/>
          <w:color w:val="000000"/>
        </w:rPr>
        <w:t xml:space="preserve">GB/T 23331 </w:t>
      </w:r>
      <w:r>
        <w:rPr>
          <w:rFonts w:ascii="Times New Roman"/>
          <w:color w:val="000000"/>
        </w:rPr>
        <w:t>能源管理体系 要求及使用指南</w:t>
      </w:r>
    </w:p>
    <w:p>
      <w:pPr>
        <w:pStyle w:val="33"/>
        <w:rPr>
          <w:rFonts w:hint="eastAsia" w:ascii="Times New Roman"/>
          <w:color w:val="000000"/>
        </w:rPr>
      </w:pPr>
      <w:r>
        <w:rPr>
          <w:rFonts w:ascii="Times New Roman"/>
          <w:color w:val="000000"/>
        </w:rPr>
        <w:t>GB/T 24001 环境管理体系 要求及使用指南</w:t>
      </w:r>
    </w:p>
    <w:p>
      <w:pPr>
        <w:pStyle w:val="33"/>
        <w:rPr>
          <w:rFonts w:hint="eastAsia" w:ascii="Times New Roman"/>
          <w:color w:val="000000"/>
        </w:rPr>
      </w:pPr>
      <w:r>
        <w:rPr>
          <w:rFonts w:ascii="Times New Roman"/>
          <w:color w:val="000000"/>
        </w:rPr>
        <w:t>GB/T 28001 职业健康安全管理体系 要求</w:t>
      </w:r>
    </w:p>
    <w:p>
      <w:pPr>
        <w:pStyle w:val="33"/>
        <w:rPr>
          <w:rFonts w:ascii="Times New Roman"/>
          <w:color w:val="000000"/>
        </w:rPr>
      </w:pPr>
      <w:r>
        <w:rPr>
          <w:rFonts w:ascii="Times New Roman"/>
          <w:color w:val="000000"/>
        </w:rPr>
        <w:t>GB/T 33000 企业安全生产标准化基本规范</w:t>
      </w:r>
    </w:p>
    <w:p>
      <w:pPr>
        <w:pStyle w:val="33"/>
        <w:rPr>
          <w:rFonts w:hint="eastAsia" w:ascii="Times New Roman"/>
          <w:color w:val="000000"/>
        </w:rPr>
      </w:pPr>
      <w:r>
        <w:rPr>
          <w:rFonts w:hint="eastAsia" w:ascii="Times New Roman"/>
          <w:color w:val="000000"/>
        </w:rPr>
        <w:t>G</w:t>
      </w:r>
      <w:r>
        <w:rPr>
          <w:rFonts w:ascii="Times New Roman"/>
          <w:color w:val="000000"/>
        </w:rPr>
        <w:t xml:space="preserve">B/T 33761 </w:t>
      </w:r>
      <w:r>
        <w:rPr>
          <w:rFonts w:hint="eastAsia" w:ascii="Times New Roman"/>
          <w:color w:val="000000"/>
        </w:rPr>
        <w:t>绿色产品评价通则</w:t>
      </w:r>
    </w:p>
    <w:p>
      <w:pPr>
        <w:pStyle w:val="33"/>
        <w:rPr>
          <w:rFonts w:ascii="Times New Roman"/>
          <w:color w:val="000000"/>
        </w:rPr>
      </w:pPr>
      <w:r>
        <w:rPr>
          <w:rFonts w:ascii="Times New Roman"/>
          <w:color w:val="000000"/>
        </w:rPr>
        <w:t>GBZ 2.1</w:t>
      </w:r>
      <w:r>
        <w:rPr>
          <w:rFonts w:hint="eastAsia" w:ascii="Times New Roman"/>
          <w:color w:val="000000"/>
        </w:rPr>
        <w:t xml:space="preserve"> </w:t>
      </w:r>
      <w:r>
        <w:rPr>
          <w:rFonts w:ascii="Times New Roman"/>
          <w:color w:val="000000"/>
        </w:rPr>
        <w:t>工作场所空气中粉尘测定 第1部分:总粉尘浓度</w:t>
      </w:r>
    </w:p>
    <w:p>
      <w:pPr>
        <w:widowControl/>
        <w:tabs>
          <w:tab w:val="center" w:pos="4201"/>
          <w:tab w:val="right" w:leader="dot" w:pos="9298"/>
        </w:tabs>
        <w:autoSpaceDE w:val="0"/>
        <w:autoSpaceDN w:val="0"/>
        <w:ind w:firstLine="420" w:firstLineChars="200"/>
        <w:rPr>
          <w:color w:val="000000"/>
        </w:rPr>
      </w:pPr>
      <w:r>
        <w:rPr>
          <w:color w:val="000000"/>
        </w:rPr>
        <w:t>GBZ 2.2</w:t>
      </w:r>
      <w:r>
        <w:rPr>
          <w:rFonts w:hint="eastAsia"/>
          <w:color w:val="000000"/>
        </w:rPr>
        <w:t xml:space="preserve"> </w:t>
      </w:r>
      <w:r>
        <w:rPr>
          <w:color w:val="000000"/>
        </w:rPr>
        <w:t>工作场所有害因素职业接触限值 第2部分:物理因素</w:t>
      </w:r>
    </w:p>
    <w:p>
      <w:pPr>
        <w:widowControl/>
        <w:tabs>
          <w:tab w:val="center" w:pos="4201"/>
          <w:tab w:val="right" w:leader="dot" w:pos="9298"/>
        </w:tabs>
        <w:autoSpaceDE w:val="0"/>
        <w:autoSpaceDN w:val="0"/>
        <w:ind w:firstLine="420" w:firstLineChars="200"/>
        <w:rPr>
          <w:rFonts w:hint="eastAsia"/>
          <w:color w:val="000000"/>
          <w:kern w:val="0"/>
          <w:szCs w:val="20"/>
        </w:rPr>
      </w:pPr>
      <w:r>
        <w:rPr>
          <w:color w:val="000000"/>
          <w:kern w:val="0"/>
          <w:szCs w:val="20"/>
        </w:rPr>
        <w:t xml:space="preserve">HJ/T 223 </w:t>
      </w:r>
      <w:r>
        <w:rPr>
          <w:rFonts w:hint="eastAsia"/>
          <w:color w:val="000000"/>
          <w:kern w:val="0"/>
          <w:szCs w:val="20"/>
        </w:rPr>
        <w:t>环境标志产品技术要求</w:t>
      </w:r>
      <w:r>
        <w:rPr>
          <w:color w:val="000000"/>
          <w:kern w:val="0"/>
          <w:szCs w:val="20"/>
        </w:rPr>
        <w:t xml:space="preserve">  </w:t>
      </w:r>
      <w:r>
        <w:rPr>
          <w:rFonts w:hint="eastAsia"/>
          <w:color w:val="000000"/>
          <w:kern w:val="0"/>
          <w:szCs w:val="20"/>
        </w:rPr>
        <w:t>轻质墙体板材</w:t>
      </w:r>
    </w:p>
    <w:p>
      <w:pPr>
        <w:widowControl/>
        <w:tabs>
          <w:tab w:val="center" w:pos="4201"/>
          <w:tab w:val="right" w:leader="dot" w:pos="9298"/>
        </w:tabs>
        <w:autoSpaceDE w:val="0"/>
        <w:autoSpaceDN w:val="0"/>
        <w:ind w:firstLine="420" w:firstLineChars="200"/>
        <w:rPr>
          <w:rFonts w:hint="eastAsia"/>
          <w:color w:val="000000"/>
          <w:kern w:val="0"/>
          <w:szCs w:val="20"/>
        </w:rPr>
      </w:pPr>
      <w:r>
        <w:rPr>
          <w:color w:val="000000"/>
          <w:kern w:val="0"/>
          <w:szCs w:val="20"/>
        </w:rPr>
        <w:t>JC/T 523 纸面石膏板</w:t>
      </w:r>
      <w:r>
        <w:rPr>
          <w:rFonts w:hint="eastAsia"/>
          <w:color w:val="000000"/>
          <w:kern w:val="0"/>
          <w:szCs w:val="20"/>
        </w:rPr>
        <w:t>单位产量能源消耗限额</w:t>
      </w:r>
    </w:p>
    <w:p>
      <w:pPr>
        <w:widowControl/>
        <w:tabs>
          <w:tab w:val="center" w:pos="4201"/>
          <w:tab w:val="right" w:leader="dot" w:pos="9298"/>
        </w:tabs>
        <w:autoSpaceDE w:val="0"/>
        <w:autoSpaceDN w:val="0"/>
        <w:ind w:firstLine="420" w:firstLineChars="200"/>
        <w:rPr>
          <w:rFonts w:hint="eastAsia"/>
          <w:color w:val="FF0000"/>
          <w:kern w:val="0"/>
          <w:szCs w:val="20"/>
        </w:rPr>
      </w:pPr>
      <w:r>
        <w:rPr>
          <w:color w:val="FF0000"/>
          <w:kern w:val="0"/>
          <w:szCs w:val="20"/>
        </w:rPr>
        <w:t>X</w:t>
      </w:r>
      <w:r>
        <w:rPr>
          <w:rFonts w:hint="eastAsia"/>
          <w:color w:val="FF0000"/>
          <w:kern w:val="0"/>
          <w:szCs w:val="20"/>
        </w:rPr>
        <w:t>xxxxx石膏基结构防火板团体标准   以下简称TB</w:t>
      </w:r>
    </w:p>
    <w:p>
      <w:pPr>
        <w:pStyle w:val="38"/>
        <w:numPr>
          <w:ilvl w:val="0"/>
          <w:numId w:val="4"/>
        </w:numPr>
        <w:tabs>
          <w:tab w:val="left" w:pos="0"/>
        </w:tabs>
        <w:spacing w:before="312" w:after="312"/>
        <w:ind w:left="0" w:firstLine="0"/>
        <w:rPr>
          <w:color w:val="000000"/>
        </w:rPr>
      </w:pPr>
      <w:bookmarkStart w:id="33" w:name="_Toc360436834"/>
      <w:bookmarkStart w:id="34" w:name="_Toc462063252"/>
      <w:bookmarkStart w:id="35" w:name="_Toc350863986"/>
      <w:bookmarkStart w:id="36" w:name="_Toc360632422"/>
      <w:bookmarkStart w:id="37" w:name="_Toc396134029"/>
      <w:bookmarkStart w:id="38" w:name="_Toc360436748"/>
      <w:bookmarkStart w:id="39" w:name="_Toc406486339"/>
      <w:r>
        <w:rPr>
          <w:rFonts w:hint="eastAsia"/>
          <w:color w:val="000000"/>
        </w:rPr>
        <w:t>术语和定义</w:t>
      </w:r>
      <w:bookmarkEnd w:id="33"/>
      <w:bookmarkEnd w:id="34"/>
      <w:bookmarkEnd w:id="35"/>
      <w:bookmarkEnd w:id="36"/>
      <w:bookmarkEnd w:id="37"/>
      <w:bookmarkEnd w:id="38"/>
      <w:bookmarkEnd w:id="39"/>
    </w:p>
    <w:p>
      <w:pPr>
        <w:pStyle w:val="33"/>
        <w:rPr>
          <w:color w:val="000000"/>
        </w:rPr>
      </w:pPr>
      <w:r>
        <w:rPr>
          <w:rFonts w:hint="eastAsia"/>
          <w:color w:val="000000"/>
        </w:rPr>
        <w:t>下列术语和定义适用于本文件。</w:t>
      </w:r>
    </w:p>
    <w:p>
      <w:pPr>
        <w:pStyle w:val="40"/>
        <w:numPr>
          <w:ilvl w:val="0"/>
          <w:numId w:val="0"/>
        </w:numPr>
        <w:spacing w:before="156" w:after="156"/>
      </w:pPr>
      <w:bookmarkStart w:id="40" w:name="_Toc6509"/>
      <w:r>
        <w:rPr>
          <w:rFonts w:hint="eastAsia"/>
        </w:rPr>
        <w:t xml:space="preserve">3.1  </w:t>
      </w:r>
      <w:r>
        <w:t>绿色建材  green building material</w:t>
      </w:r>
    </w:p>
    <w:p>
      <w:pPr>
        <w:widowControl/>
        <w:tabs>
          <w:tab w:val="center" w:pos="4201"/>
          <w:tab w:val="right" w:leader="dot" w:pos="9298"/>
        </w:tabs>
        <w:autoSpaceDE w:val="0"/>
        <w:autoSpaceDN w:val="0"/>
        <w:ind w:firstLine="420" w:firstLineChars="200"/>
        <w:rPr>
          <w:color w:val="000000"/>
          <w:kern w:val="0"/>
          <w:szCs w:val="20"/>
        </w:rPr>
      </w:pPr>
      <w:r>
        <w:rPr>
          <w:color w:val="000000"/>
          <w:kern w:val="0"/>
          <w:szCs w:val="20"/>
        </w:rPr>
        <w:t>是指在全生命周期内可减少对天然资源消耗和减轻对生态环境影响，具有“节能、减排、安全、便利和可循环”特征的建材产品。</w:t>
      </w:r>
    </w:p>
    <w:p>
      <w:pPr>
        <w:pStyle w:val="38"/>
        <w:numPr>
          <w:ilvl w:val="0"/>
          <w:numId w:val="0"/>
        </w:numPr>
        <w:tabs>
          <w:tab w:val="left" w:pos="0"/>
        </w:tabs>
        <w:spacing w:before="312" w:after="312"/>
        <w:outlineLvl w:val="2"/>
        <w:rPr>
          <w:color w:val="000000"/>
        </w:rPr>
      </w:pPr>
      <w:r>
        <w:rPr>
          <w:rFonts w:hint="eastAsia"/>
          <w:color w:val="000000"/>
        </w:rPr>
        <w:t xml:space="preserve">3.2  绿色建材评价 </w:t>
      </w:r>
      <w:r>
        <w:rPr>
          <w:color w:val="000000"/>
        </w:rPr>
        <w:t>green building material</w:t>
      </w:r>
      <w:r>
        <w:rPr>
          <w:color w:val="000000"/>
          <w:sz w:val="24"/>
        </w:rPr>
        <w:t xml:space="preserve"> </w:t>
      </w:r>
      <w:r>
        <w:rPr>
          <w:rFonts w:hint="eastAsia"/>
          <w:color w:val="000000"/>
        </w:rPr>
        <w:t>a</w:t>
      </w:r>
      <w:r>
        <w:rPr>
          <w:color w:val="000000"/>
        </w:rPr>
        <w:t xml:space="preserve">ssessment </w:t>
      </w:r>
    </w:p>
    <w:p>
      <w:pPr>
        <w:widowControl/>
        <w:tabs>
          <w:tab w:val="center" w:pos="4201"/>
          <w:tab w:val="right" w:leader="dot" w:pos="9298"/>
        </w:tabs>
        <w:autoSpaceDE w:val="0"/>
        <w:autoSpaceDN w:val="0"/>
        <w:ind w:firstLine="420" w:firstLineChars="200"/>
        <w:rPr>
          <w:rFonts w:hint="eastAsia"/>
          <w:color w:val="000000"/>
          <w:kern w:val="0"/>
          <w:szCs w:val="20"/>
        </w:rPr>
      </w:pPr>
      <w:r>
        <w:rPr>
          <w:rFonts w:hint="eastAsia"/>
          <w:color w:val="000000"/>
          <w:kern w:val="0"/>
          <w:szCs w:val="20"/>
        </w:rPr>
        <w:t>由认证机构证明产品符合绿色建材标准要求的合格评定活动。</w:t>
      </w:r>
    </w:p>
    <w:p>
      <w:pPr>
        <w:pStyle w:val="38"/>
        <w:numPr>
          <w:ilvl w:val="0"/>
          <w:numId w:val="0"/>
        </w:numPr>
        <w:tabs>
          <w:tab w:val="left" w:pos="0"/>
        </w:tabs>
        <w:spacing w:before="312" w:after="312"/>
        <w:outlineLvl w:val="2"/>
        <w:rPr>
          <w:color w:val="000000"/>
        </w:rPr>
      </w:pPr>
      <w:r>
        <w:rPr>
          <w:rFonts w:hint="eastAsia"/>
          <w:color w:val="000000"/>
        </w:rPr>
        <w:t>3.3  评价等级 a</w:t>
      </w:r>
      <w:r>
        <w:rPr>
          <w:color w:val="000000"/>
        </w:rPr>
        <w:t>ssessment</w:t>
      </w:r>
      <w:r>
        <w:rPr>
          <w:rFonts w:hint="eastAsia"/>
          <w:color w:val="000000"/>
        </w:rPr>
        <w:t xml:space="preserve"> level</w:t>
      </w:r>
    </w:p>
    <w:p>
      <w:pPr>
        <w:widowControl/>
        <w:tabs>
          <w:tab w:val="center" w:pos="4201"/>
          <w:tab w:val="right" w:leader="dot" w:pos="9298"/>
        </w:tabs>
        <w:autoSpaceDE w:val="0"/>
        <w:autoSpaceDN w:val="0"/>
        <w:ind w:firstLine="420" w:firstLineChars="200"/>
        <w:rPr>
          <w:color w:val="000000"/>
          <w:kern w:val="0"/>
          <w:szCs w:val="20"/>
        </w:rPr>
      </w:pPr>
      <w:r>
        <w:rPr>
          <w:rFonts w:hint="eastAsia"/>
          <w:color w:val="000000"/>
          <w:kern w:val="0"/>
          <w:szCs w:val="20"/>
        </w:rPr>
        <w:t>产品评价结果所达到的绿色建材级别，由低到高分为一星级、二星级和三星级。</w:t>
      </w:r>
    </w:p>
    <w:bookmarkEnd w:id="40"/>
    <w:p>
      <w:pPr>
        <w:pStyle w:val="38"/>
        <w:numPr>
          <w:ilvl w:val="0"/>
          <w:numId w:val="0"/>
        </w:numPr>
        <w:tabs>
          <w:tab w:val="left" w:pos="0"/>
        </w:tabs>
        <w:spacing w:before="312" w:after="312"/>
        <w:outlineLvl w:val="2"/>
        <w:rPr>
          <w:color w:val="000000"/>
        </w:rPr>
      </w:pPr>
      <w:r>
        <w:rPr>
          <w:rFonts w:hint="eastAsia"/>
          <w:color w:val="000000"/>
        </w:rPr>
        <w:t>3.4  石膏基结构防火板</w:t>
      </w:r>
      <w:r>
        <w:rPr>
          <w:color w:val="000000"/>
        </w:rPr>
        <w:t xml:space="preserve">  gypsum plasterboard</w:t>
      </w:r>
    </w:p>
    <w:p>
      <w:pPr>
        <w:widowControl/>
        <w:tabs>
          <w:tab w:val="center" w:pos="4201"/>
          <w:tab w:val="right" w:leader="dot" w:pos="9298"/>
        </w:tabs>
        <w:autoSpaceDE w:val="0"/>
        <w:autoSpaceDN w:val="0"/>
        <w:ind w:firstLine="420" w:firstLineChars="200"/>
        <w:rPr>
          <w:rFonts w:hint="eastAsia"/>
          <w:color w:val="000000"/>
          <w:kern w:val="0"/>
          <w:szCs w:val="20"/>
        </w:rPr>
      </w:pPr>
      <w:r>
        <w:rPr>
          <w:rFonts w:hint="eastAsia"/>
          <w:color w:val="000000"/>
          <w:kern w:val="0"/>
          <w:szCs w:val="20"/>
        </w:rPr>
        <w:t>以建筑石膏为主要原料，掺入适量玻璃纤维增强材料和外加剂等，在与水搅拌后，浇注于护面纸或玻璃纤维毡的面层与背层之间，并与护面材料牢固地粘结在一起的建筑板材。按照护面材料不同，石膏基结构防火板可区分为：纸面石膏基结构防火板和玻璃纤维布面石膏基结构防火板。</w:t>
      </w:r>
    </w:p>
    <w:p>
      <w:pPr>
        <w:pStyle w:val="38"/>
        <w:numPr>
          <w:ilvl w:val="0"/>
          <w:numId w:val="0"/>
        </w:numPr>
        <w:tabs>
          <w:tab w:val="left" w:pos="0"/>
        </w:tabs>
        <w:spacing w:before="312" w:after="312"/>
        <w:outlineLvl w:val="2"/>
        <w:rPr>
          <w:color w:val="000000"/>
        </w:rPr>
      </w:pPr>
      <w:bookmarkStart w:id="41" w:name="_Toc360436750"/>
      <w:bookmarkStart w:id="42" w:name="_Toc408495874"/>
      <w:bookmarkStart w:id="43" w:name="_Toc406486341"/>
      <w:bookmarkStart w:id="44" w:name="_Toc406143964"/>
      <w:bookmarkStart w:id="45" w:name="_Toc360632655"/>
      <w:bookmarkStart w:id="46" w:name="_Toc462063255"/>
      <w:bookmarkStart w:id="47" w:name="_Toc397348587"/>
      <w:bookmarkStart w:id="48" w:name="_Toc360436836"/>
      <w:bookmarkStart w:id="49" w:name="_Toc350863988"/>
      <w:bookmarkStart w:id="50" w:name="_Toc384816547"/>
      <w:bookmarkStart w:id="51" w:name="_Toc396134031"/>
      <w:bookmarkStart w:id="52" w:name="_Toc396118200"/>
      <w:bookmarkStart w:id="53" w:name="_Toc397433559"/>
      <w:bookmarkStart w:id="54" w:name="_Toc360632424"/>
      <w:bookmarkStart w:id="55" w:name="_Toc16661"/>
      <w:r>
        <w:rPr>
          <w:rFonts w:hint="eastAsia"/>
          <w:color w:val="000000"/>
        </w:rPr>
        <w:t>3.</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Start w:id="56" w:name="_Toc397348590"/>
      <w:bookmarkStart w:id="57" w:name="OLE_LINK5"/>
      <w:bookmarkStart w:id="58" w:name="_Toc382580630"/>
      <w:bookmarkStart w:id="59" w:name="_Toc363024794"/>
      <w:bookmarkStart w:id="60" w:name="_Toc396134034"/>
      <w:bookmarkStart w:id="61" w:name="_Toc406143967"/>
      <w:bookmarkStart w:id="62" w:name="_Toc384816550"/>
      <w:bookmarkStart w:id="63" w:name="_Toc396118203"/>
      <w:bookmarkStart w:id="64" w:name="_Toc350863991"/>
      <w:bookmarkStart w:id="65" w:name="_Toc397433562"/>
      <w:bookmarkStart w:id="66" w:name="OLE_LINK6"/>
      <w:r>
        <w:rPr>
          <w:rFonts w:hint="eastAsia"/>
          <w:color w:val="000000"/>
        </w:rPr>
        <w:t>5</w:t>
      </w:r>
      <w:bookmarkEnd w:id="55"/>
      <w:r>
        <w:rPr>
          <w:rFonts w:hint="eastAsia"/>
          <w:color w:val="000000"/>
        </w:rPr>
        <w:t xml:space="preserve">   </w:t>
      </w:r>
      <w:r>
        <w:rPr>
          <w:color w:val="000000"/>
        </w:rPr>
        <w:t>环境产品声明</w:t>
      </w:r>
      <w:r>
        <w:rPr>
          <w:rFonts w:hint="eastAsia"/>
          <w:color w:val="000000"/>
        </w:rPr>
        <w:t xml:space="preserve"> </w:t>
      </w:r>
      <w:r>
        <w:rPr>
          <w:color w:val="000000"/>
        </w:rPr>
        <w:t>environmental product declaration</w:t>
      </w:r>
    </w:p>
    <w:p>
      <w:pPr>
        <w:pStyle w:val="33"/>
        <w:rPr>
          <w:rFonts w:ascii="Times New Roman"/>
          <w:color w:val="000000"/>
        </w:rPr>
      </w:pPr>
      <w:r>
        <w:rPr>
          <w:rFonts w:ascii="Times New Roman"/>
          <w:color w:val="000000"/>
        </w:rPr>
        <w:t>提供基于预设参数的量化环境数据的环境声明，必要时包括附加环境信息。</w:t>
      </w:r>
    </w:p>
    <w:p>
      <w:pPr>
        <w:pStyle w:val="38"/>
        <w:numPr>
          <w:ilvl w:val="0"/>
          <w:numId w:val="0"/>
        </w:numPr>
        <w:tabs>
          <w:tab w:val="left" w:pos="0"/>
        </w:tabs>
        <w:spacing w:before="312" w:after="312"/>
        <w:outlineLvl w:val="2"/>
        <w:rPr>
          <w:color w:val="000000"/>
        </w:rPr>
      </w:pPr>
      <w:bookmarkStart w:id="67" w:name="_Toc462063256"/>
      <w:bookmarkStart w:id="68" w:name="_Toc408495875"/>
      <w:bookmarkStart w:id="69" w:name="_Toc30452"/>
      <w:r>
        <w:rPr>
          <w:rFonts w:hint="eastAsia"/>
          <w:color w:val="000000"/>
        </w:rPr>
        <w:t>3.</w:t>
      </w:r>
      <w:bookmarkEnd w:id="67"/>
      <w:bookmarkEnd w:id="68"/>
      <w:r>
        <w:rPr>
          <w:rFonts w:hint="eastAsia"/>
          <w:color w:val="000000"/>
        </w:rPr>
        <w:t>6</w:t>
      </w:r>
      <w:bookmarkEnd w:id="69"/>
      <w:r>
        <w:rPr>
          <w:rFonts w:hint="eastAsia"/>
          <w:color w:val="000000"/>
        </w:rPr>
        <w:t xml:space="preserve">  </w:t>
      </w:r>
      <w:r>
        <w:rPr>
          <w:color w:val="000000"/>
        </w:rPr>
        <w:t xml:space="preserve">碳足迹  </w:t>
      </w:r>
      <w:r>
        <w:rPr>
          <w:color w:val="000000"/>
        </w:rPr>
        <w:fldChar w:fldCharType="begin"/>
      </w:r>
      <w:r>
        <w:rPr>
          <w:color w:val="000000"/>
        </w:rPr>
        <w:instrText xml:space="preserve">HYPERLINK "http://www.baidu.com/link?url=NM-sDc8vF8f6LBJJjre3x3OgH29MNSR7nUOi6mno3-iVlHb3Zlvs9wTbxnKcKC6gPud9_XI7Qg3qobY6J2p3_MuxwSugBbZWQE3OggbMvUq" \t "https://www.baidu.com/_blank"</w:instrText>
      </w:r>
      <w:r>
        <w:rPr>
          <w:color w:val="000000"/>
        </w:rPr>
        <w:fldChar w:fldCharType="separate"/>
      </w:r>
      <w:r>
        <w:rPr>
          <w:color w:val="000000"/>
        </w:rPr>
        <w:t>carbon footprint</w:t>
      </w:r>
      <w:r>
        <w:rPr>
          <w:color w:val="000000"/>
        </w:rPr>
        <w:fldChar w:fldCharType="end"/>
      </w:r>
    </w:p>
    <w:p>
      <w:pPr>
        <w:spacing w:line="300" w:lineRule="auto"/>
        <w:ind w:firstLine="420" w:firstLineChars="200"/>
        <w:rPr>
          <w:rFonts w:hint="eastAsia"/>
          <w:color w:val="000000"/>
          <w:szCs w:val="21"/>
        </w:rPr>
      </w:pPr>
      <w:r>
        <w:rPr>
          <w:color w:val="000000"/>
          <w:szCs w:val="21"/>
        </w:rPr>
        <w:t>用以量化过程、过程系统或产品系统温室气体排放的参数，以表现它们对气候变化的贡献</w:t>
      </w:r>
      <w:r>
        <w:rPr>
          <w:rFonts w:hint="eastAsia"/>
          <w:color w:val="000000"/>
          <w:szCs w:val="21"/>
        </w:rPr>
        <w:t>。</w:t>
      </w:r>
    </w:p>
    <w:bookmarkEnd w:id="56"/>
    <w:bookmarkEnd w:id="57"/>
    <w:bookmarkEnd w:id="58"/>
    <w:bookmarkEnd w:id="59"/>
    <w:bookmarkEnd w:id="60"/>
    <w:bookmarkEnd w:id="61"/>
    <w:bookmarkEnd w:id="62"/>
    <w:bookmarkEnd w:id="63"/>
    <w:bookmarkEnd w:id="64"/>
    <w:bookmarkEnd w:id="65"/>
    <w:bookmarkEnd w:id="66"/>
    <w:p>
      <w:pPr>
        <w:pStyle w:val="38"/>
        <w:numPr>
          <w:ilvl w:val="0"/>
          <w:numId w:val="4"/>
        </w:numPr>
        <w:tabs>
          <w:tab w:val="left" w:pos="0"/>
        </w:tabs>
        <w:spacing w:before="312" w:after="312"/>
        <w:ind w:left="0" w:firstLine="0"/>
        <w:rPr>
          <w:color w:val="000000"/>
        </w:rPr>
      </w:pPr>
      <w:bookmarkStart w:id="70" w:name="_Toc462063257"/>
      <w:bookmarkStart w:id="71" w:name="_Toc406486353"/>
      <w:r>
        <w:rPr>
          <w:rFonts w:hint="eastAsia"/>
          <w:color w:val="000000"/>
        </w:rPr>
        <w:t>评价要求</w:t>
      </w:r>
      <w:bookmarkEnd w:id="70"/>
      <w:bookmarkEnd w:id="71"/>
    </w:p>
    <w:p>
      <w:pPr>
        <w:widowControl/>
        <w:spacing w:before="156" w:beforeLines="50" w:after="156" w:afterLines="50"/>
        <w:jc w:val="left"/>
        <w:outlineLvl w:val="2"/>
        <w:rPr>
          <w:rFonts w:eastAsia="黑体"/>
          <w:color w:val="000000"/>
          <w:kern w:val="0"/>
        </w:rPr>
      </w:pPr>
      <w:bookmarkStart w:id="72" w:name="_Toc456611366"/>
      <w:bookmarkStart w:id="73" w:name="_Toc406486354"/>
      <w:bookmarkStart w:id="74" w:name="_Toc22141"/>
      <w:bookmarkStart w:id="75" w:name="_Toc459107153"/>
      <w:bookmarkStart w:id="76" w:name="_Toc360436761"/>
      <w:bookmarkStart w:id="77" w:name="_Toc360436848"/>
      <w:bookmarkStart w:id="78" w:name="_Toc350864000"/>
      <w:bookmarkStart w:id="79" w:name="_Toc384816564"/>
      <w:bookmarkStart w:id="80" w:name="_Toc396134049"/>
      <w:bookmarkStart w:id="81" w:name="_Toc406486355"/>
      <w:bookmarkStart w:id="82" w:name="_Toc360632439"/>
      <w:r>
        <w:rPr>
          <w:rFonts w:eastAsia="黑体"/>
          <w:color w:val="000000"/>
          <w:kern w:val="0"/>
        </w:rPr>
        <w:t>4.1 基本要求</w:t>
      </w:r>
      <w:bookmarkEnd w:id="72"/>
      <w:bookmarkEnd w:id="73"/>
      <w:bookmarkEnd w:id="74"/>
      <w:bookmarkEnd w:id="75"/>
    </w:p>
    <w:p>
      <w:pPr>
        <w:widowControl/>
        <w:adjustRightInd w:val="0"/>
        <w:snapToGrid w:val="0"/>
        <w:spacing w:before="156" w:beforeLines="50" w:after="156" w:afterLines="50"/>
        <w:jc w:val="left"/>
        <w:outlineLvl w:val="3"/>
        <w:rPr>
          <w:color w:val="000000"/>
          <w:kern w:val="0"/>
          <w:szCs w:val="21"/>
        </w:rPr>
      </w:pPr>
      <w:bookmarkStart w:id="83" w:name="_Toc462063258"/>
      <w:bookmarkStart w:id="84" w:name="_Toc459106415"/>
      <w:bookmarkStart w:id="85" w:name="_Toc436234466"/>
      <w:r>
        <w:rPr>
          <w:color w:val="000000"/>
          <w:kern w:val="0"/>
          <w:szCs w:val="21"/>
        </w:rPr>
        <w:t xml:space="preserve">4.1.1  </w:t>
      </w:r>
      <w:r>
        <w:rPr>
          <w:rFonts w:hint="eastAsia" w:ascii="宋体"/>
          <w:color w:val="000000"/>
          <w:kern w:val="0"/>
          <w:szCs w:val="21"/>
        </w:rPr>
        <w:t>生产企业应</w:t>
      </w:r>
      <w:bookmarkEnd w:id="83"/>
      <w:bookmarkEnd w:id="84"/>
      <w:r>
        <w:rPr>
          <w:rFonts w:hint="eastAsia" w:ascii="宋体"/>
          <w:color w:val="000000"/>
          <w:kern w:val="0"/>
          <w:szCs w:val="21"/>
        </w:rPr>
        <w:t>符合适用的国家标准、地方标准及环评批复的规定，并取得地方政府的排污许可证，</w:t>
      </w:r>
      <w:r>
        <w:rPr>
          <w:rFonts w:hint="eastAsia"/>
          <w:color w:val="000000"/>
          <w:kern w:val="0"/>
          <w:szCs w:val="21"/>
        </w:rPr>
        <w:t>且近</w:t>
      </w:r>
      <w:r>
        <w:rPr>
          <w:color w:val="000000"/>
          <w:kern w:val="0"/>
          <w:szCs w:val="21"/>
        </w:rPr>
        <w:t>3</w:t>
      </w:r>
      <w:r>
        <w:rPr>
          <w:rFonts w:hint="eastAsia"/>
          <w:color w:val="000000"/>
          <w:kern w:val="0"/>
          <w:szCs w:val="21"/>
        </w:rPr>
        <w:t>年无重大环境污染事件。</w:t>
      </w:r>
    </w:p>
    <w:p>
      <w:pPr>
        <w:widowControl/>
        <w:adjustRightInd w:val="0"/>
        <w:snapToGrid w:val="0"/>
        <w:spacing w:before="156" w:beforeLines="50" w:after="156" w:afterLines="50"/>
        <w:jc w:val="left"/>
        <w:outlineLvl w:val="3"/>
        <w:rPr>
          <w:rFonts w:hint="eastAsia"/>
          <w:color w:val="000000"/>
          <w:kern w:val="0"/>
          <w:szCs w:val="21"/>
        </w:rPr>
      </w:pPr>
      <w:r>
        <w:rPr>
          <w:color w:val="000000"/>
          <w:kern w:val="0"/>
          <w:szCs w:val="21"/>
        </w:rPr>
        <w:t xml:space="preserve">4.1.2  </w:t>
      </w:r>
      <w:r>
        <w:rPr>
          <w:rFonts w:hint="eastAsia"/>
          <w:color w:val="000000"/>
          <w:kern w:val="0"/>
          <w:szCs w:val="21"/>
        </w:rPr>
        <w:t>一般固体废弃物的收集、贮存、处置应符合</w:t>
      </w:r>
      <w:r>
        <w:rPr>
          <w:color w:val="000000"/>
          <w:kern w:val="0"/>
          <w:szCs w:val="21"/>
        </w:rPr>
        <w:t>GB 18599</w:t>
      </w:r>
      <w:r>
        <w:rPr>
          <w:rFonts w:hint="eastAsia"/>
          <w:color w:val="000000"/>
          <w:kern w:val="0"/>
          <w:szCs w:val="21"/>
        </w:rPr>
        <w:t>的相关规定。危险废物的贮存应符合</w:t>
      </w:r>
      <w:r>
        <w:rPr>
          <w:color w:val="000000"/>
          <w:kern w:val="0"/>
          <w:szCs w:val="21"/>
        </w:rPr>
        <w:t>GB 18597</w:t>
      </w:r>
      <w:r>
        <w:rPr>
          <w:rFonts w:hint="eastAsia"/>
          <w:color w:val="000000"/>
          <w:kern w:val="0"/>
          <w:szCs w:val="21"/>
        </w:rPr>
        <w:t>的相关规定，后续应交由持有危险废物经营许可证的单位处置。</w:t>
      </w:r>
    </w:p>
    <w:p>
      <w:pPr>
        <w:widowControl/>
        <w:adjustRightInd w:val="0"/>
        <w:snapToGrid w:val="0"/>
        <w:spacing w:before="156" w:beforeLines="50" w:after="156" w:afterLines="50"/>
        <w:jc w:val="left"/>
        <w:outlineLvl w:val="3"/>
        <w:rPr>
          <w:color w:val="000000"/>
          <w:kern w:val="0"/>
          <w:szCs w:val="21"/>
        </w:rPr>
      </w:pPr>
      <w:r>
        <w:rPr>
          <w:color w:val="000000"/>
          <w:kern w:val="0"/>
          <w:szCs w:val="21"/>
        </w:rPr>
        <w:t>4.1.</w:t>
      </w:r>
      <w:r>
        <w:rPr>
          <w:rFonts w:hint="eastAsia"/>
          <w:color w:val="000000"/>
          <w:kern w:val="0"/>
          <w:szCs w:val="21"/>
        </w:rPr>
        <w:t>3</w:t>
      </w:r>
      <w:r>
        <w:rPr>
          <w:color w:val="000000"/>
          <w:kern w:val="0"/>
          <w:szCs w:val="21"/>
        </w:rPr>
        <w:t xml:space="preserve">  </w:t>
      </w:r>
      <w:r>
        <w:rPr>
          <w:rFonts w:hint="eastAsia"/>
          <w:color w:val="000000"/>
          <w:kern w:val="0"/>
          <w:szCs w:val="21"/>
        </w:rPr>
        <w:t>工作场所有害因素职业接触限值，应满足</w:t>
      </w:r>
      <w:r>
        <w:rPr>
          <w:color w:val="000000"/>
          <w:kern w:val="0"/>
          <w:szCs w:val="21"/>
        </w:rPr>
        <w:t>GBZ 2.1</w:t>
      </w:r>
      <w:r>
        <w:rPr>
          <w:rFonts w:hint="eastAsia"/>
          <w:color w:val="000000"/>
          <w:kern w:val="0"/>
          <w:szCs w:val="21"/>
        </w:rPr>
        <w:t>和</w:t>
      </w:r>
      <w:r>
        <w:rPr>
          <w:color w:val="000000"/>
          <w:kern w:val="0"/>
          <w:szCs w:val="21"/>
        </w:rPr>
        <w:t>GBZ 2.2</w:t>
      </w:r>
      <w:r>
        <w:rPr>
          <w:rFonts w:hint="eastAsia"/>
          <w:color w:val="000000"/>
          <w:kern w:val="0"/>
          <w:szCs w:val="21"/>
        </w:rPr>
        <w:t>的要求。</w:t>
      </w:r>
    </w:p>
    <w:p>
      <w:pPr>
        <w:widowControl/>
        <w:adjustRightInd w:val="0"/>
        <w:snapToGrid w:val="0"/>
        <w:spacing w:before="156" w:beforeLines="50" w:after="156" w:afterLines="50"/>
        <w:jc w:val="left"/>
        <w:outlineLvl w:val="3"/>
        <w:rPr>
          <w:color w:val="000000"/>
          <w:kern w:val="0"/>
          <w:szCs w:val="21"/>
        </w:rPr>
      </w:pPr>
      <w:r>
        <w:rPr>
          <w:color w:val="000000"/>
          <w:kern w:val="0"/>
          <w:szCs w:val="21"/>
        </w:rPr>
        <w:t>4.1.</w:t>
      </w:r>
      <w:r>
        <w:rPr>
          <w:rFonts w:hint="eastAsia"/>
          <w:color w:val="000000"/>
          <w:kern w:val="0"/>
          <w:szCs w:val="21"/>
        </w:rPr>
        <w:t>4</w:t>
      </w:r>
      <w:r>
        <w:rPr>
          <w:color w:val="000000"/>
          <w:kern w:val="0"/>
          <w:szCs w:val="21"/>
        </w:rPr>
        <w:t xml:space="preserve">  </w:t>
      </w:r>
      <w:r>
        <w:rPr>
          <w:rFonts w:hint="eastAsia"/>
          <w:color w:val="000000"/>
          <w:kern w:val="0"/>
          <w:szCs w:val="21"/>
        </w:rPr>
        <w:t>安全生产管理应符合适用的国家标准和地方标准规定，且近</w:t>
      </w:r>
      <w:r>
        <w:rPr>
          <w:color w:val="000000"/>
          <w:kern w:val="0"/>
          <w:szCs w:val="21"/>
        </w:rPr>
        <w:t>3</w:t>
      </w:r>
      <w:r>
        <w:rPr>
          <w:rFonts w:hint="eastAsia"/>
          <w:color w:val="000000"/>
          <w:kern w:val="0"/>
          <w:szCs w:val="21"/>
        </w:rPr>
        <w:t>年无重大安全事故。</w:t>
      </w:r>
    </w:p>
    <w:p>
      <w:pPr>
        <w:widowControl/>
        <w:adjustRightInd w:val="0"/>
        <w:snapToGrid w:val="0"/>
        <w:spacing w:before="156" w:beforeLines="50" w:after="156" w:afterLines="50"/>
        <w:jc w:val="left"/>
        <w:outlineLvl w:val="3"/>
        <w:rPr>
          <w:color w:val="000000"/>
          <w:kern w:val="0"/>
          <w:szCs w:val="21"/>
        </w:rPr>
      </w:pPr>
      <w:r>
        <w:rPr>
          <w:color w:val="000000"/>
          <w:kern w:val="0"/>
          <w:szCs w:val="21"/>
        </w:rPr>
        <w:t>4.1.</w:t>
      </w:r>
      <w:r>
        <w:rPr>
          <w:rFonts w:hint="eastAsia"/>
          <w:color w:val="000000"/>
          <w:kern w:val="0"/>
          <w:szCs w:val="21"/>
        </w:rPr>
        <w:t>5</w:t>
      </w:r>
      <w:r>
        <w:rPr>
          <w:color w:val="000000"/>
          <w:kern w:val="0"/>
          <w:szCs w:val="21"/>
        </w:rPr>
        <w:t xml:space="preserve">  </w:t>
      </w:r>
      <w:r>
        <w:rPr>
          <w:rFonts w:hint="eastAsia"/>
          <w:color w:val="000000"/>
          <w:kern w:val="0"/>
          <w:szCs w:val="21"/>
        </w:rPr>
        <w:t>生产企业应按照</w:t>
      </w:r>
      <w:r>
        <w:rPr>
          <w:color w:val="000000"/>
          <w:kern w:val="0"/>
          <w:szCs w:val="21"/>
        </w:rPr>
        <w:t>GB/T 19001</w:t>
      </w:r>
      <w:r>
        <w:rPr>
          <w:rFonts w:hint="eastAsia"/>
          <w:color w:val="000000"/>
          <w:kern w:val="0"/>
          <w:szCs w:val="21"/>
        </w:rPr>
        <w:t>、</w:t>
      </w:r>
      <w:r>
        <w:rPr>
          <w:color w:val="000000"/>
          <w:kern w:val="0"/>
          <w:szCs w:val="21"/>
        </w:rPr>
        <w:t>GB/T 24001</w:t>
      </w:r>
      <w:r>
        <w:rPr>
          <w:rFonts w:hint="eastAsia"/>
          <w:color w:val="000000"/>
          <w:kern w:val="0"/>
          <w:szCs w:val="21"/>
        </w:rPr>
        <w:t>和</w:t>
      </w:r>
      <w:r>
        <w:rPr>
          <w:color w:val="000000"/>
          <w:kern w:val="0"/>
          <w:szCs w:val="21"/>
        </w:rPr>
        <w:t>GB/T 28001</w:t>
      </w:r>
      <w:r>
        <w:rPr>
          <w:rFonts w:hint="eastAsia"/>
          <w:color w:val="000000"/>
          <w:kern w:val="0"/>
          <w:szCs w:val="21"/>
        </w:rPr>
        <w:t>分别建立并运行质量管理体系、环境管理体系和职业健康安全管理体系。</w:t>
      </w:r>
    </w:p>
    <w:bookmarkEnd w:id="85"/>
    <w:p>
      <w:pPr>
        <w:widowControl/>
        <w:adjustRightInd w:val="0"/>
        <w:snapToGrid w:val="0"/>
        <w:spacing w:before="156" w:beforeLines="50" w:after="156" w:afterLines="50"/>
        <w:jc w:val="left"/>
        <w:outlineLvl w:val="3"/>
        <w:rPr>
          <w:color w:val="000000"/>
          <w:kern w:val="0"/>
          <w:szCs w:val="21"/>
        </w:rPr>
      </w:pPr>
      <w:bookmarkStart w:id="86" w:name="_Toc436234470"/>
      <w:r>
        <w:rPr>
          <w:color w:val="000000"/>
          <w:kern w:val="0"/>
          <w:szCs w:val="21"/>
        </w:rPr>
        <w:t>4.1.</w:t>
      </w:r>
      <w:r>
        <w:rPr>
          <w:rFonts w:hint="eastAsia"/>
          <w:color w:val="000000"/>
          <w:kern w:val="0"/>
          <w:szCs w:val="21"/>
        </w:rPr>
        <w:t>6</w:t>
      </w:r>
      <w:r>
        <w:rPr>
          <w:color w:val="000000"/>
          <w:kern w:val="0"/>
          <w:szCs w:val="21"/>
        </w:rPr>
        <w:t xml:space="preserve"> </w:t>
      </w:r>
      <w:bookmarkEnd w:id="86"/>
      <w:r>
        <w:rPr>
          <w:color w:val="000000"/>
          <w:kern w:val="0"/>
          <w:szCs w:val="21"/>
        </w:rPr>
        <w:t xml:space="preserve"> </w:t>
      </w:r>
      <w:r>
        <w:rPr>
          <w:rFonts w:hint="eastAsia"/>
          <w:color w:val="000000"/>
          <w:kern w:val="0"/>
          <w:szCs w:val="21"/>
        </w:rPr>
        <w:t>生产企业应符合国家《产业结构调整目录》（2011年本 修正）的有关规定，单线产能应大于2</w:t>
      </w:r>
      <w:r>
        <w:rPr>
          <w:color w:val="000000"/>
          <w:kern w:val="0"/>
          <w:szCs w:val="21"/>
        </w:rPr>
        <w:t>000</w:t>
      </w:r>
      <w:r>
        <w:rPr>
          <w:rFonts w:hint="eastAsia"/>
          <w:color w:val="000000"/>
          <w:kern w:val="0"/>
          <w:szCs w:val="21"/>
        </w:rPr>
        <w:t>万平方米</w:t>
      </w:r>
      <w:r>
        <w:rPr>
          <w:color w:val="000000"/>
          <w:kern w:val="0"/>
          <w:szCs w:val="21"/>
        </w:rPr>
        <w:t>/</w:t>
      </w:r>
      <w:r>
        <w:rPr>
          <w:rFonts w:hint="eastAsia"/>
          <w:color w:val="000000"/>
          <w:kern w:val="0"/>
          <w:szCs w:val="21"/>
        </w:rPr>
        <w:t>年。</w:t>
      </w:r>
    </w:p>
    <w:p>
      <w:pPr>
        <w:widowControl/>
        <w:adjustRightInd w:val="0"/>
        <w:snapToGrid w:val="0"/>
        <w:spacing w:before="156" w:beforeLines="50" w:after="156" w:afterLines="50"/>
        <w:jc w:val="left"/>
        <w:outlineLvl w:val="3"/>
        <w:rPr>
          <w:color w:val="000000"/>
          <w:kern w:val="0"/>
          <w:szCs w:val="21"/>
        </w:rPr>
      </w:pPr>
      <w:r>
        <w:rPr>
          <w:color w:val="000000"/>
          <w:kern w:val="0"/>
          <w:szCs w:val="21"/>
        </w:rPr>
        <w:t>4.1.</w:t>
      </w:r>
      <w:r>
        <w:rPr>
          <w:rFonts w:hint="eastAsia"/>
          <w:color w:val="000000"/>
          <w:kern w:val="0"/>
          <w:szCs w:val="21"/>
        </w:rPr>
        <w:t>7</w:t>
      </w:r>
      <w:r>
        <w:rPr>
          <w:color w:val="000000"/>
          <w:kern w:val="0"/>
          <w:szCs w:val="21"/>
        </w:rPr>
        <w:t xml:space="preserve">  </w:t>
      </w:r>
      <w:r>
        <w:rPr>
          <w:rFonts w:hint="eastAsia"/>
          <w:color w:val="000000"/>
          <w:kern w:val="0"/>
          <w:szCs w:val="21"/>
        </w:rPr>
        <w:t>石膏基结构防火板的规格尺寸和性能应符合</w:t>
      </w:r>
      <w:r>
        <w:rPr>
          <w:rFonts w:hint="eastAsia"/>
          <w:color w:val="FF0000"/>
          <w:kern w:val="0"/>
          <w:szCs w:val="21"/>
        </w:rPr>
        <w:t>xxxxxxxx（石膏基结构防火板团体标准）</w:t>
      </w:r>
      <w:r>
        <w:rPr>
          <w:rFonts w:hint="eastAsia"/>
          <w:color w:val="000000"/>
          <w:kern w:val="0"/>
          <w:szCs w:val="21"/>
        </w:rPr>
        <w:t>的要求。</w:t>
      </w:r>
    </w:p>
    <w:p>
      <w:pPr>
        <w:pStyle w:val="41"/>
        <w:numPr>
          <w:ilvl w:val="0"/>
          <w:numId w:val="0"/>
        </w:numPr>
        <w:adjustRightInd w:val="0"/>
        <w:snapToGrid w:val="0"/>
        <w:spacing w:before="156" w:after="156"/>
        <w:rPr>
          <w:rFonts w:hint="eastAsia" w:ascii="Times New Roman" w:eastAsia="宋体"/>
          <w:color w:val="000000"/>
        </w:rPr>
      </w:pPr>
      <w:r>
        <w:rPr>
          <w:rFonts w:hint="eastAsia" w:ascii="Times New Roman" w:eastAsia="宋体"/>
          <w:color w:val="000000"/>
        </w:rPr>
        <w:t>4.1.8  生产企业还应符合表1的规定。</w:t>
      </w:r>
    </w:p>
    <w:p>
      <w:pPr>
        <w:pStyle w:val="38"/>
        <w:numPr>
          <w:ilvl w:val="0"/>
          <w:numId w:val="0"/>
        </w:numPr>
        <w:spacing w:before="156" w:beforeLines="50" w:after="156" w:afterLines="50"/>
        <w:jc w:val="center"/>
        <w:outlineLvl w:val="9"/>
        <w:rPr>
          <w:rFonts w:hint="eastAsia" w:ascii="Times New Roman"/>
          <w:color w:val="000000"/>
        </w:rPr>
      </w:pPr>
      <w:r>
        <w:rPr>
          <w:rFonts w:hint="eastAsia" w:ascii="Times New Roman"/>
          <w:color w:val="000000"/>
        </w:rPr>
        <w:t>表1 申请企业其他规定</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211"/>
        <w:gridCol w:w="1418"/>
        <w:gridCol w:w="1417"/>
        <w:gridCol w:w="1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211" w:type="dxa"/>
            <w:vMerge w:val="restart"/>
            <w:noWrap w:val="0"/>
            <w:vAlign w:val="center"/>
          </w:tcPr>
          <w:p>
            <w:pPr>
              <w:widowControl/>
              <w:jc w:val="center"/>
              <w:rPr>
                <w:rFonts w:hint="eastAsia"/>
                <w:color w:val="000000"/>
                <w:sz w:val="18"/>
                <w:szCs w:val="18"/>
              </w:rPr>
            </w:pPr>
            <w:r>
              <w:rPr>
                <w:rFonts w:hint="eastAsia"/>
                <w:color w:val="000000"/>
                <w:sz w:val="18"/>
                <w:szCs w:val="18"/>
              </w:rPr>
              <w:t>具体规定</w:t>
            </w:r>
          </w:p>
        </w:tc>
        <w:tc>
          <w:tcPr>
            <w:tcW w:w="4359" w:type="dxa"/>
            <w:gridSpan w:val="3"/>
            <w:noWrap w:val="0"/>
            <w:vAlign w:val="center"/>
          </w:tcPr>
          <w:p>
            <w:pPr>
              <w:widowControl/>
              <w:jc w:val="center"/>
              <w:rPr>
                <w:rFonts w:hint="eastAsia"/>
                <w:color w:val="000000"/>
                <w:sz w:val="18"/>
                <w:szCs w:val="18"/>
              </w:rPr>
            </w:pPr>
            <w:r>
              <w:rPr>
                <w:rFonts w:hint="eastAsia"/>
                <w:color w:val="000000"/>
                <w:sz w:val="18"/>
                <w:szCs w:val="18"/>
              </w:rPr>
              <w:t>不同评价等级符合项数要求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211" w:type="dxa"/>
            <w:vMerge w:val="continue"/>
            <w:noWrap w:val="0"/>
            <w:vAlign w:val="center"/>
          </w:tcPr>
          <w:p>
            <w:pPr>
              <w:widowControl/>
              <w:jc w:val="center"/>
              <w:rPr>
                <w:rFonts w:hint="eastAsia"/>
                <w:color w:val="000000"/>
                <w:sz w:val="18"/>
                <w:szCs w:val="18"/>
              </w:rPr>
            </w:pPr>
          </w:p>
        </w:tc>
        <w:tc>
          <w:tcPr>
            <w:tcW w:w="1418" w:type="dxa"/>
            <w:noWrap w:val="0"/>
            <w:vAlign w:val="center"/>
          </w:tcPr>
          <w:p>
            <w:pPr>
              <w:widowControl/>
              <w:jc w:val="center"/>
              <w:rPr>
                <w:rFonts w:hAnsi="宋体"/>
                <w:color w:val="000000"/>
                <w:kern w:val="0"/>
                <w:sz w:val="18"/>
                <w:szCs w:val="18"/>
              </w:rPr>
            </w:pPr>
            <w:r>
              <w:rPr>
                <w:rFonts w:hint="eastAsia" w:hAnsi="宋体"/>
                <w:color w:val="000000"/>
                <w:kern w:val="0"/>
                <w:sz w:val="18"/>
                <w:szCs w:val="18"/>
              </w:rPr>
              <w:t>一星级</w:t>
            </w:r>
          </w:p>
        </w:tc>
        <w:tc>
          <w:tcPr>
            <w:tcW w:w="1417" w:type="dxa"/>
            <w:noWrap w:val="0"/>
            <w:vAlign w:val="top"/>
          </w:tcPr>
          <w:p>
            <w:pPr>
              <w:widowControl/>
              <w:jc w:val="center"/>
              <w:rPr>
                <w:rFonts w:hAnsi="宋体"/>
                <w:color w:val="000000"/>
                <w:kern w:val="0"/>
                <w:sz w:val="18"/>
                <w:szCs w:val="18"/>
              </w:rPr>
            </w:pPr>
            <w:r>
              <w:rPr>
                <w:rFonts w:hint="eastAsia" w:hAnsi="宋体"/>
                <w:color w:val="000000"/>
                <w:kern w:val="0"/>
                <w:sz w:val="18"/>
                <w:szCs w:val="18"/>
              </w:rPr>
              <w:t>二星级</w:t>
            </w:r>
          </w:p>
        </w:tc>
        <w:tc>
          <w:tcPr>
            <w:tcW w:w="1524" w:type="dxa"/>
            <w:noWrap w:val="0"/>
            <w:vAlign w:val="top"/>
          </w:tcPr>
          <w:p>
            <w:pPr>
              <w:widowControl/>
              <w:jc w:val="center"/>
              <w:rPr>
                <w:rFonts w:hAnsi="宋体"/>
                <w:color w:val="000000"/>
                <w:kern w:val="0"/>
                <w:sz w:val="18"/>
                <w:szCs w:val="18"/>
              </w:rPr>
            </w:pPr>
            <w:r>
              <w:rPr>
                <w:rFonts w:hint="eastAsia" w:hAnsi="宋体"/>
                <w:color w:val="000000"/>
                <w:kern w:val="0"/>
                <w:sz w:val="18"/>
                <w:szCs w:val="18"/>
              </w:rPr>
              <w:t>三星级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211" w:type="dxa"/>
            <w:noWrap w:val="0"/>
            <w:vAlign w:val="center"/>
          </w:tcPr>
          <w:p>
            <w:pPr>
              <w:widowControl/>
              <w:jc w:val="left"/>
              <w:rPr>
                <w:rFonts w:hint="eastAsia"/>
                <w:color w:val="000000"/>
                <w:sz w:val="18"/>
                <w:szCs w:val="18"/>
              </w:rPr>
            </w:pPr>
            <w:r>
              <w:rPr>
                <w:rFonts w:hint="eastAsia"/>
                <w:color w:val="000000"/>
                <w:sz w:val="18"/>
                <w:szCs w:val="18"/>
              </w:rPr>
              <w:t>安全生产标准化满足</w:t>
            </w:r>
            <w:r>
              <w:rPr>
                <w:color w:val="000000"/>
                <w:sz w:val="18"/>
                <w:szCs w:val="18"/>
              </w:rPr>
              <w:t>GB/T 33000</w:t>
            </w:r>
            <w:r>
              <w:rPr>
                <w:rFonts w:hint="eastAsia"/>
                <w:color w:val="000000"/>
                <w:sz w:val="18"/>
                <w:szCs w:val="18"/>
              </w:rPr>
              <w:t>要求</w:t>
            </w:r>
          </w:p>
        </w:tc>
        <w:tc>
          <w:tcPr>
            <w:tcW w:w="1418" w:type="dxa"/>
            <w:vMerge w:val="restart"/>
            <w:noWrap w:val="0"/>
            <w:vAlign w:val="center"/>
          </w:tcPr>
          <w:p>
            <w:pPr>
              <w:widowControl/>
              <w:jc w:val="center"/>
              <w:rPr>
                <w:rFonts w:hint="eastAsia"/>
                <w:color w:val="000000"/>
                <w:sz w:val="18"/>
                <w:szCs w:val="18"/>
              </w:rPr>
            </w:pPr>
            <w:r>
              <w:rPr>
                <w:rFonts w:hint="eastAsia"/>
                <w:color w:val="000000"/>
                <w:sz w:val="18"/>
                <w:szCs w:val="18"/>
              </w:rPr>
              <w:t>——</w:t>
            </w:r>
          </w:p>
        </w:tc>
        <w:tc>
          <w:tcPr>
            <w:tcW w:w="1417" w:type="dxa"/>
            <w:vMerge w:val="restart"/>
            <w:noWrap w:val="0"/>
            <w:vAlign w:val="center"/>
          </w:tcPr>
          <w:p>
            <w:pPr>
              <w:widowControl/>
              <w:jc w:val="center"/>
              <w:rPr>
                <w:rFonts w:hint="eastAsia"/>
                <w:color w:val="000000"/>
                <w:sz w:val="18"/>
                <w:szCs w:val="18"/>
              </w:rPr>
            </w:pPr>
            <w:r>
              <w:rPr>
                <w:rFonts w:hint="eastAsia"/>
                <w:color w:val="000000"/>
                <w:sz w:val="18"/>
                <w:szCs w:val="18"/>
              </w:rPr>
              <w:t>至少符合1项</w:t>
            </w:r>
          </w:p>
        </w:tc>
        <w:tc>
          <w:tcPr>
            <w:tcW w:w="1524" w:type="dxa"/>
            <w:vMerge w:val="restart"/>
            <w:noWrap w:val="0"/>
            <w:vAlign w:val="center"/>
          </w:tcPr>
          <w:p>
            <w:pPr>
              <w:widowControl/>
              <w:jc w:val="center"/>
              <w:rPr>
                <w:rFonts w:hint="eastAsia"/>
                <w:color w:val="000000"/>
                <w:sz w:val="18"/>
                <w:szCs w:val="18"/>
              </w:rPr>
            </w:pPr>
            <w:r>
              <w:rPr>
                <w:rFonts w:hint="eastAsia"/>
                <w:color w:val="000000"/>
                <w:sz w:val="18"/>
                <w:szCs w:val="18"/>
              </w:rPr>
              <w:t>至少符合2项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211" w:type="dxa"/>
            <w:noWrap w:val="0"/>
            <w:vAlign w:val="center"/>
          </w:tcPr>
          <w:p>
            <w:pPr>
              <w:widowControl/>
              <w:jc w:val="left"/>
              <w:rPr>
                <w:rFonts w:hint="eastAsia"/>
                <w:color w:val="000000"/>
                <w:sz w:val="18"/>
                <w:szCs w:val="18"/>
              </w:rPr>
            </w:pPr>
            <w:r>
              <w:rPr>
                <w:rFonts w:hint="eastAsia"/>
                <w:color w:val="000000"/>
                <w:sz w:val="18"/>
                <w:szCs w:val="18"/>
              </w:rPr>
              <w:t>按照GB/T 23331建立并运行能源管理体系</w:t>
            </w:r>
          </w:p>
        </w:tc>
        <w:tc>
          <w:tcPr>
            <w:tcW w:w="1418" w:type="dxa"/>
            <w:vMerge w:val="continue"/>
            <w:noWrap w:val="0"/>
            <w:vAlign w:val="center"/>
          </w:tcPr>
          <w:p>
            <w:pPr>
              <w:widowControl/>
              <w:jc w:val="center"/>
              <w:rPr>
                <w:rFonts w:hint="eastAsia"/>
                <w:color w:val="000000"/>
                <w:sz w:val="18"/>
                <w:szCs w:val="18"/>
              </w:rPr>
            </w:pPr>
          </w:p>
        </w:tc>
        <w:tc>
          <w:tcPr>
            <w:tcW w:w="1417" w:type="dxa"/>
            <w:vMerge w:val="continue"/>
            <w:noWrap w:val="0"/>
            <w:vAlign w:val="center"/>
          </w:tcPr>
          <w:p>
            <w:pPr>
              <w:widowControl/>
              <w:jc w:val="center"/>
              <w:rPr>
                <w:rFonts w:hint="eastAsia"/>
                <w:color w:val="000000"/>
                <w:sz w:val="18"/>
                <w:szCs w:val="18"/>
              </w:rPr>
            </w:pPr>
          </w:p>
        </w:tc>
        <w:tc>
          <w:tcPr>
            <w:tcW w:w="1524" w:type="dxa"/>
            <w:vMerge w:val="continue"/>
            <w:noWrap w:val="0"/>
            <w:vAlign w:val="center"/>
          </w:tcPr>
          <w:p>
            <w:pPr>
              <w:widowControl/>
              <w:jc w:val="center"/>
              <w:rPr>
                <w:rFonts w:hint="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211" w:type="dxa"/>
            <w:noWrap w:val="0"/>
            <w:vAlign w:val="center"/>
          </w:tcPr>
          <w:p>
            <w:pPr>
              <w:widowControl/>
              <w:jc w:val="left"/>
              <w:rPr>
                <w:rFonts w:hint="eastAsia"/>
                <w:color w:val="000000"/>
                <w:sz w:val="18"/>
                <w:szCs w:val="18"/>
              </w:rPr>
            </w:pPr>
            <w:r>
              <w:rPr>
                <w:rFonts w:hint="eastAsia"/>
                <w:color w:val="FF0000"/>
                <w:sz w:val="18"/>
                <w:szCs w:val="18"/>
              </w:rPr>
              <w:t>提交石膏基结构防火板的环境产品声明（EPD）</w:t>
            </w:r>
            <w:r>
              <w:rPr>
                <w:rFonts w:hint="eastAsia"/>
                <w:color w:val="000000"/>
                <w:sz w:val="18"/>
                <w:szCs w:val="18"/>
              </w:rPr>
              <w:t>和碳足迹报告</w:t>
            </w:r>
          </w:p>
        </w:tc>
        <w:tc>
          <w:tcPr>
            <w:tcW w:w="1418" w:type="dxa"/>
            <w:vMerge w:val="continue"/>
            <w:noWrap w:val="0"/>
            <w:vAlign w:val="center"/>
          </w:tcPr>
          <w:p>
            <w:pPr>
              <w:widowControl/>
              <w:jc w:val="center"/>
              <w:rPr>
                <w:rFonts w:hint="eastAsia"/>
                <w:color w:val="000000"/>
                <w:sz w:val="18"/>
                <w:szCs w:val="18"/>
              </w:rPr>
            </w:pPr>
          </w:p>
        </w:tc>
        <w:tc>
          <w:tcPr>
            <w:tcW w:w="1417" w:type="dxa"/>
            <w:vMerge w:val="continue"/>
            <w:noWrap w:val="0"/>
            <w:vAlign w:val="center"/>
          </w:tcPr>
          <w:p>
            <w:pPr>
              <w:widowControl/>
              <w:jc w:val="center"/>
              <w:rPr>
                <w:rFonts w:hint="eastAsia"/>
                <w:color w:val="000000"/>
                <w:sz w:val="18"/>
                <w:szCs w:val="18"/>
              </w:rPr>
            </w:pPr>
          </w:p>
        </w:tc>
        <w:tc>
          <w:tcPr>
            <w:tcW w:w="1524" w:type="dxa"/>
            <w:vMerge w:val="continue"/>
            <w:noWrap w:val="0"/>
            <w:vAlign w:val="center"/>
          </w:tcPr>
          <w:p>
            <w:pPr>
              <w:widowControl/>
              <w:jc w:val="center"/>
              <w:rPr>
                <w:rFonts w:hint="eastAsia"/>
                <w:color w:val="000000"/>
                <w:sz w:val="18"/>
                <w:szCs w:val="18"/>
              </w:rPr>
            </w:pPr>
          </w:p>
        </w:tc>
      </w:tr>
    </w:tbl>
    <w:p>
      <w:pPr>
        <w:pStyle w:val="40"/>
        <w:numPr>
          <w:ilvl w:val="0"/>
          <w:numId w:val="0"/>
        </w:numPr>
        <w:spacing w:before="156" w:after="156"/>
        <w:rPr>
          <w:color w:val="000000"/>
        </w:rPr>
      </w:pPr>
      <w:bookmarkStart w:id="87" w:name="_Toc31135"/>
      <w:bookmarkStart w:id="88" w:name="_Toc462063260"/>
      <w:r>
        <w:rPr>
          <w:rFonts w:hint="eastAsia"/>
          <w:color w:val="000000"/>
        </w:rPr>
        <w:t>4.2 评价指标要求</w:t>
      </w:r>
      <w:bookmarkEnd w:id="76"/>
      <w:bookmarkEnd w:id="77"/>
      <w:bookmarkEnd w:id="78"/>
      <w:bookmarkEnd w:id="79"/>
      <w:bookmarkEnd w:id="80"/>
      <w:bookmarkEnd w:id="81"/>
      <w:bookmarkEnd w:id="82"/>
      <w:bookmarkEnd w:id="87"/>
      <w:bookmarkEnd w:id="88"/>
    </w:p>
    <w:p>
      <w:pPr>
        <w:pStyle w:val="33"/>
        <w:rPr>
          <w:color w:val="000000"/>
        </w:rPr>
      </w:pPr>
      <w:r>
        <w:rPr>
          <w:rFonts w:hint="eastAsia" w:ascii="Times New Roman"/>
          <w:color w:val="000000"/>
        </w:rPr>
        <w:t>石膏基结构防火板评价指标</w:t>
      </w:r>
      <w:r>
        <w:rPr>
          <w:rFonts w:ascii="Times New Roman"/>
          <w:color w:val="000000"/>
        </w:rPr>
        <w:t>包括资源属性指标、能源属性指标、环境属性指标和</w:t>
      </w:r>
      <w:r>
        <w:rPr>
          <w:rFonts w:hint="eastAsia" w:ascii="Times New Roman"/>
          <w:color w:val="000000"/>
        </w:rPr>
        <w:t>品质</w:t>
      </w:r>
      <w:r>
        <w:rPr>
          <w:rFonts w:ascii="Times New Roman"/>
          <w:color w:val="000000"/>
        </w:rPr>
        <w:t>属性指标。</w:t>
      </w:r>
      <w:r>
        <w:rPr>
          <w:rFonts w:hint="eastAsia" w:ascii="Times New Roman"/>
          <w:color w:val="000000"/>
        </w:rPr>
        <w:t>评价指标</w:t>
      </w:r>
      <w:r>
        <w:rPr>
          <w:rFonts w:ascii="Times New Roman"/>
          <w:color w:val="000000"/>
        </w:rPr>
        <w:t>要求见表</w:t>
      </w:r>
      <w:r>
        <w:rPr>
          <w:rFonts w:hint="eastAsia" w:ascii="Times New Roman"/>
          <w:color w:val="000000"/>
        </w:rPr>
        <w:t>2。</w:t>
      </w:r>
    </w:p>
    <w:p>
      <w:pPr>
        <w:pStyle w:val="38"/>
        <w:numPr>
          <w:ilvl w:val="0"/>
          <w:numId w:val="0"/>
        </w:numPr>
        <w:spacing w:before="156" w:beforeLines="50" w:after="156" w:afterLines="50"/>
        <w:jc w:val="center"/>
        <w:outlineLvl w:val="9"/>
        <w:rPr>
          <w:rFonts w:hint="eastAsia" w:ascii="Times New Roman"/>
          <w:color w:val="000000"/>
        </w:rPr>
      </w:pPr>
      <w:bookmarkStart w:id="89" w:name="_Toc397348606"/>
      <w:bookmarkStart w:id="90" w:name="_Toc397433577"/>
      <w:bookmarkStart w:id="91" w:name="_Toc462063261"/>
      <w:bookmarkStart w:id="92" w:name="_Toc360632446"/>
      <w:bookmarkStart w:id="93" w:name="_Toc360436855"/>
      <w:bookmarkStart w:id="94" w:name="_Toc31213"/>
      <w:bookmarkStart w:id="95" w:name="_Toc360436768"/>
      <w:bookmarkStart w:id="96" w:name="_Toc396134054"/>
      <w:bookmarkStart w:id="97" w:name="_Toc384816569"/>
      <w:bookmarkStart w:id="98" w:name="_Toc350864007"/>
      <w:bookmarkStart w:id="99" w:name="_Toc406486359"/>
      <w:r>
        <w:rPr>
          <w:rFonts w:ascii="Times New Roman"/>
          <w:color w:val="000000"/>
        </w:rPr>
        <w:t>表</w:t>
      </w:r>
      <w:r>
        <w:rPr>
          <w:rFonts w:hint="eastAsia" w:ascii="Times New Roman"/>
          <w:color w:val="000000"/>
        </w:rPr>
        <w:t>2</w:t>
      </w:r>
      <w:r>
        <w:rPr>
          <w:rFonts w:ascii="Times New Roman"/>
          <w:color w:val="000000"/>
        </w:rPr>
        <w:t xml:space="preserve"> </w:t>
      </w:r>
      <w:r>
        <w:rPr>
          <w:rFonts w:hint="eastAsia" w:ascii="Times New Roman"/>
          <w:color w:val="000000"/>
        </w:rPr>
        <w:t>石膏基结构防火板</w:t>
      </w:r>
      <w:r>
        <w:rPr>
          <w:rFonts w:ascii="Times New Roman"/>
          <w:color w:val="000000"/>
        </w:rPr>
        <w:t>评价指标</w:t>
      </w:r>
      <w:bookmarkEnd w:id="89"/>
      <w:bookmarkEnd w:id="90"/>
      <w:r>
        <w:rPr>
          <w:rFonts w:ascii="Times New Roman"/>
          <w:color w:val="000000"/>
        </w:rPr>
        <w:t>要求</w:t>
      </w:r>
      <w:bookmarkEnd w:id="91"/>
    </w:p>
    <w:tbl>
      <w:tblPr>
        <w:tblStyle w:val="13"/>
        <w:tblW w:w="5167" w:type="pct"/>
        <w:tblInd w:w="0" w:type="dxa"/>
        <w:tblLayout w:type="autofit"/>
        <w:tblCellMar>
          <w:top w:w="0" w:type="dxa"/>
          <w:left w:w="108" w:type="dxa"/>
          <w:bottom w:w="0" w:type="dxa"/>
          <w:right w:w="108" w:type="dxa"/>
        </w:tblCellMar>
      </w:tblPr>
      <w:tblGrid>
        <w:gridCol w:w="938"/>
        <w:gridCol w:w="2093"/>
        <w:gridCol w:w="113"/>
        <w:gridCol w:w="1588"/>
        <w:gridCol w:w="720"/>
        <w:gridCol w:w="1296"/>
        <w:gridCol w:w="1226"/>
        <w:gridCol w:w="73"/>
        <w:gridCol w:w="945"/>
        <w:gridCol w:w="898"/>
      </w:tblGrid>
      <w:tr>
        <w:tblPrEx>
          <w:tblCellMar>
            <w:top w:w="0" w:type="dxa"/>
            <w:left w:w="108" w:type="dxa"/>
            <w:bottom w:w="0" w:type="dxa"/>
            <w:right w:w="108" w:type="dxa"/>
          </w:tblCellMar>
        </w:tblPrEx>
        <w:trPr>
          <w:trHeight w:val="285" w:hRule="atLeast"/>
        </w:trPr>
        <w:tc>
          <w:tcPr>
            <w:tcW w:w="474" w:type="pct"/>
            <w:vMerge w:val="restart"/>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918" w:type="pct"/>
            <w:gridSpan w:val="3"/>
            <w:vMerge w:val="restart"/>
            <w:tcBorders>
              <w:top w:val="single" w:color="auto" w:sz="8"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364" w:type="pct"/>
            <w:vMerge w:val="restart"/>
            <w:tcBorders>
              <w:top w:val="single" w:color="auto" w:sz="8"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1790" w:type="pct"/>
            <w:gridSpan w:val="4"/>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基准值</w:t>
            </w:r>
          </w:p>
        </w:tc>
        <w:tc>
          <w:tcPr>
            <w:tcW w:w="455" w:type="pct"/>
            <w:vMerge w:val="restart"/>
            <w:tcBorders>
              <w:top w:val="single" w:color="auto" w:sz="8" w:space="0"/>
              <w:left w:val="single" w:color="auto" w:sz="4" w:space="0"/>
              <w:bottom w:val="single" w:color="auto" w:sz="4" w:space="0"/>
              <w:right w:val="single" w:color="auto" w:sz="8"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评价依据</w:t>
            </w:r>
          </w:p>
        </w:tc>
      </w:tr>
      <w:tr>
        <w:tblPrEx>
          <w:tblCellMar>
            <w:top w:w="0" w:type="dxa"/>
            <w:left w:w="108" w:type="dxa"/>
            <w:bottom w:w="0" w:type="dxa"/>
            <w:right w:w="108" w:type="dxa"/>
          </w:tblCellMar>
        </w:tblPrEx>
        <w:trPr>
          <w:trHeight w:val="285" w:hRule="atLeast"/>
        </w:trPr>
        <w:tc>
          <w:tcPr>
            <w:tcW w:w="474" w:type="pct"/>
            <w:vMerge w:val="continue"/>
            <w:tcBorders>
              <w:top w:val="single" w:color="auto" w:sz="8" w:space="0"/>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918" w:type="pct"/>
            <w:gridSpan w:val="3"/>
            <w:vMerge w:val="continue"/>
            <w:tcBorders>
              <w:top w:val="single" w:color="auto" w:sz="8"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364" w:type="pct"/>
            <w:vMerge w:val="continue"/>
            <w:tcBorders>
              <w:top w:val="single" w:color="auto" w:sz="8"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6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一星级</w:t>
            </w:r>
          </w:p>
        </w:tc>
        <w:tc>
          <w:tcPr>
            <w:tcW w:w="620"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二星级</w:t>
            </w:r>
          </w:p>
        </w:tc>
        <w:tc>
          <w:tcPr>
            <w:tcW w:w="515"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三星级</w:t>
            </w:r>
          </w:p>
        </w:tc>
        <w:tc>
          <w:tcPr>
            <w:tcW w:w="455" w:type="pct"/>
            <w:vMerge w:val="continue"/>
            <w:tcBorders>
              <w:top w:val="single" w:color="auto" w:sz="8" w:space="0"/>
              <w:left w:val="single" w:color="auto" w:sz="4" w:space="0"/>
              <w:bottom w:val="single" w:color="auto" w:sz="4" w:space="0"/>
              <w:right w:val="single" w:color="auto" w:sz="8"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74" w:type="pct"/>
            <w:vMerge w:val="restar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资源属性</w:t>
            </w:r>
          </w:p>
        </w:tc>
        <w:tc>
          <w:tcPr>
            <w:tcW w:w="1918" w:type="pct"/>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工业副产石膏使用率</w:t>
            </w:r>
          </w:p>
        </w:tc>
        <w:tc>
          <w:tcPr>
            <w:tcW w:w="3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75"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w:t>
            </w:r>
          </w:p>
        </w:tc>
        <w:tc>
          <w:tcPr>
            <w:tcW w:w="515"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55" w:type="pct"/>
            <w:tcBorders>
              <w:top w:val="nil"/>
              <w:left w:val="nil"/>
              <w:bottom w:val="single" w:color="auto" w:sz="4" w:space="0"/>
              <w:right w:val="single" w:color="auto" w:sz="8"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附录A.1</w:t>
            </w:r>
          </w:p>
        </w:tc>
      </w:tr>
      <w:tr>
        <w:tblPrEx>
          <w:tblCellMar>
            <w:top w:w="0" w:type="dxa"/>
            <w:left w:w="108" w:type="dxa"/>
            <w:bottom w:w="0" w:type="dxa"/>
            <w:right w:w="108" w:type="dxa"/>
          </w:tblCellMar>
        </w:tblPrEx>
        <w:trPr>
          <w:trHeight w:val="285" w:hRule="atLeast"/>
        </w:trPr>
        <w:tc>
          <w:tcPr>
            <w:tcW w:w="474" w:type="pct"/>
            <w:vMerge w:val="continue"/>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918" w:type="pct"/>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生产过程产生废弃物利用率</w:t>
            </w:r>
          </w:p>
        </w:tc>
        <w:tc>
          <w:tcPr>
            <w:tcW w:w="3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90"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55" w:type="pct"/>
            <w:tcBorders>
              <w:top w:val="nil"/>
              <w:left w:val="nil"/>
              <w:bottom w:val="single" w:color="auto" w:sz="4" w:space="0"/>
              <w:right w:val="single" w:color="auto" w:sz="8"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附录A.2</w:t>
            </w:r>
          </w:p>
        </w:tc>
      </w:tr>
      <w:tr>
        <w:tblPrEx>
          <w:tblCellMar>
            <w:top w:w="0" w:type="dxa"/>
            <w:left w:w="108" w:type="dxa"/>
            <w:bottom w:w="0" w:type="dxa"/>
            <w:right w:w="108" w:type="dxa"/>
          </w:tblCellMar>
        </w:tblPrEx>
        <w:trPr>
          <w:trHeight w:val="285" w:hRule="atLeast"/>
        </w:trPr>
        <w:tc>
          <w:tcPr>
            <w:tcW w:w="474" w:type="pct"/>
            <w:vMerge w:val="continue"/>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918" w:type="pct"/>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面密度（以12.0mm为基准）</w:t>
            </w:r>
          </w:p>
        </w:tc>
        <w:tc>
          <w:tcPr>
            <w:tcW w:w="3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kg/m</w:t>
            </w:r>
            <w:r>
              <w:rPr>
                <w:rFonts w:hint="eastAsia" w:ascii="宋体" w:hAnsi="宋体" w:cs="宋体"/>
                <w:color w:val="000000"/>
                <w:kern w:val="0"/>
                <w:sz w:val="18"/>
                <w:szCs w:val="18"/>
                <w:vertAlign w:val="superscript"/>
              </w:rPr>
              <w:t>2</w:t>
            </w:r>
          </w:p>
        </w:tc>
        <w:tc>
          <w:tcPr>
            <w:tcW w:w="1790"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w:t>
            </w:r>
          </w:p>
        </w:tc>
        <w:tc>
          <w:tcPr>
            <w:tcW w:w="455" w:type="pct"/>
            <w:tcBorders>
              <w:top w:val="nil"/>
              <w:left w:val="nil"/>
              <w:bottom w:val="single" w:color="auto" w:sz="4" w:space="0"/>
              <w:right w:val="single" w:color="auto" w:sz="8" w:space="0"/>
            </w:tcBorders>
            <w:shd w:val="clear" w:color="auto" w:fill="auto"/>
            <w:noWrap w:val="0"/>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TB</w:t>
            </w:r>
          </w:p>
        </w:tc>
      </w:tr>
      <w:tr>
        <w:tblPrEx>
          <w:tblCellMar>
            <w:top w:w="0" w:type="dxa"/>
            <w:left w:w="108" w:type="dxa"/>
            <w:bottom w:w="0" w:type="dxa"/>
            <w:right w:w="108" w:type="dxa"/>
          </w:tblCellMar>
        </w:tblPrEx>
        <w:trPr>
          <w:trHeight w:val="285" w:hRule="atLeast"/>
        </w:trPr>
        <w:tc>
          <w:tcPr>
            <w:tcW w:w="474" w:type="pct"/>
            <w:vMerge w:val="restar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能源属性</w:t>
            </w:r>
          </w:p>
        </w:tc>
        <w:tc>
          <w:tcPr>
            <w:tcW w:w="1918"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可比综合标准煤耗，M</w:t>
            </w:r>
            <w:r>
              <w:rPr>
                <w:rFonts w:hint="eastAsia" w:ascii="宋体" w:hAnsi="宋体" w:cs="宋体"/>
                <w:color w:val="000000"/>
                <w:kern w:val="0"/>
                <w:sz w:val="18"/>
                <w:szCs w:val="18"/>
                <w:vertAlign w:val="subscript"/>
              </w:rPr>
              <w:t>kc</w:t>
            </w:r>
            <w:r>
              <w:rPr>
                <w:rFonts w:hint="eastAsia" w:ascii="宋体" w:hAnsi="宋体" w:cs="宋体"/>
                <w:color w:val="000000"/>
                <w:kern w:val="0"/>
                <w:sz w:val="18"/>
                <w:szCs w:val="18"/>
              </w:rPr>
              <w:t>（以12.0mm为基准）</w:t>
            </w:r>
          </w:p>
        </w:tc>
        <w:tc>
          <w:tcPr>
            <w:tcW w:w="3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kg/m</w:t>
            </w:r>
            <w:r>
              <w:rPr>
                <w:rFonts w:hint="eastAsia" w:ascii="宋体" w:hAnsi="宋体" w:cs="宋体"/>
                <w:color w:val="000000"/>
                <w:kern w:val="0"/>
                <w:sz w:val="18"/>
                <w:szCs w:val="18"/>
                <w:vertAlign w:val="superscript"/>
              </w:rPr>
              <w:t>2</w:t>
            </w:r>
          </w:p>
        </w:tc>
        <w:tc>
          <w:tcPr>
            <w:tcW w:w="6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1.2≥M</w:t>
            </w:r>
            <w:r>
              <w:rPr>
                <w:rFonts w:hint="eastAsia" w:ascii="宋体" w:hAnsi="宋体" w:cs="宋体"/>
                <w:color w:val="000000"/>
                <w:kern w:val="0"/>
                <w:sz w:val="18"/>
                <w:szCs w:val="18"/>
                <w:vertAlign w:val="subscript"/>
              </w:rPr>
              <w:t>kc</w:t>
            </w:r>
            <w:r>
              <w:rPr>
                <w:rFonts w:hint="eastAsia" w:ascii="宋体" w:hAnsi="宋体" w:cs="宋体"/>
                <w:color w:val="000000"/>
                <w:kern w:val="0"/>
                <w:sz w:val="18"/>
                <w:szCs w:val="18"/>
              </w:rPr>
              <w:t>＞1.0</w:t>
            </w:r>
          </w:p>
        </w:tc>
        <w:tc>
          <w:tcPr>
            <w:tcW w:w="657"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r>
              <w:rPr>
                <w:rFonts w:hint="eastAsia" w:ascii="宋体" w:hAnsi="宋体" w:cs="宋体"/>
                <w:color w:val="000000"/>
                <w:kern w:val="0"/>
                <w:sz w:val="18"/>
                <w:szCs w:val="18"/>
                <w:vertAlign w:val="subscript"/>
              </w:rPr>
              <w:t>kc</w:t>
            </w:r>
            <w:r>
              <w:rPr>
                <w:rFonts w:hint="eastAsia" w:ascii="宋体" w:hAnsi="宋体" w:cs="宋体"/>
                <w:color w:val="000000"/>
                <w:kern w:val="0"/>
                <w:sz w:val="18"/>
                <w:szCs w:val="18"/>
              </w:rPr>
              <w:t>＞0.7</w:t>
            </w:r>
          </w:p>
        </w:tc>
        <w:tc>
          <w:tcPr>
            <w:tcW w:w="47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w:t>
            </w:r>
          </w:p>
        </w:tc>
        <w:tc>
          <w:tcPr>
            <w:tcW w:w="455" w:type="pct"/>
            <w:vMerge w:val="restart"/>
            <w:tcBorders>
              <w:top w:val="nil"/>
              <w:left w:val="single" w:color="auto" w:sz="4" w:space="0"/>
              <w:bottom w:val="single" w:color="000000" w:sz="4" w:space="0"/>
              <w:right w:val="single" w:color="auto" w:sz="8"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JC/T 523</w:t>
            </w:r>
          </w:p>
        </w:tc>
      </w:tr>
      <w:tr>
        <w:tblPrEx>
          <w:tblCellMar>
            <w:top w:w="0" w:type="dxa"/>
            <w:left w:w="108" w:type="dxa"/>
            <w:bottom w:w="0" w:type="dxa"/>
            <w:right w:w="108" w:type="dxa"/>
          </w:tblCellMar>
        </w:tblPrEx>
        <w:trPr>
          <w:trHeight w:val="300" w:hRule="atLeast"/>
        </w:trPr>
        <w:tc>
          <w:tcPr>
            <w:tcW w:w="474" w:type="pct"/>
            <w:vMerge w:val="continue"/>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918" w:type="pct"/>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可比综合电耗，D</w:t>
            </w:r>
            <w:r>
              <w:rPr>
                <w:rFonts w:hint="eastAsia" w:ascii="宋体" w:hAnsi="宋体" w:cs="宋体"/>
                <w:color w:val="000000"/>
                <w:kern w:val="0"/>
                <w:sz w:val="18"/>
                <w:szCs w:val="18"/>
                <w:vertAlign w:val="subscript"/>
              </w:rPr>
              <w:t>ke</w:t>
            </w:r>
            <w:r>
              <w:rPr>
                <w:rFonts w:hint="eastAsia" w:ascii="宋体" w:hAnsi="宋体" w:cs="宋体"/>
                <w:color w:val="000000"/>
                <w:kern w:val="0"/>
                <w:sz w:val="18"/>
                <w:szCs w:val="18"/>
              </w:rPr>
              <w:t>（以12.0mm为基准）</w:t>
            </w:r>
          </w:p>
        </w:tc>
        <w:tc>
          <w:tcPr>
            <w:tcW w:w="3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kWh/m</w:t>
            </w:r>
            <w:r>
              <w:rPr>
                <w:rFonts w:hint="eastAsia" w:ascii="宋体" w:hAnsi="宋体" w:cs="宋体"/>
                <w:color w:val="000000"/>
                <w:kern w:val="0"/>
                <w:sz w:val="18"/>
                <w:szCs w:val="18"/>
                <w:vertAlign w:val="superscript"/>
              </w:rPr>
              <w:t>2</w:t>
            </w:r>
          </w:p>
        </w:tc>
        <w:tc>
          <w:tcPr>
            <w:tcW w:w="6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1.0≥D</w:t>
            </w:r>
            <w:r>
              <w:rPr>
                <w:rFonts w:hint="eastAsia" w:ascii="宋体" w:hAnsi="宋体" w:cs="宋体"/>
                <w:color w:val="000000"/>
                <w:kern w:val="0"/>
                <w:sz w:val="18"/>
                <w:szCs w:val="18"/>
                <w:vertAlign w:val="subscript"/>
              </w:rPr>
              <w:t>ke</w:t>
            </w:r>
            <w:r>
              <w:rPr>
                <w:rFonts w:hint="eastAsia" w:ascii="宋体" w:hAnsi="宋体" w:cs="宋体"/>
                <w:color w:val="000000"/>
                <w:kern w:val="0"/>
                <w:sz w:val="18"/>
                <w:szCs w:val="18"/>
              </w:rPr>
              <w:t>＞0.7</w:t>
            </w:r>
          </w:p>
        </w:tc>
        <w:tc>
          <w:tcPr>
            <w:tcW w:w="657"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0.7≥D</w:t>
            </w:r>
            <w:r>
              <w:rPr>
                <w:rFonts w:hint="eastAsia" w:ascii="宋体" w:hAnsi="宋体" w:cs="宋体"/>
                <w:color w:val="000000"/>
                <w:kern w:val="0"/>
                <w:sz w:val="18"/>
                <w:szCs w:val="18"/>
                <w:vertAlign w:val="subscript"/>
              </w:rPr>
              <w:t>ke</w:t>
            </w:r>
            <w:r>
              <w:rPr>
                <w:rFonts w:hint="eastAsia" w:ascii="宋体" w:hAnsi="宋体" w:cs="宋体"/>
                <w:color w:val="000000"/>
                <w:kern w:val="0"/>
                <w:sz w:val="18"/>
                <w:szCs w:val="18"/>
              </w:rPr>
              <w:t>＞0.5</w:t>
            </w:r>
          </w:p>
        </w:tc>
        <w:tc>
          <w:tcPr>
            <w:tcW w:w="47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455" w:type="pct"/>
            <w:vMerge w:val="continue"/>
            <w:tcBorders>
              <w:top w:val="nil"/>
              <w:left w:val="single" w:color="auto" w:sz="4" w:space="0"/>
              <w:bottom w:val="single" w:color="000000" w:sz="4" w:space="0"/>
              <w:right w:val="single" w:color="auto" w:sz="8"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00" w:hRule="atLeast"/>
        </w:trPr>
        <w:tc>
          <w:tcPr>
            <w:tcW w:w="474" w:type="pct"/>
            <w:vMerge w:val="continue"/>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918" w:type="pct"/>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可比综合能耗，N</w:t>
            </w:r>
            <w:r>
              <w:rPr>
                <w:rFonts w:hint="eastAsia" w:ascii="宋体" w:hAnsi="宋体" w:cs="宋体"/>
                <w:color w:val="000000"/>
                <w:kern w:val="0"/>
                <w:sz w:val="18"/>
                <w:szCs w:val="18"/>
                <w:vertAlign w:val="subscript"/>
              </w:rPr>
              <w:t>kt</w:t>
            </w:r>
            <w:r>
              <w:rPr>
                <w:rFonts w:hint="eastAsia" w:ascii="宋体" w:hAnsi="宋体" w:cs="宋体"/>
                <w:color w:val="000000"/>
                <w:kern w:val="0"/>
                <w:sz w:val="18"/>
                <w:szCs w:val="18"/>
              </w:rPr>
              <w:t>（以12.0mm为基准）</w:t>
            </w:r>
          </w:p>
        </w:tc>
        <w:tc>
          <w:tcPr>
            <w:tcW w:w="3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kg/m</w:t>
            </w:r>
            <w:r>
              <w:rPr>
                <w:rFonts w:hint="eastAsia" w:ascii="宋体" w:hAnsi="宋体" w:cs="宋体"/>
                <w:color w:val="000000"/>
                <w:kern w:val="0"/>
                <w:sz w:val="18"/>
                <w:szCs w:val="18"/>
                <w:vertAlign w:val="superscript"/>
              </w:rPr>
              <w:t>2</w:t>
            </w:r>
          </w:p>
        </w:tc>
        <w:tc>
          <w:tcPr>
            <w:tcW w:w="6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1.3≥N</w:t>
            </w:r>
            <w:r>
              <w:rPr>
                <w:rFonts w:hint="eastAsia" w:ascii="宋体" w:hAnsi="宋体" w:cs="宋体"/>
                <w:color w:val="000000"/>
                <w:kern w:val="0"/>
                <w:sz w:val="18"/>
                <w:szCs w:val="18"/>
                <w:vertAlign w:val="subscript"/>
              </w:rPr>
              <w:t>kt</w:t>
            </w:r>
            <w:r>
              <w:rPr>
                <w:rFonts w:hint="eastAsia" w:ascii="宋体" w:hAnsi="宋体" w:cs="宋体"/>
                <w:color w:val="000000"/>
                <w:kern w:val="0"/>
                <w:sz w:val="18"/>
                <w:szCs w:val="18"/>
              </w:rPr>
              <w:t>＞1.1</w:t>
            </w:r>
          </w:p>
        </w:tc>
        <w:tc>
          <w:tcPr>
            <w:tcW w:w="657"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1.1≥N</w:t>
            </w:r>
            <w:r>
              <w:rPr>
                <w:rFonts w:hint="eastAsia" w:ascii="宋体" w:hAnsi="宋体" w:cs="宋体"/>
                <w:color w:val="000000"/>
                <w:kern w:val="0"/>
                <w:sz w:val="18"/>
                <w:szCs w:val="18"/>
                <w:vertAlign w:val="subscript"/>
              </w:rPr>
              <w:t>kt</w:t>
            </w:r>
            <w:r>
              <w:rPr>
                <w:rFonts w:hint="eastAsia" w:ascii="宋体" w:hAnsi="宋体" w:cs="宋体"/>
                <w:color w:val="000000"/>
                <w:kern w:val="0"/>
                <w:sz w:val="18"/>
                <w:szCs w:val="18"/>
              </w:rPr>
              <w:t>＞0.8</w:t>
            </w:r>
          </w:p>
        </w:tc>
        <w:tc>
          <w:tcPr>
            <w:tcW w:w="47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≤0.8</w:t>
            </w:r>
          </w:p>
        </w:tc>
        <w:tc>
          <w:tcPr>
            <w:tcW w:w="455" w:type="pct"/>
            <w:vMerge w:val="continue"/>
            <w:tcBorders>
              <w:top w:val="nil"/>
              <w:left w:val="single" w:color="auto" w:sz="4" w:space="0"/>
              <w:bottom w:val="single" w:color="000000" w:sz="4" w:space="0"/>
              <w:right w:val="single" w:color="auto" w:sz="8"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74" w:type="pct"/>
            <w:vMerge w:val="restar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环境属性</w:t>
            </w:r>
          </w:p>
        </w:tc>
        <w:tc>
          <w:tcPr>
            <w:tcW w:w="1918" w:type="pct"/>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单位产品废水排放量</w:t>
            </w:r>
          </w:p>
        </w:tc>
        <w:tc>
          <w:tcPr>
            <w:tcW w:w="3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kg/m</w:t>
            </w:r>
            <w:r>
              <w:rPr>
                <w:rFonts w:hint="eastAsia" w:ascii="宋体" w:hAnsi="宋体" w:cs="宋体"/>
                <w:color w:val="000000"/>
                <w:kern w:val="0"/>
                <w:sz w:val="18"/>
                <w:szCs w:val="18"/>
                <w:vertAlign w:val="superscript"/>
              </w:rPr>
              <w:t>2</w:t>
            </w:r>
          </w:p>
        </w:tc>
        <w:tc>
          <w:tcPr>
            <w:tcW w:w="1790"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455" w:type="pct"/>
            <w:tcBorders>
              <w:top w:val="nil"/>
              <w:left w:val="nil"/>
              <w:bottom w:val="single" w:color="auto" w:sz="4" w:space="0"/>
              <w:right w:val="single" w:color="auto" w:sz="8"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附录A.3</w:t>
            </w:r>
          </w:p>
        </w:tc>
      </w:tr>
      <w:tr>
        <w:tblPrEx>
          <w:tblCellMar>
            <w:top w:w="0" w:type="dxa"/>
            <w:left w:w="108" w:type="dxa"/>
            <w:bottom w:w="0" w:type="dxa"/>
            <w:right w:w="108" w:type="dxa"/>
          </w:tblCellMar>
        </w:tblPrEx>
        <w:trPr>
          <w:trHeight w:val="285" w:hRule="atLeast"/>
        </w:trPr>
        <w:tc>
          <w:tcPr>
            <w:tcW w:w="474" w:type="pct"/>
            <w:vMerge w:val="continue"/>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05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放射性核素限量</w:t>
            </w:r>
          </w:p>
        </w:tc>
        <w:tc>
          <w:tcPr>
            <w:tcW w:w="860"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I</w:t>
            </w:r>
            <w:r>
              <w:rPr>
                <w:rFonts w:hint="eastAsia" w:ascii="宋体" w:hAnsi="宋体" w:cs="宋体"/>
                <w:color w:val="000000"/>
                <w:kern w:val="0"/>
                <w:sz w:val="18"/>
                <w:szCs w:val="18"/>
                <w:vertAlign w:val="subscript"/>
              </w:rPr>
              <w:t>Ra</w:t>
            </w:r>
          </w:p>
        </w:tc>
        <w:tc>
          <w:tcPr>
            <w:tcW w:w="3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90"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w:t>
            </w:r>
          </w:p>
        </w:tc>
        <w:tc>
          <w:tcPr>
            <w:tcW w:w="455" w:type="pct"/>
            <w:vMerge w:val="restart"/>
            <w:tcBorders>
              <w:top w:val="nil"/>
              <w:left w:val="single" w:color="auto" w:sz="4" w:space="0"/>
              <w:bottom w:val="single" w:color="auto" w:sz="4" w:space="0"/>
              <w:right w:val="single" w:color="auto" w:sz="8"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GB 6566</w:t>
            </w:r>
          </w:p>
        </w:tc>
      </w:tr>
      <w:tr>
        <w:tblPrEx>
          <w:tblCellMar>
            <w:top w:w="0" w:type="dxa"/>
            <w:left w:w="108" w:type="dxa"/>
            <w:bottom w:w="0" w:type="dxa"/>
            <w:right w:w="108" w:type="dxa"/>
          </w:tblCellMar>
        </w:tblPrEx>
        <w:trPr>
          <w:trHeight w:val="285" w:hRule="atLeast"/>
        </w:trPr>
        <w:tc>
          <w:tcPr>
            <w:tcW w:w="474" w:type="pct"/>
            <w:vMerge w:val="continue"/>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05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860"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I</w:t>
            </w:r>
            <w:r>
              <w:rPr>
                <w:rFonts w:hint="eastAsia" w:ascii="宋体" w:hAnsi="宋体" w:cs="宋体"/>
                <w:color w:val="000000"/>
                <w:kern w:val="0"/>
                <w:sz w:val="18"/>
                <w:szCs w:val="18"/>
                <w:vertAlign w:val="subscript"/>
              </w:rPr>
              <w:t>r</w:t>
            </w:r>
          </w:p>
        </w:tc>
        <w:tc>
          <w:tcPr>
            <w:tcW w:w="3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90"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w:t>
            </w:r>
          </w:p>
        </w:tc>
        <w:tc>
          <w:tcPr>
            <w:tcW w:w="455" w:type="pct"/>
            <w:vMerge w:val="continue"/>
            <w:tcBorders>
              <w:top w:val="nil"/>
              <w:left w:val="single" w:color="auto" w:sz="4" w:space="0"/>
              <w:bottom w:val="single" w:color="auto" w:sz="4" w:space="0"/>
              <w:right w:val="single" w:color="auto" w:sz="8"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74" w:type="pct"/>
            <w:vMerge w:val="continue"/>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918" w:type="pct"/>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单位产品石棉含量</w:t>
            </w:r>
          </w:p>
        </w:tc>
        <w:tc>
          <w:tcPr>
            <w:tcW w:w="3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g/m</w:t>
            </w:r>
            <w:r>
              <w:rPr>
                <w:rFonts w:hint="eastAsia" w:ascii="宋体" w:hAnsi="宋体" w:cs="宋体"/>
                <w:color w:val="000000"/>
                <w:kern w:val="0"/>
                <w:sz w:val="18"/>
                <w:szCs w:val="18"/>
                <w:vertAlign w:val="superscript"/>
              </w:rPr>
              <w:t>2</w:t>
            </w:r>
          </w:p>
        </w:tc>
        <w:tc>
          <w:tcPr>
            <w:tcW w:w="1790"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455" w:type="pct"/>
            <w:vMerge w:val="restart"/>
            <w:tcBorders>
              <w:top w:val="nil"/>
              <w:left w:val="single" w:color="auto" w:sz="4" w:space="0"/>
              <w:bottom w:val="single" w:color="auto" w:sz="4" w:space="0"/>
              <w:right w:val="single" w:color="auto" w:sz="8"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HJ/T 223</w:t>
            </w:r>
          </w:p>
        </w:tc>
      </w:tr>
      <w:tr>
        <w:tblPrEx>
          <w:tblCellMar>
            <w:top w:w="0" w:type="dxa"/>
            <w:left w:w="108" w:type="dxa"/>
            <w:bottom w:w="0" w:type="dxa"/>
            <w:right w:w="108" w:type="dxa"/>
          </w:tblCellMar>
        </w:tblPrEx>
        <w:trPr>
          <w:trHeight w:val="285" w:hRule="atLeast"/>
        </w:trPr>
        <w:tc>
          <w:tcPr>
            <w:tcW w:w="474" w:type="pct"/>
            <w:vMerge w:val="continue"/>
            <w:tcBorders>
              <w:top w:val="nil"/>
              <w:left w:val="single" w:color="auto" w:sz="8"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918" w:type="pct"/>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发泡剂中含有的氟氯化碳类物质</w:t>
            </w:r>
          </w:p>
        </w:tc>
        <w:tc>
          <w:tcPr>
            <w:tcW w:w="3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g/kg</w:t>
            </w:r>
          </w:p>
        </w:tc>
        <w:tc>
          <w:tcPr>
            <w:tcW w:w="1790"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455" w:type="pct"/>
            <w:vMerge w:val="continue"/>
            <w:tcBorders>
              <w:top w:val="nil"/>
              <w:left w:val="single" w:color="auto" w:sz="4" w:space="0"/>
              <w:bottom w:val="single" w:color="auto" w:sz="4" w:space="0"/>
              <w:right w:val="single" w:color="auto" w:sz="8"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474" w:type="pct"/>
            <w:vMerge w:val="restart"/>
            <w:tcBorders>
              <w:top w:val="nil"/>
              <w:left w:val="single" w:color="auto" w:sz="8" w:space="0"/>
              <w:bottom w:val="single" w:color="000000" w:sz="8"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品质属性</w:t>
            </w:r>
          </w:p>
        </w:tc>
        <w:tc>
          <w:tcPr>
            <w:tcW w:w="1115" w:type="pct"/>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纵向断裂荷载平均值 ≥</w:t>
            </w:r>
          </w:p>
        </w:tc>
        <w:tc>
          <w:tcPr>
            <w:tcW w:w="802"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GFP 12.0mm</w:t>
            </w:r>
          </w:p>
        </w:tc>
        <w:tc>
          <w:tcPr>
            <w:tcW w:w="36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N</w:t>
            </w:r>
          </w:p>
        </w:tc>
        <w:tc>
          <w:tcPr>
            <w:tcW w:w="655"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700</w:t>
            </w:r>
          </w:p>
        </w:tc>
        <w:tc>
          <w:tcPr>
            <w:tcW w:w="620"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710</w:t>
            </w:r>
          </w:p>
        </w:tc>
        <w:tc>
          <w:tcPr>
            <w:tcW w:w="515"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730</w:t>
            </w:r>
          </w:p>
        </w:tc>
        <w:tc>
          <w:tcPr>
            <w:tcW w:w="455" w:type="pct"/>
            <w:vMerge w:val="restart"/>
            <w:tcBorders>
              <w:top w:val="nil"/>
              <w:left w:val="single" w:color="auto" w:sz="4" w:space="0"/>
              <w:bottom w:val="single" w:color="000000" w:sz="8" w:space="0"/>
              <w:right w:val="single" w:color="auto" w:sz="8" w:space="0"/>
            </w:tcBorders>
            <w:shd w:val="clear" w:color="auto" w:fill="auto"/>
            <w:noWrap w:val="0"/>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TB</w:t>
            </w:r>
          </w:p>
        </w:tc>
      </w:tr>
      <w:tr>
        <w:tblPrEx>
          <w:tblCellMar>
            <w:top w:w="0" w:type="dxa"/>
            <w:left w:w="108" w:type="dxa"/>
            <w:bottom w:w="0" w:type="dxa"/>
            <w:right w:w="108" w:type="dxa"/>
          </w:tblCellMar>
        </w:tblPrEx>
        <w:trPr>
          <w:trHeight w:val="285" w:hRule="atLeast"/>
        </w:trPr>
        <w:tc>
          <w:tcPr>
            <w:tcW w:w="474" w:type="pct"/>
            <w:vMerge w:val="continue"/>
            <w:tcBorders>
              <w:top w:val="nil"/>
              <w:left w:val="single" w:color="auto" w:sz="8" w:space="0"/>
              <w:bottom w:val="single" w:color="000000" w:sz="8"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115" w:type="pct"/>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802"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GFP 15.0mm</w:t>
            </w:r>
          </w:p>
        </w:tc>
        <w:tc>
          <w:tcPr>
            <w:tcW w:w="364"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655"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870</w:t>
            </w:r>
          </w:p>
        </w:tc>
        <w:tc>
          <w:tcPr>
            <w:tcW w:w="620"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880</w:t>
            </w:r>
          </w:p>
        </w:tc>
        <w:tc>
          <w:tcPr>
            <w:tcW w:w="515"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900</w:t>
            </w:r>
          </w:p>
        </w:tc>
        <w:tc>
          <w:tcPr>
            <w:tcW w:w="455" w:type="pct"/>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FF0000"/>
                <w:kern w:val="0"/>
                <w:sz w:val="18"/>
                <w:szCs w:val="18"/>
              </w:rPr>
            </w:pPr>
          </w:p>
        </w:tc>
      </w:tr>
      <w:tr>
        <w:tblPrEx>
          <w:tblCellMar>
            <w:top w:w="0" w:type="dxa"/>
            <w:left w:w="108" w:type="dxa"/>
            <w:bottom w:w="0" w:type="dxa"/>
            <w:right w:w="108" w:type="dxa"/>
          </w:tblCellMar>
        </w:tblPrEx>
        <w:trPr>
          <w:trHeight w:val="285" w:hRule="atLeast"/>
        </w:trPr>
        <w:tc>
          <w:tcPr>
            <w:tcW w:w="474" w:type="pct"/>
            <w:vMerge w:val="continue"/>
            <w:tcBorders>
              <w:top w:val="nil"/>
              <w:left w:val="single" w:color="auto" w:sz="8" w:space="0"/>
              <w:bottom w:val="single" w:color="000000" w:sz="8"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115" w:type="pct"/>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802"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GFG 12.5mm</w:t>
            </w:r>
          </w:p>
        </w:tc>
        <w:tc>
          <w:tcPr>
            <w:tcW w:w="364"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655"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800</w:t>
            </w:r>
          </w:p>
        </w:tc>
        <w:tc>
          <w:tcPr>
            <w:tcW w:w="620"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810</w:t>
            </w:r>
          </w:p>
        </w:tc>
        <w:tc>
          <w:tcPr>
            <w:tcW w:w="515"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830</w:t>
            </w:r>
          </w:p>
        </w:tc>
        <w:tc>
          <w:tcPr>
            <w:tcW w:w="455" w:type="pct"/>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FF0000"/>
                <w:kern w:val="0"/>
                <w:sz w:val="18"/>
                <w:szCs w:val="18"/>
              </w:rPr>
            </w:pPr>
          </w:p>
        </w:tc>
      </w:tr>
      <w:tr>
        <w:tblPrEx>
          <w:tblCellMar>
            <w:top w:w="0" w:type="dxa"/>
            <w:left w:w="108" w:type="dxa"/>
            <w:bottom w:w="0" w:type="dxa"/>
            <w:right w:w="108" w:type="dxa"/>
          </w:tblCellMar>
        </w:tblPrEx>
        <w:trPr>
          <w:trHeight w:val="285" w:hRule="atLeast"/>
        </w:trPr>
        <w:tc>
          <w:tcPr>
            <w:tcW w:w="474" w:type="pct"/>
            <w:vMerge w:val="continue"/>
            <w:tcBorders>
              <w:top w:val="nil"/>
              <w:left w:val="single" w:color="auto" w:sz="8" w:space="0"/>
              <w:bottom w:val="single" w:color="000000" w:sz="8"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115" w:type="pct"/>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802"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GFG 16.0mm</w:t>
            </w:r>
          </w:p>
        </w:tc>
        <w:tc>
          <w:tcPr>
            <w:tcW w:w="364"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655"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620"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1010</w:t>
            </w:r>
          </w:p>
        </w:tc>
        <w:tc>
          <w:tcPr>
            <w:tcW w:w="515"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1030</w:t>
            </w:r>
          </w:p>
        </w:tc>
        <w:tc>
          <w:tcPr>
            <w:tcW w:w="455" w:type="pct"/>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FF0000"/>
                <w:kern w:val="0"/>
                <w:sz w:val="18"/>
                <w:szCs w:val="18"/>
              </w:rPr>
            </w:pPr>
          </w:p>
        </w:tc>
      </w:tr>
      <w:tr>
        <w:tblPrEx>
          <w:tblCellMar>
            <w:top w:w="0" w:type="dxa"/>
            <w:left w:w="108" w:type="dxa"/>
            <w:bottom w:w="0" w:type="dxa"/>
            <w:right w:w="108" w:type="dxa"/>
          </w:tblCellMar>
        </w:tblPrEx>
        <w:trPr>
          <w:trHeight w:val="285" w:hRule="atLeast"/>
        </w:trPr>
        <w:tc>
          <w:tcPr>
            <w:tcW w:w="474" w:type="pct"/>
            <w:vMerge w:val="continue"/>
            <w:tcBorders>
              <w:top w:val="nil"/>
              <w:left w:val="single" w:color="auto" w:sz="8" w:space="0"/>
              <w:bottom w:val="single" w:color="000000" w:sz="8"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115" w:type="pct"/>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横向断裂荷载平均值 ≥</w:t>
            </w:r>
          </w:p>
        </w:tc>
        <w:tc>
          <w:tcPr>
            <w:tcW w:w="802"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GFP 12.0mm</w:t>
            </w:r>
          </w:p>
        </w:tc>
        <w:tc>
          <w:tcPr>
            <w:tcW w:w="364"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655"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620"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310</w:t>
            </w:r>
          </w:p>
        </w:tc>
        <w:tc>
          <w:tcPr>
            <w:tcW w:w="515"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330</w:t>
            </w:r>
          </w:p>
        </w:tc>
        <w:tc>
          <w:tcPr>
            <w:tcW w:w="455" w:type="pct"/>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FF0000"/>
                <w:kern w:val="0"/>
                <w:sz w:val="18"/>
                <w:szCs w:val="18"/>
              </w:rPr>
            </w:pPr>
          </w:p>
        </w:tc>
      </w:tr>
      <w:tr>
        <w:tblPrEx>
          <w:tblCellMar>
            <w:top w:w="0" w:type="dxa"/>
            <w:left w:w="108" w:type="dxa"/>
            <w:bottom w:w="0" w:type="dxa"/>
            <w:right w:w="108" w:type="dxa"/>
          </w:tblCellMar>
        </w:tblPrEx>
        <w:trPr>
          <w:trHeight w:val="285" w:hRule="atLeast"/>
        </w:trPr>
        <w:tc>
          <w:tcPr>
            <w:tcW w:w="474" w:type="pct"/>
            <w:vMerge w:val="continue"/>
            <w:tcBorders>
              <w:top w:val="nil"/>
              <w:left w:val="single" w:color="auto" w:sz="8" w:space="0"/>
              <w:bottom w:val="single" w:color="000000" w:sz="8"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115" w:type="pct"/>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802"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GFP 15.0mm</w:t>
            </w:r>
          </w:p>
        </w:tc>
        <w:tc>
          <w:tcPr>
            <w:tcW w:w="364"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655"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360</w:t>
            </w:r>
          </w:p>
        </w:tc>
        <w:tc>
          <w:tcPr>
            <w:tcW w:w="620"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370</w:t>
            </w:r>
          </w:p>
        </w:tc>
        <w:tc>
          <w:tcPr>
            <w:tcW w:w="515"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390</w:t>
            </w:r>
          </w:p>
        </w:tc>
        <w:tc>
          <w:tcPr>
            <w:tcW w:w="455" w:type="pct"/>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FF0000"/>
                <w:kern w:val="0"/>
                <w:sz w:val="18"/>
                <w:szCs w:val="18"/>
              </w:rPr>
            </w:pPr>
          </w:p>
        </w:tc>
      </w:tr>
      <w:tr>
        <w:tblPrEx>
          <w:tblCellMar>
            <w:top w:w="0" w:type="dxa"/>
            <w:left w:w="108" w:type="dxa"/>
            <w:bottom w:w="0" w:type="dxa"/>
            <w:right w:w="108" w:type="dxa"/>
          </w:tblCellMar>
        </w:tblPrEx>
        <w:trPr>
          <w:trHeight w:val="285" w:hRule="atLeast"/>
        </w:trPr>
        <w:tc>
          <w:tcPr>
            <w:tcW w:w="474" w:type="pct"/>
            <w:vMerge w:val="continue"/>
            <w:tcBorders>
              <w:top w:val="nil"/>
              <w:left w:val="single" w:color="auto" w:sz="8" w:space="0"/>
              <w:bottom w:val="single" w:color="000000" w:sz="8"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115" w:type="pct"/>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802"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GFG 12.5mm</w:t>
            </w:r>
          </w:p>
        </w:tc>
        <w:tc>
          <w:tcPr>
            <w:tcW w:w="364"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655"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400</w:t>
            </w:r>
          </w:p>
        </w:tc>
        <w:tc>
          <w:tcPr>
            <w:tcW w:w="620"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410</w:t>
            </w:r>
          </w:p>
        </w:tc>
        <w:tc>
          <w:tcPr>
            <w:tcW w:w="515"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430</w:t>
            </w:r>
          </w:p>
        </w:tc>
        <w:tc>
          <w:tcPr>
            <w:tcW w:w="455" w:type="pct"/>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FF0000"/>
                <w:kern w:val="0"/>
                <w:sz w:val="18"/>
                <w:szCs w:val="18"/>
              </w:rPr>
            </w:pPr>
          </w:p>
        </w:tc>
      </w:tr>
      <w:tr>
        <w:tblPrEx>
          <w:tblCellMar>
            <w:top w:w="0" w:type="dxa"/>
            <w:left w:w="108" w:type="dxa"/>
            <w:bottom w:w="0" w:type="dxa"/>
            <w:right w:w="108" w:type="dxa"/>
          </w:tblCellMar>
        </w:tblPrEx>
        <w:trPr>
          <w:trHeight w:val="285" w:hRule="atLeast"/>
        </w:trPr>
        <w:tc>
          <w:tcPr>
            <w:tcW w:w="474" w:type="pct"/>
            <w:vMerge w:val="continue"/>
            <w:tcBorders>
              <w:top w:val="nil"/>
              <w:left w:val="single" w:color="auto" w:sz="8" w:space="0"/>
              <w:bottom w:val="single" w:color="000000" w:sz="8"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115" w:type="pct"/>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802"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GFG 16.0mm</w:t>
            </w:r>
          </w:p>
        </w:tc>
        <w:tc>
          <w:tcPr>
            <w:tcW w:w="364"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655"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w:t>
            </w:r>
          </w:p>
        </w:tc>
        <w:tc>
          <w:tcPr>
            <w:tcW w:w="620"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510</w:t>
            </w:r>
          </w:p>
        </w:tc>
        <w:tc>
          <w:tcPr>
            <w:tcW w:w="515"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530</w:t>
            </w:r>
          </w:p>
        </w:tc>
        <w:tc>
          <w:tcPr>
            <w:tcW w:w="455" w:type="pct"/>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FF0000"/>
                <w:kern w:val="0"/>
                <w:sz w:val="18"/>
                <w:szCs w:val="18"/>
              </w:rPr>
            </w:pPr>
          </w:p>
        </w:tc>
      </w:tr>
      <w:tr>
        <w:tblPrEx>
          <w:tblCellMar>
            <w:top w:w="0" w:type="dxa"/>
            <w:left w:w="108" w:type="dxa"/>
            <w:bottom w:w="0" w:type="dxa"/>
            <w:right w:w="108" w:type="dxa"/>
          </w:tblCellMar>
        </w:tblPrEx>
        <w:trPr>
          <w:trHeight w:val="285" w:hRule="atLeast"/>
        </w:trPr>
        <w:tc>
          <w:tcPr>
            <w:tcW w:w="474" w:type="pct"/>
            <w:vMerge w:val="continue"/>
            <w:tcBorders>
              <w:top w:val="nil"/>
              <w:left w:val="single" w:color="auto" w:sz="8" w:space="0"/>
              <w:bottom w:val="single" w:color="000000" w:sz="8"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918" w:type="pct"/>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48h受潮挠度                     ≤</w:t>
            </w:r>
          </w:p>
        </w:tc>
        <w:tc>
          <w:tcPr>
            <w:tcW w:w="3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mm</w:t>
            </w:r>
          </w:p>
        </w:tc>
        <w:tc>
          <w:tcPr>
            <w:tcW w:w="1790"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55" w:type="pct"/>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FF0000"/>
                <w:kern w:val="0"/>
                <w:sz w:val="18"/>
                <w:szCs w:val="18"/>
              </w:rPr>
            </w:pPr>
          </w:p>
        </w:tc>
      </w:tr>
      <w:tr>
        <w:tblPrEx>
          <w:tblCellMar>
            <w:top w:w="0" w:type="dxa"/>
            <w:left w:w="108" w:type="dxa"/>
            <w:bottom w:w="0" w:type="dxa"/>
            <w:right w:w="108" w:type="dxa"/>
          </w:tblCellMar>
        </w:tblPrEx>
        <w:trPr>
          <w:trHeight w:val="285" w:hRule="atLeast"/>
        </w:trPr>
        <w:tc>
          <w:tcPr>
            <w:tcW w:w="474" w:type="pct"/>
            <w:vMerge w:val="continue"/>
            <w:tcBorders>
              <w:top w:val="nil"/>
              <w:left w:val="single" w:color="auto" w:sz="8" w:space="0"/>
              <w:bottom w:val="single" w:color="000000" w:sz="8"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115" w:type="pct"/>
            <w:gridSpan w:val="2"/>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剪切力            ≥</w:t>
            </w:r>
          </w:p>
        </w:tc>
        <w:tc>
          <w:tcPr>
            <w:tcW w:w="802"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12.0mm和12.5mm</w:t>
            </w:r>
          </w:p>
        </w:tc>
        <w:tc>
          <w:tcPr>
            <w:tcW w:w="36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N</w:t>
            </w:r>
          </w:p>
        </w:tc>
        <w:tc>
          <w:tcPr>
            <w:tcW w:w="655"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800</w:t>
            </w:r>
          </w:p>
        </w:tc>
        <w:tc>
          <w:tcPr>
            <w:tcW w:w="620"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810</w:t>
            </w:r>
          </w:p>
        </w:tc>
        <w:tc>
          <w:tcPr>
            <w:tcW w:w="515"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830</w:t>
            </w:r>
          </w:p>
        </w:tc>
        <w:tc>
          <w:tcPr>
            <w:tcW w:w="455" w:type="pct"/>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FF0000"/>
                <w:kern w:val="0"/>
                <w:sz w:val="18"/>
                <w:szCs w:val="18"/>
              </w:rPr>
            </w:pPr>
          </w:p>
        </w:tc>
      </w:tr>
      <w:tr>
        <w:tblPrEx>
          <w:tblCellMar>
            <w:top w:w="0" w:type="dxa"/>
            <w:left w:w="108" w:type="dxa"/>
            <w:bottom w:w="0" w:type="dxa"/>
            <w:right w:w="108" w:type="dxa"/>
          </w:tblCellMar>
        </w:tblPrEx>
        <w:trPr>
          <w:trHeight w:val="285" w:hRule="atLeast"/>
        </w:trPr>
        <w:tc>
          <w:tcPr>
            <w:tcW w:w="474" w:type="pct"/>
            <w:vMerge w:val="continue"/>
            <w:tcBorders>
              <w:top w:val="nil"/>
              <w:left w:val="single" w:color="auto" w:sz="8" w:space="0"/>
              <w:bottom w:val="single" w:color="000000" w:sz="8"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115" w:type="pct"/>
            <w:gridSpan w:val="2"/>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802"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15.0mm和16.0mm</w:t>
            </w:r>
          </w:p>
        </w:tc>
        <w:tc>
          <w:tcPr>
            <w:tcW w:w="364"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655"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620"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1010</w:t>
            </w:r>
          </w:p>
        </w:tc>
        <w:tc>
          <w:tcPr>
            <w:tcW w:w="515"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1030</w:t>
            </w:r>
          </w:p>
        </w:tc>
        <w:tc>
          <w:tcPr>
            <w:tcW w:w="455" w:type="pct"/>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FF0000"/>
                <w:kern w:val="0"/>
                <w:sz w:val="18"/>
                <w:szCs w:val="18"/>
              </w:rPr>
            </w:pPr>
          </w:p>
        </w:tc>
      </w:tr>
      <w:tr>
        <w:tblPrEx>
          <w:tblCellMar>
            <w:top w:w="0" w:type="dxa"/>
            <w:left w:w="108" w:type="dxa"/>
            <w:bottom w:w="0" w:type="dxa"/>
            <w:right w:w="108" w:type="dxa"/>
          </w:tblCellMar>
        </w:tblPrEx>
        <w:trPr>
          <w:trHeight w:val="285" w:hRule="atLeast"/>
        </w:trPr>
        <w:tc>
          <w:tcPr>
            <w:tcW w:w="474" w:type="pct"/>
            <w:vMerge w:val="continue"/>
            <w:tcBorders>
              <w:top w:val="nil"/>
              <w:left w:val="single" w:color="auto" w:sz="8" w:space="0"/>
              <w:bottom w:val="single" w:color="000000" w:sz="8"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918"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硬度                              ≥</w:t>
            </w:r>
          </w:p>
        </w:tc>
        <w:tc>
          <w:tcPr>
            <w:tcW w:w="3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N</w:t>
            </w:r>
          </w:p>
        </w:tc>
        <w:tc>
          <w:tcPr>
            <w:tcW w:w="1790" w:type="pct"/>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455" w:type="pct"/>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FF0000"/>
                <w:kern w:val="0"/>
                <w:sz w:val="18"/>
                <w:szCs w:val="18"/>
              </w:rPr>
            </w:pPr>
          </w:p>
        </w:tc>
      </w:tr>
      <w:tr>
        <w:tblPrEx>
          <w:tblCellMar>
            <w:top w:w="0" w:type="dxa"/>
            <w:left w:w="108" w:type="dxa"/>
            <w:bottom w:w="0" w:type="dxa"/>
            <w:right w:w="108" w:type="dxa"/>
          </w:tblCellMar>
        </w:tblPrEx>
        <w:trPr>
          <w:trHeight w:val="285" w:hRule="atLeast"/>
        </w:trPr>
        <w:tc>
          <w:tcPr>
            <w:tcW w:w="474" w:type="pct"/>
            <w:vMerge w:val="continue"/>
            <w:tcBorders>
              <w:top w:val="nil"/>
              <w:left w:val="single" w:color="auto" w:sz="8" w:space="0"/>
              <w:bottom w:val="single" w:color="000000" w:sz="8"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918"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遇火稳定性                        ≥</w:t>
            </w:r>
          </w:p>
        </w:tc>
        <w:tc>
          <w:tcPr>
            <w:tcW w:w="3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min</w:t>
            </w:r>
          </w:p>
        </w:tc>
        <w:tc>
          <w:tcPr>
            <w:tcW w:w="1790"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120</w:t>
            </w:r>
          </w:p>
        </w:tc>
        <w:tc>
          <w:tcPr>
            <w:tcW w:w="455" w:type="pct"/>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FF0000"/>
                <w:kern w:val="0"/>
                <w:sz w:val="18"/>
                <w:szCs w:val="18"/>
              </w:rPr>
            </w:pPr>
          </w:p>
        </w:tc>
      </w:tr>
      <w:tr>
        <w:tblPrEx>
          <w:tblCellMar>
            <w:top w:w="0" w:type="dxa"/>
            <w:left w:w="108" w:type="dxa"/>
            <w:bottom w:w="0" w:type="dxa"/>
            <w:right w:w="108" w:type="dxa"/>
          </w:tblCellMar>
        </w:tblPrEx>
        <w:trPr>
          <w:trHeight w:val="285" w:hRule="atLeast"/>
        </w:trPr>
        <w:tc>
          <w:tcPr>
            <w:tcW w:w="474" w:type="pct"/>
            <w:vMerge w:val="continue"/>
            <w:tcBorders>
              <w:top w:val="nil"/>
              <w:left w:val="single" w:color="auto" w:sz="8" w:space="0"/>
              <w:bottom w:val="single" w:color="000000" w:sz="8"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918"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吸水率                            ≤</w:t>
            </w:r>
          </w:p>
        </w:tc>
        <w:tc>
          <w:tcPr>
            <w:tcW w:w="3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20"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15"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455" w:type="pct"/>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FF0000"/>
                <w:kern w:val="0"/>
                <w:sz w:val="18"/>
                <w:szCs w:val="18"/>
              </w:rPr>
            </w:pPr>
          </w:p>
        </w:tc>
      </w:tr>
      <w:tr>
        <w:tblPrEx>
          <w:tblCellMar>
            <w:top w:w="0" w:type="dxa"/>
            <w:left w:w="108" w:type="dxa"/>
            <w:bottom w:w="0" w:type="dxa"/>
            <w:right w:w="108" w:type="dxa"/>
          </w:tblCellMar>
        </w:tblPrEx>
        <w:trPr>
          <w:trHeight w:val="285" w:hRule="atLeast"/>
        </w:trPr>
        <w:tc>
          <w:tcPr>
            <w:tcW w:w="474" w:type="pct"/>
            <w:vMerge w:val="continue"/>
            <w:tcBorders>
              <w:top w:val="nil"/>
              <w:left w:val="single" w:color="auto" w:sz="8" w:space="0"/>
              <w:bottom w:val="single" w:color="000000" w:sz="8"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918"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表面硬度                          ≤</w:t>
            </w:r>
          </w:p>
        </w:tc>
        <w:tc>
          <w:tcPr>
            <w:tcW w:w="3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mm</w:t>
            </w:r>
          </w:p>
        </w:tc>
        <w:tc>
          <w:tcPr>
            <w:tcW w:w="1790"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455" w:type="pct"/>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FF0000"/>
                <w:kern w:val="0"/>
                <w:sz w:val="18"/>
                <w:szCs w:val="18"/>
              </w:rPr>
            </w:pPr>
          </w:p>
        </w:tc>
      </w:tr>
      <w:tr>
        <w:tblPrEx>
          <w:tblCellMar>
            <w:top w:w="0" w:type="dxa"/>
            <w:left w:w="108" w:type="dxa"/>
            <w:bottom w:w="0" w:type="dxa"/>
            <w:right w:w="108" w:type="dxa"/>
          </w:tblCellMar>
        </w:tblPrEx>
        <w:trPr>
          <w:trHeight w:val="285" w:hRule="atLeast"/>
        </w:trPr>
        <w:tc>
          <w:tcPr>
            <w:tcW w:w="474" w:type="pct"/>
            <w:vMerge w:val="continue"/>
            <w:tcBorders>
              <w:top w:val="nil"/>
              <w:left w:val="single" w:color="auto" w:sz="8" w:space="0"/>
              <w:bottom w:val="single" w:color="000000" w:sz="8"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058" w:type="pct"/>
            <w:vMerge w:val="restart"/>
            <w:tcBorders>
              <w:top w:val="nil"/>
              <w:left w:val="single" w:color="auto" w:sz="4" w:space="0"/>
              <w:bottom w:val="single" w:color="000000" w:sz="8"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握螺钉力（垂直板面）</w:t>
            </w:r>
          </w:p>
        </w:tc>
        <w:tc>
          <w:tcPr>
            <w:tcW w:w="860"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GFP 12.0mm</w:t>
            </w:r>
          </w:p>
        </w:tc>
        <w:tc>
          <w:tcPr>
            <w:tcW w:w="364" w:type="pct"/>
            <w:vMerge w:val="restart"/>
            <w:tcBorders>
              <w:top w:val="nil"/>
              <w:left w:val="single" w:color="auto" w:sz="4" w:space="0"/>
              <w:bottom w:val="single" w:color="000000" w:sz="8"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N</w:t>
            </w:r>
          </w:p>
        </w:tc>
        <w:tc>
          <w:tcPr>
            <w:tcW w:w="6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400</w:t>
            </w:r>
          </w:p>
        </w:tc>
        <w:tc>
          <w:tcPr>
            <w:tcW w:w="6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410</w:t>
            </w:r>
          </w:p>
        </w:tc>
        <w:tc>
          <w:tcPr>
            <w:tcW w:w="51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430</w:t>
            </w:r>
          </w:p>
        </w:tc>
        <w:tc>
          <w:tcPr>
            <w:tcW w:w="455" w:type="pct"/>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FF0000"/>
                <w:kern w:val="0"/>
                <w:sz w:val="18"/>
                <w:szCs w:val="18"/>
              </w:rPr>
            </w:pPr>
          </w:p>
        </w:tc>
      </w:tr>
      <w:tr>
        <w:tblPrEx>
          <w:tblCellMar>
            <w:top w:w="0" w:type="dxa"/>
            <w:left w:w="108" w:type="dxa"/>
            <w:bottom w:w="0" w:type="dxa"/>
            <w:right w:w="108" w:type="dxa"/>
          </w:tblCellMar>
        </w:tblPrEx>
        <w:trPr>
          <w:trHeight w:val="285" w:hRule="atLeast"/>
        </w:trPr>
        <w:tc>
          <w:tcPr>
            <w:tcW w:w="474" w:type="pct"/>
            <w:vMerge w:val="continue"/>
            <w:tcBorders>
              <w:top w:val="nil"/>
              <w:left w:val="single" w:color="auto" w:sz="8" w:space="0"/>
              <w:bottom w:val="single" w:color="000000" w:sz="8"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058" w:type="pct"/>
            <w:vMerge w:val="continue"/>
            <w:tcBorders>
              <w:top w:val="nil"/>
              <w:left w:val="single" w:color="auto" w:sz="4" w:space="0"/>
              <w:bottom w:val="single" w:color="000000" w:sz="8"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860"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GFP 15.0mm</w:t>
            </w:r>
          </w:p>
        </w:tc>
        <w:tc>
          <w:tcPr>
            <w:tcW w:w="364" w:type="pct"/>
            <w:vMerge w:val="continue"/>
            <w:tcBorders>
              <w:top w:val="nil"/>
              <w:left w:val="single" w:color="auto" w:sz="4" w:space="0"/>
              <w:bottom w:val="single" w:color="000000" w:sz="8"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6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650</w:t>
            </w:r>
          </w:p>
        </w:tc>
        <w:tc>
          <w:tcPr>
            <w:tcW w:w="6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660</w:t>
            </w:r>
          </w:p>
        </w:tc>
        <w:tc>
          <w:tcPr>
            <w:tcW w:w="51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680</w:t>
            </w:r>
          </w:p>
        </w:tc>
        <w:tc>
          <w:tcPr>
            <w:tcW w:w="455" w:type="pct"/>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FF0000"/>
                <w:kern w:val="0"/>
                <w:sz w:val="18"/>
                <w:szCs w:val="18"/>
              </w:rPr>
            </w:pPr>
          </w:p>
        </w:tc>
      </w:tr>
      <w:tr>
        <w:tblPrEx>
          <w:tblCellMar>
            <w:top w:w="0" w:type="dxa"/>
            <w:left w:w="108" w:type="dxa"/>
            <w:bottom w:w="0" w:type="dxa"/>
            <w:right w:w="108" w:type="dxa"/>
          </w:tblCellMar>
        </w:tblPrEx>
        <w:trPr>
          <w:trHeight w:val="285" w:hRule="atLeast"/>
        </w:trPr>
        <w:tc>
          <w:tcPr>
            <w:tcW w:w="474" w:type="pct"/>
            <w:vMerge w:val="continue"/>
            <w:tcBorders>
              <w:top w:val="nil"/>
              <w:left w:val="single" w:color="auto" w:sz="8" w:space="0"/>
              <w:bottom w:val="single" w:color="000000" w:sz="8"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058" w:type="pct"/>
            <w:vMerge w:val="continue"/>
            <w:tcBorders>
              <w:top w:val="nil"/>
              <w:left w:val="single" w:color="auto" w:sz="4" w:space="0"/>
              <w:bottom w:val="single" w:color="000000" w:sz="8"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860"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GFG 12.5mm</w:t>
            </w:r>
          </w:p>
        </w:tc>
        <w:tc>
          <w:tcPr>
            <w:tcW w:w="364" w:type="pct"/>
            <w:vMerge w:val="continue"/>
            <w:tcBorders>
              <w:top w:val="nil"/>
              <w:left w:val="single" w:color="auto" w:sz="4" w:space="0"/>
              <w:bottom w:val="single" w:color="000000" w:sz="8"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65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350</w:t>
            </w:r>
          </w:p>
        </w:tc>
        <w:tc>
          <w:tcPr>
            <w:tcW w:w="62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360</w:t>
            </w:r>
          </w:p>
        </w:tc>
        <w:tc>
          <w:tcPr>
            <w:tcW w:w="51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380</w:t>
            </w:r>
          </w:p>
        </w:tc>
        <w:tc>
          <w:tcPr>
            <w:tcW w:w="455" w:type="pct"/>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FF0000"/>
                <w:kern w:val="0"/>
                <w:sz w:val="18"/>
                <w:szCs w:val="18"/>
              </w:rPr>
            </w:pPr>
          </w:p>
        </w:tc>
      </w:tr>
      <w:tr>
        <w:tblPrEx>
          <w:tblCellMar>
            <w:top w:w="0" w:type="dxa"/>
            <w:left w:w="108" w:type="dxa"/>
            <w:bottom w:w="0" w:type="dxa"/>
            <w:right w:w="108" w:type="dxa"/>
          </w:tblCellMar>
        </w:tblPrEx>
        <w:trPr>
          <w:trHeight w:val="300" w:hRule="atLeast"/>
        </w:trPr>
        <w:tc>
          <w:tcPr>
            <w:tcW w:w="474" w:type="pct"/>
            <w:vMerge w:val="continue"/>
            <w:tcBorders>
              <w:top w:val="nil"/>
              <w:left w:val="single" w:color="auto" w:sz="8" w:space="0"/>
              <w:bottom w:val="single" w:color="000000" w:sz="8"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1058" w:type="pct"/>
            <w:vMerge w:val="continue"/>
            <w:tcBorders>
              <w:top w:val="nil"/>
              <w:left w:val="single" w:color="auto" w:sz="4" w:space="0"/>
              <w:bottom w:val="single" w:color="000000" w:sz="8"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860" w:type="pct"/>
            <w:gridSpan w:val="2"/>
            <w:tcBorders>
              <w:top w:val="nil"/>
              <w:left w:val="nil"/>
              <w:bottom w:val="single" w:color="auto" w:sz="8" w:space="0"/>
              <w:right w:val="single" w:color="auto" w:sz="4" w:space="0"/>
            </w:tcBorders>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GFG 16.0mm</w:t>
            </w:r>
          </w:p>
        </w:tc>
        <w:tc>
          <w:tcPr>
            <w:tcW w:w="364" w:type="pct"/>
            <w:vMerge w:val="continue"/>
            <w:tcBorders>
              <w:top w:val="nil"/>
              <w:left w:val="single" w:color="auto" w:sz="4" w:space="0"/>
              <w:bottom w:val="single" w:color="000000" w:sz="8" w:space="0"/>
              <w:right w:val="single" w:color="auto" w:sz="4" w:space="0"/>
            </w:tcBorders>
            <w:shd w:val="clear" w:color="auto" w:fill="auto"/>
            <w:noWrap w:val="0"/>
            <w:vAlign w:val="center"/>
          </w:tcPr>
          <w:p>
            <w:pPr>
              <w:widowControl/>
              <w:jc w:val="left"/>
              <w:rPr>
                <w:rFonts w:ascii="宋体" w:hAnsi="宋体" w:cs="宋体"/>
                <w:color w:val="000000"/>
                <w:kern w:val="0"/>
                <w:sz w:val="18"/>
                <w:szCs w:val="18"/>
              </w:rPr>
            </w:pPr>
          </w:p>
        </w:tc>
        <w:tc>
          <w:tcPr>
            <w:tcW w:w="655" w:type="pct"/>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550</w:t>
            </w:r>
          </w:p>
        </w:tc>
        <w:tc>
          <w:tcPr>
            <w:tcW w:w="620" w:type="pct"/>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560</w:t>
            </w:r>
          </w:p>
        </w:tc>
        <w:tc>
          <w:tcPr>
            <w:tcW w:w="515" w:type="pct"/>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580</w:t>
            </w:r>
          </w:p>
        </w:tc>
        <w:tc>
          <w:tcPr>
            <w:tcW w:w="455" w:type="pct"/>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FF0000"/>
                <w:kern w:val="0"/>
                <w:sz w:val="18"/>
                <w:szCs w:val="18"/>
              </w:rPr>
            </w:pPr>
          </w:p>
        </w:tc>
      </w:tr>
    </w:tbl>
    <w:p>
      <w:pPr>
        <w:widowControl/>
        <w:tabs>
          <w:tab w:val="center" w:pos="4201"/>
          <w:tab w:val="right" w:leader="dot" w:pos="9298"/>
        </w:tabs>
        <w:autoSpaceDE w:val="0"/>
        <w:autoSpaceDN w:val="0"/>
        <w:rPr>
          <w:rFonts w:hint="eastAsia" w:ascii="宋体" w:hAnsi="宋体"/>
          <w:color w:val="000000"/>
          <w:kern w:val="0"/>
          <w:sz w:val="18"/>
          <w:szCs w:val="18"/>
        </w:rPr>
      </w:pPr>
    </w:p>
    <w:p>
      <w:pPr>
        <w:widowControl/>
        <w:tabs>
          <w:tab w:val="center" w:pos="4201"/>
          <w:tab w:val="right" w:leader="dot" w:pos="9298"/>
        </w:tabs>
        <w:autoSpaceDE w:val="0"/>
        <w:autoSpaceDN w:val="0"/>
        <w:spacing w:line="280" w:lineRule="exact"/>
        <w:ind w:firstLine="360" w:firstLineChars="200"/>
        <w:rPr>
          <w:rFonts w:hint="eastAsia" w:ascii="宋体" w:hAnsi="宋体"/>
          <w:color w:val="000000"/>
          <w:kern w:val="0"/>
          <w:sz w:val="18"/>
          <w:szCs w:val="18"/>
        </w:rPr>
      </w:pPr>
    </w:p>
    <w:p>
      <w:pPr>
        <w:widowControl/>
        <w:tabs>
          <w:tab w:val="center" w:pos="4201"/>
          <w:tab w:val="right" w:leader="dot" w:pos="9298"/>
        </w:tabs>
        <w:autoSpaceDE w:val="0"/>
        <w:autoSpaceDN w:val="0"/>
        <w:spacing w:line="280" w:lineRule="exact"/>
        <w:ind w:firstLine="360" w:firstLineChars="200"/>
        <w:rPr>
          <w:color w:val="000000"/>
          <w:kern w:val="0"/>
          <w:sz w:val="18"/>
          <w:szCs w:val="18"/>
        </w:rPr>
      </w:pPr>
      <w:r>
        <w:rPr>
          <w:rFonts w:hint="eastAsia" w:ascii="宋体" w:hAnsi="宋体"/>
          <w:color w:val="000000"/>
          <w:kern w:val="0"/>
          <w:sz w:val="18"/>
          <w:szCs w:val="18"/>
        </w:rPr>
        <w:t>注1：石膏基结构防火板厚度折算系数见附录B，面密度、可比综合标准煤耗、可比综合电耗和可比综合能耗等四项评价指标均应按照折算系数折算成12.0mm。</w:t>
      </w:r>
    </w:p>
    <w:p>
      <w:pPr>
        <w:widowControl/>
        <w:tabs>
          <w:tab w:val="center" w:pos="4201"/>
          <w:tab w:val="right" w:leader="dot" w:pos="9298"/>
        </w:tabs>
        <w:autoSpaceDE w:val="0"/>
        <w:autoSpaceDN w:val="0"/>
        <w:spacing w:line="280" w:lineRule="exact"/>
        <w:ind w:firstLine="360" w:firstLineChars="200"/>
        <w:rPr>
          <w:rFonts w:ascii="宋体" w:hAnsi="宋体"/>
          <w:color w:val="000000"/>
          <w:kern w:val="0"/>
          <w:sz w:val="18"/>
          <w:szCs w:val="18"/>
        </w:rPr>
      </w:pPr>
      <w:r>
        <w:rPr>
          <w:rFonts w:hint="eastAsia"/>
          <w:color w:val="000000"/>
          <w:kern w:val="0"/>
          <w:sz w:val="18"/>
          <w:szCs w:val="18"/>
        </w:rPr>
        <w:t>注2：</w:t>
      </w:r>
      <w:r>
        <w:rPr>
          <w:rFonts w:hint="eastAsia" w:ascii="宋体" w:hAnsi="宋体"/>
          <w:color w:val="000000"/>
          <w:kern w:val="0"/>
          <w:sz w:val="18"/>
          <w:szCs w:val="18"/>
        </w:rPr>
        <w:t>生产企业若外购建筑石膏做原料生产石膏基结构防火板，则可比综合标准煤耗、可比综合电耗和可比综合能耗应不大于表2中规定数值的55%；生产企业若以重油、柴油、天然气作燃料生产，应按照J</w:t>
      </w:r>
      <w:r>
        <w:rPr>
          <w:rFonts w:ascii="宋体" w:hAnsi="宋体"/>
          <w:color w:val="000000"/>
          <w:kern w:val="0"/>
          <w:sz w:val="18"/>
          <w:szCs w:val="18"/>
        </w:rPr>
        <w:t>C/T 523</w:t>
      </w:r>
      <w:r>
        <w:rPr>
          <w:rFonts w:hint="eastAsia" w:ascii="宋体" w:hAnsi="宋体"/>
          <w:color w:val="000000"/>
          <w:kern w:val="0"/>
          <w:sz w:val="18"/>
          <w:szCs w:val="18"/>
        </w:rPr>
        <w:t>进行折算，且可比综合能耗应不大于表2中规定数值的85%。</w:t>
      </w:r>
    </w:p>
    <w:bookmarkEnd w:id="92"/>
    <w:bookmarkEnd w:id="93"/>
    <w:bookmarkEnd w:id="94"/>
    <w:bookmarkEnd w:id="95"/>
    <w:bookmarkEnd w:id="96"/>
    <w:bookmarkEnd w:id="97"/>
    <w:bookmarkEnd w:id="98"/>
    <w:bookmarkEnd w:id="99"/>
    <w:p>
      <w:pPr>
        <w:pStyle w:val="40"/>
        <w:numPr>
          <w:ilvl w:val="0"/>
          <w:numId w:val="0"/>
        </w:numPr>
        <w:tabs>
          <w:tab w:val="right" w:pos="9354"/>
        </w:tabs>
        <w:spacing w:before="156" w:after="156"/>
        <w:rPr>
          <w:color w:val="000000"/>
        </w:rPr>
      </w:pPr>
      <w:r>
        <w:rPr>
          <w:rFonts w:hint="eastAsia"/>
          <w:color w:val="000000"/>
        </w:rPr>
        <w:t xml:space="preserve">5 </w:t>
      </w:r>
      <w:r>
        <w:rPr>
          <w:rFonts w:hint="eastAsia" w:hAnsi="黑体"/>
          <w:color w:val="000000"/>
        </w:rPr>
        <w:t>评价方法</w:t>
      </w:r>
    </w:p>
    <w:p>
      <w:pPr>
        <w:widowControl/>
        <w:tabs>
          <w:tab w:val="center" w:pos="4201"/>
          <w:tab w:val="right" w:leader="dot" w:pos="9298"/>
        </w:tabs>
        <w:autoSpaceDE w:val="0"/>
        <w:autoSpaceDN w:val="0"/>
        <w:rPr>
          <w:rFonts w:hint="eastAsia"/>
          <w:color w:val="000000"/>
          <w:kern w:val="0"/>
          <w:szCs w:val="20"/>
        </w:rPr>
      </w:pPr>
      <w:bookmarkStart w:id="100" w:name="_Toc350864010"/>
      <w:bookmarkStart w:id="101" w:name="_Toc360436771"/>
      <w:bookmarkStart w:id="102" w:name="_Toc384816571"/>
      <w:bookmarkStart w:id="103" w:name="_Toc360632449"/>
      <w:bookmarkStart w:id="104" w:name="_Toc360436858"/>
      <w:bookmarkStart w:id="105" w:name="_Toc396134056"/>
      <w:r>
        <w:rPr>
          <w:rFonts w:hint="eastAsia"/>
          <w:color w:val="000000"/>
        </w:rPr>
        <w:t>5</w:t>
      </w:r>
      <w:r>
        <w:rPr>
          <w:color w:val="000000"/>
        </w:rPr>
        <w:t>.</w:t>
      </w:r>
      <w:r>
        <w:rPr>
          <w:rFonts w:hint="eastAsia"/>
          <w:color w:val="000000"/>
        </w:rPr>
        <w:t xml:space="preserve">1 </w:t>
      </w:r>
      <w:r>
        <w:rPr>
          <w:color w:val="000000"/>
          <w:kern w:val="0"/>
          <w:szCs w:val="20"/>
        </w:rPr>
        <w:t>生产企业应按4.1的规定提供有效期内的第三方环境监测报告、管理体系认证证书、产品型式检验报告、</w:t>
      </w:r>
      <w:r>
        <w:rPr>
          <w:rFonts w:hint="eastAsia"/>
          <w:color w:val="000000"/>
          <w:kern w:val="0"/>
          <w:szCs w:val="20"/>
        </w:rPr>
        <w:t>安全生产标准化证书、EPD和碳足迹报告、</w:t>
      </w:r>
      <w:r>
        <w:rPr>
          <w:rFonts w:hint="eastAsia"/>
          <w:color w:val="000000"/>
        </w:rPr>
        <w:t>企业自我声明、</w:t>
      </w:r>
      <w:r>
        <w:rPr>
          <w:color w:val="000000"/>
          <w:kern w:val="0"/>
          <w:szCs w:val="20"/>
        </w:rPr>
        <w:t>应用技术文件（如企业标准、企业技术规程、施工应用指南、使用说明书等）等相关资料。</w:t>
      </w:r>
    </w:p>
    <w:p>
      <w:pPr>
        <w:widowControl/>
        <w:tabs>
          <w:tab w:val="center" w:pos="4201"/>
          <w:tab w:val="right" w:leader="dot" w:pos="9298"/>
        </w:tabs>
        <w:autoSpaceDE w:val="0"/>
        <w:autoSpaceDN w:val="0"/>
        <w:rPr>
          <w:color w:val="000000"/>
        </w:rPr>
      </w:pPr>
      <w:r>
        <w:rPr>
          <w:rFonts w:hint="eastAsia"/>
          <w:color w:val="000000"/>
        </w:rPr>
        <w:t xml:space="preserve">5.2 </w:t>
      </w:r>
      <w:r>
        <w:rPr>
          <w:color w:val="000000"/>
        </w:rPr>
        <w:t>资源属性中</w:t>
      </w:r>
      <w:r>
        <w:rPr>
          <w:rFonts w:hint="eastAsia"/>
          <w:color w:val="000000"/>
        </w:rPr>
        <w:t>工业副产石膏使用率、生产过程中固体废弃物利用率按照附录</w:t>
      </w:r>
      <w:r>
        <w:rPr>
          <w:color w:val="000000"/>
        </w:rPr>
        <w:t>A</w:t>
      </w:r>
      <w:r>
        <w:rPr>
          <w:rFonts w:hint="eastAsia"/>
          <w:color w:val="000000"/>
        </w:rPr>
        <w:t>的</w:t>
      </w:r>
      <w:r>
        <w:rPr>
          <w:color w:val="000000"/>
        </w:rPr>
        <w:t>规定进行。</w:t>
      </w:r>
    </w:p>
    <w:p>
      <w:pPr>
        <w:widowControl/>
        <w:tabs>
          <w:tab w:val="center" w:pos="4201"/>
          <w:tab w:val="right" w:leader="dot" w:pos="9298"/>
        </w:tabs>
        <w:autoSpaceDE w:val="0"/>
        <w:autoSpaceDN w:val="0"/>
        <w:rPr>
          <w:color w:val="000000"/>
        </w:rPr>
      </w:pPr>
      <w:r>
        <w:rPr>
          <w:rFonts w:hint="eastAsia"/>
          <w:color w:val="000000"/>
        </w:rPr>
        <w:t xml:space="preserve">5.3 </w:t>
      </w:r>
      <w:r>
        <w:rPr>
          <w:color w:val="000000"/>
        </w:rPr>
        <w:t>能源属性中</w:t>
      </w:r>
      <w:r>
        <w:rPr>
          <w:rFonts w:hint="eastAsia" w:hAnsi="宋体"/>
          <w:color w:val="000000"/>
          <w:kern w:val="0"/>
          <w:szCs w:val="21"/>
        </w:rPr>
        <w:t>可比综合标准煤耗、可比综合电耗和可比综合能耗按JC/T 523</w:t>
      </w:r>
      <w:r>
        <w:rPr>
          <w:color w:val="000000"/>
        </w:rPr>
        <w:t>的规定进行。</w:t>
      </w:r>
    </w:p>
    <w:p>
      <w:pPr>
        <w:widowControl/>
        <w:tabs>
          <w:tab w:val="center" w:pos="4201"/>
          <w:tab w:val="right" w:leader="dot" w:pos="9298"/>
        </w:tabs>
        <w:autoSpaceDE w:val="0"/>
        <w:autoSpaceDN w:val="0"/>
        <w:rPr>
          <w:rFonts w:hint="eastAsia"/>
          <w:color w:val="000000"/>
        </w:rPr>
      </w:pPr>
      <w:r>
        <w:rPr>
          <w:rFonts w:hint="eastAsia"/>
          <w:color w:val="000000"/>
        </w:rPr>
        <w:t xml:space="preserve">5.4 </w:t>
      </w:r>
      <w:r>
        <w:rPr>
          <w:color w:val="000000"/>
        </w:rPr>
        <w:t>环境属性中单位产品生产废水排放量</w:t>
      </w:r>
      <w:r>
        <w:rPr>
          <w:rFonts w:hint="eastAsia"/>
          <w:color w:val="000000"/>
        </w:rPr>
        <w:t>按附录A进行；</w:t>
      </w:r>
      <w:r>
        <w:rPr>
          <w:color w:val="000000"/>
        </w:rPr>
        <w:t>放射性核素限量应由生产企业提供近一年的</w:t>
      </w:r>
      <w:r>
        <w:rPr>
          <w:rFonts w:hint="eastAsia"/>
          <w:color w:val="000000"/>
        </w:rPr>
        <w:t>产品</w:t>
      </w:r>
      <w:r>
        <w:rPr>
          <w:color w:val="000000"/>
        </w:rPr>
        <w:t>检验报告或按GB 6566 的规定进行</w:t>
      </w:r>
      <w:r>
        <w:rPr>
          <w:rFonts w:hint="eastAsia"/>
          <w:color w:val="000000"/>
        </w:rPr>
        <w:t>；单位产品石棉含量、发泡剂中含有的氟氯化碳类物质应由生产企业提供近一年的产品检验报告或按HJ/T 223的规定进行。</w:t>
      </w:r>
    </w:p>
    <w:p>
      <w:pPr>
        <w:autoSpaceDE w:val="0"/>
        <w:autoSpaceDN w:val="0"/>
        <w:adjustRightInd w:val="0"/>
        <w:jc w:val="left"/>
        <w:rPr>
          <w:rFonts w:hint="eastAsia"/>
          <w:color w:val="000000"/>
        </w:rPr>
      </w:pPr>
      <w:r>
        <w:rPr>
          <w:rFonts w:hint="eastAsia"/>
          <w:color w:val="000000"/>
        </w:rPr>
        <w:t>5.5</w:t>
      </w:r>
      <w:r>
        <w:rPr>
          <w:color w:val="000000"/>
        </w:rPr>
        <w:t xml:space="preserve"> 品质属性中</w:t>
      </w:r>
      <w:r>
        <w:rPr>
          <w:rFonts w:hint="eastAsia"/>
          <w:color w:val="000000"/>
        </w:rPr>
        <w:t>纵/横向断裂荷载平均值、48h受潮挠度、剪切力、硬度、遇火稳定性、吸水率、表面硬度和握螺钉力（垂直于板面）</w:t>
      </w:r>
      <w:r>
        <w:rPr>
          <w:color w:val="000000"/>
        </w:rPr>
        <w:t>应由生产企业提供近一年的产品质量检验报告或</w:t>
      </w:r>
      <w:r>
        <w:rPr>
          <w:rFonts w:hint="eastAsia"/>
          <w:color w:val="000000"/>
        </w:rPr>
        <w:t>分别</w:t>
      </w:r>
      <w:r>
        <w:rPr>
          <w:color w:val="000000"/>
        </w:rPr>
        <w:t>按</w:t>
      </w:r>
      <w:bookmarkStart w:id="106" w:name="_Toc456611292"/>
      <w:bookmarkStart w:id="107" w:name="_Toc459106422"/>
      <w:bookmarkStart w:id="108" w:name="_Toc462063266"/>
      <w:r>
        <w:rPr>
          <w:rFonts w:hint="eastAsia"/>
          <w:color w:val="FF0000"/>
        </w:rPr>
        <w:t>TB</w:t>
      </w:r>
      <w:r>
        <w:rPr>
          <w:color w:val="000000"/>
        </w:rPr>
        <w:t>进行</w:t>
      </w:r>
      <w:r>
        <w:rPr>
          <w:rFonts w:hint="eastAsia"/>
          <w:color w:val="000000"/>
        </w:rPr>
        <w:t>检测。</w:t>
      </w:r>
    </w:p>
    <w:bookmarkEnd w:id="106"/>
    <w:bookmarkEnd w:id="107"/>
    <w:bookmarkEnd w:id="108"/>
    <w:p>
      <w:pPr>
        <w:autoSpaceDE w:val="0"/>
        <w:autoSpaceDN w:val="0"/>
        <w:adjustRightInd w:val="0"/>
        <w:jc w:val="left"/>
        <w:rPr>
          <w:color w:val="000000"/>
        </w:rPr>
      </w:pPr>
      <w:r>
        <w:rPr>
          <w:rFonts w:hint="eastAsia"/>
          <w:color w:val="000000"/>
        </w:rPr>
        <w:t>5.6 采用符合性评价，</w:t>
      </w:r>
      <w:r>
        <w:rPr>
          <w:rFonts w:hint="eastAsia" w:ascii="宋体" w:cs="宋体"/>
          <w:color w:val="000000"/>
          <w:kern w:val="0"/>
        </w:rPr>
        <w:t>生产企业满足4.1和4.2对某一评价等级的全部要求时，</w:t>
      </w:r>
      <w:r>
        <w:rPr>
          <w:rFonts w:hint="eastAsia"/>
          <w:color w:val="000000"/>
        </w:rPr>
        <w:t>判定评价结果</w:t>
      </w:r>
      <w:r>
        <w:rPr>
          <w:rFonts w:hint="eastAsia" w:ascii="宋体" w:cs="宋体"/>
          <w:color w:val="000000"/>
          <w:kern w:val="0"/>
        </w:rPr>
        <w:t>符合该等级规定。</w:t>
      </w:r>
    </w:p>
    <w:p>
      <w:pPr>
        <w:widowControl/>
        <w:tabs>
          <w:tab w:val="center" w:pos="4201"/>
          <w:tab w:val="right" w:leader="dot" w:pos="9298"/>
        </w:tabs>
        <w:autoSpaceDE w:val="0"/>
        <w:autoSpaceDN w:val="0"/>
        <w:rPr>
          <w:color w:val="000000"/>
          <w:kern w:val="0"/>
          <w:szCs w:val="20"/>
        </w:rPr>
        <w:sectPr>
          <w:pgSz w:w="11906" w:h="16838"/>
          <w:pgMar w:top="1402" w:right="1134" w:bottom="1134" w:left="1418" w:header="1418" w:footer="1134" w:gutter="0"/>
          <w:pgNumType w:start="1"/>
          <w:cols w:space="720" w:num="1"/>
          <w:formProt w:val="0"/>
          <w:docGrid w:type="lines" w:linePitch="312" w:charSpace="0"/>
        </w:sectPr>
      </w:pPr>
    </w:p>
    <w:bookmarkEnd w:id="100"/>
    <w:bookmarkEnd w:id="101"/>
    <w:bookmarkEnd w:id="102"/>
    <w:bookmarkEnd w:id="103"/>
    <w:bookmarkEnd w:id="104"/>
    <w:bookmarkEnd w:id="105"/>
    <w:p>
      <w:pPr>
        <w:pStyle w:val="43"/>
        <w:keepNext/>
        <w:keepLines w:val="0"/>
        <w:pageBreakBefore w:val="0"/>
        <w:widowControl/>
        <w:tabs>
          <w:tab w:val="clear" w:pos="360"/>
        </w:tabs>
        <w:kinsoku/>
        <w:wordWrap/>
        <w:overflowPunct/>
        <w:topLinePunct w:val="0"/>
        <w:autoSpaceDE/>
        <w:autoSpaceDN/>
        <w:bidi w:val="0"/>
        <w:adjustRightInd/>
        <w:snapToGrid/>
        <w:spacing w:before="20" w:after="20" w:line="360" w:lineRule="auto"/>
        <w:ind w:left="0" w:leftChars="0" w:firstLineChars="0"/>
        <w:jc w:val="center"/>
        <w:textAlignment w:val="auto"/>
        <w:rPr>
          <w:rFonts w:ascii="Times New Roman"/>
          <w:color w:val="000000"/>
        </w:rPr>
      </w:pPr>
      <w:bookmarkStart w:id="109" w:name="_Toc462063267"/>
      <w:bookmarkStart w:id="110" w:name="_Toc459106423"/>
      <w:bookmarkStart w:id="111" w:name="_Toc360436862"/>
      <w:bookmarkStart w:id="112" w:name="_Toc360436775"/>
      <w:bookmarkStart w:id="113" w:name="_Toc360632454"/>
      <w:bookmarkStart w:id="114" w:name="_Toc360632685"/>
      <w:bookmarkStart w:id="115" w:name="_Toc350864015"/>
      <w:r>
        <w:rPr>
          <w:rFonts w:ascii="Times New Roman"/>
          <w:color w:val="000000"/>
        </w:rPr>
        <w:br w:type="textWrapping"/>
      </w:r>
      <w:bookmarkStart w:id="116" w:name="_Toc456611293"/>
      <w:r>
        <w:rPr>
          <w:rFonts w:ascii="Times New Roman"/>
          <w:color w:val="000000"/>
        </w:rPr>
        <w:t>（规范性）</w:t>
      </w:r>
      <w:bookmarkEnd w:id="109"/>
      <w:bookmarkStart w:id="117" w:name="_Toc462063268"/>
    </w:p>
    <w:p>
      <w:pPr>
        <w:pStyle w:val="43"/>
        <w:keepNext/>
        <w:keepLines w:val="0"/>
        <w:pageBreakBefore w:val="0"/>
        <w:widowControl/>
        <w:numPr>
          <w:numId w:val="0"/>
        </w:numPr>
        <w:tabs>
          <w:tab w:val="clear" w:pos="360"/>
        </w:tabs>
        <w:kinsoku/>
        <w:wordWrap/>
        <w:overflowPunct/>
        <w:topLinePunct w:val="0"/>
        <w:autoSpaceDE/>
        <w:autoSpaceDN/>
        <w:bidi w:val="0"/>
        <w:adjustRightInd/>
        <w:snapToGrid/>
        <w:spacing w:before="20" w:after="20" w:line="360" w:lineRule="auto"/>
        <w:ind w:left="0"/>
        <w:jc w:val="center"/>
        <w:textAlignment w:val="auto"/>
        <w:rPr>
          <w:rFonts w:ascii="Times New Roman"/>
          <w:color w:val="000000"/>
        </w:rPr>
      </w:pPr>
      <w:r>
        <w:rPr>
          <w:rFonts w:ascii="Times New Roman"/>
          <w:color w:val="000000"/>
        </w:rPr>
        <w:t>计算方法</w:t>
      </w:r>
      <w:bookmarkEnd w:id="110"/>
      <w:bookmarkEnd w:id="116"/>
      <w:bookmarkEnd w:id="117"/>
    </w:p>
    <w:p>
      <w:pPr>
        <w:widowControl/>
        <w:wordWrap w:val="0"/>
        <w:overflowPunct w:val="0"/>
        <w:autoSpaceDE w:val="0"/>
        <w:spacing w:before="312" w:beforeLines="100" w:after="312" w:afterLines="100"/>
        <w:textAlignment w:val="baseline"/>
        <w:outlineLvl w:val="1"/>
        <w:rPr>
          <w:rFonts w:eastAsia="黑体"/>
          <w:color w:val="000000"/>
          <w:kern w:val="21"/>
          <w:szCs w:val="20"/>
        </w:rPr>
      </w:pPr>
      <w:bookmarkStart w:id="118" w:name="_Toc459106425"/>
      <w:bookmarkStart w:id="119" w:name="_Toc456611295"/>
      <w:r>
        <w:rPr>
          <w:rFonts w:hint="eastAsia"/>
          <w:color w:val="000000"/>
        </w:rPr>
        <w:t>A.1</w:t>
      </w:r>
      <w:r>
        <w:rPr>
          <w:rFonts w:hint="eastAsia" w:eastAsia="黑体"/>
          <w:color w:val="000000"/>
          <w:kern w:val="21"/>
          <w:szCs w:val="20"/>
        </w:rPr>
        <w:t>工业副产石膏使用率</w:t>
      </w:r>
    </w:p>
    <w:p>
      <w:pPr>
        <w:widowControl/>
        <w:tabs>
          <w:tab w:val="center" w:pos="4201"/>
          <w:tab w:val="right" w:leader="dot" w:pos="9298"/>
        </w:tabs>
        <w:autoSpaceDE w:val="0"/>
        <w:autoSpaceDN w:val="0"/>
        <w:ind w:firstLine="420" w:firstLineChars="200"/>
        <w:rPr>
          <w:color w:val="000000"/>
          <w:kern w:val="0"/>
          <w:szCs w:val="20"/>
        </w:rPr>
      </w:pPr>
      <w:r>
        <w:rPr>
          <w:rFonts w:hint="eastAsia"/>
          <w:color w:val="000000"/>
          <w:kern w:val="0"/>
          <w:szCs w:val="20"/>
        </w:rPr>
        <w:t>石膏基结构防火板使用的工业副产石膏占使用石膏总量的质量百分比，以1年为评价期进行计算。按式（</w:t>
      </w:r>
      <w:r>
        <w:rPr>
          <w:color w:val="000000"/>
          <w:kern w:val="0"/>
          <w:szCs w:val="20"/>
        </w:rPr>
        <w:t>A.1</w:t>
      </w:r>
      <w:r>
        <w:rPr>
          <w:rFonts w:hint="eastAsia"/>
          <w:color w:val="000000"/>
          <w:kern w:val="0"/>
          <w:szCs w:val="20"/>
        </w:rPr>
        <w:t>）计算：</w:t>
      </w:r>
    </w:p>
    <w:p>
      <w:pPr>
        <w:widowControl/>
        <w:tabs>
          <w:tab w:val="center" w:pos="4201"/>
          <w:tab w:val="right" w:leader="dot" w:pos="9298"/>
        </w:tabs>
        <w:autoSpaceDE w:val="0"/>
        <w:autoSpaceDN w:val="0"/>
        <w:jc w:val="center"/>
        <w:rPr>
          <w:color w:val="000000"/>
          <w:kern w:val="0"/>
          <w:szCs w:val="20"/>
        </w:rPr>
      </w:pPr>
      <w:r>
        <w:rPr>
          <w:color w:val="000000"/>
          <w:kern w:val="0"/>
          <w:position w:val="-30"/>
          <w:szCs w:val="20"/>
        </w:rPr>
        <w:tab/>
      </w:r>
      <w:r>
        <w:rPr>
          <w:color w:val="000000"/>
          <w:kern w:val="0"/>
          <w:position w:val="-30"/>
          <w:szCs w:val="20"/>
        </w:rPr>
        <w:drawing>
          <wp:inline distT="0" distB="0" distL="114300" distR="114300">
            <wp:extent cx="1028700" cy="447675"/>
            <wp:effectExtent l="0" t="0" r="0" b="825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1028700" cy="447675"/>
                    </a:xfrm>
                    <a:prstGeom prst="rect">
                      <a:avLst/>
                    </a:prstGeom>
                    <a:noFill/>
                    <a:ln>
                      <a:noFill/>
                    </a:ln>
                  </pic:spPr>
                </pic:pic>
              </a:graphicData>
            </a:graphic>
          </wp:inline>
        </w:drawing>
      </w:r>
      <w:r>
        <w:rPr>
          <w:color w:val="000000"/>
          <w:kern w:val="0"/>
          <w:szCs w:val="20"/>
        </w:rPr>
        <w:tab/>
      </w:r>
      <w:r>
        <w:rPr>
          <w:color w:val="000000"/>
          <w:kern w:val="0"/>
          <w:szCs w:val="20"/>
        </w:rPr>
        <w:t>(</w:t>
      </w:r>
      <w:r>
        <w:rPr>
          <w:rFonts w:hint="eastAsia"/>
          <w:color w:val="000000"/>
          <w:kern w:val="0"/>
          <w:szCs w:val="20"/>
        </w:rPr>
        <w:t>A</w:t>
      </w:r>
      <w:r>
        <w:rPr>
          <w:color w:val="000000"/>
          <w:kern w:val="0"/>
          <w:szCs w:val="20"/>
        </w:rPr>
        <w:t>.</w:t>
      </w:r>
      <w:r>
        <w:rPr>
          <w:color w:val="000000"/>
          <w:kern w:val="0"/>
          <w:szCs w:val="20"/>
        </w:rPr>
        <w:fldChar w:fldCharType="begin"/>
      </w:r>
      <w:r>
        <w:rPr>
          <w:color w:val="000000"/>
          <w:kern w:val="0"/>
          <w:szCs w:val="20"/>
        </w:rPr>
        <w:instrText xml:space="preserve"> seq </w:instrText>
      </w:r>
      <w:r>
        <w:rPr>
          <w:rFonts w:hint="eastAsia"/>
          <w:color w:val="000000"/>
          <w:kern w:val="0"/>
          <w:szCs w:val="20"/>
        </w:rPr>
        <w:instrText xml:space="preserve">附录公式</w:instrText>
      </w:r>
      <w:r>
        <w:rPr>
          <w:color w:val="000000"/>
          <w:kern w:val="0"/>
          <w:szCs w:val="20"/>
        </w:rPr>
        <w:instrText xml:space="preserve"> \r 1 </w:instrText>
      </w:r>
      <w:r>
        <w:rPr>
          <w:color w:val="000000"/>
          <w:kern w:val="0"/>
          <w:szCs w:val="20"/>
        </w:rPr>
        <w:fldChar w:fldCharType="separate"/>
      </w:r>
      <w:r>
        <w:rPr>
          <w:color w:val="000000"/>
          <w:kern w:val="0"/>
          <w:szCs w:val="20"/>
        </w:rPr>
        <w:t>1</w:t>
      </w:r>
      <w:r>
        <w:rPr>
          <w:color w:val="000000"/>
          <w:kern w:val="0"/>
          <w:szCs w:val="20"/>
        </w:rPr>
        <w:fldChar w:fldCharType="end"/>
      </w:r>
      <w:r>
        <w:rPr>
          <w:color w:val="000000"/>
          <w:kern w:val="0"/>
          <w:szCs w:val="20"/>
        </w:rPr>
        <w:t>)</w:t>
      </w:r>
    </w:p>
    <w:p>
      <w:pPr>
        <w:widowControl/>
        <w:tabs>
          <w:tab w:val="center" w:pos="4201"/>
          <w:tab w:val="right" w:leader="dot" w:pos="9298"/>
        </w:tabs>
        <w:autoSpaceDE w:val="0"/>
        <w:autoSpaceDN w:val="0"/>
        <w:ind w:firstLine="420" w:firstLineChars="200"/>
        <w:rPr>
          <w:color w:val="000000"/>
          <w:kern w:val="0"/>
          <w:szCs w:val="20"/>
        </w:rPr>
      </w:pPr>
      <w:r>
        <w:rPr>
          <w:rFonts w:hint="eastAsia"/>
          <w:color w:val="000000"/>
          <w:kern w:val="0"/>
          <w:szCs w:val="20"/>
        </w:rPr>
        <w:t>式中：</w:t>
      </w:r>
    </w:p>
    <w:p>
      <w:pPr>
        <w:widowControl/>
        <w:tabs>
          <w:tab w:val="center" w:pos="4201"/>
          <w:tab w:val="right" w:leader="dot" w:pos="9298"/>
        </w:tabs>
        <w:autoSpaceDE w:val="0"/>
        <w:autoSpaceDN w:val="0"/>
        <w:ind w:firstLine="420" w:firstLineChars="200"/>
        <w:rPr>
          <w:color w:val="000000"/>
          <w:kern w:val="0"/>
          <w:szCs w:val="20"/>
        </w:rPr>
      </w:pPr>
      <w:r>
        <w:rPr>
          <w:i/>
          <w:color w:val="000000"/>
          <w:kern w:val="0"/>
          <w:szCs w:val="20"/>
        </w:rPr>
        <w:t>P</w:t>
      </w:r>
      <w:r>
        <w:rPr>
          <w:i/>
          <w:color w:val="000000"/>
          <w:kern w:val="0"/>
          <w:szCs w:val="20"/>
          <w:vertAlign w:val="subscript"/>
        </w:rPr>
        <w:t>i</w:t>
      </w:r>
      <w:r>
        <w:rPr>
          <w:color w:val="000000"/>
          <w:kern w:val="0"/>
          <w:szCs w:val="20"/>
        </w:rPr>
        <w:t>——</w:t>
      </w:r>
      <w:r>
        <w:rPr>
          <w:rFonts w:hint="eastAsia"/>
          <w:color w:val="000000"/>
          <w:kern w:val="0"/>
          <w:szCs w:val="20"/>
        </w:rPr>
        <w:t>工业副产石膏使用率，％；</w:t>
      </w:r>
    </w:p>
    <w:p>
      <w:pPr>
        <w:widowControl/>
        <w:tabs>
          <w:tab w:val="center" w:pos="4201"/>
          <w:tab w:val="right" w:leader="dot" w:pos="9298"/>
        </w:tabs>
        <w:autoSpaceDE w:val="0"/>
        <w:autoSpaceDN w:val="0"/>
        <w:ind w:firstLine="420" w:firstLineChars="200"/>
        <w:rPr>
          <w:color w:val="000000"/>
          <w:kern w:val="0"/>
          <w:szCs w:val="20"/>
        </w:rPr>
      </w:pPr>
      <w:r>
        <w:rPr>
          <w:i/>
          <w:color w:val="000000"/>
          <w:kern w:val="0"/>
          <w:szCs w:val="20"/>
        </w:rPr>
        <w:t>M</w:t>
      </w:r>
      <w:r>
        <w:rPr>
          <w:i/>
          <w:color w:val="000000"/>
          <w:kern w:val="0"/>
          <w:szCs w:val="20"/>
          <w:vertAlign w:val="subscript"/>
        </w:rPr>
        <w:t>i</w:t>
      </w:r>
      <w:r>
        <w:rPr>
          <w:color w:val="000000"/>
          <w:kern w:val="0"/>
          <w:szCs w:val="20"/>
        </w:rPr>
        <w:t>——评价期内</w:t>
      </w:r>
      <w:r>
        <w:rPr>
          <w:rFonts w:hint="eastAsia"/>
          <w:color w:val="000000"/>
          <w:kern w:val="0"/>
          <w:szCs w:val="20"/>
        </w:rPr>
        <w:t>生产石膏基结构防火板使用的工业副产石膏量，单位为吨（</w:t>
      </w:r>
      <w:r>
        <w:rPr>
          <w:color w:val="000000"/>
          <w:kern w:val="0"/>
          <w:szCs w:val="20"/>
        </w:rPr>
        <w:t>t</w:t>
      </w:r>
      <w:r>
        <w:rPr>
          <w:rFonts w:hint="eastAsia"/>
          <w:color w:val="000000"/>
          <w:kern w:val="0"/>
          <w:szCs w:val="20"/>
        </w:rPr>
        <w:t>）；</w:t>
      </w:r>
    </w:p>
    <w:p>
      <w:pPr>
        <w:widowControl/>
        <w:tabs>
          <w:tab w:val="center" w:pos="4201"/>
          <w:tab w:val="right" w:leader="dot" w:pos="9298"/>
        </w:tabs>
        <w:autoSpaceDE w:val="0"/>
        <w:autoSpaceDN w:val="0"/>
        <w:ind w:firstLine="420" w:firstLineChars="200"/>
        <w:rPr>
          <w:color w:val="000000"/>
          <w:kern w:val="0"/>
          <w:szCs w:val="20"/>
        </w:rPr>
      </w:pPr>
      <w:r>
        <w:rPr>
          <w:i/>
          <w:color w:val="000000"/>
        </w:rPr>
        <w:t>M</w:t>
      </w:r>
      <w:r>
        <w:rPr>
          <w:i/>
          <w:color w:val="000000"/>
          <w:vertAlign w:val="subscript"/>
        </w:rPr>
        <w:t>c</w:t>
      </w:r>
      <w:r>
        <w:rPr>
          <w:color w:val="000000"/>
        </w:rPr>
        <w:t>——</w:t>
      </w:r>
      <w:r>
        <w:rPr>
          <w:rFonts w:hint="eastAsia"/>
          <w:color w:val="000000"/>
        </w:rPr>
        <w:t>评价期内生产石膏基结构防火板所使用的石膏总量，单位为吨（</w:t>
      </w:r>
      <w:r>
        <w:rPr>
          <w:color w:val="000000"/>
        </w:rPr>
        <w:t>t</w:t>
      </w:r>
      <w:r>
        <w:rPr>
          <w:rFonts w:hint="eastAsia"/>
          <w:color w:val="000000"/>
        </w:rPr>
        <w:t>）</w:t>
      </w:r>
    </w:p>
    <w:p>
      <w:pPr>
        <w:pStyle w:val="44"/>
        <w:spacing w:before="312" w:after="312"/>
        <w:ind w:left="-420" w:leftChars="0"/>
        <w:rPr>
          <w:rFonts w:ascii="Times New Roman"/>
          <w:color w:val="000000"/>
        </w:rPr>
      </w:pPr>
      <w:bookmarkStart w:id="120" w:name="_Hlk497567503"/>
      <w:r>
        <w:rPr>
          <w:rFonts w:hint="eastAsia" w:ascii="Times New Roman"/>
          <w:color w:val="000000"/>
        </w:rPr>
        <w:t>A.2</w:t>
      </w:r>
      <w:bookmarkEnd w:id="120"/>
      <w:r>
        <w:rPr>
          <w:rFonts w:hint="eastAsia" w:ascii="Times New Roman"/>
          <w:color w:val="000000"/>
        </w:rPr>
        <w:t>生产过程产生固体废弃物利用率</w:t>
      </w:r>
    </w:p>
    <w:p>
      <w:pPr>
        <w:pStyle w:val="33"/>
        <w:rPr>
          <w:rFonts w:ascii="Times New Roman"/>
          <w:color w:val="000000"/>
        </w:rPr>
      </w:pPr>
      <w:r>
        <w:rPr>
          <w:rFonts w:ascii="Times New Roman"/>
          <w:color w:val="000000"/>
        </w:rPr>
        <w:t>生产过程中</w:t>
      </w:r>
      <w:r>
        <w:rPr>
          <w:rFonts w:hint="eastAsia" w:ascii="Times New Roman"/>
          <w:color w:val="000000"/>
        </w:rPr>
        <w:t>产生固体废弃物利用率</w:t>
      </w:r>
      <w:r>
        <w:rPr>
          <w:rFonts w:ascii="Times New Roman"/>
          <w:color w:val="000000"/>
        </w:rPr>
        <w:t>，</w:t>
      </w:r>
      <w:r>
        <w:rPr>
          <w:rFonts w:hint="eastAsia" w:ascii="Times New Roman"/>
          <w:color w:val="000000"/>
        </w:rPr>
        <w:t>以</w:t>
      </w:r>
      <w:r>
        <w:rPr>
          <w:rFonts w:ascii="Times New Roman"/>
          <w:color w:val="000000"/>
        </w:rPr>
        <w:t>1年</w:t>
      </w:r>
      <w:r>
        <w:rPr>
          <w:rFonts w:hint="eastAsia" w:ascii="Times New Roman"/>
          <w:color w:val="000000"/>
        </w:rPr>
        <w:t>生产</w:t>
      </w:r>
      <w:r>
        <w:rPr>
          <w:rFonts w:ascii="Times New Roman"/>
          <w:color w:val="000000"/>
        </w:rPr>
        <w:t>为</w:t>
      </w:r>
      <w:r>
        <w:rPr>
          <w:rFonts w:hint="eastAsia" w:ascii="Times New Roman"/>
          <w:color w:val="000000"/>
        </w:rPr>
        <w:t>周</w:t>
      </w:r>
      <w:r>
        <w:rPr>
          <w:rFonts w:ascii="Times New Roman"/>
          <w:color w:val="000000"/>
        </w:rPr>
        <w:t>期</w:t>
      </w:r>
      <w:r>
        <w:rPr>
          <w:rFonts w:hint="eastAsia" w:ascii="Times New Roman"/>
          <w:color w:val="000000"/>
        </w:rPr>
        <w:t>进行</w:t>
      </w:r>
      <w:r>
        <w:rPr>
          <w:rFonts w:ascii="Times New Roman"/>
          <w:color w:val="000000"/>
        </w:rPr>
        <w:t>计算。按公式（A.</w:t>
      </w:r>
      <w:r>
        <w:rPr>
          <w:rFonts w:hint="eastAsia" w:ascii="Times New Roman"/>
          <w:color w:val="000000"/>
        </w:rPr>
        <w:t>2</w:t>
      </w:r>
      <w:r>
        <w:rPr>
          <w:rFonts w:ascii="Times New Roman"/>
          <w:color w:val="000000"/>
        </w:rPr>
        <w:t>）计算：</w:t>
      </w:r>
    </w:p>
    <w:p>
      <w:pPr>
        <w:pStyle w:val="48"/>
        <w:rPr>
          <w:rFonts w:ascii="Times New Roman"/>
          <w:color w:val="000000"/>
        </w:rPr>
      </w:pPr>
      <w:r>
        <w:rPr>
          <w:rFonts w:ascii="Times New Roman"/>
          <w:color w:val="000000"/>
        </w:rPr>
        <w:tab/>
      </w:r>
      <w:r>
        <w:rPr>
          <w:rFonts w:ascii="Times New Roman"/>
          <w:color w:val="000000"/>
          <w:position w:val="-30"/>
        </w:rPr>
        <w:object>
          <v:shape id="_x0000_i1026" o:spt="75" alt="" type="#_x0000_t75" style="height:36.75pt;width:84pt;" o:ole="t" filled="f" o:preferrelative="t" stroked="f" coordsize="21600,21600">
            <v:path/>
            <v:fill on="f" focussize="0,0"/>
            <v:stroke on="f"/>
            <v:imagedata r:id="rId7" o:title=""/>
            <o:lock v:ext="edit" aspectratio="t"/>
            <w10:wrap type="none"/>
            <w10:anchorlock/>
          </v:shape>
          <o:OLEObject Type="Embed" ProgID="Equation.3" ShapeID="_x0000_i1026" DrawAspect="Content" ObjectID="_1468075725" r:id="rId6">
            <o:LockedField>false</o:LockedField>
          </o:OLEObject>
        </w:object>
      </w:r>
      <w:r>
        <w:rPr>
          <w:rFonts w:ascii="Times New Roman"/>
          <w:color w:val="000000"/>
        </w:rPr>
        <w:tab/>
      </w:r>
      <w:r>
        <w:rPr>
          <w:rFonts w:ascii="Times New Roman"/>
          <w:color w:val="000000"/>
        </w:rPr>
        <w:t>(</w:t>
      </w:r>
      <w:r>
        <w:rPr>
          <w:rFonts w:hint="eastAsia" w:ascii="Times New Roman"/>
          <w:color w:val="000000"/>
        </w:rPr>
        <w:t>A</w:t>
      </w:r>
      <w:r>
        <w:rPr>
          <w:rFonts w:ascii="Times New Roman"/>
          <w:color w:val="000000"/>
        </w:rPr>
        <w:t>.</w:t>
      </w:r>
      <w:r>
        <w:rPr>
          <w:rFonts w:hint="eastAsia" w:ascii="Times New Roman"/>
          <w:color w:val="000000"/>
        </w:rPr>
        <w:t>2</w:t>
      </w:r>
      <w:r>
        <w:rPr>
          <w:rFonts w:ascii="Times New Roman"/>
          <w:color w:val="000000"/>
        </w:rPr>
        <w:t>)</w:t>
      </w:r>
    </w:p>
    <w:p>
      <w:pPr>
        <w:pStyle w:val="33"/>
        <w:rPr>
          <w:rFonts w:ascii="Times New Roman"/>
          <w:color w:val="000000"/>
        </w:rPr>
      </w:pPr>
      <w:r>
        <w:rPr>
          <w:rFonts w:ascii="Times New Roman"/>
          <w:color w:val="000000"/>
        </w:rPr>
        <w:t>式中：</w:t>
      </w:r>
    </w:p>
    <w:p>
      <w:pPr>
        <w:pStyle w:val="33"/>
        <w:rPr>
          <w:rFonts w:ascii="Times New Roman"/>
          <w:color w:val="000000"/>
        </w:rPr>
      </w:pPr>
      <w:r>
        <w:rPr>
          <w:rFonts w:hint="eastAsia" w:ascii="Times New Roman"/>
          <w:i/>
          <w:color w:val="000000"/>
        </w:rPr>
        <w:t>M</w:t>
      </w:r>
      <w:r>
        <w:rPr>
          <w:rFonts w:ascii="Times New Roman"/>
          <w:i/>
          <w:color w:val="000000"/>
          <w:vertAlign w:val="subscript"/>
        </w:rPr>
        <w:t>j</w:t>
      </w:r>
      <w:r>
        <w:rPr>
          <w:rFonts w:ascii="Times New Roman"/>
          <w:i/>
          <w:color w:val="000000"/>
        </w:rPr>
        <w:t xml:space="preserve"> </w:t>
      </w:r>
      <w:r>
        <w:rPr>
          <w:rFonts w:ascii="Times New Roman"/>
          <w:color w:val="000000"/>
        </w:rPr>
        <w:t>——</w:t>
      </w:r>
      <w:r>
        <w:rPr>
          <w:rFonts w:hint="eastAsia" w:ascii="Times New Roman"/>
          <w:color w:val="000000"/>
        </w:rPr>
        <w:t>评价期内回收再利用的固体废弃物量</w:t>
      </w:r>
      <w:r>
        <w:rPr>
          <w:rFonts w:ascii="Times New Roman"/>
          <w:color w:val="000000"/>
        </w:rPr>
        <w:t>，单位为</w:t>
      </w:r>
      <w:r>
        <w:rPr>
          <w:rFonts w:hint="eastAsia" w:ascii="Times New Roman"/>
          <w:color w:val="000000"/>
        </w:rPr>
        <w:t>吨</w:t>
      </w:r>
      <w:r>
        <w:rPr>
          <w:rFonts w:ascii="Times New Roman"/>
          <w:color w:val="000000"/>
        </w:rPr>
        <w:t>（</w:t>
      </w:r>
      <w:r>
        <w:rPr>
          <w:rFonts w:hint="eastAsia" w:ascii="Times New Roman"/>
          <w:color w:val="000000"/>
        </w:rPr>
        <w:t>t</w:t>
      </w:r>
      <w:r>
        <w:rPr>
          <w:rFonts w:ascii="Times New Roman"/>
          <w:color w:val="000000"/>
        </w:rPr>
        <w:t>）；</w:t>
      </w:r>
    </w:p>
    <w:p>
      <w:pPr>
        <w:pStyle w:val="33"/>
        <w:rPr>
          <w:rFonts w:ascii="Times New Roman"/>
          <w:color w:val="000000"/>
        </w:rPr>
      </w:pPr>
      <w:r>
        <w:rPr>
          <w:rFonts w:hint="eastAsia" w:ascii="Times New Roman"/>
          <w:i/>
          <w:color w:val="000000"/>
        </w:rPr>
        <w:t>M</w:t>
      </w:r>
      <w:r>
        <w:rPr>
          <w:rFonts w:hint="eastAsia" w:ascii="Times New Roman"/>
          <w:i/>
          <w:color w:val="000000"/>
          <w:vertAlign w:val="subscript"/>
        </w:rPr>
        <w:t>c</w:t>
      </w:r>
      <w:r>
        <w:rPr>
          <w:rFonts w:ascii="Times New Roman"/>
          <w:color w:val="000000"/>
        </w:rPr>
        <w:t xml:space="preserve"> ——评价期</w:t>
      </w:r>
      <w:r>
        <w:rPr>
          <w:rFonts w:hint="eastAsia" w:ascii="Times New Roman"/>
          <w:color w:val="000000"/>
        </w:rPr>
        <w:t>内生产产生的固体废弃物总</w:t>
      </w:r>
      <w:r>
        <w:rPr>
          <w:rFonts w:ascii="Times New Roman"/>
          <w:color w:val="000000"/>
        </w:rPr>
        <w:t>量，单位为</w:t>
      </w:r>
      <w:r>
        <w:rPr>
          <w:rFonts w:hint="eastAsia" w:ascii="Times New Roman"/>
          <w:color w:val="000000"/>
        </w:rPr>
        <w:t>吨</w:t>
      </w:r>
      <w:r>
        <w:rPr>
          <w:rFonts w:ascii="Times New Roman"/>
          <w:color w:val="000000"/>
        </w:rPr>
        <w:t>（</w:t>
      </w:r>
      <w:r>
        <w:rPr>
          <w:rFonts w:hint="eastAsia" w:ascii="Times New Roman"/>
          <w:color w:val="000000"/>
        </w:rPr>
        <w:t>t</w:t>
      </w:r>
      <w:r>
        <w:rPr>
          <w:rFonts w:ascii="Times New Roman"/>
          <w:color w:val="000000"/>
        </w:rPr>
        <w:t>）；</w:t>
      </w:r>
    </w:p>
    <w:p>
      <w:pPr>
        <w:pStyle w:val="33"/>
        <w:rPr>
          <w:rFonts w:ascii="Times New Roman"/>
          <w:color w:val="000000"/>
        </w:rPr>
      </w:pPr>
      <w:r>
        <w:rPr>
          <w:rFonts w:ascii="Times New Roman"/>
          <w:i/>
          <w:color w:val="000000"/>
        </w:rPr>
        <w:t>P</w:t>
      </w:r>
      <w:r>
        <w:rPr>
          <w:rFonts w:ascii="Times New Roman"/>
          <w:i/>
          <w:color w:val="000000"/>
          <w:vertAlign w:val="subscript"/>
        </w:rPr>
        <w:t>j</w:t>
      </w:r>
      <w:r>
        <w:rPr>
          <w:rFonts w:ascii="Times New Roman"/>
          <w:color w:val="000000"/>
        </w:rPr>
        <w:t xml:space="preserve"> ——</w:t>
      </w:r>
      <w:r>
        <w:rPr>
          <w:rFonts w:hint="eastAsia" w:ascii="Times New Roman"/>
          <w:color w:val="000000"/>
        </w:rPr>
        <w:t>生产过程产生固体废弃物利用率，%。</w:t>
      </w:r>
    </w:p>
    <w:bookmarkEnd w:id="118"/>
    <w:bookmarkEnd w:id="119"/>
    <w:p>
      <w:pPr>
        <w:pStyle w:val="44"/>
        <w:spacing w:before="312" w:after="312"/>
        <w:ind w:left="-420" w:leftChars="0"/>
        <w:rPr>
          <w:rFonts w:ascii="Times New Roman"/>
          <w:color w:val="000000"/>
        </w:rPr>
      </w:pPr>
      <w:bookmarkStart w:id="121" w:name="_Toc459106426"/>
      <w:bookmarkStart w:id="122" w:name="_Toc456611296"/>
      <w:r>
        <w:rPr>
          <w:rFonts w:ascii="Times New Roman"/>
          <w:color w:val="000000"/>
          <w:kern w:val="0"/>
        </w:rPr>
        <w:t>A.</w:t>
      </w:r>
      <w:r>
        <w:rPr>
          <w:rFonts w:hint="eastAsia" w:ascii="Times New Roman"/>
          <w:color w:val="000000"/>
          <w:kern w:val="0"/>
        </w:rPr>
        <w:t>3</w:t>
      </w:r>
      <w:bookmarkEnd w:id="121"/>
      <w:bookmarkEnd w:id="122"/>
      <w:r>
        <w:rPr>
          <w:rFonts w:ascii="Times New Roman"/>
          <w:color w:val="000000"/>
        </w:rPr>
        <w:t>单位产品废水排放量</w:t>
      </w:r>
    </w:p>
    <w:p>
      <w:pPr>
        <w:pStyle w:val="33"/>
        <w:rPr>
          <w:rFonts w:ascii="Times New Roman"/>
          <w:color w:val="000000"/>
        </w:rPr>
      </w:pPr>
      <w:r>
        <w:rPr>
          <w:rFonts w:ascii="Times New Roman"/>
          <w:color w:val="000000"/>
        </w:rPr>
        <w:t>生产过程中废水排放量，按照1年生产为周期计算。每生产1m</w:t>
      </w:r>
      <w:r>
        <w:rPr>
          <w:rFonts w:hint="eastAsia" w:ascii="Times New Roman"/>
          <w:color w:val="000000"/>
          <w:vertAlign w:val="superscript"/>
        </w:rPr>
        <w:t>2</w:t>
      </w:r>
      <w:r>
        <w:rPr>
          <w:rFonts w:hint="eastAsia" w:ascii="Times New Roman"/>
          <w:color w:val="000000"/>
        </w:rPr>
        <w:t>石膏基结构防火板</w:t>
      </w:r>
      <w:r>
        <w:rPr>
          <w:rFonts w:ascii="Times New Roman"/>
          <w:color w:val="000000"/>
        </w:rPr>
        <w:t>排放的废水量，按公式（A.</w:t>
      </w:r>
      <w:r>
        <w:rPr>
          <w:rFonts w:hint="eastAsia" w:ascii="Times New Roman"/>
          <w:color w:val="000000"/>
        </w:rPr>
        <w:t>3</w:t>
      </w:r>
      <w:r>
        <w:rPr>
          <w:rFonts w:ascii="Times New Roman"/>
          <w:color w:val="000000"/>
        </w:rPr>
        <w:t>）计算：</w:t>
      </w:r>
    </w:p>
    <w:p>
      <w:pPr>
        <w:pStyle w:val="48"/>
        <w:rPr>
          <w:rFonts w:ascii="Times New Roman"/>
          <w:color w:val="000000"/>
        </w:rPr>
      </w:pPr>
      <w:r>
        <w:rPr>
          <w:rFonts w:ascii="Times New Roman"/>
          <w:color w:val="000000"/>
        </w:rPr>
        <w:tab/>
      </w:r>
      <w:r>
        <w:rPr>
          <w:rFonts w:ascii="Times New Roman"/>
          <w:color w:val="000000"/>
          <w:position w:val="-32"/>
        </w:rPr>
        <w:object>
          <v:shape id="_x0000_i1027" o:spt="75" alt="" type="#_x0000_t75" style="height:38.25pt;width:87.8pt;" o:ole="t" filled="f" o:preferrelative="t" stroked="f" coordsize="21600,21600">
            <v:path/>
            <v:fill on="f" focussize="0,0"/>
            <v:stroke on="f"/>
            <v:imagedata r:id="rId9" o:title=""/>
            <o:lock v:ext="edit" aspectratio="t"/>
            <w10:wrap type="none"/>
            <w10:anchorlock/>
          </v:shape>
          <o:OLEObject Type="Embed" ProgID="Equation.3" ShapeID="_x0000_i1027" DrawAspect="Content" ObjectID="_1468075726" r:id="rId8">
            <o:LockedField>false</o:LockedField>
          </o:OLEObject>
        </w:object>
      </w:r>
      <w:r>
        <w:rPr>
          <w:rFonts w:ascii="Times New Roman"/>
          <w:color w:val="000000"/>
        </w:rPr>
        <w:tab/>
      </w:r>
      <w:r>
        <w:rPr>
          <w:rFonts w:ascii="Times New Roman"/>
          <w:color w:val="000000"/>
        </w:rPr>
        <w:t>(</w:t>
      </w:r>
      <w:r>
        <w:rPr>
          <w:rFonts w:hint="eastAsia" w:ascii="Times New Roman"/>
          <w:color w:val="000000"/>
        </w:rPr>
        <w:t>A</w:t>
      </w:r>
      <w:r>
        <w:rPr>
          <w:rFonts w:ascii="Times New Roman"/>
          <w:color w:val="000000"/>
        </w:rPr>
        <w:t>.</w:t>
      </w:r>
      <w:r>
        <w:rPr>
          <w:rFonts w:hint="eastAsia" w:ascii="Times New Roman"/>
          <w:color w:val="000000"/>
        </w:rPr>
        <w:t>3</w:t>
      </w:r>
      <w:r>
        <w:rPr>
          <w:rFonts w:ascii="Times New Roman"/>
          <w:color w:val="000000"/>
        </w:rPr>
        <w:t>)</w:t>
      </w:r>
    </w:p>
    <w:p>
      <w:pPr>
        <w:pStyle w:val="33"/>
        <w:rPr>
          <w:rFonts w:ascii="Times New Roman"/>
          <w:color w:val="000000"/>
        </w:rPr>
      </w:pPr>
      <w:r>
        <w:rPr>
          <w:rFonts w:ascii="Times New Roman"/>
          <w:color w:val="000000"/>
        </w:rPr>
        <w:t>式中：</w:t>
      </w:r>
    </w:p>
    <w:p>
      <w:pPr>
        <w:pStyle w:val="33"/>
        <w:rPr>
          <w:rFonts w:ascii="Times New Roman"/>
          <w:color w:val="000000"/>
        </w:rPr>
      </w:pPr>
      <w:r>
        <w:rPr>
          <w:rFonts w:ascii="Times New Roman"/>
          <w:i/>
          <w:color w:val="000000"/>
        </w:rPr>
        <w:t>V</w:t>
      </w:r>
      <w:r>
        <w:rPr>
          <w:rFonts w:ascii="Times New Roman"/>
          <w:i/>
          <w:color w:val="000000"/>
          <w:vertAlign w:val="subscript"/>
        </w:rPr>
        <w:t>j</w:t>
      </w:r>
      <w:r>
        <w:rPr>
          <w:rFonts w:ascii="Times New Roman"/>
          <w:i/>
          <w:color w:val="000000"/>
        </w:rPr>
        <w:t xml:space="preserve"> </w:t>
      </w:r>
      <w:r>
        <w:rPr>
          <w:rFonts w:ascii="Times New Roman"/>
          <w:color w:val="000000"/>
        </w:rPr>
        <w:t>——每生产1m</w:t>
      </w:r>
      <w:r>
        <w:rPr>
          <w:rFonts w:hint="eastAsia" w:ascii="Times New Roman"/>
          <w:color w:val="000000"/>
          <w:vertAlign w:val="superscript"/>
        </w:rPr>
        <w:t>2</w:t>
      </w:r>
      <w:r>
        <w:rPr>
          <w:rFonts w:hint="eastAsia" w:ascii="Times New Roman"/>
          <w:color w:val="000000"/>
        </w:rPr>
        <w:t>石膏基结构防火板</w:t>
      </w:r>
      <w:r>
        <w:rPr>
          <w:rFonts w:ascii="Times New Roman"/>
          <w:color w:val="000000"/>
        </w:rPr>
        <w:t>产生的废水量，单位为千克每</w:t>
      </w:r>
      <w:r>
        <w:rPr>
          <w:rFonts w:hint="eastAsia" w:ascii="Times New Roman"/>
          <w:color w:val="000000"/>
        </w:rPr>
        <w:t>平方米</w:t>
      </w:r>
      <w:r>
        <w:rPr>
          <w:rFonts w:ascii="Times New Roman"/>
          <w:color w:val="000000"/>
        </w:rPr>
        <w:t>（kg/m</w:t>
      </w:r>
      <w:r>
        <w:rPr>
          <w:rFonts w:hint="eastAsia" w:ascii="Times New Roman"/>
          <w:color w:val="000000"/>
          <w:vertAlign w:val="superscript"/>
        </w:rPr>
        <w:t>2</w:t>
      </w:r>
      <w:r>
        <w:rPr>
          <w:rFonts w:ascii="Times New Roman"/>
          <w:color w:val="000000"/>
        </w:rPr>
        <w:t>）；</w:t>
      </w:r>
    </w:p>
    <w:p>
      <w:pPr>
        <w:pStyle w:val="33"/>
        <w:rPr>
          <w:rFonts w:ascii="Times New Roman"/>
          <w:color w:val="000000"/>
        </w:rPr>
      </w:pPr>
      <w:r>
        <w:rPr>
          <w:rFonts w:ascii="Times New Roman"/>
          <w:i/>
          <w:color w:val="000000"/>
        </w:rPr>
        <w:t>V</w:t>
      </w:r>
      <w:r>
        <w:rPr>
          <w:rFonts w:ascii="Times New Roman"/>
          <w:i/>
          <w:color w:val="000000"/>
          <w:vertAlign w:val="subscript"/>
        </w:rPr>
        <w:t>g</w:t>
      </w:r>
      <w:r>
        <w:rPr>
          <w:rFonts w:ascii="Times New Roman"/>
          <w:color w:val="000000"/>
        </w:rPr>
        <w:t xml:space="preserve"> ——评价期</w:t>
      </w:r>
      <w:r>
        <w:rPr>
          <w:rFonts w:hint="eastAsia" w:ascii="Times New Roman"/>
          <w:color w:val="000000"/>
        </w:rPr>
        <w:t>内</w:t>
      </w:r>
      <w:r>
        <w:rPr>
          <w:rFonts w:ascii="Times New Roman"/>
          <w:color w:val="000000"/>
        </w:rPr>
        <w:t>产品生产废水排放量，单位为千克（kg）；</w:t>
      </w:r>
    </w:p>
    <w:p>
      <w:pPr>
        <w:pStyle w:val="33"/>
        <w:rPr>
          <w:rFonts w:hint="eastAsia" w:ascii="Times New Roman"/>
          <w:color w:val="000000"/>
        </w:rPr>
      </w:pPr>
      <w:r>
        <w:rPr>
          <w:rFonts w:ascii="Times New Roman"/>
          <w:i/>
          <w:color w:val="000000"/>
        </w:rPr>
        <w:t>P</w:t>
      </w:r>
      <w:r>
        <w:rPr>
          <w:rFonts w:ascii="Times New Roman"/>
          <w:color w:val="000000"/>
        </w:rPr>
        <w:t xml:space="preserve">  ——评价期</w:t>
      </w:r>
      <w:r>
        <w:rPr>
          <w:rFonts w:hint="eastAsia" w:ascii="Times New Roman"/>
          <w:color w:val="000000"/>
        </w:rPr>
        <w:t>内</w:t>
      </w:r>
      <w:r>
        <w:rPr>
          <w:rFonts w:ascii="Times New Roman"/>
          <w:color w:val="000000"/>
        </w:rPr>
        <w:t>符合相关标准的合格产品产量，单位为</w:t>
      </w:r>
      <w:r>
        <w:rPr>
          <w:rFonts w:hint="eastAsia" w:ascii="Times New Roman"/>
          <w:color w:val="000000"/>
        </w:rPr>
        <w:t>平方米</w:t>
      </w:r>
      <w:r>
        <w:rPr>
          <w:rFonts w:ascii="Times New Roman"/>
          <w:color w:val="000000"/>
        </w:rPr>
        <w:t>（m</w:t>
      </w:r>
      <w:r>
        <w:rPr>
          <w:rFonts w:hint="eastAsia" w:ascii="Times New Roman"/>
          <w:color w:val="000000"/>
          <w:vertAlign w:val="superscript"/>
        </w:rPr>
        <w:t>2</w:t>
      </w:r>
      <w:r>
        <w:rPr>
          <w:rFonts w:ascii="Times New Roman"/>
          <w:color w:val="000000"/>
        </w:rPr>
        <w:t>）</w:t>
      </w:r>
      <w:r>
        <w:rPr>
          <w:rFonts w:hint="eastAsia" w:ascii="Times New Roman"/>
          <w:color w:val="000000"/>
        </w:rPr>
        <w:t>。</w:t>
      </w:r>
      <w:bookmarkEnd w:id="111"/>
      <w:bookmarkEnd w:id="112"/>
      <w:bookmarkEnd w:id="113"/>
      <w:bookmarkEnd w:id="114"/>
      <w:bookmarkEnd w:id="115"/>
      <w:bookmarkStart w:id="123" w:name="DW"/>
      <w:bookmarkEnd w:id="123"/>
      <w:bookmarkStart w:id="124" w:name="_Toc397348621"/>
    </w:p>
    <w:p>
      <w:pPr>
        <w:pStyle w:val="43"/>
        <w:tabs>
          <w:tab w:val="clear" w:pos="360"/>
        </w:tabs>
        <w:ind w:left="3780" w:leftChars="0" w:firstLineChars="0"/>
        <w:jc w:val="both"/>
        <w:rPr>
          <w:rFonts w:ascii="Times New Roman"/>
          <w:color w:val="000000"/>
        </w:rPr>
      </w:pPr>
      <w:r>
        <w:rPr>
          <w:rFonts w:ascii="Times New Roman"/>
          <w:color w:val="000000"/>
        </w:rPr>
        <w:br w:type="textWrapping"/>
      </w:r>
      <w:r>
        <w:rPr>
          <w:rFonts w:ascii="Times New Roman"/>
          <w:color w:val="000000"/>
        </w:rPr>
        <w:t>（</w:t>
      </w:r>
      <w:r>
        <w:rPr>
          <w:rFonts w:hint="eastAsia" w:ascii="Times New Roman"/>
          <w:color w:val="000000"/>
        </w:rPr>
        <w:t>资料</w:t>
      </w:r>
      <w:r>
        <w:rPr>
          <w:rFonts w:ascii="Times New Roman"/>
          <w:color w:val="000000"/>
        </w:rPr>
        <w:t>性）</w:t>
      </w:r>
    </w:p>
    <w:p>
      <w:pPr>
        <w:pStyle w:val="43"/>
        <w:numPr>
          <w:numId w:val="0"/>
        </w:numPr>
        <w:tabs>
          <w:tab w:val="clear" w:pos="360"/>
        </w:tabs>
        <w:jc w:val="center"/>
        <w:rPr>
          <w:rFonts w:ascii="宋体"/>
          <w:b/>
          <w:color w:val="000000"/>
        </w:rPr>
      </w:pPr>
      <w:r>
        <w:rPr>
          <w:rFonts w:hint="eastAsia" w:ascii="宋体"/>
          <w:b/>
          <w:color w:val="000000"/>
        </w:rPr>
        <w:t>石膏基结构防火板厚度折算系数</w:t>
      </w:r>
    </w:p>
    <w:p>
      <w:pPr>
        <w:pStyle w:val="33"/>
        <w:spacing w:line="360" w:lineRule="auto"/>
        <w:rPr>
          <w:color w:val="000000"/>
        </w:rPr>
      </w:pPr>
      <w:r>
        <w:rPr>
          <w:rFonts w:hint="eastAsia"/>
          <w:color w:val="000000"/>
        </w:rPr>
        <w:t>表B</w:t>
      </w:r>
      <w:r>
        <w:rPr>
          <w:color w:val="000000"/>
        </w:rPr>
        <w:t>.1</w:t>
      </w:r>
      <w:r>
        <w:rPr>
          <w:rFonts w:hint="eastAsia"/>
          <w:color w:val="000000"/>
        </w:rPr>
        <w:t>给出了石膏基结构防火板厚度折算系数。</w:t>
      </w:r>
    </w:p>
    <w:p>
      <w:pPr>
        <w:pStyle w:val="33"/>
        <w:spacing w:line="360" w:lineRule="auto"/>
        <w:ind w:firstLine="422"/>
        <w:jc w:val="center"/>
        <w:rPr>
          <w:rFonts w:hint="eastAsia"/>
          <w:b/>
          <w:color w:val="000000"/>
        </w:rPr>
      </w:pPr>
      <w:r>
        <w:rPr>
          <w:rFonts w:hint="eastAsia"/>
          <w:b/>
          <w:color w:val="000000"/>
        </w:rPr>
        <w:t>表B</w:t>
      </w:r>
      <w:r>
        <w:rPr>
          <w:b/>
          <w:color w:val="000000"/>
        </w:rPr>
        <w:t xml:space="preserve">.1   </w:t>
      </w:r>
      <w:r>
        <w:rPr>
          <w:rFonts w:hint="eastAsia"/>
          <w:b/>
          <w:color w:val="000000"/>
        </w:rPr>
        <w:t>石膏基结构防火板厚度折算系数</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320"/>
        <w:gridCol w:w="43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20" w:type="dxa"/>
            <w:shd w:val="clear" w:color="auto" w:fill="auto"/>
            <w:noWrap w:val="0"/>
            <w:vAlign w:val="top"/>
          </w:tcPr>
          <w:p>
            <w:pPr>
              <w:widowControl/>
              <w:tabs>
                <w:tab w:val="center" w:pos="4201"/>
                <w:tab w:val="right" w:leader="dot" w:pos="9298"/>
              </w:tabs>
              <w:autoSpaceDE w:val="0"/>
              <w:autoSpaceDN w:val="0"/>
              <w:jc w:val="center"/>
              <w:rPr>
                <w:rFonts w:hint="eastAsia" w:ascii="宋体"/>
                <w:color w:val="000000"/>
                <w:kern w:val="0"/>
                <w:szCs w:val="20"/>
              </w:rPr>
            </w:pPr>
            <w:r>
              <w:rPr>
                <w:rFonts w:hint="eastAsia" w:ascii="宋体"/>
                <w:color w:val="000000"/>
                <w:kern w:val="0"/>
                <w:szCs w:val="20"/>
              </w:rPr>
              <w:t>石膏基结构防火板厚度 mm</w:t>
            </w:r>
          </w:p>
        </w:tc>
        <w:tc>
          <w:tcPr>
            <w:tcW w:w="4320" w:type="dxa"/>
            <w:shd w:val="clear" w:color="auto" w:fill="auto"/>
            <w:noWrap w:val="0"/>
            <w:vAlign w:val="top"/>
          </w:tcPr>
          <w:p>
            <w:pPr>
              <w:widowControl/>
              <w:tabs>
                <w:tab w:val="center" w:pos="4201"/>
                <w:tab w:val="right" w:leader="dot" w:pos="9298"/>
              </w:tabs>
              <w:autoSpaceDE w:val="0"/>
              <w:autoSpaceDN w:val="0"/>
              <w:jc w:val="center"/>
              <w:rPr>
                <w:rFonts w:hint="eastAsia" w:ascii="宋体"/>
                <w:color w:val="000000"/>
                <w:kern w:val="0"/>
                <w:szCs w:val="20"/>
              </w:rPr>
            </w:pPr>
            <w:r>
              <w:rPr>
                <w:rFonts w:hint="eastAsia" w:ascii="宋体"/>
                <w:color w:val="000000"/>
                <w:kern w:val="0"/>
                <w:szCs w:val="20"/>
              </w:rPr>
              <w:t>折算系数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20" w:type="dxa"/>
            <w:shd w:val="clear" w:color="auto" w:fill="auto"/>
            <w:noWrap w:val="0"/>
            <w:vAlign w:val="top"/>
          </w:tcPr>
          <w:p>
            <w:pPr>
              <w:widowControl/>
              <w:tabs>
                <w:tab w:val="center" w:pos="4201"/>
                <w:tab w:val="right" w:leader="dot" w:pos="9298"/>
              </w:tabs>
              <w:autoSpaceDE w:val="0"/>
              <w:autoSpaceDN w:val="0"/>
              <w:jc w:val="center"/>
              <w:rPr>
                <w:rFonts w:hint="eastAsia" w:ascii="宋体"/>
                <w:color w:val="000000"/>
                <w:kern w:val="0"/>
                <w:szCs w:val="20"/>
              </w:rPr>
            </w:pPr>
            <w:r>
              <w:rPr>
                <w:rFonts w:hint="eastAsia" w:ascii="宋体"/>
                <w:color w:val="000000"/>
                <w:kern w:val="0"/>
                <w:szCs w:val="20"/>
              </w:rPr>
              <w:t>12.0</w:t>
            </w:r>
          </w:p>
        </w:tc>
        <w:tc>
          <w:tcPr>
            <w:tcW w:w="4320" w:type="dxa"/>
            <w:shd w:val="clear" w:color="auto" w:fill="auto"/>
            <w:noWrap w:val="0"/>
            <w:vAlign w:val="top"/>
          </w:tcPr>
          <w:p>
            <w:pPr>
              <w:widowControl/>
              <w:tabs>
                <w:tab w:val="center" w:pos="4201"/>
                <w:tab w:val="right" w:leader="dot" w:pos="9298"/>
              </w:tabs>
              <w:autoSpaceDE w:val="0"/>
              <w:autoSpaceDN w:val="0"/>
              <w:jc w:val="center"/>
              <w:rPr>
                <w:rFonts w:hint="eastAsia" w:ascii="宋体"/>
                <w:color w:val="000000"/>
                <w:kern w:val="0"/>
                <w:szCs w:val="20"/>
              </w:rPr>
            </w:pPr>
            <w:r>
              <w:rPr>
                <w:rFonts w:hint="eastAsia" w:ascii="宋体"/>
                <w:color w:val="000000"/>
                <w:kern w:val="0"/>
                <w:szCs w:val="20"/>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20" w:type="dxa"/>
            <w:shd w:val="clear" w:color="auto" w:fill="auto"/>
            <w:noWrap w:val="0"/>
            <w:vAlign w:val="top"/>
          </w:tcPr>
          <w:p>
            <w:pPr>
              <w:widowControl/>
              <w:tabs>
                <w:tab w:val="center" w:pos="4201"/>
                <w:tab w:val="right" w:leader="dot" w:pos="9298"/>
              </w:tabs>
              <w:autoSpaceDE w:val="0"/>
              <w:autoSpaceDN w:val="0"/>
              <w:jc w:val="center"/>
              <w:rPr>
                <w:rFonts w:hint="eastAsia" w:ascii="宋体"/>
                <w:color w:val="000000"/>
                <w:kern w:val="0"/>
                <w:szCs w:val="20"/>
              </w:rPr>
            </w:pPr>
            <w:r>
              <w:rPr>
                <w:rFonts w:hint="eastAsia" w:ascii="宋体"/>
                <w:color w:val="000000"/>
                <w:kern w:val="0"/>
                <w:szCs w:val="20"/>
              </w:rPr>
              <w:t>15.0</w:t>
            </w:r>
          </w:p>
        </w:tc>
        <w:tc>
          <w:tcPr>
            <w:tcW w:w="4320" w:type="dxa"/>
            <w:shd w:val="clear" w:color="auto" w:fill="auto"/>
            <w:noWrap w:val="0"/>
            <w:vAlign w:val="top"/>
          </w:tcPr>
          <w:p>
            <w:pPr>
              <w:widowControl/>
              <w:tabs>
                <w:tab w:val="center" w:pos="4201"/>
                <w:tab w:val="right" w:leader="dot" w:pos="9298"/>
              </w:tabs>
              <w:autoSpaceDE w:val="0"/>
              <w:autoSpaceDN w:val="0"/>
              <w:jc w:val="center"/>
              <w:rPr>
                <w:rFonts w:hint="eastAsia" w:ascii="宋体"/>
                <w:color w:val="000000"/>
                <w:kern w:val="0"/>
                <w:szCs w:val="20"/>
              </w:rPr>
            </w:pPr>
            <w:r>
              <w:rPr>
                <w:rFonts w:hint="eastAsia" w:ascii="宋体"/>
                <w:color w:val="000000"/>
                <w:kern w:val="0"/>
                <w:szCs w:val="20"/>
              </w:rPr>
              <w:t>0.79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4320" w:type="dxa"/>
            <w:shd w:val="clear" w:color="auto" w:fill="auto"/>
            <w:noWrap w:val="0"/>
            <w:vAlign w:val="top"/>
          </w:tcPr>
          <w:p>
            <w:pPr>
              <w:widowControl/>
              <w:tabs>
                <w:tab w:val="center" w:pos="4201"/>
                <w:tab w:val="right" w:leader="dot" w:pos="9298"/>
              </w:tabs>
              <w:autoSpaceDE w:val="0"/>
              <w:autoSpaceDN w:val="0"/>
              <w:jc w:val="center"/>
              <w:rPr>
                <w:rFonts w:hint="eastAsia" w:ascii="宋体"/>
                <w:color w:val="000000"/>
                <w:kern w:val="0"/>
                <w:szCs w:val="20"/>
              </w:rPr>
            </w:pPr>
            <w:r>
              <w:rPr>
                <w:rFonts w:hint="eastAsia" w:ascii="宋体"/>
                <w:color w:val="000000"/>
                <w:kern w:val="0"/>
                <w:szCs w:val="20"/>
              </w:rPr>
              <w:t>12.5</w:t>
            </w:r>
          </w:p>
        </w:tc>
        <w:tc>
          <w:tcPr>
            <w:tcW w:w="4320" w:type="dxa"/>
            <w:shd w:val="clear" w:color="auto" w:fill="auto"/>
            <w:noWrap w:val="0"/>
            <w:vAlign w:val="top"/>
          </w:tcPr>
          <w:p>
            <w:pPr>
              <w:widowControl/>
              <w:tabs>
                <w:tab w:val="center" w:pos="4201"/>
                <w:tab w:val="right" w:leader="dot" w:pos="9298"/>
              </w:tabs>
              <w:autoSpaceDE w:val="0"/>
              <w:autoSpaceDN w:val="0"/>
              <w:jc w:val="center"/>
              <w:rPr>
                <w:rFonts w:hint="eastAsia" w:ascii="宋体"/>
                <w:color w:val="000000"/>
                <w:kern w:val="0"/>
                <w:szCs w:val="20"/>
              </w:rPr>
            </w:pPr>
            <w:r>
              <w:rPr>
                <w:rFonts w:hint="eastAsia" w:ascii="宋体"/>
                <w:color w:val="000000"/>
                <w:kern w:val="0"/>
                <w:szCs w:val="20"/>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20" w:type="dxa"/>
            <w:shd w:val="clear" w:color="auto" w:fill="auto"/>
            <w:noWrap w:val="0"/>
            <w:vAlign w:val="top"/>
          </w:tcPr>
          <w:p>
            <w:pPr>
              <w:widowControl/>
              <w:tabs>
                <w:tab w:val="center" w:pos="4201"/>
                <w:tab w:val="right" w:leader="dot" w:pos="9298"/>
              </w:tabs>
              <w:autoSpaceDE w:val="0"/>
              <w:autoSpaceDN w:val="0"/>
              <w:jc w:val="center"/>
              <w:rPr>
                <w:rFonts w:hint="eastAsia" w:ascii="宋体"/>
                <w:color w:val="000000"/>
                <w:kern w:val="0"/>
                <w:szCs w:val="20"/>
              </w:rPr>
            </w:pPr>
            <w:r>
              <w:rPr>
                <w:rFonts w:hint="eastAsia" w:ascii="宋体"/>
                <w:color w:val="000000"/>
                <w:kern w:val="0"/>
                <w:szCs w:val="20"/>
              </w:rPr>
              <w:t>16.0</w:t>
            </w:r>
          </w:p>
        </w:tc>
        <w:tc>
          <w:tcPr>
            <w:tcW w:w="4320" w:type="dxa"/>
            <w:shd w:val="clear" w:color="auto" w:fill="auto"/>
            <w:noWrap w:val="0"/>
            <w:vAlign w:val="top"/>
          </w:tcPr>
          <w:p>
            <w:pPr>
              <w:widowControl/>
              <w:tabs>
                <w:tab w:val="center" w:pos="4201"/>
                <w:tab w:val="right" w:leader="dot" w:pos="9298"/>
              </w:tabs>
              <w:autoSpaceDE w:val="0"/>
              <w:autoSpaceDN w:val="0"/>
              <w:jc w:val="center"/>
              <w:rPr>
                <w:rFonts w:hint="eastAsia" w:ascii="宋体"/>
                <w:color w:val="000000"/>
                <w:kern w:val="0"/>
                <w:szCs w:val="20"/>
              </w:rPr>
            </w:pPr>
            <w:r>
              <w:rPr>
                <w:rFonts w:hint="eastAsia" w:ascii="宋体"/>
                <w:color w:val="000000"/>
                <w:kern w:val="0"/>
                <w:szCs w:val="20"/>
              </w:rPr>
              <w:t>0.75</w:t>
            </w:r>
          </w:p>
        </w:tc>
      </w:tr>
    </w:tbl>
    <w:p>
      <w:pPr>
        <w:widowControl/>
        <w:tabs>
          <w:tab w:val="center" w:pos="4201"/>
          <w:tab w:val="right" w:leader="dot" w:pos="9298"/>
        </w:tabs>
        <w:autoSpaceDE w:val="0"/>
        <w:autoSpaceDN w:val="0"/>
        <w:jc w:val="center"/>
        <w:rPr>
          <w:rFonts w:hint="eastAsia" w:ascii="宋体"/>
          <w:color w:val="000000"/>
          <w:kern w:val="0"/>
          <w:szCs w:val="20"/>
        </w:rPr>
      </w:pPr>
    </w:p>
    <w:p>
      <w:pPr>
        <w:widowControl/>
        <w:tabs>
          <w:tab w:val="center" w:pos="4201"/>
          <w:tab w:val="right" w:leader="dot" w:pos="9298"/>
        </w:tabs>
        <w:autoSpaceDE w:val="0"/>
        <w:autoSpaceDN w:val="0"/>
        <w:jc w:val="center"/>
        <w:rPr>
          <w:rFonts w:ascii="宋体"/>
          <w:color w:val="000000"/>
          <w:kern w:val="0"/>
          <w:szCs w:val="20"/>
        </w:rPr>
      </w:pPr>
      <w:r>
        <w:rPr>
          <w:rFonts w:ascii="宋体"/>
          <w:color w:val="000000"/>
          <w:kern w:val="0"/>
          <w:szCs w:val="20"/>
        </w:rPr>
        <w:t>_______________________________</w:t>
      </w:r>
      <w:bookmarkEnd w:id="124"/>
    </w:p>
    <w:bookmarkEnd w:id="10"/>
    <w:bookmarkEnd w:id="11"/>
    <w:bookmarkEnd w:id="12"/>
    <w:bookmarkEnd w:id="13"/>
    <w:bookmarkEnd w:id="14"/>
    <w:bookmarkEnd w:id="15"/>
    <w:bookmarkEnd w:id="16"/>
    <w:bookmarkEnd w:id="17"/>
    <w:p>
      <w:pPr>
        <w:jc w:val="center"/>
        <w:rPr>
          <w:color w:val="000000"/>
        </w:rPr>
      </w:pPr>
    </w:p>
    <w:p>
      <w:pPr>
        <w:rPr>
          <w:color w:val="000000"/>
        </w:rPr>
      </w:pPr>
    </w:p>
    <w:p>
      <w:pPr>
        <w:ind w:left="0" w:leftChars="0" w:firstLine="0" w:firstLineChars="0"/>
      </w:pPr>
    </w:p>
    <w:sectPr>
      <w:pgSz w:w="11906" w:h="16838"/>
      <w:pgMar w:top="1440" w:right="1741" w:bottom="1440" w:left="174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光小标宋_CNKI">
    <w:panose1 w:val="02000500000000000000"/>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瀹嬩綋">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6</w:t>
    </w:r>
    <w:r>
      <w:fldChar w:fldCharType="end"/>
    </w:r>
  </w:p>
  <w:p>
    <w:pPr>
      <w:pStyle w:val="4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E8F56"/>
    <w:multiLevelType w:val="multilevel"/>
    <w:tmpl w:val="83CE8F56"/>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1FC91163"/>
    <w:multiLevelType w:val="multilevel"/>
    <w:tmpl w:val="1FC91163"/>
    <w:lvl w:ilvl="0" w:tentative="0">
      <w:start w:val="1"/>
      <w:numFmt w:val="decimal"/>
      <w:pStyle w:val="38"/>
      <w:suff w:val="nothing"/>
      <w:lvlText w:val="%1　"/>
      <w:lvlJc w:val="left"/>
      <w:rPr>
        <w:rFonts w:hint="eastAsia" w:ascii="黑体" w:hAnsi="Times New Roman" w:eastAsia="黑体" w:cs="Times New Roman"/>
        <w:b w:val="0"/>
        <w:i w:val="0"/>
        <w:sz w:val="21"/>
        <w:szCs w:val="21"/>
      </w:rPr>
    </w:lvl>
    <w:lvl w:ilvl="1" w:tentative="0">
      <w:start w:val="1"/>
      <w:numFmt w:val="decimal"/>
      <w:pStyle w:val="40"/>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1"/>
      <w:suff w:val="nothing"/>
      <w:lvlText w:val="%1.%2.%3　"/>
      <w:lvlJc w:val="left"/>
      <w:pPr>
        <w:ind w:left="141"/>
      </w:pPr>
      <w:rPr>
        <w:rFonts w:hint="default" w:ascii="Times New Roman"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50616D8B"/>
    <w:multiLevelType w:val="multilevel"/>
    <w:tmpl w:val="50616D8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7D3FBC"/>
    <w:multiLevelType w:val="multilevel"/>
    <w:tmpl w:val="657D3FBC"/>
    <w:lvl w:ilvl="0" w:tentative="0">
      <w:start w:val="1"/>
      <w:numFmt w:val="upperLetter"/>
      <w:pStyle w:val="43"/>
      <w:suff w:val="nothing"/>
      <w:lvlText w:val="附　录　%1"/>
      <w:lvlJc w:val="left"/>
      <w:pPr>
        <w:ind w:left="3780"/>
      </w:pPr>
      <w:rPr>
        <w:rFonts w:hint="eastAsia" w:ascii="黑体" w:hAnsi="Times New Roman" w:eastAsia="黑体" w:cs="Times New Roman"/>
        <w:b w:val="0"/>
        <w:i w:val="0"/>
        <w:spacing w:val="0"/>
        <w:w w:val="100"/>
        <w:sz w:val="21"/>
      </w:rPr>
    </w:lvl>
    <w:lvl w:ilvl="1" w:tentative="0">
      <w:start w:val="1"/>
      <w:numFmt w:val="decimal"/>
      <w:pStyle w:val="44"/>
      <w:suff w:val="nothing"/>
      <w:lvlText w:val="%1.%2　"/>
      <w:lvlJc w:val="left"/>
      <w:pPr>
        <w:ind w:left="-420"/>
      </w:pPr>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pPr>
        <w:ind w:left="-420"/>
      </w:pPr>
      <w:rPr>
        <w:rFonts w:hint="eastAsia" w:ascii="黑体" w:hAnsi="Times New Roman" w:eastAsia="黑体" w:cs="Times New Roman"/>
        <w:b w:val="0"/>
        <w:i w:val="0"/>
        <w:sz w:val="21"/>
      </w:rPr>
    </w:lvl>
    <w:lvl w:ilvl="3" w:tentative="0">
      <w:start w:val="1"/>
      <w:numFmt w:val="decimal"/>
      <w:suff w:val="nothing"/>
      <w:lvlText w:val="%1.%2.%3.%4　"/>
      <w:lvlJc w:val="left"/>
      <w:pPr>
        <w:ind w:left="-420"/>
      </w:pPr>
      <w:rPr>
        <w:rFonts w:hint="eastAsia" w:ascii="黑体" w:hAnsi="Times New Roman" w:eastAsia="黑体" w:cs="Times New Roman"/>
        <w:b w:val="0"/>
        <w:i w:val="0"/>
        <w:sz w:val="21"/>
      </w:rPr>
    </w:lvl>
    <w:lvl w:ilvl="4" w:tentative="0">
      <w:start w:val="1"/>
      <w:numFmt w:val="decimal"/>
      <w:suff w:val="nothing"/>
      <w:lvlText w:val="%1.%2.%3.%4.%5　"/>
      <w:lvlJc w:val="left"/>
      <w:pPr>
        <w:ind w:left="-420"/>
      </w:pPr>
      <w:rPr>
        <w:rFonts w:hint="eastAsia" w:ascii="黑体" w:hAnsi="Times New Roman" w:eastAsia="黑体" w:cs="Times New Roman"/>
        <w:b w:val="0"/>
        <w:i w:val="0"/>
        <w:sz w:val="21"/>
      </w:rPr>
    </w:lvl>
    <w:lvl w:ilvl="5" w:tentative="0">
      <w:start w:val="1"/>
      <w:numFmt w:val="decimal"/>
      <w:suff w:val="nothing"/>
      <w:lvlText w:val="%1.%2.%3.%4.%5.%6　"/>
      <w:lvlJc w:val="left"/>
      <w:pPr>
        <w:ind w:left="-420"/>
      </w:pPr>
      <w:rPr>
        <w:rFonts w:hint="eastAsia" w:ascii="黑体" w:hAnsi="Times New Roman" w:eastAsia="黑体" w:cs="Times New Roman"/>
        <w:b w:val="0"/>
        <w:i w:val="0"/>
        <w:sz w:val="21"/>
      </w:rPr>
    </w:lvl>
    <w:lvl w:ilvl="6" w:tentative="0">
      <w:start w:val="1"/>
      <w:numFmt w:val="decimal"/>
      <w:suff w:val="nothing"/>
      <w:lvlText w:val="%1.%2.%3.%4.%5.%6.%7　"/>
      <w:lvlJc w:val="left"/>
      <w:pPr>
        <w:ind w:left="-420"/>
      </w:pPr>
      <w:rPr>
        <w:rFonts w:hint="eastAsia" w:ascii="黑体" w:hAnsi="Times New Roman" w:eastAsia="黑体" w:cs="Times New Roman"/>
        <w:b w:val="0"/>
        <w:i w:val="0"/>
        <w:sz w:val="21"/>
      </w:rPr>
    </w:lvl>
    <w:lvl w:ilvl="7" w:tentative="0">
      <w:start w:val="1"/>
      <w:numFmt w:val="decimal"/>
      <w:lvlText w:val="%1.%2.%3.%4.%5.%6.%7.%8"/>
      <w:lvlJc w:val="left"/>
      <w:pPr>
        <w:tabs>
          <w:tab w:val="left" w:pos="3974"/>
        </w:tabs>
        <w:ind w:left="3974" w:hanging="1418"/>
      </w:pPr>
      <w:rPr>
        <w:rFonts w:hint="eastAsia" w:cs="Times New Roman"/>
      </w:rPr>
    </w:lvl>
    <w:lvl w:ilvl="8" w:tentative="0">
      <w:start w:val="1"/>
      <w:numFmt w:val="decimal"/>
      <w:lvlText w:val="%1.%2.%3.%4.%5.%6.%7.%8.%9"/>
      <w:lvlJc w:val="left"/>
      <w:pPr>
        <w:tabs>
          <w:tab w:val="left" w:pos="4682"/>
        </w:tabs>
        <w:ind w:left="4682" w:hanging="1700"/>
      </w:pPr>
      <w:rPr>
        <w:rFonts w:hint="eastAsia"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ODFhOTM4OGI1ZTUxYTQzMzg4ZjQ5ZWViZDVhZTIifQ=="/>
  </w:docVars>
  <w:rsids>
    <w:rsidRoot w:val="592051C3"/>
    <w:rsid w:val="023E741B"/>
    <w:rsid w:val="07D37248"/>
    <w:rsid w:val="09927A84"/>
    <w:rsid w:val="0B5677F3"/>
    <w:rsid w:val="0DC26C7C"/>
    <w:rsid w:val="0F0755C9"/>
    <w:rsid w:val="0FCA1407"/>
    <w:rsid w:val="15227183"/>
    <w:rsid w:val="188F7D66"/>
    <w:rsid w:val="1DE805DB"/>
    <w:rsid w:val="1E6C4DFA"/>
    <w:rsid w:val="21875CF5"/>
    <w:rsid w:val="22E550BA"/>
    <w:rsid w:val="23B30850"/>
    <w:rsid w:val="24AE0C3D"/>
    <w:rsid w:val="26100E67"/>
    <w:rsid w:val="27481461"/>
    <w:rsid w:val="2D5011FC"/>
    <w:rsid w:val="36BE60CB"/>
    <w:rsid w:val="3DAA680F"/>
    <w:rsid w:val="44470610"/>
    <w:rsid w:val="4AFE7636"/>
    <w:rsid w:val="4EA12692"/>
    <w:rsid w:val="4F210680"/>
    <w:rsid w:val="500E1186"/>
    <w:rsid w:val="592051C3"/>
    <w:rsid w:val="594276AD"/>
    <w:rsid w:val="5D471D47"/>
    <w:rsid w:val="60153F26"/>
    <w:rsid w:val="61666CC5"/>
    <w:rsid w:val="63E92E6A"/>
    <w:rsid w:val="6731785E"/>
    <w:rsid w:val="69465B07"/>
    <w:rsid w:val="6FC97604"/>
    <w:rsid w:val="6FEA467B"/>
    <w:rsid w:val="70B140C1"/>
    <w:rsid w:val="71AB5119"/>
    <w:rsid w:val="79C37426"/>
    <w:rsid w:val="7CFC4EB9"/>
    <w:rsid w:val="7D1F1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50" w:afterLines="50" w:afterAutospacing="0" w:line="560" w:lineRule="exact"/>
      <w:ind w:firstLine="674" w:firstLineChars="200"/>
      <w:jc w:val="left"/>
      <w:outlineLvl w:val="0"/>
    </w:pPr>
    <w:rPr>
      <w:rFonts w:eastAsia="黑体"/>
      <w:kern w:val="44"/>
    </w:rPr>
  </w:style>
  <w:style w:type="paragraph" w:styleId="3">
    <w:name w:val="heading 2"/>
    <w:basedOn w:val="1"/>
    <w:next w:val="1"/>
    <w:semiHidden/>
    <w:unhideWhenUsed/>
    <w:qFormat/>
    <w:uiPriority w:val="0"/>
    <w:pPr>
      <w:keepNext/>
      <w:keepLines/>
      <w:numPr>
        <w:ilvl w:val="1"/>
        <w:numId w:val="1"/>
      </w:numPr>
      <w:spacing w:beforeLines="0" w:beforeAutospacing="0" w:afterAutospacing="0" w:line="560" w:lineRule="exact"/>
      <w:ind w:leftChars="0" w:firstLine="0" w:firstLineChars="0"/>
      <w:jc w:val="left"/>
      <w:outlineLvl w:val="1"/>
    </w:pPr>
    <w:rPr>
      <w:rFonts w:eastAsia="楷体"/>
    </w:rPr>
  </w:style>
  <w:style w:type="paragraph" w:styleId="4">
    <w:name w:val="heading 3"/>
    <w:basedOn w:val="1"/>
    <w:next w:val="1"/>
    <w:semiHidden/>
    <w:unhideWhenUsed/>
    <w:qFormat/>
    <w:uiPriority w:val="0"/>
    <w:pPr>
      <w:keepNext/>
      <w:keepLines/>
      <w:numPr>
        <w:ilvl w:val="2"/>
        <w:numId w:val="1"/>
      </w:numPr>
      <w:spacing w:beforeLines="0" w:beforeAutospacing="0" w:after="50" w:afterLines="50" w:afterAutospacing="0" w:line="360" w:lineRule="auto"/>
      <w:ind w:leftChars="0" w:firstLine="400" w:firstLineChars="0"/>
      <w:jc w:val="left"/>
      <w:outlineLvl w:val="2"/>
    </w:pPr>
  </w:style>
  <w:style w:type="paragraph" w:styleId="5">
    <w:name w:val="heading 4"/>
    <w:basedOn w:val="1"/>
    <w:next w:val="1"/>
    <w:semiHidden/>
    <w:unhideWhenUsed/>
    <w:qFormat/>
    <w:uiPriority w:val="0"/>
    <w:pPr>
      <w:keepNext/>
      <w:keepLines/>
      <w:numPr>
        <w:ilvl w:val="3"/>
        <w:numId w:val="1"/>
      </w:numPr>
      <w:spacing w:beforeLines="0" w:beforeAutospacing="0" w:after="50" w:afterLines="50" w:afterAutospacing="0" w:line="360" w:lineRule="auto"/>
      <w:ind w:firstLine="402" w:firstLineChars="0"/>
      <w:outlineLvl w:val="3"/>
    </w:pPr>
    <w:rPr>
      <w:rFonts w:ascii="Arial" w:hAnsi="Arial"/>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toc 1"/>
    <w:basedOn w:val="1"/>
    <w:next w:val="1"/>
    <w:qFormat/>
    <w:uiPriority w:val="39"/>
    <w:pPr>
      <w:tabs>
        <w:tab w:val="right" w:leader="dot" w:pos="9241"/>
      </w:tabs>
      <w:spacing w:beforeLines="25" w:afterLines="25"/>
      <w:jc w:val="left"/>
    </w:pPr>
    <w:rPr>
      <w:rFonts w:ascii="宋体"/>
      <w:szCs w:val="21"/>
    </w:rPr>
  </w:style>
  <w:style w:type="character" w:styleId="15">
    <w:name w:val="Hyperlink"/>
    <w:qFormat/>
    <w:uiPriority w:val="99"/>
    <w:rPr>
      <w:rFonts w:cs="Times New Roman"/>
      <w:color w:val="0000FF"/>
      <w:spacing w:val="0"/>
      <w:w w:val="100"/>
      <w:sz w:val="21"/>
      <w:u w:val="single"/>
      <w:lang w:val="en-US" w:eastAsia="zh-CN"/>
    </w:rPr>
  </w:style>
  <w:style w:type="paragraph" w:customStyle="1" w:styleId="16">
    <w:name w:val="总标题"/>
    <w:basedOn w:val="1"/>
    <w:next w:val="1"/>
    <w:qFormat/>
    <w:uiPriority w:val="0"/>
    <w:pPr>
      <w:keepNext/>
      <w:keepLines/>
      <w:spacing w:beforeLines="0" w:after="50" w:afterLines="50" w:line="560" w:lineRule="exact"/>
      <w:jc w:val="center"/>
      <w:outlineLvl w:val="0"/>
    </w:pPr>
    <w:rPr>
      <w:rFonts w:hint="eastAsia" w:eastAsia="华光小标宋_CNKI"/>
      <w:kern w:val="44"/>
      <w:sz w:val="36"/>
    </w:rPr>
  </w:style>
  <w:style w:type="paragraph" w:customStyle="1" w:styleId="17">
    <w:name w:val="正文2"/>
    <w:basedOn w:val="1"/>
    <w:link w:val="18"/>
    <w:qFormat/>
    <w:uiPriority w:val="0"/>
    <w:pPr>
      <w:spacing w:line="360" w:lineRule="auto"/>
      <w:ind w:firstLine="0" w:firstLineChars="0"/>
      <w:jc w:val="left"/>
    </w:pPr>
    <w:rPr>
      <w:rFonts w:ascii="Times New Roman" w:hAnsi="Times New Roman" w:eastAsia="宋体" w:cs="Times New Roman"/>
      <w:sz w:val="24"/>
      <w:szCs w:val="24"/>
    </w:rPr>
  </w:style>
  <w:style w:type="character" w:customStyle="1" w:styleId="18">
    <w:name w:val="正文2 Char"/>
    <w:link w:val="17"/>
    <w:qFormat/>
    <w:uiPriority w:val="0"/>
    <w:rPr>
      <w:rFonts w:hint="default" w:ascii="Times New Roman" w:hAnsi="Times New Roman" w:eastAsia="宋体" w:cs="Times New Roman"/>
      <w:sz w:val="24"/>
      <w:szCs w:val="24"/>
    </w:rPr>
  </w:style>
  <w:style w:type="paragraph" w:customStyle="1" w:styleId="19">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0">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1">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2">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3">
    <w:name w:val="封面标准英文名称"/>
    <w:basedOn w:val="22"/>
    <w:qFormat/>
    <w:uiPriority w:val="99"/>
    <w:pPr>
      <w:framePr w:wrap="around"/>
      <w:spacing w:before="370" w:line="400" w:lineRule="exact"/>
    </w:pPr>
    <w:rPr>
      <w:rFonts w:ascii="Times New Roman"/>
      <w:sz w:val="28"/>
      <w:szCs w:val="28"/>
    </w:rPr>
  </w:style>
  <w:style w:type="paragraph" w:customStyle="1" w:styleId="24">
    <w:name w:val="封面一致性程度标识"/>
    <w:basedOn w:val="23"/>
    <w:qFormat/>
    <w:uiPriority w:val="99"/>
    <w:pPr>
      <w:framePr w:wrap="around"/>
      <w:spacing w:before="440"/>
    </w:pPr>
    <w:rPr>
      <w:rFonts w:ascii="宋体" w:eastAsia="宋体"/>
    </w:rPr>
  </w:style>
  <w:style w:type="paragraph" w:customStyle="1" w:styleId="25">
    <w:name w:val="封面标准文稿类别"/>
    <w:basedOn w:val="24"/>
    <w:qFormat/>
    <w:uiPriority w:val="99"/>
    <w:pPr>
      <w:framePr w:wrap="around"/>
      <w:spacing w:after="160" w:line="240" w:lineRule="auto"/>
    </w:pPr>
    <w:rPr>
      <w:sz w:val="24"/>
    </w:rPr>
  </w:style>
  <w:style w:type="paragraph" w:customStyle="1" w:styleId="26">
    <w:name w:val="封面标准文稿编辑信息"/>
    <w:basedOn w:val="25"/>
    <w:qFormat/>
    <w:uiPriority w:val="99"/>
    <w:pPr>
      <w:framePr w:wrap="around"/>
      <w:spacing w:before="180" w:line="180" w:lineRule="exact"/>
    </w:pPr>
    <w:rPr>
      <w:sz w:val="21"/>
    </w:rPr>
  </w:style>
  <w:style w:type="paragraph" w:customStyle="1" w:styleId="27">
    <w:name w:val="其他发布日期"/>
    <w:basedOn w:val="28"/>
    <w:qFormat/>
    <w:uiPriority w:val="99"/>
    <w:pPr>
      <w:framePr w:wrap="around" w:vAnchor="page" w:hAnchor="text" w:x="1419"/>
    </w:pPr>
  </w:style>
  <w:style w:type="paragraph" w:customStyle="1" w:styleId="28">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9">
    <w:name w:val="其他实施日期"/>
    <w:basedOn w:val="30"/>
    <w:qFormat/>
    <w:uiPriority w:val="99"/>
    <w:pPr>
      <w:framePr w:wrap="around"/>
    </w:pPr>
  </w:style>
  <w:style w:type="paragraph" w:customStyle="1" w:styleId="30">
    <w:name w:val="实施日期"/>
    <w:basedOn w:val="28"/>
    <w:qFormat/>
    <w:uiPriority w:val="99"/>
    <w:pPr>
      <w:framePr w:wrap="around" w:vAnchor="page" w:hAnchor="text"/>
      <w:jc w:val="right"/>
    </w:pPr>
  </w:style>
  <w:style w:type="paragraph" w:customStyle="1" w:styleId="31">
    <w:name w:val="其他发布部门"/>
    <w:basedOn w:val="32"/>
    <w:qFormat/>
    <w:uiPriority w:val="99"/>
    <w:pPr>
      <w:framePr w:wrap="around" w:y="15310"/>
      <w:spacing w:line="240" w:lineRule="atLeast"/>
    </w:pPr>
    <w:rPr>
      <w:rFonts w:ascii="黑体" w:eastAsia="黑体"/>
      <w:b w:val="0"/>
    </w:rPr>
  </w:style>
  <w:style w:type="paragraph" w:customStyle="1" w:styleId="32">
    <w:name w:val="发布部门"/>
    <w:next w:val="33"/>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3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4">
    <w:name w:val="发布"/>
    <w:qFormat/>
    <w:uiPriority w:val="99"/>
    <w:rPr>
      <w:rFonts w:ascii="黑体" w:eastAsia="黑体"/>
      <w:spacing w:val="85"/>
      <w:w w:val="100"/>
      <w:position w:val="3"/>
      <w:sz w:val="28"/>
    </w:rPr>
  </w:style>
  <w:style w:type="paragraph" w:customStyle="1" w:styleId="35">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6">
    <w:name w:val="前言、引言标题"/>
    <w:next w:val="33"/>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7">
    <w:name w:val="目次、标准名称标题"/>
    <w:basedOn w:val="1"/>
    <w:next w:val="33"/>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8">
    <w:name w:val="章标题"/>
    <w:next w:val="33"/>
    <w:qFormat/>
    <w:uiPriority w:val="99"/>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styleId="39">
    <w:name w:val="List Paragraph"/>
    <w:basedOn w:val="1"/>
    <w:qFormat/>
    <w:uiPriority w:val="99"/>
    <w:pPr>
      <w:ind w:firstLine="420" w:firstLineChars="200"/>
    </w:pPr>
  </w:style>
  <w:style w:type="paragraph" w:customStyle="1" w:styleId="40">
    <w:name w:val="一级条标题"/>
    <w:next w:val="33"/>
    <w:qFormat/>
    <w:uiPriority w:val="99"/>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1">
    <w:name w:val="二级条标题"/>
    <w:basedOn w:val="40"/>
    <w:next w:val="33"/>
    <w:qFormat/>
    <w:uiPriority w:val="99"/>
    <w:pPr>
      <w:numPr>
        <w:ilvl w:val="2"/>
      </w:numPr>
      <w:spacing w:before="50" w:after="50"/>
      <w:outlineLvl w:val="3"/>
    </w:pPr>
  </w:style>
  <w:style w:type="paragraph" w:customStyle="1" w:styleId="4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附录标识"/>
    <w:basedOn w:val="1"/>
    <w:next w:val="33"/>
    <w:qFormat/>
    <w:uiPriority w:val="99"/>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44">
    <w:name w:val="附录章标题"/>
    <w:next w:val="33"/>
    <w:qFormat/>
    <w:uiPriority w:val="99"/>
    <w:pPr>
      <w:numPr>
        <w:ilvl w:val="1"/>
        <w:numId w:val="3"/>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45">
    <w:name w:val="终结线"/>
    <w:basedOn w:val="1"/>
    <w:qFormat/>
    <w:uiPriority w:val="99"/>
    <w:pPr>
      <w:framePr w:hSpace="181" w:vSpace="181" w:wrap="around" w:vAnchor="text" w:hAnchor="margin" w:xAlign="center" w:y="285"/>
    </w:pPr>
  </w:style>
  <w:style w:type="paragraph" w:customStyle="1" w:styleId="46">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7">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48">
    <w:name w:val="附录公式编号制表符"/>
    <w:basedOn w:val="1"/>
    <w:next w:val="33"/>
    <w:qFormat/>
    <w:uiPriority w:val="0"/>
    <w:pPr>
      <w:widowControl/>
      <w:tabs>
        <w:tab w:val="center" w:pos="4201"/>
        <w:tab w:val="right" w:leader="dot" w:pos="9298"/>
      </w:tabs>
      <w:autoSpaceDE w:val="0"/>
      <w:autoSpaceDN w:val="0"/>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2925</Words>
  <Characters>3843</Characters>
  <Lines>0</Lines>
  <Paragraphs>0</Paragraphs>
  <TotalTime>4</TotalTime>
  <ScaleCrop>false</ScaleCrop>
  <LinksUpToDate>false</LinksUpToDate>
  <CharactersWithSpaces>4156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2023-03-06T01:05:00Z</dcterms:created>
  <dc:creator>Linna</dc:creator>
  <cp:lastModifiedBy>Linna</cp:lastModifiedBy>
  <dcterms:modified xsi:type="dcterms:W3CDTF">2023-03-06T01:12:37Z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ED0D43273AB54AD8904AAFF147865410</vt:lpwstr>
  </property>
</Properties>
</file>