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tcPr>
          <w:p>
            <w:pPr>
              <w:pStyle w:val="96"/>
              <w:framePr w:wrap="around"/>
            </w:pPr>
            <w:r>
              <w:rPr>
                <w:rFonts w:hint="eastAsia"/>
              </w:rPr>
              <w:t>×××</w:t>
            </w:r>
          </w:p>
          <w:p>
            <w:pPr>
              <w:pStyle w:val="96"/>
              <w:framePr w:wrap="around"/>
              <w:rPr>
                <w:rFonts w:ascii="Times New Roman"/>
              </w:rPr>
            </w:pPr>
            <w:r>
              <w:rPr>
                <w:rFonts w:ascii="Times New Roman"/>
              </w:rPr>
              <w:t>ICS 91.×××</w:t>
            </w:r>
            <w:r>
              <w:rPr>
                <w:rFonts w:ascii="Times New Roman"/>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1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J6n&#10;HDywAQAAaAMAAA4AAAAAAAAAAQAgAAAAJAEAAGRycy9lMm9Eb2MueG1sUEsFBgAAAAAGAAYAWQEA&#10;AEYFAAAAAA==&#10;">
                      <v:fill on="t" focussize="0,0"/>
                      <v:stroke on="f"/>
                      <v:imagedata o:title=""/>
                      <o:lock v:ext="edit" aspectratio="f"/>
                    </v:rect>
                  </w:pict>
                </mc:Fallback>
              </mc:AlternateContent>
            </w:r>
          </w:p>
        </w:tc>
      </w:tr>
    </w:tbl>
    <w:p>
      <w:pPr>
        <w:pStyle w:val="91"/>
        <w:framePr w:wrap="around"/>
        <w:rPr>
          <w:rFonts w:ascii="Times New Roman"/>
        </w:rPr>
      </w:pPr>
      <w:r>
        <w:rPr>
          <w:rFonts w:ascii="Times New Roman"/>
        </w:rPr>
        <w:t>T/CECS 1000X—</w:t>
      </w:r>
      <w:bookmarkStart w:id="0" w:name="StdNo2"/>
      <w:r>
        <w:rPr>
          <w:rFonts w:ascii="Times New Roman"/>
        </w:rPr>
        <w:fldChar w:fldCharType="begin">
          <w:ffData>
            <w:name w:val="StdNo2"/>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tcPr>
          <w:p>
            <w:pPr>
              <w:pStyle w:val="70"/>
              <w:framePr w:wrap="around"/>
              <w:rPr>
                <w:rFonts w:ascii="Times New Roman"/>
              </w:rPr>
            </w:pPr>
            <w:bookmarkStart w:id="1" w:name="DT"/>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eYPLL1gAAAAgB&#10;AAAPAAAAAAAAAAEAIAAAACIAAABkcnMvZG93bnJldi54bWxQSwECFAAUAAAACACHTuJAG9QfkqsB&#10;AABoAwAADgAAAAAAAAABACAAAAAlAQAAZHJzL2Uyb0RvYy54bWxQSwUGAAAAAAYABgBZAQAAQgUA&#10;AAAA&#10;">
                      <v:fill on="t" focussize="0,0"/>
                      <v:stroke on="f"/>
                      <v:imagedata o:title=""/>
                      <o:lock v:ext="edit" aspectratio="f"/>
                    </v:rect>
                  </w:pict>
                </mc:Fallback>
              </mc:AlternateContent>
            </w:r>
            <w:bookmarkEnd w:id="1"/>
          </w:p>
        </w:tc>
      </w:tr>
    </w:tbl>
    <w:p>
      <w:pPr>
        <w:pStyle w:val="91"/>
        <w:framePr w:wrap="around"/>
        <w:rPr>
          <w:rFonts w:ascii="Times New Roman"/>
        </w:rPr>
      </w:pPr>
    </w:p>
    <w:p>
      <w:pPr>
        <w:pStyle w:val="91"/>
        <w:framePr w:wrap="around"/>
        <w:rPr>
          <w:rFonts w:ascii="Times New Roman"/>
        </w:rPr>
      </w:pPr>
    </w:p>
    <w:p>
      <w:pPr>
        <w:pStyle w:val="80"/>
        <w:framePr w:wrap="around" w:x="1471" w:y="6261"/>
        <w:rPr>
          <w:rFonts w:ascii="Times New Roman"/>
        </w:rPr>
      </w:pPr>
      <w:r>
        <w:rPr>
          <w:rFonts w:ascii="Times New Roman"/>
        </w:rPr>
        <w:t>绿色建材评价 成型钢筋制品</w:t>
      </w:r>
    </w:p>
    <w:p>
      <w:pPr>
        <w:pStyle w:val="79"/>
        <w:framePr w:wrap="around" w:x="1471" w:y="6261"/>
      </w:pPr>
      <w:r>
        <w:t>Assessment standard for green building materials fabricated</w:t>
      </w:r>
    </w:p>
    <w:p>
      <w:pPr>
        <w:pStyle w:val="79"/>
        <w:framePr w:wrap="around" w:x="1471" w:y="6261"/>
      </w:pPr>
      <w:r>
        <w:t>steel bars</w:t>
      </w:r>
    </w:p>
    <w:p>
      <w:pPr>
        <w:pStyle w:val="78"/>
        <w:framePr w:wrap="around" w:x="1471" w:y="6261"/>
        <w:rPr>
          <w:rFonts w:ascii="Times New Roman"/>
        </w:rPr>
      </w:pP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9855" w:type="dxa"/>
            <w:tcBorders>
              <w:top w:val="nil"/>
              <w:left w:val="nil"/>
              <w:bottom w:val="nil"/>
              <w:right w:val="nil"/>
            </w:tcBorders>
            <w:noWrap/>
          </w:tcPr>
          <w:p>
            <w:pPr>
              <w:pStyle w:val="85"/>
              <w:framePr w:wrap="around" w:x="1471" w:y="6261"/>
              <w:rPr>
                <w:rFonts w:ascii="Times New Roman"/>
              </w:rPr>
            </w:pPr>
            <w:r>
              <w:rPr>
                <w:rFonts w:ascii="Times New Roman"/>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14"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WJrpLVAAAACgEA&#10;AA8AAAAAAAAAAQAgAAAAIgAAAGRycy9kb3ducmV2LnhtbFBLAQIUABQAAAAIAIdO4kCBRmo5qwEA&#10;AGgDAAAOAAAAAAAAAAEAIAAAACQBAABkcnMvZTJvRG9jLnhtbFBLBQYAAAAABgAGAFkBAABBBQAA&#10;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13"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D4Yvl1gAAAAkB&#10;AAAPAAAAAAAAAAEAIAAAACIAAABkcnMvZG93bnJldi54bWxQSwECFAAUAAAACACHTuJA2yStfqsB&#10;AABoAwAADgAAAAAAAAABACAAAAAlAQAAZHJzL2Uyb0RvYy54bWxQSwUGAAAAAAYABgBZAQAAQgUA&#10;AAAA&#10;">
                      <v:fill on="t" focussize="0,0"/>
                      <v:stroke on="f"/>
                      <v:imagedata o:title=""/>
                      <o:lock v:ext="edit" aspectratio="f"/>
                    </v:rect>
                  </w:pict>
                </mc:Fallback>
              </mc:AlternateContent>
            </w:r>
            <w:r>
              <w:rPr>
                <w:rFonts w:ascii="Times New Roman"/>
              </w:rPr>
              <w:t>（征求意见稿）</w:t>
            </w:r>
            <w:bookmarkStart w:id="77" w:name="_GoBack"/>
            <w:bookmarkEnd w:id="7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tcPr>
          <w:p>
            <w:pPr>
              <w:pStyle w:val="84"/>
              <w:framePr w:wrap="around" w:x="1471" w:y="6261"/>
              <w:rPr>
                <w:rFonts w:ascii="Times New Roman"/>
              </w:rPr>
            </w:pPr>
          </w:p>
        </w:tc>
      </w:tr>
    </w:tbl>
    <w:p>
      <w:pPr>
        <w:pStyle w:val="81"/>
        <w:framePr w:wrap="around" w:hAnchor="page" w:x="1491" w:y="14113"/>
      </w:pPr>
      <w:bookmarkStart w:id="2" w:name="FY"/>
      <w:r>
        <w:fldChar w:fldCharType="begin">
          <w:ffData>
            <w:name w:val="FY"/>
            <w:enabled/>
            <w:calcOnExit w:val="0"/>
            <w:entryMacro w:val="ShowHelp8"/>
            <w:textInput>
              <w:default w:val="XXXX"/>
              <w:maxLength w:val="4"/>
            </w:textInput>
          </w:ffData>
        </w:fldChar>
      </w:r>
      <w:r>
        <w:instrText xml:space="preserve"> FORMTEXT </w:instrText>
      </w:r>
      <w:r>
        <w:fldChar w:fldCharType="separate"/>
      </w:r>
      <w:r>
        <w:t>XXXX</w:t>
      </w:r>
      <w:r>
        <w:fldChar w:fldCharType="end"/>
      </w:r>
      <w:bookmarkEnd w:id="2"/>
      <w:r>
        <w:t>-</w:t>
      </w:r>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r>
        <w:t>-</w:t>
      </w:r>
      <w:bookmarkStart w:id="3"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3"/>
      <w: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9251315</wp:posOffset>
                </wp:positionV>
                <wp:extent cx="6120130" cy="0"/>
                <wp:effectExtent l="0" t="0" r="33020" b="1905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45pt;height:0pt;width:481.9pt;mso-position-vertical-relative:page;z-index:251662336;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jLS/z1wAAAAsBAAAPAAAA&#10;AAAAAAEAIAAAACIAAABkcnMvZG93bnJldi54bWxQSwECFAAUAAAACACHTuJA85EcDN0BAADQAwAA&#10;DgAAAAAAAAABACAAAAAmAQAAZHJzL2Uyb0RvYy54bWxQSwUGAAAAAAYABgBZAQAAdQUAAAAA&#10;">
                <v:fill on="f" focussize="0,0"/>
                <v:stroke color="#000000" joinstyle="round"/>
                <v:imagedata o:title=""/>
                <o:lock v:ext="edit" aspectratio="f"/>
                <w10:anchorlock/>
              </v:line>
            </w:pict>
          </mc:Fallback>
        </mc:AlternateContent>
      </w:r>
    </w:p>
    <w:p>
      <w:pPr>
        <w:pStyle w:val="83"/>
        <w:framePr w:wrap="around" w:hAnchor="page" w:x="7113" w:y="14126"/>
      </w:pPr>
      <w:bookmarkStart w:id="4" w:name="SY"/>
      <w:r>
        <w:fldChar w:fldCharType="begin">
          <w:ffData>
            <w:name w:val="SY"/>
            <w:enabled/>
            <w:calcOnExit w:val="0"/>
            <w:entryMacro w:val="ShowHelp9"/>
            <w:textInput>
              <w:default w:val="XXXX"/>
              <w:maxLength w:val="4"/>
            </w:textInput>
          </w:ffData>
        </w:fldChar>
      </w:r>
      <w:r>
        <w:instrText xml:space="preserve"> FORMTEXT </w:instrText>
      </w:r>
      <w:r>
        <w:fldChar w:fldCharType="separate"/>
      </w:r>
      <w:r>
        <w:t>XXXX</w:t>
      </w:r>
      <w:r>
        <w:fldChar w:fldCharType="end"/>
      </w:r>
      <w:bookmarkEnd w:id="4"/>
      <w:r>
        <w:t>-</w:t>
      </w:r>
      <w:bookmarkStart w:id="5" w:name="SM"/>
      <w:r>
        <w:fldChar w:fldCharType="begin">
          <w:ffData>
            <w:name w:val="SM"/>
            <w:enabled/>
            <w:calcOnExit w:val="0"/>
            <w:entryMacro w:val="ShowHelp9"/>
            <w:textInput>
              <w:default w:val="XX"/>
              <w:maxLength w:val="2"/>
            </w:textInput>
          </w:ffData>
        </w:fldChar>
      </w:r>
      <w:r>
        <w:instrText xml:space="preserve"> FORMTEXT </w:instrText>
      </w:r>
      <w:r>
        <w:fldChar w:fldCharType="separate"/>
      </w:r>
      <w:r>
        <w:t>XX</w:t>
      </w:r>
      <w:r>
        <w:fldChar w:fldCharType="end"/>
      </w:r>
      <w:bookmarkEnd w:id="5"/>
      <w:r>
        <w:t>-</w:t>
      </w:r>
      <w:bookmarkStart w:id="6" w:name="SD"/>
      <w:r>
        <w:fldChar w:fldCharType="begin">
          <w:ffData>
            <w:name w:val="SD"/>
            <w:enabled/>
            <w:calcOnExit w:val="0"/>
            <w:entryMacro w:val="ShowHelp9"/>
            <w:textInput>
              <w:default w:val="XX"/>
              <w:maxLength w:val="2"/>
            </w:textInput>
          </w:ffData>
        </w:fldChar>
      </w:r>
      <w:r>
        <w:instrText xml:space="preserve"> FORMTEXT </w:instrText>
      </w:r>
      <w:r>
        <w:fldChar w:fldCharType="separate"/>
      </w:r>
      <w:r>
        <w:t>XX</w:t>
      </w:r>
      <w:r>
        <w:fldChar w:fldCharType="end"/>
      </w:r>
      <w:bookmarkEnd w:id="6"/>
      <w:r>
        <w:t>实施</w:t>
      </w:r>
    </w:p>
    <w:p>
      <w:pPr>
        <w:pStyle w:val="123"/>
        <w:framePr w:wrap="around"/>
        <w:rPr>
          <w:rFonts w:ascii="Times New Roman"/>
        </w:rPr>
      </w:pPr>
      <w:r>
        <w:rPr>
          <w:rFonts w:ascii="Times New Roman"/>
        </w:rPr>
        <w:t>中国工程建设标准化协会</w:t>
      </w:r>
      <w:r>
        <w:rPr>
          <w:rFonts w:ascii="Times New Roman" w:eastAsia="MS Mincho"/>
        </w:rPr>
        <w:t>   </w:t>
      </w:r>
      <w:r>
        <w:rPr>
          <w:rStyle w:val="51"/>
          <w:rFonts w:ascii="Times New Roman"/>
        </w:rPr>
        <w:t>发布</w:t>
      </w:r>
    </w:p>
    <w:p>
      <w:pPr>
        <w:pStyle w:val="25"/>
        <w:rPr>
          <w:rFonts w:ascii="Times New Roman"/>
        </w:rPr>
        <w:sectPr>
          <w:pgSz w:w="11906" w:h="16838"/>
          <w:pgMar w:top="567" w:right="850" w:bottom="1134" w:left="1418" w:header="0" w:footer="0" w:gutter="0"/>
          <w:pgNumType w:start="1"/>
          <w:cols w:space="720" w:num="1"/>
          <w:docGrid w:type="lines" w:linePitch="312" w:charSpace="0"/>
        </w:sectPr>
      </w:pPr>
      <w:r>
        <w:rPr>
          <w:rFonts w:ascii="Times New Roman"/>
        </w:rPr>
        <mc:AlternateContent>
          <mc:Choice Requires="wps">
            <w:drawing>
              <wp:anchor distT="0" distB="0" distL="114300" distR="114300" simplePos="0" relativeHeight="251665408" behindDoc="0" locked="0" layoutInCell="1" allowOverlap="1">
                <wp:simplePos x="0" y="0"/>
                <wp:positionH relativeFrom="column">
                  <wp:posOffset>-24130</wp:posOffset>
                </wp:positionH>
                <wp:positionV relativeFrom="paragraph">
                  <wp:posOffset>9291955</wp:posOffset>
                </wp:positionV>
                <wp:extent cx="6120130" cy="0"/>
                <wp:effectExtent l="0" t="0" r="33020" b="19050"/>
                <wp:wrapNone/>
                <wp:docPr id="1"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1.9pt;margin-top:731.65pt;height:0pt;width:481.9pt;z-index:251665408;mso-width-relative:page;mso-height-relative:page;" filled="f" stroked="t" coordsize="21600,21600" o:gfxdata="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WcWLNYAAAAMAQAADwAA&#10;AAAAAAABACAAAAAiAAAAZHJzL2Rvd25yZXYueG1sUEsBAhQAFAAAAAgAh07iQHud8w/fAQAA0AMA&#10;AA4AAAAAAAAAAQAgAAAAJQEAAGRycy9lMm9Eb2MueG1sUEsFBgAAAAAGAAYAWQEAAHYFAAAAAA==&#10;">
                <v:fill on="f" focussize="0,0"/>
                <v:stroke color="#000000" joinstyle="round"/>
                <v:imagedata o:title=""/>
                <o:lock v:ext="edit" aspectratio="f"/>
              </v:line>
            </w:pict>
          </mc:Fallback>
        </mc:AlternateContent>
      </w:r>
      <w:r>
        <w:rPr>
          <w:rFonts w:ascii="Times New Roman"/>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965835</wp:posOffset>
                </wp:positionV>
                <wp:extent cx="6119495" cy="695325"/>
                <wp:effectExtent l="0" t="0" r="14605" b="10160"/>
                <wp:wrapNone/>
                <wp:docPr id="7" name="文本框 37"/>
                <wp:cNvGraphicFramePr/>
                <a:graphic xmlns:a="http://schemas.openxmlformats.org/drawingml/2006/main">
                  <a:graphicData uri="http://schemas.microsoft.com/office/word/2010/wordprocessingShape">
                    <wps:wsp>
                      <wps:cNvSpPr txBox="1"/>
                      <wps:spPr>
                        <a:xfrm>
                          <a:off x="0" y="0"/>
                          <a:ext cx="6119495" cy="6953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distribute"/>
                              <w:rPr>
                                <w:rFonts w:ascii="黑体" w:hAnsi="黑体" w:eastAsia="黑体"/>
                                <w:sz w:val="72"/>
                                <w:szCs w:val="72"/>
                              </w:rPr>
                            </w:pPr>
                            <w:r>
                              <w:rPr>
                                <w:rFonts w:hint="eastAsia" w:ascii="黑体" w:hAnsi="黑体" w:eastAsia="黑体"/>
                                <w:sz w:val="72"/>
                                <w:szCs w:val="72"/>
                              </w:rPr>
                              <w:t>团体标准</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 id="文本框 37" o:spid="_x0000_s1026" o:spt="202" type="#_x0000_t202" style="position:absolute;left:0pt;margin-left:-0.45pt;margin-top:76.05pt;height:54.75pt;width:481.85pt;z-index:251664384;mso-width-relative:page;mso-height-relative:margin;mso-height-percent:200;" fillcolor="#FFFFFF" filled="t" stroked="t" coordsize="21600,21600" o:gfxdata="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qGEjZ2QAA&#10;AAkBAAAPAAAAAAAAAAEAIAAAACIAAABkcnMvZG93bnJldi54bWxQSwECFAAUAAAACACHTuJAMF4a&#10;8h0CAABfBAAADgAAAAAAAAABACAAAAAoAQAAZHJzL2Uyb0RvYy54bWxQSwUGAAAAAAYABgBZAQAA&#10;twUAAAAA&#10;">
                <v:fill on="t" focussize="0,0"/>
                <v:stroke color="#FFFFFF" joinstyle="miter"/>
                <v:imagedata o:title=""/>
                <o:lock v:ext="edit" aspectratio="f"/>
                <v:textbox style="mso-fit-shape-to-text:t;">
                  <w:txbxContent>
                    <w:p>
                      <w:pPr>
                        <w:jc w:val="distribute"/>
                        <w:rPr>
                          <w:rFonts w:ascii="黑体" w:hAnsi="黑体" w:eastAsia="黑体"/>
                          <w:sz w:val="72"/>
                          <w:szCs w:val="72"/>
                        </w:rPr>
                      </w:pPr>
                      <w:r>
                        <w:rPr>
                          <w:rFonts w:hint="eastAsia" w:ascii="黑体" w:hAnsi="黑体" w:eastAsia="黑体"/>
                          <w:sz w:val="72"/>
                          <w:szCs w:val="72"/>
                        </w:rPr>
                        <w:t>团体标准</w:t>
                      </w:r>
                    </w:p>
                  </w:txbxContent>
                </v:textbox>
              </v:shape>
            </w:pict>
          </mc:Fallback>
        </mc:AlternateContent>
      </w: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2339340</wp:posOffset>
                </wp:positionV>
                <wp:extent cx="6120130" cy="0"/>
                <wp:effectExtent l="0" t="0" r="33020" b="1905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pt;height:0pt;width:481.9pt;z-index:251663360;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XW8AjXAAAACQEAAA8A&#10;AAAAAAAAAQAgAAAAIgAAAGRycy9kb3ducmV2LnhtbFBLAQIUABQAAAAIAIdO4kAyqset3wEAANAD&#10;AAAOAAAAAAAAAAEAIAAAACYBAABkcnMvZTJvRG9jLnhtbFBLBQYAAAAABgAGAFkBAAB3BQAAAAA=&#10;">
                <v:fill on="f" focussize="0,0"/>
                <v:stroke color="#000000" joinstyle="round"/>
                <v:imagedata o:title=""/>
                <o:lock v:ext="edit" aspectratio="f"/>
              </v:line>
            </w:pict>
          </mc:Fallback>
        </mc:AlternateContent>
      </w:r>
    </w:p>
    <w:p>
      <w:pPr>
        <w:pStyle w:val="141"/>
        <w:rPr>
          <w:rFonts w:ascii="Times New Roman"/>
        </w:rPr>
      </w:pPr>
      <w:r>
        <w:rPr>
          <w:rFonts w:ascii="Times New Roman"/>
        </w:rPr>
        <w:t>目</w:t>
      </w:r>
      <w:bookmarkStart w:id="7" w:name="BKML"/>
      <w:r>
        <w:rPr>
          <w:rFonts w:ascii="Times New Roman" w:eastAsia="MS Mincho"/>
        </w:rPr>
        <w:t>  </w:t>
      </w:r>
      <w:r>
        <w:rPr>
          <w:rFonts w:ascii="Times New Roman"/>
        </w:rPr>
        <w:t>次</w:t>
      </w:r>
      <w:bookmarkEnd w:id="7"/>
    </w:p>
    <w:p>
      <w:pPr>
        <w:pStyle w:val="21"/>
        <w:spacing w:before="78" w:after="78"/>
        <w:rPr>
          <w:rFonts w:ascii="Times New Roman"/>
          <w:sz w:val="24"/>
          <w:szCs w:val="24"/>
        </w:rPr>
      </w:pPr>
      <w:r>
        <w:rPr>
          <w:rFonts w:ascii="Times New Roman"/>
          <w:sz w:val="24"/>
          <w:szCs w:val="24"/>
        </w:rPr>
        <w:fldChar w:fldCharType="begin" w:fldLock="1"/>
      </w:r>
      <w:r>
        <w:rPr>
          <w:rFonts w:ascii="Times New Roman"/>
          <w:sz w:val="24"/>
          <w:szCs w:val="24"/>
        </w:rPr>
        <w:instrText xml:space="preserve">TOC \h \z \t"前言、引言标题,1,参考文献、索引标题,1,章标题,1,参考文献,1,附录标识,1,一级条标题, 3" \* MERGEFORMAT</w:instrText>
      </w:r>
      <w:r>
        <w:rPr>
          <w:rFonts w:ascii="Times New Roman"/>
          <w:sz w:val="24"/>
          <w:szCs w:val="24"/>
        </w:rPr>
        <w:fldChar w:fldCharType="separate"/>
      </w:r>
      <w:r>
        <w:fldChar w:fldCharType="begin"/>
      </w:r>
      <w:r>
        <w:instrText xml:space="preserve"> HYPERLINK \l "_Toc524004770" </w:instrText>
      </w:r>
      <w:r>
        <w:fldChar w:fldCharType="separate"/>
      </w:r>
      <w:r>
        <w:rPr>
          <w:rStyle w:val="40"/>
          <w:rFonts w:ascii="Times New Roman"/>
          <w:color w:val="auto"/>
          <w:sz w:val="24"/>
          <w:szCs w:val="24"/>
        </w:rPr>
        <w:t>前言</w:t>
      </w:r>
      <w:r>
        <w:rPr>
          <w:rFonts w:ascii="Times New Roman"/>
          <w:sz w:val="24"/>
          <w:szCs w:val="24"/>
        </w:rPr>
        <w:tab/>
      </w:r>
      <w:r>
        <w:rPr>
          <w:rFonts w:ascii="Times New Roman"/>
          <w:sz w:val="24"/>
          <w:szCs w:val="24"/>
        </w:rPr>
        <w:fldChar w:fldCharType="begin" w:fldLock="1"/>
      </w:r>
      <w:r>
        <w:rPr>
          <w:rFonts w:ascii="Times New Roman"/>
          <w:sz w:val="24"/>
          <w:szCs w:val="24"/>
        </w:rPr>
        <w:instrText xml:space="preserve"> PAGEREF _Toc524004770 \h </w:instrText>
      </w:r>
      <w:r>
        <w:rPr>
          <w:rFonts w:ascii="Times New Roman"/>
          <w:sz w:val="24"/>
          <w:szCs w:val="24"/>
        </w:rPr>
        <w:fldChar w:fldCharType="separate"/>
      </w:r>
      <w:r>
        <w:rPr>
          <w:rFonts w:ascii="Times New Roman"/>
          <w:sz w:val="24"/>
          <w:szCs w:val="24"/>
        </w:rPr>
        <w:t>I</w:t>
      </w:r>
      <w:r>
        <w:rPr>
          <w:rFonts w:ascii="Times New Roman"/>
          <w:sz w:val="24"/>
          <w:szCs w:val="24"/>
        </w:rPr>
        <w:fldChar w:fldCharType="end"/>
      </w:r>
      <w:r>
        <w:rPr>
          <w:rFonts w:ascii="Times New Roman"/>
          <w:sz w:val="24"/>
          <w:szCs w:val="24"/>
        </w:rPr>
        <w:fldChar w:fldCharType="end"/>
      </w:r>
    </w:p>
    <w:p>
      <w:pPr>
        <w:pStyle w:val="21"/>
        <w:spacing w:before="78" w:after="78"/>
        <w:rPr>
          <w:rFonts w:ascii="Times New Roman"/>
          <w:sz w:val="24"/>
          <w:szCs w:val="24"/>
        </w:rPr>
      </w:pPr>
      <w:r>
        <w:fldChar w:fldCharType="begin"/>
      </w:r>
      <w:r>
        <w:instrText xml:space="preserve"> HYPERLINK \l "_Toc524004771" </w:instrText>
      </w:r>
      <w:r>
        <w:fldChar w:fldCharType="separate"/>
      </w:r>
      <w:r>
        <w:rPr>
          <w:rStyle w:val="40"/>
          <w:rFonts w:ascii="Times New Roman"/>
          <w:color w:val="auto"/>
          <w:sz w:val="24"/>
          <w:szCs w:val="24"/>
        </w:rPr>
        <w:t>1 范围</w:t>
      </w:r>
      <w:r>
        <w:rPr>
          <w:rFonts w:ascii="Times New Roman"/>
          <w:sz w:val="24"/>
          <w:szCs w:val="24"/>
        </w:rPr>
        <w:tab/>
      </w:r>
      <w:r>
        <w:rPr>
          <w:rFonts w:ascii="Times New Roman"/>
          <w:sz w:val="24"/>
          <w:szCs w:val="24"/>
        </w:rPr>
        <w:fldChar w:fldCharType="begin" w:fldLock="1"/>
      </w:r>
      <w:r>
        <w:rPr>
          <w:rFonts w:ascii="Times New Roman"/>
          <w:sz w:val="24"/>
          <w:szCs w:val="24"/>
        </w:rPr>
        <w:instrText xml:space="preserve"> PAGEREF _Toc524004771 \h </w:instrText>
      </w:r>
      <w:r>
        <w:rPr>
          <w:rFonts w:ascii="Times New Roman"/>
          <w:sz w:val="24"/>
          <w:szCs w:val="24"/>
        </w:rPr>
        <w:fldChar w:fldCharType="separate"/>
      </w:r>
      <w:r>
        <w:rPr>
          <w:rFonts w:ascii="Times New Roman"/>
          <w:sz w:val="24"/>
          <w:szCs w:val="24"/>
        </w:rPr>
        <w:t>1</w:t>
      </w:r>
      <w:r>
        <w:rPr>
          <w:rFonts w:ascii="Times New Roman"/>
          <w:sz w:val="24"/>
          <w:szCs w:val="24"/>
        </w:rPr>
        <w:fldChar w:fldCharType="end"/>
      </w:r>
      <w:r>
        <w:rPr>
          <w:rFonts w:ascii="Times New Roman"/>
          <w:sz w:val="24"/>
          <w:szCs w:val="24"/>
        </w:rPr>
        <w:fldChar w:fldCharType="end"/>
      </w:r>
    </w:p>
    <w:p>
      <w:pPr>
        <w:pStyle w:val="21"/>
        <w:spacing w:before="78" w:after="78"/>
        <w:rPr>
          <w:rFonts w:ascii="Times New Roman"/>
          <w:sz w:val="24"/>
          <w:szCs w:val="24"/>
        </w:rPr>
      </w:pPr>
      <w:r>
        <w:fldChar w:fldCharType="begin"/>
      </w:r>
      <w:r>
        <w:instrText xml:space="preserve"> HYPERLINK \l "_Toc524004772" </w:instrText>
      </w:r>
      <w:r>
        <w:fldChar w:fldCharType="separate"/>
      </w:r>
      <w:r>
        <w:rPr>
          <w:rStyle w:val="40"/>
          <w:rFonts w:ascii="Times New Roman"/>
          <w:color w:val="auto"/>
          <w:sz w:val="24"/>
          <w:szCs w:val="24"/>
        </w:rPr>
        <w:t>2 规范性引用文件</w:t>
      </w:r>
      <w:r>
        <w:rPr>
          <w:rFonts w:ascii="Times New Roman"/>
          <w:sz w:val="24"/>
          <w:szCs w:val="24"/>
        </w:rPr>
        <w:tab/>
      </w:r>
      <w:r>
        <w:rPr>
          <w:rFonts w:ascii="Times New Roman"/>
          <w:sz w:val="24"/>
          <w:szCs w:val="24"/>
        </w:rPr>
        <w:fldChar w:fldCharType="begin" w:fldLock="1"/>
      </w:r>
      <w:r>
        <w:rPr>
          <w:rFonts w:ascii="Times New Roman"/>
          <w:sz w:val="24"/>
          <w:szCs w:val="24"/>
        </w:rPr>
        <w:instrText xml:space="preserve"> PAGEREF _Toc524004772 \h </w:instrText>
      </w:r>
      <w:r>
        <w:rPr>
          <w:rFonts w:ascii="Times New Roman"/>
          <w:sz w:val="24"/>
          <w:szCs w:val="24"/>
        </w:rPr>
        <w:fldChar w:fldCharType="separate"/>
      </w:r>
      <w:r>
        <w:rPr>
          <w:rFonts w:ascii="Times New Roman"/>
          <w:sz w:val="24"/>
          <w:szCs w:val="24"/>
        </w:rPr>
        <w:t>1</w:t>
      </w:r>
      <w:r>
        <w:rPr>
          <w:rFonts w:ascii="Times New Roman"/>
          <w:sz w:val="24"/>
          <w:szCs w:val="24"/>
        </w:rPr>
        <w:fldChar w:fldCharType="end"/>
      </w:r>
      <w:r>
        <w:rPr>
          <w:rFonts w:ascii="Times New Roman"/>
          <w:sz w:val="24"/>
          <w:szCs w:val="24"/>
        </w:rPr>
        <w:fldChar w:fldCharType="end"/>
      </w:r>
    </w:p>
    <w:p>
      <w:pPr>
        <w:pStyle w:val="21"/>
        <w:spacing w:before="78" w:after="78"/>
        <w:rPr>
          <w:rFonts w:ascii="Times New Roman"/>
          <w:sz w:val="24"/>
          <w:szCs w:val="24"/>
        </w:rPr>
      </w:pPr>
      <w:r>
        <w:fldChar w:fldCharType="begin"/>
      </w:r>
      <w:r>
        <w:instrText xml:space="preserve"> HYPERLINK \l "_Toc524004773" </w:instrText>
      </w:r>
      <w:r>
        <w:fldChar w:fldCharType="separate"/>
      </w:r>
      <w:r>
        <w:rPr>
          <w:rStyle w:val="40"/>
          <w:rFonts w:ascii="Times New Roman"/>
          <w:bCs/>
          <w:color w:val="auto"/>
          <w:sz w:val="24"/>
          <w:szCs w:val="24"/>
        </w:rPr>
        <w:t>3 术语和定义</w:t>
      </w:r>
      <w:r>
        <w:rPr>
          <w:rFonts w:ascii="Times New Roman"/>
          <w:sz w:val="24"/>
          <w:szCs w:val="24"/>
        </w:rPr>
        <w:tab/>
      </w:r>
      <w:r>
        <w:rPr>
          <w:rFonts w:ascii="Times New Roman"/>
          <w:sz w:val="24"/>
          <w:szCs w:val="24"/>
        </w:rPr>
        <w:fldChar w:fldCharType="begin" w:fldLock="1"/>
      </w:r>
      <w:r>
        <w:rPr>
          <w:rFonts w:ascii="Times New Roman"/>
          <w:sz w:val="24"/>
          <w:szCs w:val="24"/>
        </w:rPr>
        <w:instrText xml:space="preserve"> PAGEREF _Toc524004773 \h </w:instrText>
      </w:r>
      <w:r>
        <w:rPr>
          <w:rFonts w:ascii="Times New Roman"/>
          <w:sz w:val="24"/>
          <w:szCs w:val="24"/>
        </w:rPr>
        <w:fldChar w:fldCharType="separate"/>
      </w:r>
      <w:r>
        <w:rPr>
          <w:rFonts w:ascii="Times New Roman"/>
          <w:sz w:val="24"/>
          <w:szCs w:val="24"/>
        </w:rPr>
        <w:t>1</w:t>
      </w:r>
      <w:r>
        <w:rPr>
          <w:rFonts w:ascii="Times New Roman"/>
          <w:sz w:val="24"/>
          <w:szCs w:val="24"/>
        </w:rPr>
        <w:fldChar w:fldCharType="end"/>
      </w:r>
      <w:r>
        <w:rPr>
          <w:rFonts w:ascii="Times New Roman"/>
          <w:sz w:val="24"/>
          <w:szCs w:val="24"/>
        </w:rPr>
        <w:fldChar w:fldCharType="end"/>
      </w:r>
    </w:p>
    <w:p>
      <w:pPr>
        <w:pStyle w:val="21"/>
        <w:spacing w:before="78" w:after="78"/>
        <w:rPr>
          <w:rFonts w:ascii="Times New Roman"/>
          <w:sz w:val="24"/>
          <w:szCs w:val="24"/>
        </w:rPr>
      </w:pPr>
      <w:r>
        <w:fldChar w:fldCharType="begin"/>
      </w:r>
      <w:r>
        <w:instrText xml:space="preserve"> HYPERLINK \l "_Toc524004783" </w:instrText>
      </w:r>
      <w:r>
        <w:fldChar w:fldCharType="separate"/>
      </w:r>
      <w:r>
        <w:rPr>
          <w:rStyle w:val="40"/>
          <w:rFonts w:ascii="Times New Roman"/>
          <w:bCs/>
          <w:color w:val="auto"/>
          <w:sz w:val="24"/>
          <w:szCs w:val="24"/>
        </w:rPr>
        <w:t>4 评价要求</w:t>
      </w:r>
      <w:r>
        <w:rPr>
          <w:rFonts w:ascii="Times New Roman"/>
          <w:sz w:val="24"/>
          <w:szCs w:val="24"/>
        </w:rPr>
        <w:tab/>
      </w:r>
      <w:r>
        <w:rPr>
          <w:rFonts w:ascii="Times New Roman"/>
          <w:sz w:val="24"/>
          <w:szCs w:val="24"/>
        </w:rPr>
        <w:t>3</w:t>
      </w:r>
      <w:r>
        <w:rPr>
          <w:rFonts w:ascii="Times New Roman"/>
          <w:sz w:val="24"/>
          <w:szCs w:val="24"/>
        </w:rPr>
        <w:fldChar w:fldCharType="end"/>
      </w:r>
    </w:p>
    <w:p>
      <w:pPr>
        <w:pStyle w:val="21"/>
        <w:spacing w:before="78" w:after="78"/>
        <w:rPr>
          <w:rFonts w:ascii="Times New Roman"/>
          <w:sz w:val="24"/>
          <w:szCs w:val="24"/>
        </w:rPr>
      </w:pPr>
      <w:r>
        <w:fldChar w:fldCharType="begin"/>
      </w:r>
      <w:r>
        <w:instrText xml:space="preserve"> HYPERLINK \l "_Toc524004788" </w:instrText>
      </w:r>
      <w:r>
        <w:fldChar w:fldCharType="separate"/>
      </w:r>
      <w:r>
        <w:rPr>
          <w:rStyle w:val="40"/>
          <w:rFonts w:ascii="Times New Roman"/>
          <w:bCs/>
          <w:color w:val="auto"/>
          <w:sz w:val="24"/>
          <w:szCs w:val="24"/>
        </w:rPr>
        <w:t>5 评价方法</w:t>
      </w:r>
      <w:r>
        <w:rPr>
          <w:rFonts w:ascii="Times New Roman"/>
          <w:sz w:val="24"/>
          <w:szCs w:val="24"/>
        </w:rPr>
        <w:tab/>
      </w:r>
      <w:r>
        <w:rPr>
          <w:rFonts w:ascii="Times New Roman"/>
          <w:sz w:val="24"/>
          <w:szCs w:val="24"/>
        </w:rPr>
        <w:t>4</w:t>
      </w:r>
      <w:r>
        <w:rPr>
          <w:rFonts w:ascii="Times New Roman"/>
          <w:sz w:val="24"/>
          <w:szCs w:val="24"/>
        </w:rPr>
        <w:fldChar w:fldCharType="end"/>
      </w:r>
    </w:p>
    <w:p>
      <w:pPr>
        <w:pStyle w:val="21"/>
        <w:spacing w:before="78" w:after="78"/>
        <w:rPr>
          <w:rFonts w:ascii="Times New Roman"/>
          <w:sz w:val="24"/>
          <w:szCs w:val="24"/>
        </w:rPr>
      </w:pPr>
      <w:r>
        <w:fldChar w:fldCharType="begin"/>
      </w:r>
      <w:r>
        <w:instrText xml:space="preserve"> HYPERLINK \l "_Toc524004822" </w:instrText>
      </w:r>
      <w:r>
        <w:fldChar w:fldCharType="separate"/>
      </w:r>
      <w:r>
        <w:rPr>
          <w:rStyle w:val="40"/>
          <w:rFonts w:ascii="Times New Roman"/>
          <w:color w:val="auto"/>
          <w:sz w:val="24"/>
          <w:szCs w:val="24"/>
        </w:rPr>
        <w:t>附录A（规范性附录）成型钢筋制品评价指标计算方法</w:t>
      </w:r>
      <w:r>
        <w:rPr>
          <w:rFonts w:ascii="Times New Roman"/>
          <w:sz w:val="24"/>
          <w:szCs w:val="24"/>
        </w:rPr>
        <w:tab/>
      </w:r>
      <w:r>
        <w:rPr>
          <w:rFonts w:ascii="Times New Roman"/>
          <w:sz w:val="24"/>
          <w:szCs w:val="24"/>
        </w:rPr>
        <w:t>5</w:t>
      </w:r>
      <w:r>
        <w:rPr>
          <w:rFonts w:ascii="Times New Roman"/>
          <w:sz w:val="24"/>
          <w:szCs w:val="24"/>
        </w:rPr>
        <w:fldChar w:fldCharType="end"/>
      </w:r>
      <w:bookmarkStart w:id="8" w:name="MCMW"/>
      <w:bookmarkEnd w:id="8"/>
    </w:p>
    <w:p>
      <w:pPr>
        <w:pStyle w:val="25"/>
        <w:ind w:firstLine="480"/>
        <w:rPr>
          <w:rFonts w:ascii="Times New Roman"/>
          <w:sz w:val="24"/>
          <w:szCs w:val="24"/>
        </w:rPr>
      </w:pPr>
      <w:r>
        <w:rPr>
          <w:rFonts w:ascii="Times New Roman"/>
          <w:sz w:val="24"/>
          <w:szCs w:val="24"/>
        </w:rPr>
        <w:fldChar w:fldCharType="end"/>
      </w: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141"/>
        <w:rPr>
          <w:rFonts w:ascii="Times New Roman"/>
        </w:rPr>
      </w:pPr>
      <w:r>
        <w:rPr>
          <w:rFonts w:ascii="Times New Roman"/>
        </w:rPr>
        <w:t>Contents</w:t>
      </w:r>
    </w:p>
    <w:p>
      <w:pPr>
        <w:pStyle w:val="21"/>
        <w:spacing w:before="78" w:after="78"/>
        <w:rPr>
          <w:rFonts w:ascii="Times New Roman"/>
          <w:szCs w:val="22"/>
        </w:rPr>
      </w:pPr>
      <w:r>
        <w:rPr>
          <w:rFonts w:ascii="Times New Roman"/>
        </w:rPr>
        <w:fldChar w:fldCharType="begin" w:fldLock="1"/>
      </w:r>
      <w:r>
        <w:rPr>
          <w:rFonts w:ascii="Times New Roman"/>
        </w:rPr>
        <w:instrText xml:space="preserve">TOC \h \z \t"前言、引言标题,1,参考文献、索引标题,1,章标题,1,参考文献,1,附录标识,1,一级条标题, 3" \* MERGEFORMAT</w:instrText>
      </w:r>
      <w:r>
        <w:rPr>
          <w:rFonts w:ascii="Times New Roman"/>
        </w:rPr>
        <w:fldChar w:fldCharType="separate"/>
      </w:r>
      <w:r>
        <w:fldChar w:fldCharType="begin"/>
      </w:r>
      <w:r>
        <w:instrText xml:space="preserve"> HYPERLINK \l "_Toc524004770" </w:instrText>
      </w:r>
      <w:r>
        <w:fldChar w:fldCharType="separate"/>
      </w:r>
      <w:r>
        <w:rPr>
          <w:rStyle w:val="40"/>
          <w:rFonts w:ascii="Times New Roman"/>
          <w:color w:val="auto"/>
        </w:rPr>
        <w:t>Foreword</w:t>
      </w:r>
      <w:r>
        <w:rPr>
          <w:rFonts w:ascii="Times New Roman"/>
        </w:rPr>
        <w:tab/>
      </w:r>
      <w:r>
        <w:rPr>
          <w:rFonts w:ascii="Times New Roman"/>
        </w:rPr>
        <w:fldChar w:fldCharType="begin" w:fldLock="1"/>
      </w:r>
      <w:r>
        <w:rPr>
          <w:rFonts w:ascii="Times New Roman"/>
        </w:rPr>
        <w:instrText xml:space="preserve"> PAGEREF _Toc524004770 \h </w:instrText>
      </w:r>
      <w:r>
        <w:rPr>
          <w:rFonts w:ascii="Times New Roman"/>
        </w:rPr>
        <w:fldChar w:fldCharType="separate"/>
      </w:r>
      <w:r>
        <w:rPr>
          <w:rFonts w:ascii="Times New Roman"/>
        </w:rPr>
        <w:t>I</w:t>
      </w:r>
      <w:r>
        <w:rPr>
          <w:rFonts w:ascii="Times New Roman"/>
        </w:rPr>
        <w:fldChar w:fldCharType="end"/>
      </w:r>
      <w:r>
        <w:rPr>
          <w:rFonts w:ascii="Times New Roman"/>
        </w:rPr>
        <w:fldChar w:fldCharType="end"/>
      </w:r>
    </w:p>
    <w:p>
      <w:pPr>
        <w:pStyle w:val="21"/>
        <w:spacing w:before="78" w:after="78"/>
        <w:rPr>
          <w:rFonts w:ascii="Times New Roman"/>
          <w:szCs w:val="22"/>
        </w:rPr>
      </w:pPr>
      <w:r>
        <w:fldChar w:fldCharType="begin"/>
      </w:r>
      <w:r>
        <w:instrText xml:space="preserve"> HYPERLINK \l "_Toc524004771" </w:instrText>
      </w:r>
      <w:r>
        <w:fldChar w:fldCharType="separate"/>
      </w:r>
      <w:r>
        <w:rPr>
          <w:rStyle w:val="40"/>
          <w:rFonts w:ascii="Times New Roman"/>
          <w:color w:val="auto"/>
        </w:rPr>
        <w:t>1 Scope</w:t>
      </w:r>
      <w:r>
        <w:rPr>
          <w:rFonts w:ascii="Times New Roman"/>
        </w:rPr>
        <w:tab/>
      </w:r>
      <w:r>
        <w:rPr>
          <w:rFonts w:ascii="Times New Roman"/>
        </w:rPr>
        <w:fldChar w:fldCharType="begin" w:fldLock="1"/>
      </w:r>
      <w:r>
        <w:rPr>
          <w:rFonts w:ascii="Times New Roman"/>
        </w:rPr>
        <w:instrText xml:space="preserve"> PAGEREF _Toc524004771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21"/>
        <w:spacing w:before="78" w:after="78"/>
        <w:rPr>
          <w:rFonts w:ascii="Times New Roman"/>
          <w:szCs w:val="22"/>
        </w:rPr>
      </w:pPr>
      <w:r>
        <w:fldChar w:fldCharType="begin"/>
      </w:r>
      <w:r>
        <w:instrText xml:space="preserve"> HYPERLINK \l "_Toc524004772" </w:instrText>
      </w:r>
      <w:r>
        <w:fldChar w:fldCharType="separate"/>
      </w:r>
      <w:r>
        <w:rPr>
          <w:rStyle w:val="40"/>
          <w:rFonts w:ascii="Times New Roman"/>
          <w:color w:val="auto"/>
        </w:rPr>
        <w:t>2 Normative references</w:t>
      </w:r>
      <w:r>
        <w:rPr>
          <w:rFonts w:ascii="Times New Roman"/>
        </w:rPr>
        <w:tab/>
      </w:r>
      <w:r>
        <w:rPr>
          <w:rFonts w:ascii="Times New Roman"/>
        </w:rPr>
        <w:fldChar w:fldCharType="begin" w:fldLock="1"/>
      </w:r>
      <w:r>
        <w:rPr>
          <w:rFonts w:ascii="Times New Roman"/>
        </w:rPr>
        <w:instrText xml:space="preserve"> PAGEREF _Toc524004772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21"/>
        <w:spacing w:before="78" w:after="78"/>
        <w:rPr>
          <w:rFonts w:ascii="Times New Roman"/>
          <w:szCs w:val="22"/>
        </w:rPr>
      </w:pPr>
      <w:r>
        <w:fldChar w:fldCharType="begin"/>
      </w:r>
      <w:r>
        <w:instrText xml:space="preserve"> HYPERLINK \l "_Toc524004773" </w:instrText>
      </w:r>
      <w:r>
        <w:fldChar w:fldCharType="separate"/>
      </w:r>
      <w:r>
        <w:rPr>
          <w:rStyle w:val="40"/>
          <w:rFonts w:ascii="Times New Roman"/>
          <w:bCs/>
          <w:color w:val="auto"/>
        </w:rPr>
        <w:t>3 Terms and definitions</w:t>
      </w:r>
      <w:r>
        <w:rPr>
          <w:rFonts w:ascii="Times New Roman"/>
        </w:rPr>
        <w:tab/>
      </w:r>
      <w:r>
        <w:rPr>
          <w:rFonts w:ascii="Times New Roman"/>
        </w:rPr>
        <w:fldChar w:fldCharType="begin" w:fldLock="1"/>
      </w:r>
      <w:r>
        <w:rPr>
          <w:rFonts w:ascii="Times New Roman"/>
        </w:rPr>
        <w:instrText xml:space="preserve"> PAGEREF _Toc524004773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21"/>
        <w:spacing w:before="78" w:after="78"/>
        <w:rPr>
          <w:rFonts w:ascii="Times New Roman"/>
          <w:szCs w:val="22"/>
        </w:rPr>
      </w:pPr>
      <w:r>
        <w:fldChar w:fldCharType="begin"/>
      </w:r>
      <w:r>
        <w:instrText xml:space="preserve"> HYPERLINK \l "_Toc524004783" </w:instrText>
      </w:r>
      <w:r>
        <w:fldChar w:fldCharType="separate"/>
      </w:r>
      <w:r>
        <w:rPr>
          <w:rStyle w:val="40"/>
          <w:rFonts w:ascii="Times New Roman"/>
          <w:bCs/>
          <w:color w:val="auto"/>
        </w:rPr>
        <w:t>4 Assessment requirement</w:t>
      </w:r>
      <w:r>
        <w:rPr>
          <w:rFonts w:ascii="Times New Roman"/>
        </w:rPr>
        <w:tab/>
      </w:r>
      <w:r>
        <w:rPr>
          <w:rFonts w:ascii="Times New Roman"/>
        </w:rPr>
        <w:t>3</w:t>
      </w:r>
      <w:r>
        <w:rPr>
          <w:rFonts w:ascii="Times New Roman"/>
        </w:rPr>
        <w:fldChar w:fldCharType="end"/>
      </w:r>
    </w:p>
    <w:p>
      <w:pPr>
        <w:pStyle w:val="21"/>
        <w:spacing w:before="78" w:after="78"/>
        <w:rPr>
          <w:rFonts w:ascii="Times New Roman"/>
          <w:szCs w:val="22"/>
        </w:rPr>
      </w:pPr>
      <w:r>
        <w:fldChar w:fldCharType="begin"/>
      </w:r>
      <w:r>
        <w:instrText xml:space="preserve"> HYPERLINK \l "_Toc524004788" </w:instrText>
      </w:r>
      <w:r>
        <w:fldChar w:fldCharType="separate"/>
      </w:r>
      <w:r>
        <w:rPr>
          <w:rStyle w:val="40"/>
          <w:rFonts w:ascii="Times New Roman"/>
          <w:bCs/>
          <w:color w:val="auto"/>
        </w:rPr>
        <w:t>5 Assessment method</w:t>
      </w:r>
      <w:r>
        <w:rPr>
          <w:rFonts w:ascii="Times New Roman"/>
        </w:rPr>
        <w:tab/>
      </w:r>
      <w:r>
        <w:rPr>
          <w:rFonts w:ascii="Times New Roman"/>
        </w:rPr>
        <w:t>4</w:t>
      </w:r>
      <w:r>
        <w:rPr>
          <w:rFonts w:ascii="Times New Roman"/>
        </w:rPr>
        <w:fldChar w:fldCharType="end"/>
      </w:r>
    </w:p>
    <w:p>
      <w:pPr>
        <w:pStyle w:val="21"/>
        <w:spacing w:before="78" w:after="78"/>
        <w:rPr>
          <w:rFonts w:ascii="Times New Roman"/>
          <w:szCs w:val="22"/>
        </w:rPr>
      </w:pPr>
      <w:r>
        <w:fldChar w:fldCharType="begin"/>
      </w:r>
      <w:r>
        <w:instrText xml:space="preserve"> HYPERLINK \l "_Toc524004822" </w:instrText>
      </w:r>
      <w:r>
        <w:fldChar w:fldCharType="separate"/>
      </w:r>
      <w:r>
        <w:rPr>
          <w:rStyle w:val="40"/>
          <w:rFonts w:ascii="Times New Roman"/>
          <w:color w:val="auto"/>
        </w:rPr>
        <w:t xml:space="preserve">Annex A（normative）Calculation for part of assessment index of </w:t>
      </w:r>
      <w:r>
        <w:rPr>
          <w:rFonts w:ascii="Times New Roman" w:eastAsia="黑体"/>
        </w:rPr>
        <w:t>fabricated steel bar</w:t>
      </w:r>
      <w:r>
        <w:rPr>
          <w:rFonts w:ascii="Times New Roman"/>
        </w:rPr>
        <w:tab/>
      </w:r>
      <w:r>
        <w:rPr>
          <w:rFonts w:ascii="Times New Roman"/>
        </w:rPr>
        <w:t>5</w:t>
      </w:r>
      <w:r>
        <w:rPr>
          <w:rFonts w:ascii="Times New Roman"/>
        </w:rPr>
        <w:fldChar w:fldCharType="end"/>
      </w:r>
    </w:p>
    <w:p>
      <w:pPr>
        <w:pStyle w:val="25"/>
        <w:rPr>
          <w:rFonts w:ascii="Times New Roman"/>
        </w:rPr>
      </w:pPr>
      <w:r>
        <w:rPr>
          <w:rFonts w:ascii="Times New Roman"/>
        </w:rPr>
        <w:fldChar w:fldCharType="end"/>
      </w:r>
    </w:p>
    <w:p>
      <w:pPr>
        <w:pStyle w:val="25"/>
        <w:ind w:firstLine="0" w:firstLineChars="0"/>
        <w:rPr>
          <w:rFonts w:ascii="Times New Roman"/>
        </w:rPr>
      </w:pPr>
    </w:p>
    <w:p>
      <w:pPr>
        <w:pStyle w:val="54"/>
        <w:rPr>
          <w:rFonts w:ascii="Times New Roman"/>
        </w:rPr>
        <w:sectPr>
          <w:headerReference r:id="rId3" w:type="default"/>
          <w:footerReference r:id="rId4" w:type="default"/>
          <w:pgSz w:w="11906" w:h="16838"/>
          <w:pgMar w:top="1402" w:right="1134" w:bottom="1134" w:left="1418" w:header="1418" w:footer="1134" w:gutter="0"/>
          <w:cols w:space="720" w:num="1"/>
          <w:formProt w:val="0"/>
          <w:docGrid w:type="lines" w:linePitch="312" w:charSpace="0"/>
        </w:sectPr>
      </w:pPr>
      <w:bookmarkStart w:id="9" w:name="_Toc524004770"/>
    </w:p>
    <w:p>
      <w:pPr>
        <w:pStyle w:val="54"/>
        <w:rPr>
          <w:rFonts w:ascii="Times New Roman"/>
        </w:rPr>
      </w:pPr>
      <w:r>
        <w:rPr>
          <w:rFonts w:ascii="Times New Roman"/>
        </w:rPr>
        <w:t>前</w:t>
      </w:r>
      <w:bookmarkStart w:id="10" w:name="BKQY"/>
      <w:r>
        <w:rPr>
          <w:rFonts w:ascii="Times New Roman" w:eastAsia="MS Mincho"/>
        </w:rPr>
        <w:t>  </w:t>
      </w:r>
      <w:r>
        <w:rPr>
          <w:rFonts w:ascii="Times New Roman"/>
        </w:rPr>
        <w:t>言</w:t>
      </w:r>
      <w:bookmarkEnd w:id="9"/>
      <w:bookmarkEnd w:id="10"/>
    </w:p>
    <w:p>
      <w:pPr>
        <w:pStyle w:val="25"/>
        <w:rPr>
          <w:rFonts w:ascii="Times New Roman"/>
        </w:rPr>
      </w:pPr>
      <w:r>
        <w:rPr>
          <w:rFonts w:ascii="Times New Roman"/>
        </w:rPr>
        <w:t>本标准是按中国工程建设标准化协会《关于印发&lt;中国工程建设标准化协会2020年第二批协会标准制定、修订计划&gt;的通知》（建标协字〔2020〕23号）的要求制定。</w:t>
      </w:r>
    </w:p>
    <w:p>
      <w:pPr>
        <w:pStyle w:val="25"/>
        <w:rPr>
          <w:rFonts w:ascii="Times New Roman"/>
        </w:rPr>
      </w:pPr>
      <w:r>
        <w:rPr>
          <w:rFonts w:ascii="Times New Roman"/>
        </w:rPr>
        <w:t>本标准按照GB/T 1.1-2020给出的规则起草。</w:t>
      </w:r>
    </w:p>
    <w:p>
      <w:pPr>
        <w:pStyle w:val="25"/>
        <w:rPr>
          <w:rFonts w:ascii="Times New Roman"/>
        </w:rPr>
      </w:pPr>
      <w:r>
        <w:rPr>
          <w:rFonts w:ascii="Times New Roman"/>
        </w:rPr>
        <w:t>本标准由中国工程建设标准化协会</w:t>
      </w:r>
      <w:r>
        <w:rPr>
          <w:rFonts w:ascii="Times New Roman"/>
          <w:szCs w:val="22"/>
        </w:rPr>
        <w:t>绿色建筑与生态城区专业委员会</w:t>
      </w:r>
      <w:r>
        <w:rPr>
          <w:rFonts w:ascii="Times New Roman"/>
        </w:rPr>
        <w:t>提出并归口。</w:t>
      </w:r>
    </w:p>
    <w:p>
      <w:pPr>
        <w:pStyle w:val="25"/>
        <w:rPr>
          <w:rFonts w:ascii="Times New Roman"/>
        </w:rPr>
      </w:pPr>
      <w:r>
        <w:rPr>
          <w:rFonts w:ascii="Times New Roman"/>
        </w:rPr>
        <w:t>本标准负责起草单位：</w:t>
      </w:r>
      <w:r>
        <w:rPr>
          <w:rFonts w:ascii="Times New Roman"/>
          <w:szCs w:val="22"/>
        </w:rPr>
        <w:t>住房和城乡建设部科技与产业化发展中心</w:t>
      </w:r>
      <w:r>
        <w:rPr>
          <w:rFonts w:ascii="Times New Roman"/>
        </w:rPr>
        <w:t>。</w:t>
      </w:r>
    </w:p>
    <w:p>
      <w:pPr>
        <w:pStyle w:val="25"/>
        <w:rPr>
          <w:rFonts w:ascii="Times New Roman"/>
        </w:rPr>
      </w:pPr>
      <w:r>
        <w:rPr>
          <w:rFonts w:ascii="Times New Roman"/>
        </w:rPr>
        <w:t>本标准参加起草单位：</w:t>
      </w:r>
      <w:r>
        <w:rPr>
          <w:rFonts w:ascii="Times New Roman"/>
          <w:szCs w:val="22"/>
        </w:rPr>
        <w:t xml:space="preserve">中国建筑科学研究院有限公司、廊坊凯博建设机械科技有限公司、中国工程机械工业协会钢筋及预应力机械分会、中国金属材料物流协会钢筋分会、中国建筑学会建筑施工分会、敬业信德钢筋工程有限公司、宁夏凤凰城智能制造有限公司、广西建工集团智慧制造有限公司、陕西五鼎建筑机械有限公司、河南永益同丰智能科技有限公司      </w:t>
      </w:r>
      <w:r>
        <w:rPr>
          <w:rFonts w:ascii="Times New Roman"/>
        </w:rPr>
        <w:t>。</w:t>
      </w:r>
    </w:p>
    <w:p>
      <w:pPr>
        <w:pStyle w:val="25"/>
        <w:rPr>
          <w:rFonts w:ascii="Times New Roman"/>
        </w:rPr>
      </w:pPr>
      <w:r>
        <w:rPr>
          <w:rFonts w:ascii="Times New Roman"/>
        </w:rPr>
        <w:t>本标准主要起草人：           。</w:t>
      </w:r>
    </w:p>
    <w:p>
      <w:pPr>
        <w:pStyle w:val="25"/>
        <w:rPr>
          <w:rFonts w:ascii="Times New Roman"/>
        </w:rPr>
      </w:pPr>
      <w:r>
        <w:rPr>
          <w:rFonts w:ascii="Times New Roman"/>
        </w:rPr>
        <w:t>本标准主要审查人：           。</w:t>
      </w:r>
    </w:p>
    <w:p>
      <w:pPr>
        <w:pStyle w:val="141"/>
        <w:rPr>
          <w:rFonts w:ascii="Times New Roman"/>
        </w:rPr>
        <w:sectPr>
          <w:footerReference r:id="rId5" w:type="default"/>
          <w:pgSz w:w="11906" w:h="16838"/>
          <w:pgMar w:top="1402" w:right="1134" w:bottom="1134" w:left="1418" w:header="1418" w:footer="1134" w:gutter="0"/>
          <w:pgNumType w:start="1"/>
          <w:cols w:space="720" w:num="1"/>
          <w:formProt w:val="0"/>
          <w:docGrid w:type="lines" w:linePitch="312" w:charSpace="0"/>
        </w:sectPr>
      </w:pPr>
    </w:p>
    <w:p>
      <w:pPr>
        <w:pStyle w:val="141"/>
        <w:rPr>
          <w:rFonts w:ascii="Times New Roman"/>
        </w:rPr>
      </w:pPr>
      <w:r>
        <w:rPr>
          <w:rFonts w:ascii="Times New Roman"/>
        </w:rPr>
        <w:t>绿色建材评价 成型钢筋制品</w:t>
      </w:r>
    </w:p>
    <w:p>
      <w:pPr>
        <w:pStyle w:val="103"/>
        <w:spacing w:before="312" w:after="312"/>
        <w:rPr>
          <w:rFonts w:ascii="Times New Roman"/>
        </w:rPr>
      </w:pPr>
      <w:bookmarkStart w:id="11" w:name="_Toc524004350"/>
      <w:bookmarkStart w:id="12" w:name="_Toc524004771"/>
      <w:r>
        <w:rPr>
          <w:rFonts w:ascii="Times New Roman"/>
        </w:rPr>
        <w:t>范围</w:t>
      </w:r>
      <w:bookmarkEnd w:id="11"/>
      <w:bookmarkEnd w:id="12"/>
    </w:p>
    <w:p>
      <w:pPr>
        <w:pStyle w:val="25"/>
        <w:rPr>
          <w:rFonts w:ascii="Times New Roman"/>
        </w:rPr>
      </w:pPr>
      <w:r>
        <w:rPr>
          <w:rFonts w:ascii="Times New Roman"/>
        </w:rPr>
        <w:t>本标准规定了成型钢筋制品绿色建材评价的术语和定义、评价要求和评价方法。</w:t>
      </w:r>
    </w:p>
    <w:p>
      <w:pPr>
        <w:pStyle w:val="25"/>
        <w:rPr>
          <w:rFonts w:ascii="Times New Roman"/>
        </w:rPr>
      </w:pPr>
      <w:r>
        <w:rPr>
          <w:rFonts w:ascii="Times New Roman"/>
        </w:rPr>
        <w:t>本标准适用于成型钢筋制品的绿色建材评价。</w:t>
      </w:r>
    </w:p>
    <w:p>
      <w:pPr>
        <w:pStyle w:val="103"/>
        <w:spacing w:before="312" w:after="312"/>
        <w:rPr>
          <w:rFonts w:ascii="Times New Roman"/>
        </w:rPr>
      </w:pPr>
      <w:bookmarkStart w:id="13" w:name="_Toc524004351"/>
      <w:bookmarkStart w:id="14" w:name="_Toc524004772"/>
      <w:r>
        <w:rPr>
          <w:rFonts w:ascii="Times New Roman"/>
        </w:rPr>
        <w:t>规范性引用文件</w:t>
      </w:r>
      <w:bookmarkEnd w:id="13"/>
      <w:bookmarkEnd w:id="14"/>
    </w:p>
    <w:p>
      <w:pPr>
        <w:pStyle w:val="25"/>
        <w:rPr>
          <w:rFonts w:ascii="Times New Roman"/>
        </w:rPr>
      </w:pPr>
      <w:r>
        <w:rPr>
          <w:rFonts w:ascii="Times New Roman"/>
        </w:rPr>
        <w:t>下列文件中的内容通过文中规范性引用而构成本文件必不可少的条款。其中，注日期的引用文件，仅该日期对应的版本适用于本文件；不注日期的引用文件，其最新版本（包括所有的修改单）适用于本文件。</w:t>
      </w:r>
    </w:p>
    <w:p>
      <w:pPr>
        <w:pStyle w:val="25"/>
        <w:rPr>
          <w:rFonts w:ascii="Times New Roman"/>
        </w:rPr>
      </w:pPr>
      <w:bookmarkStart w:id="15" w:name="_Toc524004352"/>
      <w:bookmarkEnd w:id="15"/>
      <w:bookmarkStart w:id="16" w:name="_Toc509984954"/>
      <w:bookmarkStart w:id="17" w:name="_Toc524004773"/>
      <w:bookmarkStart w:id="18" w:name="_Toc511069681"/>
      <w:bookmarkStart w:id="19" w:name="_Toc509139383"/>
      <w:bookmarkStart w:id="20" w:name="_Toc519084143"/>
      <w:bookmarkStart w:id="21" w:name="_Toc521666152"/>
      <w:r>
        <w:rPr>
          <w:rFonts w:ascii="Times New Roman"/>
        </w:rPr>
        <w:t>GB/T 2589 综合能耗计算通则</w:t>
      </w:r>
    </w:p>
    <w:p>
      <w:pPr>
        <w:pStyle w:val="25"/>
        <w:rPr>
          <w:rFonts w:ascii="Times New Roman"/>
        </w:rPr>
      </w:pPr>
      <w:r>
        <w:rPr>
          <w:rFonts w:ascii="Times New Roman"/>
        </w:rPr>
        <w:t>GB 5085.3 危险废物鉴别标准 浸出毒性鉴别</w:t>
      </w:r>
    </w:p>
    <w:p>
      <w:pPr>
        <w:pStyle w:val="25"/>
        <w:rPr>
          <w:rFonts w:ascii="Times New Roman"/>
        </w:rPr>
      </w:pPr>
      <w:r>
        <w:rPr>
          <w:rFonts w:ascii="Times New Roman"/>
        </w:rPr>
        <w:t>GB 6566 建筑材料放射性核素限量</w:t>
      </w:r>
    </w:p>
    <w:p>
      <w:pPr>
        <w:pStyle w:val="25"/>
        <w:rPr>
          <w:rFonts w:ascii="Times New Roman"/>
        </w:rPr>
      </w:pPr>
      <w:r>
        <w:rPr>
          <w:rFonts w:ascii="Times New Roman"/>
        </w:rPr>
        <w:t>GB 8978 污水综合排放标准</w:t>
      </w:r>
    </w:p>
    <w:p>
      <w:pPr>
        <w:pStyle w:val="25"/>
        <w:rPr>
          <w:rFonts w:ascii="Times New Roman"/>
        </w:rPr>
      </w:pPr>
      <w:r>
        <w:rPr>
          <w:rFonts w:ascii="Times New Roman"/>
        </w:rPr>
        <w:t>GB 12348 工业企业厂界环境噪声排放标准</w:t>
      </w:r>
    </w:p>
    <w:p>
      <w:pPr>
        <w:pStyle w:val="108"/>
      </w:pPr>
      <w:r>
        <w:t>GB 13456 钢铁工业水污染物排放标准</w:t>
      </w:r>
    </w:p>
    <w:p>
      <w:pPr>
        <w:pStyle w:val="25"/>
        <w:rPr>
          <w:rFonts w:ascii="Times New Roman"/>
        </w:rPr>
      </w:pPr>
      <w:r>
        <w:rPr>
          <w:rFonts w:hint="eastAsia" w:ascii="Times New Roman"/>
        </w:rPr>
        <w:t>GB/T 13014</w:t>
      </w:r>
      <w:r>
        <w:rPr>
          <w:rFonts w:ascii="Times New Roman"/>
        </w:rPr>
        <w:t xml:space="preserve"> </w:t>
      </w:r>
      <w:r>
        <w:rPr>
          <w:rFonts w:hint="eastAsia" w:ascii="Times New Roman"/>
        </w:rPr>
        <w:t>钢筋混凝土用余热处理钢筋</w:t>
      </w:r>
    </w:p>
    <w:p>
      <w:pPr>
        <w:pStyle w:val="25"/>
        <w:rPr>
          <w:rFonts w:ascii="Times New Roman"/>
        </w:rPr>
      </w:pPr>
      <w:r>
        <w:rPr>
          <w:rFonts w:ascii="Times New Roman"/>
        </w:rPr>
        <w:t xml:space="preserve">GB/T 13788 </w:t>
      </w:r>
      <w:r>
        <w:rPr>
          <w:rFonts w:hint="eastAsia" w:ascii="Times New Roman"/>
        </w:rPr>
        <w:t>冷轧带肋钢筋</w:t>
      </w:r>
    </w:p>
    <w:p>
      <w:pPr>
        <w:pStyle w:val="25"/>
        <w:rPr>
          <w:rFonts w:ascii="Times New Roman"/>
        </w:rPr>
      </w:pPr>
      <w:r>
        <w:rPr>
          <w:rFonts w:hint="eastAsia" w:ascii="Times New Roman"/>
        </w:rPr>
        <w:t>GB/T 1499.1 钢筋混凝土用钢第1部分：热轧光圆钢筋</w:t>
      </w:r>
    </w:p>
    <w:p>
      <w:pPr>
        <w:pStyle w:val="25"/>
        <w:rPr>
          <w:rFonts w:ascii="Times New Roman"/>
        </w:rPr>
      </w:pPr>
      <w:r>
        <w:rPr>
          <w:rFonts w:hint="eastAsia" w:ascii="Times New Roman"/>
        </w:rPr>
        <w:t>GB/T 1499.2 钢筋混凝土用钢第2部分：热轧带肋钢筋</w:t>
      </w:r>
    </w:p>
    <w:p>
      <w:pPr>
        <w:pStyle w:val="25"/>
        <w:rPr>
          <w:rFonts w:ascii="Times New Roman"/>
        </w:rPr>
      </w:pPr>
      <w:r>
        <w:rPr>
          <w:rFonts w:hint="eastAsia" w:ascii="Times New Roman"/>
        </w:rPr>
        <w:t>GB 18597 危险废物贮存污染控制标准</w:t>
      </w:r>
    </w:p>
    <w:p>
      <w:pPr>
        <w:pStyle w:val="25"/>
        <w:rPr>
          <w:rFonts w:ascii="Times New Roman"/>
        </w:rPr>
      </w:pPr>
      <w:r>
        <w:rPr>
          <w:rFonts w:ascii="Times New Roman"/>
        </w:rPr>
        <w:t>GB 18599 一般工业固体废物贮存、处置场污染控制标准</w:t>
      </w:r>
    </w:p>
    <w:p>
      <w:pPr>
        <w:pStyle w:val="25"/>
        <w:rPr>
          <w:rFonts w:ascii="Times New Roman"/>
        </w:rPr>
      </w:pPr>
      <w:r>
        <w:rPr>
          <w:rFonts w:ascii="Times New Roman"/>
        </w:rPr>
        <w:t>GB/T 19001 质量管理体系 要求</w:t>
      </w:r>
    </w:p>
    <w:p>
      <w:pPr>
        <w:pStyle w:val="25"/>
        <w:rPr>
          <w:rFonts w:ascii="Times New Roman"/>
        </w:rPr>
      </w:pPr>
      <w:r>
        <w:rPr>
          <w:rFonts w:ascii="Times New Roman"/>
        </w:rPr>
        <w:t>GB/T 24001 环境管理体系 要求及使用指南</w:t>
      </w:r>
    </w:p>
    <w:p>
      <w:pPr>
        <w:pStyle w:val="25"/>
        <w:rPr>
          <w:rFonts w:ascii="Times New Roman"/>
        </w:rPr>
      </w:pPr>
      <w:r>
        <w:rPr>
          <w:rFonts w:hint="eastAsia" w:ascii="Times New Roman"/>
        </w:rPr>
        <w:t>GB/T 27065 合格评定产品、过程和服务认证机构要求</w:t>
      </w:r>
    </w:p>
    <w:p>
      <w:pPr>
        <w:pStyle w:val="25"/>
        <w:rPr>
          <w:rFonts w:ascii="Times New Roman"/>
        </w:rPr>
      </w:pPr>
      <w:r>
        <w:rPr>
          <w:rFonts w:hint="eastAsia" w:ascii="Times New Roman"/>
        </w:rPr>
        <w:t>GB/T 27067 合格评定产品认证基础和产品认证方案指南</w:t>
      </w:r>
    </w:p>
    <w:p>
      <w:pPr>
        <w:pStyle w:val="25"/>
        <w:rPr>
          <w:rFonts w:ascii="Times New Roman"/>
        </w:rPr>
      </w:pPr>
      <w:r>
        <w:rPr>
          <w:rFonts w:ascii="Times New Roman"/>
        </w:rPr>
        <w:t>GB/T 28001 职业健康安全管理体系 要求</w:t>
      </w:r>
    </w:p>
    <w:p>
      <w:pPr>
        <w:pStyle w:val="25"/>
        <w:rPr>
          <w:rFonts w:ascii="Times New Roman"/>
        </w:rPr>
      </w:pPr>
      <w:r>
        <w:rPr>
          <w:rFonts w:ascii="Times New Roman"/>
        </w:rPr>
        <w:t>GB/T 29733 混凝土结构用成型钢筋制品</w:t>
      </w:r>
    </w:p>
    <w:p>
      <w:pPr>
        <w:pStyle w:val="25"/>
        <w:rPr>
          <w:rFonts w:ascii="Times New Roman"/>
        </w:rPr>
      </w:pPr>
      <w:r>
        <w:rPr>
          <w:rFonts w:ascii="Times New Roman"/>
        </w:rPr>
        <w:t>GB/T 33000 企业安全生产标准化基本规范</w:t>
      </w:r>
    </w:p>
    <w:p>
      <w:pPr>
        <w:pStyle w:val="25"/>
        <w:rPr>
          <w:rFonts w:ascii="Times New Roman"/>
        </w:rPr>
      </w:pPr>
      <w:r>
        <w:rPr>
          <w:rFonts w:ascii="Times New Roman"/>
        </w:rPr>
        <w:t>GB/T 33761 绿色产品评价通则</w:t>
      </w:r>
    </w:p>
    <w:p>
      <w:pPr>
        <w:pStyle w:val="25"/>
        <w:rPr>
          <w:rFonts w:ascii="Times New Roman"/>
        </w:rPr>
      </w:pPr>
      <w:r>
        <w:rPr>
          <w:rFonts w:hint="eastAsia" w:ascii="Times New Roman"/>
        </w:rPr>
        <w:t>GB/T 33953</w:t>
      </w:r>
      <w:r>
        <w:rPr>
          <w:rFonts w:ascii="Times New Roman"/>
        </w:rPr>
        <w:t xml:space="preserve"> </w:t>
      </w:r>
      <w:r>
        <w:rPr>
          <w:rFonts w:hint="eastAsia" w:ascii="Times New Roman"/>
        </w:rPr>
        <w:t>钢筋混凝土用耐蚀钢筋</w:t>
      </w:r>
    </w:p>
    <w:p>
      <w:pPr>
        <w:pStyle w:val="25"/>
        <w:rPr>
          <w:rFonts w:ascii="Times New Roman"/>
        </w:rPr>
      </w:pPr>
      <w:r>
        <w:rPr>
          <w:rFonts w:hint="eastAsia" w:ascii="Times New Roman"/>
        </w:rPr>
        <w:t>GB/T 33959</w:t>
      </w:r>
      <w:r>
        <w:rPr>
          <w:rFonts w:ascii="Times New Roman"/>
        </w:rPr>
        <w:t xml:space="preserve"> </w:t>
      </w:r>
      <w:r>
        <w:rPr>
          <w:rFonts w:hint="eastAsia" w:ascii="Times New Roman"/>
        </w:rPr>
        <w:t>钢筋混凝土用不锈钢钢筋</w:t>
      </w:r>
    </w:p>
    <w:p>
      <w:pPr>
        <w:pStyle w:val="25"/>
        <w:rPr>
          <w:rFonts w:ascii="Times New Roman"/>
        </w:rPr>
      </w:pPr>
      <w:r>
        <w:rPr>
          <w:rFonts w:hint="eastAsia" w:ascii="Times New Roman"/>
        </w:rPr>
        <w:t>JGJ</w:t>
      </w:r>
      <w:r>
        <w:rPr>
          <w:rFonts w:ascii="Times New Roman"/>
        </w:rPr>
        <w:t xml:space="preserve"> </w:t>
      </w:r>
      <w:r>
        <w:rPr>
          <w:rFonts w:hint="eastAsia" w:ascii="Times New Roman"/>
        </w:rPr>
        <w:t>107</w:t>
      </w:r>
      <w:r>
        <w:rPr>
          <w:rFonts w:ascii="Times New Roman"/>
        </w:rPr>
        <w:t xml:space="preserve"> </w:t>
      </w:r>
      <w:r>
        <w:rPr>
          <w:rFonts w:hint="eastAsia" w:ascii="Times New Roman"/>
        </w:rPr>
        <w:t>钢筋机械连接技术规程</w:t>
      </w:r>
    </w:p>
    <w:p>
      <w:pPr>
        <w:pStyle w:val="25"/>
        <w:rPr>
          <w:rFonts w:ascii="Times New Roman"/>
        </w:rPr>
      </w:pPr>
      <w:r>
        <w:rPr>
          <w:rFonts w:ascii="Times New Roman"/>
        </w:rPr>
        <w:t>JGJ 366 混凝土结构成型钢筋应用技术规程</w:t>
      </w:r>
    </w:p>
    <w:p>
      <w:pPr>
        <w:pStyle w:val="25"/>
        <w:rPr>
          <w:rFonts w:ascii="Times New Roman"/>
        </w:rPr>
      </w:pPr>
      <w:r>
        <w:rPr>
          <w:rFonts w:hint="eastAsia" w:ascii="Times New Roman"/>
        </w:rPr>
        <w:t>YB/T 4260</w:t>
      </w:r>
      <w:r>
        <w:rPr>
          <w:rFonts w:ascii="Times New Roman"/>
        </w:rPr>
        <w:t xml:space="preserve"> </w:t>
      </w:r>
      <w:r>
        <w:rPr>
          <w:rFonts w:hint="eastAsia" w:ascii="Times New Roman"/>
        </w:rPr>
        <w:t>高延性冷轧带肋钢筋</w:t>
      </w:r>
    </w:p>
    <w:p>
      <w:pPr>
        <w:pStyle w:val="25"/>
        <w:rPr>
          <w:rFonts w:ascii="Times New Roman"/>
        </w:rPr>
      </w:pPr>
      <w:r>
        <w:rPr>
          <w:rFonts w:hint="eastAsia" w:ascii="Times New Roman"/>
        </w:rPr>
        <w:t>YB/T 4657 钢筋混凝土用四面带肋钢筋</w:t>
      </w:r>
    </w:p>
    <w:p>
      <w:pPr>
        <w:pStyle w:val="25"/>
        <w:rPr>
          <w:rFonts w:ascii="Times New Roman"/>
        </w:rPr>
      </w:pPr>
    </w:p>
    <w:p>
      <w:pPr>
        <w:pStyle w:val="103"/>
        <w:spacing w:before="312" w:after="312"/>
        <w:rPr>
          <w:rFonts w:ascii="Times New Roman"/>
          <w:bCs/>
          <w:szCs w:val="21"/>
        </w:rPr>
      </w:pPr>
      <w:r>
        <w:rPr>
          <w:rFonts w:ascii="Times New Roman"/>
          <w:bCs/>
          <w:szCs w:val="21"/>
        </w:rPr>
        <w:t>术语和定义</w:t>
      </w:r>
      <w:bookmarkEnd w:id="16"/>
      <w:bookmarkEnd w:id="17"/>
      <w:bookmarkEnd w:id="18"/>
      <w:bookmarkEnd w:id="19"/>
      <w:bookmarkEnd w:id="20"/>
      <w:bookmarkEnd w:id="21"/>
    </w:p>
    <w:p>
      <w:pPr>
        <w:pStyle w:val="25"/>
        <w:rPr>
          <w:rFonts w:ascii="Times New Roman"/>
        </w:rPr>
      </w:pPr>
      <w:bookmarkStart w:id="22" w:name="_Toc519084144"/>
      <w:bookmarkEnd w:id="22"/>
      <w:bookmarkStart w:id="23" w:name="_Toc509984955"/>
      <w:bookmarkEnd w:id="23"/>
      <w:bookmarkStart w:id="24" w:name="_Toc521666153"/>
      <w:bookmarkEnd w:id="24"/>
      <w:bookmarkStart w:id="25" w:name="_Toc524004774"/>
      <w:bookmarkEnd w:id="25"/>
      <w:bookmarkStart w:id="26" w:name="_Toc509139384"/>
      <w:bookmarkEnd w:id="26"/>
      <w:bookmarkStart w:id="27" w:name="_Toc511069682"/>
      <w:bookmarkEnd w:id="27"/>
      <w:r>
        <w:rPr>
          <w:rFonts w:ascii="Times New Roman"/>
        </w:rPr>
        <w:t>GB/T 33761界定的以及下列术语和定义适用于本文件。</w:t>
      </w:r>
    </w:p>
    <w:p>
      <w:pPr>
        <w:pStyle w:val="65"/>
        <w:numPr>
          <w:ilvl w:val="1"/>
          <w:numId w:val="5"/>
        </w:numPr>
        <w:spacing w:before="156" w:after="156"/>
        <w:rPr>
          <w:rFonts w:ascii="Times New Roman"/>
        </w:rPr>
      </w:pPr>
    </w:p>
    <w:p>
      <w:pPr>
        <w:widowControl/>
        <w:tabs>
          <w:tab w:val="center" w:pos="4201"/>
          <w:tab w:val="right" w:leader="dot" w:pos="9298"/>
        </w:tabs>
        <w:autoSpaceDE w:val="0"/>
        <w:autoSpaceDN w:val="0"/>
        <w:ind w:firstLine="420" w:firstLineChars="200"/>
        <w:rPr>
          <w:rFonts w:eastAsia="黑体"/>
        </w:rPr>
      </w:pPr>
      <w:r>
        <w:rPr>
          <w:rFonts w:eastAsia="黑体"/>
        </w:rPr>
        <w:t>绿色建材  green building material</w:t>
      </w:r>
    </w:p>
    <w:p>
      <w:pPr>
        <w:widowControl/>
        <w:tabs>
          <w:tab w:val="center" w:pos="4201"/>
          <w:tab w:val="right" w:leader="dot" w:pos="9298"/>
        </w:tabs>
        <w:autoSpaceDE w:val="0"/>
        <w:autoSpaceDN w:val="0"/>
        <w:ind w:firstLine="420" w:firstLineChars="200"/>
        <w:rPr>
          <w:kern w:val="0"/>
          <w:szCs w:val="20"/>
        </w:rPr>
      </w:pPr>
      <w:r>
        <w:rPr>
          <w:kern w:val="0"/>
          <w:szCs w:val="20"/>
        </w:rPr>
        <w:t>是指在全生命周期内可减少对天然资源消耗和减轻对生态环境影响，具有“节能、减排、安全、便利和可循环”特征的建材产品。</w:t>
      </w:r>
    </w:p>
    <w:p>
      <w:pPr>
        <w:pStyle w:val="65"/>
        <w:numPr>
          <w:ilvl w:val="1"/>
          <w:numId w:val="5"/>
        </w:numPr>
        <w:spacing w:before="156" w:after="156"/>
        <w:rPr>
          <w:rFonts w:ascii="Times New Roman"/>
        </w:rPr>
      </w:pPr>
    </w:p>
    <w:p>
      <w:pPr>
        <w:widowControl/>
        <w:tabs>
          <w:tab w:val="center" w:pos="4201"/>
          <w:tab w:val="right" w:leader="dot" w:pos="9298"/>
        </w:tabs>
        <w:autoSpaceDE w:val="0"/>
        <w:autoSpaceDN w:val="0"/>
        <w:ind w:firstLine="420" w:firstLineChars="200"/>
        <w:rPr>
          <w:rFonts w:eastAsia="黑体"/>
        </w:rPr>
      </w:pPr>
      <w:r>
        <w:rPr>
          <w:rFonts w:eastAsia="黑体"/>
        </w:rPr>
        <w:t>评价等级 assessment level</w:t>
      </w:r>
    </w:p>
    <w:p>
      <w:pPr>
        <w:widowControl/>
        <w:tabs>
          <w:tab w:val="center" w:pos="4201"/>
          <w:tab w:val="right" w:leader="dot" w:pos="9298"/>
        </w:tabs>
        <w:autoSpaceDE w:val="0"/>
        <w:autoSpaceDN w:val="0"/>
        <w:ind w:firstLine="420" w:firstLineChars="200"/>
        <w:rPr>
          <w:kern w:val="0"/>
          <w:szCs w:val="20"/>
        </w:rPr>
      </w:pPr>
      <w:r>
        <w:rPr>
          <w:kern w:val="0"/>
          <w:szCs w:val="20"/>
        </w:rPr>
        <w:t>产品评价结果所达到的绿色建材级别，由低到高分为一星级、二星级和三星级。</w:t>
      </w:r>
      <w:bookmarkStart w:id="28" w:name="_Toc382580630"/>
      <w:bookmarkStart w:id="29" w:name="_Toc350863991"/>
      <w:bookmarkStart w:id="30" w:name="_Toc397348590"/>
      <w:bookmarkStart w:id="31" w:name="_Toc406143967"/>
      <w:bookmarkStart w:id="32" w:name="_Toc397433562"/>
      <w:bookmarkStart w:id="33" w:name="_Toc396134034"/>
      <w:bookmarkStart w:id="34" w:name="_Toc384816550"/>
      <w:bookmarkStart w:id="35" w:name="OLE_LINK6"/>
      <w:bookmarkStart w:id="36" w:name="_Toc396118203"/>
      <w:bookmarkStart w:id="37" w:name="_Toc363024794"/>
      <w:bookmarkStart w:id="38" w:name="OLE_LINK5"/>
    </w:p>
    <w:p>
      <w:pPr>
        <w:pStyle w:val="65"/>
        <w:numPr>
          <w:ilvl w:val="1"/>
          <w:numId w:val="5"/>
        </w:numPr>
        <w:spacing w:before="156" w:after="156"/>
        <w:rPr>
          <w:rFonts w:ascii="Times New Roman"/>
        </w:rPr>
      </w:pPr>
    </w:p>
    <w:p>
      <w:pPr>
        <w:widowControl/>
        <w:tabs>
          <w:tab w:val="center" w:pos="4201"/>
          <w:tab w:val="right" w:leader="dot" w:pos="9298"/>
        </w:tabs>
        <w:autoSpaceDE w:val="0"/>
        <w:autoSpaceDN w:val="0"/>
        <w:ind w:firstLine="420" w:firstLineChars="200"/>
        <w:rPr>
          <w:rFonts w:eastAsia="黑体"/>
        </w:rPr>
      </w:pPr>
      <w:r>
        <w:rPr>
          <w:rFonts w:eastAsia="黑体"/>
        </w:rPr>
        <w:t>环境产品声明 environmental product declaration</w:t>
      </w:r>
    </w:p>
    <w:p>
      <w:pPr>
        <w:widowControl/>
        <w:tabs>
          <w:tab w:val="center" w:pos="4201"/>
          <w:tab w:val="right" w:leader="dot" w:pos="9298"/>
        </w:tabs>
        <w:autoSpaceDE w:val="0"/>
        <w:autoSpaceDN w:val="0"/>
        <w:ind w:firstLine="420" w:firstLineChars="200"/>
        <w:rPr>
          <w:kern w:val="0"/>
          <w:szCs w:val="20"/>
        </w:rPr>
      </w:pPr>
      <w:r>
        <w:rPr>
          <w:kern w:val="0"/>
          <w:szCs w:val="20"/>
        </w:rPr>
        <w:t>提供基于预设参数的量化环境数据的环境声明，必要时包括附加环境信息。</w:t>
      </w:r>
    </w:p>
    <w:p>
      <w:pPr>
        <w:pStyle w:val="65"/>
        <w:numPr>
          <w:ilvl w:val="1"/>
          <w:numId w:val="5"/>
        </w:numPr>
        <w:spacing w:before="156" w:after="156"/>
        <w:rPr>
          <w:rFonts w:ascii="Times New Roman"/>
        </w:rPr>
      </w:pPr>
      <w:bookmarkStart w:id="39" w:name="_Toc30452"/>
    </w:p>
    <w:bookmarkEnd w:id="39"/>
    <w:p>
      <w:pPr>
        <w:widowControl/>
        <w:tabs>
          <w:tab w:val="center" w:pos="4201"/>
          <w:tab w:val="right" w:leader="dot" w:pos="9298"/>
        </w:tabs>
        <w:autoSpaceDE w:val="0"/>
        <w:autoSpaceDN w:val="0"/>
        <w:ind w:firstLine="420" w:firstLineChars="200"/>
        <w:rPr>
          <w:rFonts w:eastAsia="黑体"/>
        </w:rPr>
      </w:pPr>
      <w:r>
        <w:rPr>
          <w:rFonts w:eastAsia="黑体"/>
        </w:rPr>
        <w:t xml:space="preserve">碳足迹  </w:t>
      </w:r>
      <w:r>
        <w:fldChar w:fldCharType="begin"/>
      </w:r>
      <w:r>
        <w:instrText xml:space="preserve"> HYPERLINK "http://www.baidu.com/link?url=NM-sDc8vF8f6LBJJjre3x3OgH29MNSR7nUOi6mno3-iVlHb3Zlvs9wTbxnKcKC6gPud9_XI7Qg3qobY6J2p3_MuxwSugBbZWQE3OggbMvUq" \t "https://www.baidu.com/_blank" </w:instrText>
      </w:r>
      <w:r>
        <w:fldChar w:fldCharType="separate"/>
      </w:r>
      <w:r>
        <w:rPr>
          <w:rFonts w:eastAsia="黑体"/>
        </w:rPr>
        <w:t>carbon footprint</w:t>
      </w:r>
      <w:r>
        <w:rPr>
          <w:rFonts w:eastAsia="黑体"/>
        </w:rPr>
        <w:fldChar w:fldCharType="end"/>
      </w:r>
    </w:p>
    <w:p>
      <w:pPr>
        <w:widowControl/>
        <w:tabs>
          <w:tab w:val="center" w:pos="4201"/>
          <w:tab w:val="right" w:leader="dot" w:pos="9298"/>
        </w:tabs>
        <w:autoSpaceDE w:val="0"/>
        <w:autoSpaceDN w:val="0"/>
        <w:ind w:firstLine="420" w:firstLineChars="200"/>
        <w:rPr>
          <w:kern w:val="0"/>
          <w:szCs w:val="20"/>
        </w:rPr>
      </w:pPr>
      <w:r>
        <w:rPr>
          <w:kern w:val="0"/>
          <w:szCs w:val="20"/>
        </w:rPr>
        <w:t>用以量化过程、过程系统或产品系统温室气体排放的参数，以表现它们对气候变化的贡献。</w:t>
      </w:r>
      <w:bookmarkEnd w:id="28"/>
      <w:bookmarkEnd w:id="29"/>
      <w:bookmarkEnd w:id="30"/>
      <w:bookmarkEnd w:id="31"/>
      <w:bookmarkEnd w:id="32"/>
      <w:bookmarkEnd w:id="33"/>
      <w:bookmarkEnd w:id="34"/>
      <w:bookmarkEnd w:id="35"/>
      <w:bookmarkEnd w:id="36"/>
      <w:bookmarkEnd w:id="37"/>
      <w:bookmarkEnd w:id="38"/>
    </w:p>
    <w:p>
      <w:pPr>
        <w:pStyle w:val="65"/>
        <w:numPr>
          <w:ilvl w:val="1"/>
          <w:numId w:val="5"/>
        </w:numPr>
        <w:spacing w:before="156" w:after="156"/>
        <w:rPr>
          <w:rFonts w:ascii="Times New Roman"/>
        </w:rPr>
      </w:pPr>
    </w:p>
    <w:p>
      <w:pPr>
        <w:widowControl/>
        <w:tabs>
          <w:tab w:val="center" w:pos="4201"/>
          <w:tab w:val="right" w:leader="dot" w:pos="9298"/>
        </w:tabs>
        <w:autoSpaceDE w:val="0"/>
        <w:autoSpaceDN w:val="0"/>
        <w:ind w:firstLine="420" w:firstLineChars="200"/>
        <w:rPr>
          <w:rFonts w:eastAsia="黑体"/>
        </w:rPr>
      </w:pPr>
      <w:r>
        <w:rPr>
          <w:rFonts w:eastAsia="黑体"/>
        </w:rPr>
        <w:t>成型钢筋制品 fabricated steel bar</w:t>
      </w:r>
    </w:p>
    <w:p>
      <w:pPr>
        <w:widowControl/>
        <w:tabs>
          <w:tab w:val="center" w:pos="4201"/>
          <w:tab w:val="right" w:leader="dot" w:pos="9298"/>
        </w:tabs>
        <w:autoSpaceDE w:val="0"/>
        <w:autoSpaceDN w:val="0"/>
        <w:ind w:firstLine="420" w:firstLineChars="200"/>
        <w:rPr>
          <w:kern w:val="0"/>
          <w:szCs w:val="20"/>
        </w:rPr>
      </w:pPr>
      <w:r>
        <w:rPr>
          <w:kern w:val="0"/>
          <w:szCs w:val="20"/>
        </w:rPr>
        <w:t>按规定形状、尺寸通过机械加工成型的普通钢筋制品，分为单件成型钢筋制品和组合成型钢筋制品。</w:t>
      </w:r>
    </w:p>
    <w:p>
      <w:pPr>
        <w:widowControl/>
        <w:tabs>
          <w:tab w:val="center" w:pos="4201"/>
          <w:tab w:val="right" w:leader="dot" w:pos="9298"/>
        </w:tabs>
        <w:autoSpaceDE w:val="0"/>
        <w:autoSpaceDN w:val="0"/>
        <w:ind w:firstLine="420" w:firstLineChars="200"/>
        <w:rPr>
          <w:kern w:val="0"/>
          <w:szCs w:val="20"/>
        </w:rPr>
      </w:pPr>
      <w:r>
        <w:rPr>
          <w:kern w:val="0"/>
          <w:szCs w:val="20"/>
        </w:rPr>
        <w:t>【来源：GB/T29733-2013，3.1】</w:t>
      </w:r>
    </w:p>
    <w:p>
      <w:pPr>
        <w:widowControl/>
        <w:tabs>
          <w:tab w:val="center" w:pos="4201"/>
          <w:tab w:val="right" w:leader="dot" w:pos="9298"/>
        </w:tabs>
        <w:autoSpaceDE w:val="0"/>
        <w:autoSpaceDN w:val="0"/>
        <w:rPr>
          <w:rFonts w:ascii="黑体" w:hAnsi="黑体" w:eastAsia="黑体"/>
          <w:kern w:val="0"/>
          <w:szCs w:val="20"/>
        </w:rPr>
      </w:pPr>
      <w:r>
        <w:rPr>
          <w:kern w:val="0"/>
          <w:szCs w:val="20"/>
        </w:rPr>
        <w:t xml:space="preserve">3.6  </w:t>
      </w:r>
    </w:p>
    <w:p>
      <w:pPr>
        <w:widowControl/>
        <w:tabs>
          <w:tab w:val="center" w:pos="4201"/>
          <w:tab w:val="right" w:leader="dot" w:pos="9298"/>
        </w:tabs>
        <w:autoSpaceDE w:val="0"/>
        <w:autoSpaceDN w:val="0"/>
        <w:ind w:firstLine="424" w:firstLineChars="202"/>
        <w:rPr>
          <w:rFonts w:eastAsia="黑体"/>
        </w:rPr>
      </w:pPr>
      <w:r>
        <w:rPr>
          <w:rFonts w:eastAsia="黑体"/>
        </w:rPr>
        <w:t>单位产品综合能耗 comprehensive energy consumption for unit output of product</w:t>
      </w:r>
    </w:p>
    <w:p>
      <w:pPr>
        <w:widowControl/>
        <w:tabs>
          <w:tab w:val="center" w:pos="4201"/>
          <w:tab w:val="right" w:leader="dot" w:pos="9298"/>
        </w:tabs>
        <w:autoSpaceDE w:val="0"/>
        <w:autoSpaceDN w:val="0"/>
        <w:ind w:firstLine="424" w:firstLineChars="202"/>
        <w:rPr>
          <w:kern w:val="0"/>
          <w:szCs w:val="20"/>
        </w:rPr>
      </w:pPr>
      <w:r>
        <w:rPr>
          <w:kern w:val="0"/>
          <w:szCs w:val="20"/>
        </w:rPr>
        <w:t>统计报告期内，综合能耗与合格产品产量（作业量、工作量、服务量）的比值。</w:t>
      </w:r>
    </w:p>
    <w:p>
      <w:pPr>
        <w:widowControl/>
        <w:tabs>
          <w:tab w:val="center" w:pos="4201"/>
          <w:tab w:val="right" w:leader="dot" w:pos="9298"/>
        </w:tabs>
        <w:autoSpaceDE w:val="0"/>
        <w:autoSpaceDN w:val="0"/>
        <w:ind w:firstLine="420" w:firstLineChars="200"/>
        <w:rPr>
          <w:kern w:val="0"/>
          <w:szCs w:val="20"/>
        </w:rPr>
      </w:pPr>
      <w:r>
        <w:rPr>
          <w:kern w:val="0"/>
          <w:szCs w:val="20"/>
        </w:rPr>
        <w:t>【来源：GB/T2589-2020，3.7】</w:t>
      </w:r>
    </w:p>
    <w:p>
      <w:pPr>
        <w:widowControl/>
        <w:tabs>
          <w:tab w:val="center" w:pos="4201"/>
          <w:tab w:val="right" w:leader="dot" w:pos="9298"/>
        </w:tabs>
        <w:autoSpaceDE w:val="0"/>
        <w:autoSpaceDN w:val="0"/>
        <w:ind w:firstLine="424" w:firstLineChars="202"/>
        <w:rPr>
          <w:rFonts w:eastAsia="黑体"/>
        </w:rPr>
      </w:pPr>
    </w:p>
    <w:p>
      <w:pPr>
        <w:pStyle w:val="103"/>
        <w:numPr>
          <w:ilvl w:val="0"/>
          <w:numId w:val="0"/>
        </w:numPr>
        <w:tabs>
          <w:tab w:val="left" w:pos="0"/>
        </w:tabs>
        <w:spacing w:before="312" w:after="312"/>
        <w:rPr>
          <w:rFonts w:ascii="Times New Roman"/>
          <w:szCs w:val="21"/>
        </w:rPr>
      </w:pPr>
      <w:bookmarkStart w:id="40" w:name="_Toc462063257"/>
      <w:bookmarkStart w:id="41" w:name="_Toc406486353"/>
      <w:bookmarkStart w:id="42" w:name="_Toc398141256"/>
      <w:bookmarkStart w:id="43" w:name="_Toc493229343"/>
      <w:r>
        <w:rPr>
          <w:rFonts w:ascii="Times New Roman"/>
          <w:sz w:val="24"/>
          <w:szCs w:val="24"/>
        </w:rPr>
        <w:t xml:space="preserve">4  </w:t>
      </w:r>
      <w:r>
        <w:rPr>
          <w:rFonts w:ascii="Times New Roman"/>
          <w:kern w:val="2"/>
          <w:szCs w:val="21"/>
        </w:rPr>
        <w:t>评价要求</w:t>
      </w:r>
      <w:bookmarkEnd w:id="40"/>
      <w:bookmarkEnd w:id="41"/>
    </w:p>
    <w:p>
      <w:pPr>
        <w:pStyle w:val="14"/>
        <w:spacing w:line="360" w:lineRule="auto"/>
        <w:jc w:val="left"/>
        <w:rPr>
          <w:rFonts w:ascii="Times New Roman" w:hAnsi="Times New Roman"/>
          <w:b/>
          <w:bCs/>
        </w:rPr>
      </w:pPr>
      <w:bookmarkStart w:id="44" w:name="_Toc22141"/>
      <w:bookmarkStart w:id="45" w:name="_Toc459107153"/>
      <w:bookmarkStart w:id="46" w:name="_Toc406486354"/>
      <w:bookmarkStart w:id="47" w:name="_Toc456611366"/>
      <w:r>
        <w:rPr>
          <w:rFonts w:ascii="Times New Roman" w:hAnsi="Times New Roman" w:eastAsia="黑体"/>
        </w:rPr>
        <w:t>4.1 基本要求</w:t>
      </w:r>
      <w:bookmarkEnd w:id="44"/>
      <w:bookmarkEnd w:id="45"/>
      <w:bookmarkEnd w:id="46"/>
      <w:bookmarkEnd w:id="47"/>
    </w:p>
    <w:p>
      <w:pPr>
        <w:pStyle w:val="64"/>
        <w:numPr>
          <w:ilvl w:val="0"/>
          <w:numId w:val="0"/>
        </w:numPr>
        <w:adjustRightInd w:val="0"/>
        <w:snapToGrid w:val="0"/>
        <w:spacing w:before="156" w:after="156"/>
        <w:rPr>
          <w:rFonts w:ascii="Times New Roman" w:eastAsia="宋体"/>
        </w:rPr>
      </w:pPr>
      <w:bookmarkStart w:id="48" w:name="_Toc459106415"/>
      <w:bookmarkStart w:id="49" w:name="_Toc462063258"/>
      <w:bookmarkStart w:id="50" w:name="_Toc436234466"/>
      <w:r>
        <w:rPr>
          <w:rFonts w:ascii="Times New Roman" w:eastAsia="宋体"/>
        </w:rPr>
        <w:t>4.1.1  生产企业</w:t>
      </w:r>
      <w:bookmarkEnd w:id="48"/>
      <w:bookmarkEnd w:id="49"/>
      <w:r>
        <w:rPr>
          <w:rFonts w:ascii="Times New Roman" w:eastAsia="宋体"/>
        </w:rPr>
        <w:t>污染物排放应符合适用的国家标准、行业标准、地方标准及环评批复的规定</w:t>
      </w:r>
      <w:r>
        <w:rPr>
          <w:rFonts w:hint="eastAsia" w:ascii="Times New Roman" w:eastAsia="宋体"/>
        </w:rPr>
        <w:t>，</w:t>
      </w:r>
      <w:r>
        <w:rPr>
          <w:rFonts w:ascii="Times New Roman" w:eastAsia="宋体"/>
        </w:rPr>
        <w:t>且近3年无重大环境污染事件。</w:t>
      </w:r>
    </w:p>
    <w:p>
      <w:pPr>
        <w:pStyle w:val="64"/>
        <w:numPr>
          <w:ilvl w:val="0"/>
          <w:numId w:val="0"/>
        </w:numPr>
        <w:adjustRightInd w:val="0"/>
        <w:snapToGrid w:val="0"/>
        <w:spacing w:before="156" w:after="156"/>
        <w:rPr>
          <w:rFonts w:ascii="Times New Roman" w:eastAsia="宋体"/>
        </w:rPr>
      </w:pPr>
      <w:r>
        <w:rPr>
          <w:rFonts w:ascii="Times New Roman" w:eastAsia="宋体"/>
        </w:rPr>
        <w:t>4.1.2  一般固体废弃物的收集、贮存、处置应符合GB 18599的相关规定</w:t>
      </w:r>
      <w:r>
        <w:rPr>
          <w:rFonts w:hint="eastAsia" w:ascii="Times New Roman" w:eastAsia="宋体"/>
        </w:rPr>
        <w:t>，生产企业噪声排放应符合GB 12348的规定，生产企业污水排放应符合GB 8978的规定，危险废物的贮存应符合GB 18597的相关规定，后续应交付持有危险废物经营许可证的单位处置。</w:t>
      </w:r>
    </w:p>
    <w:p>
      <w:pPr>
        <w:pStyle w:val="64"/>
        <w:numPr>
          <w:ilvl w:val="0"/>
          <w:numId w:val="0"/>
        </w:numPr>
        <w:adjustRightInd w:val="0"/>
        <w:snapToGrid w:val="0"/>
        <w:spacing w:before="156" w:after="156"/>
        <w:rPr>
          <w:rFonts w:ascii="Times New Roman" w:eastAsia="宋体"/>
        </w:rPr>
      </w:pPr>
      <w:r>
        <w:rPr>
          <w:rFonts w:ascii="Times New Roman" w:eastAsia="宋体"/>
        </w:rPr>
        <w:t>4.1.3  安全生产管理应符合适用的国家标准、地方标准规定，且近3年无重大安全事故。</w:t>
      </w:r>
    </w:p>
    <w:p>
      <w:pPr>
        <w:pStyle w:val="64"/>
        <w:numPr>
          <w:ilvl w:val="0"/>
          <w:numId w:val="0"/>
        </w:numPr>
        <w:adjustRightInd w:val="0"/>
        <w:snapToGrid w:val="0"/>
        <w:spacing w:before="156" w:after="156"/>
        <w:rPr>
          <w:rFonts w:ascii="Times New Roman" w:eastAsia="宋体"/>
        </w:rPr>
      </w:pPr>
      <w:r>
        <w:rPr>
          <w:rFonts w:ascii="Times New Roman" w:eastAsia="宋体"/>
        </w:rPr>
        <w:t>4.1.4  生产企业应按照GB/T 19001建立并运行质量管理体系。</w:t>
      </w:r>
    </w:p>
    <w:bookmarkEnd w:id="50"/>
    <w:p>
      <w:pPr>
        <w:pStyle w:val="64"/>
        <w:numPr>
          <w:ilvl w:val="0"/>
          <w:numId w:val="0"/>
        </w:numPr>
        <w:adjustRightInd w:val="0"/>
        <w:snapToGrid w:val="0"/>
        <w:spacing w:before="156" w:after="156"/>
        <w:rPr>
          <w:rFonts w:ascii="Times New Roman" w:eastAsia="宋体"/>
        </w:rPr>
      </w:pPr>
      <w:bookmarkStart w:id="51" w:name="_Toc436234470"/>
      <w:r>
        <w:rPr>
          <w:rFonts w:ascii="Times New Roman" w:eastAsia="宋体"/>
        </w:rPr>
        <w:t>4.1.</w:t>
      </w:r>
      <w:bookmarkEnd w:id="51"/>
      <w:r>
        <w:rPr>
          <w:rFonts w:ascii="Times New Roman" w:eastAsia="宋体"/>
        </w:rPr>
        <w:t>5  生产企业应采用国家鼓励的先进技术工艺，不应使用国家或有关部门发布的淘汰或禁止的技术、工艺、装备及相关材料。</w:t>
      </w:r>
    </w:p>
    <w:p>
      <w:pPr>
        <w:spacing w:before="156" w:beforeLines="50"/>
      </w:pPr>
      <w:r>
        <w:rPr>
          <w:kern w:val="0"/>
          <w:szCs w:val="21"/>
        </w:rPr>
        <w:t xml:space="preserve">4.1.6  </w:t>
      </w:r>
      <w:r>
        <w:t>加工成型用钢筋力学性能</w:t>
      </w:r>
      <w:r>
        <w:rPr>
          <w:rFonts w:hint="eastAsia"/>
        </w:rPr>
        <w:t>、工艺性能应满足</w:t>
      </w:r>
      <w:r>
        <w:t>GB/T 1499.1、GB/T 1499.2、GB/T 13014、GB/T 13788、GB/T 33953、GB/T 33959、YB/T 4260、YB/T 4657</w:t>
      </w:r>
      <w:r>
        <w:rPr>
          <w:rFonts w:hint="eastAsia"/>
        </w:rPr>
        <w:t>标准要求；</w:t>
      </w:r>
      <w:r>
        <w:t>成型钢筋制品应满足GB/T 29733要求。</w:t>
      </w:r>
    </w:p>
    <w:p>
      <w:pPr>
        <w:spacing w:before="156" w:beforeLines="50"/>
      </w:pPr>
      <w:r>
        <w:t>4.1.7  成型钢筋制品制造商提供定制服务的能力宜满足服务认证要求。</w:t>
      </w:r>
    </w:p>
    <w:p>
      <w:pPr>
        <w:pStyle w:val="64"/>
        <w:numPr>
          <w:ilvl w:val="0"/>
          <w:numId w:val="0"/>
        </w:numPr>
        <w:adjustRightInd w:val="0"/>
        <w:snapToGrid w:val="0"/>
        <w:spacing w:before="156" w:after="156"/>
        <w:rPr>
          <w:rFonts w:ascii="Times New Roman" w:eastAsia="宋体"/>
        </w:rPr>
      </w:pPr>
      <w:r>
        <w:rPr>
          <w:rFonts w:ascii="Times New Roman" w:eastAsia="宋体"/>
        </w:rPr>
        <w:t>4.1.8  申请不同等级的生产企业还应符合表1的规定。</w:t>
      </w:r>
    </w:p>
    <w:p>
      <w:pPr>
        <w:pStyle w:val="25"/>
        <w:rPr>
          <w:rFonts w:ascii="Times New Roman"/>
        </w:rPr>
      </w:pPr>
    </w:p>
    <w:p>
      <w:pPr>
        <w:pStyle w:val="103"/>
        <w:numPr>
          <w:ilvl w:val="0"/>
          <w:numId w:val="0"/>
        </w:numPr>
        <w:spacing w:before="156" w:beforeLines="50" w:after="156" w:afterLines="50"/>
        <w:jc w:val="center"/>
        <w:outlineLvl w:val="9"/>
        <w:rPr>
          <w:rFonts w:ascii="Times New Roman"/>
          <w:sz w:val="18"/>
          <w:szCs w:val="18"/>
        </w:rPr>
      </w:pPr>
      <w:r>
        <w:rPr>
          <w:rFonts w:ascii="Times New Roman"/>
          <w:sz w:val="18"/>
          <w:szCs w:val="18"/>
        </w:rPr>
        <w:t>表1 生产企业其它规定</w:t>
      </w:r>
    </w:p>
    <w:tbl>
      <w:tblPr>
        <w:tblStyle w:val="34"/>
        <w:tblW w:w="957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11"/>
        <w:gridCol w:w="1418"/>
        <w:gridCol w:w="1417"/>
        <w:gridCol w:w="1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11" w:type="dxa"/>
            <w:vMerge w:val="restart"/>
            <w:noWrap/>
            <w:vAlign w:val="center"/>
          </w:tcPr>
          <w:p>
            <w:pPr>
              <w:widowControl/>
              <w:jc w:val="center"/>
              <w:rPr>
                <w:sz w:val="18"/>
                <w:szCs w:val="18"/>
              </w:rPr>
            </w:pPr>
            <w:r>
              <w:rPr>
                <w:sz w:val="18"/>
                <w:szCs w:val="18"/>
              </w:rPr>
              <w:t>具体规定</w:t>
            </w:r>
          </w:p>
        </w:tc>
        <w:tc>
          <w:tcPr>
            <w:tcW w:w="4359" w:type="dxa"/>
            <w:gridSpan w:val="3"/>
            <w:noWrap/>
            <w:vAlign w:val="center"/>
          </w:tcPr>
          <w:p>
            <w:pPr>
              <w:widowControl/>
              <w:jc w:val="center"/>
              <w:rPr>
                <w:sz w:val="18"/>
                <w:szCs w:val="18"/>
              </w:rPr>
            </w:pPr>
            <w:r>
              <w:rPr>
                <w:sz w:val="18"/>
                <w:szCs w:val="18"/>
              </w:rPr>
              <w:t>不同评价等级符合项数要求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11" w:type="dxa"/>
            <w:vMerge w:val="continue"/>
            <w:noWrap/>
            <w:vAlign w:val="center"/>
          </w:tcPr>
          <w:p>
            <w:pPr>
              <w:widowControl/>
              <w:jc w:val="center"/>
              <w:rPr>
                <w:sz w:val="18"/>
                <w:szCs w:val="18"/>
              </w:rPr>
            </w:pPr>
          </w:p>
        </w:tc>
        <w:tc>
          <w:tcPr>
            <w:tcW w:w="1418" w:type="dxa"/>
            <w:noWrap/>
            <w:vAlign w:val="center"/>
          </w:tcPr>
          <w:p>
            <w:pPr>
              <w:widowControl/>
              <w:jc w:val="center"/>
              <w:rPr>
                <w:kern w:val="0"/>
                <w:sz w:val="18"/>
                <w:szCs w:val="18"/>
              </w:rPr>
            </w:pPr>
            <w:r>
              <w:rPr>
                <w:kern w:val="0"/>
                <w:sz w:val="18"/>
                <w:szCs w:val="18"/>
              </w:rPr>
              <w:t>一星级</w:t>
            </w:r>
          </w:p>
        </w:tc>
        <w:tc>
          <w:tcPr>
            <w:tcW w:w="1417" w:type="dxa"/>
            <w:noWrap/>
          </w:tcPr>
          <w:p>
            <w:pPr>
              <w:widowControl/>
              <w:jc w:val="center"/>
              <w:rPr>
                <w:kern w:val="0"/>
                <w:sz w:val="18"/>
                <w:szCs w:val="18"/>
              </w:rPr>
            </w:pPr>
            <w:r>
              <w:rPr>
                <w:kern w:val="0"/>
                <w:sz w:val="18"/>
                <w:szCs w:val="18"/>
              </w:rPr>
              <w:t>二星级</w:t>
            </w:r>
          </w:p>
        </w:tc>
        <w:tc>
          <w:tcPr>
            <w:tcW w:w="1524" w:type="dxa"/>
            <w:noWrap/>
          </w:tcPr>
          <w:p>
            <w:pPr>
              <w:widowControl/>
              <w:jc w:val="center"/>
              <w:rPr>
                <w:kern w:val="0"/>
                <w:sz w:val="18"/>
                <w:szCs w:val="18"/>
              </w:rPr>
            </w:pPr>
            <w:r>
              <w:rPr>
                <w:kern w:val="0"/>
                <w:sz w:val="18"/>
                <w:szCs w:val="18"/>
              </w:rPr>
              <w:t>三星级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11" w:type="dxa"/>
            <w:noWrap/>
            <w:vAlign w:val="center"/>
          </w:tcPr>
          <w:p>
            <w:pPr>
              <w:widowControl/>
              <w:jc w:val="center"/>
              <w:rPr>
                <w:sz w:val="18"/>
                <w:szCs w:val="18"/>
              </w:rPr>
            </w:pPr>
            <w:r>
              <w:rPr>
                <w:sz w:val="18"/>
                <w:szCs w:val="18"/>
              </w:rPr>
              <w:t>安全生产标准化满足GB/T 33000要求</w:t>
            </w:r>
          </w:p>
        </w:tc>
        <w:tc>
          <w:tcPr>
            <w:tcW w:w="1418" w:type="dxa"/>
            <w:vMerge w:val="restart"/>
            <w:noWrap/>
            <w:vAlign w:val="center"/>
          </w:tcPr>
          <w:p>
            <w:pPr>
              <w:widowControl/>
              <w:jc w:val="center"/>
              <w:rPr>
                <w:sz w:val="18"/>
                <w:szCs w:val="18"/>
              </w:rPr>
            </w:pPr>
            <w:r>
              <w:rPr>
                <w:sz w:val="18"/>
                <w:szCs w:val="18"/>
              </w:rPr>
              <w:t>至少符合1项</w:t>
            </w:r>
          </w:p>
        </w:tc>
        <w:tc>
          <w:tcPr>
            <w:tcW w:w="1417" w:type="dxa"/>
            <w:vMerge w:val="restart"/>
            <w:noWrap/>
            <w:vAlign w:val="center"/>
          </w:tcPr>
          <w:p>
            <w:pPr>
              <w:widowControl/>
              <w:jc w:val="center"/>
              <w:rPr>
                <w:sz w:val="18"/>
                <w:szCs w:val="18"/>
              </w:rPr>
            </w:pPr>
            <w:r>
              <w:rPr>
                <w:sz w:val="18"/>
                <w:szCs w:val="18"/>
              </w:rPr>
              <w:t>至少符合2项</w:t>
            </w:r>
          </w:p>
        </w:tc>
        <w:tc>
          <w:tcPr>
            <w:tcW w:w="1524" w:type="dxa"/>
            <w:vMerge w:val="restart"/>
            <w:noWrap/>
            <w:vAlign w:val="center"/>
          </w:tcPr>
          <w:p>
            <w:pPr>
              <w:widowControl/>
              <w:jc w:val="center"/>
              <w:rPr>
                <w:sz w:val="18"/>
                <w:szCs w:val="18"/>
              </w:rPr>
            </w:pPr>
            <w:r>
              <w:rPr>
                <w:sz w:val="18"/>
                <w:szCs w:val="18"/>
              </w:rPr>
              <w:t>至少符合3项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11" w:type="dxa"/>
            <w:noWrap/>
            <w:vAlign w:val="center"/>
          </w:tcPr>
          <w:p>
            <w:pPr>
              <w:widowControl/>
              <w:jc w:val="center"/>
              <w:rPr>
                <w:sz w:val="18"/>
                <w:szCs w:val="18"/>
              </w:rPr>
            </w:pPr>
            <w:r>
              <w:rPr>
                <w:sz w:val="18"/>
                <w:szCs w:val="18"/>
              </w:rPr>
              <w:t>按照GB/T 45001建立并运行职业健康安全管理体系</w:t>
            </w:r>
          </w:p>
        </w:tc>
        <w:tc>
          <w:tcPr>
            <w:tcW w:w="1418" w:type="dxa"/>
            <w:vMerge w:val="continue"/>
            <w:noWrap/>
            <w:vAlign w:val="center"/>
          </w:tcPr>
          <w:p>
            <w:pPr>
              <w:widowControl/>
              <w:jc w:val="center"/>
              <w:rPr>
                <w:sz w:val="18"/>
                <w:szCs w:val="18"/>
              </w:rPr>
            </w:pPr>
          </w:p>
        </w:tc>
        <w:tc>
          <w:tcPr>
            <w:tcW w:w="1417" w:type="dxa"/>
            <w:vMerge w:val="continue"/>
            <w:noWrap/>
            <w:vAlign w:val="center"/>
          </w:tcPr>
          <w:p>
            <w:pPr>
              <w:widowControl/>
              <w:jc w:val="center"/>
              <w:rPr>
                <w:sz w:val="18"/>
                <w:szCs w:val="18"/>
              </w:rPr>
            </w:pPr>
          </w:p>
        </w:tc>
        <w:tc>
          <w:tcPr>
            <w:tcW w:w="1524" w:type="dxa"/>
            <w:vMerge w:val="continue"/>
            <w:noWrap/>
            <w:vAlign w:val="center"/>
          </w:tcPr>
          <w:p>
            <w:pPr>
              <w:widowControl/>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11" w:type="dxa"/>
            <w:noWrap/>
            <w:vAlign w:val="center"/>
          </w:tcPr>
          <w:p>
            <w:pPr>
              <w:widowControl/>
              <w:jc w:val="center"/>
              <w:rPr>
                <w:sz w:val="18"/>
                <w:szCs w:val="18"/>
              </w:rPr>
            </w:pPr>
            <w:r>
              <w:rPr>
                <w:sz w:val="18"/>
                <w:szCs w:val="18"/>
              </w:rPr>
              <w:t>按照GB/T 24001建立并运行环境管理体系</w:t>
            </w:r>
          </w:p>
        </w:tc>
        <w:tc>
          <w:tcPr>
            <w:tcW w:w="1418" w:type="dxa"/>
            <w:vMerge w:val="continue"/>
            <w:noWrap/>
            <w:vAlign w:val="center"/>
          </w:tcPr>
          <w:p>
            <w:pPr>
              <w:widowControl/>
              <w:jc w:val="center"/>
              <w:rPr>
                <w:sz w:val="18"/>
                <w:szCs w:val="18"/>
              </w:rPr>
            </w:pPr>
          </w:p>
        </w:tc>
        <w:tc>
          <w:tcPr>
            <w:tcW w:w="1417" w:type="dxa"/>
            <w:vMerge w:val="continue"/>
            <w:noWrap/>
            <w:vAlign w:val="center"/>
          </w:tcPr>
          <w:p>
            <w:pPr>
              <w:widowControl/>
              <w:jc w:val="center"/>
              <w:rPr>
                <w:sz w:val="18"/>
                <w:szCs w:val="18"/>
              </w:rPr>
            </w:pPr>
          </w:p>
        </w:tc>
        <w:tc>
          <w:tcPr>
            <w:tcW w:w="1524" w:type="dxa"/>
            <w:vMerge w:val="continue"/>
            <w:noWrap/>
            <w:vAlign w:val="center"/>
          </w:tcPr>
          <w:p>
            <w:pPr>
              <w:widowControl/>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11" w:type="dxa"/>
            <w:noWrap/>
            <w:vAlign w:val="center"/>
          </w:tcPr>
          <w:p>
            <w:pPr>
              <w:widowControl/>
              <w:jc w:val="center"/>
              <w:rPr>
                <w:sz w:val="18"/>
                <w:szCs w:val="18"/>
              </w:rPr>
            </w:pPr>
            <w:r>
              <w:rPr>
                <w:sz w:val="18"/>
                <w:szCs w:val="18"/>
              </w:rPr>
              <w:t>取得产品质量认证证书</w:t>
            </w:r>
          </w:p>
        </w:tc>
        <w:tc>
          <w:tcPr>
            <w:tcW w:w="1418" w:type="dxa"/>
            <w:vMerge w:val="continue"/>
            <w:noWrap/>
            <w:vAlign w:val="center"/>
          </w:tcPr>
          <w:p>
            <w:pPr>
              <w:widowControl/>
              <w:jc w:val="center"/>
              <w:rPr>
                <w:sz w:val="18"/>
                <w:szCs w:val="18"/>
              </w:rPr>
            </w:pPr>
          </w:p>
        </w:tc>
        <w:tc>
          <w:tcPr>
            <w:tcW w:w="1417" w:type="dxa"/>
            <w:vMerge w:val="continue"/>
            <w:noWrap/>
            <w:vAlign w:val="center"/>
          </w:tcPr>
          <w:p>
            <w:pPr>
              <w:widowControl/>
              <w:jc w:val="center"/>
              <w:rPr>
                <w:sz w:val="18"/>
                <w:szCs w:val="18"/>
              </w:rPr>
            </w:pPr>
          </w:p>
        </w:tc>
        <w:tc>
          <w:tcPr>
            <w:tcW w:w="1524" w:type="dxa"/>
            <w:vMerge w:val="continue"/>
            <w:noWrap/>
            <w:vAlign w:val="center"/>
          </w:tcPr>
          <w:p>
            <w:pPr>
              <w:widowControl/>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11" w:type="dxa"/>
            <w:noWrap/>
            <w:vAlign w:val="center"/>
          </w:tcPr>
          <w:p>
            <w:pPr>
              <w:widowControl/>
              <w:jc w:val="center"/>
              <w:rPr>
                <w:sz w:val="18"/>
                <w:szCs w:val="18"/>
              </w:rPr>
            </w:pPr>
            <w:r>
              <w:rPr>
                <w:sz w:val="18"/>
                <w:szCs w:val="18"/>
              </w:rPr>
              <w:t>提交产品的环境产品声明（EPD）或碳足迹报告</w:t>
            </w:r>
          </w:p>
        </w:tc>
        <w:tc>
          <w:tcPr>
            <w:tcW w:w="1418" w:type="dxa"/>
            <w:vMerge w:val="continue"/>
            <w:noWrap/>
            <w:vAlign w:val="center"/>
          </w:tcPr>
          <w:p>
            <w:pPr>
              <w:widowControl/>
              <w:jc w:val="center"/>
              <w:rPr>
                <w:sz w:val="18"/>
                <w:szCs w:val="18"/>
              </w:rPr>
            </w:pPr>
          </w:p>
        </w:tc>
        <w:tc>
          <w:tcPr>
            <w:tcW w:w="1417" w:type="dxa"/>
            <w:vMerge w:val="continue"/>
            <w:noWrap/>
            <w:vAlign w:val="center"/>
          </w:tcPr>
          <w:p>
            <w:pPr>
              <w:widowControl/>
              <w:jc w:val="center"/>
              <w:rPr>
                <w:sz w:val="18"/>
                <w:szCs w:val="18"/>
              </w:rPr>
            </w:pPr>
          </w:p>
        </w:tc>
        <w:tc>
          <w:tcPr>
            <w:tcW w:w="1524" w:type="dxa"/>
            <w:vMerge w:val="continue"/>
            <w:noWrap/>
            <w:vAlign w:val="center"/>
          </w:tcPr>
          <w:p>
            <w:pPr>
              <w:widowControl/>
              <w:jc w:val="center"/>
              <w:rPr>
                <w:sz w:val="18"/>
                <w:szCs w:val="18"/>
              </w:rPr>
            </w:pPr>
          </w:p>
        </w:tc>
      </w:tr>
    </w:tbl>
    <w:p>
      <w:pPr>
        <w:pStyle w:val="14"/>
        <w:spacing w:line="360" w:lineRule="auto"/>
        <w:jc w:val="left"/>
        <w:rPr>
          <w:rFonts w:ascii="Times New Roman" w:hAnsi="Times New Roman" w:eastAsia="黑体"/>
        </w:rPr>
      </w:pPr>
      <w:bookmarkStart w:id="52" w:name="_Toc31135"/>
      <w:bookmarkStart w:id="53" w:name="_Toc462063260"/>
      <w:r>
        <w:rPr>
          <w:rFonts w:ascii="Times New Roman" w:hAnsi="Times New Roman" w:eastAsia="黑体"/>
        </w:rPr>
        <w:t>4.2 评价指标要求</w:t>
      </w:r>
      <w:bookmarkEnd w:id="52"/>
      <w:bookmarkEnd w:id="53"/>
    </w:p>
    <w:p>
      <w:pPr>
        <w:spacing w:before="156" w:beforeLines="50"/>
        <w:ind w:firstLine="420" w:firstLineChars="200"/>
      </w:pPr>
      <w:r>
        <w:t>成型钢筋制品评价指标包括资源属性指标、能源属性指标、环境属性指标和品质属性指标。评分项指标见表2。</w:t>
      </w:r>
    </w:p>
    <w:bookmarkEnd w:id="42"/>
    <w:bookmarkEnd w:id="43"/>
    <w:p>
      <w:pPr>
        <w:spacing w:before="156" w:beforeLines="50"/>
        <w:jc w:val="center"/>
        <w:rPr>
          <w:rFonts w:eastAsia="黑体"/>
          <w:sz w:val="18"/>
          <w:szCs w:val="18"/>
        </w:rPr>
      </w:pPr>
      <w:r>
        <w:rPr>
          <w:rFonts w:eastAsia="黑体"/>
          <w:sz w:val="18"/>
          <w:szCs w:val="18"/>
        </w:rPr>
        <w:t>表2成型钢筋制品评分项指标要求</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28"/>
        <w:gridCol w:w="567"/>
        <w:gridCol w:w="1843"/>
        <w:gridCol w:w="736"/>
        <w:gridCol w:w="965"/>
        <w:gridCol w:w="992"/>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dxa"/>
            <w:vMerge w:val="restart"/>
            <w:noWrap/>
            <w:vAlign w:val="center"/>
          </w:tcPr>
          <w:p>
            <w:pPr>
              <w:widowControl/>
              <w:jc w:val="center"/>
              <w:rPr>
                <w:kern w:val="0"/>
                <w:sz w:val="18"/>
                <w:szCs w:val="18"/>
              </w:rPr>
            </w:pPr>
            <w:r>
              <w:rPr>
                <w:kern w:val="0"/>
                <w:sz w:val="18"/>
                <w:szCs w:val="18"/>
              </w:rPr>
              <w:t>一级指标</w:t>
            </w:r>
          </w:p>
        </w:tc>
        <w:tc>
          <w:tcPr>
            <w:tcW w:w="3638" w:type="dxa"/>
            <w:gridSpan w:val="3"/>
            <w:vMerge w:val="restart"/>
            <w:noWrap/>
            <w:vAlign w:val="center"/>
          </w:tcPr>
          <w:p>
            <w:pPr>
              <w:widowControl/>
              <w:jc w:val="center"/>
              <w:rPr>
                <w:kern w:val="0"/>
                <w:sz w:val="18"/>
                <w:szCs w:val="18"/>
              </w:rPr>
            </w:pPr>
            <w:r>
              <w:rPr>
                <w:kern w:val="0"/>
                <w:sz w:val="18"/>
                <w:szCs w:val="18"/>
              </w:rPr>
              <w:t>二级指标</w:t>
            </w:r>
          </w:p>
        </w:tc>
        <w:tc>
          <w:tcPr>
            <w:tcW w:w="736" w:type="dxa"/>
            <w:vMerge w:val="restart"/>
            <w:noWrap/>
            <w:vAlign w:val="center"/>
          </w:tcPr>
          <w:p>
            <w:pPr>
              <w:widowControl/>
              <w:jc w:val="center"/>
              <w:rPr>
                <w:kern w:val="0"/>
                <w:sz w:val="18"/>
                <w:szCs w:val="18"/>
              </w:rPr>
            </w:pPr>
            <w:r>
              <w:rPr>
                <w:kern w:val="0"/>
                <w:sz w:val="18"/>
                <w:szCs w:val="18"/>
              </w:rPr>
              <w:t>单位</w:t>
            </w:r>
          </w:p>
        </w:tc>
        <w:tc>
          <w:tcPr>
            <w:tcW w:w="3139" w:type="dxa"/>
            <w:gridSpan w:val="3"/>
            <w:noWrap/>
            <w:vAlign w:val="center"/>
          </w:tcPr>
          <w:p>
            <w:pPr>
              <w:widowControl/>
              <w:jc w:val="center"/>
              <w:rPr>
                <w:kern w:val="0"/>
                <w:sz w:val="18"/>
                <w:szCs w:val="18"/>
              </w:rPr>
            </w:pPr>
            <w:r>
              <w:rPr>
                <w:kern w:val="0"/>
                <w:sz w:val="18"/>
                <w:szCs w:val="18"/>
              </w:rPr>
              <w:t>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5" w:type="dxa"/>
            <w:vMerge w:val="continue"/>
            <w:noWrap/>
            <w:vAlign w:val="center"/>
          </w:tcPr>
          <w:p>
            <w:pPr>
              <w:widowControl/>
              <w:jc w:val="center"/>
              <w:rPr>
                <w:kern w:val="0"/>
                <w:sz w:val="18"/>
                <w:szCs w:val="18"/>
              </w:rPr>
            </w:pPr>
          </w:p>
        </w:tc>
        <w:tc>
          <w:tcPr>
            <w:tcW w:w="3638" w:type="dxa"/>
            <w:gridSpan w:val="3"/>
            <w:vMerge w:val="continue"/>
            <w:noWrap/>
            <w:vAlign w:val="center"/>
          </w:tcPr>
          <w:p>
            <w:pPr>
              <w:widowControl/>
              <w:jc w:val="center"/>
              <w:rPr>
                <w:kern w:val="0"/>
                <w:sz w:val="18"/>
                <w:szCs w:val="18"/>
              </w:rPr>
            </w:pPr>
          </w:p>
        </w:tc>
        <w:tc>
          <w:tcPr>
            <w:tcW w:w="736" w:type="dxa"/>
            <w:vMerge w:val="continue"/>
            <w:noWrap/>
            <w:vAlign w:val="center"/>
          </w:tcPr>
          <w:p>
            <w:pPr>
              <w:widowControl/>
              <w:jc w:val="center"/>
              <w:rPr>
                <w:kern w:val="0"/>
                <w:sz w:val="18"/>
                <w:szCs w:val="18"/>
              </w:rPr>
            </w:pPr>
          </w:p>
        </w:tc>
        <w:tc>
          <w:tcPr>
            <w:tcW w:w="965" w:type="dxa"/>
            <w:noWrap/>
            <w:vAlign w:val="center"/>
          </w:tcPr>
          <w:p>
            <w:pPr>
              <w:widowControl/>
              <w:jc w:val="center"/>
              <w:rPr>
                <w:kern w:val="0"/>
                <w:sz w:val="18"/>
                <w:szCs w:val="18"/>
              </w:rPr>
            </w:pPr>
            <w:r>
              <w:rPr>
                <w:kern w:val="0"/>
                <w:sz w:val="18"/>
                <w:szCs w:val="18"/>
              </w:rPr>
              <w:t>一星级</w:t>
            </w:r>
          </w:p>
        </w:tc>
        <w:tc>
          <w:tcPr>
            <w:tcW w:w="992" w:type="dxa"/>
            <w:noWrap/>
          </w:tcPr>
          <w:p>
            <w:pPr>
              <w:widowControl/>
              <w:jc w:val="center"/>
              <w:rPr>
                <w:kern w:val="0"/>
                <w:sz w:val="18"/>
                <w:szCs w:val="18"/>
              </w:rPr>
            </w:pPr>
            <w:r>
              <w:rPr>
                <w:kern w:val="0"/>
                <w:sz w:val="18"/>
                <w:szCs w:val="18"/>
              </w:rPr>
              <w:t>二星级</w:t>
            </w:r>
          </w:p>
        </w:tc>
        <w:tc>
          <w:tcPr>
            <w:tcW w:w="1182" w:type="dxa"/>
            <w:noWrap/>
          </w:tcPr>
          <w:p>
            <w:pPr>
              <w:widowControl/>
              <w:jc w:val="center"/>
              <w:rPr>
                <w:kern w:val="0"/>
                <w:sz w:val="18"/>
                <w:szCs w:val="18"/>
              </w:rPr>
            </w:pPr>
            <w:r>
              <w:rPr>
                <w:kern w:val="0"/>
                <w:sz w:val="18"/>
                <w:szCs w:val="18"/>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35" w:type="dxa"/>
            <w:vMerge w:val="restart"/>
            <w:noWrap/>
            <w:vAlign w:val="center"/>
          </w:tcPr>
          <w:p>
            <w:pPr>
              <w:widowControl/>
              <w:jc w:val="center"/>
              <w:rPr>
                <w:kern w:val="0"/>
                <w:sz w:val="18"/>
                <w:szCs w:val="18"/>
              </w:rPr>
            </w:pPr>
            <w:r>
              <w:rPr>
                <w:kern w:val="0"/>
                <w:sz w:val="18"/>
                <w:szCs w:val="18"/>
              </w:rPr>
              <w:t>资源属性</w:t>
            </w:r>
          </w:p>
        </w:tc>
        <w:tc>
          <w:tcPr>
            <w:tcW w:w="3638" w:type="dxa"/>
            <w:gridSpan w:val="3"/>
            <w:noWrap/>
            <w:vAlign w:val="center"/>
          </w:tcPr>
          <w:p>
            <w:pPr>
              <w:widowControl/>
              <w:jc w:val="left"/>
              <w:rPr>
                <w:kern w:val="0"/>
                <w:sz w:val="18"/>
                <w:szCs w:val="18"/>
              </w:rPr>
            </w:pPr>
            <w:r>
              <w:rPr>
                <w:kern w:val="0"/>
                <w:sz w:val="18"/>
                <w:szCs w:val="18"/>
              </w:rPr>
              <w:t>生产过程产生废弃物回用率</w:t>
            </w:r>
          </w:p>
        </w:tc>
        <w:tc>
          <w:tcPr>
            <w:tcW w:w="736" w:type="dxa"/>
            <w:noWrap/>
            <w:vAlign w:val="center"/>
          </w:tcPr>
          <w:p>
            <w:pPr>
              <w:widowControl/>
              <w:jc w:val="center"/>
              <w:rPr>
                <w:kern w:val="0"/>
                <w:sz w:val="18"/>
                <w:szCs w:val="18"/>
              </w:rPr>
            </w:pPr>
            <w:r>
              <w:rPr>
                <w:kern w:val="0"/>
                <w:sz w:val="18"/>
                <w:szCs w:val="18"/>
              </w:rPr>
              <w:t>%</w:t>
            </w:r>
          </w:p>
        </w:tc>
        <w:tc>
          <w:tcPr>
            <w:tcW w:w="3139" w:type="dxa"/>
            <w:gridSpan w:val="3"/>
            <w:noWrap/>
            <w:vAlign w:val="center"/>
          </w:tcPr>
          <w:p>
            <w:pPr>
              <w:widowControl/>
              <w:jc w:val="center"/>
              <w:rPr>
                <w:kern w:val="0"/>
                <w:sz w:val="18"/>
                <w:szCs w:val="18"/>
              </w:rPr>
            </w:pPr>
            <w:r>
              <w:rPr>
                <w:kern w:val="0"/>
                <w:sz w:val="18"/>
              </w:rPr>
              <w:t>≥</w:t>
            </w:r>
            <w:r>
              <w:rPr>
                <w:kern w:val="0"/>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35" w:type="dxa"/>
            <w:vMerge w:val="continue"/>
            <w:noWrap/>
            <w:vAlign w:val="center"/>
          </w:tcPr>
          <w:p>
            <w:pPr>
              <w:widowControl/>
              <w:jc w:val="center"/>
              <w:rPr>
                <w:kern w:val="0"/>
                <w:sz w:val="18"/>
                <w:szCs w:val="18"/>
              </w:rPr>
            </w:pPr>
          </w:p>
        </w:tc>
        <w:tc>
          <w:tcPr>
            <w:tcW w:w="3638" w:type="dxa"/>
            <w:gridSpan w:val="3"/>
            <w:noWrap/>
            <w:vAlign w:val="center"/>
          </w:tcPr>
          <w:p>
            <w:pPr>
              <w:pStyle w:val="134"/>
              <w:jc w:val="both"/>
              <w:rPr>
                <w:rFonts w:ascii="Times New Roman" w:cs="Times New Roman"/>
                <w:color w:val="auto"/>
                <w:sz w:val="18"/>
                <w:szCs w:val="18"/>
              </w:rPr>
            </w:pPr>
            <w:r>
              <w:rPr>
                <w:rFonts w:ascii="Times New Roman" w:cs="Times New Roman"/>
                <w:bCs/>
                <w:color w:val="auto"/>
                <w:sz w:val="18"/>
                <w:szCs w:val="18"/>
              </w:rPr>
              <w:t>钢筋出材率</w:t>
            </w:r>
          </w:p>
        </w:tc>
        <w:tc>
          <w:tcPr>
            <w:tcW w:w="736" w:type="dxa"/>
            <w:noWrap/>
            <w:vAlign w:val="center"/>
          </w:tcPr>
          <w:p>
            <w:pPr>
              <w:widowControl/>
              <w:jc w:val="center"/>
              <w:rPr>
                <w:kern w:val="0"/>
                <w:sz w:val="18"/>
                <w:szCs w:val="18"/>
              </w:rPr>
            </w:pPr>
            <w:r>
              <w:rPr>
                <w:kern w:val="0"/>
                <w:sz w:val="18"/>
                <w:szCs w:val="18"/>
              </w:rPr>
              <w:t>%</w:t>
            </w:r>
          </w:p>
        </w:tc>
        <w:tc>
          <w:tcPr>
            <w:tcW w:w="965" w:type="dxa"/>
            <w:noWrap/>
            <w:vAlign w:val="center"/>
          </w:tcPr>
          <w:p>
            <w:pPr>
              <w:widowControl/>
              <w:jc w:val="center"/>
              <w:rPr>
                <w:kern w:val="0"/>
                <w:sz w:val="18"/>
              </w:rPr>
            </w:pPr>
            <w:r>
              <w:rPr>
                <w:kern w:val="0"/>
                <w:sz w:val="18"/>
              </w:rPr>
              <w:t>≥92</w:t>
            </w:r>
          </w:p>
        </w:tc>
        <w:tc>
          <w:tcPr>
            <w:tcW w:w="992" w:type="dxa"/>
            <w:noWrap/>
            <w:vAlign w:val="center"/>
          </w:tcPr>
          <w:p>
            <w:pPr>
              <w:widowControl/>
              <w:jc w:val="center"/>
              <w:rPr>
                <w:kern w:val="0"/>
                <w:sz w:val="18"/>
              </w:rPr>
            </w:pPr>
            <w:r>
              <w:rPr>
                <w:kern w:val="0"/>
                <w:sz w:val="18"/>
              </w:rPr>
              <w:t>≥95</w:t>
            </w:r>
          </w:p>
        </w:tc>
        <w:tc>
          <w:tcPr>
            <w:tcW w:w="1182" w:type="dxa"/>
            <w:noWrap/>
            <w:vAlign w:val="center"/>
          </w:tcPr>
          <w:p>
            <w:pPr>
              <w:widowControl/>
              <w:jc w:val="center"/>
              <w:rPr>
                <w:kern w:val="0"/>
                <w:sz w:val="18"/>
              </w:rPr>
            </w:pPr>
            <w:r>
              <w:rPr>
                <w:kern w:val="0"/>
                <w:sz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35" w:type="dxa"/>
            <w:vMerge w:val="restart"/>
            <w:noWrap/>
            <w:vAlign w:val="center"/>
          </w:tcPr>
          <w:p>
            <w:pPr>
              <w:widowControl/>
              <w:jc w:val="center"/>
              <w:rPr>
                <w:kern w:val="0"/>
                <w:sz w:val="18"/>
                <w:szCs w:val="18"/>
              </w:rPr>
            </w:pPr>
            <w:r>
              <w:rPr>
                <w:kern w:val="0"/>
                <w:sz w:val="18"/>
                <w:szCs w:val="18"/>
              </w:rPr>
              <w:t>能源属性</w:t>
            </w:r>
          </w:p>
        </w:tc>
        <w:tc>
          <w:tcPr>
            <w:tcW w:w="1795" w:type="dxa"/>
            <w:gridSpan w:val="2"/>
            <w:vMerge w:val="restart"/>
            <w:noWrap/>
            <w:vAlign w:val="center"/>
          </w:tcPr>
          <w:p>
            <w:pPr>
              <w:widowControl/>
              <w:rPr>
                <w:kern w:val="0"/>
                <w:sz w:val="18"/>
                <w:szCs w:val="18"/>
              </w:rPr>
            </w:pPr>
            <w:r>
              <w:rPr>
                <w:kern w:val="0"/>
                <w:sz w:val="18"/>
                <w:szCs w:val="18"/>
              </w:rPr>
              <w:t>单位产品综合能耗</w:t>
            </w:r>
          </w:p>
        </w:tc>
        <w:tc>
          <w:tcPr>
            <w:tcW w:w="1843" w:type="dxa"/>
            <w:vAlign w:val="center"/>
          </w:tcPr>
          <w:p>
            <w:pPr>
              <w:widowControl/>
              <w:jc w:val="center"/>
              <w:rPr>
                <w:kern w:val="0"/>
                <w:sz w:val="18"/>
                <w:szCs w:val="18"/>
              </w:rPr>
            </w:pPr>
            <w:r>
              <w:rPr>
                <w:kern w:val="0"/>
                <w:sz w:val="18"/>
                <w:szCs w:val="18"/>
              </w:rPr>
              <w:t>单件成型钢筋制品</w:t>
            </w:r>
          </w:p>
        </w:tc>
        <w:tc>
          <w:tcPr>
            <w:tcW w:w="736" w:type="dxa"/>
            <w:vMerge w:val="restart"/>
            <w:noWrap/>
            <w:vAlign w:val="center"/>
          </w:tcPr>
          <w:p>
            <w:pPr>
              <w:widowControl/>
              <w:jc w:val="center"/>
              <w:rPr>
                <w:kern w:val="0"/>
                <w:sz w:val="18"/>
                <w:szCs w:val="18"/>
              </w:rPr>
            </w:pPr>
            <w:r>
              <w:rPr>
                <w:kern w:val="0"/>
                <w:sz w:val="18"/>
                <w:szCs w:val="18"/>
              </w:rPr>
              <w:t>kgce/t</w:t>
            </w:r>
          </w:p>
        </w:tc>
        <w:tc>
          <w:tcPr>
            <w:tcW w:w="965" w:type="dxa"/>
            <w:noWrap/>
            <w:vAlign w:val="center"/>
          </w:tcPr>
          <w:p>
            <w:pPr>
              <w:jc w:val="center"/>
              <w:rPr>
                <w:kern w:val="0"/>
                <w:sz w:val="18"/>
                <w:szCs w:val="18"/>
              </w:rPr>
            </w:pPr>
            <w:r>
              <w:rPr>
                <w:kern w:val="0"/>
                <w:sz w:val="18"/>
                <w:szCs w:val="18"/>
              </w:rPr>
              <w:t>≤40</w:t>
            </w:r>
          </w:p>
        </w:tc>
        <w:tc>
          <w:tcPr>
            <w:tcW w:w="992" w:type="dxa"/>
            <w:noWrap/>
            <w:vAlign w:val="center"/>
          </w:tcPr>
          <w:p>
            <w:pPr>
              <w:jc w:val="center"/>
              <w:rPr>
                <w:kern w:val="0"/>
                <w:sz w:val="18"/>
                <w:szCs w:val="18"/>
              </w:rPr>
            </w:pPr>
            <w:r>
              <w:rPr>
                <w:kern w:val="0"/>
                <w:sz w:val="18"/>
                <w:szCs w:val="18"/>
              </w:rPr>
              <w:t>≤30</w:t>
            </w:r>
          </w:p>
        </w:tc>
        <w:tc>
          <w:tcPr>
            <w:tcW w:w="1182" w:type="dxa"/>
            <w:noWrap/>
            <w:vAlign w:val="center"/>
          </w:tcPr>
          <w:p>
            <w:pPr>
              <w:jc w:val="center"/>
              <w:rPr>
                <w:kern w:val="0"/>
                <w:sz w:val="18"/>
                <w:szCs w:val="18"/>
              </w:rPr>
            </w:pPr>
            <w:r>
              <w:rPr>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35" w:type="dxa"/>
            <w:vMerge w:val="continue"/>
            <w:noWrap/>
            <w:vAlign w:val="center"/>
          </w:tcPr>
          <w:p>
            <w:pPr>
              <w:widowControl/>
              <w:jc w:val="center"/>
              <w:rPr>
                <w:kern w:val="0"/>
                <w:sz w:val="18"/>
                <w:szCs w:val="18"/>
              </w:rPr>
            </w:pPr>
          </w:p>
        </w:tc>
        <w:tc>
          <w:tcPr>
            <w:tcW w:w="1795" w:type="dxa"/>
            <w:gridSpan w:val="2"/>
            <w:vMerge w:val="continue"/>
            <w:noWrap/>
            <w:vAlign w:val="center"/>
          </w:tcPr>
          <w:p>
            <w:pPr>
              <w:widowControl/>
              <w:rPr>
                <w:kern w:val="0"/>
                <w:sz w:val="18"/>
                <w:szCs w:val="18"/>
              </w:rPr>
            </w:pPr>
          </w:p>
        </w:tc>
        <w:tc>
          <w:tcPr>
            <w:tcW w:w="1843" w:type="dxa"/>
            <w:vAlign w:val="center"/>
          </w:tcPr>
          <w:p>
            <w:pPr>
              <w:widowControl/>
              <w:jc w:val="center"/>
              <w:rPr>
                <w:kern w:val="0"/>
                <w:sz w:val="18"/>
                <w:szCs w:val="18"/>
              </w:rPr>
            </w:pPr>
            <w:r>
              <w:rPr>
                <w:kern w:val="0"/>
                <w:sz w:val="18"/>
                <w:szCs w:val="18"/>
              </w:rPr>
              <w:t>组合成型钢筋制品</w:t>
            </w:r>
          </w:p>
        </w:tc>
        <w:tc>
          <w:tcPr>
            <w:tcW w:w="736" w:type="dxa"/>
            <w:vMerge w:val="continue"/>
            <w:noWrap/>
            <w:vAlign w:val="center"/>
          </w:tcPr>
          <w:p>
            <w:pPr>
              <w:widowControl/>
              <w:jc w:val="center"/>
              <w:rPr>
                <w:kern w:val="0"/>
                <w:sz w:val="18"/>
                <w:szCs w:val="18"/>
              </w:rPr>
            </w:pPr>
          </w:p>
        </w:tc>
        <w:tc>
          <w:tcPr>
            <w:tcW w:w="965" w:type="dxa"/>
            <w:noWrap/>
            <w:vAlign w:val="center"/>
          </w:tcPr>
          <w:p>
            <w:pPr>
              <w:jc w:val="center"/>
              <w:rPr>
                <w:kern w:val="0"/>
                <w:sz w:val="18"/>
                <w:szCs w:val="18"/>
              </w:rPr>
            </w:pPr>
            <w:r>
              <w:rPr>
                <w:kern w:val="0"/>
                <w:sz w:val="18"/>
                <w:szCs w:val="18"/>
              </w:rPr>
              <w:t>≤55</w:t>
            </w:r>
          </w:p>
        </w:tc>
        <w:tc>
          <w:tcPr>
            <w:tcW w:w="992" w:type="dxa"/>
            <w:noWrap/>
            <w:vAlign w:val="center"/>
          </w:tcPr>
          <w:p>
            <w:pPr>
              <w:jc w:val="center"/>
              <w:rPr>
                <w:kern w:val="0"/>
                <w:sz w:val="18"/>
                <w:szCs w:val="18"/>
              </w:rPr>
            </w:pPr>
            <w:r>
              <w:rPr>
                <w:kern w:val="0"/>
                <w:sz w:val="18"/>
                <w:szCs w:val="18"/>
              </w:rPr>
              <w:t>≤45</w:t>
            </w:r>
          </w:p>
        </w:tc>
        <w:tc>
          <w:tcPr>
            <w:tcW w:w="1182" w:type="dxa"/>
            <w:noWrap/>
            <w:vAlign w:val="center"/>
          </w:tcPr>
          <w:p>
            <w:pPr>
              <w:jc w:val="center"/>
              <w:rPr>
                <w:kern w:val="0"/>
                <w:sz w:val="18"/>
                <w:szCs w:val="18"/>
              </w:rPr>
            </w:pPr>
            <w:r>
              <w:rPr>
                <w:kern w:val="0"/>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35" w:type="dxa"/>
            <w:vMerge w:val="continue"/>
            <w:noWrap/>
            <w:vAlign w:val="center"/>
          </w:tcPr>
          <w:p>
            <w:pPr>
              <w:widowControl/>
              <w:jc w:val="center"/>
              <w:rPr>
                <w:kern w:val="0"/>
                <w:sz w:val="18"/>
                <w:szCs w:val="18"/>
              </w:rPr>
            </w:pPr>
          </w:p>
        </w:tc>
        <w:tc>
          <w:tcPr>
            <w:tcW w:w="3638" w:type="dxa"/>
            <w:gridSpan w:val="3"/>
            <w:noWrap/>
            <w:vAlign w:val="center"/>
          </w:tcPr>
          <w:p>
            <w:pPr>
              <w:widowControl/>
              <w:rPr>
                <w:kern w:val="0"/>
                <w:sz w:val="18"/>
                <w:szCs w:val="18"/>
              </w:rPr>
            </w:pPr>
            <w:r>
              <w:rPr>
                <w:bCs/>
                <w:sz w:val="18"/>
                <w:szCs w:val="18"/>
              </w:rPr>
              <w:t>设备作业效率</w:t>
            </w:r>
          </w:p>
        </w:tc>
        <w:tc>
          <w:tcPr>
            <w:tcW w:w="736" w:type="dxa"/>
            <w:noWrap/>
            <w:vAlign w:val="center"/>
          </w:tcPr>
          <w:p>
            <w:pPr>
              <w:widowControl/>
              <w:jc w:val="center"/>
              <w:rPr>
                <w:kern w:val="0"/>
                <w:sz w:val="18"/>
                <w:szCs w:val="18"/>
              </w:rPr>
            </w:pPr>
            <w:r>
              <w:rPr>
                <w:kern w:val="0"/>
                <w:sz w:val="18"/>
                <w:szCs w:val="18"/>
              </w:rPr>
              <w:t>%</w:t>
            </w:r>
          </w:p>
        </w:tc>
        <w:tc>
          <w:tcPr>
            <w:tcW w:w="965" w:type="dxa"/>
            <w:noWrap/>
            <w:vAlign w:val="center"/>
          </w:tcPr>
          <w:p>
            <w:pPr>
              <w:widowControl/>
              <w:jc w:val="center"/>
              <w:rPr>
                <w:kern w:val="0"/>
                <w:sz w:val="18"/>
              </w:rPr>
            </w:pPr>
            <w:r>
              <w:rPr>
                <w:kern w:val="0"/>
                <w:sz w:val="18"/>
              </w:rPr>
              <w:t>≥50</w:t>
            </w:r>
          </w:p>
        </w:tc>
        <w:tc>
          <w:tcPr>
            <w:tcW w:w="992" w:type="dxa"/>
            <w:noWrap/>
            <w:vAlign w:val="center"/>
          </w:tcPr>
          <w:p>
            <w:pPr>
              <w:widowControl/>
              <w:jc w:val="center"/>
              <w:rPr>
                <w:kern w:val="0"/>
                <w:sz w:val="18"/>
              </w:rPr>
            </w:pPr>
            <w:r>
              <w:rPr>
                <w:kern w:val="0"/>
                <w:sz w:val="18"/>
              </w:rPr>
              <w:t>≥60</w:t>
            </w:r>
          </w:p>
        </w:tc>
        <w:tc>
          <w:tcPr>
            <w:tcW w:w="1182" w:type="dxa"/>
            <w:noWrap/>
            <w:vAlign w:val="center"/>
          </w:tcPr>
          <w:p>
            <w:pPr>
              <w:widowControl/>
              <w:jc w:val="center"/>
              <w:rPr>
                <w:kern w:val="0"/>
                <w:sz w:val="18"/>
              </w:rPr>
            </w:pPr>
            <w:r>
              <w:rPr>
                <w:kern w:val="0"/>
                <w:sz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35" w:type="dxa"/>
            <w:vMerge w:val="continue"/>
            <w:noWrap/>
            <w:vAlign w:val="center"/>
          </w:tcPr>
          <w:p>
            <w:pPr>
              <w:widowControl/>
              <w:jc w:val="center"/>
              <w:rPr>
                <w:kern w:val="0"/>
                <w:sz w:val="18"/>
                <w:szCs w:val="18"/>
              </w:rPr>
            </w:pPr>
          </w:p>
        </w:tc>
        <w:tc>
          <w:tcPr>
            <w:tcW w:w="3638" w:type="dxa"/>
            <w:gridSpan w:val="3"/>
            <w:noWrap/>
            <w:vAlign w:val="center"/>
          </w:tcPr>
          <w:p>
            <w:pPr>
              <w:widowControl/>
              <w:rPr>
                <w:bCs/>
                <w:sz w:val="18"/>
                <w:szCs w:val="18"/>
              </w:rPr>
            </w:pPr>
            <w:r>
              <w:rPr>
                <w:bCs/>
                <w:sz w:val="18"/>
                <w:szCs w:val="18"/>
              </w:rPr>
              <w:t>原材料本地化程度</w:t>
            </w:r>
          </w:p>
        </w:tc>
        <w:tc>
          <w:tcPr>
            <w:tcW w:w="736" w:type="dxa"/>
            <w:noWrap/>
            <w:vAlign w:val="center"/>
          </w:tcPr>
          <w:p>
            <w:pPr>
              <w:widowControl/>
              <w:jc w:val="center"/>
              <w:rPr>
                <w:kern w:val="0"/>
                <w:sz w:val="18"/>
                <w:szCs w:val="18"/>
              </w:rPr>
            </w:pPr>
            <w:r>
              <w:rPr>
                <w:kern w:val="0"/>
                <w:sz w:val="18"/>
                <w:szCs w:val="18"/>
              </w:rPr>
              <w:t>%</w:t>
            </w:r>
          </w:p>
        </w:tc>
        <w:tc>
          <w:tcPr>
            <w:tcW w:w="965" w:type="dxa"/>
            <w:noWrap/>
            <w:vAlign w:val="center"/>
          </w:tcPr>
          <w:p>
            <w:pPr>
              <w:widowControl/>
              <w:jc w:val="center"/>
              <w:rPr>
                <w:kern w:val="0"/>
                <w:sz w:val="18"/>
              </w:rPr>
            </w:pPr>
            <w:r>
              <w:rPr>
                <w:kern w:val="0"/>
                <w:sz w:val="18"/>
              </w:rPr>
              <w:t>≥</w:t>
            </w:r>
            <w:r>
              <w:rPr>
                <w:kern w:val="0"/>
                <w:sz w:val="18"/>
                <w:szCs w:val="18"/>
              </w:rPr>
              <w:t>70</w:t>
            </w:r>
          </w:p>
        </w:tc>
        <w:tc>
          <w:tcPr>
            <w:tcW w:w="2174" w:type="dxa"/>
            <w:gridSpan w:val="2"/>
            <w:noWrap/>
            <w:vAlign w:val="center"/>
          </w:tcPr>
          <w:p>
            <w:pPr>
              <w:widowControl/>
              <w:jc w:val="center"/>
              <w:rPr>
                <w:kern w:val="0"/>
                <w:sz w:val="18"/>
              </w:rPr>
            </w:pPr>
            <w:r>
              <w:rPr>
                <w:kern w:val="0"/>
                <w:sz w:val="18"/>
              </w:rPr>
              <w:t>≥</w:t>
            </w:r>
            <w:r>
              <w:rPr>
                <w:kern w:val="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35" w:type="dxa"/>
            <w:vMerge w:val="restart"/>
            <w:noWrap/>
            <w:vAlign w:val="center"/>
          </w:tcPr>
          <w:p>
            <w:pPr>
              <w:widowControl/>
              <w:jc w:val="center"/>
              <w:rPr>
                <w:kern w:val="0"/>
                <w:sz w:val="18"/>
                <w:szCs w:val="18"/>
              </w:rPr>
            </w:pPr>
            <w:r>
              <w:rPr>
                <w:kern w:val="0"/>
                <w:sz w:val="18"/>
                <w:szCs w:val="18"/>
              </w:rPr>
              <w:t>环境属性</w:t>
            </w:r>
          </w:p>
        </w:tc>
        <w:tc>
          <w:tcPr>
            <w:tcW w:w="3638" w:type="dxa"/>
            <w:gridSpan w:val="3"/>
            <w:noWrap/>
            <w:vAlign w:val="center"/>
          </w:tcPr>
          <w:p>
            <w:pPr>
              <w:jc w:val="left"/>
              <w:rPr>
                <w:kern w:val="0"/>
                <w:sz w:val="18"/>
                <w:szCs w:val="18"/>
              </w:rPr>
            </w:pPr>
            <w:r>
              <w:rPr>
                <w:kern w:val="0"/>
                <w:sz w:val="18"/>
                <w:szCs w:val="18"/>
              </w:rPr>
              <w:t>厂房内/厂区边界噪音</w:t>
            </w:r>
          </w:p>
        </w:tc>
        <w:tc>
          <w:tcPr>
            <w:tcW w:w="736" w:type="dxa"/>
            <w:noWrap/>
            <w:vAlign w:val="center"/>
          </w:tcPr>
          <w:p>
            <w:pPr>
              <w:widowControl/>
              <w:tabs>
                <w:tab w:val="center" w:pos="4201"/>
                <w:tab w:val="right" w:leader="dot" w:pos="9298"/>
              </w:tabs>
              <w:autoSpaceDE w:val="0"/>
              <w:autoSpaceDN w:val="0"/>
              <w:jc w:val="center"/>
              <w:rPr>
                <w:sz w:val="18"/>
                <w:szCs w:val="18"/>
              </w:rPr>
            </w:pPr>
            <w:r>
              <w:rPr>
                <w:sz w:val="18"/>
                <w:szCs w:val="18"/>
              </w:rPr>
              <w:t>dB</w:t>
            </w:r>
          </w:p>
        </w:tc>
        <w:tc>
          <w:tcPr>
            <w:tcW w:w="965" w:type="dxa"/>
            <w:noWrap/>
            <w:vAlign w:val="center"/>
          </w:tcPr>
          <w:p>
            <w:pPr>
              <w:jc w:val="center"/>
              <w:rPr>
                <w:kern w:val="0"/>
                <w:sz w:val="18"/>
                <w:szCs w:val="18"/>
              </w:rPr>
            </w:pPr>
            <w:r>
              <w:rPr>
                <w:kern w:val="0"/>
                <w:sz w:val="18"/>
              </w:rPr>
              <w:t>≥</w:t>
            </w:r>
            <w:r>
              <w:rPr>
                <w:kern w:val="0"/>
                <w:sz w:val="18"/>
                <w:szCs w:val="18"/>
              </w:rPr>
              <w:t>65</w:t>
            </w:r>
          </w:p>
        </w:tc>
        <w:tc>
          <w:tcPr>
            <w:tcW w:w="992" w:type="dxa"/>
            <w:noWrap/>
            <w:vAlign w:val="center"/>
          </w:tcPr>
          <w:p>
            <w:pPr>
              <w:jc w:val="center"/>
              <w:rPr>
                <w:kern w:val="0"/>
                <w:sz w:val="18"/>
                <w:szCs w:val="18"/>
              </w:rPr>
            </w:pPr>
            <w:r>
              <w:rPr>
                <w:kern w:val="0"/>
                <w:sz w:val="18"/>
                <w:szCs w:val="18"/>
              </w:rPr>
              <w:t>＜65</w:t>
            </w:r>
          </w:p>
        </w:tc>
        <w:tc>
          <w:tcPr>
            <w:tcW w:w="1182" w:type="dxa"/>
            <w:noWrap/>
            <w:vAlign w:val="center"/>
          </w:tcPr>
          <w:p>
            <w:pPr>
              <w:jc w:val="center"/>
              <w:rPr>
                <w:kern w:val="0"/>
                <w:sz w:val="18"/>
                <w:szCs w:val="18"/>
              </w:rPr>
            </w:pPr>
            <w:r>
              <w:rPr>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35" w:type="dxa"/>
            <w:vMerge w:val="continue"/>
            <w:noWrap/>
            <w:vAlign w:val="center"/>
          </w:tcPr>
          <w:p>
            <w:pPr>
              <w:widowControl/>
              <w:jc w:val="center"/>
              <w:rPr>
                <w:kern w:val="0"/>
                <w:sz w:val="18"/>
                <w:szCs w:val="18"/>
              </w:rPr>
            </w:pPr>
          </w:p>
        </w:tc>
        <w:tc>
          <w:tcPr>
            <w:tcW w:w="3638" w:type="dxa"/>
            <w:gridSpan w:val="3"/>
            <w:noWrap/>
            <w:vAlign w:val="center"/>
          </w:tcPr>
          <w:p>
            <w:pPr>
              <w:widowControl/>
              <w:rPr>
                <w:kern w:val="0"/>
                <w:sz w:val="18"/>
                <w:szCs w:val="18"/>
              </w:rPr>
            </w:pPr>
            <w:r>
              <w:rPr>
                <w:kern w:val="0"/>
                <w:sz w:val="18"/>
                <w:szCs w:val="18"/>
              </w:rPr>
              <w:t>自动化设备产能占比</w:t>
            </w:r>
          </w:p>
        </w:tc>
        <w:tc>
          <w:tcPr>
            <w:tcW w:w="736" w:type="dxa"/>
            <w:noWrap/>
            <w:vAlign w:val="center"/>
          </w:tcPr>
          <w:p>
            <w:pPr>
              <w:widowControl/>
              <w:jc w:val="center"/>
              <w:rPr>
                <w:kern w:val="0"/>
                <w:sz w:val="18"/>
                <w:szCs w:val="18"/>
              </w:rPr>
            </w:pPr>
            <w:r>
              <w:rPr>
                <w:kern w:val="0"/>
                <w:sz w:val="18"/>
                <w:szCs w:val="18"/>
              </w:rPr>
              <w:t>%</w:t>
            </w:r>
          </w:p>
        </w:tc>
        <w:tc>
          <w:tcPr>
            <w:tcW w:w="965" w:type="dxa"/>
            <w:noWrap/>
            <w:vAlign w:val="center"/>
          </w:tcPr>
          <w:p>
            <w:pPr>
              <w:jc w:val="center"/>
              <w:rPr>
                <w:kern w:val="0"/>
                <w:sz w:val="18"/>
                <w:szCs w:val="18"/>
              </w:rPr>
            </w:pPr>
            <w:r>
              <w:rPr>
                <w:kern w:val="0"/>
                <w:sz w:val="18"/>
              </w:rPr>
              <w:t>≥</w:t>
            </w:r>
            <w:r>
              <w:rPr>
                <w:kern w:val="0"/>
                <w:sz w:val="18"/>
                <w:szCs w:val="18"/>
              </w:rPr>
              <w:t>75</w:t>
            </w:r>
          </w:p>
        </w:tc>
        <w:tc>
          <w:tcPr>
            <w:tcW w:w="2174" w:type="dxa"/>
            <w:gridSpan w:val="2"/>
            <w:vAlign w:val="center"/>
          </w:tcPr>
          <w:p>
            <w:pPr>
              <w:jc w:val="center"/>
              <w:rPr>
                <w:kern w:val="0"/>
                <w:sz w:val="18"/>
                <w:szCs w:val="18"/>
              </w:rPr>
            </w:pPr>
            <w:r>
              <w:rPr>
                <w:kern w:val="0"/>
                <w:sz w:val="18"/>
              </w:rPr>
              <w:t>≥</w:t>
            </w:r>
            <w:r>
              <w:rPr>
                <w:kern w:val="0"/>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5" w:type="dxa"/>
            <w:vMerge w:val="restart"/>
            <w:noWrap/>
            <w:vAlign w:val="center"/>
          </w:tcPr>
          <w:p>
            <w:pPr>
              <w:jc w:val="center"/>
              <w:rPr>
                <w:kern w:val="0"/>
                <w:sz w:val="18"/>
                <w:szCs w:val="18"/>
              </w:rPr>
            </w:pPr>
            <w:r>
              <w:rPr>
                <w:kern w:val="0"/>
                <w:sz w:val="18"/>
                <w:szCs w:val="18"/>
              </w:rPr>
              <w:t>品质属性</w:t>
            </w:r>
          </w:p>
        </w:tc>
        <w:tc>
          <w:tcPr>
            <w:tcW w:w="3638" w:type="dxa"/>
            <w:gridSpan w:val="3"/>
            <w:noWrap/>
            <w:vAlign w:val="center"/>
          </w:tcPr>
          <w:p>
            <w:pPr>
              <w:jc w:val="left"/>
              <w:rPr>
                <w:kern w:val="0"/>
                <w:sz w:val="18"/>
                <w:szCs w:val="18"/>
              </w:rPr>
            </w:pPr>
            <w:r>
              <w:rPr>
                <w:rFonts w:hint="eastAsia"/>
                <w:kern w:val="0"/>
                <w:sz w:val="18"/>
                <w:szCs w:val="18"/>
              </w:rPr>
              <w:t>尺寸偏差</w:t>
            </w:r>
          </w:p>
        </w:tc>
        <w:tc>
          <w:tcPr>
            <w:tcW w:w="736" w:type="dxa"/>
            <w:noWrap/>
            <w:vAlign w:val="center"/>
          </w:tcPr>
          <w:p>
            <w:pPr>
              <w:widowControl/>
              <w:jc w:val="center"/>
              <w:rPr>
                <w:kern w:val="0"/>
                <w:sz w:val="18"/>
                <w:szCs w:val="18"/>
              </w:rPr>
            </w:pPr>
            <w:r>
              <w:rPr>
                <w:kern w:val="0"/>
                <w:sz w:val="18"/>
                <w:szCs w:val="18"/>
              </w:rPr>
              <w:t>mm</w:t>
            </w:r>
          </w:p>
        </w:tc>
        <w:tc>
          <w:tcPr>
            <w:tcW w:w="3139" w:type="dxa"/>
            <w:gridSpan w:val="3"/>
            <w:noWrap/>
            <w:vAlign w:val="center"/>
          </w:tcPr>
          <w:p>
            <w:pPr>
              <w:widowControl/>
              <w:jc w:val="center"/>
              <w:rPr>
                <w:sz w:val="18"/>
                <w:szCs w:val="18"/>
              </w:rPr>
            </w:pPr>
            <w:r>
              <w:rPr>
                <w:rFonts w:hint="eastAsia"/>
                <w:sz w:val="18"/>
                <w:szCs w:val="18"/>
              </w:rPr>
              <w:t>符合GB/</w:t>
            </w:r>
            <w:r>
              <w:rPr>
                <w:sz w:val="18"/>
                <w:szCs w:val="18"/>
              </w:rPr>
              <w:t>T 29733的要求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5" w:type="dxa"/>
            <w:vMerge w:val="continue"/>
            <w:noWrap/>
            <w:vAlign w:val="center"/>
          </w:tcPr>
          <w:p>
            <w:pPr>
              <w:widowControl/>
              <w:jc w:val="center"/>
              <w:rPr>
                <w:kern w:val="0"/>
                <w:sz w:val="18"/>
                <w:szCs w:val="18"/>
              </w:rPr>
            </w:pPr>
          </w:p>
        </w:tc>
        <w:tc>
          <w:tcPr>
            <w:tcW w:w="3638" w:type="dxa"/>
            <w:gridSpan w:val="3"/>
            <w:noWrap/>
            <w:vAlign w:val="center"/>
          </w:tcPr>
          <w:p>
            <w:pPr>
              <w:jc w:val="left"/>
              <w:rPr>
                <w:kern w:val="0"/>
                <w:sz w:val="18"/>
                <w:szCs w:val="18"/>
              </w:rPr>
            </w:pPr>
            <w:r>
              <w:rPr>
                <w:kern w:val="0"/>
                <w:sz w:val="18"/>
                <w:szCs w:val="18"/>
              </w:rPr>
              <w:t>重量偏差</w:t>
            </w:r>
            <w:r>
              <w:rPr>
                <w:sz w:val="18"/>
                <w:szCs w:val="18"/>
              </w:rPr>
              <w:t>范围</w:t>
            </w:r>
          </w:p>
        </w:tc>
        <w:tc>
          <w:tcPr>
            <w:tcW w:w="736" w:type="dxa"/>
            <w:noWrap/>
            <w:vAlign w:val="center"/>
          </w:tcPr>
          <w:p>
            <w:pPr>
              <w:widowControl/>
              <w:jc w:val="center"/>
              <w:rPr>
                <w:kern w:val="0"/>
                <w:sz w:val="18"/>
                <w:szCs w:val="18"/>
              </w:rPr>
            </w:pPr>
            <w:r>
              <w:rPr>
                <w:kern w:val="0"/>
                <w:sz w:val="18"/>
                <w:szCs w:val="18"/>
              </w:rPr>
              <w:t>%</w:t>
            </w:r>
          </w:p>
        </w:tc>
        <w:tc>
          <w:tcPr>
            <w:tcW w:w="1957" w:type="dxa"/>
            <w:gridSpan w:val="2"/>
            <w:noWrap/>
            <w:vAlign w:val="center"/>
          </w:tcPr>
          <w:p>
            <w:pPr>
              <w:widowControl/>
              <w:jc w:val="center"/>
              <w:rPr>
                <w:kern w:val="0"/>
                <w:sz w:val="18"/>
                <w:szCs w:val="18"/>
              </w:rPr>
            </w:pPr>
            <w:r>
              <w:rPr>
                <w:rFonts w:hint="eastAsia"/>
                <w:kern w:val="0"/>
                <w:sz w:val="18"/>
                <w:szCs w:val="18"/>
              </w:rPr>
              <w:t>±6</w:t>
            </w:r>
          </w:p>
        </w:tc>
        <w:tc>
          <w:tcPr>
            <w:tcW w:w="1182" w:type="dxa"/>
            <w:vAlign w:val="center"/>
          </w:tcPr>
          <w:p>
            <w:pPr>
              <w:widowControl/>
              <w:jc w:val="center"/>
              <w:rPr>
                <w:kern w:val="0"/>
                <w:sz w:val="18"/>
                <w:szCs w:val="18"/>
              </w:rPr>
            </w:pPr>
            <w:r>
              <w:rPr>
                <w:rFonts w:hint="eastAsia"/>
                <w:kern w:val="0"/>
                <w:sz w:val="18"/>
                <w:szCs w:val="18"/>
              </w:rPr>
              <w:t>±</w:t>
            </w:r>
            <w:r>
              <w:rPr>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5" w:type="dxa"/>
            <w:vMerge w:val="continue"/>
            <w:noWrap/>
            <w:vAlign w:val="center"/>
          </w:tcPr>
          <w:p>
            <w:pPr>
              <w:widowControl/>
              <w:jc w:val="center"/>
              <w:rPr>
                <w:kern w:val="0"/>
                <w:sz w:val="18"/>
                <w:szCs w:val="18"/>
              </w:rPr>
            </w:pPr>
          </w:p>
        </w:tc>
        <w:tc>
          <w:tcPr>
            <w:tcW w:w="3638" w:type="dxa"/>
            <w:gridSpan w:val="3"/>
            <w:noWrap/>
            <w:vAlign w:val="center"/>
          </w:tcPr>
          <w:p>
            <w:pPr>
              <w:jc w:val="left"/>
              <w:rPr>
                <w:kern w:val="0"/>
                <w:sz w:val="18"/>
                <w:szCs w:val="18"/>
              </w:rPr>
            </w:pPr>
            <w:r>
              <w:rPr>
                <w:rFonts w:hint="eastAsia"/>
                <w:kern w:val="0"/>
                <w:sz w:val="18"/>
                <w:szCs w:val="18"/>
              </w:rPr>
              <w:t>钢筋机械连接丝头、接头抗拉强度</w:t>
            </w:r>
          </w:p>
        </w:tc>
        <w:tc>
          <w:tcPr>
            <w:tcW w:w="736" w:type="dxa"/>
            <w:noWrap/>
            <w:vAlign w:val="center"/>
          </w:tcPr>
          <w:p>
            <w:pPr>
              <w:widowControl/>
              <w:jc w:val="center"/>
              <w:rPr>
                <w:kern w:val="0"/>
                <w:sz w:val="18"/>
                <w:szCs w:val="18"/>
              </w:rPr>
            </w:pPr>
            <w:r>
              <w:rPr>
                <w:kern w:val="0"/>
                <w:sz w:val="18"/>
                <w:szCs w:val="18"/>
              </w:rPr>
              <w:t>—</w:t>
            </w:r>
          </w:p>
        </w:tc>
        <w:tc>
          <w:tcPr>
            <w:tcW w:w="3139" w:type="dxa"/>
            <w:gridSpan w:val="3"/>
            <w:noWrap/>
            <w:vAlign w:val="center"/>
          </w:tcPr>
          <w:p>
            <w:pPr>
              <w:widowControl/>
              <w:jc w:val="center"/>
              <w:rPr>
                <w:kern w:val="0"/>
                <w:sz w:val="18"/>
                <w:szCs w:val="18"/>
              </w:rPr>
            </w:pPr>
            <w:r>
              <w:rPr>
                <w:rFonts w:hint="eastAsia"/>
                <w:sz w:val="18"/>
                <w:szCs w:val="18"/>
              </w:rPr>
              <w:t>符合JGJ</w:t>
            </w:r>
            <w:r>
              <w:rPr>
                <w:sz w:val="18"/>
                <w:szCs w:val="18"/>
              </w:rPr>
              <w:t xml:space="preserve"> 107的要求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5" w:type="dxa"/>
            <w:vMerge w:val="continue"/>
            <w:noWrap/>
            <w:vAlign w:val="center"/>
          </w:tcPr>
          <w:p>
            <w:pPr>
              <w:widowControl/>
              <w:jc w:val="center"/>
              <w:rPr>
                <w:kern w:val="0"/>
                <w:sz w:val="18"/>
                <w:szCs w:val="18"/>
              </w:rPr>
            </w:pPr>
          </w:p>
        </w:tc>
        <w:tc>
          <w:tcPr>
            <w:tcW w:w="3638" w:type="dxa"/>
            <w:gridSpan w:val="3"/>
            <w:noWrap/>
            <w:vAlign w:val="center"/>
          </w:tcPr>
          <w:p>
            <w:pPr>
              <w:jc w:val="left"/>
              <w:rPr>
                <w:kern w:val="0"/>
                <w:sz w:val="18"/>
                <w:szCs w:val="18"/>
              </w:rPr>
            </w:pPr>
            <w:r>
              <w:rPr>
                <w:rFonts w:hint="eastAsia"/>
                <w:kern w:val="0"/>
                <w:sz w:val="18"/>
                <w:szCs w:val="18"/>
              </w:rPr>
              <w:t>加工配送合格率</w:t>
            </w:r>
          </w:p>
        </w:tc>
        <w:tc>
          <w:tcPr>
            <w:tcW w:w="736" w:type="dxa"/>
            <w:noWrap/>
            <w:vAlign w:val="center"/>
          </w:tcPr>
          <w:p>
            <w:pPr>
              <w:widowControl/>
              <w:jc w:val="center"/>
              <w:rPr>
                <w:kern w:val="0"/>
                <w:sz w:val="18"/>
                <w:szCs w:val="18"/>
              </w:rPr>
            </w:pPr>
            <w:r>
              <w:rPr>
                <w:kern w:val="0"/>
                <w:sz w:val="18"/>
                <w:szCs w:val="18"/>
              </w:rPr>
              <w:t>%</w:t>
            </w:r>
          </w:p>
        </w:tc>
        <w:tc>
          <w:tcPr>
            <w:tcW w:w="1957" w:type="dxa"/>
            <w:gridSpan w:val="2"/>
            <w:noWrap/>
            <w:vAlign w:val="center"/>
          </w:tcPr>
          <w:p>
            <w:pPr>
              <w:widowControl/>
              <w:jc w:val="center"/>
              <w:rPr>
                <w:sz w:val="18"/>
                <w:szCs w:val="18"/>
              </w:rPr>
            </w:pPr>
            <w:r>
              <w:rPr>
                <w:kern w:val="0"/>
                <w:sz w:val="18"/>
              </w:rPr>
              <w:t>≥85</w:t>
            </w:r>
          </w:p>
        </w:tc>
        <w:tc>
          <w:tcPr>
            <w:tcW w:w="1182" w:type="dxa"/>
            <w:noWrap/>
            <w:vAlign w:val="center"/>
          </w:tcPr>
          <w:p>
            <w:pPr>
              <w:widowControl/>
              <w:jc w:val="center"/>
              <w:rPr>
                <w:sz w:val="18"/>
                <w:szCs w:val="18"/>
              </w:rPr>
            </w:pPr>
            <w:r>
              <w:rPr>
                <w:kern w:val="0"/>
                <w:sz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35" w:type="dxa"/>
            <w:vMerge w:val="continue"/>
            <w:noWrap/>
            <w:vAlign w:val="center"/>
          </w:tcPr>
          <w:p>
            <w:pPr>
              <w:widowControl/>
              <w:jc w:val="center"/>
              <w:rPr>
                <w:kern w:val="0"/>
                <w:sz w:val="18"/>
                <w:szCs w:val="18"/>
              </w:rPr>
            </w:pPr>
          </w:p>
        </w:tc>
        <w:tc>
          <w:tcPr>
            <w:tcW w:w="1228" w:type="dxa"/>
            <w:vMerge w:val="restart"/>
            <w:noWrap/>
            <w:vAlign w:val="center"/>
          </w:tcPr>
          <w:p>
            <w:pPr>
              <w:jc w:val="left"/>
              <w:rPr>
                <w:kern w:val="0"/>
                <w:sz w:val="18"/>
                <w:szCs w:val="18"/>
              </w:rPr>
            </w:pPr>
            <w:r>
              <w:rPr>
                <w:kern w:val="0"/>
                <w:sz w:val="18"/>
                <w:szCs w:val="18"/>
              </w:rPr>
              <w:t>信息化生产管理系统</w:t>
            </w:r>
          </w:p>
        </w:tc>
        <w:tc>
          <w:tcPr>
            <w:tcW w:w="2410" w:type="dxa"/>
            <w:gridSpan w:val="2"/>
            <w:vAlign w:val="center"/>
          </w:tcPr>
          <w:p>
            <w:pPr>
              <w:jc w:val="left"/>
              <w:rPr>
                <w:kern w:val="0"/>
                <w:sz w:val="18"/>
                <w:szCs w:val="18"/>
              </w:rPr>
            </w:pPr>
            <w:r>
              <w:rPr>
                <w:kern w:val="0"/>
                <w:sz w:val="18"/>
                <w:szCs w:val="18"/>
              </w:rPr>
              <w:t>原材料采购</w:t>
            </w:r>
          </w:p>
        </w:tc>
        <w:tc>
          <w:tcPr>
            <w:tcW w:w="736" w:type="dxa"/>
            <w:vMerge w:val="restart"/>
            <w:noWrap/>
            <w:vAlign w:val="center"/>
          </w:tcPr>
          <w:p>
            <w:pPr>
              <w:ind w:firstLine="180" w:firstLineChars="100"/>
              <w:rPr>
                <w:kern w:val="0"/>
                <w:sz w:val="18"/>
                <w:szCs w:val="18"/>
              </w:rPr>
            </w:pPr>
            <w:r>
              <w:rPr>
                <w:kern w:val="0"/>
                <w:sz w:val="18"/>
                <w:szCs w:val="18"/>
              </w:rPr>
              <w:t>—</w:t>
            </w:r>
          </w:p>
        </w:tc>
        <w:tc>
          <w:tcPr>
            <w:tcW w:w="965" w:type="dxa"/>
            <w:vMerge w:val="restart"/>
            <w:noWrap/>
            <w:vAlign w:val="center"/>
          </w:tcPr>
          <w:p>
            <w:pPr>
              <w:widowControl/>
              <w:jc w:val="center"/>
              <w:rPr>
                <w:szCs w:val="20"/>
              </w:rPr>
            </w:pPr>
            <w:r>
              <w:rPr>
                <w:kern w:val="0"/>
                <w:sz w:val="18"/>
              </w:rPr>
              <w:t>≥</w:t>
            </w:r>
            <w:r>
              <w:rPr>
                <w:szCs w:val="20"/>
              </w:rPr>
              <w:t>1</w:t>
            </w:r>
          </w:p>
        </w:tc>
        <w:tc>
          <w:tcPr>
            <w:tcW w:w="992" w:type="dxa"/>
            <w:vMerge w:val="restart"/>
            <w:vAlign w:val="center"/>
          </w:tcPr>
          <w:p>
            <w:pPr>
              <w:widowControl/>
              <w:jc w:val="center"/>
              <w:rPr>
                <w:szCs w:val="20"/>
              </w:rPr>
            </w:pPr>
            <w:r>
              <w:rPr>
                <w:kern w:val="0"/>
                <w:sz w:val="18"/>
              </w:rPr>
              <w:t>≥</w:t>
            </w:r>
            <w:r>
              <w:rPr>
                <w:szCs w:val="20"/>
              </w:rPr>
              <w:t>2</w:t>
            </w:r>
          </w:p>
        </w:tc>
        <w:tc>
          <w:tcPr>
            <w:tcW w:w="1182" w:type="dxa"/>
            <w:vMerge w:val="restart"/>
            <w:vAlign w:val="center"/>
          </w:tcPr>
          <w:p>
            <w:pPr>
              <w:widowControl/>
              <w:jc w:val="center"/>
              <w:rPr>
                <w:szCs w:val="20"/>
              </w:rPr>
            </w:pPr>
            <w:r>
              <w:rPr>
                <w:kern w:val="0"/>
                <w:sz w:val="18"/>
              </w:rPr>
              <w:t>≥</w:t>
            </w:r>
            <w:r>
              <w:rPr>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35" w:type="dxa"/>
            <w:vMerge w:val="continue"/>
            <w:noWrap/>
            <w:vAlign w:val="center"/>
          </w:tcPr>
          <w:p>
            <w:pPr>
              <w:widowControl/>
              <w:jc w:val="center"/>
              <w:rPr>
                <w:kern w:val="0"/>
                <w:sz w:val="18"/>
                <w:szCs w:val="18"/>
              </w:rPr>
            </w:pPr>
          </w:p>
        </w:tc>
        <w:tc>
          <w:tcPr>
            <w:tcW w:w="1228" w:type="dxa"/>
            <w:vMerge w:val="continue"/>
            <w:noWrap/>
            <w:vAlign w:val="center"/>
          </w:tcPr>
          <w:p>
            <w:pPr>
              <w:jc w:val="left"/>
              <w:rPr>
                <w:kern w:val="0"/>
                <w:sz w:val="18"/>
                <w:szCs w:val="18"/>
              </w:rPr>
            </w:pPr>
          </w:p>
        </w:tc>
        <w:tc>
          <w:tcPr>
            <w:tcW w:w="2410" w:type="dxa"/>
            <w:gridSpan w:val="2"/>
            <w:vAlign w:val="center"/>
          </w:tcPr>
          <w:p>
            <w:pPr>
              <w:jc w:val="left"/>
              <w:rPr>
                <w:kern w:val="0"/>
                <w:sz w:val="18"/>
                <w:szCs w:val="18"/>
              </w:rPr>
            </w:pPr>
            <w:r>
              <w:rPr>
                <w:kern w:val="0"/>
                <w:sz w:val="18"/>
                <w:szCs w:val="18"/>
              </w:rPr>
              <w:t>钢筋加工</w:t>
            </w:r>
          </w:p>
        </w:tc>
        <w:tc>
          <w:tcPr>
            <w:tcW w:w="736" w:type="dxa"/>
            <w:vMerge w:val="continue"/>
            <w:noWrap/>
            <w:vAlign w:val="center"/>
          </w:tcPr>
          <w:p>
            <w:pPr>
              <w:jc w:val="center"/>
              <w:rPr>
                <w:kern w:val="0"/>
                <w:sz w:val="18"/>
                <w:szCs w:val="18"/>
              </w:rPr>
            </w:pPr>
          </w:p>
        </w:tc>
        <w:tc>
          <w:tcPr>
            <w:tcW w:w="965" w:type="dxa"/>
            <w:vMerge w:val="continue"/>
            <w:noWrap/>
            <w:vAlign w:val="center"/>
          </w:tcPr>
          <w:p>
            <w:pPr>
              <w:widowControl/>
              <w:jc w:val="center"/>
              <w:rPr>
                <w:szCs w:val="20"/>
              </w:rPr>
            </w:pPr>
          </w:p>
        </w:tc>
        <w:tc>
          <w:tcPr>
            <w:tcW w:w="992" w:type="dxa"/>
            <w:vMerge w:val="continue"/>
            <w:vAlign w:val="center"/>
          </w:tcPr>
          <w:p>
            <w:pPr>
              <w:widowControl/>
              <w:jc w:val="center"/>
              <w:rPr>
                <w:szCs w:val="20"/>
              </w:rPr>
            </w:pPr>
          </w:p>
        </w:tc>
        <w:tc>
          <w:tcPr>
            <w:tcW w:w="1182" w:type="dxa"/>
            <w:vMerge w:val="continue"/>
            <w:vAlign w:val="center"/>
          </w:tcPr>
          <w:p>
            <w:pPr>
              <w:widowControl/>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35" w:type="dxa"/>
            <w:vMerge w:val="continue"/>
            <w:noWrap/>
            <w:vAlign w:val="center"/>
          </w:tcPr>
          <w:p>
            <w:pPr>
              <w:widowControl/>
              <w:jc w:val="center"/>
              <w:rPr>
                <w:kern w:val="0"/>
                <w:sz w:val="18"/>
                <w:szCs w:val="18"/>
              </w:rPr>
            </w:pPr>
          </w:p>
        </w:tc>
        <w:tc>
          <w:tcPr>
            <w:tcW w:w="1228" w:type="dxa"/>
            <w:vMerge w:val="continue"/>
            <w:noWrap/>
            <w:vAlign w:val="center"/>
          </w:tcPr>
          <w:p>
            <w:pPr>
              <w:jc w:val="left"/>
              <w:rPr>
                <w:kern w:val="0"/>
                <w:sz w:val="18"/>
                <w:szCs w:val="18"/>
              </w:rPr>
            </w:pPr>
          </w:p>
        </w:tc>
        <w:tc>
          <w:tcPr>
            <w:tcW w:w="2410" w:type="dxa"/>
            <w:gridSpan w:val="2"/>
            <w:vAlign w:val="center"/>
          </w:tcPr>
          <w:p>
            <w:pPr>
              <w:jc w:val="left"/>
              <w:rPr>
                <w:kern w:val="0"/>
                <w:sz w:val="18"/>
                <w:szCs w:val="18"/>
              </w:rPr>
            </w:pPr>
            <w:r>
              <w:rPr>
                <w:kern w:val="0"/>
                <w:sz w:val="18"/>
                <w:szCs w:val="18"/>
              </w:rPr>
              <w:t>成型钢筋配送</w:t>
            </w:r>
          </w:p>
        </w:tc>
        <w:tc>
          <w:tcPr>
            <w:tcW w:w="736" w:type="dxa"/>
            <w:vMerge w:val="continue"/>
            <w:noWrap/>
            <w:vAlign w:val="center"/>
          </w:tcPr>
          <w:p>
            <w:pPr>
              <w:jc w:val="center"/>
              <w:rPr>
                <w:kern w:val="0"/>
                <w:sz w:val="18"/>
                <w:szCs w:val="18"/>
              </w:rPr>
            </w:pPr>
          </w:p>
        </w:tc>
        <w:tc>
          <w:tcPr>
            <w:tcW w:w="965" w:type="dxa"/>
            <w:vMerge w:val="continue"/>
            <w:noWrap/>
            <w:vAlign w:val="center"/>
          </w:tcPr>
          <w:p>
            <w:pPr>
              <w:widowControl/>
              <w:jc w:val="center"/>
              <w:rPr>
                <w:szCs w:val="20"/>
              </w:rPr>
            </w:pPr>
          </w:p>
        </w:tc>
        <w:tc>
          <w:tcPr>
            <w:tcW w:w="992" w:type="dxa"/>
            <w:vMerge w:val="continue"/>
            <w:vAlign w:val="center"/>
          </w:tcPr>
          <w:p>
            <w:pPr>
              <w:widowControl/>
              <w:jc w:val="center"/>
              <w:rPr>
                <w:szCs w:val="20"/>
              </w:rPr>
            </w:pPr>
          </w:p>
        </w:tc>
        <w:tc>
          <w:tcPr>
            <w:tcW w:w="1182" w:type="dxa"/>
            <w:vMerge w:val="continue"/>
            <w:vAlign w:val="center"/>
          </w:tcPr>
          <w:p>
            <w:pPr>
              <w:widowControl/>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35" w:type="dxa"/>
            <w:vMerge w:val="continue"/>
            <w:noWrap/>
            <w:vAlign w:val="center"/>
          </w:tcPr>
          <w:p>
            <w:pPr>
              <w:widowControl/>
              <w:jc w:val="center"/>
              <w:rPr>
                <w:kern w:val="0"/>
                <w:sz w:val="18"/>
                <w:szCs w:val="18"/>
              </w:rPr>
            </w:pPr>
          </w:p>
        </w:tc>
        <w:tc>
          <w:tcPr>
            <w:tcW w:w="1228" w:type="dxa"/>
            <w:vMerge w:val="continue"/>
            <w:noWrap/>
            <w:vAlign w:val="center"/>
          </w:tcPr>
          <w:p>
            <w:pPr>
              <w:jc w:val="left"/>
              <w:rPr>
                <w:kern w:val="0"/>
                <w:sz w:val="18"/>
                <w:szCs w:val="18"/>
              </w:rPr>
            </w:pPr>
          </w:p>
        </w:tc>
        <w:tc>
          <w:tcPr>
            <w:tcW w:w="2410" w:type="dxa"/>
            <w:gridSpan w:val="2"/>
            <w:vAlign w:val="center"/>
          </w:tcPr>
          <w:p>
            <w:pPr>
              <w:jc w:val="left"/>
              <w:rPr>
                <w:kern w:val="0"/>
                <w:sz w:val="18"/>
                <w:szCs w:val="18"/>
              </w:rPr>
            </w:pPr>
            <w:r>
              <w:rPr>
                <w:kern w:val="0"/>
                <w:sz w:val="18"/>
                <w:szCs w:val="18"/>
              </w:rPr>
              <w:t>过程质量检验</w:t>
            </w:r>
          </w:p>
        </w:tc>
        <w:tc>
          <w:tcPr>
            <w:tcW w:w="736" w:type="dxa"/>
            <w:vMerge w:val="continue"/>
            <w:noWrap/>
            <w:vAlign w:val="center"/>
          </w:tcPr>
          <w:p>
            <w:pPr>
              <w:jc w:val="center"/>
              <w:rPr>
                <w:kern w:val="0"/>
                <w:sz w:val="18"/>
                <w:szCs w:val="18"/>
              </w:rPr>
            </w:pPr>
          </w:p>
        </w:tc>
        <w:tc>
          <w:tcPr>
            <w:tcW w:w="965" w:type="dxa"/>
            <w:vMerge w:val="continue"/>
            <w:noWrap/>
            <w:vAlign w:val="center"/>
          </w:tcPr>
          <w:p>
            <w:pPr>
              <w:widowControl/>
              <w:jc w:val="center"/>
              <w:rPr>
                <w:szCs w:val="20"/>
              </w:rPr>
            </w:pPr>
          </w:p>
        </w:tc>
        <w:tc>
          <w:tcPr>
            <w:tcW w:w="992" w:type="dxa"/>
            <w:vMerge w:val="continue"/>
            <w:vAlign w:val="center"/>
          </w:tcPr>
          <w:p>
            <w:pPr>
              <w:widowControl/>
              <w:jc w:val="center"/>
              <w:rPr>
                <w:szCs w:val="20"/>
              </w:rPr>
            </w:pPr>
          </w:p>
        </w:tc>
        <w:tc>
          <w:tcPr>
            <w:tcW w:w="1182" w:type="dxa"/>
            <w:vMerge w:val="continue"/>
            <w:vAlign w:val="center"/>
          </w:tcPr>
          <w:p>
            <w:pPr>
              <w:widowControl/>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35" w:type="dxa"/>
            <w:vMerge w:val="continue"/>
            <w:noWrap/>
            <w:vAlign w:val="center"/>
          </w:tcPr>
          <w:p>
            <w:pPr>
              <w:widowControl/>
              <w:jc w:val="center"/>
              <w:rPr>
                <w:kern w:val="0"/>
                <w:sz w:val="18"/>
                <w:szCs w:val="18"/>
              </w:rPr>
            </w:pPr>
          </w:p>
        </w:tc>
        <w:tc>
          <w:tcPr>
            <w:tcW w:w="3638" w:type="dxa"/>
            <w:gridSpan w:val="3"/>
            <w:noWrap/>
            <w:vAlign w:val="center"/>
          </w:tcPr>
          <w:p>
            <w:pPr>
              <w:jc w:val="left"/>
              <w:rPr>
                <w:kern w:val="0"/>
                <w:sz w:val="18"/>
                <w:szCs w:val="18"/>
              </w:rPr>
            </w:pPr>
            <w:r>
              <w:rPr>
                <w:kern w:val="0"/>
                <w:sz w:val="18"/>
                <w:szCs w:val="18"/>
              </w:rPr>
              <w:t>获得服务认证</w:t>
            </w:r>
          </w:p>
        </w:tc>
        <w:tc>
          <w:tcPr>
            <w:tcW w:w="736" w:type="dxa"/>
            <w:noWrap/>
            <w:vAlign w:val="center"/>
          </w:tcPr>
          <w:p>
            <w:pPr>
              <w:widowControl/>
              <w:ind w:firstLine="180" w:firstLineChars="100"/>
              <w:rPr>
                <w:kern w:val="0"/>
                <w:sz w:val="18"/>
                <w:szCs w:val="18"/>
              </w:rPr>
            </w:pPr>
            <w:r>
              <w:rPr>
                <w:kern w:val="0"/>
                <w:sz w:val="18"/>
                <w:szCs w:val="18"/>
              </w:rPr>
              <w:t>—</w:t>
            </w:r>
          </w:p>
        </w:tc>
        <w:tc>
          <w:tcPr>
            <w:tcW w:w="1957" w:type="dxa"/>
            <w:gridSpan w:val="2"/>
            <w:noWrap/>
            <w:vAlign w:val="center"/>
          </w:tcPr>
          <w:p>
            <w:pPr>
              <w:widowControl/>
              <w:jc w:val="center"/>
              <w:rPr>
                <w:kern w:val="0"/>
                <w:sz w:val="18"/>
                <w:szCs w:val="18"/>
              </w:rPr>
            </w:pPr>
            <w:r>
              <w:rPr>
                <w:kern w:val="0"/>
                <w:sz w:val="18"/>
                <w:szCs w:val="18"/>
              </w:rPr>
              <w:t>—</w:t>
            </w:r>
          </w:p>
        </w:tc>
        <w:tc>
          <w:tcPr>
            <w:tcW w:w="1182" w:type="dxa"/>
            <w:noWrap/>
            <w:vAlign w:val="center"/>
          </w:tcPr>
          <w:p>
            <w:pPr>
              <w:widowControl/>
              <w:jc w:val="center"/>
              <w:rPr>
                <w:kern w:val="0"/>
                <w:sz w:val="18"/>
                <w:szCs w:val="18"/>
              </w:rPr>
            </w:pPr>
            <w:r>
              <w:rPr>
                <w:kern w:val="0"/>
                <w:sz w:val="18"/>
                <w:szCs w:val="18"/>
              </w:rPr>
              <w:t>三星</w:t>
            </w:r>
          </w:p>
        </w:tc>
      </w:tr>
    </w:tbl>
    <w:p>
      <w:pPr>
        <w:widowControl/>
        <w:tabs>
          <w:tab w:val="center" w:pos="4201"/>
          <w:tab w:val="right" w:leader="dot" w:pos="9298"/>
        </w:tabs>
        <w:autoSpaceDE w:val="0"/>
        <w:autoSpaceDN w:val="0"/>
        <w:ind w:firstLine="420" w:firstLineChars="200"/>
        <w:rPr>
          <w:kern w:val="0"/>
          <w:szCs w:val="20"/>
        </w:rPr>
      </w:pPr>
      <w:bookmarkStart w:id="54" w:name="_Toc396134056"/>
      <w:bookmarkStart w:id="55" w:name="_Toc350864010"/>
      <w:bookmarkStart w:id="56" w:name="_Toc360632449"/>
      <w:bookmarkStart w:id="57" w:name="_Toc384816571"/>
      <w:bookmarkStart w:id="58" w:name="_Toc360436858"/>
      <w:bookmarkStart w:id="59" w:name="_Toc360436771"/>
    </w:p>
    <w:p>
      <w:pPr>
        <w:pStyle w:val="14"/>
        <w:spacing w:line="360" w:lineRule="auto"/>
        <w:jc w:val="left"/>
        <w:rPr>
          <w:rFonts w:ascii="Times New Roman" w:hAnsi="Times New Roman" w:eastAsia="黑体"/>
        </w:rPr>
      </w:pPr>
      <w:bookmarkStart w:id="60" w:name="_Toc459106422"/>
      <w:bookmarkStart w:id="61" w:name="_Toc462063266"/>
      <w:bookmarkStart w:id="62" w:name="_Toc456611292"/>
      <w:r>
        <w:rPr>
          <w:rFonts w:ascii="Times New Roman" w:hAnsi="Times New Roman" w:eastAsia="黑体"/>
        </w:rPr>
        <w:t>5 评价方法</w:t>
      </w:r>
      <w:bookmarkEnd w:id="60"/>
      <w:bookmarkEnd w:id="61"/>
      <w:bookmarkEnd w:id="62"/>
    </w:p>
    <w:p>
      <w:pPr>
        <w:autoSpaceDE w:val="0"/>
        <w:autoSpaceDN w:val="0"/>
        <w:adjustRightInd w:val="0"/>
        <w:jc w:val="left"/>
      </w:pPr>
      <w:r>
        <w:rPr>
          <w:rFonts w:eastAsia="黑体"/>
        </w:rPr>
        <w:t xml:space="preserve">5.1 </w:t>
      </w:r>
      <w:r>
        <w:t>生产企业应按4.1和4.2的规定提供</w:t>
      </w:r>
      <w:r>
        <w:rPr>
          <w:rFonts w:hint="eastAsia"/>
        </w:rPr>
        <w:t>1年</w:t>
      </w:r>
      <w:r>
        <w:t>内的第三方检测报告、</w:t>
      </w:r>
      <w:r>
        <w:rPr>
          <w:rFonts w:hint="eastAsia"/>
        </w:rPr>
        <w:t>有效期内的</w:t>
      </w:r>
      <w:r>
        <w:t>管理体系认证证书、服务认证证书、安全生产标准化证书、EPD和碳足迹报告、基本性能第三方检测报告、应用技术文件等相关资料。</w:t>
      </w:r>
    </w:p>
    <w:p>
      <w:pPr>
        <w:autoSpaceDE w:val="0"/>
        <w:autoSpaceDN w:val="0"/>
        <w:adjustRightInd w:val="0"/>
        <w:jc w:val="left"/>
        <w:rPr>
          <w:kern w:val="0"/>
        </w:rPr>
      </w:pPr>
      <w:r>
        <w:rPr>
          <w:rFonts w:eastAsia="黑体"/>
        </w:rPr>
        <w:t xml:space="preserve">5.2 </w:t>
      </w:r>
      <w:r>
        <w:t>资源属性中</w:t>
      </w:r>
      <w:r>
        <w:rPr>
          <w:rFonts w:hint="eastAsia"/>
        </w:rPr>
        <w:t>生产过程产生废弃物回用率、</w:t>
      </w:r>
      <w:r>
        <w:t>钢筋出材率按照附录A的规定进行。</w:t>
      </w:r>
    </w:p>
    <w:p>
      <w:pPr>
        <w:autoSpaceDE w:val="0"/>
        <w:autoSpaceDN w:val="0"/>
        <w:adjustRightInd w:val="0"/>
        <w:jc w:val="left"/>
        <w:rPr>
          <w:kern w:val="0"/>
        </w:rPr>
      </w:pPr>
      <w:r>
        <w:rPr>
          <w:rFonts w:eastAsia="黑体"/>
        </w:rPr>
        <w:t xml:space="preserve">5.3 </w:t>
      </w:r>
      <w:r>
        <w:t>能源属性中单位产品综合能耗按照GBT2589进行</w:t>
      </w:r>
      <w:r>
        <w:rPr>
          <w:rFonts w:hint="eastAsia"/>
        </w:rPr>
        <w:t>。</w:t>
      </w:r>
      <w:r>
        <w:t>设备作业效率</w:t>
      </w:r>
      <w:r>
        <w:rPr>
          <w:rFonts w:hint="eastAsia"/>
        </w:rPr>
        <w:t>、</w:t>
      </w:r>
      <w:r>
        <w:t>原材料本地化程度按照附录A的规定进行。</w:t>
      </w:r>
    </w:p>
    <w:p>
      <w:pPr>
        <w:autoSpaceDE w:val="0"/>
        <w:autoSpaceDN w:val="0"/>
        <w:adjustRightInd w:val="0"/>
        <w:jc w:val="left"/>
        <w:rPr>
          <w:kern w:val="0"/>
        </w:rPr>
      </w:pPr>
      <w:r>
        <w:rPr>
          <w:rFonts w:eastAsia="黑体"/>
        </w:rPr>
        <w:t xml:space="preserve">5.4 </w:t>
      </w:r>
      <w:r>
        <w:t>环境属性中厂房内/厂区边界噪音应由企业提供1年内的监测报告或按照GB 12348及地方标准的规定进行。自动化设备产能占比按照附录A的规定进行。</w:t>
      </w:r>
    </w:p>
    <w:p>
      <w:pPr>
        <w:autoSpaceDE w:val="0"/>
        <w:autoSpaceDN w:val="0"/>
        <w:adjustRightInd w:val="0"/>
        <w:jc w:val="left"/>
        <w:rPr>
          <w:kern w:val="0"/>
        </w:rPr>
      </w:pPr>
      <w:r>
        <w:rPr>
          <w:rFonts w:eastAsia="黑体"/>
        </w:rPr>
        <w:t xml:space="preserve">5.5 </w:t>
      </w:r>
      <w:r>
        <w:t>品质属性中</w:t>
      </w:r>
      <w:r>
        <w:rPr>
          <w:rFonts w:hint="eastAsia"/>
        </w:rPr>
        <w:t>尺寸偏差、重量偏差范围按照</w:t>
      </w:r>
      <w:r>
        <w:t>GB/T 29733</w:t>
      </w:r>
      <w:r>
        <w:rPr>
          <w:rFonts w:hint="eastAsia"/>
        </w:rPr>
        <w:t>规定进行，加工配送合格率按照附录A的规定进行</w:t>
      </w:r>
    </w:p>
    <w:p>
      <w:pPr>
        <w:autoSpaceDE w:val="0"/>
        <w:autoSpaceDN w:val="0"/>
        <w:adjustRightInd w:val="0"/>
        <w:jc w:val="left"/>
        <w:rPr>
          <w:kern w:val="0"/>
        </w:rPr>
      </w:pPr>
      <w:r>
        <w:rPr>
          <w:rFonts w:eastAsia="黑体"/>
        </w:rPr>
        <w:t xml:space="preserve">5.6 </w:t>
      </w:r>
      <w:r>
        <w:rPr>
          <w:rFonts w:hint="eastAsia"/>
        </w:rPr>
        <w:t>生产企业</w:t>
      </w:r>
      <w:r>
        <w:t>满足第四章对应评价等级的全部要求时</w:t>
      </w:r>
      <w:r>
        <w:rPr>
          <w:rFonts w:hint="eastAsia"/>
        </w:rPr>
        <w:t>，</w:t>
      </w:r>
      <w:r>
        <w:t>判定评价结果符合该评价等级规定</w:t>
      </w:r>
      <w:r>
        <w:rPr>
          <w:kern w:val="0"/>
        </w:rPr>
        <w:t>。</w:t>
      </w:r>
    </w:p>
    <w:p>
      <w:pPr>
        <w:pStyle w:val="25"/>
        <w:ind w:firstLine="0" w:firstLineChars="0"/>
        <w:rPr>
          <w:rFonts w:ascii="Times New Roman"/>
        </w:rPr>
      </w:pPr>
    </w:p>
    <w:p>
      <w:pPr>
        <w:pStyle w:val="25"/>
        <w:ind w:firstLine="0" w:firstLineChars="0"/>
        <w:rPr>
          <w:rFonts w:ascii="Times New Roman"/>
        </w:rPr>
        <w:sectPr>
          <w:footerReference r:id="rId6" w:type="default"/>
          <w:pgSz w:w="11906" w:h="16838"/>
          <w:pgMar w:top="1402" w:right="1134" w:bottom="1134" w:left="1418" w:header="1418" w:footer="1134" w:gutter="0"/>
          <w:pgNumType w:start="1"/>
          <w:cols w:space="720" w:num="1"/>
          <w:formProt w:val="0"/>
          <w:docGrid w:type="lines" w:linePitch="312" w:charSpace="0"/>
        </w:sectPr>
      </w:pPr>
    </w:p>
    <w:bookmarkEnd w:id="54"/>
    <w:bookmarkEnd w:id="55"/>
    <w:bookmarkEnd w:id="56"/>
    <w:bookmarkEnd w:id="57"/>
    <w:bookmarkEnd w:id="58"/>
    <w:bookmarkEnd w:id="59"/>
    <w:p>
      <w:pPr>
        <w:pStyle w:val="122"/>
        <w:numPr>
          <w:ilvl w:val="0"/>
          <w:numId w:val="0"/>
        </w:numPr>
        <w:tabs>
          <w:tab w:val="clear" w:pos="360"/>
        </w:tabs>
        <w:rPr>
          <w:rFonts w:ascii="Times New Roman"/>
          <w:kern w:val="2"/>
          <w:szCs w:val="24"/>
        </w:rPr>
      </w:pPr>
      <w:bookmarkStart w:id="63" w:name="_Toc462063267"/>
      <w:bookmarkStart w:id="64" w:name="_Toc459106423"/>
      <w:bookmarkStart w:id="65" w:name="_Toc350864015"/>
      <w:bookmarkStart w:id="66" w:name="_Toc360436775"/>
      <w:bookmarkStart w:id="67" w:name="_Toc360632685"/>
      <w:bookmarkStart w:id="68" w:name="_Toc360632454"/>
      <w:bookmarkStart w:id="69" w:name="_Toc360436862"/>
      <w:r>
        <w:rPr>
          <w:rFonts w:ascii="Times New Roman"/>
          <w:kern w:val="2"/>
          <w:szCs w:val="24"/>
        </w:rPr>
        <w:t>附 录 A</w:t>
      </w:r>
      <w:r>
        <w:rPr>
          <w:rFonts w:ascii="Times New Roman"/>
          <w:kern w:val="2"/>
          <w:szCs w:val="24"/>
        </w:rPr>
        <w:br w:type="textWrapping"/>
      </w:r>
      <w:bookmarkStart w:id="70" w:name="_Toc456611293"/>
      <w:r>
        <w:rPr>
          <w:rFonts w:ascii="Times New Roman"/>
          <w:kern w:val="2"/>
          <w:szCs w:val="24"/>
        </w:rPr>
        <w:t>（规范性）</w:t>
      </w:r>
      <w:bookmarkEnd w:id="63"/>
    </w:p>
    <w:bookmarkEnd w:id="64"/>
    <w:bookmarkEnd w:id="70"/>
    <w:p>
      <w:pPr>
        <w:pStyle w:val="122"/>
        <w:numPr>
          <w:ilvl w:val="0"/>
          <w:numId w:val="0"/>
        </w:numPr>
        <w:tabs>
          <w:tab w:val="clear" w:pos="360"/>
        </w:tabs>
        <w:snapToGrid w:val="0"/>
        <w:spacing w:before="0" w:after="0"/>
        <w:outlineLvl w:val="9"/>
        <w:rPr>
          <w:rFonts w:ascii="Times New Roman"/>
        </w:rPr>
      </w:pPr>
      <w:r>
        <w:rPr>
          <w:rFonts w:ascii="Times New Roman"/>
        </w:rPr>
        <w:t>成型钢筋制品评价指标计算方法</w:t>
      </w:r>
    </w:p>
    <w:p>
      <w:pPr>
        <w:pStyle w:val="67"/>
        <w:numPr>
          <w:ilvl w:val="0"/>
          <w:numId w:val="0"/>
        </w:numPr>
        <w:spacing w:before="312" w:after="312"/>
        <w:rPr>
          <w:rFonts w:ascii="Times New Roman"/>
        </w:rPr>
      </w:pPr>
      <w:r>
        <w:rPr>
          <w:rFonts w:ascii="Times New Roman"/>
        </w:rPr>
        <w:t>A.1生产过程产生废弃物回用率</w:t>
      </w:r>
    </w:p>
    <w:p>
      <w:pPr>
        <w:pStyle w:val="25"/>
        <w:rPr>
          <w:rFonts w:ascii="Times New Roman"/>
        </w:rPr>
      </w:pPr>
      <w:r>
        <w:rPr>
          <w:rFonts w:ascii="Times New Roman"/>
        </w:rPr>
        <w:t>宜以近12个月作为统计期计算生产过程产生废弃物利用率的平均值。企业正式投产不足12个月时，统计期可适当缩短，但应不少于6个月。按式（A.1）计算：</w:t>
      </w:r>
    </w:p>
    <w:p>
      <w:pPr>
        <w:pStyle w:val="25"/>
        <w:rPr>
          <w:rFonts w:ascii="Times New Roman"/>
        </w:rPr>
      </w:pPr>
    </w:p>
    <w:p>
      <w:pPr>
        <w:pStyle w:val="93"/>
        <w:jc w:val="center"/>
        <w:rPr>
          <w:rFonts w:ascii="Times New Roman"/>
        </w:rPr>
      </w:pPr>
      <w:r>
        <w:rPr>
          <w:rFonts w:ascii="Times New Roman"/>
          <w:position w:val="-30"/>
        </w:rPr>
        <w:tab/>
      </w:r>
      <m:oMath>
        <m:r>
          <m:rPr/>
          <w:rPr>
            <w:rFonts w:ascii="Cambria Math" w:hAnsi="Cambria Math"/>
            <w:sz w:val="24"/>
            <w:szCs w:val="24"/>
          </w:rPr>
          <m:t>R=</m:t>
        </m:r>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m</m:t>
                </m:r>
                <m:ctrlPr>
                  <w:rPr>
                    <w:rFonts w:ascii="Cambria Math" w:hAnsi="Cambria Math"/>
                    <w:i/>
                    <w:sz w:val="24"/>
                    <w:szCs w:val="24"/>
                  </w:rPr>
                </m:ctrlPr>
              </m:e>
              <m:sub>
                <m:r>
                  <m:rPr/>
                  <w:rPr>
                    <w:rFonts w:ascii="Cambria Math" w:hAnsi="Cambria Math"/>
                    <w:sz w:val="24"/>
                    <w:szCs w:val="24"/>
                  </w:rPr>
                  <m:t>i</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m</m:t>
                </m:r>
                <m:ctrlPr>
                  <w:rPr>
                    <w:rFonts w:ascii="Cambria Math" w:hAnsi="Cambria Math"/>
                    <w:i/>
                    <w:sz w:val="24"/>
                    <w:szCs w:val="24"/>
                  </w:rPr>
                </m:ctrlPr>
              </m:e>
              <m:sub>
                <m:r>
                  <m:rPr/>
                  <w:rPr>
                    <w:rFonts w:ascii="Cambria Math" w:hAnsi="Cambria Math"/>
                    <w:sz w:val="24"/>
                    <w:szCs w:val="24"/>
                  </w:rPr>
                  <m:t>p</m:t>
                </m:r>
                <m:ctrlPr>
                  <w:rPr>
                    <w:rFonts w:ascii="Cambria Math" w:hAnsi="Cambria Math"/>
                    <w:i/>
                    <w:sz w:val="24"/>
                    <w:szCs w:val="24"/>
                  </w:rPr>
                </m:ctrlPr>
              </m:sub>
            </m:sSub>
            <m:ctrlPr>
              <w:rPr>
                <w:rFonts w:ascii="Cambria Math" w:hAnsi="Cambria Math"/>
                <w:i/>
                <w:sz w:val="24"/>
                <w:szCs w:val="24"/>
              </w:rPr>
            </m:ctrlPr>
          </m:den>
        </m:f>
        <m:r>
          <m:rPr/>
          <w:rPr>
            <w:rFonts w:ascii="Cambria Math" w:hAnsi="Cambria Math"/>
            <w:sz w:val="24"/>
            <w:szCs w:val="24"/>
          </w:rPr>
          <m:t>×100%</m:t>
        </m:r>
      </m:oMath>
      <w:r>
        <w:rPr>
          <w:rFonts w:ascii="Times New Roman"/>
        </w:rPr>
        <w:tab/>
      </w:r>
      <w:r>
        <w:rPr>
          <w:rFonts w:ascii="Times New Roman"/>
        </w:rPr>
        <w:t>(</w:t>
      </w:r>
      <w:r>
        <w:rPr>
          <w:rFonts w:ascii="Times New Roman"/>
        </w:rPr>
        <w:fldChar w:fldCharType="begin"/>
      </w:r>
      <w:r>
        <w:rPr>
          <w:rFonts w:ascii="Times New Roman"/>
        </w:rPr>
        <w:instrText xml:space="preserve"> STYLEREF  附录标识 \l \n \t \* MERGEFORMAT </w:instrText>
      </w:r>
      <w:r>
        <w:rPr>
          <w:rFonts w:ascii="Times New Roman"/>
        </w:rPr>
        <w:fldChar w:fldCharType="separate"/>
      </w:r>
      <w:r>
        <w:rPr>
          <w:rFonts w:ascii="Times New Roman"/>
        </w:rPr>
        <w:t>A</w:t>
      </w:r>
      <w:r>
        <w:rPr>
          <w:rFonts w:ascii="Times New Roman"/>
        </w:rPr>
        <w:fldChar w:fldCharType="end"/>
      </w:r>
      <w:r>
        <w:rPr>
          <w:rFonts w:ascii="Times New Roman"/>
        </w:rPr>
        <w:t>.1)</w:t>
      </w:r>
    </w:p>
    <w:p>
      <w:pPr>
        <w:pStyle w:val="25"/>
        <w:ind w:firstLine="2520" w:firstLineChars="1200"/>
        <w:rPr>
          <w:rFonts w:ascii="Times New Roman"/>
        </w:rPr>
      </w:pPr>
    </w:p>
    <w:p>
      <w:pPr>
        <w:pStyle w:val="25"/>
        <w:rPr>
          <w:rFonts w:ascii="Times New Roman"/>
        </w:rPr>
      </w:pPr>
      <w:r>
        <w:rPr>
          <w:rFonts w:ascii="Times New Roman"/>
        </w:rPr>
        <w:t>式中：</w:t>
      </w:r>
    </w:p>
    <w:p>
      <w:pPr>
        <w:pStyle w:val="25"/>
        <w:rPr>
          <w:rFonts w:ascii="Times New Roman"/>
        </w:rPr>
      </w:pPr>
      <w:r>
        <w:rPr>
          <w:rFonts w:ascii="Times New Roman"/>
          <w:i/>
        </w:rPr>
        <w:t>R</w:t>
      </w:r>
      <w:r>
        <w:rPr>
          <w:rFonts w:ascii="Times New Roman"/>
        </w:rPr>
        <w:t>——生产过程产生固体废弃物利用率，％；</w:t>
      </w:r>
    </w:p>
    <w:p>
      <w:pPr>
        <w:pStyle w:val="25"/>
        <w:rPr>
          <w:rFonts w:ascii="Times New Roman"/>
        </w:rPr>
      </w:pPr>
      <w:r>
        <w:rPr>
          <w:rFonts w:ascii="Times New Roman"/>
          <w:i/>
        </w:rPr>
        <w:t>m</w:t>
      </w:r>
      <w:r>
        <w:rPr>
          <w:rFonts w:ascii="Times New Roman"/>
          <w:i/>
          <w:vertAlign w:val="subscript"/>
        </w:rPr>
        <w:t>i</w:t>
      </w:r>
      <w:r>
        <w:rPr>
          <w:rFonts w:ascii="Times New Roman"/>
        </w:rPr>
        <w:t>——统计期内回收再利用的废弃物量，不含废水，单位为千克（kg）；</w:t>
      </w:r>
    </w:p>
    <w:p>
      <w:pPr>
        <w:pStyle w:val="25"/>
        <w:rPr>
          <w:rFonts w:ascii="Times New Roman"/>
        </w:rPr>
      </w:pPr>
      <w:r>
        <w:rPr>
          <w:rFonts w:ascii="Times New Roman"/>
          <w:i/>
        </w:rPr>
        <w:t>m</w:t>
      </w:r>
      <w:r>
        <w:rPr>
          <w:rFonts w:ascii="Times New Roman"/>
          <w:i/>
          <w:vertAlign w:val="subscript"/>
        </w:rPr>
        <w:t>p</w:t>
      </w:r>
      <w:r>
        <w:rPr>
          <w:rFonts w:ascii="Times New Roman"/>
        </w:rPr>
        <w:t>——统计期内生产产生的废弃物量，不含废水，单位为千克（kg）。</w:t>
      </w:r>
    </w:p>
    <w:p>
      <w:pPr>
        <w:pStyle w:val="25"/>
        <w:rPr>
          <w:rFonts w:ascii="Times New Roman"/>
        </w:rPr>
      </w:pPr>
    </w:p>
    <w:p>
      <w:pPr>
        <w:pStyle w:val="67"/>
        <w:numPr>
          <w:ilvl w:val="0"/>
          <w:numId w:val="0"/>
        </w:numPr>
        <w:spacing w:before="312" w:after="312"/>
        <w:rPr>
          <w:rFonts w:ascii="Times New Roman"/>
        </w:rPr>
      </w:pPr>
      <w:bookmarkStart w:id="71" w:name="_Toc456611295"/>
      <w:bookmarkStart w:id="72" w:name="_Toc459106425"/>
      <w:r>
        <w:rPr>
          <w:rFonts w:ascii="Times New Roman"/>
        </w:rPr>
        <w:t>A.2钢筋出材率</w:t>
      </w:r>
    </w:p>
    <w:p>
      <w:pPr>
        <w:pStyle w:val="25"/>
        <w:rPr>
          <w:rFonts w:ascii="Times New Roman"/>
        </w:rPr>
      </w:pPr>
      <w:r>
        <w:rPr>
          <w:rFonts w:ascii="Times New Roman"/>
        </w:rPr>
        <w:t>钢筋出材率是指加工后合格制品重量占加工前钢筋原料总重量的百分比。计算时按照1年生产为周期计算平均值。按公式（A.2）计算：</w:t>
      </w:r>
    </w:p>
    <w:p>
      <w:pPr>
        <w:pStyle w:val="93"/>
        <w:rPr>
          <w:rFonts w:ascii="Times New Roman"/>
        </w:rPr>
      </w:pPr>
      <w:r>
        <w:rPr>
          <w:rFonts w:ascii="Times New Roman"/>
        </w:rPr>
        <w:tab/>
      </w:r>
      <w:r>
        <w:rPr>
          <w:rFonts w:ascii="Times New Roman"/>
          <w:position w:val="-32"/>
        </w:rPr>
        <w:object>
          <v:shape id="_x0000_i1025" o:spt="75" type="#_x0000_t75" style="height:35.7pt;width:80.7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ascii="Times New Roman"/>
        </w:rPr>
        <w:tab/>
      </w:r>
      <w:r>
        <w:rPr>
          <w:rFonts w:ascii="Times New Roman"/>
        </w:rPr>
        <w:t>(A.2)</w:t>
      </w:r>
    </w:p>
    <w:p>
      <w:pPr>
        <w:pStyle w:val="25"/>
        <w:rPr>
          <w:rFonts w:ascii="Times New Roman"/>
        </w:rPr>
      </w:pPr>
      <w:r>
        <w:rPr>
          <w:rFonts w:ascii="Times New Roman"/>
        </w:rPr>
        <w:t>式中：</w:t>
      </w:r>
    </w:p>
    <w:p>
      <w:pPr>
        <w:pStyle w:val="25"/>
        <w:rPr>
          <w:rFonts w:ascii="Times New Roman"/>
        </w:rPr>
      </w:pPr>
      <w:r>
        <w:rPr>
          <w:rFonts w:ascii="Times New Roman"/>
          <w:i/>
        </w:rPr>
        <w:t>P</w:t>
      </w:r>
      <w:r>
        <w:rPr>
          <w:rFonts w:ascii="Times New Roman"/>
          <w:i/>
          <w:vertAlign w:val="subscript"/>
        </w:rPr>
        <w:t>j</w:t>
      </w:r>
      <w:r>
        <w:rPr>
          <w:rFonts w:ascii="Times New Roman"/>
        </w:rPr>
        <w:t xml:space="preserve"> ——钢筋出材率，%。</w:t>
      </w:r>
    </w:p>
    <w:p>
      <w:pPr>
        <w:pStyle w:val="25"/>
        <w:rPr>
          <w:rFonts w:ascii="Times New Roman"/>
        </w:rPr>
      </w:pPr>
      <w:r>
        <w:rPr>
          <w:rFonts w:ascii="Times New Roman"/>
          <w:i/>
        </w:rPr>
        <w:t>M</w:t>
      </w:r>
      <w:r>
        <w:rPr>
          <w:rFonts w:ascii="Times New Roman"/>
          <w:i/>
          <w:vertAlign w:val="subscript"/>
        </w:rPr>
        <w:t>i</w:t>
      </w:r>
      <w:r>
        <w:rPr>
          <w:rFonts w:ascii="Times New Roman"/>
        </w:rPr>
        <w:t>——合格产品重量，单位为千克（kg）；</w:t>
      </w:r>
    </w:p>
    <w:p>
      <w:pPr>
        <w:pStyle w:val="25"/>
        <w:rPr>
          <w:rFonts w:ascii="Times New Roman"/>
        </w:rPr>
      </w:pPr>
      <w:r>
        <w:rPr>
          <w:rFonts w:ascii="Times New Roman"/>
          <w:i/>
        </w:rPr>
        <w:t>M</w:t>
      </w:r>
      <w:r>
        <w:rPr>
          <w:rFonts w:ascii="Times New Roman"/>
          <w:i/>
          <w:vertAlign w:val="subscript"/>
        </w:rPr>
        <w:t>j</w:t>
      </w:r>
      <w:r>
        <w:rPr>
          <w:rFonts w:ascii="Times New Roman"/>
        </w:rPr>
        <w:t>——加工前原料总重量，单位为千克（kg）；</w:t>
      </w:r>
    </w:p>
    <w:bookmarkEnd w:id="71"/>
    <w:bookmarkEnd w:id="72"/>
    <w:p>
      <w:pPr>
        <w:pStyle w:val="67"/>
        <w:numPr>
          <w:ilvl w:val="0"/>
          <w:numId w:val="0"/>
        </w:numPr>
        <w:spacing w:before="312" w:after="312"/>
        <w:rPr>
          <w:rFonts w:ascii="Times New Roman"/>
          <w:kern w:val="0"/>
        </w:rPr>
      </w:pPr>
      <w:bookmarkStart w:id="73" w:name="_Toc456611296"/>
      <w:bookmarkStart w:id="74" w:name="_Toc459106426"/>
      <w:r>
        <w:rPr>
          <w:rFonts w:ascii="Times New Roman"/>
          <w:kern w:val="0"/>
        </w:rPr>
        <w:t>A.3 单位产品综合能耗</w:t>
      </w:r>
      <w:bookmarkEnd w:id="73"/>
      <w:bookmarkEnd w:id="74"/>
    </w:p>
    <w:p>
      <w:pPr>
        <w:pStyle w:val="25"/>
        <w:rPr>
          <w:rFonts w:ascii="Times New Roman"/>
        </w:rPr>
      </w:pPr>
      <w:r>
        <w:rPr>
          <w:rFonts w:ascii="Times New Roman"/>
        </w:rPr>
        <w:t>单位产品综合能耗，计算时按照1年生产为周期计算。按公式（A.3）计算，产品耗能总量依据GB/T 2589计算：</w:t>
      </w:r>
    </w:p>
    <w:p>
      <w:pPr>
        <w:pStyle w:val="25"/>
        <w:rPr>
          <w:rFonts w:ascii="Times New Roman"/>
        </w:rPr>
      </w:pPr>
    </w:p>
    <w:p>
      <w:pPr>
        <w:pStyle w:val="93"/>
        <w:rPr>
          <w:rFonts w:ascii="Times New Roman"/>
        </w:rPr>
      </w:pPr>
      <w:r>
        <w:rPr>
          <w:rFonts w:ascii="Times New Roman"/>
        </w:rPr>
        <w:tab/>
      </w:r>
      <w:r>
        <w:rPr>
          <w:rFonts w:ascii="Times New Roman"/>
          <w:position w:val="-24"/>
        </w:rPr>
        <w:object>
          <v:shape id="_x0000_i1026" o:spt="75" type="#_x0000_t75" style="height:31.95pt;width:58.8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ascii="Times New Roman"/>
        </w:rPr>
        <w:tab/>
      </w:r>
      <w:r>
        <w:rPr>
          <w:rFonts w:ascii="Times New Roman"/>
        </w:rPr>
        <w:t>(</w:t>
      </w:r>
      <w:r>
        <w:rPr>
          <w:rFonts w:ascii="Times New Roman"/>
        </w:rPr>
        <w:fldChar w:fldCharType="begin"/>
      </w:r>
      <w:r>
        <w:rPr>
          <w:rFonts w:ascii="Times New Roman"/>
        </w:rPr>
        <w:instrText xml:space="preserve"> STYLEREF  附录标识 \l \n \t \* MERGEFORMAT </w:instrText>
      </w:r>
      <w:r>
        <w:rPr>
          <w:rFonts w:ascii="Times New Roman"/>
        </w:rPr>
        <w:fldChar w:fldCharType="separate"/>
      </w:r>
      <w:r>
        <w:rPr>
          <w:rFonts w:ascii="Times New Roman"/>
        </w:rPr>
        <w:t>A</w:t>
      </w:r>
      <w:r>
        <w:rPr>
          <w:rFonts w:ascii="Times New Roman"/>
        </w:rPr>
        <w:fldChar w:fldCharType="end"/>
      </w:r>
      <w:r>
        <w:rPr>
          <w:rFonts w:ascii="Times New Roman"/>
        </w:rPr>
        <w:t>.3)</w:t>
      </w:r>
    </w:p>
    <w:p>
      <w:pPr>
        <w:pStyle w:val="25"/>
        <w:rPr>
          <w:rFonts w:ascii="Times New Roman"/>
        </w:rPr>
      </w:pPr>
      <w:r>
        <w:rPr>
          <w:rFonts w:ascii="Times New Roman"/>
        </w:rPr>
        <w:t>式中：</w:t>
      </w:r>
    </w:p>
    <w:p>
      <w:pPr>
        <w:pStyle w:val="25"/>
        <w:rPr>
          <w:rFonts w:ascii="Times New Roman"/>
        </w:rPr>
      </w:pPr>
      <w:r>
        <w:rPr>
          <w:rFonts w:ascii="Times New Roman"/>
          <w:i/>
        </w:rPr>
        <w:t>E</w:t>
      </w:r>
      <w:r>
        <w:rPr>
          <w:rFonts w:ascii="Times New Roman"/>
          <w:i/>
          <w:vertAlign w:val="subscript"/>
        </w:rPr>
        <w:t>DN</w:t>
      </w:r>
      <w:r>
        <w:rPr>
          <w:rFonts w:ascii="Times New Roman"/>
        </w:rPr>
        <w:t xml:space="preserve"> ——单位产品综合耗能，单位为千克标准煤每千克（kgce/kg）；</w:t>
      </w:r>
    </w:p>
    <w:p>
      <w:pPr>
        <w:pStyle w:val="25"/>
        <w:rPr>
          <w:rFonts w:ascii="Times New Roman"/>
        </w:rPr>
      </w:pPr>
      <w:r>
        <w:rPr>
          <w:rFonts w:ascii="Times New Roman"/>
          <w:i/>
        </w:rPr>
        <w:t>E</w:t>
      </w:r>
      <w:r>
        <w:rPr>
          <w:rFonts w:ascii="Times New Roman"/>
          <w:i/>
          <w:vertAlign w:val="subscript"/>
        </w:rPr>
        <w:t>ZN</w:t>
      </w:r>
      <w:r>
        <w:rPr>
          <w:rFonts w:ascii="Times New Roman"/>
        </w:rPr>
        <w:t xml:space="preserve"> —— 评价期内产品耗能总量，单位为千克标准煤（kgce）；</w:t>
      </w:r>
    </w:p>
    <w:p>
      <w:pPr>
        <w:pStyle w:val="25"/>
        <w:rPr>
          <w:rFonts w:ascii="Times New Roman"/>
        </w:rPr>
      </w:pPr>
      <w:r>
        <w:rPr>
          <w:rFonts w:ascii="Times New Roman"/>
          <w:i/>
        </w:rPr>
        <w:t>P</w:t>
      </w:r>
      <w:r>
        <w:rPr>
          <w:rFonts w:ascii="Times New Roman"/>
        </w:rPr>
        <w:t xml:space="preserve">  ——评价期内符合相关标准的合格产品产量，单位为千克（kg）。</w:t>
      </w:r>
    </w:p>
    <w:bookmarkEnd w:id="65"/>
    <w:bookmarkEnd w:id="66"/>
    <w:bookmarkEnd w:id="67"/>
    <w:bookmarkEnd w:id="68"/>
    <w:bookmarkEnd w:id="69"/>
    <w:p>
      <w:pPr>
        <w:widowControl/>
        <w:tabs>
          <w:tab w:val="center" w:pos="4201"/>
          <w:tab w:val="right" w:leader="dot" w:pos="9298"/>
        </w:tabs>
        <w:autoSpaceDE w:val="0"/>
        <w:autoSpaceDN w:val="0"/>
        <w:jc w:val="center"/>
        <w:rPr>
          <w:kern w:val="0"/>
          <w:szCs w:val="20"/>
        </w:rPr>
      </w:pPr>
      <w:bookmarkStart w:id="75" w:name="DW"/>
      <w:bookmarkEnd w:id="75"/>
      <w:bookmarkStart w:id="76" w:name="_Toc397348621"/>
    </w:p>
    <w:p>
      <w:pPr>
        <w:wordWrap w:val="0"/>
        <w:overflowPunct w:val="0"/>
        <w:autoSpaceDE w:val="0"/>
        <w:spacing w:before="312" w:beforeLines="100" w:after="312" w:afterLines="100"/>
        <w:textAlignment w:val="baseline"/>
        <w:outlineLvl w:val="1"/>
        <w:rPr>
          <w:rFonts w:eastAsia="黑体"/>
          <w:kern w:val="21"/>
        </w:rPr>
      </w:pPr>
      <w:r>
        <w:rPr>
          <w:rFonts w:eastAsia="黑体"/>
          <w:kern w:val="21"/>
        </w:rPr>
        <w:t>A.4设备作业效率</w:t>
      </w:r>
    </w:p>
    <w:p>
      <w:pPr>
        <w:autoSpaceDE w:val="0"/>
        <w:autoSpaceDN w:val="0"/>
        <w:ind w:firstLine="420" w:firstLineChars="200"/>
      </w:pPr>
      <w:r>
        <w:t>设备作业效率是指加工配送企业设备实际制品生产重量与设备作业时间内理论设计重量的比值，按公式（A.4）计算：</w:t>
      </w:r>
    </w:p>
    <w:p>
      <w:pPr>
        <w:widowControl/>
        <w:autoSpaceDE w:val="0"/>
        <w:autoSpaceDN w:val="0"/>
        <w:rPr>
          <w:kern w:val="0"/>
          <w:szCs w:val="20"/>
        </w:rPr>
      </w:pPr>
      <w:r>
        <w:rPr>
          <w:kern w:val="0"/>
          <w:szCs w:val="20"/>
        </w:rPr>
        <w:tab/>
      </w:r>
      <w:r>
        <w:rPr>
          <w:kern w:val="0"/>
          <w:szCs w:val="20"/>
        </w:rPr>
        <w:t xml:space="preserve">                                 </w:t>
      </w:r>
      <w:r>
        <w:rPr>
          <w:kern w:val="0"/>
          <w:position w:val="-30"/>
          <w:szCs w:val="20"/>
        </w:rPr>
        <w:object>
          <v:shape id="_x0000_i1027" o:spt="75" type="#_x0000_t75" style="height:33.8pt;width:81.4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kern w:val="0"/>
          <w:szCs w:val="20"/>
        </w:rPr>
        <w:tab/>
      </w:r>
      <w:r>
        <w:rPr>
          <w:kern w:val="0"/>
          <w:szCs w:val="20"/>
        </w:rPr>
        <w:t xml:space="preserve">     </w:t>
      </w:r>
      <w:r>
        <w:t>…………………………</w:t>
      </w:r>
      <w:r>
        <w:rPr>
          <w:kern w:val="0"/>
          <w:szCs w:val="20"/>
        </w:rPr>
        <w:t xml:space="preserve"> (</w:t>
      </w:r>
      <w:r>
        <w:rPr>
          <w:kern w:val="0"/>
          <w:szCs w:val="20"/>
        </w:rPr>
        <w:fldChar w:fldCharType="begin"/>
      </w:r>
      <w:r>
        <w:rPr>
          <w:kern w:val="0"/>
          <w:szCs w:val="20"/>
        </w:rPr>
        <w:instrText xml:space="preserve"> STYLEREF  附录标识 \l \n \t \* MERGEFORMAT </w:instrText>
      </w:r>
      <w:r>
        <w:rPr>
          <w:kern w:val="0"/>
          <w:szCs w:val="20"/>
        </w:rPr>
        <w:fldChar w:fldCharType="separate"/>
      </w:r>
      <w:r>
        <w:rPr>
          <w:kern w:val="0"/>
          <w:szCs w:val="20"/>
        </w:rPr>
        <w:t>A</w:t>
      </w:r>
      <w:r>
        <w:rPr>
          <w:kern w:val="0"/>
          <w:szCs w:val="20"/>
        </w:rPr>
        <w:fldChar w:fldCharType="end"/>
      </w:r>
      <w:r>
        <w:rPr>
          <w:kern w:val="0"/>
          <w:szCs w:val="20"/>
        </w:rPr>
        <w:t>.4)</w:t>
      </w:r>
    </w:p>
    <w:p>
      <w:pPr>
        <w:autoSpaceDE w:val="0"/>
        <w:autoSpaceDN w:val="0"/>
        <w:ind w:firstLine="420" w:firstLineChars="200"/>
      </w:pPr>
      <w:r>
        <w:t>式中：</w:t>
      </w:r>
    </w:p>
    <w:p>
      <w:pPr>
        <w:autoSpaceDE w:val="0"/>
        <w:autoSpaceDN w:val="0"/>
        <w:ind w:firstLine="420" w:firstLineChars="200"/>
      </w:pPr>
      <w:r>
        <w:rPr>
          <w:i/>
        </w:rPr>
        <w:t>P</w:t>
      </w:r>
      <w:r>
        <w:rPr>
          <w:i/>
          <w:vertAlign w:val="subscript"/>
        </w:rPr>
        <w:t>e</w:t>
      </w:r>
      <w:r>
        <w:t>——</w:t>
      </w:r>
      <w:r>
        <w:rPr>
          <w:rFonts w:hint="eastAsia"/>
        </w:rPr>
        <w:t>设备作业效率</w:t>
      </w:r>
      <w:r>
        <w:t>，%；</w:t>
      </w:r>
    </w:p>
    <w:p>
      <w:pPr>
        <w:autoSpaceDE w:val="0"/>
        <w:autoSpaceDN w:val="0"/>
        <w:ind w:firstLine="420" w:firstLineChars="200"/>
        <w:rPr>
          <w:vertAlign w:val="subscript"/>
        </w:rPr>
      </w:pPr>
      <w:r>
        <w:t>M</w:t>
      </w:r>
      <w:r>
        <w:rPr>
          <w:vertAlign w:val="subscript"/>
        </w:rPr>
        <w:t>i</w:t>
      </w:r>
      <w:r>
        <w:t>——实际产量</w:t>
      </w:r>
    </w:p>
    <w:p>
      <w:pPr>
        <w:autoSpaceDE w:val="0"/>
        <w:autoSpaceDN w:val="0"/>
        <w:ind w:firstLine="420" w:firstLineChars="200"/>
      </w:pPr>
      <w:r>
        <w:rPr>
          <w:i/>
          <w:iCs/>
        </w:rPr>
        <w:t>M</w:t>
      </w:r>
      <w:r>
        <w:rPr>
          <w:i/>
          <w:iCs/>
          <w:vertAlign w:val="subscript"/>
        </w:rPr>
        <w:t>e</w:t>
      </w:r>
      <w:r>
        <w:t xml:space="preserve"> ——负荷时间内理论产量，单位为千克（kg）。</w:t>
      </w:r>
    </w:p>
    <w:p>
      <w:pPr>
        <w:pStyle w:val="67"/>
        <w:numPr>
          <w:ilvl w:val="0"/>
          <w:numId w:val="0"/>
        </w:numPr>
        <w:spacing w:before="312" w:after="312"/>
        <w:rPr>
          <w:rFonts w:ascii="Times New Roman"/>
        </w:rPr>
      </w:pPr>
      <w:r>
        <w:rPr>
          <w:rFonts w:ascii="Times New Roman"/>
        </w:rPr>
        <w:t>A.5 原料本地化程度</w:t>
      </w:r>
    </w:p>
    <w:p>
      <w:pPr>
        <w:pStyle w:val="25"/>
        <w:rPr>
          <w:rFonts w:ascii="Times New Roman"/>
        </w:rPr>
      </w:pPr>
      <w:r>
        <w:rPr>
          <w:rFonts w:ascii="Times New Roman"/>
        </w:rPr>
        <w:t>以运输距离不大于350km或采用铁路、船舶运输的原材料使用率为计算标准，材料选取主要原材料进行计算。宜以近12个月作为统计期，企业正式投产不足12个月时，统计期可适当缩短，但应不少于6个月。按式（A.5）计算：</w:t>
      </w:r>
    </w:p>
    <w:p>
      <w:pPr>
        <w:pStyle w:val="93"/>
        <w:jc w:val="center"/>
        <w:rPr>
          <w:rFonts w:ascii="Times New Roman"/>
        </w:rPr>
      </w:pPr>
      <w:r>
        <w:rPr>
          <w:rFonts w:ascii="Times New Roman"/>
        </w:rPr>
        <w:t xml:space="preserve">                              </w:t>
      </w:r>
      <w:r>
        <w:rPr>
          <w:rFonts w:ascii="Times New Roman"/>
          <w:i/>
          <w:sz w:val="24"/>
          <w:szCs w:val="24"/>
        </w:rPr>
        <w:t xml:space="preserve"> </w:t>
      </w:r>
      <m:oMath>
        <m:r>
          <m:rP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m:rPr/>
                  <w:rPr>
                    <w:rFonts w:ascii="Cambria Math" w:hAnsi="Cambria Math"/>
                    <w:sz w:val="24"/>
                    <w:szCs w:val="24"/>
                  </w:rPr>
                  <m:t>m</m:t>
                </m:r>
                <m:ctrlPr>
                  <w:rPr>
                    <w:rFonts w:ascii="Cambria Math" w:hAnsi="Cambria Math"/>
                    <w:i/>
                    <w:sz w:val="24"/>
                    <w:szCs w:val="24"/>
                  </w:rPr>
                </m:ctrlPr>
              </m:e>
              <m:sub>
                <m:r>
                  <m:rPr/>
                  <w:rPr>
                    <w:rFonts w:ascii="Cambria Math" w:hAnsi="Cambria Math"/>
                    <w:sz w:val="24"/>
                    <w:szCs w:val="24"/>
                  </w:rPr>
                  <m:t>gt</m:t>
                </m:r>
                <m:ctrlPr>
                  <w:rPr>
                    <w:rFonts w:ascii="Cambria Math" w:hAnsi="Cambria Math"/>
                    <w:i/>
                    <w:sz w:val="24"/>
                    <w:szCs w:val="24"/>
                  </w:rPr>
                </m:ctrlPr>
              </m:sub>
            </m:sSub>
            <m:ctrlPr>
              <w:rPr>
                <w:rFonts w:ascii="Cambria Math" w:hAnsi="Cambria Math"/>
                <w:sz w:val="24"/>
                <w:szCs w:val="24"/>
              </w:rPr>
            </m:ctrlPr>
          </m:num>
          <m:den>
            <m:sSub>
              <m:sSubPr>
                <m:ctrlPr>
                  <w:rPr>
                    <w:rFonts w:ascii="Cambria Math" w:hAnsi="Cambria Math"/>
                    <w:i/>
                    <w:sz w:val="24"/>
                    <w:szCs w:val="24"/>
                  </w:rPr>
                </m:ctrlPr>
              </m:sSubPr>
              <m:e>
                <m:r>
                  <m:rPr/>
                  <w:rPr>
                    <w:rFonts w:ascii="Cambria Math" w:hAnsi="Cambria Math"/>
                    <w:sz w:val="24"/>
                    <w:szCs w:val="24"/>
                  </w:rPr>
                  <m:t>m</m:t>
                </m:r>
                <m:ctrlPr>
                  <w:rPr>
                    <w:rFonts w:ascii="Cambria Math" w:hAnsi="Cambria Math"/>
                    <w:i/>
                    <w:sz w:val="24"/>
                    <w:szCs w:val="24"/>
                  </w:rPr>
                </m:ctrlPr>
              </m:e>
              <m:sub>
                <m:r>
                  <m:rPr/>
                  <w:rPr>
                    <w:rFonts w:ascii="Cambria Math" w:hAnsi="Cambria Math"/>
                    <w:sz w:val="24"/>
                    <w:szCs w:val="24"/>
                  </w:rPr>
                  <m:t>t</m:t>
                </m:r>
                <m:ctrlPr>
                  <w:rPr>
                    <w:rFonts w:ascii="Cambria Math" w:hAnsi="Cambria Math"/>
                    <w:i/>
                    <w:sz w:val="24"/>
                    <w:szCs w:val="24"/>
                  </w:rPr>
                </m:ctrlPr>
              </m:sub>
            </m:sSub>
            <m:ctrlPr>
              <w:rPr>
                <w:rFonts w:ascii="Cambria Math" w:hAnsi="Cambria Math"/>
                <w:sz w:val="24"/>
                <w:szCs w:val="24"/>
              </w:rPr>
            </m:ctrlPr>
          </m:den>
        </m:f>
        <m:r>
          <m:rPr/>
          <w:rPr>
            <w:rFonts w:ascii="Cambria Math" w:hAnsi="Cambria Math"/>
            <w:sz w:val="24"/>
            <w:szCs w:val="24"/>
          </w:rPr>
          <m:t>×100%</m:t>
        </m:r>
      </m:oMath>
      <w:r>
        <w:rPr>
          <w:rFonts w:ascii="Times New Roman"/>
          <w:szCs w:val="21"/>
        </w:rPr>
        <w:t xml:space="preserve">  </w:t>
      </w:r>
      <w:r>
        <w:rPr>
          <w:rFonts w:ascii="Times New Roman"/>
        </w:rPr>
        <w:t xml:space="preserve">      …………………………(</w:t>
      </w:r>
      <w:r>
        <w:rPr>
          <w:rFonts w:ascii="Times New Roman"/>
        </w:rPr>
        <w:fldChar w:fldCharType="begin"/>
      </w:r>
      <w:r>
        <w:rPr>
          <w:rFonts w:ascii="Times New Roman"/>
        </w:rPr>
        <w:instrText xml:space="preserve"> STYLEREF  附录标识 \l \n \t \* MERGEFORMAT </w:instrText>
      </w:r>
      <w:r>
        <w:rPr>
          <w:rFonts w:ascii="Times New Roman"/>
        </w:rPr>
        <w:fldChar w:fldCharType="separate"/>
      </w:r>
      <w:r>
        <w:rPr>
          <w:rFonts w:ascii="Times New Roman"/>
        </w:rPr>
        <w:t>A</w:t>
      </w:r>
      <w:r>
        <w:rPr>
          <w:rFonts w:ascii="Times New Roman"/>
        </w:rPr>
        <w:fldChar w:fldCharType="end"/>
      </w:r>
      <w:r>
        <w:rPr>
          <w:rFonts w:ascii="Times New Roman"/>
        </w:rPr>
        <w:t>.5)</w:t>
      </w:r>
    </w:p>
    <w:p>
      <w:pPr>
        <w:pStyle w:val="93"/>
        <w:jc w:val="center"/>
        <w:rPr>
          <w:rFonts w:ascii="Times New Roman"/>
        </w:rPr>
      </w:pPr>
      <w:r>
        <w:rPr>
          <w:rFonts w:ascii="Times New Roman"/>
          <w:position w:val="-30"/>
        </w:rPr>
        <w:tab/>
      </w:r>
    </w:p>
    <w:p>
      <w:pPr>
        <w:pStyle w:val="25"/>
        <w:rPr>
          <w:rFonts w:ascii="Times New Roman"/>
        </w:rPr>
      </w:pPr>
      <w:r>
        <w:rPr>
          <w:rFonts w:ascii="Times New Roman"/>
        </w:rPr>
        <w:t>式中：</w:t>
      </w:r>
    </w:p>
    <w:p>
      <w:pPr>
        <w:pStyle w:val="25"/>
        <w:rPr>
          <w:rFonts w:ascii="Times New Roman"/>
        </w:rPr>
      </w:pPr>
      <w:r>
        <w:rPr>
          <w:rFonts w:ascii="Times New Roman"/>
          <w:i/>
        </w:rPr>
        <w:t xml:space="preserve">T  </w:t>
      </w:r>
      <w:r>
        <w:rPr>
          <w:rFonts w:ascii="Times New Roman"/>
        </w:rPr>
        <w:t>——统计期内使用的运输距离不大于350km或采用铁路、船舶运输的原材料使用率；</w:t>
      </w:r>
    </w:p>
    <w:p>
      <w:pPr>
        <w:pStyle w:val="25"/>
        <w:ind w:left="1050" w:leftChars="200" w:hanging="630" w:hangingChars="300"/>
        <w:rPr>
          <w:rFonts w:ascii="Times New Roman"/>
        </w:rPr>
      </w:pPr>
      <w:r>
        <w:rPr>
          <w:rFonts w:ascii="Times New Roman"/>
          <w:i/>
        </w:rPr>
        <w:t>m</w:t>
      </w:r>
      <w:r>
        <w:rPr>
          <w:rFonts w:ascii="Times New Roman"/>
          <w:i/>
          <w:vertAlign w:val="subscript"/>
        </w:rPr>
        <w:t>gt</w:t>
      </w:r>
      <w:r>
        <w:rPr>
          <w:rFonts w:ascii="Times New Roman"/>
        </w:rPr>
        <w:t>——统计期内使用的运输距离不大于350km或采用铁路、船舶运输的主要原材料总量，不含水，单位为吨（t）；</w:t>
      </w:r>
    </w:p>
    <w:p>
      <w:pPr>
        <w:pStyle w:val="25"/>
        <w:rPr>
          <w:rFonts w:ascii="Times New Roman"/>
        </w:rPr>
      </w:pPr>
      <w:r>
        <w:rPr>
          <w:rFonts w:ascii="Times New Roman"/>
          <w:i/>
        </w:rPr>
        <w:t>m</w:t>
      </w:r>
      <w:r>
        <w:rPr>
          <w:rFonts w:ascii="Times New Roman"/>
          <w:i/>
          <w:vertAlign w:val="subscript"/>
        </w:rPr>
        <w:t xml:space="preserve">t  </w:t>
      </w:r>
      <w:r>
        <w:rPr>
          <w:rFonts w:ascii="Times New Roman"/>
        </w:rPr>
        <w:t>——统计期内使用的原材料总量，不含水，单位为吨（t）。</w:t>
      </w:r>
    </w:p>
    <w:p>
      <w:pPr>
        <w:pStyle w:val="25"/>
        <w:rPr>
          <w:rFonts w:ascii="Times New Roman"/>
        </w:rPr>
      </w:pPr>
    </w:p>
    <w:p>
      <w:pPr>
        <w:rPr>
          <w:b/>
          <w:bCs/>
        </w:rPr>
      </w:pPr>
    </w:p>
    <w:p>
      <w:pPr>
        <w:pStyle w:val="67"/>
        <w:numPr>
          <w:ilvl w:val="0"/>
          <w:numId w:val="0"/>
        </w:numPr>
        <w:spacing w:before="312" w:after="312"/>
        <w:rPr>
          <w:rFonts w:ascii="Times New Roman"/>
        </w:rPr>
      </w:pPr>
      <w:r>
        <w:rPr>
          <w:rFonts w:ascii="Times New Roman"/>
        </w:rPr>
        <w:t>A.6生产过程产生废弃物回用率</w:t>
      </w:r>
    </w:p>
    <w:p>
      <w:pPr>
        <w:pStyle w:val="25"/>
        <w:rPr>
          <w:rFonts w:ascii="Times New Roman"/>
        </w:rPr>
      </w:pPr>
      <w:r>
        <w:rPr>
          <w:rFonts w:ascii="Times New Roman"/>
        </w:rPr>
        <w:t>宜以近12个月作为统计期计算生产过程产生废弃物利用率的平均值。企业正式投产不足12个月时，统计期可适当缩短，但应不少于6个月。按式（A.6）计算：</w:t>
      </w:r>
    </w:p>
    <w:p>
      <w:pPr>
        <w:pStyle w:val="93"/>
        <w:jc w:val="center"/>
        <w:rPr>
          <w:rFonts w:ascii="Times New Roman"/>
        </w:rPr>
      </w:pPr>
      <w:r>
        <w:rPr>
          <w:rFonts w:ascii="Times New Roman"/>
          <w:position w:val="-30"/>
        </w:rPr>
        <w:tab/>
      </w:r>
      <m:oMath>
        <m:r>
          <m:rPr/>
          <w:rPr>
            <w:rFonts w:ascii="Cambria Math" w:hAnsi="Cambria Math"/>
            <w:szCs w:val="21"/>
          </w:rPr>
          <m:t>R=</m:t>
        </m:r>
        <m:f>
          <m:fPr>
            <m:ctrlPr>
              <w:rPr>
                <w:rFonts w:ascii="Cambria Math" w:hAnsi="Cambria Math"/>
                <w:i/>
                <w:szCs w:val="21"/>
              </w:rPr>
            </m:ctrlPr>
          </m:fPr>
          <m:num>
            <m:sSub>
              <m:sSubPr>
                <m:ctrlPr>
                  <w:rPr>
                    <w:rFonts w:ascii="Cambria Math" w:hAnsi="Cambria Math"/>
                    <w:i/>
                    <w:szCs w:val="21"/>
                  </w:rPr>
                </m:ctrlPr>
              </m:sSubPr>
              <m:e>
                <m:r>
                  <m:rPr/>
                  <w:rPr>
                    <w:rFonts w:ascii="Cambria Math" w:hAnsi="Cambria Math"/>
                    <w:szCs w:val="21"/>
                  </w:rPr>
                  <m:t>m</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num>
          <m:den>
            <m:sSub>
              <m:sSubPr>
                <m:ctrlPr>
                  <w:rPr>
                    <w:rFonts w:ascii="Cambria Math" w:hAnsi="Cambria Math"/>
                    <w:i/>
                    <w:szCs w:val="21"/>
                  </w:rPr>
                </m:ctrlPr>
              </m:sSubPr>
              <m:e>
                <m:r>
                  <m:rPr/>
                  <w:rPr>
                    <w:rFonts w:ascii="Cambria Math" w:hAnsi="Cambria Math"/>
                    <w:szCs w:val="21"/>
                  </w:rPr>
                  <m:t>m</m:t>
                </m:r>
                <m:ctrlPr>
                  <w:rPr>
                    <w:rFonts w:ascii="Cambria Math" w:hAnsi="Cambria Math"/>
                    <w:i/>
                    <w:szCs w:val="21"/>
                  </w:rPr>
                </m:ctrlPr>
              </m:e>
              <m:sub>
                <m:r>
                  <m:rPr/>
                  <w:rPr>
                    <w:rFonts w:ascii="Cambria Math" w:hAnsi="Cambria Math"/>
                    <w:szCs w:val="21"/>
                  </w:rPr>
                  <m:t>p</m:t>
                </m:r>
                <m:ctrlPr>
                  <w:rPr>
                    <w:rFonts w:ascii="Cambria Math" w:hAnsi="Cambria Math"/>
                    <w:i/>
                    <w:szCs w:val="21"/>
                  </w:rPr>
                </m:ctrlPr>
              </m:sub>
            </m:sSub>
            <m:ctrlPr>
              <w:rPr>
                <w:rFonts w:ascii="Cambria Math" w:hAnsi="Cambria Math"/>
                <w:i/>
                <w:szCs w:val="21"/>
              </w:rPr>
            </m:ctrlPr>
          </m:den>
        </m:f>
        <m:r>
          <m:rPr/>
          <w:rPr>
            <w:rFonts w:ascii="Cambria Math" w:hAnsi="Cambria Math"/>
            <w:szCs w:val="21"/>
          </w:rPr>
          <m:t>×100%</m:t>
        </m:r>
      </m:oMath>
      <w:r>
        <w:rPr>
          <w:rFonts w:ascii="Times New Roman"/>
        </w:rPr>
        <w:tab/>
      </w:r>
      <w:r>
        <w:rPr>
          <w:rFonts w:ascii="Times New Roman"/>
        </w:rPr>
        <w:t>(</w:t>
      </w:r>
      <w:r>
        <w:rPr>
          <w:rFonts w:ascii="Times New Roman"/>
        </w:rPr>
        <w:fldChar w:fldCharType="begin"/>
      </w:r>
      <w:r>
        <w:rPr>
          <w:rFonts w:ascii="Times New Roman"/>
        </w:rPr>
        <w:instrText xml:space="preserve"> STYLEREF  附录标识 \l \n \t \* MERGEFORMAT </w:instrText>
      </w:r>
      <w:r>
        <w:rPr>
          <w:rFonts w:ascii="Times New Roman"/>
        </w:rPr>
        <w:fldChar w:fldCharType="separate"/>
      </w:r>
      <w:r>
        <w:rPr>
          <w:rFonts w:ascii="Times New Roman"/>
        </w:rPr>
        <w:t>A</w:t>
      </w:r>
      <w:r>
        <w:rPr>
          <w:rFonts w:ascii="Times New Roman"/>
        </w:rPr>
        <w:fldChar w:fldCharType="end"/>
      </w:r>
      <w:r>
        <w:rPr>
          <w:rFonts w:ascii="Times New Roman"/>
        </w:rPr>
        <w:t>.6)</w:t>
      </w:r>
    </w:p>
    <w:p>
      <w:pPr>
        <w:pStyle w:val="25"/>
        <w:rPr>
          <w:rFonts w:ascii="Times New Roman"/>
        </w:rPr>
      </w:pPr>
      <w:r>
        <w:rPr>
          <w:rFonts w:ascii="Times New Roman"/>
        </w:rPr>
        <w:t>式中：</w:t>
      </w:r>
    </w:p>
    <w:p>
      <w:pPr>
        <w:pStyle w:val="25"/>
        <w:rPr>
          <w:rFonts w:ascii="Times New Roman"/>
        </w:rPr>
      </w:pPr>
      <w:r>
        <w:rPr>
          <w:rFonts w:ascii="Times New Roman"/>
          <w:i/>
        </w:rPr>
        <w:t>R</w:t>
      </w:r>
      <w:r>
        <w:rPr>
          <w:rFonts w:ascii="Times New Roman"/>
        </w:rPr>
        <w:t>——生产过程产生固体废弃物利用率，％；</w:t>
      </w:r>
    </w:p>
    <w:p>
      <w:pPr>
        <w:pStyle w:val="25"/>
        <w:rPr>
          <w:rFonts w:ascii="Times New Roman"/>
        </w:rPr>
      </w:pPr>
      <w:r>
        <w:rPr>
          <w:rFonts w:ascii="Times New Roman"/>
          <w:i/>
        </w:rPr>
        <w:t>m</w:t>
      </w:r>
      <w:r>
        <w:rPr>
          <w:rFonts w:ascii="Times New Roman"/>
          <w:i/>
          <w:vertAlign w:val="subscript"/>
        </w:rPr>
        <w:t>i</w:t>
      </w:r>
      <w:r>
        <w:rPr>
          <w:rFonts w:ascii="Times New Roman"/>
        </w:rPr>
        <w:t>——统计期内回收再利用的废弃物量，不含废水，单位为千克（kg）；</w:t>
      </w:r>
    </w:p>
    <w:p>
      <w:pPr>
        <w:pStyle w:val="25"/>
        <w:rPr>
          <w:rFonts w:ascii="Times New Roman"/>
        </w:rPr>
      </w:pPr>
      <w:r>
        <w:rPr>
          <w:rFonts w:ascii="Times New Roman"/>
          <w:i/>
        </w:rPr>
        <w:t>m</w:t>
      </w:r>
      <w:r>
        <w:rPr>
          <w:rFonts w:ascii="Times New Roman"/>
          <w:i/>
          <w:vertAlign w:val="subscript"/>
        </w:rPr>
        <w:t>p</w:t>
      </w:r>
      <w:r>
        <w:rPr>
          <w:rFonts w:ascii="Times New Roman"/>
        </w:rPr>
        <w:t>——统计期内生产产生的废弃物量，不含废水，单位为千克（kg）。</w:t>
      </w:r>
    </w:p>
    <w:p/>
    <w:p>
      <w:pPr>
        <w:pStyle w:val="67"/>
        <w:numPr>
          <w:ilvl w:val="0"/>
          <w:numId w:val="0"/>
        </w:numPr>
        <w:spacing w:before="312" w:after="312"/>
        <w:rPr>
          <w:rFonts w:ascii="Times New Roman"/>
        </w:rPr>
      </w:pPr>
      <w:r>
        <w:rPr>
          <w:rFonts w:ascii="Times New Roman"/>
        </w:rPr>
        <w:t>A.7 加工配送合格率</w:t>
      </w:r>
    </w:p>
    <w:p>
      <w:pPr>
        <w:pStyle w:val="25"/>
        <w:rPr>
          <w:rFonts w:ascii="Times New Roman"/>
        </w:rPr>
      </w:pPr>
      <w:r>
        <w:rPr>
          <w:rFonts w:ascii="Times New Roman"/>
        </w:rPr>
        <w:t>加工配送合格率是指合格制品重量占制品总重量的百分比。计算时按照1年生产为周期计算。。按式（A.7）计算：</w:t>
      </w:r>
    </w:p>
    <w:p>
      <w:pPr>
        <w:pStyle w:val="93"/>
        <w:jc w:val="center"/>
        <w:rPr>
          <w:rFonts w:ascii="Times New Roman"/>
        </w:rPr>
      </w:pPr>
      <w:r>
        <w:rPr>
          <w:rFonts w:ascii="Times New Roman"/>
          <w:position w:val="-30"/>
        </w:rPr>
        <w:tab/>
      </w:r>
      <w:r>
        <w:rPr>
          <w:rFonts w:ascii="Times New Roman"/>
          <w:position w:val="-30"/>
        </w:rPr>
        <w:object>
          <v:shape id="_x0000_i1028" o:spt="75" type="#_x0000_t75" style="height:35.05pt;width:82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r>
        <w:rPr>
          <w:rFonts w:ascii="Times New Roman"/>
        </w:rPr>
        <w:tab/>
      </w:r>
      <w:r>
        <w:rPr>
          <w:rFonts w:ascii="Times New Roman"/>
        </w:rPr>
        <w:t>(</w:t>
      </w:r>
      <w:r>
        <w:rPr>
          <w:rFonts w:ascii="Times New Roman"/>
        </w:rPr>
        <w:fldChar w:fldCharType="begin"/>
      </w:r>
      <w:r>
        <w:rPr>
          <w:rFonts w:ascii="Times New Roman"/>
        </w:rPr>
        <w:instrText xml:space="preserve"> STYLEREF  附录标识 \l \n \t \* MERGEFORMAT </w:instrText>
      </w:r>
      <w:r>
        <w:rPr>
          <w:rFonts w:ascii="Times New Roman"/>
        </w:rPr>
        <w:fldChar w:fldCharType="separate"/>
      </w:r>
      <w:r>
        <w:rPr>
          <w:rFonts w:ascii="Times New Roman"/>
        </w:rPr>
        <w:t>A</w:t>
      </w:r>
      <w:r>
        <w:rPr>
          <w:rFonts w:ascii="Times New Roman"/>
        </w:rPr>
        <w:fldChar w:fldCharType="end"/>
      </w:r>
      <w:r>
        <w:rPr>
          <w:rFonts w:ascii="Times New Roman"/>
        </w:rPr>
        <w:t>.7)</w:t>
      </w:r>
    </w:p>
    <w:p>
      <w:pPr>
        <w:pStyle w:val="25"/>
        <w:rPr>
          <w:rFonts w:ascii="Times New Roman"/>
        </w:rPr>
      </w:pPr>
      <w:r>
        <w:rPr>
          <w:rFonts w:ascii="Times New Roman"/>
        </w:rPr>
        <w:t>式中：</w:t>
      </w:r>
    </w:p>
    <w:p>
      <w:pPr>
        <w:pStyle w:val="25"/>
        <w:rPr>
          <w:rFonts w:ascii="Times New Roman"/>
        </w:rPr>
      </w:pPr>
      <w:r>
        <w:rPr>
          <w:rFonts w:ascii="Times New Roman"/>
          <w:i/>
        </w:rPr>
        <w:t>P</w:t>
      </w:r>
      <w:r>
        <w:rPr>
          <w:rFonts w:ascii="Times New Roman"/>
          <w:i/>
          <w:vertAlign w:val="subscript"/>
        </w:rPr>
        <w:t>i</w:t>
      </w:r>
      <w:r>
        <w:rPr>
          <w:rFonts w:ascii="Times New Roman"/>
        </w:rPr>
        <w:t>——加工配送合格率，％；</w:t>
      </w:r>
    </w:p>
    <w:p>
      <w:pPr>
        <w:pStyle w:val="25"/>
        <w:rPr>
          <w:rFonts w:ascii="Times New Roman"/>
        </w:rPr>
      </w:pPr>
      <w:r>
        <w:rPr>
          <w:rFonts w:ascii="Times New Roman"/>
          <w:i/>
        </w:rPr>
        <w:t>M</w:t>
      </w:r>
      <w:r>
        <w:rPr>
          <w:rFonts w:ascii="Times New Roman"/>
          <w:i/>
          <w:vertAlign w:val="subscript"/>
        </w:rPr>
        <w:t>i</w:t>
      </w:r>
      <w:r>
        <w:rPr>
          <w:rFonts w:ascii="Times New Roman"/>
        </w:rPr>
        <w:t>——合格产品重量，单位为千克（kg）；</w:t>
      </w:r>
    </w:p>
    <w:p>
      <w:pPr>
        <w:pStyle w:val="25"/>
        <w:rPr>
          <w:rFonts w:ascii="Times New Roman"/>
        </w:rPr>
      </w:pPr>
      <w:r>
        <w:rPr>
          <w:rFonts w:ascii="Times New Roman"/>
          <w:i/>
        </w:rPr>
        <w:t>M</w:t>
      </w:r>
      <w:r>
        <w:rPr>
          <w:rFonts w:ascii="Times New Roman"/>
          <w:i/>
          <w:vertAlign w:val="subscript"/>
        </w:rPr>
        <w:t>c</w:t>
      </w:r>
      <w:r>
        <w:rPr>
          <w:rFonts w:ascii="Times New Roman"/>
        </w:rPr>
        <w:t>——产品总重量，单位为千克（kg）。</w:t>
      </w:r>
    </w:p>
    <w:p/>
    <w:p>
      <w:pPr>
        <w:widowControl/>
        <w:tabs>
          <w:tab w:val="center" w:pos="4201"/>
          <w:tab w:val="right" w:leader="dot" w:pos="9298"/>
        </w:tabs>
        <w:autoSpaceDE w:val="0"/>
        <w:autoSpaceDN w:val="0"/>
        <w:jc w:val="center"/>
        <w:rPr>
          <w:kern w:val="0"/>
          <w:szCs w:val="20"/>
        </w:rPr>
      </w:pPr>
    </w:p>
    <w:p>
      <w:pPr>
        <w:widowControl/>
        <w:tabs>
          <w:tab w:val="center" w:pos="4201"/>
          <w:tab w:val="right" w:leader="dot" w:pos="9298"/>
        </w:tabs>
        <w:autoSpaceDE w:val="0"/>
        <w:autoSpaceDN w:val="0"/>
        <w:jc w:val="center"/>
      </w:pPr>
      <w:r>
        <w:rPr>
          <w:kern w:val="0"/>
          <w:szCs w:val="20"/>
        </w:rPr>
        <w:t>______________________________</w:t>
      </w:r>
      <w:bookmarkEnd w:id="76"/>
    </w:p>
    <w:p>
      <w:pPr>
        <w:pStyle w:val="142"/>
        <w:framePr w:wrap="around"/>
      </w:pPr>
    </w:p>
    <w:sectPr>
      <w:footerReference r:id="rId7" w:type="default"/>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S Mincho">
    <w:panose1 w:val="02020609040205080304"/>
    <w:charset w:val="80"/>
    <w:family w:val="roma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3"/>
        <w:tab w:val="right" w:pos="8306"/>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8285" cy="131445"/>
              <wp:effectExtent l="0" t="0" r="18415" b="1905"/>
              <wp:wrapNone/>
              <wp:docPr id="8" name="文本框 2"/>
              <wp:cNvGraphicFramePr/>
              <a:graphic xmlns:a="http://schemas.openxmlformats.org/drawingml/2006/main">
                <a:graphicData uri="http://schemas.microsoft.com/office/word/2010/wordprocessingShape">
                  <wps:wsp>
                    <wps:cNvSpPr txBox="1"/>
                    <wps:spPr>
                      <a:xfrm>
                        <a:off x="0" y="0"/>
                        <a:ext cx="248285" cy="131445"/>
                      </a:xfrm>
                      <a:prstGeom prst="rect">
                        <a:avLst/>
                      </a:prstGeom>
                      <a:noFill/>
                      <a:ln>
                        <a:noFill/>
                      </a:ln>
                    </wps:spPr>
                    <wps:txbx>
                      <w:txbxContent>
                        <w:p>
                          <w:pPr>
                            <w:pStyle w:val="19"/>
                          </w:pPr>
                        </w:p>
                      </w:txbxContent>
                    </wps:txbx>
                    <wps:bodyPr vert="horz" wrap="none" lIns="0" tIns="0" rIns="0" bIns="0" anchor="t">
                      <a:spAutoFit/>
                    </wps:bodyPr>
                  </wps:wsp>
                </a:graphicData>
              </a:graphic>
            </wp:anchor>
          </w:drawing>
        </mc:Choice>
        <mc:Fallback>
          <w:pict>
            <v:shape id="文本框 2" o:spid="_x0000_s1026" o:spt="202" type="#_x0000_t202" style="position:absolute;left:0pt;margin-top:0pt;height:10.35pt;width:19.55pt;mso-position-horizontal:center;mso-position-horizontal-relative:margin;mso-wrap-style:none;z-index:251660288;mso-width-relative:page;mso-height-relative:page;" filled="f" stroked="f" coordsize="21600,21600" o:gfxdata="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qrEjtEAAAADAQAADwAAAAAAAAABACAAAAAiAAAA&#10;ZHJzL2Rvd25yZXYueG1sUEsBAhQAFAAAAAgAh07iQFE39cnVAQAAogMAAA4AAAAAAAAAAQAgAAAA&#10;IAEAAGRycy9lMm9Eb2MueG1sUEsFBgAAAAAGAAYAWQEAAGcFAAAAAA==&#10;">
              <v:fill on="f" focussize="0,0"/>
              <v:stroke on="f"/>
              <v:imagedata o:title=""/>
              <o:lock v:ext="edit" aspectratio="f"/>
              <v:textbox inset="0mm,0mm,0mm,0mm" style="mso-fit-shape-to-text:t;">
                <w:txbxContent>
                  <w:p>
                    <w:pPr>
                      <w:pStyle w:val="1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fldLock="1"/>
    </w:r>
    <w:r>
      <w:instrText xml:space="preserve"> PAGEREF _Toc524004770 \h </w:instrText>
    </w:r>
    <w:r>
      <w:fldChar w:fldCharType="separate"/>
    </w:r>
    <w:r>
      <w:t>I</w:t>
    </w:r>
    <w:r>
      <w:fldChar w:fldCharType="end"/>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8285" cy="131445"/>
              <wp:effectExtent l="0" t="0" r="18415" b="1905"/>
              <wp:wrapNone/>
              <wp:docPr id="9" name="文本框 3"/>
              <wp:cNvGraphicFramePr/>
              <a:graphic xmlns:a="http://schemas.openxmlformats.org/drawingml/2006/main">
                <a:graphicData uri="http://schemas.microsoft.com/office/word/2010/wordprocessingShape">
                  <wps:wsp>
                    <wps:cNvSpPr txBox="1"/>
                    <wps:spPr>
                      <a:xfrm>
                        <a:off x="0" y="0"/>
                        <a:ext cx="248285" cy="131445"/>
                      </a:xfrm>
                      <a:prstGeom prst="rect">
                        <a:avLst/>
                      </a:prstGeom>
                      <a:noFill/>
                      <a:ln>
                        <a:noFill/>
                      </a:ln>
                    </wps:spPr>
                    <wps:txbx>
                      <w:txbxContent>
                        <w:p>
                          <w:pPr>
                            <w:pStyle w:val="19"/>
                          </w:pPr>
                        </w:p>
                      </w:txbxContent>
                    </wps:txbx>
                    <wps:bodyPr wrap="none" lIns="0" tIns="0" rIns="0" bIns="0">
                      <a:spAutoFit/>
                    </wps:bodyPr>
                  </wps:wsp>
                </a:graphicData>
              </a:graphic>
            </wp:anchor>
          </w:drawing>
        </mc:Choice>
        <mc:Fallback>
          <w:pict>
            <v:shape id="文本框 3" o:spid="_x0000_s1026" o:spt="202" type="#_x0000_t202" style="position:absolute;left:0pt;margin-top:0pt;height:10.35pt;width:19.55pt;mso-position-horizontal:center;mso-position-horizontal-relative:margin;mso-wrap-style:none;z-index:251661312;mso-width-relative:page;mso-height-relative:page;" filled="f" stroked="f" coordsize="21600,21600" o:gfxdata="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aqxI7RAAAAAwEAAA8AAAAAAAAAAQAgAAAAIgAAAGRycy9kb3ducmV2Lnht&#10;bFBLAQIUABQAAAAIAIdO4kB7GTRHxwEAAIsDAAAOAAAAAAAAAAEAIAAAACABAABkcnMvZTJvRG9j&#10;LnhtbFBLBQYAAAAABgAGAFkBAABZBQAAAAA=&#10;">
              <v:fill on="f" focussize="0,0"/>
              <v:stroke on="f"/>
              <v:imagedata o:title=""/>
              <o:lock v:ext="edit" aspectratio="f"/>
              <v:textbox inset="0mm,0mm,0mm,0mm" style="mso-fit-shape-to-text:t;">
                <w:txbxContent>
                  <w:p>
                    <w:pPr>
                      <w:pStyle w:val="1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3"/>
        <w:tab w:val="right" w:pos="8306"/>
      </w:tabs>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1135" cy="131445"/>
              <wp:effectExtent l="0" t="0" r="18415" b="1905"/>
              <wp:wrapNone/>
              <wp:docPr id="11" name="文本框 8"/>
              <wp:cNvGraphicFramePr/>
              <a:graphic xmlns:a="http://schemas.openxmlformats.org/drawingml/2006/main">
                <a:graphicData uri="http://schemas.microsoft.com/office/word/2010/wordprocessingShape">
                  <wps:wsp>
                    <wps:cNvSpPr txBox="1"/>
                    <wps:spPr>
                      <a:xfrm>
                        <a:off x="0" y="0"/>
                        <a:ext cx="191135" cy="131445"/>
                      </a:xfrm>
                      <a:prstGeom prst="rect">
                        <a:avLst/>
                      </a:prstGeom>
                      <a:noFill/>
                      <a:ln>
                        <a:noFill/>
                      </a:ln>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vert="horz" wrap="none" lIns="0" tIns="0" rIns="0" bIns="0" anchor="t">
                      <a:spAutoFit/>
                    </wps:bodyPr>
                  </wps:wsp>
                </a:graphicData>
              </a:graphic>
            </wp:anchor>
          </w:drawing>
        </mc:Choice>
        <mc:Fallback>
          <w:pict>
            <v:shape id="文本框 8" o:spid="_x0000_s1026" o:spt="202" type="#_x0000_t202" style="position:absolute;left:0pt;margin-top:0pt;height:10.35pt;width:15.05pt;mso-position-horizontal:center;mso-position-horizontal-relative:margin;mso-wrap-style:none;z-index:251662336;mso-width-relative:page;mso-height-relative:page;" filled="f" stroked="f" coordsize="21600,21600" o:gfxdata="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7/egtEAAAADAQAADwAAAAAAAAABACAAAAAiAAAA&#10;ZHJzL2Rvd25yZXYueG1sUEsBAhQAFAAAAAgAh07iQGOmiKrVAQAAowMAAA4AAAAAAAAAAQAgAAAA&#10;IAEAAGRycy9lMm9Eb2MueG1sUEsFBgAAAAAGAAYAWQEAAGcFAAAAAA==&#10;">
              <v:fill on="f" focussize="0,0"/>
              <v:stroke on="f"/>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8285" cy="131445"/>
              <wp:effectExtent l="0" t="0" r="18415" b="1905"/>
              <wp:wrapNone/>
              <wp:docPr id="10" name="文本框 7"/>
              <wp:cNvGraphicFramePr/>
              <a:graphic xmlns:a="http://schemas.openxmlformats.org/drawingml/2006/main">
                <a:graphicData uri="http://schemas.microsoft.com/office/word/2010/wordprocessingShape">
                  <wps:wsp>
                    <wps:cNvSpPr txBox="1"/>
                    <wps:spPr>
                      <a:xfrm>
                        <a:off x="0" y="0"/>
                        <a:ext cx="248285" cy="131445"/>
                      </a:xfrm>
                      <a:prstGeom prst="rect">
                        <a:avLst/>
                      </a:prstGeom>
                      <a:noFill/>
                      <a:ln>
                        <a:noFill/>
                      </a:ln>
                    </wps:spPr>
                    <wps:txbx>
                      <w:txbxContent>
                        <w:p>
                          <w:pPr>
                            <w:pStyle w:val="19"/>
                          </w:pPr>
                        </w:p>
                      </w:txbxContent>
                    </wps:txbx>
                    <wps:bodyPr wrap="none" lIns="0" tIns="0" rIns="0" bIns="0">
                      <a:spAutoFit/>
                    </wps:bodyPr>
                  </wps:wsp>
                </a:graphicData>
              </a:graphic>
            </wp:anchor>
          </w:drawing>
        </mc:Choice>
        <mc:Fallback>
          <w:pict>
            <v:shape id="文本框 7" o:spid="_x0000_s1026" o:spt="202" type="#_x0000_t202" style="position:absolute;left:0pt;margin-top:0pt;height:10.35pt;width:19.55pt;mso-position-horizontal:center;mso-position-horizontal-relative:margin;mso-wrap-style:none;z-index:251662336;mso-width-relative:page;mso-height-relative:page;" filled="f" stroked="f" coordsize="21600,21600" o:gfxdata="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aqxI7RAAAAAwEAAA8AAAAAAAAAAQAgAAAAIgAAAGRycy9kb3ducmV2Lnht&#10;bFBLAQIUABQAAAAIAIdO4kCDeA/sxwEAAIwDAAAOAAAAAAAAAAEAIAAAACABAABkcnMvZTJvRG9j&#10;LnhtbFBLBQYAAAAABgAGAFkBAABZBQAAAAA=&#10;">
              <v:fill on="f" focussize="0,0"/>
              <v:stroke on="f"/>
              <v:imagedata o:title=""/>
              <o:lock v:ext="edit" aspectratio="f"/>
              <v:textbox inset="0mm,0mm,0mm,0mm" style="mso-fit-shape-to-text:t;">
                <w:txbxContent>
                  <w:p>
                    <w:pPr>
                      <w:pStyle w:val="1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153"/>
        <w:tab w:val="right" w:pos="8306"/>
      </w:tabs>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48285" cy="131445"/>
              <wp:effectExtent l="0" t="0" r="18415" b="1905"/>
              <wp:wrapNone/>
              <wp:docPr id="12" name="文本框 9"/>
              <wp:cNvGraphicFramePr/>
              <a:graphic xmlns:a="http://schemas.openxmlformats.org/drawingml/2006/main">
                <a:graphicData uri="http://schemas.microsoft.com/office/word/2010/wordprocessingShape">
                  <wps:wsp>
                    <wps:cNvSpPr txBox="1"/>
                    <wps:spPr>
                      <a:xfrm>
                        <a:off x="0" y="0"/>
                        <a:ext cx="248285" cy="131445"/>
                      </a:xfrm>
                      <a:prstGeom prst="rect">
                        <a:avLst/>
                      </a:prstGeom>
                      <a:noFill/>
                      <a:ln>
                        <a:noFill/>
                      </a:ln>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vert="horz" wrap="none" lIns="0" tIns="0" rIns="0" bIns="0" anchor="t">
                      <a:spAutoFit/>
                    </wps:bodyPr>
                  </wps:wsp>
                </a:graphicData>
              </a:graphic>
            </wp:anchor>
          </w:drawing>
        </mc:Choice>
        <mc:Fallback>
          <w:pict>
            <v:shape id="文本框 9" o:spid="_x0000_s1026" o:spt="202" type="#_x0000_t202" style="position:absolute;left:0pt;margin-top:0pt;height:10.35pt;width:19.55pt;mso-position-horizontal:center;mso-position-horizontal-relative:margin;mso-wrap-style:none;z-index:251663360;mso-width-relative:page;mso-height-relative:page;" filled="f" stroked="f" coordsize="21600,21600" o:gfxdata="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qrEjtEAAAADAQAADwAAAAAAAAABACAAAAAiAAAA&#10;ZHJzL2Rvd25yZXYueG1sUEsBAhQAFAAAAAgAh07iQE7pX4jVAQAAowMAAA4AAAAAAAAAAQAgAAAA&#10;IAEAAGRycy9lMm9Eb2MueG1sUEsFBgAAAAAGAAYAWQEAAGcFAAAAAA==&#10;">
              <v:fill on="f" focussize="0,0"/>
              <v:stroke on="f"/>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rPr>
        <w:rFonts w:hint="eastAsia"/>
      </w:rPr>
      <w:t>T</w:t>
    </w:r>
    <w:r>
      <w:t xml:space="preserve">/ </w:t>
    </w:r>
    <w:r>
      <w:rPr>
        <w:rFonts w:hint="eastAsia"/>
      </w:rPr>
      <w:t>CECS 1000</w:t>
    </w:r>
    <w:r>
      <w:t>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1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8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8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3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10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4"/>
      <w:suff w:val="nothing"/>
      <w:lvlText w:val="%1.%2.%3　"/>
      <w:lvlJc w:val="left"/>
      <w:pPr>
        <w:ind w:left="993"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2"/>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9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69"/>
      <w:suff w:val="nothing"/>
      <w:lvlText w:val="%1——"/>
      <w:lvlJc w:val="left"/>
      <w:pPr>
        <w:ind w:left="833" w:hanging="408"/>
      </w:pPr>
      <w:rPr>
        <w:rFonts w:hint="eastAsia"/>
      </w:rPr>
    </w:lvl>
    <w:lvl w:ilvl="1" w:tentative="0">
      <w:start w:val="1"/>
      <w:numFmt w:val="bullet"/>
      <w:pStyle w:val="92"/>
      <w:lvlText w:val=""/>
      <w:lvlJc w:val="left"/>
      <w:pPr>
        <w:tabs>
          <w:tab w:val="left" w:pos="760"/>
        </w:tabs>
        <w:ind w:left="1264" w:hanging="413"/>
      </w:pPr>
      <w:rPr>
        <w:rFonts w:hint="default" w:ascii="Symbol" w:hAnsi="Symbol"/>
        <w:color w:val="auto"/>
      </w:rPr>
    </w:lvl>
    <w:lvl w:ilvl="2" w:tentative="0">
      <w:start w:val="1"/>
      <w:numFmt w:val="bullet"/>
      <w:pStyle w:val="10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4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0"/>
      <w:lvlText w:val="%2)"/>
      <w:lvlJc w:val="left"/>
      <w:pPr>
        <w:tabs>
          <w:tab w:val="left" w:pos="1260"/>
        </w:tabs>
        <w:ind w:left="1259" w:hanging="419"/>
      </w:pPr>
      <w:rPr>
        <w:rFonts w:hint="eastAsia"/>
      </w:rPr>
    </w:lvl>
    <w:lvl w:ilvl="2" w:tentative="0">
      <w:start w:val="1"/>
      <w:numFmt w:val="decimal"/>
      <w:pStyle w:val="12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10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6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0"/>
      <w:lvlText w:val="%1"/>
      <w:lvlJc w:val="left"/>
      <w:pPr>
        <w:tabs>
          <w:tab w:val="left" w:pos="0"/>
        </w:tabs>
        <w:ind w:left="0" w:hanging="425"/>
      </w:pPr>
      <w:rPr>
        <w:rFonts w:hint="eastAsia"/>
      </w:rPr>
    </w:lvl>
    <w:lvl w:ilvl="1" w:tentative="0">
      <w:start w:val="1"/>
      <w:numFmt w:val="decimal"/>
      <w:pStyle w:val="12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5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2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6"/>
      <w:suff w:val="nothing"/>
      <w:lvlText w:val="%1.%2.%3　"/>
      <w:lvlJc w:val="left"/>
      <w:pPr>
        <w:ind w:left="0" w:firstLine="0"/>
      </w:pPr>
      <w:rPr>
        <w:rFonts w:hint="eastAsia" w:ascii="黑体" w:hAnsi="Times New Roman" w:eastAsia="黑体"/>
        <w:b w:val="0"/>
        <w:i w:val="0"/>
        <w:sz w:val="21"/>
      </w:rPr>
    </w:lvl>
    <w:lvl w:ilvl="3" w:tentative="0">
      <w:start w:val="1"/>
      <w:numFmt w:val="decimal"/>
      <w:pStyle w:val="71"/>
      <w:suff w:val="nothing"/>
      <w:lvlText w:val="%1.%2.%3.%4　"/>
      <w:lvlJc w:val="left"/>
      <w:pPr>
        <w:ind w:left="0" w:firstLine="0"/>
      </w:pPr>
      <w:rPr>
        <w:rFonts w:hint="eastAsia" w:ascii="黑体" w:hAnsi="Times New Roman" w:eastAsia="黑体"/>
        <w:b w:val="0"/>
        <w:i w:val="0"/>
        <w:sz w:val="21"/>
      </w:rPr>
    </w:lvl>
    <w:lvl w:ilvl="4" w:tentative="0">
      <w:start w:val="1"/>
      <w:numFmt w:val="decimal"/>
      <w:pStyle w:val="75"/>
      <w:suff w:val="nothing"/>
      <w:lvlText w:val="%1.%2.%3.%4.%5　"/>
      <w:lvlJc w:val="left"/>
      <w:pPr>
        <w:ind w:left="0" w:firstLine="0"/>
      </w:pPr>
      <w:rPr>
        <w:rFonts w:hint="eastAsia" w:ascii="黑体" w:hAnsi="Times New Roman" w:eastAsia="黑体"/>
        <w:b w:val="0"/>
        <w:i w:val="0"/>
        <w:sz w:val="21"/>
      </w:rPr>
    </w:lvl>
    <w:lvl w:ilvl="5" w:tentative="0">
      <w:start w:val="1"/>
      <w:numFmt w:val="decimal"/>
      <w:pStyle w:val="74"/>
      <w:suff w:val="nothing"/>
      <w:lvlText w:val="%1.%2.%3.%4.%5.%6　"/>
      <w:lvlJc w:val="left"/>
      <w:pPr>
        <w:ind w:left="0" w:firstLine="0"/>
      </w:pPr>
      <w:rPr>
        <w:rFonts w:hint="eastAsia" w:ascii="黑体" w:hAnsi="Times New Roman" w:eastAsia="黑体"/>
        <w:b w:val="0"/>
        <w:i w:val="0"/>
        <w:sz w:val="21"/>
      </w:rPr>
    </w:lvl>
    <w:lvl w:ilvl="6" w:tentative="0">
      <w:start w:val="1"/>
      <w:numFmt w:val="decimal"/>
      <w:pStyle w:val="7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b w:val="0"/>
        <w:i w:val="0"/>
        <w:sz w:val="21"/>
      </w:rPr>
    </w:lvl>
    <w:lvl w:ilvl="1" w:tentative="0">
      <w:start w:val="1"/>
      <w:numFmt w:val="decimal"/>
      <w:pStyle w:val="5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1"/>
  </w:num>
  <w:num w:numId="3">
    <w:abstractNumId w:val="13"/>
  </w:num>
  <w:num w:numId="4">
    <w:abstractNumId w:val="15"/>
  </w:num>
  <w:num w:numId="5">
    <w:abstractNumId w:val="5"/>
  </w:num>
  <w:num w:numId="6">
    <w:abstractNumId w:val="14"/>
  </w:num>
  <w:num w:numId="7">
    <w:abstractNumId w:val="11"/>
  </w:num>
  <w:num w:numId="8">
    <w:abstractNumId w:val="7"/>
  </w:num>
  <w:num w:numId="9">
    <w:abstractNumId w:val="3"/>
  </w:num>
  <w:num w:numId="10">
    <w:abstractNumId w:val="2"/>
  </w:num>
  <w:num w:numId="11">
    <w:abstractNumId w:val="12"/>
  </w:num>
  <w:num w:numId="12">
    <w:abstractNumId w:val="6"/>
  </w:num>
  <w:num w:numId="13">
    <w:abstractNumId w:val="10"/>
  </w:num>
  <w:num w:numId="14">
    <w:abstractNumId w:val="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yZjgyZTY0MzIxMDM2MDE1MzAwOTUzYTFjNDExZTQifQ=="/>
  </w:docVars>
  <w:rsids>
    <w:rsidRoot w:val="00172A27"/>
    <w:rsid w:val="00000244"/>
    <w:rsid w:val="00000429"/>
    <w:rsid w:val="0000185F"/>
    <w:rsid w:val="0000586F"/>
    <w:rsid w:val="00007D81"/>
    <w:rsid w:val="00013D37"/>
    <w:rsid w:val="00013D86"/>
    <w:rsid w:val="00013E02"/>
    <w:rsid w:val="0002143C"/>
    <w:rsid w:val="00024A28"/>
    <w:rsid w:val="00024AF6"/>
    <w:rsid w:val="00025A65"/>
    <w:rsid w:val="00026C31"/>
    <w:rsid w:val="00026F4A"/>
    <w:rsid w:val="00027280"/>
    <w:rsid w:val="000320A7"/>
    <w:rsid w:val="0003318E"/>
    <w:rsid w:val="00035925"/>
    <w:rsid w:val="0004726A"/>
    <w:rsid w:val="00067CDF"/>
    <w:rsid w:val="00074FBE"/>
    <w:rsid w:val="00075A2B"/>
    <w:rsid w:val="00076C25"/>
    <w:rsid w:val="00077DB2"/>
    <w:rsid w:val="00083A09"/>
    <w:rsid w:val="0009005E"/>
    <w:rsid w:val="00092857"/>
    <w:rsid w:val="00096375"/>
    <w:rsid w:val="000A20A9"/>
    <w:rsid w:val="000A48B1"/>
    <w:rsid w:val="000B3143"/>
    <w:rsid w:val="000B321E"/>
    <w:rsid w:val="000C6B05"/>
    <w:rsid w:val="000C6DD6"/>
    <w:rsid w:val="000C73D4"/>
    <w:rsid w:val="000D31D3"/>
    <w:rsid w:val="000D3D4C"/>
    <w:rsid w:val="000D4F51"/>
    <w:rsid w:val="000D718B"/>
    <w:rsid w:val="000E0C46"/>
    <w:rsid w:val="000E23BE"/>
    <w:rsid w:val="000F030C"/>
    <w:rsid w:val="000F129C"/>
    <w:rsid w:val="000F239B"/>
    <w:rsid w:val="001000E4"/>
    <w:rsid w:val="001056DE"/>
    <w:rsid w:val="00105A94"/>
    <w:rsid w:val="001124C0"/>
    <w:rsid w:val="00127E41"/>
    <w:rsid w:val="0013175F"/>
    <w:rsid w:val="00144092"/>
    <w:rsid w:val="00150190"/>
    <w:rsid w:val="001512B4"/>
    <w:rsid w:val="0016117C"/>
    <w:rsid w:val="00161F33"/>
    <w:rsid w:val="001620A5"/>
    <w:rsid w:val="00164594"/>
    <w:rsid w:val="00164E53"/>
    <w:rsid w:val="0016699D"/>
    <w:rsid w:val="00172A27"/>
    <w:rsid w:val="001735C3"/>
    <w:rsid w:val="00175159"/>
    <w:rsid w:val="00176208"/>
    <w:rsid w:val="0018211B"/>
    <w:rsid w:val="001840D3"/>
    <w:rsid w:val="0019005A"/>
    <w:rsid w:val="001900F8"/>
    <w:rsid w:val="00191258"/>
    <w:rsid w:val="00192110"/>
    <w:rsid w:val="00192680"/>
    <w:rsid w:val="00193037"/>
    <w:rsid w:val="00193A2C"/>
    <w:rsid w:val="00196259"/>
    <w:rsid w:val="001A288E"/>
    <w:rsid w:val="001B6DC2"/>
    <w:rsid w:val="001C149C"/>
    <w:rsid w:val="001C21AC"/>
    <w:rsid w:val="001C232D"/>
    <w:rsid w:val="001C47BA"/>
    <w:rsid w:val="001C59EA"/>
    <w:rsid w:val="001C6DEA"/>
    <w:rsid w:val="001D13B6"/>
    <w:rsid w:val="001D406C"/>
    <w:rsid w:val="001D41EE"/>
    <w:rsid w:val="001E0380"/>
    <w:rsid w:val="001E13B1"/>
    <w:rsid w:val="001F3A19"/>
    <w:rsid w:val="001F60BC"/>
    <w:rsid w:val="00210FBD"/>
    <w:rsid w:val="00214F18"/>
    <w:rsid w:val="00216802"/>
    <w:rsid w:val="0022103F"/>
    <w:rsid w:val="00224B41"/>
    <w:rsid w:val="00234467"/>
    <w:rsid w:val="0023668C"/>
    <w:rsid w:val="00237D8D"/>
    <w:rsid w:val="00241DA2"/>
    <w:rsid w:val="00247FEE"/>
    <w:rsid w:val="00250E7D"/>
    <w:rsid w:val="002527F5"/>
    <w:rsid w:val="002565D5"/>
    <w:rsid w:val="00261716"/>
    <w:rsid w:val="002622C0"/>
    <w:rsid w:val="00262E2F"/>
    <w:rsid w:val="00267A9E"/>
    <w:rsid w:val="0027218D"/>
    <w:rsid w:val="002778AE"/>
    <w:rsid w:val="0028269A"/>
    <w:rsid w:val="00283590"/>
    <w:rsid w:val="00286973"/>
    <w:rsid w:val="00294E70"/>
    <w:rsid w:val="002A1924"/>
    <w:rsid w:val="002A6F6C"/>
    <w:rsid w:val="002A7420"/>
    <w:rsid w:val="002B0F12"/>
    <w:rsid w:val="002B1308"/>
    <w:rsid w:val="002B4554"/>
    <w:rsid w:val="002C041F"/>
    <w:rsid w:val="002C72D8"/>
    <w:rsid w:val="002D099A"/>
    <w:rsid w:val="002D11FA"/>
    <w:rsid w:val="002E0DDF"/>
    <w:rsid w:val="002E2906"/>
    <w:rsid w:val="002E5635"/>
    <w:rsid w:val="002E64C3"/>
    <w:rsid w:val="002E6A2C"/>
    <w:rsid w:val="002F069D"/>
    <w:rsid w:val="002F1D8C"/>
    <w:rsid w:val="002F21DA"/>
    <w:rsid w:val="003010DD"/>
    <w:rsid w:val="00301A2E"/>
    <w:rsid w:val="00301F39"/>
    <w:rsid w:val="00312AC2"/>
    <w:rsid w:val="00325926"/>
    <w:rsid w:val="00327A8A"/>
    <w:rsid w:val="00330363"/>
    <w:rsid w:val="00330775"/>
    <w:rsid w:val="00334483"/>
    <w:rsid w:val="00335CDE"/>
    <w:rsid w:val="00336610"/>
    <w:rsid w:val="00337336"/>
    <w:rsid w:val="00337E97"/>
    <w:rsid w:val="00343F73"/>
    <w:rsid w:val="00345060"/>
    <w:rsid w:val="0035323B"/>
    <w:rsid w:val="003609D2"/>
    <w:rsid w:val="00363F22"/>
    <w:rsid w:val="0036625C"/>
    <w:rsid w:val="00370F65"/>
    <w:rsid w:val="00375564"/>
    <w:rsid w:val="00377980"/>
    <w:rsid w:val="00380E65"/>
    <w:rsid w:val="00381373"/>
    <w:rsid w:val="00383191"/>
    <w:rsid w:val="003867D4"/>
    <w:rsid w:val="00386DED"/>
    <w:rsid w:val="00387164"/>
    <w:rsid w:val="003912E7"/>
    <w:rsid w:val="00393947"/>
    <w:rsid w:val="003A2275"/>
    <w:rsid w:val="003A6A4F"/>
    <w:rsid w:val="003A7088"/>
    <w:rsid w:val="003B00DF"/>
    <w:rsid w:val="003B1275"/>
    <w:rsid w:val="003B1778"/>
    <w:rsid w:val="003B42AC"/>
    <w:rsid w:val="003C11CB"/>
    <w:rsid w:val="003C75F3"/>
    <w:rsid w:val="003C78A3"/>
    <w:rsid w:val="003D7A9C"/>
    <w:rsid w:val="003E1867"/>
    <w:rsid w:val="003E5729"/>
    <w:rsid w:val="003F3068"/>
    <w:rsid w:val="003F4EE0"/>
    <w:rsid w:val="00402153"/>
    <w:rsid w:val="00402FC1"/>
    <w:rsid w:val="00403130"/>
    <w:rsid w:val="00412189"/>
    <w:rsid w:val="00417CAD"/>
    <w:rsid w:val="00425082"/>
    <w:rsid w:val="004253DE"/>
    <w:rsid w:val="00430B66"/>
    <w:rsid w:val="00431585"/>
    <w:rsid w:val="00431DEB"/>
    <w:rsid w:val="004362A4"/>
    <w:rsid w:val="00445DD1"/>
    <w:rsid w:val="00446B29"/>
    <w:rsid w:val="004504C4"/>
    <w:rsid w:val="00450E3C"/>
    <w:rsid w:val="00453F9A"/>
    <w:rsid w:val="004641CF"/>
    <w:rsid w:val="00471652"/>
    <w:rsid w:val="00471E91"/>
    <w:rsid w:val="00474675"/>
    <w:rsid w:val="0047470C"/>
    <w:rsid w:val="00496011"/>
    <w:rsid w:val="004A35F9"/>
    <w:rsid w:val="004B24C1"/>
    <w:rsid w:val="004B2D1F"/>
    <w:rsid w:val="004B5736"/>
    <w:rsid w:val="004C292F"/>
    <w:rsid w:val="004C5616"/>
    <w:rsid w:val="004C658A"/>
    <w:rsid w:val="004C7AA8"/>
    <w:rsid w:val="004E2AED"/>
    <w:rsid w:val="004F2B8C"/>
    <w:rsid w:val="00503BD2"/>
    <w:rsid w:val="00510280"/>
    <w:rsid w:val="00510A10"/>
    <w:rsid w:val="00513C08"/>
    <w:rsid w:val="00513D73"/>
    <w:rsid w:val="00514A43"/>
    <w:rsid w:val="00515A5D"/>
    <w:rsid w:val="005174E5"/>
    <w:rsid w:val="00522393"/>
    <w:rsid w:val="00522620"/>
    <w:rsid w:val="00525656"/>
    <w:rsid w:val="00534C02"/>
    <w:rsid w:val="0054264B"/>
    <w:rsid w:val="00543786"/>
    <w:rsid w:val="005533D7"/>
    <w:rsid w:val="005703DE"/>
    <w:rsid w:val="0058464E"/>
    <w:rsid w:val="005919D4"/>
    <w:rsid w:val="0059313D"/>
    <w:rsid w:val="005A01CB"/>
    <w:rsid w:val="005A58FF"/>
    <w:rsid w:val="005A5EAF"/>
    <w:rsid w:val="005A64C0"/>
    <w:rsid w:val="005B3C11"/>
    <w:rsid w:val="005B5160"/>
    <w:rsid w:val="005C1C28"/>
    <w:rsid w:val="005C6DB5"/>
    <w:rsid w:val="005D5229"/>
    <w:rsid w:val="005E19E7"/>
    <w:rsid w:val="005F1815"/>
    <w:rsid w:val="005F5740"/>
    <w:rsid w:val="00605977"/>
    <w:rsid w:val="00610052"/>
    <w:rsid w:val="0061716C"/>
    <w:rsid w:val="006243A1"/>
    <w:rsid w:val="00624F77"/>
    <w:rsid w:val="00632E56"/>
    <w:rsid w:val="00634F5C"/>
    <w:rsid w:val="00635CBA"/>
    <w:rsid w:val="00636E62"/>
    <w:rsid w:val="0064303C"/>
    <w:rsid w:val="0064338B"/>
    <w:rsid w:val="00646542"/>
    <w:rsid w:val="006504F4"/>
    <w:rsid w:val="00651CD4"/>
    <w:rsid w:val="00654BC9"/>
    <w:rsid w:val="006552FD"/>
    <w:rsid w:val="00663AF3"/>
    <w:rsid w:val="00666B6C"/>
    <w:rsid w:val="00674D60"/>
    <w:rsid w:val="00680BFB"/>
    <w:rsid w:val="00682682"/>
    <w:rsid w:val="00682702"/>
    <w:rsid w:val="0069076F"/>
    <w:rsid w:val="00692368"/>
    <w:rsid w:val="006A2EBC"/>
    <w:rsid w:val="006A429F"/>
    <w:rsid w:val="006A4881"/>
    <w:rsid w:val="006A5EA0"/>
    <w:rsid w:val="006A783B"/>
    <w:rsid w:val="006A7B33"/>
    <w:rsid w:val="006B43AB"/>
    <w:rsid w:val="006B4E13"/>
    <w:rsid w:val="006B712B"/>
    <w:rsid w:val="006B75DD"/>
    <w:rsid w:val="006C67E0"/>
    <w:rsid w:val="006C7ABA"/>
    <w:rsid w:val="006D0D60"/>
    <w:rsid w:val="006D1122"/>
    <w:rsid w:val="006D12FA"/>
    <w:rsid w:val="006D3C00"/>
    <w:rsid w:val="006D7C9B"/>
    <w:rsid w:val="006E3675"/>
    <w:rsid w:val="006E4A7F"/>
    <w:rsid w:val="006F137A"/>
    <w:rsid w:val="00704DF6"/>
    <w:rsid w:val="0070587F"/>
    <w:rsid w:val="0070651C"/>
    <w:rsid w:val="007068C6"/>
    <w:rsid w:val="007132A3"/>
    <w:rsid w:val="00716421"/>
    <w:rsid w:val="00721E5D"/>
    <w:rsid w:val="00724EFB"/>
    <w:rsid w:val="007419C3"/>
    <w:rsid w:val="007467A7"/>
    <w:rsid w:val="007469DD"/>
    <w:rsid w:val="0074741B"/>
    <w:rsid w:val="0074759E"/>
    <w:rsid w:val="007478EA"/>
    <w:rsid w:val="0075415C"/>
    <w:rsid w:val="00763502"/>
    <w:rsid w:val="00782801"/>
    <w:rsid w:val="007913AB"/>
    <w:rsid w:val="007914F7"/>
    <w:rsid w:val="007934FA"/>
    <w:rsid w:val="00797083"/>
    <w:rsid w:val="007A17F1"/>
    <w:rsid w:val="007A6588"/>
    <w:rsid w:val="007B1625"/>
    <w:rsid w:val="007B706E"/>
    <w:rsid w:val="007B71EB"/>
    <w:rsid w:val="007C2C0B"/>
    <w:rsid w:val="007C5EBB"/>
    <w:rsid w:val="007C6205"/>
    <w:rsid w:val="007C686A"/>
    <w:rsid w:val="007C728E"/>
    <w:rsid w:val="007D2C53"/>
    <w:rsid w:val="007D3D60"/>
    <w:rsid w:val="007E0B2A"/>
    <w:rsid w:val="007E1980"/>
    <w:rsid w:val="007E21DE"/>
    <w:rsid w:val="007E2C3A"/>
    <w:rsid w:val="007E4B76"/>
    <w:rsid w:val="007E556B"/>
    <w:rsid w:val="007E5EA8"/>
    <w:rsid w:val="007F0CF1"/>
    <w:rsid w:val="007F12A5"/>
    <w:rsid w:val="007F250F"/>
    <w:rsid w:val="007F4CF1"/>
    <w:rsid w:val="007F758D"/>
    <w:rsid w:val="007F7D52"/>
    <w:rsid w:val="00805DC2"/>
    <w:rsid w:val="0080654C"/>
    <w:rsid w:val="008071C6"/>
    <w:rsid w:val="00817A00"/>
    <w:rsid w:val="00835DB3"/>
    <w:rsid w:val="0083617B"/>
    <w:rsid w:val="008363C4"/>
    <w:rsid w:val="008371BD"/>
    <w:rsid w:val="0084091D"/>
    <w:rsid w:val="00843831"/>
    <w:rsid w:val="008504A8"/>
    <w:rsid w:val="0085282E"/>
    <w:rsid w:val="008645EE"/>
    <w:rsid w:val="00871039"/>
    <w:rsid w:val="0087198C"/>
    <w:rsid w:val="00872C1F"/>
    <w:rsid w:val="00873163"/>
    <w:rsid w:val="00873B42"/>
    <w:rsid w:val="008856D8"/>
    <w:rsid w:val="00892E82"/>
    <w:rsid w:val="008A1AFC"/>
    <w:rsid w:val="008C1B58"/>
    <w:rsid w:val="008C39AE"/>
    <w:rsid w:val="008C4645"/>
    <w:rsid w:val="008C590D"/>
    <w:rsid w:val="008E031B"/>
    <w:rsid w:val="008E7029"/>
    <w:rsid w:val="008E7EF6"/>
    <w:rsid w:val="008F1F98"/>
    <w:rsid w:val="008F6758"/>
    <w:rsid w:val="009008E5"/>
    <w:rsid w:val="009040DD"/>
    <w:rsid w:val="00905B47"/>
    <w:rsid w:val="00911579"/>
    <w:rsid w:val="0091331C"/>
    <w:rsid w:val="009148A7"/>
    <w:rsid w:val="00925F22"/>
    <w:rsid w:val="009279DE"/>
    <w:rsid w:val="00930116"/>
    <w:rsid w:val="00940CF6"/>
    <w:rsid w:val="00941E9A"/>
    <w:rsid w:val="0094212C"/>
    <w:rsid w:val="009437F0"/>
    <w:rsid w:val="0095308A"/>
    <w:rsid w:val="00954689"/>
    <w:rsid w:val="00957B35"/>
    <w:rsid w:val="009607B7"/>
    <w:rsid w:val="009617C9"/>
    <w:rsid w:val="00961C93"/>
    <w:rsid w:val="00963C38"/>
    <w:rsid w:val="00965324"/>
    <w:rsid w:val="0097091E"/>
    <w:rsid w:val="009760D3"/>
    <w:rsid w:val="00977132"/>
    <w:rsid w:val="0097735B"/>
    <w:rsid w:val="00981A4B"/>
    <w:rsid w:val="00982501"/>
    <w:rsid w:val="009877D3"/>
    <w:rsid w:val="00994E8F"/>
    <w:rsid w:val="009951DC"/>
    <w:rsid w:val="009959BB"/>
    <w:rsid w:val="00996FC4"/>
    <w:rsid w:val="00997158"/>
    <w:rsid w:val="009A3A7C"/>
    <w:rsid w:val="009A6582"/>
    <w:rsid w:val="009B2ADB"/>
    <w:rsid w:val="009B603A"/>
    <w:rsid w:val="009B7509"/>
    <w:rsid w:val="009C2D0E"/>
    <w:rsid w:val="009C3DAC"/>
    <w:rsid w:val="009C42E0"/>
    <w:rsid w:val="009D5362"/>
    <w:rsid w:val="009E097B"/>
    <w:rsid w:val="009E0C96"/>
    <w:rsid w:val="009E1415"/>
    <w:rsid w:val="009E2C1B"/>
    <w:rsid w:val="009E489F"/>
    <w:rsid w:val="009E6116"/>
    <w:rsid w:val="00A02E43"/>
    <w:rsid w:val="00A05753"/>
    <w:rsid w:val="00A065F9"/>
    <w:rsid w:val="00A06B99"/>
    <w:rsid w:val="00A07F34"/>
    <w:rsid w:val="00A1755D"/>
    <w:rsid w:val="00A22154"/>
    <w:rsid w:val="00A25C38"/>
    <w:rsid w:val="00A33B92"/>
    <w:rsid w:val="00A36BBE"/>
    <w:rsid w:val="00A4307A"/>
    <w:rsid w:val="00A463DC"/>
    <w:rsid w:val="00A47EBB"/>
    <w:rsid w:val="00A51CDD"/>
    <w:rsid w:val="00A56753"/>
    <w:rsid w:val="00A6730D"/>
    <w:rsid w:val="00A71625"/>
    <w:rsid w:val="00A71B9B"/>
    <w:rsid w:val="00A751C7"/>
    <w:rsid w:val="00A86DC6"/>
    <w:rsid w:val="00A87844"/>
    <w:rsid w:val="00AA038C"/>
    <w:rsid w:val="00AA7A09"/>
    <w:rsid w:val="00AB3B50"/>
    <w:rsid w:val="00AB4E16"/>
    <w:rsid w:val="00AC05B1"/>
    <w:rsid w:val="00AC5044"/>
    <w:rsid w:val="00AD19FF"/>
    <w:rsid w:val="00AD2AA8"/>
    <w:rsid w:val="00AD356C"/>
    <w:rsid w:val="00AD4D47"/>
    <w:rsid w:val="00AE0778"/>
    <w:rsid w:val="00AE2914"/>
    <w:rsid w:val="00AE44D3"/>
    <w:rsid w:val="00AE6B15"/>
    <w:rsid w:val="00AE6D15"/>
    <w:rsid w:val="00B03EF5"/>
    <w:rsid w:val="00B04182"/>
    <w:rsid w:val="00B07AE3"/>
    <w:rsid w:val="00B11430"/>
    <w:rsid w:val="00B13597"/>
    <w:rsid w:val="00B244D8"/>
    <w:rsid w:val="00B353EB"/>
    <w:rsid w:val="00B439C4"/>
    <w:rsid w:val="00B44F93"/>
    <w:rsid w:val="00B4535E"/>
    <w:rsid w:val="00B52A8C"/>
    <w:rsid w:val="00B572A9"/>
    <w:rsid w:val="00B6068D"/>
    <w:rsid w:val="00B61606"/>
    <w:rsid w:val="00B61A10"/>
    <w:rsid w:val="00B623D9"/>
    <w:rsid w:val="00B625BF"/>
    <w:rsid w:val="00B636A8"/>
    <w:rsid w:val="00B665C6"/>
    <w:rsid w:val="00B6687A"/>
    <w:rsid w:val="00B74039"/>
    <w:rsid w:val="00B805AF"/>
    <w:rsid w:val="00B869EC"/>
    <w:rsid w:val="00B86DD7"/>
    <w:rsid w:val="00B87B14"/>
    <w:rsid w:val="00B9397A"/>
    <w:rsid w:val="00B9633D"/>
    <w:rsid w:val="00BA06A5"/>
    <w:rsid w:val="00BA08F5"/>
    <w:rsid w:val="00BA2EBE"/>
    <w:rsid w:val="00BB0F28"/>
    <w:rsid w:val="00BB458A"/>
    <w:rsid w:val="00BD00D3"/>
    <w:rsid w:val="00BD041D"/>
    <w:rsid w:val="00BD1659"/>
    <w:rsid w:val="00BD3AA9"/>
    <w:rsid w:val="00BD3F6A"/>
    <w:rsid w:val="00BD3FF7"/>
    <w:rsid w:val="00BD4173"/>
    <w:rsid w:val="00BD4A18"/>
    <w:rsid w:val="00BD5D60"/>
    <w:rsid w:val="00BD6DB2"/>
    <w:rsid w:val="00BE11CF"/>
    <w:rsid w:val="00BE21AB"/>
    <w:rsid w:val="00BE4B64"/>
    <w:rsid w:val="00BE55CB"/>
    <w:rsid w:val="00BE6733"/>
    <w:rsid w:val="00BF617A"/>
    <w:rsid w:val="00C0379D"/>
    <w:rsid w:val="00C03931"/>
    <w:rsid w:val="00C03D9B"/>
    <w:rsid w:val="00C05FE3"/>
    <w:rsid w:val="00C176C1"/>
    <w:rsid w:val="00C2136D"/>
    <w:rsid w:val="00C214EE"/>
    <w:rsid w:val="00C2314B"/>
    <w:rsid w:val="00C24971"/>
    <w:rsid w:val="00C26BE5"/>
    <w:rsid w:val="00C26E4D"/>
    <w:rsid w:val="00C27909"/>
    <w:rsid w:val="00C27B03"/>
    <w:rsid w:val="00C314E1"/>
    <w:rsid w:val="00C33CF6"/>
    <w:rsid w:val="00C34397"/>
    <w:rsid w:val="00C4022A"/>
    <w:rsid w:val="00C4095D"/>
    <w:rsid w:val="00C426B4"/>
    <w:rsid w:val="00C6016E"/>
    <w:rsid w:val="00C601D2"/>
    <w:rsid w:val="00C65BCC"/>
    <w:rsid w:val="00C66970"/>
    <w:rsid w:val="00C73549"/>
    <w:rsid w:val="00C73E1C"/>
    <w:rsid w:val="00C81B4C"/>
    <w:rsid w:val="00C8691C"/>
    <w:rsid w:val="00CA168A"/>
    <w:rsid w:val="00CA357E"/>
    <w:rsid w:val="00CA44F9"/>
    <w:rsid w:val="00CA4A69"/>
    <w:rsid w:val="00CA5159"/>
    <w:rsid w:val="00CB10B3"/>
    <w:rsid w:val="00CC3E0C"/>
    <w:rsid w:val="00CC58D3"/>
    <w:rsid w:val="00CC784D"/>
    <w:rsid w:val="00CD73E5"/>
    <w:rsid w:val="00CE0A86"/>
    <w:rsid w:val="00D0337B"/>
    <w:rsid w:val="00D03627"/>
    <w:rsid w:val="00D079B2"/>
    <w:rsid w:val="00D114E9"/>
    <w:rsid w:val="00D25287"/>
    <w:rsid w:val="00D31CAE"/>
    <w:rsid w:val="00D429C6"/>
    <w:rsid w:val="00D47748"/>
    <w:rsid w:val="00D54CC3"/>
    <w:rsid w:val="00D6041A"/>
    <w:rsid w:val="00D633EB"/>
    <w:rsid w:val="00D806A6"/>
    <w:rsid w:val="00D82FF7"/>
    <w:rsid w:val="00D847FE"/>
    <w:rsid w:val="00D964EA"/>
    <w:rsid w:val="00D966D0"/>
    <w:rsid w:val="00DA0C59"/>
    <w:rsid w:val="00DA3991"/>
    <w:rsid w:val="00DA3FAE"/>
    <w:rsid w:val="00DB0476"/>
    <w:rsid w:val="00DB7E6C"/>
    <w:rsid w:val="00DC3CC4"/>
    <w:rsid w:val="00DD5A29"/>
    <w:rsid w:val="00DD5D9D"/>
    <w:rsid w:val="00DE35CB"/>
    <w:rsid w:val="00DF21E9"/>
    <w:rsid w:val="00DF2A9E"/>
    <w:rsid w:val="00DF6DC8"/>
    <w:rsid w:val="00E00F14"/>
    <w:rsid w:val="00E06386"/>
    <w:rsid w:val="00E24EB4"/>
    <w:rsid w:val="00E26BE8"/>
    <w:rsid w:val="00E320ED"/>
    <w:rsid w:val="00E33AFB"/>
    <w:rsid w:val="00E34218"/>
    <w:rsid w:val="00E34621"/>
    <w:rsid w:val="00E46282"/>
    <w:rsid w:val="00E5216E"/>
    <w:rsid w:val="00E54AA5"/>
    <w:rsid w:val="00E70AA3"/>
    <w:rsid w:val="00E7181F"/>
    <w:rsid w:val="00E74A22"/>
    <w:rsid w:val="00E75D30"/>
    <w:rsid w:val="00E82344"/>
    <w:rsid w:val="00E84C82"/>
    <w:rsid w:val="00E84D64"/>
    <w:rsid w:val="00E87408"/>
    <w:rsid w:val="00E90A60"/>
    <w:rsid w:val="00E90BDF"/>
    <w:rsid w:val="00E914C4"/>
    <w:rsid w:val="00E934F5"/>
    <w:rsid w:val="00E96961"/>
    <w:rsid w:val="00EA66FE"/>
    <w:rsid w:val="00EA72EC"/>
    <w:rsid w:val="00EB11CB"/>
    <w:rsid w:val="00EB275A"/>
    <w:rsid w:val="00EB598A"/>
    <w:rsid w:val="00EB786A"/>
    <w:rsid w:val="00EC1578"/>
    <w:rsid w:val="00EC1C72"/>
    <w:rsid w:val="00EC3669"/>
    <w:rsid w:val="00EC3CC9"/>
    <w:rsid w:val="00EC49F8"/>
    <w:rsid w:val="00EC680A"/>
    <w:rsid w:val="00ED7C11"/>
    <w:rsid w:val="00ED7F47"/>
    <w:rsid w:val="00EE2BED"/>
    <w:rsid w:val="00EE374B"/>
    <w:rsid w:val="00EF585A"/>
    <w:rsid w:val="00EF6B7F"/>
    <w:rsid w:val="00EF7970"/>
    <w:rsid w:val="00EF7F03"/>
    <w:rsid w:val="00F05E2A"/>
    <w:rsid w:val="00F11BB5"/>
    <w:rsid w:val="00F1211E"/>
    <w:rsid w:val="00F1417B"/>
    <w:rsid w:val="00F153A6"/>
    <w:rsid w:val="00F222F1"/>
    <w:rsid w:val="00F25A51"/>
    <w:rsid w:val="00F34B99"/>
    <w:rsid w:val="00F529AF"/>
    <w:rsid w:val="00F52DAB"/>
    <w:rsid w:val="00F543F0"/>
    <w:rsid w:val="00F57C55"/>
    <w:rsid w:val="00F62AC3"/>
    <w:rsid w:val="00F66ED7"/>
    <w:rsid w:val="00F81D29"/>
    <w:rsid w:val="00F91C4D"/>
    <w:rsid w:val="00F92FD9"/>
    <w:rsid w:val="00FA4F70"/>
    <w:rsid w:val="00FA6684"/>
    <w:rsid w:val="00FA731E"/>
    <w:rsid w:val="00FB12ED"/>
    <w:rsid w:val="00FB2B38"/>
    <w:rsid w:val="00FB32CB"/>
    <w:rsid w:val="00FB54A6"/>
    <w:rsid w:val="00FC4C5F"/>
    <w:rsid w:val="00FC6358"/>
    <w:rsid w:val="00FD320D"/>
    <w:rsid w:val="00FE23DE"/>
    <w:rsid w:val="00FF240B"/>
    <w:rsid w:val="02F518EB"/>
    <w:rsid w:val="065A1F01"/>
    <w:rsid w:val="07A360B5"/>
    <w:rsid w:val="07C52338"/>
    <w:rsid w:val="0B0F26BF"/>
    <w:rsid w:val="0F5553D1"/>
    <w:rsid w:val="11965F79"/>
    <w:rsid w:val="119D3BA2"/>
    <w:rsid w:val="121E6D54"/>
    <w:rsid w:val="12C514E3"/>
    <w:rsid w:val="13046833"/>
    <w:rsid w:val="17902E00"/>
    <w:rsid w:val="19694E05"/>
    <w:rsid w:val="1D7F5632"/>
    <w:rsid w:val="1EEF41F5"/>
    <w:rsid w:val="21464423"/>
    <w:rsid w:val="23557542"/>
    <w:rsid w:val="265D3664"/>
    <w:rsid w:val="275A1CAA"/>
    <w:rsid w:val="278F76AF"/>
    <w:rsid w:val="2B530470"/>
    <w:rsid w:val="2B5D7FE3"/>
    <w:rsid w:val="2F6220B7"/>
    <w:rsid w:val="316C7D36"/>
    <w:rsid w:val="31DD1B2F"/>
    <w:rsid w:val="33801E84"/>
    <w:rsid w:val="350462CF"/>
    <w:rsid w:val="36DC70A2"/>
    <w:rsid w:val="38223CFD"/>
    <w:rsid w:val="389A6919"/>
    <w:rsid w:val="38ED3506"/>
    <w:rsid w:val="3A9256A6"/>
    <w:rsid w:val="3C01362B"/>
    <w:rsid w:val="3EB14076"/>
    <w:rsid w:val="3EC47FA2"/>
    <w:rsid w:val="3EF5385F"/>
    <w:rsid w:val="40007622"/>
    <w:rsid w:val="41B808E7"/>
    <w:rsid w:val="433E7291"/>
    <w:rsid w:val="4A242262"/>
    <w:rsid w:val="4C7372CF"/>
    <w:rsid w:val="4CDF7D28"/>
    <w:rsid w:val="4DA145F0"/>
    <w:rsid w:val="4DAD3266"/>
    <w:rsid w:val="4F4668C1"/>
    <w:rsid w:val="50B65FE9"/>
    <w:rsid w:val="560D1854"/>
    <w:rsid w:val="592371E9"/>
    <w:rsid w:val="594846D0"/>
    <w:rsid w:val="5DE913F3"/>
    <w:rsid w:val="61AC592B"/>
    <w:rsid w:val="634A3809"/>
    <w:rsid w:val="64DA2948"/>
    <w:rsid w:val="6AD13480"/>
    <w:rsid w:val="6B22027D"/>
    <w:rsid w:val="6CE754FF"/>
    <w:rsid w:val="72917DD5"/>
    <w:rsid w:val="73B816D5"/>
    <w:rsid w:val="74F03582"/>
    <w:rsid w:val="77AB4495"/>
    <w:rsid w:val="78E757C5"/>
    <w:rsid w:val="7DFE6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6"/>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48"/>
    <w:semiHidden/>
    <w:unhideWhenUsed/>
    <w:qFormat/>
    <w:uiPriority w:val="0"/>
    <w:pPr>
      <w:keepNext/>
      <w:keepLines/>
      <w:spacing w:before="260" w:after="260" w:line="416" w:lineRule="auto"/>
      <w:outlineLvl w:val="2"/>
    </w:pPr>
    <w:rPr>
      <w:b/>
      <w:bCs/>
      <w:sz w:val="32"/>
      <w:szCs w:val="32"/>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46"/>
    <w:qFormat/>
    <w:uiPriority w:val="99"/>
    <w:pPr>
      <w:jc w:val="left"/>
    </w:pPr>
    <w:rPr>
      <w:rFonts w:ascii="Calibri" w:hAnsi="Calibri"/>
    </w:r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Plain Text"/>
    <w:basedOn w:val="1"/>
    <w:qFormat/>
    <w:uiPriority w:val="0"/>
    <w:rPr>
      <w:rFonts w:ascii="宋体" w:hAnsi="Courier New"/>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44"/>
    <w:qFormat/>
    <w:uiPriority w:val="0"/>
    <w:rPr>
      <w:rFonts w:ascii="Calibri" w:hAnsi="Calibri"/>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9"/>
    <w:next w:val="9"/>
    <w:link w:val="43"/>
    <w:qFormat/>
    <w:uiPriority w:val="0"/>
    <w:rPr>
      <w:b/>
      <w:bCs/>
    </w:rPr>
  </w:style>
  <w:style w:type="table" w:styleId="35">
    <w:name w:val="Table Grid"/>
    <w:basedOn w:val="34"/>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Hyperlink"/>
    <w:qFormat/>
    <w:uiPriority w:val="99"/>
    <w:rPr>
      <w:color w:val="0000FF"/>
      <w:spacing w:val="0"/>
      <w:w w:val="100"/>
      <w:szCs w:val="21"/>
      <w:u w:val="single"/>
    </w:rPr>
  </w:style>
  <w:style w:type="character" w:styleId="41">
    <w:name w:val="annotation reference"/>
    <w:qFormat/>
    <w:uiPriority w:val="99"/>
    <w:rPr>
      <w:sz w:val="21"/>
      <w:szCs w:val="21"/>
    </w:rPr>
  </w:style>
  <w:style w:type="character" w:styleId="42">
    <w:name w:val="footnote reference"/>
    <w:semiHidden/>
    <w:qFormat/>
    <w:uiPriority w:val="0"/>
    <w:rPr>
      <w:vertAlign w:val="superscript"/>
    </w:rPr>
  </w:style>
  <w:style w:type="character" w:customStyle="1" w:styleId="43">
    <w:name w:val="批注主题 Char"/>
    <w:link w:val="33"/>
    <w:qFormat/>
    <w:uiPriority w:val="0"/>
    <w:rPr>
      <w:b/>
      <w:bCs/>
      <w:kern w:val="2"/>
      <w:sz w:val="21"/>
      <w:szCs w:val="24"/>
    </w:rPr>
  </w:style>
  <w:style w:type="character" w:customStyle="1" w:styleId="44">
    <w:name w:val="批注框文本 Char"/>
    <w:link w:val="18"/>
    <w:qFormat/>
    <w:uiPriority w:val="0"/>
    <w:rPr>
      <w:kern w:val="2"/>
      <w:sz w:val="18"/>
      <w:szCs w:val="18"/>
    </w:rPr>
  </w:style>
  <w:style w:type="character" w:customStyle="1" w:styleId="45">
    <w:name w:val="段 Char"/>
    <w:link w:val="25"/>
    <w:qFormat/>
    <w:uiPriority w:val="0"/>
    <w:rPr>
      <w:rFonts w:ascii="宋体"/>
      <w:sz w:val="21"/>
      <w:lang w:val="en-US" w:eastAsia="zh-CN" w:bidi="ar-SA"/>
    </w:rPr>
  </w:style>
  <w:style w:type="character" w:customStyle="1" w:styleId="46">
    <w:name w:val="批注文字 Char"/>
    <w:link w:val="9"/>
    <w:qFormat/>
    <w:uiPriority w:val="99"/>
    <w:rPr>
      <w:kern w:val="2"/>
      <w:sz w:val="21"/>
      <w:szCs w:val="24"/>
    </w:rPr>
  </w:style>
  <w:style w:type="character" w:customStyle="1" w:styleId="47">
    <w:name w:val="首示例 Char"/>
    <w:link w:val="48"/>
    <w:qFormat/>
    <w:uiPriority w:val="0"/>
    <w:rPr>
      <w:rFonts w:ascii="宋体" w:hAnsi="宋体"/>
      <w:kern w:val="2"/>
      <w:sz w:val="18"/>
      <w:szCs w:val="18"/>
      <w:lang w:val="en-US" w:eastAsia="zh-CN" w:bidi="ar-SA"/>
    </w:rPr>
  </w:style>
  <w:style w:type="paragraph" w:customStyle="1" w:styleId="48">
    <w:name w:val="首示例"/>
    <w:next w:val="25"/>
    <w:link w:val="47"/>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9">
    <w:name w:val="附录公式 Char"/>
    <w:basedOn w:val="45"/>
    <w:link w:val="50"/>
    <w:qFormat/>
    <w:uiPriority w:val="0"/>
    <w:rPr>
      <w:rFonts w:ascii="宋体"/>
      <w:sz w:val="21"/>
      <w:lang w:val="en-US" w:eastAsia="zh-CN" w:bidi="ar-SA"/>
    </w:rPr>
  </w:style>
  <w:style w:type="paragraph" w:customStyle="1" w:styleId="50">
    <w:name w:val="附录公式"/>
    <w:basedOn w:val="25"/>
    <w:next w:val="25"/>
    <w:link w:val="49"/>
    <w:qFormat/>
    <w:uiPriority w:val="0"/>
  </w:style>
  <w:style w:type="character" w:customStyle="1" w:styleId="51">
    <w:name w:val="发布"/>
    <w:qFormat/>
    <w:uiPriority w:val="0"/>
    <w:rPr>
      <w:rFonts w:ascii="黑体" w:eastAsia="黑体"/>
      <w:spacing w:val="85"/>
      <w:w w:val="100"/>
      <w:position w:val="3"/>
      <w:sz w:val="28"/>
      <w:szCs w:val="28"/>
    </w:rPr>
  </w:style>
  <w:style w:type="paragraph" w:customStyle="1" w:styleId="52">
    <w:name w:val="实施日期"/>
    <w:basedOn w:val="53"/>
    <w:qFormat/>
    <w:uiPriority w:val="0"/>
    <w:pPr>
      <w:framePr w:wrap="around" w:vAnchor="page" w:hAnchor="text"/>
      <w:jc w:val="right"/>
    </w:pPr>
  </w:style>
  <w:style w:type="paragraph" w:customStyle="1" w:styleId="5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4">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5">
    <w:name w:val="标准书眉_偶数页"/>
    <w:basedOn w:val="56"/>
    <w:next w:val="1"/>
    <w:qFormat/>
    <w:uiPriority w:val="0"/>
    <w:pPr>
      <w:tabs>
        <w:tab w:val="center" w:pos="4154"/>
        <w:tab w:val="right" w:pos="8306"/>
      </w:tabs>
      <w:jc w:val="left"/>
    </w:pPr>
  </w:style>
  <w:style w:type="paragraph" w:customStyle="1" w:styleId="5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8">
    <w:name w:val="正文表标题"/>
    <w:next w:val="25"/>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9">
    <w:name w:val="附录数字编号列项（二级）"/>
    <w:qFormat/>
    <w:uiPriority w:val="0"/>
    <w:pPr>
      <w:numPr>
        <w:ilvl w:val="1"/>
        <w:numId w:val="4"/>
      </w:numPr>
    </w:pPr>
    <w:rPr>
      <w:rFonts w:ascii="宋体" w:hAnsi="Times New Roman" w:eastAsia="宋体" w:cs="Times New Roman"/>
      <w:sz w:val="21"/>
      <w:lang w:val="en-US" w:eastAsia="zh-CN" w:bidi="ar-SA"/>
    </w:rPr>
  </w:style>
  <w:style w:type="paragraph" w:customStyle="1" w:styleId="60">
    <w:name w:val="五级无"/>
    <w:basedOn w:val="61"/>
    <w:qFormat/>
    <w:uiPriority w:val="0"/>
    <w:pPr>
      <w:spacing w:beforeLines="0" w:afterLines="0"/>
    </w:pPr>
    <w:rPr>
      <w:rFonts w:ascii="宋体" w:eastAsia="宋体"/>
    </w:rPr>
  </w:style>
  <w:style w:type="paragraph" w:customStyle="1" w:styleId="61">
    <w:name w:val="五级条标题"/>
    <w:basedOn w:val="62"/>
    <w:next w:val="25"/>
    <w:qFormat/>
    <w:uiPriority w:val="0"/>
    <w:pPr>
      <w:numPr>
        <w:ilvl w:val="0"/>
        <w:numId w:val="0"/>
      </w:numPr>
      <w:outlineLvl w:val="6"/>
    </w:pPr>
  </w:style>
  <w:style w:type="paragraph" w:customStyle="1" w:styleId="62">
    <w:name w:val="四级条标题"/>
    <w:basedOn w:val="63"/>
    <w:next w:val="25"/>
    <w:qFormat/>
    <w:uiPriority w:val="0"/>
    <w:pPr>
      <w:numPr>
        <w:ilvl w:val="4"/>
      </w:numPr>
      <w:outlineLvl w:val="5"/>
    </w:pPr>
  </w:style>
  <w:style w:type="paragraph" w:customStyle="1" w:styleId="63">
    <w:name w:val="三级条标题"/>
    <w:basedOn w:val="64"/>
    <w:next w:val="25"/>
    <w:qFormat/>
    <w:uiPriority w:val="0"/>
    <w:pPr>
      <w:numPr>
        <w:ilvl w:val="3"/>
      </w:numPr>
      <w:outlineLvl w:val="4"/>
    </w:pPr>
  </w:style>
  <w:style w:type="paragraph" w:customStyle="1" w:styleId="64">
    <w:name w:val="二级条标题"/>
    <w:basedOn w:val="65"/>
    <w:next w:val="25"/>
    <w:qFormat/>
    <w:uiPriority w:val="0"/>
    <w:pPr>
      <w:numPr>
        <w:ilvl w:val="2"/>
      </w:numPr>
      <w:spacing w:before="50" w:after="50"/>
      <w:outlineLvl w:val="3"/>
    </w:pPr>
  </w:style>
  <w:style w:type="paragraph" w:customStyle="1" w:styleId="65">
    <w:name w:val="一级条标题"/>
    <w:next w:val="25"/>
    <w:qFormat/>
    <w:uiPriority w:val="0"/>
    <w:pPr>
      <w:numPr>
        <w:ilvl w:val="1"/>
        <w:numId w:val="5"/>
      </w:numPr>
      <w:spacing w:beforeLines="50" w:afterLines="50"/>
      <w:outlineLvl w:val="2"/>
    </w:pPr>
    <w:rPr>
      <w:rFonts w:ascii="黑体" w:hAnsi="Times New Roman" w:eastAsia="黑体" w:cs="Times New Roman"/>
      <w:sz w:val="21"/>
      <w:szCs w:val="21"/>
      <w:lang w:val="en-US" w:eastAsia="zh-CN" w:bidi="ar-SA"/>
    </w:rPr>
  </w:style>
  <w:style w:type="paragraph" w:customStyle="1" w:styleId="66">
    <w:name w:val="附录一级条标题"/>
    <w:basedOn w:val="67"/>
    <w:next w:val="25"/>
    <w:qFormat/>
    <w:uiPriority w:val="0"/>
    <w:pPr>
      <w:numPr>
        <w:ilvl w:val="2"/>
      </w:numPr>
      <w:tabs>
        <w:tab w:val="left" w:pos="360"/>
      </w:tabs>
      <w:autoSpaceDN w:val="0"/>
      <w:spacing w:beforeLines="50" w:afterLines="50"/>
      <w:outlineLvl w:val="2"/>
    </w:pPr>
  </w:style>
  <w:style w:type="paragraph" w:customStyle="1" w:styleId="67">
    <w:name w:val="附录章标题"/>
    <w:next w:val="25"/>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8">
    <w:name w:val="正文图标题"/>
    <w:next w:val="25"/>
    <w:qFormat/>
    <w:uiPriority w:val="0"/>
    <w:pPr>
      <w:numPr>
        <w:ilvl w:val="0"/>
        <w:numId w:val="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9">
    <w:name w:val="列项——（一级）"/>
    <w:qFormat/>
    <w:uiPriority w:val="0"/>
    <w:pPr>
      <w:widowControl w:val="0"/>
      <w:numPr>
        <w:ilvl w:val="0"/>
        <w:numId w:val="8"/>
      </w:numPr>
      <w:jc w:val="both"/>
    </w:pPr>
    <w:rPr>
      <w:rFonts w:ascii="宋体" w:hAnsi="Times New Roman" w:eastAsia="宋体" w:cs="Times New Roman"/>
      <w:sz w:val="21"/>
      <w:lang w:val="en-US" w:eastAsia="zh-CN" w:bidi="ar-SA"/>
    </w:rPr>
  </w:style>
  <w:style w:type="paragraph" w:customStyle="1" w:styleId="7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1">
    <w:name w:val="附录二级条标题"/>
    <w:basedOn w:val="1"/>
    <w:next w:val="25"/>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3">
    <w:name w:val="附录五级条标题"/>
    <w:basedOn w:val="74"/>
    <w:next w:val="25"/>
    <w:qFormat/>
    <w:uiPriority w:val="0"/>
    <w:pPr>
      <w:numPr>
        <w:ilvl w:val="6"/>
      </w:numPr>
      <w:tabs>
        <w:tab w:val="left" w:pos="360"/>
      </w:tabs>
      <w:outlineLvl w:val="6"/>
    </w:pPr>
  </w:style>
  <w:style w:type="paragraph" w:customStyle="1" w:styleId="74">
    <w:name w:val="附录四级条标题"/>
    <w:basedOn w:val="75"/>
    <w:next w:val="25"/>
    <w:qFormat/>
    <w:uiPriority w:val="0"/>
    <w:pPr>
      <w:numPr>
        <w:ilvl w:val="5"/>
      </w:numPr>
      <w:tabs>
        <w:tab w:val="left" w:pos="360"/>
      </w:tabs>
      <w:outlineLvl w:val="5"/>
    </w:pPr>
  </w:style>
  <w:style w:type="paragraph" w:customStyle="1" w:styleId="75">
    <w:name w:val="附录三级条标题"/>
    <w:basedOn w:val="71"/>
    <w:next w:val="25"/>
    <w:qFormat/>
    <w:uiPriority w:val="0"/>
    <w:pPr>
      <w:numPr>
        <w:ilvl w:val="4"/>
      </w:numPr>
      <w:outlineLvl w:val="4"/>
    </w:pPr>
  </w:style>
  <w:style w:type="paragraph" w:customStyle="1" w:styleId="76">
    <w:name w:val="示例后文字"/>
    <w:basedOn w:val="25"/>
    <w:next w:val="25"/>
    <w:qFormat/>
    <w:uiPriority w:val="0"/>
    <w:pPr>
      <w:ind w:firstLine="360"/>
    </w:pPr>
    <w:rPr>
      <w:sz w:val="18"/>
    </w:rPr>
  </w:style>
  <w:style w:type="paragraph" w:customStyle="1" w:styleId="77">
    <w:name w:val="封面一致性程度标识2"/>
    <w:basedOn w:val="78"/>
    <w:qFormat/>
    <w:uiPriority w:val="0"/>
    <w:pPr>
      <w:framePr w:wrap="around" w:y="4469"/>
    </w:pPr>
  </w:style>
  <w:style w:type="paragraph" w:customStyle="1" w:styleId="78">
    <w:name w:val="封面一致性程度标识"/>
    <w:basedOn w:val="79"/>
    <w:qFormat/>
    <w:uiPriority w:val="0"/>
    <w:pPr>
      <w:framePr w:wrap="around"/>
      <w:spacing w:before="440"/>
    </w:pPr>
    <w:rPr>
      <w:rFonts w:ascii="宋体" w:eastAsia="宋体"/>
    </w:rPr>
  </w:style>
  <w:style w:type="paragraph" w:customStyle="1" w:styleId="79">
    <w:name w:val="封面标准英文名称"/>
    <w:basedOn w:val="80"/>
    <w:qFormat/>
    <w:uiPriority w:val="0"/>
    <w:pPr>
      <w:framePr w:wrap="around"/>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其他发布日期"/>
    <w:basedOn w:val="53"/>
    <w:qFormat/>
    <w:uiPriority w:val="0"/>
    <w:pPr>
      <w:framePr w:wrap="around" w:vAnchor="page" w:hAnchor="text" w:x="1419"/>
    </w:pPr>
  </w:style>
  <w:style w:type="paragraph" w:customStyle="1" w:styleId="82">
    <w:name w:val="图表脚注说明"/>
    <w:basedOn w:val="1"/>
    <w:qFormat/>
    <w:uiPriority w:val="0"/>
    <w:pPr>
      <w:numPr>
        <w:ilvl w:val="0"/>
        <w:numId w:val="9"/>
      </w:numPr>
    </w:pPr>
    <w:rPr>
      <w:rFonts w:ascii="宋体"/>
      <w:sz w:val="18"/>
      <w:szCs w:val="18"/>
    </w:rPr>
  </w:style>
  <w:style w:type="paragraph" w:customStyle="1" w:styleId="83">
    <w:name w:val="其他实施日期"/>
    <w:basedOn w:val="52"/>
    <w:uiPriority w:val="0"/>
    <w:pPr>
      <w:framePr w:wrap="around"/>
    </w:pPr>
  </w:style>
  <w:style w:type="paragraph" w:customStyle="1" w:styleId="84">
    <w:name w:val="封面标准文稿编辑信息"/>
    <w:basedOn w:val="85"/>
    <w:qFormat/>
    <w:uiPriority w:val="0"/>
    <w:pPr>
      <w:framePr w:wrap="around"/>
      <w:spacing w:before="180" w:line="180" w:lineRule="exact"/>
    </w:pPr>
    <w:rPr>
      <w:sz w:val="21"/>
    </w:rPr>
  </w:style>
  <w:style w:type="paragraph" w:customStyle="1" w:styleId="85">
    <w:name w:val="封面标准文稿类别"/>
    <w:basedOn w:val="78"/>
    <w:qFormat/>
    <w:uiPriority w:val="0"/>
    <w:pPr>
      <w:framePr w:wrap="around"/>
      <w:spacing w:after="160" w:line="240" w:lineRule="auto"/>
    </w:pPr>
    <w:rPr>
      <w:sz w:val="24"/>
    </w:rPr>
  </w:style>
  <w:style w:type="paragraph" w:customStyle="1" w:styleId="8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7">
    <w:name w:val="示例"/>
    <w:next w:val="72"/>
    <w:qFormat/>
    <w:uiPriority w:val="0"/>
    <w:pPr>
      <w:widowControl w:val="0"/>
      <w:numPr>
        <w:ilvl w:val="0"/>
        <w:numId w:val="10"/>
      </w:numPr>
      <w:jc w:val="both"/>
    </w:pPr>
    <w:rPr>
      <w:rFonts w:ascii="宋体" w:hAnsi="Times New Roman" w:eastAsia="宋体" w:cs="Times New Roman"/>
      <w:sz w:val="18"/>
      <w:szCs w:val="18"/>
      <w:lang w:val="en-US" w:eastAsia="zh-CN" w:bidi="ar-SA"/>
    </w:rPr>
  </w:style>
  <w:style w:type="paragraph" w:customStyle="1" w:styleId="88">
    <w:name w:val="注：（正文）"/>
    <w:basedOn w:val="89"/>
    <w:next w:val="25"/>
    <w:qFormat/>
    <w:uiPriority w:val="0"/>
  </w:style>
  <w:style w:type="paragraph" w:customStyle="1" w:styleId="89">
    <w:name w:val="注："/>
    <w:next w:val="25"/>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90">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9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2">
    <w:name w:val="列项●（二级）"/>
    <w:qFormat/>
    <w:uiPriority w:val="0"/>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5"/>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95">
    <w:name w:val="附录二级无"/>
    <w:basedOn w:val="71"/>
    <w:qFormat/>
    <w:uiPriority w:val="0"/>
    <w:pPr>
      <w:tabs>
        <w:tab w:val="clear" w:pos="360"/>
      </w:tabs>
      <w:spacing w:beforeLines="0" w:afterLines="0"/>
    </w:pPr>
    <w:rPr>
      <w:rFonts w:ascii="宋体" w:eastAsia="宋体"/>
      <w:szCs w:val="21"/>
    </w:rPr>
  </w:style>
  <w:style w:type="paragraph" w:customStyle="1" w:styleId="96">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97">
    <w:name w:val="条文脚注"/>
    <w:basedOn w:val="26"/>
    <w:qFormat/>
    <w:uiPriority w:val="0"/>
    <w:pPr>
      <w:numPr>
        <w:numId w:val="0"/>
      </w:numPr>
      <w:jc w:val="both"/>
    </w:pPr>
  </w:style>
  <w:style w:type="paragraph" w:customStyle="1" w:styleId="98">
    <w:name w:val="三级无"/>
    <w:basedOn w:val="63"/>
    <w:qFormat/>
    <w:uiPriority w:val="0"/>
    <w:pPr>
      <w:spacing w:beforeLines="0" w:afterLines="0"/>
    </w:pPr>
    <w:rPr>
      <w:rFonts w:ascii="宋体" w:eastAsia="宋体"/>
    </w:rPr>
  </w:style>
  <w:style w:type="paragraph" w:customStyle="1" w:styleId="9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0">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01">
    <w:name w:val="附录五级无"/>
    <w:basedOn w:val="73"/>
    <w:qFormat/>
    <w:uiPriority w:val="0"/>
    <w:pPr>
      <w:spacing w:beforeLines="0" w:afterLines="0"/>
    </w:pPr>
    <w:rPr>
      <w:rFonts w:ascii="宋体" w:eastAsia="宋体"/>
      <w:szCs w:val="21"/>
    </w:rPr>
  </w:style>
  <w:style w:type="paragraph" w:customStyle="1" w:styleId="102">
    <w:name w:val="示例×："/>
    <w:basedOn w:val="103"/>
    <w:qFormat/>
    <w:uiPriority w:val="0"/>
    <w:pPr>
      <w:numPr>
        <w:numId w:val="13"/>
      </w:numPr>
      <w:spacing w:beforeLines="0" w:afterLines="0"/>
      <w:outlineLvl w:val="9"/>
    </w:pPr>
    <w:rPr>
      <w:rFonts w:ascii="宋体" w:eastAsia="宋体"/>
      <w:sz w:val="18"/>
      <w:szCs w:val="18"/>
    </w:rPr>
  </w:style>
  <w:style w:type="paragraph" w:customStyle="1" w:styleId="103">
    <w:name w:val="章标题"/>
    <w:next w:val="25"/>
    <w:qFormat/>
    <w:uiPriority w:val="0"/>
    <w:pPr>
      <w:numPr>
        <w:ilvl w:val="0"/>
        <w:numId w:val="5"/>
      </w:numPr>
      <w:spacing w:beforeLines="100" w:afterLines="100"/>
      <w:jc w:val="both"/>
      <w:outlineLvl w:val="1"/>
    </w:pPr>
    <w:rPr>
      <w:rFonts w:ascii="黑体" w:hAnsi="Times New Roman" w:eastAsia="黑体" w:cs="Times New Roman"/>
      <w:sz w:val="21"/>
      <w:lang w:val="en-US" w:eastAsia="zh-CN" w:bidi="ar-SA"/>
    </w:rPr>
  </w:style>
  <w:style w:type="paragraph" w:customStyle="1" w:styleId="104">
    <w:name w:val="附录四级无"/>
    <w:basedOn w:val="74"/>
    <w:qFormat/>
    <w:uiPriority w:val="0"/>
    <w:pPr>
      <w:spacing w:beforeLines="0" w:afterLines="0"/>
    </w:pPr>
    <w:rPr>
      <w:rFonts w:ascii="宋体" w:eastAsia="宋体"/>
      <w:szCs w:val="21"/>
    </w:rPr>
  </w:style>
  <w:style w:type="paragraph" w:customStyle="1" w:styleId="105">
    <w:name w:val="附录一级无"/>
    <w:basedOn w:val="66"/>
    <w:qFormat/>
    <w:uiPriority w:val="0"/>
    <w:pPr>
      <w:spacing w:beforeLines="0" w:afterLines="0"/>
    </w:pPr>
    <w:rPr>
      <w:rFonts w:ascii="宋体" w:eastAsia="宋体"/>
      <w:szCs w:val="21"/>
    </w:rPr>
  </w:style>
  <w:style w:type="paragraph" w:customStyle="1" w:styleId="10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7">
    <w:name w:val="列项◆（三级）"/>
    <w:basedOn w:val="1"/>
    <w:qFormat/>
    <w:uiPriority w:val="0"/>
    <w:pPr>
      <w:numPr>
        <w:ilvl w:val="2"/>
        <w:numId w:val="8"/>
      </w:numPr>
    </w:pPr>
    <w:rPr>
      <w:rFonts w:ascii="宋体"/>
      <w:szCs w:val="21"/>
    </w:rPr>
  </w:style>
  <w:style w:type="paragraph" w:customStyle="1" w:styleId="108">
    <w:name w:val="B正文"/>
    <w:qFormat/>
    <w:uiPriority w:val="0"/>
    <w:pPr>
      <w:tabs>
        <w:tab w:val="center" w:pos="4201"/>
        <w:tab w:val="right" w:leader="dot" w:pos="9298"/>
      </w:tabs>
      <w:autoSpaceDE w:val="0"/>
      <w:autoSpaceDN w:val="0"/>
      <w:ind w:firstLine="420" w:firstLineChars="200"/>
      <w:jc w:val="both"/>
    </w:pPr>
    <w:rPr>
      <w:rFonts w:ascii="Times New Roman" w:hAnsi="Times New Roman" w:eastAsia="宋体" w:cs="Times New Roman"/>
      <w:bCs/>
      <w:sz w:val="21"/>
      <w:lang w:val="en-US" w:eastAsia="zh-CN" w:bidi="ar-SA"/>
    </w:rPr>
  </w:style>
  <w:style w:type="paragraph" w:customStyle="1" w:styleId="109">
    <w:name w:val="一级无"/>
    <w:basedOn w:val="65"/>
    <w:qFormat/>
    <w:uiPriority w:val="0"/>
    <w:pPr>
      <w:spacing w:beforeLines="0" w:afterLines="0"/>
    </w:pPr>
    <w:rPr>
      <w:rFonts w:ascii="宋体" w:eastAsia="宋体"/>
    </w:rPr>
  </w:style>
  <w:style w:type="paragraph" w:customStyle="1" w:styleId="110">
    <w:name w:val="附录字母编号列项（一级）"/>
    <w:qFormat/>
    <w:uiPriority w:val="0"/>
    <w:pPr>
      <w:numPr>
        <w:ilvl w:val="0"/>
        <w:numId w:val="4"/>
      </w:numPr>
    </w:pPr>
    <w:rPr>
      <w:rFonts w:ascii="宋体" w:hAnsi="Times New Roman" w:eastAsia="宋体" w:cs="Times New Roman"/>
      <w:sz w:val="21"/>
      <w:lang w:val="en-US" w:eastAsia="zh-CN" w:bidi="ar-SA"/>
    </w:rPr>
  </w:style>
  <w:style w:type="paragraph" w:customStyle="1" w:styleId="111">
    <w:name w:val="图标脚注说明"/>
    <w:basedOn w:val="25"/>
    <w:qFormat/>
    <w:uiPriority w:val="0"/>
    <w:pPr>
      <w:ind w:left="840" w:hanging="420" w:firstLineChars="0"/>
    </w:pPr>
    <w:rPr>
      <w:sz w:val="18"/>
      <w:szCs w:val="18"/>
    </w:r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参考文献"/>
    <w:basedOn w:val="1"/>
    <w:next w:val="25"/>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5">
    <w:name w:val="注×："/>
    <w:qFormat/>
    <w:uiPriority w:val="0"/>
    <w:pPr>
      <w:widowControl w:val="0"/>
      <w:numPr>
        <w:ilvl w:val="0"/>
        <w:numId w:val="14"/>
      </w:numPr>
      <w:autoSpaceDE w:val="0"/>
      <w:autoSpaceDN w:val="0"/>
      <w:jc w:val="both"/>
    </w:pPr>
    <w:rPr>
      <w:rFonts w:ascii="宋体" w:hAnsi="Times New Roman" w:eastAsia="宋体" w:cs="Times New Roman"/>
      <w:sz w:val="18"/>
      <w:szCs w:val="18"/>
      <w:lang w:val="en-US" w:eastAsia="zh-CN" w:bidi="ar-SA"/>
    </w:r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9">
    <w:name w:val="封面标准英文名称2"/>
    <w:basedOn w:val="79"/>
    <w:qFormat/>
    <w:uiPriority w:val="0"/>
    <w:pPr>
      <w:framePr w:wrap="around" w:y="4469"/>
    </w:pPr>
  </w:style>
  <w:style w:type="paragraph" w:customStyle="1" w:styleId="120">
    <w:name w:val="数字编号列项（二级）"/>
    <w:qFormat/>
    <w:uiPriority w:val="0"/>
    <w:pPr>
      <w:numPr>
        <w:ilvl w:val="1"/>
        <w:numId w:val="15"/>
      </w:numPr>
      <w:jc w:val="both"/>
    </w:pPr>
    <w:rPr>
      <w:rFonts w:ascii="宋体" w:hAnsi="Times New Roman" w:eastAsia="宋体" w:cs="Times New Roman"/>
      <w:sz w:val="21"/>
      <w:lang w:val="en-US" w:eastAsia="zh-CN" w:bidi="ar-SA"/>
    </w:rPr>
  </w:style>
  <w:style w:type="paragraph" w:customStyle="1" w:styleId="12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2">
    <w:name w:val="附录标识"/>
    <w:basedOn w:val="1"/>
    <w:next w:val="25"/>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3">
    <w:name w:val="其他发布部门"/>
    <w:basedOn w:val="124"/>
    <w:qFormat/>
    <w:uiPriority w:val="0"/>
    <w:pPr>
      <w:framePr w:wrap="around" w:y="15310"/>
      <w:spacing w:line="0" w:lineRule="atLeast"/>
    </w:pPr>
    <w:rPr>
      <w:rFonts w:ascii="黑体" w:eastAsia="黑体"/>
      <w:b w:val="0"/>
    </w:rPr>
  </w:style>
  <w:style w:type="paragraph" w:customStyle="1" w:styleId="124">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5">
    <w:name w:val="封面标准文稿编辑信息2"/>
    <w:basedOn w:val="84"/>
    <w:qFormat/>
    <w:uiPriority w:val="0"/>
    <w:pPr>
      <w:framePr w:wrap="around" w:y="4469"/>
    </w:pPr>
  </w:style>
  <w:style w:type="paragraph" w:customStyle="1" w:styleId="126">
    <w:name w:val="附录标题"/>
    <w:basedOn w:val="25"/>
    <w:next w:val="25"/>
    <w:uiPriority w:val="0"/>
    <w:pPr>
      <w:ind w:firstLine="0" w:firstLineChars="0"/>
      <w:jc w:val="center"/>
    </w:pPr>
    <w:rPr>
      <w:rFonts w:ascii="黑体" w:eastAsia="黑体"/>
    </w:rPr>
  </w:style>
  <w:style w:type="paragraph" w:customStyle="1" w:styleId="127">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128">
    <w:name w:val="编号列项（三级）"/>
    <w:qFormat/>
    <w:uiPriority w:val="0"/>
    <w:pPr>
      <w:numPr>
        <w:ilvl w:val="2"/>
        <w:numId w:val="15"/>
      </w:numPr>
    </w:pPr>
    <w:rPr>
      <w:rFonts w:ascii="宋体" w:hAnsi="Times New Roman" w:eastAsia="宋体" w:cs="Times New Roman"/>
      <w:sz w:val="21"/>
      <w:lang w:val="en-US" w:eastAsia="zh-CN" w:bidi="ar-SA"/>
    </w:rPr>
  </w:style>
  <w:style w:type="paragraph" w:customStyle="1" w:styleId="129">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0">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1">
    <w:name w:val="封面标准名称2"/>
    <w:basedOn w:val="80"/>
    <w:qFormat/>
    <w:uiPriority w:val="0"/>
    <w:pPr>
      <w:framePr w:wrap="around" w:y="4469"/>
      <w:spacing w:beforeLines="630"/>
    </w:pPr>
  </w:style>
  <w:style w:type="paragraph" w:customStyle="1" w:styleId="132">
    <w:name w:val="封面标准文稿类别2"/>
    <w:basedOn w:val="85"/>
    <w:qFormat/>
    <w:uiPriority w:val="0"/>
    <w:pPr>
      <w:framePr w:wrap="around" w:y="4469"/>
    </w:pPr>
  </w:style>
  <w:style w:type="paragraph" w:customStyle="1" w:styleId="133">
    <w:name w:val="附录三级无"/>
    <w:basedOn w:val="75"/>
    <w:qFormat/>
    <w:uiPriority w:val="0"/>
    <w:pPr>
      <w:tabs>
        <w:tab w:val="clear" w:pos="360"/>
      </w:tabs>
      <w:spacing w:beforeLines="0" w:afterLines="0"/>
    </w:pPr>
    <w:rPr>
      <w:rFonts w:ascii="宋体" w:eastAsia="宋体"/>
      <w:szCs w:val="21"/>
    </w:rPr>
  </w:style>
  <w:style w:type="paragraph" w:customStyle="1" w:styleId="1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5">
    <w:name w:val="四级无"/>
    <w:basedOn w:val="62"/>
    <w:qFormat/>
    <w:uiPriority w:val="0"/>
    <w:pPr>
      <w:spacing w:beforeLines="0" w:afterLines="0"/>
    </w:pPr>
    <w:rPr>
      <w:rFonts w:ascii="宋体" w:eastAsia="宋体"/>
    </w:rPr>
  </w:style>
  <w:style w:type="paragraph" w:customStyle="1" w:styleId="136">
    <w:name w:val="二级无"/>
    <w:basedOn w:val="64"/>
    <w:qFormat/>
    <w:uiPriority w:val="0"/>
    <w:pPr>
      <w:spacing w:beforeLines="0" w:afterLines="0"/>
      <w:ind w:left="0"/>
    </w:pPr>
    <w:rPr>
      <w:rFonts w:ascii="宋体" w:eastAsia="宋体"/>
    </w:rPr>
  </w:style>
  <w:style w:type="paragraph" w:customStyle="1" w:styleId="137">
    <w:name w:val="其他标准标志"/>
    <w:basedOn w:val="106"/>
    <w:qFormat/>
    <w:uiPriority w:val="0"/>
    <w:pPr>
      <w:framePr w:w="6101" w:wrap="around" w:vAnchor="page" w:hAnchor="page" w:x="4673" w:y="942"/>
    </w:pPr>
    <w:rPr>
      <w:w w:val="130"/>
    </w:rPr>
  </w:style>
  <w:style w:type="paragraph" w:customStyle="1" w:styleId="138">
    <w:name w:val="正文公式编号制表符"/>
    <w:basedOn w:val="25"/>
    <w:next w:val="25"/>
    <w:qFormat/>
    <w:uiPriority w:val="0"/>
    <w:pPr>
      <w:ind w:firstLine="0" w:firstLineChars="0"/>
    </w:pPr>
  </w:style>
  <w:style w:type="paragraph" w:customStyle="1" w:styleId="139">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0">
    <w:name w:val="封面正文"/>
    <w:qFormat/>
    <w:uiPriority w:val="0"/>
    <w:pPr>
      <w:jc w:val="both"/>
    </w:pPr>
    <w:rPr>
      <w:rFonts w:ascii="Times New Roman" w:hAnsi="Times New Roman" w:eastAsia="宋体" w:cs="Times New Roman"/>
      <w:lang w:val="en-US" w:eastAsia="zh-CN" w:bidi="ar-SA"/>
    </w:rPr>
  </w:style>
  <w:style w:type="paragraph" w:customStyle="1" w:styleId="14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2">
    <w:name w:val="终结线"/>
    <w:basedOn w:val="1"/>
    <w:uiPriority w:val="0"/>
    <w:pPr>
      <w:framePr w:hSpace="181" w:vSpace="181" w:wrap="around" w:vAnchor="text" w:hAnchor="margin" w:xAlign="center" w:y="285"/>
    </w:pPr>
  </w:style>
  <w:style w:type="paragraph" w:customStyle="1" w:styleId="143">
    <w:name w:val="字母编号列项（一级）"/>
    <w:qFormat/>
    <w:uiPriority w:val="0"/>
    <w:pPr>
      <w:numPr>
        <w:ilvl w:val="0"/>
        <w:numId w:val="15"/>
      </w:numPr>
      <w:jc w:val="both"/>
    </w:pPr>
    <w:rPr>
      <w:rFonts w:ascii="宋体" w:hAnsi="Times New Roman" w:eastAsia="宋体" w:cs="Times New Roman"/>
      <w:sz w:val="21"/>
      <w:lang w:val="en-US" w:eastAsia="zh-CN" w:bidi="ar-SA"/>
    </w:rPr>
  </w:style>
  <w:style w:type="paragraph" w:styleId="144">
    <w:name w:val="List Paragraph"/>
    <w:basedOn w:val="1"/>
    <w:qFormat/>
    <w:uiPriority w:val="34"/>
    <w:pPr>
      <w:ind w:firstLine="420" w:firstLineChars="200"/>
    </w:pPr>
  </w:style>
  <w:style w:type="character" w:styleId="145">
    <w:name w:val="Placeholder Text"/>
    <w:basedOn w:val="36"/>
    <w:unhideWhenUsed/>
    <w:qFormat/>
    <w:uiPriority w:val="99"/>
    <w:rPr>
      <w:color w:val="808080"/>
    </w:rPr>
  </w:style>
  <w:style w:type="character" w:customStyle="1" w:styleId="146">
    <w:name w:val="标题 1 Char"/>
    <w:basedOn w:val="36"/>
    <w:link w:val="2"/>
    <w:uiPriority w:val="0"/>
    <w:rPr>
      <w:b/>
      <w:bCs/>
      <w:kern w:val="44"/>
      <w:sz w:val="44"/>
      <w:szCs w:val="44"/>
    </w:rPr>
  </w:style>
  <w:style w:type="paragraph" w:customStyle="1" w:styleId="14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48">
    <w:name w:val="标题 3 Char"/>
    <w:basedOn w:val="36"/>
    <w:link w:val="3"/>
    <w:semiHidden/>
    <w:qFormat/>
    <w:uiPriority w:val="0"/>
    <w:rPr>
      <w:b/>
      <w:bCs/>
      <w:kern w:val="2"/>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F33296-2949-40AF-9D14-20DECB3A64A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11</Pages>
  <Words>3591</Words>
  <Characters>4647</Characters>
  <Lines>48</Lines>
  <Paragraphs>13</Paragraphs>
  <TotalTime>595</TotalTime>
  <ScaleCrop>false</ScaleCrop>
  <LinksUpToDate>false</LinksUpToDate>
  <CharactersWithSpaces>4964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2022-03-11T01:09:00Z</dcterms:created>
  <dc:creator>CNIS</dc:creator>
  <cp:lastModifiedBy>邵高峰</cp:lastModifiedBy>
  <dcterms:modified xsi:type="dcterms:W3CDTF">2023-03-03T11:07:11Z</dcterms:modified>
  <dc:title>标准名称</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4DA04F8A620545E8A23D305A4B7D8DF3</vt:lpwstr>
  </property>
</Properties>
</file>