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rPr>
          <w:szCs w:val="23"/>
          <w:highlight w:val="yellow"/>
        </w:rPr>
      </w:pPr>
    </w:p>
    <w:p>
      <w:pPr>
        <w:spacing w:line="300" w:lineRule="auto"/>
        <w:rPr>
          <w:szCs w:val="23"/>
          <w:highlight w:val="yellow"/>
        </w:rPr>
      </w:pPr>
      <w:r>
        <w:drawing>
          <wp:anchor distT="0" distB="0" distL="114300" distR="114300" simplePos="0" relativeHeight="251672576" behindDoc="1" locked="0" layoutInCell="1" allowOverlap="1">
            <wp:simplePos x="0" y="0"/>
            <wp:positionH relativeFrom="column">
              <wp:posOffset>409575</wp:posOffset>
            </wp:positionH>
            <wp:positionV relativeFrom="paragraph">
              <wp:posOffset>84455</wp:posOffset>
            </wp:positionV>
            <wp:extent cx="1548130" cy="1029970"/>
            <wp:effectExtent l="0" t="0" r="13970" b="17780"/>
            <wp:wrapNone/>
            <wp:docPr id="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pic:cNvPicPr>
                      <a:picLocks noChangeAspect="1"/>
                    </pic:cNvPicPr>
                  </pic:nvPicPr>
                  <pic:blipFill>
                    <a:blip r:embed="rId47"/>
                    <a:stretch>
                      <a:fillRect/>
                    </a:stretch>
                  </pic:blipFill>
                  <pic:spPr>
                    <a:xfrm>
                      <a:off x="0" y="0"/>
                      <a:ext cx="1548130" cy="1029970"/>
                    </a:xfrm>
                    <a:prstGeom prst="rect">
                      <a:avLst/>
                    </a:prstGeom>
                    <a:noFill/>
                    <a:ln>
                      <a:noFill/>
                    </a:ln>
                  </pic:spPr>
                </pic:pic>
              </a:graphicData>
            </a:graphic>
          </wp:anchor>
        </w:drawing>
      </w:r>
    </w:p>
    <w:p>
      <w:pPr>
        <w:spacing w:line="300" w:lineRule="auto"/>
        <w:jc w:val="center"/>
        <w:rPr>
          <w:rFonts w:eastAsia="黑体"/>
          <w:spacing w:val="20"/>
          <w:kern w:val="44"/>
          <w:sz w:val="28"/>
          <w:szCs w:val="28"/>
        </w:rPr>
      </w:pPr>
    </w:p>
    <w:p>
      <w:pPr>
        <w:spacing w:line="300" w:lineRule="auto"/>
        <w:jc w:val="left"/>
        <w:rPr>
          <w:sz w:val="28"/>
          <w:szCs w:val="28"/>
        </w:rPr>
      </w:pPr>
      <w:r>
        <w:rPr>
          <w:sz w:val="28"/>
          <w:szCs w:val="28"/>
        </w:rPr>
        <w:t xml:space="preserve">                             </w:t>
      </w:r>
    </w:p>
    <w:p>
      <w:pPr>
        <w:wordWrap w:val="0"/>
        <w:spacing w:line="300" w:lineRule="auto"/>
        <w:ind w:right="210"/>
        <w:jc w:val="right"/>
        <w:rPr>
          <w:b/>
          <w:sz w:val="36"/>
          <w:szCs w:val="36"/>
        </w:rPr>
      </w:pPr>
      <w:r>
        <w:rPr>
          <w:b/>
          <w:sz w:val="36"/>
          <w:szCs w:val="36"/>
        </w:rPr>
        <mc:AlternateContent>
          <mc:Choice Requires="wps">
            <w:drawing>
              <wp:anchor distT="0" distB="0" distL="114300" distR="114300" simplePos="0" relativeHeight="251667456" behindDoc="0" locked="0" layoutInCell="1" allowOverlap="1">
                <wp:simplePos x="0" y="0"/>
                <wp:positionH relativeFrom="column">
                  <wp:posOffset>-64770</wp:posOffset>
                </wp:positionH>
                <wp:positionV relativeFrom="paragraph">
                  <wp:posOffset>309245</wp:posOffset>
                </wp:positionV>
                <wp:extent cx="5868035" cy="0"/>
                <wp:effectExtent l="0" t="0" r="37465" b="19050"/>
                <wp:wrapNone/>
                <wp:docPr id="11" name="AutoShape 10"/>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straightConnector1">
                          <a:avLst/>
                        </a:prstGeom>
                        <a:noFill/>
                        <a:ln w="12700">
                          <a:solidFill>
                            <a:srgbClr val="000000"/>
                          </a:solidFill>
                          <a:round/>
                        </a:ln>
                        <a:effectLst/>
                      </wps:spPr>
                      <wps:bodyPr/>
                    </wps:wsp>
                  </a:graphicData>
                </a:graphic>
              </wp:anchor>
            </w:drawing>
          </mc:Choice>
          <mc:Fallback>
            <w:pict>
              <v:shape id="AutoShape 10" o:spid="_x0000_s1026" o:spt="32" type="#_x0000_t32" style="position:absolute;left:0pt;margin-left:-5.1pt;margin-top:24.35pt;height:0pt;width:462.05pt;z-index:251667456;mso-width-relative:page;mso-height-relative:page;" filled="f" stroked="t" coordsize="21600,21600" o:gfxdata="UEsDBAoAAAAAAIdO4kAAAAAAAAAAAAAAAAAEAAAAZHJzL1BLAwQUAAAACACHTuJAnaQLENYAAAAJ&#10;AQAADwAAAGRycy9kb3ducmV2LnhtbE2PTU/DMAyG70j8h8hI3LakYx9daToJJM4T3S7c3MZrKxqn&#10;arK1/HuCOMDR9qPXz5sfZtuLG42+c6whWSoQxLUzHTcazqe3RQrCB2SDvWPS8EUeDsX9XY6ZcRO/&#10;060MjYgh7DPU0IYwZFL6uiWLfukG4ni7uNFiiOPYSDPiFMNtL1dKbaXFjuOHFgd6ban+LK9Ww25t&#10;PhxuXzbVZjqeAl3aMj3OWj8+JOoZRKA5/MHwox/VoYhOlbuy8aLXsEjUKqIa1ukORAT2ydMeRPW7&#10;kEUu/zcovgFQSwMEFAAAAAgAh07iQAgLsA3cAQAAwwMAAA4AAABkcnMvZTJvRG9jLnhtbK1TTW/b&#10;MAy9D9h/EHRfbGdoVxhxiiFBd+m2AO1+gCLLtjBZFEglTv79KOWjXXfpYT4Ilkm+x/dIL+4PoxN7&#10;g2TBN7KalVIYr6G1vm/kr+eHT3dSUFS+VQ68aeTRkLxffvywmEJt5jCAaw0KBvFUT6GRQ4yhLgrS&#10;gxkVzSAYz8EOcFSRr9gXLaqJ0UdXzMvytpgA24CgDRF/XZ+C8oyI7wGErrParEHvRuPjCRWNU5El&#10;0WADyWXutuuMjj+7jkwUrpGsNOaTSfh9m85iuVB1jyoMVp9bUO9p4Y2mUVnPpFeotYpK7ND+AzVa&#10;jUDQxZmGsTgJyY6wiqp8483ToILJWthqClfT6f/B6h/7DQrb8iZUUng18sS/7iJkalFlg6ZANeet&#10;/AaTRH3wT+ER9G8SHlaD8r3J2c/HwMVVsrT4qyRdKDDNdvoOLecoJshuHTocEyT7IA55KMfrUMwh&#10;Cs0fb+5u78rPN1LoS6xQ9aUwIMVvBkaRXhpJEZXth7gC73n0gFWmUftHiqktVV8KEquHB+tc3gDn&#10;xcS9z7+UZa4gcLZN0ZRH2G9XDsVepSXKTxbJkddpCDvfnlicT3Um79+Z+mJC2kyqt9AeN3hximeb&#10;mzvvYVqe1/fs58u/t/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aQLENYAAAAJAQAADwAAAAAA&#10;AAABACAAAAAiAAAAZHJzL2Rvd25yZXYueG1sUEsBAhQAFAAAAAgAh07iQAgLsA3cAQAAwwMAAA4A&#10;AAAAAAAAAQAgAAAAJQEAAGRycy9lMm9Eb2MueG1sUEsFBgAAAAAGAAYAWQEAAHMFAAAAAA==&#10;">
                <v:fill on="f" focussize="0,0"/>
                <v:stroke weight="1pt" color="#000000" joinstyle="round"/>
                <v:imagedata o:title=""/>
                <o:lock v:ext="edit" aspectratio="f"/>
              </v:shape>
            </w:pict>
          </mc:Fallback>
        </mc:AlternateContent>
      </w:r>
      <w:r>
        <w:rPr>
          <w:b/>
          <w:sz w:val="36"/>
          <w:szCs w:val="36"/>
        </w:rPr>
        <w:t>T/</w:t>
      </w:r>
      <w:r>
        <w:rPr>
          <w:rFonts w:hint="eastAsia"/>
          <w:b/>
          <w:sz w:val="36"/>
          <w:szCs w:val="36"/>
        </w:rPr>
        <w:t>CECS</w:t>
      </w:r>
      <w:bookmarkStart w:id="0" w:name="_Hlk107912769"/>
      <w:r>
        <w:rPr>
          <w:b/>
          <w:sz w:val="36"/>
          <w:szCs w:val="36"/>
        </w:rPr>
        <w:t xml:space="preserve"> </w:t>
      </w:r>
      <w:r>
        <w:rPr>
          <w:rFonts w:hint="eastAsia" w:ascii="宋体" w:hAnsi="宋体"/>
          <w:b/>
          <w:sz w:val="36"/>
          <w:szCs w:val="36"/>
        </w:rPr>
        <w:t>×</w:t>
      </w:r>
      <w:bookmarkEnd w:id="0"/>
      <w:r>
        <w:rPr>
          <w:rFonts w:hint="eastAsia" w:ascii="宋体" w:hAnsi="宋体"/>
          <w:b/>
          <w:sz w:val="36"/>
          <w:szCs w:val="36"/>
        </w:rPr>
        <w:t>××-</w:t>
      </w:r>
      <w:r>
        <w:rPr>
          <w:b/>
          <w:sz w:val="36"/>
          <w:szCs w:val="36"/>
        </w:rPr>
        <w:t>20</w:t>
      </w:r>
      <w:r>
        <w:rPr>
          <w:rFonts w:hint="eastAsia"/>
          <w:b/>
          <w:sz w:val="36"/>
          <w:szCs w:val="36"/>
        </w:rPr>
        <w:t>××</w:t>
      </w:r>
    </w:p>
    <w:p>
      <w:pPr>
        <w:tabs>
          <w:tab w:val="left" w:pos="2029"/>
        </w:tabs>
        <w:rPr>
          <w:szCs w:val="23"/>
        </w:rPr>
      </w:pPr>
      <w:r>
        <w:rPr>
          <w:szCs w:val="23"/>
        </w:rPr>
        <w:tab/>
      </w:r>
    </w:p>
    <w:p>
      <w:pPr>
        <w:spacing w:line="300" w:lineRule="auto"/>
        <w:rPr>
          <w:szCs w:val="23"/>
          <w:u w:val="single"/>
        </w:rPr>
      </w:pPr>
    </w:p>
    <w:p>
      <w:pPr>
        <w:spacing w:line="300" w:lineRule="auto"/>
        <w:jc w:val="center"/>
        <w:rPr>
          <w:sz w:val="28"/>
          <w:szCs w:val="28"/>
        </w:rPr>
      </w:pPr>
    </w:p>
    <w:p>
      <w:pPr>
        <w:spacing w:line="300" w:lineRule="auto"/>
        <w:jc w:val="center"/>
        <w:rPr>
          <w:sz w:val="28"/>
          <w:szCs w:val="28"/>
          <w:u w:val="single"/>
        </w:rPr>
      </w:pPr>
      <w:r>
        <w:rPr>
          <w:rFonts w:hint="eastAsia"/>
          <w:sz w:val="28"/>
          <w:szCs w:val="28"/>
        </w:rPr>
        <w:t>中 国 工 程 建 设 标 准 化 协 会 标 准</w:t>
      </w:r>
    </w:p>
    <w:p>
      <w:pPr>
        <w:spacing w:line="300" w:lineRule="auto"/>
        <w:rPr>
          <w:szCs w:val="23"/>
          <w:u w:val="single"/>
        </w:rPr>
      </w:pPr>
      <w:r>
        <mc:AlternateContent>
          <mc:Choice Requires="wps">
            <w:drawing>
              <wp:anchor distT="0" distB="0" distL="114300" distR="114300" simplePos="0" relativeHeight="251661312" behindDoc="0" locked="0" layoutInCell="1" allowOverlap="1">
                <wp:simplePos x="0" y="0"/>
                <wp:positionH relativeFrom="margin">
                  <wp:posOffset>-327660</wp:posOffset>
                </wp:positionH>
                <wp:positionV relativeFrom="paragraph">
                  <wp:posOffset>150495</wp:posOffset>
                </wp:positionV>
                <wp:extent cx="6145530" cy="635000"/>
                <wp:effectExtent l="0" t="0" r="0" b="0"/>
                <wp:wrapNone/>
                <wp:docPr id="10"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6145530" cy="635000"/>
                        </a:xfrm>
                        <a:prstGeom prst="rect">
                          <a:avLst/>
                        </a:prstGeom>
                        <a:noFill/>
                        <a:ln>
                          <a:noFill/>
                        </a:ln>
                        <a:effectLst/>
                      </wps:spPr>
                      <wps:txbx>
                        <w:txbxContent>
                          <w:p>
                            <w:pPr>
                              <w:jc w:val="center"/>
                              <w:rPr>
                                <w:rFonts w:eastAsia="黑体"/>
                                <w:b/>
                                <w:color w:val="000000"/>
                                <w:sz w:val="36"/>
                                <w:szCs w:val="36"/>
                              </w:rPr>
                            </w:pPr>
                            <w:r>
                              <w:rPr>
                                <w:rFonts w:hint="eastAsia" w:ascii="黑体" w:hAnsi="黑体" w:eastAsia="黑体" w:cs="新宋体-18030"/>
                                <w:sz w:val="36"/>
                                <w:szCs w:val="36"/>
                              </w:rPr>
                              <w:t xml:space="preserve">   抗浮工程水文地质勘察标准</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25.8pt;margin-top:11.85pt;height:50pt;width:483.9pt;mso-position-horizontal-relative:margin;z-index:251661312;mso-width-relative:page;mso-height-relative:page;" filled="f" stroked="f" coordsize="21600,21600" o:gfxdata="UEsDBAoAAAAAAIdO4kAAAAAAAAAAAAAAAAAEAAAAZHJzL1BLAwQUAAAACACHTuJAcxbn5NcAAAAK&#10;AQAADwAAAGRycy9kb3ducmV2LnhtbE2PTU/DMAyG75P4D5EncduSFlZYaboDiCto40PiljVeW61x&#10;qiZby7/HO7Gj7Uevn7fYTK4TZxxC60lDslQgkCpvW6o1fH68Lh5BhGjIms4TavjFAJvyZlaY3PqR&#10;tnjexVpwCIXcaGhi7HMpQ9WgM2HpeyS+HfzgTORxqKUdzMjhrpOpUpl0piX+0JgenxusjruT0/D1&#10;dvj5vlfv9Ytb9aOflCS3llrfzhP1BCLiFP9huOizOpTstPcnskF0GharJGNUQ3r3AIKBdZKlIPZM&#10;XjayLOR1hfIPUEsDBBQAAAAIAIdO4kAWyDYlHQIAACYEAAAOAAAAZHJzL2Uyb0RvYy54bWytU8Fy&#10;0zAQvTPDP2h0J3bSJLSeOJ3STBlmCmWm8AGKLMcaLK1YKbHDB9A/4MSFO9+V72AtJ2kolx64eKTd&#10;1dv33q5nl62p2Uah12BzPhyknCkrodB2lfPPn25enXPmg7CFqMGqnG+V55fzly9mjcvUCCqoC4WM&#10;QKzPGpfzKgSXJYmXlTLCD8ApS8kS0IhAV1wlBYqG0E2djNJ0mjSAhUOQynuKLvok3yPicwChLLVU&#10;C5Bro2zoUVHVIpAkX2nn+TyyLUslw11ZehVYnXNSGuKXmtB52X2T+UxkKxSu0nJPQTyHwhNNRmhL&#10;TY9QCxEEW6P+B8poieChDAMJJumFREdIxTB94s19JZyKWshq746m+/8HKz9sPiLTBW0CWWKFoYnv&#10;fjzsfv7e/frOLqbRocb5jArvHZWG9g20VB3VencL8otnFq4rYVfqChGaSomCGA47b5OTp91MfOY7&#10;kGXzHgrqJNYBIlBbounsI0MYoROV7XE6qg1MUnA6HE8mZ5SSlJueTdI0kktEdnjt0Ie3CgzrDjlH&#10;mn5EF5tbHzo2IjuUdM0s3Oi6jhtQ278CVNhHVFyh/esD/V5IaJctve2CSyi2pAqhXy/6uehQAX7j&#10;rKHVyrn/uhaoOKvfWXLmYjgek4wQL+PJ6xFd8DSzPM0IKwkq54Gz/ngd+v1dO9Srijr1s7BwRW6W&#10;Ogp9ZLWfAa1P1L9f9W4/T++x6vH3n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xbn5NcAAAAK&#10;AQAADwAAAAAAAAABACAAAAAiAAAAZHJzL2Rvd25yZXYueG1sUEsBAhQAFAAAAAgAh07iQBbINiUd&#10;AgAAJgQAAA4AAAAAAAAAAQAgAAAAJgEAAGRycy9lMm9Eb2MueG1sUEsFBgAAAAAGAAYAWQEAALUF&#10;AAAAAA==&#10;">
                <v:fill on="f" focussize="0,0"/>
                <v:stroke on="f"/>
                <v:imagedata o:title=""/>
                <o:lock v:ext="edit" aspectratio="f"/>
                <v:textbox>
                  <w:txbxContent>
                    <w:p>
                      <w:pPr>
                        <w:jc w:val="center"/>
                        <w:rPr>
                          <w:rFonts w:eastAsia="黑体"/>
                          <w:b/>
                          <w:color w:val="000000"/>
                          <w:sz w:val="36"/>
                          <w:szCs w:val="36"/>
                        </w:rPr>
                      </w:pPr>
                      <w:r>
                        <w:rPr>
                          <w:rFonts w:hint="eastAsia" w:ascii="黑体" w:hAnsi="黑体" w:eastAsia="黑体" w:cs="新宋体-18030"/>
                          <w:sz w:val="36"/>
                          <w:szCs w:val="36"/>
                        </w:rPr>
                        <w:t xml:space="preserve">   抗浮工程水文地质勘察标准</w:t>
                      </w:r>
                    </w:p>
                  </w:txbxContent>
                </v:textbox>
              </v:shape>
            </w:pict>
          </mc:Fallback>
        </mc:AlternateContent>
      </w: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jc w:val="center"/>
        <w:rPr>
          <w:color w:val="FF0000"/>
          <w:szCs w:val="23"/>
          <w:u w:val="single"/>
        </w:rPr>
      </w:pPr>
      <w:bookmarkStart w:id="1" w:name="_Hlk106181929"/>
      <w:r>
        <w:rPr>
          <w:rFonts w:eastAsia="黑体"/>
          <w:color w:val="FF0000"/>
          <w:spacing w:val="30"/>
          <w:sz w:val="36"/>
          <w:szCs w:val="36"/>
        </w:rPr>
        <w:t xml:space="preserve">Technical standard for hydrogeological investigation of anti floating </w:t>
      </w:r>
      <w:r>
        <w:rPr>
          <w:rFonts w:hint="eastAsia" w:eastAsia="黑体"/>
          <w:color w:val="FF0000"/>
          <w:spacing w:val="30"/>
          <w:sz w:val="36"/>
          <w:szCs w:val="36"/>
          <w:lang w:val="en-US" w:eastAsia="zh-CN"/>
        </w:rPr>
        <w:t>e</w:t>
      </w:r>
      <w:r>
        <w:rPr>
          <w:rFonts w:eastAsia="黑体"/>
          <w:color w:val="FF0000"/>
          <w:spacing w:val="30"/>
          <w:sz w:val="36"/>
          <w:szCs w:val="36"/>
        </w:rPr>
        <w:t>ngineering</w:t>
      </w:r>
    </w:p>
    <w:bookmarkEnd w:id="1"/>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jc w:val="center"/>
        <w:rPr>
          <w:rFonts w:eastAsia="黑体"/>
          <w:sz w:val="32"/>
          <w:szCs w:val="32"/>
        </w:rPr>
      </w:pPr>
      <w:r>
        <w:rPr>
          <w:rFonts w:hint="eastAsia" w:eastAsia="黑体"/>
          <w:sz w:val="32"/>
          <w:szCs w:val="32"/>
          <w:lang w:val="en-US" w:eastAsia="zh-CN"/>
        </w:rPr>
        <w:t>征求意见稿</w:t>
      </w:r>
    </w:p>
    <w:p>
      <w:pPr>
        <w:spacing w:line="300" w:lineRule="auto"/>
        <w:rPr>
          <w:rFonts w:eastAsia="黑体"/>
          <w:sz w:val="32"/>
          <w:szCs w:val="32"/>
        </w:rPr>
      </w:pPr>
    </w:p>
    <w:p>
      <w:pPr>
        <w:spacing w:line="300" w:lineRule="auto"/>
        <w:rPr>
          <w:rFonts w:eastAsia="黑体"/>
          <w:sz w:val="32"/>
          <w:szCs w:val="32"/>
        </w:rPr>
      </w:pPr>
    </w:p>
    <w:p>
      <w:pPr>
        <w:spacing w:line="300" w:lineRule="auto"/>
        <w:rPr>
          <w:rFonts w:eastAsia="黑体"/>
          <w:sz w:val="32"/>
          <w:szCs w:val="32"/>
        </w:rPr>
      </w:pPr>
    </w:p>
    <w:p>
      <w:pPr>
        <w:spacing w:line="300" w:lineRule="auto"/>
        <w:rPr>
          <w:rFonts w:eastAsia="黑体"/>
          <w:sz w:val="32"/>
          <w:szCs w:val="32"/>
        </w:rPr>
      </w:pPr>
    </w:p>
    <w:p>
      <w:pPr>
        <w:spacing w:line="300" w:lineRule="auto"/>
        <w:rPr>
          <w:rFonts w:eastAsia="黑体"/>
          <w:sz w:val="28"/>
          <w:szCs w:val="28"/>
        </w:rPr>
      </w:pPr>
    </w:p>
    <w:p>
      <w:pPr>
        <w:spacing w:line="300" w:lineRule="auto"/>
        <w:jc w:val="center"/>
        <w:rPr>
          <w:rFonts w:eastAsia="黑体"/>
          <w:sz w:val="28"/>
          <w:szCs w:val="28"/>
        </w:rPr>
      </w:pPr>
    </w:p>
    <w:p>
      <w:pPr>
        <w:spacing w:line="300" w:lineRule="auto"/>
        <w:jc w:val="center"/>
        <w:rPr>
          <w:sz w:val="28"/>
          <w:szCs w:val="28"/>
        </w:rPr>
      </w:pPr>
      <w:r>
        <w:rPr>
          <w:rFonts w:hint="eastAsia"/>
          <w:sz w:val="28"/>
          <w:szCs w:val="28"/>
        </w:rPr>
        <w:t>中 国 计 划 出 版 社</w:t>
      </w:r>
    </w:p>
    <w:p>
      <w:pPr>
        <w:spacing w:line="300" w:lineRule="auto"/>
        <w:jc w:val="center"/>
        <w:rPr>
          <w:sz w:val="28"/>
          <w:szCs w:val="28"/>
        </w:rPr>
        <w:sectPr>
          <w:headerReference r:id="rId6" w:type="first"/>
          <w:footerReference r:id="rId9" w:type="first"/>
          <w:footerReference r:id="rId7" w:type="default"/>
          <w:headerReference r:id="rId5" w:type="even"/>
          <w:footerReference r:id="rId8" w:type="even"/>
          <w:pgSz w:w="11906" w:h="16838"/>
          <w:pgMar w:top="1134" w:right="1134" w:bottom="1134" w:left="1701" w:header="794" w:footer="992" w:gutter="0"/>
          <w:pgNumType w:fmt="upperRoman"/>
          <w:cols w:space="425" w:num="1"/>
          <w:docGrid w:linePitch="312" w:charSpace="0"/>
        </w:sectPr>
      </w:pPr>
    </w:p>
    <w:p>
      <w:pPr>
        <w:spacing w:line="300" w:lineRule="auto"/>
        <w:rPr>
          <w:szCs w:val="23"/>
        </w:rPr>
      </w:pPr>
    </w:p>
    <w:p>
      <w:pPr>
        <w:spacing w:line="300" w:lineRule="auto"/>
        <w:rPr>
          <w:szCs w:val="23"/>
        </w:rPr>
      </w:pPr>
    </w:p>
    <w:p>
      <w:pPr>
        <w:spacing w:line="300" w:lineRule="auto"/>
        <w:rPr>
          <w:szCs w:val="23"/>
        </w:rPr>
      </w:pPr>
    </w:p>
    <w:p>
      <w:pPr>
        <w:spacing w:line="300" w:lineRule="auto"/>
        <w:jc w:val="center"/>
        <w:rPr>
          <w:rFonts w:eastAsia="黑体"/>
          <w:spacing w:val="20"/>
          <w:kern w:val="44"/>
          <w:sz w:val="28"/>
          <w:szCs w:val="28"/>
        </w:rPr>
      </w:pPr>
      <w:r>
        <mc:AlternateContent>
          <mc:Choice Requires="wps">
            <w:drawing>
              <wp:anchor distT="0" distB="0" distL="114300" distR="114300" simplePos="0" relativeHeight="251664384" behindDoc="0" locked="0" layoutInCell="1" allowOverlap="1">
                <wp:simplePos x="0" y="0"/>
                <wp:positionH relativeFrom="margin">
                  <wp:posOffset>34925</wp:posOffset>
                </wp:positionH>
                <wp:positionV relativeFrom="margin">
                  <wp:posOffset>992505</wp:posOffset>
                </wp:positionV>
                <wp:extent cx="5681345" cy="333375"/>
                <wp:effectExtent l="0" t="0" r="14605" b="9525"/>
                <wp:wrapNone/>
                <wp:docPr id="8"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5681345" cy="333375"/>
                        </a:xfrm>
                        <a:prstGeom prst="rect">
                          <a:avLst/>
                        </a:prstGeom>
                        <a:noFill/>
                        <a:ln>
                          <a:noFill/>
                        </a:ln>
                        <a:effectLst/>
                      </wps:spPr>
                      <wps:txbx>
                        <w:txbxContent>
                          <w:p>
                            <w:pPr>
                              <w:spacing w:line="300" w:lineRule="auto"/>
                              <w:jc w:val="center"/>
                              <w:rPr>
                                <w:b/>
                                <w:bCs/>
                                <w:sz w:val="28"/>
                                <w:szCs w:val="28"/>
                                <w:u w:val="single"/>
                              </w:rPr>
                            </w:pPr>
                            <w:r>
                              <w:rPr>
                                <w:rFonts w:hint="eastAsia"/>
                                <w:b/>
                                <w:bCs/>
                                <w:sz w:val="28"/>
                                <w:szCs w:val="28"/>
                              </w:rPr>
                              <w:t>中 国 工 程 建 设 标 准 化 协 会 标 准</w:t>
                            </w:r>
                          </w:p>
                          <w:p/>
                        </w:txbxContent>
                      </wps:txbx>
                      <wps:bodyPr rot="0" vert="horz" wrap="square" lIns="0" tIns="0" rIns="0" bIns="0" anchor="t" anchorCtr="0" upright="1">
                        <a:noAutofit/>
                      </wps:bodyPr>
                    </wps:wsp>
                  </a:graphicData>
                </a:graphic>
              </wp:anchor>
            </w:drawing>
          </mc:Choice>
          <mc:Fallback>
            <w:pict>
              <v:shape id="文本框 961" o:spid="_x0000_s1026" o:spt="202" type="#_x0000_t202" style="position:absolute;left:0pt;margin-left:2.75pt;margin-top:78.15pt;height:26.25pt;width:447.35pt;mso-position-horizontal-relative:margin;mso-position-vertical-relative:margin;z-index:251664384;mso-width-relative:page;mso-height-relative:page;" filled="f" stroked="f" coordsize="21600,21600" o:gfxdata="UEsDBAoAAAAAAIdO4kAAAAAAAAAAAAAAAAAEAAAAZHJzL1BLAwQUAAAACACHTuJA1pTkjtgAAAAJ&#10;AQAADwAAAGRycy9kb3ducmV2LnhtbE2PzU7DMBCE70i8g7VI3KjdoERpiFMhBCckRBoOHJ1km1iN&#10;1yF2f3h7lhMcZ2c08225vbhJnHAJ1pOG9UqBQOp8b2nQ8NG83OUgQjTUm8kTavjGANvq+qo0Re/P&#10;VONpFwfBJRQKo2GMcS6kDN2IzoSVn5HY2/vFmchyGWS/mDOXu0kmSmXSGUu8MJoZn0bsDruj0/D4&#10;SfWz/Xpr3+t9bZtmo+g1O2h9e7NWDyAiXuJfGH7xGR0qZmr9kfogJg1pykE+p9k9CPY3SiUgWg2J&#10;ynOQVSn/f1D9AFBLAwQUAAAACACHTuJAhiQN6xQCAAAVBAAADgAAAGRycy9lMm9Eb2MueG1srVPN&#10;bhMxEL4j8Q6W72STloSyyqYqjYqQyo9UeADH681arD1m7GS3PAB9A05cuPNceQ7GdhJKufTAHlZj&#10;e+bzfN98np8PpmNbhV6DrfhkNOZMWQm1tuuKf/p49eyMMx+ErUUHVlX8Vnl+vnj6ZN67Up1AC12t&#10;kBGI9WXvKt6G4Mqi8LJVRvgROGXpsAE0ItAS10WNoid00xUn4/Gs6AFrhyCV97S7zId8j4iPAYSm&#10;0VItQW6MsiGjoupEIEq+1c7zReq2aZQM75vGq8C6ihPTkP50CcWr+C8Wc1GuUbhWy30L4jEtPOBk&#10;hLZ06RFqKYJgG9T/QBktETw0YSTBFJlIUoRYTMYPtLlphVOJC0nt3VF0//9g5bvtB2S6rjiN3QpD&#10;A999v9v9+LX7+Y29nE2iQL3zJeXdOMoMwysYyDaJrHfXID97ZuGyFXatLhChb5WoqcFUWdwrzTg+&#10;gqz6t1DTTWITIAENDZqoHunBCJ2Gc3scjhoCk7Q5nZ1NTp9POZN0dkrfi2lsrhDlodqhD68VGBaD&#10;iiMNP6GL7bUPOfWQEi+zcKW7Lhmgs39tEGbeUclB++rIJbafiYRhNey1WUF9S6wQsrvobVHQAn7l&#10;rCdnVdx/2QhUnHVvLCkTbXgI8BCsDoGwkkorHjjL4WXIdt041OuWkLP2Fi5IvUYnYrG13AUJEhfk&#10;liTN3tnRjvfXKevPa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U5I7YAAAACQEAAA8AAAAA&#10;AAAAAQAgAAAAIgAAAGRycy9kb3ducmV2LnhtbFBLAQIUABQAAAAIAIdO4kCGJA3rFAIAABUEAAAO&#10;AAAAAAAAAAEAIAAAACcBAABkcnMvZTJvRG9jLnhtbFBLBQYAAAAABgAGAFkBAACtBQAAAAA=&#10;">
                <v:fill on="f" focussize="0,0"/>
                <v:stroke on="f"/>
                <v:imagedata o:title=""/>
                <o:lock v:ext="edit" aspectratio="f"/>
                <v:textbox inset="0mm,0mm,0mm,0mm">
                  <w:txbxContent>
                    <w:p>
                      <w:pPr>
                        <w:spacing w:line="300" w:lineRule="auto"/>
                        <w:jc w:val="center"/>
                        <w:rPr>
                          <w:b/>
                          <w:bCs/>
                          <w:sz w:val="28"/>
                          <w:szCs w:val="28"/>
                          <w:u w:val="single"/>
                        </w:rPr>
                      </w:pPr>
                      <w:r>
                        <w:rPr>
                          <w:rFonts w:hint="eastAsia"/>
                          <w:b/>
                          <w:bCs/>
                          <w:sz w:val="28"/>
                          <w:szCs w:val="28"/>
                        </w:rPr>
                        <w:t>中 国 工 程 建 设 标 准 化 协 会 标 准</w:t>
                      </w:r>
                    </w:p>
                    <w:p/>
                  </w:txbxContent>
                </v:textbox>
              </v:shape>
            </w:pict>
          </mc:Fallback>
        </mc:AlternateContent>
      </w:r>
    </w:p>
    <w:p>
      <w:pPr>
        <w:spacing w:line="300" w:lineRule="auto"/>
        <w:rPr>
          <w:sz w:val="28"/>
          <w:szCs w:val="28"/>
        </w:rPr>
      </w:pPr>
    </w:p>
    <w:p>
      <w:pPr>
        <w:spacing w:line="300" w:lineRule="auto"/>
        <w:rPr>
          <w:szCs w:val="23"/>
          <w:u w:val="single"/>
        </w:rPr>
      </w:pPr>
    </w:p>
    <w:p>
      <w:pPr>
        <w:spacing w:line="300" w:lineRule="auto"/>
        <w:rPr>
          <w:szCs w:val="23"/>
          <w:u w:val="single"/>
        </w:rPr>
      </w:pPr>
      <w:r>
        <mc:AlternateContent>
          <mc:Choice Requires="wps">
            <w:drawing>
              <wp:anchor distT="0" distB="0" distL="114300" distR="114300" simplePos="0" relativeHeight="251663360" behindDoc="0" locked="0" layoutInCell="1" allowOverlap="1">
                <wp:simplePos x="0" y="0"/>
                <wp:positionH relativeFrom="margin">
                  <wp:posOffset>-13335</wp:posOffset>
                </wp:positionH>
                <wp:positionV relativeFrom="paragraph">
                  <wp:posOffset>133350</wp:posOffset>
                </wp:positionV>
                <wp:extent cx="5781675" cy="4524375"/>
                <wp:effectExtent l="0" t="0" r="0" b="9525"/>
                <wp:wrapNone/>
                <wp:docPr id="7"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5781675" cy="4524375"/>
                        </a:xfrm>
                        <a:prstGeom prst="rect">
                          <a:avLst/>
                        </a:prstGeom>
                        <a:noFill/>
                        <a:ln>
                          <a:noFill/>
                        </a:ln>
                        <a:effectLst/>
                      </wps:spPr>
                      <wps:txbx>
                        <w:txbxContent>
                          <w:p>
                            <w:pPr>
                              <w:jc w:val="center"/>
                              <w:rPr>
                                <w:rFonts w:eastAsia="黑体"/>
                                <w:color w:val="000000"/>
                                <w:sz w:val="36"/>
                                <w:szCs w:val="36"/>
                              </w:rPr>
                            </w:pPr>
                            <w:r>
                              <w:rPr>
                                <w:rFonts w:hint="eastAsia" w:ascii="黑体" w:hAnsi="黑体" w:eastAsia="黑体" w:cs="新宋体-18030"/>
                                <w:sz w:val="36"/>
                                <w:szCs w:val="36"/>
                              </w:rPr>
                              <w:t>抗浮工程水文地质勘察标准</w:t>
                            </w:r>
                          </w:p>
                          <w:p>
                            <w:pPr>
                              <w:spacing w:line="300" w:lineRule="auto"/>
                              <w:jc w:val="center"/>
                              <w:rPr>
                                <w:color w:val="FF0000"/>
                                <w:szCs w:val="23"/>
                                <w:u w:val="single"/>
                              </w:rPr>
                            </w:pPr>
                            <w:r>
                              <w:rPr>
                                <w:rFonts w:eastAsia="黑体"/>
                                <w:color w:val="FF0000"/>
                                <w:spacing w:val="30"/>
                                <w:sz w:val="36"/>
                                <w:szCs w:val="36"/>
                              </w:rPr>
                              <w:t xml:space="preserve">Technical standard for hydrogeological investigation of anti floating </w:t>
                            </w:r>
                            <w:r>
                              <w:rPr>
                                <w:rFonts w:hint="eastAsia" w:eastAsia="黑体"/>
                                <w:color w:val="FF0000"/>
                                <w:spacing w:val="30"/>
                                <w:sz w:val="36"/>
                                <w:szCs w:val="36"/>
                                <w:lang w:val="en-US" w:eastAsia="zh-CN"/>
                              </w:rPr>
                              <w:t>e</w:t>
                            </w:r>
                            <w:r>
                              <w:rPr>
                                <w:rFonts w:eastAsia="黑体"/>
                                <w:color w:val="FF0000"/>
                                <w:spacing w:val="30"/>
                                <w:sz w:val="36"/>
                                <w:szCs w:val="36"/>
                              </w:rPr>
                              <w:t>ngineering</w:t>
                            </w:r>
                          </w:p>
                          <w:p>
                            <w:pPr>
                              <w:snapToGrid w:val="0"/>
                              <w:jc w:val="center"/>
                              <w:rPr>
                                <w:rFonts w:eastAsia="黑体"/>
                                <w:b/>
                                <w:spacing w:val="30"/>
                                <w:sz w:val="32"/>
                                <w:szCs w:val="32"/>
                              </w:rPr>
                            </w:pPr>
                          </w:p>
                          <w:p>
                            <w:pPr>
                              <w:spacing w:before="480" w:beforeLines="200" w:after="480" w:afterLines="200"/>
                              <w:jc w:val="center"/>
                              <w:rPr>
                                <w:rFonts w:eastAsia="黑体"/>
                                <w:b/>
                                <w:szCs w:val="21"/>
                              </w:rPr>
                            </w:pPr>
                            <w:r>
                              <w:rPr>
                                <w:rFonts w:eastAsia="黑体"/>
                                <w:b/>
                                <w:szCs w:val="21"/>
                              </w:rPr>
                              <w:t>T/</w:t>
                            </w:r>
                            <w:r>
                              <w:rPr>
                                <w:rFonts w:hint="eastAsia" w:eastAsia="黑体"/>
                                <w:b/>
                                <w:szCs w:val="21"/>
                              </w:rPr>
                              <w:t>CECS</w:t>
                            </w:r>
                            <w:r>
                              <w:rPr>
                                <w:rFonts w:eastAsia="黑体"/>
                                <w:b/>
                                <w:szCs w:val="21"/>
                              </w:rPr>
                              <w:t xml:space="preserve"> </w:t>
                            </w:r>
                            <w:r>
                              <w:rPr>
                                <w:rFonts w:hint="eastAsia" w:ascii="黑体" w:hAnsi="黑体" w:eastAsia="黑体"/>
                                <w:b/>
                                <w:szCs w:val="21"/>
                              </w:rPr>
                              <w:t>×××</w:t>
                            </w:r>
                            <w:r>
                              <w:rPr>
                                <w:rFonts w:eastAsia="黑体"/>
                                <w:b/>
                                <w:szCs w:val="21"/>
                              </w:rPr>
                              <w:t>-20</w:t>
                            </w:r>
                            <w:r>
                              <w:rPr>
                                <w:rFonts w:hint="eastAsia" w:ascii="黑体" w:hAnsi="黑体" w:eastAsia="黑体"/>
                                <w:b/>
                                <w:szCs w:val="21"/>
                              </w:rPr>
                              <w:t>××</w:t>
                            </w:r>
                          </w:p>
                          <w:tbl>
                            <w:tblPr>
                              <w:tblStyle w:val="24"/>
                              <w:tblW w:w="6425" w:type="dxa"/>
                              <w:tblInd w:w="1513" w:type="dxa"/>
                              <w:tblLayout w:type="fixed"/>
                              <w:tblCellMar>
                                <w:top w:w="0" w:type="dxa"/>
                                <w:left w:w="0" w:type="dxa"/>
                                <w:bottom w:w="0" w:type="dxa"/>
                                <w:right w:w="0" w:type="dxa"/>
                              </w:tblCellMar>
                            </w:tblPr>
                            <w:tblGrid>
                              <w:gridCol w:w="1272"/>
                              <w:gridCol w:w="425"/>
                              <w:gridCol w:w="4728"/>
                            </w:tblGrid>
                            <w:tr>
                              <w:trPr>
                                <w:trHeight w:val="680" w:hRule="exact"/>
                              </w:trPr>
                              <w:tc>
                                <w:tcPr>
                                  <w:tcW w:w="1272" w:type="dxa"/>
                                  <w:vAlign w:val="center"/>
                                </w:tcPr>
                                <w:p>
                                  <w:pPr>
                                    <w:jc w:val="distribute"/>
                                    <w:rPr>
                                      <w:rFonts w:ascii="宋体" w:hAnsi="宋体"/>
                                      <w:szCs w:val="24"/>
                                    </w:rPr>
                                  </w:pPr>
                                  <w:r>
                                    <w:rPr>
                                      <w:rFonts w:hint="eastAsia" w:ascii="宋体" w:hAnsi="宋体"/>
                                      <w:szCs w:val="24"/>
                                    </w:rPr>
                                    <w:t>主编单位</w:t>
                                  </w:r>
                                </w:p>
                              </w:tc>
                              <w:tc>
                                <w:tcPr>
                                  <w:tcW w:w="425" w:type="dxa"/>
                                  <w:shd w:val="clear" w:color="auto" w:fill="auto"/>
                                  <w:noWrap/>
                                  <w:vAlign w:val="center"/>
                                </w:tcPr>
                                <w:p>
                                  <w:pPr>
                                    <w:jc w:val="distribute"/>
                                    <w:rPr>
                                      <w:rFonts w:ascii="宋体" w:hAnsi="宋体"/>
                                      <w:szCs w:val="24"/>
                                    </w:rPr>
                                  </w:pPr>
                                  <w:r>
                                    <w:rPr>
                                      <w:rFonts w:hint="eastAsia" w:ascii="宋体" w:hAnsi="宋体"/>
                                      <w:szCs w:val="24"/>
                                    </w:rPr>
                                    <w:t>：</w:t>
                                  </w:r>
                                </w:p>
                              </w:tc>
                              <w:tc>
                                <w:tcPr>
                                  <w:tcW w:w="4728" w:type="dxa"/>
                                  <w:shd w:val="clear" w:color="auto" w:fill="auto"/>
                                  <w:noWrap/>
                                  <w:vAlign w:val="center"/>
                                </w:tcPr>
                                <w:p>
                                  <w:pPr>
                                    <w:rPr>
                                      <w:rFonts w:ascii="宋体" w:hAnsi="宋体"/>
                                      <w:szCs w:val="24"/>
                                    </w:rPr>
                                  </w:pPr>
                                  <w:r>
                                    <w:rPr>
                                      <w:rFonts w:hint="eastAsia" w:ascii="宋体" w:hAnsi="宋体"/>
                                      <w:szCs w:val="24"/>
                                    </w:rPr>
                                    <w:t>中国建筑西南勘察设计研究院有限公司</w:t>
                                  </w:r>
                                </w:p>
                              </w:tc>
                            </w:tr>
                            <w:tr>
                              <w:tblPrEx>
                                <w:tblCellMar>
                                  <w:top w:w="0" w:type="dxa"/>
                                  <w:left w:w="0" w:type="dxa"/>
                                  <w:bottom w:w="0" w:type="dxa"/>
                                  <w:right w:w="0" w:type="dxa"/>
                                </w:tblCellMar>
                              </w:tblPrEx>
                              <w:trPr>
                                <w:trHeight w:val="680" w:hRule="exact"/>
                              </w:trPr>
                              <w:tc>
                                <w:tcPr>
                                  <w:tcW w:w="1272" w:type="dxa"/>
                                  <w:vAlign w:val="center"/>
                                </w:tcPr>
                                <w:p>
                                  <w:pPr>
                                    <w:jc w:val="distribute"/>
                                    <w:rPr>
                                      <w:rFonts w:ascii="宋体" w:hAnsi="宋体"/>
                                      <w:szCs w:val="24"/>
                                    </w:rPr>
                                  </w:pPr>
                                  <w:r>
                                    <w:rPr>
                                      <w:rFonts w:hint="eastAsia" w:ascii="宋体" w:hAnsi="宋体"/>
                                      <w:szCs w:val="24"/>
                                    </w:rPr>
                                    <w:t>批准单位</w:t>
                                  </w:r>
                                </w:p>
                              </w:tc>
                              <w:tc>
                                <w:tcPr>
                                  <w:tcW w:w="425" w:type="dxa"/>
                                  <w:shd w:val="clear" w:color="auto" w:fill="auto"/>
                                  <w:noWrap/>
                                  <w:vAlign w:val="center"/>
                                </w:tcPr>
                                <w:p>
                                  <w:pPr>
                                    <w:jc w:val="distribute"/>
                                    <w:rPr>
                                      <w:rFonts w:ascii="宋体" w:hAnsi="宋体"/>
                                      <w:szCs w:val="24"/>
                                    </w:rPr>
                                  </w:pPr>
                                  <w:r>
                                    <w:rPr>
                                      <w:rFonts w:hint="eastAsia" w:ascii="宋体" w:hAnsi="宋体"/>
                                      <w:szCs w:val="24"/>
                                    </w:rPr>
                                    <w:t>：</w:t>
                                  </w:r>
                                </w:p>
                              </w:tc>
                              <w:tc>
                                <w:tcPr>
                                  <w:tcW w:w="4728" w:type="dxa"/>
                                  <w:shd w:val="clear" w:color="auto" w:fill="auto"/>
                                  <w:noWrap/>
                                  <w:vAlign w:val="center"/>
                                </w:tcPr>
                                <w:p>
                                  <w:pPr>
                                    <w:rPr>
                                      <w:rFonts w:ascii="宋体" w:hAnsi="宋体"/>
                                      <w:szCs w:val="24"/>
                                    </w:rPr>
                                  </w:pPr>
                                  <w:r>
                                    <w:rPr>
                                      <w:rFonts w:hint="eastAsia" w:ascii="宋体" w:hAnsi="宋体"/>
                                      <w:szCs w:val="24"/>
                                    </w:rPr>
                                    <w:t>中国工程建设标准化协会</w:t>
                                  </w:r>
                                </w:p>
                              </w:tc>
                            </w:tr>
                            <w:tr>
                              <w:tblPrEx>
                                <w:tblCellMar>
                                  <w:top w:w="0" w:type="dxa"/>
                                  <w:left w:w="0" w:type="dxa"/>
                                  <w:bottom w:w="0" w:type="dxa"/>
                                  <w:right w:w="0" w:type="dxa"/>
                                </w:tblCellMar>
                              </w:tblPrEx>
                              <w:trPr>
                                <w:trHeight w:val="680" w:hRule="exact"/>
                              </w:trPr>
                              <w:tc>
                                <w:tcPr>
                                  <w:tcW w:w="1272" w:type="dxa"/>
                                  <w:vAlign w:val="center"/>
                                </w:tcPr>
                                <w:p>
                                  <w:pPr>
                                    <w:jc w:val="distribute"/>
                                    <w:rPr>
                                      <w:rFonts w:ascii="宋体" w:hAnsi="宋体"/>
                                      <w:szCs w:val="24"/>
                                    </w:rPr>
                                  </w:pPr>
                                  <w:r>
                                    <w:rPr>
                                      <w:rFonts w:hint="eastAsia" w:ascii="宋体" w:hAnsi="宋体"/>
                                      <w:szCs w:val="24"/>
                                    </w:rPr>
                                    <w:t>施行日期</w:t>
                                  </w:r>
                                </w:p>
                              </w:tc>
                              <w:tc>
                                <w:tcPr>
                                  <w:tcW w:w="425" w:type="dxa"/>
                                  <w:shd w:val="clear" w:color="auto" w:fill="auto"/>
                                  <w:noWrap/>
                                  <w:vAlign w:val="center"/>
                                </w:tcPr>
                                <w:p>
                                  <w:pPr>
                                    <w:jc w:val="distribute"/>
                                    <w:rPr>
                                      <w:rFonts w:ascii="宋体" w:hAnsi="宋体"/>
                                      <w:szCs w:val="24"/>
                                    </w:rPr>
                                  </w:pPr>
                                  <w:r>
                                    <w:rPr>
                                      <w:rFonts w:hint="eastAsia" w:ascii="宋体" w:hAnsi="宋体"/>
                                      <w:szCs w:val="24"/>
                                    </w:rPr>
                                    <w:t>：</w:t>
                                  </w:r>
                                </w:p>
                              </w:tc>
                              <w:tc>
                                <w:tcPr>
                                  <w:tcW w:w="4728" w:type="dxa"/>
                                  <w:shd w:val="clear" w:color="auto" w:fill="auto"/>
                                  <w:noWrap/>
                                  <w:vAlign w:val="center"/>
                                </w:tcPr>
                                <w:p>
                                  <w:pPr>
                                    <w:rPr>
                                      <w:rFonts w:ascii="宋体" w:hAnsi="宋体"/>
                                      <w:szCs w:val="24"/>
                                    </w:rPr>
                                  </w:pPr>
                                  <w:r>
                                    <w:rPr>
                                      <w:rFonts w:hint="eastAsia" w:ascii="宋体" w:hAnsi="宋体"/>
                                      <w:szCs w:val="24"/>
                                    </w:rPr>
                                    <w:t>20××年×月×日</w:t>
                                  </w:r>
                                </w:p>
                              </w:tc>
                            </w:tr>
                          </w:tbl>
                          <w:p>
                            <w:pPr>
                              <w:jc w:val="center"/>
                              <w:rPr>
                                <w:rFonts w:eastAsia="黑体"/>
                                <w:b/>
                                <w:szCs w:val="24"/>
                              </w:rPr>
                            </w:pP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1.05pt;margin-top:10.5pt;height:356.25pt;width:455.25pt;mso-position-horizontal-relative:margin;z-index:251663360;mso-width-relative:page;mso-height-relative:page;" filled="f" stroked="f" coordsize="21600,21600" o:gfxdata="UEsDBAoAAAAAAIdO4kAAAAAAAAAAAAAAAAAEAAAAZHJzL1BLAwQUAAAACACHTuJAPtUNpNcAAAAJ&#10;AQAADwAAAGRycy9kb3ducmV2LnhtbE2PwU7DMBBE70j8g7VI3Fo7aUvbkE0PIK4gCkXi5ibbJCJe&#10;R7HbhL9nOcFxNKOZN/lucp260BBazwjJ3IAiLn3Vco3w/vY024AK0XJlO8+E8E0BdsX1VW6zyo/8&#10;Spd9rJWUcMgsQhNjn2kdyoacDXPfE4t38oOzUeRQ62qwo5S7TqfG3GlnW5aFxvb00FD5tT87hMPz&#10;6fNjaV7qR7fqRz8ZzW6rEW9vEnMPKtIU/8Lwiy/oUAjT0Z+5CqpDmKWJJBHSRC6JvzWbJagjwnqx&#10;WIEucv3/QfEDUEsDBBQAAAAIAIdO4kCpeM4pHQIAACYEAAAOAAAAZHJzL2Uyb0RvYy54bWytU0tu&#10;2zAQ3RfoHQjua1muP4lgOUhjpCiQfoC0B6ApyiIqcdghbck9QHuDrrrpvufyOTqkbMdNN1l0I5Az&#10;wzfz3jzNr7qmZluFToPJeToYcqaMhEKbdc4/fbx9ccGZ88IUogajcr5Tjl8tnj+btzZTI6igLhQy&#10;AjEua23OK+9tliROVqoRbgBWGUqWgI3wdMV1UqBoCb2pk9FwOE1awMIiSOUcRZd9kh8Q8SmAUJZa&#10;qiXITaOM71FR1cITJVdp6/giTluWSvr3ZemUZ3XOiamPX2pC51X4Jou5yNYobKXlYQTxlBEecWqE&#10;NtT0BLUUXrAN6n+gGi0RHJR+IKFJeiJREWKRDh9pc18JqyIXktrZk+ju/8HKd9sPyHSR8xlnRjS0&#10;8P2P7/ufv/e/vrHLaRSotS6juntLlb57BR3ZJpJ19g7kZ8cM3FTCrNU1IrSVEgUNmAZpk7OnYSUu&#10;cwFk1b6FgjqJjYcI1JXYBPVID0botJzdaTmq80xScDK7SKezCWeScuPJaPySLqGHyI7PLTr/WkHD&#10;wiHnSNuP8GJ753xfeiwJ3Qzc6rqODqjNXwHC7CMqWujw+jh/z8R3q47ehuAKih3RQujtRT8XHSrA&#10;r5y1ZK2cuy8bgYqz+o0haS7T8Th4MV7Gk9mILnieWZ1nhJEElXPPWX+88b1/Nxb1uqJO/TIMXJOc&#10;pY5EH6Y6LIHsE6U6WD348/weqx5+7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tUNpNcAAAAJ&#10;AQAADwAAAAAAAAABACAAAAAiAAAAZHJzL2Rvd25yZXYueG1sUEsBAhQAFAAAAAgAh07iQKl4zikd&#10;AgAAJgQAAA4AAAAAAAAAAQAgAAAAJgEAAGRycy9lMm9Eb2MueG1sUEsFBgAAAAAGAAYAWQEAALUF&#10;AAAAAA==&#10;">
                <v:fill on="f" focussize="0,0"/>
                <v:stroke on="f"/>
                <v:imagedata o:title=""/>
                <o:lock v:ext="edit" aspectratio="f"/>
                <v:textbox>
                  <w:txbxContent>
                    <w:p>
                      <w:pPr>
                        <w:jc w:val="center"/>
                        <w:rPr>
                          <w:rFonts w:eastAsia="黑体"/>
                          <w:color w:val="000000"/>
                          <w:sz w:val="36"/>
                          <w:szCs w:val="36"/>
                        </w:rPr>
                      </w:pPr>
                      <w:r>
                        <w:rPr>
                          <w:rFonts w:hint="eastAsia" w:ascii="黑体" w:hAnsi="黑体" w:eastAsia="黑体" w:cs="新宋体-18030"/>
                          <w:sz w:val="36"/>
                          <w:szCs w:val="36"/>
                        </w:rPr>
                        <w:t>抗浮工程水文地质勘察标准</w:t>
                      </w:r>
                    </w:p>
                    <w:p>
                      <w:pPr>
                        <w:spacing w:line="300" w:lineRule="auto"/>
                        <w:jc w:val="center"/>
                        <w:rPr>
                          <w:color w:val="FF0000"/>
                          <w:szCs w:val="23"/>
                          <w:u w:val="single"/>
                        </w:rPr>
                      </w:pPr>
                      <w:r>
                        <w:rPr>
                          <w:rFonts w:eastAsia="黑体"/>
                          <w:color w:val="FF0000"/>
                          <w:spacing w:val="30"/>
                          <w:sz w:val="36"/>
                          <w:szCs w:val="36"/>
                        </w:rPr>
                        <w:t xml:space="preserve">Technical standard for hydrogeological investigation of anti floating </w:t>
                      </w:r>
                      <w:r>
                        <w:rPr>
                          <w:rFonts w:hint="eastAsia" w:eastAsia="黑体"/>
                          <w:color w:val="FF0000"/>
                          <w:spacing w:val="30"/>
                          <w:sz w:val="36"/>
                          <w:szCs w:val="36"/>
                          <w:lang w:val="en-US" w:eastAsia="zh-CN"/>
                        </w:rPr>
                        <w:t>e</w:t>
                      </w:r>
                      <w:r>
                        <w:rPr>
                          <w:rFonts w:eastAsia="黑体"/>
                          <w:color w:val="FF0000"/>
                          <w:spacing w:val="30"/>
                          <w:sz w:val="36"/>
                          <w:szCs w:val="36"/>
                        </w:rPr>
                        <w:t>ngineering</w:t>
                      </w:r>
                    </w:p>
                    <w:p>
                      <w:pPr>
                        <w:snapToGrid w:val="0"/>
                        <w:jc w:val="center"/>
                        <w:rPr>
                          <w:rFonts w:eastAsia="黑体"/>
                          <w:b/>
                          <w:spacing w:val="30"/>
                          <w:sz w:val="32"/>
                          <w:szCs w:val="32"/>
                        </w:rPr>
                      </w:pPr>
                    </w:p>
                    <w:p>
                      <w:pPr>
                        <w:spacing w:before="480" w:beforeLines="200" w:after="480" w:afterLines="200"/>
                        <w:jc w:val="center"/>
                        <w:rPr>
                          <w:rFonts w:eastAsia="黑体"/>
                          <w:b/>
                          <w:szCs w:val="21"/>
                        </w:rPr>
                      </w:pPr>
                      <w:r>
                        <w:rPr>
                          <w:rFonts w:eastAsia="黑体"/>
                          <w:b/>
                          <w:szCs w:val="21"/>
                        </w:rPr>
                        <w:t>T/</w:t>
                      </w:r>
                      <w:r>
                        <w:rPr>
                          <w:rFonts w:hint="eastAsia" w:eastAsia="黑体"/>
                          <w:b/>
                          <w:szCs w:val="21"/>
                        </w:rPr>
                        <w:t>CECS</w:t>
                      </w:r>
                      <w:r>
                        <w:rPr>
                          <w:rFonts w:eastAsia="黑体"/>
                          <w:b/>
                          <w:szCs w:val="21"/>
                        </w:rPr>
                        <w:t xml:space="preserve"> </w:t>
                      </w:r>
                      <w:r>
                        <w:rPr>
                          <w:rFonts w:hint="eastAsia" w:ascii="黑体" w:hAnsi="黑体" w:eastAsia="黑体"/>
                          <w:b/>
                          <w:szCs w:val="21"/>
                        </w:rPr>
                        <w:t>×××</w:t>
                      </w:r>
                      <w:r>
                        <w:rPr>
                          <w:rFonts w:eastAsia="黑体"/>
                          <w:b/>
                          <w:szCs w:val="21"/>
                        </w:rPr>
                        <w:t>-20</w:t>
                      </w:r>
                      <w:r>
                        <w:rPr>
                          <w:rFonts w:hint="eastAsia" w:ascii="黑体" w:hAnsi="黑体" w:eastAsia="黑体"/>
                          <w:b/>
                          <w:szCs w:val="21"/>
                        </w:rPr>
                        <w:t>××</w:t>
                      </w:r>
                    </w:p>
                    <w:tbl>
                      <w:tblPr>
                        <w:tblStyle w:val="24"/>
                        <w:tblW w:w="6425" w:type="dxa"/>
                        <w:tblInd w:w="1513" w:type="dxa"/>
                        <w:tblLayout w:type="fixed"/>
                        <w:tblCellMar>
                          <w:top w:w="0" w:type="dxa"/>
                          <w:left w:w="0" w:type="dxa"/>
                          <w:bottom w:w="0" w:type="dxa"/>
                          <w:right w:w="0" w:type="dxa"/>
                        </w:tblCellMar>
                      </w:tblPr>
                      <w:tblGrid>
                        <w:gridCol w:w="1272"/>
                        <w:gridCol w:w="425"/>
                        <w:gridCol w:w="4728"/>
                      </w:tblGrid>
                      <w:tr>
                        <w:trPr>
                          <w:trHeight w:val="680" w:hRule="exact"/>
                        </w:trPr>
                        <w:tc>
                          <w:tcPr>
                            <w:tcW w:w="1272" w:type="dxa"/>
                            <w:vAlign w:val="center"/>
                          </w:tcPr>
                          <w:p>
                            <w:pPr>
                              <w:jc w:val="distribute"/>
                              <w:rPr>
                                <w:rFonts w:ascii="宋体" w:hAnsi="宋体"/>
                                <w:szCs w:val="24"/>
                              </w:rPr>
                            </w:pPr>
                            <w:r>
                              <w:rPr>
                                <w:rFonts w:hint="eastAsia" w:ascii="宋体" w:hAnsi="宋体"/>
                                <w:szCs w:val="24"/>
                              </w:rPr>
                              <w:t>主编单位</w:t>
                            </w:r>
                          </w:p>
                        </w:tc>
                        <w:tc>
                          <w:tcPr>
                            <w:tcW w:w="425" w:type="dxa"/>
                            <w:shd w:val="clear" w:color="auto" w:fill="auto"/>
                            <w:noWrap/>
                            <w:vAlign w:val="center"/>
                          </w:tcPr>
                          <w:p>
                            <w:pPr>
                              <w:jc w:val="distribute"/>
                              <w:rPr>
                                <w:rFonts w:ascii="宋体" w:hAnsi="宋体"/>
                                <w:szCs w:val="24"/>
                              </w:rPr>
                            </w:pPr>
                            <w:r>
                              <w:rPr>
                                <w:rFonts w:hint="eastAsia" w:ascii="宋体" w:hAnsi="宋体"/>
                                <w:szCs w:val="24"/>
                              </w:rPr>
                              <w:t>：</w:t>
                            </w:r>
                          </w:p>
                        </w:tc>
                        <w:tc>
                          <w:tcPr>
                            <w:tcW w:w="4728" w:type="dxa"/>
                            <w:shd w:val="clear" w:color="auto" w:fill="auto"/>
                            <w:noWrap/>
                            <w:vAlign w:val="center"/>
                          </w:tcPr>
                          <w:p>
                            <w:pPr>
                              <w:rPr>
                                <w:rFonts w:ascii="宋体" w:hAnsi="宋体"/>
                                <w:szCs w:val="24"/>
                              </w:rPr>
                            </w:pPr>
                            <w:r>
                              <w:rPr>
                                <w:rFonts w:hint="eastAsia" w:ascii="宋体" w:hAnsi="宋体"/>
                                <w:szCs w:val="24"/>
                              </w:rPr>
                              <w:t>中国建筑西南勘察设计研究院有限公司</w:t>
                            </w:r>
                          </w:p>
                        </w:tc>
                      </w:tr>
                      <w:tr>
                        <w:tblPrEx>
                          <w:tblCellMar>
                            <w:top w:w="0" w:type="dxa"/>
                            <w:left w:w="0" w:type="dxa"/>
                            <w:bottom w:w="0" w:type="dxa"/>
                            <w:right w:w="0" w:type="dxa"/>
                          </w:tblCellMar>
                        </w:tblPrEx>
                        <w:trPr>
                          <w:trHeight w:val="680" w:hRule="exact"/>
                        </w:trPr>
                        <w:tc>
                          <w:tcPr>
                            <w:tcW w:w="1272" w:type="dxa"/>
                            <w:vAlign w:val="center"/>
                          </w:tcPr>
                          <w:p>
                            <w:pPr>
                              <w:jc w:val="distribute"/>
                              <w:rPr>
                                <w:rFonts w:ascii="宋体" w:hAnsi="宋体"/>
                                <w:szCs w:val="24"/>
                              </w:rPr>
                            </w:pPr>
                            <w:r>
                              <w:rPr>
                                <w:rFonts w:hint="eastAsia" w:ascii="宋体" w:hAnsi="宋体"/>
                                <w:szCs w:val="24"/>
                              </w:rPr>
                              <w:t>批准单位</w:t>
                            </w:r>
                          </w:p>
                        </w:tc>
                        <w:tc>
                          <w:tcPr>
                            <w:tcW w:w="425" w:type="dxa"/>
                            <w:shd w:val="clear" w:color="auto" w:fill="auto"/>
                            <w:noWrap/>
                            <w:vAlign w:val="center"/>
                          </w:tcPr>
                          <w:p>
                            <w:pPr>
                              <w:jc w:val="distribute"/>
                              <w:rPr>
                                <w:rFonts w:ascii="宋体" w:hAnsi="宋体"/>
                                <w:szCs w:val="24"/>
                              </w:rPr>
                            </w:pPr>
                            <w:r>
                              <w:rPr>
                                <w:rFonts w:hint="eastAsia" w:ascii="宋体" w:hAnsi="宋体"/>
                                <w:szCs w:val="24"/>
                              </w:rPr>
                              <w:t>：</w:t>
                            </w:r>
                          </w:p>
                        </w:tc>
                        <w:tc>
                          <w:tcPr>
                            <w:tcW w:w="4728" w:type="dxa"/>
                            <w:shd w:val="clear" w:color="auto" w:fill="auto"/>
                            <w:noWrap/>
                            <w:vAlign w:val="center"/>
                          </w:tcPr>
                          <w:p>
                            <w:pPr>
                              <w:rPr>
                                <w:rFonts w:ascii="宋体" w:hAnsi="宋体"/>
                                <w:szCs w:val="24"/>
                              </w:rPr>
                            </w:pPr>
                            <w:r>
                              <w:rPr>
                                <w:rFonts w:hint="eastAsia" w:ascii="宋体" w:hAnsi="宋体"/>
                                <w:szCs w:val="24"/>
                              </w:rPr>
                              <w:t>中国工程建设标准化协会</w:t>
                            </w:r>
                          </w:p>
                        </w:tc>
                      </w:tr>
                      <w:tr>
                        <w:tblPrEx>
                          <w:tblCellMar>
                            <w:top w:w="0" w:type="dxa"/>
                            <w:left w:w="0" w:type="dxa"/>
                            <w:bottom w:w="0" w:type="dxa"/>
                            <w:right w:w="0" w:type="dxa"/>
                          </w:tblCellMar>
                        </w:tblPrEx>
                        <w:trPr>
                          <w:trHeight w:val="680" w:hRule="exact"/>
                        </w:trPr>
                        <w:tc>
                          <w:tcPr>
                            <w:tcW w:w="1272" w:type="dxa"/>
                            <w:vAlign w:val="center"/>
                          </w:tcPr>
                          <w:p>
                            <w:pPr>
                              <w:jc w:val="distribute"/>
                              <w:rPr>
                                <w:rFonts w:ascii="宋体" w:hAnsi="宋体"/>
                                <w:szCs w:val="24"/>
                              </w:rPr>
                            </w:pPr>
                            <w:r>
                              <w:rPr>
                                <w:rFonts w:hint="eastAsia" w:ascii="宋体" w:hAnsi="宋体"/>
                                <w:szCs w:val="24"/>
                              </w:rPr>
                              <w:t>施行日期</w:t>
                            </w:r>
                          </w:p>
                        </w:tc>
                        <w:tc>
                          <w:tcPr>
                            <w:tcW w:w="425" w:type="dxa"/>
                            <w:shd w:val="clear" w:color="auto" w:fill="auto"/>
                            <w:noWrap/>
                            <w:vAlign w:val="center"/>
                          </w:tcPr>
                          <w:p>
                            <w:pPr>
                              <w:jc w:val="distribute"/>
                              <w:rPr>
                                <w:rFonts w:ascii="宋体" w:hAnsi="宋体"/>
                                <w:szCs w:val="24"/>
                              </w:rPr>
                            </w:pPr>
                            <w:r>
                              <w:rPr>
                                <w:rFonts w:hint="eastAsia" w:ascii="宋体" w:hAnsi="宋体"/>
                                <w:szCs w:val="24"/>
                              </w:rPr>
                              <w:t>：</w:t>
                            </w:r>
                          </w:p>
                        </w:tc>
                        <w:tc>
                          <w:tcPr>
                            <w:tcW w:w="4728" w:type="dxa"/>
                            <w:shd w:val="clear" w:color="auto" w:fill="auto"/>
                            <w:noWrap/>
                            <w:vAlign w:val="center"/>
                          </w:tcPr>
                          <w:p>
                            <w:pPr>
                              <w:rPr>
                                <w:rFonts w:ascii="宋体" w:hAnsi="宋体"/>
                                <w:szCs w:val="24"/>
                              </w:rPr>
                            </w:pPr>
                            <w:r>
                              <w:rPr>
                                <w:rFonts w:hint="eastAsia" w:ascii="宋体" w:hAnsi="宋体"/>
                                <w:szCs w:val="24"/>
                              </w:rPr>
                              <w:t>20××年×月×日</w:t>
                            </w:r>
                          </w:p>
                        </w:tc>
                      </w:tr>
                    </w:tbl>
                    <w:p>
                      <w:pPr>
                        <w:jc w:val="center"/>
                        <w:rPr>
                          <w:rFonts w:eastAsia="黑体"/>
                          <w:b/>
                          <w:szCs w:val="24"/>
                        </w:rPr>
                      </w:pPr>
                    </w:p>
                  </w:txbxContent>
                </v:textbox>
              </v:shape>
            </w:pict>
          </mc:Fallback>
        </mc:AlternateContent>
      </w: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jc w:val="center"/>
        <w:rPr>
          <w:rFonts w:eastAsia="黑体"/>
          <w:sz w:val="28"/>
          <w:szCs w:val="28"/>
        </w:rPr>
      </w:pPr>
    </w:p>
    <w:p>
      <w:pPr>
        <w:spacing w:before="240" w:beforeLines="100" w:line="300" w:lineRule="auto"/>
        <w:jc w:val="center"/>
        <w:rPr>
          <w:sz w:val="28"/>
          <w:szCs w:val="28"/>
        </w:rPr>
      </w:pPr>
    </w:p>
    <w:p>
      <w:pPr>
        <w:spacing w:before="240" w:beforeLines="100" w:line="300" w:lineRule="auto"/>
        <w:jc w:val="center"/>
        <w:rPr>
          <w:sz w:val="28"/>
          <w:szCs w:val="28"/>
        </w:rPr>
      </w:pPr>
    </w:p>
    <w:p>
      <w:pPr>
        <w:spacing w:before="240" w:beforeLines="100" w:line="300" w:lineRule="auto"/>
        <w:jc w:val="center"/>
        <w:rPr>
          <w:sz w:val="28"/>
          <w:szCs w:val="28"/>
        </w:rPr>
      </w:pPr>
      <w:r>
        <w:rPr>
          <w:rFonts w:hint="eastAsia"/>
          <w:sz w:val="28"/>
          <w:szCs w:val="28"/>
        </w:rPr>
        <w:t>中 国 计 划 出 版 社</w:t>
      </w:r>
    </w:p>
    <w:p>
      <w:pPr>
        <w:spacing w:before="240" w:beforeLines="100" w:line="300" w:lineRule="auto"/>
        <w:jc w:val="center"/>
        <w:rPr>
          <w:rFonts w:eastAsia="黑体"/>
          <w:szCs w:val="24"/>
          <w:u w:val="single"/>
        </w:rPr>
      </w:pPr>
      <w:r>
        <w:rPr>
          <w:rFonts w:eastAsia="黑体"/>
          <w:szCs w:val="24"/>
        </w:rPr>
        <w:t>20</w:t>
      </w:r>
      <w:r>
        <w:rPr>
          <w:rFonts w:hint="eastAsia" w:ascii="黑体" w:hAnsi="黑体" w:eastAsia="黑体"/>
          <w:szCs w:val="24"/>
        </w:rPr>
        <w:t>××</w:t>
      </w:r>
      <w:r>
        <w:rPr>
          <w:rFonts w:ascii="黑体" w:hAnsi="黑体" w:eastAsia="黑体"/>
          <w:szCs w:val="24"/>
        </w:rPr>
        <w:t xml:space="preserve">  </w:t>
      </w:r>
      <w:r>
        <w:rPr>
          <w:rFonts w:eastAsia="黑体"/>
          <w:szCs w:val="24"/>
        </w:rPr>
        <w:t>北    京</w:t>
      </w:r>
    </w:p>
    <w:p>
      <w:pPr>
        <w:spacing w:line="300" w:lineRule="auto"/>
        <w:jc w:val="center"/>
        <w:rPr>
          <w:rFonts w:eastAsia="黑体"/>
          <w:sz w:val="28"/>
          <w:szCs w:val="28"/>
        </w:rPr>
      </w:pPr>
    </w:p>
    <w:p>
      <w:pPr>
        <w:spacing w:line="300" w:lineRule="auto"/>
        <w:jc w:val="center"/>
        <w:rPr>
          <w:rFonts w:eastAsia="黑体"/>
          <w:sz w:val="28"/>
          <w:szCs w:val="28"/>
        </w:rPr>
        <w:sectPr>
          <w:headerReference r:id="rId12" w:type="first"/>
          <w:headerReference r:id="rId10" w:type="default"/>
          <w:footerReference r:id="rId13" w:type="default"/>
          <w:headerReference r:id="rId11" w:type="even"/>
          <w:footerReference r:id="rId14" w:type="even"/>
          <w:pgSz w:w="11906" w:h="16838"/>
          <w:pgMar w:top="1134" w:right="1134" w:bottom="1134" w:left="1701" w:header="794" w:footer="992" w:gutter="0"/>
          <w:pgNumType w:fmt="upperRoman" w:start="1"/>
          <w:cols w:space="425" w:num="1"/>
          <w:docGrid w:linePitch="312" w:charSpace="0"/>
        </w:sectPr>
      </w:pPr>
    </w:p>
    <w:p>
      <w:pPr>
        <w:spacing w:line="300" w:lineRule="auto"/>
        <w:rPr>
          <w:szCs w:val="23"/>
        </w:rPr>
      </w:pPr>
      <w:r>
        <mc:AlternateContent>
          <mc:Choice Requires="wps">
            <w:drawing>
              <wp:anchor distT="0" distB="0" distL="114300" distR="114300" simplePos="0" relativeHeight="251668480" behindDoc="0" locked="0" layoutInCell="1" allowOverlap="1">
                <wp:simplePos x="0" y="0"/>
                <wp:positionH relativeFrom="margin">
                  <wp:posOffset>-90805</wp:posOffset>
                </wp:positionH>
                <wp:positionV relativeFrom="margin">
                  <wp:posOffset>81280</wp:posOffset>
                </wp:positionV>
                <wp:extent cx="5925185" cy="1368425"/>
                <wp:effectExtent l="0" t="0" r="0" b="0"/>
                <wp:wrapNone/>
                <wp:docPr id="6"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5925185" cy="2065020"/>
                        </a:xfrm>
                        <a:prstGeom prst="rect">
                          <a:avLst/>
                        </a:prstGeom>
                        <a:noFill/>
                        <a:ln>
                          <a:noFill/>
                        </a:ln>
                        <a:effectLst/>
                      </wps:spPr>
                      <wps:txbx>
                        <w:txbxContent>
                          <w:p>
                            <w:pPr>
                              <w:jc w:val="center"/>
                              <w:rPr>
                                <w:rFonts w:ascii="方正小标宋简体" w:hAnsi="华文中宋" w:eastAsia="方正小标宋简体"/>
                                <w:w w:val="80"/>
                                <w:kern w:val="44"/>
                                <w:sz w:val="44"/>
                                <w:szCs w:val="44"/>
                              </w:rPr>
                            </w:pPr>
                          </w:p>
                          <w:p>
                            <w:pPr>
                              <w:jc w:val="center"/>
                              <w:rPr>
                                <w:rFonts w:ascii="方正小标宋简体" w:hAnsi="华文中宋" w:eastAsia="方正小标宋简体"/>
                                <w:w w:val="80"/>
                                <w:kern w:val="44"/>
                                <w:sz w:val="44"/>
                                <w:szCs w:val="44"/>
                              </w:rPr>
                            </w:pPr>
                            <w:r>
                              <w:rPr>
                                <w:rFonts w:hint="eastAsia" w:ascii="方正小标宋简体" w:hAnsi="华文中宋" w:eastAsia="方正小标宋简体"/>
                                <w:w w:val="80"/>
                                <w:kern w:val="44"/>
                                <w:sz w:val="44"/>
                                <w:szCs w:val="44"/>
                              </w:rPr>
                              <w:t>中国工程建设标准化协会公告</w:t>
                            </w:r>
                          </w:p>
                        </w:txbxContent>
                      </wps:txbx>
                      <wps:bodyPr rot="0" vert="horz" wrap="square" lIns="0" tIns="0" rIns="0" bIns="0" anchor="t" anchorCtr="0" upright="1">
                        <a:noAutofit/>
                      </wps:bodyPr>
                    </wps:wsp>
                  </a:graphicData>
                </a:graphic>
              </wp:anchor>
            </w:drawing>
          </mc:Choice>
          <mc:Fallback>
            <w:pict>
              <v:shape id="文本框 961" o:spid="_x0000_s1026" o:spt="202" type="#_x0000_t202" style="position:absolute;left:0pt;margin-left:-7.15pt;margin-top:6.4pt;height:107.75pt;width:466.55pt;mso-position-horizontal-relative:margin;mso-position-vertical-relative:margin;z-index:251668480;mso-width-relative:page;mso-height-relative:page;" filled="f" stroked="f" coordsize="21600,21600" o:gfxdata="UEsDBAoAAAAAAIdO4kAAAAAAAAAAAAAAAAAEAAAAZHJzL1BLAwQUAAAACACHTuJAusPUd9kAAAAK&#10;AQAADwAAAGRycy9kb3ducmV2LnhtbE2PzU7DMBCE70i8g7VI3Fo7KarSEKdCCE5IiDQcODrJNrEa&#10;r0Ps/vD2LCd629F8mp0pthc3ihPOwXrSkCwVCKTWd5Z6DZ/16yIDEaKhzoyeUMMPBtiWtzeFyTt/&#10;pgpPu9gLDqGQGw1DjFMuZWgHdCYs/YTE3t7PzkSWcy+72Zw53I0yVWotnbHEHwYz4fOA7WF3dBqe&#10;vqh6sd/vzUe1r2xdbxS9rQ9a398l6hFExEv8h+GvPleHkjs1/khdEKOGRfKwYpSNlCcwsEkyPhoN&#10;aZqtQJaFvJ5Q/gJQSwMEFAAAAAgAh07iQMPTzvAVAgAAFgQAAA4AAABkcnMvZTJvRG9jLnhtbK1T&#10;zY7TMBC+I/EOlu80aaVWu1HT1bLVIqTlR1p4AMdxGovEY8Zuk/IA8AacuHDnufocjO22LMtlD1ys&#10;sT3zeb5vPi+vxr5jO4VOgyn5dJJzpoyEWptNyT9+uH1xwZnzwtSiA6NKvleOX62eP1sOtlAzaKGr&#10;FTICMa4YbMlb722RZU62qhduAlYZumwAe+Fpi5usRjEQet9lszxfZANgbRGkco5O1+mSHxHxKYDQ&#10;NFqqNchtr4xPqKg64YmSa7V1fBW7bRol/bumccqzruTE1MeVHqG4Cmu2Wopig8K2Wh5bEE9p4RGn&#10;XmhDj56h1sILtkX9D1SvJYKDxk8k9FkiEhUhFtP8kTb3rbAqciGpnT2L7v4frHy7e49M1yVfcGZE&#10;TwM/fP92+PHr8PMru1xMg0CDdQXl3VvK9ONLGMk2kayzdyA/OWbgphVmo64RYWiVqKnBWJk9KE04&#10;LoBUwxuo6SWx9RCBxgb7oB7pwQidhrM/D0eNnkk6nF/O5tOLOWeS7mb5Yp7P4vgyUZzKLTr/SkHP&#10;QlBypOlHeLG7c56IUOopJbxm4FZ3XXRAZ/46oMR0oqKFjtWBTOg/MfFjNR7FqaDeEy2EZC/6XBS0&#10;gF84G8haJXeftwIVZ91rQ9IEH54CPAXVKRBGUmnJPWcpvPHJr1uLetMSchLfwDXJ1+hILLSWuiCW&#10;YUN2iXyP1g5+fLiPWX++8+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sPUd9kAAAAKAQAADwAA&#10;AAAAAAABACAAAAAiAAAAZHJzL2Rvd25yZXYueG1sUEsBAhQAFAAAAAgAh07iQMPTzvAVAgAAFgQA&#10;AA4AAAAAAAAAAQAgAAAAKAEAAGRycy9lMm9Eb2MueG1sUEsFBgAAAAAGAAYAWQEAAK8FAAAAAA==&#10;">
                <v:fill on="f" focussize="0,0"/>
                <v:stroke on="f"/>
                <v:imagedata o:title=""/>
                <o:lock v:ext="edit" aspectratio="f"/>
                <v:textbox inset="0mm,0mm,0mm,0mm">
                  <w:txbxContent>
                    <w:p>
                      <w:pPr>
                        <w:jc w:val="center"/>
                        <w:rPr>
                          <w:rFonts w:ascii="方正小标宋简体" w:hAnsi="华文中宋" w:eastAsia="方正小标宋简体"/>
                          <w:w w:val="80"/>
                          <w:kern w:val="44"/>
                          <w:sz w:val="44"/>
                          <w:szCs w:val="44"/>
                        </w:rPr>
                      </w:pPr>
                    </w:p>
                    <w:p>
                      <w:pPr>
                        <w:jc w:val="center"/>
                        <w:rPr>
                          <w:rFonts w:ascii="方正小标宋简体" w:hAnsi="华文中宋" w:eastAsia="方正小标宋简体"/>
                          <w:w w:val="80"/>
                          <w:kern w:val="44"/>
                          <w:sz w:val="44"/>
                          <w:szCs w:val="44"/>
                        </w:rPr>
                      </w:pPr>
                      <w:r>
                        <w:rPr>
                          <w:rFonts w:hint="eastAsia" w:ascii="方正小标宋简体" w:hAnsi="华文中宋" w:eastAsia="方正小标宋简体"/>
                          <w:w w:val="80"/>
                          <w:kern w:val="44"/>
                          <w:sz w:val="44"/>
                          <w:szCs w:val="44"/>
                        </w:rPr>
                        <w:t>中国工程建设标准化协会公告</w:t>
                      </w:r>
                    </w:p>
                  </w:txbxContent>
                </v:textbox>
              </v:shape>
            </w:pict>
          </mc:Fallback>
        </mc:AlternateContent>
      </w:r>
    </w:p>
    <w:p>
      <w:pPr>
        <w:spacing w:line="300" w:lineRule="auto"/>
        <w:rPr>
          <w:szCs w:val="23"/>
        </w:rPr>
      </w:pPr>
    </w:p>
    <w:p>
      <w:pPr>
        <w:spacing w:line="300" w:lineRule="auto"/>
        <w:rPr>
          <w:szCs w:val="23"/>
        </w:rPr>
      </w:pPr>
    </w:p>
    <w:p>
      <w:pPr>
        <w:spacing w:line="300" w:lineRule="auto"/>
        <w:rPr>
          <w:szCs w:val="23"/>
        </w:rPr>
      </w:pPr>
    </w:p>
    <w:p>
      <w:pPr>
        <w:spacing w:line="300" w:lineRule="auto"/>
        <w:rPr>
          <w:szCs w:val="23"/>
        </w:rPr>
      </w:pPr>
    </w:p>
    <w:p>
      <w:pPr>
        <w:spacing w:line="300" w:lineRule="auto"/>
        <w:jc w:val="center"/>
        <w:rPr>
          <w:rFonts w:eastAsia="黑体"/>
          <w:spacing w:val="20"/>
          <w:kern w:val="44"/>
          <w:sz w:val="28"/>
          <w:szCs w:val="28"/>
        </w:rPr>
      </w:pPr>
    </w:p>
    <w:p>
      <w:pPr>
        <w:spacing w:line="300" w:lineRule="auto"/>
        <w:rPr>
          <w:sz w:val="28"/>
          <w:szCs w:val="28"/>
        </w:rPr>
      </w:pPr>
      <w:r>
        <mc:AlternateContent>
          <mc:Choice Requires="wps">
            <w:drawing>
              <wp:anchor distT="0" distB="0" distL="114300" distR="114300" simplePos="0" relativeHeight="251669504" behindDoc="0" locked="0" layoutInCell="1" allowOverlap="1">
                <wp:simplePos x="0" y="0"/>
                <wp:positionH relativeFrom="margin">
                  <wp:posOffset>1435100</wp:posOffset>
                </wp:positionH>
                <wp:positionV relativeFrom="margin">
                  <wp:posOffset>1372870</wp:posOffset>
                </wp:positionV>
                <wp:extent cx="2921635" cy="333375"/>
                <wp:effectExtent l="0" t="0" r="12065" b="9525"/>
                <wp:wrapNone/>
                <wp:docPr id="5"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2921635" cy="333375"/>
                        </a:xfrm>
                        <a:prstGeom prst="rect">
                          <a:avLst/>
                        </a:prstGeom>
                        <a:noFill/>
                        <a:ln>
                          <a:noFill/>
                        </a:ln>
                        <a:effectLst/>
                      </wps:spPr>
                      <wps:txbx>
                        <w:txbxContent>
                          <w:p>
                            <w:pPr>
                              <w:jc w:val="center"/>
                              <w:rPr>
                                <w:rFonts w:ascii="楷体" w:hAnsi="楷体" w:eastAsia="楷体"/>
                                <w:b/>
                                <w:spacing w:val="20"/>
                                <w:w w:val="95"/>
                                <w:kern w:val="44"/>
                                <w:sz w:val="28"/>
                                <w:szCs w:val="28"/>
                              </w:rPr>
                            </w:pPr>
                            <w:r>
                              <w:rPr>
                                <w:rFonts w:hint="eastAsia" w:ascii="楷体" w:hAnsi="楷体" w:eastAsia="楷体"/>
                                <w:b/>
                                <w:spacing w:val="20"/>
                                <w:w w:val="95"/>
                                <w:kern w:val="44"/>
                                <w:sz w:val="28"/>
                                <w:szCs w:val="28"/>
                              </w:rPr>
                              <w:t>第××号</w:t>
                            </w:r>
                          </w:p>
                        </w:txbxContent>
                      </wps:txbx>
                      <wps:bodyPr rot="0" vert="horz" wrap="square" lIns="0" tIns="0" rIns="0" bIns="0" anchor="t" anchorCtr="0" upright="1">
                        <a:noAutofit/>
                      </wps:bodyPr>
                    </wps:wsp>
                  </a:graphicData>
                </a:graphic>
              </wp:anchor>
            </w:drawing>
          </mc:Choice>
          <mc:Fallback>
            <w:pict>
              <v:shape id="文本框 961" o:spid="_x0000_s1026" o:spt="202" type="#_x0000_t202" style="position:absolute;left:0pt;margin-left:113pt;margin-top:108.1pt;height:26.25pt;width:230.05pt;mso-position-horizontal-relative:margin;mso-position-vertical-relative:margin;z-index:251669504;mso-width-relative:page;mso-height-relative:page;" filled="f" stroked="f" coordsize="21600,21600" o:gfxdata="UEsDBAoAAAAAAIdO4kAAAAAAAAAAAAAAAAAEAAAAZHJzL1BLAwQUAAAACACHTuJAk165DNkAAAAL&#10;AQAADwAAAGRycy9kb3ducmV2LnhtbE2PzU7DMBCE70h9B2srcaN2cjAhxKkQghMSIk0PHJ3YTazG&#10;6xC7P7w9ywluuzuj2W+q7dVP7GyX6AIqyDYCmMU+GIeDgn37elcAi0mj0VNAq+DbRtjWq5tKlyZc&#10;sLHnXRoYhWAstYIxpbnkPPaj9TpuwmyRtENYvE60LgM3i75QuJ94LoTkXjukD6Oe7fNo++Pu5BU8&#10;fWLz4r7eu4/m0Li2fRD4Jo9K3a4z8Qgs2Wv6M8MvPqFDTUxdOKGJbFKQ55K6JBoymQMjhyxkBqyj&#10;iyzugdcV/9+h/gFQSwMEFAAAAAgAh07iQGfPe6ETAgAAFQQAAA4AAABkcnMvZTJvRG9jLnhtbK1T&#10;zW4TMRC+I/EOlu9kk1QNdJVNVRoVIZUfqfAAjtebtVh7zNjJbngAeANOXLjzXHkOxnYSSrn0wB5W&#10;Y3vmm/k+f55fDqZjW4Veg634ZDTmTFkJtbbrin/8cPPsBWc+CFuLDqyq+E55frl4+mTeu1JNoYWu&#10;VsgIxPqydxVvQ3BlUXjZKiP8CJyydNgAGhFoieuiRtETuumK6Xg8K3rA2iFI5T3tLvMhPyDiYwCh&#10;abRUS5Abo2zIqKg6EYiSb7XzfJGmbRolw7um8SqwruLENKQ/NaF4Ff/FYi7KNQrXankYQTxmhAec&#10;jNCWmp6gliIItkH9D5TREsFDE0YSTJGJJEWIxWT8QJu7VjiVuJDU3p1E9/8PVr7dvkem64qfc2aF&#10;oQvff/+2//Fr//Mru5hNokC98yXl3TnKDMNLGMg2iax3tyA/eWbhuhV2ra4QoW+VqGnAVFncK804&#10;PoKs+jdQUyexCZCAhgZNVI/0YIROl7M7XY4aApO0Ob2YTmZnNKWkszP6np/H4QpRHqsd+vBKgWEx&#10;qDjS5Sd0sb31IaceU2IzCze665IBOvvXBmHmHZUcdKiOXOL4mUgYVsNBmxXUO2KFkN1Fb4uCFvAL&#10;Zz05q+L+80ag4qx7bUmZaMNjgMdgdQyElVRa8cBZDq9DtuvGoV63hJy1t3BF6jU6EYuj5SlIkLgg&#10;tyRpDs6Odry/Tll/X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NeuQzZAAAACwEAAA8AAAAA&#10;AAAAAQAgAAAAIgAAAGRycy9kb3ducmV2LnhtbFBLAQIUABQAAAAIAIdO4kBnz3uhEwIAABUEAAAO&#10;AAAAAAAAAAEAIAAAACgBAABkcnMvZTJvRG9jLnhtbFBLBQYAAAAABgAGAFkBAACtBQAAAAA=&#10;">
                <v:fill on="f" focussize="0,0"/>
                <v:stroke on="f"/>
                <v:imagedata o:title=""/>
                <o:lock v:ext="edit" aspectratio="f"/>
                <v:textbox inset="0mm,0mm,0mm,0mm">
                  <w:txbxContent>
                    <w:p>
                      <w:pPr>
                        <w:jc w:val="center"/>
                        <w:rPr>
                          <w:rFonts w:ascii="楷体" w:hAnsi="楷体" w:eastAsia="楷体"/>
                          <w:b/>
                          <w:spacing w:val="20"/>
                          <w:w w:val="95"/>
                          <w:kern w:val="44"/>
                          <w:sz w:val="28"/>
                          <w:szCs w:val="28"/>
                        </w:rPr>
                      </w:pPr>
                      <w:r>
                        <w:rPr>
                          <w:rFonts w:hint="eastAsia" w:ascii="楷体" w:hAnsi="楷体" w:eastAsia="楷体"/>
                          <w:b/>
                          <w:spacing w:val="20"/>
                          <w:w w:val="95"/>
                          <w:kern w:val="44"/>
                          <w:sz w:val="28"/>
                          <w:szCs w:val="28"/>
                        </w:rPr>
                        <w:t>第××号</w:t>
                      </w:r>
                    </w:p>
                  </w:txbxContent>
                </v:textbox>
              </v:shape>
            </w:pict>
          </mc:Fallback>
        </mc:AlternateContent>
      </w:r>
    </w:p>
    <w:p>
      <w:pPr>
        <w:rPr>
          <w:szCs w:val="23"/>
        </w:rPr>
      </w:pPr>
    </w:p>
    <w:p>
      <w:pPr>
        <w:spacing w:line="300" w:lineRule="auto"/>
        <w:rPr>
          <w:szCs w:val="23"/>
          <w:u w:val="single"/>
        </w:rPr>
      </w:pPr>
    </w:p>
    <w:p>
      <w:pPr>
        <w:spacing w:line="300" w:lineRule="auto"/>
        <w:rPr>
          <w:szCs w:val="23"/>
        </w:rPr>
      </w:pPr>
    </w:p>
    <w:p>
      <w:pPr>
        <w:spacing w:line="300" w:lineRule="auto"/>
        <w:rPr>
          <w:szCs w:val="23"/>
        </w:rPr>
      </w:pPr>
      <w:r>
        <mc:AlternateContent>
          <mc:Choice Requires="wps">
            <w:drawing>
              <wp:anchor distT="0" distB="0" distL="114300" distR="114300" simplePos="0" relativeHeight="251666432" behindDoc="0" locked="0" layoutInCell="1" allowOverlap="1">
                <wp:simplePos x="0" y="0"/>
                <wp:positionH relativeFrom="margin">
                  <wp:posOffset>37465</wp:posOffset>
                </wp:positionH>
                <wp:positionV relativeFrom="margin">
                  <wp:posOffset>2145030</wp:posOffset>
                </wp:positionV>
                <wp:extent cx="5712460" cy="835025"/>
                <wp:effectExtent l="0" t="0" r="0" b="0"/>
                <wp:wrapNone/>
                <wp:docPr id="3"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5712460" cy="1581150"/>
                        </a:xfrm>
                        <a:prstGeom prst="rect">
                          <a:avLst/>
                        </a:prstGeom>
                        <a:noFill/>
                        <a:ln>
                          <a:noFill/>
                        </a:ln>
                        <a:effectLst/>
                      </wps:spPr>
                      <wps:txbx>
                        <w:txbxContent>
                          <w:p>
                            <w:pPr>
                              <w:jc w:val="center"/>
                              <w:rPr>
                                <w:rFonts w:ascii="宋体" w:hAnsi="宋体" w:cs="宋体"/>
                                <w:sz w:val="30"/>
                                <w:szCs w:val="30"/>
                              </w:rPr>
                            </w:pPr>
                            <w:r>
                              <w:rPr>
                                <w:rFonts w:hint="eastAsia" w:ascii="宋体" w:hAnsi="宋体" w:cs="宋体"/>
                                <w:spacing w:val="20"/>
                                <w:w w:val="90"/>
                                <w:kern w:val="44"/>
                                <w:sz w:val="30"/>
                                <w:szCs w:val="30"/>
                              </w:rPr>
                              <w:t>关于发布《</w:t>
                            </w:r>
                            <w:r>
                              <w:rPr>
                                <w:rFonts w:hint="eastAsia" w:ascii="宋体" w:hAnsi="宋体" w:cs="宋体"/>
                                <w:sz w:val="30"/>
                                <w:szCs w:val="30"/>
                              </w:rPr>
                              <w:t>抗浮工程水文</w:t>
                            </w:r>
                          </w:p>
                          <w:p>
                            <w:pPr>
                              <w:jc w:val="center"/>
                              <w:rPr>
                                <w:rFonts w:ascii="宋体" w:hAnsi="宋体" w:cs="宋体"/>
                                <w:spacing w:val="20"/>
                                <w:w w:val="90"/>
                                <w:kern w:val="44"/>
                                <w:sz w:val="30"/>
                                <w:szCs w:val="30"/>
                              </w:rPr>
                            </w:pPr>
                            <w:r>
                              <w:rPr>
                                <w:rFonts w:hint="eastAsia" w:ascii="宋体" w:hAnsi="宋体" w:cs="宋体"/>
                                <w:sz w:val="30"/>
                                <w:szCs w:val="30"/>
                              </w:rPr>
                              <w:t>地质勘察标准</w:t>
                            </w:r>
                            <w:r>
                              <w:rPr>
                                <w:rFonts w:hint="eastAsia" w:ascii="宋体" w:hAnsi="宋体" w:cs="宋体"/>
                                <w:spacing w:val="20"/>
                                <w:w w:val="90"/>
                                <w:kern w:val="44"/>
                                <w:sz w:val="30"/>
                                <w:szCs w:val="30"/>
                              </w:rPr>
                              <w:t>》的公告</w:t>
                            </w:r>
                          </w:p>
                        </w:txbxContent>
                      </wps:txbx>
                      <wps:bodyPr rot="0" vert="horz" wrap="square" lIns="0" tIns="0" rIns="0" bIns="0" anchor="t" anchorCtr="0" upright="1">
                        <a:noAutofit/>
                      </wps:bodyPr>
                    </wps:wsp>
                  </a:graphicData>
                </a:graphic>
              </wp:anchor>
            </w:drawing>
          </mc:Choice>
          <mc:Fallback>
            <w:pict>
              <v:shape id="文本框 961" o:spid="_x0000_s1026" o:spt="202" type="#_x0000_t202" style="position:absolute;left:0pt;margin-left:2.95pt;margin-top:168.9pt;height:65.75pt;width:449.8pt;mso-position-horizontal-relative:margin;mso-position-vertical-relative:margin;z-index:251666432;mso-width-relative:page;mso-height-relative:page;" filled="f" stroked="f" coordsize="21600,21600" o:gfxdata="UEsDBAoAAAAAAIdO4kAAAAAAAAAAAAAAAAAEAAAAZHJzL1BLAwQUAAAACACHTuJAz+nRa9kAAAAJ&#10;AQAADwAAAGRycy9kb3ducmV2LnhtbE2PzU7DMBCE70i8g7VI3KhdQkKTxqkQghMSahoOHJ14m1iN&#10;1yF2f3h7zAmOoxnNfFNuLnZkJ5y9cSRhuRDAkDqnDfUSPprXuxUwHxRpNTpCCd/oYVNdX5Wq0O5M&#10;NZ52oWexhHyhJAwhTAXnvhvQKr9wE1L09m62KkQ591zP6hzL7cjvhci4VYbiwqAmfB6wO+yOVsLT&#10;J9Uv5uu93db72jRNLugtO0h5e7MUa2ABL+EvDL/4ER2qyNS6I2nPRglpHoMSkuQxPoh+LtIUWCvh&#10;IcsT4FXJ/z+ofgBQSwMEFAAAAAgAh07iQCkGvPYVAgAAFgQAAA4AAABkcnMvZTJvRG9jLnhtbK1T&#10;wW4TMRC9I/EPlu9ks4GEssqmKo2KkApUKnyA4/VmLXY9ZuxkN3wA/AEnLtz7XfkOxnYSSrn0wMUa&#10;2zPP8948z8+HrmVbhU6DKXk+GnOmjIRKm3XJP328enbGmfPCVKIFo0q+U46fL54+mfe2UBNooK0U&#10;MgIxruhtyRvvbZFlTjaqE24EVhm6rAE74WmL66xC0RN612aT8XiW9YCVRZDKOTpdpkt+QMTHAEJd&#10;a6mWIDedMj6homqFJ0qu0dbxRey2rpX0H+raKc/akhNTH1d6hOJVWLPFXBRrFLbR8tCCeEwLDzh1&#10;Qht69AS1FF6wDep/oDotERzUfiShyxKRqAixyMcPtLlthFWRC0nt7El09/9g5fvtDTJdlfw5Z0Z0&#10;NPD9j+/7n3f7X9/Yq1keBOqtKyjv1lKmH17DQLaJZJ29BvnZMQOXjTBrdYEIfaNERQ3GyuxeacJx&#10;AWTVv4OKXhIbDxFoqLEL6pEejNBpOLvTcNTgmaTD6ct88mJGV5Lu8ulZnk/j+DJRHMstOv9GQcdC&#10;UHKk6Ud4sb12nohQ6jElvGbgSrdtdEBr/jqgxHSiooUO1YFM6D8x8cNqOIizgmpHtBCSvehzUdAA&#10;fuWsJ2uV3H3ZCFSctW8NSRN8eAzwGKyOgTCSSkvuOUvhpU9+3VjU64aQk/gGLki+WkdiobXUBbEM&#10;G7JL5HuwdvDj/X3M+vOd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Ra9kAAAAJAQAADwAA&#10;AAAAAAABACAAAAAiAAAAZHJzL2Rvd25yZXYueG1sUEsBAhQAFAAAAAgAh07iQCkGvPYVAgAAFgQA&#10;AA4AAAAAAAAAAQAgAAAAKAEAAGRycy9lMm9Eb2MueG1sUEsFBgAAAAAGAAYAWQEAAK8FAAAAAA==&#10;">
                <v:fill on="f" focussize="0,0"/>
                <v:stroke on="f"/>
                <v:imagedata o:title=""/>
                <o:lock v:ext="edit" aspectratio="f"/>
                <v:textbox inset="0mm,0mm,0mm,0mm">
                  <w:txbxContent>
                    <w:p>
                      <w:pPr>
                        <w:jc w:val="center"/>
                        <w:rPr>
                          <w:rFonts w:ascii="宋体" w:hAnsi="宋体" w:cs="宋体"/>
                          <w:sz w:val="30"/>
                          <w:szCs w:val="30"/>
                        </w:rPr>
                      </w:pPr>
                      <w:r>
                        <w:rPr>
                          <w:rFonts w:hint="eastAsia" w:ascii="宋体" w:hAnsi="宋体" w:cs="宋体"/>
                          <w:spacing w:val="20"/>
                          <w:w w:val="90"/>
                          <w:kern w:val="44"/>
                          <w:sz w:val="30"/>
                          <w:szCs w:val="30"/>
                        </w:rPr>
                        <w:t>关于发布《</w:t>
                      </w:r>
                      <w:r>
                        <w:rPr>
                          <w:rFonts w:hint="eastAsia" w:ascii="宋体" w:hAnsi="宋体" w:cs="宋体"/>
                          <w:sz w:val="30"/>
                          <w:szCs w:val="30"/>
                        </w:rPr>
                        <w:t>抗浮工程水文</w:t>
                      </w:r>
                    </w:p>
                    <w:p>
                      <w:pPr>
                        <w:jc w:val="center"/>
                        <w:rPr>
                          <w:rFonts w:ascii="宋体" w:hAnsi="宋体" w:cs="宋体"/>
                          <w:spacing w:val="20"/>
                          <w:w w:val="90"/>
                          <w:kern w:val="44"/>
                          <w:sz w:val="30"/>
                          <w:szCs w:val="30"/>
                        </w:rPr>
                      </w:pPr>
                      <w:r>
                        <w:rPr>
                          <w:rFonts w:hint="eastAsia" w:ascii="宋体" w:hAnsi="宋体" w:cs="宋体"/>
                          <w:sz w:val="30"/>
                          <w:szCs w:val="30"/>
                        </w:rPr>
                        <w:t>地质勘察标准</w:t>
                      </w:r>
                      <w:r>
                        <w:rPr>
                          <w:rFonts w:hint="eastAsia" w:ascii="宋体" w:hAnsi="宋体" w:cs="宋体"/>
                          <w:spacing w:val="20"/>
                          <w:w w:val="90"/>
                          <w:kern w:val="44"/>
                          <w:sz w:val="30"/>
                          <w:szCs w:val="30"/>
                        </w:rPr>
                        <w:t>》的公告</w:t>
                      </w:r>
                    </w:p>
                  </w:txbxContent>
                </v:textbox>
              </v:shape>
            </w:pict>
          </mc:Fallback>
        </mc:AlternateContent>
      </w:r>
    </w:p>
    <w:p>
      <w:pPr>
        <w:spacing w:line="300" w:lineRule="auto"/>
        <w:rPr>
          <w:szCs w:val="23"/>
        </w:rPr>
      </w:pPr>
    </w:p>
    <w:p>
      <w:pPr>
        <w:spacing w:line="300" w:lineRule="auto"/>
        <w:rPr>
          <w:szCs w:val="23"/>
        </w:rPr>
      </w:pPr>
    </w:p>
    <w:p>
      <w:pPr>
        <w:spacing w:line="300" w:lineRule="auto"/>
        <w:rPr>
          <w:szCs w:val="23"/>
        </w:rPr>
      </w:pPr>
    </w:p>
    <w:p>
      <w:pPr>
        <w:spacing w:line="300" w:lineRule="auto"/>
        <w:rPr>
          <w:szCs w:val="23"/>
        </w:rPr>
      </w:pPr>
    </w:p>
    <w:p>
      <w:pPr>
        <w:spacing w:line="300" w:lineRule="auto"/>
        <w:rPr>
          <w:szCs w:val="23"/>
          <w:u w:val="single"/>
        </w:rPr>
      </w:pPr>
      <w:r>
        <mc:AlternateContent>
          <mc:Choice Requires="wps">
            <w:drawing>
              <wp:anchor distT="0" distB="0" distL="114300" distR="114300" simplePos="0" relativeHeight="251665408" behindDoc="0" locked="0" layoutInCell="1" allowOverlap="1">
                <wp:simplePos x="0" y="0"/>
                <wp:positionH relativeFrom="margin">
                  <wp:posOffset>-10160</wp:posOffset>
                </wp:positionH>
                <wp:positionV relativeFrom="paragraph">
                  <wp:posOffset>38735</wp:posOffset>
                </wp:positionV>
                <wp:extent cx="5781675" cy="2872740"/>
                <wp:effectExtent l="0" t="0" r="0" b="3810"/>
                <wp:wrapNone/>
                <wp:docPr id="960"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5781675" cy="2872740"/>
                        </a:xfrm>
                        <a:prstGeom prst="rect">
                          <a:avLst/>
                        </a:prstGeom>
                        <a:noFill/>
                        <a:ln>
                          <a:noFill/>
                        </a:ln>
                        <a:effectLst/>
                      </wps:spPr>
                      <wps:txbx>
                        <w:txbxContent>
                          <w:p>
                            <w:pPr>
                              <w:spacing w:line="300" w:lineRule="auto"/>
                              <w:ind w:right="210"/>
                              <w:rPr>
                                <w:rFonts w:ascii="仿宋" w:hAnsi="仿宋" w:eastAsia="仿宋"/>
                                <w:sz w:val="32"/>
                                <w:szCs w:val="32"/>
                              </w:rPr>
                            </w:pPr>
                            <w:r>
                              <w:rPr>
                                <w:rFonts w:hint="eastAsia" w:ascii="仿宋" w:hAnsi="仿宋" w:eastAsia="仿宋"/>
                                <w:sz w:val="32"/>
                                <w:szCs w:val="32"/>
                              </w:rPr>
                              <w:t xml:space="preserve">    根据</w:t>
                            </w:r>
                            <w:r>
                              <w:rPr>
                                <w:rFonts w:eastAsia="仿宋"/>
                                <w:sz w:val="32"/>
                                <w:szCs w:val="32"/>
                              </w:rPr>
                              <w:t>中国</w:t>
                            </w:r>
                            <w:r>
                              <w:rPr>
                                <w:rFonts w:hint="eastAsia" w:eastAsia="仿宋"/>
                                <w:sz w:val="32"/>
                                <w:szCs w:val="32"/>
                              </w:rPr>
                              <w:t>工程建设标准化协会</w:t>
                            </w:r>
                            <w:r>
                              <w:rPr>
                                <w:rFonts w:hint="eastAsia" w:ascii="仿宋" w:hAnsi="仿宋" w:eastAsia="仿宋"/>
                                <w:sz w:val="32"/>
                                <w:szCs w:val="32"/>
                              </w:rPr>
                              <w:t>《关于印发</w:t>
                            </w:r>
                            <w:r>
                              <w:rPr>
                                <w:rFonts w:ascii="仿宋" w:hAnsi="仿宋" w:eastAsia="仿宋"/>
                                <w:sz w:val="32"/>
                                <w:szCs w:val="32"/>
                              </w:rPr>
                              <w:t>&lt;</w:t>
                            </w:r>
                            <w:r>
                              <w:rPr>
                                <w:rFonts w:hint="eastAsia" w:ascii="仿宋" w:hAnsi="仿宋" w:eastAsia="仿宋"/>
                                <w:sz w:val="32"/>
                                <w:szCs w:val="32"/>
                              </w:rPr>
                              <w:t>202</w:t>
                            </w:r>
                            <w:r>
                              <w:rPr>
                                <w:rFonts w:hint="eastAsia" w:ascii="仿宋" w:hAnsi="仿宋" w:eastAsia="仿宋"/>
                                <w:sz w:val="32"/>
                                <w:szCs w:val="32"/>
                                <w:lang w:val="en-US" w:eastAsia="zh-CN"/>
                              </w:rPr>
                              <w:t>1</w:t>
                            </w:r>
                            <w:r>
                              <w:rPr>
                                <w:rFonts w:hint="eastAsia" w:ascii="仿宋" w:hAnsi="仿宋" w:eastAsia="仿宋"/>
                                <w:sz w:val="32"/>
                                <w:szCs w:val="32"/>
                              </w:rPr>
                              <w:t>年第</w:t>
                            </w:r>
                            <w:r>
                              <w:rPr>
                                <w:rFonts w:hint="eastAsia" w:ascii="仿宋" w:hAnsi="仿宋" w:eastAsia="仿宋"/>
                                <w:sz w:val="32"/>
                                <w:szCs w:val="32"/>
                                <w:lang w:val="en-US" w:eastAsia="zh-CN"/>
                              </w:rPr>
                              <w:t>二</w:t>
                            </w:r>
                            <w:r>
                              <w:rPr>
                                <w:rFonts w:hint="eastAsia" w:ascii="仿宋" w:hAnsi="仿宋" w:eastAsia="仿宋"/>
                                <w:sz w:val="32"/>
                                <w:szCs w:val="32"/>
                              </w:rPr>
                              <w:t>批协会标准制订、修订计划&gt;的通知》（建标协字〔202</w:t>
                            </w:r>
                            <w:r>
                              <w:rPr>
                                <w:rFonts w:hint="eastAsia" w:ascii="仿宋" w:hAnsi="仿宋" w:eastAsia="仿宋"/>
                                <w:sz w:val="32"/>
                                <w:szCs w:val="32"/>
                                <w:lang w:val="en-US" w:eastAsia="zh-CN"/>
                              </w:rPr>
                              <w:t>1</w:t>
                            </w:r>
                            <w:r>
                              <w:rPr>
                                <w:rFonts w:hint="eastAsia" w:ascii="仿宋" w:hAnsi="仿宋" w:eastAsia="仿宋"/>
                                <w:sz w:val="32"/>
                                <w:szCs w:val="32"/>
                              </w:rPr>
                              <w:t>〕</w:t>
                            </w:r>
                            <w:r>
                              <w:rPr>
                                <w:rFonts w:hint="eastAsia" w:ascii="仿宋" w:hAnsi="仿宋" w:eastAsia="仿宋"/>
                                <w:sz w:val="32"/>
                                <w:szCs w:val="32"/>
                                <w:lang w:val="en-US" w:eastAsia="zh-CN"/>
                              </w:rPr>
                              <w:t>20</w:t>
                            </w:r>
                            <w:r>
                              <w:rPr>
                                <w:rFonts w:hint="eastAsia" w:ascii="仿宋" w:hAnsi="仿宋" w:eastAsia="仿宋"/>
                                <w:sz w:val="32"/>
                                <w:szCs w:val="32"/>
                              </w:rPr>
                              <w:t>号）的要求，由中国建筑西南勘察设计研究院有限公司等单位编制的《抗浮工程水文地质勘察标准》，经中国工程建设标准化协会组织审查，现批准发布，编号为T/CECS×××-20××,自20××年××月××日起施行。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8pt;margin-top:3.05pt;height:226.2pt;width:455.25pt;mso-position-horizontal-relative:margin;z-index:251665408;mso-width-relative:page;mso-height-relative:page;" filled="f" stroked="f" coordsize="21600,21600" o:gfxdata="UEsDBAoAAAAAAIdO4kAAAAAAAAAAAAAAAAAEAAAAZHJzL1BLAwQUAAAACACHTuJAN4ijF9YAAAAI&#10;AQAADwAAAGRycy9kb3ducmV2LnhtbE2PwU7DMBBE70j8g7WVuLV2UBMlIZseQFxBlILEzY23SdR4&#10;HcVuE/4ec4LjaEYzb6rdYgdxpcn3jhGSjQJB3DjTc4tweH9e5yB80Gz04JgQvsnDrr69qXRp3Mxv&#10;dN2HVsQS9qVG6EIYSyl905HVfuNG4uid3GR1iHJqpZn0HMvtIO+VyqTVPceFTo/02FFz3l8swsfL&#10;6etzq17bJ5uOs1uUZFtIxLtVoh5ABFrCXxh+8SM61JHp6C5svBgQ1kkWkwhZAiLahcoLEEeEbZqn&#10;IOtK/j9Q/wBQSwMEFAAAAAgAh07iQFdhpOQfAgAAKAQAAA4AAABkcnMvZTJvRG9jLnhtbK1TS27b&#10;MBDdF+gdCO5r2YZ/ESwHaYwUBdIPkPQANEVZRCUOO6QtuQdob9BVN933XD5HhpTiuukmi24Ecmb4&#10;5r03o+VlW1dsr9BpMBkfDYacKSMh12ab8U/3N68WnDkvTC4qMCrjB+X45erli2VjUzWGEqpcISMQ&#10;49LGZrz03qZJ4mSpauEGYJWhZAFYC09X3CY5iobQ6yoZD4ezpAHMLYJUzlF03SV5j4jPAYSi0FKt&#10;Qe5qZXyHiqoSniS5UlvHV5FtUSjpPxSFU55VGSelPn6pCZ034ZusliLdorCllj0F8RwKTzTVQhtq&#10;eoJaCy/YDvU/ULWWCA4KP5BQJ52Q6AipGA2feHNXCquiFrLa2ZPp7v/Byvf7j8h0nvGLGXliRE0j&#10;P/74fvz5+/jrGwtBsqixLqXKO0u1vn0NLS1OlOvsLcjPjhm4LoXZqitEaEolcqI4Ci+Ts6cdjgsg&#10;m+Yd5NRJ7DxEoLbAOvhHjjBCJyqH03hU65mk4HS+GM3mU84k5caL+Xg+iewSkT4+t+j8GwU1C4eM&#10;I80/wov9rfOBjkgfS0I3Aze6quIOVOavABV2ERWXqH8dxAT+nRLfbtrenA3kB5KF0C0Y/V50KAG/&#10;ctbQcmXcfdkJVJxVbw1ZczGaEHXm42UynY/pgueZzXlGGElQGfecdcdr323wzqLeltSpG4aBK7Kz&#10;0FFooNqx6odACxT198seNvT8Hqv+/OCr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eIoxfWAAAA&#10;CAEAAA8AAAAAAAAAAQAgAAAAIgAAAGRycy9kb3ducmV2LnhtbFBLAQIUABQAAAAIAIdO4kBXYaTk&#10;HwIAACgEAAAOAAAAAAAAAAEAIAAAACUBAABkcnMvZTJvRG9jLnhtbFBLBQYAAAAABgAGAFkBAAC2&#10;BQAAAAA=&#10;">
                <v:fill on="f" focussize="0,0"/>
                <v:stroke on="f"/>
                <v:imagedata o:title=""/>
                <o:lock v:ext="edit" aspectratio="f"/>
                <v:textbox>
                  <w:txbxContent>
                    <w:p>
                      <w:pPr>
                        <w:spacing w:line="300" w:lineRule="auto"/>
                        <w:ind w:right="210"/>
                        <w:rPr>
                          <w:rFonts w:ascii="仿宋" w:hAnsi="仿宋" w:eastAsia="仿宋"/>
                          <w:sz w:val="32"/>
                          <w:szCs w:val="32"/>
                        </w:rPr>
                      </w:pPr>
                      <w:r>
                        <w:rPr>
                          <w:rFonts w:hint="eastAsia" w:ascii="仿宋" w:hAnsi="仿宋" w:eastAsia="仿宋"/>
                          <w:sz w:val="32"/>
                          <w:szCs w:val="32"/>
                        </w:rPr>
                        <w:t xml:space="preserve">    根据</w:t>
                      </w:r>
                      <w:r>
                        <w:rPr>
                          <w:rFonts w:eastAsia="仿宋"/>
                          <w:sz w:val="32"/>
                          <w:szCs w:val="32"/>
                        </w:rPr>
                        <w:t>中国</w:t>
                      </w:r>
                      <w:r>
                        <w:rPr>
                          <w:rFonts w:hint="eastAsia" w:eastAsia="仿宋"/>
                          <w:sz w:val="32"/>
                          <w:szCs w:val="32"/>
                        </w:rPr>
                        <w:t>工程建设标准化协会</w:t>
                      </w:r>
                      <w:r>
                        <w:rPr>
                          <w:rFonts w:hint="eastAsia" w:ascii="仿宋" w:hAnsi="仿宋" w:eastAsia="仿宋"/>
                          <w:sz w:val="32"/>
                          <w:szCs w:val="32"/>
                        </w:rPr>
                        <w:t>《关于印发</w:t>
                      </w:r>
                      <w:r>
                        <w:rPr>
                          <w:rFonts w:ascii="仿宋" w:hAnsi="仿宋" w:eastAsia="仿宋"/>
                          <w:sz w:val="32"/>
                          <w:szCs w:val="32"/>
                        </w:rPr>
                        <w:t>&lt;</w:t>
                      </w:r>
                      <w:r>
                        <w:rPr>
                          <w:rFonts w:hint="eastAsia" w:ascii="仿宋" w:hAnsi="仿宋" w:eastAsia="仿宋"/>
                          <w:sz w:val="32"/>
                          <w:szCs w:val="32"/>
                        </w:rPr>
                        <w:t>202</w:t>
                      </w:r>
                      <w:r>
                        <w:rPr>
                          <w:rFonts w:hint="eastAsia" w:ascii="仿宋" w:hAnsi="仿宋" w:eastAsia="仿宋"/>
                          <w:sz w:val="32"/>
                          <w:szCs w:val="32"/>
                          <w:lang w:val="en-US" w:eastAsia="zh-CN"/>
                        </w:rPr>
                        <w:t>1</w:t>
                      </w:r>
                      <w:r>
                        <w:rPr>
                          <w:rFonts w:hint="eastAsia" w:ascii="仿宋" w:hAnsi="仿宋" w:eastAsia="仿宋"/>
                          <w:sz w:val="32"/>
                          <w:szCs w:val="32"/>
                        </w:rPr>
                        <w:t>年第</w:t>
                      </w:r>
                      <w:r>
                        <w:rPr>
                          <w:rFonts w:hint="eastAsia" w:ascii="仿宋" w:hAnsi="仿宋" w:eastAsia="仿宋"/>
                          <w:sz w:val="32"/>
                          <w:szCs w:val="32"/>
                          <w:lang w:val="en-US" w:eastAsia="zh-CN"/>
                        </w:rPr>
                        <w:t>二</w:t>
                      </w:r>
                      <w:r>
                        <w:rPr>
                          <w:rFonts w:hint="eastAsia" w:ascii="仿宋" w:hAnsi="仿宋" w:eastAsia="仿宋"/>
                          <w:sz w:val="32"/>
                          <w:szCs w:val="32"/>
                        </w:rPr>
                        <w:t>批协会标准制订、修订计划&gt;的通知》（建标协字〔202</w:t>
                      </w:r>
                      <w:r>
                        <w:rPr>
                          <w:rFonts w:hint="eastAsia" w:ascii="仿宋" w:hAnsi="仿宋" w:eastAsia="仿宋"/>
                          <w:sz w:val="32"/>
                          <w:szCs w:val="32"/>
                          <w:lang w:val="en-US" w:eastAsia="zh-CN"/>
                        </w:rPr>
                        <w:t>1</w:t>
                      </w:r>
                      <w:r>
                        <w:rPr>
                          <w:rFonts w:hint="eastAsia" w:ascii="仿宋" w:hAnsi="仿宋" w:eastAsia="仿宋"/>
                          <w:sz w:val="32"/>
                          <w:szCs w:val="32"/>
                        </w:rPr>
                        <w:t>〕</w:t>
                      </w:r>
                      <w:r>
                        <w:rPr>
                          <w:rFonts w:hint="eastAsia" w:ascii="仿宋" w:hAnsi="仿宋" w:eastAsia="仿宋"/>
                          <w:sz w:val="32"/>
                          <w:szCs w:val="32"/>
                          <w:lang w:val="en-US" w:eastAsia="zh-CN"/>
                        </w:rPr>
                        <w:t>20</w:t>
                      </w:r>
                      <w:r>
                        <w:rPr>
                          <w:rFonts w:hint="eastAsia" w:ascii="仿宋" w:hAnsi="仿宋" w:eastAsia="仿宋"/>
                          <w:sz w:val="32"/>
                          <w:szCs w:val="32"/>
                        </w:rPr>
                        <w:t>号）的要求，由中国建筑西南勘察设计研究院有限公司等单位编制的《抗浮工程水文地质勘察标准》，经中国工程建设标准化协会组织审查，现批准发布，编号为T/CECS×××-20××,自20××年××月××日起施行。</w:t>
                      </w:r>
                    </w:p>
                  </w:txbxContent>
                </v:textbox>
              </v:shape>
            </w:pict>
          </mc:Fallback>
        </mc:AlternateContent>
      </w: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rPr>
          <w:szCs w:val="23"/>
          <w:u w:val="single"/>
        </w:rPr>
      </w:pPr>
    </w:p>
    <w:p>
      <w:pPr>
        <w:spacing w:line="300" w:lineRule="auto"/>
        <w:jc w:val="right"/>
        <w:rPr>
          <w:rFonts w:eastAsia="仿宋"/>
          <w:sz w:val="32"/>
          <w:szCs w:val="32"/>
        </w:rPr>
      </w:pPr>
      <w:r>
        <w:rPr>
          <w:rFonts w:eastAsia="仿宋"/>
          <w:sz w:val="32"/>
          <w:szCs w:val="32"/>
        </w:rPr>
        <w:t>中国</w:t>
      </w:r>
      <w:r>
        <w:rPr>
          <w:rFonts w:hint="eastAsia" w:eastAsia="仿宋"/>
          <w:sz w:val="32"/>
          <w:szCs w:val="32"/>
        </w:rPr>
        <w:t>工程建设标准化协会</w:t>
      </w:r>
    </w:p>
    <w:p>
      <w:pPr>
        <w:spacing w:line="300" w:lineRule="auto"/>
        <w:ind w:right="320"/>
        <w:jc w:val="right"/>
        <w:rPr>
          <w:rFonts w:eastAsia="仿宋"/>
          <w:sz w:val="32"/>
          <w:szCs w:val="32"/>
        </w:rPr>
      </w:pPr>
      <w:r>
        <w:rPr>
          <w:rFonts w:hint="eastAsia" w:eastAsia="仿宋"/>
          <w:sz w:val="32"/>
          <w:szCs w:val="32"/>
        </w:rPr>
        <w:t xml:space="preserve">   </w:t>
      </w:r>
      <w:r>
        <w:rPr>
          <w:rFonts w:eastAsia="仿宋"/>
          <w:sz w:val="32"/>
          <w:szCs w:val="32"/>
        </w:rPr>
        <w:t>20</w:t>
      </w:r>
      <w:r>
        <w:rPr>
          <w:rFonts w:hint="eastAsia" w:ascii="仿宋" w:hAnsi="仿宋" w:eastAsia="仿宋"/>
          <w:szCs w:val="24"/>
        </w:rPr>
        <w:t>××</w:t>
      </w:r>
      <w:r>
        <w:rPr>
          <w:rFonts w:eastAsia="仿宋"/>
          <w:sz w:val="32"/>
          <w:szCs w:val="32"/>
        </w:rPr>
        <w:t>年</w:t>
      </w:r>
      <w:r>
        <w:rPr>
          <w:rFonts w:hint="eastAsia" w:ascii="仿宋" w:hAnsi="仿宋" w:eastAsia="仿宋"/>
          <w:szCs w:val="24"/>
        </w:rPr>
        <w:t>××</w:t>
      </w:r>
      <w:r>
        <w:rPr>
          <w:rFonts w:eastAsia="仿宋"/>
          <w:sz w:val="32"/>
          <w:szCs w:val="32"/>
        </w:rPr>
        <w:t>月</w:t>
      </w:r>
      <w:r>
        <w:rPr>
          <w:rFonts w:hint="eastAsia" w:ascii="仿宋" w:hAnsi="仿宋" w:eastAsia="仿宋"/>
          <w:szCs w:val="24"/>
        </w:rPr>
        <w:t>××</w:t>
      </w:r>
      <w:r>
        <w:rPr>
          <w:rFonts w:eastAsia="仿宋"/>
          <w:sz w:val="32"/>
          <w:szCs w:val="32"/>
        </w:rPr>
        <w:t>日</w:t>
      </w:r>
    </w:p>
    <w:p>
      <w:pPr>
        <w:tabs>
          <w:tab w:val="center" w:pos="4535"/>
          <w:tab w:val="left" w:pos="5350"/>
        </w:tabs>
        <w:spacing w:before="360" w:beforeLines="150" w:after="288" w:afterLines="120"/>
        <w:jc w:val="center"/>
        <w:rPr>
          <w:rFonts w:eastAsia="黑体"/>
          <w:kern w:val="44"/>
          <w:sz w:val="32"/>
          <w:szCs w:val="32"/>
        </w:rPr>
        <w:sectPr>
          <w:headerReference r:id="rId17" w:type="first"/>
          <w:headerReference r:id="rId15" w:type="default"/>
          <w:headerReference r:id="rId16" w:type="even"/>
          <w:pgSz w:w="11906" w:h="16838"/>
          <w:pgMar w:top="1134" w:right="1134" w:bottom="1134" w:left="1701" w:header="794" w:footer="992" w:gutter="0"/>
          <w:pgNumType w:fmt="upperRoman"/>
          <w:cols w:space="425" w:num="1"/>
          <w:docGrid w:linePitch="312" w:charSpace="0"/>
        </w:sectPr>
      </w:pPr>
    </w:p>
    <w:p>
      <w:pPr>
        <w:widowControl/>
        <w:spacing w:before="1872" w:beforeLines="600" w:after="1248" w:afterLines="400"/>
        <w:jc w:val="center"/>
        <w:rPr>
          <w:rFonts w:eastAsia="方正小标宋简体"/>
          <w:kern w:val="44"/>
          <w:sz w:val="32"/>
          <w:szCs w:val="32"/>
        </w:rPr>
      </w:pPr>
      <w:r>
        <w:rPr>
          <w:rFonts w:eastAsia="方正小标宋简体"/>
          <w:kern w:val="44"/>
          <w:sz w:val="32"/>
          <w:szCs w:val="32"/>
        </w:rPr>
        <w:t>前    言</w:t>
      </w:r>
    </w:p>
    <w:p>
      <w:pPr>
        <w:ind w:firstLine="480" w:firstLineChars="200"/>
        <w:rPr>
          <w:rFonts w:cs="宋体"/>
          <w:szCs w:val="24"/>
        </w:rPr>
      </w:pPr>
      <w:r>
        <w:rPr>
          <w:rFonts w:hint="eastAsia" w:cs="宋体"/>
          <w:szCs w:val="24"/>
        </w:rPr>
        <w:t>根据中国工程建设标准化协会《关于印发&lt;202</w:t>
      </w:r>
      <w:r>
        <w:rPr>
          <w:rFonts w:hint="eastAsia" w:cs="宋体"/>
          <w:szCs w:val="24"/>
          <w:lang w:val="en-US" w:eastAsia="zh-CN"/>
        </w:rPr>
        <w:t>1</w:t>
      </w:r>
      <w:r>
        <w:rPr>
          <w:rFonts w:hint="eastAsia" w:cs="宋体"/>
          <w:szCs w:val="24"/>
        </w:rPr>
        <w:t>年第</w:t>
      </w:r>
      <w:r>
        <w:rPr>
          <w:rFonts w:hint="eastAsia" w:cs="宋体"/>
          <w:szCs w:val="24"/>
          <w:lang w:val="en-US" w:eastAsia="zh-CN"/>
        </w:rPr>
        <w:t>二</w:t>
      </w:r>
      <w:r>
        <w:rPr>
          <w:rFonts w:hint="eastAsia" w:cs="宋体"/>
          <w:szCs w:val="24"/>
        </w:rPr>
        <w:t>批协会标准制订、修订计划&gt;的通知》（建标协字</w:t>
      </w:r>
      <w:bookmarkStart w:id="2" w:name="_Hlk107920172"/>
      <w:r>
        <w:rPr>
          <w:rFonts w:hint="eastAsia" w:ascii="宋体" w:hAnsi="宋体" w:cs="宋体"/>
          <w:szCs w:val="24"/>
        </w:rPr>
        <w:t>〔</w:t>
      </w:r>
      <w:r>
        <w:rPr>
          <w:rFonts w:hint="eastAsia" w:cs="宋体"/>
          <w:szCs w:val="24"/>
        </w:rPr>
        <w:t>202</w:t>
      </w:r>
      <w:r>
        <w:rPr>
          <w:rFonts w:hint="eastAsia" w:cs="宋体"/>
          <w:szCs w:val="24"/>
          <w:lang w:val="en-US" w:eastAsia="zh-CN"/>
        </w:rPr>
        <w:t>1</w:t>
      </w:r>
      <w:r>
        <w:rPr>
          <w:rFonts w:hint="eastAsia" w:ascii="宋体" w:hAnsi="宋体" w:cs="宋体"/>
          <w:szCs w:val="24"/>
        </w:rPr>
        <w:t>〕</w:t>
      </w:r>
      <w:bookmarkEnd w:id="2"/>
      <w:r>
        <w:rPr>
          <w:rFonts w:hint="eastAsia" w:cs="宋体"/>
          <w:szCs w:val="24"/>
          <w:lang w:val="en-US" w:eastAsia="zh-CN"/>
        </w:rPr>
        <w:t>20</w:t>
      </w:r>
      <w:r>
        <w:rPr>
          <w:rFonts w:hint="eastAsia" w:cs="宋体"/>
          <w:szCs w:val="24"/>
        </w:rPr>
        <w:t>号）的要求，编制组经深入调查研究，认真总结实践经验，参考国内外先进标准，并在广泛征求意见的基础上，制定本标准。</w:t>
      </w:r>
    </w:p>
    <w:p>
      <w:pPr>
        <w:ind w:firstLine="480" w:firstLineChars="200"/>
        <w:rPr>
          <w:rFonts w:cs="宋体"/>
          <w:szCs w:val="24"/>
        </w:rPr>
      </w:pPr>
      <w:r>
        <w:rPr>
          <w:rFonts w:hint="eastAsia" w:cs="宋体"/>
          <w:szCs w:val="24"/>
        </w:rPr>
        <w:t>本标准共分7章和3个附录，主要内容包括：总则、术语和符号、基本规定、资料收集与调查、勘探与试验、抗浮分析与评价、既有工程等。</w:t>
      </w:r>
    </w:p>
    <w:p>
      <w:pPr>
        <w:ind w:firstLine="480" w:firstLineChars="200"/>
        <w:rPr>
          <w:rFonts w:cs="宋体"/>
          <w:szCs w:val="24"/>
        </w:rPr>
      </w:pPr>
      <w:r>
        <w:rPr>
          <w:rFonts w:hint="eastAsia" w:cs="宋体"/>
          <w:szCs w:val="24"/>
        </w:rPr>
        <w:t>本标准的某些内容可能直接或间接涉及专利，本标准的发布机构不承担识别这些专利的责任。</w:t>
      </w:r>
    </w:p>
    <w:p>
      <w:pPr>
        <w:ind w:firstLine="480" w:firstLineChars="200"/>
        <w:rPr>
          <w:rFonts w:cs="宋体"/>
          <w:szCs w:val="24"/>
        </w:rPr>
      </w:pPr>
      <w:r>
        <w:rPr>
          <w:rFonts w:hint="eastAsia" w:cs="宋体"/>
          <w:szCs w:val="24"/>
        </w:rPr>
        <w:t>本标准由中国工程建设标准化协会</w:t>
      </w:r>
      <w:r>
        <w:rPr>
          <w:rFonts w:hint="eastAsia" w:ascii="宋体" w:hAnsi="宋体" w:cs="宋体"/>
          <w:szCs w:val="24"/>
        </w:rPr>
        <w:t>勘测专业委员会</w:t>
      </w:r>
      <w:r>
        <w:rPr>
          <w:rFonts w:hint="eastAsia" w:cs="宋体"/>
          <w:szCs w:val="24"/>
        </w:rPr>
        <w:t>归口管理，由中国建筑西南勘察设计研究院有限公司负责具体技术内容的解释。执行过程中，如有意见或建议，请反馈给中国建筑西南勘察设计研究院有限公司（地址：四川省成都市成华区航天路3</w:t>
      </w:r>
      <w:r>
        <w:rPr>
          <w:rFonts w:cs="宋体"/>
          <w:szCs w:val="24"/>
        </w:rPr>
        <w:t>3</w:t>
      </w:r>
      <w:r>
        <w:rPr>
          <w:rFonts w:hint="eastAsia" w:cs="宋体"/>
          <w:szCs w:val="24"/>
        </w:rPr>
        <w:t>号，邮编：6</w:t>
      </w:r>
      <w:r>
        <w:rPr>
          <w:rFonts w:cs="宋体"/>
          <w:szCs w:val="24"/>
        </w:rPr>
        <w:t>10052</w:t>
      </w:r>
      <w:r>
        <w:rPr>
          <w:rFonts w:hint="eastAsia" w:cs="宋体"/>
          <w:szCs w:val="24"/>
        </w:rPr>
        <w:t>，邮箱：</w:t>
      </w:r>
      <w:r>
        <w:rPr>
          <w:rFonts w:cs="宋体"/>
          <w:szCs w:val="24"/>
        </w:rPr>
        <w:t>zjxkyjsbz@cscec.com</w:t>
      </w:r>
      <w:r>
        <w:rPr>
          <w:rFonts w:hint="eastAsia" w:cs="宋体"/>
          <w:szCs w:val="24"/>
        </w:rPr>
        <w:t>）。</w:t>
      </w:r>
    </w:p>
    <w:p>
      <w:pPr>
        <w:ind w:firstLine="480" w:firstLineChars="200"/>
        <w:jc w:val="left"/>
        <w:rPr>
          <w:szCs w:val="24"/>
        </w:rPr>
      </w:pPr>
    </w:p>
    <w:tbl>
      <w:tblPr>
        <w:tblStyle w:val="24"/>
        <w:tblW w:w="8364" w:type="dxa"/>
        <w:tblInd w:w="288" w:type="dxa"/>
        <w:tblLayout w:type="fixed"/>
        <w:tblCellMar>
          <w:top w:w="0" w:type="dxa"/>
          <w:left w:w="0" w:type="dxa"/>
          <w:bottom w:w="0" w:type="dxa"/>
          <w:right w:w="0" w:type="dxa"/>
        </w:tblCellMar>
      </w:tblPr>
      <w:tblGrid>
        <w:gridCol w:w="1272"/>
        <w:gridCol w:w="425"/>
        <w:gridCol w:w="1111"/>
        <w:gridCol w:w="1111"/>
        <w:gridCol w:w="1111"/>
        <w:gridCol w:w="1111"/>
        <w:gridCol w:w="1111"/>
        <w:gridCol w:w="1112"/>
      </w:tblGrid>
      <w:tr>
        <w:tblPrEx>
          <w:tblCellMar>
            <w:top w:w="0" w:type="dxa"/>
            <w:left w:w="0" w:type="dxa"/>
            <w:bottom w:w="0" w:type="dxa"/>
            <w:right w:w="0" w:type="dxa"/>
          </w:tblCellMar>
        </w:tblPrEx>
        <w:trPr>
          <w:trHeight w:val="397" w:hRule="exact"/>
        </w:trPr>
        <w:tc>
          <w:tcPr>
            <w:tcW w:w="1272" w:type="dxa"/>
            <w:vAlign w:val="center"/>
          </w:tcPr>
          <w:p>
            <w:pPr>
              <w:jc w:val="center"/>
              <w:rPr>
                <w:szCs w:val="24"/>
              </w:rPr>
            </w:pPr>
            <w:r>
              <w:rPr>
                <w:rFonts w:hint="eastAsia"/>
                <w:szCs w:val="24"/>
              </w:rPr>
              <w:t>主编单位</w:t>
            </w:r>
          </w:p>
        </w:tc>
        <w:tc>
          <w:tcPr>
            <w:tcW w:w="425" w:type="dxa"/>
            <w:shd w:val="clear" w:color="auto" w:fill="auto"/>
            <w:noWrap/>
            <w:vAlign w:val="center"/>
          </w:tcPr>
          <w:p>
            <w:pPr>
              <w:rPr>
                <w:szCs w:val="24"/>
              </w:rPr>
            </w:pPr>
            <w:r>
              <w:rPr>
                <w:rFonts w:hint="eastAsia"/>
                <w:szCs w:val="24"/>
              </w:rPr>
              <w:t>：</w:t>
            </w:r>
          </w:p>
        </w:tc>
        <w:tc>
          <w:tcPr>
            <w:tcW w:w="6667" w:type="dxa"/>
            <w:gridSpan w:val="6"/>
            <w:shd w:val="clear" w:color="auto" w:fill="auto"/>
            <w:noWrap/>
            <w:vAlign w:val="center"/>
          </w:tcPr>
          <w:p>
            <w:pPr>
              <w:rPr>
                <w:szCs w:val="24"/>
              </w:rPr>
            </w:pPr>
            <w:r>
              <w:rPr>
                <w:rFonts w:hint="eastAsia"/>
                <w:szCs w:val="24"/>
              </w:rPr>
              <w:t>中国建筑西南勘察设计研究院有限公司</w:t>
            </w:r>
          </w:p>
          <w:p>
            <w:pPr>
              <w:rPr>
                <w:szCs w:val="24"/>
              </w:rPr>
            </w:pP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jc w:val="distribute"/>
              <w:rPr>
                <w:szCs w:val="24"/>
              </w:rPr>
            </w:pPr>
          </w:p>
        </w:tc>
        <w:tc>
          <w:tcPr>
            <w:tcW w:w="6667" w:type="dxa"/>
            <w:gridSpan w:val="6"/>
            <w:shd w:val="clear" w:color="auto" w:fill="auto"/>
            <w:noWrap/>
            <w:vAlign w:val="center"/>
          </w:tcPr>
          <w:p>
            <w:pPr>
              <w:rPr>
                <w:szCs w:val="24"/>
              </w:rPr>
            </w:pPr>
          </w:p>
        </w:tc>
      </w:tr>
      <w:tr>
        <w:trPr>
          <w:trHeight w:val="397" w:hRule="exact"/>
        </w:trPr>
        <w:tc>
          <w:tcPr>
            <w:tcW w:w="1272" w:type="dxa"/>
            <w:vAlign w:val="center"/>
          </w:tcPr>
          <w:p>
            <w:pPr>
              <w:jc w:val="center"/>
              <w:rPr>
                <w:szCs w:val="24"/>
              </w:rPr>
            </w:pPr>
            <w:r>
              <w:rPr>
                <w:rFonts w:hint="eastAsia"/>
                <w:szCs w:val="24"/>
              </w:rPr>
              <w:t>参编单位</w:t>
            </w:r>
          </w:p>
        </w:tc>
        <w:tc>
          <w:tcPr>
            <w:tcW w:w="425" w:type="dxa"/>
            <w:shd w:val="clear" w:color="auto" w:fill="auto"/>
            <w:noWrap/>
            <w:vAlign w:val="center"/>
          </w:tcPr>
          <w:p>
            <w:pPr>
              <w:rPr>
                <w:szCs w:val="24"/>
              </w:rPr>
            </w:pPr>
            <w:r>
              <w:rPr>
                <w:rFonts w:hint="eastAsia"/>
                <w:szCs w:val="24"/>
              </w:rPr>
              <w:t>：</w:t>
            </w:r>
          </w:p>
        </w:tc>
        <w:tc>
          <w:tcPr>
            <w:tcW w:w="6667" w:type="dxa"/>
            <w:gridSpan w:val="6"/>
            <w:shd w:val="clear" w:color="auto" w:fill="auto"/>
            <w:noWrap/>
            <w:vAlign w:val="center"/>
          </w:tcPr>
          <w:p>
            <w:pPr>
              <w:rPr>
                <w:szCs w:val="24"/>
              </w:rPr>
            </w:pPr>
            <w:r>
              <w:rPr>
                <w:rFonts w:hint="eastAsia"/>
                <w:szCs w:val="24"/>
              </w:rPr>
              <w:t>浙江大学</w:t>
            </w: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jc w:val="distribute"/>
              <w:rPr>
                <w:szCs w:val="24"/>
              </w:rPr>
            </w:pPr>
          </w:p>
        </w:tc>
        <w:tc>
          <w:tcPr>
            <w:tcW w:w="6667" w:type="dxa"/>
            <w:gridSpan w:val="6"/>
            <w:shd w:val="clear" w:color="auto" w:fill="auto"/>
            <w:noWrap/>
            <w:vAlign w:val="center"/>
          </w:tcPr>
          <w:p>
            <w:pPr>
              <w:rPr>
                <w:szCs w:val="24"/>
              </w:rPr>
            </w:pPr>
            <w:r>
              <w:rPr>
                <w:rFonts w:hint="eastAsia"/>
                <w:szCs w:val="24"/>
              </w:rPr>
              <w:t>北京市勘察设计研究院有限公司</w:t>
            </w:r>
          </w:p>
          <w:p>
            <w:pPr>
              <w:rPr>
                <w:szCs w:val="24"/>
              </w:rPr>
            </w:pPr>
            <w:r>
              <w:rPr>
                <w:rFonts w:hint="eastAsia"/>
                <w:szCs w:val="24"/>
              </w:rPr>
              <w:t>公司</w:t>
            </w:r>
          </w:p>
          <w:p>
            <w:pPr>
              <w:rPr>
                <w:szCs w:val="24"/>
              </w:rPr>
            </w:pPr>
            <w:r>
              <w:rPr>
                <w:rFonts w:hint="eastAsia"/>
                <w:szCs w:val="24"/>
              </w:rPr>
              <w:t>计研究院有限</w:t>
            </w:r>
          </w:p>
          <w:p>
            <w:pPr>
              <w:rPr>
                <w:szCs w:val="24"/>
              </w:rPr>
            </w:pPr>
            <w:r>
              <w:rPr>
                <w:rFonts w:hint="eastAsia"/>
                <w:szCs w:val="24"/>
              </w:rPr>
              <w:t>公司</w:t>
            </w: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jc w:val="distribute"/>
              <w:rPr>
                <w:szCs w:val="24"/>
              </w:rPr>
            </w:pPr>
          </w:p>
        </w:tc>
        <w:tc>
          <w:tcPr>
            <w:tcW w:w="6667" w:type="dxa"/>
            <w:gridSpan w:val="6"/>
            <w:shd w:val="clear" w:color="auto" w:fill="auto"/>
            <w:noWrap/>
            <w:vAlign w:val="center"/>
          </w:tcPr>
          <w:p>
            <w:pPr>
              <w:rPr>
                <w:szCs w:val="24"/>
              </w:rPr>
            </w:pPr>
            <w:r>
              <w:rPr>
                <w:rFonts w:hint="eastAsia"/>
                <w:color w:val="FF0000"/>
                <w:szCs w:val="24"/>
              </w:rPr>
              <w:t>中冶武勘工程技术有限公司</w:t>
            </w: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jc w:val="distribute"/>
              <w:rPr>
                <w:szCs w:val="24"/>
              </w:rPr>
            </w:pPr>
          </w:p>
        </w:tc>
        <w:tc>
          <w:tcPr>
            <w:tcW w:w="6667" w:type="dxa"/>
            <w:gridSpan w:val="6"/>
            <w:shd w:val="clear" w:color="auto" w:fill="auto"/>
            <w:noWrap/>
            <w:vAlign w:val="center"/>
          </w:tcPr>
          <w:p>
            <w:pPr>
              <w:rPr>
                <w:szCs w:val="24"/>
              </w:rPr>
            </w:pPr>
            <w:r>
              <w:rPr>
                <w:rFonts w:hint="eastAsia"/>
                <w:szCs w:val="24"/>
              </w:rPr>
              <w:t>上海勘察设计研究院（集团）有限公司</w:t>
            </w: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jc w:val="distribute"/>
              <w:rPr>
                <w:szCs w:val="24"/>
              </w:rPr>
            </w:pPr>
          </w:p>
        </w:tc>
        <w:tc>
          <w:tcPr>
            <w:tcW w:w="6667" w:type="dxa"/>
            <w:gridSpan w:val="6"/>
            <w:shd w:val="clear" w:color="auto" w:fill="auto"/>
            <w:noWrap/>
            <w:vAlign w:val="center"/>
          </w:tcPr>
          <w:p>
            <w:pPr>
              <w:rPr>
                <w:szCs w:val="24"/>
              </w:rPr>
            </w:pPr>
            <w:r>
              <w:rPr>
                <w:rFonts w:hint="eastAsia"/>
                <w:szCs w:val="24"/>
              </w:rPr>
              <w:t>华南理工大学</w:t>
            </w: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jc w:val="distribute"/>
              <w:rPr>
                <w:szCs w:val="24"/>
              </w:rPr>
            </w:pPr>
          </w:p>
        </w:tc>
        <w:tc>
          <w:tcPr>
            <w:tcW w:w="6667" w:type="dxa"/>
            <w:gridSpan w:val="6"/>
            <w:shd w:val="clear" w:color="auto" w:fill="auto"/>
            <w:noWrap/>
            <w:vAlign w:val="center"/>
          </w:tcPr>
          <w:p>
            <w:pPr>
              <w:rPr>
                <w:szCs w:val="24"/>
              </w:rPr>
            </w:pPr>
            <w:r>
              <w:rPr>
                <w:rFonts w:hint="eastAsia"/>
                <w:szCs w:val="24"/>
              </w:rPr>
              <w:t>南京工业大学</w:t>
            </w: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ind w:firstLine="120" w:firstLineChars="50"/>
              <w:rPr>
                <w:szCs w:val="24"/>
              </w:rPr>
            </w:pPr>
          </w:p>
        </w:tc>
        <w:tc>
          <w:tcPr>
            <w:tcW w:w="6667" w:type="dxa"/>
            <w:gridSpan w:val="6"/>
            <w:shd w:val="clear" w:color="auto" w:fill="auto"/>
            <w:noWrap/>
            <w:vAlign w:val="center"/>
          </w:tcPr>
          <w:p>
            <w:pPr>
              <w:rPr>
                <w:szCs w:val="24"/>
              </w:rPr>
            </w:pPr>
            <w:r>
              <w:rPr>
                <w:rFonts w:hint="eastAsia"/>
                <w:szCs w:val="24"/>
              </w:rPr>
              <w:t>成都理工大学</w:t>
            </w:r>
          </w:p>
        </w:tc>
      </w:tr>
      <w:tr>
        <w:tblPrEx>
          <w:tblCellMar>
            <w:top w:w="0" w:type="dxa"/>
            <w:left w:w="0" w:type="dxa"/>
            <w:bottom w:w="0" w:type="dxa"/>
            <w:right w:w="0" w:type="dxa"/>
          </w:tblCellMar>
        </w:tblPrEx>
        <w:trPr>
          <w:trHeight w:val="397" w:hRule="exact"/>
        </w:trPr>
        <w:tc>
          <w:tcPr>
            <w:tcW w:w="1272" w:type="dxa"/>
            <w:vAlign w:val="center"/>
          </w:tcPr>
          <w:p>
            <w:pPr>
              <w:jc w:val="distribute"/>
              <w:rPr>
                <w:rFonts w:hint="eastAsia"/>
                <w:szCs w:val="24"/>
              </w:rPr>
            </w:pPr>
          </w:p>
        </w:tc>
        <w:tc>
          <w:tcPr>
            <w:tcW w:w="425" w:type="dxa"/>
            <w:shd w:val="clear" w:color="auto" w:fill="auto"/>
            <w:noWrap/>
            <w:vAlign w:val="center"/>
          </w:tcPr>
          <w:p>
            <w:pPr>
              <w:rPr>
                <w:szCs w:val="24"/>
              </w:rPr>
            </w:pPr>
          </w:p>
        </w:tc>
        <w:tc>
          <w:tcPr>
            <w:tcW w:w="6667" w:type="dxa"/>
            <w:gridSpan w:val="6"/>
            <w:shd w:val="clear" w:color="auto" w:fill="auto"/>
            <w:noWrap/>
            <w:vAlign w:val="center"/>
          </w:tcPr>
          <w:p>
            <w:pPr>
              <w:rPr>
                <w:szCs w:val="24"/>
              </w:rPr>
            </w:pPr>
            <w:r>
              <w:rPr>
                <w:rFonts w:hint="eastAsia"/>
                <w:szCs w:val="24"/>
              </w:rPr>
              <w:t>南京水利科学研究院</w:t>
            </w:r>
          </w:p>
          <w:p>
            <w:pPr>
              <w:rPr>
                <w:szCs w:val="24"/>
              </w:rPr>
            </w:pPr>
            <w:r>
              <w:rPr>
                <w:rFonts w:hint="eastAsia"/>
                <w:szCs w:val="24"/>
              </w:rPr>
              <w:t>研究院水工水</w:t>
            </w:r>
          </w:p>
          <w:p>
            <w:pPr>
              <w:rPr>
                <w:szCs w:val="24"/>
              </w:rPr>
            </w:pPr>
            <w:r>
              <w:rPr>
                <w:rFonts w:hint="eastAsia"/>
                <w:szCs w:val="24"/>
              </w:rPr>
              <w:t>力学研究所</w:t>
            </w:r>
          </w:p>
        </w:tc>
      </w:tr>
      <w:tr>
        <w:tblPrEx>
          <w:tblCellMar>
            <w:top w:w="0" w:type="dxa"/>
            <w:left w:w="0" w:type="dxa"/>
            <w:bottom w:w="0" w:type="dxa"/>
            <w:right w:w="0" w:type="dxa"/>
          </w:tblCellMar>
        </w:tblPrEx>
        <w:trPr>
          <w:trHeight w:val="397" w:hRule="exact"/>
        </w:trPr>
        <w:tc>
          <w:tcPr>
            <w:tcW w:w="1272" w:type="dxa"/>
          </w:tcPr>
          <w:p>
            <w:pPr>
              <w:ind w:firstLine="480" w:firstLineChars="200"/>
              <w:rPr>
                <w:rFonts w:hint="eastAsia"/>
                <w:szCs w:val="24"/>
              </w:rPr>
            </w:pPr>
          </w:p>
        </w:tc>
        <w:tc>
          <w:tcPr>
            <w:tcW w:w="425" w:type="dxa"/>
            <w:shd w:val="clear" w:color="auto" w:fill="auto"/>
            <w:noWrap/>
            <w:vAlign w:val="center"/>
          </w:tcPr>
          <w:p>
            <w:pPr>
              <w:rPr>
                <w:szCs w:val="24"/>
              </w:rPr>
            </w:pPr>
          </w:p>
        </w:tc>
        <w:tc>
          <w:tcPr>
            <w:tcW w:w="6667" w:type="dxa"/>
            <w:gridSpan w:val="6"/>
            <w:shd w:val="clear" w:color="auto" w:fill="auto"/>
            <w:noWrap/>
            <w:vAlign w:val="center"/>
          </w:tcPr>
          <w:p>
            <w:pPr>
              <w:rPr>
                <w:szCs w:val="24"/>
              </w:rPr>
            </w:pPr>
            <w:r>
              <w:rPr>
                <w:rFonts w:hint="eastAsia"/>
                <w:szCs w:val="24"/>
              </w:rPr>
              <w:t>广东省建筑设计研究院有限公司</w:t>
            </w:r>
          </w:p>
          <w:p>
            <w:pPr>
              <w:rPr>
                <w:szCs w:val="24"/>
              </w:rPr>
            </w:pPr>
            <w:r>
              <w:rPr>
                <w:rFonts w:hint="eastAsia"/>
                <w:szCs w:val="24"/>
              </w:rPr>
              <w:t>计研究院有限</w:t>
            </w:r>
          </w:p>
          <w:p>
            <w:pPr>
              <w:rPr>
                <w:szCs w:val="24"/>
              </w:rPr>
            </w:pPr>
            <w:r>
              <w:rPr>
                <w:rFonts w:hint="eastAsia"/>
                <w:szCs w:val="24"/>
              </w:rPr>
              <w:t>公司</w:t>
            </w:r>
          </w:p>
        </w:tc>
      </w:tr>
      <w:tr>
        <w:tblPrEx>
          <w:tblCellMar>
            <w:top w:w="0" w:type="dxa"/>
            <w:left w:w="0" w:type="dxa"/>
            <w:bottom w:w="0" w:type="dxa"/>
            <w:right w:w="0" w:type="dxa"/>
          </w:tblCellMar>
        </w:tblPrEx>
        <w:trPr>
          <w:trHeight w:val="397" w:hRule="exact"/>
        </w:trPr>
        <w:tc>
          <w:tcPr>
            <w:tcW w:w="1272" w:type="dxa"/>
          </w:tcPr>
          <w:p>
            <w:pPr>
              <w:ind w:firstLine="480" w:firstLineChars="200"/>
              <w:rPr>
                <w:rFonts w:hint="eastAsia"/>
                <w:szCs w:val="24"/>
              </w:rPr>
            </w:pPr>
          </w:p>
        </w:tc>
        <w:tc>
          <w:tcPr>
            <w:tcW w:w="425" w:type="dxa"/>
            <w:shd w:val="clear" w:color="auto" w:fill="auto"/>
            <w:noWrap/>
            <w:vAlign w:val="center"/>
          </w:tcPr>
          <w:p>
            <w:pPr>
              <w:rPr>
                <w:szCs w:val="24"/>
              </w:rPr>
            </w:pPr>
          </w:p>
        </w:tc>
        <w:tc>
          <w:tcPr>
            <w:tcW w:w="6667" w:type="dxa"/>
            <w:gridSpan w:val="6"/>
            <w:shd w:val="clear" w:color="auto" w:fill="auto"/>
            <w:noWrap/>
            <w:vAlign w:val="center"/>
          </w:tcPr>
          <w:p>
            <w:pPr>
              <w:rPr>
                <w:rFonts w:hint="eastAsia"/>
                <w:szCs w:val="24"/>
              </w:rPr>
            </w:pPr>
            <w:r>
              <w:rPr>
                <w:rFonts w:hint="eastAsia"/>
                <w:color w:val="FF0000"/>
                <w:szCs w:val="24"/>
              </w:rPr>
              <w:t>四川兴蜀工程勘察设计集团有限公司</w:t>
            </w:r>
          </w:p>
        </w:tc>
      </w:tr>
      <w:tr>
        <w:tblPrEx>
          <w:tblCellMar>
            <w:top w:w="0" w:type="dxa"/>
            <w:left w:w="0" w:type="dxa"/>
            <w:bottom w:w="0" w:type="dxa"/>
            <w:right w:w="0" w:type="dxa"/>
          </w:tblCellMar>
        </w:tblPrEx>
        <w:trPr>
          <w:trHeight w:val="397" w:hRule="exact"/>
        </w:trPr>
        <w:tc>
          <w:tcPr>
            <w:tcW w:w="1272" w:type="dxa"/>
            <w:vAlign w:val="center"/>
          </w:tcPr>
          <w:p>
            <w:pPr>
              <w:rPr>
                <w:szCs w:val="24"/>
              </w:rPr>
            </w:pPr>
            <w:r>
              <w:rPr>
                <w:rFonts w:hint="eastAsia"/>
                <w:szCs w:val="24"/>
              </w:rPr>
              <w:t>主要起草人审</w:t>
            </w:r>
          </w:p>
        </w:tc>
        <w:tc>
          <w:tcPr>
            <w:tcW w:w="425" w:type="dxa"/>
            <w:shd w:val="clear" w:color="auto" w:fill="auto"/>
            <w:noWrap/>
            <w:vAlign w:val="center"/>
          </w:tcPr>
          <w:p>
            <w:pPr>
              <w:ind w:firstLine="120" w:firstLineChars="50"/>
              <w:rPr>
                <w:szCs w:val="24"/>
              </w:rPr>
            </w:pPr>
            <w:r>
              <w:rPr>
                <w:rFonts w:hint="eastAsia"/>
                <w:szCs w:val="24"/>
              </w:rPr>
              <w:t>：</w:t>
            </w:r>
          </w:p>
        </w:tc>
        <w:tc>
          <w:tcPr>
            <w:tcW w:w="1111" w:type="dxa"/>
            <w:shd w:val="clear" w:color="auto" w:fill="auto"/>
            <w:noWrap/>
            <w:vAlign w:val="center"/>
          </w:tcPr>
          <w:p>
            <w:pPr>
              <w:rPr>
                <w:szCs w:val="24"/>
              </w:rPr>
            </w:pPr>
          </w:p>
        </w:tc>
        <w:tc>
          <w:tcPr>
            <w:tcW w:w="1111" w:type="dxa"/>
            <w:shd w:val="clear" w:color="auto" w:fill="auto"/>
            <w:noWrap/>
            <w:vAlign w:val="center"/>
          </w:tcPr>
          <w:p>
            <w:pPr>
              <w:rPr>
                <w:szCs w:val="24"/>
              </w:rPr>
            </w:pPr>
          </w:p>
        </w:tc>
        <w:tc>
          <w:tcPr>
            <w:tcW w:w="1111" w:type="dxa"/>
            <w:shd w:val="clear" w:color="auto" w:fill="auto"/>
            <w:noWrap/>
            <w:vAlign w:val="center"/>
          </w:tcPr>
          <w:p>
            <w:pPr>
              <w:rPr>
                <w:szCs w:val="24"/>
              </w:rPr>
            </w:pPr>
          </w:p>
        </w:tc>
        <w:tc>
          <w:tcPr>
            <w:tcW w:w="1111" w:type="dxa"/>
            <w:shd w:val="clear" w:color="auto" w:fill="auto"/>
            <w:noWrap/>
            <w:vAlign w:val="center"/>
          </w:tcPr>
          <w:p>
            <w:pPr>
              <w:rPr>
                <w:szCs w:val="24"/>
              </w:rPr>
            </w:pPr>
          </w:p>
        </w:tc>
        <w:tc>
          <w:tcPr>
            <w:tcW w:w="1111" w:type="dxa"/>
            <w:shd w:val="clear" w:color="auto" w:fill="auto"/>
            <w:noWrap/>
            <w:vAlign w:val="center"/>
          </w:tcPr>
          <w:p>
            <w:pPr>
              <w:rPr>
                <w:szCs w:val="24"/>
              </w:rPr>
            </w:pPr>
          </w:p>
        </w:tc>
        <w:tc>
          <w:tcPr>
            <w:tcW w:w="1112" w:type="dxa"/>
            <w:shd w:val="clear" w:color="auto" w:fill="auto"/>
            <w:noWrap/>
            <w:vAlign w:val="center"/>
          </w:tcPr>
          <w:p>
            <w:pPr>
              <w:rPr>
                <w:szCs w:val="24"/>
              </w:rPr>
            </w:pP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ind w:firstLine="120" w:firstLineChars="50"/>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2" w:type="dxa"/>
            <w:shd w:val="clear" w:color="auto" w:fill="auto"/>
            <w:noWrap/>
          </w:tcPr>
          <w:p>
            <w:pPr>
              <w:rPr>
                <w:szCs w:val="24"/>
              </w:rPr>
            </w:pP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2" w:type="dxa"/>
            <w:shd w:val="clear" w:color="auto" w:fill="auto"/>
            <w:noWrap/>
          </w:tcPr>
          <w:p>
            <w:pPr>
              <w:rPr>
                <w:szCs w:val="24"/>
              </w:rPr>
            </w:pP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2" w:type="dxa"/>
            <w:shd w:val="clear" w:color="auto" w:fill="auto"/>
            <w:noWrap/>
          </w:tcPr>
          <w:p>
            <w:pPr>
              <w:rPr>
                <w:szCs w:val="24"/>
              </w:rPr>
            </w:pP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r>
              <w:rPr>
                <w:rFonts w:hint="eastAsia"/>
                <w:szCs w:val="24"/>
              </w:rPr>
              <w:t>主要审查人</w:t>
            </w:r>
          </w:p>
        </w:tc>
        <w:tc>
          <w:tcPr>
            <w:tcW w:w="425" w:type="dxa"/>
            <w:shd w:val="clear" w:color="auto" w:fill="auto"/>
            <w:noWrap/>
            <w:vAlign w:val="center"/>
          </w:tcPr>
          <w:p>
            <w:pPr>
              <w:jc w:val="center"/>
              <w:rPr>
                <w:szCs w:val="24"/>
              </w:rPr>
            </w:pPr>
            <w:r>
              <w:rPr>
                <w:rFonts w:hint="eastAsia"/>
                <w:szCs w:val="24"/>
              </w:rPr>
              <w:t>：</w:t>
            </w:r>
          </w:p>
        </w:tc>
        <w:tc>
          <w:tcPr>
            <w:tcW w:w="1111" w:type="dxa"/>
            <w:shd w:val="clear" w:color="auto" w:fill="auto"/>
            <w:noWrap/>
          </w:tcPr>
          <w:p>
            <w:pPr>
              <w:rPr>
                <w:szCs w:val="24"/>
              </w:rPr>
            </w:pPr>
            <w:r>
              <w:rPr>
                <w:rFonts w:hint="eastAsia" w:ascii="宋体" w:hAnsi="宋体" w:cs="宋体"/>
                <w:szCs w:val="24"/>
              </w:rPr>
              <w:t>×××</w:t>
            </w:r>
          </w:p>
        </w:tc>
        <w:tc>
          <w:tcPr>
            <w:tcW w:w="1111" w:type="dxa"/>
            <w:shd w:val="clear" w:color="auto" w:fill="auto"/>
            <w:noWrap/>
          </w:tcPr>
          <w:p>
            <w:pPr>
              <w:rPr>
                <w:szCs w:val="24"/>
              </w:rPr>
            </w:pPr>
            <w:r>
              <w:rPr>
                <w:rFonts w:hint="eastAsia" w:ascii="宋体" w:hAnsi="宋体" w:cs="宋体"/>
                <w:szCs w:val="24"/>
              </w:rPr>
              <w:t>×××</w:t>
            </w:r>
          </w:p>
        </w:tc>
        <w:tc>
          <w:tcPr>
            <w:tcW w:w="1111" w:type="dxa"/>
            <w:shd w:val="clear" w:color="auto" w:fill="auto"/>
            <w:noWrap/>
          </w:tcPr>
          <w:p>
            <w:pPr>
              <w:rPr>
                <w:szCs w:val="24"/>
              </w:rPr>
            </w:pPr>
            <w:r>
              <w:rPr>
                <w:rFonts w:hint="eastAsia" w:ascii="宋体" w:hAnsi="宋体" w:cs="宋体"/>
                <w:szCs w:val="24"/>
              </w:rPr>
              <w:t>×××</w:t>
            </w:r>
          </w:p>
        </w:tc>
        <w:tc>
          <w:tcPr>
            <w:tcW w:w="1111" w:type="dxa"/>
            <w:shd w:val="clear" w:color="auto" w:fill="auto"/>
            <w:noWrap/>
          </w:tcPr>
          <w:p>
            <w:pPr>
              <w:rPr>
                <w:szCs w:val="24"/>
              </w:rPr>
            </w:pPr>
            <w:r>
              <w:rPr>
                <w:rFonts w:hint="eastAsia" w:ascii="宋体" w:hAnsi="宋体" w:cs="宋体"/>
                <w:szCs w:val="24"/>
              </w:rPr>
              <w:t>×××</w:t>
            </w:r>
          </w:p>
        </w:tc>
        <w:tc>
          <w:tcPr>
            <w:tcW w:w="1111" w:type="dxa"/>
            <w:shd w:val="clear" w:color="auto" w:fill="auto"/>
            <w:noWrap/>
          </w:tcPr>
          <w:p>
            <w:pPr>
              <w:rPr>
                <w:szCs w:val="24"/>
              </w:rPr>
            </w:pPr>
            <w:r>
              <w:rPr>
                <w:rFonts w:hint="eastAsia" w:ascii="宋体" w:hAnsi="宋体" w:cs="宋体"/>
                <w:szCs w:val="24"/>
              </w:rPr>
              <w:t>×××</w:t>
            </w:r>
          </w:p>
        </w:tc>
        <w:tc>
          <w:tcPr>
            <w:tcW w:w="1112" w:type="dxa"/>
            <w:shd w:val="clear" w:color="auto" w:fill="auto"/>
            <w:noWrap/>
          </w:tcPr>
          <w:p>
            <w:pPr>
              <w:rPr>
                <w:szCs w:val="24"/>
              </w:rPr>
            </w:pPr>
            <w:r>
              <w:rPr>
                <w:rFonts w:hint="eastAsia" w:ascii="宋体" w:hAnsi="宋体" w:cs="宋体"/>
                <w:szCs w:val="24"/>
              </w:rPr>
              <w:t>×××</w:t>
            </w: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rPr>
                <w:szCs w:val="24"/>
              </w:rPr>
            </w:pPr>
          </w:p>
        </w:tc>
        <w:tc>
          <w:tcPr>
            <w:tcW w:w="1111" w:type="dxa"/>
            <w:shd w:val="clear" w:color="auto" w:fill="auto"/>
            <w:noWrap/>
          </w:tcPr>
          <w:p>
            <w:pPr>
              <w:rPr>
                <w:szCs w:val="24"/>
              </w:rPr>
            </w:pPr>
            <w:r>
              <w:rPr>
                <w:rFonts w:hint="eastAsia" w:ascii="宋体" w:hAnsi="宋体" w:cs="宋体"/>
                <w:szCs w:val="24"/>
              </w:rPr>
              <w:t>×××</w:t>
            </w:r>
          </w:p>
        </w:tc>
        <w:tc>
          <w:tcPr>
            <w:tcW w:w="1111" w:type="dxa"/>
            <w:shd w:val="clear" w:color="auto" w:fill="auto"/>
            <w:noWrap/>
          </w:tcPr>
          <w:p>
            <w:pPr>
              <w:rPr>
                <w:szCs w:val="24"/>
              </w:rPr>
            </w:pPr>
            <w:r>
              <w:rPr>
                <w:rFonts w:hint="eastAsia" w:ascii="宋体" w:hAnsi="宋体" w:cs="宋体"/>
                <w:szCs w:val="24"/>
              </w:rPr>
              <w:t>×××</w:t>
            </w: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2" w:type="dxa"/>
            <w:shd w:val="clear" w:color="auto" w:fill="auto"/>
            <w:noWrap/>
          </w:tcPr>
          <w:p>
            <w:pPr>
              <w:rPr>
                <w:szCs w:val="24"/>
              </w:rPr>
            </w:pPr>
          </w:p>
        </w:tc>
      </w:tr>
      <w:tr>
        <w:tblPrEx>
          <w:tblCellMar>
            <w:top w:w="0" w:type="dxa"/>
            <w:left w:w="0" w:type="dxa"/>
            <w:bottom w:w="0" w:type="dxa"/>
            <w:right w:w="0" w:type="dxa"/>
          </w:tblCellMar>
        </w:tblPrEx>
        <w:trPr>
          <w:trHeight w:val="397" w:hRule="exact"/>
        </w:trPr>
        <w:tc>
          <w:tcPr>
            <w:tcW w:w="1272" w:type="dxa"/>
            <w:vAlign w:val="center"/>
          </w:tcPr>
          <w:p>
            <w:pPr>
              <w:jc w:val="distribute"/>
              <w:rPr>
                <w:szCs w:val="24"/>
              </w:rPr>
            </w:pPr>
          </w:p>
        </w:tc>
        <w:tc>
          <w:tcPr>
            <w:tcW w:w="425" w:type="dxa"/>
            <w:shd w:val="clear" w:color="auto" w:fill="auto"/>
            <w:noWrap/>
            <w:vAlign w:val="center"/>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1" w:type="dxa"/>
            <w:shd w:val="clear" w:color="auto" w:fill="auto"/>
            <w:noWrap/>
          </w:tcPr>
          <w:p>
            <w:pPr>
              <w:rPr>
                <w:szCs w:val="24"/>
              </w:rPr>
            </w:pPr>
          </w:p>
        </w:tc>
        <w:tc>
          <w:tcPr>
            <w:tcW w:w="1112" w:type="dxa"/>
            <w:shd w:val="clear" w:color="auto" w:fill="auto"/>
            <w:noWrap/>
          </w:tcPr>
          <w:p>
            <w:pPr>
              <w:rPr>
                <w:szCs w:val="24"/>
              </w:rPr>
            </w:pPr>
          </w:p>
        </w:tc>
      </w:tr>
    </w:tbl>
    <w:p>
      <w:pPr>
        <w:spacing w:before="468" w:beforeLines="150" w:after="374" w:afterLines="120"/>
        <w:ind w:firstLine="960" w:firstLineChars="300"/>
        <w:jc w:val="left"/>
        <w:rPr>
          <w:rFonts w:eastAsia="方正小标宋简体"/>
          <w:kern w:val="44"/>
          <w:sz w:val="32"/>
          <w:szCs w:val="32"/>
        </w:rPr>
      </w:pPr>
    </w:p>
    <w:p>
      <w:pPr>
        <w:spacing w:before="468" w:beforeLines="150" w:after="374" w:afterLines="120"/>
        <w:ind w:firstLine="560" w:firstLineChars="200"/>
        <w:jc w:val="right"/>
        <w:rPr>
          <w:rFonts w:eastAsiaTheme="minorEastAsia" w:cstheme="minorEastAsia"/>
          <w:kern w:val="44"/>
          <w:sz w:val="28"/>
          <w:szCs w:val="28"/>
        </w:rPr>
      </w:pPr>
    </w:p>
    <w:p>
      <w:pPr>
        <w:spacing w:before="468" w:beforeLines="150" w:after="374" w:afterLines="120"/>
        <w:ind w:firstLine="640" w:firstLineChars="200"/>
        <w:jc w:val="left"/>
        <w:rPr>
          <w:rFonts w:eastAsia="方正小标宋简体"/>
          <w:kern w:val="44"/>
          <w:sz w:val="32"/>
          <w:szCs w:val="32"/>
        </w:rPr>
      </w:pPr>
    </w:p>
    <w:p>
      <w:pPr>
        <w:spacing w:before="468" w:beforeLines="150" w:after="374" w:afterLines="120"/>
        <w:ind w:firstLine="640" w:firstLineChars="200"/>
        <w:jc w:val="left"/>
        <w:rPr>
          <w:rFonts w:eastAsia="方正小标宋简体"/>
          <w:kern w:val="44"/>
          <w:sz w:val="32"/>
          <w:szCs w:val="32"/>
        </w:rPr>
        <w:sectPr>
          <w:headerReference r:id="rId20" w:type="first"/>
          <w:headerReference r:id="rId18" w:type="default"/>
          <w:footerReference r:id="rId21" w:type="default"/>
          <w:headerReference r:id="rId19" w:type="even"/>
          <w:footerReference r:id="rId22" w:type="even"/>
          <w:pgSz w:w="11906" w:h="16838"/>
          <w:pgMar w:top="1134" w:right="1134" w:bottom="1134" w:left="1701" w:header="851" w:footer="992" w:gutter="0"/>
          <w:pgNumType w:fmt="upperRoman" w:start="1"/>
          <w:cols w:space="425" w:num="1"/>
          <w:docGrid w:type="lines" w:linePitch="312" w:charSpace="0"/>
        </w:sectPr>
      </w:pPr>
    </w:p>
    <w:p>
      <w:pPr>
        <w:jc w:val="center"/>
        <w:rPr>
          <w:sz w:val="30"/>
          <w:szCs w:val="30"/>
        </w:rPr>
      </w:pPr>
      <w:bookmarkStart w:id="3" w:name="_Toc23774529"/>
      <w:r>
        <w:rPr>
          <w:rFonts w:hint="eastAsia"/>
          <w:sz w:val="30"/>
          <w:szCs w:val="30"/>
        </w:rPr>
        <w:t xml:space="preserve">目  </w:t>
      </w:r>
      <w:r>
        <w:rPr>
          <w:sz w:val="30"/>
          <w:szCs w:val="30"/>
        </w:rPr>
        <w:t xml:space="preserve">  </w:t>
      </w:r>
      <w:r>
        <w:rPr>
          <w:rFonts w:hint="eastAsia"/>
          <w:sz w:val="30"/>
          <w:szCs w:val="30"/>
        </w:rPr>
        <w:t>次</w:t>
      </w:r>
    </w:p>
    <w:p>
      <w:pPr>
        <w:jc w:val="center"/>
        <w:rPr>
          <w:sz w:val="30"/>
          <w:szCs w:val="30"/>
        </w:rPr>
      </w:pPr>
    </w:p>
    <w:p>
      <w:pPr>
        <w:jc w:val="distribute"/>
        <w:rPr>
          <w:rFonts w:ascii="宋体" w:hAnsi="宋体" w:cs="宋体"/>
          <w:szCs w:val="24"/>
        </w:rPr>
      </w:pPr>
      <w:r>
        <w:rPr>
          <w:rFonts w:hint="eastAsia" w:ascii="宋体" w:hAnsi="宋体" w:cs="宋体"/>
          <w:szCs w:val="24"/>
        </w:rPr>
        <w:t>1</w:t>
      </w:r>
      <w:r>
        <w:rPr>
          <w:rFonts w:ascii="宋体" w:hAnsi="宋体" w:cs="宋体"/>
          <w:szCs w:val="24"/>
        </w:rPr>
        <w:t xml:space="preserve">  </w:t>
      </w:r>
      <w:r>
        <w:rPr>
          <w:rFonts w:hint="eastAsia" w:ascii="宋体" w:hAnsi="宋体" w:cs="宋体"/>
          <w:szCs w:val="24"/>
        </w:rPr>
        <w:t xml:space="preserve">总则 </w:t>
      </w:r>
      <w:r>
        <w:rPr>
          <w:rFonts w:ascii="宋体" w:hAnsi="宋体" w:cs="宋体"/>
          <w:szCs w:val="24"/>
        </w:rPr>
        <w:t xml:space="preserve">                                                     </w:t>
      </w:r>
      <w:r>
        <w:rPr>
          <w:rFonts w:hint="eastAsia" w:ascii="宋体" w:hAnsi="宋体" w:cs="宋体"/>
          <w:sz w:val="21"/>
          <w:szCs w:val="21"/>
        </w:rPr>
        <w:t>（×）</w:t>
      </w:r>
    </w:p>
    <w:p>
      <w:pPr>
        <w:jc w:val="distribute"/>
        <w:rPr>
          <w:rFonts w:ascii="宋体" w:hAnsi="宋体" w:cs="宋体"/>
          <w:szCs w:val="24"/>
        </w:rPr>
      </w:pPr>
      <w:r>
        <w:rPr>
          <w:rFonts w:hint="eastAsia" w:ascii="宋体" w:hAnsi="宋体" w:cs="宋体"/>
          <w:szCs w:val="24"/>
        </w:rPr>
        <w:t>2</w:t>
      </w:r>
      <w:r>
        <w:rPr>
          <w:rFonts w:ascii="宋体" w:hAnsi="宋体" w:cs="宋体"/>
          <w:szCs w:val="24"/>
        </w:rPr>
        <w:t xml:space="preserve">  </w:t>
      </w:r>
      <w:r>
        <w:rPr>
          <w:rFonts w:hint="eastAsia" w:ascii="宋体" w:hAnsi="宋体" w:cs="宋体"/>
          <w:szCs w:val="24"/>
        </w:rPr>
        <w:t xml:space="preserve">术语和符号 </w:t>
      </w:r>
      <w:r>
        <w:rPr>
          <w:rFonts w:ascii="宋体" w:hAnsi="宋体" w:cs="宋体"/>
          <w:szCs w:val="24"/>
        </w:rPr>
        <w:t xml:space="preserve">                                           </w:t>
      </w:r>
      <w:bookmarkStart w:id="4" w:name="_Hlk107933418"/>
      <w:r>
        <w:rPr>
          <w:rFonts w:hint="eastAsia" w:ascii="宋体" w:hAnsi="宋体" w:cs="宋体"/>
          <w:sz w:val="21"/>
          <w:szCs w:val="21"/>
        </w:rPr>
        <w:t>（×）</w:t>
      </w:r>
      <w:bookmarkEnd w:id="4"/>
    </w:p>
    <w:p>
      <w:pPr>
        <w:ind w:firstLine="210" w:firstLineChars="100"/>
        <w:rPr>
          <w:rFonts w:ascii="宋体" w:hAnsi="宋体" w:cs="宋体"/>
          <w:sz w:val="21"/>
          <w:szCs w:val="21"/>
        </w:rPr>
      </w:pPr>
      <w:r>
        <w:rPr>
          <w:rFonts w:ascii="宋体" w:hAnsi="宋体" w:cs="宋体"/>
          <w:sz w:val="21"/>
          <w:szCs w:val="21"/>
        </w:rPr>
        <w:t>2</w:t>
      </w:r>
      <w:r>
        <w:rPr>
          <w:rFonts w:hint="eastAsia" w:ascii="宋体" w:hAnsi="宋体" w:cs="宋体"/>
          <w:sz w:val="21"/>
          <w:szCs w:val="21"/>
        </w:rPr>
        <w:t>.1</w:t>
      </w:r>
      <w:r>
        <w:rPr>
          <w:rFonts w:ascii="宋体" w:hAnsi="宋体" w:cs="宋体"/>
          <w:sz w:val="21"/>
          <w:szCs w:val="21"/>
        </w:rPr>
        <w:t xml:space="preserve">  </w:t>
      </w:r>
      <w:r>
        <w:rPr>
          <w:rFonts w:hint="eastAsia" w:ascii="宋体" w:hAnsi="宋体" w:cs="宋体"/>
          <w:sz w:val="21"/>
          <w:szCs w:val="21"/>
        </w:rPr>
        <w:t xml:space="preserve">术语 </w:t>
      </w:r>
      <w:r>
        <w:rPr>
          <w:rFonts w:ascii="宋体" w:hAnsi="宋体" w:cs="宋体"/>
          <w:sz w:val="21"/>
          <w:szCs w:val="21"/>
        </w:rPr>
        <w:t xml:space="preserve">                                                             </w:t>
      </w:r>
      <w:r>
        <w:rPr>
          <w:rFonts w:hint="eastAsia" w:ascii="宋体" w:hAnsi="宋体" w:cs="宋体"/>
          <w:sz w:val="21"/>
          <w:szCs w:val="21"/>
        </w:rPr>
        <w:t xml:space="preserve">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ascii="宋体" w:hAnsi="宋体" w:cs="宋体"/>
          <w:sz w:val="21"/>
          <w:szCs w:val="21"/>
        </w:rPr>
        <w:t>2</w:t>
      </w:r>
      <w:r>
        <w:rPr>
          <w:rFonts w:hint="eastAsia" w:ascii="宋体" w:hAnsi="宋体" w:cs="宋体"/>
          <w:sz w:val="21"/>
          <w:szCs w:val="21"/>
        </w:rPr>
        <w:t>.2</w:t>
      </w:r>
      <w:r>
        <w:rPr>
          <w:rFonts w:ascii="宋体" w:hAnsi="宋体" w:cs="宋体"/>
          <w:sz w:val="21"/>
          <w:szCs w:val="21"/>
        </w:rPr>
        <w:t xml:space="preserve">  </w:t>
      </w:r>
      <w:r>
        <w:rPr>
          <w:rFonts w:hint="eastAsia" w:ascii="宋体" w:hAnsi="宋体" w:cs="宋体"/>
          <w:sz w:val="21"/>
          <w:szCs w:val="21"/>
        </w:rPr>
        <w:t xml:space="preserve">符号 </w:t>
      </w:r>
      <w:r>
        <w:rPr>
          <w:rFonts w:ascii="宋体" w:hAnsi="宋体" w:cs="宋体"/>
          <w:sz w:val="21"/>
          <w:szCs w:val="21"/>
        </w:rPr>
        <w:t xml:space="preserve">                                                                    </w:t>
      </w:r>
      <w:r>
        <w:rPr>
          <w:rFonts w:hint="eastAsia" w:ascii="宋体" w:hAnsi="宋体" w:cs="宋体"/>
          <w:sz w:val="21"/>
          <w:szCs w:val="21"/>
        </w:rPr>
        <w:t>（×）</w:t>
      </w:r>
    </w:p>
    <w:p>
      <w:pPr>
        <w:jc w:val="distribute"/>
        <w:rPr>
          <w:rFonts w:ascii="宋体" w:hAnsi="宋体" w:cs="宋体"/>
          <w:szCs w:val="24"/>
        </w:rPr>
      </w:pPr>
      <w:r>
        <w:rPr>
          <w:rFonts w:hint="eastAsia" w:ascii="宋体" w:hAnsi="宋体" w:cs="宋体"/>
          <w:szCs w:val="24"/>
        </w:rPr>
        <w:t>3</w:t>
      </w:r>
      <w:r>
        <w:rPr>
          <w:rFonts w:ascii="宋体" w:hAnsi="宋体" w:cs="宋体"/>
          <w:szCs w:val="24"/>
        </w:rPr>
        <w:t xml:space="preserve">  </w:t>
      </w:r>
      <w:r>
        <w:rPr>
          <w:rFonts w:hint="eastAsia" w:ascii="宋体" w:hAnsi="宋体" w:cs="宋体"/>
          <w:szCs w:val="24"/>
        </w:rPr>
        <w:t xml:space="preserve">基本规定 </w:t>
      </w:r>
      <w:r>
        <w:rPr>
          <w:rFonts w:ascii="宋体" w:hAnsi="宋体" w:cs="宋体"/>
          <w:szCs w:val="24"/>
        </w:rPr>
        <w:t xml:space="preserve">                                            </w:t>
      </w:r>
      <w:r>
        <w:rPr>
          <w:rFonts w:hint="eastAsia" w:ascii="宋体" w:hAnsi="宋体" w:cs="宋体"/>
          <w:sz w:val="21"/>
          <w:szCs w:val="21"/>
        </w:rPr>
        <w:t>（×）</w:t>
      </w:r>
    </w:p>
    <w:p>
      <w:pPr>
        <w:jc w:val="distribute"/>
        <w:rPr>
          <w:rFonts w:cs="宋体"/>
          <w:szCs w:val="24"/>
        </w:rPr>
      </w:pPr>
      <w:r>
        <w:rPr>
          <w:rFonts w:hint="eastAsia" w:ascii="宋体" w:hAnsi="宋体" w:cs="宋体"/>
          <w:szCs w:val="24"/>
        </w:rPr>
        <w:t>4</w:t>
      </w:r>
      <w:r>
        <w:rPr>
          <w:rFonts w:ascii="宋体" w:hAnsi="宋体" w:cs="宋体"/>
          <w:szCs w:val="24"/>
        </w:rPr>
        <w:t xml:space="preserve">  </w:t>
      </w:r>
      <w:r>
        <w:rPr>
          <w:rFonts w:hint="eastAsia" w:ascii="宋体" w:hAnsi="宋体" w:cs="宋体"/>
          <w:szCs w:val="24"/>
        </w:rPr>
        <w:t>资料收集与调查</w:t>
      </w:r>
      <w:r>
        <w:rPr>
          <w:rFonts w:ascii="宋体" w:hAnsi="宋体" w:cs="宋体"/>
          <w:szCs w:val="24"/>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4.1</w:t>
      </w:r>
      <w:r>
        <w:rPr>
          <w:rFonts w:ascii="宋体" w:hAnsi="宋体" w:cs="宋体"/>
          <w:sz w:val="21"/>
          <w:szCs w:val="21"/>
        </w:rPr>
        <w:t xml:space="preserve">  </w:t>
      </w:r>
      <w:r>
        <w:rPr>
          <w:rFonts w:hint="eastAsia" w:ascii="宋体" w:hAnsi="宋体" w:cs="宋体"/>
          <w:sz w:val="21"/>
          <w:szCs w:val="21"/>
        </w:rPr>
        <w:t xml:space="preserve">一般规定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4.2</w:t>
      </w:r>
      <w:bookmarkStart w:id="5" w:name="_Hlk90887408"/>
      <w:r>
        <w:rPr>
          <w:rFonts w:ascii="宋体" w:hAnsi="宋体" w:cs="宋体"/>
          <w:sz w:val="21"/>
          <w:szCs w:val="21"/>
        </w:rPr>
        <w:t xml:space="preserve">  </w:t>
      </w:r>
      <w:r>
        <w:rPr>
          <w:rFonts w:hint="eastAsia" w:ascii="宋体" w:hAnsi="宋体" w:cs="宋体"/>
          <w:sz w:val="21"/>
          <w:szCs w:val="21"/>
        </w:rPr>
        <w:t>资料收集</w:t>
      </w:r>
      <w:bookmarkEnd w:id="5"/>
      <w:r>
        <w:rPr>
          <w:rFonts w:hint="eastAsia" w:ascii="宋体" w:hAnsi="宋体" w:cs="宋体"/>
          <w:sz w:val="21"/>
          <w:szCs w:val="21"/>
        </w:rPr>
        <w:t xml:space="preserve"> </w:t>
      </w:r>
      <w:r>
        <w:rPr>
          <w:rFonts w:ascii="宋体" w:hAnsi="宋体" w:cs="宋体"/>
          <w:sz w:val="21"/>
          <w:szCs w:val="21"/>
        </w:rPr>
        <w:t xml:space="preserve">                                </w:t>
      </w:r>
      <w:r>
        <w:rPr>
          <w:rFonts w:hint="eastAsia" w:ascii="宋体" w:hAnsi="宋体" w:cs="宋体"/>
          <w:sz w:val="21"/>
          <w:szCs w:val="21"/>
        </w:rPr>
        <w:t xml:space="preserve">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4</w:t>
      </w:r>
      <w:r>
        <w:rPr>
          <w:rFonts w:ascii="宋体" w:hAnsi="宋体" w:cs="宋体"/>
          <w:sz w:val="21"/>
          <w:szCs w:val="21"/>
        </w:rPr>
        <w:t xml:space="preserve">.3  </w:t>
      </w:r>
      <w:r>
        <w:rPr>
          <w:rFonts w:hint="eastAsia" w:ascii="宋体" w:hAnsi="宋体" w:cs="宋体"/>
          <w:sz w:val="21"/>
          <w:szCs w:val="21"/>
        </w:rPr>
        <w:t xml:space="preserve">场地周边调查 </w:t>
      </w:r>
      <w:r>
        <w:rPr>
          <w:rFonts w:ascii="宋体" w:hAnsi="宋体" w:cs="宋体"/>
          <w:sz w:val="21"/>
          <w:szCs w:val="21"/>
        </w:rPr>
        <w:t xml:space="preserve">           </w:t>
      </w:r>
      <w:r>
        <w:rPr>
          <w:rFonts w:hint="eastAsia" w:ascii="宋体" w:hAnsi="宋体" w:cs="宋体"/>
          <w:sz w:val="21"/>
          <w:szCs w:val="21"/>
        </w:rPr>
        <w:t xml:space="preserve">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cs="宋体"/>
          <w:sz w:val="21"/>
          <w:szCs w:val="21"/>
        </w:rPr>
      </w:pPr>
      <w:r>
        <w:rPr>
          <w:rFonts w:hint="eastAsia" w:ascii="宋体" w:hAnsi="宋体" w:cs="宋体"/>
          <w:sz w:val="21"/>
          <w:szCs w:val="21"/>
        </w:rPr>
        <w:t>4</w:t>
      </w:r>
      <w:r>
        <w:rPr>
          <w:rFonts w:ascii="宋体" w:hAnsi="宋体" w:cs="宋体"/>
          <w:sz w:val="21"/>
          <w:szCs w:val="21"/>
        </w:rPr>
        <w:t xml:space="preserve">.4  </w:t>
      </w:r>
      <w:r>
        <w:rPr>
          <w:rFonts w:hint="eastAsia" w:ascii="宋体" w:hAnsi="宋体" w:cs="宋体"/>
          <w:sz w:val="21"/>
          <w:szCs w:val="21"/>
        </w:rPr>
        <w:t xml:space="preserve">水文地质条件分析 </w:t>
      </w:r>
      <w:r>
        <w:rPr>
          <w:rFonts w:ascii="宋体" w:hAnsi="宋体" w:cs="宋体"/>
          <w:sz w:val="21"/>
          <w:szCs w:val="21"/>
        </w:rPr>
        <w:t xml:space="preserve"> </w:t>
      </w:r>
      <w:r>
        <w:rPr>
          <w:rFonts w:cs="宋体"/>
          <w:sz w:val="21"/>
          <w:szCs w:val="21"/>
        </w:rPr>
        <w:t xml:space="preserve">          </w:t>
      </w:r>
      <w:r>
        <w:rPr>
          <w:rFonts w:hint="eastAsia" w:cs="宋体"/>
          <w:sz w:val="21"/>
          <w:szCs w:val="21"/>
        </w:rPr>
        <w:t xml:space="preserve">    </w:t>
      </w:r>
      <w:r>
        <w:rPr>
          <w:rFonts w:cs="宋体"/>
          <w:sz w:val="21"/>
          <w:szCs w:val="21"/>
        </w:rPr>
        <w:t xml:space="preserve">                                         </w:t>
      </w:r>
      <w:r>
        <w:rPr>
          <w:rFonts w:hint="eastAsia" w:cs="宋体"/>
          <w:sz w:val="21"/>
          <w:szCs w:val="21"/>
        </w:rPr>
        <w:t>（×）</w:t>
      </w:r>
    </w:p>
    <w:p>
      <w:pPr>
        <w:rPr>
          <w:rFonts w:cs="宋体"/>
          <w:szCs w:val="24"/>
        </w:rPr>
      </w:pPr>
      <w:r>
        <w:rPr>
          <w:rFonts w:hint="eastAsia" w:cs="宋体"/>
          <w:szCs w:val="24"/>
        </w:rPr>
        <w:t>5</w:t>
      </w:r>
      <w:r>
        <w:rPr>
          <w:rFonts w:cs="宋体"/>
          <w:szCs w:val="24"/>
        </w:rPr>
        <w:t xml:space="preserve">  </w:t>
      </w:r>
      <w:r>
        <w:rPr>
          <w:rFonts w:hint="eastAsia" w:cs="宋体"/>
          <w:szCs w:val="24"/>
        </w:rPr>
        <w:t xml:space="preserve">勘探与试验 </w:t>
      </w:r>
      <w:r>
        <w:rPr>
          <w:rFonts w:cs="宋体"/>
          <w:szCs w:val="24"/>
        </w:rPr>
        <w:t xml:space="preserve">                                                        </w:t>
      </w:r>
      <w:r>
        <w:rPr>
          <w:rFonts w:hint="eastAsia" w:cs="宋体"/>
          <w:sz w:val="21"/>
          <w:szCs w:val="21"/>
        </w:rPr>
        <w:t>（×）</w:t>
      </w:r>
    </w:p>
    <w:p>
      <w:pPr>
        <w:ind w:firstLine="210" w:firstLineChars="100"/>
        <w:rPr>
          <w:rFonts w:ascii="宋体" w:hAnsi="宋体" w:cs="宋体"/>
          <w:sz w:val="21"/>
          <w:szCs w:val="21"/>
        </w:rPr>
      </w:pPr>
      <w:r>
        <w:rPr>
          <w:rFonts w:hint="eastAsia" w:ascii="宋体" w:hAnsi="宋体" w:cs="宋体"/>
          <w:sz w:val="21"/>
          <w:szCs w:val="21"/>
        </w:rPr>
        <w:t>5.1</w:t>
      </w:r>
      <w:r>
        <w:rPr>
          <w:rFonts w:ascii="宋体" w:hAnsi="宋体" w:cs="宋体"/>
          <w:sz w:val="21"/>
          <w:szCs w:val="21"/>
        </w:rPr>
        <w:t xml:space="preserve">  </w:t>
      </w:r>
      <w:r>
        <w:rPr>
          <w:rFonts w:hint="eastAsia" w:ascii="宋体" w:hAnsi="宋体" w:cs="宋体"/>
          <w:sz w:val="21"/>
          <w:szCs w:val="21"/>
        </w:rPr>
        <w:t xml:space="preserve">一般规定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5.2</w:t>
      </w:r>
      <w:r>
        <w:rPr>
          <w:rFonts w:ascii="宋体" w:hAnsi="宋体" w:cs="宋体"/>
          <w:sz w:val="21"/>
          <w:szCs w:val="21"/>
        </w:rPr>
        <w:t xml:space="preserve">  </w:t>
      </w:r>
      <w:r>
        <w:rPr>
          <w:rFonts w:hint="eastAsia" w:ascii="宋体" w:hAnsi="宋体" w:cs="宋体"/>
          <w:sz w:val="21"/>
          <w:szCs w:val="21"/>
        </w:rPr>
        <w:t xml:space="preserve">现场勘探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5.3</w:t>
      </w:r>
      <w:r>
        <w:rPr>
          <w:rFonts w:ascii="宋体" w:hAnsi="宋体" w:cs="宋体"/>
          <w:sz w:val="21"/>
          <w:szCs w:val="21"/>
        </w:rPr>
        <w:t xml:space="preserve">  </w:t>
      </w:r>
      <w:r>
        <w:rPr>
          <w:rFonts w:hint="eastAsia" w:ascii="宋体" w:hAnsi="宋体" w:cs="宋体"/>
          <w:sz w:val="21"/>
          <w:szCs w:val="21"/>
        </w:rPr>
        <w:t xml:space="preserve">水文地质试验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 xml:space="preserve">5.4  水文地质观测 </w:t>
      </w:r>
      <w:r>
        <w:rPr>
          <w:rFonts w:ascii="宋体" w:hAnsi="宋体" w:cs="宋体"/>
          <w:sz w:val="21"/>
          <w:szCs w:val="21"/>
        </w:rPr>
        <w:t xml:space="preserve">                                                            </w:t>
      </w:r>
      <w:r>
        <w:rPr>
          <w:rFonts w:hint="eastAsia" w:ascii="宋体" w:hAnsi="宋体" w:cs="宋体"/>
          <w:sz w:val="21"/>
          <w:szCs w:val="21"/>
        </w:rPr>
        <w:t>（×）</w:t>
      </w:r>
    </w:p>
    <w:p>
      <w:pPr>
        <w:jc w:val="distribute"/>
        <w:rPr>
          <w:rFonts w:cs="宋体"/>
          <w:szCs w:val="24"/>
        </w:rPr>
      </w:pPr>
      <w:r>
        <w:rPr>
          <w:rFonts w:hint="eastAsia" w:cs="宋体"/>
          <w:szCs w:val="24"/>
        </w:rPr>
        <w:t>6</w:t>
      </w:r>
      <w:r>
        <w:rPr>
          <w:rFonts w:cs="宋体"/>
          <w:szCs w:val="24"/>
        </w:rPr>
        <w:t xml:space="preserve">  </w:t>
      </w:r>
      <w:r>
        <w:rPr>
          <w:rFonts w:hint="eastAsia" w:cs="宋体"/>
          <w:szCs w:val="24"/>
        </w:rPr>
        <w:t>抗浮分析与评价</w:t>
      </w:r>
      <w:r>
        <w:rPr>
          <w:rFonts w:cs="宋体"/>
          <w:szCs w:val="24"/>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 xml:space="preserve">6.1 </w:t>
      </w:r>
      <w:r>
        <w:rPr>
          <w:rFonts w:ascii="宋体" w:hAnsi="宋体" w:cs="宋体"/>
          <w:sz w:val="21"/>
          <w:szCs w:val="21"/>
        </w:rPr>
        <w:t xml:space="preserve"> </w:t>
      </w:r>
      <w:r>
        <w:rPr>
          <w:rFonts w:hint="eastAsia" w:ascii="宋体" w:hAnsi="宋体" w:cs="宋体"/>
          <w:sz w:val="21"/>
          <w:szCs w:val="21"/>
        </w:rPr>
        <w:t xml:space="preserve">一般规定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 xml:space="preserve">6.2 </w:t>
      </w:r>
      <w:r>
        <w:rPr>
          <w:rFonts w:ascii="宋体" w:hAnsi="宋体" w:cs="宋体"/>
          <w:sz w:val="21"/>
          <w:szCs w:val="21"/>
        </w:rPr>
        <w:t xml:space="preserve"> </w:t>
      </w:r>
      <w:r>
        <w:rPr>
          <w:rFonts w:hint="eastAsia" w:ascii="宋体" w:hAnsi="宋体" w:cs="宋体"/>
          <w:sz w:val="21"/>
          <w:szCs w:val="21"/>
        </w:rPr>
        <w:t xml:space="preserve">斜坡场地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 xml:space="preserve">6.3 </w:t>
      </w:r>
      <w:r>
        <w:rPr>
          <w:rFonts w:ascii="宋体" w:hAnsi="宋体" w:cs="宋体"/>
          <w:sz w:val="21"/>
          <w:szCs w:val="21"/>
        </w:rPr>
        <w:t xml:space="preserve"> </w:t>
      </w:r>
      <w:r>
        <w:rPr>
          <w:rFonts w:hint="eastAsia" w:ascii="宋体" w:hAnsi="宋体" w:cs="宋体"/>
          <w:sz w:val="21"/>
          <w:szCs w:val="21"/>
        </w:rPr>
        <w:t xml:space="preserve">低洼场地 </w:t>
      </w:r>
      <w:r>
        <w:rPr>
          <w:rFonts w:ascii="宋体" w:hAnsi="宋体" w:cs="宋体"/>
          <w:sz w:val="21"/>
          <w:szCs w:val="21"/>
        </w:rPr>
        <w:t xml:space="preserve">                                                                </w:t>
      </w:r>
      <w:bookmarkStart w:id="6" w:name="_Hlk112402091"/>
      <w:r>
        <w:rPr>
          <w:rFonts w:hint="eastAsia" w:ascii="宋体" w:hAnsi="宋体" w:cs="宋体"/>
          <w:sz w:val="21"/>
          <w:szCs w:val="21"/>
        </w:rPr>
        <w:t>（×）</w:t>
      </w:r>
      <w:bookmarkEnd w:id="6"/>
    </w:p>
    <w:p>
      <w:pPr>
        <w:ind w:firstLine="210" w:firstLineChars="100"/>
        <w:rPr>
          <w:rFonts w:ascii="宋体" w:hAnsi="宋体" w:cs="宋体"/>
          <w:sz w:val="21"/>
          <w:szCs w:val="21"/>
        </w:rPr>
      </w:pPr>
      <w:r>
        <w:rPr>
          <w:rFonts w:hint="eastAsia" w:ascii="宋体" w:hAnsi="宋体" w:cs="宋体"/>
          <w:sz w:val="21"/>
          <w:szCs w:val="21"/>
        </w:rPr>
        <w:t>6</w:t>
      </w:r>
      <w:r>
        <w:rPr>
          <w:rFonts w:ascii="宋体" w:hAnsi="宋体" w:cs="宋体"/>
          <w:sz w:val="21"/>
          <w:szCs w:val="21"/>
        </w:rPr>
        <w:t xml:space="preserve">.4  </w:t>
      </w:r>
      <w:r>
        <w:rPr>
          <w:rFonts w:hint="eastAsia" w:ascii="宋体" w:hAnsi="宋体" w:cs="宋体"/>
          <w:sz w:val="21"/>
          <w:szCs w:val="21"/>
        </w:rPr>
        <w:t xml:space="preserve">临水场地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6</w:t>
      </w:r>
      <w:r>
        <w:rPr>
          <w:rFonts w:ascii="宋体" w:hAnsi="宋体" w:cs="宋体"/>
          <w:sz w:val="21"/>
          <w:szCs w:val="21"/>
        </w:rPr>
        <w:t xml:space="preserve">.5  </w:t>
      </w:r>
      <w:r>
        <w:rPr>
          <w:rFonts w:hint="eastAsia" w:ascii="宋体" w:hAnsi="宋体" w:cs="宋体"/>
          <w:sz w:val="21"/>
          <w:szCs w:val="21"/>
        </w:rPr>
        <w:t xml:space="preserve">岩溶场地 </w:t>
      </w:r>
      <w:r>
        <w:rPr>
          <w:rFonts w:ascii="宋体" w:hAnsi="宋体" w:cs="宋体"/>
          <w:sz w:val="21"/>
          <w:szCs w:val="21"/>
        </w:rPr>
        <w:t xml:space="preserve">                                                                </w:t>
      </w:r>
      <w:r>
        <w:rPr>
          <w:rFonts w:hint="eastAsia" w:ascii="宋体" w:hAnsi="宋体" w:cs="宋体"/>
          <w:sz w:val="21"/>
          <w:szCs w:val="21"/>
        </w:rPr>
        <w:t>（×）</w:t>
      </w:r>
    </w:p>
    <w:p>
      <w:pPr>
        <w:jc w:val="distribute"/>
        <w:rPr>
          <w:rFonts w:cs="宋体"/>
          <w:szCs w:val="24"/>
        </w:rPr>
      </w:pPr>
      <w:r>
        <w:rPr>
          <w:rFonts w:hint="eastAsia" w:cs="宋体"/>
          <w:szCs w:val="24"/>
        </w:rPr>
        <w:t>7</w:t>
      </w:r>
      <w:r>
        <w:rPr>
          <w:rFonts w:cs="宋体"/>
          <w:szCs w:val="24"/>
        </w:rPr>
        <w:t xml:space="preserve">  </w:t>
      </w:r>
      <w:r>
        <w:rPr>
          <w:rFonts w:hint="eastAsia" w:cs="宋体"/>
          <w:szCs w:val="24"/>
        </w:rPr>
        <w:t xml:space="preserve">既有工程 </w:t>
      </w:r>
      <w:r>
        <w:rPr>
          <w:rFonts w:cs="宋体"/>
          <w:szCs w:val="24"/>
        </w:rPr>
        <w:t xml:space="preserve">                                                     </w:t>
      </w:r>
      <w:r>
        <w:rPr>
          <w:rFonts w:hint="eastAsia" w:cs="宋体"/>
          <w:sz w:val="21"/>
          <w:szCs w:val="21"/>
        </w:rPr>
        <w:t>（×）</w:t>
      </w:r>
    </w:p>
    <w:p>
      <w:pPr>
        <w:ind w:firstLine="210" w:firstLineChars="100"/>
        <w:rPr>
          <w:rFonts w:ascii="宋体" w:hAnsi="宋体" w:cs="宋体"/>
          <w:sz w:val="21"/>
          <w:szCs w:val="21"/>
        </w:rPr>
      </w:pPr>
      <w:r>
        <w:rPr>
          <w:rFonts w:hint="eastAsia" w:ascii="宋体" w:hAnsi="宋体" w:cs="宋体"/>
          <w:sz w:val="21"/>
          <w:szCs w:val="21"/>
        </w:rPr>
        <w:t>7.1</w:t>
      </w:r>
      <w:r>
        <w:rPr>
          <w:rFonts w:ascii="宋体" w:hAnsi="宋体" w:cs="宋体"/>
          <w:sz w:val="21"/>
          <w:szCs w:val="21"/>
        </w:rPr>
        <w:t xml:space="preserve">  </w:t>
      </w:r>
      <w:r>
        <w:rPr>
          <w:rFonts w:hint="eastAsia" w:ascii="宋体" w:hAnsi="宋体" w:cs="宋体"/>
          <w:sz w:val="21"/>
          <w:szCs w:val="21"/>
        </w:rPr>
        <w:t>抗浮加固工程</w:t>
      </w:r>
      <w:r>
        <w:rPr>
          <w:rFonts w:ascii="宋体" w:hAnsi="宋体" w:cs="宋体"/>
          <w:sz w:val="21"/>
          <w:szCs w:val="21"/>
        </w:rPr>
        <w:t xml:space="preserve">                  </w:t>
      </w:r>
      <w:r>
        <w:rPr>
          <w:rFonts w:hint="eastAsia" w:ascii="宋体" w:hAnsi="宋体" w:cs="宋体"/>
          <w:sz w:val="21"/>
          <w:szCs w:val="21"/>
        </w:rPr>
        <w:t xml:space="preserve">          </w:t>
      </w:r>
      <w:r>
        <w:rPr>
          <w:rFonts w:ascii="宋体" w:hAnsi="宋体" w:cs="宋体"/>
          <w:sz w:val="21"/>
          <w:szCs w:val="21"/>
        </w:rPr>
        <w:t xml:space="preserve">                                 </w:t>
      </w:r>
      <w:r>
        <w:rPr>
          <w:rFonts w:hint="eastAsia" w:ascii="宋体" w:hAnsi="宋体" w:cs="宋体"/>
          <w:sz w:val="21"/>
          <w:szCs w:val="21"/>
        </w:rPr>
        <w:t>（×）</w:t>
      </w:r>
    </w:p>
    <w:p>
      <w:pPr>
        <w:ind w:firstLine="210" w:firstLineChars="100"/>
        <w:rPr>
          <w:rFonts w:ascii="宋体" w:hAnsi="宋体" w:cs="宋体"/>
          <w:sz w:val="21"/>
          <w:szCs w:val="21"/>
        </w:rPr>
      </w:pPr>
      <w:r>
        <w:rPr>
          <w:rFonts w:hint="eastAsia" w:ascii="宋体" w:hAnsi="宋体" w:cs="宋体"/>
          <w:sz w:val="21"/>
          <w:szCs w:val="21"/>
        </w:rPr>
        <w:t>7.2  改（扩）建项目抗浮工程</w:t>
      </w:r>
      <w:r>
        <w:rPr>
          <w:rFonts w:ascii="宋体" w:hAnsi="宋体" w:cs="宋体"/>
          <w:sz w:val="21"/>
          <w:szCs w:val="21"/>
        </w:rPr>
        <w:t xml:space="preserve">   </w:t>
      </w:r>
      <w:r>
        <w:rPr>
          <w:rFonts w:hint="eastAsia" w:ascii="宋体" w:hAnsi="宋体" w:cs="宋体"/>
          <w:sz w:val="21"/>
          <w:szCs w:val="21"/>
        </w:rPr>
        <w:t xml:space="preserve">     </w:t>
      </w:r>
      <w:r>
        <w:rPr>
          <w:rFonts w:ascii="宋体" w:hAnsi="宋体" w:cs="宋体"/>
          <w:sz w:val="21"/>
          <w:szCs w:val="21"/>
        </w:rPr>
        <w:t xml:space="preserve">    </w:t>
      </w:r>
      <w:r>
        <w:rPr>
          <w:rFonts w:hint="eastAsia" w:ascii="宋体" w:hAnsi="宋体" w:cs="宋体"/>
          <w:sz w:val="21"/>
          <w:szCs w:val="21"/>
        </w:rPr>
        <w:t xml:space="preserve"> </w:t>
      </w:r>
      <w:r>
        <w:rPr>
          <w:rFonts w:ascii="宋体" w:hAnsi="宋体" w:cs="宋体"/>
          <w:sz w:val="21"/>
          <w:szCs w:val="21"/>
        </w:rPr>
        <w:t xml:space="preserve">                                      </w:t>
      </w:r>
      <w:r>
        <w:rPr>
          <w:rFonts w:hint="eastAsia" w:ascii="宋体" w:hAnsi="宋体" w:cs="宋体"/>
          <w:sz w:val="21"/>
          <w:szCs w:val="21"/>
        </w:rPr>
        <w:t>（×）</w:t>
      </w:r>
    </w:p>
    <w:p>
      <w:pPr>
        <w:jc w:val="distribute"/>
        <w:rPr>
          <w:rFonts w:cs="宋体"/>
          <w:szCs w:val="24"/>
        </w:rPr>
      </w:pPr>
      <w:bookmarkStart w:id="7" w:name="_Hlk107934220"/>
      <w:bookmarkStart w:id="8" w:name="_Hlk106272225"/>
    </w:p>
    <w:p>
      <w:pPr>
        <w:jc w:val="distribute"/>
        <w:rPr>
          <w:rFonts w:cs="宋体"/>
          <w:szCs w:val="24"/>
        </w:rPr>
      </w:pPr>
      <w:r>
        <w:rPr>
          <w:rFonts w:hint="eastAsia" w:cs="宋体"/>
          <w:szCs w:val="24"/>
        </w:rPr>
        <w:t xml:space="preserve">附录 </w:t>
      </w:r>
      <w:r>
        <w:rPr>
          <w:rFonts w:cs="宋体"/>
          <w:szCs w:val="24"/>
        </w:rPr>
        <w:t>A</w:t>
      </w:r>
      <w:bookmarkEnd w:id="7"/>
      <w:r>
        <w:rPr>
          <w:rFonts w:cs="宋体"/>
          <w:szCs w:val="24"/>
        </w:rPr>
        <w:t xml:space="preserve">  </w:t>
      </w:r>
      <w:r>
        <w:rPr>
          <w:rFonts w:hint="eastAsia" w:cs="宋体"/>
          <w:szCs w:val="24"/>
        </w:rPr>
        <w:t xml:space="preserve">抗浮工程水文地质勘察专项报告编写提纲 </w:t>
      </w:r>
      <w:r>
        <w:rPr>
          <w:rFonts w:cs="宋体"/>
          <w:szCs w:val="24"/>
        </w:rPr>
        <w:t xml:space="preserve">         </w:t>
      </w:r>
      <w:r>
        <w:rPr>
          <w:rFonts w:hint="eastAsia" w:cs="宋体"/>
          <w:szCs w:val="24"/>
        </w:rPr>
        <w:t xml:space="preserve">  </w:t>
      </w:r>
      <w:r>
        <w:rPr>
          <w:rFonts w:cs="宋体"/>
          <w:szCs w:val="24"/>
        </w:rPr>
        <w:t xml:space="preserve">  </w:t>
      </w:r>
      <w:r>
        <w:rPr>
          <w:rFonts w:hint="eastAsia" w:cs="宋体"/>
          <w:szCs w:val="24"/>
        </w:rPr>
        <w:t xml:space="preserve"> </w:t>
      </w:r>
      <w:r>
        <w:rPr>
          <w:rFonts w:cs="宋体"/>
          <w:szCs w:val="24"/>
        </w:rPr>
        <w:t xml:space="preserve">      </w:t>
      </w:r>
      <w:r>
        <w:rPr>
          <w:rFonts w:hint="eastAsia" w:ascii="宋体" w:hAnsi="宋体" w:cs="宋体"/>
          <w:sz w:val="21"/>
          <w:szCs w:val="21"/>
        </w:rPr>
        <w:t>（×）</w:t>
      </w:r>
    </w:p>
    <w:p>
      <w:pPr>
        <w:rPr>
          <w:rFonts w:cs="宋体"/>
          <w:szCs w:val="24"/>
        </w:rPr>
      </w:pPr>
      <w:r>
        <w:rPr>
          <w:rFonts w:hint="eastAsia" w:cs="宋体"/>
          <w:szCs w:val="24"/>
        </w:rPr>
        <w:t xml:space="preserve">附录 </w:t>
      </w:r>
      <w:r>
        <w:rPr>
          <w:rFonts w:cs="宋体"/>
          <w:szCs w:val="24"/>
        </w:rPr>
        <w:t xml:space="preserve">B  </w:t>
      </w:r>
      <w:r>
        <w:rPr>
          <w:rFonts w:hint="eastAsia" w:cs="宋体"/>
          <w:szCs w:val="24"/>
        </w:rPr>
        <w:t xml:space="preserve">地下水类型和岩土体的渗透性等级划分  </w:t>
      </w:r>
      <w:r>
        <w:rPr>
          <w:rFonts w:cs="宋体"/>
          <w:szCs w:val="24"/>
        </w:rPr>
        <w:t xml:space="preserve">         </w:t>
      </w:r>
      <w:r>
        <w:rPr>
          <w:rFonts w:hint="eastAsia" w:cs="宋体"/>
          <w:szCs w:val="24"/>
        </w:rPr>
        <w:t xml:space="preserve"> </w:t>
      </w:r>
      <w:r>
        <w:rPr>
          <w:rFonts w:cs="宋体"/>
          <w:szCs w:val="24"/>
        </w:rPr>
        <w:t xml:space="preserve">              </w:t>
      </w:r>
      <w:r>
        <w:rPr>
          <w:rFonts w:hint="eastAsia" w:cs="宋体"/>
          <w:szCs w:val="24"/>
        </w:rPr>
        <w:t xml:space="preserve"> </w:t>
      </w:r>
      <w:r>
        <w:rPr>
          <w:rFonts w:cs="宋体"/>
          <w:szCs w:val="24"/>
        </w:rPr>
        <w:t xml:space="preserve"> </w:t>
      </w:r>
      <w:r>
        <w:rPr>
          <w:rFonts w:hint="eastAsia" w:ascii="宋体" w:hAnsi="宋体" w:cs="宋体"/>
          <w:sz w:val="21"/>
          <w:szCs w:val="21"/>
        </w:rPr>
        <w:t>（×）</w:t>
      </w:r>
      <w:bookmarkEnd w:id="8"/>
    </w:p>
    <w:p>
      <w:pPr>
        <w:rPr>
          <w:rFonts w:cs="宋体"/>
          <w:szCs w:val="24"/>
        </w:rPr>
      </w:pPr>
      <w:r>
        <w:rPr>
          <w:rFonts w:hint="eastAsia" w:cs="宋体"/>
          <w:szCs w:val="24"/>
        </w:rPr>
        <w:t xml:space="preserve">附录 </w:t>
      </w:r>
      <w:r>
        <w:rPr>
          <w:rFonts w:cs="宋体"/>
          <w:szCs w:val="24"/>
        </w:rPr>
        <w:t>C</w:t>
      </w:r>
      <w:r>
        <w:rPr>
          <w:rFonts w:hint="eastAsia" w:cs="宋体"/>
          <w:szCs w:val="24"/>
        </w:rPr>
        <w:t xml:space="preserve">  抗浮措施及其适用条件                                          </w:t>
      </w:r>
      <w:r>
        <w:rPr>
          <w:rFonts w:hint="eastAsia" w:ascii="宋体" w:hAnsi="宋体" w:cs="宋体"/>
          <w:sz w:val="21"/>
          <w:szCs w:val="21"/>
        </w:rPr>
        <w:t>（×）</w:t>
      </w:r>
    </w:p>
    <w:p>
      <w:pPr>
        <w:jc w:val="distribute"/>
        <w:rPr>
          <w:rFonts w:cs="宋体"/>
          <w:szCs w:val="24"/>
        </w:rPr>
      </w:pPr>
      <w:bookmarkStart w:id="9" w:name="_Hlk108001924"/>
    </w:p>
    <w:p>
      <w:pPr>
        <w:jc w:val="distribute"/>
        <w:rPr>
          <w:rFonts w:cs="宋体"/>
          <w:szCs w:val="24"/>
        </w:rPr>
      </w:pPr>
      <w:r>
        <w:rPr>
          <w:rFonts w:hint="eastAsia" w:cs="宋体"/>
          <w:color w:val="FF0000"/>
          <w:szCs w:val="24"/>
        </w:rPr>
        <w:t xml:space="preserve">用词说明 </w:t>
      </w:r>
      <w:r>
        <w:rPr>
          <w:rFonts w:cs="宋体"/>
          <w:color w:val="FF0000"/>
          <w:szCs w:val="24"/>
        </w:rPr>
        <w:t xml:space="preserve"> </w:t>
      </w:r>
      <w:r>
        <w:rPr>
          <w:rFonts w:cs="宋体"/>
          <w:szCs w:val="24"/>
        </w:rPr>
        <w:t xml:space="preserve">                                          </w:t>
      </w:r>
      <w:r>
        <w:rPr>
          <w:rFonts w:hint="eastAsia" w:cs="宋体"/>
          <w:szCs w:val="24"/>
        </w:rPr>
        <w:t xml:space="preserve">     </w:t>
      </w:r>
      <w:r>
        <w:rPr>
          <w:rFonts w:cs="宋体"/>
          <w:szCs w:val="24"/>
        </w:rPr>
        <w:t xml:space="preserve">     </w:t>
      </w:r>
      <w:r>
        <w:rPr>
          <w:rFonts w:hint="eastAsia" w:cs="宋体"/>
          <w:szCs w:val="24"/>
          <w:lang w:val="en-US" w:eastAsia="zh-CN"/>
        </w:rPr>
        <w:t xml:space="preserve">  </w:t>
      </w:r>
      <w:r>
        <w:rPr>
          <w:rFonts w:cs="宋体"/>
          <w:szCs w:val="24"/>
        </w:rPr>
        <w:t xml:space="preserve">   </w:t>
      </w:r>
      <w:r>
        <w:rPr>
          <w:rFonts w:hint="eastAsia" w:cs="宋体"/>
          <w:szCs w:val="24"/>
          <w:lang w:val="en-US" w:eastAsia="zh-CN"/>
        </w:rPr>
        <w:t xml:space="preserve">    </w:t>
      </w:r>
      <w:r>
        <w:rPr>
          <w:rFonts w:hint="eastAsia" w:ascii="宋体" w:hAnsi="宋体" w:cs="宋体"/>
          <w:sz w:val="21"/>
          <w:szCs w:val="21"/>
        </w:rPr>
        <w:t>（×）</w:t>
      </w:r>
    </w:p>
    <w:p>
      <w:pPr>
        <w:jc w:val="distribute"/>
        <w:rPr>
          <w:rFonts w:cs="宋体"/>
          <w:szCs w:val="24"/>
        </w:rPr>
      </w:pPr>
      <w:r>
        <w:rPr>
          <w:rFonts w:hint="eastAsia" w:cs="宋体"/>
          <w:szCs w:val="24"/>
        </w:rPr>
        <w:t xml:space="preserve">引用标准名录 </w:t>
      </w:r>
      <w:r>
        <w:rPr>
          <w:rFonts w:cs="宋体"/>
          <w:szCs w:val="24"/>
        </w:rPr>
        <w:t xml:space="preserve">                                            </w:t>
      </w:r>
      <w:r>
        <w:rPr>
          <w:rFonts w:hint="eastAsia" w:cs="宋体"/>
          <w:szCs w:val="24"/>
        </w:rPr>
        <w:t xml:space="preserve">  </w:t>
      </w:r>
      <w:r>
        <w:rPr>
          <w:rFonts w:cs="宋体"/>
          <w:szCs w:val="24"/>
        </w:rPr>
        <w:t xml:space="preserve">            </w:t>
      </w:r>
      <w:r>
        <w:rPr>
          <w:rFonts w:hint="eastAsia" w:ascii="宋体" w:hAnsi="宋体" w:cs="宋体"/>
          <w:sz w:val="21"/>
          <w:szCs w:val="21"/>
        </w:rPr>
        <w:t>（×）</w:t>
      </w:r>
    </w:p>
    <w:p>
      <w:pPr>
        <w:jc w:val="distribute"/>
        <w:rPr>
          <w:rFonts w:cs="宋体"/>
          <w:szCs w:val="24"/>
        </w:rPr>
      </w:pPr>
      <w:r>
        <w:rPr>
          <w:rFonts w:hint="eastAsia" w:cs="宋体"/>
          <w:szCs w:val="24"/>
        </w:rPr>
        <w:t>附：条文说明</w:t>
      </w:r>
      <w:r>
        <w:rPr>
          <w:rFonts w:cs="宋体"/>
          <w:szCs w:val="24"/>
        </w:rPr>
        <w:t xml:space="preserve">                                           </w:t>
      </w:r>
      <w:r>
        <w:rPr>
          <w:rFonts w:hint="eastAsia" w:cs="宋体"/>
          <w:szCs w:val="24"/>
        </w:rPr>
        <w:t xml:space="preserve">   </w:t>
      </w:r>
      <w:r>
        <w:rPr>
          <w:rFonts w:cs="宋体"/>
          <w:szCs w:val="24"/>
        </w:rPr>
        <w:t xml:space="preserve">           </w:t>
      </w:r>
      <w:r>
        <w:rPr>
          <w:rFonts w:hint="eastAsia" w:cs="宋体"/>
          <w:szCs w:val="24"/>
        </w:rPr>
        <w:t xml:space="preserve"> </w:t>
      </w:r>
      <w:r>
        <w:rPr>
          <w:rFonts w:cs="宋体"/>
          <w:szCs w:val="24"/>
        </w:rPr>
        <w:t xml:space="preserve"> </w:t>
      </w:r>
      <w:r>
        <w:rPr>
          <w:rFonts w:hint="eastAsia" w:ascii="宋体" w:hAnsi="宋体" w:cs="宋体"/>
          <w:sz w:val="21"/>
          <w:szCs w:val="21"/>
        </w:rPr>
        <w:t>（×）</w:t>
      </w:r>
    </w:p>
    <w:bookmarkEnd w:id="9"/>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rPr>
          <w:rFonts w:cs="宋体"/>
          <w:szCs w:val="24"/>
        </w:rPr>
      </w:pPr>
    </w:p>
    <w:p>
      <w:pPr>
        <w:jc w:val="center"/>
        <w:rPr>
          <w:rFonts w:hint="default" w:ascii="Times New Roman" w:hAnsi="Times New Roman" w:eastAsia="微软雅黑" w:cs="Times New Roman"/>
          <w:color w:val="FF0000"/>
          <w:sz w:val="27"/>
          <w:szCs w:val="27"/>
          <w:shd w:val="clear" w:color="auto" w:fill="FFFFFF"/>
        </w:rPr>
      </w:pPr>
      <w:r>
        <w:rPr>
          <w:rFonts w:hint="default" w:ascii="Times New Roman" w:hAnsi="Times New Roman" w:eastAsia="微软雅黑" w:cs="Times New Roman"/>
          <w:b/>
          <w:bCs/>
          <w:color w:val="FF0000"/>
          <w:sz w:val="27"/>
          <w:szCs w:val="27"/>
          <w:shd w:val="clear" w:color="auto" w:fill="FFFFFF"/>
        </w:rPr>
        <w:t>Contents</w:t>
      </w:r>
    </w:p>
    <w:p>
      <w:pPr>
        <w:rPr>
          <w:rFonts w:cs="宋体"/>
          <w:color w:val="FF0000"/>
          <w:szCs w:val="24"/>
        </w:rPr>
      </w:pPr>
      <w:r>
        <w:rPr>
          <w:rFonts w:hint="eastAsia" w:cs="宋体"/>
          <w:color w:val="FF0000"/>
          <w:szCs w:val="24"/>
        </w:rPr>
        <w:t>1</w:t>
      </w:r>
      <w:r>
        <w:rPr>
          <w:rFonts w:hint="eastAsia" w:cs="宋体"/>
          <w:color w:val="FF0000"/>
          <w:szCs w:val="24"/>
          <w:lang w:val="en-US" w:eastAsia="zh-CN"/>
        </w:rPr>
        <w:t xml:space="preserve">  </w:t>
      </w:r>
      <w:r>
        <w:rPr>
          <w:rFonts w:hint="eastAsia" w:cs="宋体"/>
          <w:color w:val="FF0000"/>
          <w:szCs w:val="24"/>
        </w:rPr>
        <w:t>General</w:t>
      </w:r>
      <w:r>
        <w:rPr>
          <w:rFonts w:hint="eastAsia" w:cs="宋体"/>
          <w:color w:val="FF0000"/>
          <w:szCs w:val="24"/>
          <w:lang w:val="en-US" w:eastAsia="zh-CN"/>
        </w:rPr>
        <w:t xml:space="preserve"> provisions</w:t>
      </w:r>
      <w:r>
        <w:rPr>
          <w:rFonts w:cs="宋体"/>
          <w:color w:val="FF0000"/>
          <w:szCs w:val="24"/>
        </w:rPr>
        <w:t xml:space="preserve">                                                  </w:t>
      </w:r>
      <w:r>
        <w:rPr>
          <w:rFonts w:hint="eastAsia" w:cs="宋体"/>
          <w:color w:val="FF0000"/>
          <w:szCs w:val="24"/>
          <w:lang w:val="en-US" w:eastAsia="zh-CN"/>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jc w:val="distribute"/>
        <w:rPr>
          <w:rFonts w:cs="宋体"/>
          <w:color w:val="FF0000"/>
          <w:szCs w:val="24"/>
        </w:rPr>
      </w:pPr>
      <w:r>
        <w:rPr>
          <w:rFonts w:hint="eastAsia" w:cs="宋体"/>
          <w:color w:val="FF0000"/>
          <w:szCs w:val="24"/>
        </w:rPr>
        <w:t>2</w:t>
      </w:r>
      <w:r>
        <w:rPr>
          <w:rFonts w:cs="宋体"/>
          <w:color w:val="FF0000"/>
          <w:szCs w:val="24"/>
        </w:rPr>
        <w:t xml:space="preserve">  </w:t>
      </w:r>
      <w:r>
        <w:rPr>
          <w:rFonts w:hint="eastAsia" w:cs="宋体"/>
          <w:color w:val="FF0000"/>
          <w:szCs w:val="24"/>
        </w:rPr>
        <w:t xml:space="preserve">Terms and </w:t>
      </w:r>
      <w:r>
        <w:rPr>
          <w:rFonts w:hint="eastAsia" w:cs="宋体"/>
          <w:color w:val="FF0000"/>
          <w:szCs w:val="24"/>
          <w:lang w:val="en-US" w:eastAsia="zh-CN"/>
        </w:rPr>
        <w:t>s</w:t>
      </w:r>
      <w:r>
        <w:rPr>
          <w:rFonts w:hint="eastAsia" w:cs="宋体"/>
          <w:color w:val="FF0000"/>
          <w:szCs w:val="24"/>
        </w:rPr>
        <w:t>ymbols</w:t>
      </w:r>
      <w:r>
        <w:rPr>
          <w:rFonts w:cs="宋体"/>
          <w:color w:val="FF0000"/>
          <w:szCs w:val="24"/>
        </w:rPr>
        <w:t xml:space="preserve">                                                    </w:t>
      </w:r>
      <w:bookmarkStart w:id="10" w:name="_Hlk108002360"/>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bookmarkEnd w:id="10"/>
    </w:p>
    <w:p>
      <w:pPr>
        <w:ind w:firstLine="480" w:firstLineChars="200"/>
        <w:rPr>
          <w:rFonts w:cs="宋体"/>
          <w:color w:val="FF0000"/>
          <w:szCs w:val="24"/>
        </w:rPr>
      </w:pPr>
      <w:r>
        <w:rPr>
          <w:rFonts w:cs="宋体"/>
          <w:color w:val="FF0000"/>
          <w:szCs w:val="24"/>
        </w:rPr>
        <w:t>2</w:t>
      </w:r>
      <w:r>
        <w:rPr>
          <w:rFonts w:hint="eastAsia" w:cs="宋体"/>
          <w:color w:val="FF0000"/>
          <w:szCs w:val="24"/>
        </w:rPr>
        <w:t>.1</w:t>
      </w:r>
      <w:r>
        <w:rPr>
          <w:rFonts w:cs="宋体"/>
          <w:color w:val="FF0000"/>
          <w:szCs w:val="24"/>
        </w:rPr>
        <w:t xml:space="preserve">  Terms                                                          </w:t>
      </w:r>
      <w:r>
        <w:rPr>
          <w:rFonts w:hint="eastAsia" w:cs="宋体"/>
          <w:color w:val="FF0000"/>
          <w:szCs w:val="24"/>
        </w:rPr>
        <w:t>（×）</w:t>
      </w:r>
    </w:p>
    <w:p>
      <w:pPr>
        <w:ind w:firstLine="480" w:firstLineChars="200"/>
        <w:rPr>
          <w:rFonts w:cs="宋体"/>
          <w:color w:val="FF0000"/>
          <w:szCs w:val="24"/>
        </w:rPr>
      </w:pPr>
      <w:r>
        <w:rPr>
          <w:rFonts w:cs="宋体"/>
          <w:color w:val="FF0000"/>
          <w:szCs w:val="24"/>
        </w:rPr>
        <w:t>2</w:t>
      </w:r>
      <w:r>
        <w:rPr>
          <w:rFonts w:hint="eastAsia" w:cs="宋体"/>
          <w:color w:val="FF0000"/>
          <w:szCs w:val="24"/>
        </w:rPr>
        <w:t>.2</w:t>
      </w:r>
      <w:r>
        <w:rPr>
          <w:rFonts w:cs="宋体"/>
          <w:color w:val="FF0000"/>
          <w:szCs w:val="24"/>
        </w:rPr>
        <w:t xml:space="preserve">  Symbols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rPr>
          <w:rFonts w:cs="宋体"/>
          <w:color w:val="FF0000"/>
          <w:szCs w:val="24"/>
        </w:rPr>
      </w:pPr>
      <w:r>
        <w:rPr>
          <w:rFonts w:hint="eastAsia" w:cs="宋体"/>
          <w:color w:val="FF0000"/>
          <w:szCs w:val="24"/>
        </w:rPr>
        <w:t>3</w:t>
      </w:r>
      <w:r>
        <w:rPr>
          <w:rFonts w:cs="宋体"/>
          <w:color w:val="FF0000"/>
          <w:szCs w:val="24"/>
        </w:rPr>
        <w:t xml:space="preserve">  </w:t>
      </w:r>
      <w:r>
        <w:rPr>
          <w:rFonts w:hint="eastAsia" w:cs="宋体"/>
          <w:color w:val="FF0000"/>
          <w:szCs w:val="24"/>
        </w:rPr>
        <w:t>Basic</w:t>
      </w:r>
      <w:r>
        <w:rPr>
          <w:rFonts w:cs="宋体"/>
          <w:color w:val="FF0000"/>
          <w:szCs w:val="24"/>
        </w:rPr>
        <w:t xml:space="preserve"> </w:t>
      </w:r>
      <w:r>
        <w:rPr>
          <w:rFonts w:hint="eastAsia" w:cs="宋体"/>
          <w:color w:val="FF0000"/>
          <w:szCs w:val="24"/>
          <w:lang w:val="en-US" w:eastAsia="zh-CN"/>
        </w:rPr>
        <w:t>requirements</w:t>
      </w:r>
      <w:r>
        <w:rPr>
          <w:rFonts w:cs="宋体"/>
          <w:color w:val="FF0000"/>
          <w:szCs w:val="24"/>
        </w:rPr>
        <w:t xml:space="preserve">                                                     </w:t>
      </w:r>
      <w:r>
        <w:rPr>
          <w:rFonts w:hint="eastAsia" w:cs="宋体"/>
          <w:color w:val="FF0000"/>
          <w:szCs w:val="24"/>
        </w:rPr>
        <w:t>（×）</w:t>
      </w:r>
    </w:p>
    <w:p>
      <w:pPr>
        <w:rPr>
          <w:rFonts w:cs="宋体"/>
          <w:color w:val="FF0000"/>
          <w:szCs w:val="24"/>
        </w:rPr>
      </w:pPr>
      <w:r>
        <w:rPr>
          <w:rFonts w:hint="eastAsia" w:cs="宋体"/>
          <w:color w:val="FF0000"/>
          <w:szCs w:val="24"/>
        </w:rPr>
        <w:t>4</w:t>
      </w:r>
      <w:r>
        <w:rPr>
          <w:rFonts w:cs="宋体"/>
          <w:color w:val="FF0000"/>
          <w:szCs w:val="24"/>
        </w:rPr>
        <w:t xml:space="preserve">  Data </w:t>
      </w:r>
      <w:r>
        <w:rPr>
          <w:rFonts w:hint="eastAsia" w:cs="宋体"/>
          <w:color w:val="FF0000"/>
          <w:szCs w:val="24"/>
          <w:lang w:val="en-US" w:eastAsia="zh-CN"/>
        </w:rPr>
        <w:t>c</w:t>
      </w:r>
      <w:r>
        <w:rPr>
          <w:rFonts w:cs="宋体"/>
          <w:color w:val="FF0000"/>
          <w:szCs w:val="24"/>
        </w:rPr>
        <w:t xml:space="preserve">ollection and </w:t>
      </w:r>
      <w:r>
        <w:rPr>
          <w:rFonts w:hint="eastAsia" w:cs="宋体"/>
          <w:color w:val="FF0000"/>
          <w:szCs w:val="24"/>
          <w:lang w:val="en-US" w:eastAsia="zh-CN"/>
        </w:rPr>
        <w:t>i</w:t>
      </w:r>
      <w:r>
        <w:rPr>
          <w:rFonts w:cs="宋体"/>
          <w:color w:val="FF0000"/>
          <w:szCs w:val="24"/>
        </w:rPr>
        <w:t xml:space="preserve">nvestigation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4.1</w:t>
      </w:r>
      <w:r>
        <w:rPr>
          <w:rFonts w:cs="宋体"/>
          <w:color w:val="FF0000"/>
          <w:szCs w:val="24"/>
        </w:rPr>
        <w:t xml:space="preserve">  </w:t>
      </w:r>
      <w:r>
        <w:rPr>
          <w:rFonts w:hint="eastAsia" w:cs="宋体"/>
          <w:color w:val="FF0000"/>
          <w:szCs w:val="24"/>
        </w:rPr>
        <w:t>General</w:t>
      </w:r>
      <w:r>
        <w:rPr>
          <w:rFonts w:hint="eastAsia" w:cs="宋体"/>
          <w:color w:val="FF0000"/>
          <w:szCs w:val="24"/>
          <w:lang w:val="en-US" w:eastAsia="zh-CN"/>
        </w:rPr>
        <w:t xml:space="preserve"> requirements</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4.2</w:t>
      </w:r>
      <w:r>
        <w:rPr>
          <w:rFonts w:cs="宋体"/>
          <w:color w:val="FF0000"/>
          <w:szCs w:val="24"/>
        </w:rPr>
        <w:t xml:space="preserve">  D</w:t>
      </w:r>
      <w:r>
        <w:rPr>
          <w:rFonts w:hint="eastAsia" w:cs="宋体"/>
          <w:color w:val="FF0000"/>
          <w:szCs w:val="24"/>
        </w:rPr>
        <w:t xml:space="preserve">ata </w:t>
      </w:r>
      <w:r>
        <w:rPr>
          <w:rFonts w:hint="eastAsia" w:cs="宋体"/>
          <w:color w:val="FF0000"/>
          <w:szCs w:val="24"/>
          <w:lang w:val="en-US" w:eastAsia="zh-CN"/>
        </w:rPr>
        <w:t>c</w:t>
      </w:r>
      <w:r>
        <w:rPr>
          <w:rFonts w:hint="eastAsia" w:cs="宋体"/>
          <w:color w:val="FF0000"/>
          <w:szCs w:val="24"/>
        </w:rPr>
        <w:t>ollection</w:t>
      </w:r>
      <w:r>
        <w:rPr>
          <w:rFonts w:cs="宋体"/>
          <w:color w:val="FF0000"/>
          <w:szCs w:val="24"/>
        </w:rPr>
        <w:t xml:space="preserve">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4</w:t>
      </w:r>
      <w:r>
        <w:rPr>
          <w:rFonts w:cs="宋体"/>
          <w:color w:val="FF0000"/>
          <w:szCs w:val="24"/>
        </w:rPr>
        <w:t>.3  S</w:t>
      </w:r>
      <w:r>
        <w:rPr>
          <w:rFonts w:hint="eastAsia" w:cs="宋体"/>
          <w:color w:val="FF0000"/>
          <w:szCs w:val="24"/>
        </w:rPr>
        <w:t xml:space="preserve">ite </w:t>
      </w:r>
      <w:r>
        <w:rPr>
          <w:rFonts w:hint="eastAsia" w:cs="宋体"/>
          <w:color w:val="FF0000"/>
          <w:szCs w:val="24"/>
          <w:lang w:val="en-US" w:eastAsia="zh-CN"/>
        </w:rPr>
        <w:t>p</w:t>
      </w:r>
      <w:r>
        <w:rPr>
          <w:rFonts w:cs="宋体"/>
          <w:color w:val="FF0000"/>
          <w:szCs w:val="24"/>
        </w:rPr>
        <w:t>erimeter</w:t>
      </w:r>
      <w:r>
        <w:rPr>
          <w:rFonts w:hint="eastAsia" w:cs="宋体"/>
          <w:color w:val="FF0000"/>
          <w:szCs w:val="24"/>
        </w:rPr>
        <w:t xml:space="preserve"> </w:t>
      </w:r>
      <w:r>
        <w:rPr>
          <w:rFonts w:hint="eastAsia" w:cs="宋体"/>
          <w:color w:val="FF0000"/>
          <w:szCs w:val="24"/>
          <w:lang w:val="en-US" w:eastAsia="zh-CN"/>
        </w:rPr>
        <w:t>s</w:t>
      </w:r>
      <w:r>
        <w:rPr>
          <w:rFonts w:hint="eastAsia" w:cs="宋体"/>
          <w:color w:val="FF0000"/>
          <w:szCs w:val="24"/>
        </w:rPr>
        <w:t xml:space="preserve">urveys </w:t>
      </w:r>
      <w:r>
        <w:rPr>
          <w:rFonts w:cs="宋体"/>
          <w:color w:val="FF0000"/>
          <w:szCs w:val="24"/>
        </w:rPr>
        <w:t xml:space="preserve">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4</w:t>
      </w:r>
      <w:r>
        <w:rPr>
          <w:rFonts w:cs="宋体"/>
          <w:color w:val="FF0000"/>
          <w:szCs w:val="24"/>
        </w:rPr>
        <w:t xml:space="preserve">.4  </w:t>
      </w:r>
      <w:r>
        <w:rPr>
          <w:rFonts w:hint="eastAsia" w:cs="宋体"/>
          <w:color w:val="FF0000"/>
          <w:szCs w:val="24"/>
        </w:rPr>
        <w:t xml:space="preserve">Analysis of </w:t>
      </w:r>
      <w:r>
        <w:rPr>
          <w:rFonts w:hint="eastAsia" w:cs="宋体"/>
          <w:color w:val="FF0000"/>
          <w:szCs w:val="24"/>
          <w:lang w:val="en-US" w:eastAsia="zh-CN"/>
        </w:rPr>
        <w:t>h</w:t>
      </w:r>
      <w:r>
        <w:rPr>
          <w:rFonts w:hint="eastAsia" w:cs="宋体"/>
          <w:color w:val="FF0000"/>
          <w:szCs w:val="24"/>
        </w:rPr>
        <w:t xml:space="preserve">ydrogeological </w:t>
      </w:r>
      <w:r>
        <w:rPr>
          <w:rFonts w:hint="eastAsia" w:cs="宋体"/>
          <w:color w:val="FF0000"/>
          <w:szCs w:val="24"/>
          <w:lang w:val="en-US" w:eastAsia="zh-CN"/>
        </w:rPr>
        <w:t>c</w:t>
      </w:r>
      <w:r>
        <w:rPr>
          <w:rFonts w:hint="eastAsia" w:cs="宋体"/>
          <w:color w:val="FF0000"/>
          <w:szCs w:val="24"/>
        </w:rPr>
        <w:t>onditions</w:t>
      </w:r>
      <w:r>
        <w:rPr>
          <w:rFonts w:cs="宋体"/>
          <w:color w:val="FF0000"/>
          <w:szCs w:val="24"/>
        </w:rPr>
        <w:t xml:space="preserve">                  </w:t>
      </w:r>
      <w:r>
        <w:rPr>
          <w:rFonts w:hint="eastAsia" w:cs="宋体"/>
          <w:color w:val="FF0000"/>
          <w:szCs w:val="24"/>
        </w:rPr>
        <w:t xml:space="preserve"> </w:t>
      </w:r>
      <w:r>
        <w:rPr>
          <w:rFonts w:cs="宋体"/>
          <w:color w:val="FF0000"/>
          <w:szCs w:val="24"/>
        </w:rPr>
        <w:t xml:space="preserve">          </w:t>
      </w:r>
      <w:r>
        <w:rPr>
          <w:rFonts w:hint="eastAsia" w:cs="宋体"/>
          <w:color w:val="FF0000"/>
          <w:szCs w:val="24"/>
          <w:lang w:val="en-US" w:eastAsia="zh-CN"/>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rPr>
          <w:rFonts w:cs="宋体"/>
          <w:color w:val="FF0000"/>
          <w:szCs w:val="24"/>
        </w:rPr>
      </w:pPr>
      <w:r>
        <w:rPr>
          <w:rFonts w:hint="eastAsia" w:cs="宋体"/>
          <w:color w:val="FF0000"/>
          <w:szCs w:val="24"/>
        </w:rPr>
        <w:t>5</w:t>
      </w:r>
      <w:r>
        <w:rPr>
          <w:rFonts w:cs="宋体"/>
          <w:color w:val="FF0000"/>
          <w:szCs w:val="24"/>
        </w:rPr>
        <w:t xml:space="preserve">  Exploration and </w:t>
      </w:r>
      <w:r>
        <w:rPr>
          <w:rFonts w:hint="eastAsia" w:cs="宋体"/>
          <w:color w:val="FF0000"/>
          <w:szCs w:val="24"/>
          <w:lang w:val="en-US" w:eastAsia="zh-CN"/>
        </w:rPr>
        <w:t>t</w:t>
      </w:r>
      <w:r>
        <w:rPr>
          <w:rFonts w:cs="宋体"/>
          <w:color w:val="FF0000"/>
          <w:szCs w:val="24"/>
        </w:rPr>
        <w:t xml:space="preserve">esting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5.1</w:t>
      </w:r>
      <w:r>
        <w:rPr>
          <w:rFonts w:cs="宋体"/>
          <w:color w:val="FF0000"/>
          <w:szCs w:val="24"/>
        </w:rPr>
        <w:t xml:space="preserve">  </w:t>
      </w:r>
      <w:r>
        <w:rPr>
          <w:rFonts w:hint="eastAsia" w:cs="宋体"/>
          <w:color w:val="FF0000"/>
          <w:szCs w:val="24"/>
        </w:rPr>
        <w:t>General</w:t>
      </w:r>
      <w:r>
        <w:rPr>
          <w:rFonts w:hint="eastAsia" w:cs="宋体"/>
          <w:color w:val="FF0000"/>
          <w:szCs w:val="24"/>
          <w:lang w:val="en-US" w:eastAsia="zh-CN"/>
        </w:rPr>
        <w:t xml:space="preserve"> requirements</w:t>
      </w:r>
      <w:r>
        <w:rPr>
          <w:rFonts w:cs="宋体"/>
          <w:color w:val="FF0000"/>
          <w:szCs w:val="24"/>
        </w:rPr>
        <w:t xml:space="preserve">                         </w:t>
      </w:r>
      <w:r>
        <w:rPr>
          <w:rFonts w:hint="eastAsia" w:cs="宋体"/>
          <w:color w:val="FF0000"/>
          <w:szCs w:val="24"/>
        </w:rPr>
        <w:t xml:space="preserve"> </w:t>
      </w:r>
      <w:r>
        <w:rPr>
          <w:rFonts w:cs="宋体"/>
          <w:color w:val="FF0000"/>
          <w:szCs w:val="24"/>
        </w:rPr>
        <w:t xml:space="preserve">          </w:t>
      </w:r>
      <w:r>
        <w:rPr>
          <w:rFonts w:hint="eastAsia" w:cs="宋体"/>
          <w:color w:val="FF0000"/>
          <w:szCs w:val="24"/>
          <w:lang w:val="en-US" w:eastAsia="zh-CN"/>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5.2</w:t>
      </w:r>
      <w:r>
        <w:rPr>
          <w:rFonts w:cs="宋体"/>
          <w:color w:val="FF0000"/>
          <w:szCs w:val="24"/>
        </w:rPr>
        <w:t xml:space="preserve">  Field </w:t>
      </w:r>
      <w:r>
        <w:rPr>
          <w:rFonts w:hint="eastAsia" w:cs="宋体"/>
          <w:color w:val="FF0000"/>
          <w:szCs w:val="24"/>
          <w:lang w:val="en-US" w:eastAsia="zh-CN"/>
        </w:rPr>
        <w:t>e</w:t>
      </w:r>
      <w:r>
        <w:rPr>
          <w:rFonts w:cs="宋体"/>
          <w:color w:val="FF0000"/>
          <w:szCs w:val="24"/>
        </w:rPr>
        <w:t xml:space="preserve">xploration                                             </w:t>
      </w:r>
      <w:r>
        <w:rPr>
          <w:rFonts w:hint="eastAsia" w:cs="宋体"/>
          <w:color w:val="FF0000"/>
          <w:szCs w:val="24"/>
          <w:lang w:val="en-US" w:eastAsia="zh-CN"/>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5.3</w:t>
      </w:r>
      <w:r>
        <w:rPr>
          <w:rFonts w:cs="宋体"/>
          <w:color w:val="FF0000"/>
          <w:szCs w:val="24"/>
        </w:rPr>
        <w:t xml:space="preserve">  </w:t>
      </w:r>
      <w:r>
        <w:rPr>
          <w:rFonts w:hint="eastAsia" w:cs="宋体"/>
          <w:color w:val="FF0000"/>
          <w:szCs w:val="24"/>
        </w:rPr>
        <w:t xml:space="preserve">Hydrogeological </w:t>
      </w:r>
      <w:r>
        <w:rPr>
          <w:rFonts w:hint="eastAsia" w:cs="宋体"/>
          <w:color w:val="FF0000"/>
          <w:szCs w:val="24"/>
          <w:lang w:val="en-US" w:eastAsia="zh-CN"/>
        </w:rPr>
        <w:t>t</w:t>
      </w:r>
      <w:r>
        <w:rPr>
          <w:rFonts w:hint="eastAsia" w:cs="宋体"/>
          <w:color w:val="FF0000"/>
          <w:szCs w:val="24"/>
        </w:rPr>
        <w:t>esting</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 xml:space="preserve">5.4  </w:t>
      </w:r>
      <w:r>
        <w:rPr>
          <w:rFonts w:cs="宋体"/>
          <w:color w:val="FF0000"/>
          <w:szCs w:val="24"/>
        </w:rPr>
        <w:t xml:space="preserve">Hydrogeological </w:t>
      </w:r>
      <w:r>
        <w:rPr>
          <w:rFonts w:hint="eastAsia" w:cs="宋体"/>
          <w:color w:val="FF0000"/>
          <w:szCs w:val="24"/>
          <w:lang w:val="en-US" w:eastAsia="zh-CN"/>
        </w:rPr>
        <w:t>o</w:t>
      </w:r>
      <w:r>
        <w:rPr>
          <w:rFonts w:cs="宋体"/>
          <w:color w:val="FF0000"/>
          <w:szCs w:val="24"/>
        </w:rPr>
        <w:t xml:space="preserve">bservation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rPr>
          <w:rFonts w:cs="宋体"/>
          <w:color w:val="FF0000"/>
          <w:szCs w:val="24"/>
        </w:rPr>
      </w:pPr>
      <w:r>
        <w:rPr>
          <w:rFonts w:hint="eastAsia" w:cs="宋体"/>
          <w:color w:val="FF0000"/>
          <w:szCs w:val="24"/>
        </w:rPr>
        <w:t>6</w:t>
      </w:r>
      <w:r>
        <w:rPr>
          <w:rFonts w:cs="宋体"/>
          <w:color w:val="FF0000"/>
          <w:szCs w:val="24"/>
        </w:rPr>
        <w:t xml:space="preserve">  Anti-floating </w:t>
      </w:r>
      <w:r>
        <w:rPr>
          <w:rFonts w:hint="eastAsia" w:cs="宋体"/>
          <w:color w:val="FF0000"/>
          <w:szCs w:val="24"/>
          <w:lang w:val="en-US" w:eastAsia="zh-CN"/>
        </w:rPr>
        <w:t>a</w:t>
      </w:r>
      <w:r>
        <w:rPr>
          <w:rFonts w:cs="宋体"/>
          <w:color w:val="FF0000"/>
          <w:szCs w:val="24"/>
        </w:rPr>
        <w:t xml:space="preserve">nalysis and </w:t>
      </w:r>
      <w:r>
        <w:rPr>
          <w:rFonts w:hint="eastAsia" w:cs="宋体"/>
          <w:color w:val="FF0000"/>
          <w:szCs w:val="24"/>
          <w:lang w:val="en-US" w:eastAsia="zh-CN"/>
        </w:rPr>
        <w:t>e</w:t>
      </w:r>
      <w:r>
        <w:rPr>
          <w:rFonts w:cs="宋体"/>
          <w:color w:val="FF0000"/>
          <w:szCs w:val="24"/>
        </w:rPr>
        <w:t xml:space="preserve">valuation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 xml:space="preserve">6.1 </w:t>
      </w:r>
      <w:r>
        <w:rPr>
          <w:rFonts w:cs="宋体"/>
          <w:color w:val="FF0000"/>
          <w:szCs w:val="24"/>
        </w:rPr>
        <w:t xml:space="preserve"> </w:t>
      </w:r>
      <w:r>
        <w:rPr>
          <w:rFonts w:hint="eastAsia" w:cs="宋体"/>
          <w:color w:val="FF0000"/>
          <w:szCs w:val="24"/>
        </w:rPr>
        <w:t>General</w:t>
      </w:r>
      <w:r>
        <w:rPr>
          <w:rFonts w:cs="宋体"/>
          <w:color w:val="FF0000"/>
          <w:szCs w:val="24"/>
        </w:rPr>
        <w:t xml:space="preserve"> </w:t>
      </w:r>
      <w:r>
        <w:rPr>
          <w:rFonts w:hint="eastAsia" w:cs="宋体"/>
          <w:color w:val="FF0000"/>
          <w:szCs w:val="24"/>
          <w:lang w:val="en-US" w:eastAsia="zh-CN"/>
        </w:rPr>
        <w:t>requirements</w:t>
      </w:r>
      <w:r>
        <w:rPr>
          <w:rFonts w:cs="宋体"/>
          <w:color w:val="FF0000"/>
          <w:szCs w:val="24"/>
        </w:rPr>
        <w:t xml:space="preserve">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 xml:space="preserve">6.2 </w:t>
      </w:r>
      <w:r>
        <w:rPr>
          <w:rFonts w:cs="宋体"/>
          <w:color w:val="FF0000"/>
          <w:szCs w:val="24"/>
        </w:rPr>
        <w:t xml:space="preserve"> Sloping </w:t>
      </w:r>
      <w:r>
        <w:rPr>
          <w:rFonts w:hint="eastAsia" w:cs="宋体"/>
          <w:color w:val="FF0000"/>
          <w:szCs w:val="24"/>
          <w:lang w:val="en-US" w:eastAsia="zh-CN"/>
        </w:rPr>
        <w:t>s</w:t>
      </w:r>
      <w:r>
        <w:rPr>
          <w:rFonts w:cs="宋体"/>
          <w:color w:val="FF0000"/>
          <w:szCs w:val="24"/>
        </w:rPr>
        <w:t xml:space="preserve">ite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 xml:space="preserve">6.3 </w:t>
      </w:r>
      <w:r>
        <w:rPr>
          <w:rFonts w:cs="宋体"/>
          <w:color w:val="FF0000"/>
          <w:szCs w:val="24"/>
        </w:rPr>
        <w:t xml:space="preserve"> Low-lying </w:t>
      </w:r>
      <w:r>
        <w:rPr>
          <w:rFonts w:hint="eastAsia" w:cs="宋体"/>
          <w:color w:val="FF0000"/>
          <w:szCs w:val="24"/>
          <w:lang w:val="en-US" w:eastAsia="zh-CN"/>
        </w:rPr>
        <w:t>s</w:t>
      </w:r>
      <w:r>
        <w:rPr>
          <w:rFonts w:cs="宋体"/>
          <w:color w:val="FF0000"/>
          <w:szCs w:val="24"/>
        </w:rPr>
        <w:t xml:space="preserve">ite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6.</w:t>
      </w:r>
      <w:r>
        <w:rPr>
          <w:rFonts w:cs="宋体"/>
          <w:color w:val="FF0000"/>
          <w:szCs w:val="24"/>
        </w:rPr>
        <w:t>4</w:t>
      </w:r>
      <w:r>
        <w:rPr>
          <w:rFonts w:hint="eastAsia" w:cs="宋体"/>
          <w:color w:val="FF0000"/>
          <w:szCs w:val="24"/>
        </w:rPr>
        <w:t xml:space="preserve"> </w:t>
      </w:r>
      <w:r>
        <w:rPr>
          <w:rFonts w:cs="宋体"/>
          <w:color w:val="FF0000"/>
          <w:szCs w:val="24"/>
        </w:rPr>
        <w:t xml:space="preserve"> Waterfront </w:t>
      </w:r>
      <w:r>
        <w:rPr>
          <w:rFonts w:hint="eastAsia" w:cs="宋体"/>
          <w:color w:val="FF0000"/>
          <w:szCs w:val="24"/>
          <w:lang w:val="en-US" w:eastAsia="zh-CN"/>
        </w:rPr>
        <w:t>s</w:t>
      </w:r>
      <w:r>
        <w:rPr>
          <w:rFonts w:cs="宋体"/>
          <w:color w:val="FF0000"/>
          <w:szCs w:val="24"/>
        </w:rPr>
        <w:t xml:space="preserve">ite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6.</w:t>
      </w:r>
      <w:r>
        <w:rPr>
          <w:rFonts w:cs="宋体"/>
          <w:color w:val="FF0000"/>
          <w:szCs w:val="24"/>
        </w:rPr>
        <w:t>5</w:t>
      </w:r>
      <w:r>
        <w:rPr>
          <w:rFonts w:hint="eastAsia" w:cs="宋体"/>
          <w:color w:val="FF0000"/>
          <w:szCs w:val="24"/>
        </w:rPr>
        <w:t xml:space="preserve"> </w:t>
      </w:r>
      <w:r>
        <w:rPr>
          <w:rFonts w:cs="宋体"/>
          <w:color w:val="FF0000"/>
          <w:szCs w:val="24"/>
        </w:rPr>
        <w:t xml:space="preserve"> Karst </w:t>
      </w:r>
      <w:r>
        <w:rPr>
          <w:rFonts w:hint="eastAsia" w:cs="宋体"/>
          <w:color w:val="FF0000"/>
          <w:szCs w:val="24"/>
          <w:lang w:val="en-US" w:eastAsia="zh-CN"/>
        </w:rPr>
        <w:t>s</w:t>
      </w:r>
      <w:r>
        <w:rPr>
          <w:rFonts w:cs="宋体"/>
          <w:color w:val="FF0000"/>
          <w:szCs w:val="24"/>
        </w:rPr>
        <w:t xml:space="preserve">ite                                                   </w:t>
      </w:r>
      <w:r>
        <w:rPr>
          <w:rFonts w:hint="eastAsia" w:cs="宋体"/>
          <w:color w:val="FF0000"/>
          <w:szCs w:val="24"/>
          <w:lang w:val="en-US" w:eastAsia="zh-CN"/>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rPr>
          <w:rFonts w:cs="宋体"/>
          <w:color w:val="FF0000"/>
          <w:szCs w:val="24"/>
        </w:rPr>
      </w:pPr>
      <w:r>
        <w:rPr>
          <w:rFonts w:hint="eastAsia" w:cs="宋体"/>
          <w:color w:val="FF0000"/>
          <w:szCs w:val="24"/>
        </w:rPr>
        <w:t>7</w:t>
      </w:r>
      <w:r>
        <w:rPr>
          <w:rFonts w:cs="宋体"/>
          <w:color w:val="FF0000"/>
          <w:szCs w:val="24"/>
        </w:rPr>
        <w:t xml:space="preserve">  </w:t>
      </w:r>
      <w:r>
        <w:rPr>
          <w:rFonts w:hint="eastAsia" w:cs="宋体"/>
          <w:color w:val="FF0000"/>
          <w:szCs w:val="24"/>
        </w:rPr>
        <w:t xml:space="preserve">Existing </w:t>
      </w:r>
      <w:r>
        <w:rPr>
          <w:rFonts w:hint="eastAsia" w:cs="宋体"/>
          <w:color w:val="FF0000"/>
          <w:szCs w:val="24"/>
          <w:lang w:val="en-US" w:eastAsia="zh-CN"/>
        </w:rPr>
        <w:t>p</w:t>
      </w:r>
      <w:r>
        <w:rPr>
          <w:rFonts w:hint="eastAsia" w:cs="宋体"/>
          <w:color w:val="FF0000"/>
          <w:szCs w:val="24"/>
        </w:rPr>
        <w:t>rojects</w:t>
      </w:r>
      <w:r>
        <w:rPr>
          <w:rFonts w:cs="宋体"/>
          <w:color w:val="FF0000"/>
          <w:szCs w:val="24"/>
        </w:rPr>
        <w:t xml:space="preserve">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7.1</w:t>
      </w:r>
      <w:r>
        <w:rPr>
          <w:rFonts w:cs="宋体"/>
          <w:color w:val="FF0000"/>
          <w:szCs w:val="24"/>
        </w:rPr>
        <w:t xml:space="preserve">  </w:t>
      </w:r>
      <w:r>
        <w:rPr>
          <w:rFonts w:hint="eastAsia" w:cs="宋体"/>
          <w:color w:val="FF0000"/>
          <w:szCs w:val="24"/>
        </w:rPr>
        <w:t xml:space="preserve">Anti-flotation </w:t>
      </w:r>
      <w:r>
        <w:rPr>
          <w:rFonts w:hint="eastAsia" w:cs="宋体"/>
          <w:color w:val="FF0000"/>
          <w:szCs w:val="24"/>
          <w:lang w:val="en-US" w:eastAsia="zh-CN"/>
        </w:rPr>
        <w:t>r</w:t>
      </w:r>
      <w:r>
        <w:rPr>
          <w:rFonts w:hint="eastAsia" w:cs="宋体"/>
          <w:color w:val="FF0000"/>
          <w:szCs w:val="24"/>
        </w:rPr>
        <w:t>einforcement</w:t>
      </w:r>
      <w:r>
        <w:rPr>
          <w:rFonts w:cs="宋体"/>
          <w:color w:val="FF0000"/>
          <w:szCs w:val="24"/>
        </w:rPr>
        <w:t xml:space="preserve">                                       </w:t>
      </w:r>
      <w:r>
        <w:rPr>
          <w:rFonts w:hint="eastAsia" w:cs="宋体"/>
          <w:color w:val="FF0000"/>
          <w:szCs w:val="24"/>
          <w:lang w:val="en-US" w:eastAsia="zh-CN"/>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ind w:firstLine="480" w:firstLineChars="200"/>
        <w:rPr>
          <w:rFonts w:cs="宋体"/>
          <w:color w:val="FF0000"/>
          <w:szCs w:val="24"/>
        </w:rPr>
      </w:pPr>
      <w:r>
        <w:rPr>
          <w:rFonts w:hint="eastAsia" w:cs="宋体"/>
          <w:color w:val="FF0000"/>
          <w:szCs w:val="24"/>
        </w:rPr>
        <w:t>7.2</w:t>
      </w:r>
      <w:r>
        <w:rPr>
          <w:rFonts w:cs="宋体"/>
          <w:color w:val="FF0000"/>
          <w:szCs w:val="24"/>
        </w:rPr>
        <w:t xml:space="preserve">  </w:t>
      </w:r>
      <w:r>
        <w:rPr>
          <w:rFonts w:hint="eastAsia" w:cs="宋体"/>
          <w:color w:val="FF0000"/>
          <w:szCs w:val="24"/>
        </w:rPr>
        <w:t xml:space="preserve">Reconstruction and </w:t>
      </w:r>
      <w:r>
        <w:rPr>
          <w:rFonts w:hint="eastAsia" w:cs="宋体"/>
          <w:color w:val="FF0000"/>
          <w:szCs w:val="24"/>
          <w:lang w:val="en-US" w:eastAsia="zh-CN"/>
        </w:rPr>
        <w:t>e</w:t>
      </w:r>
      <w:r>
        <w:rPr>
          <w:rFonts w:hint="eastAsia" w:cs="宋体"/>
          <w:color w:val="FF0000"/>
          <w:szCs w:val="24"/>
        </w:rPr>
        <w:t>xpansion</w:t>
      </w:r>
      <w:r>
        <w:rPr>
          <w:rFonts w:cs="宋体"/>
          <w:color w:val="FF0000"/>
          <w:szCs w:val="24"/>
        </w:rPr>
        <w:t xml:space="preserve">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rPr>
          <w:rFonts w:cs="宋体"/>
          <w:color w:val="FF0000"/>
          <w:kern w:val="44"/>
          <w:szCs w:val="24"/>
        </w:rPr>
      </w:pPr>
      <w:bookmarkStart w:id="11" w:name="_Hlk108001971"/>
    </w:p>
    <w:p>
      <w:pPr>
        <w:rPr>
          <w:rFonts w:cs="宋体"/>
          <w:color w:val="FF0000"/>
          <w:kern w:val="44"/>
          <w:szCs w:val="24"/>
        </w:rPr>
      </w:pPr>
      <w:r>
        <w:rPr>
          <w:rFonts w:hint="eastAsia" w:cs="宋体"/>
          <w:color w:val="FF0000"/>
          <w:kern w:val="44"/>
          <w:szCs w:val="24"/>
        </w:rPr>
        <w:t>Appendix A</w:t>
      </w:r>
      <w:bookmarkEnd w:id="11"/>
      <w:r>
        <w:rPr>
          <w:rFonts w:hint="eastAsia" w:cs="宋体"/>
          <w:color w:val="FF0000"/>
          <w:kern w:val="44"/>
          <w:szCs w:val="24"/>
        </w:rPr>
        <w:t xml:space="preserve"> </w:t>
      </w:r>
      <w:r>
        <w:rPr>
          <w:rFonts w:cs="宋体"/>
          <w:color w:val="FF0000"/>
          <w:kern w:val="44"/>
          <w:szCs w:val="24"/>
        </w:rPr>
        <w:t xml:space="preserve"> Outline for </w:t>
      </w:r>
      <w:r>
        <w:rPr>
          <w:rFonts w:hint="eastAsia" w:cs="宋体"/>
          <w:color w:val="FF0000"/>
          <w:kern w:val="44"/>
          <w:szCs w:val="24"/>
          <w:lang w:val="en-US" w:eastAsia="zh-CN"/>
        </w:rPr>
        <w:t>c</w:t>
      </w:r>
      <w:r>
        <w:rPr>
          <w:rFonts w:cs="宋体"/>
          <w:color w:val="FF0000"/>
          <w:kern w:val="44"/>
          <w:szCs w:val="24"/>
        </w:rPr>
        <w:t xml:space="preserve">ompiling a </w:t>
      </w:r>
      <w:r>
        <w:rPr>
          <w:rFonts w:hint="eastAsia" w:cs="宋体"/>
          <w:color w:val="FF0000"/>
          <w:kern w:val="44"/>
          <w:szCs w:val="24"/>
          <w:lang w:val="en-US" w:eastAsia="zh-CN"/>
        </w:rPr>
        <w:t>s</w:t>
      </w:r>
      <w:r>
        <w:rPr>
          <w:rFonts w:cs="宋体"/>
          <w:color w:val="FF0000"/>
          <w:kern w:val="44"/>
          <w:szCs w:val="24"/>
        </w:rPr>
        <w:t xml:space="preserve">pecial </w:t>
      </w:r>
      <w:r>
        <w:rPr>
          <w:rFonts w:hint="eastAsia" w:cs="宋体"/>
          <w:color w:val="FF0000"/>
          <w:kern w:val="44"/>
          <w:szCs w:val="24"/>
          <w:lang w:val="en-US" w:eastAsia="zh-CN"/>
        </w:rPr>
        <w:t>r</w:t>
      </w:r>
      <w:r>
        <w:rPr>
          <w:rFonts w:cs="宋体"/>
          <w:color w:val="FF0000"/>
          <w:kern w:val="44"/>
          <w:szCs w:val="24"/>
        </w:rPr>
        <w:t xml:space="preserve">eport on </w:t>
      </w:r>
      <w:r>
        <w:rPr>
          <w:rFonts w:hint="eastAsia" w:cs="宋体"/>
          <w:color w:val="FF0000"/>
          <w:kern w:val="44"/>
          <w:szCs w:val="24"/>
          <w:lang w:val="en-US" w:eastAsia="zh-CN"/>
        </w:rPr>
        <w:t>h</w:t>
      </w:r>
      <w:r>
        <w:rPr>
          <w:rFonts w:cs="宋体"/>
          <w:color w:val="FF0000"/>
          <w:kern w:val="44"/>
          <w:szCs w:val="24"/>
        </w:rPr>
        <w:t xml:space="preserve">ydrogeological </w:t>
      </w:r>
      <w:r>
        <w:rPr>
          <w:rFonts w:hint="eastAsia" w:cs="宋体"/>
          <w:color w:val="FF0000"/>
          <w:kern w:val="44"/>
          <w:szCs w:val="24"/>
          <w:lang w:val="en-US" w:eastAsia="zh-CN"/>
        </w:rPr>
        <w:t>s</w:t>
      </w:r>
      <w:r>
        <w:rPr>
          <w:rFonts w:cs="宋体"/>
          <w:color w:val="FF0000"/>
          <w:kern w:val="44"/>
          <w:szCs w:val="24"/>
        </w:rPr>
        <w:t xml:space="preserve">urvey of </w:t>
      </w:r>
      <w:r>
        <w:rPr>
          <w:rFonts w:hint="eastAsia" w:cs="宋体"/>
          <w:color w:val="FF0000"/>
          <w:kern w:val="44"/>
          <w:szCs w:val="24"/>
          <w:lang w:val="en-US" w:eastAsia="zh-CN"/>
        </w:rPr>
        <w:t>a</w:t>
      </w:r>
      <w:r>
        <w:rPr>
          <w:rFonts w:cs="宋体"/>
          <w:color w:val="FF0000"/>
          <w:kern w:val="44"/>
          <w:szCs w:val="24"/>
        </w:rPr>
        <w:t xml:space="preserve">nti </w:t>
      </w:r>
      <w:r>
        <w:rPr>
          <w:rFonts w:hint="eastAsia" w:cs="宋体"/>
          <w:color w:val="FF0000"/>
          <w:kern w:val="44"/>
          <w:szCs w:val="24"/>
          <w:lang w:val="en-US" w:eastAsia="zh-CN"/>
        </w:rPr>
        <w:t>f</w:t>
      </w:r>
      <w:r>
        <w:rPr>
          <w:rFonts w:cs="宋体"/>
          <w:color w:val="FF0000"/>
          <w:kern w:val="44"/>
          <w:szCs w:val="24"/>
        </w:rPr>
        <w:t xml:space="preserve">loating </w:t>
      </w:r>
      <w:r>
        <w:rPr>
          <w:rFonts w:hint="eastAsia" w:cs="宋体"/>
          <w:color w:val="FF0000"/>
          <w:kern w:val="44"/>
          <w:szCs w:val="24"/>
          <w:lang w:val="en-US" w:eastAsia="zh-CN"/>
        </w:rPr>
        <w:t>e</w:t>
      </w:r>
      <w:r>
        <w:rPr>
          <w:rFonts w:cs="宋体"/>
          <w:color w:val="FF0000"/>
          <w:kern w:val="44"/>
          <w:szCs w:val="24"/>
        </w:rPr>
        <w:t xml:space="preserve">ngineering                                  </w:t>
      </w:r>
      <w:r>
        <w:rPr>
          <w:rFonts w:hint="eastAsia" w:cs="宋体"/>
          <w:color w:val="FF0000"/>
          <w:kern w:val="44"/>
          <w:szCs w:val="24"/>
        </w:rPr>
        <w:t xml:space="preserve"> </w:t>
      </w:r>
      <w:r>
        <w:rPr>
          <w:rFonts w:cs="宋体"/>
          <w:color w:val="FF0000"/>
          <w:kern w:val="44"/>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rPr>
          <w:rFonts w:cs="宋体"/>
          <w:color w:val="FF0000"/>
          <w:kern w:val="44"/>
          <w:szCs w:val="24"/>
        </w:rPr>
      </w:pPr>
      <w:r>
        <w:rPr>
          <w:rFonts w:hint="eastAsia" w:cs="宋体"/>
          <w:color w:val="FF0000"/>
          <w:kern w:val="44"/>
          <w:szCs w:val="24"/>
        </w:rPr>
        <w:t xml:space="preserve">Appendix </w:t>
      </w:r>
      <w:r>
        <w:rPr>
          <w:rFonts w:cs="宋体"/>
          <w:color w:val="FF0000"/>
          <w:kern w:val="44"/>
          <w:szCs w:val="24"/>
        </w:rPr>
        <w:t xml:space="preserve">B  Classification of </w:t>
      </w:r>
      <w:r>
        <w:rPr>
          <w:rFonts w:hint="eastAsia" w:cs="宋体"/>
          <w:color w:val="FF0000"/>
          <w:kern w:val="44"/>
          <w:szCs w:val="24"/>
          <w:lang w:val="en-US" w:eastAsia="zh-CN"/>
        </w:rPr>
        <w:t>g</w:t>
      </w:r>
      <w:r>
        <w:rPr>
          <w:rFonts w:cs="宋体"/>
          <w:color w:val="FF0000"/>
          <w:kern w:val="44"/>
          <w:szCs w:val="24"/>
        </w:rPr>
        <w:t xml:space="preserve">roundwater </w:t>
      </w:r>
      <w:r>
        <w:rPr>
          <w:rFonts w:hint="eastAsia" w:cs="宋体"/>
          <w:color w:val="FF0000"/>
          <w:kern w:val="44"/>
          <w:szCs w:val="24"/>
          <w:lang w:val="en-US" w:eastAsia="zh-CN"/>
        </w:rPr>
        <w:t>t</w:t>
      </w:r>
      <w:r>
        <w:rPr>
          <w:rFonts w:cs="宋体"/>
          <w:color w:val="FF0000"/>
          <w:kern w:val="44"/>
          <w:szCs w:val="24"/>
        </w:rPr>
        <w:t xml:space="preserve">ypes and </w:t>
      </w:r>
      <w:r>
        <w:rPr>
          <w:rFonts w:hint="eastAsia" w:cs="宋体"/>
          <w:color w:val="FF0000"/>
          <w:kern w:val="44"/>
          <w:szCs w:val="24"/>
          <w:lang w:val="en-US" w:eastAsia="zh-CN"/>
        </w:rPr>
        <w:t>p</w:t>
      </w:r>
      <w:r>
        <w:rPr>
          <w:rFonts w:cs="宋体"/>
          <w:color w:val="FF0000"/>
          <w:kern w:val="44"/>
          <w:szCs w:val="24"/>
        </w:rPr>
        <w:t xml:space="preserve">ermeability </w:t>
      </w:r>
      <w:r>
        <w:rPr>
          <w:rFonts w:hint="eastAsia" w:cs="宋体"/>
          <w:color w:val="FF0000"/>
          <w:kern w:val="44"/>
          <w:szCs w:val="24"/>
          <w:lang w:val="en-US" w:eastAsia="zh-CN"/>
        </w:rPr>
        <w:t>l</w:t>
      </w:r>
      <w:r>
        <w:rPr>
          <w:rFonts w:cs="宋体"/>
          <w:color w:val="FF0000"/>
          <w:kern w:val="44"/>
          <w:szCs w:val="24"/>
        </w:rPr>
        <w:t xml:space="preserve">evels of </w:t>
      </w:r>
      <w:r>
        <w:rPr>
          <w:rFonts w:hint="eastAsia" w:cs="宋体"/>
          <w:color w:val="FF0000"/>
          <w:kern w:val="44"/>
          <w:szCs w:val="24"/>
          <w:lang w:val="en-US" w:eastAsia="zh-CN"/>
        </w:rPr>
        <w:t>r</w:t>
      </w:r>
      <w:r>
        <w:rPr>
          <w:rFonts w:cs="宋体"/>
          <w:color w:val="FF0000"/>
          <w:kern w:val="44"/>
          <w:szCs w:val="24"/>
        </w:rPr>
        <w:t xml:space="preserve">ock and </w:t>
      </w:r>
      <w:r>
        <w:rPr>
          <w:rFonts w:hint="eastAsia" w:cs="宋体"/>
          <w:color w:val="FF0000"/>
          <w:kern w:val="44"/>
          <w:szCs w:val="24"/>
          <w:lang w:val="en-US" w:eastAsia="zh-CN"/>
        </w:rPr>
        <w:t>s</w:t>
      </w:r>
      <w:r>
        <w:rPr>
          <w:rFonts w:cs="宋体"/>
          <w:color w:val="FF0000"/>
          <w:kern w:val="44"/>
          <w:szCs w:val="24"/>
        </w:rPr>
        <w:t xml:space="preserve">oil </w:t>
      </w:r>
      <w:r>
        <w:rPr>
          <w:rFonts w:hint="eastAsia" w:cs="宋体"/>
          <w:color w:val="FF0000"/>
          <w:kern w:val="44"/>
          <w:szCs w:val="24"/>
          <w:lang w:val="en-US" w:eastAsia="zh-CN"/>
        </w:rPr>
        <w:t>m</w:t>
      </w:r>
      <w:r>
        <w:rPr>
          <w:rFonts w:cs="宋体"/>
          <w:color w:val="FF0000"/>
          <w:kern w:val="44"/>
          <w:szCs w:val="24"/>
        </w:rPr>
        <w:t xml:space="preserve">ass                                                </w:t>
      </w:r>
      <w:r>
        <w:rPr>
          <w:rFonts w:hint="eastAsia" w:cs="宋体"/>
          <w:color w:val="FF0000"/>
          <w:kern w:val="44"/>
          <w:szCs w:val="24"/>
        </w:rPr>
        <w:t xml:space="preserve"> </w:t>
      </w:r>
      <w:r>
        <w:rPr>
          <w:rFonts w:cs="宋体"/>
          <w:color w:val="FF0000"/>
          <w:kern w:val="44"/>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rPr>
          <w:rFonts w:cs="宋体"/>
          <w:color w:val="FF0000"/>
          <w:szCs w:val="24"/>
        </w:rPr>
      </w:pPr>
      <w:r>
        <w:rPr>
          <w:rFonts w:hint="eastAsia" w:cs="宋体"/>
          <w:color w:val="FF0000"/>
          <w:kern w:val="44"/>
          <w:szCs w:val="24"/>
        </w:rPr>
        <w:t xml:space="preserve">Appendix </w:t>
      </w:r>
      <w:r>
        <w:rPr>
          <w:rFonts w:cs="宋体"/>
          <w:color w:val="FF0000"/>
          <w:kern w:val="44"/>
          <w:szCs w:val="24"/>
        </w:rPr>
        <w:t xml:space="preserve">C  Anti-floating </w:t>
      </w:r>
      <w:r>
        <w:rPr>
          <w:rFonts w:hint="eastAsia" w:cs="宋体"/>
          <w:color w:val="FF0000"/>
          <w:kern w:val="44"/>
          <w:szCs w:val="24"/>
          <w:lang w:val="en-US" w:eastAsia="zh-CN"/>
        </w:rPr>
        <w:t>m</w:t>
      </w:r>
      <w:r>
        <w:rPr>
          <w:rFonts w:cs="宋体"/>
          <w:color w:val="FF0000"/>
          <w:kern w:val="44"/>
          <w:szCs w:val="24"/>
        </w:rPr>
        <w:t xml:space="preserve">easures and </w:t>
      </w:r>
      <w:r>
        <w:rPr>
          <w:rFonts w:hint="eastAsia" w:cs="宋体"/>
          <w:color w:val="FF0000"/>
          <w:kern w:val="44"/>
          <w:szCs w:val="24"/>
          <w:lang w:val="en-US" w:eastAsia="zh-CN"/>
        </w:rPr>
        <w:t>a</w:t>
      </w:r>
      <w:r>
        <w:rPr>
          <w:rFonts w:cs="宋体"/>
          <w:color w:val="FF0000"/>
          <w:kern w:val="44"/>
          <w:szCs w:val="24"/>
        </w:rPr>
        <w:t xml:space="preserve">pplicable </w:t>
      </w:r>
      <w:r>
        <w:rPr>
          <w:rFonts w:hint="eastAsia" w:cs="宋体"/>
          <w:color w:val="FF0000"/>
          <w:kern w:val="44"/>
          <w:szCs w:val="24"/>
          <w:lang w:val="en-US" w:eastAsia="zh-CN"/>
        </w:rPr>
        <w:t>c</w:t>
      </w:r>
      <w:r>
        <w:rPr>
          <w:rFonts w:cs="宋体"/>
          <w:color w:val="FF0000"/>
          <w:kern w:val="44"/>
          <w:szCs w:val="24"/>
        </w:rPr>
        <w:t xml:space="preserve">onditions        </w:t>
      </w:r>
      <w:r>
        <w:rPr>
          <w:rFonts w:hint="eastAsia" w:cs="宋体"/>
          <w:color w:val="FF0000"/>
          <w:kern w:val="44"/>
          <w:szCs w:val="24"/>
        </w:rPr>
        <w:t xml:space="preserve">  </w:t>
      </w:r>
      <w:r>
        <w:rPr>
          <w:rFonts w:cs="宋体"/>
          <w:color w:val="FF0000"/>
          <w:kern w:val="44"/>
          <w:szCs w:val="24"/>
        </w:rPr>
        <w:t xml:space="preserve">       </w:t>
      </w:r>
      <w:r>
        <w:rPr>
          <w:rFonts w:hint="eastAsia" w:cs="宋体"/>
          <w:color w:val="FF0000"/>
          <w:kern w:val="44"/>
          <w:szCs w:val="24"/>
          <w:lang w:val="en-US" w:eastAsia="zh-CN"/>
        </w:rPr>
        <w:t xml:space="preserve"> </w:t>
      </w:r>
      <w:r>
        <w:rPr>
          <w:rFonts w:cs="宋体"/>
          <w:color w:val="FF0000"/>
          <w:kern w:val="44"/>
          <w:szCs w:val="24"/>
        </w:rPr>
        <w:t xml:space="preserve">   </w:t>
      </w:r>
      <w:r>
        <w:rPr>
          <w:rFonts w:hint="eastAsia" w:cs="宋体"/>
          <w:color w:val="FF0000"/>
          <w:szCs w:val="24"/>
        </w:rPr>
        <w:t>（</w:t>
      </w:r>
      <w:r>
        <w:rPr>
          <w:rFonts w:hint="eastAsia" w:ascii="宋体" w:hAnsi="宋体" w:cs="宋体"/>
          <w:color w:val="FF0000"/>
          <w:szCs w:val="24"/>
        </w:rPr>
        <w:t>×</w:t>
      </w:r>
      <w:r>
        <w:rPr>
          <w:rFonts w:hint="eastAsia" w:cs="宋体"/>
          <w:color w:val="FF0000"/>
          <w:szCs w:val="24"/>
        </w:rPr>
        <w:t>）</w:t>
      </w:r>
    </w:p>
    <w:p>
      <w:pPr>
        <w:rPr>
          <w:rFonts w:cs="宋体"/>
          <w:color w:val="FF0000"/>
          <w:kern w:val="44"/>
          <w:szCs w:val="24"/>
        </w:rPr>
      </w:pPr>
    </w:p>
    <w:p>
      <w:pPr>
        <w:rPr>
          <w:rFonts w:cs="宋体"/>
          <w:color w:val="FF0000"/>
          <w:szCs w:val="24"/>
        </w:rPr>
      </w:pPr>
      <w:r>
        <w:rPr>
          <w:rFonts w:hint="eastAsia" w:cs="宋体"/>
          <w:color w:val="FF0000"/>
          <w:kern w:val="44"/>
          <w:szCs w:val="24"/>
        </w:rPr>
        <w:t xml:space="preserve">Explanation of </w:t>
      </w:r>
      <w:r>
        <w:rPr>
          <w:rFonts w:hint="eastAsia" w:cs="宋体"/>
          <w:color w:val="FF0000"/>
          <w:kern w:val="44"/>
          <w:szCs w:val="24"/>
          <w:lang w:val="en-US" w:eastAsia="zh-CN"/>
        </w:rPr>
        <w:t>w</w:t>
      </w:r>
      <w:r>
        <w:rPr>
          <w:rFonts w:hint="eastAsia" w:cs="宋体"/>
          <w:color w:val="FF0000"/>
          <w:kern w:val="44"/>
          <w:szCs w:val="24"/>
        </w:rPr>
        <w:t>ord</w:t>
      </w:r>
      <w:r>
        <w:rPr>
          <w:rFonts w:hint="eastAsia" w:cs="宋体"/>
          <w:color w:val="FF0000"/>
          <w:kern w:val="44"/>
          <w:szCs w:val="24"/>
          <w:lang w:val="en-US" w:eastAsia="zh-CN"/>
        </w:rPr>
        <w:t>ing</w:t>
      </w:r>
      <w:r>
        <w:rPr>
          <w:rFonts w:hint="eastAsia" w:cs="宋体"/>
          <w:color w:val="FF0000"/>
          <w:kern w:val="44"/>
          <w:szCs w:val="24"/>
        </w:rPr>
        <w:t xml:space="preserve">   </w:t>
      </w:r>
      <w:r>
        <w:rPr>
          <w:rFonts w:cs="宋体"/>
          <w:color w:val="FF0000"/>
          <w:kern w:val="44"/>
          <w:szCs w:val="24"/>
        </w:rPr>
        <w:t xml:space="preserve"> </w:t>
      </w:r>
      <w:r>
        <w:rPr>
          <w:rFonts w:hint="eastAsia" w:cs="宋体"/>
          <w:color w:val="FF0000"/>
          <w:kern w:val="44"/>
          <w:szCs w:val="24"/>
        </w:rPr>
        <w:t xml:space="preserve">                                     </w:t>
      </w:r>
      <w:r>
        <w:rPr>
          <w:rFonts w:hint="eastAsia" w:cs="宋体"/>
          <w:color w:val="FF0000"/>
          <w:kern w:val="44"/>
          <w:szCs w:val="24"/>
          <w:lang w:val="en-US" w:eastAsia="zh-CN"/>
        </w:rPr>
        <w:t xml:space="preserve">            </w:t>
      </w:r>
      <w:r>
        <w:rPr>
          <w:rFonts w:hint="eastAsia" w:cs="宋体"/>
          <w:color w:val="FF0000"/>
          <w:szCs w:val="24"/>
        </w:rPr>
        <w:t>（×）</w:t>
      </w:r>
    </w:p>
    <w:p>
      <w:pPr>
        <w:jc w:val="distribute"/>
        <w:rPr>
          <w:rFonts w:cs="宋体"/>
          <w:color w:val="FF0000"/>
          <w:szCs w:val="24"/>
        </w:rPr>
      </w:pPr>
      <w:r>
        <w:rPr>
          <w:rFonts w:hint="eastAsia" w:cs="宋体"/>
          <w:color w:val="FF0000"/>
          <w:szCs w:val="24"/>
        </w:rPr>
        <w:t xml:space="preserve">List of </w:t>
      </w:r>
      <w:r>
        <w:rPr>
          <w:rFonts w:hint="eastAsia" w:cs="宋体"/>
          <w:color w:val="FF0000"/>
          <w:szCs w:val="24"/>
          <w:lang w:val="en-US" w:eastAsia="zh-CN"/>
        </w:rPr>
        <w:t>q</w:t>
      </w:r>
      <w:r>
        <w:rPr>
          <w:rFonts w:hint="eastAsia" w:cs="宋体"/>
          <w:color w:val="FF0000"/>
          <w:szCs w:val="24"/>
        </w:rPr>
        <w:t xml:space="preserve">uoted </w:t>
      </w:r>
      <w:r>
        <w:rPr>
          <w:rFonts w:hint="eastAsia" w:cs="宋体"/>
          <w:color w:val="FF0000"/>
          <w:kern w:val="44"/>
          <w:szCs w:val="24"/>
          <w:lang w:val="en-US" w:eastAsia="zh-CN"/>
        </w:rPr>
        <w:t>s</w:t>
      </w:r>
      <w:r>
        <w:rPr>
          <w:rFonts w:hint="eastAsia" w:cs="宋体"/>
          <w:color w:val="FF0000"/>
          <w:kern w:val="44"/>
          <w:szCs w:val="24"/>
        </w:rPr>
        <w:t>tandard</w:t>
      </w:r>
      <w:r>
        <w:rPr>
          <w:rFonts w:hint="eastAsia" w:cs="宋体"/>
          <w:color w:val="FF0000"/>
          <w:kern w:val="44"/>
          <w:szCs w:val="24"/>
          <w:lang w:val="en-US" w:eastAsia="zh-CN"/>
        </w:rPr>
        <w:t>s</w:t>
      </w:r>
      <w:r>
        <w:rPr>
          <w:rFonts w:cs="宋体"/>
          <w:color w:val="FF0000"/>
          <w:szCs w:val="24"/>
        </w:rPr>
        <w:t xml:space="preserve">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p>
    <w:p>
      <w:pPr>
        <w:jc w:val="distribute"/>
        <w:rPr>
          <w:rFonts w:cs="宋体"/>
          <w:color w:val="FF0000"/>
          <w:szCs w:val="24"/>
        </w:rPr>
      </w:pPr>
      <w:r>
        <w:rPr>
          <w:rFonts w:hint="eastAsia" w:cs="宋体"/>
          <w:color w:val="FF0000"/>
          <w:szCs w:val="24"/>
        </w:rPr>
        <w:t>Addition:</w:t>
      </w:r>
      <w:r>
        <w:rPr>
          <w:rFonts w:cs="宋体"/>
          <w:color w:val="FF0000"/>
          <w:szCs w:val="24"/>
        </w:rPr>
        <w:t>E</w:t>
      </w:r>
      <w:r>
        <w:rPr>
          <w:rFonts w:hint="eastAsia" w:cs="宋体"/>
          <w:color w:val="FF0000"/>
          <w:szCs w:val="24"/>
        </w:rPr>
        <w:t xml:space="preserve">xplanation of </w:t>
      </w:r>
      <w:r>
        <w:rPr>
          <w:rFonts w:hint="eastAsia" w:cs="宋体"/>
          <w:color w:val="FF0000"/>
          <w:szCs w:val="24"/>
          <w:lang w:val="en-US" w:eastAsia="zh-CN"/>
        </w:rPr>
        <w:t>p</w:t>
      </w:r>
      <w:r>
        <w:rPr>
          <w:rFonts w:hint="eastAsia" w:cs="宋体"/>
          <w:color w:val="FF0000"/>
          <w:szCs w:val="24"/>
        </w:rPr>
        <w:t xml:space="preserve">rovisions </w:t>
      </w:r>
      <w:r>
        <w:rPr>
          <w:rFonts w:cs="宋体"/>
          <w:color w:val="FF0000"/>
          <w:szCs w:val="24"/>
        </w:rPr>
        <w:t xml:space="preserve">                      </w:t>
      </w:r>
      <w:r>
        <w:rPr>
          <w:rFonts w:hint="eastAsia" w:cs="宋体"/>
          <w:color w:val="FF0000"/>
          <w:szCs w:val="24"/>
        </w:rPr>
        <w:t xml:space="preserve">  </w:t>
      </w:r>
      <w:r>
        <w:rPr>
          <w:rFonts w:cs="宋体"/>
          <w:color w:val="FF0000"/>
          <w:szCs w:val="24"/>
        </w:rPr>
        <w:t xml:space="preserve">                   </w:t>
      </w:r>
      <w:r>
        <w:rPr>
          <w:rFonts w:hint="eastAsia" w:cs="宋体"/>
          <w:color w:val="FF0000"/>
          <w:szCs w:val="24"/>
        </w:rPr>
        <w:t>（×）</w:t>
      </w:r>
    </w:p>
    <w:p>
      <w:pPr>
        <w:rPr>
          <w:rFonts w:cs="宋体"/>
          <w:kern w:val="44"/>
          <w:szCs w:val="24"/>
        </w:rPr>
        <w:sectPr>
          <w:headerReference r:id="rId25" w:type="first"/>
          <w:headerReference r:id="rId23" w:type="default"/>
          <w:footerReference r:id="rId26" w:type="default"/>
          <w:headerReference r:id="rId24" w:type="even"/>
          <w:pgSz w:w="11906" w:h="16838"/>
          <w:pgMar w:top="1134" w:right="1134" w:bottom="1134" w:left="1701" w:header="851" w:footer="992" w:gutter="0"/>
          <w:pgNumType w:fmt="upperRoman"/>
          <w:cols w:space="425" w:num="1"/>
          <w:docGrid w:type="lines" w:linePitch="312" w:charSpace="0"/>
        </w:sectPr>
      </w:pPr>
    </w:p>
    <w:p>
      <w:pPr>
        <w:pStyle w:val="2"/>
        <w:rPr>
          <w:sz w:val="30"/>
          <w:szCs w:val="30"/>
        </w:rPr>
      </w:pPr>
      <w:bookmarkStart w:id="12" w:name="_Toc35131557"/>
      <w:bookmarkStart w:id="13" w:name="_Toc2266"/>
      <w:r>
        <w:rPr>
          <w:rFonts w:hint="eastAsia"/>
          <w:sz w:val="30"/>
          <w:szCs w:val="30"/>
        </w:rPr>
        <w:t xml:space="preserve"> </w:t>
      </w:r>
      <w:r>
        <w:rPr>
          <w:sz w:val="30"/>
          <w:szCs w:val="30"/>
        </w:rPr>
        <w:t xml:space="preserve"> </w:t>
      </w:r>
      <w:r>
        <w:rPr>
          <w:rFonts w:hint="eastAsia"/>
          <w:sz w:val="30"/>
          <w:szCs w:val="30"/>
        </w:rPr>
        <w:t>总则</w:t>
      </w:r>
      <w:bookmarkEnd w:id="3"/>
      <w:bookmarkEnd w:id="12"/>
      <w:bookmarkEnd w:id="13"/>
    </w:p>
    <w:p>
      <w:pPr>
        <w:rPr>
          <w:rFonts w:asciiTheme="minorEastAsia" w:hAnsiTheme="minorEastAsia" w:eastAsiaTheme="minorEastAsia"/>
        </w:rPr>
      </w:pPr>
      <w:r>
        <w:rPr>
          <w:rFonts w:hint="eastAsia"/>
          <w:b/>
          <w:bCs/>
        </w:rPr>
        <w:t>1.0.</w:t>
      </w:r>
      <w:r>
        <w:rPr>
          <w:b/>
          <w:bCs/>
        </w:rPr>
        <w:t xml:space="preserve">1  </w:t>
      </w:r>
      <w:r>
        <w:rPr>
          <w:rFonts w:hint="eastAsia" w:asciiTheme="minorEastAsia" w:hAnsiTheme="minorEastAsia" w:eastAsiaTheme="minorEastAsia"/>
        </w:rPr>
        <w:t>为</w:t>
      </w:r>
      <w:bookmarkStart w:id="14" w:name="_Hlk117847188"/>
      <w:bookmarkStart w:id="15" w:name="_Hlk117847305"/>
      <w:r>
        <w:rPr>
          <w:rFonts w:hint="eastAsia" w:asciiTheme="minorEastAsia" w:hAnsiTheme="minorEastAsia" w:eastAsiaTheme="minorEastAsia"/>
        </w:rPr>
        <w:t>使抗浮工程的水文地质勘察</w:t>
      </w:r>
      <w:bookmarkEnd w:id="14"/>
      <w:r>
        <w:rPr>
          <w:rFonts w:hint="eastAsia" w:asciiTheme="minorEastAsia" w:hAnsiTheme="minorEastAsia" w:eastAsiaTheme="minorEastAsia"/>
        </w:rPr>
        <w:t>工作规范化，做到技术先进、经济合理、安全适用、保障质量和保护环境，制定本标准。</w:t>
      </w:r>
      <w:bookmarkEnd w:id="15"/>
    </w:p>
    <w:p>
      <w:pPr>
        <w:rPr>
          <w:rFonts w:asciiTheme="minorEastAsia" w:hAnsiTheme="minorEastAsia" w:eastAsiaTheme="minorEastAsia"/>
        </w:rPr>
      </w:pPr>
      <w:r>
        <w:rPr>
          <w:rFonts w:hint="eastAsia" w:ascii="楷体" w:hAnsi="楷体" w:eastAsia="楷体" w:cs="楷体"/>
          <w:b/>
          <w:bCs/>
        </w:rPr>
        <w:t>【条文说明】</w:t>
      </w:r>
      <w:r>
        <w:rPr>
          <w:rFonts w:ascii="楷体" w:hAnsi="楷体" w:eastAsia="楷体" w:cs="楷体"/>
          <w:b/>
          <w:bCs/>
        </w:rPr>
        <w:t>1.0.1</w:t>
      </w:r>
      <w:r>
        <w:rPr>
          <w:rFonts w:hint="eastAsia" w:ascii="楷体" w:hAnsi="楷体" w:eastAsia="楷体" w:cs="楷体"/>
          <w:b/>
          <w:bCs/>
        </w:rPr>
        <w:t xml:space="preserve"> </w:t>
      </w:r>
      <w:r>
        <w:rPr>
          <w:rFonts w:ascii="楷体" w:hAnsi="楷体" w:eastAsia="楷体" w:cs="楷体"/>
          <w:b/>
          <w:bCs/>
        </w:rPr>
        <w:t xml:space="preserve"> </w:t>
      </w:r>
      <w:r>
        <w:rPr>
          <w:rFonts w:hint="eastAsia" w:ascii="楷体" w:hAnsi="楷体" w:eastAsia="楷体" w:cs="楷体"/>
          <w:b/>
          <w:bCs/>
        </w:rPr>
        <w:t>当前，建设工程的工程勘察偏重于岩土工程勘察，很少进行专项的水文地质勘察，常规的岩土工程勘察对水文地质条件勘察的深度不够，提供资料较为简略。对于存在地下结构抗浮的工程往往所涉及的抗浮设计依据不够充分，要么偏于保守、造价较高、建设单位不接受，要么偏于冒进、不安全、容易产生工程安全隐患或工程事故。因此，为了使抗浮工程水文地质勘察工作规范化，保障抗浮工程水文地质勘察工作质量，编制抗浮工程水文地质勘察技术标准很有必要。</w:t>
      </w:r>
      <w:r>
        <w:rPr>
          <w:rFonts w:asciiTheme="minorEastAsia" w:hAnsiTheme="minorEastAsia" w:eastAsiaTheme="minorEastAsia"/>
        </w:rPr>
        <w:t xml:space="preserve"> </w:t>
      </w:r>
    </w:p>
    <w:p>
      <w:pPr>
        <w:rPr>
          <w:rFonts w:asciiTheme="minorEastAsia" w:hAnsiTheme="minorEastAsia" w:eastAsiaTheme="minorEastAsia"/>
        </w:rPr>
      </w:pPr>
      <w:r>
        <w:rPr>
          <w:rFonts w:hint="eastAsia"/>
          <w:b/>
          <w:bCs/>
        </w:rPr>
        <w:t>1.0.</w:t>
      </w:r>
      <w:r>
        <w:rPr>
          <w:b/>
          <w:bCs/>
        </w:rPr>
        <w:t xml:space="preserve">2  </w:t>
      </w:r>
      <w:r>
        <w:rPr>
          <w:rFonts w:hint="eastAsia" w:asciiTheme="minorEastAsia" w:hAnsiTheme="minorEastAsia" w:eastAsiaTheme="minorEastAsia"/>
        </w:rPr>
        <w:t>本标准适用于新建、改（扩）建项目地下结构抗浮和既有工程地下结构抗浮加固的水文地质勘察。</w:t>
      </w:r>
    </w:p>
    <w:p>
      <w:r>
        <w:rPr>
          <w:rFonts w:hint="eastAsia"/>
          <w:b/>
          <w:bCs/>
        </w:rPr>
        <w:t>1.0.</w:t>
      </w:r>
      <w:r>
        <w:rPr>
          <w:b/>
          <w:bCs/>
        </w:rPr>
        <w:t xml:space="preserve">3  </w:t>
      </w:r>
      <w:r>
        <w:rPr>
          <w:rFonts w:hint="eastAsia" w:asciiTheme="minorEastAsia" w:hAnsiTheme="minorEastAsia" w:eastAsiaTheme="minorEastAsia"/>
        </w:rPr>
        <w:t>抗浮工程的水文地质勘察，除应符合本标准规定外，尚应符合国家现行有关标准的规定。</w:t>
      </w:r>
    </w:p>
    <w:p>
      <w:pPr>
        <w:keepNext/>
        <w:keepLines/>
        <w:spacing w:before="1092" w:beforeLines="350" w:after="468" w:afterLines="150"/>
        <w:jc w:val="center"/>
        <w:outlineLvl w:val="0"/>
        <w:rPr>
          <w:rFonts w:cs="宋体"/>
          <w:kern w:val="44"/>
          <w:szCs w:val="24"/>
        </w:rPr>
        <w:sectPr>
          <w:headerReference r:id="rId29" w:type="first"/>
          <w:headerReference r:id="rId27" w:type="default"/>
          <w:footerReference r:id="rId30" w:type="default"/>
          <w:headerReference r:id="rId28" w:type="even"/>
          <w:pgSz w:w="11906" w:h="16838"/>
          <w:pgMar w:top="1440" w:right="1800" w:bottom="1440" w:left="1800" w:header="851" w:footer="992" w:gutter="0"/>
          <w:pgNumType w:start="1"/>
          <w:cols w:space="425" w:num="1"/>
          <w:docGrid w:type="lines" w:linePitch="312" w:charSpace="0"/>
        </w:sectPr>
      </w:pPr>
    </w:p>
    <w:p>
      <w:pPr>
        <w:pStyle w:val="2"/>
      </w:pPr>
      <w:bookmarkStart w:id="16" w:name="_Toc35131558"/>
      <w:bookmarkStart w:id="17" w:name="_Toc29777"/>
      <w:r>
        <w:rPr>
          <w:rFonts w:hint="eastAsia"/>
          <w:b w:val="0"/>
          <w:bCs w:val="0"/>
          <w:sz w:val="30"/>
          <w:szCs w:val="30"/>
        </w:rPr>
        <w:t xml:space="preserve"> </w:t>
      </w:r>
      <w:r>
        <w:rPr>
          <w:b w:val="0"/>
          <w:bCs w:val="0"/>
          <w:sz w:val="30"/>
          <w:szCs w:val="30"/>
        </w:rPr>
        <w:t xml:space="preserve"> </w:t>
      </w:r>
      <w:r>
        <w:rPr>
          <w:rFonts w:hint="eastAsia"/>
          <w:sz w:val="30"/>
          <w:szCs w:val="30"/>
        </w:rPr>
        <w:t>术语</w:t>
      </w:r>
      <w:bookmarkEnd w:id="16"/>
      <w:r>
        <w:rPr>
          <w:rFonts w:hint="eastAsia"/>
          <w:sz w:val="30"/>
          <w:szCs w:val="30"/>
        </w:rPr>
        <w:t>和符号</w:t>
      </w:r>
      <w:bookmarkEnd w:id="17"/>
    </w:p>
    <w:p>
      <w:pPr>
        <w:pStyle w:val="3"/>
        <w:ind w:left="2127" w:hanging="2134"/>
        <w:rPr>
          <w:rFonts w:ascii="黑体" w:hAnsi="黑体" w:eastAsia="黑体"/>
        </w:rPr>
      </w:pPr>
      <w:r>
        <w:rPr>
          <w:rFonts w:hint="eastAsia" w:ascii="黑体" w:hAnsi="黑体" w:eastAsia="黑体"/>
        </w:rPr>
        <w:t xml:space="preserve"> </w:t>
      </w:r>
      <w:r>
        <w:rPr>
          <w:rFonts w:ascii="黑体" w:hAnsi="黑体" w:eastAsia="黑体"/>
        </w:rPr>
        <w:t xml:space="preserve"> </w:t>
      </w:r>
      <w:r>
        <w:rPr>
          <w:rFonts w:hint="eastAsia" w:ascii="黑体" w:hAnsi="黑体" w:eastAsia="黑体"/>
        </w:rPr>
        <w:t>术语</w:t>
      </w:r>
    </w:p>
    <w:p>
      <w:r>
        <w:rPr>
          <w:rFonts w:hint="eastAsia"/>
          <w:b/>
          <w:bCs/>
        </w:rPr>
        <w:t>2.1.</w:t>
      </w:r>
      <w:r>
        <w:rPr>
          <w:b/>
          <w:bCs/>
        </w:rPr>
        <w:t>1</w:t>
      </w:r>
      <w:r>
        <w:rPr>
          <w:rFonts w:hint="eastAsia"/>
        </w:rPr>
        <w:t xml:space="preserve">  抗浮工程  Anti</w:t>
      </w:r>
      <w:r>
        <w:t>-</w:t>
      </w:r>
      <w:r>
        <w:rPr>
          <w:rFonts w:hint="eastAsia"/>
        </w:rPr>
        <w:t>floating engineering</w:t>
      </w:r>
    </w:p>
    <w:p>
      <w:pPr>
        <w:ind w:firstLine="480" w:firstLineChars="200"/>
      </w:pPr>
      <w:r>
        <w:rPr>
          <w:rFonts w:hint="eastAsia"/>
        </w:rPr>
        <w:t>为预防建（构）筑物地下结构在全生命周期内因抗浮失效导致结构和构件破坏或影响建（构）筑物使用功能所采取的工程技术措施及相关活动的统称。</w:t>
      </w:r>
    </w:p>
    <w:p>
      <w:r>
        <w:rPr>
          <w:rFonts w:hint="eastAsia"/>
          <w:b/>
          <w:bCs/>
        </w:rPr>
        <w:t>2.1.</w:t>
      </w:r>
      <w:r>
        <w:rPr>
          <w:b/>
          <w:bCs/>
        </w:rPr>
        <w:t>2</w:t>
      </w:r>
      <w:r>
        <w:rPr>
          <w:rFonts w:hint="eastAsia"/>
        </w:rPr>
        <w:t xml:space="preserve">  地下水浮力  </w:t>
      </w:r>
      <w:r>
        <w:t>ground water buoyancy</w:t>
      </w:r>
    </w:p>
    <w:p>
      <w:pPr>
        <w:ind w:firstLine="480" w:firstLineChars="200"/>
      </w:pPr>
      <w:r>
        <w:rPr>
          <w:rFonts w:hint="eastAsia"/>
        </w:rPr>
        <w:t>地下结构受到水压力的竖向合力。</w:t>
      </w:r>
    </w:p>
    <w:p>
      <w:r>
        <w:rPr>
          <w:rFonts w:hint="eastAsia"/>
          <w:b/>
          <w:bCs/>
        </w:rPr>
        <w:t>2.1.</w:t>
      </w:r>
      <w:r>
        <w:rPr>
          <w:b/>
          <w:bCs/>
        </w:rPr>
        <w:t>3</w:t>
      </w:r>
      <w:r>
        <w:rPr>
          <w:rFonts w:hint="eastAsia"/>
        </w:rPr>
        <w:t xml:space="preserve">  抗浮设防水位  Fortification water table against uplift</w:t>
      </w:r>
    </w:p>
    <w:p>
      <w:pPr>
        <w:ind w:firstLine="480" w:firstLineChars="200"/>
      </w:pPr>
      <w:r>
        <w:rPr>
          <w:rFonts w:hint="eastAsia"/>
        </w:rPr>
        <w:t>地下结构在施工期和使用期内满足抗浮设防标准时可能遭遇的地下水最高水位，或地下结构在施工期和使用期内满足抗浮设防标准最不利工况组合时地下结构底板底面上可能受到的最大浮力按静态折算的地下水水位。</w:t>
      </w:r>
    </w:p>
    <w:p>
      <w:r>
        <w:rPr>
          <w:rFonts w:hint="eastAsia"/>
          <w:b/>
          <w:bCs/>
        </w:rPr>
        <w:t>2.1.</w:t>
      </w:r>
      <w:r>
        <w:rPr>
          <w:b/>
          <w:bCs/>
        </w:rPr>
        <w:t>4</w:t>
      </w:r>
      <w:r>
        <w:rPr>
          <w:rFonts w:hint="eastAsia"/>
        </w:rPr>
        <w:t xml:space="preserve">  抗浮措施  Measurement against uplift</w:t>
      </w:r>
    </w:p>
    <w:p>
      <w:pPr>
        <w:ind w:firstLine="480" w:firstLineChars="200"/>
      </w:pPr>
      <w:r>
        <w:rPr>
          <w:rFonts w:hint="eastAsia"/>
        </w:rPr>
        <w:t>防止、减小或控制地下水浮力所采取的工程技术方法。</w:t>
      </w:r>
    </w:p>
    <w:p>
      <w:r>
        <w:rPr>
          <w:b/>
          <w:bCs/>
        </w:rPr>
        <w:t xml:space="preserve">2.1.5 </w:t>
      </w:r>
      <w:r>
        <w:rPr>
          <w:rFonts w:hint="eastAsia"/>
        </w:rPr>
        <w:t>主动抗浮</w:t>
      </w:r>
      <w:r>
        <w:t xml:space="preserve">  Active anti-floating</w:t>
      </w:r>
    </w:p>
    <w:p>
      <w:pPr>
        <w:ind w:firstLine="480" w:firstLineChars="200"/>
      </w:pPr>
      <w:r>
        <w:rPr>
          <w:rFonts w:hint="eastAsia"/>
        </w:rPr>
        <w:t>采取泄水、排水卸压等地下水控制措施，消除、减少作用在地下结构底板的地下水压力，以满足地下结构抗浮稳定要求的抗浮措施。</w:t>
      </w:r>
    </w:p>
    <w:p>
      <w:pPr>
        <w:rPr>
          <w:b/>
          <w:bCs/>
        </w:rPr>
      </w:pPr>
      <w:r>
        <w:rPr>
          <w:b/>
          <w:bCs/>
        </w:rPr>
        <w:t>2.1.6</w:t>
      </w:r>
      <w:r>
        <w:rPr>
          <w:rFonts w:hint="eastAsia"/>
          <w:b/>
          <w:bCs/>
        </w:rPr>
        <w:t xml:space="preserve">  </w:t>
      </w:r>
      <w:r>
        <w:rPr>
          <w:rFonts w:hint="eastAsia"/>
        </w:rPr>
        <w:t xml:space="preserve">被动抗浮 </w:t>
      </w:r>
      <w:r>
        <w:t xml:space="preserve"> Passive anti-floating</w:t>
      </w:r>
    </w:p>
    <w:p>
      <w:pPr>
        <w:ind w:firstLine="480" w:firstLineChars="200"/>
      </w:pPr>
      <w:r>
        <w:rPr>
          <w:rFonts w:hint="eastAsia"/>
        </w:rPr>
        <w:t>通过增加自重或设置锚杆、抗拔桩等提高地下结构抵抗地下水浮力作用，以满足地下结构抗浮安全要求的抗浮措施。</w:t>
      </w:r>
    </w:p>
    <w:p>
      <w:pPr>
        <w:rPr>
          <w:b/>
          <w:bCs/>
        </w:rPr>
      </w:pPr>
      <w:bookmarkStart w:id="18" w:name="_Hlk119312131"/>
      <w:r>
        <w:rPr>
          <w:b/>
          <w:bCs/>
        </w:rPr>
        <w:t>2.1.7</w:t>
      </w:r>
      <w:bookmarkEnd w:id="18"/>
      <w:r>
        <w:rPr>
          <w:b/>
          <w:bCs/>
        </w:rPr>
        <w:t xml:space="preserve">  </w:t>
      </w:r>
      <w:r>
        <w:rPr>
          <w:rFonts w:hint="eastAsia"/>
        </w:rPr>
        <w:t xml:space="preserve">主被动联合抗浮 </w:t>
      </w:r>
      <w:r>
        <w:t xml:space="preserve"> Active passive combined anti-floating</w:t>
      </w:r>
    </w:p>
    <w:p>
      <w:pPr>
        <w:ind w:firstLine="480" w:firstLineChars="200"/>
      </w:pPr>
      <w:r>
        <w:rPr>
          <w:rFonts w:hint="eastAsia"/>
        </w:rPr>
        <w:t>采用主动抗浮与被动抗浮相结合，以最佳的组合设计方法满足地下结构抗浮安全、经济要求的抗浮措施。</w:t>
      </w:r>
    </w:p>
    <w:p>
      <w:pPr>
        <w:autoSpaceDE w:val="0"/>
        <w:contextualSpacing/>
        <w:rPr>
          <w:rFonts w:ascii="楷体" w:hAnsi="楷体" w:eastAsia="楷体" w:cs="楷体"/>
          <w:b/>
          <w:bCs/>
        </w:rPr>
      </w:pPr>
      <w:r>
        <w:rPr>
          <w:rFonts w:hint="eastAsia" w:ascii="楷体" w:hAnsi="楷体" w:eastAsia="楷体" w:cs="楷体"/>
          <w:b/>
          <w:bCs/>
        </w:rPr>
        <w:t>【条文说明】2</w:t>
      </w:r>
      <w:r>
        <w:rPr>
          <w:rFonts w:ascii="楷体" w:hAnsi="楷体" w:eastAsia="楷体" w:cs="楷体"/>
          <w:b/>
          <w:bCs/>
        </w:rPr>
        <w:t>.1.</w:t>
      </w:r>
      <w:r>
        <w:rPr>
          <w:rFonts w:hint="eastAsia" w:ascii="楷体" w:hAnsi="楷体" w:eastAsia="楷体" w:cs="楷体"/>
          <w:b/>
          <w:bCs/>
        </w:rPr>
        <w:t xml:space="preserve">7 </w:t>
      </w:r>
      <w:r>
        <w:rPr>
          <w:rFonts w:ascii="楷体" w:hAnsi="楷体" w:eastAsia="楷体" w:cs="楷体"/>
          <w:b/>
          <w:bCs/>
        </w:rPr>
        <w:t xml:space="preserve"> </w:t>
      </w:r>
      <w:r>
        <w:rPr>
          <w:rFonts w:hint="eastAsia" w:ascii="楷体" w:hAnsi="楷体" w:eastAsia="楷体" w:cs="楷体"/>
          <w:b/>
          <w:bCs/>
        </w:rPr>
        <w:t>采用排水廊道法、排水卸压法等主动抗浮措施与压重抗浮法、抗浮锚杆等一种或多种被动抗浮措施相结构的联合抗浮方法，利用主动抗浮措施降低极端降雨等原因带来的地下水位骤涨或上涨超过地下水常水位（常水位系指每年大部分时间保持的水位，下同）所产生的峰值水浮力，利用被动抗浮措施抵抗地下水常水位产生的水浮力。</w:t>
      </w:r>
    </w:p>
    <w:p>
      <w:pPr>
        <w:pStyle w:val="3"/>
        <w:ind w:left="567"/>
        <w:rPr>
          <w:rFonts w:ascii="黑体" w:hAnsi="黑体" w:eastAsia="黑体"/>
        </w:rPr>
      </w:pPr>
      <w:r>
        <w:rPr>
          <w:rFonts w:hint="eastAsia" w:ascii="黑体" w:hAnsi="黑体" w:eastAsia="黑体"/>
        </w:rPr>
        <w:t xml:space="preserve"> </w:t>
      </w:r>
      <w:r>
        <w:rPr>
          <w:rFonts w:ascii="黑体" w:hAnsi="黑体" w:eastAsia="黑体"/>
        </w:rPr>
        <w:t xml:space="preserve"> </w:t>
      </w:r>
      <w:r>
        <w:rPr>
          <w:rFonts w:hint="eastAsia" w:ascii="黑体" w:hAnsi="黑体" w:eastAsia="黑体"/>
        </w:rPr>
        <w:t>符号</w:t>
      </w:r>
    </w:p>
    <w:p>
      <w:pPr>
        <w:ind w:firstLine="480" w:firstLineChars="200"/>
        <w:rPr>
          <w:rFonts w:asciiTheme="minorEastAsia" w:hAnsiTheme="minorEastAsia" w:eastAsiaTheme="minorEastAsia" w:cstheme="minorEastAsia"/>
          <w:iCs/>
          <w:szCs w:val="24"/>
        </w:rPr>
      </w:pPr>
      <w:r>
        <w:rPr>
          <w:rFonts w:hint="eastAsia" w:asciiTheme="minorEastAsia" w:hAnsiTheme="minorEastAsia" w:eastAsiaTheme="minorEastAsia" w:cstheme="minorEastAsia"/>
          <w:i/>
          <w:iCs/>
          <w:kern w:val="0"/>
          <w:szCs w:val="24"/>
        </w:rPr>
        <w:t>B—</w:t>
      </w:r>
      <w:r>
        <w:rPr>
          <w:rFonts w:hint="eastAsia" w:asciiTheme="minorEastAsia" w:hAnsiTheme="minorEastAsia" w:eastAsiaTheme="minorEastAsia" w:cstheme="minorEastAsia"/>
          <w:kern w:val="0"/>
          <w:szCs w:val="24"/>
        </w:rPr>
        <w:t>越流因素、</w:t>
      </w:r>
      <w:r>
        <w:rPr>
          <w:rFonts w:hint="eastAsia" w:asciiTheme="minorEastAsia" w:hAnsiTheme="minorEastAsia" w:eastAsiaTheme="minorEastAsia" w:cstheme="minorEastAsia"/>
          <w:iCs/>
          <w:szCs w:val="24"/>
        </w:rPr>
        <w:t>堤底宽度；</w:t>
      </w:r>
    </w:p>
    <w:p>
      <w:pPr>
        <w:ind w:firstLine="480" w:firstLineChars="200"/>
        <w:rPr>
          <w:rFonts w:asciiTheme="minorEastAsia" w:hAnsiTheme="minorEastAsia" w:eastAsiaTheme="minorEastAsia" w:cstheme="minorEastAsia"/>
          <w:iCs/>
          <w:szCs w:val="24"/>
        </w:rPr>
      </w:pPr>
      <w:r>
        <w:rPr>
          <w:rFonts w:hint="eastAsia" w:asciiTheme="minorEastAsia" w:hAnsiTheme="minorEastAsia" w:eastAsiaTheme="minorEastAsia" w:cstheme="minorEastAsia"/>
          <w:i/>
          <w:szCs w:val="24"/>
        </w:rPr>
        <w:t>B</w:t>
      </w:r>
      <w:r>
        <w:rPr>
          <w:rFonts w:hint="eastAsia" w:asciiTheme="minorEastAsia" w:hAnsiTheme="minorEastAsia" w:eastAsiaTheme="minorEastAsia" w:cstheme="minorEastAsia"/>
          <w:iCs/>
          <w:szCs w:val="24"/>
          <w:vertAlign w:val="subscript"/>
        </w:rPr>
        <w:t>1</w:t>
      </w:r>
      <w:r>
        <w:rPr>
          <w:rFonts w:hint="eastAsia" w:asciiTheme="minorEastAsia" w:hAnsiTheme="minorEastAsia" w:eastAsiaTheme="minorEastAsia" w:cstheme="minorEastAsia"/>
          <w:iCs/>
          <w:szCs w:val="24"/>
        </w:rPr>
        <w:t>—堤外滩宽度；</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b—</w:t>
      </w:r>
      <w:r>
        <w:rPr>
          <w:rFonts w:hint="eastAsia" w:asciiTheme="minorEastAsia" w:hAnsiTheme="minorEastAsia" w:eastAsiaTheme="minorEastAsia" w:cstheme="minorEastAsia"/>
          <w:kern w:val="0"/>
          <w:szCs w:val="24"/>
        </w:rPr>
        <w:t>越流系数；</w:t>
      </w:r>
    </w:p>
    <w:p>
      <w:pPr>
        <w:ind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F</w:t>
      </w:r>
      <w:r>
        <w:rPr>
          <w:rFonts w:hint="eastAsia" w:asciiTheme="minorEastAsia" w:hAnsiTheme="minorEastAsia" w:eastAsiaTheme="minorEastAsia" w:cstheme="minorEastAsia"/>
          <w:szCs w:val="24"/>
          <w:vertAlign w:val="subscript"/>
        </w:rPr>
        <w:t>W</w:t>
      </w:r>
      <w:r>
        <w:rPr>
          <w:rFonts w:hint="eastAsia" w:asciiTheme="minorEastAsia" w:hAnsiTheme="minorEastAsia" w:eastAsiaTheme="minorEastAsia" w:cstheme="minorEastAsia"/>
          <w:szCs w:val="24"/>
        </w:rPr>
        <w:t>—地下结构底板单位面积上受到的水压力标准值；</w:t>
      </w:r>
    </w:p>
    <w:p>
      <w:pPr>
        <w:ind w:firstLine="480" w:firstLineChars="200"/>
        <w:rPr>
          <w:rFonts w:asciiTheme="minorEastAsia" w:hAnsiTheme="minorEastAsia" w:eastAsiaTheme="minorEastAsia" w:cstheme="minorEastAsia"/>
          <w:kern w:val="0"/>
          <w:szCs w:val="24"/>
        </w:rPr>
      </w:pPr>
      <w:r>
        <w:rPr>
          <w:rFonts w:hint="eastAsia" w:asciiTheme="minorEastAsia" w:hAnsiTheme="minorEastAsia" w:eastAsiaTheme="minorEastAsia" w:cstheme="minorEastAsia"/>
          <w:szCs w:val="24"/>
        </w:rPr>
        <w:object>
          <v:shape id="_x0000_i1025" o:spt="75" type="#_x0000_t75" style="height:18.4pt;width:16.75pt;" o:ole="t" filled="f" o:preferrelative="t" stroked="f" coordsize="21600,21600">
            <v:path/>
            <v:fill on="f" focussize="0,0"/>
            <v:stroke on="f" joinstyle="miter"/>
            <v:imagedata r:id="rId49" o:title=""/>
            <o:lock v:ext="edit" aspectratio="t"/>
            <w10:wrap type="none"/>
            <w10:anchorlock/>
          </v:shape>
          <o:OLEObject Type="Embed" ProgID="Equation.DSMT4" ShapeID="_x0000_i1025" DrawAspect="Content" ObjectID="_1468075725" r:id="rId48">
            <o:LockedField>false</o:LockedField>
          </o:OLEObject>
        </w:object>
      </w:r>
      <w:r>
        <w:rPr>
          <w:rFonts w:hint="eastAsia" w:asciiTheme="minorEastAsia" w:hAnsiTheme="minorEastAsia" w:eastAsiaTheme="minorEastAsia" w:cstheme="minorEastAsia"/>
          <w:szCs w:val="24"/>
        </w:rPr>
        <w:t>—地下结构底板底面以上建（构）筑物自重与上覆土层压重；</w:t>
      </w:r>
    </w:p>
    <w:p>
      <w:pPr>
        <w:ind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position w:val="-6"/>
          <w:szCs w:val="24"/>
        </w:rPr>
        <w:object>
          <v:shape id="_x0000_i1026" o:spt="75" type="#_x0000_t75" style="height:15.05pt;width:10.9pt;" o:ole="t" filled="f" o:preferrelative="t" stroked="f" coordsize="21600,21600">
            <v:path/>
            <v:fill on="f" focussize="0,0"/>
            <v:stroke on="f" joinstyle="miter"/>
            <v:imagedata r:id="rId51" o:title=""/>
            <o:lock v:ext="edit" aspectratio="t"/>
            <w10:wrap type="none"/>
            <w10:anchorlock/>
          </v:shape>
          <o:OLEObject Type="Embed" ProgID="Equation.DSMT4" ShapeID="_x0000_i1026" DrawAspect="Content" ObjectID="_1468075726" r:id="rId50">
            <o:LockedField>false</o:LockedField>
          </o:OLEObject>
        </w:object>
      </w:r>
      <w:r>
        <w:rPr>
          <w:rFonts w:hint="eastAsia" w:asciiTheme="minorEastAsia" w:hAnsiTheme="minorEastAsia" w:eastAsiaTheme="minorEastAsia" w:cstheme="minorEastAsia"/>
          <w:szCs w:val="24"/>
        </w:rPr>
        <w:t>—地下结构底板处压力水头、</w:t>
      </w:r>
      <w:r>
        <w:rPr>
          <w:rFonts w:hint="eastAsia" w:asciiTheme="minorEastAsia" w:hAnsiTheme="minorEastAsia" w:eastAsiaTheme="minorEastAsia" w:cstheme="minorEastAsia"/>
          <w:iCs/>
          <w:szCs w:val="24"/>
        </w:rPr>
        <w:t>堤内脚处的承压水头</w:t>
      </w:r>
      <w:r>
        <w:rPr>
          <w:rFonts w:hint="eastAsia" w:asciiTheme="minorEastAsia" w:hAnsiTheme="minorEastAsia" w:eastAsiaTheme="minorEastAsia" w:cstheme="minorEastAsia"/>
          <w:szCs w:val="24"/>
        </w:rPr>
        <w:t>；</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h</w:t>
      </w:r>
      <w:r>
        <w:rPr>
          <w:rFonts w:hint="eastAsia" w:asciiTheme="minorEastAsia" w:hAnsiTheme="minorEastAsia" w:eastAsiaTheme="minorEastAsia" w:cstheme="minorEastAsia"/>
          <w:vertAlign w:val="subscript"/>
        </w:rPr>
        <w:t>0</w:t>
      </w:r>
      <w:r>
        <w:rPr>
          <w:rFonts w:hint="eastAsia" w:asciiTheme="minorEastAsia" w:hAnsiTheme="minorEastAsia" w:eastAsiaTheme="minorEastAsia" w:cstheme="minorEastAsia"/>
        </w:rPr>
        <w:t>—临水常水位；</w:t>
      </w:r>
    </w:p>
    <w:p>
      <w:pPr>
        <w:ind w:firstLine="480" w:firstLineChars="200"/>
        <w:rPr>
          <w:rFonts w:asciiTheme="minorEastAsia" w:hAnsiTheme="minorEastAsia" w:eastAsiaTheme="minorEastAsia" w:cstheme="minorEastAsia"/>
          <w:iCs/>
          <w:szCs w:val="24"/>
        </w:rPr>
      </w:pPr>
      <w:r>
        <w:rPr>
          <w:rFonts w:hint="eastAsia" w:asciiTheme="minorEastAsia" w:hAnsiTheme="minorEastAsia" w:eastAsiaTheme="minorEastAsia" w:cstheme="minorEastAsia"/>
          <w:i/>
          <w:szCs w:val="24"/>
        </w:rPr>
        <w:t>h</w:t>
      </w:r>
      <w:r>
        <w:rPr>
          <w:rFonts w:hint="eastAsia" w:asciiTheme="minorEastAsia" w:hAnsiTheme="minorEastAsia" w:eastAsiaTheme="minorEastAsia" w:cstheme="minorEastAsia"/>
          <w:i/>
          <w:szCs w:val="24"/>
          <w:vertAlign w:val="subscript"/>
        </w:rPr>
        <w:t>1</w:t>
      </w:r>
      <w:r>
        <w:rPr>
          <w:rFonts w:hint="eastAsia" w:asciiTheme="minorEastAsia" w:hAnsiTheme="minorEastAsia" w:eastAsiaTheme="minorEastAsia" w:cstheme="minorEastAsia"/>
          <w:iCs/>
          <w:szCs w:val="24"/>
        </w:rPr>
        <w:t>、</w:t>
      </w:r>
      <w:r>
        <w:rPr>
          <w:rFonts w:hint="eastAsia" w:asciiTheme="minorEastAsia" w:hAnsiTheme="minorEastAsia" w:eastAsiaTheme="minorEastAsia" w:cstheme="minorEastAsia"/>
          <w:i/>
          <w:szCs w:val="24"/>
        </w:rPr>
        <w:t>h</w:t>
      </w:r>
      <w:r>
        <w:rPr>
          <w:rFonts w:hint="eastAsia" w:asciiTheme="minorEastAsia" w:hAnsiTheme="minorEastAsia" w:eastAsiaTheme="minorEastAsia" w:cstheme="minorEastAsia"/>
          <w:i/>
          <w:szCs w:val="24"/>
          <w:vertAlign w:val="subscript"/>
        </w:rPr>
        <w:t>2</w:t>
      </w:r>
      <w:r>
        <w:rPr>
          <w:rFonts w:hint="eastAsia" w:asciiTheme="minorEastAsia" w:hAnsiTheme="minorEastAsia" w:eastAsiaTheme="minorEastAsia" w:cstheme="minorEastAsia"/>
          <w:iCs/>
          <w:szCs w:val="24"/>
        </w:rPr>
        <w:t>—依次为上层和下层的厚度；</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h</w:t>
      </w:r>
      <w:r>
        <w:rPr>
          <w:rFonts w:hint="eastAsia" w:asciiTheme="minorEastAsia" w:hAnsiTheme="minorEastAsia" w:eastAsiaTheme="minorEastAsia" w:cstheme="minorEastAsia"/>
          <w:vertAlign w:val="subscript"/>
        </w:rPr>
        <w:t>m</w:t>
      </w:r>
      <w:r>
        <w:rPr>
          <w:rFonts w:hint="eastAsia" w:asciiTheme="minorEastAsia" w:hAnsiTheme="minorEastAsia" w:eastAsiaTheme="minorEastAsia" w:cstheme="minorEastAsia"/>
        </w:rPr>
        <w:t>—含水层的平均厚度；</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h</w:t>
      </w:r>
      <w:r>
        <w:rPr>
          <w:rFonts w:hint="eastAsia" w:asciiTheme="minorEastAsia" w:hAnsiTheme="minorEastAsia" w:eastAsiaTheme="minorEastAsia" w:cstheme="minorEastAsia"/>
          <w:vertAlign w:val="subscript"/>
        </w:rPr>
        <w:t>x</w:t>
      </w:r>
      <w:r>
        <w:rPr>
          <w:rFonts w:hint="eastAsia" w:asciiTheme="minorEastAsia" w:hAnsiTheme="minorEastAsia" w:eastAsiaTheme="minorEastAsia" w:cstheme="minorEastAsia"/>
        </w:rPr>
        <w:t>—距离临水堤x处的潜水、承压水水位；</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Δh—临水水位涨幅；</w:t>
      </w:r>
    </w:p>
    <w:p>
      <w:pPr>
        <w:ind w:firstLine="480" w:firstLineChars="200"/>
        <w:rPr>
          <w:rFonts w:asciiTheme="minorEastAsia" w:hAnsiTheme="minorEastAsia" w:eastAsiaTheme="minorEastAsia" w:cstheme="minorEastAsia"/>
          <w:kern w:val="0"/>
          <w:szCs w:val="24"/>
        </w:rPr>
      </w:pPr>
      <w:r>
        <w:rPr>
          <w:rFonts w:hint="eastAsia" w:asciiTheme="minorEastAsia" w:hAnsiTheme="minorEastAsia" w:eastAsiaTheme="minorEastAsia" w:cstheme="minorEastAsia"/>
          <w:kern w:val="0"/>
          <w:szCs w:val="24"/>
        </w:rPr>
        <w:t>K—渗透系数；</w:t>
      </w:r>
    </w:p>
    <w:p>
      <w:pPr>
        <w:ind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iCs/>
          <w:szCs w:val="24"/>
        </w:rPr>
        <w:t>K</w:t>
      </w:r>
      <w:r>
        <w:rPr>
          <w:rFonts w:hint="eastAsia" w:asciiTheme="minorEastAsia" w:hAnsiTheme="minorEastAsia" w:eastAsiaTheme="minorEastAsia" w:cstheme="minorEastAsia"/>
          <w:iCs/>
          <w:szCs w:val="24"/>
          <w:vertAlign w:val="subscript"/>
        </w:rPr>
        <w:t>1</w:t>
      </w:r>
      <w:r>
        <w:rPr>
          <w:rFonts w:hint="eastAsia" w:asciiTheme="minorEastAsia" w:hAnsiTheme="minorEastAsia" w:eastAsiaTheme="minorEastAsia" w:cstheme="minorEastAsia"/>
          <w:iCs/>
          <w:szCs w:val="24"/>
        </w:rPr>
        <w:t>、K</w:t>
      </w:r>
      <w:r>
        <w:rPr>
          <w:rFonts w:hint="eastAsia" w:asciiTheme="minorEastAsia" w:hAnsiTheme="minorEastAsia" w:eastAsiaTheme="minorEastAsia" w:cstheme="minorEastAsia"/>
          <w:iCs/>
          <w:szCs w:val="24"/>
          <w:vertAlign w:val="subscript"/>
        </w:rPr>
        <w:t>2</w:t>
      </w:r>
      <w:r>
        <w:rPr>
          <w:rFonts w:hint="eastAsia" w:asciiTheme="minorEastAsia" w:hAnsiTheme="minorEastAsia" w:eastAsiaTheme="minorEastAsia" w:cstheme="minorEastAsia"/>
          <w:iCs/>
          <w:szCs w:val="24"/>
        </w:rPr>
        <w:t>—依次为上层和下层的渗透系数；</w:t>
      </w:r>
    </w:p>
    <w:p>
      <w:pPr>
        <w:ind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object>
          <v:shape id="_x0000_i1027" o:spt="75" type="#_x0000_t75" style="height:18.4pt;width:18.4pt;" o:ole="t" filled="f" o:preferrelative="t" stroked="f" coordsize="21600,21600">
            <v:path/>
            <v:fill on="f" focussize="0,0"/>
            <v:stroke on="f" joinstyle="miter"/>
            <v:imagedata r:id="rId53" o:title=""/>
            <o:lock v:ext="edit" aspectratio="t"/>
            <w10:wrap type="none"/>
            <w10:anchorlock/>
          </v:shape>
          <o:OLEObject Type="Embed" ProgID="Equation.DSMT4" ShapeID="_x0000_i1027" DrawAspect="Content" ObjectID="_1468075727" r:id="rId52">
            <o:LockedField>false</o:LockedField>
          </o:OLEObject>
        </w:object>
      </w:r>
      <w:r>
        <w:rPr>
          <w:rFonts w:hint="eastAsia" w:asciiTheme="minorEastAsia" w:hAnsiTheme="minorEastAsia" w:eastAsiaTheme="minorEastAsia" w:cstheme="minorEastAsia"/>
          <w:szCs w:val="24"/>
        </w:rPr>
        <w:t>—地下结构抗浮稳定性系数；</w:t>
      </w:r>
    </w:p>
    <w:p>
      <w:pPr>
        <w:ind w:firstLine="480" w:firstLineChars="200"/>
        <w:rPr>
          <w:rFonts w:asciiTheme="minorEastAsia" w:hAnsiTheme="minorEastAsia" w:eastAsiaTheme="minorEastAsia" w:cstheme="minorEastAsia"/>
          <w:iCs/>
          <w:szCs w:val="24"/>
        </w:rPr>
      </w:pPr>
      <w:r>
        <w:rPr>
          <w:rFonts w:hint="eastAsia" w:asciiTheme="minorEastAsia" w:hAnsiTheme="minorEastAsia" w:eastAsiaTheme="minorEastAsia" w:cstheme="minorEastAsia"/>
          <w:i/>
          <w:szCs w:val="24"/>
        </w:rPr>
        <w:t>L</w:t>
      </w:r>
      <w:r>
        <w:rPr>
          <w:rFonts w:hint="eastAsia" w:asciiTheme="minorEastAsia" w:hAnsiTheme="minorEastAsia" w:eastAsiaTheme="minorEastAsia" w:cstheme="minorEastAsia"/>
          <w:iCs/>
          <w:szCs w:val="24"/>
          <w:vertAlign w:val="subscript"/>
        </w:rPr>
        <w:t>1</w:t>
      </w:r>
      <w:r>
        <w:rPr>
          <w:rFonts w:hint="eastAsia" w:asciiTheme="minorEastAsia" w:hAnsiTheme="minorEastAsia" w:eastAsiaTheme="minorEastAsia" w:cstheme="minorEastAsia"/>
          <w:iCs/>
          <w:szCs w:val="24"/>
        </w:rPr>
        <w:t>、</w:t>
      </w:r>
      <w:r>
        <w:rPr>
          <w:rFonts w:hint="eastAsia" w:asciiTheme="minorEastAsia" w:hAnsiTheme="minorEastAsia" w:eastAsiaTheme="minorEastAsia" w:cstheme="minorEastAsia"/>
          <w:i/>
          <w:szCs w:val="24"/>
        </w:rPr>
        <w:t>L</w:t>
      </w:r>
      <w:r>
        <w:rPr>
          <w:rFonts w:hint="eastAsia" w:asciiTheme="minorEastAsia" w:hAnsiTheme="minorEastAsia" w:eastAsiaTheme="minorEastAsia" w:cstheme="minorEastAsia"/>
          <w:iCs/>
          <w:szCs w:val="24"/>
          <w:vertAlign w:val="subscript"/>
        </w:rPr>
        <w:t>2</w:t>
      </w:r>
      <w:r>
        <w:rPr>
          <w:rFonts w:hint="eastAsia" w:asciiTheme="minorEastAsia" w:hAnsiTheme="minorEastAsia" w:eastAsiaTheme="minorEastAsia" w:cstheme="minorEastAsia"/>
          <w:iCs/>
          <w:szCs w:val="24"/>
        </w:rPr>
        <w:t>—上、下游等效渗径长度；</w:t>
      </w:r>
    </w:p>
    <w:p>
      <w:pPr>
        <w:ind w:firstLine="480" w:firstLineChars="200"/>
        <w:rPr>
          <w:rFonts w:asciiTheme="minorEastAsia" w:hAnsiTheme="minorEastAsia" w:eastAsiaTheme="minorEastAsia" w:cstheme="minorEastAsia"/>
          <w:kern w:val="0"/>
          <w:szCs w:val="24"/>
        </w:rPr>
      </w:pPr>
      <w:r>
        <w:rPr>
          <w:rFonts w:hint="eastAsia" w:asciiTheme="minorEastAsia" w:hAnsiTheme="minorEastAsia" w:eastAsiaTheme="minorEastAsia" w:cstheme="minorEastAsia"/>
          <w:kern w:val="0"/>
          <w:szCs w:val="24"/>
        </w:rPr>
        <w:t>q—岩体的透水率；</w:t>
      </w:r>
    </w:p>
    <w:p>
      <w:pPr>
        <w:ind w:firstLine="480" w:firstLineChars="200"/>
        <w:rPr>
          <w:rFonts w:asciiTheme="minorEastAsia" w:hAnsiTheme="minorEastAsia" w:eastAsiaTheme="minorEastAsia" w:cstheme="minorEastAsia"/>
          <w:i/>
          <w:iCs/>
          <w:kern w:val="0"/>
          <w:szCs w:val="24"/>
        </w:rPr>
      </w:pPr>
      <w:r>
        <w:rPr>
          <w:rFonts w:hint="eastAsia" w:asciiTheme="minorEastAsia" w:hAnsiTheme="minorEastAsia" w:eastAsiaTheme="minorEastAsia" w:cstheme="minorEastAsia"/>
          <w:i/>
          <w:iCs/>
          <w:kern w:val="0"/>
          <w:szCs w:val="24"/>
        </w:rPr>
        <w:t>R—</w:t>
      </w:r>
      <w:r>
        <w:rPr>
          <w:rFonts w:hint="eastAsia" w:asciiTheme="minorEastAsia" w:hAnsiTheme="minorEastAsia" w:eastAsiaTheme="minorEastAsia" w:cstheme="minorEastAsia"/>
          <w:kern w:val="0"/>
          <w:szCs w:val="24"/>
        </w:rPr>
        <w:t>影响半径；</w:t>
      </w:r>
    </w:p>
    <w:p>
      <w:pPr>
        <w:ind w:firstLine="480" w:firstLineChars="200"/>
        <w:rPr>
          <w:rFonts w:asciiTheme="minorEastAsia" w:hAnsiTheme="minorEastAsia" w:eastAsiaTheme="minorEastAsia" w:cstheme="minorEastAsia"/>
          <w:kern w:val="0"/>
          <w:szCs w:val="24"/>
        </w:rPr>
      </w:pPr>
      <w:r>
        <w:rPr>
          <w:rFonts w:hint="eastAsia" w:asciiTheme="minorEastAsia" w:hAnsiTheme="minorEastAsia" w:eastAsiaTheme="minorEastAsia" w:cstheme="minorEastAsia"/>
          <w:i/>
          <w:iCs/>
          <w:kern w:val="0"/>
          <w:szCs w:val="24"/>
        </w:rPr>
        <w:t>T—</w:t>
      </w:r>
      <w:r>
        <w:rPr>
          <w:rFonts w:hint="eastAsia" w:asciiTheme="minorEastAsia" w:hAnsiTheme="minorEastAsia" w:eastAsiaTheme="minorEastAsia" w:cstheme="minorEastAsia"/>
          <w:kern w:val="0"/>
          <w:szCs w:val="24"/>
        </w:rPr>
        <w:t>导水系数；</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t—临水水位下降时间；</w:t>
      </w:r>
    </w:p>
    <w:p>
      <w:pPr>
        <w:ind w:firstLine="480" w:firstLineChars="200"/>
        <w:rPr>
          <w:rFonts w:asciiTheme="minorEastAsia" w:hAnsiTheme="minorEastAsia" w:eastAsiaTheme="minorEastAsia" w:cstheme="minorEastAsia"/>
          <w:kern w:val="0"/>
          <w:szCs w:val="24"/>
        </w:rPr>
      </w:pPr>
      <w:r>
        <w:rPr>
          <w:rFonts w:hint="eastAsia" w:asciiTheme="minorEastAsia" w:hAnsiTheme="minorEastAsia" w:eastAsiaTheme="minorEastAsia" w:cstheme="minorEastAsia"/>
          <w:i/>
          <w:iCs/>
          <w:kern w:val="0"/>
          <w:szCs w:val="24"/>
          <w:lang w:val="el-GR"/>
        </w:rPr>
        <w:t>μ—</w:t>
      </w:r>
      <w:r>
        <w:rPr>
          <w:rFonts w:hint="eastAsia" w:asciiTheme="minorEastAsia" w:hAnsiTheme="minorEastAsia" w:eastAsiaTheme="minorEastAsia" w:cstheme="minorEastAsia"/>
          <w:kern w:val="0"/>
          <w:szCs w:val="24"/>
        </w:rPr>
        <w:t>给水度；</w:t>
      </w:r>
    </w:p>
    <w:p>
      <w:pPr>
        <w:ind w:firstLine="480" w:firstLineChars="200"/>
        <w:rPr>
          <w:rFonts w:asciiTheme="minorEastAsia" w:hAnsiTheme="minorEastAsia" w:eastAsiaTheme="minorEastAsia" w:cstheme="minorEastAsia"/>
          <w:kern w:val="0"/>
          <w:szCs w:val="24"/>
        </w:rPr>
      </w:pPr>
      <w:r>
        <w:rPr>
          <w:rFonts w:hint="eastAsia" w:asciiTheme="minorEastAsia" w:hAnsiTheme="minorEastAsia" w:eastAsiaTheme="minorEastAsia" w:cstheme="minorEastAsia"/>
          <w:i/>
          <w:iCs/>
          <w:kern w:val="0"/>
          <w:szCs w:val="24"/>
          <w:lang w:val="el-GR"/>
        </w:rPr>
        <w:t>μ</w:t>
      </w:r>
      <w:r>
        <w:rPr>
          <w:rFonts w:hint="eastAsia" w:asciiTheme="minorEastAsia" w:hAnsiTheme="minorEastAsia" w:eastAsiaTheme="minorEastAsia" w:cstheme="minorEastAsia"/>
          <w:i/>
          <w:iCs/>
          <w:kern w:val="0"/>
          <w:szCs w:val="24"/>
          <w:vertAlign w:val="superscript"/>
        </w:rPr>
        <w:t>*</w:t>
      </w:r>
      <w:r>
        <w:rPr>
          <w:rFonts w:hint="eastAsia" w:asciiTheme="minorEastAsia" w:hAnsiTheme="minorEastAsia" w:eastAsiaTheme="minorEastAsia" w:cstheme="minorEastAsia"/>
          <w:kern w:val="0"/>
          <w:szCs w:val="24"/>
        </w:rPr>
        <w:t>—弹性释水系数；</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V</w:t>
      </w:r>
      <w:r>
        <w:rPr>
          <w:rFonts w:hint="eastAsia" w:asciiTheme="minorEastAsia" w:hAnsiTheme="minorEastAsia" w:eastAsiaTheme="minorEastAsia" w:cstheme="minorEastAsia"/>
          <w:vertAlign w:val="subscript"/>
        </w:rPr>
        <w:t>0</w:t>
      </w:r>
      <w:r>
        <w:rPr>
          <w:rFonts w:hint="eastAsia" w:asciiTheme="minorEastAsia" w:hAnsiTheme="minorEastAsia" w:eastAsiaTheme="minorEastAsia" w:cstheme="minorEastAsia"/>
        </w:rPr>
        <w:t>—洪水位上升速度；</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x—距离临水堤距离；</w:t>
      </w:r>
    </w:p>
    <w:p>
      <w:pPr>
        <w:ind w:firstLine="48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position w:val="-12"/>
          <w:szCs w:val="24"/>
        </w:rPr>
        <w:object>
          <v:shape id="_x0000_i1028" o:spt="75" type="#_x0000_t75" style="height:18.4pt;width:15.05pt;" o:ole="t" filled="f" o:preferrelative="t" stroked="f" coordsize="21600,21600">
            <v:path/>
            <v:fill on="f" focussize="0,0"/>
            <v:stroke on="f" joinstyle="miter"/>
            <v:imagedata r:id="rId55" o:title=""/>
            <o:lock v:ext="edit" aspectratio="t"/>
            <w10:wrap type="none"/>
            <w10:anchorlock/>
          </v:shape>
          <o:OLEObject Type="Embed" ProgID="Equation.DSMT4" ShapeID="_x0000_i1028" DrawAspect="Content" ObjectID="_1468075728" r:id="rId54">
            <o:LockedField>false</o:LockedField>
          </o:OLEObject>
        </w:object>
      </w:r>
      <w:r>
        <w:rPr>
          <w:rFonts w:hint="eastAsia" w:asciiTheme="minorEastAsia" w:hAnsiTheme="minorEastAsia" w:eastAsiaTheme="minorEastAsia" w:cstheme="minorEastAsia"/>
          <w:szCs w:val="24"/>
        </w:rPr>
        <w:t>—水的重度；</w:t>
      </w:r>
    </w:p>
    <w:p>
      <w:pPr>
        <w:ind w:firstLine="480" w:firstLineChars="200"/>
        <w:rPr>
          <w:rFonts w:cs="宋体"/>
          <w:szCs w:val="24"/>
        </w:rPr>
      </w:pPr>
    </w:p>
    <w:p>
      <w:pPr>
        <w:sectPr>
          <w:headerReference r:id="rId33" w:type="first"/>
          <w:headerReference r:id="rId31" w:type="default"/>
          <w:headerReference r:id="rId32" w:type="even"/>
          <w:pgSz w:w="11906" w:h="16838"/>
          <w:pgMar w:top="1440" w:right="1800" w:bottom="1440" w:left="1800" w:header="851" w:footer="992" w:gutter="0"/>
          <w:cols w:space="425" w:num="1"/>
          <w:docGrid w:type="lines" w:linePitch="312" w:charSpace="0"/>
        </w:sectPr>
      </w:pPr>
    </w:p>
    <w:p>
      <w:pPr>
        <w:pStyle w:val="2"/>
        <w:rPr>
          <w:sz w:val="30"/>
          <w:szCs w:val="30"/>
        </w:rPr>
      </w:pPr>
      <w:bookmarkStart w:id="19" w:name="_Toc12742"/>
      <w:r>
        <w:rPr>
          <w:rFonts w:hint="eastAsia"/>
        </w:rPr>
        <w:t xml:space="preserve">  </w:t>
      </w:r>
      <w:r>
        <w:rPr>
          <w:rFonts w:hint="eastAsia"/>
          <w:sz w:val="30"/>
          <w:szCs w:val="30"/>
        </w:rPr>
        <w:t>基本规定</w:t>
      </w:r>
      <w:bookmarkEnd w:id="19"/>
    </w:p>
    <w:p>
      <w:pPr>
        <w:autoSpaceDE w:val="0"/>
        <w:autoSpaceDN w:val="0"/>
        <w:adjustRightInd w:val="0"/>
        <w:rPr>
          <w:rFonts w:cs="宋体"/>
          <w:color w:val="000000" w:themeColor="text1"/>
          <w:kern w:val="0"/>
          <w:szCs w:val="24"/>
          <w14:textFill>
            <w14:solidFill>
              <w14:schemeClr w14:val="tx1"/>
            </w14:solidFill>
          </w14:textFill>
        </w:rPr>
      </w:pPr>
      <w:bookmarkStart w:id="20" w:name="_Hlk116031779"/>
      <w:r>
        <w:rPr>
          <w:rFonts w:cs="宋体"/>
          <w:b/>
          <w:bCs/>
          <w:color w:val="000000" w:themeColor="text1"/>
          <w:kern w:val="0"/>
          <w:szCs w:val="24"/>
          <w14:textFill>
            <w14:solidFill>
              <w14:schemeClr w14:val="tx1"/>
            </w14:solidFill>
          </w14:textFill>
        </w:rPr>
        <w:t>3.0.1</w:t>
      </w:r>
      <w:r>
        <w:rPr>
          <w:rFonts w:hint="eastAsia" w:cs="宋体"/>
          <w:b/>
          <w:bCs/>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 xml:space="preserve"> 抗浮工程的水文地质勘察宜结合项目的岩土工程勘察进行或在项目岩土工程勘察的基础上进行。</w:t>
      </w:r>
    </w:p>
    <w:p>
      <w:pPr>
        <w:autoSpaceDE w:val="0"/>
        <w:autoSpaceDN w:val="0"/>
        <w:adjustRightInd w:val="0"/>
        <w:rPr>
          <w:rFonts w:cs="宋体"/>
          <w:b/>
          <w:bCs/>
          <w:color w:val="000000" w:themeColor="text1"/>
          <w:kern w:val="0"/>
          <w:szCs w:val="24"/>
          <w14:textFill>
            <w14:solidFill>
              <w14:schemeClr w14:val="tx1"/>
            </w14:solidFill>
          </w14:textFill>
        </w:rPr>
      </w:pPr>
      <w:bookmarkStart w:id="21" w:name="_Hlk119312152"/>
      <w:r>
        <w:rPr>
          <w:rFonts w:hint="eastAsia" w:ascii="楷体" w:hAnsi="楷体" w:eastAsia="楷体" w:cs="楷体"/>
          <w:b/>
          <w:bCs/>
        </w:rPr>
        <w:t>【条文说明】</w:t>
      </w:r>
      <w:bookmarkEnd w:id="21"/>
      <w:r>
        <w:rPr>
          <w:rFonts w:ascii="楷体" w:hAnsi="楷体" w:eastAsia="楷体" w:cs="楷体"/>
          <w:b/>
          <w:bCs/>
        </w:rPr>
        <w:t>3.0.1</w:t>
      </w:r>
      <w:r>
        <w:rPr>
          <w:rFonts w:hint="eastAsia" w:ascii="楷体" w:hAnsi="楷体" w:eastAsia="楷体" w:cs="楷体"/>
          <w:b/>
          <w:bCs/>
        </w:rPr>
        <w:t xml:space="preserve"> </w:t>
      </w:r>
      <w:r>
        <w:rPr>
          <w:rFonts w:ascii="楷体" w:hAnsi="楷体" w:eastAsia="楷体" w:cs="楷体"/>
          <w:b/>
          <w:bCs/>
        </w:rPr>
        <w:t xml:space="preserve"> </w:t>
      </w:r>
      <w:r>
        <w:rPr>
          <w:rFonts w:hint="eastAsia" w:ascii="楷体" w:hAnsi="楷体" w:eastAsia="楷体" w:cs="楷体"/>
          <w:b/>
          <w:bCs/>
        </w:rPr>
        <w:t>抗浮工程水文地质勘察工作的基本要求是收集和分析区域地质资料、场地周边资料，开展现场调查、勘探、试验和观测，进行抗浮分析评价，提出抗浮设防水位和抗浮措施建议。当岩土工程勘察的手段和成果能满足抗浮工程设计和施工需要时，可结合项目相应阶段岩土工程勘察开展抗浮工程水文地质勘察工作，岩土工程勘察成果需提供包括抗浮工程设计和施工所需要的资料。</w:t>
      </w:r>
    </w:p>
    <w:p>
      <w:pPr>
        <w:autoSpaceDE w:val="0"/>
        <w:autoSpaceDN w:val="0"/>
        <w:adjustRightInd w:val="0"/>
        <w:rPr>
          <w:rFonts w:cs="宋体"/>
          <w:color w:val="000000" w:themeColor="text1"/>
          <w:kern w:val="0"/>
          <w:szCs w:val="24"/>
          <w14:textFill>
            <w14:solidFill>
              <w14:schemeClr w14:val="tx1"/>
            </w14:solidFill>
          </w14:textFill>
        </w:rPr>
      </w:pPr>
      <w:r>
        <w:rPr>
          <w:rFonts w:cs="宋体"/>
          <w:b/>
          <w:bCs/>
          <w:color w:val="000000" w:themeColor="text1"/>
          <w:kern w:val="0"/>
          <w:szCs w:val="24"/>
          <w14:textFill>
            <w14:solidFill>
              <w14:schemeClr w14:val="tx1"/>
            </w14:solidFill>
          </w14:textFill>
        </w:rPr>
        <w:t xml:space="preserve">3.0.2 </w:t>
      </w:r>
      <w:r>
        <w:rPr>
          <w:rFonts w:hint="eastAsia" w:cs="宋体"/>
          <w:b/>
          <w:bCs/>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抗浮工程设计等级为甲级、特殊场地、拟采用主动抗浮措施或场地水文地质条件复杂时，宜进行专项抗浮工程水文地质勘察。</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 xml:space="preserve">3.0.2  </w:t>
      </w:r>
      <w:r>
        <w:rPr>
          <w:rFonts w:hint="eastAsia" w:ascii="楷体" w:hAnsi="楷体" w:eastAsia="楷体" w:cs="楷体"/>
          <w:b/>
          <w:bCs/>
        </w:rPr>
        <w:t>抗浮工程设计等级按《建筑工程抗浮技术标准》（JGJ 476）划分，特殊场地按本标准3.0.</w:t>
      </w:r>
      <w:r>
        <w:rPr>
          <w:rFonts w:ascii="楷体" w:hAnsi="楷体" w:eastAsia="楷体" w:cs="楷体"/>
          <w:b/>
          <w:bCs/>
        </w:rPr>
        <w:t>7</w:t>
      </w:r>
      <w:r>
        <w:rPr>
          <w:rFonts w:hint="eastAsia" w:ascii="楷体" w:hAnsi="楷体" w:eastAsia="楷体" w:cs="楷体"/>
          <w:b/>
          <w:bCs/>
        </w:rPr>
        <w:t>分类。由于岩土工程勘察和抗浮工程所需工程地质、水文地质的成果资料的侧重点有所不同，当拟建场地水文地质条件复杂且研究资料不够充分时，需进行抗浮工程专项勘察，不能由岩土工程勘察完全替代。</w:t>
      </w:r>
    </w:p>
    <w:p>
      <w:pPr>
        <w:autoSpaceDE w:val="0"/>
        <w:autoSpaceDN w:val="0"/>
        <w:adjustRightInd w:val="0"/>
        <w:rPr>
          <w:rFonts w:cs="宋体"/>
          <w:color w:val="333333"/>
          <w:kern w:val="0"/>
          <w:szCs w:val="24"/>
        </w:rPr>
      </w:pPr>
      <w:r>
        <w:rPr>
          <w:rFonts w:hint="eastAsia" w:cs="宋体"/>
          <w:b/>
          <w:bCs/>
          <w:color w:val="333333"/>
          <w:kern w:val="0"/>
          <w:szCs w:val="24"/>
        </w:rPr>
        <w:t>3.0.</w:t>
      </w:r>
      <w:r>
        <w:rPr>
          <w:rFonts w:cs="宋体"/>
          <w:b/>
          <w:bCs/>
          <w:color w:val="333333"/>
          <w:kern w:val="0"/>
          <w:szCs w:val="24"/>
        </w:rPr>
        <w:t>3</w:t>
      </w:r>
      <w:r>
        <w:rPr>
          <w:rFonts w:hint="eastAsia" w:cs="宋体"/>
          <w:color w:val="333333"/>
          <w:kern w:val="0"/>
          <w:szCs w:val="24"/>
        </w:rPr>
        <w:t xml:space="preserve">  抗浮工程水文地质勘察应在收集资料和现场踏勘的基础上编制水文地质勘察纲要，勘察纲要宜包括下列内容：</w:t>
      </w:r>
    </w:p>
    <w:p>
      <w:pPr>
        <w:autoSpaceDE w:val="0"/>
        <w:autoSpaceDN w:val="0"/>
        <w:adjustRightInd w:val="0"/>
        <w:ind w:firstLine="480"/>
        <w:rPr>
          <w:rFonts w:cs="宋体"/>
          <w:color w:val="333333"/>
          <w:kern w:val="0"/>
          <w:szCs w:val="24"/>
        </w:rPr>
      </w:pPr>
      <w:r>
        <w:rPr>
          <w:rFonts w:hint="eastAsia"/>
          <w:b/>
          <w:bCs/>
        </w:rPr>
        <w:t>1</w:t>
      </w:r>
      <w:r>
        <w:rPr>
          <w:rFonts w:hint="eastAsia" w:cs="宋体"/>
          <w:color w:val="333333"/>
          <w:kern w:val="0"/>
          <w:szCs w:val="24"/>
        </w:rPr>
        <w:t xml:space="preserve"> </w:t>
      </w:r>
      <w:r>
        <w:rPr>
          <w:rFonts w:cs="宋体"/>
          <w:color w:val="333333"/>
          <w:kern w:val="0"/>
          <w:szCs w:val="24"/>
        </w:rPr>
        <w:t xml:space="preserve"> </w:t>
      </w:r>
      <w:r>
        <w:rPr>
          <w:rFonts w:hint="eastAsia" w:cs="宋体"/>
          <w:color w:val="333333"/>
          <w:kern w:val="0"/>
          <w:szCs w:val="24"/>
        </w:rPr>
        <w:t>工程概况、勘察目的与任务；</w:t>
      </w:r>
    </w:p>
    <w:p>
      <w:pPr>
        <w:autoSpaceDE w:val="0"/>
        <w:autoSpaceDN w:val="0"/>
        <w:adjustRightInd w:val="0"/>
        <w:ind w:firstLine="480"/>
        <w:rPr>
          <w:rFonts w:cs="宋体"/>
          <w:color w:val="333333"/>
          <w:kern w:val="0"/>
          <w:szCs w:val="24"/>
        </w:rPr>
      </w:pPr>
      <w:r>
        <w:rPr>
          <w:rFonts w:hint="eastAsia"/>
          <w:b/>
          <w:bCs/>
        </w:rPr>
        <w:t>2</w:t>
      </w:r>
      <w:r>
        <w:rPr>
          <w:rFonts w:cs="宋体"/>
          <w:color w:val="333333"/>
          <w:kern w:val="0"/>
          <w:szCs w:val="24"/>
        </w:rPr>
        <w:t xml:space="preserve">  </w:t>
      </w:r>
      <w:r>
        <w:rPr>
          <w:rFonts w:hint="eastAsia" w:cs="宋体"/>
          <w:color w:val="333333"/>
          <w:kern w:val="0"/>
          <w:szCs w:val="24"/>
        </w:rPr>
        <w:t>区域水文地质概况；</w:t>
      </w:r>
    </w:p>
    <w:p>
      <w:pPr>
        <w:autoSpaceDE w:val="0"/>
        <w:autoSpaceDN w:val="0"/>
        <w:adjustRightInd w:val="0"/>
        <w:ind w:firstLine="480"/>
        <w:rPr>
          <w:rFonts w:cs="宋体"/>
          <w:color w:val="333333"/>
          <w:kern w:val="0"/>
          <w:szCs w:val="24"/>
        </w:rPr>
      </w:pPr>
      <w:r>
        <w:rPr>
          <w:rFonts w:hint="eastAsia"/>
          <w:b/>
          <w:bCs/>
        </w:rPr>
        <w:t>3</w:t>
      </w:r>
      <w:r>
        <w:rPr>
          <w:rFonts w:hint="eastAsia" w:cs="宋体"/>
          <w:color w:val="333333"/>
          <w:kern w:val="0"/>
          <w:szCs w:val="24"/>
        </w:rPr>
        <w:t xml:space="preserve"> </w:t>
      </w:r>
      <w:r>
        <w:rPr>
          <w:rFonts w:cs="宋体"/>
          <w:color w:val="333333"/>
          <w:kern w:val="0"/>
          <w:szCs w:val="24"/>
        </w:rPr>
        <w:t xml:space="preserve"> </w:t>
      </w:r>
      <w:r>
        <w:rPr>
          <w:rFonts w:hint="eastAsia" w:cs="宋体"/>
          <w:color w:val="333333"/>
          <w:kern w:val="0"/>
          <w:szCs w:val="24"/>
        </w:rPr>
        <w:t>勘察区地形地貌、地质构造及水文地质概况、已研究程度及可能存在的主要问题；</w:t>
      </w:r>
    </w:p>
    <w:p>
      <w:pPr>
        <w:autoSpaceDE w:val="0"/>
        <w:autoSpaceDN w:val="0"/>
        <w:adjustRightInd w:val="0"/>
        <w:ind w:firstLine="480"/>
        <w:rPr>
          <w:rFonts w:cs="宋体"/>
          <w:color w:val="333333"/>
          <w:kern w:val="0"/>
          <w:szCs w:val="24"/>
        </w:rPr>
      </w:pPr>
      <w:r>
        <w:rPr>
          <w:rFonts w:hint="eastAsia"/>
          <w:b/>
          <w:bCs/>
        </w:rPr>
        <w:t>4</w:t>
      </w:r>
      <w:r>
        <w:rPr>
          <w:rFonts w:hint="eastAsia" w:cs="宋体"/>
          <w:color w:val="333333"/>
          <w:kern w:val="0"/>
          <w:szCs w:val="24"/>
        </w:rPr>
        <w:t xml:space="preserve"> </w:t>
      </w:r>
      <w:r>
        <w:rPr>
          <w:rFonts w:cs="宋体"/>
          <w:color w:val="333333"/>
          <w:kern w:val="0"/>
          <w:szCs w:val="24"/>
        </w:rPr>
        <w:t xml:space="preserve"> </w:t>
      </w:r>
      <w:r>
        <w:rPr>
          <w:rFonts w:hint="eastAsia" w:cs="宋体"/>
          <w:color w:val="333333"/>
          <w:kern w:val="0"/>
          <w:szCs w:val="24"/>
        </w:rPr>
        <w:t>勘察工作的内容、研究方法、技术要求和计划工作量；</w:t>
      </w:r>
    </w:p>
    <w:p>
      <w:pPr>
        <w:autoSpaceDE w:val="0"/>
        <w:autoSpaceDN w:val="0"/>
        <w:adjustRightInd w:val="0"/>
        <w:ind w:firstLine="480"/>
        <w:rPr>
          <w:rFonts w:cs="宋体"/>
          <w:color w:val="333333"/>
          <w:kern w:val="0"/>
          <w:szCs w:val="24"/>
        </w:rPr>
      </w:pPr>
      <w:r>
        <w:rPr>
          <w:rFonts w:hint="eastAsia"/>
          <w:b/>
          <w:bCs/>
        </w:rPr>
        <w:t>5</w:t>
      </w:r>
      <w:r>
        <w:rPr>
          <w:rFonts w:hint="eastAsia" w:cs="宋体"/>
          <w:color w:val="333333"/>
          <w:kern w:val="0"/>
          <w:szCs w:val="24"/>
        </w:rPr>
        <w:t xml:space="preserve"> </w:t>
      </w:r>
      <w:r>
        <w:rPr>
          <w:rFonts w:cs="宋体"/>
          <w:color w:val="333333"/>
          <w:kern w:val="0"/>
          <w:szCs w:val="24"/>
        </w:rPr>
        <w:t xml:space="preserve"> </w:t>
      </w:r>
      <w:r>
        <w:rPr>
          <w:rFonts w:hint="eastAsia" w:cs="宋体"/>
          <w:color w:val="333333"/>
          <w:kern w:val="0"/>
          <w:szCs w:val="24"/>
        </w:rPr>
        <w:t>勘察工作进度及质量保障措施；</w:t>
      </w:r>
    </w:p>
    <w:p>
      <w:pPr>
        <w:autoSpaceDE w:val="0"/>
        <w:autoSpaceDN w:val="0"/>
        <w:adjustRightInd w:val="0"/>
        <w:ind w:firstLine="480"/>
        <w:rPr>
          <w:rFonts w:cs="宋体"/>
          <w:color w:val="333333"/>
          <w:kern w:val="0"/>
          <w:szCs w:val="24"/>
        </w:rPr>
      </w:pPr>
      <w:r>
        <w:rPr>
          <w:rFonts w:hint="eastAsia"/>
          <w:b/>
          <w:bCs/>
        </w:rPr>
        <w:t>6</w:t>
      </w:r>
      <w:r>
        <w:rPr>
          <w:rFonts w:hint="eastAsia" w:cs="宋体"/>
          <w:color w:val="333333"/>
          <w:kern w:val="0"/>
          <w:szCs w:val="24"/>
        </w:rPr>
        <w:t xml:space="preserve"> </w:t>
      </w:r>
      <w:r>
        <w:rPr>
          <w:rFonts w:cs="宋体"/>
          <w:color w:val="333333"/>
          <w:kern w:val="0"/>
          <w:szCs w:val="24"/>
        </w:rPr>
        <w:t xml:space="preserve"> </w:t>
      </w:r>
      <w:r>
        <w:rPr>
          <w:rFonts w:hint="eastAsia" w:cs="宋体"/>
          <w:color w:val="333333"/>
          <w:kern w:val="0"/>
          <w:szCs w:val="24"/>
        </w:rPr>
        <w:t>拟提交资料的种类、名称和数量；</w:t>
      </w:r>
    </w:p>
    <w:p>
      <w:pPr>
        <w:autoSpaceDE w:val="0"/>
        <w:autoSpaceDN w:val="0"/>
        <w:adjustRightInd w:val="0"/>
        <w:ind w:firstLine="480"/>
        <w:rPr>
          <w:rFonts w:cs="宋体"/>
          <w:color w:val="333333"/>
          <w:kern w:val="0"/>
          <w:szCs w:val="24"/>
        </w:rPr>
      </w:pPr>
      <w:r>
        <w:rPr>
          <w:rFonts w:hint="eastAsia"/>
          <w:b/>
          <w:bCs/>
        </w:rPr>
        <w:t>7</w:t>
      </w:r>
      <w:r>
        <w:rPr>
          <w:rFonts w:hint="eastAsia" w:cs="宋体"/>
          <w:color w:val="333333"/>
          <w:kern w:val="0"/>
          <w:szCs w:val="24"/>
        </w:rPr>
        <w:t xml:space="preserve"> </w:t>
      </w:r>
      <w:r>
        <w:rPr>
          <w:rFonts w:cs="宋体"/>
          <w:color w:val="333333"/>
          <w:kern w:val="0"/>
          <w:szCs w:val="24"/>
        </w:rPr>
        <w:t xml:space="preserve"> </w:t>
      </w:r>
      <w:r>
        <w:rPr>
          <w:rFonts w:hint="eastAsia" w:cs="宋体"/>
          <w:color w:val="333333"/>
          <w:kern w:val="0"/>
          <w:szCs w:val="24"/>
        </w:rPr>
        <w:t>勘察工作布置示意图。</w:t>
      </w:r>
    </w:p>
    <w:p>
      <w:pPr>
        <w:autoSpaceDE w:val="0"/>
        <w:autoSpaceDN w:val="0"/>
        <w:adjustRightInd w:val="0"/>
        <w:rPr>
          <w:rFonts w:cs="宋体"/>
          <w:color w:val="000000" w:themeColor="text1"/>
          <w:kern w:val="0"/>
          <w:szCs w:val="24"/>
          <w14:textFill>
            <w14:solidFill>
              <w14:schemeClr w14:val="tx1"/>
            </w14:solidFill>
          </w14:textFill>
        </w:rPr>
      </w:pPr>
      <w:r>
        <w:rPr>
          <w:rFonts w:hint="eastAsia" w:cs="宋体"/>
          <w:b/>
          <w:bCs/>
          <w:color w:val="333333"/>
          <w:kern w:val="0"/>
          <w:szCs w:val="24"/>
        </w:rPr>
        <w:t>3.0.</w:t>
      </w:r>
      <w:r>
        <w:rPr>
          <w:rFonts w:cs="宋体"/>
          <w:b/>
          <w:bCs/>
          <w:color w:val="333333"/>
          <w:kern w:val="0"/>
          <w:szCs w:val="24"/>
        </w:rPr>
        <w:t>4</w:t>
      </w:r>
      <w:r>
        <w:rPr>
          <w:rFonts w:hint="eastAsia" w:cs="宋体"/>
          <w:b/>
          <w:bCs/>
          <w:color w:val="333333"/>
          <w:kern w:val="0"/>
          <w:szCs w:val="24"/>
        </w:rPr>
        <w:t xml:space="preserve">  </w:t>
      </w:r>
      <w:r>
        <w:rPr>
          <w:rFonts w:hint="eastAsia" w:cs="宋体"/>
          <w:color w:val="333333"/>
          <w:kern w:val="0"/>
          <w:szCs w:val="24"/>
        </w:rPr>
        <w:t>抗浮工程水文地质勘察工</w:t>
      </w:r>
      <w:r>
        <w:rPr>
          <w:rFonts w:hint="eastAsia" w:cs="宋体"/>
          <w:color w:val="000000" w:themeColor="text1"/>
          <w:kern w:val="0"/>
          <w:szCs w:val="24"/>
          <w14:textFill>
            <w14:solidFill>
              <w14:schemeClr w14:val="tx1"/>
            </w14:solidFill>
          </w14:textFill>
        </w:rPr>
        <w:t>作量宜根据勘察目的、工程规模、场地水文地质条件复杂程度和已有工作深度综合确定。</w:t>
      </w:r>
    </w:p>
    <w:p>
      <w:pPr>
        <w:autoSpaceDE w:val="0"/>
        <w:autoSpaceDN w:val="0"/>
        <w:adjustRightInd w:val="0"/>
        <w:rPr>
          <w:rFonts w:cs="宋体"/>
          <w:color w:val="000000" w:themeColor="text1"/>
          <w:kern w:val="0"/>
          <w:szCs w:val="24"/>
          <w14:textFill>
            <w14:solidFill>
              <w14:schemeClr w14:val="tx1"/>
            </w14:solidFill>
          </w14:textFill>
        </w:rPr>
      </w:pPr>
      <w:r>
        <w:rPr>
          <w:rFonts w:hint="eastAsia" w:ascii="楷体" w:hAnsi="楷体" w:eastAsia="楷体" w:cs="楷体"/>
          <w:b/>
          <w:bCs/>
        </w:rPr>
        <w:t>【条文说明】</w:t>
      </w:r>
      <w:r>
        <w:rPr>
          <w:rFonts w:ascii="楷体" w:hAnsi="楷体" w:eastAsia="楷体" w:cs="楷体"/>
          <w:b/>
          <w:bCs/>
        </w:rPr>
        <w:t xml:space="preserve">3.0.4 </w:t>
      </w:r>
      <w:r>
        <w:rPr>
          <w:rFonts w:hint="eastAsia" w:ascii="楷体" w:hAnsi="楷体" w:eastAsia="楷体" w:cs="楷体"/>
          <w:b/>
          <w:bCs/>
        </w:rPr>
        <w:t xml:space="preserve"> 场地水文地质条件复杂程度可按表3.0.</w:t>
      </w:r>
      <w:r>
        <w:rPr>
          <w:rFonts w:ascii="楷体" w:hAnsi="楷体" w:eastAsia="楷体" w:cs="楷体"/>
          <w:b/>
          <w:bCs/>
        </w:rPr>
        <w:t>4</w:t>
      </w:r>
      <w:r>
        <w:rPr>
          <w:rFonts w:hint="eastAsia" w:ascii="楷体" w:hAnsi="楷体" w:eastAsia="楷体" w:cs="楷体"/>
          <w:b/>
          <w:bCs/>
        </w:rPr>
        <w:t>确定。</w:t>
      </w:r>
    </w:p>
    <w:p>
      <w:pPr>
        <w:autoSpaceDE w:val="0"/>
        <w:autoSpaceDN w:val="0"/>
        <w:adjustRightInd w:val="0"/>
        <w:jc w:val="center"/>
        <w:rPr>
          <w:rFonts w:cs="宋体" w:asciiTheme="minorEastAsia" w:hAnsiTheme="minorEastAsia" w:eastAsiaTheme="minorEastAsia"/>
          <w:b/>
          <w:bCs/>
          <w:color w:val="333333"/>
          <w:kern w:val="0"/>
          <w:sz w:val="21"/>
          <w:szCs w:val="21"/>
        </w:rPr>
      </w:pPr>
      <w:r>
        <w:rPr>
          <w:rFonts w:hint="eastAsia" w:cs="宋体" w:asciiTheme="minorEastAsia" w:hAnsiTheme="minorEastAsia" w:eastAsiaTheme="minorEastAsia"/>
          <w:b/>
          <w:bCs/>
          <w:color w:val="333333"/>
          <w:kern w:val="0"/>
          <w:sz w:val="21"/>
          <w:szCs w:val="21"/>
        </w:rPr>
        <w:t>表 3</w:t>
      </w:r>
      <w:r>
        <w:rPr>
          <w:rFonts w:hint="eastAsia" w:cs="宋体" w:asciiTheme="minorEastAsia" w:hAnsiTheme="minorEastAsia" w:eastAsiaTheme="minorEastAsia"/>
          <w:b/>
          <w:bCs/>
          <w:color w:val="181818"/>
          <w:kern w:val="0"/>
          <w:sz w:val="21"/>
          <w:szCs w:val="21"/>
        </w:rPr>
        <w:t>.0.</w:t>
      </w:r>
      <w:r>
        <w:rPr>
          <w:rFonts w:cs="宋体" w:asciiTheme="minorEastAsia" w:hAnsiTheme="minorEastAsia" w:eastAsiaTheme="minorEastAsia"/>
          <w:b/>
          <w:bCs/>
          <w:color w:val="181818"/>
          <w:kern w:val="0"/>
          <w:sz w:val="21"/>
          <w:szCs w:val="21"/>
        </w:rPr>
        <w:t>4</w:t>
      </w:r>
      <w:r>
        <w:rPr>
          <w:rFonts w:hint="eastAsia" w:cs="宋体" w:asciiTheme="minorEastAsia" w:hAnsiTheme="minorEastAsia" w:eastAsiaTheme="minorEastAsia"/>
          <w:b/>
          <w:bCs/>
          <w:color w:val="181818"/>
          <w:kern w:val="0"/>
          <w:sz w:val="21"/>
          <w:szCs w:val="21"/>
        </w:rPr>
        <w:t xml:space="preserve">  </w:t>
      </w:r>
      <w:r>
        <w:rPr>
          <w:rFonts w:hint="eastAsia" w:cs="宋体" w:asciiTheme="minorEastAsia" w:hAnsiTheme="minorEastAsia" w:eastAsiaTheme="minorEastAsia"/>
          <w:b/>
          <w:bCs/>
          <w:color w:val="333333"/>
          <w:kern w:val="0"/>
          <w:sz w:val="21"/>
          <w:szCs w:val="21"/>
        </w:rPr>
        <w:t>水文</w:t>
      </w:r>
      <w:r>
        <w:rPr>
          <w:rFonts w:hint="eastAsia" w:cs="宋体" w:asciiTheme="minorEastAsia" w:hAnsiTheme="minorEastAsia" w:eastAsiaTheme="minorEastAsia"/>
          <w:b/>
          <w:bCs/>
          <w:color w:val="181818"/>
          <w:kern w:val="0"/>
          <w:sz w:val="21"/>
          <w:szCs w:val="21"/>
        </w:rPr>
        <w:t>地质条件复</w:t>
      </w:r>
      <w:r>
        <w:rPr>
          <w:rFonts w:hint="eastAsia" w:cs="宋体" w:asciiTheme="minorEastAsia" w:hAnsiTheme="minorEastAsia" w:eastAsiaTheme="minorEastAsia"/>
          <w:b/>
          <w:bCs/>
          <w:color w:val="333333"/>
          <w:kern w:val="0"/>
          <w:sz w:val="21"/>
          <w:szCs w:val="21"/>
        </w:rPr>
        <w:t>杂</w:t>
      </w:r>
      <w:r>
        <w:rPr>
          <w:rFonts w:hint="eastAsia" w:cs="宋体" w:asciiTheme="minorEastAsia" w:hAnsiTheme="minorEastAsia" w:eastAsiaTheme="minorEastAsia"/>
          <w:b/>
          <w:bCs/>
          <w:color w:val="181818"/>
          <w:kern w:val="0"/>
          <w:sz w:val="21"/>
          <w:szCs w:val="21"/>
        </w:rPr>
        <w:t>程度</w:t>
      </w:r>
      <w:r>
        <w:rPr>
          <w:rFonts w:hint="eastAsia" w:cs="宋体" w:asciiTheme="minorEastAsia" w:hAnsiTheme="minorEastAsia" w:eastAsiaTheme="minorEastAsia"/>
          <w:b/>
          <w:bCs/>
          <w:color w:val="333333"/>
          <w:kern w:val="0"/>
          <w:sz w:val="21"/>
          <w:szCs w:val="21"/>
        </w:rPr>
        <w:t>类型</w:t>
      </w:r>
    </w:p>
    <w:tbl>
      <w:tblPr>
        <w:tblStyle w:val="25"/>
        <w:tblW w:w="81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94"/>
        <w:gridCol w:w="65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94" w:type="dxa"/>
            <w:vAlign w:val="center"/>
          </w:tcPr>
          <w:p>
            <w:pPr>
              <w:autoSpaceDE w:val="0"/>
              <w:autoSpaceDN w:val="0"/>
              <w:adjustRightInd w:val="0"/>
              <w:spacing w:line="276" w:lineRule="auto"/>
              <w:jc w:val="center"/>
              <w:rPr>
                <w:rFonts w:cs="宋体"/>
                <w:color w:val="BCBCBC"/>
                <w:kern w:val="0"/>
                <w:sz w:val="21"/>
                <w:szCs w:val="21"/>
              </w:rPr>
            </w:pPr>
            <w:r>
              <w:rPr>
                <w:rFonts w:hint="eastAsia" w:cs="宋体"/>
                <w:color w:val="454545"/>
                <w:kern w:val="0"/>
                <w:sz w:val="21"/>
                <w:szCs w:val="21"/>
              </w:rPr>
              <w:t>类别</w:t>
            </w:r>
          </w:p>
        </w:tc>
        <w:tc>
          <w:tcPr>
            <w:tcW w:w="6592" w:type="dxa"/>
            <w:vAlign w:val="center"/>
          </w:tcPr>
          <w:p>
            <w:pPr>
              <w:autoSpaceDE w:val="0"/>
              <w:autoSpaceDN w:val="0"/>
              <w:adjustRightInd w:val="0"/>
              <w:spacing w:line="276" w:lineRule="auto"/>
              <w:jc w:val="center"/>
              <w:rPr>
                <w:rFonts w:cs="宋体"/>
                <w:color w:val="BCBCBC"/>
                <w:kern w:val="0"/>
                <w:sz w:val="21"/>
                <w:szCs w:val="21"/>
              </w:rPr>
            </w:pPr>
            <w:r>
              <w:rPr>
                <w:rFonts w:hint="eastAsia" w:cs="宋体"/>
                <w:color w:val="454545"/>
                <w:kern w:val="0"/>
                <w:sz w:val="21"/>
                <w:szCs w:val="21"/>
              </w:rPr>
              <w:t>水文地质特征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94" w:type="dxa"/>
            <w:vAlign w:val="center"/>
          </w:tcPr>
          <w:p>
            <w:pPr>
              <w:autoSpaceDE w:val="0"/>
              <w:autoSpaceDN w:val="0"/>
              <w:adjustRightInd w:val="0"/>
              <w:spacing w:line="276" w:lineRule="auto"/>
              <w:jc w:val="center"/>
              <w:rPr>
                <w:rFonts w:cs="宋体"/>
                <w:color w:val="333333"/>
                <w:kern w:val="0"/>
                <w:sz w:val="21"/>
                <w:szCs w:val="21"/>
              </w:rPr>
            </w:pPr>
            <w:r>
              <w:rPr>
                <w:rFonts w:hint="eastAsia" w:cs="宋体"/>
                <w:color w:val="333333"/>
                <w:kern w:val="0"/>
                <w:sz w:val="21"/>
                <w:szCs w:val="21"/>
              </w:rPr>
              <w:t>复杂</w:t>
            </w:r>
          </w:p>
        </w:tc>
        <w:tc>
          <w:tcPr>
            <w:tcW w:w="6592" w:type="dxa"/>
            <w:vAlign w:val="center"/>
          </w:tcPr>
          <w:p>
            <w:pPr>
              <w:autoSpaceDE w:val="0"/>
              <w:autoSpaceDN w:val="0"/>
              <w:adjustRightInd w:val="0"/>
              <w:spacing w:line="276" w:lineRule="auto"/>
              <w:jc w:val="left"/>
              <w:rPr>
                <w:rFonts w:cs="宋体"/>
                <w:color w:val="333333"/>
                <w:kern w:val="0"/>
                <w:sz w:val="21"/>
                <w:szCs w:val="21"/>
              </w:rPr>
            </w:pPr>
            <w:r>
              <w:rPr>
                <w:rFonts w:hint="eastAsia" w:cs="宋体"/>
                <w:color w:val="333333"/>
                <w:kern w:val="0"/>
                <w:sz w:val="21"/>
                <w:szCs w:val="21"/>
              </w:rPr>
              <w:t>地质构造复杂、地下水类型多；</w:t>
            </w:r>
          </w:p>
          <w:p>
            <w:pPr>
              <w:autoSpaceDE w:val="0"/>
              <w:autoSpaceDN w:val="0"/>
              <w:adjustRightInd w:val="0"/>
              <w:spacing w:line="276" w:lineRule="auto"/>
              <w:jc w:val="left"/>
              <w:rPr>
                <w:rFonts w:cs="宋体"/>
                <w:color w:val="333333"/>
                <w:kern w:val="0"/>
                <w:sz w:val="21"/>
                <w:szCs w:val="21"/>
              </w:rPr>
            </w:pPr>
            <w:r>
              <w:rPr>
                <w:rFonts w:hint="eastAsia" w:cs="宋体"/>
                <w:color w:val="333333"/>
                <w:kern w:val="0"/>
                <w:sz w:val="21"/>
                <w:szCs w:val="21"/>
              </w:rPr>
              <w:t>含水层岩性多样、厚度和层面坡度变化大；</w:t>
            </w:r>
          </w:p>
          <w:p>
            <w:pPr>
              <w:autoSpaceDE w:val="0"/>
              <w:autoSpaceDN w:val="0"/>
              <w:adjustRightInd w:val="0"/>
              <w:spacing w:line="276" w:lineRule="auto"/>
              <w:jc w:val="left"/>
              <w:rPr>
                <w:rFonts w:cs="宋体"/>
                <w:color w:val="333333"/>
                <w:kern w:val="0"/>
                <w:sz w:val="21"/>
                <w:szCs w:val="21"/>
              </w:rPr>
            </w:pPr>
            <w:r>
              <w:rPr>
                <w:rFonts w:hint="eastAsia" w:cs="宋体"/>
                <w:color w:val="333333"/>
                <w:kern w:val="0"/>
                <w:sz w:val="21"/>
                <w:szCs w:val="21"/>
              </w:rPr>
              <w:t>存在多层含水层、水力联系复杂；</w:t>
            </w:r>
          </w:p>
          <w:p>
            <w:pPr>
              <w:autoSpaceDE w:val="0"/>
              <w:autoSpaceDN w:val="0"/>
              <w:adjustRightInd w:val="0"/>
              <w:spacing w:line="276" w:lineRule="auto"/>
              <w:jc w:val="left"/>
              <w:rPr>
                <w:rFonts w:cs="宋体"/>
                <w:color w:val="333333"/>
                <w:kern w:val="0"/>
                <w:sz w:val="21"/>
                <w:szCs w:val="21"/>
              </w:rPr>
            </w:pPr>
            <w:r>
              <w:rPr>
                <w:rFonts w:hint="eastAsia" w:cs="宋体"/>
                <w:color w:val="333333"/>
                <w:kern w:val="0"/>
                <w:sz w:val="21"/>
                <w:szCs w:val="21"/>
              </w:rPr>
              <w:t>地下水的补给、径流和排泄条件复杂；</w:t>
            </w:r>
          </w:p>
          <w:p>
            <w:pPr>
              <w:autoSpaceDE w:val="0"/>
              <w:autoSpaceDN w:val="0"/>
              <w:adjustRightInd w:val="0"/>
              <w:spacing w:line="276" w:lineRule="auto"/>
              <w:jc w:val="left"/>
              <w:rPr>
                <w:rFonts w:cs="宋体"/>
                <w:color w:val="333333"/>
                <w:kern w:val="0"/>
                <w:sz w:val="21"/>
                <w:szCs w:val="21"/>
              </w:rPr>
            </w:pPr>
            <w:r>
              <w:rPr>
                <w:rFonts w:hint="eastAsia" w:cs="宋体"/>
                <w:color w:val="333333"/>
                <w:kern w:val="0"/>
                <w:sz w:val="21"/>
                <w:szCs w:val="21"/>
              </w:rPr>
              <w:t>地下水动态变化规律不明确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94" w:type="dxa"/>
            <w:vAlign w:val="center"/>
          </w:tcPr>
          <w:p>
            <w:pPr>
              <w:autoSpaceDE w:val="0"/>
              <w:autoSpaceDN w:val="0"/>
              <w:adjustRightInd w:val="0"/>
              <w:spacing w:line="276" w:lineRule="auto"/>
              <w:jc w:val="center"/>
              <w:rPr>
                <w:rFonts w:cs="宋体"/>
                <w:color w:val="BCBCBC"/>
                <w:kern w:val="0"/>
                <w:sz w:val="21"/>
                <w:szCs w:val="21"/>
              </w:rPr>
            </w:pPr>
            <w:r>
              <w:rPr>
                <w:rFonts w:hint="eastAsia" w:cs="宋体"/>
                <w:color w:val="333333"/>
                <w:kern w:val="0"/>
                <w:sz w:val="21"/>
                <w:szCs w:val="21"/>
              </w:rPr>
              <w:t>中等</w:t>
            </w:r>
          </w:p>
        </w:tc>
        <w:tc>
          <w:tcPr>
            <w:tcW w:w="6592" w:type="dxa"/>
            <w:vAlign w:val="center"/>
          </w:tcPr>
          <w:p>
            <w:pPr>
              <w:autoSpaceDE w:val="0"/>
              <w:autoSpaceDN w:val="0"/>
              <w:adjustRightInd w:val="0"/>
              <w:spacing w:line="276" w:lineRule="auto"/>
              <w:jc w:val="left"/>
              <w:rPr>
                <w:rFonts w:cs="宋体"/>
                <w:color w:val="454545"/>
                <w:kern w:val="0"/>
                <w:sz w:val="21"/>
                <w:szCs w:val="21"/>
              </w:rPr>
            </w:pPr>
            <w:r>
              <w:rPr>
                <w:rFonts w:hint="eastAsia" w:cs="宋体"/>
                <w:color w:val="333333"/>
                <w:kern w:val="0"/>
                <w:sz w:val="21"/>
                <w:szCs w:val="21"/>
              </w:rPr>
              <w:t>地质构造</w:t>
            </w:r>
            <w:r>
              <w:rPr>
                <w:rFonts w:hint="eastAsia" w:cs="宋体"/>
                <w:color w:val="454545"/>
                <w:kern w:val="0"/>
                <w:sz w:val="21"/>
                <w:szCs w:val="21"/>
              </w:rPr>
              <w:t>较复杂、地下水类型较多；</w:t>
            </w:r>
          </w:p>
          <w:p>
            <w:pPr>
              <w:autoSpaceDE w:val="0"/>
              <w:autoSpaceDN w:val="0"/>
              <w:adjustRightInd w:val="0"/>
              <w:spacing w:line="276" w:lineRule="auto"/>
              <w:jc w:val="left"/>
              <w:rPr>
                <w:rFonts w:cs="宋体"/>
                <w:color w:val="454545"/>
                <w:kern w:val="0"/>
                <w:sz w:val="21"/>
                <w:szCs w:val="21"/>
              </w:rPr>
            </w:pPr>
            <w:r>
              <w:rPr>
                <w:rFonts w:hint="eastAsia" w:cs="宋体"/>
                <w:color w:val="454545"/>
                <w:kern w:val="0"/>
                <w:sz w:val="21"/>
                <w:szCs w:val="21"/>
              </w:rPr>
              <w:t>含水层岩性多样、厚度和层面坡度变化较大；</w:t>
            </w:r>
          </w:p>
          <w:p>
            <w:pPr>
              <w:autoSpaceDE w:val="0"/>
              <w:autoSpaceDN w:val="0"/>
              <w:adjustRightInd w:val="0"/>
              <w:spacing w:line="276" w:lineRule="auto"/>
              <w:jc w:val="left"/>
              <w:rPr>
                <w:rFonts w:cs="宋体"/>
                <w:color w:val="454545"/>
                <w:kern w:val="0"/>
                <w:sz w:val="21"/>
                <w:szCs w:val="21"/>
              </w:rPr>
            </w:pPr>
            <w:r>
              <w:rPr>
                <w:rFonts w:hint="eastAsia" w:cs="宋体"/>
                <w:color w:val="454545"/>
                <w:kern w:val="0"/>
                <w:sz w:val="21"/>
                <w:szCs w:val="21"/>
              </w:rPr>
              <w:t>多层</w:t>
            </w:r>
            <w:r>
              <w:rPr>
                <w:rFonts w:hint="eastAsia" w:cs="宋体"/>
                <w:color w:val="333333"/>
                <w:kern w:val="0"/>
                <w:sz w:val="21"/>
                <w:szCs w:val="21"/>
              </w:rPr>
              <w:t>含水层</w:t>
            </w:r>
            <w:r>
              <w:rPr>
                <w:rFonts w:hint="eastAsia" w:cs="宋体"/>
                <w:color w:val="454545"/>
                <w:kern w:val="0"/>
                <w:sz w:val="21"/>
                <w:szCs w:val="21"/>
              </w:rPr>
              <w:t>水力联系较复杂；</w:t>
            </w:r>
          </w:p>
          <w:p>
            <w:pPr>
              <w:autoSpaceDE w:val="0"/>
              <w:autoSpaceDN w:val="0"/>
              <w:adjustRightInd w:val="0"/>
              <w:spacing w:line="276" w:lineRule="auto"/>
              <w:jc w:val="left"/>
              <w:rPr>
                <w:rFonts w:cs="宋体"/>
                <w:color w:val="454545"/>
                <w:kern w:val="0"/>
                <w:sz w:val="21"/>
                <w:szCs w:val="21"/>
              </w:rPr>
            </w:pPr>
            <w:r>
              <w:rPr>
                <w:rFonts w:hint="eastAsia" w:cs="宋体"/>
                <w:color w:val="454545"/>
                <w:kern w:val="0"/>
                <w:sz w:val="21"/>
                <w:szCs w:val="21"/>
              </w:rPr>
              <w:t>地下水的补给、径流和排泄条件较复杂；</w:t>
            </w:r>
          </w:p>
          <w:p>
            <w:pPr>
              <w:autoSpaceDE w:val="0"/>
              <w:autoSpaceDN w:val="0"/>
              <w:adjustRightInd w:val="0"/>
              <w:spacing w:line="276" w:lineRule="auto"/>
              <w:jc w:val="left"/>
              <w:rPr>
                <w:rFonts w:cs="宋体"/>
                <w:color w:val="BCBCBC"/>
                <w:kern w:val="0"/>
                <w:sz w:val="21"/>
                <w:szCs w:val="21"/>
              </w:rPr>
            </w:pPr>
            <w:r>
              <w:rPr>
                <w:rFonts w:hint="eastAsia" w:cs="宋体"/>
                <w:color w:val="333333"/>
                <w:kern w:val="0"/>
                <w:sz w:val="21"/>
                <w:szCs w:val="21"/>
              </w:rPr>
              <w:t>地下水动态</w:t>
            </w:r>
            <w:r>
              <w:rPr>
                <w:rFonts w:hint="eastAsia" w:cs="宋体"/>
                <w:color w:val="454545"/>
                <w:kern w:val="0"/>
                <w:sz w:val="21"/>
                <w:szCs w:val="21"/>
              </w:rPr>
              <w:t>变化规律基本明确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94" w:type="dxa"/>
            <w:vAlign w:val="center"/>
          </w:tcPr>
          <w:p>
            <w:pPr>
              <w:autoSpaceDE w:val="0"/>
              <w:autoSpaceDN w:val="0"/>
              <w:adjustRightInd w:val="0"/>
              <w:spacing w:line="276" w:lineRule="auto"/>
              <w:jc w:val="center"/>
              <w:rPr>
                <w:rFonts w:cs="宋体"/>
                <w:color w:val="BCBCBC"/>
                <w:kern w:val="0"/>
                <w:sz w:val="21"/>
                <w:szCs w:val="21"/>
              </w:rPr>
            </w:pPr>
            <w:r>
              <w:rPr>
                <w:rFonts w:hint="eastAsia" w:cs="宋体"/>
                <w:color w:val="333333"/>
                <w:kern w:val="0"/>
                <w:sz w:val="21"/>
                <w:szCs w:val="21"/>
              </w:rPr>
              <w:t>简单</w:t>
            </w:r>
          </w:p>
        </w:tc>
        <w:tc>
          <w:tcPr>
            <w:tcW w:w="6592" w:type="dxa"/>
            <w:vAlign w:val="center"/>
          </w:tcPr>
          <w:p>
            <w:pPr>
              <w:autoSpaceDE w:val="0"/>
              <w:autoSpaceDN w:val="0"/>
              <w:adjustRightInd w:val="0"/>
              <w:spacing w:line="276" w:lineRule="auto"/>
              <w:jc w:val="left"/>
              <w:rPr>
                <w:rFonts w:cs="宋体"/>
                <w:color w:val="333333"/>
                <w:kern w:val="0"/>
                <w:sz w:val="21"/>
                <w:szCs w:val="21"/>
              </w:rPr>
            </w:pPr>
            <w:r>
              <w:rPr>
                <w:rFonts w:hint="eastAsia" w:cs="宋体"/>
                <w:color w:val="333333"/>
                <w:kern w:val="0"/>
                <w:sz w:val="21"/>
                <w:szCs w:val="21"/>
              </w:rPr>
              <w:t>地质构造简单、地下水类型单一；</w:t>
            </w:r>
          </w:p>
          <w:p>
            <w:pPr>
              <w:autoSpaceDE w:val="0"/>
              <w:autoSpaceDN w:val="0"/>
              <w:adjustRightInd w:val="0"/>
              <w:spacing w:line="276" w:lineRule="auto"/>
              <w:jc w:val="left"/>
              <w:rPr>
                <w:rFonts w:cs="宋体"/>
                <w:color w:val="333333"/>
                <w:kern w:val="0"/>
                <w:sz w:val="21"/>
                <w:szCs w:val="21"/>
              </w:rPr>
            </w:pPr>
            <w:r>
              <w:rPr>
                <w:rFonts w:hint="eastAsia" w:cs="宋体"/>
                <w:color w:val="333333"/>
                <w:kern w:val="0"/>
                <w:sz w:val="21"/>
                <w:szCs w:val="21"/>
              </w:rPr>
              <w:t>含水层岩性单一、厚度和层面坡度变化小且稳定；</w:t>
            </w:r>
          </w:p>
          <w:p>
            <w:pPr>
              <w:autoSpaceDE w:val="0"/>
              <w:autoSpaceDN w:val="0"/>
              <w:adjustRightInd w:val="0"/>
              <w:spacing w:line="276" w:lineRule="auto"/>
              <w:jc w:val="left"/>
              <w:rPr>
                <w:rFonts w:cs="宋体"/>
                <w:color w:val="333333"/>
                <w:kern w:val="0"/>
                <w:sz w:val="21"/>
                <w:szCs w:val="21"/>
              </w:rPr>
            </w:pPr>
            <w:r>
              <w:rPr>
                <w:rFonts w:hint="eastAsia" w:cs="宋体"/>
                <w:color w:val="333333"/>
                <w:kern w:val="0"/>
                <w:sz w:val="21"/>
                <w:szCs w:val="21"/>
              </w:rPr>
              <w:t>地下水的补给、径流和排泄条件明确；</w:t>
            </w:r>
          </w:p>
          <w:p>
            <w:pPr>
              <w:autoSpaceDE w:val="0"/>
              <w:autoSpaceDN w:val="0"/>
              <w:adjustRightInd w:val="0"/>
              <w:spacing w:line="276" w:lineRule="auto"/>
              <w:jc w:val="left"/>
              <w:rPr>
                <w:rFonts w:cs="宋体"/>
                <w:color w:val="BCBCBC"/>
                <w:kern w:val="0"/>
                <w:sz w:val="21"/>
                <w:szCs w:val="21"/>
              </w:rPr>
            </w:pPr>
            <w:r>
              <w:rPr>
                <w:rFonts w:hint="eastAsia" w:cs="宋体"/>
                <w:color w:val="333333"/>
                <w:kern w:val="0"/>
                <w:sz w:val="21"/>
                <w:szCs w:val="21"/>
              </w:rPr>
              <w:t>地下水动态变化规律明确</w:t>
            </w:r>
          </w:p>
        </w:tc>
      </w:tr>
    </w:tbl>
    <w:p>
      <w:pPr>
        <w:autoSpaceDE w:val="0"/>
        <w:autoSpaceDN w:val="0"/>
        <w:adjustRightInd w:val="0"/>
        <w:ind w:firstLine="360" w:firstLineChars="200"/>
        <w:rPr>
          <w:rFonts w:cs="宋体" w:asciiTheme="minorEastAsia" w:hAnsiTheme="minorEastAsia" w:eastAsiaTheme="minorEastAsia"/>
          <w:color w:val="000000" w:themeColor="text1"/>
          <w:kern w:val="0"/>
          <w:sz w:val="18"/>
          <w:szCs w:val="18"/>
          <w14:textFill>
            <w14:solidFill>
              <w14:schemeClr w14:val="tx1"/>
            </w14:solidFill>
          </w14:textFill>
        </w:rPr>
      </w:pPr>
      <w:r>
        <w:rPr>
          <w:rFonts w:hint="eastAsia" w:cs="宋体" w:asciiTheme="minorEastAsia" w:hAnsiTheme="minorEastAsia" w:eastAsiaTheme="minorEastAsia"/>
          <w:color w:val="000000" w:themeColor="text1"/>
          <w:kern w:val="0"/>
          <w:sz w:val="18"/>
          <w:szCs w:val="18"/>
          <w14:textFill>
            <w14:solidFill>
              <w14:schemeClr w14:val="tx1"/>
            </w14:solidFill>
          </w14:textFill>
        </w:rPr>
        <w:t>注：地下水类型和岩土体的渗透性等级可按本标准附录B确定。</w:t>
      </w:r>
    </w:p>
    <w:p>
      <w:pPr>
        <w:autoSpaceDE w:val="0"/>
        <w:rPr>
          <w:rFonts w:cs="宋体"/>
          <w:szCs w:val="24"/>
        </w:rPr>
      </w:pPr>
      <w:r>
        <w:rPr>
          <w:rFonts w:hint="eastAsia" w:cs="宋体"/>
          <w:b/>
          <w:szCs w:val="24"/>
        </w:rPr>
        <w:t>3.0.</w:t>
      </w:r>
      <w:r>
        <w:rPr>
          <w:rFonts w:cs="宋体"/>
          <w:b/>
          <w:szCs w:val="24"/>
        </w:rPr>
        <w:t>5</w:t>
      </w:r>
      <w:r>
        <w:rPr>
          <w:rFonts w:hint="eastAsia" w:cs="宋体"/>
          <w:b/>
          <w:szCs w:val="24"/>
        </w:rPr>
        <w:t xml:space="preserve"> </w:t>
      </w:r>
      <w:r>
        <w:rPr>
          <w:rFonts w:cs="宋体"/>
          <w:b/>
          <w:szCs w:val="24"/>
        </w:rPr>
        <w:t xml:space="preserve"> </w:t>
      </w:r>
      <w:r>
        <w:rPr>
          <w:rFonts w:hint="eastAsia" w:cs="宋体"/>
          <w:bCs/>
          <w:szCs w:val="24"/>
        </w:rPr>
        <w:t>当抗</w:t>
      </w:r>
      <w:r>
        <w:rPr>
          <w:rFonts w:hint="eastAsia" w:cs="宋体"/>
          <w:szCs w:val="24"/>
        </w:rPr>
        <w:t>浮工程水文地质勘察与岩土工程勘察结合进行时，应在岩土工程勘察报告专门章节进行地下水和地下结构抗浮分析评价，并宜包括下列内容：</w:t>
      </w:r>
    </w:p>
    <w:p>
      <w:pPr>
        <w:ind w:firstLine="48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地下水的类型、埋藏条件、水位及变化规律（1个水文年的变化规律和长期变化趋势的判断）；地下水补给、径流、排泄条件；地下水对工程的影响；提供相关水文地质参数；</w:t>
      </w:r>
    </w:p>
    <w:p>
      <w:pPr>
        <w:ind w:firstLine="48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依据分析提出抗浮设防水位建议；</w:t>
      </w:r>
    </w:p>
    <w:p>
      <w:pPr>
        <w:ind w:firstLine="480"/>
        <w:rPr>
          <w:rFonts w:cs="宋体"/>
          <w:szCs w:val="24"/>
        </w:rPr>
      </w:pPr>
      <w:r>
        <w:rPr>
          <w:b/>
          <w:bCs/>
        </w:rPr>
        <w:t>3</w:t>
      </w:r>
      <w:r>
        <w:rPr>
          <w:rFonts w:cs="宋体"/>
          <w:szCs w:val="24"/>
        </w:rPr>
        <w:t xml:space="preserve">  </w:t>
      </w:r>
      <w:r>
        <w:rPr>
          <w:rFonts w:hint="eastAsia" w:cs="宋体"/>
          <w:szCs w:val="24"/>
        </w:rPr>
        <w:t>结合地下结构埋深、结构自重等情况，对抗浮措施等有关问题提出建议。</w:t>
      </w:r>
    </w:p>
    <w:p>
      <w:pPr>
        <w:rPr>
          <w:rFonts w:eastAsiaTheme="minorEastAsia"/>
        </w:rPr>
      </w:pPr>
      <w:r>
        <w:rPr>
          <w:rFonts w:hint="eastAsia" w:eastAsiaTheme="minorEastAsia"/>
          <w:b/>
          <w:bCs/>
        </w:rPr>
        <w:t>3</w:t>
      </w:r>
      <w:r>
        <w:rPr>
          <w:rFonts w:eastAsiaTheme="minorEastAsia"/>
          <w:b/>
          <w:bCs/>
        </w:rPr>
        <w:t>.</w:t>
      </w:r>
      <w:r>
        <w:rPr>
          <w:rFonts w:hint="eastAsia" w:eastAsiaTheme="minorEastAsia"/>
          <w:b/>
          <w:bCs/>
        </w:rPr>
        <w:t>0</w:t>
      </w:r>
      <w:r>
        <w:rPr>
          <w:rFonts w:eastAsiaTheme="minorEastAsia"/>
          <w:b/>
          <w:bCs/>
        </w:rPr>
        <w:t xml:space="preserve">.6  </w:t>
      </w:r>
      <w:r>
        <w:rPr>
          <w:rFonts w:hint="eastAsia" w:eastAsiaTheme="minorEastAsia"/>
        </w:rPr>
        <w:t>当工程需要，经专门委托进行专项抗浮工程水文地质勘察时，应提供专项报告。报告应包括文字报告、附图表和必要的附件。报告编写提纲可按本标准附录</w:t>
      </w:r>
      <w:r>
        <w:rPr>
          <w:rFonts w:hint="eastAsia" w:eastAsiaTheme="minorEastAsia"/>
          <w:b/>
          <w:bCs/>
        </w:rPr>
        <w:t>A</w:t>
      </w:r>
      <w:r>
        <w:rPr>
          <w:rFonts w:hint="eastAsia" w:eastAsiaTheme="minorEastAsia"/>
        </w:rPr>
        <w:t>确定。</w:t>
      </w:r>
    </w:p>
    <w:p>
      <w:pPr>
        <w:rPr>
          <w:rFonts w:cs="宋体"/>
          <w:szCs w:val="24"/>
        </w:rPr>
      </w:pPr>
      <w:r>
        <w:rPr>
          <w:rFonts w:hint="eastAsia"/>
          <w:b/>
          <w:bCs/>
        </w:rPr>
        <w:t>3.0.</w:t>
      </w:r>
      <w:r>
        <w:rPr>
          <w:b/>
          <w:bCs/>
        </w:rPr>
        <w:t>7</w:t>
      </w:r>
      <w:r>
        <w:rPr>
          <w:rFonts w:hint="eastAsia"/>
        </w:rPr>
        <w:t xml:space="preserve">  </w:t>
      </w:r>
      <w:r>
        <w:rPr>
          <w:rFonts w:hint="eastAsia" w:cs="宋体"/>
          <w:szCs w:val="24"/>
        </w:rPr>
        <w:t>特殊场地的抗浮工程水文地质勘察应分别包括下列工作内容：</w:t>
      </w:r>
    </w:p>
    <w:p>
      <w:pPr>
        <w:ind w:firstLine="482" w:firstLineChars="200"/>
      </w:pPr>
      <w:r>
        <w:rPr>
          <w:rFonts w:hint="eastAsia"/>
          <w:b/>
          <w:bCs/>
        </w:rPr>
        <w:t>1</w:t>
      </w:r>
      <w:r>
        <w:rPr>
          <w:rFonts w:hint="eastAsia"/>
        </w:rPr>
        <w:t xml:space="preserve">  斜坡场地，查明含水层空间展布规律、坡顶分水岭位置和水位，以及坡面溢出点位置，测定不同坡段含水层水位、流向和流速。</w:t>
      </w:r>
    </w:p>
    <w:p>
      <w:pPr>
        <w:ind w:firstLine="482" w:firstLineChars="200"/>
      </w:pPr>
      <w:r>
        <w:rPr>
          <w:rFonts w:hint="eastAsia"/>
          <w:b/>
          <w:bCs/>
        </w:rPr>
        <w:t>2</w:t>
      </w:r>
      <w:r>
        <w:rPr>
          <w:rFonts w:hint="eastAsia"/>
        </w:rPr>
        <w:t xml:space="preserve">  低洼场地，查明场地地形低洼的范围，洼地外缘顶部标高、汇水面积及排泄条件，当地年平均降雨量、最大降雨量指标，集水深度、洼地内外含水层水位、流向、流速，洼地地层与洼地临近地表水（地表水系指水库、江、河、湖等，下同）、地下水的水力联系情况。</w:t>
      </w:r>
    </w:p>
    <w:p>
      <w:pPr>
        <w:ind w:firstLine="482" w:firstLineChars="200"/>
      </w:pPr>
      <w:r>
        <w:rPr>
          <w:rFonts w:hint="eastAsia"/>
          <w:b/>
          <w:bCs/>
        </w:rPr>
        <w:t>3</w:t>
      </w:r>
      <w:r>
        <w:rPr>
          <w:rFonts w:hint="eastAsia"/>
        </w:rPr>
        <w:t xml:space="preserve">  临水场地，查明地表水与场地地下水的水力联系，收集地表水历史最高水位及年度水位变化幅度。临近海水时，查明海水潮汐情况等。</w:t>
      </w:r>
    </w:p>
    <w:p>
      <w:pPr>
        <w:ind w:firstLine="482" w:firstLineChars="200"/>
        <w:rPr>
          <w:rFonts w:cs="宋体"/>
          <w:b/>
          <w:bCs/>
          <w:color w:val="181818"/>
          <w:kern w:val="0"/>
          <w:szCs w:val="24"/>
        </w:rPr>
      </w:pPr>
      <w:r>
        <w:rPr>
          <w:rFonts w:hint="eastAsia"/>
          <w:b/>
          <w:bCs/>
        </w:rPr>
        <w:t>4</w:t>
      </w:r>
      <w:r>
        <w:rPr>
          <w:rFonts w:hint="eastAsia"/>
        </w:rPr>
        <w:t xml:space="preserve">  岩溶场地，查明溶洞见洞率、发育程度、分布深度、连通性，岩面变化及覆盖层情况；上覆土层含水层与岩溶层地下水的水力联系；岩溶含水层地下水的涌水量、地下水水位及其变化特点；存在管道型地下水(地下暗河)时，应查明其空间分布与走向、流速与流量等形态要素。</w:t>
      </w:r>
    </w:p>
    <w:bookmarkEnd w:id="20"/>
    <w:p>
      <w:pPr>
        <w:autoSpaceDE w:val="0"/>
        <w:autoSpaceDN w:val="0"/>
        <w:adjustRightInd w:val="0"/>
        <w:rPr>
          <w:rFonts w:ascii="楷体" w:hAnsi="楷体" w:eastAsia="楷体" w:cs="楷体"/>
          <w:b/>
          <w:bCs/>
        </w:rPr>
      </w:pPr>
      <w:bookmarkStart w:id="22" w:name="_Hlk107409784"/>
    </w:p>
    <w:bookmarkEnd w:id="22"/>
    <w:p>
      <w:pPr>
        <w:pStyle w:val="35"/>
      </w:pPr>
    </w:p>
    <w:p>
      <w:pPr>
        <w:pStyle w:val="35"/>
        <w:sectPr>
          <w:pgSz w:w="11906" w:h="16838"/>
          <w:pgMar w:top="1440" w:right="1800" w:bottom="1440" w:left="1800" w:header="851" w:footer="992" w:gutter="0"/>
          <w:cols w:space="425" w:num="1"/>
          <w:docGrid w:type="lines" w:linePitch="312" w:charSpace="0"/>
        </w:sectPr>
      </w:pPr>
    </w:p>
    <w:p>
      <w:pPr>
        <w:pStyle w:val="2"/>
        <w:rPr>
          <w:b w:val="0"/>
          <w:bCs w:val="0"/>
          <w:sz w:val="24"/>
          <w:szCs w:val="24"/>
        </w:rPr>
      </w:pPr>
      <w:r>
        <w:rPr>
          <w:rFonts w:hint="eastAsia"/>
        </w:rPr>
        <w:t xml:space="preserve"> </w:t>
      </w:r>
      <w:r>
        <w:rPr>
          <w:rFonts w:hint="eastAsia"/>
          <w:color w:val="000000" w:themeColor="text1"/>
          <w:sz w:val="30"/>
          <w:szCs w:val="30"/>
          <w14:textFill>
            <w14:solidFill>
              <w14:schemeClr w14:val="tx1"/>
            </w14:solidFill>
          </w14:textFill>
        </w:rPr>
        <w:t xml:space="preserve"> 资料收集与调查</w:t>
      </w:r>
    </w:p>
    <w:p>
      <w:pPr>
        <w:pStyle w:val="3"/>
        <w:ind w:left="3544"/>
        <w:jc w:val="left"/>
        <w:rPr>
          <w:rFonts w:ascii="黑体" w:hAnsi="黑体" w:eastAsia="黑体"/>
        </w:rPr>
      </w:pPr>
      <w:r>
        <w:rPr>
          <w:rFonts w:hint="eastAsia"/>
        </w:rPr>
        <w:t xml:space="preserve">  </w:t>
      </w:r>
      <w:r>
        <w:rPr>
          <w:rFonts w:hint="eastAsia" w:ascii="黑体" w:hAnsi="黑体" w:eastAsia="黑体"/>
        </w:rPr>
        <w:t>一般规定</w:t>
      </w:r>
    </w:p>
    <w:p>
      <w:pPr>
        <w:rPr>
          <w:rFonts w:cs="宋体"/>
          <w:szCs w:val="24"/>
        </w:rPr>
      </w:pPr>
      <w:r>
        <w:rPr>
          <w:rFonts w:hint="eastAsia" w:cs="宋体"/>
          <w:b/>
          <w:bCs/>
          <w:szCs w:val="24"/>
        </w:rPr>
        <w:t>4.1.1</w:t>
      </w:r>
      <w:r>
        <w:rPr>
          <w:rFonts w:hint="eastAsia" w:cs="宋体"/>
          <w:szCs w:val="24"/>
        </w:rPr>
        <w:t xml:space="preserve">  抗浮工程水文地质勘察宜开展资料收集与调查工作。工作手段以区域性资料收集、场地周边调查、区域水文地质条件分析等为主，必要时根据工程实际情况辅以遥感或勘探等实物工作量。</w:t>
      </w:r>
    </w:p>
    <w:p>
      <w:pPr>
        <w:autoSpaceDE w:val="0"/>
        <w:autoSpaceDN w:val="0"/>
        <w:adjustRightInd w:val="0"/>
        <w:rPr>
          <w:rFonts w:ascii="楷体" w:hAnsi="楷体" w:eastAsia="楷体" w:cs="楷体"/>
          <w:b/>
          <w:bCs/>
        </w:rPr>
      </w:pPr>
      <w:r>
        <w:rPr>
          <w:rFonts w:hint="eastAsia" w:ascii="楷体" w:hAnsi="楷体" w:eastAsia="楷体" w:cs="楷体"/>
          <w:b/>
          <w:bCs/>
        </w:rPr>
        <w:t>【条文说明】4.1.1  在分析抗浮设防水位和确定抗浮措施时，仅有场地范围内资料是不够的，需要有宏观的水文地质概念和区域性资料作为支撑，这些资料既包括区域性的气象、水文、地质及水文地质资料，还包括对场地地下水条件有影响的周边地形、水文条件和水文地质情况。区域性的资料以收集为主，在此基础上，可根据实际情况对场地周边情况进行现场调查和走访。这部分工作的目的是确定场地所在水文地质单元，明确下一步场地水文地质勘察现场和室内分析工作的重点和具体内容。</w:t>
      </w:r>
    </w:p>
    <w:p>
      <w:pPr>
        <w:rPr>
          <w:rFonts w:cs="宋体"/>
          <w:szCs w:val="24"/>
        </w:rPr>
      </w:pPr>
      <w:r>
        <w:rPr>
          <w:rFonts w:hint="eastAsia" w:cs="宋体"/>
          <w:b/>
          <w:bCs/>
          <w:szCs w:val="24"/>
        </w:rPr>
        <w:t>4.1.2</w:t>
      </w:r>
      <w:r>
        <w:rPr>
          <w:rFonts w:hint="eastAsia" w:cs="宋体"/>
          <w:szCs w:val="24"/>
        </w:rPr>
        <w:t xml:space="preserve">  抗浮工程的水文地质资料收集和调查工作的范围与精度，应能满足指导场地水文地质勘察工作的需要。</w:t>
      </w:r>
    </w:p>
    <w:p>
      <w:pPr>
        <w:autoSpaceDE w:val="0"/>
        <w:autoSpaceDN w:val="0"/>
        <w:adjustRightInd w:val="0"/>
        <w:rPr>
          <w:rFonts w:ascii="楷体" w:hAnsi="楷体" w:eastAsia="楷体" w:cs="楷体"/>
          <w:b/>
          <w:bCs/>
        </w:rPr>
      </w:pPr>
      <w:r>
        <w:rPr>
          <w:rFonts w:hint="eastAsia" w:ascii="楷体" w:hAnsi="楷体" w:eastAsia="楷体" w:cs="楷体"/>
          <w:b/>
          <w:bCs/>
        </w:rPr>
        <w:t>【条文说明】4.1.2  由于工程具体条件各异，因此本条不对资料收集和调查工作的具体范围和精度作出规定，要求项目在具体实施时，从实际需要的出发确定工作范围和工作精度。</w:t>
      </w:r>
    </w:p>
    <w:p>
      <w:pPr>
        <w:rPr>
          <w:rFonts w:cs="宋体"/>
          <w:szCs w:val="24"/>
        </w:rPr>
      </w:pPr>
    </w:p>
    <w:p>
      <w:pPr>
        <w:pStyle w:val="3"/>
        <w:ind w:left="3402"/>
        <w:jc w:val="left"/>
        <w:rPr>
          <w:rFonts w:ascii="黑体" w:hAnsi="黑体" w:eastAsia="黑体"/>
        </w:rPr>
      </w:pPr>
      <w:r>
        <w:rPr>
          <w:rFonts w:hint="eastAsia"/>
        </w:rPr>
        <w:t xml:space="preserve">  </w:t>
      </w:r>
      <w:r>
        <w:rPr>
          <w:rFonts w:hint="eastAsia" w:ascii="黑体" w:hAnsi="黑体" w:eastAsia="黑体"/>
        </w:rPr>
        <w:t>资料</w:t>
      </w:r>
      <w:r>
        <w:rPr>
          <w:rFonts w:ascii="黑体" w:hAnsi="黑体" w:eastAsia="黑体"/>
        </w:rPr>
        <w:t>收集</w:t>
      </w:r>
    </w:p>
    <w:p>
      <w:pPr>
        <w:rPr>
          <w:rFonts w:cs="宋体"/>
          <w:b/>
          <w:bCs/>
          <w:szCs w:val="24"/>
        </w:rPr>
      </w:pPr>
      <w:r>
        <w:rPr>
          <w:rFonts w:hint="eastAsia" w:cs="宋体"/>
          <w:b/>
          <w:bCs/>
          <w:szCs w:val="24"/>
        </w:rPr>
        <w:t xml:space="preserve">4.2.1 </w:t>
      </w:r>
      <w:r>
        <w:rPr>
          <w:rFonts w:cs="宋体"/>
          <w:b/>
          <w:bCs/>
          <w:szCs w:val="24"/>
        </w:rPr>
        <w:t xml:space="preserve"> </w:t>
      </w:r>
      <w:r>
        <w:rPr>
          <w:rFonts w:hint="eastAsia" w:cs="宋体"/>
          <w:szCs w:val="24"/>
        </w:rPr>
        <w:t>资料收集宜包括区域气候气象、水文、地质、水文地质资料，</w:t>
      </w:r>
      <w:r>
        <w:rPr>
          <w:rFonts w:cs="宋体"/>
          <w:szCs w:val="24"/>
        </w:rPr>
        <w:t>以及</w:t>
      </w:r>
      <w:r>
        <w:rPr>
          <w:rFonts w:hint="eastAsia" w:cs="宋体"/>
          <w:szCs w:val="24"/>
        </w:rPr>
        <w:t>水资源及用地规划等资料。</w:t>
      </w:r>
    </w:p>
    <w:p>
      <w:pPr>
        <w:rPr>
          <w:rFonts w:cs="宋体"/>
          <w:szCs w:val="24"/>
        </w:rPr>
      </w:pPr>
      <w:r>
        <w:rPr>
          <w:rFonts w:hint="eastAsia" w:cs="宋体"/>
          <w:b/>
          <w:bCs/>
          <w:szCs w:val="24"/>
        </w:rPr>
        <w:t>4.2.</w:t>
      </w:r>
      <w:r>
        <w:rPr>
          <w:rFonts w:cs="宋体"/>
          <w:b/>
          <w:bCs/>
          <w:szCs w:val="24"/>
        </w:rPr>
        <w:t>2</w:t>
      </w:r>
      <w:r>
        <w:rPr>
          <w:rFonts w:hint="eastAsia" w:cs="宋体"/>
          <w:szCs w:val="24"/>
        </w:rPr>
        <w:t xml:space="preserve">  区域气候气象资料收集，宜包括下列内容：</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本区所属的气候分带；</w:t>
      </w:r>
    </w:p>
    <w:p>
      <w:pPr>
        <w:ind w:firstLine="482" w:firstLineChars="200"/>
        <w:rPr>
          <w:rFonts w:cs="宋体"/>
          <w:szCs w:val="24"/>
        </w:rPr>
      </w:pPr>
      <w:r>
        <w:rPr>
          <w:b/>
          <w:bCs/>
        </w:rPr>
        <w:t>2</w:t>
      </w:r>
      <w:r>
        <w:rPr>
          <w:rFonts w:cs="宋体"/>
          <w:szCs w:val="24"/>
        </w:rPr>
        <w:t xml:space="preserve">  </w:t>
      </w:r>
      <w:r>
        <w:rPr>
          <w:rFonts w:hint="eastAsia" w:cs="宋体"/>
          <w:szCs w:val="24"/>
        </w:rPr>
        <w:t>气温及其昼夜和季节变化；</w:t>
      </w:r>
    </w:p>
    <w:p>
      <w:pPr>
        <w:ind w:firstLine="482" w:firstLineChars="200"/>
        <w:rPr>
          <w:rFonts w:cs="宋体"/>
          <w:szCs w:val="24"/>
        </w:rPr>
      </w:pPr>
      <w:r>
        <w:rPr>
          <w:rFonts w:hint="eastAsia"/>
          <w:b/>
          <w:bCs/>
        </w:rPr>
        <w:t>3</w:t>
      </w:r>
      <w:r>
        <w:rPr>
          <w:rFonts w:hint="eastAsia" w:cs="宋体"/>
          <w:szCs w:val="24"/>
        </w:rPr>
        <w:t xml:space="preserve"> </w:t>
      </w:r>
      <w:r>
        <w:rPr>
          <w:rFonts w:cs="宋体"/>
          <w:szCs w:val="24"/>
        </w:rPr>
        <w:t xml:space="preserve"> </w:t>
      </w:r>
      <w:r>
        <w:rPr>
          <w:rFonts w:hint="eastAsia" w:cs="宋体"/>
          <w:szCs w:val="24"/>
        </w:rPr>
        <w:t>降雨量及其季节变化，枯水期和丰水期；</w:t>
      </w:r>
    </w:p>
    <w:p>
      <w:pPr>
        <w:ind w:firstLine="482" w:firstLineChars="200"/>
        <w:rPr>
          <w:rFonts w:cs="宋体"/>
          <w:szCs w:val="24"/>
        </w:rPr>
      </w:pPr>
      <w:r>
        <w:rPr>
          <w:rFonts w:hint="eastAsia"/>
          <w:b/>
          <w:bCs/>
        </w:rPr>
        <w:t>4</w:t>
      </w:r>
      <w:r>
        <w:rPr>
          <w:rFonts w:hint="eastAsia" w:cs="宋体"/>
          <w:szCs w:val="24"/>
        </w:rPr>
        <w:t xml:space="preserve"> </w:t>
      </w:r>
      <w:r>
        <w:rPr>
          <w:rFonts w:cs="宋体"/>
          <w:szCs w:val="24"/>
        </w:rPr>
        <w:t xml:space="preserve"> </w:t>
      </w:r>
      <w:r>
        <w:rPr>
          <w:rFonts w:hint="eastAsia" w:cs="宋体"/>
          <w:szCs w:val="24"/>
        </w:rPr>
        <w:t>降雨量的多年变化，多年平均降雨量，历年最小和最大降雨量；</w:t>
      </w:r>
    </w:p>
    <w:p>
      <w:pPr>
        <w:ind w:firstLine="482" w:firstLineChars="200"/>
        <w:rPr>
          <w:rFonts w:cs="宋体"/>
          <w:szCs w:val="24"/>
        </w:rPr>
      </w:pPr>
      <w:r>
        <w:rPr>
          <w:rFonts w:hint="eastAsia"/>
          <w:b/>
          <w:bCs/>
        </w:rPr>
        <w:t>5</w:t>
      </w:r>
      <w:r>
        <w:rPr>
          <w:rFonts w:hint="eastAsia" w:cs="宋体"/>
          <w:szCs w:val="24"/>
        </w:rPr>
        <w:t xml:space="preserve"> </w:t>
      </w:r>
      <w:r>
        <w:rPr>
          <w:rFonts w:cs="宋体"/>
          <w:szCs w:val="24"/>
        </w:rPr>
        <w:t xml:space="preserve"> </w:t>
      </w:r>
      <w:r>
        <w:rPr>
          <w:rFonts w:hint="eastAsia" w:cs="宋体"/>
          <w:szCs w:val="24"/>
        </w:rPr>
        <w:t>蒸发量的多年变化，多年平均蒸发量、历年最小和最大蒸发量；</w:t>
      </w:r>
    </w:p>
    <w:p>
      <w:pPr>
        <w:ind w:firstLine="482" w:firstLineChars="200"/>
        <w:rPr>
          <w:rFonts w:cs="宋体"/>
          <w:szCs w:val="24"/>
        </w:rPr>
      </w:pPr>
      <w:r>
        <w:rPr>
          <w:b/>
          <w:bCs/>
        </w:rPr>
        <w:t>6</w:t>
      </w:r>
      <w:r>
        <w:rPr>
          <w:rFonts w:hint="eastAsia" w:cs="宋体"/>
          <w:szCs w:val="24"/>
        </w:rPr>
        <w:t xml:space="preserve"> </w:t>
      </w:r>
      <w:r>
        <w:rPr>
          <w:rFonts w:cs="宋体"/>
          <w:szCs w:val="24"/>
        </w:rPr>
        <w:t xml:space="preserve"> </w:t>
      </w:r>
      <w:r>
        <w:rPr>
          <w:rFonts w:hint="eastAsia" w:cs="宋体"/>
          <w:szCs w:val="24"/>
        </w:rPr>
        <w:t>季节性冻土地区标准冻结深度，多年冻土地区的季节融冻层深度。</w:t>
      </w:r>
    </w:p>
    <w:p>
      <w:pPr>
        <w:rPr>
          <w:rFonts w:cs="宋体"/>
          <w:szCs w:val="24"/>
        </w:rPr>
      </w:pPr>
      <w:r>
        <w:rPr>
          <w:rFonts w:hint="eastAsia" w:cs="宋体"/>
          <w:b/>
          <w:bCs/>
          <w:szCs w:val="24"/>
        </w:rPr>
        <w:t>4.2.</w:t>
      </w:r>
      <w:r>
        <w:rPr>
          <w:rFonts w:cs="宋体"/>
          <w:b/>
          <w:bCs/>
          <w:szCs w:val="24"/>
        </w:rPr>
        <w:t>3</w:t>
      </w:r>
      <w:r>
        <w:rPr>
          <w:rFonts w:hint="eastAsia" w:cs="宋体"/>
          <w:b/>
          <w:bCs/>
          <w:szCs w:val="24"/>
        </w:rPr>
        <w:t xml:space="preserve"> </w:t>
      </w:r>
      <w:r>
        <w:rPr>
          <w:rFonts w:hint="eastAsia" w:cs="宋体"/>
          <w:szCs w:val="24"/>
        </w:rPr>
        <w:t xml:space="preserve"> 区域水文资料收集，宜包括下列内容：</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地表水系和流域；</w:t>
      </w:r>
    </w:p>
    <w:p>
      <w:pPr>
        <w:ind w:firstLine="482" w:firstLineChars="20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地表水的水位、流量及其季节变化和多年变化；</w:t>
      </w:r>
    </w:p>
    <w:p>
      <w:pPr>
        <w:ind w:firstLine="482" w:firstLineChars="200"/>
        <w:rPr>
          <w:rFonts w:cs="宋体"/>
          <w:szCs w:val="24"/>
        </w:rPr>
      </w:pPr>
      <w:r>
        <w:rPr>
          <w:rFonts w:hint="eastAsia"/>
          <w:b/>
          <w:bCs/>
        </w:rPr>
        <w:t>3</w:t>
      </w:r>
      <w:r>
        <w:rPr>
          <w:rFonts w:hint="eastAsia" w:cs="宋体"/>
          <w:szCs w:val="24"/>
        </w:rPr>
        <w:t xml:space="preserve"> </w:t>
      </w:r>
      <w:r>
        <w:rPr>
          <w:rFonts w:cs="宋体"/>
          <w:szCs w:val="24"/>
        </w:rPr>
        <w:t xml:space="preserve"> </w:t>
      </w:r>
      <w:r>
        <w:rPr>
          <w:rFonts w:hint="eastAsia" w:cs="宋体"/>
          <w:szCs w:val="24"/>
        </w:rPr>
        <w:t>滨海地带的最低、最高和平均潮位；</w:t>
      </w:r>
    </w:p>
    <w:p>
      <w:pPr>
        <w:ind w:firstLine="482" w:firstLineChars="200"/>
        <w:rPr>
          <w:rFonts w:cs="宋体"/>
          <w:szCs w:val="24"/>
        </w:rPr>
      </w:pPr>
      <w:r>
        <w:rPr>
          <w:rFonts w:hint="eastAsia"/>
          <w:b/>
          <w:bCs/>
        </w:rPr>
        <w:t>4</w:t>
      </w:r>
      <w:r>
        <w:rPr>
          <w:rFonts w:hint="eastAsia" w:cs="宋体"/>
          <w:szCs w:val="24"/>
        </w:rPr>
        <w:t xml:space="preserve"> </w:t>
      </w:r>
      <w:r>
        <w:rPr>
          <w:rFonts w:cs="宋体"/>
          <w:szCs w:val="24"/>
        </w:rPr>
        <w:t xml:space="preserve"> </w:t>
      </w:r>
      <w:r>
        <w:rPr>
          <w:rFonts w:hint="eastAsia" w:cs="宋体"/>
          <w:szCs w:val="24"/>
        </w:rPr>
        <w:t>洪水、风暴潮等灾害情况；</w:t>
      </w:r>
    </w:p>
    <w:p>
      <w:pPr>
        <w:ind w:firstLine="482" w:firstLineChars="200"/>
        <w:rPr>
          <w:rFonts w:cs="宋体"/>
          <w:szCs w:val="24"/>
        </w:rPr>
      </w:pPr>
      <w:r>
        <w:rPr>
          <w:rFonts w:hint="eastAsia"/>
          <w:b/>
          <w:bCs/>
        </w:rPr>
        <w:t>5</w:t>
      </w:r>
      <w:r>
        <w:rPr>
          <w:rFonts w:hint="eastAsia" w:cs="宋体"/>
          <w:szCs w:val="24"/>
        </w:rPr>
        <w:t xml:space="preserve"> </w:t>
      </w:r>
      <w:r>
        <w:rPr>
          <w:rFonts w:cs="宋体"/>
          <w:szCs w:val="24"/>
        </w:rPr>
        <w:t xml:space="preserve"> </w:t>
      </w:r>
      <w:r>
        <w:rPr>
          <w:rFonts w:hint="eastAsia" w:cs="宋体"/>
          <w:szCs w:val="24"/>
        </w:rPr>
        <w:t>水库、水闸、堤坝等水利工程情况；</w:t>
      </w:r>
    </w:p>
    <w:p>
      <w:pPr>
        <w:ind w:firstLine="482" w:firstLineChars="200"/>
        <w:rPr>
          <w:rFonts w:cs="宋体"/>
          <w:szCs w:val="24"/>
        </w:rPr>
      </w:pPr>
      <w:r>
        <w:rPr>
          <w:rFonts w:hint="eastAsia"/>
          <w:b/>
          <w:bCs/>
        </w:rPr>
        <w:t>6</w:t>
      </w:r>
      <w:r>
        <w:rPr>
          <w:rFonts w:hint="eastAsia" w:cs="宋体"/>
          <w:szCs w:val="24"/>
        </w:rPr>
        <w:t xml:space="preserve"> </w:t>
      </w:r>
      <w:r>
        <w:rPr>
          <w:rFonts w:cs="宋体"/>
          <w:szCs w:val="24"/>
        </w:rPr>
        <w:t xml:space="preserve"> </w:t>
      </w:r>
      <w:r>
        <w:rPr>
          <w:rFonts w:hint="eastAsia" w:cs="宋体"/>
          <w:szCs w:val="24"/>
        </w:rPr>
        <w:t>地表水的利用和农田灌溉情况；</w:t>
      </w:r>
    </w:p>
    <w:p>
      <w:pPr>
        <w:ind w:firstLine="482" w:firstLineChars="200"/>
        <w:rPr>
          <w:rFonts w:cs="宋体"/>
          <w:szCs w:val="24"/>
        </w:rPr>
      </w:pPr>
      <w:r>
        <w:rPr>
          <w:rFonts w:hint="eastAsia"/>
          <w:b/>
          <w:bCs/>
        </w:rPr>
        <w:t>7</w:t>
      </w:r>
      <w:r>
        <w:rPr>
          <w:rFonts w:hint="eastAsia" w:cs="宋体"/>
          <w:szCs w:val="24"/>
        </w:rPr>
        <w:t xml:space="preserve"> </w:t>
      </w:r>
      <w:r>
        <w:rPr>
          <w:rFonts w:cs="宋体"/>
          <w:szCs w:val="24"/>
        </w:rPr>
        <w:t xml:space="preserve"> </w:t>
      </w:r>
      <w:r>
        <w:rPr>
          <w:rFonts w:hint="eastAsia" w:cs="宋体"/>
          <w:szCs w:val="24"/>
        </w:rPr>
        <w:t>水质和污染情况。</w:t>
      </w:r>
    </w:p>
    <w:p>
      <w:pPr>
        <w:rPr>
          <w:rFonts w:cs="宋体"/>
          <w:szCs w:val="24"/>
        </w:rPr>
      </w:pPr>
      <w:r>
        <w:rPr>
          <w:rFonts w:hint="eastAsia" w:cs="宋体"/>
          <w:b/>
          <w:bCs/>
          <w:szCs w:val="24"/>
        </w:rPr>
        <w:t>4.2.</w:t>
      </w:r>
      <w:r>
        <w:rPr>
          <w:rFonts w:cs="宋体"/>
          <w:b/>
          <w:bCs/>
          <w:szCs w:val="24"/>
        </w:rPr>
        <w:t>4</w:t>
      </w:r>
      <w:r>
        <w:rPr>
          <w:rFonts w:hint="eastAsia" w:cs="宋体"/>
          <w:szCs w:val="24"/>
        </w:rPr>
        <w:t xml:space="preserve">  区域地质资料收集，宜包括下列内容：</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区域地形地貌条件；</w:t>
      </w:r>
    </w:p>
    <w:p>
      <w:pPr>
        <w:ind w:firstLine="482" w:firstLineChars="20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区域地质构造条件；</w:t>
      </w:r>
    </w:p>
    <w:p>
      <w:pPr>
        <w:ind w:firstLine="482" w:firstLineChars="200"/>
        <w:rPr>
          <w:rFonts w:cs="宋体"/>
          <w:szCs w:val="24"/>
        </w:rPr>
      </w:pPr>
      <w:r>
        <w:rPr>
          <w:rFonts w:hint="eastAsia"/>
          <w:b/>
          <w:bCs/>
        </w:rPr>
        <w:t>3</w:t>
      </w:r>
      <w:r>
        <w:rPr>
          <w:rFonts w:hint="eastAsia" w:cs="宋体"/>
          <w:szCs w:val="24"/>
        </w:rPr>
        <w:t xml:space="preserve"> </w:t>
      </w:r>
      <w:r>
        <w:rPr>
          <w:rFonts w:cs="宋体"/>
          <w:szCs w:val="24"/>
        </w:rPr>
        <w:t xml:space="preserve"> </w:t>
      </w:r>
      <w:r>
        <w:rPr>
          <w:rFonts w:hint="eastAsia" w:cs="宋体"/>
          <w:szCs w:val="24"/>
        </w:rPr>
        <w:t>区域地层岩性及其分布条件。</w:t>
      </w:r>
    </w:p>
    <w:p>
      <w:pPr>
        <w:rPr>
          <w:rFonts w:cs="宋体"/>
          <w:szCs w:val="24"/>
        </w:rPr>
      </w:pPr>
      <w:r>
        <w:rPr>
          <w:rFonts w:hint="eastAsia" w:cs="宋体"/>
          <w:b/>
          <w:bCs/>
          <w:szCs w:val="24"/>
        </w:rPr>
        <w:t>4.2.</w:t>
      </w:r>
      <w:r>
        <w:rPr>
          <w:rFonts w:cs="宋体"/>
          <w:b/>
          <w:bCs/>
          <w:szCs w:val="24"/>
        </w:rPr>
        <w:t>5</w:t>
      </w:r>
      <w:r>
        <w:rPr>
          <w:rFonts w:hint="eastAsia" w:cs="宋体"/>
          <w:szCs w:val="24"/>
        </w:rPr>
        <w:t xml:space="preserve">  区域水文地质资料收集，宜包括下列内容：</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区域水文地质单元划分情况；</w:t>
      </w:r>
    </w:p>
    <w:p>
      <w:pPr>
        <w:ind w:firstLine="482" w:firstLineChars="20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区域主要含水层（组）的划分情况；</w:t>
      </w:r>
    </w:p>
    <w:p>
      <w:pPr>
        <w:ind w:firstLine="482" w:firstLineChars="200"/>
        <w:rPr>
          <w:rFonts w:cs="宋体"/>
          <w:szCs w:val="24"/>
        </w:rPr>
      </w:pPr>
      <w:r>
        <w:rPr>
          <w:rFonts w:hint="eastAsia"/>
          <w:b/>
          <w:bCs/>
        </w:rPr>
        <w:t>3</w:t>
      </w:r>
      <w:r>
        <w:rPr>
          <w:rFonts w:hint="eastAsia" w:cs="宋体"/>
          <w:szCs w:val="24"/>
        </w:rPr>
        <w:t xml:space="preserve"> </w:t>
      </w:r>
      <w:r>
        <w:rPr>
          <w:rFonts w:cs="宋体"/>
          <w:szCs w:val="24"/>
        </w:rPr>
        <w:t xml:space="preserve"> </w:t>
      </w:r>
      <w:r>
        <w:rPr>
          <w:rFonts w:hint="eastAsia" w:cs="宋体"/>
          <w:szCs w:val="24"/>
        </w:rPr>
        <w:t>区域地下水水位长期动态观测资料；</w:t>
      </w:r>
    </w:p>
    <w:p>
      <w:pPr>
        <w:ind w:firstLine="482" w:firstLineChars="200"/>
        <w:rPr>
          <w:rFonts w:cs="宋体"/>
          <w:szCs w:val="24"/>
        </w:rPr>
      </w:pPr>
      <w:r>
        <w:rPr>
          <w:rFonts w:hint="eastAsia"/>
          <w:b/>
          <w:bCs/>
        </w:rPr>
        <w:t>4</w:t>
      </w:r>
      <w:r>
        <w:rPr>
          <w:rFonts w:hint="eastAsia" w:cs="宋体"/>
          <w:szCs w:val="24"/>
        </w:rPr>
        <w:t xml:space="preserve"> </w:t>
      </w:r>
      <w:r>
        <w:rPr>
          <w:rFonts w:cs="宋体"/>
          <w:szCs w:val="24"/>
        </w:rPr>
        <w:t xml:space="preserve"> </w:t>
      </w:r>
      <w:r>
        <w:rPr>
          <w:rFonts w:hint="eastAsia" w:cs="宋体"/>
          <w:szCs w:val="24"/>
        </w:rPr>
        <w:t>区域地下水主要露头（井、泉等）分布及水位、水量观测资料和水质情况；</w:t>
      </w:r>
    </w:p>
    <w:p>
      <w:pPr>
        <w:ind w:firstLine="482" w:firstLineChars="200"/>
        <w:rPr>
          <w:rFonts w:cs="宋体"/>
          <w:szCs w:val="24"/>
        </w:rPr>
      </w:pPr>
      <w:r>
        <w:rPr>
          <w:rFonts w:hint="eastAsia"/>
          <w:b/>
          <w:bCs/>
        </w:rPr>
        <w:t>5</w:t>
      </w:r>
      <w:r>
        <w:rPr>
          <w:rFonts w:hint="eastAsia" w:cs="宋体"/>
          <w:szCs w:val="24"/>
        </w:rPr>
        <w:t xml:space="preserve"> </w:t>
      </w:r>
      <w:r>
        <w:rPr>
          <w:rFonts w:cs="宋体"/>
          <w:szCs w:val="24"/>
        </w:rPr>
        <w:t xml:space="preserve"> </w:t>
      </w:r>
      <w:r>
        <w:rPr>
          <w:rFonts w:hint="eastAsia" w:cs="宋体"/>
          <w:szCs w:val="24"/>
        </w:rPr>
        <w:t>区域内地下水开采情况；</w:t>
      </w:r>
    </w:p>
    <w:p>
      <w:pPr>
        <w:ind w:firstLine="482" w:firstLineChars="200"/>
        <w:rPr>
          <w:rFonts w:cs="宋体"/>
          <w:szCs w:val="24"/>
        </w:rPr>
      </w:pPr>
      <w:r>
        <w:rPr>
          <w:rFonts w:hint="eastAsia"/>
          <w:b/>
          <w:bCs/>
        </w:rPr>
        <w:t>6</w:t>
      </w:r>
      <w:r>
        <w:rPr>
          <w:rFonts w:hint="eastAsia" w:cs="宋体"/>
          <w:szCs w:val="24"/>
        </w:rPr>
        <w:t xml:space="preserve"> </w:t>
      </w:r>
      <w:r>
        <w:rPr>
          <w:rFonts w:cs="宋体"/>
          <w:szCs w:val="24"/>
        </w:rPr>
        <w:t xml:space="preserve"> </w:t>
      </w:r>
      <w:r>
        <w:rPr>
          <w:rFonts w:hint="eastAsia" w:cs="宋体"/>
          <w:szCs w:val="24"/>
        </w:rPr>
        <w:t>人类活动对地下水的影响；</w:t>
      </w:r>
    </w:p>
    <w:p>
      <w:pPr>
        <w:ind w:firstLine="482" w:firstLineChars="200"/>
        <w:rPr>
          <w:rFonts w:cs="宋体"/>
          <w:szCs w:val="24"/>
        </w:rPr>
      </w:pPr>
      <w:r>
        <w:rPr>
          <w:b/>
          <w:bCs/>
        </w:rPr>
        <w:t>7</w:t>
      </w:r>
      <w:r>
        <w:rPr>
          <w:rFonts w:hint="eastAsia" w:cs="宋体"/>
          <w:szCs w:val="24"/>
        </w:rPr>
        <w:t xml:space="preserve"> </w:t>
      </w:r>
      <w:r>
        <w:rPr>
          <w:rFonts w:cs="宋体"/>
          <w:szCs w:val="24"/>
        </w:rPr>
        <w:t xml:space="preserve"> </w:t>
      </w:r>
      <w:r>
        <w:rPr>
          <w:rFonts w:hint="eastAsia" w:cs="宋体"/>
          <w:szCs w:val="24"/>
        </w:rPr>
        <w:t>地表水与地下水的补给、排泄关系。</w:t>
      </w:r>
    </w:p>
    <w:p>
      <w:r>
        <w:rPr>
          <w:rFonts w:hint="eastAsia" w:cs="宋体"/>
          <w:b/>
          <w:bCs/>
          <w:szCs w:val="24"/>
        </w:rPr>
        <w:t>4.2.</w:t>
      </w:r>
      <w:r>
        <w:rPr>
          <w:rFonts w:cs="宋体"/>
          <w:b/>
          <w:bCs/>
          <w:szCs w:val="24"/>
        </w:rPr>
        <w:t>6</w:t>
      </w:r>
      <w:r>
        <w:rPr>
          <w:rFonts w:hint="eastAsia" w:cs="宋体"/>
          <w:szCs w:val="24"/>
        </w:rPr>
        <w:t xml:space="preserve">  </w:t>
      </w:r>
      <w:r>
        <w:t>水资源规划、建设用地规划及</w:t>
      </w:r>
      <w:r>
        <w:rPr>
          <w:rFonts w:hint="eastAsia"/>
        </w:rPr>
        <w:t>其实施相关资料宜包括下列内容：</w:t>
      </w:r>
    </w:p>
    <w:p>
      <w:pPr>
        <w:ind w:firstLine="482" w:firstLineChars="200"/>
      </w:pPr>
      <w:r>
        <w:rPr>
          <w:rFonts w:hint="eastAsia"/>
          <w:b/>
          <w:bCs/>
        </w:rPr>
        <w:t>1</w:t>
      </w:r>
      <w:r>
        <w:t xml:space="preserve">  </w:t>
      </w:r>
      <w:r>
        <w:rPr>
          <w:rFonts w:hint="eastAsia"/>
        </w:rPr>
        <w:t>当地</w:t>
      </w:r>
      <w:r>
        <w:t>生态补水</w:t>
      </w:r>
      <w:r>
        <w:rPr>
          <w:rFonts w:hint="eastAsia"/>
        </w:rPr>
        <w:t>规划、实施情况</w:t>
      </w:r>
      <w:r>
        <w:t>及对应的地下水</w:t>
      </w:r>
      <w:r>
        <w:rPr>
          <w:rFonts w:hint="eastAsia"/>
        </w:rPr>
        <w:t>水位</w:t>
      </w:r>
      <w:r>
        <w:t>变化情况；</w:t>
      </w:r>
    </w:p>
    <w:p>
      <w:pPr>
        <w:ind w:firstLine="482" w:firstLineChars="200"/>
      </w:pPr>
      <w:r>
        <w:rPr>
          <w:rFonts w:hint="eastAsia"/>
          <w:b/>
          <w:bCs/>
        </w:rPr>
        <w:t>2</w:t>
      </w:r>
      <w:r>
        <w:t xml:space="preserve">  地下水限采量、水源地开采量及对应的地下水</w:t>
      </w:r>
      <w:r>
        <w:rPr>
          <w:rFonts w:hint="eastAsia"/>
        </w:rPr>
        <w:t>水位</w:t>
      </w:r>
      <w:r>
        <w:t>变化情况；</w:t>
      </w:r>
    </w:p>
    <w:p>
      <w:pPr>
        <w:ind w:firstLine="482" w:firstLineChars="200"/>
      </w:pPr>
      <w:r>
        <w:rPr>
          <w:rFonts w:hint="eastAsia"/>
          <w:b/>
          <w:bCs/>
        </w:rPr>
        <w:t>3</w:t>
      </w:r>
      <w:r>
        <w:t xml:space="preserve">  地表水利用和农田灌溉开采情况。</w:t>
      </w:r>
    </w:p>
    <w:p>
      <w:pPr>
        <w:rPr>
          <w:rFonts w:cs="宋体"/>
          <w:szCs w:val="24"/>
        </w:rPr>
      </w:pPr>
    </w:p>
    <w:p>
      <w:pPr>
        <w:pStyle w:val="3"/>
        <w:ind w:left="1276"/>
        <w:rPr>
          <w:rFonts w:ascii="黑体" w:hAnsi="黑体" w:eastAsia="黑体"/>
        </w:rPr>
      </w:pPr>
      <w:r>
        <w:rPr>
          <w:rFonts w:hint="eastAsia"/>
        </w:rPr>
        <w:t xml:space="preserve">  </w:t>
      </w:r>
      <w:r>
        <w:rPr>
          <w:rFonts w:hint="eastAsia" w:ascii="黑体" w:hAnsi="黑体" w:eastAsia="黑体"/>
        </w:rPr>
        <w:t>场地周边调查</w:t>
      </w:r>
    </w:p>
    <w:p>
      <w:pPr>
        <w:rPr>
          <w:rFonts w:cs="宋体"/>
          <w:szCs w:val="24"/>
        </w:rPr>
      </w:pPr>
      <w:r>
        <w:rPr>
          <w:rFonts w:hint="eastAsia" w:cs="宋体"/>
          <w:b/>
          <w:bCs/>
          <w:szCs w:val="24"/>
        </w:rPr>
        <w:t>4.3.1</w:t>
      </w:r>
      <w:r>
        <w:rPr>
          <w:rFonts w:hint="eastAsia" w:cs="宋体"/>
          <w:szCs w:val="24"/>
        </w:rPr>
        <w:t xml:space="preserve">  除资料收集外，宜采用现场调查和走访等方法对工程场地周边的地形、水文和水文地质、周边环境情况进行调查。</w:t>
      </w:r>
    </w:p>
    <w:p>
      <w:pPr>
        <w:rPr>
          <w:rFonts w:cs="宋体"/>
          <w:szCs w:val="24"/>
        </w:rPr>
      </w:pPr>
      <w:r>
        <w:rPr>
          <w:rFonts w:hint="eastAsia" w:cs="宋体"/>
          <w:b/>
          <w:bCs/>
          <w:szCs w:val="24"/>
        </w:rPr>
        <w:t>4.3.2</w:t>
      </w:r>
      <w:r>
        <w:rPr>
          <w:rFonts w:hint="eastAsia" w:cs="宋体"/>
          <w:szCs w:val="24"/>
        </w:rPr>
        <w:t xml:space="preserve">  地形调查宜包括下列内容：</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地形突变地带分布情况（隆起和低洼地带）；</w:t>
      </w:r>
    </w:p>
    <w:p>
      <w:pPr>
        <w:ind w:firstLine="482" w:firstLineChars="20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地形历史变化情况（如大规模填方或削方）。</w:t>
      </w:r>
    </w:p>
    <w:p>
      <w:pPr>
        <w:rPr>
          <w:rFonts w:cs="宋体"/>
          <w:szCs w:val="24"/>
        </w:rPr>
      </w:pPr>
      <w:r>
        <w:rPr>
          <w:rFonts w:hint="eastAsia" w:cs="宋体"/>
          <w:b/>
          <w:bCs/>
          <w:szCs w:val="24"/>
        </w:rPr>
        <w:t>4.3.3</w:t>
      </w:r>
      <w:r>
        <w:rPr>
          <w:rFonts w:hint="eastAsia" w:cs="宋体"/>
          <w:szCs w:val="24"/>
        </w:rPr>
        <w:t xml:space="preserve">  地表水（系）调查宜包括下列内容：</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地表水（系）类型（人工或天然）分布情况；</w:t>
      </w:r>
    </w:p>
    <w:p>
      <w:pPr>
        <w:ind w:firstLine="482" w:firstLineChars="20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地表水（系）切割深度及其通道衬砌情况；</w:t>
      </w:r>
    </w:p>
    <w:p>
      <w:pPr>
        <w:ind w:firstLine="482" w:firstLineChars="200"/>
        <w:rPr>
          <w:rFonts w:cs="宋体"/>
          <w:szCs w:val="24"/>
        </w:rPr>
      </w:pPr>
      <w:r>
        <w:rPr>
          <w:rFonts w:hint="eastAsia"/>
          <w:b/>
          <w:bCs/>
        </w:rPr>
        <w:t>3</w:t>
      </w:r>
      <w:r>
        <w:rPr>
          <w:rFonts w:hint="eastAsia" w:cs="宋体"/>
          <w:szCs w:val="24"/>
        </w:rPr>
        <w:t xml:space="preserve"> </w:t>
      </w:r>
      <w:r>
        <w:rPr>
          <w:rFonts w:cs="宋体"/>
          <w:szCs w:val="24"/>
        </w:rPr>
        <w:t xml:space="preserve"> </w:t>
      </w:r>
      <w:r>
        <w:rPr>
          <w:rFonts w:hint="eastAsia" w:cs="宋体"/>
          <w:szCs w:val="24"/>
        </w:rPr>
        <w:t>地表水（系）近50年以来的改道和变迁情况。</w:t>
      </w:r>
    </w:p>
    <w:p>
      <w:pPr>
        <w:rPr>
          <w:rFonts w:cs="宋体"/>
          <w:szCs w:val="24"/>
        </w:rPr>
      </w:pPr>
      <w:r>
        <w:rPr>
          <w:rFonts w:hint="eastAsia" w:cs="宋体"/>
          <w:b/>
          <w:bCs/>
          <w:szCs w:val="24"/>
        </w:rPr>
        <w:t>4.3.4</w:t>
      </w:r>
      <w:r>
        <w:rPr>
          <w:rFonts w:hint="eastAsia" w:cs="宋体"/>
          <w:szCs w:val="24"/>
        </w:rPr>
        <w:t xml:space="preserve">  水文地质调查宜包括下列内容：</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历史最高水位调查；</w:t>
      </w:r>
    </w:p>
    <w:p>
      <w:pPr>
        <w:ind w:firstLine="482" w:firstLineChars="20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近3～5年最高水位调查；</w:t>
      </w:r>
    </w:p>
    <w:p>
      <w:pPr>
        <w:ind w:firstLine="482" w:firstLineChars="200"/>
        <w:rPr>
          <w:rFonts w:cs="宋体"/>
          <w:szCs w:val="24"/>
        </w:rPr>
      </w:pPr>
      <w:r>
        <w:rPr>
          <w:rFonts w:hint="eastAsia"/>
          <w:b/>
          <w:bCs/>
        </w:rPr>
        <w:t>3</w:t>
      </w:r>
      <w:r>
        <w:rPr>
          <w:rFonts w:hint="eastAsia" w:cs="宋体"/>
          <w:szCs w:val="24"/>
        </w:rPr>
        <w:t xml:space="preserve"> </w:t>
      </w:r>
      <w:r>
        <w:rPr>
          <w:rFonts w:cs="宋体"/>
          <w:szCs w:val="24"/>
        </w:rPr>
        <w:t xml:space="preserve"> </w:t>
      </w:r>
      <w:r>
        <w:rPr>
          <w:rFonts w:hint="eastAsia" w:cs="宋体"/>
          <w:szCs w:val="24"/>
        </w:rPr>
        <w:t>地下水开采利用情况；</w:t>
      </w:r>
    </w:p>
    <w:p>
      <w:pPr>
        <w:ind w:firstLine="482" w:firstLineChars="200"/>
        <w:rPr>
          <w:rFonts w:cs="宋体"/>
          <w:szCs w:val="24"/>
        </w:rPr>
      </w:pPr>
      <w:r>
        <w:rPr>
          <w:rFonts w:hint="eastAsia"/>
          <w:b/>
          <w:bCs/>
        </w:rPr>
        <w:t>4</w:t>
      </w:r>
      <w:r>
        <w:rPr>
          <w:rFonts w:hint="eastAsia" w:cs="宋体"/>
          <w:szCs w:val="24"/>
        </w:rPr>
        <w:t xml:space="preserve"> </w:t>
      </w:r>
      <w:r>
        <w:rPr>
          <w:rFonts w:cs="宋体"/>
          <w:szCs w:val="24"/>
        </w:rPr>
        <w:t xml:space="preserve"> </w:t>
      </w:r>
      <w:r>
        <w:rPr>
          <w:rFonts w:hint="eastAsia" w:cs="宋体"/>
          <w:szCs w:val="24"/>
        </w:rPr>
        <w:t>既有水文地质试验资料情况。</w:t>
      </w:r>
    </w:p>
    <w:p>
      <w:pPr>
        <w:rPr>
          <w:rFonts w:cs="宋体"/>
          <w:szCs w:val="24"/>
        </w:rPr>
      </w:pPr>
      <w:r>
        <w:rPr>
          <w:rFonts w:hint="eastAsia" w:cs="宋体"/>
          <w:b/>
          <w:bCs/>
          <w:szCs w:val="24"/>
        </w:rPr>
        <w:t>4.3.5</w:t>
      </w:r>
      <w:r>
        <w:rPr>
          <w:rFonts w:cs="宋体"/>
          <w:szCs w:val="24"/>
        </w:rPr>
        <w:t xml:space="preserve"> </w:t>
      </w:r>
      <w:r>
        <w:rPr>
          <w:rFonts w:hint="eastAsia" w:cs="宋体"/>
          <w:szCs w:val="24"/>
        </w:rPr>
        <w:t xml:space="preserve"> 周边环境调查宜包括下列内容：</w:t>
      </w:r>
    </w:p>
    <w:p>
      <w:pPr>
        <w:ind w:firstLine="482" w:firstLineChars="200"/>
        <w:rPr>
          <w:rFonts w:cs="宋体"/>
          <w:szCs w:val="24"/>
        </w:rPr>
      </w:pPr>
      <w:r>
        <w:rPr>
          <w:rFonts w:hint="eastAsia"/>
          <w:b/>
          <w:bCs/>
        </w:rPr>
        <w:t>1</w:t>
      </w:r>
      <w:r>
        <w:rPr>
          <w:rFonts w:hint="eastAsia" w:cs="宋体"/>
          <w:szCs w:val="24"/>
        </w:rPr>
        <w:t xml:space="preserve">  大型地下结构、</w:t>
      </w:r>
      <w:r>
        <w:rPr>
          <w:rFonts w:cs="宋体"/>
          <w:szCs w:val="24"/>
        </w:rPr>
        <w:t>地下</w:t>
      </w:r>
      <w:r>
        <w:rPr>
          <w:rFonts w:hint="eastAsia" w:cs="宋体"/>
          <w:szCs w:val="24"/>
        </w:rPr>
        <w:t>防渗结构及其对地下水条件可能的影响；</w:t>
      </w:r>
    </w:p>
    <w:p>
      <w:pPr>
        <w:ind w:firstLine="482" w:firstLineChars="200"/>
        <w:rPr>
          <w:rFonts w:cs="宋体"/>
          <w:szCs w:val="24"/>
        </w:rPr>
      </w:pPr>
      <w:r>
        <w:rPr>
          <w:rFonts w:hint="eastAsia"/>
          <w:b/>
          <w:bCs/>
        </w:rPr>
        <w:t>2</w:t>
      </w:r>
      <w:r>
        <w:rPr>
          <w:rFonts w:cs="宋体"/>
          <w:szCs w:val="24"/>
        </w:rPr>
        <w:t xml:space="preserve"> </w:t>
      </w:r>
      <w:r>
        <w:rPr>
          <w:rFonts w:hint="eastAsia" w:cs="宋体"/>
          <w:szCs w:val="24"/>
        </w:rPr>
        <w:t xml:space="preserve"> 上下水管线的使用情况及其破损和渗漏情况；</w:t>
      </w:r>
    </w:p>
    <w:p>
      <w:pPr>
        <w:ind w:firstLine="482" w:firstLineChars="200"/>
        <w:rPr>
          <w:rFonts w:cs="宋体"/>
          <w:szCs w:val="24"/>
        </w:rPr>
      </w:pPr>
      <w:r>
        <w:rPr>
          <w:b/>
          <w:bCs/>
        </w:rPr>
        <w:t>3</w:t>
      </w:r>
      <w:r>
        <w:rPr>
          <w:rFonts w:cs="宋体"/>
          <w:szCs w:val="24"/>
        </w:rPr>
        <w:t xml:space="preserve">  </w:t>
      </w:r>
      <w:r>
        <w:rPr>
          <w:rFonts w:hint="eastAsia" w:cs="宋体"/>
          <w:szCs w:val="24"/>
        </w:rPr>
        <w:t>场地周边已有工程的抗浮设防水位、抗浮措施等工程经验。</w:t>
      </w:r>
    </w:p>
    <w:p>
      <w:pPr>
        <w:jc w:val="left"/>
        <w:rPr>
          <w:rFonts w:cs="宋体"/>
          <w:szCs w:val="24"/>
        </w:rPr>
      </w:pPr>
    </w:p>
    <w:p>
      <w:pPr>
        <w:pStyle w:val="3"/>
        <w:ind w:left="2410" w:hanging="1701"/>
        <w:rPr>
          <w:rFonts w:ascii="黑体" w:hAnsi="黑体" w:eastAsia="黑体"/>
        </w:rPr>
      </w:pPr>
      <w:r>
        <w:rPr>
          <w:rFonts w:hint="eastAsia"/>
        </w:rPr>
        <w:t xml:space="preserve">  </w:t>
      </w:r>
      <w:r>
        <w:rPr>
          <w:rFonts w:hint="eastAsia" w:ascii="黑体" w:hAnsi="黑体" w:eastAsia="黑体"/>
        </w:rPr>
        <w:t>水文地质条件分析</w:t>
      </w:r>
    </w:p>
    <w:p>
      <w:pPr>
        <w:pStyle w:val="33"/>
        <w:numPr>
          <w:ilvl w:val="0"/>
          <w:numId w:val="0"/>
        </w:numPr>
        <w:rPr>
          <w:rFonts w:cs="宋体"/>
          <w:i w:val="0"/>
          <w:szCs w:val="24"/>
        </w:rPr>
      </w:pPr>
      <w:r>
        <w:rPr>
          <w:rFonts w:hint="eastAsia" w:cs="宋体"/>
          <w:b/>
          <w:bCs/>
          <w:i w:val="0"/>
          <w:szCs w:val="24"/>
        </w:rPr>
        <w:t>4.4.1</w:t>
      </w:r>
      <w:r>
        <w:rPr>
          <w:rFonts w:hint="eastAsia" w:cs="宋体"/>
          <w:i w:val="0"/>
          <w:szCs w:val="24"/>
        </w:rPr>
        <w:t xml:space="preserve">  场地所在区域地下水分布、补给、径流和排泄规律分析，宜包括下列内容：</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对应区域水文地质单元；</w:t>
      </w:r>
    </w:p>
    <w:p>
      <w:pPr>
        <w:ind w:firstLine="482" w:firstLineChars="20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对应区域主要含水层（组）划分；</w:t>
      </w:r>
    </w:p>
    <w:p>
      <w:pPr>
        <w:ind w:firstLine="482" w:firstLineChars="200"/>
        <w:rPr>
          <w:rFonts w:cs="宋体"/>
          <w:szCs w:val="24"/>
        </w:rPr>
      </w:pPr>
      <w:r>
        <w:rPr>
          <w:rFonts w:hint="eastAsia"/>
          <w:b/>
          <w:bCs/>
        </w:rPr>
        <w:t>3</w:t>
      </w:r>
      <w:r>
        <w:rPr>
          <w:rFonts w:hint="eastAsia" w:cs="宋体"/>
          <w:szCs w:val="24"/>
        </w:rPr>
        <w:t xml:space="preserve"> </w:t>
      </w:r>
      <w:r>
        <w:rPr>
          <w:rFonts w:cs="宋体"/>
          <w:szCs w:val="24"/>
        </w:rPr>
        <w:t xml:space="preserve"> </w:t>
      </w:r>
      <w:r>
        <w:rPr>
          <w:rFonts w:hint="eastAsia" w:cs="宋体"/>
          <w:szCs w:val="24"/>
        </w:rPr>
        <w:t>对应区域地下水分布、补给、径流和排泄规律；</w:t>
      </w:r>
    </w:p>
    <w:p>
      <w:pPr>
        <w:pStyle w:val="33"/>
        <w:numPr>
          <w:ilvl w:val="0"/>
          <w:numId w:val="0"/>
        </w:numPr>
        <w:ind w:firstLine="482" w:firstLineChars="200"/>
        <w:rPr>
          <w:rFonts w:cs="宋体"/>
          <w:i w:val="0"/>
          <w:szCs w:val="24"/>
        </w:rPr>
      </w:pPr>
      <w:r>
        <w:rPr>
          <w:rFonts w:hint="eastAsia"/>
          <w:b/>
          <w:bCs/>
          <w:i w:val="0"/>
        </w:rPr>
        <w:t>4</w:t>
      </w:r>
      <w:r>
        <w:rPr>
          <w:rFonts w:cs="宋体"/>
          <w:i w:val="0"/>
          <w:szCs w:val="24"/>
        </w:rPr>
        <w:t xml:space="preserve">  </w:t>
      </w:r>
      <w:r>
        <w:rPr>
          <w:rFonts w:hint="eastAsia" w:cs="宋体"/>
          <w:i w:val="0"/>
          <w:szCs w:val="24"/>
        </w:rPr>
        <w:t>场地周边局部地形、水文及水文地质条件等变化对场地地下水分布规律的影响分析。</w:t>
      </w:r>
    </w:p>
    <w:p>
      <w:pPr>
        <w:rPr>
          <w:rFonts w:cs="宋体"/>
          <w:szCs w:val="24"/>
        </w:rPr>
      </w:pPr>
      <w:r>
        <w:rPr>
          <w:rFonts w:hint="eastAsia" w:cs="宋体"/>
          <w:b/>
          <w:bCs/>
          <w:szCs w:val="24"/>
        </w:rPr>
        <w:t>4.4.2</w:t>
      </w:r>
      <w:r>
        <w:rPr>
          <w:rFonts w:hint="eastAsia" w:cs="宋体"/>
          <w:szCs w:val="24"/>
        </w:rPr>
        <w:t xml:space="preserve">  场地所在区域的地下水水位动态分析，宜包括下列内容：</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地下水水位多年动态规律及其主要影响因素及其影响程度分析；</w:t>
      </w:r>
    </w:p>
    <w:p>
      <w:pPr>
        <w:ind w:firstLine="482" w:firstLineChars="20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地下水水位年动态规律及其主要影响因素；</w:t>
      </w:r>
    </w:p>
    <w:p>
      <w:pPr>
        <w:ind w:firstLine="482" w:firstLineChars="200"/>
        <w:rPr>
          <w:rFonts w:cs="宋体"/>
          <w:b/>
          <w:bCs/>
          <w:szCs w:val="24"/>
        </w:rPr>
      </w:pPr>
      <w:r>
        <w:rPr>
          <w:rFonts w:hint="eastAsia"/>
          <w:b/>
          <w:bCs/>
        </w:rPr>
        <w:t>3</w:t>
      </w:r>
      <w:r>
        <w:rPr>
          <w:rFonts w:cs="宋体"/>
          <w:szCs w:val="24"/>
        </w:rPr>
        <w:t xml:space="preserve"> </w:t>
      </w:r>
      <w:r>
        <w:rPr>
          <w:rFonts w:hint="eastAsia" w:cs="宋体"/>
          <w:szCs w:val="24"/>
        </w:rPr>
        <w:t xml:space="preserve"> 场地周边局部地形、水文及水文地质条件变化对场地地下水水位动态规律的影响分析。</w:t>
      </w:r>
    </w:p>
    <w:p>
      <w:pPr>
        <w:autoSpaceDE w:val="0"/>
        <w:autoSpaceDN w:val="0"/>
        <w:adjustRightInd w:val="0"/>
        <w:rPr>
          <w:rFonts w:ascii="楷体" w:hAnsi="楷体" w:eastAsia="楷体" w:cs="楷体"/>
          <w:b/>
          <w:bCs/>
        </w:rPr>
      </w:pPr>
      <w:r>
        <w:rPr>
          <w:rFonts w:hint="eastAsia" w:ascii="楷体" w:hAnsi="楷体" w:eastAsia="楷体" w:cs="楷体"/>
          <w:b/>
          <w:bCs/>
        </w:rPr>
        <w:t>【条文说明】4.4.1、4.4.2  为了加强抗浮工程水文地质勘察工作的针对性，在上述资料收集和现场调查走访的基础上，应开展水文地质条件的初步分析工作，以更好地指导现场勘探与试验工作，以及基于现场工作的抗浮分析与评价工作。本节规定了一般需要分析的内容，具体分析方法应符合《供水水文地质勘察规范》（GB 50027）和《岩土工程勘察规范》（GB 50021）的相关要求。</w:t>
      </w:r>
    </w:p>
    <w:p>
      <w:pPr>
        <w:rPr>
          <w:rFonts w:cs="宋体"/>
          <w:szCs w:val="24"/>
        </w:rPr>
      </w:pPr>
    </w:p>
    <w:p>
      <w:pPr>
        <w:pStyle w:val="35"/>
      </w:pPr>
    </w:p>
    <w:p>
      <w:pPr>
        <w:pStyle w:val="35"/>
      </w:pPr>
    </w:p>
    <w:p>
      <w:pPr>
        <w:pStyle w:val="35"/>
      </w:pPr>
    </w:p>
    <w:p>
      <w:pPr>
        <w:pStyle w:val="35"/>
      </w:pPr>
    </w:p>
    <w:p>
      <w:pPr>
        <w:pStyle w:val="35"/>
        <w:sectPr>
          <w:headerReference r:id="rId36" w:type="first"/>
          <w:headerReference r:id="rId34" w:type="default"/>
          <w:headerReference r:id="rId35" w:type="even"/>
          <w:pgSz w:w="11906" w:h="16838"/>
          <w:pgMar w:top="1440" w:right="1797" w:bottom="1440" w:left="1797" w:header="851" w:footer="992" w:gutter="0"/>
          <w:cols w:space="425" w:num="1"/>
          <w:docGrid w:type="lines" w:linePitch="312" w:charSpace="0"/>
        </w:sectPr>
      </w:pPr>
    </w:p>
    <w:p>
      <w:pPr>
        <w:pStyle w:val="2"/>
      </w:pPr>
      <w:bookmarkStart w:id="23" w:name="_Toc6339"/>
      <w:r>
        <w:rPr>
          <w:rFonts w:hint="eastAsia"/>
        </w:rPr>
        <w:t xml:space="preserve"> </w:t>
      </w:r>
      <w:r>
        <w:rPr>
          <w:rFonts w:hint="eastAsia"/>
          <w:sz w:val="30"/>
          <w:szCs w:val="30"/>
        </w:rPr>
        <w:t xml:space="preserve"> 勘探与试</w:t>
      </w:r>
      <w:bookmarkEnd w:id="23"/>
      <w:r>
        <w:rPr>
          <w:rFonts w:hint="eastAsia"/>
          <w:sz w:val="30"/>
          <w:szCs w:val="30"/>
        </w:rPr>
        <w:t>验</w:t>
      </w:r>
    </w:p>
    <w:p>
      <w:pPr>
        <w:pStyle w:val="3"/>
        <w:ind w:hanging="5822"/>
        <w:rPr>
          <w:rFonts w:ascii="黑体" w:hAnsi="黑体" w:eastAsia="黑体"/>
        </w:rPr>
      </w:pPr>
      <w:bookmarkStart w:id="24" w:name="_Toc35131579"/>
      <w:r>
        <w:rPr>
          <w:rFonts w:hint="eastAsia"/>
        </w:rPr>
        <w:t xml:space="preserve">  </w:t>
      </w:r>
      <w:r>
        <w:rPr>
          <w:rFonts w:hint="eastAsia" w:ascii="黑体" w:hAnsi="黑体" w:eastAsia="黑体"/>
        </w:rPr>
        <w:t>一般规定</w:t>
      </w:r>
    </w:p>
    <w:p>
      <w:r>
        <w:rPr>
          <w:rFonts w:hint="eastAsia"/>
          <w:b/>
          <w:bCs/>
        </w:rPr>
        <w:t>5.1.1</w:t>
      </w:r>
      <w:r>
        <w:rPr>
          <w:rFonts w:hint="eastAsia"/>
        </w:rPr>
        <w:t xml:space="preserve">  勘探与试验工作前，宜在资料收集和现场踏勘的基础上，初步判定场区地下水赋存空间及流向，编制水文地质勘探与试验任务书。</w:t>
      </w:r>
    </w:p>
    <w:p>
      <w:bookmarkStart w:id="25" w:name="_Hlk134191123"/>
      <w:r>
        <w:rPr>
          <w:rFonts w:hint="eastAsia" w:ascii="楷体" w:hAnsi="楷体" w:eastAsia="楷体" w:cs="楷体"/>
          <w:b/>
          <w:bCs/>
        </w:rPr>
        <w:t>【条文说明】</w:t>
      </w:r>
      <w:r>
        <w:rPr>
          <w:rFonts w:hint="eastAsia"/>
          <w:b/>
          <w:bCs/>
        </w:rPr>
        <w:t xml:space="preserve">5.1.1  </w:t>
      </w:r>
      <w:r>
        <w:rPr>
          <w:rFonts w:hint="eastAsia" w:ascii="楷体" w:hAnsi="楷体" w:eastAsia="楷体" w:cs="楷体"/>
          <w:b/>
          <w:bCs/>
        </w:rPr>
        <w:t>勘探与试验工作前，结合勘察纲要、前期资料和现场踏勘，编制勘探与试验任务书，有利于达成勘察目的、完成勘察任务。</w:t>
      </w:r>
    </w:p>
    <w:bookmarkEnd w:id="25"/>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 xml:space="preserve">5.1.2  </w:t>
      </w:r>
      <w:r>
        <w:rPr>
          <w:rFonts w:hint="eastAsia"/>
          <w:color w:val="000000" w:themeColor="text1"/>
          <w14:textFill>
            <w14:solidFill>
              <w14:schemeClr w14:val="tx1"/>
            </w14:solidFill>
          </w14:textFill>
        </w:rPr>
        <w:t>勘探宜以钻探为主，岩溶地质条件时可辅以适宜的物探方法。</w:t>
      </w:r>
    </w:p>
    <w:p>
      <w:pPr>
        <w:rPr>
          <w:rFonts w:ascii="楷体" w:hAnsi="楷体" w:eastAsia="楷体" w:cs="楷体"/>
          <w:b/>
          <w:bCs/>
        </w:rPr>
      </w:pPr>
      <w:r>
        <w:rPr>
          <w:rFonts w:hint="eastAsia" w:ascii="楷体" w:hAnsi="楷体" w:eastAsia="楷体" w:cs="楷体"/>
          <w:b/>
          <w:bCs/>
        </w:rPr>
        <w:t>【条文说明】</w:t>
      </w:r>
      <w:r>
        <w:rPr>
          <w:rFonts w:hint="eastAsia"/>
          <w:b/>
          <w:bCs/>
        </w:rPr>
        <w:t>5.1.</w:t>
      </w:r>
      <w:r>
        <w:rPr>
          <w:b/>
          <w:bCs/>
        </w:rPr>
        <w:t>2</w:t>
      </w:r>
      <w:r>
        <w:rPr>
          <w:rFonts w:hint="eastAsia"/>
          <w:b/>
          <w:bCs/>
        </w:rPr>
        <w:t xml:space="preserve"> </w:t>
      </w:r>
      <w:r>
        <w:rPr>
          <w:rFonts w:hint="eastAsia" w:ascii="楷体" w:hAnsi="楷体" w:eastAsia="楷体" w:cs="楷体"/>
          <w:b/>
          <w:bCs/>
        </w:rPr>
        <w:t xml:space="preserve"> 各种物探方法的适宜性见表5.1.2。</w:t>
      </w:r>
    </w:p>
    <w:p>
      <w:pPr>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表 5.1.2  物探方法适宜性</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35"/>
        <w:gridCol w:w="45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5" w:type="dxa"/>
            <w:tcBorders>
              <w:tl2br w:val="nil"/>
              <w:tr2bl w:val="nil"/>
            </w:tcBorders>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物探方法</w:t>
            </w:r>
          </w:p>
        </w:tc>
        <w:tc>
          <w:tcPr>
            <w:tcW w:w="4587" w:type="dxa"/>
            <w:tcBorders>
              <w:tl2br w:val="nil"/>
              <w:tr2bl w:val="nil"/>
            </w:tcBorders>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应用范围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5" w:type="dxa"/>
            <w:tcBorders>
              <w:tl2br w:val="nil"/>
              <w:tr2bl w:val="nil"/>
            </w:tcBorders>
            <w:vAlign w:val="center"/>
          </w:tcPr>
          <w:p>
            <w:pPr>
              <w:spacing w:line="24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复合对称四极剖面法辅以联合剖面法、</w:t>
            </w:r>
          </w:p>
          <w:p>
            <w:pPr>
              <w:spacing w:line="24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浅层地震法、钻孔间地震法</w:t>
            </w:r>
          </w:p>
        </w:tc>
        <w:tc>
          <w:tcPr>
            <w:tcW w:w="4587" w:type="dxa"/>
            <w:tcBorders>
              <w:tl2br w:val="nil"/>
              <w:tr2bl w:val="nil"/>
            </w:tcBorders>
            <w:vAlign w:val="center"/>
          </w:tcPr>
          <w:p>
            <w:pPr>
              <w:spacing w:line="24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主要用于探测岩溶洞隙的分布、位置及相关的地质构造、基岩面起伏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5" w:type="dxa"/>
            <w:tcBorders>
              <w:tl2br w:val="nil"/>
              <w:tr2bl w:val="nil"/>
            </w:tcBorders>
            <w:vAlign w:val="center"/>
          </w:tcPr>
          <w:p>
            <w:pPr>
              <w:spacing w:line="24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无线电波透视法、波速测试法、探地雷达法、电测深配合电剖面法、电视测井法</w:t>
            </w:r>
          </w:p>
        </w:tc>
        <w:tc>
          <w:tcPr>
            <w:tcW w:w="4587" w:type="dxa"/>
            <w:tcBorders>
              <w:tl2br w:val="nil"/>
              <w:tr2bl w:val="nil"/>
            </w:tcBorders>
            <w:vAlign w:val="center"/>
          </w:tcPr>
          <w:p>
            <w:pPr>
              <w:spacing w:line="24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主要用于探测岩溶洞穴的位置、形状、大小及冲填状况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5" w:type="dxa"/>
            <w:tcBorders>
              <w:tl2br w:val="nil"/>
              <w:tr2bl w:val="nil"/>
            </w:tcBorders>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充电法、自然电场法</w:t>
            </w:r>
          </w:p>
        </w:tc>
        <w:tc>
          <w:tcPr>
            <w:tcW w:w="4587" w:type="dxa"/>
            <w:tcBorders>
              <w:tl2br w:val="nil"/>
              <w:tr2bl w:val="nil"/>
            </w:tcBorders>
            <w:vAlign w:val="center"/>
          </w:tcPr>
          <w:p>
            <w:pPr>
              <w:spacing w:line="24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主要用于追索地下暗河位置、测定地下水流速和流向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35" w:type="dxa"/>
            <w:tcBorders>
              <w:tl2br w:val="nil"/>
              <w:tr2bl w:val="nil"/>
            </w:tcBorders>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管波探测</w:t>
            </w:r>
          </w:p>
        </w:tc>
        <w:tc>
          <w:tcPr>
            <w:tcW w:w="4587" w:type="dxa"/>
            <w:tcBorders>
              <w:tl2br w:val="nil"/>
              <w:tr2bl w:val="nil"/>
            </w:tcBorders>
            <w:vAlign w:val="center"/>
          </w:tcPr>
          <w:p>
            <w:pPr>
              <w:spacing w:line="240" w:lineRule="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主要用于探测桩位一定范围内的岩溶、软弱带、裂隙带的发育和分布情况</w:t>
            </w:r>
          </w:p>
        </w:tc>
      </w:tr>
    </w:tbl>
    <w:p>
      <w:r>
        <w:rPr>
          <w:rFonts w:hint="eastAsia"/>
          <w:b/>
          <w:bCs/>
        </w:rPr>
        <w:t>5.1.3</w:t>
      </w:r>
      <w:r>
        <w:rPr>
          <w:rFonts w:hint="eastAsia"/>
        </w:rPr>
        <w:t xml:space="preserve">  勘探孔直径，应满足地层岩性鉴别、取样、水文地质试验要求；进行抽水试验的钻孔孔径，应根据含水层的富水性、出水量大小、抽水试验的技术要求、选用的滤水管外径、填砾层厚度和抽水设备规格型号的要求确定，且不小于110mm。</w:t>
      </w:r>
    </w:p>
    <w:p>
      <w:pPr>
        <w:autoSpaceDE w:val="0"/>
        <w:autoSpaceDN w:val="0"/>
        <w:adjustRightInd w:val="0"/>
        <w:rPr>
          <w:rFonts w:cs="宋体"/>
          <w:color w:val="181818"/>
          <w:kern w:val="0"/>
          <w:szCs w:val="24"/>
        </w:rPr>
      </w:pPr>
      <w:r>
        <w:rPr>
          <w:rFonts w:hint="eastAsia" w:cs="宋体"/>
          <w:b/>
          <w:bCs/>
          <w:color w:val="181818"/>
          <w:kern w:val="0"/>
          <w:szCs w:val="24"/>
        </w:rPr>
        <w:t>5</w:t>
      </w:r>
      <w:r>
        <w:rPr>
          <w:rFonts w:cs="宋体"/>
          <w:b/>
          <w:bCs/>
          <w:color w:val="181818"/>
          <w:kern w:val="0"/>
          <w:szCs w:val="24"/>
        </w:rPr>
        <w:t>.</w:t>
      </w:r>
      <w:r>
        <w:rPr>
          <w:rFonts w:hint="eastAsia" w:cs="宋体"/>
          <w:b/>
          <w:bCs/>
          <w:color w:val="181818"/>
          <w:kern w:val="0"/>
          <w:szCs w:val="24"/>
        </w:rPr>
        <w:t>1</w:t>
      </w:r>
      <w:r>
        <w:rPr>
          <w:rFonts w:cs="宋体"/>
          <w:b/>
          <w:bCs/>
          <w:color w:val="181818"/>
          <w:kern w:val="0"/>
          <w:szCs w:val="24"/>
        </w:rPr>
        <w:t>.</w:t>
      </w:r>
      <w:r>
        <w:rPr>
          <w:rFonts w:hint="eastAsia" w:cs="宋体"/>
          <w:b/>
          <w:bCs/>
          <w:color w:val="181818"/>
          <w:kern w:val="0"/>
          <w:szCs w:val="24"/>
        </w:rPr>
        <w:t>4</w:t>
      </w:r>
      <w:r>
        <w:rPr>
          <w:rFonts w:cs="宋体"/>
          <w:color w:val="181818"/>
          <w:kern w:val="0"/>
          <w:szCs w:val="24"/>
        </w:rPr>
        <w:t xml:space="preserve">  </w:t>
      </w:r>
      <w:r>
        <w:rPr>
          <w:rFonts w:hint="eastAsia" w:cs="宋体"/>
          <w:color w:val="181818"/>
          <w:kern w:val="0"/>
          <w:szCs w:val="24"/>
        </w:rPr>
        <w:t>水文地质试验宜以现场试验为主，室内试验为辅。</w:t>
      </w:r>
    </w:p>
    <w:p>
      <w:pPr>
        <w:autoSpaceDE w:val="0"/>
        <w:autoSpaceDN w:val="0"/>
        <w:adjustRightInd w:val="0"/>
        <w:rPr>
          <w:rFonts w:cs="宋体"/>
          <w:color w:val="181818"/>
          <w:kern w:val="0"/>
          <w:szCs w:val="24"/>
        </w:rPr>
      </w:pPr>
      <w:r>
        <w:rPr>
          <w:rFonts w:hint="eastAsia" w:ascii="楷体" w:hAnsi="楷体" w:eastAsia="楷体" w:cs="楷体"/>
          <w:b/>
          <w:bCs/>
        </w:rPr>
        <w:t>【条文说明】5</w:t>
      </w:r>
      <w:r>
        <w:rPr>
          <w:rFonts w:cs="宋体"/>
          <w:b/>
          <w:bCs/>
          <w:color w:val="181818"/>
          <w:kern w:val="0"/>
          <w:szCs w:val="24"/>
        </w:rPr>
        <w:t>.</w:t>
      </w:r>
      <w:r>
        <w:rPr>
          <w:rFonts w:hint="eastAsia" w:cs="宋体"/>
          <w:b/>
          <w:bCs/>
          <w:color w:val="181818"/>
          <w:kern w:val="0"/>
          <w:szCs w:val="24"/>
        </w:rPr>
        <w:t>1</w:t>
      </w:r>
      <w:r>
        <w:rPr>
          <w:rFonts w:cs="宋体"/>
          <w:b/>
          <w:bCs/>
          <w:color w:val="181818"/>
          <w:kern w:val="0"/>
          <w:szCs w:val="24"/>
        </w:rPr>
        <w:t>.</w:t>
      </w:r>
      <w:r>
        <w:rPr>
          <w:rFonts w:hint="eastAsia" w:cs="宋体"/>
          <w:b/>
          <w:bCs/>
          <w:color w:val="181818"/>
          <w:kern w:val="0"/>
          <w:szCs w:val="24"/>
        </w:rPr>
        <w:t xml:space="preserve">4  </w:t>
      </w:r>
      <w:r>
        <w:rPr>
          <w:rFonts w:hint="eastAsia" w:ascii="楷体" w:hAnsi="楷体" w:eastAsia="楷体" w:cs="楷体"/>
          <w:b/>
          <w:bCs/>
        </w:rPr>
        <w:t>通过水文地质试验，获取岩土体渗透性参数及地下水渗流影响范围，有利于预测场内地下水位变化对工程抗浮的影响。</w:t>
      </w:r>
    </w:p>
    <w:p>
      <w:pPr>
        <w:autoSpaceDE w:val="0"/>
        <w:autoSpaceDN w:val="0"/>
        <w:adjustRightInd w:val="0"/>
        <w:rPr>
          <w:rFonts w:cs="宋体"/>
          <w:color w:val="000000" w:themeColor="text1"/>
          <w:kern w:val="0"/>
          <w:szCs w:val="24"/>
          <w14:textFill>
            <w14:solidFill>
              <w14:schemeClr w14:val="tx1"/>
            </w14:solidFill>
          </w14:textFill>
        </w:rPr>
      </w:pPr>
      <w:r>
        <w:rPr>
          <w:rFonts w:hint="eastAsia" w:cs="宋体"/>
          <w:b/>
          <w:bCs/>
          <w:color w:val="181818"/>
          <w:kern w:val="0"/>
          <w:szCs w:val="24"/>
        </w:rPr>
        <w:t>5</w:t>
      </w:r>
      <w:r>
        <w:rPr>
          <w:rFonts w:cs="宋体"/>
          <w:b/>
          <w:bCs/>
          <w:color w:val="181818"/>
          <w:kern w:val="0"/>
          <w:szCs w:val="24"/>
        </w:rPr>
        <w:t>.</w:t>
      </w:r>
      <w:r>
        <w:rPr>
          <w:rFonts w:hint="eastAsia" w:cs="宋体"/>
          <w:b/>
          <w:bCs/>
          <w:color w:val="181818"/>
          <w:kern w:val="0"/>
          <w:szCs w:val="24"/>
        </w:rPr>
        <w:t>1</w:t>
      </w:r>
      <w:r>
        <w:rPr>
          <w:rFonts w:cs="宋体"/>
          <w:b/>
          <w:bCs/>
          <w:color w:val="181818"/>
          <w:kern w:val="0"/>
          <w:szCs w:val="24"/>
        </w:rPr>
        <w:t>.</w:t>
      </w:r>
      <w:r>
        <w:rPr>
          <w:rFonts w:hint="eastAsia" w:cs="宋体"/>
          <w:b/>
          <w:bCs/>
          <w:color w:val="181818"/>
          <w:kern w:val="0"/>
          <w:szCs w:val="24"/>
        </w:rPr>
        <w:t xml:space="preserve">5  </w:t>
      </w:r>
      <w:r>
        <w:rPr>
          <w:rFonts w:hint="eastAsia" w:cs="宋体"/>
          <w:color w:val="000000" w:themeColor="text1"/>
          <w:kern w:val="0"/>
          <w:szCs w:val="24"/>
          <w14:textFill>
            <w14:solidFill>
              <w14:schemeClr w14:val="tx1"/>
            </w14:solidFill>
          </w14:textFill>
        </w:rPr>
        <w:t>抗浮工程缺乏水文地质观测资料的地区，</w:t>
      </w:r>
      <w:r>
        <w:rPr>
          <w:rFonts w:hint="eastAsia" w:cs="宋体"/>
          <w:color w:val="181818"/>
          <w:kern w:val="0"/>
          <w:szCs w:val="24"/>
        </w:rPr>
        <w:t>宜加强场区地下水位的动态观测工作，</w:t>
      </w:r>
      <w:r>
        <w:rPr>
          <w:rFonts w:hint="eastAsia" w:cs="宋体"/>
          <w:color w:val="000000" w:themeColor="text1"/>
          <w:kern w:val="0"/>
          <w:szCs w:val="24"/>
          <w14:textFill>
            <w14:solidFill>
              <w14:schemeClr w14:val="tx1"/>
            </w14:solidFill>
          </w14:textFill>
        </w:rPr>
        <w:t>根据需要设置长期观测孔（井）或埋设孔隙水压力计进行长期观测。</w:t>
      </w:r>
    </w:p>
    <w:p>
      <w:pPr>
        <w:rPr>
          <w:rFonts w:ascii="楷体" w:hAnsi="楷体" w:eastAsia="楷体" w:cs="楷体"/>
          <w:b/>
          <w:bCs/>
        </w:rPr>
      </w:pPr>
      <w:r>
        <w:rPr>
          <w:rFonts w:hint="eastAsia" w:ascii="楷体" w:hAnsi="楷体" w:eastAsia="楷体" w:cs="楷体"/>
          <w:b/>
          <w:bCs/>
        </w:rPr>
        <w:t>【条文说明】</w:t>
      </w:r>
      <w:r>
        <w:rPr>
          <w:rFonts w:hint="eastAsia" w:cs="宋体"/>
          <w:b/>
          <w:bCs/>
          <w:color w:val="181818"/>
          <w:kern w:val="0"/>
          <w:szCs w:val="24"/>
        </w:rPr>
        <w:t>5</w:t>
      </w:r>
      <w:r>
        <w:rPr>
          <w:rFonts w:cs="宋体"/>
          <w:b/>
          <w:bCs/>
          <w:color w:val="181818"/>
          <w:kern w:val="0"/>
          <w:szCs w:val="24"/>
        </w:rPr>
        <w:t>.</w:t>
      </w:r>
      <w:r>
        <w:rPr>
          <w:rFonts w:hint="eastAsia" w:cs="宋体"/>
          <w:b/>
          <w:bCs/>
          <w:color w:val="181818"/>
          <w:kern w:val="0"/>
          <w:szCs w:val="24"/>
        </w:rPr>
        <w:t>1</w:t>
      </w:r>
      <w:r>
        <w:rPr>
          <w:rFonts w:cs="宋体"/>
          <w:b/>
          <w:bCs/>
          <w:color w:val="181818"/>
          <w:kern w:val="0"/>
          <w:szCs w:val="24"/>
        </w:rPr>
        <w:t>.</w:t>
      </w:r>
      <w:r>
        <w:rPr>
          <w:rFonts w:hint="eastAsia" w:cs="宋体"/>
          <w:b/>
          <w:bCs/>
          <w:color w:val="181818"/>
          <w:kern w:val="0"/>
          <w:szCs w:val="24"/>
        </w:rPr>
        <w:t xml:space="preserve">5  </w:t>
      </w:r>
      <w:r>
        <w:rPr>
          <w:rFonts w:hint="eastAsia" w:ascii="楷体" w:hAnsi="楷体" w:eastAsia="楷体" w:cs="楷体"/>
          <w:b/>
          <w:bCs/>
        </w:rPr>
        <w:t>对勘察期间各钻孔地下水位动态变化情况进行观测及对勘察结束至项目建成后使用期内的地下水位动态观测，有利于更好指导工程建设及使用管理，有利于建构区域地下水动态大数据及服务于政府宏观管理。</w:t>
      </w:r>
    </w:p>
    <w:p>
      <w:pPr>
        <w:rPr>
          <w:rFonts w:ascii="楷体" w:hAnsi="楷体" w:eastAsia="楷体" w:cs="楷体"/>
          <w:b/>
          <w:bCs/>
        </w:rPr>
      </w:pPr>
    </w:p>
    <w:p>
      <w:pPr>
        <w:pStyle w:val="3"/>
        <w:ind w:hanging="5538"/>
        <w:rPr>
          <w:rFonts w:ascii="黑体" w:hAnsi="黑体" w:eastAsia="黑体"/>
        </w:rPr>
      </w:pPr>
      <w:r>
        <w:rPr>
          <w:rFonts w:hint="eastAsia"/>
        </w:rPr>
        <w:t xml:space="preserve">  </w:t>
      </w:r>
      <w:r>
        <w:rPr>
          <w:rFonts w:hint="eastAsia" w:ascii="黑体" w:hAnsi="黑体" w:eastAsia="黑体"/>
        </w:rPr>
        <w:t>现场勘探</w:t>
      </w:r>
    </w:p>
    <w:p>
      <w:pPr>
        <w:rPr>
          <w:rFonts w:cs="宋体"/>
          <w:szCs w:val="24"/>
        </w:rPr>
      </w:pPr>
      <w:r>
        <w:rPr>
          <w:rFonts w:hint="eastAsia" w:cs="宋体"/>
          <w:b/>
          <w:bCs/>
          <w:szCs w:val="24"/>
        </w:rPr>
        <w:t>5.</w:t>
      </w:r>
      <w:r>
        <w:rPr>
          <w:rFonts w:cs="宋体"/>
          <w:b/>
          <w:bCs/>
          <w:szCs w:val="24"/>
        </w:rPr>
        <w:t>2</w:t>
      </w:r>
      <w:r>
        <w:rPr>
          <w:rFonts w:hint="eastAsia" w:cs="宋体"/>
          <w:b/>
          <w:bCs/>
          <w:szCs w:val="24"/>
        </w:rPr>
        <w:t>.</w:t>
      </w:r>
      <w:r>
        <w:rPr>
          <w:rFonts w:cs="宋体"/>
          <w:b/>
          <w:bCs/>
          <w:szCs w:val="24"/>
        </w:rPr>
        <w:t>1</w:t>
      </w:r>
      <w:r>
        <w:rPr>
          <w:rFonts w:cs="宋体"/>
          <w:szCs w:val="24"/>
        </w:rPr>
        <w:t xml:space="preserve">  </w:t>
      </w:r>
      <w:r>
        <w:rPr>
          <w:rFonts w:hint="eastAsia" w:cs="宋体"/>
          <w:szCs w:val="24"/>
        </w:rPr>
        <w:t>现场勘探，应查明下列内容：</w:t>
      </w:r>
    </w:p>
    <w:p>
      <w:pPr>
        <w:ind w:firstLine="482" w:firstLineChars="200"/>
        <w:rPr>
          <w:rFonts w:cs="宋体"/>
          <w:szCs w:val="24"/>
        </w:rPr>
      </w:pPr>
      <w:r>
        <w:rPr>
          <w:rFonts w:cs="宋体"/>
          <w:b/>
          <w:bCs/>
          <w:szCs w:val="24"/>
        </w:rPr>
        <w:t>1</w:t>
      </w:r>
      <w:r>
        <w:rPr>
          <w:rFonts w:cs="宋体"/>
          <w:szCs w:val="24"/>
        </w:rPr>
        <w:t xml:space="preserve">  </w:t>
      </w:r>
      <w:r>
        <w:rPr>
          <w:rFonts w:hint="eastAsia" w:cs="宋体"/>
          <w:szCs w:val="24"/>
        </w:rPr>
        <w:t>场地的地貌类型及地质构造特征；</w:t>
      </w:r>
    </w:p>
    <w:p>
      <w:pPr>
        <w:ind w:firstLine="482" w:firstLineChars="200"/>
        <w:rPr>
          <w:rFonts w:cs="宋体"/>
          <w:szCs w:val="24"/>
        </w:rPr>
      </w:pPr>
      <w:r>
        <w:rPr>
          <w:rFonts w:hint="eastAsia" w:cs="宋体"/>
          <w:b/>
          <w:bCs/>
          <w:szCs w:val="24"/>
        </w:rPr>
        <w:t>2</w:t>
      </w:r>
      <w:r>
        <w:rPr>
          <w:rFonts w:hint="eastAsia" w:cs="宋体"/>
          <w:szCs w:val="24"/>
        </w:rPr>
        <w:t xml:space="preserve"> </w:t>
      </w:r>
      <w:r>
        <w:rPr>
          <w:rFonts w:cs="宋体"/>
          <w:szCs w:val="24"/>
        </w:rPr>
        <w:t xml:space="preserve"> </w:t>
      </w:r>
      <w:r>
        <w:rPr>
          <w:rFonts w:hint="eastAsia" w:cs="宋体"/>
          <w:szCs w:val="24"/>
        </w:rPr>
        <w:t>场地的地表水分布及其与地下水的水力联系；</w:t>
      </w:r>
    </w:p>
    <w:p>
      <w:pPr>
        <w:ind w:firstLine="482" w:firstLineChars="200"/>
        <w:rPr>
          <w:rFonts w:cs="宋体"/>
          <w:szCs w:val="24"/>
        </w:rPr>
      </w:pPr>
      <w:r>
        <w:rPr>
          <w:rFonts w:hint="eastAsia" w:cs="宋体"/>
          <w:b/>
          <w:bCs/>
          <w:szCs w:val="24"/>
        </w:rPr>
        <w:t>3</w:t>
      </w:r>
      <w:r>
        <w:rPr>
          <w:rFonts w:hint="eastAsia" w:cs="宋体"/>
          <w:szCs w:val="24"/>
        </w:rPr>
        <w:t xml:space="preserve"> </w:t>
      </w:r>
      <w:r>
        <w:rPr>
          <w:rFonts w:cs="宋体"/>
          <w:szCs w:val="24"/>
        </w:rPr>
        <w:t xml:space="preserve"> </w:t>
      </w:r>
      <w:r>
        <w:rPr>
          <w:rFonts w:hint="eastAsia" w:cs="宋体"/>
          <w:szCs w:val="24"/>
        </w:rPr>
        <w:t>场地的地层岩性分布情况，含水层、相对不透水层及储水构造的分布特征；</w:t>
      </w:r>
    </w:p>
    <w:p>
      <w:pPr>
        <w:ind w:firstLine="482" w:firstLineChars="200"/>
        <w:rPr>
          <w:rFonts w:cs="宋体"/>
          <w:szCs w:val="24"/>
        </w:rPr>
      </w:pPr>
      <w:r>
        <w:rPr>
          <w:rFonts w:hint="eastAsia" w:cs="宋体"/>
          <w:b/>
          <w:bCs/>
          <w:szCs w:val="24"/>
        </w:rPr>
        <w:t>4</w:t>
      </w:r>
      <w:r>
        <w:rPr>
          <w:rFonts w:hint="eastAsia" w:cs="宋体"/>
          <w:szCs w:val="24"/>
        </w:rPr>
        <w:t xml:space="preserve"> </w:t>
      </w:r>
      <w:r>
        <w:rPr>
          <w:rFonts w:cs="宋体"/>
          <w:szCs w:val="24"/>
        </w:rPr>
        <w:t xml:space="preserve"> </w:t>
      </w:r>
      <w:r>
        <w:rPr>
          <w:rFonts w:hint="eastAsia" w:cs="宋体"/>
          <w:szCs w:val="24"/>
        </w:rPr>
        <w:t>场内地下水的赋存及其补给、径流和排泄条件；</w:t>
      </w:r>
    </w:p>
    <w:p>
      <w:pPr>
        <w:ind w:firstLine="482" w:firstLineChars="200"/>
        <w:rPr>
          <w:rFonts w:cs="宋体"/>
          <w:b/>
          <w:bCs/>
          <w:szCs w:val="24"/>
        </w:rPr>
      </w:pPr>
      <w:r>
        <w:rPr>
          <w:rFonts w:hint="eastAsia" w:cs="宋体"/>
          <w:b/>
          <w:bCs/>
          <w:szCs w:val="24"/>
        </w:rPr>
        <w:t>5</w:t>
      </w:r>
      <w:r>
        <w:rPr>
          <w:rFonts w:hint="eastAsia" w:cs="宋体"/>
          <w:szCs w:val="24"/>
        </w:rPr>
        <w:t xml:space="preserve"> </w:t>
      </w:r>
      <w:r>
        <w:rPr>
          <w:rFonts w:cs="宋体"/>
          <w:szCs w:val="24"/>
        </w:rPr>
        <w:t xml:space="preserve"> </w:t>
      </w:r>
      <w:r>
        <w:rPr>
          <w:rFonts w:hint="eastAsia" w:cs="宋体"/>
          <w:szCs w:val="24"/>
        </w:rPr>
        <w:t>场内地下水的类型及水位。</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5.2.1</w:t>
      </w:r>
      <w:r>
        <w:rPr>
          <w:rFonts w:hint="eastAsia" w:ascii="楷体" w:hAnsi="楷体" w:eastAsia="楷体" w:cs="楷体"/>
          <w:b/>
          <w:bCs/>
        </w:rPr>
        <w:t xml:space="preserve">  本条对需要查明的场内地下水在含水层、储水构造中的分布，以及地下水的水位、补径排条件等内容进行了规定，有助于结合区域地下水动态变化分析地下水对工程抗浮的影响。</w:t>
      </w:r>
    </w:p>
    <w:p>
      <w:pPr>
        <w:rPr>
          <w:rFonts w:cs="宋体"/>
          <w:szCs w:val="24"/>
        </w:rPr>
      </w:pPr>
      <w:r>
        <w:rPr>
          <w:rFonts w:hint="eastAsia" w:cs="宋体"/>
          <w:b/>
          <w:bCs/>
          <w:szCs w:val="24"/>
        </w:rPr>
        <w:t>5.</w:t>
      </w:r>
      <w:r>
        <w:rPr>
          <w:rFonts w:cs="宋体"/>
          <w:b/>
          <w:bCs/>
          <w:szCs w:val="24"/>
        </w:rPr>
        <w:t>2</w:t>
      </w:r>
      <w:r>
        <w:rPr>
          <w:rFonts w:hint="eastAsia" w:cs="宋体"/>
          <w:b/>
          <w:bCs/>
          <w:szCs w:val="24"/>
        </w:rPr>
        <w:t>.</w:t>
      </w:r>
      <w:r>
        <w:rPr>
          <w:rFonts w:cs="宋体"/>
          <w:b/>
          <w:bCs/>
          <w:szCs w:val="24"/>
        </w:rPr>
        <w:t>2</w:t>
      </w:r>
      <w:r>
        <w:rPr>
          <w:rFonts w:cs="宋体"/>
          <w:szCs w:val="24"/>
        </w:rPr>
        <w:t xml:space="preserve">  </w:t>
      </w:r>
      <w:r>
        <w:rPr>
          <w:rFonts w:hint="eastAsia" w:cs="宋体"/>
          <w:szCs w:val="24"/>
        </w:rPr>
        <w:t>勘探线布置，宜符合下列要求：</w:t>
      </w:r>
    </w:p>
    <w:p>
      <w:pPr>
        <w:snapToGrid w:val="0"/>
        <w:ind w:firstLine="482" w:firstLineChars="200"/>
        <w:rPr>
          <w:rFonts w:cs="宋体"/>
          <w:szCs w:val="24"/>
        </w:rPr>
      </w:pPr>
      <w:r>
        <w:rPr>
          <w:rFonts w:hint="eastAsia" w:cs="宋体"/>
          <w:b/>
          <w:bCs/>
          <w:szCs w:val="24"/>
        </w:rPr>
        <w:t>1</w:t>
      </w:r>
      <w:r>
        <w:rPr>
          <w:rFonts w:hint="eastAsia" w:cs="宋体"/>
          <w:szCs w:val="24"/>
        </w:rPr>
        <w:t xml:space="preserve"> </w:t>
      </w:r>
      <w:r>
        <w:rPr>
          <w:rFonts w:cs="宋体"/>
          <w:szCs w:val="24"/>
        </w:rPr>
        <w:t xml:space="preserve"> </w:t>
      </w:r>
      <w:r>
        <w:rPr>
          <w:rFonts w:hint="eastAsia" w:cs="宋体"/>
          <w:szCs w:val="24"/>
        </w:rPr>
        <w:t>平行于地下水径流的方向布置主要勘探线，垂直于地下水径流的方向布置次要勘探线；</w:t>
      </w:r>
    </w:p>
    <w:p>
      <w:pPr>
        <w:snapToGrid w:val="0"/>
        <w:ind w:firstLine="482" w:firstLineChars="200"/>
        <w:rPr>
          <w:rFonts w:cs="宋体"/>
          <w:szCs w:val="24"/>
        </w:rPr>
      </w:pPr>
      <w:r>
        <w:rPr>
          <w:rFonts w:hint="eastAsia" w:cs="宋体"/>
          <w:b/>
          <w:bCs/>
          <w:szCs w:val="24"/>
        </w:rPr>
        <w:t>2</w:t>
      </w:r>
      <w:r>
        <w:rPr>
          <w:rFonts w:hint="eastAsia" w:cs="宋体"/>
          <w:szCs w:val="24"/>
        </w:rPr>
        <w:t xml:space="preserve"> </w:t>
      </w:r>
      <w:r>
        <w:rPr>
          <w:rFonts w:cs="宋体"/>
          <w:szCs w:val="24"/>
        </w:rPr>
        <w:t xml:space="preserve"> </w:t>
      </w:r>
      <w:r>
        <w:rPr>
          <w:rFonts w:hint="eastAsia" w:cs="宋体"/>
          <w:szCs w:val="24"/>
        </w:rPr>
        <w:t>断层破碎带、张开裂隙、岩溶管道或采空区中赋存地下水的场地，主要勘探线沿断层、裂隙、岩溶管道及采空区的走向布置，次要勘探线与主要勘探线垂直布设；</w:t>
      </w:r>
    </w:p>
    <w:p>
      <w:pPr>
        <w:snapToGrid w:val="0"/>
        <w:ind w:firstLine="482" w:firstLineChars="200"/>
        <w:rPr>
          <w:rFonts w:cs="宋体"/>
          <w:szCs w:val="24"/>
        </w:rPr>
      </w:pPr>
      <w:r>
        <w:rPr>
          <w:rFonts w:cs="宋体"/>
          <w:b/>
          <w:bCs/>
          <w:szCs w:val="24"/>
        </w:rPr>
        <w:t>3</w:t>
      </w:r>
      <w:r>
        <w:rPr>
          <w:rFonts w:hint="eastAsia" w:cs="宋体"/>
          <w:szCs w:val="24"/>
        </w:rPr>
        <w:t xml:space="preserve"> </w:t>
      </w:r>
      <w:r>
        <w:rPr>
          <w:rFonts w:cs="宋体"/>
          <w:szCs w:val="24"/>
        </w:rPr>
        <w:t xml:space="preserve"> </w:t>
      </w:r>
      <w:r>
        <w:rPr>
          <w:rFonts w:hint="eastAsia" w:cs="宋体"/>
          <w:szCs w:val="24"/>
        </w:rPr>
        <w:t>同一水文地质单元内主要勘探线不少于3条，次要勘探线不少于2条；</w:t>
      </w:r>
    </w:p>
    <w:p>
      <w:pPr>
        <w:snapToGrid w:val="0"/>
        <w:ind w:firstLine="482" w:firstLineChars="200"/>
        <w:rPr>
          <w:rFonts w:cs="宋体"/>
          <w:szCs w:val="24"/>
        </w:rPr>
      </w:pPr>
      <w:r>
        <w:rPr>
          <w:rFonts w:cs="宋体"/>
          <w:b/>
          <w:bCs/>
          <w:szCs w:val="24"/>
        </w:rPr>
        <w:t>4</w:t>
      </w:r>
      <w:r>
        <w:rPr>
          <w:rFonts w:hint="eastAsia" w:cs="宋体"/>
          <w:szCs w:val="24"/>
        </w:rPr>
        <w:t xml:space="preserve"> </w:t>
      </w:r>
      <w:r>
        <w:rPr>
          <w:rFonts w:cs="宋体"/>
          <w:szCs w:val="24"/>
        </w:rPr>
        <w:t xml:space="preserve"> </w:t>
      </w:r>
      <w:r>
        <w:rPr>
          <w:rFonts w:hint="eastAsia" w:cs="宋体"/>
          <w:szCs w:val="24"/>
        </w:rPr>
        <w:t>水文地质条件复杂的地段，适当增设勘探线；</w:t>
      </w:r>
    </w:p>
    <w:p>
      <w:pPr>
        <w:snapToGrid w:val="0"/>
        <w:ind w:firstLine="482" w:firstLineChars="200"/>
        <w:rPr>
          <w:rFonts w:cs="宋体"/>
          <w:szCs w:val="24"/>
        </w:rPr>
      </w:pPr>
      <w:r>
        <w:rPr>
          <w:rFonts w:cs="宋体"/>
          <w:b/>
          <w:bCs/>
          <w:szCs w:val="24"/>
        </w:rPr>
        <w:t>5</w:t>
      </w:r>
      <w:r>
        <w:rPr>
          <w:rFonts w:cs="宋体"/>
          <w:szCs w:val="24"/>
        </w:rPr>
        <w:t xml:space="preserve">  </w:t>
      </w:r>
      <w:r>
        <w:rPr>
          <w:rFonts w:hint="eastAsia" w:cs="宋体"/>
          <w:szCs w:val="24"/>
        </w:rPr>
        <w:t>临水场地沿地下水渗流方向布置勘探线，勘探点包含地下结构上游、中部和下游位置。</w:t>
      </w:r>
    </w:p>
    <w:p>
      <w:pPr>
        <w:rPr>
          <w:rFonts w:ascii="楷体" w:hAnsi="楷体" w:eastAsia="楷体" w:cs="楷体"/>
          <w:b/>
          <w:bCs/>
        </w:rPr>
      </w:pPr>
      <w:bookmarkStart w:id="26" w:name="_Hlk116225997"/>
      <w:r>
        <w:rPr>
          <w:rFonts w:hint="eastAsia" w:ascii="楷体" w:hAnsi="楷体" w:eastAsia="楷体" w:cs="楷体"/>
          <w:b/>
          <w:bCs/>
        </w:rPr>
        <w:t>【条文说明】</w:t>
      </w:r>
      <w:bookmarkEnd w:id="26"/>
      <w:r>
        <w:rPr>
          <w:rFonts w:ascii="楷体" w:hAnsi="楷体" w:eastAsia="楷体" w:cs="楷体"/>
          <w:b/>
          <w:bCs/>
        </w:rPr>
        <w:t>5.2.2</w:t>
      </w:r>
      <w:r>
        <w:rPr>
          <w:rFonts w:hint="eastAsia" w:ascii="楷体" w:hAnsi="楷体" w:eastAsia="楷体" w:cs="楷体"/>
          <w:b/>
          <w:bCs/>
        </w:rPr>
        <w:t xml:space="preserve">  地下水主要赋存于含水层及岩溶管道等储水空间中，查明地下水的径流特征及分布边界是勘探工作的重点；对于临水场地，地下水向地表水径流的同时，可能沿水岸向下游径流，需重点关注地表水与地下水的水力联系；勘探过程中发现实际水文地质单元及地下水径流方向与勘察纲要初步判定不一致时，可以针对性调整勘探工作布置。</w:t>
      </w:r>
    </w:p>
    <w:p>
      <w:pPr>
        <w:rPr>
          <w:rFonts w:cs="宋体"/>
          <w:szCs w:val="24"/>
        </w:rPr>
      </w:pPr>
      <w:r>
        <w:rPr>
          <w:rFonts w:hint="eastAsia" w:cs="宋体"/>
          <w:b/>
          <w:bCs/>
          <w:szCs w:val="24"/>
        </w:rPr>
        <w:t>5.</w:t>
      </w:r>
      <w:r>
        <w:rPr>
          <w:rFonts w:cs="宋体"/>
          <w:b/>
          <w:bCs/>
          <w:szCs w:val="24"/>
        </w:rPr>
        <w:t>2</w:t>
      </w:r>
      <w:r>
        <w:rPr>
          <w:rFonts w:hint="eastAsia" w:cs="宋体"/>
          <w:b/>
          <w:bCs/>
          <w:szCs w:val="24"/>
        </w:rPr>
        <w:t>.</w:t>
      </w:r>
      <w:r>
        <w:rPr>
          <w:rFonts w:cs="宋体"/>
          <w:b/>
          <w:bCs/>
          <w:szCs w:val="24"/>
        </w:rPr>
        <w:t>3</w:t>
      </w:r>
      <w:r>
        <w:rPr>
          <w:b/>
          <w:bCs/>
          <w:color w:val="0000FF"/>
        </w:rPr>
        <w:t xml:space="preserve">  </w:t>
      </w:r>
      <w:r>
        <w:rPr>
          <w:rFonts w:hint="eastAsia" w:cs="宋体"/>
          <w:szCs w:val="24"/>
        </w:rPr>
        <w:t>勘探点布置，宜符合下列要求：</w:t>
      </w:r>
    </w:p>
    <w:p>
      <w:pPr>
        <w:snapToGrid w:val="0"/>
        <w:ind w:firstLine="482" w:firstLineChars="200"/>
        <w:rPr>
          <w:rFonts w:cs="宋体"/>
          <w:szCs w:val="24"/>
        </w:rPr>
      </w:pPr>
      <w:r>
        <w:rPr>
          <w:rFonts w:hint="eastAsia" w:cs="宋体"/>
          <w:b/>
          <w:bCs/>
          <w:szCs w:val="24"/>
        </w:rPr>
        <w:t>1</w:t>
      </w:r>
      <w:r>
        <w:rPr>
          <w:rFonts w:hint="eastAsia" w:cs="宋体"/>
          <w:szCs w:val="24"/>
        </w:rPr>
        <w:t xml:space="preserve"> </w:t>
      </w:r>
      <w:r>
        <w:rPr>
          <w:rFonts w:cs="宋体"/>
          <w:szCs w:val="24"/>
        </w:rPr>
        <w:t xml:space="preserve"> </w:t>
      </w:r>
      <w:r>
        <w:rPr>
          <w:rFonts w:hint="eastAsia" w:cs="宋体"/>
          <w:szCs w:val="24"/>
        </w:rPr>
        <w:t>每条主要勘探线上的勘探点不少于3个；</w:t>
      </w:r>
    </w:p>
    <w:p>
      <w:pPr>
        <w:snapToGrid w:val="0"/>
        <w:ind w:firstLine="482" w:firstLineChars="200"/>
        <w:rPr>
          <w:rFonts w:cs="宋体"/>
          <w:szCs w:val="24"/>
        </w:rPr>
      </w:pPr>
      <w:r>
        <w:rPr>
          <w:rFonts w:hint="eastAsia" w:cs="宋体"/>
          <w:b/>
          <w:bCs/>
          <w:szCs w:val="24"/>
        </w:rPr>
        <w:t>2</w:t>
      </w:r>
      <w:r>
        <w:rPr>
          <w:rFonts w:hint="eastAsia" w:cs="宋体"/>
          <w:szCs w:val="24"/>
        </w:rPr>
        <w:t xml:space="preserve"> </w:t>
      </w:r>
      <w:r>
        <w:rPr>
          <w:rFonts w:cs="宋体"/>
          <w:szCs w:val="24"/>
        </w:rPr>
        <w:t xml:space="preserve"> </w:t>
      </w:r>
      <w:r>
        <w:rPr>
          <w:rFonts w:hint="eastAsia" w:cs="宋体"/>
          <w:szCs w:val="24"/>
        </w:rPr>
        <w:t>对工程抗浮有直接影响的每层含水层勘探点不少于1个；</w:t>
      </w:r>
    </w:p>
    <w:p>
      <w:pPr>
        <w:snapToGrid w:val="0"/>
        <w:ind w:firstLine="482" w:firstLineChars="200"/>
        <w:rPr>
          <w:rFonts w:cs="宋体"/>
          <w:szCs w:val="24"/>
        </w:rPr>
      </w:pPr>
      <w:r>
        <w:rPr>
          <w:rFonts w:cs="宋体"/>
          <w:b/>
          <w:bCs/>
          <w:szCs w:val="24"/>
        </w:rPr>
        <w:t>3</w:t>
      </w:r>
      <w:r>
        <w:rPr>
          <w:rFonts w:hint="eastAsia" w:cs="宋体"/>
          <w:szCs w:val="24"/>
        </w:rPr>
        <w:t xml:space="preserve"> </w:t>
      </w:r>
      <w:r>
        <w:rPr>
          <w:rFonts w:cs="宋体"/>
          <w:szCs w:val="24"/>
        </w:rPr>
        <w:t xml:space="preserve"> </w:t>
      </w:r>
      <w:r>
        <w:rPr>
          <w:rFonts w:hint="eastAsia" w:cs="宋体"/>
          <w:szCs w:val="24"/>
        </w:rPr>
        <w:t>用地红线范围内每一水文地质单元勘探点不少于3个；</w:t>
      </w:r>
    </w:p>
    <w:p>
      <w:pPr>
        <w:snapToGrid w:val="0"/>
        <w:ind w:firstLine="482" w:firstLineChars="200"/>
        <w:rPr>
          <w:rFonts w:cs="宋体"/>
          <w:szCs w:val="24"/>
        </w:rPr>
      </w:pPr>
      <w:r>
        <w:rPr>
          <w:rFonts w:cs="宋体"/>
          <w:b/>
          <w:bCs/>
          <w:szCs w:val="24"/>
        </w:rPr>
        <w:t>4</w:t>
      </w:r>
      <w:r>
        <w:rPr>
          <w:rFonts w:hint="eastAsia" w:cs="宋体"/>
          <w:szCs w:val="24"/>
        </w:rPr>
        <w:t xml:space="preserve"> </w:t>
      </w:r>
      <w:r>
        <w:rPr>
          <w:rFonts w:cs="宋体"/>
          <w:szCs w:val="24"/>
        </w:rPr>
        <w:t xml:space="preserve"> </w:t>
      </w:r>
      <w:r>
        <w:rPr>
          <w:rFonts w:hint="eastAsia" w:cs="宋体"/>
          <w:szCs w:val="24"/>
        </w:rPr>
        <w:t>地形起伏大、岩土界面变化大及岩体较破碎的地段；含水层及储水构造分布较复杂时，适当加密布置勘探点。</w:t>
      </w:r>
    </w:p>
    <w:p>
      <w:pPr>
        <w:rPr>
          <w:rFonts w:ascii="宋体" w:hAnsi="宋体"/>
        </w:rPr>
      </w:pPr>
      <w:bookmarkStart w:id="27" w:name="_Hlk116226245"/>
      <w:r>
        <w:rPr>
          <w:rFonts w:hint="eastAsia" w:ascii="楷体" w:hAnsi="楷体" w:eastAsia="楷体" w:cs="楷体"/>
          <w:b/>
          <w:bCs/>
        </w:rPr>
        <w:t>【条文说明】</w:t>
      </w:r>
      <w:bookmarkEnd w:id="27"/>
      <w:r>
        <w:rPr>
          <w:rFonts w:ascii="楷体" w:hAnsi="楷体" w:eastAsia="楷体" w:cs="楷体"/>
          <w:b/>
          <w:bCs/>
        </w:rPr>
        <w:t>5.2</w:t>
      </w:r>
      <w:r>
        <w:rPr>
          <w:rFonts w:hint="eastAsia" w:ascii="楷体" w:hAnsi="楷体" w:eastAsia="楷体" w:cs="楷体"/>
          <w:b/>
          <w:bCs/>
        </w:rPr>
        <w:t>.</w:t>
      </w:r>
      <w:r>
        <w:rPr>
          <w:rFonts w:ascii="楷体" w:hAnsi="楷体" w:eastAsia="楷体" w:cs="楷体"/>
          <w:b/>
          <w:bCs/>
        </w:rPr>
        <w:t>3</w:t>
      </w:r>
      <w:r>
        <w:rPr>
          <w:rFonts w:hint="eastAsia" w:ascii="楷体" w:hAnsi="楷体" w:eastAsia="楷体" w:cs="楷体"/>
          <w:b/>
          <w:bCs/>
        </w:rPr>
        <w:t xml:space="preserve">  勘探点的布置要考虑地形条件、岩土层组合对潜水分布的影响，也要考虑含水层及储水构造对深部地下水径流的影响，充分查明对工程建设有影响的地下水空间分布特征；勘探过程中动态识别场地内的水文地质单元，并合理布置勘探点。</w:t>
      </w:r>
    </w:p>
    <w:p>
      <w:pPr>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cs="宋体"/>
          <w:b/>
          <w:bCs/>
          <w:color w:val="000000" w:themeColor="text1"/>
          <w:kern w:val="0"/>
          <w:szCs w:val="24"/>
          <w14:textFill>
            <w14:solidFill>
              <w14:schemeClr w14:val="tx1"/>
            </w14:solidFill>
          </w14:textFill>
        </w:rPr>
        <w:t>2</w:t>
      </w:r>
      <w:r>
        <w:rPr>
          <w:rFonts w:hint="eastAsia" w:cs="宋体"/>
          <w:b/>
          <w:bCs/>
          <w:color w:val="000000" w:themeColor="text1"/>
          <w:kern w:val="0"/>
          <w:szCs w:val="24"/>
          <w14:textFill>
            <w14:solidFill>
              <w14:schemeClr w14:val="tx1"/>
            </w14:solidFill>
          </w14:textFill>
        </w:rPr>
        <w:t>.4</w:t>
      </w:r>
      <w:r>
        <w:rPr>
          <w:rFonts w:hint="eastAsia" w:ascii="宋体" w:hAnsi="宋体"/>
          <w:color w:val="0000FF"/>
        </w:rPr>
        <w:t xml:space="preserve"> </w:t>
      </w:r>
      <w:r>
        <w:rPr>
          <w:rFonts w:ascii="宋体" w:hAnsi="宋体"/>
          <w:color w:val="0000FF"/>
        </w:rPr>
        <w:t xml:space="preserve"> </w:t>
      </w:r>
      <w:r>
        <w:rPr>
          <w:rFonts w:hint="eastAsia" w:cs="宋体"/>
          <w:color w:val="000000" w:themeColor="text1"/>
          <w:kern w:val="0"/>
          <w:szCs w:val="24"/>
          <w14:textFill>
            <w14:solidFill>
              <w14:schemeClr w14:val="tx1"/>
            </w14:solidFill>
          </w14:textFill>
        </w:rPr>
        <w:t>钻孔深度，应进入拟抗浮工程设计底板以下，且符合下列要求：</w:t>
      </w:r>
    </w:p>
    <w:p>
      <w:pPr>
        <w:snapToGrid w:val="0"/>
        <w:ind w:firstLine="482" w:firstLineChars="200"/>
        <w:rPr>
          <w:rFonts w:cs="宋体"/>
          <w:color w:val="000000" w:themeColor="text1"/>
          <w:kern w:val="0"/>
          <w:szCs w:val="24"/>
          <w14:textFill>
            <w14:solidFill>
              <w14:schemeClr w14:val="tx1"/>
            </w14:solidFill>
          </w14:textFill>
        </w:rPr>
      </w:pPr>
      <w:r>
        <w:rPr>
          <w:rFonts w:cs="宋体"/>
          <w:b/>
          <w:bCs/>
          <w:color w:val="000000" w:themeColor="text1"/>
          <w:kern w:val="0"/>
          <w:szCs w:val="24"/>
          <w14:textFill>
            <w14:solidFill>
              <w14:schemeClr w14:val="tx1"/>
            </w14:solidFill>
          </w14:textFill>
        </w:rPr>
        <w:t>1</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场地为单一含水层时，钻孔进入基底下含水层不少于3</w:t>
      </w:r>
      <w:r>
        <w:rPr>
          <w:rFonts w:cs="宋体"/>
          <w:color w:val="000000" w:themeColor="text1"/>
          <w:kern w:val="0"/>
          <w:szCs w:val="24"/>
          <w14:textFill>
            <w14:solidFill>
              <w14:schemeClr w14:val="tx1"/>
            </w14:solidFill>
          </w14:textFill>
        </w:rPr>
        <w:t>m</w:t>
      </w:r>
      <w:r>
        <w:rPr>
          <w:rFonts w:hint="eastAsia" w:cs="宋体"/>
          <w:color w:val="000000" w:themeColor="text1"/>
          <w:kern w:val="0"/>
          <w:szCs w:val="24"/>
          <w14:textFill>
            <w14:solidFill>
              <w14:schemeClr w14:val="tx1"/>
            </w14:solidFill>
          </w14:textFill>
        </w:rPr>
        <w:t>；</w:t>
      </w:r>
    </w:p>
    <w:p>
      <w:pPr>
        <w:snapToGrid w:val="0"/>
        <w:ind w:firstLine="482" w:firstLineChars="200"/>
        <w:rPr>
          <w:rFonts w:cs="宋体"/>
          <w:color w:val="000000" w:themeColor="text1"/>
          <w:kern w:val="0"/>
          <w:szCs w:val="24"/>
          <w14:textFill>
            <w14:solidFill>
              <w14:schemeClr w14:val="tx1"/>
            </w14:solidFill>
          </w14:textFill>
        </w:rPr>
      </w:pPr>
      <w:r>
        <w:rPr>
          <w:rFonts w:cs="宋体"/>
          <w:b/>
          <w:bCs/>
          <w:color w:val="000000" w:themeColor="text1"/>
          <w:kern w:val="0"/>
          <w:szCs w:val="24"/>
          <w14:textFill>
            <w14:solidFill>
              <w14:schemeClr w14:val="tx1"/>
            </w14:solidFill>
          </w14:textFill>
        </w:rPr>
        <w:t>2</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多层含水层时，钻孔深度进入对地下结构抗浮有影响的最深含水层</w:t>
      </w:r>
      <w:r>
        <w:rPr>
          <w:rFonts w:cs="宋体"/>
          <w:color w:val="000000" w:themeColor="text1"/>
          <w:kern w:val="0"/>
          <w:szCs w:val="24"/>
          <w14:textFill>
            <w14:solidFill>
              <w14:schemeClr w14:val="tx1"/>
            </w14:solidFill>
          </w14:textFill>
        </w:rPr>
        <w:t>1</w:t>
      </w:r>
      <w:r>
        <w:rPr>
          <w:rFonts w:hint="eastAsia" w:cs="宋体"/>
          <w:color w:val="000000" w:themeColor="text1"/>
          <w:kern w:val="0"/>
          <w:szCs w:val="24"/>
          <w14:textFill>
            <w14:solidFill>
              <w14:schemeClr w14:val="tx1"/>
            </w14:solidFill>
          </w14:textFill>
        </w:rPr>
        <w:t>~</w:t>
      </w:r>
      <w:r>
        <w:rPr>
          <w:rFonts w:cs="宋体"/>
          <w:color w:val="000000" w:themeColor="text1"/>
          <w:kern w:val="0"/>
          <w:szCs w:val="24"/>
          <w14:textFill>
            <w14:solidFill>
              <w14:schemeClr w14:val="tx1"/>
            </w14:solidFill>
          </w14:textFill>
        </w:rPr>
        <w:t>3</w:t>
      </w:r>
      <w:r>
        <w:rPr>
          <w:rFonts w:hint="eastAsia" w:cs="宋体"/>
          <w:color w:val="000000" w:themeColor="text1"/>
          <w:kern w:val="0"/>
          <w:szCs w:val="24"/>
          <w14:textFill>
            <w14:solidFill>
              <w14:schemeClr w14:val="tx1"/>
            </w14:solidFill>
          </w14:textFill>
        </w:rPr>
        <w:t>m；</w:t>
      </w:r>
    </w:p>
    <w:p>
      <w:pPr>
        <w:snapToGrid w:val="0"/>
        <w:ind w:firstLine="482" w:firstLineChars="200"/>
        <w:rPr>
          <w:rFonts w:cs="宋体"/>
          <w:color w:val="000000" w:themeColor="text1"/>
          <w:kern w:val="0"/>
          <w:szCs w:val="24"/>
          <w14:textFill>
            <w14:solidFill>
              <w14:schemeClr w14:val="tx1"/>
            </w14:solidFill>
          </w14:textFill>
        </w:rPr>
      </w:pPr>
      <w:r>
        <w:rPr>
          <w:rFonts w:cs="宋体"/>
          <w:b/>
          <w:bCs/>
          <w:color w:val="000000" w:themeColor="text1"/>
          <w:kern w:val="0"/>
          <w:szCs w:val="24"/>
          <w14:textFill>
            <w14:solidFill>
              <w14:schemeClr w14:val="tx1"/>
            </w14:solidFill>
          </w14:textFill>
        </w:rPr>
        <w:t>3</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断层破碎带、溶洞或采空区钻孔宜深入对工程有影响的含水层底板以下</w:t>
      </w:r>
      <w:r>
        <w:rPr>
          <w:rFonts w:cs="宋体"/>
          <w:color w:val="000000" w:themeColor="text1"/>
          <w:kern w:val="0"/>
          <w:szCs w:val="24"/>
          <w14:textFill>
            <w14:solidFill>
              <w14:schemeClr w14:val="tx1"/>
            </w14:solidFill>
          </w14:textFill>
        </w:rPr>
        <w:t>3</w:t>
      </w:r>
      <w:r>
        <w:rPr>
          <w:rFonts w:hint="eastAsia" w:cs="宋体"/>
          <w:color w:val="000000" w:themeColor="text1"/>
          <w:kern w:val="0"/>
          <w:szCs w:val="24"/>
          <w14:textFill>
            <w14:solidFill>
              <w14:schemeClr w14:val="tx1"/>
            </w14:solidFill>
          </w14:textFill>
        </w:rPr>
        <w:t>~</w:t>
      </w:r>
      <w:r>
        <w:rPr>
          <w:rFonts w:cs="宋体"/>
          <w:color w:val="000000" w:themeColor="text1"/>
          <w:kern w:val="0"/>
          <w:szCs w:val="24"/>
          <w14:textFill>
            <w14:solidFill>
              <w14:schemeClr w14:val="tx1"/>
            </w14:solidFill>
          </w14:textFill>
        </w:rPr>
        <w:t>5</w:t>
      </w:r>
      <w:r>
        <w:rPr>
          <w:rFonts w:hint="eastAsia" w:cs="宋体"/>
          <w:color w:val="000000" w:themeColor="text1"/>
          <w:kern w:val="0"/>
          <w:szCs w:val="24"/>
          <w14:textFill>
            <w14:solidFill>
              <w14:schemeClr w14:val="tx1"/>
            </w14:solidFill>
          </w14:textFill>
        </w:rPr>
        <w:t>m。</w:t>
      </w:r>
    </w:p>
    <w:p>
      <w:pPr>
        <w:rPr>
          <w:rFonts w:ascii="楷体" w:hAnsi="楷体" w:eastAsia="楷体" w:cs="楷体"/>
          <w:b/>
          <w:bCs/>
        </w:rPr>
      </w:pPr>
      <w:bookmarkStart w:id="28" w:name="_Hlk116226398"/>
      <w:r>
        <w:rPr>
          <w:rFonts w:hint="eastAsia" w:ascii="楷体" w:hAnsi="楷体" w:eastAsia="楷体" w:cs="楷体"/>
          <w:b/>
          <w:bCs/>
        </w:rPr>
        <w:t>【条文说明】</w:t>
      </w:r>
      <w:bookmarkEnd w:id="28"/>
      <w:r>
        <w:rPr>
          <w:rFonts w:ascii="楷体" w:hAnsi="楷体" w:eastAsia="楷体" w:cs="楷体"/>
          <w:b/>
          <w:bCs/>
        </w:rPr>
        <w:t>5.2</w:t>
      </w:r>
      <w:r>
        <w:rPr>
          <w:rFonts w:hint="eastAsia" w:ascii="楷体" w:hAnsi="楷体" w:eastAsia="楷体" w:cs="楷体"/>
          <w:b/>
          <w:bCs/>
        </w:rPr>
        <w:t>.4  勘探点深度根据拟建建（构）筑物地下结构埋置深度、</w:t>
      </w:r>
      <w:bookmarkStart w:id="29" w:name="_Hlk118205516"/>
      <w:r>
        <w:rPr>
          <w:rFonts w:hint="eastAsia" w:ascii="楷体" w:hAnsi="楷体" w:eastAsia="楷体" w:cs="楷体"/>
          <w:b/>
          <w:bCs/>
        </w:rPr>
        <w:t>对建（构）筑物有影响的地下水埋深</w:t>
      </w:r>
      <w:bookmarkEnd w:id="29"/>
      <w:r>
        <w:rPr>
          <w:rFonts w:hint="eastAsia" w:ascii="楷体" w:hAnsi="楷体" w:eastAsia="楷体" w:cs="楷体"/>
          <w:b/>
          <w:bCs/>
        </w:rPr>
        <w:t>及抗浮设计要求等综合确定，勘探孔深度需达到可能对建筑造成影响的所有含水层，并依据收集到的场地或区域既有地质资料的分析，确保勘探深度满足要求。抗浮工程水文地质勘察勘探孔深度主要以满足测量地下水位和进行相应水文地质试验的要求，抗浮设计提供参数和施工的要求可结合工程勘察进行。当仅测量地下水位时，勘探孔深度至含水层顶面以下一定深度;当需要进行水文地质试验时，其深度和试验要求需符合现行国家标准《供水水文地质勘察规范》（GB 50027）的规定。</w:t>
      </w:r>
    </w:p>
    <w:p>
      <w:pPr>
        <w:rPr>
          <w:rFonts w:ascii="宋体" w:hAnsi="宋体"/>
          <w:color w:val="0000FF"/>
        </w:rPr>
      </w:pPr>
      <w:r>
        <w:rPr>
          <w:rFonts w:cs="宋体"/>
          <w:b/>
          <w:bCs/>
          <w:color w:val="000000" w:themeColor="text1"/>
          <w:kern w:val="0"/>
          <w:szCs w:val="24"/>
          <w14:textFill>
            <w14:solidFill>
              <w14:schemeClr w14:val="tx1"/>
            </w14:solidFill>
          </w14:textFill>
        </w:rPr>
        <w:t>5.2</w:t>
      </w:r>
      <w:r>
        <w:rPr>
          <w:rFonts w:hint="eastAsia" w:cs="宋体"/>
          <w:b/>
          <w:bCs/>
          <w:color w:val="000000" w:themeColor="text1"/>
          <w:kern w:val="0"/>
          <w:szCs w:val="24"/>
          <w14:textFill>
            <w14:solidFill>
              <w14:schemeClr w14:val="tx1"/>
            </w14:solidFill>
          </w14:textFill>
        </w:rPr>
        <w:t>.5</w:t>
      </w:r>
      <w:r>
        <w:rPr>
          <w:rFonts w:hint="eastAsia" w:ascii="宋体" w:hAnsi="宋体"/>
          <w:b/>
          <w:bCs/>
          <w:color w:val="0000FF"/>
        </w:rPr>
        <w:t xml:space="preserve"> </w:t>
      </w:r>
      <w:r>
        <w:rPr>
          <w:rFonts w:ascii="宋体" w:hAnsi="宋体"/>
          <w:b/>
          <w:bCs/>
          <w:color w:val="0000FF"/>
        </w:rPr>
        <w:t xml:space="preserve"> </w:t>
      </w:r>
      <w:r>
        <w:rPr>
          <w:rFonts w:hint="eastAsia" w:cs="宋体"/>
          <w:color w:val="000000" w:themeColor="text1"/>
          <w:kern w:val="0"/>
          <w:szCs w:val="24"/>
          <w14:textFill>
            <w14:solidFill>
              <w14:schemeClr w14:val="tx1"/>
            </w14:solidFill>
          </w14:textFill>
        </w:rPr>
        <w:t>对需要量测地下水位和进行水文地质试验的钻孔，宜采用带滤网的护壁管，以清水作为循环液，当采用泥浆循环液时，宜采用低固相泥浆，并有效洗井。</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5.2</w:t>
      </w:r>
      <w:r>
        <w:rPr>
          <w:rFonts w:hint="eastAsia" w:ascii="楷体" w:hAnsi="楷体" w:eastAsia="楷体" w:cs="楷体"/>
          <w:b/>
          <w:bCs/>
        </w:rPr>
        <w:t>.5  水文地质钻探主要了解岩土的水理特性，因此需采用套管护壁、以清水作为循环液的钻进方式，保证钻进过程中能分层量测地下水位和分层测定水文地质参数;当采用泥浆循环液钻进时，需采用低固相泥浆，并有效洗井，保证分层量测水位和分层测定水文地质参数的可靠性。</w:t>
      </w:r>
    </w:p>
    <w:p>
      <w:pPr>
        <w:rPr>
          <w:rFonts w:cs="宋体"/>
          <w:color w:val="000000" w:themeColor="text1"/>
          <w:kern w:val="0"/>
          <w:szCs w:val="24"/>
          <w14:textFill>
            <w14:solidFill>
              <w14:schemeClr w14:val="tx1"/>
            </w14:solidFill>
          </w14:textFill>
        </w:rPr>
      </w:pPr>
      <w:r>
        <w:rPr>
          <w:rFonts w:cs="宋体"/>
          <w:b/>
          <w:bCs/>
          <w:color w:val="000000" w:themeColor="text1"/>
          <w:kern w:val="0"/>
          <w:szCs w:val="24"/>
          <w14:textFill>
            <w14:solidFill>
              <w14:schemeClr w14:val="tx1"/>
            </w14:solidFill>
          </w14:textFill>
        </w:rPr>
        <w:t>5.2</w:t>
      </w:r>
      <w:r>
        <w:rPr>
          <w:rFonts w:hint="eastAsia" w:cs="宋体"/>
          <w:b/>
          <w:bCs/>
          <w:color w:val="000000" w:themeColor="text1"/>
          <w:kern w:val="0"/>
          <w:szCs w:val="24"/>
          <w14:textFill>
            <w14:solidFill>
              <w14:schemeClr w14:val="tx1"/>
            </w14:solidFill>
          </w14:textFill>
        </w:rPr>
        <w:t xml:space="preserve">.6 </w:t>
      </w:r>
      <w:r>
        <w:rPr>
          <w:rFonts w:hint="eastAsia" w:cs="宋体"/>
          <w:color w:val="000000" w:themeColor="text1"/>
          <w:kern w:val="0"/>
          <w:szCs w:val="24"/>
          <w14:textFill>
            <w14:solidFill>
              <w14:schemeClr w14:val="tx1"/>
            </w14:solidFill>
          </w14:textFill>
        </w:rPr>
        <w:t>钻孔揭露多个含水层时，宜分层测定稳定水位；分层抽水试验和分层测定水位的钻孔，严格止水，并检查止水效果，不合格时需重新进行。</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5.2</w:t>
      </w:r>
      <w:r>
        <w:rPr>
          <w:rFonts w:hint="eastAsia" w:ascii="楷体" w:hAnsi="楷体" w:eastAsia="楷体" w:cs="楷体"/>
          <w:b/>
          <w:bCs/>
        </w:rPr>
        <w:t>.6  为确保分层测定各含水层地下水位，各含水层、储水构造之间需加强隔水措施。</w:t>
      </w:r>
    </w:p>
    <w:p>
      <w:pPr>
        <w:rPr>
          <w:rFonts w:ascii="宋体" w:hAnsi="宋体"/>
          <w:color w:val="0000FF"/>
        </w:rPr>
      </w:pPr>
      <w:r>
        <w:rPr>
          <w:rFonts w:cs="宋体"/>
          <w:b/>
          <w:bCs/>
          <w:color w:val="000000" w:themeColor="text1"/>
          <w:kern w:val="0"/>
          <w:szCs w:val="24"/>
          <w14:textFill>
            <w14:solidFill>
              <w14:schemeClr w14:val="tx1"/>
            </w14:solidFill>
          </w14:textFill>
        </w:rPr>
        <w:t>5.2</w:t>
      </w:r>
      <w:r>
        <w:rPr>
          <w:rFonts w:hint="eastAsia" w:cs="宋体"/>
          <w:b/>
          <w:bCs/>
          <w:color w:val="000000" w:themeColor="text1"/>
          <w:kern w:val="0"/>
          <w:szCs w:val="24"/>
          <w14:textFill>
            <w14:solidFill>
              <w14:schemeClr w14:val="tx1"/>
            </w14:solidFill>
          </w14:textFill>
        </w:rPr>
        <w:t>.7</w:t>
      </w:r>
      <w:r>
        <w:rPr>
          <w:rFonts w:hint="eastAsia" w:ascii="宋体" w:hAnsi="宋体"/>
          <w:b/>
          <w:bCs/>
          <w:color w:val="0000FF"/>
        </w:rPr>
        <w:t xml:space="preserve"> </w:t>
      </w:r>
      <w:r>
        <w:rPr>
          <w:rFonts w:ascii="宋体" w:hAnsi="宋体"/>
          <w:b/>
          <w:bCs/>
          <w:color w:val="0000FF"/>
        </w:rPr>
        <w:t xml:space="preserve"> </w:t>
      </w:r>
      <w:r>
        <w:rPr>
          <w:rFonts w:hint="eastAsia" w:cs="宋体"/>
          <w:color w:val="000000" w:themeColor="text1"/>
          <w:kern w:val="0"/>
          <w:szCs w:val="24"/>
          <w14:textFill>
            <w14:solidFill>
              <w14:schemeClr w14:val="tx1"/>
            </w14:solidFill>
          </w14:textFill>
        </w:rPr>
        <w:t>钻探中遇易塌孔地层时，宜采用合理的护壁措施。</w:t>
      </w:r>
    </w:p>
    <w:p>
      <w:pPr>
        <w:rPr>
          <w:i/>
        </w:rPr>
      </w:pPr>
      <w:r>
        <w:rPr>
          <w:rFonts w:hint="eastAsia" w:ascii="楷体" w:hAnsi="楷体" w:eastAsia="楷体" w:cs="楷体"/>
          <w:b/>
          <w:bCs/>
        </w:rPr>
        <w:t>【条文说明】</w:t>
      </w:r>
      <w:r>
        <w:rPr>
          <w:rFonts w:ascii="楷体" w:hAnsi="楷体" w:eastAsia="楷体" w:cs="楷体"/>
          <w:b/>
          <w:bCs/>
        </w:rPr>
        <w:t>5.2</w:t>
      </w:r>
      <w:r>
        <w:rPr>
          <w:rFonts w:hint="eastAsia" w:ascii="楷体" w:hAnsi="楷体" w:eastAsia="楷体" w:cs="楷体"/>
          <w:b/>
          <w:bCs/>
        </w:rPr>
        <w:t>.7  对于易塌孔地层，钻探时需做好护壁措施，且确保地下水能正常进入孔内。</w:t>
      </w:r>
    </w:p>
    <w:p>
      <w:pPr>
        <w:rPr>
          <w:rFonts w:ascii="宋体" w:hAnsi="宋体"/>
          <w:color w:val="0000FF"/>
        </w:rPr>
      </w:pPr>
      <w:r>
        <w:rPr>
          <w:rFonts w:cs="宋体"/>
          <w:b/>
          <w:bCs/>
          <w:color w:val="000000" w:themeColor="text1"/>
          <w:kern w:val="0"/>
          <w:szCs w:val="24"/>
          <w14:textFill>
            <w14:solidFill>
              <w14:schemeClr w14:val="tx1"/>
            </w14:solidFill>
          </w14:textFill>
        </w:rPr>
        <w:t>5.2</w:t>
      </w:r>
      <w:r>
        <w:rPr>
          <w:rFonts w:hint="eastAsia" w:cs="宋体"/>
          <w:b/>
          <w:bCs/>
          <w:color w:val="000000" w:themeColor="text1"/>
          <w:kern w:val="0"/>
          <w:szCs w:val="24"/>
          <w14:textFill>
            <w14:solidFill>
              <w14:schemeClr w14:val="tx1"/>
            </w14:solidFill>
          </w14:textFill>
        </w:rPr>
        <w:t>.8</w:t>
      </w:r>
      <w:r>
        <w:rPr>
          <w:rFonts w:cs="宋体"/>
          <w:b/>
          <w:bCs/>
          <w:color w:val="000000" w:themeColor="text1"/>
          <w:kern w:val="0"/>
          <w:szCs w:val="24"/>
          <w14:textFill>
            <w14:solidFill>
              <w14:schemeClr w14:val="tx1"/>
            </w14:solidFill>
          </w14:textFill>
        </w:rPr>
        <w:t xml:space="preserve"> </w:t>
      </w:r>
      <w:r>
        <w:rPr>
          <w:rFonts w:hint="eastAsia" w:ascii="宋体" w:hAnsi="宋体"/>
          <w:b/>
          <w:bCs/>
          <w:color w:val="0000FF"/>
        </w:rPr>
        <w:t xml:space="preserve"> </w:t>
      </w:r>
      <w:r>
        <w:rPr>
          <w:rFonts w:hint="eastAsia" w:cs="宋体"/>
          <w:color w:val="000000" w:themeColor="text1"/>
          <w:kern w:val="0"/>
          <w:szCs w:val="24"/>
          <w14:textFill>
            <w14:solidFill>
              <w14:schemeClr w14:val="tx1"/>
            </w14:solidFill>
          </w14:textFill>
        </w:rPr>
        <w:t>钻探过程中做好地质编录，记录含水层、相对不透水层及储水空间的分界孔深，并记录水位、水温、承压水头以及涌砂、塌孔、漏水、气体逸出位置等信息，对冲洗液消耗量及突变情况进行记录。</w:t>
      </w:r>
    </w:p>
    <w:p>
      <w:r>
        <w:rPr>
          <w:rFonts w:hint="eastAsia" w:ascii="楷体" w:hAnsi="楷体" w:eastAsia="楷体" w:cs="楷体"/>
          <w:b/>
          <w:bCs/>
        </w:rPr>
        <w:t>【条文说明】</w:t>
      </w:r>
      <w:r>
        <w:rPr>
          <w:rFonts w:ascii="楷体" w:hAnsi="楷体" w:eastAsia="楷体" w:cs="楷体"/>
          <w:b/>
          <w:bCs/>
        </w:rPr>
        <w:t>5.2</w:t>
      </w:r>
      <w:r>
        <w:rPr>
          <w:rFonts w:hint="eastAsia" w:ascii="楷体" w:hAnsi="楷体" w:eastAsia="楷体" w:cs="楷体"/>
          <w:b/>
          <w:bCs/>
        </w:rPr>
        <w:t>.8  钻探过程中加强地质编录，并记录孔内初见水位、稳定水位、水温、漏水等情况，有利于判定场内地下水的赋存状况。</w:t>
      </w:r>
    </w:p>
    <w:p>
      <w:pPr>
        <w:rPr>
          <w:rFonts w:ascii="宋体" w:hAnsi="宋体"/>
          <w:color w:val="0000FF"/>
        </w:rPr>
      </w:pPr>
      <w:r>
        <w:rPr>
          <w:rFonts w:cs="宋体"/>
          <w:b/>
          <w:bCs/>
          <w:color w:val="000000" w:themeColor="text1"/>
          <w:kern w:val="0"/>
          <w:szCs w:val="24"/>
          <w14:textFill>
            <w14:solidFill>
              <w14:schemeClr w14:val="tx1"/>
            </w14:solidFill>
          </w14:textFill>
        </w:rPr>
        <w:t>5.2</w:t>
      </w:r>
      <w:r>
        <w:rPr>
          <w:rFonts w:hint="eastAsia" w:cs="宋体"/>
          <w:b/>
          <w:bCs/>
          <w:color w:val="000000" w:themeColor="text1"/>
          <w:kern w:val="0"/>
          <w:szCs w:val="24"/>
          <w14:textFill>
            <w14:solidFill>
              <w14:schemeClr w14:val="tx1"/>
            </w14:solidFill>
          </w14:textFill>
        </w:rPr>
        <w:t>.9</w:t>
      </w:r>
      <w:r>
        <w:rPr>
          <w:rFonts w:hint="eastAsia" w:ascii="宋体" w:hAnsi="宋体"/>
          <w:b/>
          <w:bCs/>
          <w:color w:val="0000FF"/>
        </w:rPr>
        <w:t xml:space="preserve"> </w:t>
      </w:r>
      <w:r>
        <w:rPr>
          <w:rFonts w:ascii="宋体" w:hAnsi="宋体"/>
          <w:b/>
          <w:bCs/>
          <w:color w:val="0000FF"/>
        </w:rPr>
        <w:t xml:space="preserve"> </w:t>
      </w:r>
      <w:r>
        <w:rPr>
          <w:rFonts w:hint="eastAsia" w:cs="宋体"/>
          <w:color w:val="000000" w:themeColor="text1"/>
          <w:kern w:val="0"/>
          <w:szCs w:val="24"/>
          <w14:textFill>
            <w14:solidFill>
              <w14:schemeClr w14:val="tx1"/>
            </w14:solidFill>
          </w14:textFill>
        </w:rPr>
        <w:t>勘探工作完成后，除有水位观测等特殊要求的钻孔、探井、探槽、探洞外，勘探点按规定测得稳定水位后及时回填。需要保留的钻孔、探井、探槽、探洞等，应设置防护措施。</w:t>
      </w:r>
    </w:p>
    <w:p>
      <w:pPr>
        <w:rPr>
          <w:rFonts w:ascii="楷体" w:hAnsi="楷体" w:eastAsia="楷体" w:cs="楷体"/>
          <w:b/>
          <w:bCs/>
        </w:rPr>
      </w:pPr>
      <w:bookmarkStart w:id="30" w:name="_Hlk116226826"/>
      <w:r>
        <w:rPr>
          <w:rFonts w:hint="eastAsia" w:ascii="楷体" w:hAnsi="楷体" w:eastAsia="楷体" w:cs="楷体"/>
          <w:b/>
          <w:bCs/>
        </w:rPr>
        <w:t>【条文说明】</w:t>
      </w:r>
      <w:bookmarkEnd w:id="30"/>
      <w:r>
        <w:rPr>
          <w:rFonts w:ascii="楷体" w:hAnsi="楷体" w:eastAsia="楷体" w:cs="楷体"/>
          <w:b/>
          <w:bCs/>
        </w:rPr>
        <w:t>5.2</w:t>
      </w:r>
      <w:r>
        <w:rPr>
          <w:rFonts w:hint="eastAsia" w:ascii="楷体" w:hAnsi="楷体" w:eastAsia="楷体" w:cs="楷体"/>
          <w:b/>
          <w:bCs/>
        </w:rPr>
        <w:t>.9  为避免钻探、挖探形成的孔、坑汇水对工程建设造成不利影响，要求在其完工后进行回填；对于后续仍需利用的孔、坑，需设置安全防护及防塌孔措施。</w:t>
      </w:r>
    </w:p>
    <w:p>
      <w:pPr>
        <w:rPr>
          <w:rFonts w:ascii="楷体" w:hAnsi="楷体" w:eastAsia="楷体" w:cs="楷体"/>
          <w:b/>
          <w:bCs/>
        </w:rPr>
      </w:pPr>
    </w:p>
    <w:p>
      <w:pPr>
        <w:snapToGrid w:val="0"/>
        <w:jc w:val="center"/>
        <w:rPr>
          <w:rFonts w:ascii="黑体" w:hAnsi="黑体" w:eastAsia="黑体" w:cs="宋体"/>
          <w:b/>
          <w:bCs/>
          <w:kern w:val="0"/>
          <w:sz w:val="28"/>
          <w:szCs w:val="28"/>
        </w:rPr>
      </w:pPr>
      <w:r>
        <w:rPr>
          <w:rFonts w:hint="eastAsia" w:ascii="黑体" w:hAnsi="黑体" w:eastAsia="黑体" w:cs="宋体"/>
          <w:b/>
          <w:bCs/>
          <w:kern w:val="0"/>
          <w:sz w:val="28"/>
          <w:szCs w:val="28"/>
        </w:rPr>
        <w:t>5.3</w:t>
      </w:r>
      <w:r>
        <w:rPr>
          <w:rFonts w:ascii="黑体" w:hAnsi="黑体" w:eastAsia="黑体" w:cs="宋体"/>
          <w:b/>
          <w:bCs/>
          <w:kern w:val="0"/>
          <w:sz w:val="28"/>
          <w:szCs w:val="28"/>
        </w:rPr>
        <w:t xml:space="preserve">  </w:t>
      </w:r>
      <w:r>
        <w:rPr>
          <w:rFonts w:hint="eastAsia" w:ascii="黑体" w:hAnsi="黑体" w:eastAsia="黑体" w:cs="宋体"/>
          <w:b/>
          <w:bCs/>
          <w:kern w:val="0"/>
          <w:sz w:val="28"/>
          <w:szCs w:val="28"/>
        </w:rPr>
        <w:t>水文地质试验</w:t>
      </w:r>
    </w:p>
    <w:p>
      <w:pPr>
        <w:rPr>
          <w:rFonts w:cs="宋体"/>
          <w:color w:val="000000" w:themeColor="text1"/>
          <w:kern w:val="0"/>
          <w:szCs w:val="24"/>
          <w14:textFill>
            <w14:solidFill>
              <w14:schemeClr w14:val="tx1"/>
            </w14:solidFill>
          </w14:textFill>
        </w:rPr>
      </w:pPr>
      <w:r>
        <w:rPr>
          <w:rFonts w:cs="宋体"/>
          <w:b/>
          <w:bCs/>
          <w:szCs w:val="24"/>
        </w:rPr>
        <w:t>5.3.1</w:t>
      </w:r>
      <w:r>
        <w:rPr>
          <w:b/>
          <w:bCs/>
          <w:color w:val="0000FF"/>
        </w:rPr>
        <w:t xml:space="preserve">  </w:t>
      </w:r>
      <w:r>
        <w:rPr>
          <w:rFonts w:hint="eastAsia" w:cs="宋体"/>
          <w:szCs w:val="24"/>
        </w:rPr>
        <w:t>水文地质现场试验以抽水试验为主。当不具备抽水试验条件时，宜根据不同的试验条件采用压水试验、注水试验等获取岩土体的渗透系数等水文地质参数，给出场地地下水补给来源、流向和富水性，判定地下水的渗流路径和渗流影响半径，分析地下水对抗浮工程的影响。</w:t>
      </w:r>
      <w:r>
        <w:rPr>
          <w:rFonts w:hint="eastAsia" w:cs="宋体"/>
          <w:color w:val="000000" w:themeColor="text1"/>
          <w:kern w:val="0"/>
          <w:szCs w:val="24"/>
          <w14:textFill>
            <w14:solidFill>
              <w14:schemeClr w14:val="tx1"/>
            </w14:solidFill>
          </w14:textFill>
        </w:rPr>
        <w:t>水文地质试验方法及应用见表5.3.</w:t>
      </w:r>
      <w:r>
        <w:rPr>
          <w:rFonts w:cs="宋体"/>
          <w:color w:val="000000" w:themeColor="text1"/>
          <w:kern w:val="0"/>
          <w:szCs w:val="24"/>
          <w14:textFill>
            <w14:solidFill>
              <w14:schemeClr w14:val="tx1"/>
            </w14:solidFill>
          </w14:textFill>
        </w:rPr>
        <w:t>1</w:t>
      </w:r>
      <w:r>
        <w:rPr>
          <w:rFonts w:hint="eastAsia" w:cs="宋体"/>
          <w:color w:val="000000" w:themeColor="text1"/>
          <w:kern w:val="0"/>
          <w:szCs w:val="24"/>
          <w14:textFill>
            <w14:solidFill>
              <w14:schemeClr w14:val="tx1"/>
            </w14:solidFill>
          </w14:textFill>
        </w:rPr>
        <w:t>。</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5.3.1</w:t>
      </w:r>
      <w:r>
        <w:rPr>
          <w:rFonts w:hint="eastAsia" w:ascii="楷体" w:hAnsi="楷体" w:eastAsia="楷体" w:cs="楷体"/>
          <w:b/>
          <w:bCs/>
        </w:rPr>
        <w:t xml:space="preserve">  针对不同水文地质模型及透水层，通过现场及室内水文地质试验，测定透水层的渗透性参数、渗透路径及渗流边界，有助于分析水文地质条件发生变化时，地下水水位变化对地下结构的潜在影响。对于溶洞、地下暗河、地下采空区、裂隙及断层破碎带等储水（或过水）构造，通过连通试验有助于分析地下水活动对地下结构的影响范围。</w:t>
      </w:r>
    </w:p>
    <w:p>
      <w:pPr>
        <w:snapToGrid w:val="0"/>
        <w:jc w:val="center"/>
        <w:rPr>
          <w:rFonts w:cs="宋体" w:asciiTheme="minorEastAsia" w:hAnsiTheme="minorEastAsia" w:eastAsiaTheme="minorEastAsia"/>
          <w:b/>
          <w:bCs/>
          <w:color w:val="333333"/>
          <w:kern w:val="0"/>
          <w:sz w:val="21"/>
          <w:szCs w:val="21"/>
        </w:rPr>
      </w:pPr>
      <w:bookmarkStart w:id="31" w:name="_Hlk116226891"/>
      <w:r>
        <w:rPr>
          <w:rFonts w:hint="eastAsia" w:cs="宋体" w:asciiTheme="minorEastAsia" w:hAnsiTheme="minorEastAsia" w:eastAsiaTheme="minorEastAsia"/>
          <w:b/>
          <w:bCs/>
          <w:color w:val="333333"/>
          <w:kern w:val="0"/>
          <w:sz w:val="21"/>
          <w:szCs w:val="21"/>
        </w:rPr>
        <w:t>表 5.</w:t>
      </w:r>
      <w:r>
        <w:rPr>
          <w:rFonts w:cs="宋体" w:asciiTheme="minorEastAsia" w:hAnsiTheme="minorEastAsia" w:eastAsiaTheme="minorEastAsia"/>
          <w:b/>
          <w:bCs/>
          <w:color w:val="333333"/>
          <w:kern w:val="0"/>
          <w:sz w:val="21"/>
          <w:szCs w:val="21"/>
        </w:rPr>
        <w:t>3</w:t>
      </w:r>
      <w:r>
        <w:rPr>
          <w:rFonts w:hint="eastAsia" w:cs="宋体" w:asciiTheme="minorEastAsia" w:hAnsiTheme="minorEastAsia" w:eastAsiaTheme="minorEastAsia"/>
          <w:b/>
          <w:bCs/>
          <w:color w:val="333333"/>
          <w:kern w:val="0"/>
          <w:sz w:val="21"/>
          <w:szCs w:val="21"/>
        </w:rPr>
        <w:t>.</w:t>
      </w:r>
      <w:bookmarkEnd w:id="31"/>
      <w:r>
        <w:rPr>
          <w:rFonts w:cs="宋体" w:asciiTheme="minorEastAsia" w:hAnsiTheme="minorEastAsia" w:eastAsiaTheme="minorEastAsia"/>
          <w:b/>
          <w:bCs/>
          <w:color w:val="333333"/>
          <w:kern w:val="0"/>
          <w:sz w:val="21"/>
          <w:szCs w:val="21"/>
        </w:rPr>
        <w:t>1</w:t>
      </w:r>
      <w:r>
        <w:rPr>
          <w:rFonts w:hint="eastAsia" w:cs="宋体" w:asciiTheme="minorEastAsia" w:hAnsiTheme="minorEastAsia" w:eastAsiaTheme="minorEastAsia"/>
          <w:b/>
          <w:bCs/>
          <w:color w:val="333333"/>
          <w:kern w:val="0"/>
          <w:sz w:val="21"/>
          <w:szCs w:val="21"/>
        </w:rPr>
        <w:t xml:space="preserve">  水文地质试验方法及应用</w:t>
      </w:r>
    </w:p>
    <w:tbl>
      <w:tblPr>
        <w:tblStyle w:val="73"/>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6"/>
        <w:gridCol w:w="4463"/>
        <w:gridCol w:w="24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2" w:hRule="exact"/>
          <w:jc w:val="center"/>
        </w:trPr>
        <w:tc>
          <w:tcPr>
            <w:tcW w:w="0" w:type="auto"/>
            <w:vAlign w:val="center"/>
          </w:tcPr>
          <w:p>
            <w:pPr>
              <w:snapToGrid w:val="0"/>
              <w:spacing w:line="240" w:lineRule="auto"/>
              <w:jc w:val="center"/>
              <w:rPr>
                <w:rFonts w:cs="宋体"/>
                <w:kern w:val="0"/>
                <w:sz w:val="21"/>
                <w:szCs w:val="21"/>
              </w:rPr>
            </w:pPr>
            <w:r>
              <w:rPr>
                <w:rFonts w:hint="eastAsia" w:cs="宋体"/>
                <w:kern w:val="0"/>
                <w:sz w:val="21"/>
                <w:szCs w:val="21"/>
              </w:rPr>
              <w:t>试验方法</w:t>
            </w:r>
          </w:p>
        </w:tc>
        <w:tc>
          <w:tcPr>
            <w:tcW w:w="4463" w:type="dxa"/>
            <w:tcBorders>
              <w:right w:val="single" w:color="auto" w:sz="4" w:space="0"/>
            </w:tcBorders>
            <w:vAlign w:val="center"/>
          </w:tcPr>
          <w:p>
            <w:pPr>
              <w:snapToGrid w:val="0"/>
              <w:spacing w:line="240" w:lineRule="auto"/>
              <w:jc w:val="center"/>
              <w:rPr>
                <w:rFonts w:cs="宋体"/>
                <w:kern w:val="0"/>
                <w:sz w:val="21"/>
                <w:szCs w:val="21"/>
              </w:rPr>
            </w:pPr>
            <w:r>
              <w:rPr>
                <w:rFonts w:hint="eastAsia" w:cs="宋体"/>
                <w:kern w:val="0"/>
                <w:sz w:val="21"/>
                <w:szCs w:val="21"/>
              </w:rPr>
              <w:t>试验及用途</w:t>
            </w:r>
          </w:p>
        </w:tc>
        <w:tc>
          <w:tcPr>
            <w:tcW w:w="2410" w:type="dxa"/>
            <w:tcBorders>
              <w:left w:val="single" w:color="auto" w:sz="4" w:space="0"/>
            </w:tcBorders>
            <w:vAlign w:val="center"/>
          </w:tcPr>
          <w:p>
            <w:pPr>
              <w:snapToGrid w:val="0"/>
              <w:spacing w:line="240" w:lineRule="auto"/>
              <w:jc w:val="center"/>
              <w:rPr>
                <w:rFonts w:cs="宋体"/>
                <w:kern w:val="0"/>
                <w:sz w:val="21"/>
                <w:szCs w:val="21"/>
              </w:rPr>
            </w:pPr>
            <w:r>
              <w:rPr>
                <w:rFonts w:hint="eastAsia" w:cs="宋体"/>
                <w:kern w:val="0"/>
                <w:sz w:val="21"/>
                <w:szCs w:val="21"/>
              </w:rPr>
              <w:t>试验标准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exact"/>
          <w:jc w:val="center"/>
        </w:trPr>
        <w:tc>
          <w:tcPr>
            <w:tcW w:w="0" w:type="auto"/>
            <w:vAlign w:val="center"/>
          </w:tcPr>
          <w:p>
            <w:pPr>
              <w:snapToGrid w:val="0"/>
              <w:spacing w:line="240" w:lineRule="auto"/>
              <w:jc w:val="center"/>
              <w:rPr>
                <w:rFonts w:cs="宋体"/>
                <w:kern w:val="0"/>
                <w:sz w:val="21"/>
                <w:szCs w:val="21"/>
              </w:rPr>
            </w:pPr>
            <w:r>
              <w:rPr>
                <w:rFonts w:hint="eastAsia" w:cs="宋体"/>
                <w:kern w:val="0"/>
                <w:sz w:val="21"/>
                <w:szCs w:val="21"/>
              </w:rPr>
              <w:t>抽水试验</w:t>
            </w:r>
          </w:p>
        </w:tc>
        <w:tc>
          <w:tcPr>
            <w:tcW w:w="4463" w:type="dxa"/>
            <w:tcBorders>
              <w:righ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通过钻孔抽水，测定含水层的渗透系数k</w:t>
            </w:r>
            <w:r>
              <w:rPr>
                <w:rFonts w:hint="eastAsia" w:cs="宋体" w:asciiTheme="minorEastAsia" w:hAnsiTheme="minorEastAsia" w:eastAsiaTheme="minorEastAsia"/>
                <w:kern w:val="0"/>
                <w:sz w:val="21"/>
                <w:szCs w:val="21"/>
              </w:rPr>
              <w:t>以及</w:t>
            </w:r>
            <w:r>
              <w:rPr>
                <w:rFonts w:hint="eastAsia" w:cs="宋体" w:asciiTheme="minorEastAsia" w:hAnsiTheme="minorEastAsia" w:eastAsiaTheme="minorEastAsia"/>
                <w:bCs/>
                <w:kern w:val="0"/>
                <w:sz w:val="21"/>
                <w:szCs w:val="21"/>
              </w:rPr>
              <w:t>导水系数</w:t>
            </w:r>
            <w:r>
              <w:rPr>
                <w:rFonts w:hint="eastAsia" w:cs="宋体" w:asciiTheme="minorEastAsia" w:hAnsiTheme="minorEastAsia" w:eastAsiaTheme="minorEastAsia"/>
                <w:bCs/>
                <w:i/>
                <w:iCs/>
                <w:kern w:val="0"/>
                <w:sz w:val="21"/>
                <w:szCs w:val="21"/>
              </w:rPr>
              <w:t>T</w:t>
            </w:r>
            <w:r>
              <w:rPr>
                <w:rFonts w:hint="eastAsia" w:cs="宋体" w:asciiTheme="minorEastAsia" w:hAnsiTheme="minorEastAsia" w:eastAsiaTheme="minorEastAsia"/>
                <w:bCs/>
                <w:kern w:val="0"/>
                <w:sz w:val="21"/>
                <w:szCs w:val="21"/>
              </w:rPr>
              <w:t>、给水度</w:t>
            </w:r>
            <w:r>
              <w:rPr>
                <w:rFonts w:hint="eastAsia" w:cs="宋体" w:asciiTheme="minorEastAsia" w:hAnsiTheme="minorEastAsia" w:eastAsiaTheme="minorEastAsia"/>
                <w:bCs/>
                <w:i/>
                <w:iCs/>
                <w:kern w:val="0"/>
                <w:sz w:val="21"/>
                <w:szCs w:val="21"/>
                <w:lang w:val="el-GR"/>
              </w:rPr>
              <w:t>μ</w:t>
            </w:r>
            <w:r>
              <w:rPr>
                <w:rFonts w:hint="eastAsia" w:cs="宋体" w:asciiTheme="minorEastAsia" w:hAnsiTheme="minorEastAsia" w:eastAsiaTheme="minorEastAsia"/>
                <w:bCs/>
                <w:kern w:val="0"/>
                <w:sz w:val="21"/>
                <w:szCs w:val="21"/>
              </w:rPr>
              <w:t>、弹性释水系数</w:t>
            </w:r>
            <w:r>
              <w:rPr>
                <w:rFonts w:hint="eastAsia" w:cs="宋体" w:asciiTheme="minorEastAsia" w:hAnsiTheme="minorEastAsia" w:eastAsiaTheme="minorEastAsia"/>
                <w:bCs/>
                <w:i/>
                <w:iCs/>
                <w:kern w:val="0"/>
                <w:sz w:val="21"/>
                <w:szCs w:val="21"/>
                <w:lang w:val="el-GR"/>
              </w:rPr>
              <w:t>μ</w:t>
            </w:r>
            <w:r>
              <w:rPr>
                <w:rFonts w:hint="eastAsia" w:cs="宋体" w:asciiTheme="minorEastAsia" w:hAnsiTheme="minorEastAsia" w:eastAsiaTheme="minorEastAsia"/>
                <w:bCs/>
                <w:i/>
                <w:iCs/>
                <w:kern w:val="0"/>
                <w:sz w:val="21"/>
                <w:szCs w:val="21"/>
                <w:vertAlign w:val="superscript"/>
              </w:rPr>
              <w:t>*</w:t>
            </w:r>
            <w:r>
              <w:rPr>
                <w:rFonts w:hint="eastAsia" w:cs="宋体" w:asciiTheme="minorEastAsia" w:hAnsiTheme="minorEastAsia" w:eastAsiaTheme="minorEastAsia"/>
                <w:bCs/>
                <w:kern w:val="0"/>
                <w:sz w:val="21"/>
                <w:szCs w:val="21"/>
              </w:rPr>
              <w:t>、越流系数</w:t>
            </w:r>
            <w:r>
              <w:rPr>
                <w:rFonts w:hint="eastAsia" w:cs="宋体" w:asciiTheme="minorEastAsia" w:hAnsiTheme="minorEastAsia" w:eastAsiaTheme="minorEastAsia"/>
                <w:bCs/>
                <w:i/>
                <w:iCs/>
                <w:kern w:val="0"/>
                <w:sz w:val="21"/>
                <w:szCs w:val="21"/>
              </w:rPr>
              <w:t>b</w:t>
            </w:r>
            <w:r>
              <w:rPr>
                <w:rFonts w:hint="eastAsia" w:cs="宋体" w:asciiTheme="minorEastAsia" w:hAnsiTheme="minorEastAsia" w:eastAsiaTheme="minorEastAsia"/>
                <w:bCs/>
                <w:kern w:val="0"/>
                <w:sz w:val="21"/>
                <w:szCs w:val="21"/>
              </w:rPr>
              <w:t>、越流因素</w:t>
            </w:r>
            <w:r>
              <w:rPr>
                <w:rFonts w:hint="eastAsia" w:cs="宋体" w:asciiTheme="minorEastAsia" w:hAnsiTheme="minorEastAsia" w:eastAsiaTheme="minorEastAsia"/>
                <w:bCs/>
                <w:i/>
                <w:iCs/>
                <w:kern w:val="0"/>
                <w:sz w:val="21"/>
                <w:szCs w:val="21"/>
              </w:rPr>
              <w:t>B</w:t>
            </w:r>
            <w:r>
              <w:rPr>
                <w:rFonts w:hint="eastAsia" w:cs="宋体" w:asciiTheme="minorEastAsia" w:hAnsiTheme="minorEastAsia" w:eastAsiaTheme="minorEastAsia"/>
                <w:bCs/>
                <w:kern w:val="0"/>
                <w:sz w:val="21"/>
                <w:szCs w:val="21"/>
              </w:rPr>
              <w:t>、影响半径R等</w:t>
            </w:r>
          </w:p>
        </w:tc>
        <w:tc>
          <w:tcPr>
            <w:tcW w:w="2410" w:type="dxa"/>
            <w:tcBorders>
              <w:lef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供水水文地质勘察规范GB 50027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5" w:hRule="exact"/>
          <w:jc w:val="center"/>
        </w:trPr>
        <w:tc>
          <w:tcPr>
            <w:tcW w:w="0" w:type="auto"/>
            <w:vAlign w:val="center"/>
          </w:tcPr>
          <w:p>
            <w:pPr>
              <w:snapToGrid w:val="0"/>
              <w:spacing w:line="240" w:lineRule="auto"/>
              <w:jc w:val="center"/>
              <w:rPr>
                <w:rFonts w:cs="宋体"/>
                <w:kern w:val="0"/>
                <w:sz w:val="21"/>
                <w:szCs w:val="21"/>
              </w:rPr>
            </w:pPr>
            <w:r>
              <w:rPr>
                <w:rFonts w:hint="eastAsia" w:cs="宋体"/>
                <w:kern w:val="0"/>
                <w:sz w:val="21"/>
                <w:szCs w:val="21"/>
              </w:rPr>
              <w:t>压水试验</w:t>
            </w:r>
          </w:p>
        </w:tc>
        <w:tc>
          <w:tcPr>
            <w:tcW w:w="4463" w:type="dxa"/>
            <w:tcBorders>
              <w:righ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通过向钻孔内压水，测定岩体的透水率q（吕荣Lu）；透水率q小于10Lu时，可计算岩体的渗透系数k</w:t>
            </w:r>
          </w:p>
        </w:tc>
        <w:tc>
          <w:tcPr>
            <w:tcW w:w="2410" w:type="dxa"/>
            <w:tcBorders>
              <w:lef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水电水利工程钻孔压水试验规程DL/T5331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5" w:hRule="exact"/>
          <w:jc w:val="center"/>
        </w:trPr>
        <w:tc>
          <w:tcPr>
            <w:tcW w:w="0" w:type="auto"/>
            <w:vAlign w:val="center"/>
          </w:tcPr>
          <w:p>
            <w:pPr>
              <w:snapToGrid w:val="0"/>
              <w:spacing w:line="240" w:lineRule="auto"/>
              <w:jc w:val="center"/>
              <w:rPr>
                <w:rFonts w:cs="宋体"/>
                <w:kern w:val="0"/>
                <w:sz w:val="21"/>
                <w:szCs w:val="21"/>
              </w:rPr>
            </w:pPr>
            <w:r>
              <w:rPr>
                <w:rFonts w:hint="eastAsia" w:cs="宋体"/>
                <w:kern w:val="0"/>
                <w:sz w:val="21"/>
                <w:szCs w:val="21"/>
              </w:rPr>
              <w:t>注水试验</w:t>
            </w:r>
          </w:p>
        </w:tc>
        <w:tc>
          <w:tcPr>
            <w:tcW w:w="4463" w:type="dxa"/>
            <w:tcBorders>
              <w:righ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通过向钻孔连续注水，使孔内水位稳定，测定透水层的渗透系数k</w:t>
            </w:r>
          </w:p>
        </w:tc>
        <w:tc>
          <w:tcPr>
            <w:tcW w:w="2410" w:type="dxa"/>
            <w:tcBorders>
              <w:lef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水电工程钻孔注水试验规程NB/T35104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9" w:hRule="exact"/>
          <w:jc w:val="center"/>
        </w:trPr>
        <w:tc>
          <w:tcPr>
            <w:tcW w:w="0" w:type="auto"/>
            <w:vAlign w:val="center"/>
          </w:tcPr>
          <w:p>
            <w:pPr>
              <w:snapToGrid w:val="0"/>
              <w:spacing w:line="240" w:lineRule="auto"/>
              <w:jc w:val="center"/>
              <w:rPr>
                <w:rFonts w:cs="宋体"/>
                <w:kern w:val="0"/>
                <w:sz w:val="21"/>
                <w:szCs w:val="21"/>
              </w:rPr>
            </w:pPr>
            <w:r>
              <w:rPr>
                <w:rFonts w:hint="eastAsia" w:cs="宋体"/>
                <w:kern w:val="0"/>
                <w:sz w:val="21"/>
                <w:szCs w:val="21"/>
              </w:rPr>
              <w:t>渗水试验</w:t>
            </w:r>
          </w:p>
        </w:tc>
        <w:tc>
          <w:tcPr>
            <w:tcW w:w="4463" w:type="dxa"/>
            <w:tcBorders>
              <w:righ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通过向试坑注水，测定稳定水位以上透水土层的渗透系数k</w:t>
            </w:r>
          </w:p>
        </w:tc>
        <w:tc>
          <w:tcPr>
            <w:tcW w:w="2410" w:type="dxa"/>
            <w:tcBorders>
              <w:lef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电力工程水文地质勘测技术规程DL/T5034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jc w:val="center"/>
        </w:trPr>
        <w:tc>
          <w:tcPr>
            <w:tcW w:w="0" w:type="auto"/>
            <w:vAlign w:val="center"/>
          </w:tcPr>
          <w:p>
            <w:pPr>
              <w:snapToGrid w:val="0"/>
              <w:spacing w:line="240" w:lineRule="auto"/>
              <w:jc w:val="center"/>
              <w:rPr>
                <w:rFonts w:cs="宋体"/>
                <w:kern w:val="0"/>
                <w:sz w:val="21"/>
                <w:szCs w:val="21"/>
              </w:rPr>
            </w:pPr>
            <w:r>
              <w:rPr>
                <w:rFonts w:hint="eastAsia" w:cs="宋体"/>
                <w:kern w:val="0"/>
                <w:sz w:val="21"/>
                <w:szCs w:val="21"/>
              </w:rPr>
              <w:t>连通试验</w:t>
            </w:r>
          </w:p>
        </w:tc>
        <w:tc>
          <w:tcPr>
            <w:tcW w:w="4463" w:type="dxa"/>
            <w:tcBorders>
              <w:righ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通过向地下水上游投入示踪剂，在下游测定示踪剂出现的时间及浓度，以查明地下水运动的路径及速度</w:t>
            </w:r>
          </w:p>
        </w:tc>
        <w:tc>
          <w:tcPr>
            <w:tcW w:w="2410" w:type="dxa"/>
            <w:tcBorders>
              <w:lef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电力工程水文地质勘测技术规程DL/T5034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5" w:hRule="exact"/>
          <w:jc w:val="center"/>
        </w:trPr>
        <w:tc>
          <w:tcPr>
            <w:tcW w:w="0" w:type="auto"/>
            <w:vAlign w:val="center"/>
          </w:tcPr>
          <w:p>
            <w:pPr>
              <w:snapToGrid w:val="0"/>
              <w:spacing w:line="240" w:lineRule="auto"/>
              <w:jc w:val="center"/>
              <w:rPr>
                <w:rFonts w:cs="宋体"/>
                <w:kern w:val="0"/>
                <w:sz w:val="21"/>
                <w:szCs w:val="21"/>
              </w:rPr>
            </w:pPr>
            <w:r>
              <w:rPr>
                <w:rFonts w:hint="eastAsia" w:cs="宋体"/>
                <w:kern w:val="0"/>
                <w:sz w:val="21"/>
                <w:szCs w:val="21"/>
              </w:rPr>
              <w:t>室内渗透试验</w:t>
            </w:r>
          </w:p>
        </w:tc>
        <w:tc>
          <w:tcPr>
            <w:tcW w:w="4463" w:type="dxa"/>
            <w:tcBorders>
              <w:righ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室内测定试件的水平及垂直渗透系数</w:t>
            </w:r>
          </w:p>
        </w:tc>
        <w:tc>
          <w:tcPr>
            <w:tcW w:w="2410" w:type="dxa"/>
            <w:tcBorders>
              <w:left w:val="single" w:color="auto" w:sz="4" w:space="0"/>
            </w:tcBorders>
            <w:vAlign w:val="center"/>
          </w:tcPr>
          <w:p>
            <w:pPr>
              <w:snapToGrid w:val="0"/>
              <w:spacing w:line="240" w:lineRule="auto"/>
              <w:jc w:val="left"/>
              <w:rPr>
                <w:rFonts w:cs="宋体"/>
                <w:kern w:val="0"/>
                <w:sz w:val="21"/>
                <w:szCs w:val="21"/>
              </w:rPr>
            </w:pPr>
            <w:r>
              <w:rPr>
                <w:rFonts w:hint="eastAsia" w:cs="宋体"/>
                <w:kern w:val="0"/>
                <w:sz w:val="21"/>
                <w:szCs w:val="21"/>
              </w:rPr>
              <w:t>土工试验方法标准G</w:t>
            </w:r>
            <w:r>
              <w:rPr>
                <w:rFonts w:cs="宋体"/>
                <w:kern w:val="0"/>
                <w:sz w:val="21"/>
                <w:szCs w:val="21"/>
              </w:rPr>
              <w:t>B/T50123</w:t>
            </w:r>
          </w:p>
        </w:tc>
      </w:tr>
    </w:tbl>
    <w:p>
      <w:pPr>
        <w:rPr>
          <w:rFonts w:ascii="楷体" w:hAnsi="楷体" w:eastAsia="楷体" w:cs="楷体"/>
          <w:b/>
          <w:bCs/>
        </w:rPr>
      </w:pPr>
    </w:p>
    <w:p>
      <w:pPr>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cs="宋体"/>
          <w:b/>
          <w:bCs/>
          <w:color w:val="000000" w:themeColor="text1"/>
          <w:kern w:val="0"/>
          <w:szCs w:val="24"/>
          <w14:textFill>
            <w14:solidFill>
              <w14:schemeClr w14:val="tx1"/>
            </w14:solidFill>
          </w14:textFill>
        </w:rPr>
        <w:t>3</w:t>
      </w:r>
      <w:r>
        <w:rPr>
          <w:rFonts w:hint="eastAsia" w:cs="宋体"/>
          <w:b/>
          <w:bCs/>
          <w:color w:val="000000" w:themeColor="text1"/>
          <w:kern w:val="0"/>
          <w:szCs w:val="24"/>
          <w14:textFill>
            <w14:solidFill>
              <w14:schemeClr w14:val="tx1"/>
            </w14:solidFill>
          </w14:textFill>
        </w:rPr>
        <w:t>.</w:t>
      </w:r>
      <w:r>
        <w:rPr>
          <w:rFonts w:cs="宋体"/>
          <w:b/>
          <w:bCs/>
          <w:color w:val="000000" w:themeColor="text1"/>
          <w:kern w:val="0"/>
          <w:szCs w:val="24"/>
          <w14:textFill>
            <w14:solidFill>
              <w14:schemeClr w14:val="tx1"/>
            </w14:solidFill>
          </w14:textFill>
        </w:rPr>
        <w:t>2</w:t>
      </w:r>
      <w:r>
        <w:rPr>
          <w:rFonts w:hint="eastAsia" w:ascii="宋体" w:hAnsi="宋体"/>
          <w:color w:val="0000FF"/>
        </w:rPr>
        <w:t xml:space="preserve"> </w:t>
      </w:r>
      <w:r>
        <w:rPr>
          <w:rFonts w:ascii="宋体" w:hAnsi="宋体"/>
          <w:color w:val="0000FF"/>
        </w:rPr>
        <w:t xml:space="preserve"> </w:t>
      </w:r>
      <w:r>
        <w:rPr>
          <w:rFonts w:hint="eastAsia" w:cs="宋体"/>
          <w:color w:val="000000" w:themeColor="text1"/>
          <w:kern w:val="0"/>
          <w:szCs w:val="24"/>
          <w14:textFill>
            <w14:solidFill>
              <w14:schemeClr w14:val="tx1"/>
            </w14:solidFill>
          </w14:textFill>
        </w:rPr>
        <w:t>水文地质试验，宜符合下列要求：</w:t>
      </w:r>
    </w:p>
    <w:p>
      <w:pPr>
        <w:snapToGrid w:val="0"/>
        <w:ind w:firstLine="482" w:firstLineChars="200"/>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1</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不同水文地质单元分别布置水文地质试验工作；</w:t>
      </w:r>
    </w:p>
    <w:p>
      <w:pPr>
        <w:snapToGrid w:val="0"/>
        <w:ind w:firstLine="482" w:firstLineChars="200"/>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2</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进行水文地质试验前，做好钻孔护壁措施及分层止水措施；</w:t>
      </w:r>
    </w:p>
    <w:p>
      <w:pPr>
        <w:snapToGrid w:val="0"/>
        <w:ind w:firstLine="482" w:firstLineChars="200"/>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3</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分层量测地下水稳定水位及水温；</w:t>
      </w:r>
    </w:p>
    <w:p>
      <w:pPr>
        <w:snapToGrid w:val="0"/>
        <w:ind w:firstLine="482" w:firstLineChars="200"/>
        <w:rPr>
          <w:rFonts w:cs="宋体"/>
          <w:color w:val="0070C0"/>
          <w:kern w:val="0"/>
          <w:szCs w:val="24"/>
        </w:rPr>
      </w:pPr>
      <w:r>
        <w:rPr>
          <w:rFonts w:hint="eastAsia" w:cs="宋体"/>
          <w:b/>
          <w:bCs/>
          <w:color w:val="000000" w:themeColor="text1"/>
          <w:kern w:val="0"/>
          <w:szCs w:val="24"/>
          <w14:textFill>
            <w14:solidFill>
              <w14:schemeClr w14:val="tx1"/>
            </w14:solidFill>
          </w14:textFill>
        </w:rPr>
        <w:t>4</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对地下水进行分层采样及水质分析；</w:t>
      </w:r>
    </w:p>
    <w:p>
      <w:pPr>
        <w:snapToGrid w:val="0"/>
        <w:ind w:firstLine="482" w:firstLineChars="200"/>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对被相对不透水层分开的各透水层分别进行水文地质试验，测定其渗透性参数；</w:t>
      </w:r>
    </w:p>
    <w:p>
      <w:pPr>
        <w:snapToGrid w:val="0"/>
        <w:ind w:firstLine="482" w:firstLineChars="200"/>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6</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对于斜坡或临水场地，在地下结构地段地下水的补给侧及排泄侧分别布置水文地质试验孔；地下水集中径流区针对性布置水文地质试验孔；</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5.3.</w:t>
      </w:r>
      <w:r>
        <w:rPr>
          <w:rFonts w:hint="eastAsia" w:ascii="楷体" w:hAnsi="楷体" w:eastAsia="楷体" w:cs="楷体"/>
          <w:b/>
          <w:bCs/>
        </w:rPr>
        <w:t>2  为充分评价地下水的赋存特性，水文地质试验、水位量测、水温测定及水质分析等，需按不同的水文地质单元、透水层进行；为判定地下水对建筑材料的腐蚀性和淤堵性，需分层采样及水质分析；对于地下水浅埋的平坦地形区、低洼场地，水文地质试验孔沿地下结构周边布置；斜坡或临水场地，以及地下水径流通道区，针对性布置水文地质试验孔。</w:t>
      </w:r>
    </w:p>
    <w:p>
      <w:pPr>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cs="宋体"/>
          <w:b/>
          <w:bCs/>
          <w:color w:val="000000" w:themeColor="text1"/>
          <w:kern w:val="0"/>
          <w:szCs w:val="24"/>
          <w14:textFill>
            <w14:solidFill>
              <w14:schemeClr w14:val="tx1"/>
            </w14:solidFill>
          </w14:textFill>
        </w:rPr>
        <w:t>3</w:t>
      </w:r>
      <w:r>
        <w:rPr>
          <w:rFonts w:hint="eastAsia" w:cs="宋体"/>
          <w:b/>
          <w:bCs/>
          <w:color w:val="000000" w:themeColor="text1"/>
          <w:kern w:val="0"/>
          <w:szCs w:val="24"/>
          <w14:textFill>
            <w14:solidFill>
              <w14:schemeClr w14:val="tx1"/>
            </w14:solidFill>
          </w14:textFill>
        </w:rPr>
        <w:t>.3</w:t>
      </w:r>
      <w:r>
        <w:rPr>
          <w:rFonts w:hint="eastAsia" w:ascii="宋体" w:hAnsi="宋体"/>
          <w:color w:val="0000FF"/>
        </w:rPr>
        <w:t xml:space="preserve"> </w:t>
      </w:r>
      <w:r>
        <w:rPr>
          <w:rFonts w:ascii="宋体" w:hAnsi="宋体"/>
          <w:color w:val="0000FF"/>
        </w:rPr>
        <w:t xml:space="preserve"> </w:t>
      </w:r>
      <w:r>
        <w:rPr>
          <w:rFonts w:hint="eastAsia" w:cs="宋体"/>
          <w:color w:val="000000" w:themeColor="text1"/>
          <w:kern w:val="0"/>
          <w:szCs w:val="24"/>
          <w14:textFill>
            <w14:solidFill>
              <w14:schemeClr w14:val="tx1"/>
            </w14:solidFill>
          </w14:textFill>
        </w:rPr>
        <w:t>基岩区水文地质试验，宜考虑下列因素：</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1</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裂隙对水文地质试验分层止水的不利影响，以及越流补给对含水层渗透性的影响；</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2</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对于沉积岩中含水层，宜考虑顺层渗透系数与垂直于层面的渗透系数存在差异；</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3</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含水层受构造影响，沿倾斜含水层走向地下水的补给区范围较大，含水层在不同地段，测定的地下水水压存在差异；连通试验的水文地质试验孔可沿含水层倾向与走向分别布置。</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5.3.</w:t>
      </w:r>
      <w:r>
        <w:rPr>
          <w:rFonts w:hint="eastAsia" w:ascii="楷体" w:hAnsi="楷体" w:eastAsia="楷体" w:cs="楷体"/>
          <w:b/>
          <w:bCs/>
        </w:rPr>
        <w:t>3  基岩中含水层的渗透性受构造、层面及裂隙影响，试验测定的渗透系数往往小于实际值，工程中可根据实际工程经验进行调整；倾斜的基岩含水层，地下水受岩层浅埋区和走向两端降雨下渗（或潜水）补给，且存在降雨沿裂隙竖向形成面状补给，地下水位变动幅度较大，需结合地区工程经验综合确定抗浮措施。</w:t>
      </w:r>
    </w:p>
    <w:p>
      <w:pPr>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cs="宋体"/>
          <w:b/>
          <w:bCs/>
          <w:color w:val="000000" w:themeColor="text1"/>
          <w:kern w:val="0"/>
          <w:szCs w:val="24"/>
          <w14:textFill>
            <w14:solidFill>
              <w14:schemeClr w14:val="tx1"/>
            </w14:solidFill>
          </w14:textFill>
        </w:rPr>
        <w:t>3</w:t>
      </w:r>
      <w:r>
        <w:rPr>
          <w:rFonts w:hint="eastAsia" w:cs="宋体"/>
          <w:b/>
          <w:bCs/>
          <w:color w:val="000000" w:themeColor="text1"/>
          <w:kern w:val="0"/>
          <w:szCs w:val="24"/>
          <w14:textFill>
            <w14:solidFill>
              <w14:schemeClr w14:val="tx1"/>
            </w14:solidFill>
          </w14:textFill>
        </w:rPr>
        <w:t>.4</w:t>
      </w:r>
      <w:r>
        <w:rPr>
          <w:rFonts w:hint="eastAsia" w:ascii="宋体" w:hAnsi="宋体"/>
          <w:color w:val="0000FF"/>
        </w:rPr>
        <w:t xml:space="preserve"> </w:t>
      </w:r>
      <w:r>
        <w:rPr>
          <w:rFonts w:ascii="宋体" w:hAnsi="宋体"/>
          <w:color w:val="0000FF"/>
        </w:rPr>
        <w:t xml:space="preserve"> </w:t>
      </w:r>
      <w:r>
        <w:rPr>
          <w:rFonts w:hint="eastAsia" w:cs="宋体"/>
          <w:color w:val="000000" w:themeColor="text1"/>
          <w:kern w:val="0"/>
          <w:szCs w:val="24"/>
          <w14:textFill>
            <w14:solidFill>
              <w14:schemeClr w14:val="tx1"/>
            </w14:solidFill>
          </w14:textFill>
        </w:rPr>
        <w:t>室内渗透试验的取样及样品包装、储存和运输，应符合现行技术标准规定。</w:t>
      </w:r>
    </w:p>
    <w:p>
      <w:pPr>
        <w:rPr>
          <w:rFonts w:cs="宋体"/>
          <w:color w:val="000000" w:themeColor="text1"/>
          <w:kern w:val="0"/>
          <w:szCs w:val="24"/>
          <w14:textFill>
            <w14:solidFill>
              <w14:schemeClr w14:val="tx1"/>
            </w14:solidFill>
          </w14:textFill>
        </w:rPr>
      </w:pPr>
    </w:p>
    <w:p>
      <w:pPr>
        <w:snapToGrid w:val="0"/>
        <w:jc w:val="center"/>
        <w:rPr>
          <w:rFonts w:ascii="黑体" w:hAnsi="黑体" w:eastAsia="黑体" w:cs="宋体"/>
          <w:b/>
          <w:bCs/>
          <w:kern w:val="0"/>
          <w:sz w:val="28"/>
          <w:szCs w:val="28"/>
        </w:rPr>
      </w:pPr>
      <w:bookmarkStart w:id="32" w:name="_Hlk107583346"/>
      <w:r>
        <w:rPr>
          <w:rFonts w:hint="eastAsia" w:ascii="黑体" w:hAnsi="黑体" w:eastAsia="黑体" w:cs="宋体"/>
          <w:b/>
          <w:bCs/>
          <w:kern w:val="0"/>
          <w:sz w:val="28"/>
          <w:szCs w:val="28"/>
        </w:rPr>
        <w:t>5.</w:t>
      </w:r>
      <w:r>
        <w:rPr>
          <w:rFonts w:ascii="黑体" w:hAnsi="黑体" w:eastAsia="黑体" w:cs="宋体"/>
          <w:b/>
          <w:bCs/>
          <w:kern w:val="0"/>
          <w:sz w:val="28"/>
          <w:szCs w:val="28"/>
        </w:rPr>
        <w:t xml:space="preserve">4  </w:t>
      </w:r>
      <w:r>
        <w:rPr>
          <w:rFonts w:hint="eastAsia" w:ascii="黑体" w:hAnsi="黑体" w:eastAsia="黑体" w:cs="宋体"/>
          <w:b/>
          <w:bCs/>
          <w:kern w:val="0"/>
          <w:sz w:val="28"/>
          <w:szCs w:val="28"/>
        </w:rPr>
        <w:t>水文地质观测</w:t>
      </w:r>
    </w:p>
    <w:bookmarkEnd w:id="32"/>
    <w:p>
      <w:pPr>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cs="宋体"/>
          <w:b/>
          <w:bCs/>
          <w:color w:val="000000" w:themeColor="text1"/>
          <w:kern w:val="0"/>
          <w:szCs w:val="24"/>
          <w14:textFill>
            <w14:solidFill>
              <w14:schemeClr w14:val="tx1"/>
            </w14:solidFill>
          </w14:textFill>
        </w:rPr>
        <w:t>4</w:t>
      </w:r>
      <w:r>
        <w:rPr>
          <w:rFonts w:hint="eastAsia" w:cs="宋体"/>
          <w:b/>
          <w:bCs/>
          <w:color w:val="000000" w:themeColor="text1"/>
          <w:kern w:val="0"/>
          <w:szCs w:val="24"/>
          <w14:textFill>
            <w14:solidFill>
              <w14:schemeClr w14:val="tx1"/>
            </w14:solidFill>
          </w14:textFill>
        </w:rPr>
        <w:t>.1</w:t>
      </w:r>
      <w:r>
        <w:rPr>
          <w:rFonts w:hint="eastAsia"/>
          <w:b/>
          <w:bCs/>
          <w:color w:val="0000FF"/>
        </w:rPr>
        <w:t xml:space="preserve"> </w:t>
      </w:r>
      <w:r>
        <w:rPr>
          <w:b/>
          <w:bCs/>
          <w:color w:val="0000FF"/>
        </w:rPr>
        <w:t xml:space="preserve"> </w:t>
      </w:r>
      <w:r>
        <w:rPr>
          <w:rFonts w:hint="eastAsia" w:cs="宋体"/>
          <w:color w:val="000000" w:themeColor="text1"/>
          <w:kern w:val="0"/>
          <w:szCs w:val="24"/>
          <w14:textFill>
            <w14:solidFill>
              <w14:schemeClr w14:val="tx1"/>
            </w14:solidFill>
          </w14:textFill>
        </w:rPr>
        <w:t>勘察期间地下水位观测，应符合下列要求：</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1</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通过钻孔量测潜水初见水位、稳定水位及承压水头；</w:t>
      </w:r>
    </w:p>
    <w:p>
      <w:pPr>
        <w:snapToGrid w:val="0"/>
        <w:ind w:firstLine="482" w:firstLineChars="200"/>
        <w:jc w:val="left"/>
        <w:rPr>
          <w:rFonts w:cs="宋体"/>
          <w:color w:val="000000" w:themeColor="text1"/>
          <w:kern w:val="0"/>
          <w:szCs w:val="24"/>
          <w14:textFill>
            <w14:solidFill>
              <w14:schemeClr w14:val="tx1"/>
            </w14:solidFill>
          </w14:textFill>
        </w:rPr>
      </w:pPr>
      <w:r>
        <w:rPr>
          <w:rFonts w:cs="宋体"/>
          <w:b/>
          <w:bCs/>
          <w:color w:val="000000" w:themeColor="text1"/>
          <w:kern w:val="0"/>
          <w:szCs w:val="24"/>
          <w14:textFill>
            <w14:solidFill>
              <w14:schemeClr w14:val="tx1"/>
            </w14:solidFill>
          </w14:textFill>
        </w:rPr>
        <w:t>2</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采用清水钻进的钻孔，量测稳定潜水位前先抽排孔内注水；</w:t>
      </w:r>
    </w:p>
    <w:p>
      <w:pPr>
        <w:snapToGrid w:val="0"/>
        <w:ind w:firstLine="482" w:firstLineChars="200"/>
        <w:jc w:val="left"/>
        <w:rPr>
          <w:rFonts w:cs="宋体"/>
          <w:color w:val="000000" w:themeColor="text1"/>
          <w:kern w:val="0"/>
          <w:szCs w:val="24"/>
          <w14:textFill>
            <w14:solidFill>
              <w14:schemeClr w14:val="tx1"/>
            </w14:solidFill>
          </w14:textFill>
        </w:rPr>
      </w:pPr>
      <w:r>
        <w:rPr>
          <w:rFonts w:cs="宋体"/>
          <w:b/>
          <w:bCs/>
          <w:color w:val="000000" w:themeColor="text1"/>
          <w:kern w:val="0"/>
          <w:szCs w:val="24"/>
          <w14:textFill>
            <w14:solidFill>
              <w14:schemeClr w14:val="tx1"/>
            </w14:solidFill>
          </w14:textFill>
        </w:rPr>
        <w:t>3</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测量承压水头前，做好承压含水层顶板地层隔水措施。</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5.4.</w:t>
      </w:r>
      <w:r>
        <w:rPr>
          <w:rFonts w:hint="eastAsia" w:ascii="楷体" w:hAnsi="楷体" w:eastAsia="楷体" w:cs="楷体"/>
          <w:b/>
          <w:bCs/>
        </w:rPr>
        <w:t>1  勘察期间钻孔过程中需同步进行地下水位观测，量测稳定潜水位前采用干钻或无水冲洗液钻进。采用清水钻进时，需在量测潜水位前抽排注入孔内的钻探用水；含水层为易塌孔地层时，钻进中需做好护壁及滤水措施；赋存承压水的地层，在钻至其上部相对不透水层时做好隔水措施，防止上部潜水向下补给。</w:t>
      </w:r>
    </w:p>
    <w:p>
      <w:pPr>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cs="宋体"/>
          <w:b/>
          <w:bCs/>
          <w:color w:val="000000" w:themeColor="text1"/>
          <w:kern w:val="0"/>
          <w:szCs w:val="24"/>
          <w14:textFill>
            <w14:solidFill>
              <w14:schemeClr w14:val="tx1"/>
            </w14:solidFill>
          </w14:textFill>
        </w:rPr>
        <w:t>4</w:t>
      </w:r>
      <w:r>
        <w:rPr>
          <w:rFonts w:hint="eastAsia" w:cs="宋体"/>
          <w:b/>
          <w:bCs/>
          <w:color w:val="000000" w:themeColor="text1"/>
          <w:kern w:val="0"/>
          <w:szCs w:val="24"/>
          <w14:textFill>
            <w14:solidFill>
              <w14:schemeClr w14:val="tx1"/>
            </w14:solidFill>
          </w14:textFill>
        </w:rPr>
        <w:t>.2</w:t>
      </w:r>
      <w:r>
        <w:rPr>
          <w:rFonts w:hint="eastAsia"/>
          <w:b/>
          <w:bCs/>
          <w:color w:val="0000FF"/>
        </w:rPr>
        <w:t xml:space="preserve"> </w:t>
      </w:r>
      <w:r>
        <w:rPr>
          <w:b/>
          <w:bCs/>
          <w:color w:val="0000FF"/>
        </w:rPr>
        <w:t xml:space="preserve"> </w:t>
      </w:r>
      <w:r>
        <w:rPr>
          <w:rFonts w:hint="eastAsia" w:cs="宋体"/>
          <w:color w:val="000000" w:themeColor="text1"/>
          <w:kern w:val="0"/>
          <w:szCs w:val="24"/>
          <w14:textFill>
            <w14:solidFill>
              <w14:schemeClr w14:val="tx1"/>
            </w14:solidFill>
          </w14:textFill>
        </w:rPr>
        <w:t>施工期间地下水位观测，应符合下列要求：</w:t>
      </w:r>
    </w:p>
    <w:p>
      <w:pPr>
        <w:snapToGrid w:val="0"/>
        <w:ind w:firstLine="482" w:firstLineChars="200"/>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1</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结合勘察期间地下水分布特征及地下结构的埋深情况，在拟建地下结构周边合理布置地下水水位观测孔（井）；</w:t>
      </w:r>
    </w:p>
    <w:p>
      <w:pPr>
        <w:snapToGrid w:val="0"/>
        <w:ind w:firstLine="482" w:firstLineChars="200"/>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2</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潜水位观测孔（井）深进入基础底板底面以下3~5m；</w:t>
      </w:r>
    </w:p>
    <w:p>
      <w:pPr>
        <w:snapToGrid w:val="0"/>
        <w:ind w:firstLine="482" w:firstLineChars="200"/>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3</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承压水观测孔（井）做好其顶板地层隔水措施，承压含水层对上部潜水存在越流补给时除外；</w:t>
      </w:r>
    </w:p>
    <w:p>
      <w:pPr>
        <w:snapToGrid w:val="0"/>
        <w:ind w:firstLine="482" w:firstLineChars="200"/>
        <w:rPr>
          <w:rFonts w:cs="宋体"/>
          <w:color w:val="000000" w:themeColor="text1"/>
          <w:kern w:val="0"/>
          <w:szCs w:val="24"/>
          <w14:textFill>
            <w14:solidFill>
              <w14:schemeClr w14:val="tx1"/>
            </w14:solidFill>
          </w14:textFill>
        </w:rPr>
      </w:pPr>
      <w:r>
        <w:rPr>
          <w:rFonts w:cs="宋体"/>
          <w:b/>
          <w:bCs/>
          <w:color w:val="000000" w:themeColor="text1"/>
          <w:kern w:val="0"/>
          <w:szCs w:val="24"/>
          <w14:textFill>
            <w14:solidFill>
              <w14:schemeClr w14:val="tx1"/>
            </w14:solidFill>
          </w14:textFill>
        </w:rPr>
        <w:t>4</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观测孔（井）的孔口高于现状地面，且安装井盖，井盖内标明井的编号；</w:t>
      </w:r>
    </w:p>
    <w:p>
      <w:pPr>
        <w:snapToGrid w:val="0"/>
        <w:ind w:firstLine="482" w:firstLineChars="200"/>
        <w:rPr>
          <w:rFonts w:cs="宋体"/>
          <w:color w:val="000000" w:themeColor="text1"/>
          <w:kern w:val="0"/>
          <w:szCs w:val="24"/>
          <w14:textFill>
            <w14:solidFill>
              <w14:schemeClr w14:val="tx1"/>
            </w14:solidFill>
          </w14:textFill>
        </w:rPr>
      </w:pPr>
      <w:r>
        <w:rPr>
          <w:rFonts w:cs="宋体"/>
          <w:b/>
          <w:bCs/>
          <w:color w:val="000000" w:themeColor="text1"/>
          <w:kern w:val="0"/>
          <w:szCs w:val="24"/>
          <w14:textFill>
            <w14:solidFill>
              <w14:schemeClr w14:val="tx1"/>
            </w14:solidFill>
          </w14:textFill>
        </w:rPr>
        <w:t>5</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优先采用自动化观测；采用人工量测时，观测频率满足施工安全需要。</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5.4.</w:t>
      </w:r>
      <w:r>
        <w:rPr>
          <w:rFonts w:hint="eastAsia" w:ascii="楷体" w:hAnsi="楷体" w:eastAsia="楷体" w:cs="楷体"/>
          <w:b/>
          <w:bCs/>
        </w:rPr>
        <w:t>2  观测孔（井）按有利于获取地下水最高水位为原则布置，观测频率需满足施工安全需要，优先结合降水井布设；施工期间地下水位进行分层观测，潜水与承压水存在相互补给时，可对水位进行统一观测；施工过程中需加强对观测孔（井）的保护并及时反馈观测信息。</w:t>
      </w:r>
    </w:p>
    <w:p>
      <w:pPr>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cs="宋体"/>
          <w:b/>
          <w:bCs/>
          <w:color w:val="000000" w:themeColor="text1"/>
          <w:kern w:val="0"/>
          <w:szCs w:val="24"/>
          <w14:textFill>
            <w14:solidFill>
              <w14:schemeClr w14:val="tx1"/>
            </w14:solidFill>
          </w14:textFill>
        </w:rPr>
        <w:t>4</w:t>
      </w:r>
      <w:r>
        <w:rPr>
          <w:rFonts w:hint="eastAsia" w:cs="宋体"/>
          <w:b/>
          <w:bCs/>
          <w:color w:val="000000" w:themeColor="text1"/>
          <w:kern w:val="0"/>
          <w:szCs w:val="24"/>
          <w14:textFill>
            <w14:solidFill>
              <w14:schemeClr w14:val="tx1"/>
            </w14:solidFill>
          </w14:textFill>
        </w:rPr>
        <w:t>.3</w:t>
      </w:r>
      <w:r>
        <w:rPr>
          <w:rFonts w:hint="eastAsia"/>
          <w:b/>
          <w:bCs/>
          <w:color w:val="0000FF"/>
        </w:rPr>
        <w:t xml:space="preserve"> </w:t>
      </w:r>
      <w:r>
        <w:rPr>
          <w:b/>
          <w:bCs/>
          <w:color w:val="0000FF"/>
        </w:rPr>
        <w:t xml:space="preserve"> </w:t>
      </w:r>
      <w:r>
        <w:rPr>
          <w:rFonts w:hint="eastAsia" w:cs="宋体"/>
          <w:color w:val="000000" w:themeColor="text1"/>
          <w:kern w:val="0"/>
          <w:szCs w:val="24"/>
          <w14:textFill>
            <w14:solidFill>
              <w14:schemeClr w14:val="tx1"/>
            </w14:solidFill>
          </w14:textFill>
        </w:rPr>
        <w:t>使用期间地下水位观测，应符合下列要求：</w:t>
      </w:r>
    </w:p>
    <w:p>
      <w:pPr>
        <w:snapToGrid w:val="0"/>
        <w:ind w:firstLine="482" w:firstLineChars="200"/>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1</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结合施工期间地下水动态变化，及地下水的补给条件、径流通道情况，同一地貌单元的观测孔（井）不应少于3个；斜坡场地在地下结构两侧地下水上游和下游分别布设使用期观测孔（井）；低洼场地或者地下水浅埋的平坦场地，使用期观测孔（井）沿地下结构周边布设；保存良好的施工期观测孔（井）可用作使用期或长期观测孔（井）；</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2</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在场区基岩面凹槽区、裂隙出水区及临水侧等水文地质条件较复杂的地段，加密布设地下水水位观测孔（井）；</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3</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重点观测场区在雨季的地下水低水位和高水位，在非雨季地下水的低水位；</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4</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宜优先采用自动化观测；采用人工观测时，雨季的观测频率宜适当加密；强降雨期间每天1次；</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新建建（构）筑物观测地下水水位的时长大于5个水文年，既有工程观测地下水水位的时长大于3个水文年；</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6</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地下水位接近抗浮设防水位时，及时发布预警；</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7</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做好观测孔（井）防塌孔措施及地面保护措施。</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5.4.</w:t>
      </w:r>
      <w:r>
        <w:rPr>
          <w:rFonts w:hint="eastAsia" w:ascii="楷体" w:hAnsi="楷体" w:eastAsia="楷体" w:cs="楷体"/>
          <w:b/>
          <w:bCs/>
        </w:rPr>
        <w:t>3  使用期地下水位观测重点在地下结构的上、下游及水文地质条件复杂地段布置观测孔（井），并加强对雨季和非雨季特征地下水位的观测，观测时长大于5个水文年；观测期间加强对观测孔（井）的保护，并及时发布风险水位预警。</w:t>
      </w:r>
    </w:p>
    <w:p>
      <w:pPr>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5.</w:t>
      </w:r>
      <w:r>
        <w:rPr>
          <w:rFonts w:cs="宋体"/>
          <w:b/>
          <w:bCs/>
          <w:color w:val="000000" w:themeColor="text1"/>
          <w:kern w:val="0"/>
          <w:szCs w:val="24"/>
          <w14:textFill>
            <w14:solidFill>
              <w14:schemeClr w14:val="tx1"/>
            </w14:solidFill>
          </w14:textFill>
        </w:rPr>
        <w:t>4</w:t>
      </w:r>
      <w:r>
        <w:rPr>
          <w:rFonts w:hint="eastAsia" w:cs="宋体"/>
          <w:b/>
          <w:bCs/>
          <w:color w:val="000000" w:themeColor="text1"/>
          <w:kern w:val="0"/>
          <w:szCs w:val="24"/>
          <w14:textFill>
            <w14:solidFill>
              <w14:schemeClr w14:val="tx1"/>
            </w14:solidFill>
          </w14:textFill>
        </w:rPr>
        <w:t>.4</w:t>
      </w:r>
      <w:r>
        <w:rPr>
          <w:rFonts w:hint="eastAsia" w:cs="宋体"/>
          <w:color w:val="0000FF"/>
          <w:kern w:val="0"/>
          <w:szCs w:val="24"/>
        </w:rPr>
        <w:t xml:space="preserve"> </w:t>
      </w:r>
      <w:r>
        <w:rPr>
          <w:rFonts w:cs="宋体"/>
          <w:color w:val="0000FF"/>
          <w:kern w:val="0"/>
          <w:szCs w:val="24"/>
        </w:rPr>
        <w:t xml:space="preserve"> </w:t>
      </w:r>
      <w:r>
        <w:rPr>
          <w:rFonts w:hint="eastAsia" w:cs="宋体"/>
          <w:color w:val="000000" w:themeColor="text1"/>
          <w:kern w:val="0"/>
          <w:szCs w:val="24"/>
          <w14:textFill>
            <w14:solidFill>
              <w14:schemeClr w14:val="tx1"/>
            </w14:solidFill>
          </w14:textFill>
        </w:rPr>
        <w:t>施工期及使用期地下水位观测成果，宜符合下列要求：</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1</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绘制观测孔（井）平面布置图；</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2</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编制地下水水位数据表；</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3</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绘制地下水水位随时间变化的曲线图；</w:t>
      </w:r>
    </w:p>
    <w:p>
      <w:pPr>
        <w:snapToGrid w:val="0"/>
        <w:ind w:firstLine="482" w:firstLineChars="200"/>
        <w:jc w:val="left"/>
        <w:rPr>
          <w:rFonts w:cs="宋体"/>
          <w:color w:val="000000" w:themeColor="text1"/>
          <w:kern w:val="0"/>
          <w:szCs w:val="24"/>
          <w14:textFill>
            <w14:solidFill>
              <w14:schemeClr w14:val="tx1"/>
            </w14:solidFill>
          </w14:textFill>
        </w:rPr>
      </w:pPr>
      <w:r>
        <w:rPr>
          <w:rFonts w:hint="eastAsia" w:cs="宋体"/>
          <w:b/>
          <w:bCs/>
          <w:color w:val="000000" w:themeColor="text1"/>
          <w:kern w:val="0"/>
          <w:szCs w:val="24"/>
          <w14:textFill>
            <w14:solidFill>
              <w14:schemeClr w14:val="tx1"/>
            </w14:solidFill>
          </w14:textFill>
        </w:rPr>
        <w:t>4</w:t>
      </w:r>
      <w:r>
        <w:rPr>
          <w:rFonts w:hint="eastAsia" w:cs="宋体"/>
          <w:color w:val="000000" w:themeColor="text1"/>
          <w:kern w:val="0"/>
          <w:szCs w:val="24"/>
          <w14:textFill>
            <w14:solidFill>
              <w14:schemeClr w14:val="tx1"/>
            </w14:solidFill>
          </w14:textFill>
        </w:rPr>
        <w:t xml:space="preserve"> </w:t>
      </w:r>
      <w:r>
        <w:rPr>
          <w:rFonts w:cs="宋体"/>
          <w:color w:val="000000" w:themeColor="text1"/>
          <w:kern w:val="0"/>
          <w:szCs w:val="24"/>
          <w14:textFill>
            <w14:solidFill>
              <w14:schemeClr w14:val="tx1"/>
            </w14:solidFill>
          </w14:textFill>
        </w:rPr>
        <w:t xml:space="preserve"> </w:t>
      </w:r>
      <w:r>
        <w:rPr>
          <w:rFonts w:hint="eastAsia" w:cs="宋体"/>
          <w:color w:val="000000" w:themeColor="text1"/>
          <w:kern w:val="0"/>
          <w:szCs w:val="24"/>
          <w14:textFill>
            <w14:solidFill>
              <w14:schemeClr w14:val="tx1"/>
            </w14:solidFill>
          </w14:textFill>
        </w:rPr>
        <w:t>编制地下水水位观测日报、周报、月报及最终成果报告，出现风险时编制水位观测预警报告。</w:t>
      </w:r>
    </w:p>
    <w:p>
      <w:pPr>
        <w:autoSpaceDE w:val="0"/>
        <w:autoSpaceDN w:val="0"/>
        <w:adjustRightInd w:val="0"/>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5.4.</w:t>
      </w:r>
      <w:r>
        <w:rPr>
          <w:rFonts w:hint="eastAsia" w:ascii="楷体" w:hAnsi="楷体" w:eastAsia="楷体" w:cs="楷体"/>
          <w:b/>
          <w:bCs/>
        </w:rPr>
        <w:t>4  施工期及使用期地下水位观测成果包括观测孔（井）平面布置图、水位数据表、水位动态变化曲线及观测报告。</w:t>
      </w:r>
    </w:p>
    <w:p>
      <w:pPr>
        <w:snapToGrid w:val="0"/>
        <w:jc w:val="left"/>
        <w:rPr>
          <w:rFonts w:cs="宋体"/>
          <w:kern w:val="0"/>
          <w:szCs w:val="24"/>
        </w:rPr>
      </w:pPr>
    </w:p>
    <w:p>
      <w:pPr>
        <w:snapToGrid w:val="0"/>
        <w:rPr>
          <w:rFonts w:cs="宋体"/>
          <w:b/>
          <w:bCs/>
          <w:kern w:val="0"/>
          <w:sz w:val="28"/>
          <w:szCs w:val="28"/>
        </w:rPr>
      </w:pPr>
    </w:p>
    <w:p>
      <w:pPr>
        <w:snapToGrid w:val="0"/>
        <w:rPr>
          <w:rFonts w:cs="宋体"/>
          <w:b/>
          <w:bCs/>
          <w:kern w:val="0"/>
          <w:sz w:val="28"/>
          <w:szCs w:val="28"/>
        </w:rPr>
      </w:pPr>
    </w:p>
    <w:p>
      <w:pPr>
        <w:snapToGrid w:val="0"/>
        <w:rPr>
          <w:rFonts w:cs="宋体"/>
          <w:b/>
          <w:bCs/>
          <w:kern w:val="0"/>
          <w:sz w:val="28"/>
          <w:szCs w:val="28"/>
        </w:rPr>
      </w:pPr>
    </w:p>
    <w:p>
      <w:pPr>
        <w:snapToGrid w:val="0"/>
        <w:rPr>
          <w:rFonts w:cs="宋体"/>
          <w:b/>
          <w:bCs/>
          <w:kern w:val="0"/>
          <w:sz w:val="28"/>
          <w:szCs w:val="28"/>
        </w:rPr>
      </w:pPr>
    </w:p>
    <w:p>
      <w:pPr>
        <w:snapToGrid w:val="0"/>
        <w:rPr>
          <w:rFonts w:cs="宋体"/>
          <w:b/>
          <w:bCs/>
          <w:kern w:val="0"/>
          <w:sz w:val="28"/>
          <w:szCs w:val="28"/>
        </w:rPr>
      </w:pPr>
    </w:p>
    <w:p>
      <w:pPr>
        <w:snapToGrid w:val="0"/>
        <w:rPr>
          <w:rFonts w:cs="宋体"/>
          <w:b/>
          <w:bCs/>
          <w:kern w:val="0"/>
          <w:sz w:val="28"/>
          <w:szCs w:val="28"/>
        </w:rPr>
      </w:pPr>
    </w:p>
    <w:bookmarkEnd w:id="24"/>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45"/>
        <w:ind w:firstLine="480"/>
        <w:rPr>
          <w:rFonts w:ascii="Times New Roman"/>
        </w:rPr>
      </w:pPr>
    </w:p>
    <w:p>
      <w:pPr>
        <w:pStyle w:val="2"/>
        <w:rPr>
          <w:b w:val="0"/>
          <w:bCs w:val="0"/>
          <w:sz w:val="24"/>
          <w:szCs w:val="24"/>
        </w:rPr>
      </w:pPr>
      <w:bookmarkStart w:id="33" w:name="_Toc9528"/>
      <w:r>
        <w:rPr>
          <w:rFonts w:hint="eastAsia"/>
        </w:rPr>
        <w:t xml:space="preserve">  </w:t>
      </w:r>
      <w:r>
        <w:rPr>
          <w:rFonts w:hint="eastAsia"/>
          <w:sz w:val="30"/>
          <w:szCs w:val="30"/>
        </w:rPr>
        <w:t>抗浮分析与评价</w:t>
      </w:r>
      <w:bookmarkEnd w:id="33"/>
      <w:bookmarkStart w:id="34" w:name="_Toc35131585"/>
    </w:p>
    <w:p>
      <w:pPr>
        <w:pStyle w:val="3"/>
        <w:ind w:hanging="5538"/>
        <w:rPr>
          <w:rFonts w:ascii="黑体" w:hAnsi="黑体" w:eastAsia="黑体"/>
        </w:rPr>
      </w:pPr>
      <w:r>
        <w:rPr>
          <w:rFonts w:hint="eastAsia"/>
        </w:rPr>
        <w:t xml:space="preserve">  </w:t>
      </w:r>
      <w:r>
        <w:rPr>
          <w:rFonts w:hint="eastAsia" w:ascii="黑体" w:hAnsi="黑体" w:eastAsia="黑体"/>
        </w:rPr>
        <w:t>一般规定</w:t>
      </w:r>
    </w:p>
    <w:p>
      <w:pPr>
        <w:autoSpaceDE w:val="0"/>
        <w:rPr>
          <w:rFonts w:cs="宋体"/>
          <w:szCs w:val="24"/>
        </w:rPr>
      </w:pPr>
      <w:r>
        <w:rPr>
          <w:rFonts w:hint="eastAsia" w:cs="宋体"/>
          <w:b/>
          <w:bCs/>
          <w:szCs w:val="24"/>
        </w:rPr>
        <w:t xml:space="preserve">6.1.1  </w:t>
      </w:r>
      <w:r>
        <w:rPr>
          <w:rFonts w:hint="eastAsia" w:cs="宋体"/>
          <w:szCs w:val="24"/>
        </w:rPr>
        <w:t>抗浮设防水位，应根据场地历史最高水位和长期水文地质观测资料、地下水位变化趋势预测成果和工程经验综合分析后，按施工期和使用期分别确定。</w:t>
      </w:r>
    </w:p>
    <w:p>
      <w:pPr>
        <w:autoSpaceDE w:val="0"/>
        <w:rPr>
          <w:rFonts w:cs="宋体"/>
          <w:szCs w:val="24"/>
        </w:rPr>
      </w:pPr>
      <w:r>
        <w:rPr>
          <w:rFonts w:hint="eastAsia" w:cs="宋体"/>
          <w:b/>
          <w:bCs/>
          <w:szCs w:val="24"/>
        </w:rPr>
        <w:t>6.1.</w:t>
      </w:r>
      <w:r>
        <w:rPr>
          <w:rFonts w:cs="宋体"/>
          <w:b/>
          <w:bCs/>
          <w:szCs w:val="24"/>
        </w:rPr>
        <w:t>2</w:t>
      </w:r>
      <w:r>
        <w:rPr>
          <w:rFonts w:hint="eastAsia" w:cs="宋体"/>
          <w:b/>
          <w:bCs/>
          <w:szCs w:val="24"/>
        </w:rPr>
        <w:t xml:space="preserve">  </w:t>
      </w:r>
      <w:r>
        <w:rPr>
          <w:rFonts w:hint="eastAsia" w:cs="宋体"/>
          <w:szCs w:val="24"/>
        </w:rPr>
        <w:t>地下水位变化趋势分析，宜包括下列内容：</w:t>
      </w:r>
    </w:p>
    <w:p>
      <w:pPr>
        <w:ind w:firstLine="482" w:firstLineChars="200"/>
      </w:pPr>
      <w:r>
        <w:rPr>
          <w:b/>
          <w:bCs/>
        </w:rPr>
        <w:t>1</w:t>
      </w:r>
      <w:r>
        <w:rPr>
          <w:rFonts w:hint="eastAsia"/>
          <w:b/>
          <w:bCs/>
        </w:rPr>
        <w:t xml:space="preserve">  </w:t>
      </w:r>
      <w:r>
        <w:rPr>
          <w:rFonts w:hint="eastAsia"/>
        </w:rPr>
        <w:t>分析场地各地质单元内地下水分布规律以及各水文地质单元之间的影响趋势；</w:t>
      </w:r>
    </w:p>
    <w:p>
      <w:pPr>
        <w:ind w:firstLine="482" w:firstLineChars="200"/>
      </w:pPr>
      <w:r>
        <w:rPr>
          <w:b/>
          <w:bCs/>
        </w:rPr>
        <w:t>2</w:t>
      </w:r>
      <w:r>
        <w:rPr>
          <w:rFonts w:hint="eastAsia"/>
          <w:b/>
          <w:bCs/>
        </w:rPr>
        <w:t xml:space="preserve">  </w:t>
      </w:r>
      <w:r>
        <w:rPr>
          <w:rFonts w:hint="eastAsia"/>
        </w:rPr>
        <w:t>分析场地及其临近区域地下水开采对地下水位的影响及开采得到控制后地下水位的回升趋势；</w:t>
      </w:r>
    </w:p>
    <w:p>
      <w:pPr>
        <w:ind w:firstLine="482" w:firstLineChars="200"/>
      </w:pPr>
      <w:r>
        <w:rPr>
          <w:b/>
          <w:bCs/>
        </w:rPr>
        <w:t>3</w:t>
      </w:r>
      <w:r>
        <w:rPr>
          <w:rFonts w:hint="eastAsia"/>
          <w:b/>
          <w:bCs/>
        </w:rPr>
        <w:t xml:space="preserve">  </w:t>
      </w:r>
      <w:r>
        <w:rPr>
          <w:rFonts w:hint="eastAsia"/>
        </w:rPr>
        <w:t>分析地下水与临近地表水的水力联系、水位变化规律及影响程度；</w:t>
      </w:r>
    </w:p>
    <w:p>
      <w:pPr>
        <w:ind w:firstLine="482" w:firstLineChars="200"/>
      </w:pPr>
      <w:r>
        <w:rPr>
          <w:b/>
          <w:bCs/>
        </w:rPr>
        <w:t>4</w:t>
      </w:r>
      <w:r>
        <w:rPr>
          <w:rFonts w:hint="eastAsia"/>
          <w:b/>
          <w:bCs/>
        </w:rPr>
        <w:t xml:space="preserve">  </w:t>
      </w:r>
      <w:r>
        <w:rPr>
          <w:rFonts w:hint="eastAsia"/>
        </w:rPr>
        <w:t>分析区域水文地质观测资料与场地地下水位的关联性；</w:t>
      </w:r>
    </w:p>
    <w:p>
      <w:pPr>
        <w:ind w:firstLine="482" w:firstLineChars="200"/>
      </w:pPr>
      <w:r>
        <w:rPr>
          <w:b/>
          <w:bCs/>
        </w:rPr>
        <w:t>5</w:t>
      </w:r>
      <w:r>
        <w:rPr>
          <w:rFonts w:hint="eastAsia"/>
          <w:b/>
          <w:bCs/>
        </w:rPr>
        <w:t xml:space="preserve">  </w:t>
      </w:r>
      <w:r>
        <w:rPr>
          <w:rFonts w:hint="eastAsia"/>
        </w:rPr>
        <w:t>分析对基底产生水压力的地下水所处层位和可能的地下水环境条件变化，考虑本工程及临近工程建设对场地地下水渗流路径的影响；</w:t>
      </w:r>
    </w:p>
    <w:p>
      <w:pPr>
        <w:ind w:firstLine="482" w:firstLineChars="200"/>
      </w:pPr>
      <w:r>
        <w:rPr>
          <w:b/>
          <w:bCs/>
        </w:rPr>
        <w:t>6</w:t>
      </w:r>
      <w:r>
        <w:rPr>
          <w:rFonts w:hint="eastAsia"/>
          <w:b/>
          <w:bCs/>
        </w:rPr>
        <w:t xml:space="preserve">  </w:t>
      </w:r>
      <w:r>
        <w:rPr>
          <w:rFonts w:hint="eastAsia"/>
        </w:rPr>
        <w:t>分析预测施工期、使用期的最不利组合工况时地下水的最高水位；</w:t>
      </w:r>
    </w:p>
    <w:p>
      <w:pPr>
        <w:ind w:firstLine="482" w:firstLineChars="200"/>
      </w:pPr>
      <w:r>
        <w:rPr>
          <w:b/>
          <w:bCs/>
        </w:rPr>
        <w:t>7</w:t>
      </w:r>
      <w:r>
        <w:rPr>
          <w:rFonts w:hint="eastAsia"/>
          <w:b/>
          <w:bCs/>
        </w:rPr>
        <w:t xml:space="preserve">  </w:t>
      </w:r>
      <w:r>
        <w:rPr>
          <w:rFonts w:hint="eastAsia"/>
        </w:rPr>
        <w:t>场地存在稳定渗流时进行渗流场计算及分析，水文地质条件复杂时可通过渗流数值计算分析。</w:t>
      </w:r>
    </w:p>
    <w:p>
      <w:pPr>
        <w:autoSpaceDE w:val="0"/>
        <w:rPr>
          <w:rFonts w:cs="宋体"/>
          <w:szCs w:val="24"/>
        </w:rPr>
      </w:pPr>
      <w:r>
        <w:rPr>
          <w:rFonts w:hint="eastAsia" w:cs="宋体"/>
          <w:b/>
          <w:bCs/>
          <w:szCs w:val="24"/>
        </w:rPr>
        <w:t>6.1.</w:t>
      </w:r>
      <w:r>
        <w:rPr>
          <w:rFonts w:cs="宋体"/>
          <w:b/>
          <w:bCs/>
          <w:szCs w:val="24"/>
        </w:rPr>
        <w:t>3</w:t>
      </w:r>
      <w:r>
        <w:rPr>
          <w:rFonts w:hint="eastAsia" w:cs="宋体"/>
          <w:b/>
          <w:bCs/>
          <w:szCs w:val="24"/>
        </w:rPr>
        <w:t xml:space="preserve"> </w:t>
      </w:r>
      <w:r>
        <w:rPr>
          <w:rFonts w:cs="宋体"/>
          <w:b/>
          <w:bCs/>
          <w:szCs w:val="24"/>
        </w:rPr>
        <w:t xml:space="preserve"> </w:t>
      </w:r>
      <w:r>
        <w:rPr>
          <w:rFonts w:hint="eastAsia" w:cs="宋体"/>
          <w:szCs w:val="24"/>
        </w:rPr>
        <w:t>施工期抗浮设防水位，应符合下列要求：</w:t>
      </w:r>
    </w:p>
    <w:p>
      <w:pPr>
        <w:ind w:firstLine="482" w:firstLineChars="20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根据勘察时实测的场地最高水位，并考虑季节变化等导致地下水位可能升高的因素，按一个水文年的最高水位确定；</w:t>
      </w:r>
    </w:p>
    <w:p>
      <w:pPr>
        <w:ind w:firstLine="482" w:firstLineChars="20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当施工期有可靠降水措施时，根据降水后最高水位确定；</w:t>
      </w:r>
    </w:p>
    <w:p>
      <w:pPr>
        <w:ind w:firstLine="482" w:firstLineChars="200"/>
        <w:rPr>
          <w:rFonts w:cs="宋体"/>
          <w:szCs w:val="24"/>
        </w:rPr>
      </w:pPr>
      <w:r>
        <w:rPr>
          <w:rFonts w:hint="eastAsia"/>
          <w:b/>
          <w:bCs/>
        </w:rPr>
        <w:t>3</w:t>
      </w:r>
      <w:r>
        <w:rPr>
          <w:rFonts w:hint="eastAsia" w:cs="宋体"/>
          <w:szCs w:val="24"/>
        </w:rPr>
        <w:t xml:space="preserve"> </w:t>
      </w:r>
      <w:r>
        <w:rPr>
          <w:rFonts w:cs="宋体"/>
          <w:szCs w:val="24"/>
        </w:rPr>
        <w:t xml:space="preserve"> </w:t>
      </w:r>
      <w:r>
        <w:rPr>
          <w:rFonts w:hint="eastAsia" w:cs="宋体"/>
          <w:szCs w:val="24"/>
        </w:rPr>
        <w:t>考虑结构自重和上覆土重尚未施加时，地下水浮力对地下结构的不利影响等因素；</w:t>
      </w:r>
    </w:p>
    <w:p>
      <w:pPr>
        <w:ind w:firstLine="482" w:firstLineChars="200"/>
        <w:rPr>
          <w:rFonts w:cs="宋体"/>
          <w:szCs w:val="24"/>
        </w:rPr>
      </w:pPr>
      <w:r>
        <w:rPr>
          <w:rFonts w:hint="eastAsia"/>
          <w:b/>
          <w:bCs/>
        </w:rPr>
        <w:t>4</w:t>
      </w:r>
      <w:r>
        <w:rPr>
          <w:rFonts w:hint="eastAsia" w:cs="宋体"/>
          <w:szCs w:val="24"/>
        </w:rPr>
        <w:t xml:space="preserve">  考虑工程建设对区域或局部地下水的影响。</w:t>
      </w:r>
    </w:p>
    <w:p>
      <w:pPr>
        <w:rPr>
          <w:rFonts w:ascii="楷体" w:hAnsi="楷体" w:eastAsia="楷体" w:cs="楷体"/>
          <w:b/>
          <w:bCs/>
        </w:rPr>
      </w:pPr>
      <w:r>
        <w:rPr>
          <w:rFonts w:hint="eastAsia" w:ascii="楷体" w:hAnsi="楷体" w:eastAsia="楷体" w:cs="楷体"/>
          <w:b/>
          <w:bCs/>
        </w:rPr>
        <w:t>【条文说明】6.1.</w:t>
      </w:r>
      <w:r>
        <w:rPr>
          <w:rFonts w:ascii="楷体" w:hAnsi="楷体" w:eastAsia="楷体" w:cs="楷体"/>
          <w:b/>
          <w:bCs/>
        </w:rPr>
        <w:t>3</w:t>
      </w:r>
      <w:r>
        <w:rPr>
          <w:rFonts w:hint="eastAsia" w:ascii="楷体" w:hAnsi="楷体" w:eastAsia="楷体" w:cs="楷体"/>
          <w:b/>
          <w:bCs/>
        </w:rPr>
        <w:t xml:space="preserve">  施工期间的抗浮设防水位是指施工期可能出现的最高水位，考虑到施工期的工期相对较短，且施工期有利于采取应急处理措施，故施工期间的抗浮设防水位按照一个水文年的最高水位来确定。</w:t>
      </w:r>
    </w:p>
    <w:p>
      <w:pPr>
        <w:ind w:firstLine="482" w:firstLineChars="200"/>
        <w:rPr>
          <w:rFonts w:ascii="楷体" w:hAnsi="楷体" w:eastAsia="楷体" w:cs="楷体"/>
          <w:b/>
          <w:bCs/>
        </w:rPr>
      </w:pPr>
      <w:r>
        <w:rPr>
          <w:rFonts w:hint="eastAsia" w:ascii="楷体" w:hAnsi="楷体" w:eastAsia="楷体" w:cs="楷体"/>
          <w:b/>
          <w:bCs/>
        </w:rPr>
        <w:t>施工期间的抗浮设防主要在结构底板封闭之后，应注意：</w:t>
      </w:r>
    </w:p>
    <w:p>
      <w:pPr>
        <w:ind w:firstLine="482" w:firstLineChars="200"/>
        <w:rPr>
          <w:rFonts w:ascii="楷体" w:hAnsi="楷体" w:eastAsia="楷体" w:cs="楷体"/>
          <w:b/>
          <w:bCs/>
        </w:rPr>
      </w:pPr>
      <w:r>
        <w:rPr>
          <w:rFonts w:hint="eastAsia" w:ascii="楷体" w:hAnsi="楷体" w:eastAsia="楷体" w:cs="楷体"/>
          <w:b/>
          <w:bCs/>
        </w:rPr>
        <w:t>1  当结构自重或覆土未完成时，抗浮力未达到设计状态，应加强监测和地下水控制；</w:t>
      </w:r>
    </w:p>
    <w:p>
      <w:pPr>
        <w:ind w:firstLine="482" w:firstLineChars="200"/>
        <w:rPr>
          <w:rFonts w:ascii="楷体" w:hAnsi="楷体" w:eastAsia="楷体" w:cs="楷体"/>
          <w:b/>
          <w:bCs/>
        </w:rPr>
      </w:pPr>
      <w:r>
        <w:rPr>
          <w:rFonts w:hint="eastAsia" w:ascii="楷体" w:hAnsi="楷体" w:eastAsia="楷体" w:cs="楷体"/>
          <w:b/>
          <w:bCs/>
        </w:rPr>
        <w:t>2  对采取工程降水措施的，停止降水后应加强对地下结构抗浮稳定状态的监测；</w:t>
      </w:r>
    </w:p>
    <w:p>
      <w:pPr>
        <w:ind w:firstLine="482" w:firstLineChars="200"/>
        <w:rPr>
          <w:rFonts w:ascii="楷体" w:hAnsi="楷体" w:eastAsia="楷体" w:cs="楷体"/>
          <w:b/>
          <w:bCs/>
        </w:rPr>
      </w:pPr>
      <w:r>
        <w:rPr>
          <w:rFonts w:hint="eastAsia" w:ascii="楷体" w:hAnsi="楷体" w:eastAsia="楷体" w:cs="楷体"/>
          <w:b/>
          <w:bCs/>
        </w:rPr>
        <w:t>3  施工期应采用截排手段，避免地表水直接汇入肥槽。</w:t>
      </w:r>
    </w:p>
    <w:p>
      <w:pPr>
        <w:autoSpaceDE w:val="0"/>
        <w:rPr>
          <w:rFonts w:cs="宋体"/>
          <w:szCs w:val="24"/>
        </w:rPr>
      </w:pPr>
      <w:r>
        <w:rPr>
          <w:rFonts w:hint="eastAsia" w:cs="宋体"/>
          <w:b/>
          <w:bCs/>
          <w:szCs w:val="24"/>
        </w:rPr>
        <w:t>6.1.</w:t>
      </w:r>
      <w:r>
        <w:rPr>
          <w:rFonts w:cs="宋体"/>
          <w:b/>
          <w:bCs/>
          <w:szCs w:val="24"/>
        </w:rPr>
        <w:t>4</w:t>
      </w:r>
      <w:r>
        <w:rPr>
          <w:rFonts w:hint="eastAsia" w:cs="宋体"/>
          <w:b/>
          <w:bCs/>
          <w:szCs w:val="24"/>
        </w:rPr>
        <w:t xml:space="preserve"> </w:t>
      </w:r>
      <w:r>
        <w:rPr>
          <w:rFonts w:cs="宋体"/>
          <w:b/>
          <w:bCs/>
          <w:szCs w:val="24"/>
        </w:rPr>
        <w:t xml:space="preserve"> </w:t>
      </w:r>
      <w:r>
        <w:rPr>
          <w:rFonts w:hint="eastAsia" w:cs="宋体"/>
          <w:szCs w:val="24"/>
        </w:rPr>
        <w:t>使用期抗浮设防水位，应符合下列要求：</w:t>
      </w:r>
    </w:p>
    <w:p>
      <w:pPr>
        <w:autoSpaceDE w:val="0"/>
        <w:ind w:firstLine="480"/>
        <w:rPr>
          <w:rFonts w:cs="宋体"/>
          <w:szCs w:val="24"/>
        </w:rPr>
      </w:pPr>
      <w:r>
        <w:rPr>
          <w:rFonts w:hint="eastAsia"/>
          <w:b/>
          <w:bCs/>
        </w:rPr>
        <w:t>1</w:t>
      </w:r>
      <w:r>
        <w:rPr>
          <w:rFonts w:hint="eastAsia" w:cs="宋体"/>
          <w:szCs w:val="24"/>
        </w:rPr>
        <w:t xml:space="preserve"> </w:t>
      </w:r>
      <w:r>
        <w:rPr>
          <w:rFonts w:cs="宋体"/>
          <w:szCs w:val="24"/>
        </w:rPr>
        <w:t xml:space="preserve"> </w:t>
      </w:r>
      <w:r>
        <w:rPr>
          <w:rFonts w:hint="eastAsia" w:cs="宋体"/>
          <w:szCs w:val="24"/>
        </w:rPr>
        <w:t>抗浮设防水位取全生命周期可能遇到的最高水位或地下结构底板底面上可能受到的最大水压力按静态折算的地下水水位。当有长期水位观测资料时，抗浮设防水位可根据地下水实测最高水位和建（构）筑物使用期间地下水的变化来确定；当无长期水位观测资料或资料缺乏时，根据地下水位变化趋势预测评价结果综合确定；</w:t>
      </w:r>
    </w:p>
    <w:p>
      <w:pPr>
        <w:autoSpaceDE w:val="0"/>
        <w:ind w:firstLine="480"/>
        <w:rPr>
          <w:rFonts w:cs="宋体"/>
          <w:szCs w:val="24"/>
        </w:rPr>
      </w:pPr>
      <w:r>
        <w:rPr>
          <w:rFonts w:hint="eastAsia"/>
          <w:b/>
          <w:bCs/>
        </w:rPr>
        <w:t>2</w:t>
      </w:r>
      <w:r>
        <w:rPr>
          <w:rFonts w:hint="eastAsia" w:cs="宋体"/>
          <w:szCs w:val="24"/>
        </w:rPr>
        <w:t xml:space="preserve"> </w:t>
      </w:r>
      <w:r>
        <w:rPr>
          <w:rFonts w:cs="宋体"/>
          <w:szCs w:val="24"/>
        </w:rPr>
        <w:t xml:space="preserve"> </w:t>
      </w:r>
      <w:r>
        <w:rPr>
          <w:rFonts w:hint="eastAsia" w:cs="宋体"/>
          <w:szCs w:val="24"/>
        </w:rPr>
        <w:t>场地具多种类型地下水，各层地下水虽然具有各自的独立水位，但若相对不透水层已属饱和状态、各类地下水有水力联系时，按各层水的混合最高水位确定；</w:t>
      </w:r>
    </w:p>
    <w:p>
      <w:pPr>
        <w:autoSpaceDE w:val="0"/>
        <w:ind w:firstLine="480"/>
      </w:pPr>
      <w:r>
        <w:rPr>
          <w:b/>
          <w:bCs/>
        </w:rPr>
        <w:t>3</w:t>
      </w:r>
      <w:r>
        <w:rPr>
          <w:rFonts w:hint="eastAsia"/>
        </w:rPr>
        <w:t xml:space="preserve">  多层地下水无水力联系时，若工程采用止水帷幕、咬合桩、地下连续墙等永久性止水措施，有效隔绝侧向地下水水力联系，按地下结构基底受到的最大水压力按静态折算确定；</w:t>
      </w:r>
    </w:p>
    <w:p>
      <w:pPr>
        <w:autoSpaceDE w:val="0"/>
        <w:ind w:firstLine="480"/>
        <w:rPr>
          <w:rFonts w:cs="宋体"/>
          <w:szCs w:val="24"/>
        </w:rPr>
      </w:pPr>
      <w:r>
        <w:rPr>
          <w:b/>
          <w:bCs/>
        </w:rPr>
        <w:t>4</w:t>
      </w:r>
      <w:r>
        <w:rPr>
          <w:rFonts w:hint="eastAsia" w:cs="宋体"/>
          <w:szCs w:val="24"/>
        </w:rPr>
        <w:t xml:space="preserve"> </w:t>
      </w:r>
      <w:r>
        <w:rPr>
          <w:rFonts w:cs="宋体"/>
          <w:szCs w:val="24"/>
        </w:rPr>
        <w:t xml:space="preserve"> </w:t>
      </w:r>
      <w:r>
        <w:rPr>
          <w:rFonts w:hint="eastAsia" w:cs="宋体"/>
          <w:szCs w:val="24"/>
        </w:rPr>
        <w:t>地势平坦、岩土透水性等级为弱透水及以上且疏排不畅的场地，若肥槽回填无法避免地表水渗入地下结构基底时，宜取设计室外地坪高程；</w:t>
      </w:r>
    </w:p>
    <w:p>
      <w:pPr>
        <w:autoSpaceDE w:val="0"/>
        <w:ind w:firstLine="480"/>
        <w:rPr>
          <w:rFonts w:cs="宋体"/>
          <w:szCs w:val="24"/>
        </w:rPr>
      </w:pPr>
      <w:r>
        <w:rPr>
          <w:rFonts w:hint="eastAsia" w:cs="宋体"/>
          <w:b/>
          <w:bCs/>
          <w:szCs w:val="24"/>
        </w:rPr>
        <w:t>5</w:t>
      </w:r>
      <w:r>
        <w:rPr>
          <w:rFonts w:cs="宋体"/>
          <w:szCs w:val="24"/>
        </w:rPr>
        <w:t xml:space="preserve">  </w:t>
      </w:r>
      <w:r>
        <w:rPr>
          <w:rFonts w:hint="eastAsia" w:cs="宋体"/>
          <w:szCs w:val="24"/>
        </w:rPr>
        <w:t>地下水赋存条件复杂、场地及周边地形变化幅度大、区域性补给和排水条件可能有较大改变时，宜结合渗流数值计算综合确定。</w:t>
      </w:r>
    </w:p>
    <w:p>
      <w:pPr>
        <w:rPr>
          <w:rFonts w:ascii="楷体" w:hAnsi="楷体" w:eastAsia="楷体" w:cs="楷体"/>
          <w:b/>
          <w:bCs/>
        </w:rPr>
      </w:pPr>
      <w:r>
        <w:rPr>
          <w:rFonts w:hint="eastAsia" w:ascii="楷体" w:hAnsi="楷体" w:eastAsia="楷体" w:cs="楷体"/>
          <w:b/>
          <w:bCs/>
        </w:rPr>
        <w:t>【条文说明】</w:t>
      </w:r>
      <w:r>
        <w:rPr>
          <w:rFonts w:ascii="楷体" w:hAnsi="楷体" w:eastAsia="楷体" w:cs="楷体"/>
          <w:b/>
          <w:bCs/>
        </w:rPr>
        <w:t>6.1.4</w:t>
      </w:r>
      <w:r>
        <w:rPr>
          <w:rFonts w:hint="eastAsia" w:ascii="楷体" w:hAnsi="楷体" w:eastAsia="楷体" w:cs="楷体"/>
          <w:b/>
          <w:bCs/>
        </w:rPr>
        <w:t xml:space="preserve">  由于抗浮设防水位是地下结构使用期间可能遇到的最高水位，这个水位显然不是勘察期间实测到的场地最高水位，也不完全是历史上观测或记录到的历史最高水位，而是地下结构使用期间可能遇到的最高水位，也就是说这个水位是岩土工程师根据场地条件和当地经验预测的、未来可能出现的一个水位，这个水位既反映了岩土工程师的经验判断水平，也反映当地技术经济发展水平；而地下结构未来几十年使用期间，地下水位变化可能很大，这就给岩土工程师确定合理设防水位带来很大的困难。</w:t>
      </w:r>
    </w:p>
    <w:p>
      <w:pPr>
        <w:autoSpaceDE w:val="0"/>
        <w:ind w:firstLine="480"/>
        <w:rPr>
          <w:rFonts w:ascii="楷体" w:hAnsi="楷体" w:eastAsia="楷体" w:cs="楷体"/>
          <w:b/>
          <w:bCs/>
        </w:rPr>
      </w:pPr>
      <w:r>
        <w:rPr>
          <w:rFonts w:ascii="楷体" w:hAnsi="楷体" w:eastAsia="楷体" w:cs="楷体"/>
          <w:b/>
          <w:bCs/>
        </w:rPr>
        <w:t xml:space="preserve">1  </w:t>
      </w:r>
      <w:r>
        <w:rPr>
          <w:rFonts w:hint="eastAsia" w:ascii="楷体" w:hAnsi="楷体" w:eastAsia="楷体" w:cs="楷体"/>
          <w:b/>
          <w:bCs/>
        </w:rPr>
        <w:t>我国幅员辽阔，场地水文地质条件千差万别，要统一规定一个抗浮设防水位取值标准非常困难。因此</w:t>
      </w:r>
      <w:r>
        <w:rPr>
          <w:rFonts w:ascii="楷体" w:hAnsi="楷体" w:eastAsia="楷体" w:cs="楷体"/>
          <w:b/>
          <w:bCs/>
        </w:rPr>
        <w:t>仅给出</w:t>
      </w:r>
      <w:r>
        <w:rPr>
          <w:rFonts w:hint="eastAsia" w:ascii="楷体" w:hAnsi="楷体" w:eastAsia="楷体" w:cs="楷体"/>
          <w:b/>
          <w:bCs/>
        </w:rPr>
        <w:t>一</w:t>
      </w:r>
      <w:r>
        <w:rPr>
          <w:rFonts w:ascii="楷体" w:hAnsi="楷体" w:eastAsia="楷体" w:cs="楷体"/>
          <w:b/>
          <w:bCs/>
        </w:rPr>
        <w:t>个取值原则，具体</w:t>
      </w:r>
      <w:r>
        <w:rPr>
          <w:rFonts w:hint="eastAsia" w:ascii="楷体" w:hAnsi="楷体" w:eastAsia="楷体" w:cs="楷体"/>
          <w:b/>
          <w:bCs/>
        </w:rPr>
        <w:t>需</w:t>
      </w:r>
      <w:r>
        <w:rPr>
          <w:rFonts w:ascii="楷体" w:hAnsi="楷体" w:eastAsia="楷体" w:cs="楷体"/>
          <w:b/>
          <w:bCs/>
        </w:rPr>
        <w:t>由岩土工程师</w:t>
      </w:r>
      <w:r>
        <w:rPr>
          <w:rFonts w:hint="eastAsia" w:ascii="楷体" w:hAnsi="楷体" w:eastAsia="楷体" w:cs="楷体"/>
          <w:b/>
          <w:bCs/>
        </w:rPr>
        <w:t>按场地条件和当地经验选取。</w:t>
      </w:r>
    </w:p>
    <w:p>
      <w:pPr>
        <w:autoSpaceDE w:val="0"/>
        <w:ind w:firstLine="482" w:firstLineChars="200"/>
        <w:rPr>
          <w:rFonts w:ascii="楷体" w:hAnsi="楷体" w:eastAsia="楷体" w:cs="楷体"/>
          <w:b/>
          <w:bCs/>
        </w:rPr>
      </w:pPr>
      <w:r>
        <w:rPr>
          <w:rFonts w:hint="eastAsia" w:ascii="楷体" w:hAnsi="楷体" w:eastAsia="楷体" w:cs="楷体"/>
          <w:b/>
          <w:bCs/>
        </w:rPr>
        <w:t>预测建（构）筑物全生命周期的最高地下水位，可用方便适用的经验公式“勘察期间实测地下水位”+“地下水季节变化幅度”（枯水期勘察时加变化幅度大值，丰水期勘察时加变幅小值）+“意外补给可能带来的地下水升高值”+“减少开采、节流”来预测和推定地下水抗浮设防水位。</w:t>
      </w:r>
    </w:p>
    <w:p>
      <w:pPr>
        <w:autoSpaceDE w:val="0"/>
        <w:ind w:firstLine="480"/>
        <w:rPr>
          <w:rFonts w:ascii="楷体" w:hAnsi="楷体" w:eastAsia="楷体" w:cs="楷体"/>
          <w:b/>
          <w:bCs/>
        </w:rPr>
      </w:pPr>
      <w:r>
        <w:rPr>
          <w:rFonts w:hint="eastAsia" w:ascii="楷体" w:hAnsi="楷体" w:eastAsia="楷体" w:cs="楷体"/>
          <w:b/>
          <w:bCs/>
        </w:rPr>
        <w:t xml:space="preserve">2 </w:t>
      </w:r>
      <w:r>
        <w:rPr>
          <w:rFonts w:ascii="楷体" w:hAnsi="楷体" w:eastAsia="楷体" w:cs="楷体"/>
          <w:b/>
          <w:bCs/>
        </w:rPr>
        <w:t xml:space="preserve"> </w:t>
      </w:r>
      <w:r>
        <w:rPr>
          <w:rFonts w:hint="eastAsia" w:ascii="楷体" w:hAnsi="楷体" w:eastAsia="楷体" w:cs="楷体"/>
          <w:b/>
          <w:bCs/>
        </w:rPr>
        <w:t>场地具多种类型地下水，各类地下水虽然具有各自的独立水位，但场地钻探、开挖和桩基施工给各层地下水提供了竖向流动通道，各层地下水受到相互的水力作用，抗浮设防水位宜按各层水的混合最高水位确定。</w:t>
      </w:r>
    </w:p>
    <w:p>
      <w:pPr>
        <w:ind w:firstLine="482" w:firstLineChars="200"/>
        <w:rPr>
          <w:rFonts w:ascii="楷体" w:hAnsi="楷体" w:eastAsia="楷体" w:cs="楷体"/>
          <w:b/>
          <w:bCs/>
        </w:rPr>
      </w:pPr>
      <w:r>
        <w:rPr>
          <w:rFonts w:ascii="楷体" w:hAnsi="楷体" w:eastAsia="楷体" w:cs="楷体"/>
          <w:b/>
          <w:bCs/>
        </w:rPr>
        <w:t xml:space="preserve">3 </w:t>
      </w:r>
      <w:r>
        <w:rPr>
          <w:rFonts w:hint="eastAsia" w:ascii="楷体" w:hAnsi="楷体" w:eastAsia="楷体" w:cs="楷体"/>
          <w:b/>
          <w:bCs/>
        </w:rPr>
        <w:t xml:space="preserve"> 当地下结构穿越多层含水层，若工程采用止水帷幕、咬合桩、地下连续墙等永久性止水措施，可有效隔绝侧向地下水水力联系，同时肥槽回填密实不受地表水影响，基底单位面积受到水压力可按表6.</w:t>
      </w:r>
      <w:r>
        <w:rPr>
          <w:rFonts w:ascii="楷体" w:hAnsi="楷体" w:eastAsia="楷体" w:cs="楷体"/>
          <w:b/>
          <w:bCs/>
        </w:rPr>
        <w:t>1</w:t>
      </w:r>
      <w:r>
        <w:rPr>
          <w:rFonts w:hint="eastAsia" w:ascii="楷体" w:hAnsi="楷体" w:eastAsia="楷体" w:cs="楷体"/>
          <w:b/>
          <w:bCs/>
        </w:rPr>
        <w:t>.</w:t>
      </w:r>
      <w:r>
        <w:rPr>
          <w:rFonts w:ascii="楷体" w:hAnsi="楷体" w:eastAsia="楷体" w:cs="楷体"/>
          <w:b/>
          <w:bCs/>
        </w:rPr>
        <w:t>4</w:t>
      </w:r>
      <w:r>
        <w:rPr>
          <w:rFonts w:hint="eastAsia" w:ascii="楷体" w:hAnsi="楷体" w:eastAsia="楷体" w:cs="楷体"/>
          <w:b/>
          <w:bCs/>
        </w:rPr>
        <w:t>确定，再通过水压力反算抗浮设防水位。</w:t>
      </w:r>
    </w:p>
    <w:p>
      <w:pPr>
        <w:snapToGrid w:val="0"/>
        <w:jc w:val="center"/>
        <w:rPr>
          <w:rFonts w:cs="宋体" w:asciiTheme="minorEastAsia" w:hAnsiTheme="minorEastAsia" w:eastAsiaTheme="minorEastAsia"/>
          <w:b/>
          <w:bCs/>
          <w:kern w:val="0"/>
          <w:sz w:val="21"/>
          <w:szCs w:val="21"/>
        </w:rPr>
      </w:pPr>
      <w:r>
        <w:rPr>
          <w:rFonts w:hint="eastAsia" w:cs="宋体" w:asciiTheme="minorEastAsia" w:hAnsiTheme="minorEastAsia" w:eastAsiaTheme="minorEastAsia"/>
          <w:b/>
          <w:bCs/>
          <w:kern w:val="0"/>
          <w:sz w:val="21"/>
          <w:szCs w:val="21"/>
        </w:rPr>
        <w:t>表 6.</w:t>
      </w:r>
      <w:r>
        <w:rPr>
          <w:rFonts w:cs="宋体" w:asciiTheme="minorEastAsia" w:hAnsiTheme="minorEastAsia" w:eastAsiaTheme="minorEastAsia"/>
          <w:b/>
          <w:bCs/>
          <w:kern w:val="0"/>
          <w:sz w:val="21"/>
          <w:szCs w:val="21"/>
        </w:rPr>
        <w:t>1</w:t>
      </w:r>
      <w:r>
        <w:rPr>
          <w:rFonts w:hint="eastAsia" w:cs="宋体" w:asciiTheme="minorEastAsia" w:hAnsiTheme="minorEastAsia" w:eastAsiaTheme="minorEastAsia"/>
          <w:b/>
          <w:bCs/>
          <w:kern w:val="0"/>
          <w:sz w:val="21"/>
          <w:szCs w:val="21"/>
        </w:rPr>
        <w:t>.</w:t>
      </w:r>
      <w:r>
        <w:rPr>
          <w:rFonts w:cs="宋体" w:asciiTheme="minorEastAsia" w:hAnsiTheme="minorEastAsia" w:eastAsiaTheme="minorEastAsia"/>
          <w:b/>
          <w:bCs/>
          <w:kern w:val="0"/>
          <w:sz w:val="21"/>
          <w:szCs w:val="21"/>
        </w:rPr>
        <w:t>4</w:t>
      </w:r>
      <w:r>
        <w:rPr>
          <w:rFonts w:hint="eastAsia" w:cs="宋体" w:asciiTheme="minorEastAsia" w:hAnsiTheme="minorEastAsia" w:eastAsiaTheme="minorEastAsia"/>
          <w:b/>
          <w:bCs/>
          <w:kern w:val="0"/>
          <w:sz w:val="21"/>
          <w:szCs w:val="21"/>
        </w:rPr>
        <w:t xml:space="preserve">  多层含水层地下结构底板单位面积受到水压力标准值计算方法</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3756"/>
        <w:gridCol w:w="2754"/>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31" w:type="dxa"/>
            <w:vAlign w:val="center"/>
          </w:tcPr>
          <w:p>
            <w:pPr>
              <w:tabs>
                <w:tab w:val="left" w:pos="615"/>
              </w:tabs>
              <w:jc w:val="center"/>
              <w:rPr>
                <w:sz w:val="21"/>
                <w:szCs w:val="21"/>
              </w:rPr>
            </w:pPr>
            <w:r>
              <w:rPr>
                <w:rFonts w:hint="eastAsia"/>
                <w:sz w:val="21"/>
                <w:szCs w:val="21"/>
              </w:rPr>
              <w:t>序号</w:t>
            </w:r>
          </w:p>
        </w:tc>
        <w:tc>
          <w:tcPr>
            <w:tcW w:w="3756" w:type="dxa"/>
            <w:vAlign w:val="center"/>
          </w:tcPr>
          <w:p>
            <w:pPr>
              <w:tabs>
                <w:tab w:val="left" w:pos="615"/>
              </w:tabs>
              <w:jc w:val="center"/>
              <w:rPr>
                <w:sz w:val="21"/>
                <w:szCs w:val="21"/>
              </w:rPr>
            </w:pPr>
            <w:r>
              <w:rPr>
                <w:rFonts w:hint="eastAsia"/>
                <w:sz w:val="21"/>
                <w:szCs w:val="21"/>
              </w:rPr>
              <w:t>计算模型</w:t>
            </w:r>
          </w:p>
        </w:tc>
        <w:tc>
          <w:tcPr>
            <w:tcW w:w="2754" w:type="dxa"/>
            <w:vAlign w:val="center"/>
          </w:tcPr>
          <w:p>
            <w:pPr>
              <w:jc w:val="center"/>
              <w:rPr>
                <w:sz w:val="21"/>
                <w:szCs w:val="21"/>
              </w:rPr>
            </w:pPr>
            <w:r>
              <w:rPr>
                <w:rFonts w:hint="eastAsia"/>
                <w:sz w:val="21"/>
                <w:szCs w:val="21"/>
              </w:rPr>
              <w:t>底板单位面积</w:t>
            </w:r>
          </w:p>
          <w:p>
            <w:pPr>
              <w:jc w:val="center"/>
              <w:rPr>
                <w:sz w:val="21"/>
                <w:szCs w:val="21"/>
              </w:rPr>
            </w:pPr>
            <w:r>
              <w:rPr>
                <w:rFonts w:hint="eastAsia"/>
                <w:sz w:val="21"/>
                <w:szCs w:val="21"/>
              </w:rPr>
              <w:t>受到水压力</w:t>
            </w:r>
          </w:p>
        </w:tc>
        <w:tc>
          <w:tcPr>
            <w:tcW w:w="1355" w:type="dxa"/>
            <w:vAlign w:val="center"/>
          </w:tcPr>
          <w:p>
            <w:pPr>
              <w:jc w:val="center"/>
              <w:rPr>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431" w:type="dxa"/>
            <w:vAlign w:val="center"/>
          </w:tcPr>
          <w:p>
            <w:pPr>
              <w:tabs>
                <w:tab w:val="left" w:pos="615"/>
              </w:tabs>
              <w:jc w:val="center"/>
            </w:pPr>
            <w:r>
              <w:rPr>
                <w:rFonts w:hint="eastAsia"/>
              </w:rPr>
              <w:t>1</w:t>
            </w:r>
          </w:p>
        </w:tc>
        <w:tc>
          <w:tcPr>
            <w:tcW w:w="3756" w:type="dxa"/>
            <w:vAlign w:val="center"/>
          </w:tcPr>
          <w:p>
            <w:pPr>
              <w:tabs>
                <w:tab w:val="left" w:pos="615"/>
              </w:tabs>
              <w:jc w:val="center"/>
            </w:pPr>
            <w:r>
              <w:drawing>
                <wp:inline distT="0" distB="0" distL="0" distR="0">
                  <wp:extent cx="2237105" cy="16198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6"/>
                          <a:stretch>
                            <a:fillRect/>
                          </a:stretch>
                        </pic:blipFill>
                        <pic:spPr>
                          <a:xfrm>
                            <a:off x="0" y="0"/>
                            <a:ext cx="2237534" cy="1620000"/>
                          </a:xfrm>
                          <a:prstGeom prst="rect">
                            <a:avLst/>
                          </a:prstGeom>
                        </pic:spPr>
                      </pic:pic>
                    </a:graphicData>
                  </a:graphic>
                </wp:inline>
              </w:drawing>
            </w:r>
          </w:p>
        </w:tc>
        <w:tc>
          <w:tcPr>
            <w:tcW w:w="2754" w:type="dxa"/>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2"/>
                <w:sz w:val="21"/>
                <w:szCs w:val="21"/>
              </w:rPr>
              <w:object>
                <v:shape id="_x0000_i1029" o:spt="75" type="#_x0000_t75" style="height:18.4pt;width:47.7pt;" o:ole="t" filled="f" o:preferrelative="t" stroked="f" coordsize="21600,21600">
                  <v:path/>
                  <v:fill on="f" focussize="0,0"/>
                  <v:stroke on="f" joinstyle="miter"/>
                  <v:imagedata r:id="rId58" o:title=""/>
                  <o:lock v:ext="edit" aspectratio="t"/>
                  <w10:wrap type="none"/>
                  <w10:anchorlock/>
                </v:shape>
                <o:OLEObject Type="Embed" ProgID="Equation.DSMT4" ShapeID="_x0000_i1029" DrawAspect="Content" ObjectID="_1468075729" r:id="rId57">
                  <o:LockedField>false</o:LockedField>
                </o:OLEObject>
              </w:object>
            </w:r>
          </w:p>
        </w:tc>
        <w:tc>
          <w:tcPr>
            <w:tcW w:w="1355" w:type="dxa"/>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基底位于含水层中</w:t>
            </w:r>
          </w:p>
          <w:p>
            <w:pPr>
              <w:jc w:val="center"/>
              <w:rPr>
                <w:rFonts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31" w:type="dxa"/>
            <w:vAlign w:val="center"/>
          </w:tcPr>
          <w:p>
            <w:pPr>
              <w:jc w:val="center"/>
            </w:pPr>
            <w:r>
              <w:rPr>
                <w:rFonts w:hint="eastAsia"/>
              </w:rPr>
              <w:t>2</w:t>
            </w:r>
          </w:p>
        </w:tc>
        <w:tc>
          <w:tcPr>
            <w:tcW w:w="3756" w:type="dxa"/>
            <w:vAlign w:val="center"/>
          </w:tcPr>
          <w:p>
            <w:pPr>
              <w:jc w:val="center"/>
            </w:pPr>
            <w:r>
              <w:drawing>
                <wp:inline distT="0" distB="0" distL="0" distR="0">
                  <wp:extent cx="2247900" cy="15881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9"/>
                          <a:stretch>
                            <a:fillRect/>
                          </a:stretch>
                        </pic:blipFill>
                        <pic:spPr>
                          <a:xfrm>
                            <a:off x="0" y="0"/>
                            <a:ext cx="2247900" cy="1588135"/>
                          </a:xfrm>
                          <a:prstGeom prst="rect">
                            <a:avLst/>
                          </a:prstGeom>
                        </pic:spPr>
                      </pic:pic>
                    </a:graphicData>
                  </a:graphic>
                </wp:inline>
              </w:drawing>
            </w:r>
          </w:p>
        </w:tc>
        <w:tc>
          <w:tcPr>
            <w:tcW w:w="2754" w:type="dxa"/>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position w:val="-12"/>
                <w:sz w:val="21"/>
                <w:szCs w:val="21"/>
              </w:rPr>
              <w:object>
                <v:shape id="_x0000_i1030" o:spt="75" type="#_x0000_t75" style="height:18.4pt;width:103.8pt;" o:ole="t" filled="f" o:preferrelative="t" stroked="f" coordsize="21600,21600">
                  <v:path/>
                  <v:fill on="f" focussize="0,0"/>
                  <v:stroke on="f" joinstyle="miter"/>
                  <v:imagedata r:id="rId61" o:title=""/>
                  <o:lock v:ext="edit" aspectratio="t"/>
                  <w10:wrap type="none"/>
                  <w10:anchorlock/>
                </v:shape>
                <o:OLEObject Type="Embed" ProgID="Equation.DSMT4" ShapeID="_x0000_i1030" DrawAspect="Content" ObjectID="_1468075730" r:id="rId60">
                  <o:LockedField>false</o:LockedField>
                </o:OLEObject>
              </w:object>
            </w:r>
          </w:p>
        </w:tc>
        <w:tc>
          <w:tcPr>
            <w:tcW w:w="1355" w:type="dxa"/>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基底位于相对不透水层中，各层地下水不发生渗流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31" w:type="dxa"/>
            <w:vAlign w:val="center"/>
          </w:tcPr>
          <w:p>
            <w:pPr>
              <w:jc w:val="center"/>
            </w:pPr>
            <w:r>
              <w:rPr>
                <w:rFonts w:hint="eastAsia"/>
              </w:rPr>
              <w:t>3</w:t>
            </w:r>
          </w:p>
        </w:tc>
        <w:tc>
          <w:tcPr>
            <w:tcW w:w="3756" w:type="dxa"/>
            <w:vAlign w:val="center"/>
          </w:tcPr>
          <w:p>
            <w:pPr>
              <w:jc w:val="center"/>
            </w:pPr>
            <w:r>
              <w:drawing>
                <wp:inline distT="0" distB="0" distL="0" distR="0">
                  <wp:extent cx="2270125" cy="16198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2"/>
                          <a:stretch>
                            <a:fillRect/>
                          </a:stretch>
                        </pic:blipFill>
                        <pic:spPr>
                          <a:xfrm>
                            <a:off x="0" y="0"/>
                            <a:ext cx="2270309" cy="1620000"/>
                          </a:xfrm>
                          <a:prstGeom prst="rect">
                            <a:avLst/>
                          </a:prstGeom>
                        </pic:spPr>
                      </pic:pic>
                    </a:graphicData>
                  </a:graphic>
                </wp:inline>
              </w:drawing>
            </w:r>
          </w:p>
        </w:tc>
        <w:tc>
          <w:tcPr>
            <w:tcW w:w="2754" w:type="dxa"/>
            <w:vAlign w:val="center"/>
          </w:tcPr>
          <w:p>
            <w:pPr>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position w:val="-24"/>
                <w:sz w:val="21"/>
                <w:szCs w:val="21"/>
              </w:rPr>
              <w:object>
                <v:shape id="_x0000_i1031" o:spt="75" type="#_x0000_t75" style="height:31.8pt;width:130.65pt;" o:ole="t" filled="f" o:preferrelative="t" stroked="f" coordsize="21600,21600">
                  <v:path/>
                  <v:fill on="f" focussize="0,0"/>
                  <v:stroke on="f" joinstyle="miter"/>
                  <v:imagedata r:id="rId64" o:title=""/>
                  <o:lock v:ext="edit" aspectratio="t"/>
                  <w10:wrap type="none"/>
                  <w10:anchorlock/>
                </v:shape>
                <o:OLEObject Type="Embed" ProgID="Equation.DSMT4" ShapeID="_x0000_i1031" DrawAspect="Content" ObjectID="_1468075731" r:id="rId63">
                  <o:LockedField>false</o:LockedField>
                </o:OLEObject>
              </w:object>
            </w:r>
          </w:p>
        </w:tc>
        <w:tc>
          <w:tcPr>
            <w:tcW w:w="1355" w:type="dxa"/>
            <w:vAlign w:val="center"/>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基底位于弱透水层中，上层地下水和下层发生越流</w:t>
            </w:r>
          </w:p>
        </w:tc>
      </w:tr>
    </w:tbl>
    <w:p>
      <w:pPr>
        <w:autoSpaceDE w:val="0"/>
        <w:ind w:firstLine="480"/>
        <w:rPr>
          <w:rFonts w:ascii="楷体" w:hAnsi="楷体" w:eastAsia="楷体" w:cs="楷体"/>
          <w:b/>
          <w:bCs/>
        </w:rPr>
      </w:pPr>
    </w:p>
    <w:p>
      <w:pPr>
        <w:autoSpaceDE w:val="0"/>
        <w:ind w:firstLine="480"/>
        <w:rPr>
          <w:rFonts w:ascii="楷体" w:hAnsi="楷体" w:eastAsia="楷体" w:cs="楷体"/>
          <w:b/>
          <w:bCs/>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drawing>
          <wp:anchor distT="0" distB="0" distL="114300" distR="114300" simplePos="0" relativeHeight="251671552" behindDoc="0" locked="0" layoutInCell="1" allowOverlap="1">
            <wp:simplePos x="0" y="0"/>
            <wp:positionH relativeFrom="margin">
              <wp:posOffset>857885</wp:posOffset>
            </wp:positionH>
            <wp:positionV relativeFrom="paragraph">
              <wp:posOffset>1600200</wp:posOffset>
            </wp:positionV>
            <wp:extent cx="3709035" cy="2448560"/>
            <wp:effectExtent l="0" t="0" r="5715" b="8890"/>
            <wp:wrapTopAndBottom/>
            <wp:docPr id="10045210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21086" name="图片 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709035" cy="2448560"/>
                    </a:xfrm>
                    <a:prstGeom prst="rect">
                      <a:avLst/>
                    </a:prstGeom>
                  </pic:spPr>
                </pic:pic>
              </a:graphicData>
            </a:graphic>
          </wp:anchor>
        </w:drawing>
      </w:r>
      <w:r>
        <w:rPr>
          <w:rFonts w:ascii="楷体" w:hAnsi="楷体" w:eastAsia="楷体" w:cs="楷体"/>
          <w:b/>
          <w:bCs/>
        </w:rPr>
        <w:t>4  在基坑开挖</w:t>
      </w:r>
      <w:r>
        <w:rPr>
          <w:rFonts w:hint="eastAsia" w:ascii="楷体" w:hAnsi="楷体" w:eastAsia="楷体" w:cs="楷体"/>
          <w:b/>
          <w:bCs/>
        </w:rPr>
        <w:t>及地下结构</w:t>
      </w:r>
      <w:r>
        <w:rPr>
          <w:rFonts w:ascii="楷体" w:hAnsi="楷体" w:eastAsia="楷体" w:cs="楷体"/>
          <w:b/>
          <w:bCs/>
        </w:rPr>
        <w:t>施工完成后，肥槽回填施工质量往往不满足设计要求时，致使场地周边地表水、填土中的上层滞水等往</w:t>
      </w:r>
      <w:r>
        <w:rPr>
          <w:rFonts w:hint="eastAsia" w:ascii="楷体" w:hAnsi="楷体" w:eastAsia="楷体" w:cs="楷体"/>
          <w:b/>
          <w:bCs/>
        </w:rPr>
        <w:t>肥槽和</w:t>
      </w:r>
      <w:r>
        <w:rPr>
          <w:rFonts w:ascii="楷体" w:hAnsi="楷体" w:eastAsia="楷体" w:cs="楷体"/>
          <w:b/>
          <w:bCs/>
        </w:rPr>
        <w:t>基底汇集</w:t>
      </w:r>
      <w:r>
        <w:rPr>
          <w:rFonts w:hint="eastAsia" w:ascii="楷体" w:hAnsi="楷体" w:eastAsia="楷体" w:cs="楷体"/>
          <w:b/>
          <w:bCs/>
        </w:rPr>
        <w:t>。当基底及基坑</w:t>
      </w:r>
      <w:r>
        <w:rPr>
          <w:rFonts w:ascii="楷体" w:hAnsi="楷体" w:eastAsia="楷体" w:cs="楷体"/>
          <w:b/>
          <w:bCs/>
        </w:rPr>
        <w:t>侧壁为</w:t>
      </w:r>
      <w:r>
        <w:rPr>
          <w:rFonts w:hint="eastAsia" w:ascii="楷体" w:hAnsi="楷体" w:eastAsia="楷体" w:cs="楷体"/>
          <w:b/>
          <w:bCs/>
        </w:rPr>
        <w:t>相对不透</w:t>
      </w:r>
      <w:r>
        <w:rPr>
          <w:rFonts w:ascii="楷体" w:hAnsi="楷体" w:eastAsia="楷体" w:cs="楷体"/>
          <w:b/>
          <w:bCs/>
        </w:rPr>
        <w:t>水</w:t>
      </w:r>
      <w:r>
        <w:rPr>
          <w:rFonts w:hint="eastAsia" w:ascii="楷体" w:hAnsi="楷体" w:eastAsia="楷体" w:cs="楷体"/>
          <w:b/>
          <w:bCs/>
        </w:rPr>
        <w:t>层</w:t>
      </w:r>
      <w:r>
        <w:rPr>
          <w:rFonts w:ascii="楷体" w:hAnsi="楷体" w:eastAsia="楷体" w:cs="楷体"/>
          <w:b/>
          <w:bCs/>
        </w:rPr>
        <w:t>时，</w:t>
      </w:r>
      <w:r>
        <w:rPr>
          <w:rFonts w:hint="eastAsia" w:ascii="楷体" w:hAnsi="楷体" w:eastAsia="楷体" w:cs="楷体"/>
          <w:b/>
          <w:bCs/>
        </w:rPr>
        <w:t>肥槽和基底</w:t>
      </w:r>
      <w:r>
        <w:rPr>
          <w:rFonts w:ascii="楷体" w:hAnsi="楷体" w:eastAsia="楷体" w:cs="楷体"/>
          <w:b/>
          <w:bCs/>
        </w:rPr>
        <w:t>中的水无法消散</w:t>
      </w:r>
      <w:r>
        <w:rPr>
          <w:rFonts w:hint="eastAsia" w:ascii="楷体" w:hAnsi="楷体" w:eastAsia="楷体" w:cs="楷体"/>
          <w:b/>
          <w:bCs/>
        </w:rPr>
        <w:t>，</w:t>
      </w:r>
      <w:r>
        <w:rPr>
          <w:rFonts w:ascii="楷体" w:hAnsi="楷体" w:eastAsia="楷体" w:cs="楷体"/>
          <w:b/>
          <w:bCs/>
        </w:rPr>
        <w:t>形成“水盆”效应</w:t>
      </w:r>
      <w:r>
        <w:rPr>
          <w:rFonts w:hint="eastAsia" w:ascii="楷体" w:hAnsi="楷体" w:eastAsia="楷体" w:cs="楷体"/>
          <w:b/>
          <w:bCs/>
        </w:rPr>
        <w:t>（图6.1.</w:t>
      </w:r>
      <w:r>
        <w:rPr>
          <w:rFonts w:ascii="楷体" w:hAnsi="楷体" w:eastAsia="楷体" w:cs="楷体"/>
          <w:b/>
          <w:bCs/>
        </w:rPr>
        <w:t>4</w:t>
      </w:r>
      <w:r>
        <w:rPr>
          <w:rFonts w:hint="eastAsia" w:ascii="楷体" w:hAnsi="楷体" w:eastAsia="楷体" w:cs="楷体"/>
          <w:b/>
          <w:bCs/>
        </w:rPr>
        <w:t>），最不利时肥槽可全部充满水，故抗浮设防水位宜取设计室外地坪高程</w:t>
      </w:r>
      <w:r>
        <w:rPr>
          <w:rFonts w:ascii="楷体" w:hAnsi="楷体" w:eastAsia="楷体" w:cs="楷体"/>
          <w:b/>
          <w:bCs/>
        </w:rPr>
        <w:t>。</w:t>
      </w:r>
    </w:p>
    <w:p>
      <w:pPr>
        <w:autoSpaceDE w:val="0"/>
        <w:ind w:firstLine="480"/>
        <w:jc w:val="center"/>
        <w:rPr>
          <w:rFonts w:ascii="楷体" w:hAnsi="楷体" w:eastAsia="楷体" w:cs="楷体"/>
          <w:b/>
          <w:bCs/>
          <w:color w:val="FF0000"/>
        </w:rPr>
      </w:pPr>
      <w:r>
        <w:rPr>
          <w:rFonts w:hint="eastAsia" w:asciiTheme="minorEastAsia" w:hAnsiTheme="minorEastAsia" w:eastAsiaTheme="minorEastAsia" w:cstheme="minorEastAsia"/>
          <w:b/>
          <w:bCs/>
          <w:color w:val="000000" w:themeColor="text1"/>
          <w:sz w:val="21"/>
          <w:szCs w:val="21"/>
          <w14:textFill>
            <w14:solidFill>
              <w14:schemeClr w14:val="tx1"/>
            </w14:solidFill>
          </w14:textFill>
        </w:rPr>
        <w:t>图6.1.</w:t>
      </w:r>
      <w:r>
        <w:rPr>
          <w:rFonts w:asciiTheme="minorEastAsia" w:hAnsiTheme="minorEastAsia" w:eastAsiaTheme="minorEastAsia" w:cstheme="minorEastAsia"/>
          <w:b/>
          <w:bCs/>
          <w:color w:val="000000" w:themeColor="text1"/>
          <w:sz w:val="21"/>
          <w:szCs w:val="21"/>
          <w14:textFill>
            <w14:solidFill>
              <w14:schemeClr w14:val="tx1"/>
            </w14:solidFill>
          </w14:textFill>
        </w:rPr>
        <w:t>4</w:t>
      </w:r>
      <w:r>
        <w:rPr>
          <w:rFonts w:hint="eastAsia" w:asciiTheme="minorEastAsia" w:hAnsiTheme="minorEastAsia" w:eastAsiaTheme="minorEastAsia" w:cstheme="minorEastAsia"/>
          <w:b/>
          <w:bCs/>
          <w:color w:val="000000" w:themeColor="text1"/>
          <w:sz w:val="21"/>
          <w:szCs w:val="21"/>
          <w14:textFill>
            <w14:solidFill>
              <w14:schemeClr w14:val="tx1"/>
            </w14:solidFill>
          </w14:textFill>
        </w:rPr>
        <w:t xml:space="preserve">  “水盆”效应示意图</w:t>
      </w:r>
    </w:p>
    <w:p>
      <w:pPr>
        <w:ind w:firstLine="480" w:firstLineChars="200"/>
      </w:pPr>
    </w:p>
    <w:p>
      <w:pPr>
        <w:rPr>
          <w:rFonts w:cs="宋体"/>
          <w:szCs w:val="24"/>
        </w:rPr>
      </w:pPr>
      <w:r>
        <w:rPr>
          <w:rFonts w:hint="eastAsia" w:cs="宋体"/>
          <w:b/>
          <w:bCs/>
          <w:szCs w:val="24"/>
        </w:rPr>
        <w:t xml:space="preserve">6.1.5  </w:t>
      </w:r>
      <w:r>
        <w:rPr>
          <w:rFonts w:hint="eastAsia" w:cs="宋体"/>
          <w:szCs w:val="24"/>
        </w:rPr>
        <w:t>地下结构底板受到的水压力按下式计算：</w:t>
      </w:r>
    </w:p>
    <w:p>
      <w:pPr>
        <w:ind w:firstLine="480"/>
        <w:jc w:val="right"/>
        <w:rPr>
          <w:rFonts w:cs="宋体"/>
          <w:szCs w:val="24"/>
        </w:rPr>
      </w:pPr>
      <w:r>
        <w:rPr>
          <w:rFonts w:hint="eastAsia" w:cs="宋体"/>
          <w:position w:val="-12"/>
          <w:szCs w:val="24"/>
        </w:rPr>
        <w:object>
          <v:shape id="_x0000_i1032" o:spt="75" type="#_x0000_t75" style="height:18.4pt;width:46.9pt;" o:ole="t" filled="f" o:preferrelative="t" stroked="f" coordsize="21600,21600">
            <v:path/>
            <v:fill on="f" focussize="0,0"/>
            <v:stroke on="f" joinstyle="miter"/>
            <v:imagedata r:id="rId67" o:title=""/>
            <o:lock v:ext="edit" aspectratio="f"/>
            <w10:wrap type="none"/>
            <w10:anchorlock/>
          </v:shape>
          <o:OLEObject Type="Embed" ProgID="Equation.DSMT4" ShapeID="_x0000_i1032" DrawAspect="Content" ObjectID="_1468075732" r:id="rId66">
            <o:LockedField>false</o:LockedField>
          </o:OLEObject>
        </w:object>
      </w:r>
      <w:r>
        <w:rPr>
          <w:rFonts w:hint="eastAsia" w:cs="宋体"/>
          <w:szCs w:val="24"/>
        </w:rPr>
        <w:t xml:space="preserve">                      </w:t>
      </w:r>
      <w:r>
        <w:rPr>
          <w:rFonts w:cs="宋体"/>
          <w:szCs w:val="24"/>
        </w:rPr>
        <w:t xml:space="preserve">  </w:t>
      </w:r>
      <w:r>
        <w:rPr>
          <w:rFonts w:hint="eastAsia" w:cs="宋体"/>
          <w:szCs w:val="24"/>
        </w:rPr>
        <w:t xml:space="preserve">            (6.1.5)</w:t>
      </w:r>
    </w:p>
    <w:p>
      <w:pPr>
        <w:rPr>
          <w:rFonts w:cs="宋体"/>
          <w:szCs w:val="24"/>
        </w:rPr>
      </w:pPr>
      <w:r>
        <w:rPr>
          <w:rFonts w:hint="eastAsia" w:cs="宋体"/>
          <w:szCs w:val="24"/>
        </w:rPr>
        <w:t>式中，</w:t>
      </w:r>
      <w:r>
        <w:rPr>
          <w:rFonts w:cs="宋体"/>
          <w:szCs w:val="24"/>
        </w:rPr>
        <w:t xml:space="preserve"> </w:t>
      </w:r>
      <w:r>
        <w:rPr>
          <w:rFonts w:hint="eastAsia" w:cs="宋体"/>
          <w:position w:val="-12"/>
          <w:szCs w:val="24"/>
        </w:rPr>
        <w:object>
          <v:shape id="_x0000_i1033" o:spt="75" type="#_x0000_t75" style="height:18.4pt;width:15.05pt;" o:ole="t" filled="f" o:preferrelative="t" stroked="f" coordsize="21600,21600">
            <v:path/>
            <v:fill on="f" focussize="0,0"/>
            <v:stroke on="f" joinstyle="miter"/>
            <v:imagedata r:id="rId69" o:title=""/>
            <o:lock v:ext="edit" aspectratio="t"/>
            <w10:wrap type="none"/>
            <w10:anchorlock/>
          </v:shape>
          <o:OLEObject Type="Embed" ProgID="Equation.DSMT4" ShapeID="_x0000_i1033" DrawAspect="Content" ObjectID="_1468075733" r:id="rId68">
            <o:LockedField>false</o:LockedField>
          </o:OLEObject>
        </w:object>
      </w:r>
      <w:r>
        <w:rPr>
          <w:rFonts w:hint="eastAsia" w:cs="宋体"/>
          <w:szCs w:val="24"/>
        </w:rPr>
        <w:t>—底板单位面积上受到的水压力标准值（kPa）；</w:t>
      </w:r>
    </w:p>
    <w:p>
      <w:pPr>
        <w:ind w:left="835"/>
        <w:rPr>
          <w:rFonts w:cs="宋体"/>
          <w:szCs w:val="24"/>
        </w:rPr>
      </w:pPr>
      <w:r>
        <w:rPr>
          <w:rFonts w:hint="eastAsia" w:cs="宋体"/>
          <w:position w:val="-12"/>
          <w:szCs w:val="24"/>
        </w:rPr>
        <w:object>
          <v:shape id="_x0000_i1034" o:spt="75" type="#_x0000_t75" style="height:18.4pt;width:15.05pt;" o:ole="t" filled="f" o:preferrelative="t" stroked="f" coordsize="21600,21600">
            <v:path/>
            <v:fill on="f" focussize="0,0"/>
            <v:stroke on="f" joinstyle="miter"/>
            <v:imagedata r:id="rId55" o:title=""/>
            <o:lock v:ext="edit" aspectratio="t"/>
            <w10:wrap type="none"/>
            <w10:anchorlock/>
          </v:shape>
          <o:OLEObject Type="Embed" ProgID="Equation.DSMT4" ShapeID="_x0000_i1034" DrawAspect="Content" ObjectID="_1468075734" r:id="rId70">
            <o:LockedField>false</o:LockedField>
          </o:OLEObject>
        </w:object>
      </w:r>
      <w:r>
        <w:rPr>
          <w:rFonts w:hint="eastAsia" w:cs="宋体"/>
          <w:szCs w:val="24"/>
        </w:rPr>
        <w:t>—水的重度（kN/m</w:t>
      </w:r>
      <w:r>
        <w:rPr>
          <w:rFonts w:hint="eastAsia" w:cs="宋体"/>
          <w:szCs w:val="24"/>
          <w:vertAlign w:val="superscript"/>
        </w:rPr>
        <w:t>3</w:t>
      </w:r>
      <w:r>
        <w:rPr>
          <w:rFonts w:hint="eastAsia" w:cs="宋体"/>
          <w:szCs w:val="24"/>
        </w:rPr>
        <w:t>）；</w:t>
      </w:r>
    </w:p>
    <w:p>
      <w:pPr>
        <w:ind w:firstLine="960" w:firstLineChars="400"/>
        <w:rPr>
          <w:rFonts w:cs="宋体"/>
          <w:szCs w:val="24"/>
        </w:rPr>
      </w:pPr>
      <w:r>
        <w:rPr>
          <w:position w:val="-6"/>
        </w:rPr>
        <w:object>
          <v:shape id="_x0000_i1035" o:spt="75" type="#_x0000_t75" style="height:15.05pt;width:10.9pt;" o:ole="t" filled="f" o:preferrelative="t" stroked="f" coordsize="21600,21600">
            <v:path/>
            <v:fill on="f" focussize="0,0"/>
            <v:stroke on="f" joinstyle="miter"/>
            <v:imagedata r:id="rId51" o:title=""/>
            <o:lock v:ext="edit" aspectratio="t"/>
            <w10:wrap type="none"/>
            <w10:anchorlock/>
          </v:shape>
          <o:OLEObject Type="Embed" ProgID="Equation.DSMT4" ShapeID="_x0000_i1035" DrawAspect="Content" ObjectID="_1468075735" r:id="rId71">
            <o:LockedField>false</o:LockedField>
          </o:OLEObject>
        </w:object>
      </w:r>
      <w:r>
        <w:rPr>
          <w:rFonts w:hint="eastAsia" w:cs="宋体"/>
          <w:szCs w:val="24"/>
        </w:rPr>
        <w:t>—底板处压力水头（m）；取抗浮设防水位与地下结构底板底面地下水位差值（m）。</w:t>
      </w:r>
    </w:p>
    <w:p>
      <w:pPr>
        <w:rPr>
          <w:rFonts w:cs="宋体"/>
          <w:szCs w:val="24"/>
        </w:rPr>
      </w:pPr>
      <w:r>
        <w:rPr>
          <w:rFonts w:cs="宋体"/>
          <w:b/>
          <w:bCs/>
          <w:szCs w:val="24"/>
        </w:rPr>
        <w:t>6.1.</w:t>
      </w:r>
      <w:r>
        <w:rPr>
          <w:rFonts w:hint="eastAsia" w:cs="宋体"/>
          <w:b/>
          <w:bCs/>
          <w:szCs w:val="24"/>
        </w:rPr>
        <w:t>6</w:t>
      </w:r>
      <w:r>
        <w:rPr>
          <w:rFonts w:ascii="楷体" w:hAnsi="楷体" w:eastAsia="楷体" w:cs="楷体"/>
          <w:b/>
          <w:bCs/>
        </w:rPr>
        <w:t xml:space="preserve">  </w:t>
      </w:r>
      <w:r>
        <w:rPr>
          <w:rFonts w:hint="eastAsia" w:cs="宋体"/>
          <w:szCs w:val="24"/>
        </w:rPr>
        <w:t>地下结构抗浮稳定性按下式计算：</w:t>
      </w:r>
    </w:p>
    <w:p>
      <w:pPr>
        <w:ind w:firstLine="2400" w:firstLineChars="1000"/>
        <w:rPr>
          <w:rFonts w:cs="宋体"/>
          <w:szCs w:val="24"/>
        </w:rPr>
      </w:pPr>
      <w:r>
        <w:rPr>
          <w:rFonts w:hint="eastAsia" w:cs="宋体"/>
          <w:szCs w:val="24"/>
        </w:rPr>
        <w:object>
          <v:shape id="_x0000_i1036" o:spt="75" type="#_x0000_t75" style="height:32.65pt;width:46.9pt;" o:ole="t" filled="f" o:preferrelative="t" stroked="f" coordsize="21600,21600">
            <v:path/>
            <v:fill on="f" focussize="0,0"/>
            <v:stroke on="f" joinstyle="miter"/>
            <v:imagedata r:id="rId73" o:title=""/>
            <o:lock v:ext="edit" aspectratio="f"/>
            <w10:wrap type="none"/>
            <w10:anchorlock/>
          </v:shape>
          <o:OLEObject Type="Embed" ProgID="Equation.DSMT4" ShapeID="_x0000_i1036" DrawAspect="Content" ObjectID="_1468075736" r:id="rId72">
            <o:LockedField>false</o:LockedField>
          </o:OLEObject>
        </w:object>
      </w:r>
      <w:r>
        <w:rPr>
          <w:rFonts w:cs="宋体"/>
          <w:szCs w:val="24"/>
        </w:rPr>
        <w:t xml:space="preserve">                                   (6.1.</w:t>
      </w:r>
      <w:r>
        <w:rPr>
          <w:rFonts w:hint="eastAsia" w:cs="宋体"/>
          <w:szCs w:val="24"/>
        </w:rPr>
        <w:t>6</w:t>
      </w:r>
      <w:r>
        <w:rPr>
          <w:rFonts w:cs="宋体"/>
          <w:szCs w:val="24"/>
        </w:rPr>
        <w:t>)</w:t>
      </w:r>
    </w:p>
    <w:p>
      <w:pPr>
        <w:rPr>
          <w:rFonts w:cs="宋体"/>
          <w:szCs w:val="24"/>
        </w:rPr>
      </w:pPr>
      <w:r>
        <w:rPr>
          <w:rFonts w:hint="eastAsia" w:cs="宋体"/>
          <w:szCs w:val="24"/>
        </w:rPr>
        <w:t xml:space="preserve">式中， </w:t>
      </w:r>
      <w:r>
        <w:rPr>
          <w:rFonts w:hint="eastAsia" w:cs="宋体"/>
          <w:szCs w:val="24"/>
        </w:rPr>
        <w:object>
          <v:shape id="_x0000_i1037" o:spt="75" type="#_x0000_t75" style="height:18.4pt;width:18.4pt;" o:ole="t" filled="f" o:preferrelative="t" stroked="f" coordsize="21600,21600">
            <v:path/>
            <v:fill on="f" focussize="0,0"/>
            <v:stroke on="f" joinstyle="miter"/>
            <v:imagedata r:id="rId53" o:title=""/>
            <o:lock v:ext="edit" aspectratio="t"/>
            <w10:wrap type="none"/>
            <w10:anchorlock/>
          </v:shape>
          <o:OLEObject Type="Embed" ProgID="Equation.DSMT4" ShapeID="_x0000_i1037" DrawAspect="Content" ObjectID="_1468075737" r:id="rId74">
            <o:LockedField>false</o:LockedField>
          </o:OLEObject>
        </w:object>
      </w:r>
      <w:r>
        <w:rPr>
          <w:rFonts w:hint="eastAsia" w:cs="宋体"/>
          <w:szCs w:val="24"/>
        </w:rPr>
        <w:t>—地下结构抗浮稳定性系数；</w:t>
      </w:r>
    </w:p>
    <w:p>
      <w:pPr>
        <w:ind w:firstLine="960" w:firstLineChars="400"/>
        <w:rPr>
          <w:rFonts w:cs="宋体"/>
          <w:szCs w:val="24"/>
        </w:rPr>
      </w:pPr>
      <w:r>
        <w:rPr>
          <w:rFonts w:hint="eastAsia" w:cs="宋体"/>
          <w:szCs w:val="24"/>
        </w:rPr>
        <w:object>
          <v:shape id="_x0000_i1038" o:spt="75" type="#_x0000_t75" style="height:18.4pt;width:15.9pt;" o:ole="t" filled="f" o:preferrelative="t" stroked="f" coordsize="21600,21600">
            <v:path/>
            <v:fill on="f" focussize="0,0"/>
            <v:stroke on="f" joinstyle="miter"/>
            <v:imagedata r:id="rId49" o:title=""/>
            <o:lock v:ext="edit" aspectratio="t"/>
            <w10:wrap type="none"/>
            <w10:anchorlock/>
          </v:shape>
          <o:OLEObject Type="Embed" ProgID="Equation.DSMT4" ShapeID="_x0000_i1038" DrawAspect="Content" ObjectID="_1468075738" r:id="rId75">
            <o:LockedField>false</o:LockedField>
          </o:OLEObject>
        </w:object>
      </w:r>
      <w:r>
        <w:rPr>
          <w:rFonts w:hint="eastAsia" w:cs="宋体"/>
          <w:szCs w:val="24"/>
        </w:rPr>
        <w:t>—地下结构底板底面以上建（构）筑物自重与上覆土层压重（kPa）；地下结构上覆土层位于抗浮设防水位以下时，其自重按饱和重度计算。</w:t>
      </w:r>
    </w:p>
    <w:p>
      <w:pPr>
        <w:rPr>
          <w:rFonts w:cs="宋体"/>
          <w:szCs w:val="24"/>
        </w:rPr>
      </w:pPr>
      <w:r>
        <w:rPr>
          <w:rFonts w:hint="eastAsia" w:cs="宋体"/>
          <w:b/>
          <w:szCs w:val="24"/>
        </w:rPr>
        <w:t xml:space="preserve">6.1.7 </w:t>
      </w:r>
      <w:r>
        <w:rPr>
          <w:rFonts w:cs="宋体"/>
          <w:b/>
          <w:szCs w:val="24"/>
        </w:rPr>
        <w:t xml:space="preserve"> </w:t>
      </w:r>
      <w:r>
        <w:rPr>
          <w:rFonts w:hint="eastAsia" w:cs="宋体"/>
          <w:szCs w:val="24"/>
        </w:rPr>
        <w:t>地下结构抗浮，宜根据抗浮稳定状态、抗浮设计等级并结合抗浮要求、对周边环境的影响、工程造价、施工条件、运营期运维难度等因素进行技术经济比较后，按照附录C提出抗浮措施建议。</w:t>
      </w:r>
    </w:p>
    <w:p>
      <w:pPr>
        <w:autoSpaceDE w:val="0"/>
        <w:rPr>
          <w:rFonts w:ascii="楷体" w:hAnsi="楷体" w:eastAsia="楷体" w:cs="楷体"/>
          <w:b/>
          <w:bCs/>
        </w:rPr>
      </w:pPr>
      <w:r>
        <w:rPr>
          <w:rFonts w:hint="eastAsia" w:ascii="楷体" w:hAnsi="楷体" w:eastAsia="楷体" w:cs="楷体"/>
          <w:b/>
          <w:bCs/>
        </w:rPr>
        <w:t>【条文说明】6.1.7  当地下结构基底位于相对不透水层，且其下相对不透水层厚度不小于2.0m时，宜选用主动抗浮措施或主被动联合抗浮措施；当地下结构基底位于含水层，宜选用被动抗浮措施或主被动联合抗浮措施；当基底以下存在承压水头较高的承压含水层时，采取被动抗浮且不宜揭穿隔水顶板；当采用主动抗浮措施时，宜考虑排水量的影响。</w:t>
      </w:r>
    </w:p>
    <w:p>
      <w:pPr>
        <w:autoSpaceDE w:val="0"/>
        <w:rPr>
          <w:rFonts w:ascii="楷体" w:hAnsi="楷体" w:eastAsia="楷体" w:cs="楷体"/>
          <w:b/>
          <w:bCs/>
        </w:rPr>
      </w:pPr>
    </w:p>
    <w:p>
      <w:pPr>
        <w:jc w:val="center"/>
        <w:rPr>
          <w:rFonts w:ascii="黑体" w:hAnsi="黑体" w:eastAsia="黑体"/>
          <w:b/>
          <w:bCs/>
          <w:kern w:val="0"/>
          <w:sz w:val="28"/>
          <w:szCs w:val="32"/>
        </w:rPr>
      </w:pPr>
      <w:r>
        <w:rPr>
          <w:rFonts w:ascii="黑体" w:hAnsi="黑体" w:eastAsia="黑体"/>
          <w:b/>
          <w:bCs/>
          <w:kern w:val="0"/>
          <w:sz w:val="28"/>
          <w:szCs w:val="32"/>
        </w:rPr>
        <w:t>6.2</w:t>
      </w:r>
      <w:r>
        <w:rPr>
          <w:rFonts w:hint="eastAsia" w:ascii="黑体" w:hAnsi="黑体" w:eastAsia="黑体"/>
          <w:b/>
          <w:bCs/>
          <w:kern w:val="0"/>
          <w:sz w:val="28"/>
          <w:szCs w:val="32"/>
        </w:rPr>
        <w:t xml:space="preserve"> </w:t>
      </w:r>
      <w:r>
        <w:rPr>
          <w:rFonts w:ascii="黑体" w:hAnsi="黑体" w:eastAsia="黑体"/>
          <w:b/>
          <w:bCs/>
          <w:kern w:val="0"/>
          <w:sz w:val="28"/>
          <w:szCs w:val="32"/>
        </w:rPr>
        <w:t xml:space="preserve"> </w:t>
      </w:r>
      <w:r>
        <w:rPr>
          <w:rFonts w:hint="eastAsia" w:ascii="黑体" w:hAnsi="黑体" w:eastAsia="黑体"/>
          <w:b/>
          <w:bCs/>
          <w:kern w:val="0"/>
          <w:sz w:val="28"/>
          <w:szCs w:val="32"/>
        </w:rPr>
        <w:t>斜坡场地</w:t>
      </w:r>
    </w:p>
    <w:p>
      <w:pPr>
        <w:rPr>
          <w:lang w:bidi="ar"/>
        </w:rPr>
      </w:pPr>
      <w:r>
        <w:rPr>
          <w:b/>
          <w:bCs/>
        </w:rPr>
        <w:t>6.2.1</w:t>
      </w:r>
      <w:r>
        <w:rPr>
          <w:lang w:bidi="ar"/>
        </w:rPr>
        <w:t xml:space="preserve">  </w:t>
      </w:r>
      <w:r>
        <w:rPr>
          <w:rFonts w:hint="eastAsia"/>
          <w:lang w:bidi="ar"/>
        </w:rPr>
        <w:t>当建设场地处于斜坡地带，高差较大时，应结合场地的水文地质单元、微地貌变化和建设工程的设计情况，按照安全性、经济性原则分区确定抗浮设防水位，各分区抗浮设防水位取该区最高水位。</w:t>
      </w:r>
    </w:p>
    <w:p>
      <w:pPr>
        <w:rPr>
          <w:rFonts w:ascii="楷体" w:hAnsi="楷体" w:eastAsia="楷体" w:cs="楷体"/>
          <w:b/>
          <w:bCs/>
        </w:rPr>
      </w:pPr>
      <w:r>
        <w:rPr>
          <w:rFonts w:hint="eastAsia" w:ascii="楷体" w:hAnsi="楷体" w:eastAsia="楷体" w:cs="楷体"/>
          <w:b/>
          <w:bCs/>
        </w:rPr>
        <w:t>【条文说明】6</w:t>
      </w:r>
      <w:r>
        <w:rPr>
          <w:rFonts w:ascii="楷体" w:hAnsi="楷体" w:eastAsia="楷体" w:cs="楷体"/>
          <w:b/>
          <w:bCs/>
        </w:rPr>
        <w:t xml:space="preserve">.2.1  </w:t>
      </w:r>
      <w:r>
        <w:rPr>
          <w:rFonts w:hint="eastAsia" w:ascii="楷体" w:hAnsi="楷体" w:eastAsia="楷体" w:cs="楷体"/>
          <w:b/>
          <w:bCs/>
        </w:rPr>
        <w:t>当场地地面坡度大于20%或地下水水力坡度大于15%时，应按斜坡场地对待。修建在斜坡场地的地下结构受到的基底水压力是非均匀分布的，地下结构两侧水位存在一定的高差。如果抗浮设防水位全部取上游边界水位，会造成过大的经济浪费，若全部取下游边界水位，则上游区域会存在一定的风险隐患。通过合理的分区取值，是为了实现经济性和安全性的最佳结合。</w:t>
      </w:r>
    </w:p>
    <w:p>
      <w:pPr>
        <w:ind w:firstLine="482" w:firstLineChars="200"/>
        <w:rPr>
          <w:rFonts w:ascii="楷体" w:hAnsi="楷体" w:eastAsia="楷体" w:cs="楷体"/>
          <w:b/>
          <w:bCs/>
        </w:rPr>
      </w:pPr>
      <w:r>
        <w:rPr>
          <w:rFonts w:hint="eastAsia" w:ascii="楷体" w:hAnsi="楷体" w:eastAsia="楷体" w:cs="楷体"/>
          <w:b/>
          <w:bCs/>
        </w:rPr>
        <w:t>稳定渗流的斜坡场地，抗浮设防水位的取值建议采用“三步法”确定。</w:t>
      </w:r>
    </w:p>
    <w:p>
      <w:pPr>
        <w:ind w:firstLine="482" w:firstLineChars="200"/>
        <w:rPr>
          <w:rFonts w:ascii="楷体" w:hAnsi="楷体" w:eastAsia="楷体" w:cs="楷体"/>
          <w:b/>
          <w:bCs/>
        </w:rPr>
      </w:pPr>
      <w:r>
        <w:rPr>
          <w:rFonts w:hint="eastAsia" w:ascii="楷体" w:hAnsi="楷体" w:eastAsia="楷体" w:cs="楷体"/>
          <w:b/>
          <w:bCs/>
        </w:rPr>
        <w:t>第一步：按最不利剖面确定上下游两侧的地下室外墙边界水位。对于强透水场地，地下室外墙边界水位需综合考虑区域地下水条件和工程对局部水位壅高的影响，通过历史峰值水位和水位预测来确定。对于弱透水场地，重点考虑地表水入渗到肥槽，肥槽水位和肥槽局部水位易升高到地面，故弱透水场地两侧的边界水位取为室外地坪。</w:t>
      </w:r>
    </w:p>
    <w:p>
      <w:pPr>
        <w:ind w:firstLine="482" w:firstLineChars="200"/>
        <w:rPr>
          <w:rFonts w:ascii="楷体" w:hAnsi="楷体" w:eastAsia="楷体" w:cs="楷体"/>
          <w:b/>
          <w:bCs/>
        </w:rPr>
      </w:pPr>
      <w:r>
        <w:rPr>
          <w:rFonts w:hint="eastAsia" w:ascii="楷体" w:hAnsi="楷体" w:eastAsia="楷体" w:cs="楷体"/>
          <w:b/>
          <w:bCs/>
        </w:rPr>
        <w:t>第二步：确定底板受到的水压力线。根据边界水位推测底板水压力线已有学者形成了相应的研究成果，可通过改进阻力系数法（参考《水闸设计规范》（SL265-2016）附录C）、数值模拟法等方法计算确定。未开展相关工作的，底板水压力线可简化为两侧边界水位的直线。</w:t>
      </w:r>
    </w:p>
    <w:p>
      <w:pPr>
        <w:ind w:firstLine="482" w:firstLineChars="200"/>
        <w:rPr>
          <w:rFonts w:ascii="楷体" w:hAnsi="楷体" w:eastAsia="楷体" w:cs="楷体"/>
          <w:b/>
          <w:bCs/>
        </w:rPr>
      </w:pPr>
      <w:r>
        <w:rPr>
          <w:rFonts w:hint="eastAsia" w:ascii="楷体" w:hAnsi="楷体" w:eastAsia="楷体" w:cs="楷体"/>
          <w:b/>
          <w:bCs/>
        </w:rPr>
        <w:t>算例1：某地下室断面设计如图6.2.1-1所示，表层为残积土层，渗透系数5×10</w:t>
      </w:r>
      <w:r>
        <w:rPr>
          <w:rFonts w:hint="eastAsia" w:ascii="楷体" w:hAnsi="楷体" w:eastAsia="楷体" w:cs="楷体"/>
          <w:b/>
          <w:bCs/>
          <w:vertAlign w:val="superscript"/>
        </w:rPr>
        <w:t>-3</w:t>
      </w:r>
      <w:r>
        <w:rPr>
          <w:rFonts w:hint="eastAsia" w:ascii="楷体" w:hAnsi="楷体" w:eastAsia="楷体" w:cs="楷体"/>
          <w:b/>
          <w:bCs/>
        </w:rPr>
        <w:t>cm/s,强风化层渗透系数2×10</w:t>
      </w:r>
      <w:r>
        <w:rPr>
          <w:rFonts w:hint="eastAsia" w:ascii="楷体" w:hAnsi="楷体" w:eastAsia="楷体" w:cs="楷体"/>
          <w:b/>
          <w:bCs/>
          <w:vertAlign w:val="superscript"/>
        </w:rPr>
        <w:t>-4</w:t>
      </w:r>
      <w:r>
        <w:rPr>
          <w:rFonts w:hint="eastAsia" w:ascii="楷体" w:hAnsi="楷体" w:eastAsia="楷体" w:cs="楷体"/>
          <w:b/>
          <w:bCs/>
        </w:rPr>
        <w:t>cm/s，厚度4m，其下为岩层，两侧边界水位取室外地坪标高。分别采用有限元法、改进阻力系数法和线性简化法计算底板受到的水压力线。</w:t>
      </w:r>
    </w:p>
    <w:p>
      <w:pPr>
        <w:ind w:firstLine="482" w:firstLineChars="200"/>
        <w:rPr>
          <w:rFonts w:ascii="楷体" w:hAnsi="楷体" w:eastAsia="楷体" w:cs="楷体"/>
          <w:b/>
          <w:bCs/>
        </w:rPr>
      </w:pPr>
      <w:r>
        <w:rPr>
          <w:rFonts w:hint="eastAsia" w:ascii="楷体" w:hAnsi="楷体" w:eastAsia="楷体" w:cs="楷体"/>
          <w:b/>
          <w:bCs/>
        </w:rPr>
        <w:t>改进阻力系数法按分别计算该地下室各段的水头损失，共分为5段，各分段的类型和土层计算总厚度如表6.2.1所示，上下游总水头损失为6m。</w:t>
      </w:r>
    </w:p>
    <w:p>
      <w:pPr>
        <w:ind w:firstLine="422" w:firstLineChars="200"/>
        <w:jc w:val="center"/>
        <w:rPr>
          <w:rFonts w:ascii="楷体" w:hAnsi="楷体" w:eastAsia="楷体" w:cs="楷体"/>
          <w:b/>
          <w:bCs/>
        </w:rPr>
      </w:pPr>
      <w:r>
        <w:rPr>
          <w:rFonts w:hint="eastAsia" w:asciiTheme="majorEastAsia" w:hAnsiTheme="majorEastAsia" w:eastAsiaTheme="majorEastAsia" w:cstheme="majorEastAsia"/>
          <w:b/>
          <w:bCs/>
          <w:sz w:val="21"/>
          <w:szCs w:val="21"/>
        </w:rPr>
        <w:t>表6.2.1  各分段的渗透系数和土层计算总厚度</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分段</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类型</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进口段</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水平段</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垂直段</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水平段</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出口段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渗透系数</w:t>
            </w:r>
          </w:p>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（cm/s）</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5×10</w:t>
            </w:r>
            <w:r>
              <w:rPr>
                <w:rFonts w:hint="eastAsia" w:asciiTheme="minorEastAsia" w:hAnsiTheme="minorEastAsia" w:eastAsiaTheme="minorEastAsia" w:cstheme="minorEastAsia"/>
                <w:sz w:val="21"/>
                <w:szCs w:val="21"/>
                <w:vertAlign w:val="superscript"/>
              </w:rPr>
              <w:t>-3</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5×10</w:t>
            </w:r>
            <w:r>
              <w:rPr>
                <w:rFonts w:hint="eastAsia" w:asciiTheme="minorEastAsia" w:hAnsiTheme="minorEastAsia" w:eastAsiaTheme="minorEastAsia" w:cstheme="minorEastAsia"/>
                <w:sz w:val="21"/>
                <w:szCs w:val="21"/>
                <w:vertAlign w:val="superscript"/>
              </w:rPr>
              <w:t>-3</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5×10</w:t>
            </w:r>
            <w:r>
              <w:rPr>
                <w:rFonts w:hint="eastAsia" w:asciiTheme="minorEastAsia" w:hAnsiTheme="minorEastAsia" w:eastAsiaTheme="minorEastAsia" w:cstheme="minorEastAsia"/>
                <w:sz w:val="21"/>
                <w:szCs w:val="21"/>
                <w:vertAlign w:val="superscript"/>
              </w:rPr>
              <w:t>-3</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5×10</w:t>
            </w:r>
            <w:r>
              <w:rPr>
                <w:rFonts w:hint="eastAsia" w:asciiTheme="minorEastAsia" w:hAnsiTheme="minorEastAsia" w:eastAsiaTheme="minorEastAsia" w:cstheme="minorEastAsia"/>
                <w:sz w:val="21"/>
                <w:szCs w:val="21"/>
                <w:vertAlign w:val="superscript"/>
              </w:rPr>
              <w:t>-3</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5×10</w:t>
            </w:r>
            <w:r>
              <w:rPr>
                <w:rFonts w:hint="eastAsia" w:asciiTheme="minorEastAsia" w:hAnsiTheme="minorEastAsia" w:eastAsiaTheme="minorEastAsia" w:cstheme="minor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土层计算厚度T</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9.36</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9.36</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9.36</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6.24</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阻力系数</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0.85</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0.321</w:t>
            </w:r>
          </w:p>
        </w:tc>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0.336</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1.042</w:t>
            </w:r>
          </w:p>
        </w:tc>
        <w:tc>
          <w:tcPr>
            <w:tcW w:w="1421"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水头损失</w:t>
            </w:r>
          </w:p>
          <w:p>
            <w:pPr>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w:t>
            </w:r>
          </w:p>
        </w:tc>
        <w:tc>
          <w:tcPr>
            <w:tcW w:w="1420" w:type="dxa"/>
            <w:vAlign w:val="center"/>
          </w:tcPr>
          <w:p>
            <w:pPr>
              <w:widowControl/>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1.50</w:t>
            </w:r>
          </w:p>
        </w:tc>
        <w:tc>
          <w:tcPr>
            <w:tcW w:w="1420" w:type="dxa"/>
            <w:vAlign w:val="center"/>
          </w:tcPr>
          <w:p>
            <w:pPr>
              <w:widowControl/>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0.56</w:t>
            </w:r>
          </w:p>
        </w:tc>
        <w:tc>
          <w:tcPr>
            <w:tcW w:w="1420" w:type="dxa"/>
            <w:vAlign w:val="center"/>
          </w:tcPr>
          <w:p>
            <w:pPr>
              <w:widowControl/>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0.59</w:t>
            </w:r>
          </w:p>
        </w:tc>
        <w:tc>
          <w:tcPr>
            <w:tcW w:w="1421" w:type="dxa"/>
            <w:vAlign w:val="center"/>
          </w:tcPr>
          <w:p>
            <w:pPr>
              <w:widowControl/>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1.83</w:t>
            </w:r>
          </w:p>
        </w:tc>
        <w:tc>
          <w:tcPr>
            <w:tcW w:w="1421" w:type="dxa"/>
            <w:vAlign w:val="center"/>
          </w:tcPr>
          <w:p>
            <w:pPr>
              <w:widowControl/>
              <w:spacing w:line="24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1.51</w:t>
            </w:r>
          </w:p>
        </w:tc>
      </w:tr>
    </w:tbl>
    <w:p>
      <w:pPr>
        <w:ind w:firstLine="482" w:firstLineChars="200"/>
        <w:rPr>
          <w:rFonts w:ascii="楷体" w:hAnsi="楷体" w:eastAsia="楷体" w:cs="楷体"/>
          <w:b/>
          <w:bCs/>
        </w:rPr>
      </w:pPr>
    </w:p>
    <w:p>
      <w:pPr>
        <w:ind w:firstLine="482" w:firstLineChars="200"/>
        <w:rPr>
          <w:rFonts w:ascii="楷体" w:hAnsi="楷体" w:eastAsia="楷体" w:cs="楷体"/>
          <w:b/>
          <w:bCs/>
        </w:rPr>
      </w:pPr>
      <w:r>
        <w:rPr>
          <w:rFonts w:hint="eastAsia" w:ascii="楷体" w:hAnsi="楷体" w:eastAsia="楷体" w:cs="楷体"/>
          <w:b/>
          <w:bCs/>
        </w:rPr>
        <w:t>汇总数值模拟法、改进阻力系数法和简单线性的计算结果（图6.2.1-1），由图可见，</w:t>
      </w:r>
      <w:bookmarkStart w:id="35" w:name="_Hlk140051087"/>
      <w:r>
        <w:rPr>
          <w:rFonts w:hint="eastAsia" w:ascii="楷体" w:hAnsi="楷体" w:eastAsia="楷体" w:cs="楷体"/>
          <w:b/>
          <w:bCs/>
        </w:rPr>
        <w:t>线性简化法和有限元法、改进阻力系数</w:t>
      </w:r>
      <w:bookmarkEnd w:id="35"/>
      <w:r>
        <w:rPr>
          <w:rFonts w:hint="eastAsia" w:ascii="楷体" w:hAnsi="楷体" w:eastAsia="楷体" w:cs="楷体"/>
          <w:b/>
          <w:bCs/>
        </w:rPr>
        <w:t>法计算结果总体相近，前段线性简化法计算水位略高于有限元法、改进阻力系数结果偏于安全；地下室变层位置三种方法计算结果相近；后段有限元法、改进阻力系数计算水位略高于线性简化法，但各分区取该区高值时结果仍偏于安全；且</w:t>
      </w:r>
      <w:bookmarkStart w:id="36" w:name="_Hlk140051379"/>
      <w:r>
        <w:rPr>
          <w:rFonts w:hint="eastAsia" w:ascii="楷体" w:hAnsi="楷体" w:eastAsia="楷体" w:cs="楷体"/>
          <w:b/>
          <w:bCs/>
        </w:rPr>
        <w:t>线性简化法</w:t>
      </w:r>
      <w:bookmarkEnd w:id="36"/>
      <w:r>
        <w:rPr>
          <w:rFonts w:hint="eastAsia" w:ascii="楷体" w:hAnsi="楷体" w:eastAsia="楷体" w:cs="楷体"/>
          <w:b/>
          <w:bCs/>
        </w:rPr>
        <w:t>计算简洁明了，便于工程使用，因此推荐采用线性简化法确定底板受到的水压力线。</w:t>
      </w:r>
    </w:p>
    <w:p>
      <w:pPr>
        <w:rPr>
          <w:rFonts w:ascii="楷体" w:hAnsi="楷体" w:eastAsia="楷体" w:cs="楷体"/>
          <w:b/>
          <w:bCs/>
        </w:rPr>
      </w:pPr>
      <w:r>
        <w:rPr>
          <w:rFonts w:hint="eastAsia" w:ascii="楷体" w:hAnsi="楷体" w:eastAsia="楷体" w:cs="楷体"/>
          <w:b/>
          <w:bCs/>
        </w:rPr>
        <w:drawing>
          <wp:inline distT="0" distB="0" distL="114300" distR="114300">
            <wp:extent cx="5268595" cy="3337560"/>
            <wp:effectExtent l="0" t="0" r="4445" b="0"/>
            <wp:docPr id="18" name="图片 18" descr="基底水压力线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基底水压力线示意图"/>
                    <pic:cNvPicPr>
                      <a:picLocks noChangeAspect="1"/>
                    </pic:cNvPicPr>
                  </pic:nvPicPr>
                  <pic:blipFill>
                    <a:blip r:embed="rId76"/>
                    <a:stretch>
                      <a:fillRect/>
                    </a:stretch>
                  </pic:blipFill>
                  <pic:spPr>
                    <a:xfrm>
                      <a:off x="0" y="0"/>
                      <a:ext cx="5268595" cy="3337560"/>
                    </a:xfrm>
                    <a:prstGeom prst="rect">
                      <a:avLst/>
                    </a:prstGeom>
                  </pic:spPr>
                </pic:pic>
              </a:graphicData>
            </a:graphic>
          </wp:inline>
        </w:drawing>
      </w:r>
    </w:p>
    <w:p>
      <w:pPr>
        <w:ind w:firstLine="422" w:firstLineChars="20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图6.2.1-1  不同方法计算得到的基底水压力线</w:t>
      </w:r>
    </w:p>
    <w:p>
      <w:pPr>
        <w:rPr>
          <w:rFonts w:asciiTheme="minorEastAsia" w:hAnsiTheme="minorEastAsia" w:eastAsiaTheme="minorEastAsia" w:cstheme="minorEastAsia"/>
          <w:b/>
          <w:bCs/>
          <w:sz w:val="21"/>
          <w:szCs w:val="21"/>
        </w:rPr>
      </w:pPr>
    </w:p>
    <w:p>
      <w:pPr>
        <w:ind w:firstLine="482" w:firstLineChars="200"/>
        <w:rPr>
          <w:rFonts w:ascii="楷体" w:hAnsi="楷体" w:eastAsia="楷体" w:cs="楷体"/>
          <w:b/>
          <w:bCs/>
        </w:rPr>
      </w:pPr>
      <w:r>
        <w:rPr>
          <w:rFonts w:hint="eastAsia" w:ascii="楷体" w:hAnsi="楷体" w:eastAsia="楷体" w:cs="楷体"/>
          <w:b/>
          <w:bCs/>
        </w:rPr>
        <w:t>第三步：分区确定抗浮设防水位。应选取最不利断面来确定抗浮设防水位，根据场地的水文地质单元、微地貌和工程设计中的结构底板标高分界线、主群楼分界线、后浇带等，按照纵向宽度20</w:t>
      </w:r>
      <w:r>
        <w:rPr>
          <w:rFonts w:hint="eastAsia" w:ascii="宋体" w:hAnsi="宋体" w:cs="楷体"/>
          <w:b/>
          <w:bCs/>
        </w:rPr>
        <w:t>～</w:t>
      </w:r>
      <w:r>
        <w:rPr>
          <w:rFonts w:hint="eastAsia" w:ascii="楷体" w:hAnsi="楷体" w:eastAsia="楷体" w:cs="楷体"/>
          <w:b/>
          <w:bCs/>
        </w:rPr>
        <w:t>50m或水位跨度不大于1m的标准，分区确定。每个区的抗浮设防水位取该区的高值（图6</w:t>
      </w:r>
      <w:r>
        <w:rPr>
          <w:rFonts w:ascii="楷体" w:hAnsi="楷体" w:eastAsia="楷体" w:cs="楷体"/>
          <w:b/>
          <w:bCs/>
        </w:rPr>
        <w:t>.2.1</w:t>
      </w:r>
      <w:r>
        <w:rPr>
          <w:rFonts w:hint="eastAsia" w:ascii="楷体" w:hAnsi="楷体" w:eastAsia="楷体" w:cs="楷体"/>
          <w:b/>
          <w:bCs/>
        </w:rPr>
        <w:t>-2）。</w:t>
      </w:r>
    </w:p>
    <w:p>
      <w:pPr>
        <w:jc w:val="center"/>
      </w:pPr>
      <w:r>
        <w:drawing>
          <wp:inline distT="0" distB="0" distL="114300" distR="114300">
            <wp:extent cx="3965575" cy="2563495"/>
            <wp:effectExtent l="0" t="0" r="15875" b="8255"/>
            <wp:docPr id="4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5"/>
                    <pic:cNvPicPr>
                      <a:picLocks noChangeAspect="1"/>
                    </pic:cNvPicPr>
                  </pic:nvPicPr>
                  <pic:blipFill>
                    <a:blip r:embed="rId77"/>
                    <a:stretch>
                      <a:fillRect/>
                    </a:stretch>
                  </pic:blipFill>
                  <pic:spPr>
                    <a:xfrm>
                      <a:off x="0" y="0"/>
                      <a:ext cx="3965575" cy="2563495"/>
                    </a:xfrm>
                    <a:prstGeom prst="rect">
                      <a:avLst/>
                    </a:prstGeom>
                    <a:noFill/>
                    <a:ln>
                      <a:noFill/>
                    </a:ln>
                  </pic:spPr>
                </pic:pic>
              </a:graphicData>
            </a:graphic>
          </wp:inline>
        </w:drawing>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（a）下侧边界地下室外侧部分临空</w:t>
      </w:r>
    </w:p>
    <w:p>
      <w:pPr>
        <w:jc w:val="center"/>
      </w:pPr>
      <w:r>
        <w:drawing>
          <wp:inline distT="0" distB="0" distL="114300" distR="114300">
            <wp:extent cx="3752850" cy="2270125"/>
            <wp:effectExtent l="0" t="0" r="0" b="15875"/>
            <wp:docPr id="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6"/>
                    <pic:cNvPicPr>
                      <a:picLocks noChangeAspect="1"/>
                    </pic:cNvPicPr>
                  </pic:nvPicPr>
                  <pic:blipFill>
                    <a:blip r:embed="rId78"/>
                    <a:stretch>
                      <a:fillRect/>
                    </a:stretch>
                  </pic:blipFill>
                  <pic:spPr>
                    <a:xfrm>
                      <a:off x="0" y="0"/>
                      <a:ext cx="3752850" cy="2270125"/>
                    </a:xfrm>
                    <a:prstGeom prst="rect">
                      <a:avLst/>
                    </a:prstGeom>
                    <a:noFill/>
                    <a:ln>
                      <a:noFill/>
                    </a:ln>
                  </pic:spPr>
                </pic:pic>
              </a:graphicData>
            </a:graphic>
          </wp:inline>
        </w:drawing>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（b）下侧边界地下室外侧完全临空</w:t>
      </w:r>
    </w:p>
    <w:p>
      <w:pPr>
        <w:jc w:val="center"/>
      </w:pPr>
      <w:r>
        <w:drawing>
          <wp:inline distT="0" distB="0" distL="114300" distR="114300">
            <wp:extent cx="4072255" cy="2360295"/>
            <wp:effectExtent l="0" t="0" r="4445" b="1905"/>
            <wp:docPr id="4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7"/>
                    <pic:cNvPicPr>
                      <a:picLocks noChangeAspect="1"/>
                    </pic:cNvPicPr>
                  </pic:nvPicPr>
                  <pic:blipFill>
                    <a:blip r:embed="rId79"/>
                    <a:stretch>
                      <a:fillRect/>
                    </a:stretch>
                  </pic:blipFill>
                  <pic:spPr>
                    <a:xfrm>
                      <a:off x="0" y="0"/>
                      <a:ext cx="4072255" cy="2360295"/>
                    </a:xfrm>
                    <a:prstGeom prst="rect">
                      <a:avLst/>
                    </a:prstGeom>
                    <a:noFill/>
                    <a:ln>
                      <a:noFill/>
                    </a:ln>
                  </pic:spPr>
                </pic:pic>
              </a:graphicData>
            </a:graphic>
          </wp:inline>
        </w:drawing>
      </w:r>
    </w:p>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（c）下侧边界地下室底部部分临空</w:t>
      </w:r>
    </w:p>
    <w:p>
      <w:pPr>
        <w:jc w:val="center"/>
        <w:rPr>
          <w:rFonts w:cs="楷体" w:asciiTheme="minorEastAsia" w:hAnsiTheme="minorEastAsia" w:eastAsiaTheme="minorEastAsia"/>
          <w:b/>
          <w:bCs/>
          <w:sz w:val="21"/>
          <w:szCs w:val="21"/>
        </w:rPr>
      </w:pPr>
      <w:r>
        <w:rPr>
          <w:rFonts w:hint="eastAsia" w:cs="楷体" w:asciiTheme="minorEastAsia" w:hAnsiTheme="minorEastAsia" w:eastAsiaTheme="minorEastAsia"/>
          <w:b/>
          <w:bCs/>
          <w:sz w:val="21"/>
          <w:szCs w:val="21"/>
        </w:rPr>
        <w:t>图6.</w:t>
      </w:r>
      <w:r>
        <w:rPr>
          <w:rFonts w:cs="楷体" w:asciiTheme="minorEastAsia" w:hAnsiTheme="minorEastAsia" w:eastAsiaTheme="minorEastAsia"/>
          <w:b/>
          <w:bCs/>
          <w:sz w:val="21"/>
          <w:szCs w:val="21"/>
        </w:rPr>
        <w:t>2</w:t>
      </w:r>
      <w:r>
        <w:rPr>
          <w:rFonts w:hint="eastAsia" w:cs="楷体" w:asciiTheme="minorEastAsia" w:hAnsiTheme="minorEastAsia" w:eastAsiaTheme="minorEastAsia"/>
          <w:b/>
          <w:bCs/>
          <w:sz w:val="21"/>
          <w:szCs w:val="21"/>
        </w:rPr>
        <w:t>.1-2</w:t>
      </w:r>
      <w:r>
        <w:rPr>
          <w:rFonts w:cs="楷体" w:asciiTheme="minorEastAsia" w:hAnsiTheme="minorEastAsia" w:eastAsiaTheme="minorEastAsia"/>
          <w:b/>
          <w:bCs/>
          <w:sz w:val="21"/>
          <w:szCs w:val="21"/>
        </w:rPr>
        <w:t xml:space="preserve"> </w:t>
      </w:r>
      <w:r>
        <w:rPr>
          <w:rFonts w:hint="eastAsia" w:cs="楷体" w:asciiTheme="minorEastAsia" w:hAnsiTheme="minorEastAsia" w:eastAsiaTheme="minorEastAsia"/>
          <w:b/>
          <w:bCs/>
          <w:sz w:val="21"/>
          <w:szCs w:val="21"/>
        </w:rPr>
        <w:t xml:space="preserve"> 稳定渗流斜坡场地抗浮设防水位取值示意图</w:t>
      </w:r>
    </w:p>
    <w:p>
      <w:pPr>
        <w:ind w:firstLine="482" w:firstLineChars="200"/>
        <w:rPr>
          <w:rFonts w:ascii="楷体" w:hAnsi="楷体" w:eastAsia="楷体" w:cs="楷体"/>
          <w:b/>
          <w:bCs/>
        </w:rPr>
      </w:pPr>
    </w:p>
    <w:p>
      <w:pPr>
        <w:ind w:firstLine="482" w:firstLineChars="200"/>
        <w:rPr>
          <w:rFonts w:ascii="楷体" w:hAnsi="楷体" w:eastAsia="楷体" w:cs="楷体"/>
          <w:b/>
          <w:bCs/>
        </w:rPr>
      </w:pPr>
      <w:r>
        <w:rPr>
          <w:rFonts w:hint="eastAsia" w:ascii="楷体" w:hAnsi="楷体" w:eastAsia="楷体" w:cs="楷体"/>
          <w:b/>
          <w:bCs/>
        </w:rPr>
        <w:t>岩土透水性等级为弱透水及以上且基坑肥槽回填不均匀，造成疏排水不畅的场地，无法形成稳定渗流的斜坡场地，应结合室外地坪分区确定抗浮设防水位。分区时应选取最不利断面，根据水头变化幅度、工程经济、工程规划情况综合确定，室外地坪变化大区段分区宜细，变化较缓区段分区可大，分区水头变化宜取10～20kPa。各分区抗浮设防水位取该区取该分区室外地坪最高点（图6.2.1-</w:t>
      </w:r>
      <w:r>
        <w:rPr>
          <w:rFonts w:ascii="楷体" w:hAnsi="楷体" w:eastAsia="楷体" w:cs="楷体"/>
          <w:b/>
          <w:bCs/>
        </w:rPr>
        <w:t>3</w:t>
      </w:r>
      <w:r>
        <w:rPr>
          <w:rFonts w:hint="eastAsia" w:ascii="楷体" w:hAnsi="楷体" w:eastAsia="楷体" w:cs="楷体"/>
          <w:b/>
          <w:bCs/>
        </w:rPr>
        <w:t>）。</w:t>
      </w:r>
    </w:p>
    <w:p>
      <w:pPr>
        <w:rPr>
          <w:rFonts w:ascii="楷体" w:hAnsi="楷体" w:eastAsia="楷体" w:cs="楷体"/>
          <w:b/>
          <w:bCs/>
          <w:color w:val="FF0000"/>
        </w:rPr>
      </w:pPr>
      <w:r>
        <w:rPr>
          <w:color w:val="FF0000"/>
        </w:rPr>
        <w:drawing>
          <wp:inline distT="0" distB="0" distL="0" distR="0">
            <wp:extent cx="4816475" cy="249809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0"/>
                    <a:stretch>
                      <a:fillRect/>
                    </a:stretch>
                  </pic:blipFill>
                  <pic:spPr>
                    <a:xfrm>
                      <a:off x="0" y="0"/>
                      <a:ext cx="4847503" cy="2514748"/>
                    </a:xfrm>
                    <a:prstGeom prst="rect">
                      <a:avLst/>
                    </a:prstGeom>
                  </pic:spPr>
                </pic:pic>
              </a:graphicData>
            </a:graphic>
          </wp:inline>
        </w:drawing>
      </w:r>
    </w:p>
    <w:p>
      <w:pPr>
        <w:jc w:val="center"/>
        <w:rPr>
          <w:rFonts w:cs="楷体" w:asciiTheme="minorEastAsia" w:hAnsiTheme="minorEastAsia" w:eastAsiaTheme="minorEastAsia"/>
          <w:b/>
          <w:bCs/>
          <w:sz w:val="21"/>
          <w:szCs w:val="21"/>
        </w:rPr>
      </w:pPr>
      <w:r>
        <w:rPr>
          <w:rFonts w:hint="eastAsia" w:cs="楷体" w:asciiTheme="minorEastAsia" w:hAnsiTheme="minorEastAsia" w:eastAsiaTheme="minorEastAsia"/>
          <w:b/>
          <w:bCs/>
          <w:sz w:val="21"/>
          <w:szCs w:val="21"/>
        </w:rPr>
        <w:t>图6.</w:t>
      </w:r>
      <w:r>
        <w:rPr>
          <w:rFonts w:cs="楷体" w:asciiTheme="minorEastAsia" w:hAnsiTheme="minorEastAsia" w:eastAsiaTheme="minorEastAsia"/>
          <w:b/>
          <w:bCs/>
          <w:sz w:val="21"/>
          <w:szCs w:val="21"/>
        </w:rPr>
        <w:t>2</w:t>
      </w:r>
      <w:r>
        <w:rPr>
          <w:rFonts w:hint="eastAsia" w:cs="楷体" w:asciiTheme="minorEastAsia" w:hAnsiTheme="minorEastAsia" w:eastAsiaTheme="minorEastAsia"/>
          <w:b/>
          <w:bCs/>
          <w:sz w:val="21"/>
          <w:szCs w:val="21"/>
        </w:rPr>
        <w:t>.1</w:t>
      </w:r>
      <w:r>
        <w:rPr>
          <w:rFonts w:cs="楷体" w:asciiTheme="minorEastAsia" w:hAnsiTheme="minorEastAsia" w:eastAsiaTheme="minorEastAsia"/>
          <w:b/>
          <w:bCs/>
          <w:sz w:val="21"/>
          <w:szCs w:val="21"/>
        </w:rPr>
        <w:t xml:space="preserve">-3 </w:t>
      </w:r>
      <w:r>
        <w:rPr>
          <w:rFonts w:hint="eastAsia" w:cs="楷体" w:asciiTheme="minorEastAsia" w:hAnsiTheme="minorEastAsia" w:eastAsiaTheme="minorEastAsia"/>
          <w:b/>
          <w:bCs/>
          <w:sz w:val="21"/>
          <w:szCs w:val="21"/>
        </w:rPr>
        <w:t xml:space="preserve"> 弱透水斜坡场地抗浮设防水位取值示意图</w:t>
      </w:r>
    </w:p>
    <w:p>
      <w:pPr>
        <w:ind w:firstLine="482" w:firstLineChars="200"/>
        <w:rPr>
          <w:b/>
          <w:bCs/>
        </w:rPr>
      </w:pPr>
    </w:p>
    <w:p>
      <w:pPr>
        <w:rPr>
          <w:rFonts w:eastAsiaTheme="minorEastAsia"/>
        </w:rPr>
      </w:pPr>
      <w:r>
        <w:rPr>
          <w:rFonts w:hint="eastAsia"/>
          <w:b/>
          <w:bCs/>
        </w:rPr>
        <w:t>6.2.</w:t>
      </w:r>
      <w:r>
        <w:rPr>
          <w:b/>
          <w:bCs/>
        </w:rPr>
        <w:t>2</w:t>
      </w:r>
      <w:r>
        <w:rPr>
          <w:rFonts w:hint="eastAsia" w:eastAsiaTheme="minorEastAsia"/>
        </w:rPr>
        <w:t xml:space="preserve">  斜坡场地地下结构抗浮措施，应充分利用水的自流能力，采用排水廊道、排水盲沟等泄水法主动抗浮措施。</w:t>
      </w:r>
    </w:p>
    <w:p>
      <w:pPr>
        <w:rPr>
          <w:rFonts w:eastAsiaTheme="minorEastAsia"/>
        </w:rPr>
      </w:pPr>
      <w:r>
        <w:rPr>
          <w:rFonts w:hint="eastAsia"/>
          <w:b/>
          <w:bCs/>
        </w:rPr>
        <w:t>6.2.</w:t>
      </w:r>
      <w:r>
        <w:rPr>
          <w:b/>
          <w:bCs/>
        </w:rPr>
        <w:t>3</w:t>
      </w:r>
      <w:r>
        <w:rPr>
          <w:rFonts w:hint="eastAsia" w:eastAsiaTheme="minorEastAsia"/>
        </w:rPr>
        <w:t xml:space="preserve">  当工程场地建设前、后水文地质条件变化较大时，宜根据渗流计算分析地下结构建设前、后的场地渗流场及拟建地下结构上、下游以及底板范围内的水压力，并结合监测手段对地下水位进行复核。</w:t>
      </w:r>
    </w:p>
    <w:p>
      <w:pPr>
        <w:rPr>
          <w:rFonts w:ascii="楷体" w:hAnsi="楷体" w:eastAsia="楷体" w:cs="楷体"/>
          <w:b/>
          <w:bCs/>
        </w:rPr>
      </w:pPr>
      <w:r>
        <w:rPr>
          <w:rFonts w:hint="eastAsia" w:ascii="楷体" w:hAnsi="楷体" w:eastAsia="楷体" w:cs="楷体"/>
          <w:b/>
          <w:bCs/>
        </w:rPr>
        <w:t>【条文说明】6</w:t>
      </w:r>
      <w:r>
        <w:rPr>
          <w:rFonts w:ascii="楷体" w:hAnsi="楷体" w:eastAsia="楷体" w:cs="楷体"/>
          <w:b/>
          <w:bCs/>
        </w:rPr>
        <w:t>.2.3</w:t>
      </w:r>
      <w:r>
        <w:rPr>
          <w:rFonts w:hint="eastAsia" w:ascii="楷体" w:hAnsi="楷体" w:eastAsia="楷体" w:cs="楷体"/>
          <w:b/>
          <w:bCs/>
        </w:rPr>
        <w:t xml:space="preserve">  斜坡场地条件下的地下水流速相对较大，工程建设对场地内外的地下水渗流场易产生较大的影响，需要开展抗浮工程水文地质专项勘察，评价工程建设对渗流场的影响规律，帮助确定抗浮设防水位。同时，还可提出工程施工揭露土层渗流破坏的条件，提出是否需要进行保护，防止施工过程中发生渗流破坏的建议。</w:t>
      </w:r>
    </w:p>
    <w:p>
      <w:pPr>
        <w:rPr>
          <w:rFonts w:eastAsiaTheme="minorEastAsia"/>
        </w:rPr>
      </w:pPr>
    </w:p>
    <w:p>
      <w:pPr>
        <w:snapToGrid w:val="0"/>
        <w:jc w:val="center"/>
        <w:rPr>
          <w:rFonts w:ascii="黑体" w:hAnsi="黑体" w:eastAsia="黑体"/>
          <w:b/>
          <w:bCs/>
          <w:kern w:val="0"/>
          <w:sz w:val="28"/>
          <w:szCs w:val="32"/>
        </w:rPr>
      </w:pPr>
      <w:r>
        <w:rPr>
          <w:rFonts w:ascii="黑体" w:hAnsi="黑体" w:eastAsia="黑体"/>
          <w:b/>
          <w:bCs/>
          <w:kern w:val="0"/>
          <w:sz w:val="28"/>
          <w:szCs w:val="32"/>
        </w:rPr>
        <w:t>6.3</w:t>
      </w:r>
      <w:r>
        <w:rPr>
          <w:rFonts w:hint="eastAsia" w:ascii="黑体" w:hAnsi="黑体" w:eastAsia="黑体"/>
          <w:b/>
          <w:bCs/>
          <w:kern w:val="0"/>
          <w:sz w:val="28"/>
          <w:szCs w:val="32"/>
        </w:rPr>
        <w:t xml:space="preserve"> </w:t>
      </w:r>
      <w:r>
        <w:rPr>
          <w:rFonts w:ascii="黑体" w:hAnsi="黑体" w:eastAsia="黑体"/>
          <w:b/>
          <w:bCs/>
          <w:kern w:val="0"/>
          <w:sz w:val="28"/>
          <w:szCs w:val="32"/>
        </w:rPr>
        <w:t xml:space="preserve"> </w:t>
      </w:r>
      <w:r>
        <w:rPr>
          <w:rFonts w:hint="eastAsia" w:ascii="黑体" w:hAnsi="黑体" w:eastAsia="黑体"/>
          <w:b/>
          <w:bCs/>
          <w:kern w:val="0"/>
          <w:sz w:val="28"/>
          <w:szCs w:val="32"/>
        </w:rPr>
        <w:t>低洼场地</w:t>
      </w:r>
    </w:p>
    <w:p>
      <w:pPr>
        <w:snapToGrid w:val="0"/>
        <w:rPr>
          <w:rFonts w:cs="黑体"/>
        </w:rPr>
      </w:pPr>
      <w:r>
        <w:rPr>
          <w:rFonts w:hint="eastAsia"/>
          <w:b/>
          <w:bCs/>
        </w:rPr>
        <w:t>6.</w:t>
      </w:r>
      <w:r>
        <w:rPr>
          <w:b/>
          <w:bCs/>
        </w:rPr>
        <w:t>3</w:t>
      </w:r>
      <w:r>
        <w:rPr>
          <w:rFonts w:hint="eastAsia"/>
          <w:b/>
          <w:bCs/>
        </w:rPr>
        <w:t>.</w:t>
      </w:r>
      <w:r>
        <w:rPr>
          <w:b/>
          <w:bCs/>
        </w:rPr>
        <w:t>1</w:t>
      </w:r>
      <w:r>
        <w:rPr>
          <w:rFonts w:hint="eastAsia" w:cs="黑体"/>
        </w:rPr>
        <w:t xml:space="preserve"> </w:t>
      </w:r>
      <w:r>
        <w:rPr>
          <w:rFonts w:cs="黑体"/>
        </w:rPr>
        <w:t xml:space="preserve"> 场地地势低洼且有可能发生淹没、浸水时，</w:t>
      </w:r>
      <w:r>
        <w:rPr>
          <w:rFonts w:hint="eastAsia" w:cs="黑体"/>
        </w:rPr>
        <w:t>其</w:t>
      </w:r>
      <w:r>
        <w:rPr>
          <w:rFonts w:cs="黑体"/>
        </w:rPr>
        <w:t>抗浮设防水位应根据地质条件、积水深度、内涝时间</w:t>
      </w:r>
      <w:r>
        <w:rPr>
          <w:rFonts w:hint="eastAsia" w:cs="黑体"/>
        </w:rPr>
        <w:t>、</w:t>
      </w:r>
      <w:r>
        <w:rPr>
          <w:rFonts w:cs="黑体"/>
        </w:rPr>
        <w:t>积水下渗</w:t>
      </w:r>
      <w:r>
        <w:rPr>
          <w:rFonts w:hint="eastAsia" w:cs="黑体"/>
        </w:rPr>
        <w:t>及场地周边后期规划</w:t>
      </w:r>
      <w:r>
        <w:rPr>
          <w:rFonts w:cs="黑体"/>
        </w:rPr>
        <w:t>等因素确定。</w:t>
      </w:r>
    </w:p>
    <w:p>
      <w:pPr>
        <w:rPr>
          <w:rFonts w:ascii="楷体" w:hAnsi="楷体" w:eastAsia="楷体" w:cs="楷体"/>
          <w:b/>
          <w:bCs/>
        </w:rPr>
      </w:pPr>
      <w:r>
        <w:rPr>
          <w:rFonts w:hint="eastAsia" w:ascii="楷体" w:hAnsi="楷体" w:eastAsia="楷体" w:cs="楷体"/>
          <w:b/>
          <w:bCs/>
        </w:rPr>
        <w:t>【条文说明】6</w:t>
      </w:r>
      <w:r>
        <w:rPr>
          <w:rFonts w:ascii="楷体" w:hAnsi="楷体" w:eastAsia="楷体" w:cs="楷体"/>
          <w:b/>
          <w:bCs/>
        </w:rPr>
        <w:t>.3.</w:t>
      </w:r>
      <w:r>
        <w:rPr>
          <w:rFonts w:hint="eastAsia" w:ascii="楷体" w:hAnsi="楷体" w:eastAsia="楷体" w:cs="楷体"/>
          <w:b/>
          <w:bCs/>
        </w:rPr>
        <w:t>1</w:t>
      </w:r>
      <w:r>
        <w:rPr>
          <w:rFonts w:ascii="楷体" w:hAnsi="楷体" w:eastAsia="楷体" w:cs="楷体"/>
          <w:b/>
          <w:bCs/>
        </w:rPr>
        <w:t xml:space="preserve">  </w:t>
      </w:r>
      <w:r>
        <w:rPr>
          <w:rFonts w:hint="eastAsia" w:ascii="楷体" w:hAnsi="楷体" w:eastAsia="楷体" w:cs="楷体"/>
          <w:b/>
          <w:bCs/>
        </w:rPr>
        <w:t>当场地有地下水出露时，抗浮设防水位取室外地坪与出露水头的高值；当规划室外地坪高于周边地坪标高，抗浮设防水位可采用周边地坪标高；当规划室外地坪标高低于周边地坪标高，抗浮设防水位可采用室外地坪标高。当场地已设置永久性防洪、防涝设施，抗浮设防水位可按一般场地考虑。</w:t>
      </w:r>
    </w:p>
    <w:p>
      <w:pPr>
        <w:snapToGrid w:val="0"/>
        <w:rPr>
          <w:rFonts w:cs="黑体"/>
        </w:rPr>
      </w:pPr>
      <w:r>
        <w:rPr>
          <w:rFonts w:hint="eastAsia"/>
          <w:b/>
          <w:bCs/>
        </w:rPr>
        <w:t>6.</w:t>
      </w:r>
      <w:r>
        <w:rPr>
          <w:b/>
          <w:bCs/>
        </w:rPr>
        <w:t>3</w:t>
      </w:r>
      <w:r>
        <w:rPr>
          <w:rFonts w:hint="eastAsia"/>
          <w:b/>
          <w:bCs/>
        </w:rPr>
        <w:t>.</w:t>
      </w:r>
      <w:r>
        <w:rPr>
          <w:b/>
          <w:bCs/>
        </w:rPr>
        <w:t>2</w:t>
      </w:r>
      <w:r>
        <w:rPr>
          <w:rFonts w:hint="eastAsia" w:cs="黑体"/>
        </w:rPr>
        <w:t xml:space="preserve"> </w:t>
      </w:r>
      <w:r>
        <w:rPr>
          <w:rFonts w:cs="黑体"/>
        </w:rPr>
        <w:t xml:space="preserve"> </w:t>
      </w:r>
      <w:r>
        <w:rPr>
          <w:rFonts w:hint="eastAsia" w:cs="宋体"/>
          <w:szCs w:val="24"/>
        </w:rPr>
        <w:t>对于低洼地区，应考虑特大暴雨期间可能形成街道被淹的情况，抗浮设防水位可取地下室坡道的上反坡点标高。</w:t>
      </w:r>
    </w:p>
    <w:p>
      <w:pPr>
        <w:rPr>
          <w:rFonts w:ascii="楷体" w:hAnsi="楷体" w:eastAsia="楷体" w:cs="楷体"/>
          <w:b/>
          <w:bCs/>
        </w:rPr>
      </w:pPr>
      <w:bookmarkStart w:id="37" w:name="_Hlk120821994"/>
      <w:r>
        <w:rPr>
          <w:rFonts w:hint="eastAsia" w:ascii="楷体" w:hAnsi="楷体" w:eastAsia="楷体" w:cs="楷体"/>
          <w:b/>
          <w:bCs/>
        </w:rPr>
        <w:t>【条文说明】6</w:t>
      </w:r>
      <w:r>
        <w:rPr>
          <w:rFonts w:ascii="楷体" w:hAnsi="楷体" w:eastAsia="楷体" w:cs="楷体"/>
          <w:b/>
          <w:bCs/>
        </w:rPr>
        <w:t xml:space="preserve">.3.2  </w:t>
      </w:r>
      <w:r>
        <w:rPr>
          <w:rFonts w:hint="eastAsia" w:ascii="楷体" w:hAnsi="楷体" w:eastAsia="楷体" w:cs="楷体"/>
          <w:b/>
          <w:bCs/>
        </w:rPr>
        <w:t>在雨季遭遇特大暴雨，往往会使城市中一些低洼地区形成水涝，不少低洼地区均被水淹，甚至可能对地下室出入口、通风井等位置形成倒灌，因而从保证地下结构安全出发，其抗浮设防水位取地下室坡道上反坡点标高</w:t>
      </w:r>
      <w:r>
        <w:rPr>
          <w:rFonts w:ascii="楷体" w:hAnsi="楷体" w:eastAsia="楷体" w:cs="楷体"/>
          <w:b/>
          <w:bCs/>
        </w:rPr>
        <w:t>。</w:t>
      </w:r>
      <w:r>
        <w:rPr>
          <w:rFonts w:hint="eastAsia" w:ascii="楷体" w:hAnsi="楷体" w:eastAsia="楷体" w:cs="楷体"/>
          <w:b/>
          <w:bCs/>
        </w:rPr>
        <w:t>若地面淹水形成荷载时，如污水处理池等，其抗浮设防水位取可能汇水水面标高。</w:t>
      </w:r>
    </w:p>
    <w:p>
      <w:pPr>
        <w:rPr>
          <w:rFonts w:ascii="楷体" w:hAnsi="楷体" w:eastAsia="楷体" w:cs="楷体"/>
          <w:b/>
          <w:bCs/>
        </w:rPr>
      </w:pPr>
      <w:r>
        <w:rPr>
          <w:rFonts w:hint="eastAsia"/>
          <w:b/>
          <w:bCs/>
        </w:rPr>
        <w:t xml:space="preserve">6.3.3 </w:t>
      </w:r>
      <w:r>
        <w:rPr>
          <w:rFonts w:hint="eastAsia" w:ascii="楷体" w:hAnsi="楷体" w:eastAsia="楷体" w:cs="楷体"/>
          <w:b/>
          <w:bCs/>
        </w:rPr>
        <w:t xml:space="preserve"> </w:t>
      </w:r>
      <w:r>
        <w:rPr>
          <w:rFonts w:hint="eastAsia" w:cs="宋体"/>
          <w:szCs w:val="24"/>
        </w:rPr>
        <w:t>低洼场地，宜采用被动抗浮措施。</w:t>
      </w:r>
    </w:p>
    <w:bookmarkEnd w:id="37"/>
    <w:p>
      <w:pPr>
        <w:rPr>
          <w:rFonts w:ascii="楷体" w:hAnsi="楷体" w:eastAsia="楷体" w:cs="楷体"/>
          <w:b/>
          <w:bCs/>
        </w:rPr>
      </w:pPr>
      <w:r>
        <w:rPr>
          <w:rFonts w:hint="eastAsia" w:ascii="楷体" w:hAnsi="楷体" w:eastAsia="楷体" w:cs="楷体"/>
          <w:b/>
          <w:bCs/>
        </w:rPr>
        <w:t>【条文说明】6</w:t>
      </w:r>
      <w:r>
        <w:rPr>
          <w:rFonts w:ascii="楷体" w:hAnsi="楷体" w:eastAsia="楷体" w:cs="楷体"/>
          <w:b/>
          <w:bCs/>
        </w:rPr>
        <w:t xml:space="preserve">.3.3  </w:t>
      </w:r>
      <w:r>
        <w:rPr>
          <w:rFonts w:hint="eastAsia" w:ascii="楷体" w:hAnsi="楷体" w:eastAsia="楷体" w:cs="楷体"/>
          <w:b/>
          <w:bCs/>
        </w:rPr>
        <w:t>低洼场地难于排水，故以采用被动抗浮措施为宜。当确有易于排水的出水口及排水通道时，也可考虑采用主被动联合抗浮措施。</w:t>
      </w:r>
    </w:p>
    <w:p>
      <w:pPr>
        <w:snapToGrid w:val="0"/>
        <w:jc w:val="center"/>
        <w:rPr>
          <w:rFonts w:ascii="黑体" w:hAnsi="黑体" w:eastAsia="黑体"/>
          <w:b/>
          <w:bCs/>
          <w:kern w:val="0"/>
          <w:sz w:val="28"/>
          <w:szCs w:val="32"/>
        </w:rPr>
      </w:pPr>
    </w:p>
    <w:p>
      <w:pPr>
        <w:snapToGrid w:val="0"/>
        <w:jc w:val="center"/>
        <w:rPr>
          <w:rFonts w:ascii="黑体" w:hAnsi="黑体" w:eastAsia="黑体"/>
          <w:b/>
          <w:bCs/>
          <w:kern w:val="0"/>
          <w:sz w:val="28"/>
          <w:szCs w:val="32"/>
        </w:rPr>
      </w:pPr>
      <w:r>
        <w:rPr>
          <w:rFonts w:hint="eastAsia" w:ascii="黑体" w:hAnsi="黑体" w:eastAsia="黑体"/>
          <w:b/>
          <w:bCs/>
          <w:kern w:val="0"/>
          <w:sz w:val="28"/>
          <w:szCs w:val="32"/>
        </w:rPr>
        <w:t>6.4  临水场地</w:t>
      </w:r>
    </w:p>
    <w:p>
      <w:pPr>
        <w:snapToGrid w:val="0"/>
        <w:rPr>
          <w:rFonts w:cs="黑体"/>
        </w:rPr>
      </w:pPr>
      <w:r>
        <w:rPr>
          <w:b/>
          <w:bCs/>
        </w:rPr>
        <w:t>6.4.1</w:t>
      </w:r>
      <w:r>
        <w:rPr>
          <w:rFonts w:cs="黑体"/>
        </w:rPr>
        <w:t xml:space="preserve">  </w:t>
      </w:r>
      <w:bookmarkStart w:id="38" w:name="_Hlk114495584"/>
      <w:r>
        <w:rPr>
          <w:rFonts w:hint="eastAsia" w:cs="黑体"/>
        </w:rPr>
        <w:t>当地下结构临近地表水，且场地地下水与地表水有水力联系时，可按建筑正常使用年限内可能遇见的最高水位及其波浪壅高，根据</w:t>
      </w:r>
      <w:r>
        <w:rPr>
          <w:rFonts w:hint="eastAsia"/>
        </w:rPr>
        <w:t>地表水对场地地下水水位影响程度和趋势，</w:t>
      </w:r>
      <w:r>
        <w:rPr>
          <w:rFonts w:hint="eastAsia" w:cs="黑体"/>
        </w:rPr>
        <w:t>结合地下排水管网等情况，并根据当地经验综合确定抗浮设防水位</w:t>
      </w:r>
      <w:bookmarkEnd w:id="38"/>
      <w:r>
        <w:rPr>
          <w:rFonts w:hint="eastAsia" w:cs="黑体"/>
        </w:rPr>
        <w:t>。</w:t>
      </w:r>
    </w:p>
    <w:p>
      <w:pPr>
        <w:snapToGrid w:val="0"/>
        <w:rPr>
          <w:rFonts w:eastAsia="楷体" w:cs="楷体"/>
          <w:b/>
          <w:bCs/>
          <w:color w:val="000000" w:themeColor="text1"/>
          <w14:textFill>
            <w14:solidFill>
              <w14:schemeClr w14:val="tx1"/>
            </w14:solidFill>
          </w14:textFill>
        </w:rPr>
      </w:pPr>
      <w:r>
        <w:rPr>
          <w:rFonts w:hint="eastAsia" w:eastAsia="楷体" w:cs="楷体"/>
          <w:b/>
          <w:bCs/>
          <w:color w:val="000000" w:themeColor="text1"/>
          <w14:textFill>
            <w14:solidFill>
              <w14:schemeClr w14:val="tx1"/>
            </w14:solidFill>
          </w14:textFill>
        </w:rPr>
        <w:t>【条文说明】6</w:t>
      </w:r>
      <w:r>
        <w:rPr>
          <w:rFonts w:eastAsia="楷体" w:cs="楷体"/>
          <w:b/>
          <w:bCs/>
          <w:color w:val="000000" w:themeColor="text1"/>
          <w14:textFill>
            <w14:solidFill>
              <w14:schemeClr w14:val="tx1"/>
            </w14:solidFill>
          </w14:textFill>
        </w:rPr>
        <w:t xml:space="preserve">.4.1  </w:t>
      </w:r>
      <w:r>
        <w:rPr>
          <w:rFonts w:hint="eastAsia" w:eastAsia="楷体" w:cs="楷体"/>
          <w:b/>
          <w:bCs/>
          <w:color w:val="000000" w:themeColor="text1"/>
          <w14:textFill>
            <w14:solidFill>
              <w14:schemeClr w14:val="tx1"/>
            </w14:solidFill>
          </w14:textFill>
        </w:rPr>
        <w:t>当场地地下水和地表水无水力联系时，抗浮设防水位的确定可不考虑地表水影响。当场地地下水和地表水有水力联系时，洪水期地下水受地表洪水补给，地下水位升高，根据大量工程经验，临水2km范围内的场地，受洪水补给影响较大，超过这一范围地下水受洪水影响基本可以忽略。临水场地应重点分析洪水对地下水水位和抗浮设防水位的影响。</w:t>
      </w:r>
    </w:p>
    <w:p>
      <w:pPr>
        <w:snapToGrid w:val="0"/>
        <w:ind w:firstLine="482" w:firstLineChars="200"/>
        <w:rPr>
          <w:rFonts w:eastAsia="楷体" w:cs="楷体"/>
          <w:b/>
          <w:bCs/>
        </w:rPr>
      </w:pPr>
      <w:r>
        <w:rPr>
          <w:rFonts w:eastAsia="楷体" w:cs="楷体"/>
          <w:b/>
          <w:bCs/>
        </w:rPr>
        <w:t>1</w:t>
      </w:r>
      <w:r>
        <w:rPr>
          <w:rFonts w:hint="eastAsia" w:eastAsia="楷体" w:cs="楷体"/>
          <w:b/>
          <w:bCs/>
        </w:rPr>
        <w:t xml:space="preserve"> </w:t>
      </w:r>
      <w:r>
        <w:rPr>
          <w:rFonts w:eastAsia="楷体" w:cs="楷体"/>
          <w:b/>
          <w:bCs/>
        </w:rPr>
        <w:t xml:space="preserve"> </w:t>
      </w:r>
      <w:r>
        <w:rPr>
          <w:rFonts w:hint="eastAsia" w:eastAsia="楷体" w:cs="楷体"/>
          <w:b/>
          <w:bCs/>
        </w:rPr>
        <w:t>临水直接淹没区</w:t>
      </w:r>
    </w:p>
    <w:p>
      <w:pPr>
        <w:snapToGrid w:val="0"/>
        <w:ind w:firstLine="482" w:firstLineChars="200"/>
        <w:rPr>
          <w:rFonts w:eastAsia="楷体" w:cs="楷体"/>
          <w:b/>
          <w:bCs/>
        </w:rPr>
      </w:pPr>
      <w:r>
        <w:rPr>
          <w:rFonts w:hint="eastAsia" w:eastAsia="楷体" w:cs="楷体"/>
          <w:b/>
          <w:bCs/>
        </w:rPr>
        <w:t>位于临水岸坡上的地下结构（图6.4.1</w:t>
      </w:r>
      <w:r>
        <w:rPr>
          <w:rFonts w:eastAsia="楷体" w:cs="楷体"/>
          <w:b/>
          <w:bCs/>
        </w:rPr>
        <w:t>-1</w:t>
      </w:r>
      <w:r>
        <w:rPr>
          <w:rFonts w:hint="eastAsia" w:eastAsia="楷体" w:cs="楷体"/>
          <w:b/>
          <w:bCs/>
        </w:rPr>
        <w:t>所示），可能受到洪水直接淹没，其抗浮设防水位不应低于建筑使用期内的最高洪水位；处于最高洪水位以上的部分，其抗浮设防水位宜按斜坡场地进行确定。</w:t>
      </w:r>
    </w:p>
    <w:p>
      <w:pPr>
        <w:snapToGrid w:val="0"/>
        <w:ind w:firstLine="480" w:firstLineChars="200"/>
        <w:rPr>
          <w:rFonts w:eastAsia="楷体" w:cs="楷体"/>
          <w:b/>
          <w:bCs/>
        </w:rPr>
      </w:pPr>
      <w:r>
        <w:drawing>
          <wp:anchor distT="0" distB="0" distL="114300" distR="114300" simplePos="0" relativeHeight="251670528" behindDoc="0" locked="0" layoutInCell="1" allowOverlap="1">
            <wp:simplePos x="0" y="0"/>
            <wp:positionH relativeFrom="margin">
              <wp:align>center</wp:align>
            </wp:positionH>
            <wp:positionV relativeFrom="paragraph">
              <wp:posOffset>207010</wp:posOffset>
            </wp:positionV>
            <wp:extent cx="3561080" cy="2159635"/>
            <wp:effectExtent l="0" t="0" r="127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561080" cy="2159635"/>
                    </a:xfrm>
                    <a:prstGeom prst="rect">
                      <a:avLst/>
                    </a:prstGeom>
                  </pic:spPr>
                </pic:pic>
              </a:graphicData>
            </a:graphic>
          </wp:anchor>
        </w:drawing>
      </w:r>
    </w:p>
    <w:p>
      <w:pPr>
        <w:jc w:val="center"/>
        <w:rPr>
          <w:rFonts w:cs="楷体" w:asciiTheme="minorEastAsia" w:hAnsiTheme="minorEastAsia" w:eastAsiaTheme="minorEastAsia"/>
          <w:b/>
          <w:bCs/>
          <w:sz w:val="21"/>
          <w:szCs w:val="21"/>
        </w:rPr>
      </w:pPr>
      <w:bookmarkStart w:id="39" w:name="_Hlk123302774"/>
      <w:r>
        <w:rPr>
          <w:rFonts w:hint="eastAsia" w:cs="楷体" w:asciiTheme="minorEastAsia" w:hAnsiTheme="minorEastAsia" w:eastAsiaTheme="minorEastAsia"/>
          <w:b/>
          <w:bCs/>
          <w:sz w:val="21"/>
          <w:szCs w:val="21"/>
        </w:rPr>
        <w:t>图6.</w:t>
      </w:r>
      <w:r>
        <w:rPr>
          <w:rFonts w:cs="楷体" w:asciiTheme="minorEastAsia" w:hAnsiTheme="minorEastAsia" w:eastAsiaTheme="minorEastAsia"/>
          <w:b/>
          <w:bCs/>
          <w:sz w:val="21"/>
          <w:szCs w:val="21"/>
        </w:rPr>
        <w:t>4</w:t>
      </w:r>
      <w:r>
        <w:rPr>
          <w:rFonts w:hint="eastAsia" w:cs="楷体" w:asciiTheme="minorEastAsia" w:hAnsiTheme="minorEastAsia" w:eastAsiaTheme="minorEastAsia"/>
          <w:b/>
          <w:bCs/>
          <w:sz w:val="21"/>
          <w:szCs w:val="21"/>
        </w:rPr>
        <w:t>.1</w:t>
      </w:r>
      <w:r>
        <w:rPr>
          <w:rFonts w:cs="楷体" w:asciiTheme="minorEastAsia" w:hAnsiTheme="minorEastAsia" w:eastAsiaTheme="minorEastAsia"/>
          <w:b/>
          <w:bCs/>
          <w:sz w:val="21"/>
          <w:szCs w:val="21"/>
        </w:rPr>
        <w:t xml:space="preserve">-1 </w:t>
      </w:r>
      <w:r>
        <w:rPr>
          <w:rFonts w:hint="eastAsia" w:cs="楷体" w:asciiTheme="minorEastAsia" w:hAnsiTheme="minorEastAsia" w:eastAsiaTheme="minorEastAsia"/>
          <w:b/>
          <w:bCs/>
          <w:sz w:val="21"/>
          <w:szCs w:val="21"/>
        </w:rPr>
        <w:t xml:space="preserve"> </w:t>
      </w:r>
      <w:bookmarkEnd w:id="39"/>
      <w:bookmarkStart w:id="40" w:name="_Hlk127518033"/>
      <w:r>
        <w:rPr>
          <w:rFonts w:hint="eastAsia" w:cs="楷体" w:asciiTheme="minorEastAsia" w:hAnsiTheme="minorEastAsia" w:eastAsiaTheme="minorEastAsia"/>
          <w:b/>
          <w:bCs/>
          <w:sz w:val="21"/>
          <w:szCs w:val="21"/>
        </w:rPr>
        <w:t>临水直接淹没区示意图</w:t>
      </w:r>
      <w:bookmarkEnd w:id="40"/>
    </w:p>
    <w:p>
      <w:pPr>
        <w:snapToGrid w:val="0"/>
        <w:ind w:firstLine="482" w:firstLineChars="200"/>
        <w:rPr>
          <w:rFonts w:eastAsia="楷体" w:cs="楷体"/>
          <w:b/>
          <w:bCs/>
        </w:rPr>
      </w:pPr>
    </w:p>
    <w:p>
      <w:pPr>
        <w:snapToGrid w:val="0"/>
        <w:ind w:firstLine="482" w:firstLineChars="200"/>
        <w:rPr>
          <w:rFonts w:eastAsia="楷体" w:cs="楷体"/>
          <w:b/>
          <w:bCs/>
        </w:rPr>
      </w:pPr>
      <w:r>
        <w:rPr>
          <w:rFonts w:hint="eastAsia" w:eastAsia="楷体" w:cs="楷体"/>
          <w:b/>
          <w:bCs/>
        </w:rPr>
        <w:t xml:space="preserve">2 </w:t>
      </w:r>
      <w:r>
        <w:rPr>
          <w:rFonts w:eastAsia="楷体" w:cs="楷体"/>
          <w:b/>
          <w:bCs/>
        </w:rPr>
        <w:t xml:space="preserve"> </w:t>
      </w:r>
      <w:bookmarkStart w:id="41" w:name="_Hlk140049164"/>
      <w:bookmarkStart w:id="42" w:name="_Hlk140049186"/>
      <w:r>
        <w:rPr>
          <w:rFonts w:hint="eastAsia" w:eastAsia="楷体" w:cs="楷体"/>
          <w:b/>
          <w:bCs/>
        </w:rPr>
        <w:t>临水影响区</w:t>
      </w:r>
      <w:bookmarkEnd w:id="41"/>
      <w:r>
        <w:rPr>
          <w:rFonts w:hint="eastAsia" w:eastAsia="楷体" w:cs="楷体"/>
          <w:b/>
          <w:bCs/>
        </w:rPr>
        <w:t>（潜水场地）</w:t>
      </w:r>
      <w:bookmarkEnd w:id="42"/>
    </w:p>
    <w:p>
      <w:pPr>
        <w:snapToGrid w:val="0"/>
        <w:ind w:firstLine="482" w:firstLineChars="200"/>
        <w:rPr>
          <w:rFonts w:eastAsia="楷体" w:cs="楷体"/>
          <w:b/>
          <w:bCs/>
        </w:rPr>
      </w:pPr>
      <w:r>
        <w:rPr>
          <w:rFonts w:hint="eastAsia" w:eastAsia="楷体" w:cs="楷体"/>
          <w:b/>
          <w:bCs/>
        </w:rPr>
        <w:t>临水场地的地下水为潜水层时，临水的洪水通过潜水层补给地下水，距离临水越远，地下水位上升幅度越小（图6.4.1-</w:t>
      </w:r>
      <w:r>
        <w:rPr>
          <w:rFonts w:eastAsia="楷体" w:cs="楷体"/>
          <w:b/>
          <w:bCs/>
        </w:rPr>
        <w:t>2</w:t>
      </w:r>
      <w:r>
        <w:rPr>
          <w:rFonts w:hint="eastAsia" w:eastAsia="楷体" w:cs="楷体"/>
          <w:b/>
          <w:bCs/>
        </w:rPr>
        <w:t>所示）。因此简单的将临水场地的抗浮设防水位取为建筑使用期内的最高洪水位偏保守。此类场地宜取建筑正常使用期内洪水位，并根据渗透路径进行相应折减。</w:t>
      </w:r>
    </w:p>
    <w:p>
      <w:pPr>
        <w:snapToGrid w:val="0"/>
        <w:ind w:firstLine="480" w:firstLineChars="200"/>
        <w:rPr>
          <w:rFonts w:eastAsia="楷体" w:cs="楷体"/>
          <w:b/>
          <w:bCs/>
        </w:rPr>
      </w:pPr>
      <w:r>
        <w:drawing>
          <wp:inline distT="0" distB="0" distL="114300" distR="114300">
            <wp:extent cx="4816475" cy="2538095"/>
            <wp:effectExtent l="0" t="0" r="3175" b="0"/>
            <wp:docPr id="3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pic:cNvPicPr>
                      <a:picLocks noChangeAspect="1"/>
                    </pic:cNvPicPr>
                  </pic:nvPicPr>
                  <pic:blipFill>
                    <a:blip r:embed="rId82"/>
                    <a:stretch>
                      <a:fillRect/>
                    </a:stretch>
                  </pic:blipFill>
                  <pic:spPr>
                    <a:xfrm>
                      <a:off x="0" y="0"/>
                      <a:ext cx="4818970" cy="2539371"/>
                    </a:xfrm>
                    <a:prstGeom prst="rect">
                      <a:avLst/>
                    </a:prstGeom>
                    <a:noFill/>
                    <a:ln>
                      <a:noFill/>
                    </a:ln>
                  </pic:spPr>
                </pic:pic>
              </a:graphicData>
            </a:graphic>
          </wp:inline>
        </w:drawing>
      </w:r>
    </w:p>
    <w:p>
      <w:pPr>
        <w:jc w:val="center"/>
        <w:rPr>
          <w:rFonts w:cs="楷体" w:asciiTheme="minorEastAsia" w:hAnsiTheme="minorEastAsia" w:eastAsiaTheme="minorEastAsia"/>
          <w:b/>
          <w:bCs/>
          <w:sz w:val="21"/>
          <w:szCs w:val="21"/>
        </w:rPr>
      </w:pPr>
      <w:r>
        <w:rPr>
          <w:rFonts w:hint="eastAsia" w:cs="楷体" w:asciiTheme="minorEastAsia" w:hAnsiTheme="minorEastAsia" w:eastAsiaTheme="minorEastAsia"/>
          <w:b/>
          <w:bCs/>
          <w:sz w:val="21"/>
          <w:szCs w:val="21"/>
        </w:rPr>
        <w:t>图6.</w:t>
      </w:r>
      <w:r>
        <w:rPr>
          <w:rFonts w:cs="楷体" w:asciiTheme="minorEastAsia" w:hAnsiTheme="minorEastAsia" w:eastAsiaTheme="minorEastAsia"/>
          <w:b/>
          <w:bCs/>
          <w:sz w:val="21"/>
          <w:szCs w:val="21"/>
        </w:rPr>
        <w:t>4</w:t>
      </w:r>
      <w:r>
        <w:rPr>
          <w:rFonts w:hint="eastAsia" w:cs="楷体" w:asciiTheme="minorEastAsia" w:hAnsiTheme="minorEastAsia" w:eastAsiaTheme="minorEastAsia"/>
          <w:b/>
          <w:bCs/>
          <w:sz w:val="21"/>
          <w:szCs w:val="21"/>
        </w:rPr>
        <w:t>.</w:t>
      </w:r>
      <w:r>
        <w:rPr>
          <w:rFonts w:cs="楷体" w:asciiTheme="minorEastAsia" w:hAnsiTheme="minorEastAsia" w:eastAsiaTheme="minorEastAsia"/>
          <w:b/>
          <w:bCs/>
          <w:sz w:val="21"/>
          <w:szCs w:val="21"/>
        </w:rPr>
        <w:t xml:space="preserve">1-2 </w:t>
      </w:r>
      <w:r>
        <w:rPr>
          <w:rFonts w:hint="eastAsia" w:cs="楷体" w:asciiTheme="minorEastAsia" w:hAnsiTheme="minorEastAsia" w:eastAsiaTheme="minorEastAsia"/>
          <w:b/>
          <w:bCs/>
          <w:sz w:val="21"/>
          <w:szCs w:val="21"/>
        </w:rPr>
        <w:t xml:space="preserve"> 临水影响区潜水水位示意图</w:t>
      </w:r>
    </w:p>
    <w:p>
      <w:pPr>
        <w:snapToGrid w:val="0"/>
        <w:ind w:firstLine="482" w:firstLineChars="200"/>
        <w:rPr>
          <w:rFonts w:eastAsia="楷体" w:cs="楷体"/>
          <w:b/>
          <w:bCs/>
        </w:rPr>
      </w:pPr>
    </w:p>
    <w:p>
      <w:pPr>
        <w:snapToGrid w:val="0"/>
        <w:ind w:firstLine="482" w:firstLineChars="200"/>
        <w:rPr>
          <w:rFonts w:eastAsia="楷体" w:cs="楷体"/>
          <w:b/>
          <w:bCs/>
        </w:rPr>
      </w:pPr>
      <w:r>
        <w:rPr>
          <w:rFonts w:hint="eastAsia" w:eastAsia="楷体" w:cs="楷体"/>
          <w:b/>
          <w:bCs/>
        </w:rPr>
        <w:t>为了评价临水的洪水对两岸地下水水位的影响，薛禹群在《地下水动力学（第三版）》中，根据包辛涅斯克(Boussinesq)方程，通过拉普拉斯正变换和逆变换，得到了临水水位上升时两岸地下水位线的简化计算公式。</w:t>
      </w:r>
    </w:p>
    <w:p>
      <w:pPr>
        <w:snapToGrid w:val="0"/>
        <w:ind w:firstLine="482" w:firstLineChars="200"/>
        <w:rPr>
          <w:rFonts w:eastAsia="楷体" w:cs="楷体"/>
          <w:b/>
          <w:bCs/>
        </w:rPr>
      </w:pPr>
    </w:p>
    <w:p>
      <w:pPr>
        <w:snapToGrid w:val="0"/>
        <w:ind w:firstLine="480" w:firstLineChars="200"/>
        <w:jc w:val="center"/>
        <w:rPr>
          <w:rFonts w:cs="楷体"/>
          <w:b/>
          <w:bCs/>
        </w:rPr>
      </w:pPr>
      <w:r>
        <w:rPr>
          <w:position w:val="-12"/>
        </w:rPr>
        <w:object>
          <v:shape id="_x0000_i1039" o:spt="75" type="#_x0000_t75" style="height:18.4pt;width:82.9pt;" o:ole="t" filled="f" o:preferrelative="t" stroked="f" coordsize="21600,21600">
            <v:path/>
            <v:fill on="f" focussize="0,0"/>
            <v:stroke on="f" joinstyle="miter"/>
            <v:imagedata r:id="rId84" o:title=""/>
            <o:lock v:ext="edit" aspectratio="t"/>
            <w10:wrap type="none"/>
            <w10:anchorlock/>
          </v:shape>
          <o:OLEObject Type="Embed" ProgID="Equation.DSMT4" ShapeID="_x0000_i1039" DrawAspect="Content" ObjectID="_1468075739" r:id="rId83">
            <o:LockedField>false</o:LockedField>
          </o:OLEObject>
        </w:object>
      </w:r>
      <w:r>
        <w:rPr>
          <w:rFonts w:hint="eastAsia"/>
          <w:position w:val="-12"/>
        </w:rPr>
        <w:t xml:space="preserve">                   （6.4.1-1）</w:t>
      </w:r>
    </w:p>
    <w:p>
      <w:pPr>
        <w:snapToGrid w:val="0"/>
        <w:jc w:val="center"/>
      </w:pPr>
      <w:r>
        <w:rPr>
          <w:position w:val="-28"/>
        </w:rPr>
        <w:object>
          <v:shape id="_x0000_i1040" o:spt="75" type="#_x0000_t75" style="height:32.65pt;width:175.85pt;" o:ole="t" filled="f" o:preferrelative="t" stroked="f" coordsize="21600,21600">
            <v:path/>
            <v:fill on="f" focussize="0,0"/>
            <v:stroke on="f" joinstyle="miter"/>
            <v:imagedata r:id="rId86" o:title=""/>
            <o:lock v:ext="edit" aspectratio="t"/>
            <w10:wrap type="none"/>
            <w10:anchorlock/>
          </v:shape>
          <o:OLEObject Type="Embed" ProgID="Equation.DSMT4" ShapeID="_x0000_i1040" DrawAspect="Content" ObjectID="_1468075740" r:id="rId85">
            <o:LockedField>false</o:LockedField>
          </o:OLEObject>
        </w:object>
      </w:r>
      <w:r>
        <w:rPr>
          <w:rFonts w:hint="eastAsia"/>
          <w:position w:val="-28"/>
        </w:rPr>
        <w:t xml:space="preserve">       （6.4.1-2）</w:t>
      </w:r>
    </w:p>
    <w:p>
      <w:pPr>
        <w:snapToGrid w:val="0"/>
        <w:jc w:val="center"/>
      </w:pPr>
      <w:r>
        <w:rPr>
          <w:position w:val="-32"/>
        </w:rPr>
        <w:object>
          <v:shape id="_x0000_i1041" o:spt="75" type="#_x0000_t75" style="height:39.35pt;width:67.75pt;" o:ole="t" filled="f" o:preferrelative="t" stroked="f" coordsize="21600,21600">
            <v:path/>
            <v:fill on="f" focussize="0,0"/>
            <v:stroke on="f" joinstyle="miter"/>
            <v:imagedata r:id="rId88" o:title=""/>
            <o:lock v:ext="edit" aspectratio="t"/>
            <w10:wrap type="none"/>
            <w10:anchorlock/>
          </v:shape>
          <o:OLEObject Type="Embed" ProgID="Equation.DSMT4" ShapeID="_x0000_i1041" DrawAspect="Content" ObjectID="_1468075741" r:id="rId87">
            <o:LockedField>false</o:LockedField>
          </o:OLEObject>
        </w:object>
      </w:r>
      <w:r>
        <w:rPr>
          <w:rFonts w:hint="eastAsia"/>
          <w:position w:val="-32"/>
        </w:rPr>
        <w:t xml:space="preserve">                         （6.4.1-3）</w:t>
      </w:r>
    </w:p>
    <w:p>
      <w:pPr>
        <w:snapToGrid w:val="0"/>
        <w:jc w:val="center"/>
        <w:rPr>
          <w:rFonts w:cs="楷体"/>
          <w:b/>
          <w:bCs/>
        </w:rPr>
      </w:pPr>
      <w:r>
        <w:rPr>
          <w:color w:val="FF0000"/>
          <w:position w:val="-28"/>
        </w:rPr>
        <w:object>
          <v:shape id="_x0000_i1042" o:spt="75" type="#_x0000_t75" style="height:32.65pt;width:113pt;" o:ole="t" filled="f" o:preferrelative="t" stroked="f" coordsize="21600,21600">
            <v:path/>
            <v:fill on="f" focussize="0,0"/>
            <v:stroke on="f" joinstyle="miter"/>
            <v:imagedata r:id="rId90" o:title=""/>
            <o:lock v:ext="edit" aspectratio="t"/>
            <w10:wrap type="none"/>
            <w10:anchorlock/>
          </v:shape>
          <o:OLEObject Type="Embed" ProgID="Equation.DSMT4" ShapeID="_x0000_i1042" DrawAspect="Content" ObjectID="_1468075742" r:id="rId89">
            <o:LockedField>false</o:LockedField>
          </o:OLEObject>
        </w:object>
      </w:r>
      <w:r>
        <w:rPr>
          <w:rFonts w:hint="eastAsia"/>
          <w:color w:val="FF0000"/>
          <w:position w:val="-28"/>
        </w:rPr>
        <w:t xml:space="preserve">                 </w:t>
      </w:r>
      <w:r>
        <w:rPr>
          <w:rFonts w:hint="eastAsia"/>
          <w:position w:val="-32"/>
        </w:rPr>
        <w:t>（6.4.1-4）</w:t>
      </w:r>
    </w:p>
    <w:p>
      <w:pPr>
        <w:ind w:firstLine="482" w:firstLineChars="200"/>
        <w:rPr>
          <w:rFonts w:eastAsia="楷体" w:cs="楷体"/>
          <w:b/>
          <w:bCs/>
        </w:rPr>
      </w:pPr>
      <w:r>
        <w:rPr>
          <w:rFonts w:hint="eastAsia" w:eastAsia="楷体" w:cs="楷体"/>
          <w:b/>
          <w:bCs/>
        </w:rPr>
        <w:t xml:space="preserve">式中 </w:t>
      </w:r>
      <w:r>
        <w:rPr>
          <w:rFonts w:eastAsia="楷体" w:cs="楷体"/>
          <w:b/>
          <w:bCs/>
        </w:rPr>
        <w:t xml:space="preserve"> h</w:t>
      </w:r>
      <w:r>
        <w:rPr>
          <w:rFonts w:eastAsia="楷体" w:cs="楷体"/>
          <w:b/>
          <w:bCs/>
          <w:vertAlign w:val="subscript"/>
        </w:rPr>
        <w:t>x</w:t>
      </w:r>
      <w:r>
        <w:rPr>
          <w:rFonts w:eastAsia="楷体" w:cs="楷体"/>
          <w:b/>
          <w:bCs/>
        </w:rPr>
        <w:t>—距离</w:t>
      </w:r>
      <w:r>
        <w:rPr>
          <w:rFonts w:hint="eastAsia" w:eastAsia="楷体" w:cs="楷体"/>
          <w:b/>
          <w:bCs/>
        </w:rPr>
        <w:t>临水</w:t>
      </w:r>
      <w:r>
        <w:rPr>
          <w:rFonts w:eastAsia="楷体" w:cs="楷体"/>
          <w:b/>
          <w:bCs/>
        </w:rPr>
        <w:t>堤x处的</w:t>
      </w:r>
      <w:r>
        <w:rPr>
          <w:rFonts w:hint="eastAsia" w:eastAsia="楷体" w:cs="楷体"/>
          <w:b/>
          <w:bCs/>
        </w:rPr>
        <w:t>潜水</w:t>
      </w:r>
      <w:r>
        <w:rPr>
          <w:rFonts w:eastAsia="楷体" w:cs="楷体"/>
          <w:b/>
          <w:bCs/>
        </w:rPr>
        <w:t>水位（m）</w:t>
      </w:r>
      <w:r>
        <w:rPr>
          <w:rFonts w:hint="eastAsia" w:eastAsia="楷体" w:cs="楷体"/>
          <w:b/>
          <w:bCs/>
        </w:rPr>
        <w:t>；</w:t>
      </w:r>
      <w:r>
        <w:rPr>
          <w:rFonts w:eastAsia="楷体" w:cs="楷体"/>
          <w:b/>
          <w:bCs/>
        </w:rPr>
        <w:t>h</w:t>
      </w:r>
      <w:r>
        <w:rPr>
          <w:rFonts w:eastAsia="楷体" w:cs="楷体"/>
          <w:b/>
          <w:bCs/>
          <w:vertAlign w:val="subscript"/>
        </w:rPr>
        <w:t>0</w:t>
      </w:r>
      <w:r>
        <w:rPr>
          <w:rFonts w:eastAsia="楷体" w:cs="楷体"/>
          <w:b/>
          <w:bCs/>
        </w:rPr>
        <w:t>—</w:t>
      </w:r>
      <w:r>
        <w:rPr>
          <w:rFonts w:hint="eastAsia" w:eastAsia="楷体" w:cs="楷体"/>
          <w:b/>
          <w:bCs/>
        </w:rPr>
        <w:t>临水</w:t>
      </w:r>
      <w:r>
        <w:rPr>
          <w:rFonts w:eastAsia="楷体" w:cs="楷体"/>
          <w:b/>
          <w:bCs/>
        </w:rPr>
        <w:t>常水位（m）</w:t>
      </w:r>
      <w:r>
        <w:rPr>
          <w:rFonts w:hint="eastAsia" w:eastAsia="楷体" w:cs="楷体"/>
          <w:b/>
          <w:bCs/>
        </w:rPr>
        <w:t>；</w:t>
      </w:r>
      <w:r>
        <w:rPr>
          <w:rFonts w:eastAsia="楷体" w:cs="楷体"/>
          <w:b/>
          <w:bCs/>
        </w:rPr>
        <w:t>V</w:t>
      </w:r>
      <w:r>
        <w:rPr>
          <w:rFonts w:eastAsia="楷体" w:cs="楷体"/>
          <w:b/>
          <w:bCs/>
          <w:vertAlign w:val="subscript"/>
        </w:rPr>
        <w:t>0</w:t>
      </w:r>
      <w:r>
        <w:rPr>
          <w:rFonts w:eastAsia="楷体" w:cs="楷体"/>
          <w:b/>
          <w:bCs/>
        </w:rPr>
        <w:t>—</w:t>
      </w:r>
      <w:r>
        <w:rPr>
          <w:rFonts w:hint="eastAsia" w:eastAsia="楷体" w:cs="楷体"/>
          <w:b/>
          <w:bCs/>
        </w:rPr>
        <w:t>洪水位上升速度(m/d)；</w:t>
      </w:r>
      <w:r>
        <w:rPr>
          <w:rFonts w:eastAsia="楷体" w:cs="楷体"/>
          <w:b/>
          <w:bCs/>
        </w:rPr>
        <w:t>t—</w:t>
      </w:r>
      <w:r>
        <w:rPr>
          <w:rFonts w:hint="eastAsia" w:eastAsia="楷体" w:cs="楷体"/>
          <w:b/>
          <w:bCs/>
        </w:rPr>
        <w:t>临水水位下降时间</w:t>
      </w:r>
      <w:r>
        <w:rPr>
          <w:rFonts w:eastAsia="楷体" w:cs="楷体"/>
          <w:b/>
          <w:bCs/>
        </w:rPr>
        <w:t>(d)</w:t>
      </w:r>
      <w:r>
        <w:rPr>
          <w:rFonts w:hint="eastAsia" w:eastAsia="楷体" w:cs="楷体"/>
          <w:b/>
          <w:bCs/>
        </w:rPr>
        <w:t>；x</w:t>
      </w:r>
      <w:r>
        <w:rPr>
          <w:rFonts w:eastAsia="楷体" w:cs="楷体"/>
          <w:b/>
          <w:bCs/>
        </w:rPr>
        <w:t>—距离</w:t>
      </w:r>
      <w:r>
        <w:rPr>
          <w:rFonts w:hint="eastAsia" w:eastAsia="楷体" w:cs="楷体"/>
          <w:b/>
          <w:bCs/>
        </w:rPr>
        <w:t>临水</w:t>
      </w:r>
      <w:r>
        <w:rPr>
          <w:rFonts w:eastAsia="楷体" w:cs="楷体"/>
          <w:b/>
          <w:bCs/>
        </w:rPr>
        <w:t>堤</w:t>
      </w:r>
      <w:r>
        <w:rPr>
          <w:rFonts w:hint="eastAsia" w:eastAsia="楷体" w:cs="楷体"/>
          <w:b/>
          <w:bCs/>
        </w:rPr>
        <w:t>距离（m）；</w:t>
      </w:r>
      <w:r>
        <w:rPr>
          <w:rFonts w:ascii="Symbol,Italic" w:hAnsi="Symbol,Italic" w:cs="Symbol,Italic"/>
          <w:i/>
          <w:iCs/>
          <w:kern w:val="0"/>
          <w:sz w:val="21"/>
          <w:szCs w:val="21"/>
        </w:rPr>
        <w:t>m</w:t>
      </w:r>
      <w:r>
        <w:rPr>
          <w:rFonts w:eastAsia="楷体" w:cs="楷体"/>
          <w:b/>
          <w:bCs/>
        </w:rPr>
        <w:t>—</w:t>
      </w:r>
      <w:r>
        <w:rPr>
          <w:rFonts w:hint="eastAsia" w:eastAsia="楷体" w:cs="楷体"/>
          <w:b/>
          <w:bCs/>
        </w:rPr>
        <w:t>给水度；</w:t>
      </w:r>
      <w:r>
        <w:rPr>
          <w:rFonts w:eastAsia="楷体" w:cs="楷体"/>
          <w:b/>
          <w:bCs/>
        </w:rPr>
        <w:t>K—</w:t>
      </w:r>
      <w:r>
        <w:rPr>
          <w:rFonts w:hint="eastAsia" w:eastAsia="楷体" w:cs="楷体"/>
          <w:b/>
          <w:bCs/>
        </w:rPr>
        <w:t>渗透系数(m/d)；</w:t>
      </w:r>
      <w:r>
        <w:rPr>
          <w:rFonts w:eastAsia="楷体" w:cs="楷体"/>
          <w:b/>
          <w:bCs/>
        </w:rPr>
        <w:t>h</w:t>
      </w:r>
      <w:r>
        <w:rPr>
          <w:rFonts w:eastAsia="楷体" w:cs="楷体"/>
          <w:b/>
          <w:bCs/>
          <w:vertAlign w:val="subscript"/>
        </w:rPr>
        <w:t>m</w:t>
      </w:r>
      <w:r>
        <w:rPr>
          <w:rFonts w:eastAsia="楷体" w:cs="楷体"/>
          <w:b/>
          <w:bCs/>
        </w:rPr>
        <w:t>—</w:t>
      </w:r>
      <w:r>
        <w:rPr>
          <w:rFonts w:hint="eastAsia" w:eastAsia="楷体" w:cs="楷体"/>
          <w:b/>
          <w:bCs/>
        </w:rPr>
        <w:t>含水层的平均厚度(m)，采用时段始、末潜水流厚度的平均值；</w:t>
      </w:r>
      <w:r>
        <w:rPr>
          <w:rFonts w:hint="eastAsia" w:eastAsia="楷体" w:cs="楷体"/>
          <w:b/>
          <w:bCs/>
          <w:i/>
          <w:iCs/>
        </w:rPr>
        <w:t>erfc</w:t>
      </w:r>
      <w:r>
        <w:rPr>
          <w:rFonts w:hint="eastAsia" w:eastAsia="楷体" w:cs="楷体"/>
          <w:b/>
          <w:bCs/>
        </w:rPr>
        <w:t>()为互补误差函数。</w:t>
      </w:r>
    </w:p>
    <w:p>
      <w:pPr>
        <w:ind w:firstLine="482" w:firstLineChars="200"/>
        <w:rPr>
          <w:rFonts w:eastAsia="楷体" w:cs="楷体"/>
          <w:b/>
          <w:bCs/>
        </w:rPr>
      </w:pPr>
      <w:r>
        <w:rPr>
          <w:rFonts w:hint="eastAsia" w:eastAsia="楷体" w:cs="楷体"/>
          <w:b/>
          <w:bCs/>
        </w:rPr>
        <w:t>公式6.4.1-1~公式6.4.1-4建立的临水水位上升时两岸地下水位线计算公式，是基于简化的数学模型建立的理论公式。采用相关性分析，分析各因素对临水水位上升时两岸地下水位的影响规律。结果表明，对于含水层厚度5~30m，含水层渗透系数1~80m/d，汛期时长90~180天，临水两侧2km范围内的场地，地下水位具有以下特征：</w:t>
      </w:r>
    </w:p>
    <w:p>
      <w:pPr>
        <w:ind w:firstLine="482" w:firstLineChars="200"/>
        <w:rPr>
          <w:rFonts w:eastAsia="楷体" w:cs="楷体"/>
          <w:b/>
          <w:bCs/>
        </w:rPr>
      </w:pPr>
      <w:r>
        <w:rPr>
          <w:rFonts w:hint="eastAsia" w:eastAsia="楷体" w:cs="楷体"/>
          <w:b/>
          <w:bCs/>
        </w:rPr>
        <w:t>（1）透水层渗透系数越大，临水洪峰对地下水位的影响越大；</w:t>
      </w:r>
    </w:p>
    <w:p>
      <w:pPr>
        <w:ind w:firstLine="482" w:firstLineChars="200"/>
        <w:rPr>
          <w:rFonts w:eastAsia="楷体" w:cs="楷体"/>
          <w:b/>
          <w:bCs/>
        </w:rPr>
      </w:pPr>
      <w:r>
        <w:rPr>
          <w:rFonts w:hint="eastAsia" w:eastAsia="楷体" w:cs="楷体"/>
          <w:b/>
          <w:bCs/>
        </w:rPr>
        <w:t>（2）透水层厚度越大，临水洪峰对地下水位的影响越大；</w:t>
      </w:r>
    </w:p>
    <w:p>
      <w:pPr>
        <w:ind w:firstLine="482" w:firstLineChars="200"/>
        <w:rPr>
          <w:rFonts w:eastAsia="楷体" w:cs="楷体"/>
          <w:b/>
          <w:bCs/>
        </w:rPr>
      </w:pPr>
      <w:r>
        <w:rPr>
          <w:rFonts w:hint="eastAsia" w:eastAsia="楷体" w:cs="楷体"/>
          <w:b/>
          <w:bCs/>
        </w:rPr>
        <w:t>（3）临水水位变幅越大，临水洪峰对地下水位的影响越大；</w:t>
      </w:r>
    </w:p>
    <w:p>
      <w:pPr>
        <w:ind w:firstLine="482" w:firstLineChars="200"/>
        <w:rPr>
          <w:rFonts w:eastAsia="楷体" w:cs="楷体"/>
          <w:b/>
          <w:bCs/>
        </w:rPr>
      </w:pPr>
      <w:r>
        <w:rPr>
          <w:rFonts w:hint="eastAsia" w:eastAsia="楷体" w:cs="楷体"/>
          <w:b/>
          <w:bCs/>
        </w:rPr>
        <w:t>（4）汛期时长越长，临水洪峰对地下水位的影响越大；</w:t>
      </w:r>
    </w:p>
    <w:p>
      <w:pPr>
        <w:ind w:firstLine="482" w:firstLineChars="200"/>
        <w:rPr>
          <w:rFonts w:eastAsia="楷体" w:cs="楷体"/>
          <w:b/>
          <w:bCs/>
        </w:rPr>
      </w:pPr>
      <w:r>
        <w:rPr>
          <w:rFonts w:hint="eastAsia" w:eastAsia="楷体" w:cs="楷体"/>
          <w:b/>
          <w:bCs/>
        </w:rPr>
        <w:t>（5）透水层渗透系数和临水洪峰水位变幅是地下水位升降的主要影响因素，含水层厚度、汛期时长的影响相对较小。</w:t>
      </w:r>
    </w:p>
    <w:p>
      <w:pPr>
        <w:ind w:firstLine="482" w:firstLineChars="200"/>
        <w:rPr>
          <w:rFonts w:eastAsia="楷体" w:cs="楷体"/>
          <w:b/>
          <w:bCs/>
        </w:rPr>
      </w:pPr>
      <w:r>
        <w:rPr>
          <w:rFonts w:hint="eastAsia" w:eastAsia="楷体" w:cs="楷体"/>
          <w:b/>
          <w:bCs/>
        </w:rPr>
        <w:t>为了简化计算过程，提高实用性，采用多元回归方法，建立包含主要影响因素，省略次要影响因素的多元回归方程，计算临水水位上升后两岸的地下水位，见公式6.4.1-5~公式6.4.1-6。</w:t>
      </w:r>
    </w:p>
    <w:p>
      <w:pPr>
        <w:jc w:val="center"/>
      </w:pPr>
      <w:r>
        <w:rPr>
          <w:position w:val="-12"/>
        </w:rPr>
        <w:object>
          <v:shape id="_x0000_i1043" o:spt="75" type="#_x0000_t75" style="height:18.4pt;width:63.6pt;" o:ole="t" filled="f" o:preferrelative="t" stroked="f" coordsize="21600,21600">
            <v:path/>
            <v:fill on="f" focussize="0,0"/>
            <v:stroke on="f" joinstyle="miter"/>
            <v:imagedata r:id="rId92" o:title=""/>
            <o:lock v:ext="edit" aspectratio="t"/>
            <w10:wrap type="none"/>
            <w10:anchorlock/>
          </v:shape>
          <o:OLEObject Type="Embed" ProgID="Equation.DSMT4" ShapeID="_x0000_i1043" DrawAspect="Content" ObjectID="_1468075743" r:id="rId91">
            <o:LockedField>false</o:LockedField>
          </o:OLEObject>
        </w:object>
      </w:r>
      <w:r>
        <w:rPr>
          <w:rFonts w:hint="eastAsia"/>
          <w:position w:val="-12"/>
        </w:rPr>
        <w:t xml:space="preserve">      （6.4.1-5）</w:t>
      </w:r>
    </w:p>
    <w:p>
      <w:pPr>
        <w:jc w:val="center"/>
      </w:pPr>
      <w:r>
        <w:rPr>
          <w:position w:val="-12"/>
        </w:rPr>
        <w:object>
          <v:shape id="_x0000_i1044" o:spt="75" type="#_x0000_t75" style="height:18.4pt;width:68.65pt;" o:ole="t" filled="f" o:preferrelative="t" stroked="f" coordsize="21600,21600">
            <v:path/>
            <v:fill on="f" focussize="0,0"/>
            <v:stroke on="f" joinstyle="miter"/>
            <v:imagedata r:id="rId94" o:title=""/>
            <o:lock v:ext="edit" aspectratio="t"/>
            <w10:wrap type="none"/>
            <w10:anchorlock/>
          </v:shape>
          <o:OLEObject Type="Embed" ProgID="Equation.DSMT4" ShapeID="_x0000_i1044" DrawAspect="Content" ObjectID="_1468075744" r:id="rId93">
            <o:LockedField>false</o:LockedField>
          </o:OLEObject>
        </w:object>
      </w:r>
      <w:r>
        <w:rPr>
          <w:rFonts w:hint="eastAsia"/>
          <w:position w:val="-12"/>
        </w:rPr>
        <w:t xml:space="preserve">     （6.4.1-6）</w:t>
      </w:r>
    </w:p>
    <w:p>
      <w:pPr>
        <w:ind w:firstLine="482" w:firstLineChars="200"/>
        <w:rPr>
          <w:rFonts w:eastAsia="楷体" w:cs="楷体"/>
          <w:b/>
          <w:bCs/>
        </w:rPr>
      </w:pPr>
      <w:r>
        <w:rPr>
          <w:rFonts w:hint="eastAsia" w:eastAsia="楷体" w:cs="楷体"/>
          <w:b/>
          <w:bCs/>
        </w:rPr>
        <w:t xml:space="preserve">式中  </w:t>
      </w:r>
      <w:bookmarkStart w:id="43" w:name="_Hlk129178401"/>
      <w:r>
        <w:rPr>
          <w:rFonts w:eastAsia="楷体" w:cs="楷体"/>
          <w:b/>
          <w:bCs/>
          <w:i/>
          <w:iCs/>
        </w:rPr>
        <w:t>h</w:t>
      </w:r>
      <w:r>
        <w:rPr>
          <w:rFonts w:eastAsia="楷体" w:cs="楷体"/>
          <w:b/>
          <w:bCs/>
          <w:vertAlign w:val="subscript"/>
        </w:rPr>
        <w:t>x</w:t>
      </w:r>
      <w:r>
        <w:rPr>
          <w:rFonts w:eastAsia="楷体" w:cs="楷体"/>
          <w:b/>
          <w:bCs/>
        </w:rPr>
        <w:t>—距离</w:t>
      </w:r>
      <w:r>
        <w:rPr>
          <w:rFonts w:hint="eastAsia" w:eastAsia="楷体" w:cs="楷体"/>
          <w:b/>
          <w:bCs/>
        </w:rPr>
        <w:t>临水</w:t>
      </w:r>
      <w:r>
        <w:rPr>
          <w:rFonts w:eastAsia="楷体" w:cs="楷体"/>
          <w:b/>
          <w:bCs/>
        </w:rPr>
        <w:t>堤</w:t>
      </w:r>
      <w:r>
        <w:rPr>
          <w:rFonts w:eastAsia="楷体" w:cs="楷体"/>
          <w:b/>
          <w:bCs/>
          <w:i/>
          <w:iCs/>
        </w:rPr>
        <w:t>x</w:t>
      </w:r>
      <w:r>
        <w:rPr>
          <w:rFonts w:eastAsia="楷体" w:cs="楷体"/>
          <w:b/>
          <w:bCs/>
        </w:rPr>
        <w:t>处的</w:t>
      </w:r>
      <w:r>
        <w:rPr>
          <w:rFonts w:hint="eastAsia" w:eastAsia="楷体" w:cs="楷体"/>
          <w:b/>
          <w:bCs/>
        </w:rPr>
        <w:t>地下</w:t>
      </w:r>
      <w:r>
        <w:rPr>
          <w:rFonts w:eastAsia="楷体" w:cs="楷体"/>
          <w:b/>
          <w:bCs/>
        </w:rPr>
        <w:t>水位（m）</w:t>
      </w:r>
      <w:r>
        <w:rPr>
          <w:rFonts w:hint="eastAsia" w:eastAsia="楷体" w:cs="楷体"/>
          <w:b/>
          <w:bCs/>
        </w:rPr>
        <w:t>；</w:t>
      </w:r>
      <w:bookmarkEnd w:id="43"/>
      <w:r>
        <w:rPr>
          <w:rFonts w:hint="eastAsia" w:eastAsia="楷体" w:cs="楷体"/>
          <w:b/>
          <w:bCs/>
        </w:rPr>
        <w:t xml:space="preserve"> </w:t>
      </w:r>
      <w:r>
        <w:rPr>
          <w:rFonts w:eastAsia="楷体" w:cs="楷体"/>
          <w:b/>
          <w:bCs/>
          <w:i/>
          <w:iCs/>
        </w:rPr>
        <w:t>h</w:t>
      </w:r>
      <w:r>
        <w:rPr>
          <w:rFonts w:hint="eastAsia" w:eastAsia="楷体" w:cs="楷体"/>
          <w:b/>
          <w:bCs/>
          <w:vertAlign w:val="subscript"/>
        </w:rPr>
        <w:t>0</w:t>
      </w:r>
      <w:r>
        <w:rPr>
          <w:rFonts w:eastAsia="楷体" w:cs="楷体"/>
          <w:b/>
          <w:bCs/>
        </w:rPr>
        <w:t>—</w:t>
      </w:r>
      <w:r>
        <w:rPr>
          <w:rFonts w:hint="eastAsia" w:eastAsia="楷体"/>
          <w:b/>
          <w:bCs/>
          <w:szCs w:val="24"/>
        </w:rPr>
        <w:t>临水</w:t>
      </w:r>
      <w:r>
        <w:rPr>
          <w:rFonts w:eastAsia="楷体"/>
          <w:b/>
          <w:bCs/>
          <w:szCs w:val="24"/>
        </w:rPr>
        <w:t>常水位</w:t>
      </w:r>
      <w:r>
        <w:rPr>
          <w:rFonts w:hint="eastAsia" w:eastAsia="楷体"/>
          <w:b/>
          <w:bCs/>
          <w:szCs w:val="24"/>
        </w:rPr>
        <w:t>或地下水常水位高值</w:t>
      </w:r>
      <w:r>
        <w:rPr>
          <w:rFonts w:eastAsia="楷体"/>
          <w:b/>
          <w:bCs/>
          <w:szCs w:val="24"/>
        </w:rPr>
        <w:t>（m）</w:t>
      </w:r>
      <w:r>
        <w:rPr>
          <w:rFonts w:eastAsia="楷体" w:cs="楷体"/>
          <w:b/>
          <w:bCs/>
        </w:rPr>
        <w:t>；</w:t>
      </w:r>
      <w:r>
        <w:rPr>
          <w:rFonts w:hint="eastAsia" w:eastAsia="楷体" w:cs="楷体"/>
          <w:b/>
          <w:bCs/>
        </w:rPr>
        <w:t xml:space="preserve"> </w:t>
      </w:r>
      <w:r>
        <w:rPr>
          <w:rFonts w:eastAsia="楷体" w:cs="楷体"/>
          <w:b/>
          <w:bCs/>
        </w:rPr>
        <w:t>Δ</w:t>
      </w:r>
      <w:r>
        <w:rPr>
          <w:rFonts w:eastAsia="楷体" w:cs="楷体"/>
          <w:b/>
          <w:bCs/>
          <w:i/>
          <w:iCs/>
        </w:rPr>
        <w:t>h</w:t>
      </w:r>
      <w:r>
        <w:rPr>
          <w:rFonts w:eastAsia="楷体" w:cs="楷体"/>
          <w:b/>
          <w:bCs/>
        </w:rPr>
        <w:t>—</w:t>
      </w:r>
      <w:r>
        <w:rPr>
          <w:rFonts w:hint="eastAsia" w:eastAsia="楷体" w:cs="楷体"/>
          <w:b/>
          <w:bCs/>
        </w:rPr>
        <w:t>临水</w:t>
      </w:r>
      <w:r>
        <w:rPr>
          <w:rFonts w:eastAsia="楷体" w:cs="楷体"/>
          <w:b/>
          <w:bCs/>
        </w:rPr>
        <w:t>水</w:t>
      </w:r>
      <w:r>
        <w:rPr>
          <w:rFonts w:hint="eastAsia" w:eastAsia="楷体" w:cs="楷体"/>
          <w:b/>
          <w:bCs/>
        </w:rPr>
        <w:t xml:space="preserve">位上升高度（m）； </w:t>
      </w:r>
      <w:bookmarkStart w:id="44" w:name="_Hlk129178962"/>
      <w:r>
        <w:rPr>
          <w:rFonts w:hint="eastAsia" w:eastAsia="楷体" w:cs="楷体"/>
          <w:b/>
          <w:bCs/>
          <w:i/>
          <w:iCs/>
        </w:rPr>
        <w:t>x</w:t>
      </w:r>
      <w:r>
        <w:rPr>
          <w:rFonts w:eastAsia="楷体" w:cs="楷体"/>
          <w:b/>
          <w:bCs/>
        </w:rPr>
        <w:t>—距离</w:t>
      </w:r>
      <w:r>
        <w:rPr>
          <w:rFonts w:hint="eastAsia" w:eastAsia="楷体" w:cs="楷体"/>
          <w:b/>
          <w:bCs/>
        </w:rPr>
        <w:t>临水</w:t>
      </w:r>
      <w:r>
        <w:rPr>
          <w:rFonts w:eastAsia="楷体" w:cs="楷体"/>
          <w:b/>
          <w:bCs/>
        </w:rPr>
        <w:t>堤</w:t>
      </w:r>
      <w:r>
        <w:rPr>
          <w:rFonts w:hint="eastAsia" w:eastAsia="楷体" w:cs="楷体"/>
          <w:b/>
          <w:bCs/>
        </w:rPr>
        <w:t>距离（m）；</w:t>
      </w:r>
      <w:bookmarkEnd w:id="44"/>
      <w:r>
        <w:rPr>
          <w:rFonts w:hint="eastAsia" w:eastAsia="楷体" w:cs="楷体"/>
          <w:b/>
          <w:bCs/>
        </w:rPr>
        <w:t xml:space="preserve"> </w:t>
      </w:r>
      <w:r>
        <w:rPr>
          <w:rFonts w:hint="eastAsia" w:eastAsia="楷体" w:cs="楷体"/>
          <w:b/>
          <w:bCs/>
          <w:i/>
          <w:iCs/>
        </w:rPr>
        <w:t>a</w:t>
      </w:r>
      <w:r>
        <w:rPr>
          <w:rFonts w:hint="eastAsia" w:eastAsia="楷体" w:cs="楷体"/>
          <w:b/>
          <w:bCs/>
        </w:rPr>
        <w:t>、</w:t>
      </w:r>
      <w:r>
        <w:rPr>
          <w:rFonts w:hint="eastAsia" w:eastAsia="楷体" w:cs="楷体"/>
          <w:b/>
          <w:bCs/>
          <w:i/>
          <w:iCs/>
        </w:rPr>
        <w:t>b</w:t>
      </w:r>
      <w:r>
        <w:rPr>
          <w:rFonts w:eastAsia="楷体" w:cs="楷体"/>
          <w:b/>
          <w:bCs/>
        </w:rPr>
        <w:t>—</w:t>
      </w:r>
      <w:r>
        <w:rPr>
          <w:rFonts w:hint="eastAsia" w:eastAsia="楷体" w:cs="楷体"/>
          <w:b/>
          <w:bCs/>
        </w:rPr>
        <w:t>与渗透系数、含水层厚度等有关的系数，</w:t>
      </w:r>
      <w:r>
        <w:rPr>
          <w:rFonts w:hint="eastAsia" w:eastAsia="楷体" w:cs="楷体"/>
          <w:b/>
          <w:bCs/>
          <w:i/>
          <w:iCs/>
        </w:rPr>
        <w:t>a</w:t>
      </w:r>
      <w:r>
        <w:rPr>
          <w:rFonts w:hint="eastAsia" w:eastAsia="楷体" w:cs="楷体"/>
          <w:b/>
          <w:bCs/>
        </w:rPr>
        <w:t>取1，</w:t>
      </w:r>
      <w:r>
        <w:rPr>
          <w:rFonts w:hint="eastAsia" w:eastAsia="楷体" w:cs="楷体"/>
          <w:b/>
          <w:bCs/>
          <w:i/>
          <w:iCs/>
        </w:rPr>
        <w:t>b</w:t>
      </w:r>
      <w:r>
        <w:rPr>
          <w:rFonts w:hint="eastAsia" w:eastAsia="楷体" w:cs="楷体"/>
          <w:b/>
          <w:bCs/>
        </w:rPr>
        <w:t>取值方法见表</w:t>
      </w:r>
      <w:r>
        <w:rPr>
          <w:rFonts w:eastAsia="楷体" w:cs="楷体"/>
          <w:b/>
          <w:bCs/>
        </w:rPr>
        <w:t>6.4</w:t>
      </w:r>
      <w:r>
        <w:rPr>
          <w:rFonts w:hint="eastAsia" w:eastAsia="楷体" w:cs="楷体"/>
          <w:b/>
          <w:bCs/>
        </w:rPr>
        <w:t>.</w:t>
      </w:r>
      <w:r>
        <w:rPr>
          <w:rFonts w:eastAsia="楷体" w:cs="楷体"/>
          <w:b/>
          <w:bCs/>
        </w:rPr>
        <w:t>1</w:t>
      </w:r>
      <w:r>
        <w:rPr>
          <w:rFonts w:hint="eastAsia" w:eastAsia="楷体" w:cs="楷体"/>
          <w:b/>
          <w:bCs/>
        </w:rPr>
        <w:t>，没有列出的渗透系数按线性内插。</w:t>
      </w:r>
    </w:p>
    <w:p>
      <w:pPr>
        <w:jc w:val="center"/>
        <w:rPr>
          <w:rFonts w:eastAsiaTheme="majorEastAsia"/>
          <w:b/>
          <w:bCs/>
          <w:iCs/>
          <w:sz w:val="21"/>
          <w:szCs w:val="21"/>
        </w:rPr>
      </w:pPr>
      <w:r>
        <w:rPr>
          <w:rFonts w:eastAsiaTheme="majorEastAsia"/>
          <w:b/>
          <w:bCs/>
          <w:iCs/>
          <w:sz w:val="21"/>
          <w:szCs w:val="21"/>
        </w:rPr>
        <w:t>表6.4.1  潜水场地抗浮设防水位系数b取值建议</w:t>
      </w:r>
    </w:p>
    <w:tbl>
      <w:tblPr>
        <w:tblStyle w:val="24"/>
        <w:tblW w:w="7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4"/>
        <w:gridCol w:w="2158"/>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渗透系数（m/d）</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系数b(×10</w:t>
            </w:r>
            <w:r>
              <w:rPr>
                <w:rFonts w:eastAsiaTheme="minorEastAsia"/>
                <w:sz w:val="21"/>
                <w:szCs w:val="21"/>
                <w:vertAlign w:val="superscript"/>
              </w:rPr>
              <w:t>-3</w:t>
            </w:r>
            <w:r>
              <w:rPr>
                <w:rFonts w:eastAsiaTheme="minorEastAsia"/>
                <w:sz w:val="21"/>
                <w:szCs w:val="21"/>
              </w:rPr>
              <w:t>)</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示例地层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1</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5.3452</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粉土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3</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3.0400</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粉砂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6</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2.6166</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粉细砂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8</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2.5748</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细砂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17</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1.8793</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中细砂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20</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1.8463</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中砂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22</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1.7730</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中粗砂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30</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1.6046</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粗砂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50</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1.3977</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砂砾石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104"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80</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1.0394</w:t>
            </w:r>
          </w:p>
        </w:tc>
        <w:tc>
          <w:tcPr>
            <w:tcW w:w="2158" w:type="dxa"/>
            <w:tcBorders>
              <w:tl2br w:val="nil"/>
              <w:tr2bl w:val="nil"/>
            </w:tcBorders>
            <w:shd w:val="clear" w:color="auto" w:fill="auto"/>
            <w:noWrap/>
            <w:vAlign w:val="center"/>
          </w:tcPr>
          <w:p>
            <w:pPr>
              <w:jc w:val="center"/>
              <w:rPr>
                <w:rFonts w:eastAsiaTheme="minorEastAsia"/>
                <w:sz w:val="21"/>
                <w:szCs w:val="21"/>
              </w:rPr>
            </w:pPr>
            <w:r>
              <w:rPr>
                <w:rFonts w:eastAsiaTheme="minorEastAsia"/>
                <w:sz w:val="21"/>
                <w:szCs w:val="21"/>
              </w:rPr>
              <w:t>砂卵石</w:t>
            </w:r>
          </w:p>
        </w:tc>
      </w:tr>
    </w:tbl>
    <w:p>
      <w:pPr>
        <w:ind w:firstLine="482" w:firstLineChars="200"/>
        <w:rPr>
          <w:rFonts w:eastAsia="楷体" w:cs="楷体"/>
          <w:b/>
          <w:bCs/>
        </w:rPr>
      </w:pPr>
    </w:p>
    <w:p>
      <w:pPr>
        <w:ind w:firstLine="482" w:firstLineChars="200"/>
        <w:rPr>
          <w:rFonts w:eastAsia="楷体" w:cs="楷体"/>
          <w:b/>
          <w:bCs/>
        </w:rPr>
      </w:pPr>
      <w:r>
        <w:rPr>
          <w:rFonts w:hint="eastAsia" w:eastAsia="楷体" w:cs="楷体"/>
          <w:b/>
          <w:bCs/>
        </w:rPr>
        <w:t>对比理论公式和简化公式的计算结果（</w:t>
      </w:r>
      <w:bookmarkStart w:id="45" w:name="_Hlk140567526"/>
      <w:r>
        <w:rPr>
          <w:rFonts w:hint="eastAsia" w:eastAsia="楷体" w:cs="楷体"/>
          <w:b/>
          <w:bCs/>
        </w:rPr>
        <w:t>图6.4.1-</w:t>
      </w:r>
      <w:r>
        <w:rPr>
          <w:rFonts w:eastAsia="楷体" w:cs="楷体"/>
          <w:b/>
          <w:bCs/>
        </w:rPr>
        <w:t>3</w:t>
      </w:r>
      <w:r>
        <w:rPr>
          <w:rFonts w:hint="eastAsia" w:eastAsia="楷体" w:cs="楷体"/>
          <w:b/>
          <w:bCs/>
        </w:rPr>
        <w:t>所示</w:t>
      </w:r>
      <w:bookmarkEnd w:id="45"/>
      <w:r>
        <w:rPr>
          <w:rFonts w:hint="eastAsia" w:eastAsia="楷体" w:cs="楷体"/>
          <w:b/>
          <w:bCs/>
        </w:rPr>
        <w:t>），简化公式计算结果偏于安全，简化过程合理可取。</w:t>
      </w:r>
    </w:p>
    <w:p>
      <w:pPr>
        <w:snapToGrid w:val="0"/>
        <w:ind w:firstLine="482" w:firstLineChars="200"/>
      </w:pPr>
      <w:r>
        <w:rPr>
          <w:rFonts w:hint="eastAsia" w:eastAsia="楷体" w:cs="楷体"/>
          <w:b/>
          <w:bCs/>
        </w:rPr>
        <w:t xml:space="preserve">    </w:t>
      </w:r>
      <w:r>
        <w:drawing>
          <wp:inline distT="0" distB="0" distL="114300" distR="114300">
            <wp:extent cx="3837305" cy="2420620"/>
            <wp:effectExtent l="0" t="0" r="10795" b="17780"/>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pic:cNvPicPr>
                      <a:picLocks noChangeAspect="1"/>
                    </pic:cNvPicPr>
                  </pic:nvPicPr>
                  <pic:blipFill>
                    <a:blip r:embed="rId95"/>
                    <a:stretch>
                      <a:fillRect/>
                    </a:stretch>
                  </pic:blipFill>
                  <pic:spPr>
                    <a:xfrm>
                      <a:off x="0" y="0"/>
                      <a:ext cx="3837305" cy="2420620"/>
                    </a:xfrm>
                    <a:prstGeom prst="rect">
                      <a:avLst/>
                    </a:prstGeom>
                    <a:noFill/>
                    <a:ln>
                      <a:noFill/>
                    </a:ln>
                  </pic:spPr>
                </pic:pic>
              </a:graphicData>
            </a:graphic>
          </wp:inline>
        </w:drawing>
      </w:r>
    </w:p>
    <w:p>
      <w:pPr>
        <w:snapToGrid w:val="0"/>
        <w:ind w:firstLine="422" w:firstLineChars="20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图6.4.1-3  理论公式与简化公式计算结果对比</w:t>
      </w:r>
    </w:p>
    <w:p>
      <w:pPr>
        <w:snapToGrid w:val="0"/>
        <w:ind w:firstLine="482" w:firstLineChars="200"/>
        <w:rPr>
          <w:rFonts w:eastAsia="楷体" w:cs="楷体"/>
          <w:b/>
          <w:bCs/>
        </w:rPr>
      </w:pPr>
      <w:r>
        <w:rPr>
          <w:rFonts w:hint="eastAsia" w:eastAsia="楷体" w:cs="楷体"/>
          <w:b/>
          <w:bCs/>
        </w:rPr>
        <w:t xml:space="preserve">3  </w:t>
      </w:r>
      <w:bookmarkStart w:id="46" w:name="_Hlk140049218"/>
      <w:r>
        <w:rPr>
          <w:rFonts w:hint="eastAsia" w:eastAsia="楷体" w:cs="楷体"/>
          <w:b/>
          <w:bCs/>
        </w:rPr>
        <w:t>临水影响区（承压水场地）</w:t>
      </w:r>
      <w:bookmarkEnd w:id="46"/>
    </w:p>
    <w:p>
      <w:pPr>
        <w:snapToGrid w:val="0"/>
        <w:ind w:firstLine="482" w:firstLineChars="200"/>
        <w:rPr>
          <w:rFonts w:eastAsia="楷体" w:cs="楷体"/>
          <w:b/>
          <w:bCs/>
        </w:rPr>
      </w:pPr>
      <w:r>
        <w:rPr>
          <w:rFonts w:hint="eastAsia" w:eastAsia="楷体" w:cs="楷体"/>
          <w:b/>
          <w:bCs/>
        </w:rPr>
        <w:t>临水场地的地下水位承压水时，临水的洪水通过承压水层补给地下水，地下水受洪水的影响非常突出，其抗浮具有明显的防洪渡汛的特点（图6.4.1-</w:t>
      </w:r>
      <w:r>
        <w:rPr>
          <w:rFonts w:eastAsia="楷体" w:cs="楷体"/>
          <w:b/>
          <w:bCs/>
        </w:rPr>
        <w:t>4</w:t>
      </w:r>
      <w:r>
        <w:rPr>
          <w:rFonts w:hint="eastAsia" w:eastAsia="楷体" w:cs="楷体"/>
          <w:b/>
          <w:bCs/>
        </w:rPr>
        <w:t>所示）。此类场地宜取建筑正常使用期内洪水位，并根据渗透路径进行相应折减。</w:t>
      </w:r>
    </w:p>
    <w:p>
      <w:pPr>
        <w:snapToGrid w:val="0"/>
        <w:ind w:firstLine="482" w:firstLineChars="200"/>
        <w:jc w:val="left"/>
        <w:rPr>
          <w:rFonts w:eastAsia="楷体" w:cs="楷体"/>
          <w:b/>
          <w:bCs/>
        </w:rPr>
      </w:pPr>
      <w:r>
        <w:rPr>
          <w:rFonts w:hint="eastAsia" w:eastAsia="楷体" w:cs="楷体"/>
          <w:b/>
          <w:bCs/>
        </w:rPr>
        <w:t xml:space="preserve">    </w:t>
      </w:r>
      <w:r>
        <w:drawing>
          <wp:inline distT="0" distB="0" distL="114300" distR="114300">
            <wp:extent cx="3800475" cy="2531110"/>
            <wp:effectExtent l="0" t="0" r="9525" b="2540"/>
            <wp:docPr id="3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3"/>
                    <pic:cNvPicPr>
                      <a:picLocks noChangeAspect="1"/>
                    </pic:cNvPicPr>
                  </pic:nvPicPr>
                  <pic:blipFill>
                    <a:blip r:embed="rId96"/>
                    <a:stretch>
                      <a:fillRect/>
                    </a:stretch>
                  </pic:blipFill>
                  <pic:spPr>
                    <a:xfrm>
                      <a:off x="0" y="0"/>
                      <a:ext cx="3800475" cy="2531110"/>
                    </a:xfrm>
                    <a:prstGeom prst="rect">
                      <a:avLst/>
                    </a:prstGeom>
                    <a:noFill/>
                    <a:ln>
                      <a:noFill/>
                    </a:ln>
                  </pic:spPr>
                </pic:pic>
              </a:graphicData>
            </a:graphic>
          </wp:inline>
        </w:drawing>
      </w:r>
    </w:p>
    <w:p>
      <w:pPr>
        <w:jc w:val="center"/>
        <w:rPr>
          <w:rFonts w:cs="楷体" w:asciiTheme="minorEastAsia" w:hAnsiTheme="minorEastAsia" w:eastAsiaTheme="minorEastAsia"/>
          <w:b/>
          <w:bCs/>
          <w:sz w:val="21"/>
          <w:szCs w:val="21"/>
        </w:rPr>
      </w:pPr>
      <w:r>
        <w:rPr>
          <w:rFonts w:hint="eastAsia" w:cs="楷体" w:asciiTheme="minorEastAsia" w:hAnsiTheme="minorEastAsia" w:eastAsiaTheme="minorEastAsia"/>
          <w:b/>
          <w:bCs/>
          <w:sz w:val="21"/>
          <w:szCs w:val="21"/>
        </w:rPr>
        <w:t>图6.</w:t>
      </w:r>
      <w:r>
        <w:rPr>
          <w:rFonts w:cs="楷体" w:asciiTheme="minorEastAsia" w:hAnsiTheme="minorEastAsia" w:eastAsiaTheme="minorEastAsia"/>
          <w:b/>
          <w:bCs/>
          <w:sz w:val="21"/>
          <w:szCs w:val="21"/>
        </w:rPr>
        <w:t>4</w:t>
      </w:r>
      <w:r>
        <w:rPr>
          <w:rFonts w:hint="eastAsia" w:cs="楷体" w:asciiTheme="minorEastAsia" w:hAnsiTheme="minorEastAsia" w:eastAsiaTheme="minorEastAsia"/>
          <w:b/>
          <w:bCs/>
          <w:sz w:val="21"/>
          <w:szCs w:val="21"/>
        </w:rPr>
        <w:t>.</w:t>
      </w:r>
      <w:r>
        <w:rPr>
          <w:rFonts w:cs="楷体" w:asciiTheme="minorEastAsia" w:hAnsiTheme="minorEastAsia" w:eastAsiaTheme="minorEastAsia"/>
          <w:b/>
          <w:bCs/>
          <w:sz w:val="21"/>
          <w:szCs w:val="21"/>
        </w:rPr>
        <w:t>1-</w:t>
      </w:r>
      <w:r>
        <w:rPr>
          <w:rFonts w:hint="eastAsia" w:cs="楷体" w:asciiTheme="minorEastAsia" w:hAnsiTheme="minorEastAsia" w:eastAsiaTheme="minorEastAsia"/>
          <w:b/>
          <w:bCs/>
          <w:sz w:val="21"/>
          <w:szCs w:val="21"/>
        </w:rPr>
        <w:t>4</w:t>
      </w:r>
      <w:r>
        <w:rPr>
          <w:rFonts w:cs="楷体" w:asciiTheme="minorEastAsia" w:hAnsiTheme="minorEastAsia" w:eastAsiaTheme="minorEastAsia"/>
          <w:b/>
          <w:bCs/>
          <w:sz w:val="21"/>
          <w:szCs w:val="21"/>
        </w:rPr>
        <w:t xml:space="preserve"> </w:t>
      </w:r>
      <w:r>
        <w:rPr>
          <w:rFonts w:hint="eastAsia" w:cs="楷体" w:asciiTheme="minorEastAsia" w:hAnsiTheme="minorEastAsia" w:eastAsiaTheme="minorEastAsia"/>
          <w:b/>
          <w:bCs/>
          <w:sz w:val="21"/>
          <w:szCs w:val="21"/>
        </w:rPr>
        <w:t xml:space="preserve"> 临水影响区承压水水位示意图</w:t>
      </w:r>
    </w:p>
    <w:p>
      <w:pPr>
        <w:snapToGrid w:val="0"/>
        <w:ind w:firstLine="422" w:firstLineChars="200"/>
        <w:jc w:val="left"/>
        <w:rPr>
          <w:rFonts w:cs="楷体" w:asciiTheme="minorEastAsia" w:hAnsiTheme="minorEastAsia" w:eastAsiaTheme="minorEastAsia"/>
          <w:b/>
          <w:bCs/>
          <w:sz w:val="21"/>
          <w:szCs w:val="21"/>
        </w:rPr>
      </w:pPr>
    </w:p>
    <w:p>
      <w:pPr>
        <w:ind w:firstLine="482" w:firstLineChars="200"/>
        <w:rPr>
          <w:rFonts w:eastAsia="楷体"/>
          <w:b/>
          <w:bCs/>
          <w:szCs w:val="24"/>
        </w:rPr>
      </w:pPr>
      <w:r>
        <w:rPr>
          <w:rFonts w:hint="eastAsia" w:eastAsia="楷体"/>
          <w:b/>
          <w:bCs/>
          <w:szCs w:val="24"/>
        </w:rPr>
        <w:t>根据曹敦侣在《长江干堤渗流破坏的防治》总结，每到汛期, 江水位高出地面, 在砂层中形成承压水头, 其值可近似地用下式估算</w:t>
      </w:r>
      <w:r>
        <w:rPr>
          <w:rFonts w:eastAsia="楷体"/>
          <w:b/>
          <w:bCs/>
          <w:szCs w:val="24"/>
        </w:rPr>
        <w:t>公式如下：</w:t>
      </w:r>
    </w:p>
    <w:p>
      <w:pPr>
        <w:ind w:firstLine="480" w:firstLineChars="200"/>
        <w:jc w:val="center"/>
        <w:rPr>
          <w:b/>
          <w:bCs/>
        </w:rPr>
      </w:pPr>
      <w:r>
        <w:rPr>
          <w:position w:val="-12"/>
        </w:rPr>
        <w:object>
          <v:shape id="_x0000_i1045" o:spt="75" type="#_x0000_t75" style="height:18.4pt;width:51.05pt;" o:ole="t" filled="f" o:preferrelative="t" stroked="f" coordsize="21600,21600">
            <v:path/>
            <v:fill on="f" focussize="0,0"/>
            <v:stroke on="f" joinstyle="miter"/>
            <v:imagedata r:id="rId98" o:title=""/>
            <o:lock v:ext="edit" aspectratio="t"/>
            <w10:wrap type="none"/>
            <w10:anchorlock/>
          </v:shape>
          <o:OLEObject Type="Embed" ProgID="Equation.DSMT4" ShapeID="_x0000_i1045" DrawAspect="Content" ObjectID="_1468075745" r:id="rId97">
            <o:LockedField>false</o:LockedField>
          </o:OLEObject>
        </w:object>
      </w:r>
      <w:r>
        <w:rPr>
          <w:rFonts w:hint="eastAsia"/>
          <w:position w:val="-12"/>
        </w:rPr>
        <w:t xml:space="preserve">            （6.4.1-7）</w:t>
      </w:r>
    </w:p>
    <w:p>
      <w:pPr>
        <w:jc w:val="center"/>
      </w:pPr>
      <w:r>
        <w:rPr>
          <w:position w:val="-30"/>
        </w:rPr>
        <w:object>
          <v:shape id="_x0000_i1046" o:spt="75" type="#_x0000_t75" style="height:32.65pt;width:118.9pt;" o:ole="t" filled="f" o:preferrelative="t" stroked="f" coordsize="21600,21600">
            <v:path/>
            <v:fill on="f" focussize="0,0"/>
            <v:stroke on="f" joinstyle="miter"/>
            <v:imagedata r:id="rId100" o:title=""/>
            <o:lock v:ext="edit" aspectratio="t"/>
            <w10:wrap type="none"/>
            <w10:anchorlock/>
          </v:shape>
          <o:OLEObject Type="Embed" ProgID="Equation.DSMT4" ShapeID="_x0000_i1046" DrawAspect="Content" ObjectID="_1468075746" r:id="rId99">
            <o:LockedField>false</o:LockedField>
          </o:OLEObject>
        </w:object>
      </w:r>
      <w:r>
        <w:rPr>
          <w:rFonts w:hint="eastAsia"/>
          <w:position w:val="-30"/>
        </w:rPr>
        <w:t xml:space="preserve">    </w:t>
      </w:r>
      <w:r>
        <w:rPr>
          <w:rFonts w:hint="eastAsia"/>
          <w:position w:val="-12"/>
        </w:rPr>
        <w:t>（6.4.1-8）</w:t>
      </w:r>
    </w:p>
    <w:p>
      <w:pPr>
        <w:jc w:val="center"/>
      </w:pPr>
      <w:r>
        <w:rPr>
          <w:position w:val="-32"/>
        </w:rPr>
        <w:object>
          <v:shape id="_x0000_i1047" o:spt="75" type="#_x0000_t75" style="height:39.35pt;width:65.3pt;" o:ole="t" filled="f" o:preferrelative="t" stroked="f" coordsize="21600,21600">
            <v:path/>
            <v:fill on="f" focussize="0,0"/>
            <v:stroke on="f" joinstyle="miter"/>
            <v:imagedata r:id="rId102" o:title=""/>
            <o:lock v:ext="edit" aspectratio="t"/>
            <w10:wrap type="none"/>
            <w10:anchorlock/>
          </v:shape>
          <o:OLEObject Type="Embed" ProgID="Equation.DSMT4" ShapeID="_x0000_i1047" DrawAspect="Content" ObjectID="_1468075747" r:id="rId101">
            <o:LockedField>false</o:LockedField>
          </o:OLEObject>
        </w:object>
      </w:r>
      <w:r>
        <w:rPr>
          <w:rFonts w:hint="eastAsia"/>
          <w:position w:val="-32"/>
        </w:rPr>
        <w:t xml:space="preserve">             </w:t>
      </w:r>
      <w:r>
        <w:rPr>
          <w:rFonts w:hint="eastAsia"/>
          <w:position w:val="-12"/>
        </w:rPr>
        <w:t>（6.4.1-9）</w:t>
      </w:r>
    </w:p>
    <w:p>
      <w:pPr>
        <w:jc w:val="center"/>
      </w:pPr>
      <w:r>
        <w:rPr>
          <w:position w:val="-24"/>
        </w:rPr>
        <w:object>
          <v:shape id="_x0000_i1048" o:spt="75" type="#_x0000_t75" style="height:31.8pt;width:85.4pt;" o:ole="t" filled="f" o:preferrelative="t" stroked="f" coordsize="21600,21600">
            <v:path/>
            <v:fill on="f" focussize="0,0"/>
            <v:stroke on="f" joinstyle="miter"/>
            <v:imagedata r:id="rId104" o:title=""/>
            <o:lock v:ext="edit" aspectratio="t"/>
            <w10:wrap type="none"/>
            <w10:anchorlock/>
          </v:shape>
          <o:OLEObject Type="Embed" ProgID="Equation.DSMT4" ShapeID="_x0000_i1048" DrawAspect="Content" ObjectID="_1468075748" r:id="rId103">
            <o:LockedField>false</o:LockedField>
          </o:OLEObject>
        </w:object>
      </w:r>
      <w:r>
        <w:rPr>
          <w:rFonts w:hint="eastAsia"/>
          <w:position w:val="-24"/>
        </w:rPr>
        <w:t xml:space="preserve">          </w:t>
      </w:r>
      <w:r>
        <w:rPr>
          <w:rFonts w:hint="eastAsia"/>
          <w:position w:val="-12"/>
        </w:rPr>
        <w:t>（6.4.1-10）</w:t>
      </w:r>
    </w:p>
    <w:p>
      <w:pPr>
        <w:jc w:val="center"/>
        <w:rPr>
          <w:b/>
          <w:bCs/>
          <w:iCs/>
          <w:szCs w:val="24"/>
        </w:rPr>
      </w:pPr>
      <w:r>
        <w:rPr>
          <w:position w:val="-24"/>
        </w:rPr>
        <w:object>
          <v:shape id="_x0000_i1049" o:spt="75" type="#_x0000_t75" style="height:31.8pt;width:36.85pt;" o:ole="t" filled="f" o:preferrelative="t" stroked="f" coordsize="21600,21600">
            <v:path/>
            <v:fill on="f" focussize="0,0"/>
            <v:stroke on="f" joinstyle="miter"/>
            <v:imagedata r:id="rId106" o:title=""/>
            <o:lock v:ext="edit" aspectratio="t"/>
            <w10:wrap type="none"/>
            <w10:anchorlock/>
          </v:shape>
          <o:OLEObject Type="Embed" ProgID="Equation.DSMT4" ShapeID="_x0000_i1049" DrawAspect="Content" ObjectID="_1468075749" r:id="rId105">
            <o:LockedField>false</o:LockedField>
          </o:OLEObject>
        </w:object>
      </w:r>
      <w:r>
        <w:rPr>
          <w:rFonts w:hint="eastAsia"/>
          <w:position w:val="-24"/>
        </w:rPr>
        <w:t xml:space="preserve">                  </w:t>
      </w:r>
      <w:r>
        <w:rPr>
          <w:rFonts w:hint="eastAsia"/>
          <w:position w:val="-12"/>
        </w:rPr>
        <w:t>（6.4.1-11）</w:t>
      </w:r>
    </w:p>
    <w:p>
      <w:pPr>
        <w:ind w:firstLine="482" w:firstLineChars="200"/>
        <w:rPr>
          <w:rFonts w:eastAsia="楷体"/>
          <w:b/>
          <w:bCs/>
          <w:iCs/>
          <w:szCs w:val="24"/>
        </w:rPr>
      </w:pPr>
      <w:r>
        <w:rPr>
          <w:rFonts w:eastAsia="楷体"/>
          <w:b/>
          <w:bCs/>
          <w:iCs/>
          <w:szCs w:val="24"/>
        </w:rPr>
        <w:t>式中</w:t>
      </w:r>
      <w:r>
        <w:rPr>
          <w:rFonts w:hint="eastAsia" w:eastAsia="楷体"/>
          <w:b/>
          <w:bCs/>
          <w:iCs/>
          <w:szCs w:val="24"/>
        </w:rPr>
        <w:t xml:space="preserve"> </w:t>
      </w:r>
      <w:r>
        <w:rPr>
          <w:rFonts w:eastAsia="楷体"/>
          <w:b/>
          <w:bCs/>
          <w:iCs/>
          <w:szCs w:val="24"/>
        </w:rPr>
        <w:t xml:space="preserve"> </w:t>
      </w:r>
      <w:r>
        <w:rPr>
          <w:rFonts w:eastAsia="楷体"/>
          <w:b/>
          <w:bCs/>
          <w:i/>
          <w:szCs w:val="24"/>
        </w:rPr>
        <w:t>h</w:t>
      </w:r>
      <w:r>
        <w:rPr>
          <w:rFonts w:eastAsia="楷体"/>
          <w:b/>
          <w:bCs/>
          <w:i/>
          <w:szCs w:val="24"/>
          <w:vertAlign w:val="subscript"/>
        </w:rPr>
        <w:t>x</w:t>
      </w:r>
      <w:r>
        <w:rPr>
          <w:rFonts w:eastAsia="楷体"/>
          <w:b/>
          <w:bCs/>
          <w:iCs/>
          <w:szCs w:val="24"/>
        </w:rPr>
        <w:t>—距</w:t>
      </w:r>
      <w:r>
        <w:rPr>
          <w:rFonts w:hint="eastAsia" w:eastAsia="楷体"/>
          <w:b/>
          <w:bCs/>
          <w:iCs/>
          <w:szCs w:val="24"/>
        </w:rPr>
        <w:t>离临水</w:t>
      </w:r>
      <w:r>
        <w:rPr>
          <w:rFonts w:eastAsia="楷体"/>
          <w:b/>
          <w:bCs/>
          <w:iCs/>
          <w:szCs w:val="24"/>
        </w:rPr>
        <w:t>堤</w:t>
      </w:r>
      <w:r>
        <w:rPr>
          <w:rFonts w:eastAsia="楷体"/>
          <w:b/>
          <w:bCs/>
          <w:i/>
          <w:iCs/>
          <w:szCs w:val="24"/>
        </w:rPr>
        <w:t>x</w:t>
      </w:r>
      <w:r>
        <w:rPr>
          <w:rFonts w:eastAsia="楷体"/>
          <w:b/>
          <w:bCs/>
          <w:iCs/>
          <w:szCs w:val="24"/>
        </w:rPr>
        <w:t>处的承压水</w:t>
      </w:r>
      <w:r>
        <w:rPr>
          <w:rFonts w:hint="eastAsia" w:eastAsia="楷体"/>
          <w:b/>
          <w:bCs/>
          <w:iCs/>
          <w:szCs w:val="24"/>
        </w:rPr>
        <w:t>位</w:t>
      </w:r>
      <w:r>
        <w:rPr>
          <w:rFonts w:eastAsia="楷体"/>
          <w:b/>
          <w:bCs/>
          <w:iCs/>
          <w:szCs w:val="24"/>
        </w:rPr>
        <w:t>（m）；</w:t>
      </w:r>
      <w:r>
        <w:rPr>
          <w:rFonts w:hint="eastAsia" w:eastAsia="楷体"/>
          <w:b/>
          <w:bCs/>
          <w:iCs/>
          <w:szCs w:val="24"/>
        </w:rPr>
        <w:t xml:space="preserve"> </w:t>
      </w:r>
      <w:r>
        <w:rPr>
          <w:rFonts w:eastAsia="楷体"/>
          <w:b/>
          <w:bCs/>
          <w:i/>
          <w:szCs w:val="24"/>
        </w:rPr>
        <w:t>h—</w:t>
      </w:r>
      <w:r>
        <w:rPr>
          <w:rFonts w:eastAsia="楷体"/>
          <w:b/>
          <w:bCs/>
          <w:iCs/>
          <w:szCs w:val="24"/>
        </w:rPr>
        <w:t>堤内脚处的承压水头（m）；</w:t>
      </w:r>
      <w:r>
        <w:rPr>
          <w:rFonts w:hint="eastAsia" w:eastAsia="楷体"/>
          <w:b/>
          <w:bCs/>
          <w:iCs/>
          <w:szCs w:val="24"/>
        </w:rPr>
        <w:t xml:space="preserve"> </w:t>
      </w:r>
      <w:r>
        <w:rPr>
          <w:rFonts w:hint="eastAsia" w:eastAsia="楷体" w:cs="楷体"/>
          <w:b/>
          <w:bCs/>
          <w:i/>
          <w:iCs/>
        </w:rPr>
        <w:t>x</w:t>
      </w:r>
      <w:r>
        <w:rPr>
          <w:rFonts w:eastAsia="楷体" w:cs="楷体"/>
          <w:b/>
          <w:bCs/>
        </w:rPr>
        <w:t>—距离</w:t>
      </w:r>
      <w:r>
        <w:rPr>
          <w:rFonts w:hint="eastAsia" w:eastAsia="楷体" w:cs="楷体"/>
          <w:b/>
          <w:bCs/>
        </w:rPr>
        <w:t>临水</w:t>
      </w:r>
      <w:r>
        <w:rPr>
          <w:rFonts w:eastAsia="楷体" w:cs="楷体"/>
          <w:b/>
          <w:bCs/>
        </w:rPr>
        <w:t>堤</w:t>
      </w:r>
      <w:r>
        <w:rPr>
          <w:rFonts w:hint="eastAsia" w:eastAsia="楷体" w:cs="楷体"/>
          <w:b/>
          <w:bCs/>
        </w:rPr>
        <w:t>垂直距离（m）；</w:t>
      </w:r>
      <w:r>
        <w:rPr>
          <w:rFonts w:eastAsia="楷体" w:cs="楷体"/>
          <w:b/>
          <w:bCs/>
          <w:i/>
          <w:iCs/>
        </w:rPr>
        <w:t>h</w:t>
      </w:r>
      <w:r>
        <w:rPr>
          <w:rFonts w:hint="eastAsia" w:eastAsia="楷体" w:cs="楷体"/>
          <w:b/>
          <w:bCs/>
          <w:vertAlign w:val="subscript"/>
        </w:rPr>
        <w:t>0</w:t>
      </w:r>
      <w:r>
        <w:rPr>
          <w:rFonts w:eastAsia="楷体" w:cs="楷体"/>
          <w:b/>
          <w:bCs/>
        </w:rPr>
        <w:t>—</w:t>
      </w:r>
      <w:r>
        <w:rPr>
          <w:rFonts w:hint="eastAsia" w:eastAsia="楷体" w:cs="楷体"/>
          <w:b/>
          <w:bCs/>
        </w:rPr>
        <w:t>临水</w:t>
      </w:r>
      <w:r>
        <w:rPr>
          <w:rFonts w:eastAsia="楷体" w:cs="楷体"/>
          <w:b/>
          <w:bCs/>
        </w:rPr>
        <w:t>常水位（m）；Δ</w:t>
      </w:r>
      <w:r>
        <w:rPr>
          <w:rFonts w:eastAsia="楷体" w:cs="楷体"/>
          <w:b/>
          <w:bCs/>
          <w:i/>
          <w:iCs/>
        </w:rPr>
        <w:t>h</w:t>
      </w:r>
      <w:r>
        <w:rPr>
          <w:rFonts w:eastAsia="楷体" w:cs="楷体"/>
          <w:b/>
          <w:bCs/>
        </w:rPr>
        <w:t>—</w:t>
      </w:r>
      <w:r>
        <w:rPr>
          <w:rFonts w:hint="eastAsia" w:eastAsia="楷体" w:cs="楷体"/>
          <w:b/>
          <w:bCs/>
        </w:rPr>
        <w:t>临水</w:t>
      </w:r>
      <w:r>
        <w:rPr>
          <w:rFonts w:eastAsia="楷体" w:cs="楷体"/>
          <w:b/>
          <w:bCs/>
        </w:rPr>
        <w:t>水</w:t>
      </w:r>
      <w:r>
        <w:rPr>
          <w:rFonts w:hint="eastAsia" w:eastAsia="楷体" w:cs="楷体"/>
          <w:b/>
          <w:bCs/>
        </w:rPr>
        <w:t>位涨幅</w:t>
      </w:r>
      <w:r>
        <w:rPr>
          <w:rFonts w:eastAsia="楷体"/>
          <w:b/>
          <w:bCs/>
          <w:iCs/>
          <w:szCs w:val="24"/>
        </w:rPr>
        <w:t>；</w:t>
      </w:r>
      <w:r>
        <w:rPr>
          <w:rFonts w:eastAsia="楷体"/>
          <w:b/>
          <w:bCs/>
          <w:i/>
          <w:szCs w:val="24"/>
        </w:rPr>
        <w:t>L</w:t>
      </w:r>
      <w:r>
        <w:rPr>
          <w:rFonts w:eastAsia="楷体"/>
          <w:b/>
          <w:bCs/>
          <w:iCs/>
          <w:szCs w:val="24"/>
          <w:vertAlign w:val="subscript"/>
        </w:rPr>
        <w:t>1</w:t>
      </w:r>
      <w:r>
        <w:rPr>
          <w:rFonts w:eastAsia="楷体"/>
          <w:b/>
          <w:bCs/>
          <w:iCs/>
          <w:szCs w:val="24"/>
        </w:rPr>
        <w:t>、</w:t>
      </w:r>
      <w:r>
        <w:rPr>
          <w:rFonts w:eastAsia="楷体"/>
          <w:b/>
          <w:bCs/>
          <w:i/>
          <w:szCs w:val="24"/>
        </w:rPr>
        <w:t>L</w:t>
      </w:r>
      <w:r>
        <w:rPr>
          <w:rFonts w:eastAsia="楷体"/>
          <w:b/>
          <w:bCs/>
          <w:iCs/>
          <w:szCs w:val="24"/>
          <w:vertAlign w:val="subscript"/>
        </w:rPr>
        <w:t>2</w:t>
      </w:r>
      <w:r>
        <w:rPr>
          <w:rFonts w:eastAsia="楷体"/>
          <w:b/>
          <w:bCs/>
          <w:iCs/>
          <w:szCs w:val="24"/>
        </w:rPr>
        <w:t>—上、下游等效渗径长度（m）</w:t>
      </w:r>
      <w:r>
        <w:rPr>
          <w:rFonts w:hint="eastAsia" w:eastAsia="楷体"/>
          <w:b/>
          <w:bCs/>
          <w:iCs/>
          <w:szCs w:val="24"/>
        </w:rPr>
        <w:t>；</w:t>
      </w:r>
      <w:r>
        <w:rPr>
          <w:rFonts w:eastAsia="楷体"/>
          <w:b/>
          <w:bCs/>
          <w:i/>
          <w:szCs w:val="24"/>
        </w:rPr>
        <w:t>B</w:t>
      </w:r>
      <w:r>
        <w:rPr>
          <w:rFonts w:eastAsia="楷体"/>
          <w:b/>
          <w:bCs/>
          <w:iCs/>
          <w:szCs w:val="24"/>
        </w:rPr>
        <w:t>—堤底宽度（m）；</w:t>
      </w:r>
      <w:r>
        <w:rPr>
          <w:rFonts w:eastAsia="楷体"/>
          <w:b/>
          <w:bCs/>
          <w:i/>
          <w:szCs w:val="24"/>
        </w:rPr>
        <w:t>B</w:t>
      </w:r>
      <w:r>
        <w:rPr>
          <w:rFonts w:eastAsia="楷体"/>
          <w:b/>
          <w:bCs/>
          <w:iCs/>
          <w:szCs w:val="24"/>
          <w:vertAlign w:val="subscript"/>
        </w:rPr>
        <w:t>1</w:t>
      </w:r>
      <w:r>
        <w:rPr>
          <w:rFonts w:eastAsia="楷体"/>
          <w:b/>
          <w:bCs/>
          <w:iCs/>
          <w:szCs w:val="24"/>
        </w:rPr>
        <w:t>—堤外滩宽度（m）；</w:t>
      </w:r>
      <w:r>
        <w:rPr>
          <w:rFonts w:hint="eastAsia" w:eastAsia="楷体"/>
          <w:b/>
          <w:bCs/>
          <w:iCs/>
          <w:szCs w:val="24"/>
        </w:rPr>
        <w:t xml:space="preserve"> </w:t>
      </w:r>
      <w:r>
        <w:rPr>
          <w:rFonts w:eastAsia="楷体"/>
          <w:b/>
          <w:bCs/>
          <w:iCs/>
          <w:szCs w:val="24"/>
        </w:rPr>
        <w:t>K</w:t>
      </w:r>
      <w:r>
        <w:rPr>
          <w:rFonts w:hint="eastAsia" w:eastAsia="楷体"/>
          <w:b/>
          <w:bCs/>
          <w:iCs/>
          <w:szCs w:val="24"/>
          <w:vertAlign w:val="subscript"/>
        </w:rPr>
        <w:t>1</w:t>
      </w:r>
      <w:r>
        <w:rPr>
          <w:rFonts w:eastAsia="楷体"/>
          <w:b/>
          <w:bCs/>
          <w:iCs/>
          <w:szCs w:val="24"/>
        </w:rPr>
        <w:t>、K</w:t>
      </w:r>
      <w:r>
        <w:rPr>
          <w:rFonts w:eastAsia="楷体"/>
          <w:b/>
          <w:bCs/>
          <w:iCs/>
          <w:szCs w:val="24"/>
          <w:vertAlign w:val="subscript"/>
        </w:rPr>
        <w:t>2</w:t>
      </w:r>
      <w:r>
        <w:rPr>
          <w:rFonts w:eastAsia="楷体"/>
          <w:b/>
          <w:bCs/>
          <w:iCs/>
          <w:szCs w:val="24"/>
        </w:rPr>
        <w:t>—依次为上层和下层的渗透系数（m/d）；</w:t>
      </w:r>
      <w:r>
        <w:rPr>
          <w:rFonts w:eastAsia="楷体"/>
          <w:b/>
          <w:bCs/>
          <w:i/>
          <w:szCs w:val="24"/>
        </w:rPr>
        <w:t>h</w:t>
      </w:r>
      <w:r>
        <w:rPr>
          <w:rFonts w:eastAsia="楷体"/>
          <w:b/>
          <w:bCs/>
          <w:iCs/>
          <w:szCs w:val="24"/>
          <w:vertAlign w:val="subscript"/>
        </w:rPr>
        <w:t>1</w:t>
      </w:r>
      <w:r>
        <w:rPr>
          <w:rFonts w:eastAsia="楷体"/>
          <w:b/>
          <w:bCs/>
          <w:iCs/>
          <w:szCs w:val="24"/>
        </w:rPr>
        <w:t>、</w:t>
      </w:r>
      <w:r>
        <w:rPr>
          <w:rFonts w:eastAsia="楷体"/>
          <w:b/>
          <w:bCs/>
          <w:i/>
          <w:szCs w:val="24"/>
        </w:rPr>
        <w:t>h</w:t>
      </w:r>
      <w:r>
        <w:rPr>
          <w:rFonts w:eastAsia="楷体"/>
          <w:b/>
          <w:bCs/>
          <w:iCs/>
          <w:szCs w:val="24"/>
          <w:vertAlign w:val="subscript"/>
        </w:rPr>
        <w:t>2</w:t>
      </w:r>
      <w:r>
        <w:rPr>
          <w:rFonts w:eastAsia="楷体"/>
          <w:b/>
          <w:bCs/>
          <w:iCs/>
          <w:szCs w:val="24"/>
        </w:rPr>
        <w:t>—依次为上层和下层的厚度（m）；</w:t>
      </w:r>
      <w:r>
        <w:rPr>
          <w:rFonts w:hint="eastAsia" w:eastAsia="楷体"/>
          <w:b/>
          <w:bCs/>
          <w:iCs/>
          <w:szCs w:val="24"/>
        </w:rPr>
        <w:t>t</w:t>
      </w:r>
      <w:r>
        <w:rPr>
          <w:rFonts w:eastAsia="楷体"/>
          <w:b/>
          <w:bCs/>
          <w:iCs/>
          <w:szCs w:val="24"/>
        </w:rPr>
        <w:t>anh</w:t>
      </w:r>
      <w:r>
        <w:rPr>
          <w:rFonts w:hint="eastAsia" w:eastAsia="楷体"/>
          <w:b/>
          <w:bCs/>
          <w:iCs/>
          <w:szCs w:val="24"/>
        </w:rPr>
        <w:t>（）</w:t>
      </w:r>
      <w:r>
        <w:rPr>
          <w:rFonts w:eastAsia="楷体"/>
          <w:b/>
          <w:bCs/>
          <w:iCs/>
          <w:szCs w:val="24"/>
        </w:rPr>
        <w:t>—</w:t>
      </w:r>
      <w:r>
        <w:rPr>
          <w:rFonts w:hint="eastAsia" w:eastAsia="楷体"/>
          <w:b/>
          <w:bCs/>
          <w:iCs/>
          <w:szCs w:val="24"/>
        </w:rPr>
        <w:t>双曲正切函数</w:t>
      </w:r>
      <w:r>
        <w:rPr>
          <w:rFonts w:eastAsia="楷体"/>
          <w:b/>
          <w:bCs/>
          <w:iCs/>
          <w:szCs w:val="24"/>
        </w:rPr>
        <w:t>。</w:t>
      </w:r>
    </w:p>
    <w:p>
      <w:pPr>
        <w:ind w:firstLine="482" w:firstLineChars="200"/>
        <w:rPr>
          <w:rFonts w:eastAsia="楷体" w:cs="楷体"/>
          <w:b/>
          <w:bCs/>
        </w:rPr>
      </w:pPr>
      <w:r>
        <w:rPr>
          <w:rFonts w:hint="eastAsia" w:eastAsia="楷体" w:cs="楷体"/>
          <w:b/>
          <w:bCs/>
        </w:rPr>
        <w:t>公式6.4.1-7~公式6.4.1-11建立的临水水位上升时两岸地下水位线计算公式，是基于简化的数学模型建立的理论公式。采用相关性分析，分析各因素对临水水位上升时两岸地下水位的影响规律。结果表明，对于含水层厚度2~30m，含水层渗透系数1~80m/d，堤坝底宽70m以内，外滩宽度50m以内，临水两侧2km范围内的场地，地下水位具有以下特征：</w:t>
      </w:r>
    </w:p>
    <w:p>
      <w:pPr>
        <w:numPr>
          <w:ilvl w:val="255"/>
          <w:numId w:val="0"/>
        </w:numPr>
        <w:ind w:firstLine="482" w:firstLineChars="200"/>
        <w:rPr>
          <w:rFonts w:eastAsia="楷体" w:cs="楷体"/>
          <w:b/>
          <w:bCs/>
        </w:rPr>
      </w:pPr>
      <w:r>
        <w:rPr>
          <w:rFonts w:hint="eastAsia" w:eastAsia="楷体" w:cs="楷体"/>
          <w:b/>
          <w:bCs/>
        </w:rPr>
        <w:t>（1）透水层渗透系数越大，临水洪峰对地下水位的影响越大；</w:t>
      </w:r>
    </w:p>
    <w:p>
      <w:pPr>
        <w:numPr>
          <w:ilvl w:val="255"/>
          <w:numId w:val="0"/>
        </w:numPr>
        <w:ind w:firstLine="482" w:firstLineChars="200"/>
        <w:rPr>
          <w:rFonts w:eastAsia="楷体" w:cs="楷体"/>
          <w:b/>
          <w:bCs/>
        </w:rPr>
      </w:pPr>
      <w:r>
        <w:rPr>
          <w:rFonts w:hint="eastAsia" w:eastAsia="楷体" w:cs="楷体"/>
          <w:b/>
          <w:bCs/>
        </w:rPr>
        <w:t>（2）透水层厚度越大，临水洪峰对地下水位的影响越大；</w:t>
      </w:r>
    </w:p>
    <w:p>
      <w:pPr>
        <w:numPr>
          <w:ilvl w:val="255"/>
          <w:numId w:val="0"/>
        </w:numPr>
        <w:ind w:firstLine="482" w:firstLineChars="200"/>
        <w:rPr>
          <w:rFonts w:eastAsia="楷体" w:cs="楷体"/>
          <w:b/>
          <w:bCs/>
        </w:rPr>
      </w:pPr>
      <w:r>
        <w:rPr>
          <w:rFonts w:hint="eastAsia" w:eastAsia="楷体" w:cs="楷体"/>
          <w:b/>
          <w:bCs/>
        </w:rPr>
        <w:t>（3）临水水位变幅越大，临水洪峰对地下水位的影响越大；</w:t>
      </w:r>
    </w:p>
    <w:p>
      <w:pPr>
        <w:numPr>
          <w:ilvl w:val="255"/>
          <w:numId w:val="0"/>
        </w:numPr>
        <w:ind w:firstLine="482" w:firstLineChars="200"/>
        <w:rPr>
          <w:rFonts w:eastAsia="楷体" w:cs="楷体"/>
          <w:b/>
          <w:bCs/>
        </w:rPr>
      </w:pPr>
      <w:r>
        <w:rPr>
          <w:rFonts w:hint="eastAsia" w:eastAsia="楷体" w:cs="楷体"/>
          <w:b/>
          <w:bCs/>
        </w:rPr>
        <w:t>（4）透水层渗透系数、透水层厚度、临水洪峰水位变幅是地下水位升降的主要影响因素，堤坝底宽、外滩宽度的影响相对较小。</w:t>
      </w:r>
    </w:p>
    <w:p>
      <w:pPr>
        <w:ind w:firstLine="482" w:firstLineChars="200"/>
        <w:rPr>
          <w:rFonts w:eastAsia="楷体" w:cs="楷体"/>
          <w:b/>
          <w:bCs/>
        </w:rPr>
      </w:pPr>
      <w:r>
        <w:rPr>
          <w:rFonts w:hint="eastAsia" w:eastAsia="楷体" w:cs="楷体"/>
          <w:b/>
          <w:bCs/>
        </w:rPr>
        <w:t>为了简化计算过程，提高实用性，采用多元回归方法，建立包含主要影响因素，省略次要影响因素的多元回归方程，计算临水水位上升后两岸的地下水位，见公式6.4.1-12~公式6.4.1-13。</w:t>
      </w:r>
    </w:p>
    <w:p>
      <w:pPr>
        <w:jc w:val="right"/>
      </w:pPr>
      <w:r>
        <w:rPr>
          <w:position w:val="-12"/>
        </w:rPr>
        <w:object>
          <v:shape id="_x0000_i1050" o:spt="75" type="#_x0000_t75" style="height:18.4pt;width:63.6pt;" o:ole="t" filled="f" o:preferrelative="t" stroked="f" coordsize="21600,21600">
            <v:path/>
            <v:fill on="f" focussize="0,0"/>
            <v:stroke on="f" joinstyle="miter"/>
            <v:imagedata r:id="rId92" o:title=""/>
            <o:lock v:ext="edit" aspectratio="t"/>
            <w10:wrap type="none"/>
            <w10:anchorlock/>
          </v:shape>
          <o:OLEObject Type="Embed" ProgID="Equation.DSMT4" ShapeID="_x0000_i1050" DrawAspect="Content" ObjectID="_1468075750" r:id="rId107">
            <o:LockedField>false</o:LockedField>
          </o:OLEObject>
        </w:object>
      </w:r>
      <w:r>
        <w:rPr>
          <w:rFonts w:hint="eastAsia"/>
          <w:position w:val="-12"/>
        </w:rPr>
        <w:t xml:space="preserve">                   （6.4.1-12）</w:t>
      </w:r>
    </w:p>
    <w:p>
      <w:pPr>
        <w:jc w:val="right"/>
      </w:pPr>
      <w:r>
        <w:rPr>
          <w:position w:val="-12"/>
        </w:rPr>
        <w:object>
          <v:shape id="_x0000_i1051" o:spt="75" type="#_x0000_t75" style="height:18.4pt;width:68.65pt;" o:ole="t" filled="f" o:preferrelative="t" stroked="f" coordsize="21600,21600">
            <v:path/>
            <v:fill on="f" focussize="0,0"/>
            <v:stroke on="f" joinstyle="miter"/>
            <v:imagedata r:id="rId94" o:title=""/>
            <o:lock v:ext="edit" aspectratio="t"/>
            <w10:wrap type="none"/>
            <w10:anchorlock/>
          </v:shape>
          <o:OLEObject Type="Embed" ProgID="Equation.DSMT4" ShapeID="_x0000_i1051" DrawAspect="Content" ObjectID="_1468075751" r:id="rId108">
            <o:LockedField>false</o:LockedField>
          </o:OLEObject>
        </w:object>
      </w:r>
      <w:r>
        <w:rPr>
          <w:rFonts w:hint="eastAsia"/>
          <w:position w:val="-12"/>
        </w:rPr>
        <w:t xml:space="preserve">                   （6.4.1-13）</w:t>
      </w:r>
    </w:p>
    <w:p>
      <w:pPr>
        <w:jc w:val="right"/>
        <w:rPr>
          <w:position w:val="-14"/>
        </w:rPr>
      </w:pPr>
      <w:r>
        <w:rPr>
          <w:position w:val="-14"/>
        </w:rPr>
        <w:object>
          <v:shape id="_x0000_i1052" o:spt="75" type="#_x0000_t75" style="height:20.1pt;width:324.75pt;" o:ole="t" filled="f" o:preferrelative="t" stroked="f" coordsize="21600,21600">
            <v:path/>
            <v:fill on="f" focussize="0,0"/>
            <v:stroke on="f" joinstyle="miter"/>
            <v:imagedata r:id="rId110" o:title=""/>
            <o:lock v:ext="edit" aspectratio="t"/>
            <w10:wrap type="none"/>
            <w10:anchorlock/>
          </v:shape>
          <o:OLEObject Type="Embed" ProgID="Equation.DSMT4" ShapeID="_x0000_i1052" DrawAspect="Content" ObjectID="_1468075752" r:id="rId109">
            <o:LockedField>false</o:LockedField>
          </o:OLEObject>
        </w:object>
      </w:r>
      <w:r>
        <w:rPr>
          <w:rFonts w:hint="eastAsia"/>
          <w:position w:val="-12"/>
        </w:rPr>
        <w:t xml:space="preserve">  （6.4.1-14）</w:t>
      </w:r>
    </w:p>
    <w:p>
      <w:pPr>
        <w:widowControl/>
        <w:ind w:firstLine="480" w:firstLineChars="200"/>
        <w:rPr>
          <w:position w:val="-12"/>
        </w:rPr>
      </w:pPr>
      <w:r>
        <w:rPr>
          <w:position w:val="-14"/>
        </w:rPr>
        <w:object>
          <v:shape id="_x0000_i1053" o:spt="75" type="#_x0000_t75" style="height:20.1pt;width:248.75pt;" o:ole="t" filled="f" o:preferrelative="t" stroked="f" coordsize="21600,21600">
            <v:path/>
            <v:fill on="f" focussize="0,0"/>
            <v:stroke on="f" joinstyle="miter"/>
            <v:imagedata r:id="rId112" o:title=""/>
            <o:lock v:ext="edit" aspectratio="t"/>
            <w10:wrap type="none"/>
            <w10:anchorlock/>
          </v:shape>
          <o:OLEObject Type="Embed" ProgID="Equation.DSMT4" ShapeID="_x0000_i1053" DrawAspect="Content" ObjectID="_1468075753" r:id="rId111">
            <o:LockedField>false</o:LockedField>
          </o:OLEObject>
        </w:object>
      </w:r>
      <w:r>
        <w:rPr>
          <w:rFonts w:hint="eastAsia"/>
          <w:position w:val="-12"/>
        </w:rPr>
        <w:t xml:space="preserve">             （6.4.1-15）</w:t>
      </w:r>
    </w:p>
    <w:p>
      <w:pPr>
        <w:widowControl/>
        <w:ind w:firstLine="482" w:firstLineChars="200"/>
        <w:rPr>
          <w:rFonts w:eastAsia="楷体"/>
          <w:b/>
          <w:bCs/>
          <w:szCs w:val="24"/>
        </w:rPr>
      </w:pPr>
      <w:r>
        <w:rPr>
          <w:rFonts w:hint="eastAsia" w:eastAsia="楷体"/>
          <w:b/>
          <w:bCs/>
          <w:szCs w:val="24"/>
        </w:rPr>
        <w:t xml:space="preserve">式中  </w:t>
      </w:r>
      <w:r>
        <w:rPr>
          <w:rFonts w:eastAsia="楷体"/>
          <w:b/>
          <w:bCs/>
          <w:i/>
          <w:iCs/>
          <w:szCs w:val="24"/>
        </w:rPr>
        <w:t>h</w:t>
      </w:r>
      <w:r>
        <w:rPr>
          <w:rFonts w:eastAsia="楷体"/>
          <w:b/>
          <w:bCs/>
          <w:szCs w:val="24"/>
          <w:vertAlign w:val="subscript"/>
        </w:rPr>
        <w:t>x</w:t>
      </w:r>
      <w:r>
        <w:rPr>
          <w:rFonts w:eastAsia="楷体"/>
          <w:b/>
          <w:bCs/>
          <w:szCs w:val="24"/>
        </w:rPr>
        <w:t>—距离</w:t>
      </w:r>
      <w:r>
        <w:rPr>
          <w:rFonts w:hint="eastAsia" w:eastAsia="楷体"/>
          <w:b/>
          <w:bCs/>
          <w:szCs w:val="24"/>
        </w:rPr>
        <w:t>临水</w:t>
      </w:r>
      <w:r>
        <w:rPr>
          <w:rFonts w:eastAsia="楷体"/>
          <w:b/>
          <w:bCs/>
          <w:szCs w:val="24"/>
        </w:rPr>
        <w:t>堤</w:t>
      </w:r>
      <w:r>
        <w:rPr>
          <w:rFonts w:eastAsia="楷体"/>
          <w:b/>
          <w:bCs/>
          <w:i/>
          <w:iCs/>
          <w:szCs w:val="24"/>
        </w:rPr>
        <w:t>x</w:t>
      </w:r>
      <w:r>
        <w:rPr>
          <w:rFonts w:eastAsia="楷体"/>
          <w:b/>
          <w:bCs/>
          <w:szCs w:val="24"/>
        </w:rPr>
        <w:t>处的</w:t>
      </w:r>
      <w:r>
        <w:rPr>
          <w:rFonts w:hint="eastAsia" w:eastAsia="楷体"/>
          <w:b/>
          <w:bCs/>
          <w:szCs w:val="24"/>
        </w:rPr>
        <w:t>承压</w:t>
      </w:r>
      <w:r>
        <w:rPr>
          <w:rFonts w:eastAsia="楷体"/>
          <w:b/>
          <w:bCs/>
          <w:szCs w:val="24"/>
        </w:rPr>
        <w:t>水位（m）</w:t>
      </w:r>
      <w:r>
        <w:rPr>
          <w:rFonts w:hint="eastAsia" w:eastAsia="楷体"/>
          <w:b/>
          <w:bCs/>
          <w:szCs w:val="24"/>
        </w:rPr>
        <w:t>；</w:t>
      </w:r>
      <w:r>
        <w:rPr>
          <w:rFonts w:eastAsia="楷体"/>
          <w:b/>
          <w:bCs/>
          <w:i/>
          <w:iCs/>
          <w:szCs w:val="24"/>
        </w:rPr>
        <w:t>h</w:t>
      </w:r>
      <w:r>
        <w:rPr>
          <w:rFonts w:hint="eastAsia" w:eastAsia="楷体"/>
          <w:b/>
          <w:bCs/>
          <w:szCs w:val="24"/>
          <w:vertAlign w:val="subscript"/>
        </w:rPr>
        <w:t>0</w:t>
      </w:r>
      <w:r>
        <w:rPr>
          <w:rFonts w:eastAsia="楷体"/>
          <w:b/>
          <w:bCs/>
          <w:szCs w:val="24"/>
        </w:rPr>
        <w:t>—</w:t>
      </w:r>
      <w:r>
        <w:rPr>
          <w:rFonts w:hint="eastAsia" w:eastAsia="楷体"/>
          <w:b/>
          <w:bCs/>
          <w:szCs w:val="24"/>
        </w:rPr>
        <w:t>临水</w:t>
      </w:r>
      <w:r>
        <w:rPr>
          <w:rFonts w:eastAsia="楷体"/>
          <w:b/>
          <w:bCs/>
          <w:szCs w:val="24"/>
        </w:rPr>
        <w:t>常水位（m）；Δ</w:t>
      </w:r>
      <w:r>
        <w:rPr>
          <w:rFonts w:eastAsia="楷体"/>
          <w:b/>
          <w:bCs/>
          <w:i/>
          <w:iCs/>
          <w:szCs w:val="24"/>
        </w:rPr>
        <w:t>h</w:t>
      </w:r>
      <w:r>
        <w:rPr>
          <w:rFonts w:eastAsia="楷体"/>
          <w:b/>
          <w:bCs/>
          <w:szCs w:val="24"/>
        </w:rPr>
        <w:t>—</w:t>
      </w:r>
      <w:r>
        <w:rPr>
          <w:rFonts w:hint="eastAsia" w:eastAsia="楷体"/>
          <w:b/>
          <w:bCs/>
          <w:szCs w:val="24"/>
        </w:rPr>
        <w:t>临水</w:t>
      </w:r>
      <w:r>
        <w:rPr>
          <w:rFonts w:eastAsia="楷体"/>
          <w:b/>
          <w:bCs/>
          <w:szCs w:val="24"/>
        </w:rPr>
        <w:t>水</w:t>
      </w:r>
      <w:r>
        <w:rPr>
          <w:rFonts w:hint="eastAsia" w:eastAsia="楷体"/>
          <w:b/>
          <w:bCs/>
          <w:szCs w:val="24"/>
        </w:rPr>
        <w:t>位涨幅；</w:t>
      </w:r>
      <w:r>
        <w:rPr>
          <w:rFonts w:hint="eastAsia" w:eastAsia="楷体" w:cs="楷体"/>
          <w:b/>
          <w:bCs/>
          <w:i/>
          <w:iCs/>
        </w:rPr>
        <w:t>x</w:t>
      </w:r>
      <w:r>
        <w:rPr>
          <w:rFonts w:eastAsia="楷体" w:cs="楷体"/>
          <w:b/>
          <w:bCs/>
        </w:rPr>
        <w:t>—距离</w:t>
      </w:r>
      <w:r>
        <w:rPr>
          <w:rFonts w:hint="eastAsia" w:eastAsia="楷体" w:cs="楷体"/>
          <w:b/>
          <w:bCs/>
        </w:rPr>
        <w:t>临水</w:t>
      </w:r>
      <w:r>
        <w:rPr>
          <w:rFonts w:eastAsia="楷体" w:cs="楷体"/>
          <w:b/>
          <w:bCs/>
        </w:rPr>
        <w:t>堤</w:t>
      </w:r>
      <w:r>
        <w:rPr>
          <w:rFonts w:hint="eastAsia" w:eastAsia="楷体" w:cs="楷体"/>
          <w:b/>
          <w:bCs/>
        </w:rPr>
        <w:t>距离（m）；</w:t>
      </w:r>
      <w:r>
        <w:rPr>
          <w:rFonts w:hint="eastAsia" w:eastAsia="楷体"/>
          <w:b/>
          <w:bCs/>
          <w:i/>
          <w:iCs/>
          <w:szCs w:val="24"/>
        </w:rPr>
        <w:t>K</w:t>
      </w:r>
      <w:r>
        <w:rPr>
          <w:rFonts w:eastAsia="楷体"/>
          <w:b/>
          <w:bCs/>
          <w:szCs w:val="24"/>
          <w:vertAlign w:val="subscript"/>
        </w:rPr>
        <w:t>2</w:t>
      </w:r>
      <w:r>
        <w:rPr>
          <w:rFonts w:eastAsia="楷体"/>
          <w:b/>
          <w:bCs/>
          <w:szCs w:val="24"/>
        </w:rPr>
        <w:t>—</w:t>
      </w:r>
      <w:r>
        <w:rPr>
          <w:rFonts w:hint="eastAsia" w:eastAsia="楷体"/>
          <w:b/>
          <w:bCs/>
          <w:szCs w:val="24"/>
        </w:rPr>
        <w:t>含水层渗透系数；</w:t>
      </w:r>
      <w:r>
        <w:rPr>
          <w:rFonts w:eastAsia="楷体"/>
          <w:b/>
          <w:bCs/>
          <w:i/>
          <w:iCs/>
          <w:szCs w:val="24"/>
        </w:rPr>
        <w:t>h</w:t>
      </w:r>
      <w:r>
        <w:rPr>
          <w:rFonts w:eastAsia="楷体"/>
          <w:b/>
          <w:bCs/>
          <w:szCs w:val="24"/>
          <w:vertAlign w:val="subscript"/>
        </w:rPr>
        <w:t>2</w:t>
      </w:r>
      <w:r>
        <w:rPr>
          <w:rFonts w:eastAsia="楷体"/>
          <w:b/>
          <w:bCs/>
          <w:szCs w:val="24"/>
        </w:rPr>
        <w:t>—</w:t>
      </w:r>
      <w:r>
        <w:rPr>
          <w:rFonts w:hint="eastAsia" w:eastAsia="楷体"/>
          <w:b/>
          <w:bCs/>
          <w:szCs w:val="24"/>
        </w:rPr>
        <w:t>含水层厚度。</w:t>
      </w:r>
    </w:p>
    <w:p>
      <w:pPr>
        <w:widowControl/>
        <w:ind w:firstLine="482" w:firstLineChars="200"/>
        <w:rPr>
          <w:rFonts w:eastAsia="楷体"/>
          <w:b/>
          <w:bCs/>
          <w:szCs w:val="24"/>
        </w:rPr>
      </w:pPr>
      <w:r>
        <w:rPr>
          <w:rFonts w:hint="eastAsia" w:eastAsia="楷体" w:cs="楷体"/>
          <w:b/>
          <w:bCs/>
        </w:rPr>
        <w:t>对比理论公式和简化公式的计算结果（图6.4.1-</w:t>
      </w:r>
      <w:r>
        <w:rPr>
          <w:rFonts w:eastAsia="楷体" w:cs="楷体"/>
          <w:b/>
          <w:bCs/>
        </w:rPr>
        <w:t>5</w:t>
      </w:r>
      <w:r>
        <w:rPr>
          <w:rFonts w:hint="eastAsia" w:eastAsia="楷体" w:cs="楷体"/>
          <w:b/>
          <w:bCs/>
        </w:rPr>
        <w:t>、6.4.1-</w:t>
      </w:r>
      <w:r>
        <w:rPr>
          <w:rFonts w:eastAsia="楷体" w:cs="楷体"/>
          <w:b/>
          <w:bCs/>
        </w:rPr>
        <w:t>6</w:t>
      </w:r>
      <w:r>
        <w:rPr>
          <w:rFonts w:hint="eastAsia" w:eastAsia="楷体" w:cs="楷体"/>
          <w:b/>
          <w:bCs/>
        </w:rPr>
        <w:t>所示），简化公式计算结果偏于安全，简化过程合理可取。</w:t>
      </w:r>
    </w:p>
    <w:p>
      <w:pPr>
        <w:widowControl/>
        <w:ind w:firstLine="482" w:firstLineChars="200"/>
      </w:pPr>
      <w:r>
        <w:rPr>
          <w:rFonts w:hint="eastAsia" w:eastAsia="楷体"/>
          <w:b/>
          <w:bCs/>
          <w:szCs w:val="24"/>
        </w:rPr>
        <w:t xml:space="preserve">      </w:t>
      </w:r>
      <w:r>
        <w:drawing>
          <wp:inline distT="0" distB="0" distL="114300" distR="114300">
            <wp:extent cx="3724275" cy="2368550"/>
            <wp:effectExtent l="0" t="0" r="9525" b="12700"/>
            <wp:docPr id="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pic:cNvPicPr>
                      <a:picLocks noChangeAspect="1"/>
                    </pic:cNvPicPr>
                  </pic:nvPicPr>
                  <pic:blipFill>
                    <a:blip r:embed="rId113"/>
                    <a:stretch>
                      <a:fillRect/>
                    </a:stretch>
                  </pic:blipFill>
                  <pic:spPr>
                    <a:xfrm>
                      <a:off x="0" y="0"/>
                      <a:ext cx="3724275" cy="2368550"/>
                    </a:xfrm>
                    <a:prstGeom prst="rect">
                      <a:avLst/>
                    </a:prstGeom>
                    <a:noFill/>
                    <a:ln>
                      <a:noFill/>
                    </a:ln>
                  </pic:spPr>
                </pic:pic>
              </a:graphicData>
            </a:graphic>
          </wp:inline>
        </w:drawing>
      </w:r>
    </w:p>
    <w:p>
      <w:pPr>
        <w:widowControl/>
        <w:snapToGrid w:val="0"/>
        <w:ind w:firstLine="422" w:firstLineChars="20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图6.4.1-5 不同渗透系数理论公式与简化公式计算结果对比</w:t>
      </w:r>
    </w:p>
    <w:p>
      <w:pPr>
        <w:widowControl/>
        <w:snapToGrid w:val="0"/>
        <w:ind w:firstLine="422" w:firstLineChars="200"/>
        <w:jc w:val="center"/>
        <w:rPr>
          <w:rFonts w:asciiTheme="minorEastAsia" w:hAnsiTheme="minorEastAsia" w:eastAsiaTheme="minorEastAsia" w:cstheme="minorEastAsia"/>
          <w:b/>
          <w:bCs/>
          <w:sz w:val="21"/>
          <w:szCs w:val="21"/>
        </w:rPr>
      </w:pPr>
    </w:p>
    <w:p>
      <w:pPr>
        <w:widowControl/>
        <w:ind w:firstLine="480" w:firstLineChars="200"/>
      </w:pPr>
      <w:r>
        <w:rPr>
          <w:rFonts w:hint="eastAsia"/>
        </w:rPr>
        <w:t xml:space="preserve">     </w:t>
      </w:r>
      <w:r>
        <w:drawing>
          <wp:inline distT="0" distB="0" distL="114300" distR="114300">
            <wp:extent cx="4047490" cy="2680970"/>
            <wp:effectExtent l="0" t="0" r="10160" b="5080"/>
            <wp:docPr id="3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9"/>
                    <pic:cNvPicPr>
                      <a:picLocks noChangeAspect="1"/>
                    </pic:cNvPicPr>
                  </pic:nvPicPr>
                  <pic:blipFill>
                    <a:blip r:embed="rId114"/>
                    <a:stretch>
                      <a:fillRect/>
                    </a:stretch>
                  </pic:blipFill>
                  <pic:spPr>
                    <a:xfrm>
                      <a:off x="0" y="0"/>
                      <a:ext cx="4047490" cy="2680970"/>
                    </a:xfrm>
                    <a:prstGeom prst="rect">
                      <a:avLst/>
                    </a:prstGeom>
                    <a:noFill/>
                    <a:ln>
                      <a:noFill/>
                    </a:ln>
                  </pic:spPr>
                </pic:pic>
              </a:graphicData>
            </a:graphic>
          </wp:inline>
        </w:drawing>
      </w:r>
    </w:p>
    <w:p>
      <w:pPr>
        <w:widowControl/>
        <w:snapToGrid w:val="0"/>
        <w:ind w:firstLine="422" w:firstLineChars="200"/>
        <w:jc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图6.4.1-6  不同含水层厚度理论公式与简化公式计算结果对比</w:t>
      </w:r>
    </w:p>
    <w:p>
      <w:pPr>
        <w:widowControl/>
        <w:ind w:firstLine="482" w:firstLineChars="200"/>
        <w:rPr>
          <w:rFonts w:eastAsia="楷体" w:cs="楷体"/>
          <w:b/>
          <w:bCs/>
        </w:rPr>
      </w:pPr>
    </w:p>
    <w:p>
      <w:pPr>
        <w:widowControl/>
        <w:ind w:firstLine="482" w:firstLineChars="200"/>
        <w:rPr>
          <w:rFonts w:eastAsia="楷体" w:cs="楷体"/>
          <w:b/>
          <w:bCs/>
        </w:rPr>
      </w:pPr>
      <w:r>
        <w:rPr>
          <w:rFonts w:hint="eastAsia" w:eastAsia="楷体" w:cs="楷体"/>
          <w:b/>
          <w:bCs/>
        </w:rPr>
        <w:t>图6.4.1-4中，对于建筑物2，基础埋深较大，进入承压含水层，抗浮设防水位应按拟建建筑最不利位置承压</w:t>
      </w:r>
      <w:r>
        <w:rPr>
          <w:rFonts w:eastAsia="楷体" w:cs="楷体"/>
          <w:b/>
          <w:bCs/>
        </w:rPr>
        <w:t>水位</w:t>
      </w:r>
      <w:r>
        <w:rPr>
          <w:rFonts w:hint="eastAsia" w:eastAsia="楷体" w:cs="楷体"/>
          <w:b/>
          <w:bCs/>
        </w:rPr>
        <w:t>取值。对于建筑物1，基础埋深较小，未揭穿相对不透水层时，应根据基底地层透水情况综合评价，当基底为弱透水层，上层和下层地下水之间会发生越层渗流，应参考表6.1.3中第3种情况计算抗浮设防水位。当基底为相对不透水层，上层地下水和下层不发生越层渗流时，应参考表6.1.2中第2种情况计算抗浮设防水位，且考虑地表水肥槽入渗的影响。</w:t>
      </w:r>
    </w:p>
    <w:p>
      <w:pPr>
        <w:spacing w:line="520" w:lineRule="exact"/>
        <w:ind w:firstLine="482" w:firstLineChars="200"/>
        <w:rPr>
          <w:rFonts w:eastAsia="楷体"/>
          <w:b/>
          <w:bCs/>
          <w:szCs w:val="24"/>
        </w:rPr>
      </w:pPr>
      <w:r>
        <w:rPr>
          <w:rFonts w:hint="eastAsia" w:eastAsia="楷体"/>
          <w:b/>
          <w:bCs/>
          <w:szCs w:val="24"/>
        </w:rPr>
        <w:t>算例2：武汉绿地国际金融城A01地块项目±0.00为23.75m，塔楼核心筒区域基底埋深约为±0.00以下29.9m，塔楼周边裙楼区域基底深约为±0.00以下26.3m。地层从上到下依次为杂填土，粉质粘土夹粉土，淤泥质粉质粘土，粉质</w:t>
      </w:r>
      <w:r>
        <w:rPr>
          <w:rFonts w:eastAsia="楷体"/>
          <w:b/>
          <w:bCs/>
          <w:szCs w:val="24"/>
        </w:rPr>
        <w:t>粘土</w:t>
      </w:r>
      <w:r>
        <w:rPr>
          <w:rFonts w:hint="eastAsia" w:eastAsia="楷体"/>
          <w:b/>
          <w:bCs/>
          <w:szCs w:val="24"/>
        </w:rPr>
        <w:t>夹粉土，粉质粘土与粉土、粉砂互层，细砂，砂质泥岩。细砂层顶面平均标高9m，底面平均标高-26m，平均厚度35m，渗透系数20.29m/d。本项目距离长江230m，长江武汉段最高洪水位27.67m（黄海高程），常水位取雨季非洪峰水位23m。</w:t>
      </w:r>
    </w:p>
    <w:p>
      <w:pPr>
        <w:spacing w:line="520" w:lineRule="exact"/>
        <w:ind w:firstLine="630"/>
        <w:rPr>
          <w:rFonts w:eastAsia="楷体"/>
          <w:b/>
          <w:bCs/>
          <w:szCs w:val="24"/>
        </w:rPr>
      </w:pPr>
      <w:r>
        <w:rPr>
          <w:rFonts w:hint="eastAsia" w:eastAsia="楷体"/>
          <w:b/>
          <w:bCs/>
          <w:szCs w:val="24"/>
        </w:rPr>
        <w:t>根据公式6.4.1-12~公式6.4.1-15，计算得到系数</w:t>
      </w:r>
      <w:r>
        <w:rPr>
          <w:rFonts w:hint="eastAsia" w:eastAsia="楷体"/>
          <w:b/>
          <w:bCs/>
          <w:i/>
          <w:szCs w:val="24"/>
        </w:rPr>
        <w:t>a</w:t>
      </w:r>
      <w:r>
        <w:rPr>
          <w:rFonts w:hint="eastAsia" w:eastAsia="楷体"/>
          <w:b/>
          <w:bCs/>
          <w:szCs w:val="24"/>
        </w:rPr>
        <w:t>=0.8343；系数</w:t>
      </w:r>
      <w:r>
        <w:rPr>
          <w:rFonts w:hint="eastAsia" w:eastAsia="楷体"/>
          <w:b/>
          <w:bCs/>
          <w:i/>
          <w:szCs w:val="24"/>
        </w:rPr>
        <w:t>b</w:t>
      </w:r>
      <w:r>
        <w:rPr>
          <w:rFonts w:hint="eastAsia" w:eastAsia="楷体"/>
          <w:b/>
          <w:bCs/>
          <w:szCs w:val="24"/>
        </w:rPr>
        <w:t>=0.0011；</w:t>
      </w:r>
      <w:r>
        <w:rPr>
          <w:rFonts w:eastAsia="楷体"/>
          <w:b/>
          <w:bCs/>
          <w:szCs w:val="24"/>
        </w:rPr>
        <w:t>Δ</w:t>
      </w:r>
      <w:r>
        <w:rPr>
          <w:rFonts w:hint="eastAsia" w:eastAsia="楷体"/>
          <w:b/>
          <w:bCs/>
          <w:i/>
          <w:szCs w:val="24"/>
        </w:rPr>
        <w:t>h</w:t>
      </w:r>
      <w:r>
        <w:rPr>
          <w:rFonts w:hint="eastAsia" w:eastAsia="楷体"/>
          <w:b/>
          <w:bCs/>
          <w:szCs w:val="24"/>
        </w:rPr>
        <w:t>=4.67m，</w:t>
      </w:r>
      <w:r>
        <w:rPr>
          <w:rFonts w:eastAsia="楷体"/>
          <w:b/>
          <w:bCs/>
          <w:szCs w:val="24"/>
        </w:rPr>
        <w:t>Δ</w:t>
      </w:r>
      <w:r>
        <w:rPr>
          <w:rFonts w:hint="eastAsia" w:eastAsia="楷体"/>
          <w:b/>
          <w:bCs/>
          <w:i/>
          <w:szCs w:val="24"/>
        </w:rPr>
        <w:t>h</w:t>
      </w:r>
      <w:r>
        <w:rPr>
          <w:rFonts w:hint="eastAsia" w:eastAsia="楷体"/>
          <w:b/>
          <w:bCs/>
          <w:i/>
          <w:szCs w:val="24"/>
          <w:vertAlign w:val="subscript"/>
        </w:rPr>
        <w:t>x</w:t>
      </w:r>
      <w:r>
        <w:rPr>
          <w:rFonts w:hint="eastAsia" w:eastAsia="楷体"/>
          <w:b/>
          <w:bCs/>
          <w:szCs w:val="24"/>
        </w:rPr>
        <w:t>=3m，</w:t>
      </w:r>
      <w:r>
        <w:rPr>
          <w:rFonts w:hint="eastAsia" w:eastAsia="楷体"/>
          <w:b/>
          <w:bCs/>
          <w:i/>
          <w:szCs w:val="24"/>
        </w:rPr>
        <w:t>h</w:t>
      </w:r>
      <w:r>
        <w:rPr>
          <w:rFonts w:hint="eastAsia" w:eastAsia="楷体"/>
          <w:b/>
          <w:bCs/>
          <w:i/>
          <w:szCs w:val="24"/>
          <w:vertAlign w:val="subscript"/>
        </w:rPr>
        <w:t>x</w:t>
      </w:r>
      <w:r>
        <w:rPr>
          <w:rFonts w:hint="eastAsia" w:eastAsia="楷体"/>
          <w:b/>
          <w:bCs/>
          <w:szCs w:val="24"/>
        </w:rPr>
        <w:t>=26m，建议抗浮设防水位26.0m。</w:t>
      </w:r>
    </w:p>
    <w:p>
      <w:pPr>
        <w:spacing w:line="520" w:lineRule="exact"/>
        <w:ind w:firstLine="482" w:firstLineChars="200"/>
        <w:rPr>
          <w:rFonts w:eastAsia="楷体"/>
          <w:b/>
          <w:bCs/>
          <w:szCs w:val="24"/>
        </w:rPr>
      </w:pPr>
      <w:r>
        <w:rPr>
          <w:rFonts w:hint="eastAsia" w:eastAsia="楷体"/>
          <w:b/>
          <w:bCs/>
          <w:szCs w:val="24"/>
        </w:rPr>
        <w:t>《湖北省建筑地基基础技术规范》DB42 242-2014，距长江某点的承压水位计算公式：</w:t>
      </w:r>
    </w:p>
    <w:p>
      <w:pPr>
        <w:jc w:val="center"/>
        <w:rPr>
          <w:rFonts w:eastAsia="楷体"/>
          <w:b/>
          <w:bCs/>
          <w:szCs w:val="24"/>
        </w:rPr>
      </w:pPr>
      <w:r>
        <w:rPr>
          <w:rFonts w:eastAsia="楷体"/>
          <w:b/>
          <w:bCs/>
          <w:position w:val="-6"/>
          <w:szCs w:val="24"/>
        </w:rPr>
        <w:object>
          <v:shape id="_x0000_i1054" o:spt="75" type="#_x0000_t75" style="height:15.9pt;width:49.4pt;" o:ole="t" filled="f" o:preferrelative="t" stroked="f" coordsize="21600,21600">
            <v:path/>
            <v:fill on="f" focussize="0,0"/>
            <v:stroke on="f" joinstyle="miter"/>
            <v:imagedata r:id="rId116" o:title=""/>
            <o:lock v:ext="edit" aspectratio="t"/>
            <w10:wrap type="none"/>
            <w10:anchorlock/>
          </v:shape>
          <o:OLEObject Type="Embed" ProgID="Equation.KSEE3" ShapeID="_x0000_i1054" DrawAspect="Content" ObjectID="_1468075754" r:id="rId115">
            <o:LockedField>false</o:LockedField>
          </o:OLEObject>
        </w:object>
      </w:r>
      <w:r>
        <w:rPr>
          <w:rFonts w:hint="eastAsia" w:eastAsia="楷体"/>
          <w:b/>
          <w:bCs/>
          <w:position w:val="-6"/>
          <w:szCs w:val="24"/>
        </w:rPr>
        <w:t xml:space="preserve">             (6.4.1-16)</w:t>
      </w:r>
    </w:p>
    <w:p>
      <w:pPr>
        <w:spacing w:line="520" w:lineRule="exact"/>
        <w:ind w:firstLine="630"/>
        <w:rPr>
          <w:rFonts w:eastAsia="楷体"/>
          <w:b/>
          <w:bCs/>
          <w:iCs/>
          <w:szCs w:val="24"/>
        </w:rPr>
      </w:pPr>
      <w:r>
        <w:rPr>
          <w:rFonts w:eastAsia="楷体"/>
          <w:b/>
          <w:bCs/>
          <w:iCs/>
          <w:szCs w:val="24"/>
        </w:rPr>
        <w:t>式中</w:t>
      </w:r>
      <w:r>
        <w:rPr>
          <w:rFonts w:hint="eastAsia" w:eastAsia="楷体"/>
          <w:b/>
          <w:bCs/>
          <w:iCs/>
          <w:szCs w:val="24"/>
        </w:rPr>
        <w:t xml:space="preserve"> </w:t>
      </w:r>
      <w:r>
        <w:rPr>
          <w:rFonts w:eastAsia="楷体"/>
          <w:b/>
          <w:bCs/>
          <w:iCs/>
          <w:szCs w:val="24"/>
        </w:rPr>
        <w:t xml:space="preserve"> </w:t>
      </w:r>
      <w:r>
        <w:rPr>
          <w:rFonts w:hint="eastAsia" w:eastAsia="楷体"/>
          <w:b/>
          <w:bCs/>
          <w:i/>
          <w:szCs w:val="24"/>
        </w:rPr>
        <w:t>Y</w:t>
      </w:r>
      <w:r>
        <w:rPr>
          <w:rFonts w:eastAsia="楷体"/>
          <w:b/>
          <w:bCs/>
          <w:iCs/>
          <w:szCs w:val="24"/>
        </w:rPr>
        <w:t>—距</w:t>
      </w:r>
      <w:r>
        <w:rPr>
          <w:rFonts w:hint="eastAsia" w:eastAsia="楷体"/>
          <w:b/>
          <w:bCs/>
          <w:iCs/>
          <w:szCs w:val="24"/>
        </w:rPr>
        <w:t>离长江水</w:t>
      </w:r>
      <w:r>
        <w:rPr>
          <w:rFonts w:eastAsia="楷体"/>
          <w:b/>
          <w:bCs/>
          <w:iCs/>
          <w:szCs w:val="24"/>
        </w:rPr>
        <w:t>堤</w:t>
      </w:r>
      <w:r>
        <w:rPr>
          <w:rFonts w:eastAsia="楷体"/>
          <w:b/>
          <w:bCs/>
          <w:i/>
          <w:iCs/>
          <w:szCs w:val="24"/>
        </w:rPr>
        <w:t>x</w:t>
      </w:r>
      <w:r>
        <w:rPr>
          <w:rFonts w:eastAsia="楷体"/>
          <w:b/>
          <w:bCs/>
          <w:iCs/>
          <w:szCs w:val="24"/>
        </w:rPr>
        <w:t>处的承压水</w:t>
      </w:r>
      <w:r>
        <w:rPr>
          <w:rFonts w:hint="eastAsia" w:eastAsia="楷体"/>
          <w:b/>
          <w:bCs/>
          <w:iCs/>
          <w:szCs w:val="24"/>
        </w:rPr>
        <w:t>位</w:t>
      </w:r>
      <w:r>
        <w:rPr>
          <w:rFonts w:eastAsia="楷体"/>
          <w:b/>
          <w:bCs/>
          <w:iCs/>
          <w:szCs w:val="24"/>
        </w:rPr>
        <w:t>（m）；</w:t>
      </w:r>
      <w:r>
        <w:rPr>
          <w:rFonts w:hint="eastAsia" w:eastAsia="楷体"/>
          <w:b/>
          <w:bCs/>
          <w:i/>
          <w:iCs/>
          <w:szCs w:val="24"/>
        </w:rPr>
        <w:t>A</w:t>
      </w:r>
      <w:r>
        <w:rPr>
          <w:rFonts w:eastAsia="楷体"/>
          <w:b/>
          <w:bCs/>
          <w:iCs/>
          <w:szCs w:val="24"/>
        </w:rPr>
        <w:t>—</w:t>
      </w:r>
      <w:r>
        <w:rPr>
          <w:rFonts w:hint="eastAsia" w:eastAsia="楷体"/>
          <w:b/>
          <w:bCs/>
          <w:iCs/>
          <w:szCs w:val="24"/>
        </w:rPr>
        <w:t>长江水位（m）；</w:t>
      </w:r>
      <w:r>
        <w:rPr>
          <w:rFonts w:hint="eastAsia" w:eastAsia="楷体"/>
          <w:b/>
          <w:bCs/>
          <w:i/>
          <w:iCs/>
          <w:szCs w:val="24"/>
        </w:rPr>
        <w:t>a</w:t>
      </w:r>
      <w:r>
        <w:rPr>
          <w:rFonts w:eastAsia="楷体"/>
          <w:b/>
          <w:bCs/>
          <w:iCs/>
          <w:szCs w:val="24"/>
        </w:rPr>
        <w:t>—</w:t>
      </w:r>
      <w:r>
        <w:rPr>
          <w:rFonts w:hint="eastAsia" w:eastAsia="楷体"/>
          <w:b/>
          <w:bCs/>
          <w:iCs/>
          <w:szCs w:val="24"/>
        </w:rPr>
        <w:t>衰减指数，荆州0.00011~0.00041，均值0.0023，国家点0.00026，江陵0.00014，洪湖0.00012~0.00030。</w:t>
      </w:r>
    </w:p>
    <w:p>
      <w:pPr>
        <w:spacing w:line="520" w:lineRule="exact"/>
        <w:ind w:firstLine="630"/>
        <w:rPr>
          <w:rFonts w:eastAsia="楷体"/>
          <w:b/>
          <w:bCs/>
          <w:szCs w:val="24"/>
        </w:rPr>
      </w:pPr>
      <w:r>
        <w:rPr>
          <w:rFonts w:hint="eastAsia" w:eastAsia="楷体"/>
          <w:b/>
          <w:bCs/>
          <w:szCs w:val="24"/>
        </w:rPr>
        <w:t>根据公式6.4.1-16，武汉绿地国际金融城A01地块项目</w:t>
      </w:r>
      <w:r>
        <w:rPr>
          <w:rFonts w:hint="eastAsia" w:eastAsia="楷体"/>
          <w:b/>
          <w:bCs/>
          <w:i/>
          <w:szCs w:val="24"/>
        </w:rPr>
        <w:t>A</w:t>
      </w:r>
      <w:r>
        <w:rPr>
          <w:rFonts w:hint="eastAsia" w:eastAsia="楷体"/>
          <w:b/>
          <w:bCs/>
          <w:szCs w:val="24"/>
        </w:rPr>
        <w:t>=27.67m，</w:t>
      </w:r>
      <w:r>
        <w:rPr>
          <w:rFonts w:hint="eastAsia" w:eastAsia="楷体"/>
          <w:b/>
          <w:bCs/>
          <w:i/>
          <w:szCs w:val="24"/>
        </w:rPr>
        <w:t>a</w:t>
      </w:r>
      <w:r>
        <w:rPr>
          <w:rFonts w:hint="eastAsia" w:eastAsia="楷体"/>
          <w:b/>
          <w:bCs/>
          <w:szCs w:val="24"/>
        </w:rPr>
        <w:t>=0.00026，</w:t>
      </w:r>
      <w:r>
        <w:rPr>
          <w:rFonts w:hint="eastAsia" w:eastAsia="楷体"/>
          <w:b/>
          <w:bCs/>
          <w:i/>
          <w:szCs w:val="24"/>
        </w:rPr>
        <w:t>x</w:t>
      </w:r>
      <w:r>
        <w:rPr>
          <w:rFonts w:hint="eastAsia" w:eastAsia="楷体"/>
          <w:b/>
          <w:bCs/>
          <w:szCs w:val="24"/>
        </w:rPr>
        <w:t>=320m，计算得到Y=25.5m。与本标准推荐的公式相比，两种方法计算得到的结果基本吻合，本标准推荐的公式相对较高。</w:t>
      </w:r>
    </w:p>
    <w:p>
      <w:pPr>
        <w:widowControl/>
        <w:rPr>
          <w:rFonts w:eastAsia="楷体" w:cs="楷体"/>
          <w:b/>
          <w:bCs/>
        </w:rPr>
      </w:pPr>
    </w:p>
    <w:p>
      <w:pPr>
        <w:widowControl/>
        <w:rPr>
          <w:rFonts w:cs="黑体"/>
        </w:rPr>
      </w:pPr>
      <w:r>
        <w:rPr>
          <w:rFonts w:cs="黑体"/>
          <w:b/>
          <w:bCs/>
        </w:rPr>
        <w:t>6.4.2</w:t>
      </w:r>
      <w:r>
        <w:rPr>
          <w:rFonts w:cs="黑体"/>
        </w:rPr>
        <w:t xml:space="preserve">  </w:t>
      </w:r>
      <w:r>
        <w:rPr>
          <w:rFonts w:hint="eastAsia" w:cs="黑体"/>
        </w:rPr>
        <w:t>条件复杂时，可</w:t>
      </w:r>
      <w:r>
        <w:rPr>
          <w:rFonts w:hint="eastAsia" w:eastAsiaTheme="minorEastAsia"/>
        </w:rPr>
        <w:t>通过渗流计算分析确定地下结构建设后临水场地的渗流场情况，获得拟建地下结构区域的水压力分布。</w:t>
      </w:r>
    </w:p>
    <w:p>
      <w:pPr>
        <w:snapToGrid w:val="0"/>
        <w:rPr>
          <w:rFonts w:eastAsiaTheme="minorEastAsia"/>
        </w:rPr>
      </w:pPr>
      <w:r>
        <w:rPr>
          <w:b/>
          <w:bCs/>
        </w:rPr>
        <w:t>6.4.3</w:t>
      </w:r>
      <w:r>
        <w:rPr>
          <w:rFonts w:cs="黑体"/>
        </w:rPr>
        <w:t xml:space="preserve">  </w:t>
      </w:r>
      <w:bookmarkStart w:id="47" w:name="_Hlk118384144"/>
      <w:r>
        <w:rPr>
          <w:rFonts w:hint="eastAsia" w:eastAsiaTheme="minorEastAsia"/>
        </w:rPr>
        <w:t>临水场地地下水位随临近地表水的水位波动较大且有水力联系时，宜优先采用主动抗浮或主被动联合抗浮；地下水位变化较小时，宜采用抗拔桩、抗拔锚杆等被动抗浮措施。</w:t>
      </w:r>
    </w:p>
    <w:bookmarkEnd w:id="47"/>
    <w:p>
      <w:pPr>
        <w:rPr>
          <w:rFonts w:ascii="楷体" w:hAnsi="楷体" w:eastAsia="楷体" w:cs="楷体"/>
          <w:b/>
          <w:bCs/>
        </w:rPr>
      </w:pPr>
      <w:r>
        <w:rPr>
          <w:rFonts w:hint="eastAsia" w:ascii="楷体" w:hAnsi="楷体" w:eastAsia="楷体" w:cs="楷体"/>
          <w:b/>
          <w:bCs/>
        </w:rPr>
        <w:t>【条文说明】6</w:t>
      </w:r>
      <w:r>
        <w:rPr>
          <w:rFonts w:ascii="楷体" w:hAnsi="楷体" w:eastAsia="楷体" w:cs="楷体"/>
          <w:b/>
          <w:bCs/>
        </w:rPr>
        <w:t xml:space="preserve">.4.3  </w:t>
      </w:r>
      <w:r>
        <w:rPr>
          <w:rFonts w:hint="eastAsia" w:ascii="楷体" w:hAnsi="楷体" w:eastAsia="楷体" w:cs="楷体"/>
          <w:b/>
          <w:bCs/>
        </w:rPr>
        <w:t>临水场地地下水水位随临近地表水波动较大且具有一定规律时，可采用主动抗浮来消除地下水随临近地表水带来的水位波动水浮力或采用被动抗浮抵抗常水浮力，减少前期抗浮投入，确保结构的抗浮稳定性，同时可提高地下结构应对极端天气的能力。</w:t>
      </w:r>
    </w:p>
    <w:p>
      <w:pPr>
        <w:snapToGrid w:val="0"/>
        <w:jc w:val="center"/>
        <w:rPr>
          <w:rFonts w:ascii="黑体" w:hAnsi="黑体" w:eastAsia="黑体"/>
          <w:b/>
          <w:bCs/>
          <w:kern w:val="0"/>
          <w:sz w:val="28"/>
          <w:szCs w:val="32"/>
        </w:rPr>
      </w:pPr>
      <w:bookmarkStart w:id="48" w:name="_Hlk112666607"/>
    </w:p>
    <w:p>
      <w:pPr>
        <w:snapToGrid w:val="0"/>
        <w:jc w:val="center"/>
        <w:rPr>
          <w:rFonts w:ascii="仿宋" w:hAnsi="仿宋" w:eastAsia="仿宋" w:cs="黑体"/>
          <w:sz w:val="28"/>
          <w:szCs w:val="28"/>
        </w:rPr>
      </w:pPr>
      <w:r>
        <w:rPr>
          <w:rFonts w:ascii="黑体" w:hAnsi="黑体" w:eastAsia="黑体"/>
          <w:b/>
          <w:bCs/>
          <w:kern w:val="0"/>
          <w:sz w:val="28"/>
          <w:szCs w:val="32"/>
        </w:rPr>
        <w:t>6.5</w:t>
      </w:r>
      <w:bookmarkEnd w:id="48"/>
      <w:r>
        <w:rPr>
          <w:rFonts w:hint="eastAsia" w:ascii="黑体" w:hAnsi="黑体" w:eastAsia="黑体"/>
          <w:b/>
          <w:bCs/>
          <w:kern w:val="0"/>
          <w:sz w:val="28"/>
          <w:szCs w:val="32"/>
        </w:rPr>
        <w:t xml:space="preserve"> </w:t>
      </w:r>
      <w:r>
        <w:rPr>
          <w:rFonts w:ascii="黑体" w:hAnsi="黑体" w:eastAsia="黑体"/>
          <w:b/>
          <w:bCs/>
          <w:kern w:val="0"/>
          <w:sz w:val="28"/>
          <w:szCs w:val="32"/>
        </w:rPr>
        <w:t xml:space="preserve"> </w:t>
      </w:r>
      <w:r>
        <w:rPr>
          <w:rFonts w:hint="eastAsia" w:ascii="黑体" w:hAnsi="黑体" w:eastAsia="黑体"/>
          <w:b/>
          <w:bCs/>
          <w:kern w:val="0"/>
          <w:sz w:val="28"/>
          <w:szCs w:val="32"/>
        </w:rPr>
        <w:t>岩溶场地</w:t>
      </w:r>
    </w:p>
    <w:p>
      <w:pPr>
        <w:rPr>
          <w:rFonts w:cs="黑体"/>
          <w:lang w:bidi="ar"/>
        </w:rPr>
      </w:pPr>
      <w:r>
        <w:rPr>
          <w:b/>
          <w:lang w:bidi="ar"/>
        </w:rPr>
        <w:t>6.5.1</w:t>
      </w:r>
      <w:r>
        <w:rPr>
          <w:rFonts w:cs="黑体"/>
          <w:lang w:bidi="ar"/>
        </w:rPr>
        <w:t xml:space="preserve">  </w:t>
      </w:r>
      <w:r>
        <w:rPr>
          <w:rFonts w:hint="eastAsia" w:cs="黑体"/>
          <w:lang w:bidi="ar"/>
        </w:rPr>
        <w:t>岩溶场地的抗浮设防水位应按下列原则综合确定：</w:t>
      </w:r>
    </w:p>
    <w:p>
      <w:pPr>
        <w:autoSpaceDE w:val="0"/>
        <w:ind w:firstLine="480"/>
        <w:rPr>
          <w:rFonts w:cs="黑体"/>
          <w:lang w:bidi="ar"/>
        </w:rPr>
      </w:pPr>
      <w:r>
        <w:rPr>
          <w:rFonts w:hint="eastAsia" w:cs="黑体"/>
          <w:b/>
          <w:bCs/>
          <w:lang w:bidi="ar"/>
        </w:rPr>
        <w:t>1</w:t>
      </w:r>
      <w:r>
        <w:rPr>
          <w:rFonts w:cs="黑体"/>
          <w:lang w:bidi="ar"/>
        </w:rPr>
        <w:t xml:space="preserve">  </w:t>
      </w:r>
      <w:r>
        <w:rPr>
          <w:rFonts w:hint="eastAsia" w:cs="黑体"/>
          <w:lang w:bidi="ar"/>
        </w:rPr>
        <w:t>当地有长期地下水观测资料时，采用长期观测期间的地下水最高水位，并结合场地水文地质条件综合确定；</w:t>
      </w:r>
    </w:p>
    <w:p>
      <w:pPr>
        <w:autoSpaceDE w:val="0"/>
        <w:ind w:firstLine="480"/>
        <w:rPr>
          <w:rFonts w:cs="黑体"/>
          <w:lang w:bidi="ar"/>
        </w:rPr>
      </w:pPr>
      <w:r>
        <w:rPr>
          <w:rFonts w:hint="eastAsia" w:cs="黑体"/>
          <w:b/>
          <w:bCs/>
          <w:lang w:bidi="ar"/>
        </w:rPr>
        <w:t>2</w:t>
      </w:r>
      <w:r>
        <w:rPr>
          <w:rFonts w:cs="黑体"/>
          <w:lang w:bidi="ar"/>
        </w:rPr>
        <w:t xml:space="preserve">  </w:t>
      </w:r>
      <w:r>
        <w:rPr>
          <w:rFonts w:hint="eastAsia" w:cs="黑体"/>
          <w:lang w:bidi="ar"/>
        </w:rPr>
        <w:t>当地无长期地下水观测资料时，根据当地抗浮设防水位经验、场地水文地质条件，结合勘察期间的地下水水位与预测远期地下水位最大变幅综合确定；</w:t>
      </w:r>
    </w:p>
    <w:p>
      <w:pPr>
        <w:autoSpaceDE w:val="0"/>
        <w:ind w:firstLine="480"/>
        <w:rPr>
          <w:rFonts w:cs="黑体"/>
          <w:lang w:bidi="ar"/>
        </w:rPr>
      </w:pPr>
      <w:r>
        <w:rPr>
          <w:rFonts w:cs="黑体"/>
          <w:b/>
          <w:bCs/>
          <w:lang w:bidi="ar"/>
        </w:rPr>
        <w:t>3</w:t>
      </w:r>
      <w:r>
        <w:rPr>
          <w:rFonts w:cs="黑体"/>
          <w:lang w:bidi="ar"/>
        </w:rPr>
        <w:t xml:space="preserve">  </w:t>
      </w:r>
      <w:r>
        <w:rPr>
          <w:rFonts w:hint="eastAsia" w:cs="黑体"/>
          <w:lang w:bidi="ar"/>
        </w:rPr>
        <w:t>当地表水对地下水位变化有直接影响时，取地表水最高水位时的地下水位。</w:t>
      </w:r>
    </w:p>
    <w:p>
      <w:pPr>
        <w:rPr>
          <w:rFonts w:eastAsiaTheme="minorEastAsia"/>
        </w:rPr>
      </w:pPr>
      <w:r>
        <w:rPr>
          <w:rFonts w:hint="eastAsia" w:ascii="楷体" w:hAnsi="楷体" w:eastAsia="楷体" w:cs="楷体"/>
          <w:b/>
          <w:bCs/>
        </w:rPr>
        <w:t>【条文说明】6</w:t>
      </w:r>
      <w:r>
        <w:rPr>
          <w:rFonts w:ascii="楷体" w:hAnsi="楷体" w:eastAsia="楷体" w:cs="楷体"/>
          <w:b/>
          <w:bCs/>
        </w:rPr>
        <w:t>.</w:t>
      </w:r>
      <w:r>
        <w:rPr>
          <w:rFonts w:hint="eastAsia" w:ascii="楷体" w:hAnsi="楷体" w:eastAsia="楷体" w:cs="楷体"/>
          <w:b/>
          <w:bCs/>
        </w:rPr>
        <w:t>5</w:t>
      </w:r>
      <w:r>
        <w:rPr>
          <w:rFonts w:ascii="楷体" w:hAnsi="楷体" w:eastAsia="楷体" w:cs="楷体"/>
          <w:b/>
          <w:bCs/>
        </w:rPr>
        <w:t>.</w:t>
      </w:r>
      <w:r>
        <w:rPr>
          <w:rFonts w:hint="eastAsia" w:ascii="楷体" w:hAnsi="楷体" w:eastAsia="楷体" w:cs="楷体"/>
          <w:b/>
          <w:bCs/>
        </w:rPr>
        <w:t>1</w:t>
      </w:r>
      <w:r>
        <w:rPr>
          <w:rFonts w:ascii="楷体" w:hAnsi="楷体" w:eastAsia="楷体" w:cs="楷体"/>
          <w:b/>
          <w:bCs/>
        </w:rPr>
        <w:t xml:space="preserve">  </w:t>
      </w:r>
      <w:r>
        <w:rPr>
          <w:rFonts w:hint="eastAsia" w:ascii="楷体" w:hAnsi="楷体" w:eastAsia="楷体" w:cs="楷体"/>
          <w:b/>
          <w:bCs/>
        </w:rPr>
        <w:t>岩溶场地普遍覆盖较厚的红粘土，当抗浮工程仅涉及上覆红粘土层时，可按常规的弱透水场地确定抗浮设防水位；当抗浮工程涉及岩溶水且无长期观测钻孔水位资料时，可根据工程实际情况，按表6.5.1地下水位变幅抬高地下水位综合确定抗浮设防水位。</w:t>
      </w:r>
    </w:p>
    <w:p>
      <w:pPr>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表 6.5.1  岩溶含水层组合特征</w:t>
      </w:r>
    </w:p>
    <w:tbl>
      <w:tblPr>
        <w:tblStyle w:val="24"/>
        <w:tblW w:w="8429" w:type="dxa"/>
        <w:tblInd w:w="9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90"/>
        <w:gridCol w:w="717"/>
        <w:gridCol w:w="700"/>
        <w:gridCol w:w="683"/>
        <w:gridCol w:w="717"/>
        <w:gridCol w:w="717"/>
        <w:gridCol w:w="733"/>
        <w:gridCol w:w="717"/>
        <w:gridCol w:w="650"/>
        <w:gridCol w:w="683"/>
        <w:gridCol w:w="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636" w:type="dxa"/>
            <w:gridSpan w:val="8"/>
            <w:tcBorders>
              <w:tl2br w:val="nil"/>
              <w:tr2bl w:val="nil"/>
            </w:tcBorders>
            <w:shd w:val="clear" w:color="auto" w:fill="auto"/>
            <w:noWrap/>
            <w:vAlign w:val="center"/>
          </w:tcPr>
          <w:p>
            <w:pPr>
              <w:widowControl/>
              <w:spacing w:line="240" w:lineRule="auto"/>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纯碳酸盐岩类含水层</w:t>
            </w:r>
          </w:p>
        </w:tc>
        <w:tc>
          <w:tcPr>
            <w:tcW w:w="2793" w:type="dxa"/>
            <w:gridSpan w:val="4"/>
            <w:tcBorders>
              <w:tl2br w:val="nil"/>
              <w:tr2bl w:val="nil"/>
            </w:tcBorders>
            <w:shd w:val="clear" w:color="auto" w:fill="auto"/>
            <w:noWrap/>
            <w:vAlign w:val="center"/>
          </w:tcPr>
          <w:p>
            <w:pPr>
              <w:widowControl/>
              <w:spacing w:line="240" w:lineRule="auto"/>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非纯碳酸盐岩类含水层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369" w:type="dxa"/>
            <w:gridSpan w:val="2"/>
            <w:tcBorders>
              <w:tl2br w:val="nil"/>
              <w:tr2bl w:val="nil"/>
            </w:tcBorders>
            <w:shd w:val="clear" w:color="auto" w:fill="auto"/>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以灰岩为主的纯碳酸盐岩类含水层</w:t>
            </w:r>
          </w:p>
        </w:tc>
        <w:tc>
          <w:tcPr>
            <w:tcW w:w="2817" w:type="dxa"/>
            <w:gridSpan w:val="4"/>
            <w:tcBorders>
              <w:tl2br w:val="nil"/>
              <w:tr2bl w:val="nil"/>
            </w:tcBorders>
            <w:shd w:val="clear" w:color="auto" w:fill="auto"/>
            <w:noWrap/>
            <w:vAlign w:val="center"/>
          </w:tcPr>
          <w:p>
            <w:pPr>
              <w:widowControl/>
              <w:spacing w:line="240" w:lineRule="exact"/>
              <w:jc w:val="lef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以白云岩为主纯碳酸盐岩类含水层</w:t>
            </w:r>
          </w:p>
        </w:tc>
        <w:tc>
          <w:tcPr>
            <w:tcW w:w="1450" w:type="dxa"/>
            <w:gridSpan w:val="2"/>
            <w:tcBorders>
              <w:tl2br w:val="nil"/>
              <w:tr2bl w:val="nil"/>
            </w:tcBorders>
            <w:shd w:val="clear" w:color="auto" w:fill="auto"/>
            <w:vAlign w:val="center"/>
          </w:tcPr>
          <w:p>
            <w:pPr>
              <w:widowControl/>
              <w:spacing w:line="240" w:lineRule="exact"/>
              <w:jc w:val="lef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间互状纯碳酸盐岩类含水层</w:t>
            </w:r>
          </w:p>
        </w:tc>
        <w:tc>
          <w:tcPr>
            <w:tcW w:w="1367" w:type="dxa"/>
            <w:gridSpan w:val="2"/>
            <w:tcBorders>
              <w:tl2br w:val="nil"/>
              <w:tr2bl w:val="nil"/>
            </w:tcBorders>
            <w:shd w:val="clear" w:color="auto" w:fill="auto"/>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不纯碳酸盐岩类含水层</w:t>
            </w:r>
          </w:p>
        </w:tc>
        <w:tc>
          <w:tcPr>
            <w:tcW w:w="1426" w:type="dxa"/>
            <w:gridSpan w:val="2"/>
            <w:tcBorders>
              <w:tl2br w:val="nil"/>
              <w:tr2bl w:val="nil"/>
            </w:tcBorders>
            <w:shd w:val="clear" w:color="auto" w:fill="auto"/>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间互状纯碳酸盐岩与碎屑岩含水层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1369"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岩性以灰岩为主，含水介质组合为裂隙-溶洞，含裂隙-溶洞水。地下水以集中管道流形式赋存，渗透极不均匀。</w:t>
            </w:r>
          </w:p>
        </w:tc>
        <w:tc>
          <w:tcPr>
            <w:tcW w:w="1417"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岩性以白云岩为主，含水介质组合为溶洞-裂隙，含溶洞-裂隙水。地下水赋存形式以裂隙流为主，管道流次之，渗透不均匀。</w:t>
            </w:r>
          </w:p>
        </w:tc>
        <w:tc>
          <w:tcPr>
            <w:tcW w:w="1400"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岩性以白云岩为主，含水介质组合为裂隙、溶孔、溶隙等，含溶孔-溶隙水。地下水赋存形式以裂隙孔隙流为主，渗透相对均匀。</w:t>
            </w:r>
          </w:p>
        </w:tc>
        <w:tc>
          <w:tcPr>
            <w:tcW w:w="1450" w:type="dxa"/>
            <w:gridSpan w:val="2"/>
            <w:tcBorders>
              <w:tl2br w:val="nil"/>
              <w:tr2bl w:val="nil"/>
            </w:tcBorders>
            <w:shd w:val="clear" w:color="auto" w:fill="auto"/>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岩性以灰岩、白云岩间互产出。含水介质组合为裂隙溶洞或溶洞裂隙，含裂隙-溶洞水或溶洞裂隙水。地下水以裂隙、管道流形式赋存，渗透极不均匀。</w:t>
            </w:r>
          </w:p>
        </w:tc>
        <w:tc>
          <w:tcPr>
            <w:tcW w:w="1367"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岩性以泥灰岩、泥质白云岩、燧石灰岩等为主，含水介质组合为以溶隙-裂隙为主，赋水性差，渗透不均匀。</w:t>
            </w:r>
          </w:p>
        </w:tc>
        <w:tc>
          <w:tcPr>
            <w:tcW w:w="1426"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岩性为泥岩、页岩与灰岩、白云岩互层。为多层含水结构，含水介质组合为以溶洞-裂隙为主，具承压性，赋水性差，渗透不均匀。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369"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裂隙-溶洞水</w:t>
            </w:r>
          </w:p>
        </w:tc>
        <w:tc>
          <w:tcPr>
            <w:tcW w:w="1417"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溶洞-裂隙水</w:t>
            </w:r>
          </w:p>
        </w:tc>
        <w:tc>
          <w:tcPr>
            <w:tcW w:w="1400"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溶孔-溶隙水</w:t>
            </w:r>
          </w:p>
        </w:tc>
        <w:tc>
          <w:tcPr>
            <w:tcW w:w="1450" w:type="dxa"/>
            <w:gridSpan w:val="2"/>
            <w:tcBorders>
              <w:tl2br w:val="nil"/>
              <w:tr2bl w:val="nil"/>
            </w:tcBorders>
            <w:shd w:val="clear" w:color="auto" w:fill="auto"/>
            <w:vAlign w:val="center"/>
          </w:tcPr>
          <w:p>
            <w:pPr>
              <w:widowControl/>
              <w:spacing w:line="240" w:lineRule="exact"/>
              <w:jc w:val="lef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裂隙-溶洞水或溶洞-裂隙水</w:t>
            </w:r>
          </w:p>
        </w:tc>
        <w:tc>
          <w:tcPr>
            <w:tcW w:w="1367"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溶隙-裂隙水</w:t>
            </w:r>
          </w:p>
        </w:tc>
        <w:tc>
          <w:tcPr>
            <w:tcW w:w="1426" w:type="dxa"/>
            <w:gridSpan w:val="2"/>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溶洞-裂隙水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429" w:type="dxa"/>
            <w:gridSpan w:val="12"/>
            <w:tcBorders>
              <w:tl2br w:val="nil"/>
              <w:tr2bl w:val="nil"/>
            </w:tcBorders>
            <w:shd w:val="clear" w:color="auto" w:fill="auto"/>
            <w:noWrap/>
            <w:vAlign w:val="center"/>
          </w:tcPr>
          <w:p>
            <w:pPr>
              <w:widowControl/>
              <w:spacing w:line="240" w:lineRule="auto"/>
              <w:jc w:val="center"/>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抬高地下水位变幅范围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79"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平水期</w:t>
            </w:r>
          </w:p>
        </w:tc>
        <w:tc>
          <w:tcPr>
            <w:tcW w:w="690"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丰水期</w:t>
            </w:r>
          </w:p>
        </w:tc>
        <w:tc>
          <w:tcPr>
            <w:tcW w:w="717"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平水期</w:t>
            </w:r>
          </w:p>
        </w:tc>
        <w:tc>
          <w:tcPr>
            <w:tcW w:w="700"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丰水期</w:t>
            </w:r>
          </w:p>
        </w:tc>
        <w:tc>
          <w:tcPr>
            <w:tcW w:w="683"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平水期</w:t>
            </w:r>
          </w:p>
        </w:tc>
        <w:tc>
          <w:tcPr>
            <w:tcW w:w="717"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丰水期</w:t>
            </w:r>
          </w:p>
        </w:tc>
        <w:tc>
          <w:tcPr>
            <w:tcW w:w="717"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平水期</w:t>
            </w:r>
          </w:p>
        </w:tc>
        <w:tc>
          <w:tcPr>
            <w:tcW w:w="733"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丰水期</w:t>
            </w:r>
          </w:p>
        </w:tc>
        <w:tc>
          <w:tcPr>
            <w:tcW w:w="717"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平水期</w:t>
            </w:r>
          </w:p>
        </w:tc>
        <w:tc>
          <w:tcPr>
            <w:tcW w:w="650"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丰水期</w:t>
            </w:r>
          </w:p>
        </w:tc>
        <w:tc>
          <w:tcPr>
            <w:tcW w:w="683"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平水期</w:t>
            </w:r>
          </w:p>
        </w:tc>
        <w:tc>
          <w:tcPr>
            <w:tcW w:w="743"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丰水期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79"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2.0</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4.0m</w:t>
            </w:r>
          </w:p>
        </w:tc>
        <w:tc>
          <w:tcPr>
            <w:tcW w:w="690"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1.0</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2.0m</w:t>
            </w:r>
          </w:p>
        </w:tc>
        <w:tc>
          <w:tcPr>
            <w:tcW w:w="717"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2.0</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4.0m</w:t>
            </w:r>
          </w:p>
        </w:tc>
        <w:tc>
          <w:tcPr>
            <w:tcW w:w="700"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1.0</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2.0m</w:t>
            </w:r>
          </w:p>
        </w:tc>
        <w:tc>
          <w:tcPr>
            <w:tcW w:w="683"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1.5</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3.0m</w:t>
            </w:r>
          </w:p>
        </w:tc>
        <w:tc>
          <w:tcPr>
            <w:tcW w:w="717"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1.0</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1.5m</w:t>
            </w:r>
          </w:p>
        </w:tc>
        <w:tc>
          <w:tcPr>
            <w:tcW w:w="717"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1.5</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3.0m</w:t>
            </w:r>
          </w:p>
        </w:tc>
        <w:tc>
          <w:tcPr>
            <w:tcW w:w="733"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1.0</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1.5m</w:t>
            </w:r>
          </w:p>
        </w:tc>
        <w:tc>
          <w:tcPr>
            <w:tcW w:w="717"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1.5</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3.0m</w:t>
            </w:r>
          </w:p>
        </w:tc>
        <w:tc>
          <w:tcPr>
            <w:tcW w:w="650"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0.5</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1.5m</w:t>
            </w:r>
          </w:p>
        </w:tc>
        <w:tc>
          <w:tcPr>
            <w:tcW w:w="683"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1.5</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3.5m</w:t>
            </w:r>
          </w:p>
        </w:tc>
        <w:tc>
          <w:tcPr>
            <w:tcW w:w="743" w:type="dxa"/>
            <w:tcBorders>
              <w:tl2br w:val="nil"/>
              <w:tr2bl w:val="nil"/>
            </w:tcBorders>
            <w:shd w:val="clear" w:color="auto" w:fill="auto"/>
            <w:noWrap/>
            <w:vAlign w:val="center"/>
          </w:tcPr>
          <w:p>
            <w:pPr>
              <w:widowControl/>
              <w:spacing w:line="240" w:lineRule="exact"/>
              <w:textAlignment w:val="center"/>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lang w:bidi="ar"/>
              </w:rPr>
              <w:t>0.5</w:t>
            </w:r>
            <w:r>
              <w:rPr>
                <w:rFonts w:eastAsiaTheme="minorEastAsia"/>
                <w:color w:val="000000"/>
                <w:kern w:val="0"/>
                <w:sz w:val="21"/>
                <w:szCs w:val="21"/>
                <w:lang w:bidi="ar"/>
              </w:rPr>
              <w:t>~</w:t>
            </w:r>
            <w:r>
              <w:rPr>
                <w:rFonts w:hint="eastAsia" w:asciiTheme="minorEastAsia" w:hAnsiTheme="minorEastAsia" w:eastAsiaTheme="minorEastAsia" w:cstheme="minorEastAsia"/>
                <w:color w:val="000000"/>
                <w:kern w:val="0"/>
                <w:sz w:val="21"/>
                <w:szCs w:val="21"/>
                <w:lang w:bidi="ar"/>
              </w:rPr>
              <w:t>1.5m</w:t>
            </w:r>
          </w:p>
        </w:tc>
      </w:tr>
    </w:tbl>
    <w:p>
      <w:pPr>
        <w:pStyle w:val="35"/>
        <w:spacing w:line="276" w:lineRule="auto"/>
        <w:ind w:firstLine="180" w:firstLineChars="100"/>
        <w:jc w:val="left"/>
        <w:rPr>
          <w:rFonts w:asciiTheme="minorEastAsia" w:hAnsiTheme="minorEastAsia" w:eastAsiaTheme="minorEastAsia" w:cstheme="minorEastAsia"/>
          <w:sz w:val="18"/>
          <w:szCs w:val="21"/>
        </w:rPr>
      </w:pPr>
      <w:r>
        <w:rPr>
          <w:rFonts w:hint="eastAsia" w:asciiTheme="minorEastAsia" w:hAnsiTheme="minorEastAsia" w:eastAsiaTheme="minorEastAsia" w:cstheme="minorEastAsia"/>
          <w:sz w:val="18"/>
          <w:szCs w:val="21"/>
        </w:rPr>
        <w:t>注：1.表中内容源于《贵州省建筑岩土工程技术规范》（DB52/T046-2018）。</w:t>
      </w:r>
    </w:p>
    <w:p>
      <w:pPr>
        <w:pStyle w:val="35"/>
        <w:spacing w:line="276" w:lineRule="auto"/>
        <w:ind w:firstLine="180" w:firstLineChars="100"/>
        <w:jc w:val="left"/>
        <w:rPr>
          <w:rFonts w:asciiTheme="minorEastAsia" w:hAnsiTheme="minorEastAsia" w:eastAsiaTheme="minorEastAsia" w:cstheme="minorEastAsia"/>
          <w:sz w:val="18"/>
          <w:szCs w:val="21"/>
        </w:rPr>
      </w:pPr>
      <w:r>
        <w:rPr>
          <w:rFonts w:hint="eastAsia" w:asciiTheme="minorEastAsia" w:hAnsiTheme="minorEastAsia" w:eastAsiaTheme="minorEastAsia" w:cstheme="minorEastAsia"/>
          <w:sz w:val="18"/>
          <w:szCs w:val="21"/>
        </w:rPr>
        <w:t xml:space="preserve">    2.无长期地下水位观测资料，当场地处于地形低凹（洼地、谷地）、岩溶强发育、导水断层附近、地下水径流汇聚（排泄）地段，平水期、丰水期宜抬高地下水位变幅范围。</w:t>
      </w:r>
    </w:p>
    <w:p>
      <w:pPr>
        <w:rPr>
          <w:rFonts w:eastAsiaTheme="minorEastAsia"/>
        </w:rPr>
      </w:pPr>
      <w:r>
        <w:rPr>
          <w:rFonts w:hint="eastAsia"/>
          <w:b/>
          <w:bCs/>
        </w:rPr>
        <w:t>6.5.2</w:t>
      </w:r>
      <w:r>
        <w:rPr>
          <w:rFonts w:cs="黑体"/>
        </w:rPr>
        <w:t xml:space="preserve">  </w:t>
      </w:r>
      <w:r>
        <w:rPr>
          <w:rFonts w:hint="eastAsia" w:eastAsiaTheme="minorEastAsia"/>
        </w:rPr>
        <w:t>在岩溶场地岩体破碎带或泉点出露区设置抗浮措施时，应做局部加强处理。</w:t>
      </w:r>
    </w:p>
    <w:p>
      <w:pPr>
        <w:rPr>
          <w:rFonts w:eastAsiaTheme="minorEastAsia"/>
        </w:rPr>
      </w:pPr>
      <w:r>
        <w:rPr>
          <w:rFonts w:eastAsiaTheme="minorEastAsia"/>
          <w:b/>
          <w:bCs/>
        </w:rPr>
        <w:t>6.5.3</w:t>
      </w:r>
      <w:r>
        <w:rPr>
          <w:rFonts w:eastAsiaTheme="minorEastAsia"/>
        </w:rPr>
        <w:t xml:space="preserve">  </w:t>
      </w:r>
      <w:r>
        <w:rPr>
          <w:rFonts w:hint="eastAsia" w:eastAsiaTheme="minorEastAsia"/>
        </w:rPr>
        <w:t>岩溶场地，宜采用被动抗浮措施或主被动联合抗浮措施。</w:t>
      </w:r>
    </w:p>
    <w:p>
      <w:pPr>
        <w:rPr>
          <w:rFonts w:eastAsiaTheme="minorEastAsia"/>
        </w:rPr>
      </w:pPr>
    </w:p>
    <w:p>
      <w:pPr>
        <w:rPr>
          <w:rFonts w:eastAsiaTheme="minorEastAsia"/>
        </w:rPr>
      </w:pPr>
    </w:p>
    <w:p>
      <w:pPr>
        <w:snapToGrid w:val="0"/>
        <w:ind w:firstLine="482" w:firstLineChars="200"/>
        <w:rPr>
          <w:rFonts w:cs="黑体"/>
          <w:b/>
          <w:bCs/>
        </w:rPr>
      </w:pPr>
    </w:p>
    <w:bookmarkEnd w:id="34"/>
    <w:p>
      <w:pPr>
        <w:rPr>
          <w:rFonts w:eastAsia="方正小标宋简体"/>
          <w:kern w:val="44"/>
          <w:sz w:val="32"/>
          <w:szCs w:val="32"/>
        </w:rPr>
        <w:sectPr>
          <w:headerReference r:id="rId39" w:type="first"/>
          <w:headerReference r:id="rId37" w:type="default"/>
          <w:headerReference r:id="rId38" w:type="even"/>
          <w:pgSz w:w="11906" w:h="16838"/>
          <w:pgMar w:top="1440" w:right="1800" w:bottom="1440" w:left="1800" w:header="851" w:footer="992" w:gutter="0"/>
          <w:cols w:space="425" w:num="1"/>
          <w:docGrid w:type="lines" w:linePitch="326" w:charSpace="0"/>
        </w:sectPr>
      </w:pPr>
    </w:p>
    <w:p>
      <w:pPr>
        <w:pStyle w:val="2"/>
      </w:pPr>
      <w:bookmarkStart w:id="49" w:name="_Toc24259"/>
      <w:r>
        <w:rPr>
          <w:rFonts w:hint="eastAsia"/>
        </w:rPr>
        <w:t xml:space="preserve">  </w:t>
      </w:r>
      <w:r>
        <w:rPr>
          <w:rFonts w:hint="eastAsia"/>
          <w:sz w:val="30"/>
          <w:szCs w:val="30"/>
        </w:rPr>
        <w:t>既有工程</w:t>
      </w:r>
      <w:bookmarkEnd w:id="49"/>
    </w:p>
    <w:p>
      <w:pPr>
        <w:pStyle w:val="3"/>
        <w:ind w:hanging="5396"/>
        <w:rPr>
          <w:rFonts w:ascii="黑体" w:hAnsi="黑体" w:eastAsia="黑体"/>
        </w:rPr>
      </w:pPr>
      <w:r>
        <w:rPr>
          <w:rFonts w:hint="eastAsia"/>
        </w:rPr>
        <w:t xml:space="preserve">  </w:t>
      </w:r>
      <w:r>
        <w:rPr>
          <w:rFonts w:hint="eastAsia" w:ascii="黑体" w:hAnsi="黑体" w:eastAsia="黑体"/>
        </w:rPr>
        <w:t>抗浮加固工程</w:t>
      </w:r>
    </w:p>
    <w:p>
      <w:pPr>
        <w:rPr>
          <w:rFonts w:cs="宋体"/>
        </w:rPr>
      </w:pPr>
      <w:r>
        <w:rPr>
          <w:rFonts w:hint="eastAsia"/>
          <w:b/>
          <w:bCs/>
        </w:rPr>
        <w:t>7.1.1</w:t>
      </w:r>
      <w:r>
        <w:rPr>
          <w:rFonts w:hint="eastAsia" w:cs="宋体"/>
          <w:b/>
        </w:rPr>
        <w:t xml:space="preserve"> </w:t>
      </w:r>
      <w:r>
        <w:rPr>
          <w:rFonts w:cs="宋体"/>
          <w:b/>
        </w:rPr>
        <w:t xml:space="preserve"> </w:t>
      </w:r>
      <w:r>
        <w:rPr>
          <w:rFonts w:hint="eastAsia" w:cs="宋体"/>
        </w:rPr>
        <w:t>既有工程抗浮加固时，抗浮工程水文地质勘察宜与抗浮安全性鉴定相结合进行。</w:t>
      </w:r>
    </w:p>
    <w:p>
      <w:pPr>
        <w:rPr>
          <w:rFonts w:ascii="楷体" w:hAnsi="楷体" w:eastAsia="楷体" w:cs="楷体"/>
          <w:b/>
          <w:bCs/>
        </w:rPr>
      </w:pPr>
      <w:r>
        <w:rPr>
          <w:rFonts w:hint="eastAsia" w:ascii="楷体" w:hAnsi="楷体" w:eastAsia="楷体" w:cs="楷体"/>
          <w:b/>
          <w:bCs/>
        </w:rPr>
        <w:t>【条文说明】7.1.1  既有抗浮加固工程常常也需要进行抗浮安全性鉴定，该时水文地质勘察宜与抗浮安全性鉴定结合进行，以便工作资料相互共享，相互佐证。</w:t>
      </w:r>
    </w:p>
    <w:p>
      <w:pPr>
        <w:rPr>
          <w:rFonts w:cs="宋体"/>
        </w:rPr>
      </w:pPr>
      <w:r>
        <w:rPr>
          <w:rFonts w:hint="eastAsia" w:cs="宋体"/>
          <w:b/>
        </w:rPr>
        <w:t xml:space="preserve">7.1.2 </w:t>
      </w:r>
      <w:r>
        <w:rPr>
          <w:rFonts w:cs="宋体"/>
          <w:b/>
        </w:rPr>
        <w:t xml:space="preserve"> </w:t>
      </w:r>
      <w:r>
        <w:rPr>
          <w:rFonts w:hint="eastAsia" w:cs="宋体"/>
        </w:rPr>
        <w:t>抗浮加固工程的水文地质勘察，除</w:t>
      </w:r>
      <w:r>
        <w:rPr>
          <w:rFonts w:hint="eastAsia" w:cs="宋体"/>
          <w:bCs/>
        </w:rPr>
        <w:t>按第4章要求收集场地所在区域水文地质资料，调查场地周边水文地质条件外，尚</w:t>
      </w:r>
      <w:r>
        <w:rPr>
          <w:rFonts w:hint="eastAsia" w:cs="宋体"/>
        </w:rPr>
        <w:t>应收集和调查下列资料：</w:t>
      </w:r>
    </w:p>
    <w:p>
      <w:pPr>
        <w:ind w:firstLine="482" w:firstLineChars="200"/>
        <w:rPr>
          <w:rFonts w:cs="宋体"/>
          <w:bCs/>
        </w:rPr>
      </w:pPr>
      <w:r>
        <w:rPr>
          <w:rFonts w:hint="eastAsia"/>
          <w:b/>
          <w:bCs/>
        </w:rPr>
        <w:t>1</w:t>
      </w:r>
      <w:r>
        <w:rPr>
          <w:rFonts w:hint="eastAsia" w:cs="宋体"/>
          <w:bCs/>
        </w:rPr>
        <w:t xml:space="preserve"> </w:t>
      </w:r>
      <w:r>
        <w:rPr>
          <w:rFonts w:cs="宋体"/>
          <w:bCs/>
        </w:rPr>
        <w:t xml:space="preserve"> </w:t>
      </w:r>
      <w:r>
        <w:rPr>
          <w:rFonts w:hint="eastAsia" w:cs="宋体"/>
          <w:bCs/>
        </w:rPr>
        <w:t>收集场地已有岩土工程勘察资料和水文地质勘察资料；</w:t>
      </w:r>
    </w:p>
    <w:p>
      <w:pPr>
        <w:ind w:firstLine="482" w:firstLineChars="200"/>
        <w:rPr>
          <w:rFonts w:cs="宋体"/>
          <w:bCs/>
        </w:rPr>
      </w:pPr>
      <w:r>
        <w:rPr>
          <w:rFonts w:hint="eastAsia"/>
          <w:b/>
          <w:bCs/>
        </w:rPr>
        <w:t>2</w:t>
      </w:r>
      <w:r>
        <w:rPr>
          <w:rFonts w:hint="eastAsia" w:cs="宋体"/>
          <w:bCs/>
        </w:rPr>
        <w:t xml:space="preserve"> </w:t>
      </w:r>
      <w:r>
        <w:rPr>
          <w:rFonts w:cs="宋体"/>
          <w:bCs/>
        </w:rPr>
        <w:t xml:space="preserve"> </w:t>
      </w:r>
      <w:r>
        <w:rPr>
          <w:rFonts w:hint="eastAsia" w:cs="宋体"/>
          <w:bCs/>
        </w:rPr>
        <w:t>收集主体结构设计文件和竣工文件，包括结构形式和荷载分布、基础类型及地下结构底板埋置深度等；</w:t>
      </w:r>
    </w:p>
    <w:p>
      <w:pPr>
        <w:ind w:firstLine="482" w:firstLineChars="200"/>
        <w:rPr>
          <w:rFonts w:cs="宋体"/>
          <w:bCs/>
        </w:rPr>
      </w:pPr>
      <w:r>
        <w:rPr>
          <w:rFonts w:hint="eastAsia"/>
          <w:b/>
          <w:bCs/>
        </w:rPr>
        <w:t>3</w:t>
      </w:r>
      <w:r>
        <w:rPr>
          <w:rFonts w:hint="eastAsia" w:cs="宋体"/>
          <w:bCs/>
        </w:rPr>
        <w:t xml:space="preserve"> </w:t>
      </w:r>
      <w:r>
        <w:rPr>
          <w:rFonts w:cs="宋体"/>
          <w:bCs/>
        </w:rPr>
        <w:t xml:space="preserve"> </w:t>
      </w:r>
      <w:r>
        <w:rPr>
          <w:rFonts w:hint="eastAsia" w:cs="宋体"/>
          <w:bCs/>
        </w:rPr>
        <w:t>收集和调查既有工程</w:t>
      </w:r>
      <w:r>
        <w:rPr>
          <w:rFonts w:cs="宋体"/>
          <w:bCs/>
        </w:rPr>
        <w:t>的</w:t>
      </w:r>
      <w:r>
        <w:rPr>
          <w:rFonts w:hint="eastAsia" w:cs="宋体"/>
          <w:bCs/>
        </w:rPr>
        <w:t>基坑围护设计和竣工文件，包括隔水帷幕形式和深度、降水井类型和封堵情况，并</w:t>
      </w:r>
      <w:r>
        <w:rPr>
          <w:rFonts w:hint="eastAsia" w:cs="宋体"/>
          <w:bCs/>
          <w:lang w:bidi="ar"/>
        </w:rPr>
        <w:t>根据工程需要测定其渗漏点的位置；</w:t>
      </w:r>
    </w:p>
    <w:p>
      <w:pPr>
        <w:ind w:firstLine="482" w:firstLineChars="200"/>
        <w:rPr>
          <w:rFonts w:cs="宋体"/>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rFonts w:hint="eastAsia" w:cs="宋体"/>
          <w:bCs/>
          <w:color w:val="000000" w:themeColor="text1"/>
          <w14:textFill>
            <w14:solidFill>
              <w14:schemeClr w14:val="tx1"/>
            </w14:solidFill>
          </w14:textFill>
        </w:rPr>
        <w:t xml:space="preserve"> </w:t>
      </w:r>
      <w:r>
        <w:rPr>
          <w:rFonts w:cs="宋体"/>
          <w:bCs/>
          <w:color w:val="000000" w:themeColor="text1"/>
          <w14:textFill>
            <w14:solidFill>
              <w14:schemeClr w14:val="tx1"/>
            </w14:solidFill>
          </w14:textFill>
        </w:rPr>
        <w:t xml:space="preserve"> </w:t>
      </w:r>
      <w:r>
        <w:rPr>
          <w:rFonts w:hint="eastAsia" w:cs="宋体"/>
          <w:bCs/>
          <w:color w:val="000000" w:themeColor="text1"/>
          <w14:textFill>
            <w14:solidFill>
              <w14:schemeClr w14:val="tx1"/>
            </w14:solidFill>
          </w14:textFill>
        </w:rPr>
        <w:t>收集和调查原有抗浮方案和运行情况，包括地面排水系统和地下排水系统的运行和封堵情况；</w:t>
      </w:r>
    </w:p>
    <w:p>
      <w:pPr>
        <w:ind w:firstLine="482" w:firstLineChars="200"/>
        <w:rPr>
          <w:b/>
          <w:color w:val="00B050"/>
        </w:rPr>
      </w:pPr>
      <w:r>
        <w:rPr>
          <w:b/>
          <w:bCs/>
          <w:color w:val="000000" w:themeColor="text1"/>
          <w14:textFill>
            <w14:solidFill>
              <w14:schemeClr w14:val="tx1"/>
            </w14:solidFill>
          </w14:textFill>
        </w:rPr>
        <w:t>5</w:t>
      </w:r>
      <w:r>
        <w:rPr>
          <w:rFonts w:hint="eastAsia" w:cs="宋体"/>
          <w:bCs/>
          <w:color w:val="000000" w:themeColor="text1"/>
          <w14:textFill>
            <w14:solidFill>
              <w14:schemeClr w14:val="tx1"/>
            </w14:solidFill>
          </w14:textFill>
        </w:rPr>
        <w:t xml:space="preserve"> </w:t>
      </w:r>
      <w:r>
        <w:rPr>
          <w:rFonts w:cs="宋体"/>
          <w:bCs/>
          <w:color w:val="000000" w:themeColor="text1"/>
          <w14:textFill>
            <w14:solidFill>
              <w14:schemeClr w14:val="tx1"/>
            </w14:solidFill>
          </w14:textFill>
        </w:rPr>
        <w:t xml:space="preserve"> </w:t>
      </w:r>
      <w:r>
        <w:rPr>
          <w:rFonts w:hint="eastAsia" w:cs="宋体"/>
          <w:bCs/>
          <w:color w:val="000000" w:themeColor="text1"/>
          <w14:textFill>
            <w14:solidFill>
              <w14:schemeClr w14:val="tx1"/>
            </w14:solidFill>
          </w14:textFill>
        </w:rPr>
        <w:t>收集临近场地地下水、地表水和周边环境变化情况资料。</w:t>
      </w:r>
    </w:p>
    <w:p>
      <w:pPr>
        <w:rPr>
          <w:rFonts w:ascii="楷体" w:hAnsi="楷体" w:eastAsia="楷体" w:cs="楷体"/>
          <w:b/>
          <w:bCs/>
        </w:rPr>
      </w:pPr>
      <w:r>
        <w:rPr>
          <w:rFonts w:hint="eastAsia" w:ascii="楷体" w:hAnsi="楷体" w:eastAsia="楷体" w:cs="楷体"/>
          <w:b/>
          <w:bCs/>
        </w:rPr>
        <w:t>【条文说明】7.1.2  既有工程的基坑设计与施工情况是非常影响地下水的补给条件，且会影响抗浮加固方案的实施可行性；随着时间变化，既有工程原有抗浮方案的运行情况出现异常，临近场地地下水、地表水和周边环境等外部条件出现变化，这些情况都可能是导致既有工程抗浮安全度不足的原因，故需要收集和调查。</w:t>
      </w:r>
    </w:p>
    <w:p>
      <w:pPr>
        <w:rPr>
          <w:rFonts w:cs="宋体"/>
        </w:rPr>
      </w:pPr>
      <w:r>
        <w:rPr>
          <w:rFonts w:hint="eastAsia" w:cs="宋体"/>
          <w:b/>
        </w:rPr>
        <w:t xml:space="preserve">7.1.3 </w:t>
      </w:r>
      <w:r>
        <w:rPr>
          <w:rFonts w:cs="宋体"/>
          <w:b/>
        </w:rPr>
        <w:t xml:space="preserve"> </w:t>
      </w:r>
      <w:r>
        <w:rPr>
          <w:rFonts w:hint="eastAsia" w:cs="宋体"/>
        </w:rPr>
        <w:t>抗浮加固工程的水文地质勘察，宜在分析已有收集和调查资料的基础上，结合可能的抗浮加固设计方案，按第5章开展针对性的勘探及试验，并符合下列要求：</w:t>
      </w:r>
    </w:p>
    <w:p>
      <w:pPr>
        <w:ind w:firstLine="482" w:firstLineChars="200"/>
        <w:rPr>
          <w:rFonts w:cs="宋体"/>
          <w:color w:val="00B050"/>
        </w:rPr>
      </w:pPr>
      <w:r>
        <w:rPr>
          <w:b/>
          <w:bCs/>
          <w:color w:val="000000" w:themeColor="text1"/>
          <w14:textFill>
            <w14:solidFill>
              <w14:schemeClr w14:val="tx1"/>
            </w14:solidFill>
          </w14:textFill>
        </w:rPr>
        <w:t>1</w:t>
      </w:r>
      <w:r>
        <w:rPr>
          <w:rFonts w:cs="宋体"/>
          <w:color w:val="000000" w:themeColor="text1"/>
          <w14:textFill>
            <w14:solidFill>
              <w14:schemeClr w14:val="tx1"/>
            </w14:solidFill>
          </w14:textFill>
        </w:rPr>
        <w:t xml:space="preserve"> </w:t>
      </w:r>
      <w:r>
        <w:rPr>
          <w:rFonts w:hint="eastAsia" w:cs="宋体"/>
          <w:color w:val="000000" w:themeColor="text1"/>
          <w14:textFill>
            <w14:solidFill>
              <w14:schemeClr w14:val="tx1"/>
            </w14:solidFill>
          </w14:textFill>
        </w:rPr>
        <w:t xml:space="preserve"> 当原有勘察资料不能满足后续设计与施工需要时，需进行验证性勘探；复核既有工程场地内的地层结构、土体性质、含水层之间水力联系；</w:t>
      </w:r>
    </w:p>
    <w:p>
      <w:pPr>
        <w:ind w:firstLine="482" w:firstLineChars="200"/>
        <w:rPr>
          <w:rFonts w:cs="宋体"/>
          <w:bCs/>
        </w:rPr>
      </w:pPr>
      <w:r>
        <w:rPr>
          <w:b/>
          <w:bCs/>
        </w:rPr>
        <w:t>2</w:t>
      </w:r>
      <w:r>
        <w:rPr>
          <w:rFonts w:hint="eastAsia" w:cs="宋体"/>
          <w:bCs/>
        </w:rPr>
        <w:t xml:space="preserve"> </w:t>
      </w:r>
      <w:r>
        <w:rPr>
          <w:rFonts w:cs="宋体"/>
          <w:bCs/>
        </w:rPr>
        <w:t xml:space="preserve"> </w:t>
      </w:r>
      <w:r>
        <w:rPr>
          <w:rFonts w:hint="eastAsia" w:cs="宋体"/>
          <w:bCs/>
        </w:rPr>
        <w:t>在地下结构四周布置观测孔（井）对地下水位进行观测，每侧不少于</w:t>
      </w:r>
      <w:r>
        <w:rPr>
          <w:rFonts w:cs="宋体"/>
          <w:bCs/>
        </w:rPr>
        <w:t>2</w:t>
      </w:r>
      <w:r>
        <w:rPr>
          <w:rFonts w:hint="eastAsia" w:cs="宋体"/>
          <w:bCs/>
        </w:rPr>
        <w:t>个观测孔（井）；</w:t>
      </w:r>
    </w:p>
    <w:p>
      <w:pPr>
        <w:ind w:firstLine="482" w:firstLineChars="200"/>
        <w:rPr>
          <w:rFonts w:cs="宋体"/>
          <w:color w:val="00B050"/>
        </w:rPr>
      </w:pPr>
      <w:r>
        <w:rPr>
          <w:rFonts w:hint="eastAsia"/>
          <w:b/>
          <w:bCs/>
          <w:color w:val="000000" w:themeColor="text1"/>
          <w14:textFill>
            <w14:solidFill>
              <w14:schemeClr w14:val="tx1"/>
            </w14:solidFill>
          </w14:textFill>
        </w:rPr>
        <w:t>3</w:t>
      </w:r>
      <w:r>
        <w:rPr>
          <w:rFonts w:hint="eastAsia"/>
          <w:b/>
          <w:color w:val="000000" w:themeColor="text1"/>
          <w14:textFill>
            <w14:solidFill>
              <w14:schemeClr w14:val="tx1"/>
            </w14:solidFill>
          </w14:textFill>
        </w:rPr>
        <w:t xml:space="preserve">  </w:t>
      </w:r>
      <w:r>
        <w:rPr>
          <w:rFonts w:hint="eastAsia" w:cs="宋体"/>
          <w:bCs/>
          <w:color w:val="000000" w:themeColor="text1"/>
          <w14:textFill>
            <w14:solidFill>
              <w14:schemeClr w14:val="tx1"/>
            </w14:solidFill>
          </w14:textFill>
        </w:rPr>
        <w:t>查明肥槽回填土质量和地表水封堵质量，以及周边水流排泄通道；</w:t>
      </w:r>
    </w:p>
    <w:p>
      <w:pPr>
        <w:ind w:firstLine="482" w:firstLineChars="200"/>
        <w:rPr>
          <w:rFonts w:cs="宋体"/>
          <w:bCs/>
        </w:rPr>
      </w:pPr>
      <w:r>
        <w:rPr>
          <w:rFonts w:cs="宋体"/>
          <w:b/>
        </w:rPr>
        <w:t>4</w:t>
      </w:r>
      <w:r>
        <w:rPr>
          <w:rFonts w:hint="eastAsia" w:cs="宋体"/>
          <w:bCs/>
        </w:rPr>
        <w:t xml:space="preserve"> </w:t>
      </w:r>
      <w:r>
        <w:rPr>
          <w:rFonts w:cs="宋体"/>
          <w:bCs/>
        </w:rPr>
        <w:t xml:space="preserve"> </w:t>
      </w:r>
      <w:r>
        <w:rPr>
          <w:rFonts w:hint="eastAsia" w:cs="宋体"/>
          <w:bCs/>
        </w:rPr>
        <w:t>拟采用主动抗浮加固措施时，需根据现场抽水试验进行分析，提供涌水量、渗透系数和给水度；</w:t>
      </w:r>
    </w:p>
    <w:p>
      <w:pPr>
        <w:ind w:firstLine="482" w:firstLineChars="200"/>
        <w:rPr>
          <w:rFonts w:cs="宋体"/>
          <w:bCs/>
        </w:rPr>
      </w:pPr>
      <w:r>
        <w:rPr>
          <w:b/>
          <w:bCs/>
        </w:rPr>
        <w:t>5</w:t>
      </w:r>
      <w:r>
        <w:rPr>
          <w:rFonts w:hint="eastAsia" w:cs="宋体"/>
          <w:bCs/>
        </w:rPr>
        <w:t xml:space="preserve"> </w:t>
      </w:r>
      <w:r>
        <w:rPr>
          <w:rFonts w:cs="宋体"/>
          <w:bCs/>
        </w:rPr>
        <w:t xml:space="preserve"> </w:t>
      </w:r>
      <w:r>
        <w:rPr>
          <w:rFonts w:hint="eastAsia" w:cs="宋体"/>
          <w:bCs/>
        </w:rPr>
        <w:t>现场试验时需采取措施避免地下结构底板下土体流失。</w:t>
      </w:r>
    </w:p>
    <w:p>
      <w:pPr>
        <w:rPr>
          <w:rFonts w:ascii="楷体" w:hAnsi="楷体" w:eastAsia="楷体" w:cs="楷体"/>
          <w:b/>
          <w:bCs/>
        </w:rPr>
      </w:pPr>
      <w:r>
        <w:rPr>
          <w:rFonts w:hint="eastAsia" w:ascii="楷体" w:hAnsi="楷体" w:eastAsia="楷体" w:cs="楷体"/>
          <w:b/>
          <w:bCs/>
        </w:rPr>
        <w:t>【条文说明】7.1.3  既有工程常常场地条件受限布置现场试验不方便，加固抗浮工程水文地质勘察的勘探试验可以充分利用原来的勘察资料。现场试验常常需要在结构底板上开洞，开洞时容易出现喷水导致的土体流失，故需要采取防范措施。</w:t>
      </w:r>
    </w:p>
    <w:p>
      <w:pPr>
        <w:rPr>
          <w:rFonts w:cs="宋体"/>
          <w:color w:val="00B050"/>
        </w:rPr>
      </w:pPr>
      <w:r>
        <w:rPr>
          <w:rFonts w:hint="eastAsia" w:cs="宋体"/>
          <w:b/>
          <w:color w:val="000000" w:themeColor="text1"/>
          <w14:textFill>
            <w14:solidFill>
              <w14:schemeClr w14:val="tx1"/>
            </w14:solidFill>
          </w14:textFill>
        </w:rPr>
        <w:t>7.1.4</w:t>
      </w:r>
      <w:r>
        <w:rPr>
          <w:rFonts w:hint="eastAsia" w:cs="宋体"/>
          <w:b/>
          <w:bCs/>
          <w:color w:val="000000" w:themeColor="text1"/>
          <w14:textFill>
            <w14:solidFill>
              <w14:schemeClr w14:val="tx1"/>
            </w14:solidFill>
          </w14:textFill>
        </w:rPr>
        <w:t xml:space="preserve">  </w:t>
      </w:r>
      <w:r>
        <w:rPr>
          <w:rFonts w:hint="eastAsia" w:cs="宋体"/>
          <w:bCs/>
          <w:color w:val="000000" w:themeColor="text1"/>
          <w14:textFill>
            <w14:solidFill>
              <w14:schemeClr w14:val="tx1"/>
            </w14:solidFill>
          </w14:textFill>
        </w:rPr>
        <w:t>抗浮加固工程的水文地质勘察，应在资料分析评价的基础上，提出抗浮加固措施建议，并符合下列要求：</w:t>
      </w:r>
    </w:p>
    <w:p>
      <w:pPr>
        <w:ind w:firstLine="482" w:firstLineChars="200"/>
        <w:rPr>
          <w:rFonts w:cs="宋体"/>
          <w:bCs/>
        </w:rPr>
      </w:pPr>
      <w:r>
        <w:rPr>
          <w:rFonts w:hint="eastAsia"/>
          <w:b/>
          <w:bCs/>
        </w:rPr>
        <w:t>1</w:t>
      </w:r>
      <w:r>
        <w:rPr>
          <w:rFonts w:cs="宋体"/>
          <w:color w:val="00B050"/>
        </w:rPr>
        <w:t xml:space="preserve">  </w:t>
      </w:r>
      <w:r>
        <w:rPr>
          <w:rFonts w:hint="eastAsia" w:cs="宋体"/>
          <w:bCs/>
        </w:rPr>
        <w:t>原工程设置隔水帷幕时，评估分析隔水帷幕对周边渗流场和水压力的改变；</w:t>
      </w:r>
    </w:p>
    <w:p>
      <w:pPr>
        <w:ind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w:t>
      </w:r>
      <w:r>
        <w:rPr>
          <w:rFonts w:hint="eastAsia" w:cs="宋体"/>
          <w:bCs/>
          <w:color w:val="000000" w:themeColor="text1"/>
          <w14:textFill>
            <w14:solidFill>
              <w14:schemeClr w14:val="tx1"/>
            </w14:solidFill>
          </w14:textFill>
        </w:rPr>
        <w:t>抗浮加固工程的抗浮设防水位，应结合抗浮安全性鉴定、后续使用年限根据第6章确定，且不低于抗浮失效时水位；</w:t>
      </w:r>
    </w:p>
    <w:p>
      <w:pPr>
        <w:ind w:firstLine="482" w:firstLineChars="200"/>
        <w:rPr>
          <w:rFonts w:cs="宋体"/>
          <w:bCs/>
          <w:color w:val="000000" w:themeColor="text1"/>
          <w14:textFill>
            <w14:solidFill>
              <w14:schemeClr w14:val="tx1"/>
            </w14:solidFill>
          </w14:textFill>
        </w:rPr>
      </w:pPr>
      <w:r>
        <w:rPr>
          <w:b/>
          <w:bCs/>
          <w:color w:val="000000" w:themeColor="text1"/>
          <w14:textFill>
            <w14:solidFill>
              <w14:schemeClr w14:val="tx1"/>
            </w14:solidFill>
          </w14:textFill>
        </w:rPr>
        <w:t>3</w:t>
      </w:r>
      <w:r>
        <w:rPr>
          <w:rFonts w:cs="宋体"/>
          <w:b/>
          <w:bCs/>
          <w:color w:val="000000" w:themeColor="text1"/>
          <w14:textFill>
            <w14:solidFill>
              <w14:schemeClr w14:val="tx1"/>
            </w14:solidFill>
          </w14:textFill>
        </w:rPr>
        <w:t xml:space="preserve">  </w:t>
      </w:r>
      <w:r>
        <w:rPr>
          <w:rFonts w:hint="eastAsia" w:cs="宋体"/>
          <w:bCs/>
          <w:color w:val="000000" w:themeColor="text1"/>
          <w14:textFill>
            <w14:solidFill>
              <w14:schemeClr w14:val="tx1"/>
            </w14:solidFill>
          </w14:textFill>
        </w:rPr>
        <w:t>抗浮加固工程的抗浮措施应根据抗浮稳定状态、抗浮设计年限、对周边环境的影响、施工条件等因素进行技术经济比较后确定；</w:t>
      </w:r>
    </w:p>
    <w:p>
      <w:pPr>
        <w:ind w:firstLine="482" w:firstLineChars="200"/>
        <w:rPr>
          <w:rFonts w:cs="宋体"/>
          <w:color w:val="000000" w:themeColor="text1"/>
          <w:szCs w:val="24"/>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14:textFill>
            <w14:solidFill>
              <w14:schemeClr w14:val="tx1"/>
            </w14:solidFill>
          </w14:textFill>
        </w:rPr>
        <w:t xml:space="preserve">  </w:t>
      </w:r>
      <w:r>
        <w:rPr>
          <w:rFonts w:hint="eastAsia" w:cs="宋体"/>
          <w:bCs/>
          <w:color w:val="000000" w:themeColor="text1"/>
          <w14:textFill>
            <w14:solidFill>
              <w14:schemeClr w14:val="tx1"/>
            </w14:solidFill>
          </w14:textFill>
        </w:rPr>
        <w:t>抗浮加固需考虑与原有结构受力变形协调；</w:t>
      </w:r>
    </w:p>
    <w:p>
      <w:pPr>
        <w:ind w:firstLine="482" w:firstLineChars="200"/>
        <w:rPr>
          <w:rFonts w:cs="宋体"/>
          <w:bCs/>
        </w:rPr>
      </w:pPr>
      <w:r>
        <w:rPr>
          <w:b/>
          <w:bCs/>
        </w:rPr>
        <w:t>5</w:t>
      </w:r>
      <w:r>
        <w:rPr>
          <w:rFonts w:hint="eastAsia" w:cs="宋体"/>
          <w:color w:val="00B050"/>
          <w:szCs w:val="24"/>
        </w:rPr>
        <w:t xml:space="preserve"> </w:t>
      </w:r>
      <w:r>
        <w:rPr>
          <w:rFonts w:cs="宋体"/>
          <w:color w:val="00B050"/>
          <w:szCs w:val="24"/>
        </w:rPr>
        <w:t xml:space="preserve"> </w:t>
      </w:r>
      <w:r>
        <w:rPr>
          <w:rFonts w:hint="eastAsia" w:cs="宋体"/>
          <w:bCs/>
        </w:rPr>
        <w:t>抗浮加固施工期间需考虑各种工况下不利荷载组合时地下结构的临时抗浮稳定性，并采取可靠的措施控制地下水位。</w:t>
      </w:r>
    </w:p>
    <w:p>
      <w:pPr>
        <w:ind w:firstLine="480" w:firstLineChars="200"/>
        <w:rPr>
          <w:rFonts w:cs="宋体"/>
          <w:bCs/>
        </w:rPr>
      </w:pPr>
    </w:p>
    <w:p>
      <w:pPr>
        <w:pStyle w:val="3"/>
        <w:ind w:hanging="5396"/>
        <w:rPr>
          <w:rFonts w:ascii="黑体" w:hAnsi="黑体" w:eastAsia="黑体"/>
        </w:rPr>
      </w:pPr>
      <w:r>
        <w:rPr>
          <w:rFonts w:hint="eastAsia"/>
        </w:rPr>
        <w:t xml:space="preserve">  </w:t>
      </w:r>
      <w:r>
        <w:rPr>
          <w:rFonts w:hint="eastAsia" w:ascii="黑体" w:hAnsi="黑体" w:eastAsia="黑体"/>
        </w:rPr>
        <w:t>改（扩）建项目抗浮工程</w:t>
      </w:r>
    </w:p>
    <w:p>
      <w:r>
        <w:rPr>
          <w:b/>
        </w:rPr>
        <w:t xml:space="preserve">7.2.1  </w:t>
      </w:r>
      <w:r>
        <w:rPr>
          <w:rFonts w:hint="eastAsia"/>
        </w:rPr>
        <w:t>既有工程改（扩）建</w:t>
      </w:r>
      <w:r>
        <w:t>时，</w:t>
      </w:r>
      <w:r>
        <w:rPr>
          <w:rFonts w:hint="eastAsia"/>
        </w:rPr>
        <w:t>抗浮工程</w:t>
      </w:r>
      <w:r>
        <w:t>水文地质勘察时注意对临近工程</w:t>
      </w:r>
      <w:r>
        <w:rPr>
          <w:rFonts w:hint="eastAsia"/>
        </w:rPr>
        <w:t>结构</w:t>
      </w:r>
      <w:r>
        <w:t>和设施的保护</w:t>
      </w:r>
      <w:r>
        <w:rPr>
          <w:rFonts w:hint="eastAsia"/>
        </w:rPr>
        <w:t>。</w:t>
      </w:r>
    </w:p>
    <w:p>
      <w:r>
        <w:rPr>
          <w:b/>
        </w:rPr>
        <w:t xml:space="preserve">7.2.2  </w:t>
      </w:r>
      <w:r>
        <w:rPr>
          <w:rFonts w:hint="eastAsia"/>
        </w:rPr>
        <w:t>改（扩）建项目</w:t>
      </w:r>
      <w:r>
        <w:t>的</w:t>
      </w:r>
      <w:r>
        <w:rPr>
          <w:rFonts w:hint="eastAsia"/>
        </w:rPr>
        <w:t>抗浮工程</w:t>
      </w:r>
      <w:r>
        <w:t>水文地质勘察</w:t>
      </w:r>
      <w:r>
        <w:rPr>
          <w:rFonts w:hint="eastAsia"/>
        </w:rPr>
        <w:t>，除按7.1.2收集和调查资料外</w:t>
      </w:r>
      <w:r>
        <w:t>，尚应收集</w:t>
      </w:r>
      <w:r>
        <w:rPr>
          <w:rFonts w:hint="eastAsia"/>
        </w:rPr>
        <w:t>改（扩）建</w:t>
      </w:r>
      <w:r>
        <w:t>设计</w:t>
      </w:r>
      <w:r>
        <w:rPr>
          <w:rFonts w:hint="eastAsia"/>
        </w:rPr>
        <w:t>资料和有关要求。</w:t>
      </w:r>
    </w:p>
    <w:p>
      <w:r>
        <w:rPr>
          <w:b/>
        </w:rPr>
        <w:t xml:space="preserve">7.2.3  </w:t>
      </w:r>
      <w:r>
        <w:rPr>
          <w:rFonts w:hint="eastAsia"/>
        </w:rPr>
        <w:t>建（构）筑物地下竖向增</w:t>
      </w:r>
      <w:r>
        <w:t>层</w:t>
      </w:r>
      <w:r>
        <w:rPr>
          <w:rFonts w:hint="eastAsia"/>
        </w:rPr>
        <w:t>改（</w:t>
      </w:r>
      <w:r>
        <w:t>扩</w:t>
      </w:r>
      <w:r>
        <w:rPr>
          <w:rFonts w:hint="eastAsia"/>
        </w:rPr>
        <w:t>）</w:t>
      </w:r>
      <w:r>
        <w:t>建</w:t>
      </w:r>
      <w:r>
        <w:rPr>
          <w:rFonts w:hint="eastAsia"/>
        </w:rPr>
        <w:t>时，抗浮工程水文地质勘察的勘探与试验宜按7</w:t>
      </w:r>
      <w:r>
        <w:t>.1</w:t>
      </w:r>
      <w:r>
        <w:rPr>
          <w:rFonts w:hint="eastAsia"/>
        </w:rPr>
        <w:t>.3进行，抗浮分析评价和抗浮措施建议宜按7.1.4进行。</w:t>
      </w:r>
    </w:p>
    <w:p>
      <w:r>
        <w:rPr>
          <w:b/>
        </w:rPr>
        <w:t>7.2.4</w:t>
      </w:r>
      <w:r>
        <w:rPr>
          <w:rFonts w:hint="eastAsia"/>
          <w:b/>
        </w:rPr>
        <w:t xml:space="preserve">  </w:t>
      </w:r>
      <w:r>
        <w:rPr>
          <w:rFonts w:hint="eastAsia"/>
        </w:rPr>
        <w:t>建（构）筑物水平改（扩）建时</w:t>
      </w:r>
      <w:r>
        <w:t>，</w:t>
      </w:r>
      <w:r>
        <w:rPr>
          <w:rFonts w:hint="eastAsia"/>
        </w:rPr>
        <w:t>抗浮工程水文地质勘察宜按新建项目进行，抗浮措施应考虑与拟建工程协调。</w:t>
      </w:r>
    </w:p>
    <w:p>
      <w:r>
        <w:rPr>
          <w:b/>
          <w:color w:val="000000" w:themeColor="text1"/>
          <w14:textFill>
            <w14:solidFill>
              <w14:schemeClr w14:val="tx1"/>
            </w14:solidFill>
          </w14:textFill>
        </w:rPr>
        <w:t>7.2.</w:t>
      </w:r>
      <w:r>
        <w:rPr>
          <w:rFonts w:hint="eastAsia"/>
          <w:b/>
          <w:color w:val="000000" w:themeColor="text1"/>
          <w14:textFill>
            <w14:solidFill>
              <w14:schemeClr w14:val="tx1"/>
            </w14:solidFill>
          </w14:textFill>
        </w:rPr>
        <w:t>5</w:t>
      </w:r>
      <w:r>
        <w:rPr>
          <w:rFonts w:hint="eastAsia"/>
          <w:color w:val="000000" w:themeColor="text1"/>
          <w14:textFill>
            <w14:solidFill>
              <w14:schemeClr w14:val="tx1"/>
            </w14:solidFill>
          </w14:textFill>
        </w:rPr>
        <w:t xml:space="preserve">  改（扩）建项目抗浮设防水位，应考虑现状影响，抗浮设防水位不低于原工程抗浮设防水位。</w:t>
      </w:r>
    </w:p>
    <w:p>
      <w:pPr>
        <w:keepNext/>
        <w:keepLines/>
        <w:spacing w:before="1092" w:beforeLines="350" w:after="468" w:afterLines="150"/>
        <w:jc w:val="center"/>
        <w:outlineLvl w:val="0"/>
        <w:rPr>
          <w:rFonts w:eastAsia="方正小标宋简体"/>
          <w:kern w:val="44"/>
          <w:sz w:val="32"/>
          <w:szCs w:val="32"/>
        </w:rPr>
        <w:sectPr>
          <w:headerReference r:id="rId42" w:type="first"/>
          <w:headerReference r:id="rId40" w:type="default"/>
          <w:headerReference r:id="rId41" w:type="even"/>
          <w:pgSz w:w="11906" w:h="16838"/>
          <w:pgMar w:top="1440" w:right="1800" w:bottom="1440" w:left="1800" w:header="851" w:footer="992" w:gutter="0"/>
          <w:cols w:space="425" w:num="1"/>
          <w:docGrid w:type="lines" w:linePitch="312" w:charSpace="0"/>
        </w:sectPr>
      </w:pPr>
      <w:bookmarkStart w:id="50" w:name="_Toc35131602"/>
    </w:p>
    <w:bookmarkEnd w:id="50"/>
    <w:p>
      <w:pPr>
        <w:jc w:val="center"/>
        <w:rPr>
          <w:rFonts w:cs="宋体" w:asciiTheme="majorEastAsia" w:hAnsiTheme="majorEastAsia" w:eastAsiaTheme="majorEastAsia"/>
          <w:b/>
          <w:bCs/>
          <w:sz w:val="30"/>
          <w:szCs w:val="30"/>
        </w:rPr>
      </w:pPr>
      <w:r>
        <w:rPr>
          <w:rFonts w:hint="eastAsia" w:cs="宋体" w:asciiTheme="majorEastAsia" w:hAnsiTheme="majorEastAsia" w:eastAsiaTheme="majorEastAsia"/>
          <w:b/>
          <w:bCs/>
          <w:sz w:val="30"/>
          <w:szCs w:val="30"/>
        </w:rPr>
        <w:t>附录 A</w:t>
      </w:r>
      <w:r>
        <w:rPr>
          <w:rFonts w:cs="宋体" w:asciiTheme="majorEastAsia" w:hAnsiTheme="majorEastAsia" w:eastAsiaTheme="majorEastAsia"/>
          <w:b/>
          <w:bCs/>
          <w:sz w:val="30"/>
          <w:szCs w:val="30"/>
        </w:rPr>
        <w:t xml:space="preserve">  </w:t>
      </w:r>
      <w:r>
        <w:rPr>
          <w:rFonts w:hint="eastAsia" w:cs="宋体" w:asciiTheme="majorEastAsia" w:hAnsiTheme="majorEastAsia" w:eastAsiaTheme="majorEastAsia"/>
          <w:b/>
          <w:bCs/>
          <w:sz w:val="30"/>
          <w:szCs w:val="30"/>
        </w:rPr>
        <w:t>抗浮工程水文地质勘察专项报告编写提纲</w:t>
      </w:r>
    </w:p>
    <w:p>
      <w:pPr>
        <w:rPr>
          <w:rFonts w:eastAsiaTheme="minorEastAsia"/>
          <w:b/>
          <w:bCs/>
          <w:szCs w:val="23"/>
        </w:rPr>
      </w:pPr>
    </w:p>
    <w:p>
      <w:pPr>
        <w:rPr>
          <w:szCs w:val="23"/>
        </w:rPr>
      </w:pPr>
      <w:r>
        <w:rPr>
          <w:rFonts w:hint="eastAsia" w:eastAsiaTheme="minorEastAsia"/>
          <w:b/>
          <w:bCs/>
          <w:szCs w:val="23"/>
        </w:rPr>
        <w:t>A</w:t>
      </w:r>
      <w:r>
        <w:rPr>
          <w:rFonts w:eastAsiaTheme="minorEastAsia"/>
          <w:b/>
          <w:bCs/>
          <w:szCs w:val="23"/>
        </w:rPr>
        <w:t>.</w:t>
      </w:r>
      <w:r>
        <w:rPr>
          <w:rFonts w:hint="eastAsia" w:eastAsiaTheme="minorEastAsia"/>
          <w:b/>
          <w:bCs/>
          <w:szCs w:val="23"/>
        </w:rPr>
        <w:t>0</w:t>
      </w:r>
      <w:r>
        <w:rPr>
          <w:rFonts w:eastAsiaTheme="minorEastAsia"/>
          <w:b/>
          <w:bCs/>
          <w:szCs w:val="23"/>
        </w:rPr>
        <w:t>.</w:t>
      </w:r>
      <w:r>
        <w:rPr>
          <w:rFonts w:hint="eastAsia" w:eastAsiaTheme="minorEastAsia"/>
          <w:b/>
          <w:bCs/>
          <w:szCs w:val="23"/>
        </w:rPr>
        <w:t>1</w:t>
      </w:r>
      <w:r>
        <w:rPr>
          <w:rFonts w:eastAsiaTheme="minorEastAsia"/>
          <w:b/>
          <w:bCs/>
          <w:szCs w:val="23"/>
        </w:rPr>
        <w:t xml:space="preserve">  </w:t>
      </w:r>
      <w:r>
        <w:rPr>
          <w:rFonts w:hint="eastAsia"/>
          <w:szCs w:val="23"/>
        </w:rPr>
        <w:t>专项报告应在收集资料和现场勘探与试验的基础上进行编制，并宜包括下列内容：</w:t>
      </w:r>
    </w:p>
    <w:p>
      <w:pPr>
        <w:ind w:firstLine="482" w:firstLineChars="200"/>
        <w:rPr>
          <w:rFonts w:cs="宋体"/>
          <w:color w:val="333333"/>
          <w:kern w:val="0"/>
          <w:szCs w:val="24"/>
        </w:rPr>
      </w:pPr>
      <w:r>
        <w:rPr>
          <w:b/>
          <w:bCs/>
        </w:rPr>
        <w:t>1</w:t>
      </w:r>
      <w:r>
        <w:rPr>
          <w:szCs w:val="23"/>
        </w:rPr>
        <w:t xml:space="preserve">  </w:t>
      </w:r>
      <w:r>
        <w:rPr>
          <w:rFonts w:hint="eastAsia" w:cs="宋体"/>
          <w:color w:val="333333"/>
          <w:kern w:val="0"/>
          <w:szCs w:val="24"/>
        </w:rPr>
        <w:t>工程概况；</w:t>
      </w:r>
    </w:p>
    <w:p>
      <w:pPr>
        <w:ind w:firstLine="482" w:firstLineChars="200"/>
        <w:rPr>
          <w:szCs w:val="23"/>
        </w:rPr>
      </w:pPr>
      <w:r>
        <w:rPr>
          <w:rFonts w:hint="eastAsia"/>
          <w:b/>
          <w:bCs/>
        </w:rPr>
        <w:t>2</w:t>
      </w:r>
      <w:r>
        <w:rPr>
          <w:rFonts w:hint="eastAsia" w:cs="宋体"/>
          <w:color w:val="333333"/>
          <w:kern w:val="0"/>
          <w:szCs w:val="24"/>
        </w:rPr>
        <w:t xml:space="preserve">  </w:t>
      </w:r>
      <w:r>
        <w:rPr>
          <w:rFonts w:hint="eastAsia"/>
          <w:szCs w:val="23"/>
        </w:rPr>
        <w:t>勘察目的、工作依据、勘察手段及完成工作量；</w:t>
      </w:r>
    </w:p>
    <w:p>
      <w:pPr>
        <w:autoSpaceDE w:val="0"/>
        <w:autoSpaceDN w:val="0"/>
        <w:adjustRightInd w:val="0"/>
        <w:ind w:firstLine="480"/>
        <w:rPr>
          <w:rFonts w:cs="宋体"/>
          <w:color w:val="333333"/>
          <w:kern w:val="0"/>
          <w:szCs w:val="24"/>
        </w:rPr>
      </w:pPr>
      <w:r>
        <w:rPr>
          <w:rFonts w:hint="eastAsia"/>
          <w:b/>
          <w:bCs/>
        </w:rPr>
        <w:t>3</w:t>
      </w:r>
      <w:r>
        <w:rPr>
          <w:rFonts w:cs="宋体"/>
          <w:color w:val="333333"/>
          <w:kern w:val="0"/>
          <w:szCs w:val="24"/>
        </w:rPr>
        <w:t xml:space="preserve">  </w:t>
      </w:r>
      <w:r>
        <w:rPr>
          <w:rFonts w:hint="eastAsia" w:cs="宋体"/>
          <w:color w:val="333333"/>
          <w:kern w:val="0"/>
          <w:szCs w:val="24"/>
        </w:rPr>
        <w:t>区域水文地质概况；</w:t>
      </w:r>
    </w:p>
    <w:p>
      <w:pPr>
        <w:ind w:firstLine="482" w:firstLineChars="200"/>
        <w:rPr>
          <w:szCs w:val="23"/>
        </w:rPr>
      </w:pPr>
      <w:r>
        <w:rPr>
          <w:rFonts w:hint="eastAsia"/>
          <w:b/>
          <w:bCs/>
        </w:rPr>
        <w:t>4</w:t>
      </w:r>
      <w:r>
        <w:rPr>
          <w:szCs w:val="23"/>
        </w:rPr>
        <w:t xml:space="preserve">  </w:t>
      </w:r>
      <w:r>
        <w:rPr>
          <w:rFonts w:hint="eastAsia"/>
          <w:szCs w:val="23"/>
        </w:rPr>
        <w:t>场地水文地质条件和</w:t>
      </w:r>
      <w:r>
        <w:rPr>
          <w:rFonts w:hint="eastAsia" w:cs="宋体"/>
          <w:bCs/>
        </w:rPr>
        <w:t>周边环境变化情况</w:t>
      </w:r>
      <w:r>
        <w:rPr>
          <w:rFonts w:hint="eastAsia"/>
          <w:szCs w:val="23"/>
        </w:rPr>
        <w:t>；</w:t>
      </w:r>
    </w:p>
    <w:p>
      <w:pPr>
        <w:ind w:firstLine="482" w:firstLineChars="200"/>
        <w:rPr>
          <w:szCs w:val="23"/>
        </w:rPr>
      </w:pPr>
      <w:r>
        <w:rPr>
          <w:rFonts w:hint="eastAsia"/>
          <w:b/>
          <w:bCs/>
        </w:rPr>
        <w:t>5</w:t>
      </w:r>
      <w:r>
        <w:rPr>
          <w:szCs w:val="23"/>
        </w:rPr>
        <w:t xml:space="preserve">  </w:t>
      </w:r>
      <w:r>
        <w:rPr>
          <w:rFonts w:hint="eastAsia"/>
          <w:szCs w:val="23"/>
        </w:rPr>
        <w:t>水文地质试验及成果；</w:t>
      </w:r>
    </w:p>
    <w:p>
      <w:pPr>
        <w:ind w:firstLine="482" w:firstLineChars="200"/>
        <w:rPr>
          <w:szCs w:val="23"/>
        </w:rPr>
      </w:pPr>
      <w:r>
        <w:rPr>
          <w:b/>
          <w:bCs/>
        </w:rPr>
        <w:t>6</w:t>
      </w:r>
      <w:r>
        <w:rPr>
          <w:szCs w:val="23"/>
        </w:rPr>
        <w:t xml:space="preserve">  </w:t>
      </w:r>
      <w:r>
        <w:rPr>
          <w:rFonts w:hint="eastAsia"/>
          <w:szCs w:val="23"/>
        </w:rPr>
        <w:t>抗浮分析评价；</w:t>
      </w:r>
    </w:p>
    <w:p>
      <w:pPr>
        <w:ind w:firstLine="482" w:firstLineChars="200"/>
        <w:rPr>
          <w:szCs w:val="23"/>
        </w:rPr>
      </w:pPr>
      <w:r>
        <w:rPr>
          <w:rFonts w:hint="eastAsia"/>
          <w:b/>
          <w:bCs/>
        </w:rPr>
        <w:t>7</w:t>
      </w:r>
      <w:r>
        <w:rPr>
          <w:szCs w:val="23"/>
        </w:rPr>
        <w:t xml:space="preserve">  </w:t>
      </w:r>
      <w:r>
        <w:rPr>
          <w:rFonts w:hint="eastAsia"/>
          <w:szCs w:val="23"/>
        </w:rPr>
        <w:t>抗浮措施建议。</w:t>
      </w:r>
    </w:p>
    <w:p>
      <w:pPr>
        <w:rPr>
          <w:szCs w:val="23"/>
        </w:rPr>
      </w:pPr>
      <w:r>
        <w:rPr>
          <w:rFonts w:hint="eastAsia"/>
          <w:b/>
          <w:bCs/>
          <w:szCs w:val="23"/>
        </w:rPr>
        <w:t>A</w:t>
      </w:r>
      <w:r>
        <w:rPr>
          <w:b/>
          <w:bCs/>
          <w:szCs w:val="23"/>
        </w:rPr>
        <w:t>.</w:t>
      </w:r>
      <w:r>
        <w:rPr>
          <w:rFonts w:hint="eastAsia"/>
          <w:b/>
          <w:bCs/>
          <w:szCs w:val="23"/>
        </w:rPr>
        <w:t>0</w:t>
      </w:r>
      <w:r>
        <w:rPr>
          <w:b/>
          <w:bCs/>
          <w:szCs w:val="23"/>
        </w:rPr>
        <w:t>.</w:t>
      </w:r>
      <w:r>
        <w:rPr>
          <w:rFonts w:hint="eastAsia"/>
          <w:b/>
          <w:bCs/>
          <w:szCs w:val="23"/>
        </w:rPr>
        <w:t>2</w:t>
      </w:r>
      <w:r>
        <w:rPr>
          <w:b/>
          <w:bCs/>
          <w:szCs w:val="23"/>
        </w:rPr>
        <w:t xml:space="preserve">  </w:t>
      </w:r>
      <w:r>
        <w:rPr>
          <w:rFonts w:hint="eastAsia"/>
          <w:szCs w:val="23"/>
        </w:rPr>
        <w:t>专项报告宜附下列图表：</w:t>
      </w:r>
    </w:p>
    <w:p>
      <w:pPr>
        <w:ind w:firstLine="482" w:firstLineChars="200"/>
        <w:rPr>
          <w:szCs w:val="23"/>
        </w:rPr>
      </w:pPr>
      <w:r>
        <w:rPr>
          <w:rFonts w:hint="eastAsia"/>
          <w:b/>
          <w:bCs/>
        </w:rPr>
        <w:t>1</w:t>
      </w:r>
      <w:r>
        <w:rPr>
          <w:szCs w:val="23"/>
        </w:rPr>
        <w:t xml:space="preserve">  </w:t>
      </w:r>
      <w:r>
        <w:rPr>
          <w:rFonts w:hint="eastAsia"/>
          <w:szCs w:val="23"/>
        </w:rPr>
        <w:t>水文地质图及其剖面图；</w:t>
      </w:r>
    </w:p>
    <w:p>
      <w:pPr>
        <w:ind w:firstLine="482" w:firstLineChars="200"/>
        <w:rPr>
          <w:szCs w:val="23"/>
        </w:rPr>
      </w:pPr>
      <w:r>
        <w:rPr>
          <w:rFonts w:hint="eastAsia"/>
          <w:b/>
          <w:bCs/>
        </w:rPr>
        <w:t>2</w:t>
      </w:r>
      <w:r>
        <w:rPr>
          <w:szCs w:val="23"/>
        </w:rPr>
        <w:t xml:space="preserve">  </w:t>
      </w:r>
      <w:r>
        <w:rPr>
          <w:rFonts w:hint="eastAsia"/>
          <w:szCs w:val="23"/>
        </w:rPr>
        <w:t>水文地质试验成果图表；</w:t>
      </w:r>
    </w:p>
    <w:p>
      <w:pPr>
        <w:ind w:firstLine="482" w:firstLineChars="200"/>
        <w:rPr>
          <w:szCs w:val="23"/>
        </w:rPr>
      </w:pPr>
      <w:r>
        <w:rPr>
          <w:rFonts w:hint="eastAsia"/>
          <w:b/>
          <w:bCs/>
        </w:rPr>
        <w:t>3</w:t>
      </w:r>
      <w:r>
        <w:rPr>
          <w:szCs w:val="23"/>
        </w:rPr>
        <w:t xml:space="preserve">  </w:t>
      </w:r>
      <w:r>
        <w:rPr>
          <w:rFonts w:hint="eastAsia"/>
          <w:szCs w:val="23"/>
        </w:rPr>
        <w:t>与地下水有关的各种等值线图；</w:t>
      </w:r>
    </w:p>
    <w:p>
      <w:pPr>
        <w:ind w:firstLine="482" w:firstLineChars="200"/>
        <w:rPr>
          <w:szCs w:val="23"/>
        </w:rPr>
      </w:pPr>
      <w:r>
        <w:rPr>
          <w:rFonts w:hint="eastAsia"/>
          <w:b/>
          <w:bCs/>
        </w:rPr>
        <w:t>4</w:t>
      </w:r>
      <w:r>
        <w:rPr>
          <w:szCs w:val="23"/>
        </w:rPr>
        <w:t xml:space="preserve">  </w:t>
      </w:r>
      <w:r>
        <w:rPr>
          <w:rFonts w:hint="eastAsia"/>
          <w:szCs w:val="23"/>
        </w:rPr>
        <w:t>其他所需要的图表。</w:t>
      </w: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ind w:firstLine="480" w:firstLineChars="200"/>
        <w:rPr>
          <w:szCs w:val="23"/>
        </w:rPr>
      </w:pPr>
    </w:p>
    <w:p>
      <w:pPr>
        <w:jc w:val="center"/>
        <w:rPr>
          <w:rFonts w:cs="宋体" w:asciiTheme="majorEastAsia" w:hAnsiTheme="majorEastAsia" w:eastAsiaTheme="majorEastAsia"/>
          <w:b/>
          <w:bCs/>
          <w:sz w:val="30"/>
          <w:szCs w:val="30"/>
        </w:rPr>
      </w:pPr>
      <w:r>
        <w:rPr>
          <w:rFonts w:hint="eastAsia" w:cs="宋体" w:asciiTheme="majorEastAsia" w:hAnsiTheme="majorEastAsia" w:eastAsiaTheme="majorEastAsia"/>
          <w:b/>
          <w:bCs/>
          <w:sz w:val="30"/>
          <w:szCs w:val="30"/>
        </w:rPr>
        <w:t>附录 B</w:t>
      </w:r>
      <w:r>
        <w:rPr>
          <w:rFonts w:cs="宋体" w:asciiTheme="majorEastAsia" w:hAnsiTheme="majorEastAsia" w:eastAsiaTheme="majorEastAsia"/>
          <w:b/>
          <w:bCs/>
          <w:sz w:val="30"/>
          <w:szCs w:val="30"/>
        </w:rPr>
        <w:t xml:space="preserve">  </w:t>
      </w:r>
      <w:r>
        <w:rPr>
          <w:rFonts w:hint="eastAsia" w:cs="宋体" w:asciiTheme="majorEastAsia" w:hAnsiTheme="majorEastAsia" w:eastAsiaTheme="majorEastAsia"/>
          <w:b/>
          <w:bCs/>
          <w:sz w:val="30"/>
          <w:szCs w:val="30"/>
        </w:rPr>
        <w:t>地下水类型和岩土体的渗透性等级划分</w:t>
      </w:r>
    </w:p>
    <w:p>
      <w:pPr>
        <w:pStyle w:val="35"/>
        <w:rPr>
          <w:b/>
          <w:bCs/>
          <w:color w:val="0070C0"/>
        </w:rPr>
      </w:pPr>
      <w:bookmarkStart w:id="51" w:name="_Hlk106272519"/>
      <w:r>
        <w:rPr>
          <w:rFonts w:hint="eastAsia"/>
          <w:b/>
          <w:bCs/>
          <w:color w:val="000000" w:themeColor="text1"/>
          <w:szCs w:val="22"/>
          <w14:textFill>
            <w14:solidFill>
              <w14:schemeClr w14:val="tx1"/>
            </w14:solidFill>
          </w14:textFill>
        </w:rPr>
        <w:t>B</w:t>
      </w:r>
      <w:r>
        <w:rPr>
          <w:b/>
          <w:bCs/>
          <w:color w:val="000000" w:themeColor="text1"/>
          <w:szCs w:val="22"/>
          <w14:textFill>
            <w14:solidFill>
              <w14:schemeClr w14:val="tx1"/>
            </w14:solidFill>
          </w14:textFill>
        </w:rPr>
        <w:t>.0.1</w:t>
      </w:r>
      <w:bookmarkEnd w:id="51"/>
      <w:r>
        <w:rPr>
          <w:rFonts w:cs="宋体"/>
          <w:color w:val="181818"/>
          <w:kern w:val="0"/>
          <w:szCs w:val="24"/>
        </w:rPr>
        <w:t xml:space="preserve">  </w:t>
      </w:r>
      <w:r>
        <w:rPr>
          <w:rFonts w:hint="eastAsia" w:cs="宋体"/>
          <w:color w:val="181818"/>
          <w:kern w:val="0"/>
          <w:szCs w:val="24"/>
        </w:rPr>
        <w:t>地</w:t>
      </w:r>
      <w:r>
        <w:rPr>
          <w:rFonts w:hint="eastAsia" w:cs="宋体"/>
          <w:color w:val="333333"/>
          <w:kern w:val="0"/>
          <w:szCs w:val="24"/>
        </w:rPr>
        <w:t>下水类型，可按表B</w:t>
      </w:r>
      <w:r>
        <w:rPr>
          <w:rFonts w:cs="宋体"/>
          <w:color w:val="333333"/>
          <w:kern w:val="0"/>
          <w:szCs w:val="24"/>
        </w:rPr>
        <w:t>.0.1</w:t>
      </w:r>
      <w:r>
        <w:rPr>
          <w:rFonts w:hint="eastAsia" w:cs="宋体"/>
          <w:color w:val="333333"/>
          <w:kern w:val="0"/>
          <w:szCs w:val="24"/>
        </w:rPr>
        <w:t>划分。</w:t>
      </w:r>
    </w:p>
    <w:p>
      <w:pPr>
        <w:autoSpaceDE w:val="0"/>
        <w:autoSpaceDN w:val="0"/>
        <w:adjustRightInd w:val="0"/>
        <w:jc w:val="center"/>
        <w:rPr>
          <w:rFonts w:cs="宋体" w:asciiTheme="minorEastAsia" w:hAnsiTheme="minorEastAsia" w:eastAsiaTheme="minorEastAsia"/>
          <w:b/>
          <w:bCs/>
          <w:kern w:val="0"/>
          <w:sz w:val="21"/>
          <w:szCs w:val="21"/>
        </w:rPr>
      </w:pPr>
      <w:r>
        <w:rPr>
          <w:rFonts w:hint="eastAsia" w:cs="宋体" w:asciiTheme="minorEastAsia" w:hAnsiTheme="minorEastAsia" w:eastAsiaTheme="minorEastAsia"/>
          <w:b/>
          <w:bCs/>
          <w:kern w:val="0"/>
          <w:sz w:val="21"/>
          <w:szCs w:val="21"/>
        </w:rPr>
        <w:t>表 B.0.1  地下水类型划分</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879"/>
        <w:gridCol w:w="63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980" w:type="dxa"/>
            <w:gridSpan w:val="2"/>
            <w:vAlign w:val="center"/>
          </w:tcPr>
          <w:p>
            <w:pPr>
              <w:autoSpaceDE w:val="0"/>
              <w:autoSpaceDN w:val="0"/>
              <w:adjustRightInd w:val="0"/>
              <w:spacing w:line="276" w:lineRule="auto"/>
              <w:jc w:val="center"/>
              <w:rPr>
                <w:kern w:val="0"/>
                <w:sz w:val="21"/>
                <w:szCs w:val="21"/>
              </w:rPr>
            </w:pPr>
            <w:r>
              <w:rPr>
                <w:rFonts w:hint="eastAsia"/>
                <w:kern w:val="0"/>
                <w:sz w:val="21"/>
                <w:szCs w:val="21"/>
              </w:rPr>
              <w:t>地下水类型特征</w:t>
            </w:r>
          </w:p>
        </w:tc>
        <w:tc>
          <w:tcPr>
            <w:tcW w:w="6316" w:type="dxa"/>
            <w:vAlign w:val="center"/>
          </w:tcPr>
          <w:p>
            <w:pPr>
              <w:autoSpaceDE w:val="0"/>
              <w:autoSpaceDN w:val="0"/>
              <w:adjustRightInd w:val="0"/>
              <w:spacing w:line="276" w:lineRule="auto"/>
              <w:jc w:val="center"/>
              <w:rPr>
                <w:kern w:val="0"/>
                <w:sz w:val="21"/>
                <w:szCs w:val="21"/>
              </w:rPr>
            </w:pPr>
            <w:r>
              <w:rPr>
                <w:rFonts w:hint="eastAsia"/>
                <w:kern w:val="0"/>
                <w:sz w:val="21"/>
                <w:szCs w:val="21"/>
              </w:rPr>
              <w:t>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1" w:type="dxa"/>
            <w:vMerge w:val="restart"/>
            <w:vAlign w:val="center"/>
          </w:tcPr>
          <w:p>
            <w:pPr>
              <w:autoSpaceDE w:val="0"/>
              <w:autoSpaceDN w:val="0"/>
              <w:adjustRightInd w:val="0"/>
              <w:spacing w:line="276" w:lineRule="auto"/>
              <w:jc w:val="center"/>
              <w:rPr>
                <w:kern w:val="0"/>
                <w:sz w:val="21"/>
                <w:szCs w:val="21"/>
              </w:rPr>
            </w:pPr>
            <w:r>
              <w:rPr>
                <w:rFonts w:hint="eastAsia"/>
                <w:kern w:val="0"/>
                <w:sz w:val="21"/>
                <w:szCs w:val="21"/>
              </w:rPr>
              <w:t>包气带水</w:t>
            </w:r>
          </w:p>
        </w:tc>
        <w:tc>
          <w:tcPr>
            <w:tcW w:w="879" w:type="dxa"/>
            <w:vAlign w:val="center"/>
          </w:tcPr>
          <w:p>
            <w:pPr>
              <w:autoSpaceDE w:val="0"/>
              <w:autoSpaceDN w:val="0"/>
              <w:adjustRightInd w:val="0"/>
              <w:spacing w:line="276" w:lineRule="auto"/>
              <w:jc w:val="center"/>
              <w:rPr>
                <w:kern w:val="0"/>
                <w:sz w:val="21"/>
                <w:szCs w:val="21"/>
              </w:rPr>
            </w:pPr>
            <w:r>
              <w:rPr>
                <w:rFonts w:hint="eastAsia"/>
                <w:kern w:val="0"/>
                <w:sz w:val="21"/>
                <w:szCs w:val="21"/>
              </w:rPr>
              <w:t>孔隙水</w:t>
            </w:r>
          </w:p>
        </w:tc>
        <w:tc>
          <w:tcPr>
            <w:tcW w:w="6316" w:type="dxa"/>
            <w:vAlign w:val="center"/>
          </w:tcPr>
          <w:p>
            <w:pPr>
              <w:autoSpaceDE w:val="0"/>
              <w:autoSpaceDN w:val="0"/>
              <w:adjustRightInd w:val="0"/>
              <w:spacing w:line="276" w:lineRule="auto"/>
              <w:jc w:val="left"/>
              <w:rPr>
                <w:kern w:val="0"/>
                <w:sz w:val="21"/>
                <w:szCs w:val="21"/>
              </w:rPr>
            </w:pPr>
            <w:r>
              <w:rPr>
                <w:rFonts w:hint="eastAsia"/>
                <w:kern w:val="0"/>
                <w:sz w:val="21"/>
                <w:szCs w:val="21"/>
              </w:rPr>
              <w:t>包括非饱和带水、毛细水、上层滞水等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1" w:type="dxa"/>
            <w:vMerge w:val="continue"/>
            <w:vAlign w:val="center"/>
          </w:tcPr>
          <w:p>
            <w:pPr>
              <w:autoSpaceDE w:val="0"/>
              <w:autoSpaceDN w:val="0"/>
              <w:adjustRightInd w:val="0"/>
              <w:spacing w:line="276" w:lineRule="auto"/>
              <w:jc w:val="center"/>
              <w:rPr>
                <w:kern w:val="0"/>
                <w:sz w:val="21"/>
                <w:szCs w:val="21"/>
              </w:rPr>
            </w:pPr>
          </w:p>
        </w:tc>
        <w:tc>
          <w:tcPr>
            <w:tcW w:w="879" w:type="dxa"/>
            <w:vAlign w:val="center"/>
          </w:tcPr>
          <w:p>
            <w:pPr>
              <w:autoSpaceDE w:val="0"/>
              <w:autoSpaceDN w:val="0"/>
              <w:adjustRightInd w:val="0"/>
              <w:spacing w:line="276" w:lineRule="auto"/>
              <w:jc w:val="center"/>
              <w:rPr>
                <w:kern w:val="0"/>
                <w:sz w:val="21"/>
                <w:szCs w:val="21"/>
              </w:rPr>
            </w:pPr>
            <w:r>
              <w:rPr>
                <w:rFonts w:hint="eastAsia"/>
                <w:kern w:val="0"/>
                <w:sz w:val="21"/>
                <w:szCs w:val="21"/>
              </w:rPr>
              <w:t>裂隙水</w:t>
            </w:r>
          </w:p>
        </w:tc>
        <w:tc>
          <w:tcPr>
            <w:tcW w:w="6316" w:type="dxa"/>
            <w:vAlign w:val="center"/>
          </w:tcPr>
          <w:p>
            <w:pPr>
              <w:autoSpaceDE w:val="0"/>
              <w:autoSpaceDN w:val="0"/>
              <w:adjustRightInd w:val="0"/>
              <w:spacing w:line="276" w:lineRule="auto"/>
              <w:jc w:val="left"/>
              <w:rPr>
                <w:kern w:val="0"/>
                <w:sz w:val="21"/>
                <w:szCs w:val="21"/>
              </w:rPr>
            </w:pPr>
            <w:r>
              <w:rPr>
                <w:rFonts w:hint="eastAsia"/>
                <w:kern w:val="0"/>
                <w:sz w:val="21"/>
                <w:szCs w:val="21"/>
              </w:rPr>
              <w:t>岩体裂隙带垂直入渗过程中的水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1" w:type="dxa"/>
            <w:vMerge w:val="continue"/>
            <w:vAlign w:val="center"/>
          </w:tcPr>
          <w:p>
            <w:pPr>
              <w:autoSpaceDE w:val="0"/>
              <w:autoSpaceDN w:val="0"/>
              <w:adjustRightInd w:val="0"/>
              <w:spacing w:line="276" w:lineRule="auto"/>
              <w:jc w:val="center"/>
              <w:rPr>
                <w:kern w:val="0"/>
                <w:sz w:val="21"/>
                <w:szCs w:val="21"/>
              </w:rPr>
            </w:pPr>
          </w:p>
        </w:tc>
        <w:tc>
          <w:tcPr>
            <w:tcW w:w="879" w:type="dxa"/>
            <w:vAlign w:val="center"/>
          </w:tcPr>
          <w:p>
            <w:pPr>
              <w:autoSpaceDE w:val="0"/>
              <w:autoSpaceDN w:val="0"/>
              <w:adjustRightInd w:val="0"/>
              <w:spacing w:line="276" w:lineRule="auto"/>
              <w:jc w:val="center"/>
              <w:rPr>
                <w:kern w:val="0"/>
                <w:sz w:val="21"/>
                <w:szCs w:val="21"/>
              </w:rPr>
            </w:pPr>
            <w:r>
              <w:rPr>
                <w:rFonts w:hint="eastAsia"/>
                <w:kern w:val="0"/>
                <w:sz w:val="21"/>
                <w:szCs w:val="21"/>
              </w:rPr>
              <w:t>岩溶水</w:t>
            </w:r>
          </w:p>
        </w:tc>
        <w:tc>
          <w:tcPr>
            <w:tcW w:w="6316" w:type="dxa"/>
            <w:vAlign w:val="center"/>
          </w:tcPr>
          <w:p>
            <w:pPr>
              <w:autoSpaceDE w:val="0"/>
              <w:autoSpaceDN w:val="0"/>
              <w:adjustRightInd w:val="0"/>
              <w:spacing w:line="276" w:lineRule="auto"/>
              <w:jc w:val="left"/>
              <w:rPr>
                <w:kern w:val="0"/>
                <w:sz w:val="21"/>
                <w:szCs w:val="21"/>
              </w:rPr>
            </w:pPr>
            <w:r>
              <w:rPr>
                <w:rFonts w:hint="eastAsia"/>
                <w:kern w:val="0"/>
                <w:sz w:val="21"/>
                <w:szCs w:val="21"/>
              </w:rPr>
              <w:t>溶隙和溶洞带垂直入渗过程中的水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1" w:type="dxa"/>
            <w:vMerge w:val="restart"/>
            <w:vAlign w:val="center"/>
          </w:tcPr>
          <w:p>
            <w:pPr>
              <w:autoSpaceDE w:val="0"/>
              <w:autoSpaceDN w:val="0"/>
              <w:adjustRightInd w:val="0"/>
              <w:spacing w:line="276" w:lineRule="auto"/>
              <w:jc w:val="center"/>
              <w:rPr>
                <w:kern w:val="0"/>
                <w:sz w:val="21"/>
                <w:szCs w:val="21"/>
              </w:rPr>
            </w:pPr>
            <w:r>
              <w:rPr>
                <w:rFonts w:hint="eastAsia"/>
                <w:kern w:val="0"/>
                <w:sz w:val="21"/>
                <w:szCs w:val="21"/>
              </w:rPr>
              <w:t>潜水</w:t>
            </w:r>
          </w:p>
        </w:tc>
        <w:tc>
          <w:tcPr>
            <w:tcW w:w="879" w:type="dxa"/>
            <w:vAlign w:val="center"/>
          </w:tcPr>
          <w:p>
            <w:pPr>
              <w:autoSpaceDE w:val="0"/>
              <w:autoSpaceDN w:val="0"/>
              <w:adjustRightInd w:val="0"/>
              <w:spacing w:line="276" w:lineRule="auto"/>
              <w:jc w:val="center"/>
              <w:rPr>
                <w:kern w:val="0"/>
                <w:sz w:val="21"/>
                <w:szCs w:val="21"/>
              </w:rPr>
            </w:pPr>
            <w:r>
              <w:rPr>
                <w:rFonts w:hint="eastAsia"/>
                <w:kern w:val="0"/>
                <w:sz w:val="21"/>
                <w:szCs w:val="21"/>
              </w:rPr>
              <w:t>孔隙水</w:t>
            </w:r>
          </w:p>
        </w:tc>
        <w:tc>
          <w:tcPr>
            <w:tcW w:w="6316" w:type="dxa"/>
            <w:vAlign w:val="center"/>
          </w:tcPr>
          <w:p>
            <w:pPr>
              <w:autoSpaceDE w:val="0"/>
              <w:autoSpaceDN w:val="0"/>
              <w:adjustRightInd w:val="0"/>
              <w:spacing w:line="276" w:lineRule="auto"/>
              <w:jc w:val="left"/>
              <w:rPr>
                <w:kern w:val="0"/>
                <w:sz w:val="21"/>
                <w:szCs w:val="21"/>
              </w:rPr>
            </w:pPr>
            <w:r>
              <w:rPr>
                <w:rFonts w:hint="eastAsia"/>
                <w:kern w:val="0"/>
                <w:sz w:val="21"/>
                <w:szCs w:val="21"/>
              </w:rPr>
              <w:t>存在于土的孔隙中，有自由水面的无压地下水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1" w:type="dxa"/>
            <w:vMerge w:val="continue"/>
            <w:vAlign w:val="center"/>
          </w:tcPr>
          <w:p>
            <w:pPr>
              <w:autoSpaceDE w:val="0"/>
              <w:autoSpaceDN w:val="0"/>
              <w:adjustRightInd w:val="0"/>
              <w:spacing w:line="276" w:lineRule="auto"/>
              <w:jc w:val="center"/>
              <w:rPr>
                <w:kern w:val="0"/>
                <w:sz w:val="21"/>
                <w:szCs w:val="21"/>
              </w:rPr>
            </w:pPr>
          </w:p>
        </w:tc>
        <w:tc>
          <w:tcPr>
            <w:tcW w:w="879" w:type="dxa"/>
            <w:vAlign w:val="center"/>
          </w:tcPr>
          <w:p>
            <w:pPr>
              <w:autoSpaceDE w:val="0"/>
              <w:autoSpaceDN w:val="0"/>
              <w:adjustRightInd w:val="0"/>
              <w:spacing w:line="276" w:lineRule="auto"/>
              <w:jc w:val="center"/>
              <w:rPr>
                <w:kern w:val="0"/>
                <w:sz w:val="21"/>
                <w:szCs w:val="21"/>
              </w:rPr>
            </w:pPr>
            <w:r>
              <w:rPr>
                <w:rFonts w:hint="eastAsia"/>
                <w:kern w:val="0"/>
                <w:sz w:val="21"/>
                <w:szCs w:val="21"/>
              </w:rPr>
              <w:t>裂隙水</w:t>
            </w:r>
          </w:p>
        </w:tc>
        <w:tc>
          <w:tcPr>
            <w:tcW w:w="6316" w:type="dxa"/>
            <w:vAlign w:val="center"/>
          </w:tcPr>
          <w:p>
            <w:pPr>
              <w:autoSpaceDE w:val="0"/>
              <w:autoSpaceDN w:val="0"/>
              <w:adjustRightInd w:val="0"/>
              <w:spacing w:line="276" w:lineRule="auto"/>
              <w:jc w:val="left"/>
              <w:rPr>
                <w:kern w:val="0"/>
                <w:sz w:val="21"/>
                <w:szCs w:val="21"/>
              </w:rPr>
            </w:pPr>
            <w:r>
              <w:rPr>
                <w:rFonts w:hint="eastAsia"/>
                <w:kern w:val="0"/>
                <w:sz w:val="21"/>
                <w:szCs w:val="21"/>
              </w:rPr>
              <w:t>存在于岩体裂隙中，有自由水面的无压地下水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1" w:type="dxa"/>
            <w:vMerge w:val="continue"/>
            <w:vAlign w:val="center"/>
          </w:tcPr>
          <w:p>
            <w:pPr>
              <w:autoSpaceDE w:val="0"/>
              <w:autoSpaceDN w:val="0"/>
              <w:adjustRightInd w:val="0"/>
              <w:spacing w:line="276" w:lineRule="auto"/>
              <w:jc w:val="center"/>
              <w:rPr>
                <w:kern w:val="0"/>
                <w:sz w:val="21"/>
                <w:szCs w:val="21"/>
              </w:rPr>
            </w:pPr>
          </w:p>
        </w:tc>
        <w:tc>
          <w:tcPr>
            <w:tcW w:w="879" w:type="dxa"/>
            <w:vAlign w:val="center"/>
          </w:tcPr>
          <w:p>
            <w:pPr>
              <w:autoSpaceDE w:val="0"/>
              <w:autoSpaceDN w:val="0"/>
              <w:adjustRightInd w:val="0"/>
              <w:spacing w:line="276" w:lineRule="auto"/>
              <w:jc w:val="center"/>
              <w:rPr>
                <w:kern w:val="0"/>
                <w:sz w:val="21"/>
                <w:szCs w:val="21"/>
              </w:rPr>
            </w:pPr>
            <w:r>
              <w:rPr>
                <w:rFonts w:hint="eastAsia"/>
                <w:kern w:val="0"/>
                <w:sz w:val="21"/>
                <w:szCs w:val="21"/>
              </w:rPr>
              <w:t>岩溶水</w:t>
            </w:r>
          </w:p>
        </w:tc>
        <w:tc>
          <w:tcPr>
            <w:tcW w:w="6316" w:type="dxa"/>
            <w:vAlign w:val="center"/>
          </w:tcPr>
          <w:p>
            <w:pPr>
              <w:autoSpaceDE w:val="0"/>
              <w:autoSpaceDN w:val="0"/>
              <w:adjustRightInd w:val="0"/>
              <w:spacing w:line="276" w:lineRule="auto"/>
              <w:jc w:val="left"/>
              <w:rPr>
                <w:kern w:val="0"/>
                <w:sz w:val="21"/>
                <w:szCs w:val="21"/>
              </w:rPr>
            </w:pPr>
            <w:r>
              <w:rPr>
                <w:rFonts w:hint="eastAsia"/>
                <w:kern w:val="0"/>
                <w:sz w:val="21"/>
                <w:szCs w:val="21"/>
              </w:rPr>
              <w:t>存在于溶洞和溶隙中，有自由水面的无压地下水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1" w:type="dxa"/>
            <w:vMerge w:val="restart"/>
            <w:vAlign w:val="center"/>
          </w:tcPr>
          <w:p>
            <w:pPr>
              <w:autoSpaceDE w:val="0"/>
              <w:autoSpaceDN w:val="0"/>
              <w:adjustRightInd w:val="0"/>
              <w:spacing w:line="276" w:lineRule="auto"/>
              <w:jc w:val="center"/>
              <w:rPr>
                <w:kern w:val="0"/>
                <w:sz w:val="21"/>
                <w:szCs w:val="21"/>
              </w:rPr>
            </w:pPr>
            <w:r>
              <w:rPr>
                <w:rFonts w:hint="eastAsia"/>
                <w:kern w:val="0"/>
                <w:sz w:val="21"/>
                <w:szCs w:val="21"/>
              </w:rPr>
              <w:t>承压水</w:t>
            </w:r>
          </w:p>
        </w:tc>
        <w:tc>
          <w:tcPr>
            <w:tcW w:w="879" w:type="dxa"/>
            <w:vAlign w:val="center"/>
          </w:tcPr>
          <w:p>
            <w:pPr>
              <w:autoSpaceDE w:val="0"/>
              <w:autoSpaceDN w:val="0"/>
              <w:adjustRightInd w:val="0"/>
              <w:spacing w:line="276" w:lineRule="auto"/>
              <w:jc w:val="center"/>
              <w:rPr>
                <w:kern w:val="0"/>
                <w:sz w:val="21"/>
                <w:szCs w:val="21"/>
              </w:rPr>
            </w:pPr>
            <w:r>
              <w:rPr>
                <w:rFonts w:hint="eastAsia"/>
                <w:kern w:val="0"/>
                <w:sz w:val="21"/>
                <w:szCs w:val="21"/>
              </w:rPr>
              <w:t>孔隙水</w:t>
            </w:r>
          </w:p>
        </w:tc>
        <w:tc>
          <w:tcPr>
            <w:tcW w:w="6316" w:type="dxa"/>
            <w:vAlign w:val="center"/>
          </w:tcPr>
          <w:p>
            <w:pPr>
              <w:autoSpaceDE w:val="0"/>
              <w:autoSpaceDN w:val="0"/>
              <w:adjustRightInd w:val="0"/>
              <w:spacing w:line="276" w:lineRule="auto"/>
              <w:jc w:val="left"/>
              <w:rPr>
                <w:kern w:val="0"/>
                <w:sz w:val="21"/>
                <w:szCs w:val="21"/>
              </w:rPr>
            </w:pPr>
            <w:r>
              <w:rPr>
                <w:rFonts w:hint="eastAsia"/>
                <w:kern w:val="0"/>
                <w:sz w:val="21"/>
                <w:szCs w:val="21"/>
              </w:rPr>
              <w:t>存在于土的孔隙中有压地下水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1" w:type="dxa"/>
            <w:vMerge w:val="continue"/>
            <w:vAlign w:val="center"/>
          </w:tcPr>
          <w:p>
            <w:pPr>
              <w:autoSpaceDE w:val="0"/>
              <w:autoSpaceDN w:val="0"/>
              <w:adjustRightInd w:val="0"/>
              <w:spacing w:line="276" w:lineRule="auto"/>
              <w:jc w:val="center"/>
              <w:rPr>
                <w:kern w:val="0"/>
                <w:sz w:val="21"/>
                <w:szCs w:val="21"/>
              </w:rPr>
            </w:pPr>
          </w:p>
        </w:tc>
        <w:tc>
          <w:tcPr>
            <w:tcW w:w="879" w:type="dxa"/>
            <w:vAlign w:val="center"/>
          </w:tcPr>
          <w:p>
            <w:pPr>
              <w:autoSpaceDE w:val="0"/>
              <w:autoSpaceDN w:val="0"/>
              <w:adjustRightInd w:val="0"/>
              <w:spacing w:line="276" w:lineRule="auto"/>
              <w:jc w:val="center"/>
              <w:rPr>
                <w:kern w:val="0"/>
                <w:sz w:val="21"/>
                <w:szCs w:val="21"/>
              </w:rPr>
            </w:pPr>
            <w:r>
              <w:rPr>
                <w:rFonts w:hint="eastAsia"/>
                <w:kern w:val="0"/>
                <w:sz w:val="21"/>
                <w:szCs w:val="21"/>
              </w:rPr>
              <w:t>裂隙水</w:t>
            </w:r>
          </w:p>
        </w:tc>
        <w:tc>
          <w:tcPr>
            <w:tcW w:w="6316" w:type="dxa"/>
            <w:vAlign w:val="center"/>
          </w:tcPr>
          <w:p>
            <w:pPr>
              <w:autoSpaceDE w:val="0"/>
              <w:autoSpaceDN w:val="0"/>
              <w:adjustRightInd w:val="0"/>
              <w:spacing w:line="276" w:lineRule="auto"/>
              <w:jc w:val="left"/>
              <w:rPr>
                <w:kern w:val="0"/>
                <w:sz w:val="21"/>
                <w:szCs w:val="21"/>
              </w:rPr>
            </w:pPr>
            <w:r>
              <w:rPr>
                <w:rFonts w:hint="eastAsia"/>
                <w:kern w:val="0"/>
                <w:sz w:val="21"/>
                <w:szCs w:val="21"/>
              </w:rPr>
              <w:t>存在于岩体裂隙中的有压地下水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1" w:type="dxa"/>
            <w:vMerge w:val="continue"/>
            <w:vAlign w:val="center"/>
          </w:tcPr>
          <w:p>
            <w:pPr>
              <w:autoSpaceDE w:val="0"/>
              <w:autoSpaceDN w:val="0"/>
              <w:adjustRightInd w:val="0"/>
              <w:spacing w:line="276" w:lineRule="auto"/>
              <w:jc w:val="center"/>
              <w:rPr>
                <w:kern w:val="0"/>
                <w:sz w:val="21"/>
                <w:szCs w:val="21"/>
              </w:rPr>
            </w:pPr>
          </w:p>
        </w:tc>
        <w:tc>
          <w:tcPr>
            <w:tcW w:w="879" w:type="dxa"/>
            <w:vAlign w:val="center"/>
          </w:tcPr>
          <w:p>
            <w:pPr>
              <w:autoSpaceDE w:val="0"/>
              <w:autoSpaceDN w:val="0"/>
              <w:adjustRightInd w:val="0"/>
              <w:spacing w:line="276" w:lineRule="auto"/>
              <w:jc w:val="center"/>
              <w:rPr>
                <w:kern w:val="0"/>
                <w:sz w:val="21"/>
                <w:szCs w:val="21"/>
              </w:rPr>
            </w:pPr>
            <w:r>
              <w:rPr>
                <w:rFonts w:hint="eastAsia"/>
                <w:kern w:val="0"/>
                <w:sz w:val="21"/>
                <w:szCs w:val="21"/>
              </w:rPr>
              <w:t>岩溶水</w:t>
            </w:r>
          </w:p>
        </w:tc>
        <w:tc>
          <w:tcPr>
            <w:tcW w:w="6316" w:type="dxa"/>
            <w:vAlign w:val="center"/>
          </w:tcPr>
          <w:p>
            <w:pPr>
              <w:autoSpaceDE w:val="0"/>
              <w:autoSpaceDN w:val="0"/>
              <w:adjustRightInd w:val="0"/>
              <w:spacing w:line="276" w:lineRule="auto"/>
              <w:jc w:val="left"/>
              <w:rPr>
                <w:kern w:val="0"/>
                <w:sz w:val="21"/>
                <w:szCs w:val="21"/>
              </w:rPr>
            </w:pPr>
            <w:r>
              <w:rPr>
                <w:rFonts w:hint="eastAsia"/>
                <w:kern w:val="0"/>
                <w:sz w:val="21"/>
                <w:szCs w:val="21"/>
              </w:rPr>
              <w:t>存在于溶洞和溶隙中的有压地下水</w:t>
            </w:r>
          </w:p>
        </w:tc>
      </w:tr>
    </w:tbl>
    <w:p>
      <w:pPr>
        <w:autoSpaceDE w:val="0"/>
        <w:autoSpaceDN w:val="0"/>
        <w:adjustRightInd w:val="0"/>
        <w:ind w:firstLine="480"/>
        <w:jc w:val="left"/>
        <w:rPr>
          <w:color w:val="333333"/>
          <w:kern w:val="0"/>
          <w:szCs w:val="24"/>
        </w:rPr>
      </w:pPr>
    </w:p>
    <w:p>
      <w:pPr>
        <w:autoSpaceDE w:val="0"/>
        <w:autoSpaceDN w:val="0"/>
        <w:adjustRightInd w:val="0"/>
        <w:jc w:val="left"/>
        <w:rPr>
          <w:rFonts w:cs="宋体"/>
          <w:kern w:val="0"/>
          <w:szCs w:val="24"/>
        </w:rPr>
      </w:pPr>
      <w:bookmarkStart w:id="52" w:name="_Hlk106272603"/>
      <w:r>
        <w:rPr>
          <w:rFonts w:hint="eastAsia"/>
          <w:b/>
          <w:bCs/>
        </w:rPr>
        <w:t>B</w:t>
      </w:r>
      <w:r>
        <w:rPr>
          <w:b/>
          <w:bCs/>
        </w:rPr>
        <w:t>.0.2</w:t>
      </w:r>
      <w:r>
        <w:rPr>
          <w:rFonts w:cs="宋体"/>
          <w:color w:val="181818"/>
          <w:kern w:val="0"/>
          <w:szCs w:val="24"/>
        </w:rPr>
        <w:t xml:space="preserve">  </w:t>
      </w:r>
      <w:r>
        <w:rPr>
          <w:rFonts w:hint="eastAsia" w:cs="宋体"/>
          <w:kern w:val="0"/>
          <w:szCs w:val="24"/>
        </w:rPr>
        <w:t>岩体的渗透性等级，可按表B</w:t>
      </w:r>
      <w:r>
        <w:rPr>
          <w:rFonts w:cs="宋体"/>
          <w:kern w:val="0"/>
          <w:szCs w:val="24"/>
        </w:rPr>
        <w:t>.0.2</w:t>
      </w:r>
      <w:r>
        <w:rPr>
          <w:rFonts w:hint="eastAsia" w:cs="宋体"/>
          <w:kern w:val="0"/>
          <w:szCs w:val="24"/>
        </w:rPr>
        <w:t>划分。</w:t>
      </w:r>
    </w:p>
    <w:bookmarkEnd w:id="52"/>
    <w:p>
      <w:pPr>
        <w:autoSpaceDE w:val="0"/>
        <w:autoSpaceDN w:val="0"/>
        <w:adjustRightInd w:val="0"/>
        <w:jc w:val="center"/>
        <w:rPr>
          <w:rFonts w:cs="宋体" w:asciiTheme="minorEastAsia" w:hAnsiTheme="minorEastAsia" w:eastAsiaTheme="minorEastAsia"/>
          <w:b/>
          <w:bCs/>
          <w:kern w:val="0"/>
          <w:sz w:val="21"/>
          <w:szCs w:val="21"/>
        </w:rPr>
      </w:pPr>
      <w:r>
        <w:rPr>
          <w:rFonts w:hint="eastAsia" w:cs="宋体" w:asciiTheme="minorEastAsia" w:hAnsiTheme="minorEastAsia" w:eastAsiaTheme="minorEastAsia"/>
          <w:b/>
          <w:bCs/>
          <w:kern w:val="0"/>
          <w:sz w:val="21"/>
          <w:szCs w:val="21"/>
        </w:rPr>
        <w:t>表 B</w:t>
      </w:r>
      <w:r>
        <w:rPr>
          <w:rFonts w:cs="宋体" w:asciiTheme="minorEastAsia" w:hAnsiTheme="minorEastAsia" w:eastAsiaTheme="minorEastAsia"/>
          <w:b/>
          <w:bCs/>
          <w:kern w:val="0"/>
          <w:sz w:val="21"/>
          <w:szCs w:val="21"/>
        </w:rPr>
        <w:t>.0.2</w:t>
      </w:r>
      <w:r>
        <w:rPr>
          <w:rFonts w:hint="eastAsia" w:cs="宋体" w:asciiTheme="minorEastAsia" w:hAnsiTheme="minorEastAsia" w:eastAsiaTheme="minorEastAsia"/>
          <w:b/>
          <w:bCs/>
          <w:kern w:val="0"/>
          <w:sz w:val="21"/>
          <w:szCs w:val="21"/>
        </w:rPr>
        <w:t xml:space="preserve">  岩体渗透性等级</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80"/>
        <w:gridCol w:w="2268"/>
        <w:gridCol w:w="40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80"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等级</w:t>
            </w:r>
          </w:p>
        </w:tc>
        <w:tc>
          <w:tcPr>
            <w:tcW w:w="2268"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透水率</w:t>
            </w:r>
            <w:r>
              <w:rPr>
                <w:rFonts w:hint="eastAsia" w:cs="宋体" w:asciiTheme="minorEastAsia" w:hAnsiTheme="minorEastAsia" w:eastAsiaTheme="minorEastAsia"/>
                <w:i/>
                <w:kern w:val="0"/>
                <w:sz w:val="21"/>
                <w:szCs w:val="21"/>
              </w:rPr>
              <w:t>q</w:t>
            </w:r>
            <w:r>
              <w:rPr>
                <w:rFonts w:hint="eastAsia" w:cs="宋体" w:asciiTheme="minorEastAsia" w:hAnsiTheme="minorEastAsia" w:eastAsiaTheme="minorEastAsia"/>
                <w:kern w:val="0"/>
                <w:sz w:val="21"/>
                <w:szCs w:val="21"/>
              </w:rPr>
              <w:t xml:space="preserve"> (Lu)</w:t>
            </w:r>
          </w:p>
        </w:tc>
        <w:tc>
          <w:tcPr>
            <w:tcW w:w="4048"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岩体特征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80"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极微透水</w:t>
            </w:r>
          </w:p>
        </w:tc>
        <w:tc>
          <w:tcPr>
            <w:tcW w:w="2268"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i/>
                <w:kern w:val="0"/>
                <w:sz w:val="21"/>
                <w:szCs w:val="21"/>
              </w:rPr>
              <w:t>q</w:t>
            </w:r>
            <w:r>
              <w:rPr>
                <w:rFonts w:hint="eastAsia" w:cs="宋体" w:asciiTheme="minorEastAsia" w:hAnsiTheme="minorEastAsia" w:eastAsiaTheme="minorEastAsia"/>
                <w:kern w:val="0"/>
                <w:sz w:val="21"/>
                <w:szCs w:val="21"/>
              </w:rPr>
              <w:t>≤0.1</w:t>
            </w:r>
          </w:p>
        </w:tc>
        <w:tc>
          <w:tcPr>
            <w:tcW w:w="4048" w:type="dxa"/>
            <w:vAlign w:val="center"/>
          </w:tcPr>
          <w:p>
            <w:pPr>
              <w:autoSpaceDE w:val="0"/>
              <w:autoSpaceDN w:val="0"/>
              <w:adjustRightInd w:val="0"/>
              <w:spacing w:line="276" w:lineRule="auto"/>
              <w:jc w:val="left"/>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完整，裂隙等价张开度&lt;0.025mm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980"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微透水</w:t>
            </w:r>
          </w:p>
        </w:tc>
        <w:tc>
          <w:tcPr>
            <w:tcW w:w="2268"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0.1≤</w:t>
            </w:r>
            <w:r>
              <w:rPr>
                <w:rFonts w:hint="eastAsia" w:cs="宋体" w:asciiTheme="minorEastAsia" w:hAnsiTheme="minorEastAsia" w:eastAsiaTheme="minorEastAsia"/>
                <w:i/>
                <w:kern w:val="0"/>
                <w:sz w:val="21"/>
                <w:szCs w:val="21"/>
              </w:rPr>
              <w:t>q</w:t>
            </w:r>
            <w:r>
              <w:rPr>
                <w:rFonts w:hint="eastAsia" w:cs="宋体" w:asciiTheme="minorEastAsia" w:hAnsiTheme="minorEastAsia" w:eastAsiaTheme="minorEastAsia"/>
                <w:kern w:val="0"/>
                <w:sz w:val="21"/>
                <w:szCs w:val="21"/>
              </w:rPr>
              <w:t>&lt;1</w:t>
            </w:r>
          </w:p>
        </w:tc>
        <w:tc>
          <w:tcPr>
            <w:tcW w:w="4048" w:type="dxa"/>
            <w:vAlign w:val="center"/>
          </w:tcPr>
          <w:p>
            <w:pPr>
              <w:autoSpaceDE w:val="0"/>
              <w:autoSpaceDN w:val="0"/>
              <w:adjustRightInd w:val="0"/>
              <w:spacing w:line="276" w:lineRule="auto"/>
              <w:jc w:val="left"/>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裂隙等价张开度0.025～0.05mm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80"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弱透水</w:t>
            </w:r>
          </w:p>
        </w:tc>
        <w:tc>
          <w:tcPr>
            <w:tcW w:w="2268"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r>
              <w:rPr>
                <w:rFonts w:hint="eastAsia" w:cs="宋体" w:asciiTheme="minorEastAsia" w:hAnsiTheme="minorEastAsia" w:eastAsiaTheme="minorEastAsia"/>
                <w:i/>
                <w:kern w:val="0"/>
                <w:sz w:val="21"/>
                <w:szCs w:val="21"/>
              </w:rPr>
              <w:t>q</w:t>
            </w:r>
            <w:r>
              <w:rPr>
                <w:rFonts w:hint="eastAsia" w:cs="宋体" w:asciiTheme="minorEastAsia" w:hAnsiTheme="minorEastAsia" w:eastAsiaTheme="minorEastAsia"/>
                <w:kern w:val="0"/>
                <w:sz w:val="21"/>
                <w:szCs w:val="21"/>
              </w:rPr>
              <w:t>&lt;10</w:t>
            </w:r>
          </w:p>
        </w:tc>
        <w:tc>
          <w:tcPr>
            <w:tcW w:w="4048" w:type="dxa"/>
            <w:vAlign w:val="center"/>
          </w:tcPr>
          <w:p>
            <w:pPr>
              <w:autoSpaceDE w:val="0"/>
              <w:autoSpaceDN w:val="0"/>
              <w:adjustRightInd w:val="0"/>
              <w:spacing w:line="276" w:lineRule="auto"/>
              <w:jc w:val="left"/>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裂隙等价张开度0.05～0.1mm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80"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中等透水</w:t>
            </w:r>
          </w:p>
        </w:tc>
        <w:tc>
          <w:tcPr>
            <w:tcW w:w="2268"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w:t>
            </w:r>
            <w:r>
              <w:rPr>
                <w:rFonts w:hint="eastAsia" w:cs="宋体" w:asciiTheme="minorEastAsia" w:hAnsiTheme="minorEastAsia" w:eastAsiaTheme="minorEastAsia"/>
                <w:i/>
                <w:kern w:val="0"/>
                <w:sz w:val="21"/>
                <w:szCs w:val="21"/>
              </w:rPr>
              <w:t>q</w:t>
            </w:r>
            <w:r>
              <w:rPr>
                <w:rFonts w:hint="eastAsia" w:cs="宋体" w:asciiTheme="minorEastAsia" w:hAnsiTheme="minorEastAsia" w:eastAsiaTheme="minorEastAsia"/>
                <w:kern w:val="0"/>
                <w:sz w:val="21"/>
                <w:szCs w:val="21"/>
              </w:rPr>
              <w:t>&lt;100</w:t>
            </w:r>
          </w:p>
        </w:tc>
        <w:tc>
          <w:tcPr>
            <w:tcW w:w="4048" w:type="dxa"/>
            <w:vAlign w:val="center"/>
          </w:tcPr>
          <w:p>
            <w:pPr>
              <w:autoSpaceDE w:val="0"/>
              <w:autoSpaceDN w:val="0"/>
              <w:adjustRightInd w:val="0"/>
              <w:spacing w:line="276" w:lineRule="auto"/>
              <w:jc w:val="left"/>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裂隙等价张开度0.1～0.5mm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80"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强透水</w:t>
            </w:r>
          </w:p>
        </w:tc>
        <w:tc>
          <w:tcPr>
            <w:tcW w:w="2268" w:type="dxa"/>
            <w:vMerge w:val="restart"/>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i/>
                <w:kern w:val="0"/>
                <w:sz w:val="21"/>
                <w:szCs w:val="21"/>
              </w:rPr>
              <w:t>q</w:t>
            </w:r>
            <w:r>
              <w:rPr>
                <w:rFonts w:hint="eastAsia" w:cs="宋体" w:asciiTheme="minorEastAsia" w:hAnsiTheme="minorEastAsia" w:eastAsiaTheme="minorEastAsia"/>
                <w:kern w:val="0"/>
                <w:sz w:val="21"/>
                <w:szCs w:val="21"/>
              </w:rPr>
              <w:t>≥100</w:t>
            </w:r>
          </w:p>
        </w:tc>
        <w:tc>
          <w:tcPr>
            <w:tcW w:w="4048" w:type="dxa"/>
            <w:vAlign w:val="center"/>
          </w:tcPr>
          <w:p>
            <w:pPr>
              <w:autoSpaceDE w:val="0"/>
              <w:autoSpaceDN w:val="0"/>
              <w:adjustRightInd w:val="0"/>
              <w:spacing w:line="276" w:lineRule="auto"/>
              <w:jc w:val="left"/>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裂隙等价张开度0.5～2.5mm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80" w:type="dxa"/>
            <w:vAlign w:val="center"/>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极强透水</w:t>
            </w:r>
          </w:p>
        </w:tc>
        <w:tc>
          <w:tcPr>
            <w:tcW w:w="2268" w:type="dxa"/>
            <w:vMerge w:val="continue"/>
            <w:vAlign w:val="center"/>
          </w:tcPr>
          <w:p>
            <w:pPr>
              <w:autoSpaceDE w:val="0"/>
              <w:autoSpaceDN w:val="0"/>
              <w:adjustRightInd w:val="0"/>
              <w:spacing w:line="276" w:lineRule="auto"/>
              <w:jc w:val="left"/>
              <w:rPr>
                <w:rFonts w:cs="宋体" w:asciiTheme="minorEastAsia" w:hAnsiTheme="minorEastAsia" w:eastAsiaTheme="minorEastAsia"/>
                <w:kern w:val="0"/>
                <w:sz w:val="21"/>
                <w:szCs w:val="21"/>
              </w:rPr>
            </w:pPr>
          </w:p>
        </w:tc>
        <w:tc>
          <w:tcPr>
            <w:tcW w:w="4048" w:type="dxa"/>
            <w:vAlign w:val="center"/>
          </w:tcPr>
          <w:p>
            <w:pPr>
              <w:autoSpaceDE w:val="0"/>
              <w:autoSpaceDN w:val="0"/>
              <w:adjustRightInd w:val="0"/>
              <w:spacing w:line="276" w:lineRule="auto"/>
              <w:jc w:val="left"/>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裂隙等价张开度＞2.5mm，连通孔洞</w:t>
            </w:r>
          </w:p>
        </w:tc>
      </w:tr>
    </w:tbl>
    <w:p>
      <w:pPr>
        <w:autoSpaceDE w:val="0"/>
        <w:autoSpaceDN w:val="0"/>
        <w:adjustRightInd w:val="0"/>
        <w:ind w:firstLine="360" w:firstLineChars="200"/>
        <w:jc w:val="left"/>
        <w:rPr>
          <w:rFonts w:cs="宋体"/>
          <w:kern w:val="0"/>
          <w:sz w:val="18"/>
          <w:szCs w:val="18"/>
        </w:rPr>
      </w:pPr>
      <w:r>
        <w:rPr>
          <w:rFonts w:hint="eastAsia" w:cs="宋体" w:asciiTheme="minorEastAsia" w:hAnsiTheme="minorEastAsia" w:eastAsiaTheme="minorEastAsia"/>
          <w:kern w:val="0"/>
          <w:sz w:val="18"/>
          <w:szCs w:val="18"/>
        </w:rPr>
        <w:t>注：</w:t>
      </w:r>
      <w:r>
        <w:rPr>
          <w:rFonts w:cs="宋体" w:asciiTheme="minorEastAsia" w:hAnsiTheme="minorEastAsia" w:eastAsiaTheme="minorEastAsia"/>
          <w:kern w:val="0"/>
          <w:sz w:val="18"/>
          <w:szCs w:val="18"/>
        </w:rPr>
        <w:t>Lu</w:t>
      </w:r>
      <w:r>
        <w:rPr>
          <w:rFonts w:hint="eastAsia" w:cs="宋体" w:asciiTheme="minorEastAsia" w:hAnsiTheme="minorEastAsia" w:eastAsiaTheme="minorEastAsia"/>
          <w:kern w:val="0"/>
          <w:sz w:val="18"/>
          <w:szCs w:val="18"/>
        </w:rPr>
        <w:t>—透水率单位吕荣，</w:t>
      </w:r>
      <w:r>
        <w:rPr>
          <w:rFonts w:cs="宋体" w:asciiTheme="minorEastAsia" w:hAnsiTheme="minorEastAsia" w:eastAsiaTheme="minorEastAsia"/>
          <w:kern w:val="0"/>
          <w:sz w:val="18"/>
          <w:szCs w:val="18"/>
        </w:rPr>
        <w:t>1MPa</w:t>
      </w:r>
      <w:r>
        <w:rPr>
          <w:rFonts w:hint="eastAsia" w:cs="宋体" w:asciiTheme="minorEastAsia" w:hAnsiTheme="minorEastAsia" w:eastAsiaTheme="minorEastAsia"/>
          <w:kern w:val="0"/>
          <w:sz w:val="18"/>
          <w:szCs w:val="18"/>
        </w:rPr>
        <w:t>压力下，每米试段的平均压入水量，以</w:t>
      </w:r>
      <w:r>
        <w:rPr>
          <w:rFonts w:cs="宋体" w:asciiTheme="minorEastAsia" w:hAnsiTheme="minorEastAsia" w:eastAsiaTheme="minorEastAsia"/>
          <w:kern w:val="0"/>
          <w:sz w:val="18"/>
          <w:szCs w:val="18"/>
        </w:rPr>
        <w:t>L/min</w:t>
      </w:r>
      <w:r>
        <w:rPr>
          <w:rFonts w:hint="eastAsia" w:cs="宋体" w:asciiTheme="minorEastAsia" w:hAnsiTheme="minorEastAsia" w:eastAsiaTheme="minorEastAsia"/>
          <w:kern w:val="0"/>
          <w:sz w:val="18"/>
          <w:szCs w:val="18"/>
        </w:rPr>
        <w:t>计</w:t>
      </w:r>
      <w:r>
        <w:rPr>
          <w:rFonts w:hint="eastAsia" w:cs="宋体"/>
          <w:kern w:val="0"/>
          <w:sz w:val="18"/>
          <w:szCs w:val="18"/>
        </w:rPr>
        <w:t>。</w:t>
      </w:r>
    </w:p>
    <w:p>
      <w:pPr>
        <w:autoSpaceDE w:val="0"/>
        <w:autoSpaceDN w:val="0"/>
        <w:adjustRightInd w:val="0"/>
        <w:jc w:val="left"/>
        <w:rPr>
          <w:rFonts w:cs="宋体"/>
          <w:kern w:val="0"/>
          <w:szCs w:val="24"/>
        </w:rPr>
      </w:pPr>
      <w:r>
        <w:rPr>
          <w:rFonts w:hint="eastAsia"/>
          <w:b/>
          <w:bCs/>
        </w:rPr>
        <w:t>B</w:t>
      </w:r>
      <w:r>
        <w:rPr>
          <w:b/>
          <w:bCs/>
        </w:rPr>
        <w:t>.0.3</w:t>
      </w:r>
      <w:r>
        <w:rPr>
          <w:rFonts w:cs="宋体"/>
          <w:color w:val="181818"/>
          <w:kern w:val="0"/>
          <w:szCs w:val="24"/>
        </w:rPr>
        <w:t xml:space="preserve">  </w:t>
      </w:r>
      <w:r>
        <w:rPr>
          <w:rFonts w:hint="eastAsia" w:cs="宋体"/>
          <w:color w:val="181818"/>
          <w:kern w:val="0"/>
          <w:szCs w:val="24"/>
        </w:rPr>
        <w:t>土</w:t>
      </w:r>
      <w:r>
        <w:rPr>
          <w:rFonts w:hint="eastAsia" w:cs="宋体"/>
          <w:kern w:val="0"/>
          <w:szCs w:val="24"/>
        </w:rPr>
        <w:t>体的渗透性等级，可按表B</w:t>
      </w:r>
      <w:r>
        <w:rPr>
          <w:rFonts w:cs="宋体"/>
          <w:kern w:val="0"/>
          <w:szCs w:val="24"/>
        </w:rPr>
        <w:t>.0.3</w:t>
      </w:r>
      <w:r>
        <w:rPr>
          <w:rFonts w:hint="eastAsia" w:cs="宋体"/>
          <w:kern w:val="0"/>
          <w:szCs w:val="24"/>
        </w:rPr>
        <w:t>划分。</w:t>
      </w:r>
    </w:p>
    <w:p>
      <w:pPr>
        <w:autoSpaceDE w:val="0"/>
        <w:autoSpaceDN w:val="0"/>
        <w:adjustRightInd w:val="0"/>
        <w:jc w:val="center"/>
        <w:rPr>
          <w:rFonts w:cs="宋体" w:asciiTheme="minorEastAsia" w:hAnsiTheme="minorEastAsia" w:eastAsiaTheme="minorEastAsia"/>
          <w:b/>
          <w:bCs/>
          <w:kern w:val="0"/>
          <w:sz w:val="21"/>
          <w:szCs w:val="21"/>
        </w:rPr>
      </w:pPr>
      <w:r>
        <w:rPr>
          <w:rFonts w:hint="eastAsia" w:cs="宋体" w:asciiTheme="minorEastAsia" w:hAnsiTheme="minorEastAsia" w:eastAsiaTheme="minorEastAsia"/>
          <w:b/>
          <w:bCs/>
          <w:kern w:val="0"/>
          <w:sz w:val="21"/>
          <w:szCs w:val="21"/>
        </w:rPr>
        <w:t>表 B</w:t>
      </w:r>
      <w:r>
        <w:rPr>
          <w:rFonts w:cs="宋体" w:asciiTheme="minorEastAsia" w:hAnsiTheme="minorEastAsia" w:eastAsiaTheme="minorEastAsia"/>
          <w:b/>
          <w:bCs/>
          <w:kern w:val="0"/>
          <w:sz w:val="21"/>
          <w:szCs w:val="21"/>
        </w:rPr>
        <w:t>.0.3</w:t>
      </w:r>
      <w:r>
        <w:rPr>
          <w:rFonts w:hint="eastAsia" w:cs="宋体" w:asciiTheme="minorEastAsia" w:hAnsiTheme="minorEastAsia" w:eastAsiaTheme="minorEastAsia"/>
          <w:b/>
          <w:bCs/>
          <w:kern w:val="0"/>
          <w:sz w:val="21"/>
          <w:szCs w:val="21"/>
        </w:rPr>
        <w:t xml:space="preserve">  土体渗透性等级</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65"/>
        <w:gridCol w:w="2446"/>
        <w:gridCol w:w="30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等级</w:t>
            </w:r>
          </w:p>
        </w:tc>
        <w:tc>
          <w:tcPr>
            <w:tcW w:w="2446"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渗透系数</w:t>
            </w:r>
            <w:r>
              <w:rPr>
                <w:rFonts w:hint="eastAsia" w:cs="宋体" w:asciiTheme="minorEastAsia" w:hAnsiTheme="minorEastAsia" w:eastAsiaTheme="minorEastAsia"/>
                <w:i/>
                <w:kern w:val="0"/>
                <w:sz w:val="21"/>
                <w:szCs w:val="21"/>
              </w:rPr>
              <w:t>k</w:t>
            </w:r>
            <w:r>
              <w:rPr>
                <w:rFonts w:hint="eastAsia" w:cs="宋体" w:asciiTheme="minorEastAsia" w:hAnsiTheme="minorEastAsia" w:eastAsiaTheme="minorEastAsia"/>
                <w:kern w:val="0"/>
                <w:sz w:val="21"/>
                <w:szCs w:val="21"/>
              </w:rPr>
              <w:t xml:space="preserve"> (cm/s)</w:t>
            </w:r>
          </w:p>
        </w:tc>
        <w:tc>
          <w:tcPr>
            <w:tcW w:w="308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土类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极微透水</w:t>
            </w:r>
          </w:p>
        </w:tc>
        <w:tc>
          <w:tcPr>
            <w:tcW w:w="2446"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k&lt;10</w:t>
            </w:r>
            <w:r>
              <w:rPr>
                <w:rFonts w:hint="eastAsia" w:cs="宋体" w:asciiTheme="minorEastAsia" w:hAnsiTheme="minorEastAsia" w:eastAsiaTheme="minorEastAsia"/>
                <w:kern w:val="0"/>
                <w:sz w:val="21"/>
                <w:szCs w:val="21"/>
                <w:vertAlign w:val="superscript"/>
              </w:rPr>
              <w:t>-6</w:t>
            </w:r>
          </w:p>
        </w:tc>
        <w:tc>
          <w:tcPr>
            <w:tcW w:w="308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黏性土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微透水</w:t>
            </w:r>
          </w:p>
        </w:tc>
        <w:tc>
          <w:tcPr>
            <w:tcW w:w="2446"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w:t>
            </w:r>
            <w:r>
              <w:rPr>
                <w:rFonts w:hint="eastAsia" w:cs="宋体" w:asciiTheme="minorEastAsia" w:hAnsiTheme="minorEastAsia" w:eastAsiaTheme="minorEastAsia"/>
                <w:kern w:val="0"/>
                <w:sz w:val="21"/>
                <w:szCs w:val="21"/>
                <w:vertAlign w:val="superscript"/>
              </w:rPr>
              <w:t>-6</w:t>
            </w:r>
            <w:r>
              <w:rPr>
                <w:rFonts w:hint="eastAsia" w:cs="宋体" w:asciiTheme="minorEastAsia" w:hAnsiTheme="minorEastAsia" w:eastAsiaTheme="minorEastAsia"/>
                <w:kern w:val="0"/>
                <w:sz w:val="21"/>
                <w:szCs w:val="21"/>
              </w:rPr>
              <w:t>≤</w:t>
            </w:r>
            <w:r>
              <w:rPr>
                <w:rFonts w:hint="eastAsia" w:cs="宋体" w:asciiTheme="minorEastAsia" w:hAnsiTheme="minorEastAsia" w:eastAsiaTheme="minorEastAsia"/>
                <w:i/>
                <w:kern w:val="0"/>
                <w:sz w:val="21"/>
                <w:szCs w:val="21"/>
              </w:rPr>
              <w:t>k</w:t>
            </w:r>
            <w:r>
              <w:rPr>
                <w:rFonts w:hint="eastAsia" w:cs="宋体" w:asciiTheme="minorEastAsia" w:hAnsiTheme="minorEastAsia" w:eastAsiaTheme="minorEastAsia"/>
                <w:kern w:val="0"/>
                <w:sz w:val="21"/>
                <w:szCs w:val="21"/>
              </w:rPr>
              <w:t>&lt;10</w:t>
            </w:r>
            <w:r>
              <w:rPr>
                <w:rFonts w:hint="eastAsia" w:cs="宋体" w:asciiTheme="minorEastAsia" w:hAnsiTheme="minorEastAsia" w:eastAsiaTheme="minorEastAsia"/>
                <w:kern w:val="0"/>
                <w:sz w:val="21"/>
                <w:szCs w:val="21"/>
                <w:vertAlign w:val="superscript"/>
              </w:rPr>
              <w:t>-5</w:t>
            </w:r>
          </w:p>
        </w:tc>
        <w:tc>
          <w:tcPr>
            <w:tcW w:w="308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黏性土～粉土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弱透水</w:t>
            </w:r>
          </w:p>
        </w:tc>
        <w:tc>
          <w:tcPr>
            <w:tcW w:w="2446"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w:t>
            </w:r>
            <w:r>
              <w:rPr>
                <w:rFonts w:hint="eastAsia" w:cs="宋体" w:asciiTheme="minorEastAsia" w:hAnsiTheme="minorEastAsia" w:eastAsiaTheme="minorEastAsia"/>
                <w:kern w:val="0"/>
                <w:sz w:val="21"/>
                <w:szCs w:val="21"/>
                <w:vertAlign w:val="superscript"/>
              </w:rPr>
              <w:t>-5</w:t>
            </w:r>
            <w:r>
              <w:rPr>
                <w:rFonts w:hint="eastAsia" w:cs="宋体" w:asciiTheme="minorEastAsia" w:hAnsiTheme="minorEastAsia" w:eastAsiaTheme="minorEastAsia"/>
                <w:kern w:val="0"/>
                <w:sz w:val="21"/>
                <w:szCs w:val="21"/>
              </w:rPr>
              <w:t>≤</w:t>
            </w:r>
            <w:r>
              <w:rPr>
                <w:rFonts w:hint="eastAsia" w:cs="宋体" w:asciiTheme="minorEastAsia" w:hAnsiTheme="minorEastAsia" w:eastAsiaTheme="minorEastAsia"/>
                <w:i/>
                <w:kern w:val="0"/>
                <w:sz w:val="21"/>
                <w:szCs w:val="21"/>
              </w:rPr>
              <w:t>k</w:t>
            </w:r>
            <w:r>
              <w:rPr>
                <w:rFonts w:hint="eastAsia" w:cs="宋体" w:asciiTheme="minorEastAsia" w:hAnsiTheme="minorEastAsia" w:eastAsiaTheme="minorEastAsia"/>
                <w:kern w:val="0"/>
                <w:sz w:val="21"/>
                <w:szCs w:val="21"/>
              </w:rPr>
              <w:t>&lt;10</w:t>
            </w:r>
            <w:r>
              <w:rPr>
                <w:rFonts w:hint="eastAsia" w:cs="宋体" w:asciiTheme="minorEastAsia" w:hAnsiTheme="minorEastAsia" w:eastAsiaTheme="minorEastAsia"/>
                <w:kern w:val="0"/>
                <w:sz w:val="21"/>
                <w:szCs w:val="21"/>
                <w:vertAlign w:val="superscript"/>
              </w:rPr>
              <w:t>-4</w:t>
            </w:r>
          </w:p>
        </w:tc>
        <w:tc>
          <w:tcPr>
            <w:tcW w:w="308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粉土，含细粒土砂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中等透水</w:t>
            </w:r>
          </w:p>
        </w:tc>
        <w:tc>
          <w:tcPr>
            <w:tcW w:w="2446"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w:t>
            </w:r>
            <w:r>
              <w:rPr>
                <w:rFonts w:hint="eastAsia" w:cs="宋体" w:asciiTheme="minorEastAsia" w:hAnsiTheme="minorEastAsia" w:eastAsiaTheme="minorEastAsia"/>
                <w:kern w:val="0"/>
                <w:sz w:val="21"/>
                <w:szCs w:val="21"/>
                <w:vertAlign w:val="superscript"/>
              </w:rPr>
              <w:t>-4</w:t>
            </w:r>
            <w:r>
              <w:rPr>
                <w:rFonts w:hint="eastAsia" w:cs="宋体" w:asciiTheme="minorEastAsia" w:hAnsiTheme="minorEastAsia" w:eastAsiaTheme="minorEastAsia"/>
                <w:kern w:val="0"/>
                <w:sz w:val="21"/>
                <w:szCs w:val="21"/>
              </w:rPr>
              <w:t>≤</w:t>
            </w:r>
            <w:r>
              <w:rPr>
                <w:rFonts w:hint="eastAsia" w:cs="宋体" w:asciiTheme="minorEastAsia" w:hAnsiTheme="minorEastAsia" w:eastAsiaTheme="minorEastAsia"/>
                <w:i/>
                <w:kern w:val="0"/>
                <w:sz w:val="21"/>
                <w:szCs w:val="21"/>
              </w:rPr>
              <w:t>k</w:t>
            </w:r>
            <w:r>
              <w:rPr>
                <w:rFonts w:hint="eastAsia" w:cs="宋体" w:asciiTheme="minorEastAsia" w:hAnsiTheme="minorEastAsia" w:eastAsiaTheme="minorEastAsia"/>
                <w:kern w:val="0"/>
                <w:sz w:val="21"/>
                <w:szCs w:val="21"/>
              </w:rPr>
              <w:t>&lt;10</w:t>
            </w:r>
            <w:r>
              <w:rPr>
                <w:rFonts w:hint="eastAsia" w:cs="宋体" w:asciiTheme="minorEastAsia" w:hAnsiTheme="minorEastAsia" w:eastAsiaTheme="minorEastAsia"/>
                <w:kern w:val="0"/>
                <w:sz w:val="21"/>
                <w:szCs w:val="21"/>
                <w:vertAlign w:val="superscript"/>
              </w:rPr>
              <w:t>-2</w:t>
            </w:r>
          </w:p>
        </w:tc>
        <w:tc>
          <w:tcPr>
            <w:tcW w:w="308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砂土，含砂砾石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强透水</w:t>
            </w:r>
          </w:p>
        </w:tc>
        <w:tc>
          <w:tcPr>
            <w:tcW w:w="2446"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w:t>
            </w:r>
            <w:r>
              <w:rPr>
                <w:rFonts w:hint="eastAsia" w:cs="宋体" w:asciiTheme="minorEastAsia" w:hAnsiTheme="minorEastAsia" w:eastAsiaTheme="minorEastAsia"/>
                <w:kern w:val="0"/>
                <w:sz w:val="21"/>
                <w:szCs w:val="21"/>
                <w:vertAlign w:val="superscript"/>
              </w:rPr>
              <w:t>-2</w:t>
            </w:r>
            <w:r>
              <w:rPr>
                <w:rFonts w:hint="eastAsia" w:cs="宋体" w:asciiTheme="minorEastAsia" w:hAnsiTheme="minorEastAsia" w:eastAsiaTheme="minorEastAsia"/>
                <w:kern w:val="0"/>
                <w:sz w:val="21"/>
                <w:szCs w:val="21"/>
              </w:rPr>
              <w:t>≤</w:t>
            </w:r>
            <w:r>
              <w:rPr>
                <w:rFonts w:hint="eastAsia" w:cs="宋体" w:asciiTheme="minorEastAsia" w:hAnsiTheme="minorEastAsia" w:eastAsiaTheme="minorEastAsia"/>
                <w:i/>
                <w:kern w:val="0"/>
                <w:sz w:val="21"/>
                <w:szCs w:val="21"/>
              </w:rPr>
              <w:t>k</w:t>
            </w:r>
            <w:r>
              <w:rPr>
                <w:rFonts w:hint="eastAsia" w:cs="宋体" w:asciiTheme="minorEastAsia" w:hAnsiTheme="minorEastAsia" w:eastAsiaTheme="minorEastAsia"/>
                <w:kern w:val="0"/>
                <w:sz w:val="21"/>
                <w:szCs w:val="21"/>
              </w:rPr>
              <w:t>&lt;10</w:t>
            </w:r>
            <w:r>
              <w:rPr>
                <w:rFonts w:hint="eastAsia" w:cs="宋体" w:asciiTheme="minorEastAsia" w:hAnsiTheme="minorEastAsia" w:eastAsiaTheme="minorEastAsia"/>
                <w:kern w:val="0"/>
                <w:sz w:val="21"/>
                <w:szCs w:val="21"/>
                <w:vertAlign w:val="superscript"/>
              </w:rPr>
              <w:t>0</w:t>
            </w:r>
          </w:p>
        </w:tc>
        <w:tc>
          <w:tcPr>
            <w:tcW w:w="308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砾石，卵石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极强透水</w:t>
            </w:r>
          </w:p>
        </w:tc>
        <w:tc>
          <w:tcPr>
            <w:tcW w:w="2446"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i/>
                <w:kern w:val="0"/>
                <w:sz w:val="21"/>
                <w:szCs w:val="21"/>
              </w:rPr>
              <w:t>k</w:t>
            </w:r>
            <w:r>
              <w:rPr>
                <w:rFonts w:hint="eastAsia" w:cs="宋体" w:asciiTheme="minorEastAsia" w:hAnsiTheme="minorEastAsia" w:eastAsiaTheme="minorEastAsia"/>
                <w:kern w:val="0"/>
                <w:sz w:val="21"/>
                <w:szCs w:val="21"/>
              </w:rPr>
              <w:t>≥10</w:t>
            </w:r>
            <w:r>
              <w:rPr>
                <w:rFonts w:hint="eastAsia" w:cs="宋体" w:asciiTheme="minorEastAsia" w:hAnsiTheme="minorEastAsia" w:eastAsiaTheme="minorEastAsia"/>
                <w:kern w:val="0"/>
                <w:sz w:val="21"/>
                <w:szCs w:val="21"/>
                <w:vertAlign w:val="superscript"/>
              </w:rPr>
              <w:t>0</w:t>
            </w:r>
          </w:p>
        </w:tc>
        <w:tc>
          <w:tcPr>
            <w:tcW w:w="3085" w:type="dxa"/>
          </w:tcPr>
          <w:p>
            <w:pPr>
              <w:autoSpaceDE w:val="0"/>
              <w:autoSpaceDN w:val="0"/>
              <w:adjustRightInd w:val="0"/>
              <w:spacing w:line="276" w:lineRule="auto"/>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均匀的漂砾</w:t>
            </w:r>
          </w:p>
        </w:tc>
      </w:tr>
    </w:tbl>
    <w:p>
      <w:pPr>
        <w:jc w:val="center"/>
        <w:rPr>
          <w:rFonts w:cs="宋体" w:asciiTheme="majorEastAsia" w:hAnsiTheme="majorEastAsia" w:eastAsiaTheme="majorEastAsia"/>
          <w:b/>
          <w:bCs/>
          <w:sz w:val="30"/>
          <w:szCs w:val="30"/>
        </w:rPr>
      </w:pPr>
      <w:r>
        <w:rPr>
          <w:rFonts w:hint="eastAsia" w:cs="宋体" w:asciiTheme="majorEastAsia" w:hAnsiTheme="majorEastAsia" w:eastAsiaTheme="majorEastAsia"/>
          <w:b/>
          <w:bCs/>
          <w:sz w:val="30"/>
          <w:szCs w:val="30"/>
        </w:rPr>
        <w:t>附录 C</w:t>
      </w:r>
      <w:r>
        <w:rPr>
          <w:rFonts w:cs="宋体" w:asciiTheme="majorEastAsia" w:hAnsiTheme="majorEastAsia" w:eastAsiaTheme="majorEastAsia"/>
          <w:b/>
          <w:bCs/>
          <w:sz w:val="30"/>
          <w:szCs w:val="30"/>
        </w:rPr>
        <w:t xml:space="preserve">  </w:t>
      </w:r>
      <w:r>
        <w:rPr>
          <w:rFonts w:hint="eastAsia" w:cs="宋体" w:asciiTheme="majorEastAsia" w:hAnsiTheme="majorEastAsia" w:eastAsiaTheme="majorEastAsia"/>
          <w:b/>
          <w:bCs/>
          <w:sz w:val="30"/>
          <w:szCs w:val="30"/>
        </w:rPr>
        <w:t>抗浮措施及其适用条件</w:t>
      </w:r>
    </w:p>
    <w:p>
      <w:pPr>
        <w:autoSpaceDE w:val="0"/>
        <w:ind w:firstLine="360"/>
        <w:jc w:val="center"/>
        <w:rPr>
          <w:rFonts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表 C  抗浮措施及其适用条件表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4"/>
        <w:gridCol w:w="1374"/>
        <w:gridCol w:w="3358"/>
        <w:gridCol w:w="31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7" w:hRule="atLeast"/>
        </w:trPr>
        <w:tc>
          <w:tcPr>
            <w:tcW w:w="384" w:type="pct"/>
            <w:noWrap/>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功能</w:t>
            </w:r>
          </w:p>
        </w:tc>
        <w:tc>
          <w:tcPr>
            <w:tcW w:w="806" w:type="pct"/>
            <w:noWrap/>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类型</w:t>
            </w:r>
          </w:p>
        </w:tc>
        <w:tc>
          <w:tcPr>
            <w:tcW w:w="1970" w:type="pct"/>
            <w:noWrap/>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方法</w:t>
            </w:r>
          </w:p>
        </w:tc>
        <w:tc>
          <w:tcPr>
            <w:tcW w:w="1840" w:type="pct"/>
            <w:noWrap/>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适用条件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1" w:hRule="atLeast"/>
        </w:trPr>
        <w:tc>
          <w:tcPr>
            <w:tcW w:w="384" w:type="pct"/>
            <w:vMerge w:val="restart"/>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主动</w:t>
            </w:r>
          </w:p>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抗浮</w:t>
            </w:r>
          </w:p>
        </w:tc>
        <w:tc>
          <w:tcPr>
            <w:tcW w:w="806" w:type="pct"/>
            <w:noWrap/>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排水廊道法</w:t>
            </w:r>
          </w:p>
        </w:tc>
        <w:tc>
          <w:tcPr>
            <w:tcW w:w="197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地下室周边设置排水廊道截水引流，降低地下水位</w:t>
            </w:r>
          </w:p>
        </w:tc>
        <w:tc>
          <w:tcPr>
            <w:tcW w:w="184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具有自流条件的山地、坡地及丘陵地区，临江地区用于洪水期削峰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1" w:hRule="atLeast"/>
        </w:trPr>
        <w:tc>
          <w:tcPr>
            <w:tcW w:w="384" w:type="pct"/>
            <w:vMerge w:val="continue"/>
            <w:vAlign w:val="center"/>
          </w:tcPr>
          <w:p>
            <w:pPr>
              <w:autoSpaceDE w:val="0"/>
              <w:spacing w:line="240" w:lineRule="auto"/>
              <w:contextualSpacing/>
              <w:jc w:val="center"/>
              <w:rPr>
                <w:rFonts w:cs="宋体" w:asciiTheme="minorEastAsia" w:hAnsiTheme="minorEastAsia" w:eastAsiaTheme="minorEastAsia"/>
                <w:kern w:val="0"/>
                <w:sz w:val="21"/>
                <w:szCs w:val="21"/>
              </w:rPr>
            </w:pPr>
          </w:p>
        </w:tc>
        <w:tc>
          <w:tcPr>
            <w:tcW w:w="806" w:type="pct"/>
            <w:noWrap/>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排水盲沟法</w:t>
            </w:r>
          </w:p>
        </w:tc>
        <w:tc>
          <w:tcPr>
            <w:tcW w:w="197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地下室底部设置疏水层及纵横交错的排水花管，降低地下水位</w:t>
            </w:r>
          </w:p>
        </w:tc>
        <w:tc>
          <w:tcPr>
            <w:tcW w:w="184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适用于流量不大的场地，或采用止水帷幕后流量较小的场地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1" w:hRule="atLeast"/>
        </w:trPr>
        <w:tc>
          <w:tcPr>
            <w:tcW w:w="384" w:type="pct"/>
            <w:vMerge w:val="continue"/>
            <w:vAlign w:val="center"/>
          </w:tcPr>
          <w:p>
            <w:pPr>
              <w:autoSpaceDE w:val="0"/>
              <w:spacing w:line="240" w:lineRule="auto"/>
              <w:contextualSpacing/>
              <w:jc w:val="center"/>
              <w:rPr>
                <w:rFonts w:cs="宋体" w:asciiTheme="minorEastAsia" w:hAnsiTheme="minorEastAsia" w:eastAsiaTheme="minorEastAsia"/>
                <w:kern w:val="0"/>
                <w:sz w:val="21"/>
                <w:szCs w:val="21"/>
              </w:rPr>
            </w:pPr>
          </w:p>
        </w:tc>
        <w:tc>
          <w:tcPr>
            <w:tcW w:w="806" w:type="pct"/>
            <w:noWrap/>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排水卸压法</w:t>
            </w:r>
          </w:p>
        </w:tc>
        <w:tc>
          <w:tcPr>
            <w:tcW w:w="197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板底施工设置泄水孔、反滤层和盲沟，设置压力控制系统降低水压力</w:t>
            </w:r>
          </w:p>
        </w:tc>
        <w:tc>
          <w:tcPr>
            <w:tcW w:w="184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弱透水/相对不透水层场地、采用止水帷幕等措施后水量较小场地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384" w:type="pct"/>
            <w:vMerge w:val="continue"/>
            <w:vAlign w:val="center"/>
          </w:tcPr>
          <w:p>
            <w:pPr>
              <w:autoSpaceDE w:val="0"/>
              <w:spacing w:line="240" w:lineRule="auto"/>
              <w:contextualSpacing/>
              <w:jc w:val="center"/>
              <w:rPr>
                <w:rFonts w:cs="宋体" w:asciiTheme="minorEastAsia" w:hAnsiTheme="minorEastAsia" w:eastAsiaTheme="minorEastAsia"/>
                <w:kern w:val="0"/>
                <w:sz w:val="21"/>
                <w:szCs w:val="21"/>
              </w:rPr>
            </w:pPr>
          </w:p>
        </w:tc>
        <w:tc>
          <w:tcPr>
            <w:tcW w:w="806" w:type="pct"/>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减压井法</w:t>
            </w:r>
          </w:p>
        </w:tc>
        <w:tc>
          <w:tcPr>
            <w:tcW w:w="1970" w:type="pct"/>
            <w:noWrap/>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地下室底部设置大直径减压井，降低或排空地下水</w:t>
            </w:r>
          </w:p>
        </w:tc>
        <w:tc>
          <w:tcPr>
            <w:tcW w:w="184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设置止水帷幕的强透水场地，弱透水场地（底板底增设疏水垫层）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384" w:type="pct"/>
            <w:vMerge w:val="restart"/>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被动</w:t>
            </w:r>
          </w:p>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抗浮</w:t>
            </w:r>
          </w:p>
        </w:tc>
        <w:tc>
          <w:tcPr>
            <w:tcW w:w="806" w:type="pct"/>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压重抗浮法</w:t>
            </w:r>
          </w:p>
        </w:tc>
        <w:tc>
          <w:tcPr>
            <w:tcW w:w="197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增加地下结构底板及结构荷载；增加顶部或挑出结构填筑荷载；设置重型混凝土等压重、填充材料；</w:t>
            </w:r>
          </w:p>
        </w:tc>
        <w:tc>
          <w:tcPr>
            <w:tcW w:w="184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抗浮力与浮力相差较小的工程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384" w:type="pct"/>
            <w:vMerge w:val="continue"/>
            <w:vAlign w:val="center"/>
          </w:tcPr>
          <w:p>
            <w:pPr>
              <w:autoSpaceDE w:val="0"/>
              <w:spacing w:line="240" w:lineRule="auto"/>
              <w:contextualSpacing/>
              <w:jc w:val="center"/>
              <w:rPr>
                <w:rFonts w:cs="宋体" w:asciiTheme="minorEastAsia" w:hAnsiTheme="minorEastAsia" w:eastAsiaTheme="minorEastAsia"/>
                <w:kern w:val="0"/>
                <w:sz w:val="21"/>
                <w:szCs w:val="21"/>
              </w:rPr>
            </w:pPr>
          </w:p>
        </w:tc>
        <w:tc>
          <w:tcPr>
            <w:tcW w:w="806" w:type="pct"/>
            <w:vAlign w:val="center"/>
          </w:tcPr>
          <w:p>
            <w:pPr>
              <w:autoSpaceDE w:val="0"/>
              <w:spacing w:line="240" w:lineRule="auto"/>
              <w:contextualSpacing/>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结构抗浮法</w:t>
            </w:r>
          </w:p>
        </w:tc>
        <w:tc>
          <w:tcPr>
            <w:tcW w:w="197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增加底板或结构刚度和抗拔承载力；利用基坑围护结构增加竖向抗力；连结荷载大结构形成整体抗浮结构</w:t>
            </w:r>
          </w:p>
        </w:tc>
        <w:tc>
          <w:tcPr>
            <w:tcW w:w="1840" w:type="pct"/>
            <w:vAlign w:val="center"/>
          </w:tcPr>
          <w:p>
            <w:pPr>
              <w:autoSpaceDE w:val="0"/>
              <w:spacing w:line="240" w:lineRule="auto"/>
              <w:contextualSpacing/>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抗浮力分布较小区域地下结构底板刚度不均等抗浮稳定性不足，有效作用范围不大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pct"/>
            <w:vMerge w:val="continue"/>
            <w:vAlign w:val="center"/>
          </w:tcPr>
          <w:p>
            <w:pPr>
              <w:spacing w:line="240" w:lineRule="auto"/>
              <w:contextualSpacing/>
              <w:jc w:val="left"/>
              <w:rPr>
                <w:rFonts w:asciiTheme="minorEastAsia" w:hAnsiTheme="minorEastAsia" w:eastAsiaTheme="minorEastAsia"/>
                <w:kern w:val="0"/>
                <w:sz w:val="21"/>
                <w:szCs w:val="21"/>
              </w:rPr>
            </w:pPr>
          </w:p>
        </w:tc>
        <w:tc>
          <w:tcPr>
            <w:tcW w:w="806" w:type="pct"/>
            <w:vAlign w:val="center"/>
          </w:tcPr>
          <w:p>
            <w:pPr>
              <w:autoSpaceDE w:val="0"/>
              <w:spacing w:line="240" w:lineRule="auto"/>
              <w:contextualSpacing/>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抗浮锚杆</w:t>
            </w:r>
          </w:p>
        </w:tc>
        <w:tc>
          <w:tcPr>
            <w:tcW w:w="1970" w:type="pct"/>
            <w:vAlign w:val="center"/>
          </w:tcPr>
          <w:p>
            <w:pPr>
              <w:autoSpaceDE w:val="0"/>
              <w:spacing w:line="240" w:lineRule="auto"/>
              <w:contextualSpacing/>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基底施工抗浮锚杆，与结构底板连接</w:t>
            </w:r>
          </w:p>
        </w:tc>
        <w:tc>
          <w:tcPr>
            <w:tcW w:w="1840" w:type="pct"/>
            <w:vAlign w:val="center"/>
          </w:tcPr>
          <w:p>
            <w:pPr>
              <w:autoSpaceDE w:val="0"/>
              <w:spacing w:line="240" w:lineRule="auto"/>
              <w:contextualSpacing/>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除未经处理的有机质土、填土等特殊土外，可广泛应用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pct"/>
            <w:vMerge w:val="continue"/>
            <w:vAlign w:val="center"/>
          </w:tcPr>
          <w:p>
            <w:pPr>
              <w:spacing w:line="240" w:lineRule="auto"/>
              <w:contextualSpacing/>
              <w:jc w:val="left"/>
              <w:rPr>
                <w:rFonts w:asciiTheme="minorEastAsia" w:hAnsiTheme="minorEastAsia" w:eastAsiaTheme="minorEastAsia"/>
                <w:kern w:val="0"/>
                <w:sz w:val="21"/>
                <w:szCs w:val="21"/>
              </w:rPr>
            </w:pPr>
          </w:p>
        </w:tc>
        <w:tc>
          <w:tcPr>
            <w:tcW w:w="806" w:type="pct"/>
            <w:vAlign w:val="center"/>
          </w:tcPr>
          <w:p>
            <w:pPr>
              <w:autoSpaceDE w:val="0"/>
              <w:spacing w:line="240" w:lineRule="auto"/>
              <w:contextualSpacing/>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抗浮桩</w:t>
            </w:r>
          </w:p>
        </w:tc>
        <w:tc>
          <w:tcPr>
            <w:tcW w:w="1970" w:type="pct"/>
            <w:vAlign w:val="center"/>
          </w:tcPr>
          <w:p>
            <w:pPr>
              <w:autoSpaceDE w:val="0"/>
              <w:spacing w:line="240" w:lineRule="auto"/>
              <w:contextualSpacing/>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基底施工抗浮桩，与结构底板连接</w:t>
            </w:r>
          </w:p>
        </w:tc>
        <w:tc>
          <w:tcPr>
            <w:tcW w:w="1840" w:type="pct"/>
            <w:vAlign w:val="center"/>
          </w:tcPr>
          <w:p>
            <w:pPr>
              <w:autoSpaceDE w:val="0"/>
              <w:spacing w:line="240" w:lineRule="auto"/>
              <w:contextualSpacing/>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适用于上浮荷载较大的情况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384" w:type="pct"/>
            <w:vAlign w:val="center"/>
          </w:tcPr>
          <w:p>
            <w:pPr>
              <w:autoSpaceDE w:val="0"/>
              <w:spacing w:line="240" w:lineRule="auto"/>
              <w:contextualSpacing/>
              <w:jc w:val="center"/>
              <w:rPr>
                <w:rFonts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主被动联合抗浮</w:t>
            </w:r>
          </w:p>
        </w:tc>
        <w:tc>
          <w:tcPr>
            <w:tcW w:w="806" w:type="pct"/>
            <w:vAlign w:val="center"/>
          </w:tcPr>
          <w:p>
            <w:pPr>
              <w:autoSpaceDE w:val="0"/>
              <w:spacing w:line="240" w:lineRule="auto"/>
              <w:contextualSpacing/>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主动抗浮+被动抗浮</w:t>
            </w:r>
          </w:p>
        </w:tc>
        <w:tc>
          <w:tcPr>
            <w:tcW w:w="1970" w:type="pct"/>
            <w:vAlign w:val="center"/>
          </w:tcPr>
          <w:p>
            <w:pPr>
              <w:autoSpaceDE w:val="0"/>
              <w:spacing w:line="240" w:lineRule="auto"/>
              <w:contextualSpacing/>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利用抗浮锚杆、抗浮桩等被动抗浮措施抵抗地下水常水位，利用主动抗浮控制短期地下水变水位浮力</w:t>
            </w:r>
          </w:p>
        </w:tc>
        <w:tc>
          <w:tcPr>
            <w:tcW w:w="1840" w:type="pct"/>
            <w:vAlign w:val="center"/>
          </w:tcPr>
          <w:p>
            <w:pPr>
              <w:autoSpaceDE w:val="0"/>
              <w:spacing w:line="240" w:lineRule="auto"/>
              <w:contextualSpacing/>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地下水位年度周期性波动明显的场地</w:t>
            </w:r>
          </w:p>
        </w:tc>
      </w:tr>
    </w:tbl>
    <w:p>
      <w:pPr>
        <w:pStyle w:val="35"/>
      </w:pPr>
    </w:p>
    <w:p>
      <w:pPr>
        <w:pStyle w:val="35"/>
      </w:pPr>
    </w:p>
    <w:p>
      <w:pPr>
        <w:pStyle w:val="35"/>
      </w:pPr>
    </w:p>
    <w:p>
      <w:pPr>
        <w:pStyle w:val="35"/>
      </w:pPr>
    </w:p>
    <w:p>
      <w:pPr>
        <w:pStyle w:val="35"/>
      </w:pPr>
    </w:p>
    <w:p>
      <w:pPr>
        <w:pStyle w:val="35"/>
      </w:pPr>
    </w:p>
    <w:p>
      <w:pPr>
        <w:keepNext/>
        <w:keepLines/>
        <w:spacing w:before="1092" w:beforeLines="350" w:after="468" w:afterLines="150"/>
        <w:jc w:val="center"/>
        <w:outlineLvl w:val="0"/>
        <w:rPr>
          <w:rFonts w:eastAsiaTheme="minorEastAsia"/>
          <w:color w:val="FF0000"/>
          <w:kern w:val="44"/>
          <w:sz w:val="30"/>
          <w:szCs w:val="30"/>
        </w:rPr>
      </w:pPr>
      <w:bookmarkStart w:id="53" w:name="_Toc78196064"/>
      <w:bookmarkStart w:id="54" w:name="_Toc12832364"/>
      <w:bookmarkStart w:id="55" w:name="_Toc23774579"/>
      <w:bookmarkStart w:id="56" w:name="_Toc133583855"/>
      <w:bookmarkStart w:id="57" w:name="_Toc35131611"/>
      <w:r>
        <w:rPr>
          <w:rFonts w:eastAsiaTheme="minorEastAsia"/>
          <w:color w:val="FF0000"/>
          <w:kern w:val="44"/>
          <w:sz w:val="30"/>
          <w:szCs w:val="30"/>
        </w:rPr>
        <w:t>用词说明</w:t>
      </w:r>
      <w:bookmarkEnd w:id="53"/>
      <w:bookmarkEnd w:id="54"/>
      <w:bookmarkEnd w:id="55"/>
      <w:bookmarkEnd w:id="56"/>
      <w:bookmarkEnd w:id="57"/>
    </w:p>
    <w:p>
      <w:pPr>
        <w:ind w:firstLine="480" w:firstLineChars="200"/>
        <w:rPr>
          <w:rFonts w:asciiTheme="minorEastAsia" w:hAnsiTheme="minorEastAsia" w:eastAsiaTheme="minorEastAsia"/>
          <w:szCs w:val="24"/>
        </w:rPr>
      </w:pPr>
      <w:r>
        <w:rPr>
          <w:rFonts w:asciiTheme="minorEastAsia" w:hAnsiTheme="minorEastAsia" w:eastAsiaTheme="minorEastAsia"/>
          <w:szCs w:val="24"/>
        </w:rPr>
        <w:t>1  为便于在执行本</w:t>
      </w:r>
      <w:r>
        <w:rPr>
          <w:rFonts w:hint="eastAsia" w:asciiTheme="minorEastAsia" w:hAnsiTheme="minorEastAsia" w:eastAsiaTheme="minorEastAsia"/>
          <w:szCs w:val="24"/>
        </w:rPr>
        <w:t>标准</w:t>
      </w:r>
      <w:r>
        <w:rPr>
          <w:rFonts w:asciiTheme="minorEastAsia" w:hAnsiTheme="minorEastAsia" w:eastAsiaTheme="minorEastAsia"/>
          <w:szCs w:val="24"/>
        </w:rPr>
        <w:t>条文时区别对待，对要求严格程度不同的用词，说明如下：</w:t>
      </w:r>
    </w:p>
    <w:p>
      <w:pPr>
        <w:ind w:firstLine="960" w:firstLineChars="400"/>
        <w:rPr>
          <w:rFonts w:asciiTheme="minorEastAsia" w:hAnsiTheme="minorEastAsia" w:eastAsiaTheme="minorEastAsia"/>
          <w:szCs w:val="24"/>
        </w:rPr>
      </w:pPr>
      <w:r>
        <w:rPr>
          <w:rFonts w:asciiTheme="minorEastAsia" w:hAnsiTheme="minorEastAsia" w:eastAsiaTheme="minorEastAsia"/>
          <w:szCs w:val="24"/>
        </w:rPr>
        <w:t>1）表示很严格，非这样做不可的：</w:t>
      </w:r>
    </w:p>
    <w:p>
      <w:pPr>
        <w:rPr>
          <w:rFonts w:asciiTheme="minorEastAsia" w:hAnsiTheme="minorEastAsia" w:eastAsiaTheme="minorEastAsia"/>
          <w:szCs w:val="24"/>
        </w:rPr>
      </w:pPr>
      <w:r>
        <w:rPr>
          <w:rFonts w:asciiTheme="minorEastAsia" w:hAnsiTheme="minorEastAsia" w:eastAsiaTheme="minorEastAsia"/>
          <w:szCs w:val="24"/>
        </w:rPr>
        <w:t>正面词采用“必须”，反面词采用“严禁”</w:t>
      </w:r>
      <w:r>
        <w:rPr>
          <w:rFonts w:hint="eastAsia" w:asciiTheme="minorEastAsia" w:hAnsiTheme="minorEastAsia" w:eastAsiaTheme="minorEastAsia"/>
          <w:szCs w:val="24"/>
        </w:rPr>
        <w:t>；</w:t>
      </w:r>
    </w:p>
    <w:p>
      <w:pPr>
        <w:ind w:firstLine="960" w:firstLineChars="400"/>
        <w:rPr>
          <w:rFonts w:asciiTheme="minorEastAsia" w:hAnsiTheme="minorEastAsia" w:eastAsiaTheme="minorEastAsia"/>
          <w:szCs w:val="24"/>
        </w:rPr>
      </w:pPr>
      <w:r>
        <w:rPr>
          <w:rFonts w:asciiTheme="minorEastAsia" w:hAnsiTheme="minorEastAsia" w:eastAsiaTheme="minorEastAsia"/>
          <w:szCs w:val="24"/>
        </w:rPr>
        <w:t>2）表示严格，在正常情况下均应这样做的：</w:t>
      </w:r>
    </w:p>
    <w:p>
      <w:pPr>
        <w:rPr>
          <w:rFonts w:asciiTheme="minorEastAsia" w:hAnsiTheme="minorEastAsia" w:eastAsiaTheme="minorEastAsia"/>
          <w:szCs w:val="24"/>
        </w:rPr>
      </w:pPr>
      <w:r>
        <w:rPr>
          <w:rFonts w:asciiTheme="minorEastAsia" w:hAnsiTheme="minorEastAsia" w:eastAsiaTheme="minorEastAsia"/>
          <w:szCs w:val="24"/>
        </w:rPr>
        <w:t>正面词采用“应”，反面词采用“不应”或“不得”</w:t>
      </w:r>
      <w:r>
        <w:rPr>
          <w:rFonts w:hint="eastAsia" w:asciiTheme="minorEastAsia" w:hAnsiTheme="minorEastAsia" w:eastAsiaTheme="minorEastAsia"/>
          <w:szCs w:val="24"/>
        </w:rPr>
        <w:t>；</w:t>
      </w:r>
    </w:p>
    <w:p>
      <w:pPr>
        <w:ind w:firstLine="960" w:firstLineChars="400"/>
        <w:rPr>
          <w:rFonts w:asciiTheme="minorEastAsia" w:hAnsiTheme="minorEastAsia" w:eastAsiaTheme="minorEastAsia"/>
          <w:szCs w:val="24"/>
        </w:rPr>
      </w:pPr>
      <w:r>
        <w:rPr>
          <w:rFonts w:asciiTheme="minorEastAsia" w:hAnsiTheme="minorEastAsia" w:eastAsiaTheme="minorEastAsia"/>
          <w:szCs w:val="24"/>
        </w:rPr>
        <w:t>3）表示允许稍有选择，在条件许可时首先这样做的：</w:t>
      </w:r>
    </w:p>
    <w:p>
      <w:pPr>
        <w:rPr>
          <w:rFonts w:asciiTheme="minorEastAsia" w:hAnsiTheme="minorEastAsia" w:eastAsiaTheme="minorEastAsia"/>
          <w:szCs w:val="24"/>
        </w:rPr>
      </w:pPr>
      <w:r>
        <w:rPr>
          <w:rFonts w:asciiTheme="minorEastAsia" w:hAnsiTheme="minorEastAsia" w:eastAsiaTheme="minorEastAsia"/>
          <w:szCs w:val="24"/>
        </w:rPr>
        <w:t>正面词采用“宜”，反面词采用“不宜”</w:t>
      </w:r>
      <w:r>
        <w:rPr>
          <w:rFonts w:hint="eastAsia" w:asciiTheme="minorEastAsia" w:hAnsiTheme="minorEastAsia" w:eastAsiaTheme="minorEastAsia"/>
          <w:szCs w:val="24"/>
        </w:rPr>
        <w:t>；</w:t>
      </w:r>
    </w:p>
    <w:p>
      <w:pPr>
        <w:ind w:firstLine="960" w:firstLineChars="400"/>
        <w:rPr>
          <w:rFonts w:asciiTheme="minorEastAsia" w:hAnsiTheme="minorEastAsia" w:eastAsiaTheme="minorEastAsia"/>
          <w:szCs w:val="24"/>
        </w:rPr>
      </w:pPr>
      <w:r>
        <w:rPr>
          <w:rFonts w:asciiTheme="minorEastAsia" w:hAnsiTheme="minorEastAsia" w:eastAsiaTheme="minorEastAsia"/>
          <w:szCs w:val="24"/>
        </w:rPr>
        <w:t>4）表示有选择，在一定条件下可以这样做的，采用“可”。</w:t>
      </w:r>
    </w:p>
    <w:p>
      <w:pPr>
        <w:ind w:firstLine="480" w:firstLineChars="200"/>
        <w:rPr>
          <w:rFonts w:asciiTheme="minorEastAsia" w:hAnsiTheme="minorEastAsia" w:eastAsiaTheme="minorEastAsia"/>
          <w:szCs w:val="24"/>
        </w:rPr>
      </w:pPr>
      <w:r>
        <w:rPr>
          <w:rFonts w:asciiTheme="minorEastAsia" w:hAnsiTheme="minorEastAsia" w:eastAsiaTheme="minorEastAsia"/>
          <w:szCs w:val="24"/>
        </w:rPr>
        <w:t xml:space="preserve">2  </w:t>
      </w:r>
      <w:r>
        <w:rPr>
          <w:rFonts w:hint="eastAsia" w:asciiTheme="minorEastAsia" w:hAnsiTheme="minorEastAsia" w:eastAsiaTheme="minorEastAsia"/>
          <w:szCs w:val="24"/>
        </w:rPr>
        <w:t>条文中</w:t>
      </w:r>
      <w:r>
        <w:rPr>
          <w:rFonts w:asciiTheme="minorEastAsia" w:hAnsiTheme="minorEastAsia" w:eastAsiaTheme="minorEastAsia"/>
          <w:szCs w:val="24"/>
        </w:rPr>
        <w:t>指</w:t>
      </w:r>
      <w:r>
        <w:rPr>
          <w:rFonts w:hint="eastAsia" w:asciiTheme="minorEastAsia" w:hAnsiTheme="minorEastAsia" w:eastAsiaTheme="minorEastAsia"/>
          <w:szCs w:val="24"/>
        </w:rPr>
        <w:t>明应</w:t>
      </w:r>
      <w:r>
        <w:rPr>
          <w:rFonts w:asciiTheme="minorEastAsia" w:hAnsiTheme="minorEastAsia" w:eastAsiaTheme="minorEastAsia"/>
          <w:szCs w:val="24"/>
        </w:rPr>
        <w:t>按其他有关标准执行</w:t>
      </w:r>
      <w:r>
        <w:rPr>
          <w:rFonts w:hint="eastAsia" w:asciiTheme="minorEastAsia" w:hAnsiTheme="minorEastAsia" w:eastAsiaTheme="minorEastAsia"/>
          <w:szCs w:val="24"/>
        </w:rPr>
        <w:t>的</w:t>
      </w:r>
      <w:r>
        <w:rPr>
          <w:rFonts w:asciiTheme="minorEastAsia" w:hAnsiTheme="minorEastAsia" w:eastAsiaTheme="minorEastAsia"/>
          <w:szCs w:val="24"/>
        </w:rPr>
        <w:t>写法为“应符合……的规定”或“应按……执行”。</w:t>
      </w: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pStyle w:val="35"/>
      </w:pPr>
    </w:p>
    <w:p>
      <w:pPr>
        <w:keepNext/>
        <w:keepLines/>
        <w:spacing w:before="1092" w:beforeLines="350" w:after="468" w:afterLines="150"/>
        <w:jc w:val="center"/>
        <w:outlineLvl w:val="0"/>
        <w:rPr>
          <w:rFonts w:eastAsiaTheme="minorEastAsia"/>
          <w:kern w:val="44"/>
          <w:sz w:val="30"/>
          <w:szCs w:val="30"/>
        </w:rPr>
      </w:pPr>
      <w:bookmarkStart w:id="58" w:name="_Toc133583856"/>
      <w:bookmarkStart w:id="59" w:name="_Toc78196065"/>
      <w:r>
        <w:rPr>
          <w:rFonts w:eastAsiaTheme="minorEastAsia"/>
          <w:kern w:val="44"/>
          <w:sz w:val="30"/>
          <w:szCs w:val="30"/>
        </w:rPr>
        <w:t>引用标准名录</w:t>
      </w:r>
      <w:bookmarkEnd w:id="58"/>
      <w:bookmarkEnd w:id="59"/>
    </w:p>
    <w:p>
      <w:pPr>
        <w:ind w:firstLine="480" w:firstLineChars="200"/>
        <w:rPr>
          <w:rFonts w:cs="楷体" w:asciiTheme="minorEastAsia" w:hAnsiTheme="minorEastAsia" w:eastAsiaTheme="minorEastAsia"/>
          <w:b/>
          <w:bCs/>
          <w:szCs w:val="24"/>
        </w:rPr>
      </w:pPr>
      <w:r>
        <w:rPr>
          <w:rFonts w:hint="eastAsia" w:cs="宋体" w:asciiTheme="minorEastAsia" w:hAnsiTheme="minorEastAsia" w:eastAsiaTheme="minorEastAsia"/>
          <w:kern w:val="0"/>
          <w:szCs w:val="24"/>
        </w:rPr>
        <w:t>《供水水文地质勘察规范》GB 50027</w:t>
      </w:r>
    </w:p>
    <w:p>
      <w:pPr>
        <w:ind w:firstLine="480" w:firstLineChars="20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《水电水利工程钻孔压水试验规程》DL</w:t>
      </w:r>
      <w:r>
        <w:rPr>
          <w:rFonts w:cs="宋体" w:asciiTheme="minorEastAsia" w:hAnsiTheme="minorEastAsia" w:eastAsiaTheme="minorEastAsia"/>
          <w:kern w:val="0"/>
          <w:szCs w:val="24"/>
        </w:rPr>
        <w:t>/</w:t>
      </w:r>
      <w:r>
        <w:rPr>
          <w:rFonts w:hint="eastAsia" w:cs="宋体" w:asciiTheme="minorEastAsia" w:hAnsiTheme="minorEastAsia" w:eastAsiaTheme="minorEastAsia"/>
          <w:kern w:val="0"/>
          <w:szCs w:val="24"/>
        </w:rPr>
        <w:t>T5331-2005</w:t>
      </w:r>
    </w:p>
    <w:p>
      <w:pPr>
        <w:ind w:firstLine="480" w:firstLineChars="20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《水电工程钻孔注水试验规程》N</w:t>
      </w:r>
      <w:r>
        <w:rPr>
          <w:rFonts w:cs="宋体" w:asciiTheme="minorEastAsia" w:hAnsiTheme="minorEastAsia" w:eastAsiaTheme="minorEastAsia"/>
          <w:kern w:val="0"/>
          <w:szCs w:val="24"/>
        </w:rPr>
        <w:t>B/T35104-2017</w:t>
      </w:r>
    </w:p>
    <w:p>
      <w:pPr>
        <w:ind w:firstLine="480" w:firstLineChars="200"/>
        <w:rPr>
          <w:rFonts w:cs="宋体" w:asciiTheme="minorEastAsia" w:hAnsiTheme="minorEastAsia" w:eastAsiaTheme="minorEastAsia"/>
          <w:kern w:val="0"/>
          <w:szCs w:val="24"/>
        </w:rPr>
      </w:pPr>
      <w:r>
        <w:rPr>
          <w:rFonts w:hint="eastAsia" w:cs="宋体" w:asciiTheme="minorEastAsia" w:hAnsiTheme="minorEastAsia" w:eastAsiaTheme="minorEastAsia"/>
          <w:kern w:val="0"/>
          <w:szCs w:val="24"/>
        </w:rPr>
        <w:t>《电力工程水文地质勘测技术规程》D</w:t>
      </w:r>
      <w:r>
        <w:rPr>
          <w:rFonts w:cs="宋体" w:asciiTheme="minorEastAsia" w:hAnsiTheme="minorEastAsia" w:eastAsiaTheme="minorEastAsia"/>
          <w:kern w:val="0"/>
          <w:szCs w:val="24"/>
        </w:rPr>
        <w:t>L/T5034-2006</w:t>
      </w:r>
    </w:p>
    <w:p>
      <w:pPr>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《土工试验方法标准》GB/T50123-2019</w:t>
      </w:r>
    </w:p>
    <w:p>
      <w:pPr>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《岩土工程勘察规范》GB 50021</w:t>
      </w:r>
    </w:p>
    <w:p>
      <w:pPr>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《高层建筑岩土工程勘察标准》JGJ/T72</w:t>
      </w:r>
    </w:p>
    <w:p>
      <w:pPr>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《建筑工程抗浮技术标准》JGJ 476</w:t>
      </w:r>
    </w:p>
    <w:p>
      <w:pPr>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《水闸设计规范》SL265-2016</w:t>
      </w:r>
    </w:p>
    <w:p>
      <w:pPr>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《贵州省建筑岩土工程技术规范》DB52/T046-2018</w:t>
      </w:r>
    </w:p>
    <w:p>
      <w:pPr>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《建筑工程抗浮设计规程》D</w:t>
      </w:r>
      <w:r>
        <w:rPr>
          <w:rFonts w:asciiTheme="minorEastAsia" w:hAnsiTheme="minorEastAsia" w:eastAsiaTheme="minorEastAsia"/>
          <w:szCs w:val="24"/>
        </w:rPr>
        <w:t>BJ/T15-125-2017</w:t>
      </w:r>
    </w:p>
    <w:p>
      <w:pPr>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《工程建设水文地质勘察标准》C</w:t>
      </w:r>
      <w:r>
        <w:rPr>
          <w:rFonts w:asciiTheme="minorEastAsia" w:hAnsiTheme="minorEastAsia" w:eastAsiaTheme="minorEastAsia"/>
          <w:szCs w:val="24"/>
        </w:rPr>
        <w:t>ECS241</w:t>
      </w:r>
      <w:r>
        <w:rPr>
          <w:rFonts w:hint="eastAsia" w:asciiTheme="minorEastAsia" w:hAnsiTheme="minorEastAsia" w:eastAsiaTheme="minorEastAsia"/>
          <w:szCs w:val="24"/>
        </w:rPr>
        <w:t>：</w:t>
      </w:r>
      <w:r>
        <w:rPr>
          <w:rFonts w:asciiTheme="minorEastAsia" w:hAnsiTheme="minorEastAsia" w:eastAsiaTheme="minorEastAsia"/>
          <w:szCs w:val="24"/>
        </w:rPr>
        <w:t>2008</w:t>
      </w:r>
    </w:p>
    <w:p>
      <w:pPr>
        <w:pStyle w:val="35"/>
      </w:pPr>
    </w:p>
    <w:sectPr>
      <w:headerReference r:id="rId45" w:type="first"/>
      <w:headerReference r:id="rId43" w:type="default"/>
      <w:headerReference r:id="rId44"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F758932-9CB5-49C4-BC4B-E923397AAEB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36A3A13F-89BE-4095-A844-7EE5F1D47F44}"/>
  </w:font>
  <w:font w:name="楷体">
    <w:panose1 w:val="02010609060101010101"/>
    <w:charset w:val="86"/>
    <w:family w:val="modern"/>
    <w:pitch w:val="default"/>
    <w:sig w:usb0="800002BF" w:usb1="38CF7CFA" w:usb2="00000016" w:usb3="00000000" w:csb0="00040001" w:csb1="00000000"/>
    <w:embedRegular r:id="rId3" w:fontKey="{16B59737-BF20-494C-B9D3-5AE08210B405}"/>
  </w:font>
  <w:font w:name="Cambria">
    <w:panose1 w:val="02040503050406030204"/>
    <w:charset w:val="00"/>
    <w:family w:val="roman"/>
    <w:pitch w:val="default"/>
    <w:sig w:usb0="E00002FF" w:usb1="400004FF" w:usb2="00000000" w:usb3="00000000" w:csb0="2000019F" w:csb1="00000000"/>
  </w:font>
  <w:font w:name="新宋体-18030">
    <w:altName w:val="微软雅黑"/>
    <w:panose1 w:val="00000000000000000000"/>
    <w:charset w:val="86"/>
    <w:family w:val="roman"/>
    <w:pitch w:val="default"/>
    <w:sig w:usb0="00000000" w:usb1="00000000" w:usb2="00000000" w:usb3="00000000" w:csb0="00000000" w:csb1="00000000"/>
    <w:embedRegular r:id="rId4" w:fontKey="{11CAC5BD-8CA1-491E-8026-D80EB2D0DE78}"/>
  </w:font>
  <w:font w:name="方正小标宋简体">
    <w:panose1 w:val="02000000000000000000"/>
    <w:charset w:val="86"/>
    <w:family w:val="auto"/>
    <w:pitch w:val="default"/>
    <w:sig w:usb0="00000001" w:usb1="080E0000" w:usb2="00000000" w:usb3="00000000" w:csb0="00040000" w:csb1="00000000"/>
    <w:embedRegular r:id="rId5" w:fontKey="{A8ED8DDC-1F37-4EBA-A377-EA7C56BB787B}"/>
  </w:font>
  <w:font w:name="华文中宋">
    <w:panose1 w:val="02010600040101010101"/>
    <w:charset w:val="86"/>
    <w:family w:val="auto"/>
    <w:pitch w:val="default"/>
    <w:sig w:usb0="00000287" w:usb1="080F0000" w:usb2="00000000" w:usb3="00000000" w:csb0="0004009F" w:csb1="DFD70000"/>
    <w:embedRegular r:id="rId6" w:fontKey="{AFB812B3-8A13-465E-8AAC-76821F1EBAA4}"/>
  </w:font>
  <w:font w:name="仿宋">
    <w:panose1 w:val="02010609060101010101"/>
    <w:charset w:val="86"/>
    <w:family w:val="modern"/>
    <w:pitch w:val="default"/>
    <w:sig w:usb0="800002BF" w:usb1="38CF7CFA" w:usb2="00000016" w:usb3="00000000" w:csb0="00040001" w:csb1="00000000"/>
    <w:embedRegular r:id="rId7" w:fontKey="{F3B2F664-818A-4CC9-910B-5518DF77B57E}"/>
  </w:font>
  <w:font w:name="微软雅黑">
    <w:panose1 w:val="020B0503020204020204"/>
    <w:charset w:val="86"/>
    <w:family w:val="swiss"/>
    <w:pitch w:val="default"/>
    <w:sig w:usb0="80000287" w:usb1="280F3C52" w:usb2="00000016" w:usb3="00000000" w:csb0="0004001F" w:csb1="00000000"/>
    <w:embedRegular r:id="rId8" w:fontKey="{01EF3C94-F179-45ED-A907-749712571BA4}"/>
  </w:font>
  <w:font w:name="Symbol,Italic">
    <w:altName w:val="Symbol"/>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pPr>
                          <w:r>
                            <w:fldChar w:fldCharType="begin"/>
                          </w:r>
                          <w:r>
                            <w:instrText xml:space="preserve"> PAGE  \* MERGEFORMAT </w:instrText>
                          </w:r>
                          <w:r>
                            <w:fldChar w:fldCharType="separate"/>
                          </w:r>
                          <w:r>
                            <w:t>I</w:t>
                          </w:r>
                          <w:r>
                            <w:fldChar w:fldCharType="end"/>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S6rNN8BAAC7AwAADgAAAGRycy9lMm9Eb2MueG1srVPNjtMwEL4j8Q6W&#10;7zRppEUlqrtaqBYhIUBaeADXcRpL/pPHbVIeAN6AExfuPFefY8dO0kXLZQ97ScaemW/m+2a8vh6M&#10;JkcZQDnL6HJRUiKtcI2ye0a/fb19taIEIrcN185KRk8S6PXm5Yt172tZuc7pRgaCIBbq3jPaxejr&#10;ogDRScNh4by06GxdMDziMeyLJvAe0Y0uqrJ8XfQuND44IQHwdjs66YQYngLo2lYJuXXiYKSNI2qQ&#10;mkekBJ3yQDe527aVIn5uW5CRaEaRacxfLIL2Ln2LzZrX+8B9p8TUAn9KC484Ga4sFr1AbXnk5BDU&#10;f1BGieDAtXEhnClGIlkRZLEsH2lz13EvMxeUGvxFdHg+WPHp+CUQ1TBaUWK5wYGff/08//57/vOD&#10;LJM8vYcao+48xsXhrRtwaeZ7wMvEemiDSX/kQ9CP4p4u4sohEpGSVtVqVaJLoG8+IH7xkO4DxPfS&#10;GZIMRgNOL4vKjx8hjqFzSKpm3a3SOk9QW9Iz+uaqusoJFw+Ca4s1Eomx2WTFYTdMzHauOSExfA9Y&#10;sHPhOyU9bgOjFpefEv3BothpcWYjzMZuNrgVmMhopGQ038W8YKlF8DeHiG3m7lPpsd7UEc4085/2&#10;Ly3Nv+cc9fDmN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S6rNN8BAAC7AwAADgAAAAAA&#10;AAABACAAAAAeAQAAZHJzL2Uyb0RvYy54bWxQSwUGAAAAAAYABgBZAQAAb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pPr>
                          <w:r>
                            <w:fldChar w:fldCharType="begin"/>
                          </w:r>
                          <w:r>
                            <w:instrText xml:space="preserve"> PAGE  \* MERGEFORMAT </w:instrText>
                          </w:r>
                          <w:r>
                            <w:fldChar w:fldCharType="separate"/>
                          </w:r>
                          <w:r>
                            <w:t>I</w:t>
                          </w:r>
                          <w:r>
                            <w:fldChar w:fldCharType="end"/>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gzw+ABAAC7AwAADgAAAGRycy9lMm9Eb2MueG1srVPNjtMwEL4j8Q7W&#10;3Gmy0S4qUd0VbLUICQHSsg/gOk5jyX+y3SblAeANOHHhznP1ORg7SXe1XPbAJRl7Zr6Z75vx6nrQ&#10;ihyED9IaCheLEogw3DbS7Cjcf719tQQSIjMNU9YICkcR4Hr98sWqd7WobGdVIzxBEBPq3lHoYnR1&#10;UQTeCc3Cwjph0Nlar1nEo98VjWc9omtVVGX5uuitb5y3XISAt5vRCROifw6gbVvJxcbyvRYmjqhe&#10;KBaRUuikC7DO3bat4PFz2wYRiaKATGP+YhG0t+lbrFes3nnmOsmnFthzWnjCSTNpsOgZasMiI3sv&#10;/4HSknsbbBsX3OpiJJIVQRYX5RNt7jrmROaCUgd3Fj38P1j+6fDFE9lQuARimMaBn37+OP36c/r9&#10;nVRJnt6FGqPuHMbF4Z0dcGnm+4CXifXQep3+yIegH8U9nsUVQyQ8JS2r5bJEF0fffED84iHd+RDf&#10;C6tJMih4nF4WlR0+hjiGziGpmrG3Uqk8QWVIT+HNVXWVE84eBFcGayQSY7PJisN2mJhtbXNEYvge&#10;sGBn/TcgPW4DBYPLD0R9MCh2WpzZ8LOxnQ1mOCZSiEBG8ybmBUstBvd2H7HN3H0qPdabOsKZZv7T&#10;/qWleXzOUQ9vbv0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PuoM8PgAQAAuwMAAA4AAAAA&#10;AAAAAQAgAAAAHgEAAGRycy9lMm9Eb2MueG1sUEsFBgAAAAAGAAYAWQEAAHA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92</w:t>
    </w:r>
    <w:r>
      <w:fldChar w:fldCharType="end"/>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pPr>
                          <w:r>
                            <w:fldChar w:fldCharType="begin"/>
                          </w:r>
                          <w:r>
                            <w:instrText xml:space="preserve"> PAGE  \* MERGEFORMAT </w:instrText>
                          </w:r>
                          <w:r>
                            <w:fldChar w:fldCharType="separate"/>
                          </w:r>
                          <w:r>
                            <w:t>I</w:t>
                          </w:r>
                          <w: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3rB6N8BAAC7AwAADgAAAGRycy9lMm9Eb2MueG1srVPBjtMwEL0j8Q+W&#10;7zTZokUlaroCqkVICJAWPsB1nMaS7bE8bpPyAfAHnLhw57v6HYydpIuWyx64JGPPzJt5b8brm8Ea&#10;dlQBNbiaXy1KzpST0Gi3r/mXz7fPVpxhFK4RBpyq+Ukhv9k8fbLufaWW0IFpVGAE4rDqfc27GH1V&#10;FCg7ZQUuwCtHzhaCFZGOYV80QfSEbk2xLMsXRQ+h8QGkQqTb7ejkE2J4DCC0rZZqC/JglYsjalBG&#10;RKKEnfbIN7nbtlUyfmxbVJGZmhPTmL9UhOxd+habtaj2QfhOy6kF8ZgWHnCyQjsqeoHaiijYIeh/&#10;oKyWARDauJBgi5FIVoRYXJUPtLnrhFeZC0mN/iI6/j9Y+eH4KTDd1PwlZ05YGvj5x/fzz9/nX9/Y&#10;8yRP77GiqDtPcXF4DQMtzXyPdJlYD22w6U98GPlJ3NNFXDVEJlPSarlaleSS5JsPhF/cp/uA8a0C&#10;y5JR80DTy6KK43uMY+gckqo5uNXG5Akax3qicL28zgkXD4EbRzUSibHZZMVhN0zMdtCciBi9ByrY&#10;QfjKWU/bUHNHy8+ZeedI7LQ4sxFmYzcbwklKrHnkbDTfxLxgqUX0rw6R2szdp9JjvakjmmnmP+1f&#10;Wpq/zznq/s1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3rB6N8BAAC7AwAADgAAAAAA&#10;AAABACAAAAAeAQAAZHJzL2Uyb0RvYy54bWxQSwUGAAAAAAYABgBZAQAAb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pPr>
                          <w:r>
                            <w:fldChar w:fldCharType="begin"/>
                          </w:r>
                          <w:r>
                            <w:instrText xml:space="preserve"> PAGE  \* MERGEFORMAT </w:instrText>
                          </w:r>
                          <w:r>
                            <w:fldChar w:fldCharType="separate"/>
                          </w:r>
                          <w:r>
                            <w:t>II</w:t>
                          </w:r>
                          <w:r>
                            <w:fldChar w:fldCharType="end"/>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JD+Fd8BAAC8AwAADgAAAGRycy9lMm9Eb2MueG1srVPBjtMwEL0j8Q+W&#10;7zTZikUlaroCqkVICJAWPsB1nMaS7bHsaZPyAfAHnLhw57v6HYydpIuWyx64JGPPzJt5b8brm8Ea&#10;dlQhanA1v1qUnCknodFuX/Mvn2+frTiLKFwjDDhV85OK/Gbz9Mm695VaQgemUYERiItV72veIfqq&#10;KKLslBVxAV45crYQrEA6hn3RBNETujXFsixfFD2ExgeQKka63Y5OPiGGxwBC22qptiAPVjkcUYMy&#10;AolS7LSPfJO7bVsl8WPbRoXM1JyYYv5SEbJ36Vts1qLaB+E7LacWxGNaeMDJCu2o6AVqK1CwQ9D/&#10;QFktA0RocSHBFiORrAixuCofaHPXCa8yF5I6+ovo8f/Byg/HT4HphjZhyZkTliZ+/vH9/PP3+dc3&#10;9jzp0/tYUdidp0AcXsNAsfN9pMtEe2iDTX8ixMhP6p4u6qoBmUxJq+VqVZJLkm8+EH5xn+5DxLcK&#10;LEtGzQONL6sqju8jjqFzSKrm4FYbk0doHOtr/vJ6eZ0TLh4CN45qJBJjs8nCYTdMzHbQnIgYPQgq&#10;2EH4yllP61BzR9vPmXnnSO20ObMRZmM3G8JJSqw5cjaabzBvWGox+lcHpDZz96n0WG/qiIaa+U8L&#10;mLbm73OOun90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FJD+Fd8BAAC8AwAADgAAAAAA&#10;AAABACAAAAAeAQAAZHJzL2Uyb0RvYy54bWxQSwUGAAAAAAYABgBZAQAAb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pPr>
                          <w:r>
                            <w:fldChar w:fldCharType="begin"/>
                          </w:r>
                          <w:r>
                            <w:instrText xml:space="preserve"> PAGE  \* MERGEFORMAT </w:instrText>
                          </w:r>
                          <w:r>
                            <w:fldChar w:fldCharType="separate"/>
                          </w:r>
                          <w:r>
                            <w:t>I</w:t>
                          </w:r>
                          <w:r>
                            <w:fldChar w:fldCharType="end"/>
                          </w:r>
                        </w:p>
                      </w:txbxContent>
                    </wps:txbx>
                    <wps:bodyPr vert="horz" wrap="none" lIns="0" tIns="0" rIns="0" bIns="0" anchor="t" anchorCtr="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avLoOABAAC8AwAADgAAAGRycy9lMm9Eb2MueG1srVPBjtMwEL0j8Q+W&#10;7zTZoqISNV0B1SIkBEgLH+A6TmPJ9lj2tEn5APgDTly48139DsZO00W7lz3sJRl7Zt7MezNeXQ/W&#10;sIMKUYOr+dWs5Ew5CY12u5p/+3rzYslZROEaYcCpmh9V5Nfr589Wva/UHDowjQqMQFysel/zDtFX&#10;RRFlp6yIM/DKkbOFYAXSMeyKJoie0K0p5mX5qughND6AVDHS7WZ08jNieAwgtK2WagNyb5XDETUo&#10;I5AoxU77yNe527ZVEj+3bVTITM2JKeYvFSF7m77FeiWqXRC+0/LcgnhMC/c4WaEdFb1AbQQKtg/6&#10;AZTVMkCEFmcSbDESyYoQi6vynja3nfAqcyGpo7+IHp8OVn46fAlMN7QJLzlzwtLET79+nn7/Pf35&#10;wRZJn97HisJuPQXi8BYGip3uI10m2kMbbPoTIUZ+Uvd4UVcNyGRKWs6Xy5JcknzTgfCLu3QfIr5X&#10;YFkyah5ofFlVcfgYcQydQlI1BzfamDxC41hf89eL+SInXDwEbhzVSCTGZpOFw3Y4M9tCcyRi9CCo&#10;YAfhO2c9rUPNHW0/Z+aDI7XT5kxGmIztZAgnKbHmyNlovsO8YanF6N/skdrM3afSY71zRzTUzP+8&#10;gGlr/j/nqLtHt/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Gry6DgAQAAvAMAAA4AAAAA&#10;AAAAAQAgAAAAHgEAAGRycy9lMm9Eb2MueG1sUEsFBgAAAAAGAAYAWQEAAHA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pPr>
                          <w:r>
                            <w:fldChar w:fldCharType="begin"/>
                          </w:r>
                          <w:r>
                            <w:instrText xml:space="preserve"> PAGE  \* MERGEFORMAT </w:instrText>
                          </w:r>
                          <w:r>
                            <w:fldChar w:fldCharType="separate"/>
                          </w:r>
                          <w:r>
                            <w:t>II</w:t>
                          </w:r>
                          <w:r>
                            <w:fldChar w:fldCharType="end"/>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lY0eEBAAC8AwAADgAAAGRycy9lMm9Eb2MueG1srVPBjtMwEL0j8Q+W&#10;7zTZil2VqOlqoVqEhABp4QNcx2ks2R7LnjYpHwB/wIkLd76r37Fjp+mi5bKHvSRjz8ybeW/Gy+vB&#10;GrZXIWpwNb+YlZwpJ6HRblvzb19vXy04iyhcIww4VfODivx69fLFsveVmkMHplGBEYiLVe9r3iH6&#10;qiii7JQVcQZeOXK2EKxAOoZt0QTRE7o1xbwsr4oeQuMDSBUj3a5HJz8hhqcAQttqqdYgd1Y5HFGD&#10;MgKJUuy0j3yVu21bJfFz20aFzNScmGL+UhGyN+lbrJai2gbhOy1PLYintPCIkxXaUdEz1FqgYLug&#10;/4OyWgaI0OJMgi1GIlkRYnFRPtLmrhNeZS4kdfRn0ePzwcpP+y+B6YY24TVnTlia+PHXz+Pvv8c/&#10;P9hV0qf3saKwO0+BOLyFgWKn+0iXifbQBpv+RIiRn9Q9nNVVAzKZkhbzxaIklyTfdCD84iHdh4jv&#10;FViWjJoHGl9WVew/RhxDp5BUzcGtNiaP0DjW1/zN5fwyJ5w9BG4c1UgkxmaThcNmODHbQHMgYvQg&#10;qGAH4TtnPa1DzR1tP2fmgyO10+ZMRpiMzWQIJymx5sjZaL7DvGGpxehvdkht5u5T6bHeqSMaauZ/&#10;WsC0Nf+ec9TDo1vd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AuVjR4QEAALwDAAAOAAAA&#10;AAAAAAEAIAAAAB4BAABkcnMvZTJvRG9jLnhtbFBLBQYAAAAABgAGAFkBAABx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pPr>
                          <w:r>
                            <w:fldChar w:fldCharType="begin"/>
                          </w:r>
                          <w:r>
                            <w:instrText xml:space="preserve"> PAGE  \* MERGEFORMAT </w:instrText>
                          </w:r>
                          <w:r>
                            <w:fldChar w:fldCharType="separate"/>
                          </w:r>
                          <w:r>
                            <w:t>III</w:t>
                          </w:r>
                          <w:r>
                            <w:fldChar w:fldCharType="end"/>
                          </w:r>
                        </w:p>
                      </w:txbxContent>
                    </wps:txbx>
                    <wps:bodyPr vert="horz" wrap="none" lIns="0" tIns="0" rIns="0" bIns="0" anchor="t" anchorCtr="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YJtZOABAAC8AwAADgAAAGRycy9lMm9Eb2MueG1srVPNjtMwEL4j8Q6W&#10;7zTZSoUSNV0B1SIkBEgLD+A6TmPJf/JMm5QHgDfgxIU7z9XnYOw0XbR72cNekrFn5pv5vhmvrgdr&#10;2EFF0N7V/GpWcqac9I12u5p/+3rzYskZoHCNMN6pmh8V8Ov182erPlRq7jtvGhUZgTio+lDzDjFU&#10;RQGyU1bAzAflyNn6aAXSMe6KJoqe0K0p5mX5suh9bEL0UgHQ7WZ08jNifAygb1st1cbLvVUOR9So&#10;jECiBJ0OwNe527ZVEj+3LShkpubEFPOXipC9Td9ivRLVLorQaXluQTymhXucrNCOil6gNgIF20f9&#10;AMpqGT34FmfS22IkkhUhFlflPW1uOxFU5kJSQ7iIDk8HKz8dvkSmG9qEBWdOWJr46dfP0++/pz8/&#10;2KukTx+gorDbQIE4vPUDxU73QJeJ9tBGm/5EiJGf1D1e1FUDMpmSlvPlsiSXJN90IPziLj1EwPfK&#10;W5aMmkcaX1ZVHD4CjqFTSKrm/I02Jo/QONbX/PVivsgJFw+BG0c1Eomx2WThsB3OzLa+ORIxehBU&#10;sPPxO2c9rUPNHW0/Z+aDI7XT5kxGnIztZAgnKbHmyNlovsO8YalFCG/2SG3m7lPpsd65Ixpq5n9e&#10;wLQ1/59z1N2jW/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NWCbWTgAQAAvAMAAA4AAAAA&#10;AAAAAQAgAAAAHgEAAGRycy9lMm9Eb2MueG1sUEsFBgAAAAAGAAYAWQEAAHA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8"/>
                          </w:pPr>
                          <w:r>
                            <w:fldChar w:fldCharType="begin"/>
                          </w:r>
                          <w:r>
                            <w:instrText xml:space="preserve"> PAGE  \* MERGEFORMAT </w:instrText>
                          </w:r>
                          <w:r>
                            <w:fldChar w:fldCharType="separate"/>
                          </w:r>
                          <w:r>
                            <w:t>I</w:t>
                          </w:r>
                          <w:r>
                            <w:fldChar w:fldCharType="end"/>
                          </w:r>
                        </w:p>
                      </w:txbxContent>
                    </wps:txbx>
                    <wps:bodyPr vert="horz" wrap="none" lIns="0" tIns="0" rIns="0" bIns="0" anchor="t" anchorCtr="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gk97t8BAAC8AwAADgAAAGRycy9lMm9Eb2MueG1srVPNjtMwEL4j8Q6W&#10;7zTZSrsqUdMVUC1CQoC08ACu4zSW/CfPtEl5AHgDTly481x9DsZO0kXLZQ9ckrFn5pv5vhmvbwdr&#10;2FFF0N7V/GpRcqac9I12+5p/+Xz3YsUZoHCNMN6pmp8U8NvN82frPlRq6TtvGhUZgTio+lDzDjFU&#10;RQGyU1bAwgflyNn6aAXSMe6LJoqe0K0plmV5U/Q+NiF6qQDodjs6+YQYnwLo21ZLtfXyYJXDETUq&#10;I5AoQacD8E3utm2VxI9tCwqZqTkxxfylImTv0rfYrEW1jyJ0Wk4tiKe08IiTFdpR0QvUVqBgh6j/&#10;gbJaRg++xYX0thiJZEWIxVX5SJv7TgSVuZDUEC6iw/+DlR+OnyLTDW3CDWdOWJr4+cf388/f51/f&#10;2Crp0weoKOw+UCAOr/1AsfM90GWiPbTRpj8RYuQndU8XddWATKak1XK1KsklyTcfCL94SA8R8K3y&#10;liWj5pHGl1UVx/eAY+gckqo5f6eNySM0jvU1f3m9vM4JFw+BG0c1Eomx2WThsBsmZjvfnIgYPQgq&#10;2Pn4lbOe1qHmjrafM/POkdppc2YjzsZuNoSTlFhz5Gw032DesNQihFcHpDZz96n0WG/qiIaa+U8L&#10;mLbm73OOenh0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Egk97t8BAAC8AwAADgAAAAAA&#10;AAABACAAAAAeAQAAZHJzL2Uyb0RvYy54bWxQSwUGAAAAAAYABgBZAQAAb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60"/>
    </w:pPr>
    <w:r>
      <w:rPr>
        <w:rFonts w:hint="eastAsia"/>
      </w:rPr>
      <w:t>MH xxxx-2013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u w:val="single"/>
      </w:rPr>
    </w:pPr>
    <w:r>
      <w:rPr>
        <w:u w:val="single"/>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u w:val="single"/>
      </w:rPr>
    </w:pPr>
    <w:r>
      <w:rPr>
        <w:rFonts w:hint="eastAsia"/>
        <w:u w:val="single"/>
      </w:rPr>
      <w:t xml:space="preserve"> </w:t>
    </w:r>
    <w:r>
      <w:rPr>
        <w:u w:val="single"/>
      </w:rPr>
      <w:t xml:space="preserve">                                                                                            </w:t>
    </w:r>
    <w:r>
      <w:rPr>
        <w:rFonts w:hint="eastAsia"/>
        <w:u w:val="single"/>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u w:val="single"/>
      </w:rPr>
    </w:pPr>
    <w:r>
      <w:rPr>
        <w:rFonts w:hint="eastAsia"/>
        <w:u w:val="single"/>
      </w:rPr>
      <w:t xml:space="preserve"> </w:t>
    </w:r>
    <w:r>
      <w:rPr>
        <w:u w:val="single"/>
      </w:rPr>
      <w:t xml:space="preserve">                      </w:t>
    </w:r>
    <w:r>
      <w:rPr>
        <w:rFonts w:hint="eastAsia"/>
        <w:u w:val="single"/>
      </w:rPr>
      <w:t xml:space="preserve"> </w:t>
    </w:r>
    <w:r>
      <w:rPr>
        <w:u w:val="single"/>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u w:val="single"/>
      </w:rPr>
    </w:pPr>
    <w:r>
      <w:rPr>
        <w:rFonts w:hint="eastAsia"/>
        <w:u w:val="single"/>
      </w:rPr>
      <w:t xml:space="preserve"> </w:t>
    </w:r>
    <w:r>
      <w:rPr>
        <w:u w:val="single"/>
      </w:rPr>
      <w:t xml:space="preserve">                                                                                  </w:t>
    </w:r>
  </w:p>
  <w:p>
    <w:pPr>
      <w:pStyle w:val="19"/>
      <w:jc w:val="both"/>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u w:val="single"/>
      </w:rPr>
    </w:pPr>
    <w:r>
      <w:rPr>
        <w:rFonts w:hint="eastAsia"/>
        <w:u w:val="single"/>
      </w:rPr>
      <w:t xml:space="preserve">民用机场飞行区土石方与道面基（垫）层施工技术规范（MH/T 5014-2021） </w:t>
    </w:r>
    <w:r>
      <w:rPr>
        <w:u w:val="single"/>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u w:val="single"/>
      </w:rPr>
    </w:pPr>
    <w:r>
      <w:rPr>
        <w:rFonts w:hint="eastAsia"/>
        <w:u w:val="single"/>
      </w:rPr>
      <w:t xml:space="preserve"> </w:t>
    </w:r>
    <w:r>
      <w:rPr>
        <w:u w:val="single"/>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u w:val="single"/>
      </w:rPr>
    </w:pPr>
    <w:r>
      <w:rPr>
        <w:u w:val="single"/>
      </w:rPr>
      <w:t xml:space="preserve">           </w:t>
    </w:r>
    <w:r>
      <w:rPr>
        <w:rFonts w:hint="eastAsia"/>
        <w:u w:val="single"/>
      </w:rPr>
      <w:t xml:space="preserve"> </w:t>
    </w:r>
    <w:r>
      <w:rPr>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u w:val="single"/>
      </w:rPr>
    </w:pPr>
    <w:r>
      <w:rPr>
        <w:rFonts w:hint="eastAsia"/>
        <w:u w:val="single"/>
      </w:rPr>
      <w:t xml:space="preserve"> </w:t>
    </w:r>
    <w:r>
      <w:rPr>
        <w:u w:val="single"/>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u w:val="single"/>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u w:val="single"/>
      </w:rPr>
    </w:pPr>
    <w:r>
      <w:rPr>
        <w:rFonts w:hint="eastAsia"/>
        <w:u w:val="single"/>
      </w:rPr>
      <w:t xml:space="preserve"> </w:t>
    </w:r>
    <w:r>
      <w:rPr>
        <w:u w:val="single"/>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u w:val="single"/>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u w:val="single"/>
      </w:rPr>
    </w:pPr>
    <w:r>
      <w:rPr>
        <w:rFonts w:hint="eastAsia"/>
        <w:u w:val="single"/>
      </w:rPr>
      <w:t xml:space="preserve"> </w:t>
    </w:r>
    <w:r>
      <w:rPr>
        <w:u w:val="single"/>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u w:val="single"/>
      </w:rPr>
    </w:pPr>
    <w:r>
      <w:rPr>
        <w:u w:val="single"/>
      </w:rPr>
      <w:t xml:space="preserve">    </w:t>
    </w:r>
    <w:r>
      <w:rPr>
        <w:rFonts w:hint="eastAsia"/>
        <w:u w:val="single"/>
      </w:rPr>
      <w:t xml:space="preserve"> </w:t>
    </w:r>
    <w:r>
      <w:rPr>
        <w:u w:val="single"/>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u w:val="single"/>
      </w:rPr>
    </w:pPr>
    <w:r>
      <w:rPr>
        <w:rFonts w:hint="eastAsia"/>
        <w:u w:val="single"/>
      </w:rPr>
      <w:t xml:space="preserve"> </w:t>
    </w:r>
    <w:r>
      <w:rPr>
        <w:u w:val="single"/>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u w:val="single"/>
      </w:rPr>
    </w:pPr>
    <w:r>
      <w:rPr>
        <w:rFonts w:hint="eastAsia"/>
        <w:u w:val="single"/>
      </w:rPr>
      <w:t xml:space="preserve"> </w:t>
    </w:r>
    <w:r>
      <w:rPr>
        <w:u w:val="single"/>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u w:val="single"/>
      </w:rPr>
    </w:pPr>
    <w:r>
      <w:rPr>
        <w:rFonts w:hint="eastAsia"/>
        <w:u w:val="single"/>
      </w:rPr>
      <w:t xml:space="preserve"> </w:t>
    </w:r>
    <w:r>
      <w:rPr>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DB191E"/>
    <w:multiLevelType w:val="multilevel"/>
    <w:tmpl w:val="07DB191E"/>
    <w:lvl w:ilvl="0" w:tentative="0">
      <w:start w:val="1"/>
      <w:numFmt w:val="bullet"/>
      <w:pStyle w:val="3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90B3D05"/>
    <w:multiLevelType w:val="multilevel"/>
    <w:tmpl w:val="390B3D05"/>
    <w:lvl w:ilvl="0" w:tentative="0">
      <w:start w:val="1"/>
      <w:numFmt w:val="decimal"/>
      <w:pStyle w:val="2"/>
      <w:suff w:val="nothing"/>
      <w:lvlText w:val="%1"/>
      <w:lvlJc w:val="left"/>
      <w:pPr>
        <w:tabs>
          <w:tab w:val="left" w:pos="420"/>
        </w:tabs>
        <w:ind w:left="432" w:hanging="432"/>
      </w:pPr>
      <w:rPr>
        <w:rFonts w:hint="default" w:cs="宋体" w:asciiTheme="majorEastAsia" w:hAnsiTheme="majorEastAsia" w:eastAsiaTheme="majorEastAsia"/>
        <w:b/>
        <w:bCs/>
        <w:sz w:val="30"/>
        <w:szCs w:val="30"/>
      </w:rPr>
    </w:lvl>
    <w:lvl w:ilvl="1" w:tentative="0">
      <w:start w:val="1"/>
      <w:numFmt w:val="decimal"/>
      <w:pStyle w:val="3"/>
      <w:suff w:val="nothing"/>
      <w:lvlText w:val="%1.%2"/>
      <w:lvlJc w:val="left"/>
      <w:pPr>
        <w:tabs>
          <w:tab w:val="left" w:pos="3965"/>
        </w:tabs>
        <w:ind w:left="4120" w:hanging="575"/>
      </w:pPr>
      <w:rPr>
        <w:rFonts w:hint="default" w:ascii="黑体" w:hAnsi="黑体" w:eastAsia="黑体" w:cs="宋体"/>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1"/>
  <w:bordersDoNotSurroundFooter w:val="1"/>
  <w:documentProtection w:enforcement="0"/>
  <w:defaultTabStop w:val="420"/>
  <w:evenAndOddHeaders w:val="1"/>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JmNjBjZjU1YmJmZGM1OWRkODc4OTQ5MjdjNjU5M2MifQ=="/>
    <w:docVar w:name="KSO_WPS_MARK_KEY" w:val="57ff94e2-069d-4215-b5a3-9186ab955ccd"/>
  </w:docVars>
  <w:rsids>
    <w:rsidRoot w:val="00172A27"/>
    <w:rsid w:val="0000006E"/>
    <w:rsid w:val="000001E2"/>
    <w:rsid w:val="000006F1"/>
    <w:rsid w:val="000007A3"/>
    <w:rsid w:val="00000848"/>
    <w:rsid w:val="00000CC2"/>
    <w:rsid w:val="00000D39"/>
    <w:rsid w:val="000015BE"/>
    <w:rsid w:val="000018EE"/>
    <w:rsid w:val="00001B9D"/>
    <w:rsid w:val="00001CA0"/>
    <w:rsid w:val="00001D3E"/>
    <w:rsid w:val="0000217F"/>
    <w:rsid w:val="00002463"/>
    <w:rsid w:val="00002700"/>
    <w:rsid w:val="00002F96"/>
    <w:rsid w:val="0000324E"/>
    <w:rsid w:val="00003497"/>
    <w:rsid w:val="000036D9"/>
    <w:rsid w:val="00003E58"/>
    <w:rsid w:val="00004551"/>
    <w:rsid w:val="0000465A"/>
    <w:rsid w:val="0000473F"/>
    <w:rsid w:val="00004822"/>
    <w:rsid w:val="00004A25"/>
    <w:rsid w:val="00004B75"/>
    <w:rsid w:val="00004BC3"/>
    <w:rsid w:val="00005054"/>
    <w:rsid w:val="000050FB"/>
    <w:rsid w:val="00005650"/>
    <w:rsid w:val="000061C0"/>
    <w:rsid w:val="00006221"/>
    <w:rsid w:val="00006274"/>
    <w:rsid w:val="00006B27"/>
    <w:rsid w:val="00006C6E"/>
    <w:rsid w:val="00006D3D"/>
    <w:rsid w:val="000070DC"/>
    <w:rsid w:val="000070E6"/>
    <w:rsid w:val="00007191"/>
    <w:rsid w:val="00007AB0"/>
    <w:rsid w:val="00007F3E"/>
    <w:rsid w:val="00007F50"/>
    <w:rsid w:val="00007FC1"/>
    <w:rsid w:val="000100D7"/>
    <w:rsid w:val="00010595"/>
    <w:rsid w:val="00010BE2"/>
    <w:rsid w:val="00010DB1"/>
    <w:rsid w:val="00010EA9"/>
    <w:rsid w:val="00010FFF"/>
    <w:rsid w:val="00011266"/>
    <w:rsid w:val="00011456"/>
    <w:rsid w:val="00011999"/>
    <w:rsid w:val="00011A18"/>
    <w:rsid w:val="00011EAF"/>
    <w:rsid w:val="000120D1"/>
    <w:rsid w:val="00012541"/>
    <w:rsid w:val="00012C09"/>
    <w:rsid w:val="00012EAB"/>
    <w:rsid w:val="0001307E"/>
    <w:rsid w:val="0001323A"/>
    <w:rsid w:val="00013702"/>
    <w:rsid w:val="00013AA4"/>
    <w:rsid w:val="00013BB7"/>
    <w:rsid w:val="00013E5D"/>
    <w:rsid w:val="00014191"/>
    <w:rsid w:val="000145E2"/>
    <w:rsid w:val="0001464C"/>
    <w:rsid w:val="00014793"/>
    <w:rsid w:val="00014AC8"/>
    <w:rsid w:val="00014C6B"/>
    <w:rsid w:val="00014CF8"/>
    <w:rsid w:val="00014E9D"/>
    <w:rsid w:val="000151CE"/>
    <w:rsid w:val="00015877"/>
    <w:rsid w:val="0001588A"/>
    <w:rsid w:val="00015D57"/>
    <w:rsid w:val="00015D9B"/>
    <w:rsid w:val="00015F98"/>
    <w:rsid w:val="00016058"/>
    <w:rsid w:val="00016E7C"/>
    <w:rsid w:val="000170DD"/>
    <w:rsid w:val="000171A0"/>
    <w:rsid w:val="000171D0"/>
    <w:rsid w:val="000173E9"/>
    <w:rsid w:val="0001753A"/>
    <w:rsid w:val="0001760D"/>
    <w:rsid w:val="00017884"/>
    <w:rsid w:val="00017975"/>
    <w:rsid w:val="00017B98"/>
    <w:rsid w:val="0002003B"/>
    <w:rsid w:val="00020094"/>
    <w:rsid w:val="0002016A"/>
    <w:rsid w:val="000202FC"/>
    <w:rsid w:val="000208E5"/>
    <w:rsid w:val="00021AAE"/>
    <w:rsid w:val="00021AFD"/>
    <w:rsid w:val="00021ED7"/>
    <w:rsid w:val="00022484"/>
    <w:rsid w:val="00022CDB"/>
    <w:rsid w:val="000233EC"/>
    <w:rsid w:val="00023490"/>
    <w:rsid w:val="0002365D"/>
    <w:rsid w:val="0002391B"/>
    <w:rsid w:val="00023B76"/>
    <w:rsid w:val="00023BFA"/>
    <w:rsid w:val="00023C5D"/>
    <w:rsid w:val="00023E1D"/>
    <w:rsid w:val="000240EE"/>
    <w:rsid w:val="000243FA"/>
    <w:rsid w:val="00024434"/>
    <w:rsid w:val="000245D2"/>
    <w:rsid w:val="00024662"/>
    <w:rsid w:val="00024A33"/>
    <w:rsid w:val="00024FBB"/>
    <w:rsid w:val="0002518E"/>
    <w:rsid w:val="000251D3"/>
    <w:rsid w:val="00025D44"/>
    <w:rsid w:val="000262B6"/>
    <w:rsid w:val="000264D1"/>
    <w:rsid w:val="000264DA"/>
    <w:rsid w:val="0002671F"/>
    <w:rsid w:val="000267B0"/>
    <w:rsid w:val="000268B1"/>
    <w:rsid w:val="00026B06"/>
    <w:rsid w:val="00026BBF"/>
    <w:rsid w:val="000270FF"/>
    <w:rsid w:val="00027215"/>
    <w:rsid w:val="000275E9"/>
    <w:rsid w:val="000276D8"/>
    <w:rsid w:val="000277FF"/>
    <w:rsid w:val="00027C54"/>
    <w:rsid w:val="00027C94"/>
    <w:rsid w:val="000300C8"/>
    <w:rsid w:val="0003027E"/>
    <w:rsid w:val="000302DB"/>
    <w:rsid w:val="000304BF"/>
    <w:rsid w:val="000306A9"/>
    <w:rsid w:val="0003131E"/>
    <w:rsid w:val="00031BDC"/>
    <w:rsid w:val="00031EC4"/>
    <w:rsid w:val="00031FB8"/>
    <w:rsid w:val="00032145"/>
    <w:rsid w:val="000321E7"/>
    <w:rsid w:val="00032242"/>
    <w:rsid w:val="00032B3C"/>
    <w:rsid w:val="00032B42"/>
    <w:rsid w:val="00032E12"/>
    <w:rsid w:val="00033075"/>
    <w:rsid w:val="0003347D"/>
    <w:rsid w:val="000335A9"/>
    <w:rsid w:val="000336EF"/>
    <w:rsid w:val="00033752"/>
    <w:rsid w:val="00033959"/>
    <w:rsid w:val="000339CB"/>
    <w:rsid w:val="000339E3"/>
    <w:rsid w:val="00033FC2"/>
    <w:rsid w:val="000340E7"/>
    <w:rsid w:val="0003499C"/>
    <w:rsid w:val="00034B5D"/>
    <w:rsid w:val="00034B83"/>
    <w:rsid w:val="00034C73"/>
    <w:rsid w:val="00034C9A"/>
    <w:rsid w:val="00035022"/>
    <w:rsid w:val="0003518B"/>
    <w:rsid w:val="000351CE"/>
    <w:rsid w:val="00035280"/>
    <w:rsid w:val="00035371"/>
    <w:rsid w:val="000353DF"/>
    <w:rsid w:val="0003596B"/>
    <w:rsid w:val="00035A76"/>
    <w:rsid w:val="00035AD4"/>
    <w:rsid w:val="00035B88"/>
    <w:rsid w:val="00035C04"/>
    <w:rsid w:val="0003625F"/>
    <w:rsid w:val="0003673B"/>
    <w:rsid w:val="00036AFF"/>
    <w:rsid w:val="00036EFF"/>
    <w:rsid w:val="00036F9E"/>
    <w:rsid w:val="0003727D"/>
    <w:rsid w:val="00037383"/>
    <w:rsid w:val="000376E0"/>
    <w:rsid w:val="00037730"/>
    <w:rsid w:val="00037810"/>
    <w:rsid w:val="00037824"/>
    <w:rsid w:val="00040002"/>
    <w:rsid w:val="000401CF"/>
    <w:rsid w:val="00040482"/>
    <w:rsid w:val="00040901"/>
    <w:rsid w:val="00040AE2"/>
    <w:rsid w:val="00040E04"/>
    <w:rsid w:val="00040FF0"/>
    <w:rsid w:val="00041055"/>
    <w:rsid w:val="000410F6"/>
    <w:rsid w:val="000412BF"/>
    <w:rsid w:val="000412F1"/>
    <w:rsid w:val="00041572"/>
    <w:rsid w:val="00041601"/>
    <w:rsid w:val="0004177D"/>
    <w:rsid w:val="00041960"/>
    <w:rsid w:val="00041ABC"/>
    <w:rsid w:val="00042147"/>
    <w:rsid w:val="0004238C"/>
    <w:rsid w:val="0004242A"/>
    <w:rsid w:val="000424A0"/>
    <w:rsid w:val="000424EA"/>
    <w:rsid w:val="0004277B"/>
    <w:rsid w:val="0004293E"/>
    <w:rsid w:val="00043021"/>
    <w:rsid w:val="000431DA"/>
    <w:rsid w:val="00043294"/>
    <w:rsid w:val="00043435"/>
    <w:rsid w:val="00043753"/>
    <w:rsid w:val="0004378C"/>
    <w:rsid w:val="000437B7"/>
    <w:rsid w:val="0004385C"/>
    <w:rsid w:val="00043B54"/>
    <w:rsid w:val="00043F0C"/>
    <w:rsid w:val="000441D0"/>
    <w:rsid w:val="0004426A"/>
    <w:rsid w:val="0004459A"/>
    <w:rsid w:val="00044A89"/>
    <w:rsid w:val="00044DF8"/>
    <w:rsid w:val="00045141"/>
    <w:rsid w:val="00045272"/>
    <w:rsid w:val="000452C8"/>
    <w:rsid w:val="000454EE"/>
    <w:rsid w:val="0004551E"/>
    <w:rsid w:val="00045918"/>
    <w:rsid w:val="00045A70"/>
    <w:rsid w:val="000464B1"/>
    <w:rsid w:val="000467C2"/>
    <w:rsid w:val="00046A8A"/>
    <w:rsid w:val="00046B1B"/>
    <w:rsid w:val="00046CB6"/>
    <w:rsid w:val="00047218"/>
    <w:rsid w:val="00047AA7"/>
    <w:rsid w:val="00047F7D"/>
    <w:rsid w:val="00050030"/>
    <w:rsid w:val="000500E5"/>
    <w:rsid w:val="000501E9"/>
    <w:rsid w:val="00050406"/>
    <w:rsid w:val="000506BA"/>
    <w:rsid w:val="000508EA"/>
    <w:rsid w:val="00050AC7"/>
    <w:rsid w:val="00050B2D"/>
    <w:rsid w:val="00050EDB"/>
    <w:rsid w:val="0005136B"/>
    <w:rsid w:val="00051640"/>
    <w:rsid w:val="000518DA"/>
    <w:rsid w:val="00051B27"/>
    <w:rsid w:val="00051EE5"/>
    <w:rsid w:val="00051FA7"/>
    <w:rsid w:val="00052330"/>
    <w:rsid w:val="000524D2"/>
    <w:rsid w:val="00052CAC"/>
    <w:rsid w:val="00052FD3"/>
    <w:rsid w:val="00053048"/>
    <w:rsid w:val="0005332A"/>
    <w:rsid w:val="00053641"/>
    <w:rsid w:val="00053874"/>
    <w:rsid w:val="0005389B"/>
    <w:rsid w:val="00053B7F"/>
    <w:rsid w:val="00053D6C"/>
    <w:rsid w:val="00054037"/>
    <w:rsid w:val="000540F1"/>
    <w:rsid w:val="00054101"/>
    <w:rsid w:val="00054475"/>
    <w:rsid w:val="000548E0"/>
    <w:rsid w:val="0005496E"/>
    <w:rsid w:val="00054B9E"/>
    <w:rsid w:val="00054CE7"/>
    <w:rsid w:val="00054D73"/>
    <w:rsid w:val="0005508D"/>
    <w:rsid w:val="000550CB"/>
    <w:rsid w:val="000553A1"/>
    <w:rsid w:val="000555E8"/>
    <w:rsid w:val="000558A4"/>
    <w:rsid w:val="00055988"/>
    <w:rsid w:val="00055B9C"/>
    <w:rsid w:val="00056177"/>
    <w:rsid w:val="00056711"/>
    <w:rsid w:val="000567B4"/>
    <w:rsid w:val="00056E56"/>
    <w:rsid w:val="00057233"/>
    <w:rsid w:val="00057249"/>
    <w:rsid w:val="00057E1A"/>
    <w:rsid w:val="0006005C"/>
    <w:rsid w:val="00060279"/>
    <w:rsid w:val="00060376"/>
    <w:rsid w:val="0006079F"/>
    <w:rsid w:val="000608AA"/>
    <w:rsid w:val="00060A0F"/>
    <w:rsid w:val="00060DCC"/>
    <w:rsid w:val="00060E57"/>
    <w:rsid w:val="00060EB1"/>
    <w:rsid w:val="00060F31"/>
    <w:rsid w:val="00061083"/>
    <w:rsid w:val="0006132C"/>
    <w:rsid w:val="000613C7"/>
    <w:rsid w:val="000617A3"/>
    <w:rsid w:val="00061AA8"/>
    <w:rsid w:val="00061D8A"/>
    <w:rsid w:val="00061F29"/>
    <w:rsid w:val="000622B7"/>
    <w:rsid w:val="0006238C"/>
    <w:rsid w:val="000623C9"/>
    <w:rsid w:val="0006290A"/>
    <w:rsid w:val="00062CA9"/>
    <w:rsid w:val="00063408"/>
    <w:rsid w:val="000636F6"/>
    <w:rsid w:val="00063750"/>
    <w:rsid w:val="00063771"/>
    <w:rsid w:val="00063D63"/>
    <w:rsid w:val="00063F75"/>
    <w:rsid w:val="0006454E"/>
    <w:rsid w:val="00064690"/>
    <w:rsid w:val="00064751"/>
    <w:rsid w:val="00064805"/>
    <w:rsid w:val="00064A11"/>
    <w:rsid w:val="0006555E"/>
    <w:rsid w:val="00065583"/>
    <w:rsid w:val="00065675"/>
    <w:rsid w:val="00065A20"/>
    <w:rsid w:val="00065B6E"/>
    <w:rsid w:val="000662CE"/>
    <w:rsid w:val="00066393"/>
    <w:rsid w:val="00066552"/>
    <w:rsid w:val="000666D0"/>
    <w:rsid w:val="0006670C"/>
    <w:rsid w:val="000667D6"/>
    <w:rsid w:val="00066A31"/>
    <w:rsid w:val="00066B36"/>
    <w:rsid w:val="00066DE9"/>
    <w:rsid w:val="000672E0"/>
    <w:rsid w:val="0006749E"/>
    <w:rsid w:val="00067569"/>
    <w:rsid w:val="000675F7"/>
    <w:rsid w:val="00067673"/>
    <w:rsid w:val="000677FD"/>
    <w:rsid w:val="00067B8F"/>
    <w:rsid w:val="000700A8"/>
    <w:rsid w:val="00070267"/>
    <w:rsid w:val="000703E1"/>
    <w:rsid w:val="00070427"/>
    <w:rsid w:val="00070945"/>
    <w:rsid w:val="00070C93"/>
    <w:rsid w:val="00071165"/>
    <w:rsid w:val="0007117C"/>
    <w:rsid w:val="000711C7"/>
    <w:rsid w:val="00071208"/>
    <w:rsid w:val="000714F4"/>
    <w:rsid w:val="00071823"/>
    <w:rsid w:val="00071933"/>
    <w:rsid w:val="00071B6B"/>
    <w:rsid w:val="00071ECD"/>
    <w:rsid w:val="00071F50"/>
    <w:rsid w:val="0007214B"/>
    <w:rsid w:val="000721AF"/>
    <w:rsid w:val="000724DD"/>
    <w:rsid w:val="000728FF"/>
    <w:rsid w:val="0007295E"/>
    <w:rsid w:val="00072F62"/>
    <w:rsid w:val="00073238"/>
    <w:rsid w:val="00073299"/>
    <w:rsid w:val="00073462"/>
    <w:rsid w:val="00073A46"/>
    <w:rsid w:val="00073A89"/>
    <w:rsid w:val="00073D37"/>
    <w:rsid w:val="00074118"/>
    <w:rsid w:val="00074780"/>
    <w:rsid w:val="00074970"/>
    <w:rsid w:val="000749BB"/>
    <w:rsid w:val="00074A3F"/>
    <w:rsid w:val="00074A71"/>
    <w:rsid w:val="00074E39"/>
    <w:rsid w:val="000751F2"/>
    <w:rsid w:val="000752F7"/>
    <w:rsid w:val="000754B2"/>
    <w:rsid w:val="00075611"/>
    <w:rsid w:val="000758BC"/>
    <w:rsid w:val="000759FD"/>
    <w:rsid w:val="00075E3F"/>
    <w:rsid w:val="000760FD"/>
    <w:rsid w:val="000766BA"/>
    <w:rsid w:val="000768C0"/>
    <w:rsid w:val="00076974"/>
    <w:rsid w:val="00076DA5"/>
    <w:rsid w:val="000774EA"/>
    <w:rsid w:val="000775A6"/>
    <w:rsid w:val="00077723"/>
    <w:rsid w:val="0007784F"/>
    <w:rsid w:val="0007788D"/>
    <w:rsid w:val="00077AE6"/>
    <w:rsid w:val="00077DB1"/>
    <w:rsid w:val="00077DE6"/>
    <w:rsid w:val="00077FE4"/>
    <w:rsid w:val="0008004F"/>
    <w:rsid w:val="0008008B"/>
    <w:rsid w:val="0008010B"/>
    <w:rsid w:val="00080346"/>
    <w:rsid w:val="0008034F"/>
    <w:rsid w:val="00080364"/>
    <w:rsid w:val="00080753"/>
    <w:rsid w:val="00080B64"/>
    <w:rsid w:val="000813D5"/>
    <w:rsid w:val="00081481"/>
    <w:rsid w:val="00081592"/>
    <w:rsid w:val="00081BA3"/>
    <w:rsid w:val="00081C1A"/>
    <w:rsid w:val="00081CD1"/>
    <w:rsid w:val="00081D82"/>
    <w:rsid w:val="00081E79"/>
    <w:rsid w:val="00081E89"/>
    <w:rsid w:val="000821D0"/>
    <w:rsid w:val="000827F8"/>
    <w:rsid w:val="00082C6A"/>
    <w:rsid w:val="00083172"/>
    <w:rsid w:val="000833B3"/>
    <w:rsid w:val="00083684"/>
    <w:rsid w:val="00083BE5"/>
    <w:rsid w:val="00083C25"/>
    <w:rsid w:val="00083F48"/>
    <w:rsid w:val="0008445E"/>
    <w:rsid w:val="000844CF"/>
    <w:rsid w:val="00084944"/>
    <w:rsid w:val="00084A92"/>
    <w:rsid w:val="00084BDB"/>
    <w:rsid w:val="00085155"/>
    <w:rsid w:val="000852E7"/>
    <w:rsid w:val="000855D2"/>
    <w:rsid w:val="0008571D"/>
    <w:rsid w:val="000857C8"/>
    <w:rsid w:val="00085CDF"/>
    <w:rsid w:val="00085E40"/>
    <w:rsid w:val="0008621C"/>
    <w:rsid w:val="0008657E"/>
    <w:rsid w:val="00086748"/>
    <w:rsid w:val="00086EC2"/>
    <w:rsid w:val="0008713E"/>
    <w:rsid w:val="0008720C"/>
    <w:rsid w:val="00087535"/>
    <w:rsid w:val="00087585"/>
    <w:rsid w:val="0008778C"/>
    <w:rsid w:val="00087C4D"/>
    <w:rsid w:val="00087DFE"/>
    <w:rsid w:val="000902DE"/>
    <w:rsid w:val="000903F9"/>
    <w:rsid w:val="00090870"/>
    <w:rsid w:val="0009092A"/>
    <w:rsid w:val="00090C4B"/>
    <w:rsid w:val="00090C80"/>
    <w:rsid w:val="0009113C"/>
    <w:rsid w:val="00091237"/>
    <w:rsid w:val="0009141A"/>
    <w:rsid w:val="00091957"/>
    <w:rsid w:val="000919A2"/>
    <w:rsid w:val="00092176"/>
    <w:rsid w:val="00092294"/>
    <w:rsid w:val="000926AC"/>
    <w:rsid w:val="0009285B"/>
    <w:rsid w:val="00092C81"/>
    <w:rsid w:val="00092F4B"/>
    <w:rsid w:val="000931D7"/>
    <w:rsid w:val="00093611"/>
    <w:rsid w:val="00093617"/>
    <w:rsid w:val="00093834"/>
    <w:rsid w:val="000938DA"/>
    <w:rsid w:val="00093C59"/>
    <w:rsid w:val="00093D33"/>
    <w:rsid w:val="00093EFD"/>
    <w:rsid w:val="000940C2"/>
    <w:rsid w:val="00094704"/>
    <w:rsid w:val="00094B74"/>
    <w:rsid w:val="00094D97"/>
    <w:rsid w:val="00094E9C"/>
    <w:rsid w:val="00095279"/>
    <w:rsid w:val="00095A15"/>
    <w:rsid w:val="00095B48"/>
    <w:rsid w:val="00095B90"/>
    <w:rsid w:val="00095D13"/>
    <w:rsid w:val="00095ECA"/>
    <w:rsid w:val="00095EDD"/>
    <w:rsid w:val="00095FD3"/>
    <w:rsid w:val="00096622"/>
    <w:rsid w:val="000966CF"/>
    <w:rsid w:val="000967B9"/>
    <w:rsid w:val="0009689A"/>
    <w:rsid w:val="00096E08"/>
    <w:rsid w:val="00096F81"/>
    <w:rsid w:val="00097096"/>
    <w:rsid w:val="000971D0"/>
    <w:rsid w:val="00097200"/>
    <w:rsid w:val="0009754F"/>
    <w:rsid w:val="00097670"/>
    <w:rsid w:val="00097715"/>
    <w:rsid w:val="0009788B"/>
    <w:rsid w:val="0009792C"/>
    <w:rsid w:val="000979A7"/>
    <w:rsid w:val="000979F9"/>
    <w:rsid w:val="00097A9D"/>
    <w:rsid w:val="00097C7C"/>
    <w:rsid w:val="00097F53"/>
    <w:rsid w:val="000A08C3"/>
    <w:rsid w:val="000A0BDB"/>
    <w:rsid w:val="000A0C27"/>
    <w:rsid w:val="000A0C56"/>
    <w:rsid w:val="000A0D24"/>
    <w:rsid w:val="000A0E3C"/>
    <w:rsid w:val="000A0FC3"/>
    <w:rsid w:val="000A1034"/>
    <w:rsid w:val="000A1315"/>
    <w:rsid w:val="000A132C"/>
    <w:rsid w:val="000A14D5"/>
    <w:rsid w:val="000A176F"/>
    <w:rsid w:val="000A1A77"/>
    <w:rsid w:val="000A1C0D"/>
    <w:rsid w:val="000A1CF0"/>
    <w:rsid w:val="000A1D60"/>
    <w:rsid w:val="000A1E6B"/>
    <w:rsid w:val="000A248F"/>
    <w:rsid w:val="000A252E"/>
    <w:rsid w:val="000A2596"/>
    <w:rsid w:val="000A2771"/>
    <w:rsid w:val="000A27E3"/>
    <w:rsid w:val="000A2935"/>
    <w:rsid w:val="000A2A7D"/>
    <w:rsid w:val="000A2C4C"/>
    <w:rsid w:val="000A2CE0"/>
    <w:rsid w:val="000A3601"/>
    <w:rsid w:val="000A3671"/>
    <w:rsid w:val="000A37BF"/>
    <w:rsid w:val="000A3EA7"/>
    <w:rsid w:val="000A4005"/>
    <w:rsid w:val="000A4552"/>
    <w:rsid w:val="000A4578"/>
    <w:rsid w:val="000A4652"/>
    <w:rsid w:val="000A47BE"/>
    <w:rsid w:val="000A4862"/>
    <w:rsid w:val="000A509E"/>
    <w:rsid w:val="000A547F"/>
    <w:rsid w:val="000A5626"/>
    <w:rsid w:val="000A5658"/>
    <w:rsid w:val="000A5686"/>
    <w:rsid w:val="000A5AAC"/>
    <w:rsid w:val="000A5CE8"/>
    <w:rsid w:val="000A5F9B"/>
    <w:rsid w:val="000A5FFA"/>
    <w:rsid w:val="000A60DB"/>
    <w:rsid w:val="000A617E"/>
    <w:rsid w:val="000A68B6"/>
    <w:rsid w:val="000A6DF3"/>
    <w:rsid w:val="000A6E09"/>
    <w:rsid w:val="000A6E83"/>
    <w:rsid w:val="000A6E9E"/>
    <w:rsid w:val="000A6F99"/>
    <w:rsid w:val="000A7109"/>
    <w:rsid w:val="000A719F"/>
    <w:rsid w:val="000A72E2"/>
    <w:rsid w:val="000A7342"/>
    <w:rsid w:val="000A74E6"/>
    <w:rsid w:val="000A783E"/>
    <w:rsid w:val="000A7988"/>
    <w:rsid w:val="000A79FB"/>
    <w:rsid w:val="000A7A90"/>
    <w:rsid w:val="000A7B18"/>
    <w:rsid w:val="000A7C78"/>
    <w:rsid w:val="000A7EEB"/>
    <w:rsid w:val="000B006A"/>
    <w:rsid w:val="000B03A6"/>
    <w:rsid w:val="000B0483"/>
    <w:rsid w:val="000B0722"/>
    <w:rsid w:val="000B07FD"/>
    <w:rsid w:val="000B0972"/>
    <w:rsid w:val="000B0F58"/>
    <w:rsid w:val="000B0F76"/>
    <w:rsid w:val="000B0FE5"/>
    <w:rsid w:val="000B1130"/>
    <w:rsid w:val="000B13E1"/>
    <w:rsid w:val="000B1436"/>
    <w:rsid w:val="000B1545"/>
    <w:rsid w:val="000B1827"/>
    <w:rsid w:val="000B1B71"/>
    <w:rsid w:val="000B1CB8"/>
    <w:rsid w:val="000B2184"/>
    <w:rsid w:val="000B2260"/>
    <w:rsid w:val="000B2482"/>
    <w:rsid w:val="000B2F77"/>
    <w:rsid w:val="000B34BB"/>
    <w:rsid w:val="000B38A8"/>
    <w:rsid w:val="000B3904"/>
    <w:rsid w:val="000B39F1"/>
    <w:rsid w:val="000B3A88"/>
    <w:rsid w:val="000B3BC7"/>
    <w:rsid w:val="000B3E97"/>
    <w:rsid w:val="000B3F29"/>
    <w:rsid w:val="000B4115"/>
    <w:rsid w:val="000B45B4"/>
    <w:rsid w:val="000B4634"/>
    <w:rsid w:val="000B47BF"/>
    <w:rsid w:val="000B482C"/>
    <w:rsid w:val="000B4B87"/>
    <w:rsid w:val="000B4BA3"/>
    <w:rsid w:val="000B5166"/>
    <w:rsid w:val="000B54E0"/>
    <w:rsid w:val="000B558C"/>
    <w:rsid w:val="000B5679"/>
    <w:rsid w:val="000B5794"/>
    <w:rsid w:val="000B5AEC"/>
    <w:rsid w:val="000B5B59"/>
    <w:rsid w:val="000B5D8F"/>
    <w:rsid w:val="000B65D9"/>
    <w:rsid w:val="000B6B06"/>
    <w:rsid w:val="000B6C2B"/>
    <w:rsid w:val="000B6D30"/>
    <w:rsid w:val="000B6DE8"/>
    <w:rsid w:val="000B6F7B"/>
    <w:rsid w:val="000B7285"/>
    <w:rsid w:val="000B7A25"/>
    <w:rsid w:val="000B7A39"/>
    <w:rsid w:val="000B7E12"/>
    <w:rsid w:val="000B7E40"/>
    <w:rsid w:val="000B7FD5"/>
    <w:rsid w:val="000C01B1"/>
    <w:rsid w:val="000C03A1"/>
    <w:rsid w:val="000C08AF"/>
    <w:rsid w:val="000C0A0B"/>
    <w:rsid w:val="000C0C30"/>
    <w:rsid w:val="000C15BD"/>
    <w:rsid w:val="000C1684"/>
    <w:rsid w:val="000C1ACA"/>
    <w:rsid w:val="000C1B01"/>
    <w:rsid w:val="000C1DB7"/>
    <w:rsid w:val="000C2EFC"/>
    <w:rsid w:val="000C35D2"/>
    <w:rsid w:val="000C3623"/>
    <w:rsid w:val="000C3FC2"/>
    <w:rsid w:val="000C3FE3"/>
    <w:rsid w:val="000C51A4"/>
    <w:rsid w:val="000C5406"/>
    <w:rsid w:val="000C560A"/>
    <w:rsid w:val="000C58FD"/>
    <w:rsid w:val="000C5B7A"/>
    <w:rsid w:val="000C5C9E"/>
    <w:rsid w:val="000C5DEE"/>
    <w:rsid w:val="000C65D7"/>
    <w:rsid w:val="000C66B7"/>
    <w:rsid w:val="000C67D5"/>
    <w:rsid w:val="000C7345"/>
    <w:rsid w:val="000C794E"/>
    <w:rsid w:val="000C79D4"/>
    <w:rsid w:val="000C7A62"/>
    <w:rsid w:val="000C7B3E"/>
    <w:rsid w:val="000C7DC7"/>
    <w:rsid w:val="000D01A9"/>
    <w:rsid w:val="000D01D4"/>
    <w:rsid w:val="000D030D"/>
    <w:rsid w:val="000D059E"/>
    <w:rsid w:val="000D05DF"/>
    <w:rsid w:val="000D068B"/>
    <w:rsid w:val="000D07F1"/>
    <w:rsid w:val="000D08D7"/>
    <w:rsid w:val="000D09D7"/>
    <w:rsid w:val="000D0D78"/>
    <w:rsid w:val="000D1207"/>
    <w:rsid w:val="000D16A7"/>
    <w:rsid w:val="000D16BA"/>
    <w:rsid w:val="000D1723"/>
    <w:rsid w:val="000D1AFF"/>
    <w:rsid w:val="000D2030"/>
    <w:rsid w:val="000D20D0"/>
    <w:rsid w:val="000D2119"/>
    <w:rsid w:val="000D2205"/>
    <w:rsid w:val="000D28D3"/>
    <w:rsid w:val="000D2CE5"/>
    <w:rsid w:val="000D2DD1"/>
    <w:rsid w:val="000D3231"/>
    <w:rsid w:val="000D3430"/>
    <w:rsid w:val="000D3459"/>
    <w:rsid w:val="000D34EC"/>
    <w:rsid w:val="000D3564"/>
    <w:rsid w:val="000D35AF"/>
    <w:rsid w:val="000D3D21"/>
    <w:rsid w:val="000D40FD"/>
    <w:rsid w:val="000D4371"/>
    <w:rsid w:val="000D4385"/>
    <w:rsid w:val="000D4699"/>
    <w:rsid w:val="000D4786"/>
    <w:rsid w:val="000D4893"/>
    <w:rsid w:val="000D489E"/>
    <w:rsid w:val="000D4CDD"/>
    <w:rsid w:val="000D4D1D"/>
    <w:rsid w:val="000D4D8E"/>
    <w:rsid w:val="000D4DD7"/>
    <w:rsid w:val="000D4EFE"/>
    <w:rsid w:val="000D4F47"/>
    <w:rsid w:val="000D5511"/>
    <w:rsid w:val="000D573D"/>
    <w:rsid w:val="000D582A"/>
    <w:rsid w:val="000D5B13"/>
    <w:rsid w:val="000D5F6A"/>
    <w:rsid w:val="000D60A6"/>
    <w:rsid w:val="000D6283"/>
    <w:rsid w:val="000D62C7"/>
    <w:rsid w:val="000D6581"/>
    <w:rsid w:val="000D69CB"/>
    <w:rsid w:val="000D70F2"/>
    <w:rsid w:val="000D73E5"/>
    <w:rsid w:val="000D73EB"/>
    <w:rsid w:val="000D7884"/>
    <w:rsid w:val="000D7AF4"/>
    <w:rsid w:val="000D7D1B"/>
    <w:rsid w:val="000D7E71"/>
    <w:rsid w:val="000D7E98"/>
    <w:rsid w:val="000E00D6"/>
    <w:rsid w:val="000E0347"/>
    <w:rsid w:val="000E0372"/>
    <w:rsid w:val="000E052D"/>
    <w:rsid w:val="000E064E"/>
    <w:rsid w:val="000E08B9"/>
    <w:rsid w:val="000E0B0F"/>
    <w:rsid w:val="000E0C48"/>
    <w:rsid w:val="000E0EDE"/>
    <w:rsid w:val="000E115B"/>
    <w:rsid w:val="000E14F2"/>
    <w:rsid w:val="000E18D7"/>
    <w:rsid w:val="000E18DB"/>
    <w:rsid w:val="000E1A61"/>
    <w:rsid w:val="000E1BBF"/>
    <w:rsid w:val="000E1CC4"/>
    <w:rsid w:val="000E1CCA"/>
    <w:rsid w:val="000E1D2B"/>
    <w:rsid w:val="000E1FFB"/>
    <w:rsid w:val="000E2680"/>
    <w:rsid w:val="000E26BD"/>
    <w:rsid w:val="000E276E"/>
    <w:rsid w:val="000E2836"/>
    <w:rsid w:val="000E291E"/>
    <w:rsid w:val="000E29E0"/>
    <w:rsid w:val="000E2B3A"/>
    <w:rsid w:val="000E2E0F"/>
    <w:rsid w:val="000E2E15"/>
    <w:rsid w:val="000E2FEC"/>
    <w:rsid w:val="000E302A"/>
    <w:rsid w:val="000E3336"/>
    <w:rsid w:val="000E34A5"/>
    <w:rsid w:val="000E356F"/>
    <w:rsid w:val="000E3776"/>
    <w:rsid w:val="000E395D"/>
    <w:rsid w:val="000E3ABE"/>
    <w:rsid w:val="000E3B1B"/>
    <w:rsid w:val="000E3CB1"/>
    <w:rsid w:val="000E3CE5"/>
    <w:rsid w:val="000E434E"/>
    <w:rsid w:val="000E4487"/>
    <w:rsid w:val="000E44C1"/>
    <w:rsid w:val="000E47BD"/>
    <w:rsid w:val="000E4990"/>
    <w:rsid w:val="000E49FE"/>
    <w:rsid w:val="000E4F93"/>
    <w:rsid w:val="000E5410"/>
    <w:rsid w:val="000E5436"/>
    <w:rsid w:val="000E5472"/>
    <w:rsid w:val="000E549B"/>
    <w:rsid w:val="000E5640"/>
    <w:rsid w:val="000E5C7A"/>
    <w:rsid w:val="000E5CDB"/>
    <w:rsid w:val="000E5FE5"/>
    <w:rsid w:val="000E6106"/>
    <w:rsid w:val="000E61F3"/>
    <w:rsid w:val="000E6271"/>
    <w:rsid w:val="000E6332"/>
    <w:rsid w:val="000E64A4"/>
    <w:rsid w:val="000E682C"/>
    <w:rsid w:val="000E6B24"/>
    <w:rsid w:val="000E6C63"/>
    <w:rsid w:val="000E6CC5"/>
    <w:rsid w:val="000E6F76"/>
    <w:rsid w:val="000E6FB3"/>
    <w:rsid w:val="000E70E0"/>
    <w:rsid w:val="000E7347"/>
    <w:rsid w:val="000E7409"/>
    <w:rsid w:val="000E74FA"/>
    <w:rsid w:val="000E75C2"/>
    <w:rsid w:val="000E761A"/>
    <w:rsid w:val="000F0167"/>
    <w:rsid w:val="000F044D"/>
    <w:rsid w:val="000F093E"/>
    <w:rsid w:val="000F10F0"/>
    <w:rsid w:val="000F12E2"/>
    <w:rsid w:val="000F14D6"/>
    <w:rsid w:val="000F19CA"/>
    <w:rsid w:val="000F1AC7"/>
    <w:rsid w:val="000F20E0"/>
    <w:rsid w:val="000F216B"/>
    <w:rsid w:val="000F258B"/>
    <w:rsid w:val="000F25B5"/>
    <w:rsid w:val="000F29CE"/>
    <w:rsid w:val="000F3370"/>
    <w:rsid w:val="000F3808"/>
    <w:rsid w:val="000F3CCD"/>
    <w:rsid w:val="000F440F"/>
    <w:rsid w:val="000F45F3"/>
    <w:rsid w:val="000F499B"/>
    <w:rsid w:val="000F4A95"/>
    <w:rsid w:val="000F4E47"/>
    <w:rsid w:val="000F5406"/>
    <w:rsid w:val="000F57BA"/>
    <w:rsid w:val="000F5CB9"/>
    <w:rsid w:val="000F5FA3"/>
    <w:rsid w:val="000F5FAF"/>
    <w:rsid w:val="000F60DD"/>
    <w:rsid w:val="000F6208"/>
    <w:rsid w:val="000F64BA"/>
    <w:rsid w:val="000F6CBB"/>
    <w:rsid w:val="000F7633"/>
    <w:rsid w:val="000F7735"/>
    <w:rsid w:val="000F7792"/>
    <w:rsid w:val="000F78C0"/>
    <w:rsid w:val="000F78E3"/>
    <w:rsid w:val="000F7B0E"/>
    <w:rsid w:val="000F7C8E"/>
    <w:rsid w:val="000F7F07"/>
    <w:rsid w:val="000F7F9A"/>
    <w:rsid w:val="00100260"/>
    <w:rsid w:val="0010031A"/>
    <w:rsid w:val="001005F8"/>
    <w:rsid w:val="001005FC"/>
    <w:rsid w:val="00100C83"/>
    <w:rsid w:val="00101184"/>
    <w:rsid w:val="0010140B"/>
    <w:rsid w:val="00101437"/>
    <w:rsid w:val="00101591"/>
    <w:rsid w:val="00101A17"/>
    <w:rsid w:val="00101BA5"/>
    <w:rsid w:val="00101E27"/>
    <w:rsid w:val="00101E48"/>
    <w:rsid w:val="00101FFE"/>
    <w:rsid w:val="001023B1"/>
    <w:rsid w:val="0010241E"/>
    <w:rsid w:val="00102818"/>
    <w:rsid w:val="00102A3A"/>
    <w:rsid w:val="00102BD9"/>
    <w:rsid w:val="00102C58"/>
    <w:rsid w:val="00102E23"/>
    <w:rsid w:val="0010304A"/>
    <w:rsid w:val="001036D7"/>
    <w:rsid w:val="001038DE"/>
    <w:rsid w:val="00103919"/>
    <w:rsid w:val="00103966"/>
    <w:rsid w:val="001043B3"/>
    <w:rsid w:val="001046E0"/>
    <w:rsid w:val="00104839"/>
    <w:rsid w:val="00104B07"/>
    <w:rsid w:val="00104FA8"/>
    <w:rsid w:val="001054B2"/>
    <w:rsid w:val="001054C7"/>
    <w:rsid w:val="00105B26"/>
    <w:rsid w:val="00105C43"/>
    <w:rsid w:val="00105CEB"/>
    <w:rsid w:val="00106155"/>
    <w:rsid w:val="001061DF"/>
    <w:rsid w:val="00106349"/>
    <w:rsid w:val="001064FC"/>
    <w:rsid w:val="001068CC"/>
    <w:rsid w:val="0010701A"/>
    <w:rsid w:val="00107172"/>
    <w:rsid w:val="0010770A"/>
    <w:rsid w:val="00107AB3"/>
    <w:rsid w:val="00107BFE"/>
    <w:rsid w:val="0011005D"/>
    <w:rsid w:val="001105C4"/>
    <w:rsid w:val="00110734"/>
    <w:rsid w:val="001107FF"/>
    <w:rsid w:val="001113C5"/>
    <w:rsid w:val="00111699"/>
    <w:rsid w:val="00111D61"/>
    <w:rsid w:val="00111FE9"/>
    <w:rsid w:val="00112158"/>
    <w:rsid w:val="001122E9"/>
    <w:rsid w:val="0011285E"/>
    <w:rsid w:val="001128BC"/>
    <w:rsid w:val="00112930"/>
    <w:rsid w:val="00112AE3"/>
    <w:rsid w:val="00112B50"/>
    <w:rsid w:val="00112C86"/>
    <w:rsid w:val="00112CF7"/>
    <w:rsid w:val="00112E4B"/>
    <w:rsid w:val="001133FA"/>
    <w:rsid w:val="00113774"/>
    <w:rsid w:val="00113778"/>
    <w:rsid w:val="001139A9"/>
    <w:rsid w:val="00113C87"/>
    <w:rsid w:val="00114041"/>
    <w:rsid w:val="001140F5"/>
    <w:rsid w:val="0011426D"/>
    <w:rsid w:val="001144C9"/>
    <w:rsid w:val="0011496E"/>
    <w:rsid w:val="00114AB4"/>
    <w:rsid w:val="0011530F"/>
    <w:rsid w:val="001155F1"/>
    <w:rsid w:val="00115665"/>
    <w:rsid w:val="00115930"/>
    <w:rsid w:val="00115C58"/>
    <w:rsid w:val="00115E90"/>
    <w:rsid w:val="00115EEC"/>
    <w:rsid w:val="00116026"/>
    <w:rsid w:val="0011645C"/>
    <w:rsid w:val="001167BE"/>
    <w:rsid w:val="00116956"/>
    <w:rsid w:val="00116AB8"/>
    <w:rsid w:val="00116EF5"/>
    <w:rsid w:val="00116F7D"/>
    <w:rsid w:val="0011707C"/>
    <w:rsid w:val="00117126"/>
    <w:rsid w:val="001172D8"/>
    <w:rsid w:val="0011757C"/>
    <w:rsid w:val="0011782C"/>
    <w:rsid w:val="001178DA"/>
    <w:rsid w:val="00117BCB"/>
    <w:rsid w:val="00117D9E"/>
    <w:rsid w:val="00117FBD"/>
    <w:rsid w:val="00120414"/>
    <w:rsid w:val="001209C8"/>
    <w:rsid w:val="00120A3C"/>
    <w:rsid w:val="00120A50"/>
    <w:rsid w:val="00120AC2"/>
    <w:rsid w:val="00120EBC"/>
    <w:rsid w:val="00120F20"/>
    <w:rsid w:val="00121020"/>
    <w:rsid w:val="00121279"/>
    <w:rsid w:val="001212D2"/>
    <w:rsid w:val="00121645"/>
    <w:rsid w:val="00121851"/>
    <w:rsid w:val="00122344"/>
    <w:rsid w:val="0012241B"/>
    <w:rsid w:val="0012261A"/>
    <w:rsid w:val="00123095"/>
    <w:rsid w:val="00123284"/>
    <w:rsid w:val="00123674"/>
    <w:rsid w:val="001236F2"/>
    <w:rsid w:val="001239F4"/>
    <w:rsid w:val="00123BEF"/>
    <w:rsid w:val="00123C49"/>
    <w:rsid w:val="00123D11"/>
    <w:rsid w:val="00123D4D"/>
    <w:rsid w:val="00123E70"/>
    <w:rsid w:val="0012424C"/>
    <w:rsid w:val="001249D6"/>
    <w:rsid w:val="001250B4"/>
    <w:rsid w:val="00125196"/>
    <w:rsid w:val="00125C49"/>
    <w:rsid w:val="00126131"/>
    <w:rsid w:val="001262A3"/>
    <w:rsid w:val="00126ACA"/>
    <w:rsid w:val="00126F5C"/>
    <w:rsid w:val="00127298"/>
    <w:rsid w:val="0012734A"/>
    <w:rsid w:val="0012741E"/>
    <w:rsid w:val="0012767B"/>
    <w:rsid w:val="00127C1B"/>
    <w:rsid w:val="001301C0"/>
    <w:rsid w:val="001302B7"/>
    <w:rsid w:val="00130452"/>
    <w:rsid w:val="0013047F"/>
    <w:rsid w:val="001304E4"/>
    <w:rsid w:val="00130AD0"/>
    <w:rsid w:val="00130F81"/>
    <w:rsid w:val="001312B8"/>
    <w:rsid w:val="00131735"/>
    <w:rsid w:val="00131769"/>
    <w:rsid w:val="0013183D"/>
    <w:rsid w:val="001318D3"/>
    <w:rsid w:val="00131989"/>
    <w:rsid w:val="00131D43"/>
    <w:rsid w:val="00131E18"/>
    <w:rsid w:val="00131F16"/>
    <w:rsid w:val="00132189"/>
    <w:rsid w:val="001326B4"/>
    <w:rsid w:val="001327EE"/>
    <w:rsid w:val="00132802"/>
    <w:rsid w:val="00132EB8"/>
    <w:rsid w:val="001332BB"/>
    <w:rsid w:val="00133674"/>
    <w:rsid w:val="0013378F"/>
    <w:rsid w:val="001337D1"/>
    <w:rsid w:val="0013399D"/>
    <w:rsid w:val="001339F9"/>
    <w:rsid w:val="00133C00"/>
    <w:rsid w:val="00133CA8"/>
    <w:rsid w:val="00133D3F"/>
    <w:rsid w:val="00133DCA"/>
    <w:rsid w:val="00133EF2"/>
    <w:rsid w:val="001340B0"/>
    <w:rsid w:val="001345CC"/>
    <w:rsid w:val="00134756"/>
    <w:rsid w:val="00134B6C"/>
    <w:rsid w:val="001353C5"/>
    <w:rsid w:val="001353C7"/>
    <w:rsid w:val="00135688"/>
    <w:rsid w:val="001356E1"/>
    <w:rsid w:val="001358B6"/>
    <w:rsid w:val="001358F1"/>
    <w:rsid w:val="00136326"/>
    <w:rsid w:val="00136332"/>
    <w:rsid w:val="001368BD"/>
    <w:rsid w:val="001368FD"/>
    <w:rsid w:val="00136997"/>
    <w:rsid w:val="00136DFF"/>
    <w:rsid w:val="0013726A"/>
    <w:rsid w:val="00137350"/>
    <w:rsid w:val="00137636"/>
    <w:rsid w:val="001377CA"/>
    <w:rsid w:val="00137A9F"/>
    <w:rsid w:val="00137B2A"/>
    <w:rsid w:val="00137D4E"/>
    <w:rsid w:val="00137FFB"/>
    <w:rsid w:val="00140E5F"/>
    <w:rsid w:val="00140EEB"/>
    <w:rsid w:val="001410C4"/>
    <w:rsid w:val="001411AB"/>
    <w:rsid w:val="00141220"/>
    <w:rsid w:val="001416BC"/>
    <w:rsid w:val="001416C7"/>
    <w:rsid w:val="001419A6"/>
    <w:rsid w:val="00141A57"/>
    <w:rsid w:val="00142079"/>
    <w:rsid w:val="0014225F"/>
    <w:rsid w:val="00142569"/>
    <w:rsid w:val="00142BEF"/>
    <w:rsid w:val="0014327F"/>
    <w:rsid w:val="001432DD"/>
    <w:rsid w:val="00143353"/>
    <w:rsid w:val="001434E8"/>
    <w:rsid w:val="001434F7"/>
    <w:rsid w:val="00143533"/>
    <w:rsid w:val="0014367C"/>
    <w:rsid w:val="00143909"/>
    <w:rsid w:val="00143E32"/>
    <w:rsid w:val="00144013"/>
    <w:rsid w:val="001447BA"/>
    <w:rsid w:val="00144A7A"/>
    <w:rsid w:val="00144ED3"/>
    <w:rsid w:val="0014504B"/>
    <w:rsid w:val="00145124"/>
    <w:rsid w:val="0014574A"/>
    <w:rsid w:val="00145780"/>
    <w:rsid w:val="00145783"/>
    <w:rsid w:val="0014594A"/>
    <w:rsid w:val="00145BC7"/>
    <w:rsid w:val="00145C69"/>
    <w:rsid w:val="00145CAB"/>
    <w:rsid w:val="00145DE4"/>
    <w:rsid w:val="00146058"/>
    <w:rsid w:val="001465F3"/>
    <w:rsid w:val="00146A10"/>
    <w:rsid w:val="00146BBA"/>
    <w:rsid w:val="00146E3B"/>
    <w:rsid w:val="00146EF6"/>
    <w:rsid w:val="0014723A"/>
    <w:rsid w:val="001473DA"/>
    <w:rsid w:val="001474CE"/>
    <w:rsid w:val="0014762E"/>
    <w:rsid w:val="00147656"/>
    <w:rsid w:val="001479F1"/>
    <w:rsid w:val="00147DD4"/>
    <w:rsid w:val="001505A5"/>
    <w:rsid w:val="00150A6A"/>
    <w:rsid w:val="00150AD1"/>
    <w:rsid w:val="00150B6C"/>
    <w:rsid w:val="00150DC9"/>
    <w:rsid w:val="00150F1B"/>
    <w:rsid w:val="00151279"/>
    <w:rsid w:val="001513F2"/>
    <w:rsid w:val="001517A0"/>
    <w:rsid w:val="00151817"/>
    <w:rsid w:val="001518B5"/>
    <w:rsid w:val="00151A73"/>
    <w:rsid w:val="00151C74"/>
    <w:rsid w:val="00151CA7"/>
    <w:rsid w:val="00151E0B"/>
    <w:rsid w:val="001521E8"/>
    <w:rsid w:val="00152AFF"/>
    <w:rsid w:val="00152C37"/>
    <w:rsid w:val="00152CC3"/>
    <w:rsid w:val="00153168"/>
    <w:rsid w:val="0015316D"/>
    <w:rsid w:val="001538B6"/>
    <w:rsid w:val="00153A2F"/>
    <w:rsid w:val="00153BD4"/>
    <w:rsid w:val="00153D07"/>
    <w:rsid w:val="00153D9B"/>
    <w:rsid w:val="001540F4"/>
    <w:rsid w:val="001541A1"/>
    <w:rsid w:val="0015426C"/>
    <w:rsid w:val="0015426E"/>
    <w:rsid w:val="00154688"/>
    <w:rsid w:val="00154AC8"/>
    <w:rsid w:val="00154AF0"/>
    <w:rsid w:val="00154CDF"/>
    <w:rsid w:val="00154E81"/>
    <w:rsid w:val="00154F60"/>
    <w:rsid w:val="00155049"/>
    <w:rsid w:val="0015530B"/>
    <w:rsid w:val="001553B9"/>
    <w:rsid w:val="00155492"/>
    <w:rsid w:val="00155773"/>
    <w:rsid w:val="001558AC"/>
    <w:rsid w:val="001558B6"/>
    <w:rsid w:val="00155FCE"/>
    <w:rsid w:val="00155FEF"/>
    <w:rsid w:val="00156121"/>
    <w:rsid w:val="0015694B"/>
    <w:rsid w:val="00156F96"/>
    <w:rsid w:val="00157453"/>
    <w:rsid w:val="001574E0"/>
    <w:rsid w:val="0015778A"/>
    <w:rsid w:val="001578E2"/>
    <w:rsid w:val="00157A0E"/>
    <w:rsid w:val="00157BD8"/>
    <w:rsid w:val="00157BDF"/>
    <w:rsid w:val="00157D90"/>
    <w:rsid w:val="001601C8"/>
    <w:rsid w:val="0016024C"/>
    <w:rsid w:val="001602C8"/>
    <w:rsid w:val="00160448"/>
    <w:rsid w:val="00160508"/>
    <w:rsid w:val="00160BE3"/>
    <w:rsid w:val="00160DA1"/>
    <w:rsid w:val="001611CB"/>
    <w:rsid w:val="001615A4"/>
    <w:rsid w:val="001617BB"/>
    <w:rsid w:val="00161864"/>
    <w:rsid w:val="00161A40"/>
    <w:rsid w:val="00161B50"/>
    <w:rsid w:val="00161B7C"/>
    <w:rsid w:val="00162095"/>
    <w:rsid w:val="00162173"/>
    <w:rsid w:val="00162706"/>
    <w:rsid w:val="001630F3"/>
    <w:rsid w:val="0016324D"/>
    <w:rsid w:val="001632C4"/>
    <w:rsid w:val="00163338"/>
    <w:rsid w:val="001634A7"/>
    <w:rsid w:val="00163528"/>
    <w:rsid w:val="001637F2"/>
    <w:rsid w:val="0016381E"/>
    <w:rsid w:val="001638AD"/>
    <w:rsid w:val="00163C40"/>
    <w:rsid w:val="00163FCD"/>
    <w:rsid w:val="00164034"/>
    <w:rsid w:val="001646D9"/>
    <w:rsid w:val="001648E8"/>
    <w:rsid w:val="00164F89"/>
    <w:rsid w:val="0016519D"/>
    <w:rsid w:val="00165318"/>
    <w:rsid w:val="001656F8"/>
    <w:rsid w:val="00165811"/>
    <w:rsid w:val="0016594B"/>
    <w:rsid w:val="00165F20"/>
    <w:rsid w:val="001660FB"/>
    <w:rsid w:val="00166173"/>
    <w:rsid w:val="001661B4"/>
    <w:rsid w:val="001661C0"/>
    <w:rsid w:val="001662E3"/>
    <w:rsid w:val="00166672"/>
    <w:rsid w:val="00166D66"/>
    <w:rsid w:val="00166E23"/>
    <w:rsid w:val="00167353"/>
    <w:rsid w:val="001679CB"/>
    <w:rsid w:val="00167B4C"/>
    <w:rsid w:val="00170016"/>
    <w:rsid w:val="00170C28"/>
    <w:rsid w:val="00170CA4"/>
    <w:rsid w:val="001710B9"/>
    <w:rsid w:val="0017123C"/>
    <w:rsid w:val="0017124D"/>
    <w:rsid w:val="00171BE1"/>
    <w:rsid w:val="0017200C"/>
    <w:rsid w:val="00172336"/>
    <w:rsid w:val="00172393"/>
    <w:rsid w:val="001726D1"/>
    <w:rsid w:val="00172A27"/>
    <w:rsid w:val="00172E53"/>
    <w:rsid w:val="00172E9E"/>
    <w:rsid w:val="00172F02"/>
    <w:rsid w:val="001735AD"/>
    <w:rsid w:val="001737A3"/>
    <w:rsid w:val="0017394D"/>
    <w:rsid w:val="00173AFD"/>
    <w:rsid w:val="00173D97"/>
    <w:rsid w:val="0017402E"/>
    <w:rsid w:val="001743AA"/>
    <w:rsid w:val="00174514"/>
    <w:rsid w:val="0017463A"/>
    <w:rsid w:val="00174AA3"/>
    <w:rsid w:val="00174C1D"/>
    <w:rsid w:val="00174E9A"/>
    <w:rsid w:val="001751CC"/>
    <w:rsid w:val="0017536D"/>
    <w:rsid w:val="001753E6"/>
    <w:rsid w:val="001754D5"/>
    <w:rsid w:val="00175A0F"/>
    <w:rsid w:val="00175B0F"/>
    <w:rsid w:val="00175BA2"/>
    <w:rsid w:val="00175CDB"/>
    <w:rsid w:val="001762EC"/>
    <w:rsid w:val="001765D4"/>
    <w:rsid w:val="00176611"/>
    <w:rsid w:val="0017662A"/>
    <w:rsid w:val="00176B28"/>
    <w:rsid w:val="00176D67"/>
    <w:rsid w:val="001770DF"/>
    <w:rsid w:val="001775C3"/>
    <w:rsid w:val="0017786B"/>
    <w:rsid w:val="00177947"/>
    <w:rsid w:val="00177B38"/>
    <w:rsid w:val="0018002B"/>
    <w:rsid w:val="00180086"/>
    <w:rsid w:val="0018029F"/>
    <w:rsid w:val="001804C6"/>
    <w:rsid w:val="0018057C"/>
    <w:rsid w:val="001807F4"/>
    <w:rsid w:val="00180954"/>
    <w:rsid w:val="00180F71"/>
    <w:rsid w:val="00181354"/>
    <w:rsid w:val="00181520"/>
    <w:rsid w:val="001816C5"/>
    <w:rsid w:val="0018187F"/>
    <w:rsid w:val="00181884"/>
    <w:rsid w:val="00181923"/>
    <w:rsid w:val="00181E53"/>
    <w:rsid w:val="00182354"/>
    <w:rsid w:val="00182520"/>
    <w:rsid w:val="0018272F"/>
    <w:rsid w:val="00182A6D"/>
    <w:rsid w:val="00182B40"/>
    <w:rsid w:val="0018317F"/>
    <w:rsid w:val="00183367"/>
    <w:rsid w:val="00183421"/>
    <w:rsid w:val="001835A5"/>
    <w:rsid w:val="00183686"/>
    <w:rsid w:val="00183CE1"/>
    <w:rsid w:val="001843ED"/>
    <w:rsid w:val="0018462B"/>
    <w:rsid w:val="00184911"/>
    <w:rsid w:val="00184987"/>
    <w:rsid w:val="00185017"/>
    <w:rsid w:val="00185535"/>
    <w:rsid w:val="00185DD6"/>
    <w:rsid w:val="00185E66"/>
    <w:rsid w:val="001860EE"/>
    <w:rsid w:val="00186216"/>
    <w:rsid w:val="001864AF"/>
    <w:rsid w:val="001865C2"/>
    <w:rsid w:val="00186613"/>
    <w:rsid w:val="00186662"/>
    <w:rsid w:val="00186801"/>
    <w:rsid w:val="00186841"/>
    <w:rsid w:val="00186A42"/>
    <w:rsid w:val="00186DC0"/>
    <w:rsid w:val="00186F31"/>
    <w:rsid w:val="0018707D"/>
    <w:rsid w:val="00187261"/>
    <w:rsid w:val="001872C9"/>
    <w:rsid w:val="00187602"/>
    <w:rsid w:val="00187643"/>
    <w:rsid w:val="0018790C"/>
    <w:rsid w:val="001879C5"/>
    <w:rsid w:val="00187D8E"/>
    <w:rsid w:val="00187E24"/>
    <w:rsid w:val="0019063C"/>
    <w:rsid w:val="00190C6B"/>
    <w:rsid w:val="00190D27"/>
    <w:rsid w:val="00190ED7"/>
    <w:rsid w:val="00190F9E"/>
    <w:rsid w:val="00191043"/>
    <w:rsid w:val="001913F4"/>
    <w:rsid w:val="00191ED1"/>
    <w:rsid w:val="00192054"/>
    <w:rsid w:val="001920AD"/>
    <w:rsid w:val="00192203"/>
    <w:rsid w:val="00192B91"/>
    <w:rsid w:val="00192C14"/>
    <w:rsid w:val="00192E62"/>
    <w:rsid w:val="00192E73"/>
    <w:rsid w:val="00192EE3"/>
    <w:rsid w:val="00192FE7"/>
    <w:rsid w:val="00193122"/>
    <w:rsid w:val="00193676"/>
    <w:rsid w:val="0019384E"/>
    <w:rsid w:val="00193856"/>
    <w:rsid w:val="00193BD2"/>
    <w:rsid w:val="00193C7E"/>
    <w:rsid w:val="00193EA3"/>
    <w:rsid w:val="00193EA8"/>
    <w:rsid w:val="00193F46"/>
    <w:rsid w:val="00193FAA"/>
    <w:rsid w:val="00193FAD"/>
    <w:rsid w:val="00194015"/>
    <w:rsid w:val="00194633"/>
    <w:rsid w:val="001949DA"/>
    <w:rsid w:val="00194C40"/>
    <w:rsid w:val="00194C7E"/>
    <w:rsid w:val="00194D34"/>
    <w:rsid w:val="00194D53"/>
    <w:rsid w:val="00195BB9"/>
    <w:rsid w:val="00195BCC"/>
    <w:rsid w:val="00195C01"/>
    <w:rsid w:val="00195CF1"/>
    <w:rsid w:val="00195E4D"/>
    <w:rsid w:val="001965B8"/>
    <w:rsid w:val="0019686E"/>
    <w:rsid w:val="00196894"/>
    <w:rsid w:val="00196E95"/>
    <w:rsid w:val="00196F50"/>
    <w:rsid w:val="001970BD"/>
    <w:rsid w:val="0019721A"/>
    <w:rsid w:val="001977F4"/>
    <w:rsid w:val="0019782C"/>
    <w:rsid w:val="001978E1"/>
    <w:rsid w:val="001978E4"/>
    <w:rsid w:val="00197DCF"/>
    <w:rsid w:val="001A000C"/>
    <w:rsid w:val="001A006A"/>
    <w:rsid w:val="001A0495"/>
    <w:rsid w:val="001A0597"/>
    <w:rsid w:val="001A0ABE"/>
    <w:rsid w:val="001A0CBB"/>
    <w:rsid w:val="001A0D58"/>
    <w:rsid w:val="001A0D8B"/>
    <w:rsid w:val="001A0F94"/>
    <w:rsid w:val="001A0FE9"/>
    <w:rsid w:val="001A12E2"/>
    <w:rsid w:val="001A1373"/>
    <w:rsid w:val="001A1466"/>
    <w:rsid w:val="001A14CC"/>
    <w:rsid w:val="001A15D0"/>
    <w:rsid w:val="001A1688"/>
    <w:rsid w:val="001A1843"/>
    <w:rsid w:val="001A185A"/>
    <w:rsid w:val="001A1862"/>
    <w:rsid w:val="001A18E2"/>
    <w:rsid w:val="001A192B"/>
    <w:rsid w:val="001A1A93"/>
    <w:rsid w:val="001A1B68"/>
    <w:rsid w:val="001A293D"/>
    <w:rsid w:val="001A29C8"/>
    <w:rsid w:val="001A2D5A"/>
    <w:rsid w:val="001A31A6"/>
    <w:rsid w:val="001A3573"/>
    <w:rsid w:val="001A37DB"/>
    <w:rsid w:val="001A3CA7"/>
    <w:rsid w:val="001A42C2"/>
    <w:rsid w:val="001A42CF"/>
    <w:rsid w:val="001A444F"/>
    <w:rsid w:val="001A44E6"/>
    <w:rsid w:val="001A450B"/>
    <w:rsid w:val="001A4809"/>
    <w:rsid w:val="001A4AF5"/>
    <w:rsid w:val="001A4CD5"/>
    <w:rsid w:val="001A5030"/>
    <w:rsid w:val="001A5285"/>
    <w:rsid w:val="001A5713"/>
    <w:rsid w:val="001A5A27"/>
    <w:rsid w:val="001A5E51"/>
    <w:rsid w:val="001A60B0"/>
    <w:rsid w:val="001A6209"/>
    <w:rsid w:val="001A6DA9"/>
    <w:rsid w:val="001A6FBC"/>
    <w:rsid w:val="001A6FC4"/>
    <w:rsid w:val="001A6FD1"/>
    <w:rsid w:val="001A700D"/>
    <w:rsid w:val="001A70E7"/>
    <w:rsid w:val="001A7465"/>
    <w:rsid w:val="001A74F8"/>
    <w:rsid w:val="001A77DA"/>
    <w:rsid w:val="001A7EB3"/>
    <w:rsid w:val="001A7F37"/>
    <w:rsid w:val="001B0534"/>
    <w:rsid w:val="001B05D5"/>
    <w:rsid w:val="001B0610"/>
    <w:rsid w:val="001B0DAF"/>
    <w:rsid w:val="001B127A"/>
    <w:rsid w:val="001B16D9"/>
    <w:rsid w:val="001B1B04"/>
    <w:rsid w:val="001B2118"/>
    <w:rsid w:val="001B2A60"/>
    <w:rsid w:val="001B3296"/>
    <w:rsid w:val="001B33EB"/>
    <w:rsid w:val="001B3645"/>
    <w:rsid w:val="001B37FA"/>
    <w:rsid w:val="001B38A2"/>
    <w:rsid w:val="001B3F69"/>
    <w:rsid w:val="001B4043"/>
    <w:rsid w:val="001B4111"/>
    <w:rsid w:val="001B41CD"/>
    <w:rsid w:val="001B444B"/>
    <w:rsid w:val="001B4AD2"/>
    <w:rsid w:val="001B4B8C"/>
    <w:rsid w:val="001B4FBA"/>
    <w:rsid w:val="001B51FD"/>
    <w:rsid w:val="001B5216"/>
    <w:rsid w:val="001B5613"/>
    <w:rsid w:val="001B5AE5"/>
    <w:rsid w:val="001B5AFD"/>
    <w:rsid w:val="001B6183"/>
    <w:rsid w:val="001B6410"/>
    <w:rsid w:val="001B64CA"/>
    <w:rsid w:val="001B65BE"/>
    <w:rsid w:val="001B68B8"/>
    <w:rsid w:val="001B6938"/>
    <w:rsid w:val="001B6996"/>
    <w:rsid w:val="001B780B"/>
    <w:rsid w:val="001B7E81"/>
    <w:rsid w:val="001C02B9"/>
    <w:rsid w:val="001C0A4B"/>
    <w:rsid w:val="001C100C"/>
    <w:rsid w:val="001C188F"/>
    <w:rsid w:val="001C19A5"/>
    <w:rsid w:val="001C1AB7"/>
    <w:rsid w:val="001C1C09"/>
    <w:rsid w:val="001C1F5E"/>
    <w:rsid w:val="001C215F"/>
    <w:rsid w:val="001C2217"/>
    <w:rsid w:val="001C2509"/>
    <w:rsid w:val="001C268F"/>
    <w:rsid w:val="001C283E"/>
    <w:rsid w:val="001C29E9"/>
    <w:rsid w:val="001C2A6E"/>
    <w:rsid w:val="001C2E88"/>
    <w:rsid w:val="001C2F3F"/>
    <w:rsid w:val="001C3004"/>
    <w:rsid w:val="001C3089"/>
    <w:rsid w:val="001C3377"/>
    <w:rsid w:val="001C381A"/>
    <w:rsid w:val="001C3D96"/>
    <w:rsid w:val="001C3EF7"/>
    <w:rsid w:val="001C4218"/>
    <w:rsid w:val="001C42A6"/>
    <w:rsid w:val="001C4741"/>
    <w:rsid w:val="001C47CC"/>
    <w:rsid w:val="001C488C"/>
    <w:rsid w:val="001C4957"/>
    <w:rsid w:val="001C5081"/>
    <w:rsid w:val="001C51DD"/>
    <w:rsid w:val="001C550D"/>
    <w:rsid w:val="001C565A"/>
    <w:rsid w:val="001C5EC2"/>
    <w:rsid w:val="001C60EB"/>
    <w:rsid w:val="001C62B5"/>
    <w:rsid w:val="001C63CA"/>
    <w:rsid w:val="001C6DEF"/>
    <w:rsid w:val="001C77B2"/>
    <w:rsid w:val="001C7ADE"/>
    <w:rsid w:val="001D0471"/>
    <w:rsid w:val="001D0B11"/>
    <w:rsid w:val="001D0E14"/>
    <w:rsid w:val="001D129C"/>
    <w:rsid w:val="001D14A1"/>
    <w:rsid w:val="001D180F"/>
    <w:rsid w:val="001D182C"/>
    <w:rsid w:val="001D1849"/>
    <w:rsid w:val="001D1A02"/>
    <w:rsid w:val="001D1AE1"/>
    <w:rsid w:val="001D1BB4"/>
    <w:rsid w:val="001D20E4"/>
    <w:rsid w:val="001D234A"/>
    <w:rsid w:val="001D23BA"/>
    <w:rsid w:val="001D24B5"/>
    <w:rsid w:val="001D25CA"/>
    <w:rsid w:val="001D2B96"/>
    <w:rsid w:val="001D30D5"/>
    <w:rsid w:val="001D32E3"/>
    <w:rsid w:val="001D3D56"/>
    <w:rsid w:val="001D4958"/>
    <w:rsid w:val="001D4DFA"/>
    <w:rsid w:val="001D4ED1"/>
    <w:rsid w:val="001D52A5"/>
    <w:rsid w:val="001D57F2"/>
    <w:rsid w:val="001D5853"/>
    <w:rsid w:val="001D5AA7"/>
    <w:rsid w:val="001D5DDA"/>
    <w:rsid w:val="001D5DF1"/>
    <w:rsid w:val="001D63AB"/>
    <w:rsid w:val="001D646B"/>
    <w:rsid w:val="001D6BF1"/>
    <w:rsid w:val="001D6C44"/>
    <w:rsid w:val="001D6F65"/>
    <w:rsid w:val="001D7771"/>
    <w:rsid w:val="001D77B2"/>
    <w:rsid w:val="001D7931"/>
    <w:rsid w:val="001D7BD6"/>
    <w:rsid w:val="001D7C29"/>
    <w:rsid w:val="001E020F"/>
    <w:rsid w:val="001E0236"/>
    <w:rsid w:val="001E03D1"/>
    <w:rsid w:val="001E0A54"/>
    <w:rsid w:val="001E0C88"/>
    <w:rsid w:val="001E11B4"/>
    <w:rsid w:val="001E14C3"/>
    <w:rsid w:val="001E1970"/>
    <w:rsid w:val="001E1AAB"/>
    <w:rsid w:val="001E1EC4"/>
    <w:rsid w:val="001E2019"/>
    <w:rsid w:val="001E20C2"/>
    <w:rsid w:val="001E20EF"/>
    <w:rsid w:val="001E2108"/>
    <w:rsid w:val="001E2F6B"/>
    <w:rsid w:val="001E2F9F"/>
    <w:rsid w:val="001E312E"/>
    <w:rsid w:val="001E3478"/>
    <w:rsid w:val="001E3726"/>
    <w:rsid w:val="001E3F55"/>
    <w:rsid w:val="001E40CF"/>
    <w:rsid w:val="001E4111"/>
    <w:rsid w:val="001E415A"/>
    <w:rsid w:val="001E4340"/>
    <w:rsid w:val="001E4382"/>
    <w:rsid w:val="001E4543"/>
    <w:rsid w:val="001E4A77"/>
    <w:rsid w:val="001E579D"/>
    <w:rsid w:val="001E5803"/>
    <w:rsid w:val="001E59E7"/>
    <w:rsid w:val="001E5AFB"/>
    <w:rsid w:val="001E5C48"/>
    <w:rsid w:val="001E5D91"/>
    <w:rsid w:val="001E6418"/>
    <w:rsid w:val="001E6800"/>
    <w:rsid w:val="001E6A7B"/>
    <w:rsid w:val="001E6CFC"/>
    <w:rsid w:val="001E6ECA"/>
    <w:rsid w:val="001E72ED"/>
    <w:rsid w:val="001E7327"/>
    <w:rsid w:val="001E736C"/>
    <w:rsid w:val="001E78EE"/>
    <w:rsid w:val="001E7ADA"/>
    <w:rsid w:val="001E7D80"/>
    <w:rsid w:val="001E7DFD"/>
    <w:rsid w:val="001E7EE7"/>
    <w:rsid w:val="001F013E"/>
    <w:rsid w:val="001F0176"/>
    <w:rsid w:val="001F01AC"/>
    <w:rsid w:val="001F021B"/>
    <w:rsid w:val="001F03CA"/>
    <w:rsid w:val="001F05C6"/>
    <w:rsid w:val="001F0ECB"/>
    <w:rsid w:val="001F1546"/>
    <w:rsid w:val="001F16B1"/>
    <w:rsid w:val="001F1765"/>
    <w:rsid w:val="001F1772"/>
    <w:rsid w:val="001F18AF"/>
    <w:rsid w:val="001F1D9D"/>
    <w:rsid w:val="001F2028"/>
    <w:rsid w:val="001F2448"/>
    <w:rsid w:val="001F24DF"/>
    <w:rsid w:val="001F26F5"/>
    <w:rsid w:val="001F2736"/>
    <w:rsid w:val="001F2839"/>
    <w:rsid w:val="001F2957"/>
    <w:rsid w:val="001F2A99"/>
    <w:rsid w:val="001F2C51"/>
    <w:rsid w:val="001F2F5C"/>
    <w:rsid w:val="001F321D"/>
    <w:rsid w:val="001F37C9"/>
    <w:rsid w:val="001F3A8F"/>
    <w:rsid w:val="001F3C4E"/>
    <w:rsid w:val="001F3D02"/>
    <w:rsid w:val="001F3DC3"/>
    <w:rsid w:val="001F3E13"/>
    <w:rsid w:val="001F4513"/>
    <w:rsid w:val="001F45E6"/>
    <w:rsid w:val="001F4873"/>
    <w:rsid w:val="001F4925"/>
    <w:rsid w:val="001F4EF9"/>
    <w:rsid w:val="001F4F5D"/>
    <w:rsid w:val="001F4F9D"/>
    <w:rsid w:val="001F509C"/>
    <w:rsid w:val="001F54AA"/>
    <w:rsid w:val="001F54E1"/>
    <w:rsid w:val="001F552F"/>
    <w:rsid w:val="001F5B52"/>
    <w:rsid w:val="001F60C9"/>
    <w:rsid w:val="001F62F3"/>
    <w:rsid w:val="001F6315"/>
    <w:rsid w:val="001F6371"/>
    <w:rsid w:val="001F6481"/>
    <w:rsid w:val="001F68F7"/>
    <w:rsid w:val="001F6AFA"/>
    <w:rsid w:val="001F7622"/>
    <w:rsid w:val="001F774D"/>
    <w:rsid w:val="001F7AC9"/>
    <w:rsid w:val="001F7D28"/>
    <w:rsid w:val="001F7EA5"/>
    <w:rsid w:val="001F7EF5"/>
    <w:rsid w:val="002002E7"/>
    <w:rsid w:val="00200497"/>
    <w:rsid w:val="002005BA"/>
    <w:rsid w:val="0020077C"/>
    <w:rsid w:val="0020085A"/>
    <w:rsid w:val="00200A69"/>
    <w:rsid w:val="00200CE7"/>
    <w:rsid w:val="00201084"/>
    <w:rsid w:val="00201272"/>
    <w:rsid w:val="0020153B"/>
    <w:rsid w:val="00201603"/>
    <w:rsid w:val="0020168C"/>
    <w:rsid w:val="00201E2D"/>
    <w:rsid w:val="0020203E"/>
    <w:rsid w:val="0020221B"/>
    <w:rsid w:val="00202784"/>
    <w:rsid w:val="00202C3F"/>
    <w:rsid w:val="00202D35"/>
    <w:rsid w:val="00203162"/>
    <w:rsid w:val="0020327F"/>
    <w:rsid w:val="002035A6"/>
    <w:rsid w:val="00203683"/>
    <w:rsid w:val="002037E3"/>
    <w:rsid w:val="00203A02"/>
    <w:rsid w:val="00203A20"/>
    <w:rsid w:val="00203B2D"/>
    <w:rsid w:val="00203B4D"/>
    <w:rsid w:val="00203D08"/>
    <w:rsid w:val="002042C9"/>
    <w:rsid w:val="00204386"/>
    <w:rsid w:val="002043C6"/>
    <w:rsid w:val="002043DB"/>
    <w:rsid w:val="002046CF"/>
    <w:rsid w:val="00204A25"/>
    <w:rsid w:val="00204E57"/>
    <w:rsid w:val="00205006"/>
    <w:rsid w:val="0020508E"/>
    <w:rsid w:val="0020576B"/>
    <w:rsid w:val="00205A3F"/>
    <w:rsid w:val="00205B34"/>
    <w:rsid w:val="0020600A"/>
    <w:rsid w:val="002060F6"/>
    <w:rsid w:val="0020610B"/>
    <w:rsid w:val="0020611D"/>
    <w:rsid w:val="002063A7"/>
    <w:rsid w:val="0020642D"/>
    <w:rsid w:val="002064F8"/>
    <w:rsid w:val="00206600"/>
    <w:rsid w:val="00206654"/>
    <w:rsid w:val="0020675B"/>
    <w:rsid w:val="00206AA1"/>
    <w:rsid w:val="00206BDB"/>
    <w:rsid w:val="00206BE2"/>
    <w:rsid w:val="00206C78"/>
    <w:rsid w:val="00206CC6"/>
    <w:rsid w:val="0020710A"/>
    <w:rsid w:val="00207A8D"/>
    <w:rsid w:val="002102B9"/>
    <w:rsid w:val="00210425"/>
    <w:rsid w:val="00210600"/>
    <w:rsid w:val="00210970"/>
    <w:rsid w:val="002111D2"/>
    <w:rsid w:val="002113CB"/>
    <w:rsid w:val="002115A6"/>
    <w:rsid w:val="00211636"/>
    <w:rsid w:val="00211945"/>
    <w:rsid w:val="00211F37"/>
    <w:rsid w:val="00211F69"/>
    <w:rsid w:val="002120B7"/>
    <w:rsid w:val="002121B0"/>
    <w:rsid w:val="00212255"/>
    <w:rsid w:val="0021240C"/>
    <w:rsid w:val="00212598"/>
    <w:rsid w:val="0021267D"/>
    <w:rsid w:val="0021269D"/>
    <w:rsid w:val="00212DF7"/>
    <w:rsid w:val="002130F7"/>
    <w:rsid w:val="002130FC"/>
    <w:rsid w:val="00213102"/>
    <w:rsid w:val="00213539"/>
    <w:rsid w:val="00213798"/>
    <w:rsid w:val="002137DD"/>
    <w:rsid w:val="0021384E"/>
    <w:rsid w:val="00213E27"/>
    <w:rsid w:val="00213FC6"/>
    <w:rsid w:val="00214539"/>
    <w:rsid w:val="002146C2"/>
    <w:rsid w:val="002148F0"/>
    <w:rsid w:val="002149DE"/>
    <w:rsid w:val="00214A5C"/>
    <w:rsid w:val="00214B26"/>
    <w:rsid w:val="00214D9F"/>
    <w:rsid w:val="0021569E"/>
    <w:rsid w:val="00215AF1"/>
    <w:rsid w:val="00215E21"/>
    <w:rsid w:val="00215ED2"/>
    <w:rsid w:val="00215F6A"/>
    <w:rsid w:val="002166AB"/>
    <w:rsid w:val="00216C09"/>
    <w:rsid w:val="00216F7C"/>
    <w:rsid w:val="00217385"/>
    <w:rsid w:val="002174D8"/>
    <w:rsid w:val="0021792D"/>
    <w:rsid w:val="002201A4"/>
    <w:rsid w:val="002201D6"/>
    <w:rsid w:val="00220733"/>
    <w:rsid w:val="0022083E"/>
    <w:rsid w:val="00220B25"/>
    <w:rsid w:val="00220BD2"/>
    <w:rsid w:val="00220E47"/>
    <w:rsid w:val="00220FAC"/>
    <w:rsid w:val="0022142C"/>
    <w:rsid w:val="002214FC"/>
    <w:rsid w:val="0022162D"/>
    <w:rsid w:val="002216A9"/>
    <w:rsid w:val="002216F6"/>
    <w:rsid w:val="002217D3"/>
    <w:rsid w:val="002218F0"/>
    <w:rsid w:val="00221BB1"/>
    <w:rsid w:val="00221C9C"/>
    <w:rsid w:val="00222387"/>
    <w:rsid w:val="002224C9"/>
    <w:rsid w:val="00222946"/>
    <w:rsid w:val="00222A8E"/>
    <w:rsid w:val="00222D96"/>
    <w:rsid w:val="00222F91"/>
    <w:rsid w:val="0022318E"/>
    <w:rsid w:val="002231D5"/>
    <w:rsid w:val="00223659"/>
    <w:rsid w:val="00223A4A"/>
    <w:rsid w:val="00223B02"/>
    <w:rsid w:val="00223C9A"/>
    <w:rsid w:val="00223CDA"/>
    <w:rsid w:val="00224216"/>
    <w:rsid w:val="00224259"/>
    <w:rsid w:val="00224648"/>
    <w:rsid w:val="002247A5"/>
    <w:rsid w:val="00224B57"/>
    <w:rsid w:val="00224CFA"/>
    <w:rsid w:val="002250AA"/>
    <w:rsid w:val="00225C04"/>
    <w:rsid w:val="00225C5E"/>
    <w:rsid w:val="00226282"/>
    <w:rsid w:val="00226C45"/>
    <w:rsid w:val="00227880"/>
    <w:rsid w:val="00227B0E"/>
    <w:rsid w:val="00227C4B"/>
    <w:rsid w:val="00227EAA"/>
    <w:rsid w:val="00227EB2"/>
    <w:rsid w:val="00230C57"/>
    <w:rsid w:val="002311BE"/>
    <w:rsid w:val="002316AC"/>
    <w:rsid w:val="002316D7"/>
    <w:rsid w:val="00231D1D"/>
    <w:rsid w:val="002322B9"/>
    <w:rsid w:val="002324BA"/>
    <w:rsid w:val="002327DA"/>
    <w:rsid w:val="00232A38"/>
    <w:rsid w:val="00232B90"/>
    <w:rsid w:val="00232C59"/>
    <w:rsid w:val="0023320B"/>
    <w:rsid w:val="002332DD"/>
    <w:rsid w:val="002333BB"/>
    <w:rsid w:val="00233630"/>
    <w:rsid w:val="00233ACA"/>
    <w:rsid w:val="00233D7F"/>
    <w:rsid w:val="00233E05"/>
    <w:rsid w:val="00234235"/>
    <w:rsid w:val="00234962"/>
    <w:rsid w:val="00234E23"/>
    <w:rsid w:val="00234E34"/>
    <w:rsid w:val="002350F5"/>
    <w:rsid w:val="00235167"/>
    <w:rsid w:val="002355A2"/>
    <w:rsid w:val="00235A1A"/>
    <w:rsid w:val="00235A3F"/>
    <w:rsid w:val="002365D5"/>
    <w:rsid w:val="002367C3"/>
    <w:rsid w:val="00236C01"/>
    <w:rsid w:val="00236C96"/>
    <w:rsid w:val="00236D0C"/>
    <w:rsid w:val="00236E2E"/>
    <w:rsid w:val="00237265"/>
    <w:rsid w:val="00237573"/>
    <w:rsid w:val="002375D1"/>
    <w:rsid w:val="00237D1D"/>
    <w:rsid w:val="00240013"/>
    <w:rsid w:val="002404E4"/>
    <w:rsid w:val="002409FF"/>
    <w:rsid w:val="00240AF4"/>
    <w:rsid w:val="00240B95"/>
    <w:rsid w:val="00240E0E"/>
    <w:rsid w:val="00240E95"/>
    <w:rsid w:val="00241108"/>
    <w:rsid w:val="002411BF"/>
    <w:rsid w:val="0024141B"/>
    <w:rsid w:val="00241528"/>
    <w:rsid w:val="002419FD"/>
    <w:rsid w:val="00241D11"/>
    <w:rsid w:val="0024207D"/>
    <w:rsid w:val="002420AF"/>
    <w:rsid w:val="002423F2"/>
    <w:rsid w:val="002424D9"/>
    <w:rsid w:val="00242CCA"/>
    <w:rsid w:val="00242DE1"/>
    <w:rsid w:val="00242E80"/>
    <w:rsid w:val="00242FAD"/>
    <w:rsid w:val="00243104"/>
    <w:rsid w:val="002433F8"/>
    <w:rsid w:val="0024361A"/>
    <w:rsid w:val="0024396F"/>
    <w:rsid w:val="00243A13"/>
    <w:rsid w:val="002440FC"/>
    <w:rsid w:val="00244377"/>
    <w:rsid w:val="0024473D"/>
    <w:rsid w:val="002447D3"/>
    <w:rsid w:val="002448E2"/>
    <w:rsid w:val="00244B90"/>
    <w:rsid w:val="00244C7A"/>
    <w:rsid w:val="0024502D"/>
    <w:rsid w:val="002453E5"/>
    <w:rsid w:val="002456D1"/>
    <w:rsid w:val="00245896"/>
    <w:rsid w:val="0024596F"/>
    <w:rsid w:val="00245A60"/>
    <w:rsid w:val="00245CEF"/>
    <w:rsid w:val="00245D29"/>
    <w:rsid w:val="00245E95"/>
    <w:rsid w:val="00246019"/>
    <w:rsid w:val="00246429"/>
    <w:rsid w:val="00246627"/>
    <w:rsid w:val="0024676D"/>
    <w:rsid w:val="002467B8"/>
    <w:rsid w:val="00246A74"/>
    <w:rsid w:val="00246EA5"/>
    <w:rsid w:val="00246EC4"/>
    <w:rsid w:val="00246FCE"/>
    <w:rsid w:val="00247012"/>
    <w:rsid w:val="00247466"/>
    <w:rsid w:val="002478B8"/>
    <w:rsid w:val="00247A31"/>
    <w:rsid w:val="00247CC3"/>
    <w:rsid w:val="00247DF9"/>
    <w:rsid w:val="002500A6"/>
    <w:rsid w:val="00250538"/>
    <w:rsid w:val="00250568"/>
    <w:rsid w:val="00250EC6"/>
    <w:rsid w:val="00250F19"/>
    <w:rsid w:val="00251009"/>
    <w:rsid w:val="0025110B"/>
    <w:rsid w:val="0025111C"/>
    <w:rsid w:val="002515E6"/>
    <w:rsid w:val="0025175B"/>
    <w:rsid w:val="00251771"/>
    <w:rsid w:val="00251B10"/>
    <w:rsid w:val="00251C81"/>
    <w:rsid w:val="00251E0A"/>
    <w:rsid w:val="0025218C"/>
    <w:rsid w:val="002522E1"/>
    <w:rsid w:val="002528BA"/>
    <w:rsid w:val="00252A90"/>
    <w:rsid w:val="00252AF0"/>
    <w:rsid w:val="00252CEE"/>
    <w:rsid w:val="00253233"/>
    <w:rsid w:val="00253235"/>
    <w:rsid w:val="002532C5"/>
    <w:rsid w:val="00253365"/>
    <w:rsid w:val="00253D4C"/>
    <w:rsid w:val="00254336"/>
    <w:rsid w:val="002543EF"/>
    <w:rsid w:val="00254585"/>
    <w:rsid w:val="00254A15"/>
    <w:rsid w:val="0025522D"/>
    <w:rsid w:val="0025530B"/>
    <w:rsid w:val="002553C5"/>
    <w:rsid w:val="00255451"/>
    <w:rsid w:val="0025558B"/>
    <w:rsid w:val="002556C4"/>
    <w:rsid w:val="00255968"/>
    <w:rsid w:val="00255B72"/>
    <w:rsid w:val="00255C74"/>
    <w:rsid w:val="00255D8B"/>
    <w:rsid w:val="00255D97"/>
    <w:rsid w:val="00255DF4"/>
    <w:rsid w:val="0025611B"/>
    <w:rsid w:val="00256AA9"/>
    <w:rsid w:val="00256CE3"/>
    <w:rsid w:val="00256E27"/>
    <w:rsid w:val="00256E95"/>
    <w:rsid w:val="002571B2"/>
    <w:rsid w:val="002572CA"/>
    <w:rsid w:val="002572CC"/>
    <w:rsid w:val="002573CE"/>
    <w:rsid w:val="00257511"/>
    <w:rsid w:val="00257547"/>
    <w:rsid w:val="00257816"/>
    <w:rsid w:val="002578BE"/>
    <w:rsid w:val="00257E2D"/>
    <w:rsid w:val="00257EDE"/>
    <w:rsid w:val="002602B7"/>
    <w:rsid w:val="0026045D"/>
    <w:rsid w:val="00260517"/>
    <w:rsid w:val="002606B4"/>
    <w:rsid w:val="00260900"/>
    <w:rsid w:val="00260C5F"/>
    <w:rsid w:val="00260D77"/>
    <w:rsid w:val="002610B6"/>
    <w:rsid w:val="00261185"/>
    <w:rsid w:val="002611E9"/>
    <w:rsid w:val="0026121E"/>
    <w:rsid w:val="002616B7"/>
    <w:rsid w:val="00261D62"/>
    <w:rsid w:val="00261E85"/>
    <w:rsid w:val="002623CB"/>
    <w:rsid w:val="002624BD"/>
    <w:rsid w:val="0026259A"/>
    <w:rsid w:val="00262793"/>
    <w:rsid w:val="00262839"/>
    <w:rsid w:val="002629D7"/>
    <w:rsid w:val="00262A9C"/>
    <w:rsid w:val="00262B52"/>
    <w:rsid w:val="00262C0B"/>
    <w:rsid w:val="00262F13"/>
    <w:rsid w:val="002635C9"/>
    <w:rsid w:val="002637A3"/>
    <w:rsid w:val="002637C3"/>
    <w:rsid w:val="002638D5"/>
    <w:rsid w:val="002639D5"/>
    <w:rsid w:val="00263E94"/>
    <w:rsid w:val="00263FCC"/>
    <w:rsid w:val="002640C1"/>
    <w:rsid w:val="002641F1"/>
    <w:rsid w:val="0026432C"/>
    <w:rsid w:val="0026441C"/>
    <w:rsid w:val="00264AC0"/>
    <w:rsid w:val="00264D19"/>
    <w:rsid w:val="00264DAE"/>
    <w:rsid w:val="00264E66"/>
    <w:rsid w:val="002651E7"/>
    <w:rsid w:val="0026521F"/>
    <w:rsid w:val="002652E6"/>
    <w:rsid w:val="00265842"/>
    <w:rsid w:val="00265A55"/>
    <w:rsid w:val="00265B4F"/>
    <w:rsid w:val="00265B81"/>
    <w:rsid w:val="00265D5C"/>
    <w:rsid w:val="00265F35"/>
    <w:rsid w:val="0026609D"/>
    <w:rsid w:val="0026612B"/>
    <w:rsid w:val="0026636F"/>
    <w:rsid w:val="0026657A"/>
    <w:rsid w:val="002668E5"/>
    <w:rsid w:val="002668FF"/>
    <w:rsid w:val="0026695D"/>
    <w:rsid w:val="00266CB4"/>
    <w:rsid w:val="00266EAC"/>
    <w:rsid w:val="0026796D"/>
    <w:rsid w:val="00267FDA"/>
    <w:rsid w:val="00270293"/>
    <w:rsid w:val="00270479"/>
    <w:rsid w:val="002704C6"/>
    <w:rsid w:val="002704FF"/>
    <w:rsid w:val="00270754"/>
    <w:rsid w:val="002709B8"/>
    <w:rsid w:val="00270C24"/>
    <w:rsid w:val="00270F12"/>
    <w:rsid w:val="00271257"/>
    <w:rsid w:val="002713A8"/>
    <w:rsid w:val="00271958"/>
    <w:rsid w:val="00271C71"/>
    <w:rsid w:val="00271D3C"/>
    <w:rsid w:val="00271EEA"/>
    <w:rsid w:val="002720B4"/>
    <w:rsid w:val="002724B7"/>
    <w:rsid w:val="002724CA"/>
    <w:rsid w:val="00272778"/>
    <w:rsid w:val="00272A9C"/>
    <w:rsid w:val="00272EFD"/>
    <w:rsid w:val="0027310E"/>
    <w:rsid w:val="00273502"/>
    <w:rsid w:val="00273AF9"/>
    <w:rsid w:val="00273B31"/>
    <w:rsid w:val="00273BBC"/>
    <w:rsid w:val="00273C31"/>
    <w:rsid w:val="00273F79"/>
    <w:rsid w:val="00274015"/>
    <w:rsid w:val="00274064"/>
    <w:rsid w:val="002742B4"/>
    <w:rsid w:val="002744E5"/>
    <w:rsid w:val="00274A5E"/>
    <w:rsid w:val="002752CA"/>
    <w:rsid w:val="00275909"/>
    <w:rsid w:val="00275A49"/>
    <w:rsid w:val="00275C75"/>
    <w:rsid w:val="00275E8C"/>
    <w:rsid w:val="002762EB"/>
    <w:rsid w:val="002763A3"/>
    <w:rsid w:val="00276490"/>
    <w:rsid w:val="00276750"/>
    <w:rsid w:val="002768D6"/>
    <w:rsid w:val="00276D2A"/>
    <w:rsid w:val="002776B6"/>
    <w:rsid w:val="002777F2"/>
    <w:rsid w:val="00277C9D"/>
    <w:rsid w:val="00277CB1"/>
    <w:rsid w:val="00277D08"/>
    <w:rsid w:val="00277EE8"/>
    <w:rsid w:val="002805E2"/>
    <w:rsid w:val="00280800"/>
    <w:rsid w:val="002808CE"/>
    <w:rsid w:val="00280ACE"/>
    <w:rsid w:val="00280BC0"/>
    <w:rsid w:val="00280CC3"/>
    <w:rsid w:val="0028105F"/>
    <w:rsid w:val="0028126B"/>
    <w:rsid w:val="00281AB3"/>
    <w:rsid w:val="00281EDA"/>
    <w:rsid w:val="00282148"/>
    <w:rsid w:val="00282A50"/>
    <w:rsid w:val="00282C81"/>
    <w:rsid w:val="00282CA8"/>
    <w:rsid w:val="0028343E"/>
    <w:rsid w:val="00283692"/>
    <w:rsid w:val="00283E3A"/>
    <w:rsid w:val="00283FA4"/>
    <w:rsid w:val="0028425A"/>
    <w:rsid w:val="002842D2"/>
    <w:rsid w:val="00284592"/>
    <w:rsid w:val="00284684"/>
    <w:rsid w:val="00284793"/>
    <w:rsid w:val="0028491E"/>
    <w:rsid w:val="00284C69"/>
    <w:rsid w:val="002858AF"/>
    <w:rsid w:val="00285A02"/>
    <w:rsid w:val="00285A55"/>
    <w:rsid w:val="00285AEF"/>
    <w:rsid w:val="00285C58"/>
    <w:rsid w:val="00285CC4"/>
    <w:rsid w:val="0028617F"/>
    <w:rsid w:val="002862BF"/>
    <w:rsid w:val="00286330"/>
    <w:rsid w:val="002869D1"/>
    <w:rsid w:val="00287085"/>
    <w:rsid w:val="00287855"/>
    <w:rsid w:val="00287E25"/>
    <w:rsid w:val="002900BB"/>
    <w:rsid w:val="002901E1"/>
    <w:rsid w:val="002903F5"/>
    <w:rsid w:val="0029069F"/>
    <w:rsid w:val="002909A1"/>
    <w:rsid w:val="00290F87"/>
    <w:rsid w:val="00291217"/>
    <w:rsid w:val="002912B4"/>
    <w:rsid w:val="00291340"/>
    <w:rsid w:val="0029136F"/>
    <w:rsid w:val="002913A7"/>
    <w:rsid w:val="002913F2"/>
    <w:rsid w:val="00291843"/>
    <w:rsid w:val="00291861"/>
    <w:rsid w:val="00291B3A"/>
    <w:rsid w:val="00291CDE"/>
    <w:rsid w:val="00291FAF"/>
    <w:rsid w:val="002920C4"/>
    <w:rsid w:val="00292157"/>
    <w:rsid w:val="0029222F"/>
    <w:rsid w:val="00292427"/>
    <w:rsid w:val="00292993"/>
    <w:rsid w:val="00292AA9"/>
    <w:rsid w:val="00292BC3"/>
    <w:rsid w:val="00292C51"/>
    <w:rsid w:val="00293451"/>
    <w:rsid w:val="0029395D"/>
    <w:rsid w:val="00294354"/>
    <w:rsid w:val="002944E3"/>
    <w:rsid w:val="0029480B"/>
    <w:rsid w:val="00294C1B"/>
    <w:rsid w:val="00294C71"/>
    <w:rsid w:val="00294D39"/>
    <w:rsid w:val="00294E49"/>
    <w:rsid w:val="00295115"/>
    <w:rsid w:val="00295639"/>
    <w:rsid w:val="00295B58"/>
    <w:rsid w:val="00295B67"/>
    <w:rsid w:val="00296569"/>
    <w:rsid w:val="0029690F"/>
    <w:rsid w:val="00296A31"/>
    <w:rsid w:val="00296A6F"/>
    <w:rsid w:val="00296EFB"/>
    <w:rsid w:val="00297456"/>
    <w:rsid w:val="0029766F"/>
    <w:rsid w:val="00297717"/>
    <w:rsid w:val="00297FB5"/>
    <w:rsid w:val="002A01EA"/>
    <w:rsid w:val="002A08D7"/>
    <w:rsid w:val="002A0B38"/>
    <w:rsid w:val="002A0BE5"/>
    <w:rsid w:val="002A0DAF"/>
    <w:rsid w:val="002A0EF6"/>
    <w:rsid w:val="002A11F5"/>
    <w:rsid w:val="002A12FA"/>
    <w:rsid w:val="002A16CB"/>
    <w:rsid w:val="002A1997"/>
    <w:rsid w:val="002A1B18"/>
    <w:rsid w:val="002A1FD7"/>
    <w:rsid w:val="002A201E"/>
    <w:rsid w:val="002A2164"/>
    <w:rsid w:val="002A21D7"/>
    <w:rsid w:val="002A232E"/>
    <w:rsid w:val="002A25E0"/>
    <w:rsid w:val="002A2C56"/>
    <w:rsid w:val="002A2E22"/>
    <w:rsid w:val="002A375F"/>
    <w:rsid w:val="002A37EF"/>
    <w:rsid w:val="002A380C"/>
    <w:rsid w:val="002A3864"/>
    <w:rsid w:val="002A3891"/>
    <w:rsid w:val="002A42D3"/>
    <w:rsid w:val="002A455C"/>
    <w:rsid w:val="002A46FA"/>
    <w:rsid w:val="002A4875"/>
    <w:rsid w:val="002A4BC8"/>
    <w:rsid w:val="002A4C97"/>
    <w:rsid w:val="002A4E8A"/>
    <w:rsid w:val="002A4F1B"/>
    <w:rsid w:val="002A5026"/>
    <w:rsid w:val="002A5512"/>
    <w:rsid w:val="002A56C5"/>
    <w:rsid w:val="002A5A62"/>
    <w:rsid w:val="002A5B59"/>
    <w:rsid w:val="002A5BC3"/>
    <w:rsid w:val="002A5BD4"/>
    <w:rsid w:val="002A5E83"/>
    <w:rsid w:val="002A5EF3"/>
    <w:rsid w:val="002A5FCE"/>
    <w:rsid w:val="002A612D"/>
    <w:rsid w:val="002A616A"/>
    <w:rsid w:val="002A6576"/>
    <w:rsid w:val="002A6E0F"/>
    <w:rsid w:val="002A6FA5"/>
    <w:rsid w:val="002A71ED"/>
    <w:rsid w:val="002A738D"/>
    <w:rsid w:val="002A7448"/>
    <w:rsid w:val="002A75DB"/>
    <w:rsid w:val="002A76BE"/>
    <w:rsid w:val="002A7A53"/>
    <w:rsid w:val="002A7CE4"/>
    <w:rsid w:val="002A7D9F"/>
    <w:rsid w:val="002A7F05"/>
    <w:rsid w:val="002B0155"/>
    <w:rsid w:val="002B0330"/>
    <w:rsid w:val="002B0710"/>
    <w:rsid w:val="002B0800"/>
    <w:rsid w:val="002B0B46"/>
    <w:rsid w:val="002B0CFD"/>
    <w:rsid w:val="002B0EA5"/>
    <w:rsid w:val="002B1013"/>
    <w:rsid w:val="002B1206"/>
    <w:rsid w:val="002B1334"/>
    <w:rsid w:val="002B14F5"/>
    <w:rsid w:val="002B16D3"/>
    <w:rsid w:val="002B16E7"/>
    <w:rsid w:val="002B1EEF"/>
    <w:rsid w:val="002B2832"/>
    <w:rsid w:val="002B2BD9"/>
    <w:rsid w:val="002B2E22"/>
    <w:rsid w:val="002B2ECD"/>
    <w:rsid w:val="002B30DC"/>
    <w:rsid w:val="002B3536"/>
    <w:rsid w:val="002B3548"/>
    <w:rsid w:val="002B37C9"/>
    <w:rsid w:val="002B3F36"/>
    <w:rsid w:val="002B4148"/>
    <w:rsid w:val="002B428E"/>
    <w:rsid w:val="002B44D1"/>
    <w:rsid w:val="002B44E3"/>
    <w:rsid w:val="002B463E"/>
    <w:rsid w:val="002B46DC"/>
    <w:rsid w:val="002B48A3"/>
    <w:rsid w:val="002B4B06"/>
    <w:rsid w:val="002B5070"/>
    <w:rsid w:val="002B5851"/>
    <w:rsid w:val="002B5DFD"/>
    <w:rsid w:val="002B5E66"/>
    <w:rsid w:val="002B5E82"/>
    <w:rsid w:val="002B64CF"/>
    <w:rsid w:val="002B64F9"/>
    <w:rsid w:val="002B680F"/>
    <w:rsid w:val="002B68F8"/>
    <w:rsid w:val="002B6A6E"/>
    <w:rsid w:val="002B6B44"/>
    <w:rsid w:val="002B6DB1"/>
    <w:rsid w:val="002B75C0"/>
    <w:rsid w:val="002B7756"/>
    <w:rsid w:val="002B7884"/>
    <w:rsid w:val="002B79AA"/>
    <w:rsid w:val="002B7A06"/>
    <w:rsid w:val="002B7FEA"/>
    <w:rsid w:val="002C06CA"/>
    <w:rsid w:val="002C0AC2"/>
    <w:rsid w:val="002C0E45"/>
    <w:rsid w:val="002C0F29"/>
    <w:rsid w:val="002C14E0"/>
    <w:rsid w:val="002C150D"/>
    <w:rsid w:val="002C1AB0"/>
    <w:rsid w:val="002C1BFB"/>
    <w:rsid w:val="002C1C6C"/>
    <w:rsid w:val="002C1F41"/>
    <w:rsid w:val="002C2196"/>
    <w:rsid w:val="002C22B8"/>
    <w:rsid w:val="002C22F8"/>
    <w:rsid w:val="002C2507"/>
    <w:rsid w:val="002C2624"/>
    <w:rsid w:val="002C269F"/>
    <w:rsid w:val="002C27EC"/>
    <w:rsid w:val="002C2973"/>
    <w:rsid w:val="002C2DA2"/>
    <w:rsid w:val="002C307C"/>
    <w:rsid w:val="002C3397"/>
    <w:rsid w:val="002C344E"/>
    <w:rsid w:val="002C3558"/>
    <w:rsid w:val="002C367E"/>
    <w:rsid w:val="002C387D"/>
    <w:rsid w:val="002C38DE"/>
    <w:rsid w:val="002C3955"/>
    <w:rsid w:val="002C3F54"/>
    <w:rsid w:val="002C3F5A"/>
    <w:rsid w:val="002C42CF"/>
    <w:rsid w:val="002C4C88"/>
    <w:rsid w:val="002C4EA3"/>
    <w:rsid w:val="002C5313"/>
    <w:rsid w:val="002C598A"/>
    <w:rsid w:val="002C5A7C"/>
    <w:rsid w:val="002C5D13"/>
    <w:rsid w:val="002C6307"/>
    <w:rsid w:val="002C6337"/>
    <w:rsid w:val="002C675C"/>
    <w:rsid w:val="002C680D"/>
    <w:rsid w:val="002C6C4E"/>
    <w:rsid w:val="002C6C67"/>
    <w:rsid w:val="002C6D97"/>
    <w:rsid w:val="002C6E73"/>
    <w:rsid w:val="002C6F43"/>
    <w:rsid w:val="002C7379"/>
    <w:rsid w:val="002C739A"/>
    <w:rsid w:val="002C774C"/>
    <w:rsid w:val="002C79F6"/>
    <w:rsid w:val="002C7B09"/>
    <w:rsid w:val="002C7B4A"/>
    <w:rsid w:val="002C7CC5"/>
    <w:rsid w:val="002C7D83"/>
    <w:rsid w:val="002D024D"/>
    <w:rsid w:val="002D0382"/>
    <w:rsid w:val="002D05D4"/>
    <w:rsid w:val="002D063F"/>
    <w:rsid w:val="002D0A56"/>
    <w:rsid w:val="002D0D7D"/>
    <w:rsid w:val="002D0F4F"/>
    <w:rsid w:val="002D13E8"/>
    <w:rsid w:val="002D1498"/>
    <w:rsid w:val="002D1566"/>
    <w:rsid w:val="002D174F"/>
    <w:rsid w:val="002D1AF5"/>
    <w:rsid w:val="002D1BDD"/>
    <w:rsid w:val="002D1C3B"/>
    <w:rsid w:val="002D1D74"/>
    <w:rsid w:val="002D239D"/>
    <w:rsid w:val="002D2464"/>
    <w:rsid w:val="002D27ED"/>
    <w:rsid w:val="002D2A76"/>
    <w:rsid w:val="002D2CAB"/>
    <w:rsid w:val="002D33D1"/>
    <w:rsid w:val="002D3469"/>
    <w:rsid w:val="002D34EF"/>
    <w:rsid w:val="002D3632"/>
    <w:rsid w:val="002D37F0"/>
    <w:rsid w:val="002D3816"/>
    <w:rsid w:val="002D3EF6"/>
    <w:rsid w:val="002D3F32"/>
    <w:rsid w:val="002D4078"/>
    <w:rsid w:val="002D4345"/>
    <w:rsid w:val="002D4454"/>
    <w:rsid w:val="002D44DD"/>
    <w:rsid w:val="002D45D0"/>
    <w:rsid w:val="002D45E6"/>
    <w:rsid w:val="002D46A5"/>
    <w:rsid w:val="002D499B"/>
    <w:rsid w:val="002D4B39"/>
    <w:rsid w:val="002D4C08"/>
    <w:rsid w:val="002D4F01"/>
    <w:rsid w:val="002D50E7"/>
    <w:rsid w:val="002D515C"/>
    <w:rsid w:val="002D5413"/>
    <w:rsid w:val="002D54AA"/>
    <w:rsid w:val="002D560D"/>
    <w:rsid w:val="002D576E"/>
    <w:rsid w:val="002D5A13"/>
    <w:rsid w:val="002D5F71"/>
    <w:rsid w:val="002D5FD0"/>
    <w:rsid w:val="002D608F"/>
    <w:rsid w:val="002D62E1"/>
    <w:rsid w:val="002D63BC"/>
    <w:rsid w:val="002D667F"/>
    <w:rsid w:val="002D66C7"/>
    <w:rsid w:val="002D67DE"/>
    <w:rsid w:val="002D6A39"/>
    <w:rsid w:val="002D6B32"/>
    <w:rsid w:val="002D6F3B"/>
    <w:rsid w:val="002D7120"/>
    <w:rsid w:val="002D72FF"/>
    <w:rsid w:val="002D746A"/>
    <w:rsid w:val="002D774B"/>
    <w:rsid w:val="002D77EE"/>
    <w:rsid w:val="002D782E"/>
    <w:rsid w:val="002D7D2B"/>
    <w:rsid w:val="002D7FC4"/>
    <w:rsid w:val="002E080A"/>
    <w:rsid w:val="002E095B"/>
    <w:rsid w:val="002E096A"/>
    <w:rsid w:val="002E0E65"/>
    <w:rsid w:val="002E0EDE"/>
    <w:rsid w:val="002E0F6A"/>
    <w:rsid w:val="002E111B"/>
    <w:rsid w:val="002E12BF"/>
    <w:rsid w:val="002E1390"/>
    <w:rsid w:val="002E1470"/>
    <w:rsid w:val="002E1473"/>
    <w:rsid w:val="002E1AB8"/>
    <w:rsid w:val="002E1ED4"/>
    <w:rsid w:val="002E1EED"/>
    <w:rsid w:val="002E23A1"/>
    <w:rsid w:val="002E29EA"/>
    <w:rsid w:val="002E2A93"/>
    <w:rsid w:val="002E2B3C"/>
    <w:rsid w:val="002E2B5D"/>
    <w:rsid w:val="002E2BE2"/>
    <w:rsid w:val="002E2CF5"/>
    <w:rsid w:val="002E2F41"/>
    <w:rsid w:val="002E2F88"/>
    <w:rsid w:val="002E2FA5"/>
    <w:rsid w:val="002E33B7"/>
    <w:rsid w:val="002E3715"/>
    <w:rsid w:val="002E372D"/>
    <w:rsid w:val="002E3870"/>
    <w:rsid w:val="002E3B23"/>
    <w:rsid w:val="002E41F0"/>
    <w:rsid w:val="002E4620"/>
    <w:rsid w:val="002E4ABC"/>
    <w:rsid w:val="002E4B92"/>
    <w:rsid w:val="002E4C31"/>
    <w:rsid w:val="002E4D70"/>
    <w:rsid w:val="002E54C2"/>
    <w:rsid w:val="002E5572"/>
    <w:rsid w:val="002E58A2"/>
    <w:rsid w:val="002E5A35"/>
    <w:rsid w:val="002E5AE2"/>
    <w:rsid w:val="002E5D0A"/>
    <w:rsid w:val="002E5D84"/>
    <w:rsid w:val="002E5D92"/>
    <w:rsid w:val="002E5F33"/>
    <w:rsid w:val="002E5F68"/>
    <w:rsid w:val="002E603B"/>
    <w:rsid w:val="002E63BF"/>
    <w:rsid w:val="002E6582"/>
    <w:rsid w:val="002E68E9"/>
    <w:rsid w:val="002E6929"/>
    <w:rsid w:val="002E6C20"/>
    <w:rsid w:val="002E6F78"/>
    <w:rsid w:val="002E722E"/>
    <w:rsid w:val="002E75A3"/>
    <w:rsid w:val="002E7663"/>
    <w:rsid w:val="002E793B"/>
    <w:rsid w:val="002E7F26"/>
    <w:rsid w:val="002E7F5F"/>
    <w:rsid w:val="002F01BE"/>
    <w:rsid w:val="002F05AB"/>
    <w:rsid w:val="002F0622"/>
    <w:rsid w:val="002F07F0"/>
    <w:rsid w:val="002F0E41"/>
    <w:rsid w:val="002F1350"/>
    <w:rsid w:val="002F14F2"/>
    <w:rsid w:val="002F1767"/>
    <w:rsid w:val="002F1843"/>
    <w:rsid w:val="002F1C74"/>
    <w:rsid w:val="002F2145"/>
    <w:rsid w:val="002F219F"/>
    <w:rsid w:val="002F2267"/>
    <w:rsid w:val="002F23FF"/>
    <w:rsid w:val="002F2B01"/>
    <w:rsid w:val="002F2DDD"/>
    <w:rsid w:val="002F319D"/>
    <w:rsid w:val="002F33E3"/>
    <w:rsid w:val="002F3463"/>
    <w:rsid w:val="002F34E8"/>
    <w:rsid w:val="002F35B5"/>
    <w:rsid w:val="002F3656"/>
    <w:rsid w:val="002F3A94"/>
    <w:rsid w:val="002F3B9A"/>
    <w:rsid w:val="002F3CBF"/>
    <w:rsid w:val="002F418C"/>
    <w:rsid w:val="002F41D1"/>
    <w:rsid w:val="002F44A4"/>
    <w:rsid w:val="002F44DD"/>
    <w:rsid w:val="002F4809"/>
    <w:rsid w:val="002F4D0C"/>
    <w:rsid w:val="002F4E33"/>
    <w:rsid w:val="002F510A"/>
    <w:rsid w:val="002F5589"/>
    <w:rsid w:val="002F55DA"/>
    <w:rsid w:val="002F6018"/>
    <w:rsid w:val="002F63F8"/>
    <w:rsid w:val="002F63FC"/>
    <w:rsid w:val="002F64CA"/>
    <w:rsid w:val="002F6598"/>
    <w:rsid w:val="002F659C"/>
    <w:rsid w:val="002F6B51"/>
    <w:rsid w:val="002F6C57"/>
    <w:rsid w:val="002F6D8F"/>
    <w:rsid w:val="002F72F8"/>
    <w:rsid w:val="002F750D"/>
    <w:rsid w:val="002F7749"/>
    <w:rsid w:val="002F77C3"/>
    <w:rsid w:val="002F7A68"/>
    <w:rsid w:val="002F7AC0"/>
    <w:rsid w:val="002F7C13"/>
    <w:rsid w:val="002F7E01"/>
    <w:rsid w:val="00300009"/>
    <w:rsid w:val="003000BC"/>
    <w:rsid w:val="0030036D"/>
    <w:rsid w:val="003003DE"/>
    <w:rsid w:val="00300889"/>
    <w:rsid w:val="00300BE5"/>
    <w:rsid w:val="00300D43"/>
    <w:rsid w:val="00300D98"/>
    <w:rsid w:val="00301178"/>
    <w:rsid w:val="003011BD"/>
    <w:rsid w:val="003011F3"/>
    <w:rsid w:val="00301415"/>
    <w:rsid w:val="003014DA"/>
    <w:rsid w:val="003017A1"/>
    <w:rsid w:val="00301F6B"/>
    <w:rsid w:val="0030206A"/>
    <w:rsid w:val="003020D5"/>
    <w:rsid w:val="003020F9"/>
    <w:rsid w:val="00302132"/>
    <w:rsid w:val="00302499"/>
    <w:rsid w:val="003026B6"/>
    <w:rsid w:val="00302922"/>
    <w:rsid w:val="00302D9D"/>
    <w:rsid w:val="00302E00"/>
    <w:rsid w:val="00302E64"/>
    <w:rsid w:val="0030315F"/>
    <w:rsid w:val="003031C3"/>
    <w:rsid w:val="00303252"/>
    <w:rsid w:val="003033FD"/>
    <w:rsid w:val="00303447"/>
    <w:rsid w:val="00303485"/>
    <w:rsid w:val="00303610"/>
    <w:rsid w:val="00303A4F"/>
    <w:rsid w:val="003040E9"/>
    <w:rsid w:val="00304462"/>
    <w:rsid w:val="003046AF"/>
    <w:rsid w:val="00304853"/>
    <w:rsid w:val="00304E2B"/>
    <w:rsid w:val="00304E95"/>
    <w:rsid w:val="00304ED1"/>
    <w:rsid w:val="00304F20"/>
    <w:rsid w:val="00305444"/>
    <w:rsid w:val="0030668A"/>
    <w:rsid w:val="003067B1"/>
    <w:rsid w:val="00306846"/>
    <w:rsid w:val="00306A7E"/>
    <w:rsid w:val="00306F00"/>
    <w:rsid w:val="003071F6"/>
    <w:rsid w:val="00307226"/>
    <w:rsid w:val="0030726F"/>
    <w:rsid w:val="00307562"/>
    <w:rsid w:val="003079DF"/>
    <w:rsid w:val="00307C09"/>
    <w:rsid w:val="00307C78"/>
    <w:rsid w:val="00310369"/>
    <w:rsid w:val="00310D78"/>
    <w:rsid w:val="00310E27"/>
    <w:rsid w:val="00310ED7"/>
    <w:rsid w:val="00310F93"/>
    <w:rsid w:val="00311510"/>
    <w:rsid w:val="003115E8"/>
    <w:rsid w:val="003117EA"/>
    <w:rsid w:val="00311860"/>
    <w:rsid w:val="00311B7B"/>
    <w:rsid w:val="003120DB"/>
    <w:rsid w:val="003124FA"/>
    <w:rsid w:val="003125D6"/>
    <w:rsid w:val="003128B1"/>
    <w:rsid w:val="003128F8"/>
    <w:rsid w:val="00312B68"/>
    <w:rsid w:val="00312BE4"/>
    <w:rsid w:val="00312F31"/>
    <w:rsid w:val="00313076"/>
    <w:rsid w:val="00313157"/>
    <w:rsid w:val="003132F9"/>
    <w:rsid w:val="00313535"/>
    <w:rsid w:val="003138C6"/>
    <w:rsid w:val="00313B6B"/>
    <w:rsid w:val="00313D58"/>
    <w:rsid w:val="003142B3"/>
    <w:rsid w:val="00314413"/>
    <w:rsid w:val="003146B9"/>
    <w:rsid w:val="00314821"/>
    <w:rsid w:val="00314955"/>
    <w:rsid w:val="00314C16"/>
    <w:rsid w:val="00314DC6"/>
    <w:rsid w:val="00314F12"/>
    <w:rsid w:val="00314F29"/>
    <w:rsid w:val="00314F8C"/>
    <w:rsid w:val="00314FC6"/>
    <w:rsid w:val="00315161"/>
    <w:rsid w:val="003153EE"/>
    <w:rsid w:val="003156BB"/>
    <w:rsid w:val="00315764"/>
    <w:rsid w:val="0031598E"/>
    <w:rsid w:val="00315A9D"/>
    <w:rsid w:val="00315BE6"/>
    <w:rsid w:val="00316062"/>
    <w:rsid w:val="003160A5"/>
    <w:rsid w:val="003160BB"/>
    <w:rsid w:val="003166FE"/>
    <w:rsid w:val="00316D24"/>
    <w:rsid w:val="00316F2F"/>
    <w:rsid w:val="00317023"/>
    <w:rsid w:val="0031712C"/>
    <w:rsid w:val="00317E14"/>
    <w:rsid w:val="00320A4A"/>
    <w:rsid w:val="00320A96"/>
    <w:rsid w:val="0032102A"/>
    <w:rsid w:val="00321BFB"/>
    <w:rsid w:val="00321C77"/>
    <w:rsid w:val="00321CF6"/>
    <w:rsid w:val="003220DC"/>
    <w:rsid w:val="00322191"/>
    <w:rsid w:val="0032235A"/>
    <w:rsid w:val="0032278E"/>
    <w:rsid w:val="003228FC"/>
    <w:rsid w:val="00322D7A"/>
    <w:rsid w:val="00322DC0"/>
    <w:rsid w:val="00322EDF"/>
    <w:rsid w:val="0032305A"/>
    <w:rsid w:val="003230E7"/>
    <w:rsid w:val="0032317E"/>
    <w:rsid w:val="0032319C"/>
    <w:rsid w:val="00323235"/>
    <w:rsid w:val="003233D0"/>
    <w:rsid w:val="003235FA"/>
    <w:rsid w:val="00323866"/>
    <w:rsid w:val="003239A5"/>
    <w:rsid w:val="00323B02"/>
    <w:rsid w:val="00323CFF"/>
    <w:rsid w:val="0032440B"/>
    <w:rsid w:val="0032444C"/>
    <w:rsid w:val="00324681"/>
    <w:rsid w:val="003247AC"/>
    <w:rsid w:val="003249A1"/>
    <w:rsid w:val="00325549"/>
    <w:rsid w:val="00325622"/>
    <w:rsid w:val="003256EE"/>
    <w:rsid w:val="00325700"/>
    <w:rsid w:val="00325931"/>
    <w:rsid w:val="00325ABF"/>
    <w:rsid w:val="00326548"/>
    <w:rsid w:val="003265BB"/>
    <w:rsid w:val="0032681C"/>
    <w:rsid w:val="003269C1"/>
    <w:rsid w:val="003269CF"/>
    <w:rsid w:val="00326A4D"/>
    <w:rsid w:val="00326E9C"/>
    <w:rsid w:val="0032725B"/>
    <w:rsid w:val="003273C4"/>
    <w:rsid w:val="00327882"/>
    <w:rsid w:val="003278A7"/>
    <w:rsid w:val="0032790E"/>
    <w:rsid w:val="0032791B"/>
    <w:rsid w:val="003279AB"/>
    <w:rsid w:val="00327E03"/>
    <w:rsid w:val="0033036C"/>
    <w:rsid w:val="00330375"/>
    <w:rsid w:val="00330848"/>
    <w:rsid w:val="00330CA9"/>
    <w:rsid w:val="00330CED"/>
    <w:rsid w:val="003310EF"/>
    <w:rsid w:val="003316DE"/>
    <w:rsid w:val="00331D8F"/>
    <w:rsid w:val="00331EF8"/>
    <w:rsid w:val="00331F9E"/>
    <w:rsid w:val="003323A7"/>
    <w:rsid w:val="00332A49"/>
    <w:rsid w:val="00332D7E"/>
    <w:rsid w:val="00333052"/>
    <w:rsid w:val="003331EF"/>
    <w:rsid w:val="0033329A"/>
    <w:rsid w:val="0033354D"/>
    <w:rsid w:val="00333E45"/>
    <w:rsid w:val="00334306"/>
    <w:rsid w:val="00334323"/>
    <w:rsid w:val="003343EC"/>
    <w:rsid w:val="00334589"/>
    <w:rsid w:val="003349AA"/>
    <w:rsid w:val="00334D44"/>
    <w:rsid w:val="00334D8C"/>
    <w:rsid w:val="00335563"/>
    <w:rsid w:val="003357BD"/>
    <w:rsid w:val="0033583C"/>
    <w:rsid w:val="00335957"/>
    <w:rsid w:val="00335B86"/>
    <w:rsid w:val="00336459"/>
    <w:rsid w:val="003364AB"/>
    <w:rsid w:val="003364E4"/>
    <w:rsid w:val="003365CE"/>
    <w:rsid w:val="0033665E"/>
    <w:rsid w:val="0033679D"/>
    <w:rsid w:val="003369BF"/>
    <w:rsid w:val="00336A3C"/>
    <w:rsid w:val="00336B89"/>
    <w:rsid w:val="00336BFC"/>
    <w:rsid w:val="003371AF"/>
    <w:rsid w:val="003371B7"/>
    <w:rsid w:val="003376F4"/>
    <w:rsid w:val="00337BED"/>
    <w:rsid w:val="00340226"/>
    <w:rsid w:val="003408BB"/>
    <w:rsid w:val="00340979"/>
    <w:rsid w:val="00340A4A"/>
    <w:rsid w:val="00340CC1"/>
    <w:rsid w:val="00340E03"/>
    <w:rsid w:val="00340E06"/>
    <w:rsid w:val="00340F82"/>
    <w:rsid w:val="00341469"/>
    <w:rsid w:val="00341697"/>
    <w:rsid w:val="00341926"/>
    <w:rsid w:val="00341B07"/>
    <w:rsid w:val="00341D06"/>
    <w:rsid w:val="0034222D"/>
    <w:rsid w:val="00342ED9"/>
    <w:rsid w:val="00342F29"/>
    <w:rsid w:val="00342F96"/>
    <w:rsid w:val="00343360"/>
    <w:rsid w:val="0034344F"/>
    <w:rsid w:val="003434B3"/>
    <w:rsid w:val="003435E6"/>
    <w:rsid w:val="00343B0E"/>
    <w:rsid w:val="00343B7E"/>
    <w:rsid w:val="00343E3A"/>
    <w:rsid w:val="00343F80"/>
    <w:rsid w:val="003440A8"/>
    <w:rsid w:val="003445F4"/>
    <w:rsid w:val="00344778"/>
    <w:rsid w:val="003447BB"/>
    <w:rsid w:val="0034480D"/>
    <w:rsid w:val="00344B3B"/>
    <w:rsid w:val="00344E0D"/>
    <w:rsid w:val="00345571"/>
    <w:rsid w:val="00345846"/>
    <w:rsid w:val="003459CA"/>
    <w:rsid w:val="00345A19"/>
    <w:rsid w:val="00345C87"/>
    <w:rsid w:val="003461A2"/>
    <w:rsid w:val="003463E0"/>
    <w:rsid w:val="00346448"/>
    <w:rsid w:val="003465CC"/>
    <w:rsid w:val="003466E1"/>
    <w:rsid w:val="00346997"/>
    <w:rsid w:val="00346A15"/>
    <w:rsid w:val="00347188"/>
    <w:rsid w:val="003474B2"/>
    <w:rsid w:val="00347816"/>
    <w:rsid w:val="0034787B"/>
    <w:rsid w:val="0034793B"/>
    <w:rsid w:val="00347CFD"/>
    <w:rsid w:val="003501B9"/>
    <w:rsid w:val="0035066B"/>
    <w:rsid w:val="003509F7"/>
    <w:rsid w:val="00351069"/>
    <w:rsid w:val="0035118B"/>
    <w:rsid w:val="0035127B"/>
    <w:rsid w:val="003516C5"/>
    <w:rsid w:val="00351849"/>
    <w:rsid w:val="003518C4"/>
    <w:rsid w:val="0035191C"/>
    <w:rsid w:val="00351D25"/>
    <w:rsid w:val="00351D66"/>
    <w:rsid w:val="00351DF5"/>
    <w:rsid w:val="0035207F"/>
    <w:rsid w:val="003521EC"/>
    <w:rsid w:val="003522B7"/>
    <w:rsid w:val="003522D1"/>
    <w:rsid w:val="003523DA"/>
    <w:rsid w:val="003525B2"/>
    <w:rsid w:val="00352679"/>
    <w:rsid w:val="003529F9"/>
    <w:rsid w:val="00352D05"/>
    <w:rsid w:val="00352E1D"/>
    <w:rsid w:val="00352E9C"/>
    <w:rsid w:val="00352EC5"/>
    <w:rsid w:val="00352ECF"/>
    <w:rsid w:val="00353190"/>
    <w:rsid w:val="00353590"/>
    <w:rsid w:val="00353BF2"/>
    <w:rsid w:val="00353E44"/>
    <w:rsid w:val="00354012"/>
    <w:rsid w:val="0035406A"/>
    <w:rsid w:val="00354725"/>
    <w:rsid w:val="00354957"/>
    <w:rsid w:val="00354E00"/>
    <w:rsid w:val="0035502A"/>
    <w:rsid w:val="003550A2"/>
    <w:rsid w:val="003550D3"/>
    <w:rsid w:val="00355502"/>
    <w:rsid w:val="0035563A"/>
    <w:rsid w:val="00355757"/>
    <w:rsid w:val="00355A10"/>
    <w:rsid w:val="00355CF2"/>
    <w:rsid w:val="00355E8A"/>
    <w:rsid w:val="00355E97"/>
    <w:rsid w:val="00355FF7"/>
    <w:rsid w:val="003560F3"/>
    <w:rsid w:val="0035624D"/>
    <w:rsid w:val="0035645F"/>
    <w:rsid w:val="003565C9"/>
    <w:rsid w:val="00356872"/>
    <w:rsid w:val="003569D2"/>
    <w:rsid w:val="00356E6D"/>
    <w:rsid w:val="00357137"/>
    <w:rsid w:val="00357276"/>
    <w:rsid w:val="00357368"/>
    <w:rsid w:val="00357439"/>
    <w:rsid w:val="003574EC"/>
    <w:rsid w:val="00357741"/>
    <w:rsid w:val="00357982"/>
    <w:rsid w:val="00357E8C"/>
    <w:rsid w:val="003602BD"/>
    <w:rsid w:val="00360787"/>
    <w:rsid w:val="003607FA"/>
    <w:rsid w:val="003608CD"/>
    <w:rsid w:val="00360AE6"/>
    <w:rsid w:val="00360E0F"/>
    <w:rsid w:val="0036111D"/>
    <w:rsid w:val="00361143"/>
    <w:rsid w:val="003611CC"/>
    <w:rsid w:val="003612DD"/>
    <w:rsid w:val="003613DA"/>
    <w:rsid w:val="00361B40"/>
    <w:rsid w:val="00361E82"/>
    <w:rsid w:val="00361EB9"/>
    <w:rsid w:val="0036235B"/>
    <w:rsid w:val="003625A4"/>
    <w:rsid w:val="00362B76"/>
    <w:rsid w:val="00362C2F"/>
    <w:rsid w:val="00362DFD"/>
    <w:rsid w:val="00362E4F"/>
    <w:rsid w:val="00363752"/>
    <w:rsid w:val="00363F5E"/>
    <w:rsid w:val="00364092"/>
    <w:rsid w:val="003641D4"/>
    <w:rsid w:val="003642A1"/>
    <w:rsid w:val="00364684"/>
    <w:rsid w:val="00364E7B"/>
    <w:rsid w:val="00364E82"/>
    <w:rsid w:val="0036556F"/>
    <w:rsid w:val="003656C0"/>
    <w:rsid w:val="0036591B"/>
    <w:rsid w:val="00365F9A"/>
    <w:rsid w:val="0036619B"/>
    <w:rsid w:val="003661AD"/>
    <w:rsid w:val="0036675C"/>
    <w:rsid w:val="003667D9"/>
    <w:rsid w:val="00366E81"/>
    <w:rsid w:val="00367233"/>
    <w:rsid w:val="00367271"/>
    <w:rsid w:val="00367533"/>
    <w:rsid w:val="003677E8"/>
    <w:rsid w:val="0036795E"/>
    <w:rsid w:val="003679BA"/>
    <w:rsid w:val="00367B30"/>
    <w:rsid w:val="00367CD9"/>
    <w:rsid w:val="00367EEB"/>
    <w:rsid w:val="003703BA"/>
    <w:rsid w:val="00370426"/>
    <w:rsid w:val="003705E6"/>
    <w:rsid w:val="003710AC"/>
    <w:rsid w:val="00371180"/>
    <w:rsid w:val="0037123D"/>
    <w:rsid w:val="00371686"/>
    <w:rsid w:val="00371750"/>
    <w:rsid w:val="00371917"/>
    <w:rsid w:val="00371918"/>
    <w:rsid w:val="00371990"/>
    <w:rsid w:val="00371D60"/>
    <w:rsid w:val="00371DC4"/>
    <w:rsid w:val="0037225D"/>
    <w:rsid w:val="0037231D"/>
    <w:rsid w:val="00372A46"/>
    <w:rsid w:val="00372AD7"/>
    <w:rsid w:val="00372C92"/>
    <w:rsid w:val="00372F34"/>
    <w:rsid w:val="0037323E"/>
    <w:rsid w:val="0037328D"/>
    <w:rsid w:val="0037372D"/>
    <w:rsid w:val="00373793"/>
    <w:rsid w:val="00373897"/>
    <w:rsid w:val="003738C9"/>
    <w:rsid w:val="003738F1"/>
    <w:rsid w:val="00373F10"/>
    <w:rsid w:val="0037477D"/>
    <w:rsid w:val="003749FD"/>
    <w:rsid w:val="00374C3E"/>
    <w:rsid w:val="00374CBD"/>
    <w:rsid w:val="00374D17"/>
    <w:rsid w:val="00374D40"/>
    <w:rsid w:val="00374D81"/>
    <w:rsid w:val="00374DAF"/>
    <w:rsid w:val="0037501C"/>
    <w:rsid w:val="003750CE"/>
    <w:rsid w:val="00375571"/>
    <w:rsid w:val="003755BE"/>
    <w:rsid w:val="003759E1"/>
    <w:rsid w:val="00375A63"/>
    <w:rsid w:val="00375B36"/>
    <w:rsid w:val="00375B69"/>
    <w:rsid w:val="00375ECB"/>
    <w:rsid w:val="00375F93"/>
    <w:rsid w:val="00376206"/>
    <w:rsid w:val="0037662F"/>
    <w:rsid w:val="00376B2C"/>
    <w:rsid w:val="00376D8F"/>
    <w:rsid w:val="00376D94"/>
    <w:rsid w:val="00376F59"/>
    <w:rsid w:val="003770B6"/>
    <w:rsid w:val="00377351"/>
    <w:rsid w:val="0037752B"/>
    <w:rsid w:val="00377564"/>
    <w:rsid w:val="0037764C"/>
    <w:rsid w:val="003779D6"/>
    <w:rsid w:val="00377DD7"/>
    <w:rsid w:val="00377E3C"/>
    <w:rsid w:val="00377E8A"/>
    <w:rsid w:val="003800EF"/>
    <w:rsid w:val="003800F9"/>
    <w:rsid w:val="003802A8"/>
    <w:rsid w:val="003809B2"/>
    <w:rsid w:val="003812EF"/>
    <w:rsid w:val="00381AAC"/>
    <w:rsid w:val="00381BFD"/>
    <w:rsid w:val="00382254"/>
    <w:rsid w:val="0038238A"/>
    <w:rsid w:val="0038261B"/>
    <w:rsid w:val="0038294B"/>
    <w:rsid w:val="003829D5"/>
    <w:rsid w:val="00382F5A"/>
    <w:rsid w:val="00382F77"/>
    <w:rsid w:val="00383318"/>
    <w:rsid w:val="00383388"/>
    <w:rsid w:val="00383486"/>
    <w:rsid w:val="0038375E"/>
    <w:rsid w:val="0038376B"/>
    <w:rsid w:val="0038392A"/>
    <w:rsid w:val="00383A2B"/>
    <w:rsid w:val="00383F8D"/>
    <w:rsid w:val="00384157"/>
    <w:rsid w:val="003842B9"/>
    <w:rsid w:val="003844B9"/>
    <w:rsid w:val="003844FA"/>
    <w:rsid w:val="00384640"/>
    <w:rsid w:val="0038473E"/>
    <w:rsid w:val="00384B2D"/>
    <w:rsid w:val="0038506E"/>
    <w:rsid w:val="0038523B"/>
    <w:rsid w:val="00385516"/>
    <w:rsid w:val="003857E3"/>
    <w:rsid w:val="00385837"/>
    <w:rsid w:val="0038598C"/>
    <w:rsid w:val="00385A6A"/>
    <w:rsid w:val="00385B72"/>
    <w:rsid w:val="00385F2E"/>
    <w:rsid w:val="00385F34"/>
    <w:rsid w:val="00385F74"/>
    <w:rsid w:val="003860E5"/>
    <w:rsid w:val="0038636F"/>
    <w:rsid w:val="00386602"/>
    <w:rsid w:val="00386764"/>
    <w:rsid w:val="00386902"/>
    <w:rsid w:val="00386C18"/>
    <w:rsid w:val="00386D35"/>
    <w:rsid w:val="00386F79"/>
    <w:rsid w:val="00387115"/>
    <w:rsid w:val="0038720E"/>
    <w:rsid w:val="003872BD"/>
    <w:rsid w:val="00387601"/>
    <w:rsid w:val="00387758"/>
    <w:rsid w:val="003879CD"/>
    <w:rsid w:val="00387A7B"/>
    <w:rsid w:val="00387CDA"/>
    <w:rsid w:val="00387EC0"/>
    <w:rsid w:val="0039039D"/>
    <w:rsid w:val="0039083B"/>
    <w:rsid w:val="00390DFE"/>
    <w:rsid w:val="00390E3E"/>
    <w:rsid w:val="003910CE"/>
    <w:rsid w:val="0039118E"/>
    <w:rsid w:val="003916E6"/>
    <w:rsid w:val="00391A5F"/>
    <w:rsid w:val="00391DE7"/>
    <w:rsid w:val="003929F4"/>
    <w:rsid w:val="00392BA4"/>
    <w:rsid w:val="00392F5A"/>
    <w:rsid w:val="00392F65"/>
    <w:rsid w:val="00392F96"/>
    <w:rsid w:val="00392FD4"/>
    <w:rsid w:val="00393234"/>
    <w:rsid w:val="00393507"/>
    <w:rsid w:val="003939F2"/>
    <w:rsid w:val="003943CD"/>
    <w:rsid w:val="0039460E"/>
    <w:rsid w:val="00394666"/>
    <w:rsid w:val="00394702"/>
    <w:rsid w:val="003947DC"/>
    <w:rsid w:val="00394A55"/>
    <w:rsid w:val="00394B49"/>
    <w:rsid w:val="00394CAD"/>
    <w:rsid w:val="00395031"/>
    <w:rsid w:val="00395221"/>
    <w:rsid w:val="0039522A"/>
    <w:rsid w:val="00395397"/>
    <w:rsid w:val="003954CE"/>
    <w:rsid w:val="0039554D"/>
    <w:rsid w:val="00395779"/>
    <w:rsid w:val="003957B1"/>
    <w:rsid w:val="00395AF4"/>
    <w:rsid w:val="00395E36"/>
    <w:rsid w:val="00395F34"/>
    <w:rsid w:val="0039627C"/>
    <w:rsid w:val="00396389"/>
    <w:rsid w:val="00396413"/>
    <w:rsid w:val="003966B0"/>
    <w:rsid w:val="00396764"/>
    <w:rsid w:val="0039677A"/>
    <w:rsid w:val="00396997"/>
    <w:rsid w:val="00396CC5"/>
    <w:rsid w:val="00396F40"/>
    <w:rsid w:val="00397002"/>
    <w:rsid w:val="0039719F"/>
    <w:rsid w:val="003973BC"/>
    <w:rsid w:val="00397521"/>
    <w:rsid w:val="00397936"/>
    <w:rsid w:val="003979C9"/>
    <w:rsid w:val="00397B87"/>
    <w:rsid w:val="00397FD8"/>
    <w:rsid w:val="003A011B"/>
    <w:rsid w:val="003A02FA"/>
    <w:rsid w:val="003A04A3"/>
    <w:rsid w:val="003A0772"/>
    <w:rsid w:val="003A0BCE"/>
    <w:rsid w:val="003A0BD7"/>
    <w:rsid w:val="003A15B9"/>
    <w:rsid w:val="003A1645"/>
    <w:rsid w:val="003A16A1"/>
    <w:rsid w:val="003A1BDA"/>
    <w:rsid w:val="003A2070"/>
    <w:rsid w:val="003A234A"/>
    <w:rsid w:val="003A2379"/>
    <w:rsid w:val="003A2540"/>
    <w:rsid w:val="003A25E4"/>
    <w:rsid w:val="003A27AA"/>
    <w:rsid w:val="003A2AF1"/>
    <w:rsid w:val="003A3A8D"/>
    <w:rsid w:val="003A3E75"/>
    <w:rsid w:val="003A3EF6"/>
    <w:rsid w:val="003A4094"/>
    <w:rsid w:val="003A442E"/>
    <w:rsid w:val="003A477B"/>
    <w:rsid w:val="003A4989"/>
    <w:rsid w:val="003A4A0B"/>
    <w:rsid w:val="003A4D2F"/>
    <w:rsid w:val="003A54A3"/>
    <w:rsid w:val="003A5527"/>
    <w:rsid w:val="003A55D4"/>
    <w:rsid w:val="003A5E21"/>
    <w:rsid w:val="003A5F13"/>
    <w:rsid w:val="003A60DA"/>
    <w:rsid w:val="003A63F4"/>
    <w:rsid w:val="003A6660"/>
    <w:rsid w:val="003A6678"/>
    <w:rsid w:val="003A68FD"/>
    <w:rsid w:val="003A7013"/>
    <w:rsid w:val="003A70B7"/>
    <w:rsid w:val="003A70EF"/>
    <w:rsid w:val="003A742F"/>
    <w:rsid w:val="003A747D"/>
    <w:rsid w:val="003A7516"/>
    <w:rsid w:val="003A7616"/>
    <w:rsid w:val="003A7861"/>
    <w:rsid w:val="003A79E0"/>
    <w:rsid w:val="003A7CEA"/>
    <w:rsid w:val="003A7D78"/>
    <w:rsid w:val="003A7E3C"/>
    <w:rsid w:val="003B013D"/>
    <w:rsid w:val="003B01BA"/>
    <w:rsid w:val="003B03F9"/>
    <w:rsid w:val="003B0610"/>
    <w:rsid w:val="003B08FB"/>
    <w:rsid w:val="003B0EB5"/>
    <w:rsid w:val="003B0FA9"/>
    <w:rsid w:val="003B1186"/>
    <w:rsid w:val="003B1780"/>
    <w:rsid w:val="003B188F"/>
    <w:rsid w:val="003B19FA"/>
    <w:rsid w:val="003B1A5D"/>
    <w:rsid w:val="003B1B3B"/>
    <w:rsid w:val="003B1E6D"/>
    <w:rsid w:val="003B1F33"/>
    <w:rsid w:val="003B22F6"/>
    <w:rsid w:val="003B2566"/>
    <w:rsid w:val="003B284D"/>
    <w:rsid w:val="003B2917"/>
    <w:rsid w:val="003B32BA"/>
    <w:rsid w:val="003B32F3"/>
    <w:rsid w:val="003B33C0"/>
    <w:rsid w:val="003B37B7"/>
    <w:rsid w:val="003B37D5"/>
    <w:rsid w:val="003B3834"/>
    <w:rsid w:val="003B3BEF"/>
    <w:rsid w:val="003B3D02"/>
    <w:rsid w:val="003B3F31"/>
    <w:rsid w:val="003B447A"/>
    <w:rsid w:val="003B4813"/>
    <w:rsid w:val="003B495E"/>
    <w:rsid w:val="003B4B28"/>
    <w:rsid w:val="003B4E10"/>
    <w:rsid w:val="003B4EB1"/>
    <w:rsid w:val="003B5B12"/>
    <w:rsid w:val="003B5D30"/>
    <w:rsid w:val="003B5F8F"/>
    <w:rsid w:val="003B6535"/>
    <w:rsid w:val="003B65F2"/>
    <w:rsid w:val="003B667E"/>
    <w:rsid w:val="003B674D"/>
    <w:rsid w:val="003B6AF4"/>
    <w:rsid w:val="003B6B26"/>
    <w:rsid w:val="003B6D38"/>
    <w:rsid w:val="003B6D3F"/>
    <w:rsid w:val="003B6E63"/>
    <w:rsid w:val="003B72B3"/>
    <w:rsid w:val="003B72D3"/>
    <w:rsid w:val="003B743C"/>
    <w:rsid w:val="003B7468"/>
    <w:rsid w:val="003B7542"/>
    <w:rsid w:val="003B7592"/>
    <w:rsid w:val="003B7AC6"/>
    <w:rsid w:val="003B7B34"/>
    <w:rsid w:val="003B7B9C"/>
    <w:rsid w:val="003B7C4F"/>
    <w:rsid w:val="003B7E53"/>
    <w:rsid w:val="003C0024"/>
    <w:rsid w:val="003C0265"/>
    <w:rsid w:val="003C02F2"/>
    <w:rsid w:val="003C0723"/>
    <w:rsid w:val="003C07C6"/>
    <w:rsid w:val="003C0A4D"/>
    <w:rsid w:val="003C0E45"/>
    <w:rsid w:val="003C1441"/>
    <w:rsid w:val="003C15EF"/>
    <w:rsid w:val="003C1C75"/>
    <w:rsid w:val="003C1D26"/>
    <w:rsid w:val="003C2413"/>
    <w:rsid w:val="003C24EF"/>
    <w:rsid w:val="003C2726"/>
    <w:rsid w:val="003C2A6C"/>
    <w:rsid w:val="003C33A8"/>
    <w:rsid w:val="003C35EF"/>
    <w:rsid w:val="003C36BB"/>
    <w:rsid w:val="003C3851"/>
    <w:rsid w:val="003C4047"/>
    <w:rsid w:val="003C443F"/>
    <w:rsid w:val="003C44BF"/>
    <w:rsid w:val="003C459A"/>
    <w:rsid w:val="003C46E6"/>
    <w:rsid w:val="003C47ED"/>
    <w:rsid w:val="003C4D78"/>
    <w:rsid w:val="003C4EC7"/>
    <w:rsid w:val="003C5416"/>
    <w:rsid w:val="003C5920"/>
    <w:rsid w:val="003C5A82"/>
    <w:rsid w:val="003C5B76"/>
    <w:rsid w:val="003C5BB6"/>
    <w:rsid w:val="003C61D3"/>
    <w:rsid w:val="003C636D"/>
    <w:rsid w:val="003C64F3"/>
    <w:rsid w:val="003C65C2"/>
    <w:rsid w:val="003C6627"/>
    <w:rsid w:val="003C6685"/>
    <w:rsid w:val="003C66D7"/>
    <w:rsid w:val="003C67DB"/>
    <w:rsid w:val="003C6981"/>
    <w:rsid w:val="003C7135"/>
    <w:rsid w:val="003C720F"/>
    <w:rsid w:val="003C7226"/>
    <w:rsid w:val="003C73FD"/>
    <w:rsid w:val="003C777D"/>
    <w:rsid w:val="003C777F"/>
    <w:rsid w:val="003C794E"/>
    <w:rsid w:val="003C7B13"/>
    <w:rsid w:val="003C7C17"/>
    <w:rsid w:val="003C7C18"/>
    <w:rsid w:val="003D016E"/>
    <w:rsid w:val="003D04FE"/>
    <w:rsid w:val="003D057B"/>
    <w:rsid w:val="003D088D"/>
    <w:rsid w:val="003D08C6"/>
    <w:rsid w:val="003D095D"/>
    <w:rsid w:val="003D0AAE"/>
    <w:rsid w:val="003D0DE2"/>
    <w:rsid w:val="003D0FC1"/>
    <w:rsid w:val="003D10B5"/>
    <w:rsid w:val="003D12C3"/>
    <w:rsid w:val="003D13F0"/>
    <w:rsid w:val="003D14C8"/>
    <w:rsid w:val="003D160E"/>
    <w:rsid w:val="003D17CB"/>
    <w:rsid w:val="003D1B7B"/>
    <w:rsid w:val="003D1E53"/>
    <w:rsid w:val="003D1F8F"/>
    <w:rsid w:val="003D1FA3"/>
    <w:rsid w:val="003D2167"/>
    <w:rsid w:val="003D23D9"/>
    <w:rsid w:val="003D2441"/>
    <w:rsid w:val="003D2978"/>
    <w:rsid w:val="003D303A"/>
    <w:rsid w:val="003D34CB"/>
    <w:rsid w:val="003D37B1"/>
    <w:rsid w:val="003D3885"/>
    <w:rsid w:val="003D394B"/>
    <w:rsid w:val="003D3C37"/>
    <w:rsid w:val="003D41CF"/>
    <w:rsid w:val="003D4240"/>
    <w:rsid w:val="003D4393"/>
    <w:rsid w:val="003D4685"/>
    <w:rsid w:val="003D59B9"/>
    <w:rsid w:val="003D5A0F"/>
    <w:rsid w:val="003D5A9B"/>
    <w:rsid w:val="003D5B6F"/>
    <w:rsid w:val="003D60E7"/>
    <w:rsid w:val="003D60EF"/>
    <w:rsid w:val="003D61D8"/>
    <w:rsid w:val="003D6337"/>
    <w:rsid w:val="003D6366"/>
    <w:rsid w:val="003D65CA"/>
    <w:rsid w:val="003D66A6"/>
    <w:rsid w:val="003D6F52"/>
    <w:rsid w:val="003D7479"/>
    <w:rsid w:val="003E064A"/>
    <w:rsid w:val="003E08A6"/>
    <w:rsid w:val="003E0A79"/>
    <w:rsid w:val="003E0C5A"/>
    <w:rsid w:val="003E0CF3"/>
    <w:rsid w:val="003E136C"/>
    <w:rsid w:val="003E1A78"/>
    <w:rsid w:val="003E1ADD"/>
    <w:rsid w:val="003E1D36"/>
    <w:rsid w:val="003E1D96"/>
    <w:rsid w:val="003E1DA6"/>
    <w:rsid w:val="003E218E"/>
    <w:rsid w:val="003E22E9"/>
    <w:rsid w:val="003E26B6"/>
    <w:rsid w:val="003E291C"/>
    <w:rsid w:val="003E2984"/>
    <w:rsid w:val="003E32B2"/>
    <w:rsid w:val="003E33DF"/>
    <w:rsid w:val="003E3588"/>
    <w:rsid w:val="003E3B9F"/>
    <w:rsid w:val="003E3C35"/>
    <w:rsid w:val="003E3C71"/>
    <w:rsid w:val="003E40D8"/>
    <w:rsid w:val="003E4147"/>
    <w:rsid w:val="003E422C"/>
    <w:rsid w:val="003E468A"/>
    <w:rsid w:val="003E4B13"/>
    <w:rsid w:val="003E4E2C"/>
    <w:rsid w:val="003E51DC"/>
    <w:rsid w:val="003E52EA"/>
    <w:rsid w:val="003E5418"/>
    <w:rsid w:val="003E5925"/>
    <w:rsid w:val="003E5C37"/>
    <w:rsid w:val="003E5D87"/>
    <w:rsid w:val="003E5DA3"/>
    <w:rsid w:val="003E5DE1"/>
    <w:rsid w:val="003E6332"/>
    <w:rsid w:val="003E68BD"/>
    <w:rsid w:val="003E69FE"/>
    <w:rsid w:val="003E6BB4"/>
    <w:rsid w:val="003E6CFE"/>
    <w:rsid w:val="003E6D98"/>
    <w:rsid w:val="003E7903"/>
    <w:rsid w:val="003E7D36"/>
    <w:rsid w:val="003E7DE2"/>
    <w:rsid w:val="003F0186"/>
    <w:rsid w:val="003F01E2"/>
    <w:rsid w:val="003F0688"/>
    <w:rsid w:val="003F0F2E"/>
    <w:rsid w:val="003F0FDA"/>
    <w:rsid w:val="003F11E0"/>
    <w:rsid w:val="003F13AB"/>
    <w:rsid w:val="003F174A"/>
    <w:rsid w:val="003F183B"/>
    <w:rsid w:val="003F1AF0"/>
    <w:rsid w:val="003F1B51"/>
    <w:rsid w:val="003F1CF7"/>
    <w:rsid w:val="003F2179"/>
    <w:rsid w:val="003F2225"/>
    <w:rsid w:val="003F2882"/>
    <w:rsid w:val="003F28FE"/>
    <w:rsid w:val="003F2C62"/>
    <w:rsid w:val="003F3490"/>
    <w:rsid w:val="003F3CE5"/>
    <w:rsid w:val="003F3F05"/>
    <w:rsid w:val="003F433D"/>
    <w:rsid w:val="003F484B"/>
    <w:rsid w:val="003F4B6E"/>
    <w:rsid w:val="003F4CA9"/>
    <w:rsid w:val="003F4D43"/>
    <w:rsid w:val="003F4F34"/>
    <w:rsid w:val="003F5040"/>
    <w:rsid w:val="003F5940"/>
    <w:rsid w:val="003F599A"/>
    <w:rsid w:val="003F5B94"/>
    <w:rsid w:val="003F602E"/>
    <w:rsid w:val="003F6490"/>
    <w:rsid w:val="003F6521"/>
    <w:rsid w:val="003F66A2"/>
    <w:rsid w:val="003F686F"/>
    <w:rsid w:val="003F6A44"/>
    <w:rsid w:val="003F6EF7"/>
    <w:rsid w:val="003F7528"/>
    <w:rsid w:val="003F75AA"/>
    <w:rsid w:val="003F7646"/>
    <w:rsid w:val="003F7A43"/>
    <w:rsid w:val="003F7CBE"/>
    <w:rsid w:val="003F7F71"/>
    <w:rsid w:val="003F7FA0"/>
    <w:rsid w:val="00400371"/>
    <w:rsid w:val="004003DE"/>
    <w:rsid w:val="004006EC"/>
    <w:rsid w:val="0040074C"/>
    <w:rsid w:val="0040076D"/>
    <w:rsid w:val="004009E5"/>
    <w:rsid w:val="004010F3"/>
    <w:rsid w:val="00401131"/>
    <w:rsid w:val="004013BE"/>
    <w:rsid w:val="00401452"/>
    <w:rsid w:val="00401565"/>
    <w:rsid w:val="00401804"/>
    <w:rsid w:val="00401CA3"/>
    <w:rsid w:val="00401D6A"/>
    <w:rsid w:val="0040216A"/>
    <w:rsid w:val="004021EC"/>
    <w:rsid w:val="00402B6B"/>
    <w:rsid w:val="00402CA9"/>
    <w:rsid w:val="00402DD8"/>
    <w:rsid w:val="00402ED9"/>
    <w:rsid w:val="00402F44"/>
    <w:rsid w:val="0040308B"/>
    <w:rsid w:val="0040336A"/>
    <w:rsid w:val="004033C2"/>
    <w:rsid w:val="00403544"/>
    <w:rsid w:val="004038C5"/>
    <w:rsid w:val="00403B63"/>
    <w:rsid w:val="00403C95"/>
    <w:rsid w:val="00403DCB"/>
    <w:rsid w:val="00403F9C"/>
    <w:rsid w:val="00403FC1"/>
    <w:rsid w:val="00403FC4"/>
    <w:rsid w:val="00404009"/>
    <w:rsid w:val="00404629"/>
    <w:rsid w:val="004046B2"/>
    <w:rsid w:val="004047F2"/>
    <w:rsid w:val="00404925"/>
    <w:rsid w:val="00404A9B"/>
    <w:rsid w:val="00404CF9"/>
    <w:rsid w:val="00404D86"/>
    <w:rsid w:val="0040517F"/>
    <w:rsid w:val="004052D8"/>
    <w:rsid w:val="004059EA"/>
    <w:rsid w:val="004059FE"/>
    <w:rsid w:val="0040605B"/>
    <w:rsid w:val="0040663F"/>
    <w:rsid w:val="00406D83"/>
    <w:rsid w:val="004070EB"/>
    <w:rsid w:val="0040721B"/>
    <w:rsid w:val="00407624"/>
    <w:rsid w:val="00407923"/>
    <w:rsid w:val="00407F53"/>
    <w:rsid w:val="00407F77"/>
    <w:rsid w:val="00410192"/>
    <w:rsid w:val="004109C5"/>
    <w:rsid w:val="00410E0C"/>
    <w:rsid w:val="00410EE1"/>
    <w:rsid w:val="00411163"/>
    <w:rsid w:val="00411238"/>
    <w:rsid w:val="00411267"/>
    <w:rsid w:val="0041132B"/>
    <w:rsid w:val="00411723"/>
    <w:rsid w:val="004118B5"/>
    <w:rsid w:val="00411A52"/>
    <w:rsid w:val="00411A54"/>
    <w:rsid w:val="00411C73"/>
    <w:rsid w:val="00411D98"/>
    <w:rsid w:val="004123C7"/>
    <w:rsid w:val="004125B3"/>
    <w:rsid w:val="004131F6"/>
    <w:rsid w:val="00413273"/>
    <w:rsid w:val="004132EB"/>
    <w:rsid w:val="0041338F"/>
    <w:rsid w:val="0041342E"/>
    <w:rsid w:val="004136F1"/>
    <w:rsid w:val="00413B1F"/>
    <w:rsid w:val="00413CB6"/>
    <w:rsid w:val="0041401A"/>
    <w:rsid w:val="0041413A"/>
    <w:rsid w:val="004144C3"/>
    <w:rsid w:val="00414799"/>
    <w:rsid w:val="00414B43"/>
    <w:rsid w:val="00414D54"/>
    <w:rsid w:val="00415632"/>
    <w:rsid w:val="00415963"/>
    <w:rsid w:val="00415F51"/>
    <w:rsid w:val="004162D7"/>
    <w:rsid w:val="00416626"/>
    <w:rsid w:val="004168C1"/>
    <w:rsid w:val="00416A8B"/>
    <w:rsid w:val="00416CEA"/>
    <w:rsid w:val="0041704C"/>
    <w:rsid w:val="004173D4"/>
    <w:rsid w:val="00417438"/>
    <w:rsid w:val="0041758B"/>
    <w:rsid w:val="004177C4"/>
    <w:rsid w:val="00417839"/>
    <w:rsid w:val="00417B92"/>
    <w:rsid w:val="00417BDB"/>
    <w:rsid w:val="00417C48"/>
    <w:rsid w:val="00417E60"/>
    <w:rsid w:val="00420321"/>
    <w:rsid w:val="00420456"/>
    <w:rsid w:val="0042045B"/>
    <w:rsid w:val="004204EA"/>
    <w:rsid w:val="00420519"/>
    <w:rsid w:val="00420672"/>
    <w:rsid w:val="00420706"/>
    <w:rsid w:val="00420973"/>
    <w:rsid w:val="004214E4"/>
    <w:rsid w:val="004214F8"/>
    <w:rsid w:val="00421806"/>
    <w:rsid w:val="00421F8C"/>
    <w:rsid w:val="004221FD"/>
    <w:rsid w:val="0042236F"/>
    <w:rsid w:val="0042247A"/>
    <w:rsid w:val="004225C3"/>
    <w:rsid w:val="00422778"/>
    <w:rsid w:val="00422A9F"/>
    <w:rsid w:val="00422B1D"/>
    <w:rsid w:val="00422B7C"/>
    <w:rsid w:val="00422C7C"/>
    <w:rsid w:val="00422DBC"/>
    <w:rsid w:val="00422DD5"/>
    <w:rsid w:val="004230E2"/>
    <w:rsid w:val="00423200"/>
    <w:rsid w:val="004236BF"/>
    <w:rsid w:val="00423AE0"/>
    <w:rsid w:val="00423D63"/>
    <w:rsid w:val="00424257"/>
    <w:rsid w:val="00424638"/>
    <w:rsid w:val="00424728"/>
    <w:rsid w:val="00424959"/>
    <w:rsid w:val="00424A22"/>
    <w:rsid w:val="00424C2D"/>
    <w:rsid w:val="00424D70"/>
    <w:rsid w:val="00424F35"/>
    <w:rsid w:val="00424FDC"/>
    <w:rsid w:val="00425084"/>
    <w:rsid w:val="004254B5"/>
    <w:rsid w:val="00425C75"/>
    <w:rsid w:val="00425F28"/>
    <w:rsid w:val="0042637F"/>
    <w:rsid w:val="00426679"/>
    <w:rsid w:val="00426C05"/>
    <w:rsid w:val="00426F61"/>
    <w:rsid w:val="004272E3"/>
    <w:rsid w:val="0042754C"/>
    <w:rsid w:val="00427628"/>
    <w:rsid w:val="004277AF"/>
    <w:rsid w:val="00427994"/>
    <w:rsid w:val="00427AC5"/>
    <w:rsid w:val="00427D3B"/>
    <w:rsid w:val="00427E45"/>
    <w:rsid w:val="00427EEB"/>
    <w:rsid w:val="00427F12"/>
    <w:rsid w:val="00427F2A"/>
    <w:rsid w:val="00427F6F"/>
    <w:rsid w:val="00430239"/>
    <w:rsid w:val="00430250"/>
    <w:rsid w:val="00430572"/>
    <w:rsid w:val="004305A8"/>
    <w:rsid w:val="00430C99"/>
    <w:rsid w:val="00430DA6"/>
    <w:rsid w:val="00431107"/>
    <w:rsid w:val="0043130A"/>
    <w:rsid w:val="0043163C"/>
    <w:rsid w:val="004316B6"/>
    <w:rsid w:val="004316FC"/>
    <w:rsid w:val="0043202D"/>
    <w:rsid w:val="004324BD"/>
    <w:rsid w:val="004329AA"/>
    <w:rsid w:val="00432AAD"/>
    <w:rsid w:val="00432BC2"/>
    <w:rsid w:val="00432BE9"/>
    <w:rsid w:val="00432E2E"/>
    <w:rsid w:val="00432FA9"/>
    <w:rsid w:val="004332E9"/>
    <w:rsid w:val="00433360"/>
    <w:rsid w:val="004337CD"/>
    <w:rsid w:val="00433AC1"/>
    <w:rsid w:val="00433B0E"/>
    <w:rsid w:val="00433F73"/>
    <w:rsid w:val="00434542"/>
    <w:rsid w:val="004345B0"/>
    <w:rsid w:val="004345C0"/>
    <w:rsid w:val="004346F3"/>
    <w:rsid w:val="0043492E"/>
    <w:rsid w:val="004349E5"/>
    <w:rsid w:val="004349F4"/>
    <w:rsid w:val="00434A93"/>
    <w:rsid w:val="004354ED"/>
    <w:rsid w:val="004354FB"/>
    <w:rsid w:val="0043594B"/>
    <w:rsid w:val="00435B7D"/>
    <w:rsid w:val="00435CFC"/>
    <w:rsid w:val="004362CB"/>
    <w:rsid w:val="004371C0"/>
    <w:rsid w:val="004371F0"/>
    <w:rsid w:val="004375DA"/>
    <w:rsid w:val="004400C1"/>
    <w:rsid w:val="0044069E"/>
    <w:rsid w:val="00440BC0"/>
    <w:rsid w:val="00440C8E"/>
    <w:rsid w:val="00440D01"/>
    <w:rsid w:val="00440E67"/>
    <w:rsid w:val="00440F35"/>
    <w:rsid w:val="0044129A"/>
    <w:rsid w:val="00441957"/>
    <w:rsid w:val="004427A8"/>
    <w:rsid w:val="00442B3C"/>
    <w:rsid w:val="00442DF7"/>
    <w:rsid w:val="00442FAB"/>
    <w:rsid w:val="004438B0"/>
    <w:rsid w:val="00443A53"/>
    <w:rsid w:val="00443DBF"/>
    <w:rsid w:val="00443E93"/>
    <w:rsid w:val="004441BE"/>
    <w:rsid w:val="004447FE"/>
    <w:rsid w:val="00444CD4"/>
    <w:rsid w:val="0044527F"/>
    <w:rsid w:val="004452E9"/>
    <w:rsid w:val="004453CB"/>
    <w:rsid w:val="00445409"/>
    <w:rsid w:val="00445B2A"/>
    <w:rsid w:val="00445BEC"/>
    <w:rsid w:val="00445E4E"/>
    <w:rsid w:val="00446C72"/>
    <w:rsid w:val="00446C8F"/>
    <w:rsid w:val="00446EE1"/>
    <w:rsid w:val="00446FF3"/>
    <w:rsid w:val="0044704A"/>
    <w:rsid w:val="00447250"/>
    <w:rsid w:val="00447256"/>
    <w:rsid w:val="0044733C"/>
    <w:rsid w:val="00447343"/>
    <w:rsid w:val="004477D9"/>
    <w:rsid w:val="0044784F"/>
    <w:rsid w:val="00447BF0"/>
    <w:rsid w:val="00447E7A"/>
    <w:rsid w:val="0045013D"/>
    <w:rsid w:val="00450251"/>
    <w:rsid w:val="00450350"/>
    <w:rsid w:val="0045051E"/>
    <w:rsid w:val="004505E9"/>
    <w:rsid w:val="00450CE6"/>
    <w:rsid w:val="00450EBD"/>
    <w:rsid w:val="004510C0"/>
    <w:rsid w:val="004511E0"/>
    <w:rsid w:val="004511E7"/>
    <w:rsid w:val="004512CE"/>
    <w:rsid w:val="00451640"/>
    <w:rsid w:val="004517D9"/>
    <w:rsid w:val="00451D70"/>
    <w:rsid w:val="00451EA7"/>
    <w:rsid w:val="004526F0"/>
    <w:rsid w:val="00452C2D"/>
    <w:rsid w:val="00452FAC"/>
    <w:rsid w:val="004531CD"/>
    <w:rsid w:val="00453241"/>
    <w:rsid w:val="00453479"/>
    <w:rsid w:val="0045357B"/>
    <w:rsid w:val="004536CC"/>
    <w:rsid w:val="004538C0"/>
    <w:rsid w:val="0045398B"/>
    <w:rsid w:val="00453CF0"/>
    <w:rsid w:val="00453E53"/>
    <w:rsid w:val="00453F1A"/>
    <w:rsid w:val="00453FD2"/>
    <w:rsid w:val="004542B5"/>
    <w:rsid w:val="004547EE"/>
    <w:rsid w:val="00454959"/>
    <w:rsid w:val="00454A3A"/>
    <w:rsid w:val="00454F84"/>
    <w:rsid w:val="00454FFB"/>
    <w:rsid w:val="004550D5"/>
    <w:rsid w:val="00455142"/>
    <w:rsid w:val="00455340"/>
    <w:rsid w:val="004554A8"/>
    <w:rsid w:val="004556E3"/>
    <w:rsid w:val="00455818"/>
    <w:rsid w:val="00455F8C"/>
    <w:rsid w:val="00455FA4"/>
    <w:rsid w:val="00456413"/>
    <w:rsid w:val="0045653C"/>
    <w:rsid w:val="00456696"/>
    <w:rsid w:val="004566B0"/>
    <w:rsid w:val="0045670B"/>
    <w:rsid w:val="00456B85"/>
    <w:rsid w:val="00456BD1"/>
    <w:rsid w:val="00456C97"/>
    <w:rsid w:val="00457093"/>
    <w:rsid w:val="00457444"/>
    <w:rsid w:val="00457526"/>
    <w:rsid w:val="00457645"/>
    <w:rsid w:val="00457B1C"/>
    <w:rsid w:val="00457DB1"/>
    <w:rsid w:val="00457E05"/>
    <w:rsid w:val="00457F83"/>
    <w:rsid w:val="0046021B"/>
    <w:rsid w:val="004606CD"/>
    <w:rsid w:val="004608C8"/>
    <w:rsid w:val="00460EAE"/>
    <w:rsid w:val="00460ED1"/>
    <w:rsid w:val="00461110"/>
    <w:rsid w:val="00461658"/>
    <w:rsid w:val="00461791"/>
    <w:rsid w:val="004617B1"/>
    <w:rsid w:val="004618A7"/>
    <w:rsid w:val="004619C8"/>
    <w:rsid w:val="004621CB"/>
    <w:rsid w:val="004625E9"/>
    <w:rsid w:val="004625FC"/>
    <w:rsid w:val="004628DD"/>
    <w:rsid w:val="00462C7A"/>
    <w:rsid w:val="00462E41"/>
    <w:rsid w:val="004634F5"/>
    <w:rsid w:val="0046354B"/>
    <w:rsid w:val="00463591"/>
    <w:rsid w:val="004639A2"/>
    <w:rsid w:val="004639E2"/>
    <w:rsid w:val="00463BCD"/>
    <w:rsid w:val="00463D60"/>
    <w:rsid w:val="00463F3B"/>
    <w:rsid w:val="0046405C"/>
    <w:rsid w:val="004644D5"/>
    <w:rsid w:val="004644F7"/>
    <w:rsid w:val="00464A31"/>
    <w:rsid w:val="00464B41"/>
    <w:rsid w:val="00464B78"/>
    <w:rsid w:val="00464D44"/>
    <w:rsid w:val="00464EC3"/>
    <w:rsid w:val="004652FD"/>
    <w:rsid w:val="00465505"/>
    <w:rsid w:val="004655B8"/>
    <w:rsid w:val="004655D9"/>
    <w:rsid w:val="004658F0"/>
    <w:rsid w:val="00465BF7"/>
    <w:rsid w:val="00465F9C"/>
    <w:rsid w:val="00465FF0"/>
    <w:rsid w:val="00466008"/>
    <w:rsid w:val="004661AA"/>
    <w:rsid w:val="00466DC4"/>
    <w:rsid w:val="00466F23"/>
    <w:rsid w:val="00467B0D"/>
    <w:rsid w:val="00467E3C"/>
    <w:rsid w:val="00470133"/>
    <w:rsid w:val="004705CC"/>
    <w:rsid w:val="00470651"/>
    <w:rsid w:val="00470AB0"/>
    <w:rsid w:val="00470B96"/>
    <w:rsid w:val="00470C1E"/>
    <w:rsid w:val="00470C48"/>
    <w:rsid w:val="00470C66"/>
    <w:rsid w:val="00470D23"/>
    <w:rsid w:val="00470ED1"/>
    <w:rsid w:val="004710C3"/>
    <w:rsid w:val="00471115"/>
    <w:rsid w:val="004712DE"/>
    <w:rsid w:val="004712F6"/>
    <w:rsid w:val="004717BC"/>
    <w:rsid w:val="0047181E"/>
    <w:rsid w:val="00471BB9"/>
    <w:rsid w:val="00471CC7"/>
    <w:rsid w:val="00471E9D"/>
    <w:rsid w:val="00471F44"/>
    <w:rsid w:val="00471FFA"/>
    <w:rsid w:val="004722CC"/>
    <w:rsid w:val="00472534"/>
    <w:rsid w:val="004726CD"/>
    <w:rsid w:val="0047281A"/>
    <w:rsid w:val="00472839"/>
    <w:rsid w:val="00472B27"/>
    <w:rsid w:val="00472EFC"/>
    <w:rsid w:val="00473527"/>
    <w:rsid w:val="0047379F"/>
    <w:rsid w:val="00473830"/>
    <w:rsid w:val="00473F57"/>
    <w:rsid w:val="00473F98"/>
    <w:rsid w:val="00474007"/>
    <w:rsid w:val="004740B2"/>
    <w:rsid w:val="004740D3"/>
    <w:rsid w:val="0047417C"/>
    <w:rsid w:val="00474655"/>
    <w:rsid w:val="00474E7A"/>
    <w:rsid w:val="00475292"/>
    <w:rsid w:val="004752E0"/>
    <w:rsid w:val="00475457"/>
    <w:rsid w:val="00475695"/>
    <w:rsid w:val="0047596A"/>
    <w:rsid w:val="0047598B"/>
    <w:rsid w:val="00475ED6"/>
    <w:rsid w:val="00476183"/>
    <w:rsid w:val="00476327"/>
    <w:rsid w:val="004766CB"/>
    <w:rsid w:val="00476B9F"/>
    <w:rsid w:val="00476F8E"/>
    <w:rsid w:val="00477370"/>
    <w:rsid w:val="0047752B"/>
    <w:rsid w:val="00477741"/>
    <w:rsid w:val="0048021C"/>
    <w:rsid w:val="00480639"/>
    <w:rsid w:val="0048088D"/>
    <w:rsid w:val="00480912"/>
    <w:rsid w:val="00480CE2"/>
    <w:rsid w:val="00480F3A"/>
    <w:rsid w:val="00481D79"/>
    <w:rsid w:val="00481E3B"/>
    <w:rsid w:val="004820A6"/>
    <w:rsid w:val="004821BE"/>
    <w:rsid w:val="004823B7"/>
    <w:rsid w:val="0048289F"/>
    <w:rsid w:val="00482D90"/>
    <w:rsid w:val="0048324D"/>
    <w:rsid w:val="00483366"/>
    <w:rsid w:val="00483584"/>
    <w:rsid w:val="004838D0"/>
    <w:rsid w:val="00483AF5"/>
    <w:rsid w:val="00483C11"/>
    <w:rsid w:val="00484154"/>
    <w:rsid w:val="00484283"/>
    <w:rsid w:val="00484333"/>
    <w:rsid w:val="00484744"/>
    <w:rsid w:val="004848DB"/>
    <w:rsid w:val="0048499D"/>
    <w:rsid w:val="00484B9F"/>
    <w:rsid w:val="00484F4D"/>
    <w:rsid w:val="0048526C"/>
    <w:rsid w:val="00485272"/>
    <w:rsid w:val="004852E6"/>
    <w:rsid w:val="004853B1"/>
    <w:rsid w:val="00485521"/>
    <w:rsid w:val="00485771"/>
    <w:rsid w:val="004859CB"/>
    <w:rsid w:val="00485D7C"/>
    <w:rsid w:val="00485E61"/>
    <w:rsid w:val="00485F8F"/>
    <w:rsid w:val="00486058"/>
    <w:rsid w:val="00486140"/>
    <w:rsid w:val="004862DE"/>
    <w:rsid w:val="00486454"/>
    <w:rsid w:val="00486C18"/>
    <w:rsid w:val="00486C7C"/>
    <w:rsid w:val="00486EE3"/>
    <w:rsid w:val="004873DB"/>
    <w:rsid w:val="00487704"/>
    <w:rsid w:val="00487793"/>
    <w:rsid w:val="004878DC"/>
    <w:rsid w:val="00487994"/>
    <w:rsid w:val="00487E21"/>
    <w:rsid w:val="00487F26"/>
    <w:rsid w:val="004900B6"/>
    <w:rsid w:val="004901E5"/>
    <w:rsid w:val="00490533"/>
    <w:rsid w:val="00490578"/>
    <w:rsid w:val="004906C6"/>
    <w:rsid w:val="004906CC"/>
    <w:rsid w:val="00490DEE"/>
    <w:rsid w:val="004911DF"/>
    <w:rsid w:val="0049153C"/>
    <w:rsid w:val="004917CF"/>
    <w:rsid w:val="00491908"/>
    <w:rsid w:val="004919BC"/>
    <w:rsid w:val="00491B10"/>
    <w:rsid w:val="00491B27"/>
    <w:rsid w:val="004920E4"/>
    <w:rsid w:val="00492227"/>
    <w:rsid w:val="00492287"/>
    <w:rsid w:val="00492855"/>
    <w:rsid w:val="00492BC2"/>
    <w:rsid w:val="00492C5D"/>
    <w:rsid w:val="004930B5"/>
    <w:rsid w:val="004932B0"/>
    <w:rsid w:val="0049345A"/>
    <w:rsid w:val="004934CC"/>
    <w:rsid w:val="00493699"/>
    <w:rsid w:val="0049376E"/>
    <w:rsid w:val="00493F59"/>
    <w:rsid w:val="00493F70"/>
    <w:rsid w:val="00493F8B"/>
    <w:rsid w:val="004949F8"/>
    <w:rsid w:val="00494A6D"/>
    <w:rsid w:val="00494A9F"/>
    <w:rsid w:val="00494B64"/>
    <w:rsid w:val="00494FF7"/>
    <w:rsid w:val="0049506C"/>
    <w:rsid w:val="004953D7"/>
    <w:rsid w:val="0049590C"/>
    <w:rsid w:val="00495A0F"/>
    <w:rsid w:val="00495D3F"/>
    <w:rsid w:val="00495D44"/>
    <w:rsid w:val="00495F52"/>
    <w:rsid w:val="0049618B"/>
    <w:rsid w:val="004962A2"/>
    <w:rsid w:val="00496643"/>
    <w:rsid w:val="004966CC"/>
    <w:rsid w:val="00496876"/>
    <w:rsid w:val="004968D7"/>
    <w:rsid w:val="00496927"/>
    <w:rsid w:val="00496A44"/>
    <w:rsid w:val="00496B3B"/>
    <w:rsid w:val="00497463"/>
    <w:rsid w:val="004977C8"/>
    <w:rsid w:val="00497DAC"/>
    <w:rsid w:val="004A0723"/>
    <w:rsid w:val="004A091B"/>
    <w:rsid w:val="004A0BA0"/>
    <w:rsid w:val="004A0CC6"/>
    <w:rsid w:val="004A0D66"/>
    <w:rsid w:val="004A1363"/>
    <w:rsid w:val="004A15A9"/>
    <w:rsid w:val="004A15C4"/>
    <w:rsid w:val="004A17C6"/>
    <w:rsid w:val="004A1870"/>
    <w:rsid w:val="004A1C6B"/>
    <w:rsid w:val="004A1CF1"/>
    <w:rsid w:val="004A21F6"/>
    <w:rsid w:val="004A2BD1"/>
    <w:rsid w:val="004A34B3"/>
    <w:rsid w:val="004A34EE"/>
    <w:rsid w:val="004A350B"/>
    <w:rsid w:val="004A3BAC"/>
    <w:rsid w:val="004A3FF5"/>
    <w:rsid w:val="004A4404"/>
    <w:rsid w:val="004A4E39"/>
    <w:rsid w:val="004A4E70"/>
    <w:rsid w:val="004A4FC9"/>
    <w:rsid w:val="004A54E2"/>
    <w:rsid w:val="004A566B"/>
    <w:rsid w:val="004A57C0"/>
    <w:rsid w:val="004A618A"/>
    <w:rsid w:val="004A618C"/>
    <w:rsid w:val="004A63D1"/>
    <w:rsid w:val="004A6402"/>
    <w:rsid w:val="004A6581"/>
    <w:rsid w:val="004A682D"/>
    <w:rsid w:val="004A688A"/>
    <w:rsid w:val="004A6A36"/>
    <w:rsid w:val="004A6CB5"/>
    <w:rsid w:val="004A73D8"/>
    <w:rsid w:val="004A753D"/>
    <w:rsid w:val="004A76BF"/>
    <w:rsid w:val="004A7A1B"/>
    <w:rsid w:val="004A7B1B"/>
    <w:rsid w:val="004A7DF2"/>
    <w:rsid w:val="004B0104"/>
    <w:rsid w:val="004B0622"/>
    <w:rsid w:val="004B0680"/>
    <w:rsid w:val="004B0A0B"/>
    <w:rsid w:val="004B0E9D"/>
    <w:rsid w:val="004B1009"/>
    <w:rsid w:val="004B11DC"/>
    <w:rsid w:val="004B14A7"/>
    <w:rsid w:val="004B1678"/>
    <w:rsid w:val="004B1689"/>
    <w:rsid w:val="004B1830"/>
    <w:rsid w:val="004B1E65"/>
    <w:rsid w:val="004B1FD9"/>
    <w:rsid w:val="004B2166"/>
    <w:rsid w:val="004B2172"/>
    <w:rsid w:val="004B2884"/>
    <w:rsid w:val="004B2A3B"/>
    <w:rsid w:val="004B2DE9"/>
    <w:rsid w:val="004B2E21"/>
    <w:rsid w:val="004B3059"/>
    <w:rsid w:val="004B3971"/>
    <w:rsid w:val="004B3D6C"/>
    <w:rsid w:val="004B3DF0"/>
    <w:rsid w:val="004B4197"/>
    <w:rsid w:val="004B42B3"/>
    <w:rsid w:val="004B42BB"/>
    <w:rsid w:val="004B459D"/>
    <w:rsid w:val="004B47A9"/>
    <w:rsid w:val="004B4851"/>
    <w:rsid w:val="004B4952"/>
    <w:rsid w:val="004B4AEF"/>
    <w:rsid w:val="004B4B03"/>
    <w:rsid w:val="004B4C1D"/>
    <w:rsid w:val="004B4C2F"/>
    <w:rsid w:val="004B4DBC"/>
    <w:rsid w:val="004B4DF6"/>
    <w:rsid w:val="004B51F5"/>
    <w:rsid w:val="004B5353"/>
    <w:rsid w:val="004B53E8"/>
    <w:rsid w:val="004B5415"/>
    <w:rsid w:val="004B55B2"/>
    <w:rsid w:val="004B55D7"/>
    <w:rsid w:val="004B5824"/>
    <w:rsid w:val="004B58E9"/>
    <w:rsid w:val="004B5A54"/>
    <w:rsid w:val="004B5DC9"/>
    <w:rsid w:val="004B62E9"/>
    <w:rsid w:val="004B6444"/>
    <w:rsid w:val="004B6564"/>
    <w:rsid w:val="004B6B8B"/>
    <w:rsid w:val="004B729F"/>
    <w:rsid w:val="004B7C14"/>
    <w:rsid w:val="004B7FEB"/>
    <w:rsid w:val="004C0044"/>
    <w:rsid w:val="004C014D"/>
    <w:rsid w:val="004C0445"/>
    <w:rsid w:val="004C0762"/>
    <w:rsid w:val="004C08DB"/>
    <w:rsid w:val="004C0B48"/>
    <w:rsid w:val="004C0D61"/>
    <w:rsid w:val="004C0F27"/>
    <w:rsid w:val="004C117C"/>
    <w:rsid w:val="004C12F3"/>
    <w:rsid w:val="004C13B0"/>
    <w:rsid w:val="004C184B"/>
    <w:rsid w:val="004C190D"/>
    <w:rsid w:val="004C1931"/>
    <w:rsid w:val="004C1AAA"/>
    <w:rsid w:val="004C1B37"/>
    <w:rsid w:val="004C1F8B"/>
    <w:rsid w:val="004C20EF"/>
    <w:rsid w:val="004C24B5"/>
    <w:rsid w:val="004C2503"/>
    <w:rsid w:val="004C2531"/>
    <w:rsid w:val="004C2A28"/>
    <w:rsid w:val="004C2C91"/>
    <w:rsid w:val="004C2EE0"/>
    <w:rsid w:val="004C2F43"/>
    <w:rsid w:val="004C30D8"/>
    <w:rsid w:val="004C31A8"/>
    <w:rsid w:val="004C31BA"/>
    <w:rsid w:val="004C328D"/>
    <w:rsid w:val="004C32B6"/>
    <w:rsid w:val="004C34E9"/>
    <w:rsid w:val="004C3597"/>
    <w:rsid w:val="004C3A44"/>
    <w:rsid w:val="004C3B6D"/>
    <w:rsid w:val="004C3F73"/>
    <w:rsid w:val="004C3FEC"/>
    <w:rsid w:val="004C3FF7"/>
    <w:rsid w:val="004C40C2"/>
    <w:rsid w:val="004C4288"/>
    <w:rsid w:val="004C4996"/>
    <w:rsid w:val="004C49B8"/>
    <w:rsid w:val="004C4BAB"/>
    <w:rsid w:val="004C4E49"/>
    <w:rsid w:val="004C5041"/>
    <w:rsid w:val="004C5519"/>
    <w:rsid w:val="004C5939"/>
    <w:rsid w:val="004C598E"/>
    <w:rsid w:val="004C5A15"/>
    <w:rsid w:val="004C5C27"/>
    <w:rsid w:val="004C6299"/>
    <w:rsid w:val="004C6467"/>
    <w:rsid w:val="004C659A"/>
    <w:rsid w:val="004C69B0"/>
    <w:rsid w:val="004C6B1C"/>
    <w:rsid w:val="004C6FF9"/>
    <w:rsid w:val="004C736B"/>
    <w:rsid w:val="004C7370"/>
    <w:rsid w:val="004C773E"/>
    <w:rsid w:val="004C7876"/>
    <w:rsid w:val="004C78C1"/>
    <w:rsid w:val="004C79A7"/>
    <w:rsid w:val="004C7A7D"/>
    <w:rsid w:val="004C7B62"/>
    <w:rsid w:val="004C7C64"/>
    <w:rsid w:val="004C7C88"/>
    <w:rsid w:val="004C7F8D"/>
    <w:rsid w:val="004D04CB"/>
    <w:rsid w:val="004D0704"/>
    <w:rsid w:val="004D07DE"/>
    <w:rsid w:val="004D0B58"/>
    <w:rsid w:val="004D0C64"/>
    <w:rsid w:val="004D0DB6"/>
    <w:rsid w:val="004D0FB9"/>
    <w:rsid w:val="004D1644"/>
    <w:rsid w:val="004D1799"/>
    <w:rsid w:val="004D18D9"/>
    <w:rsid w:val="004D19A6"/>
    <w:rsid w:val="004D1B0C"/>
    <w:rsid w:val="004D1E6A"/>
    <w:rsid w:val="004D1E7D"/>
    <w:rsid w:val="004D205B"/>
    <w:rsid w:val="004D20AE"/>
    <w:rsid w:val="004D2368"/>
    <w:rsid w:val="004D2434"/>
    <w:rsid w:val="004D2B45"/>
    <w:rsid w:val="004D2F03"/>
    <w:rsid w:val="004D2F2E"/>
    <w:rsid w:val="004D3428"/>
    <w:rsid w:val="004D356A"/>
    <w:rsid w:val="004D3866"/>
    <w:rsid w:val="004D3AF7"/>
    <w:rsid w:val="004D3C26"/>
    <w:rsid w:val="004D3D23"/>
    <w:rsid w:val="004D3F53"/>
    <w:rsid w:val="004D44D2"/>
    <w:rsid w:val="004D4843"/>
    <w:rsid w:val="004D50D7"/>
    <w:rsid w:val="004D524B"/>
    <w:rsid w:val="004D52D6"/>
    <w:rsid w:val="004D53C4"/>
    <w:rsid w:val="004D54E0"/>
    <w:rsid w:val="004D5668"/>
    <w:rsid w:val="004D5733"/>
    <w:rsid w:val="004D5C1E"/>
    <w:rsid w:val="004D5C54"/>
    <w:rsid w:val="004D6610"/>
    <w:rsid w:val="004D67DC"/>
    <w:rsid w:val="004D6B78"/>
    <w:rsid w:val="004D6C8A"/>
    <w:rsid w:val="004D6DE9"/>
    <w:rsid w:val="004D7272"/>
    <w:rsid w:val="004D7361"/>
    <w:rsid w:val="004D73EB"/>
    <w:rsid w:val="004D74DD"/>
    <w:rsid w:val="004D798C"/>
    <w:rsid w:val="004E03F3"/>
    <w:rsid w:val="004E046F"/>
    <w:rsid w:val="004E064B"/>
    <w:rsid w:val="004E0657"/>
    <w:rsid w:val="004E0B59"/>
    <w:rsid w:val="004E0C66"/>
    <w:rsid w:val="004E0E08"/>
    <w:rsid w:val="004E0F78"/>
    <w:rsid w:val="004E1FE2"/>
    <w:rsid w:val="004E2224"/>
    <w:rsid w:val="004E23A9"/>
    <w:rsid w:val="004E2532"/>
    <w:rsid w:val="004E26DC"/>
    <w:rsid w:val="004E28D4"/>
    <w:rsid w:val="004E28E6"/>
    <w:rsid w:val="004E2C49"/>
    <w:rsid w:val="004E2CC6"/>
    <w:rsid w:val="004E2D1D"/>
    <w:rsid w:val="004E2EE3"/>
    <w:rsid w:val="004E306D"/>
    <w:rsid w:val="004E3203"/>
    <w:rsid w:val="004E32C9"/>
    <w:rsid w:val="004E3323"/>
    <w:rsid w:val="004E33C6"/>
    <w:rsid w:val="004E3505"/>
    <w:rsid w:val="004E3EB9"/>
    <w:rsid w:val="004E4090"/>
    <w:rsid w:val="004E41C2"/>
    <w:rsid w:val="004E434F"/>
    <w:rsid w:val="004E43BF"/>
    <w:rsid w:val="004E43FF"/>
    <w:rsid w:val="004E440B"/>
    <w:rsid w:val="004E460C"/>
    <w:rsid w:val="004E462E"/>
    <w:rsid w:val="004E46C4"/>
    <w:rsid w:val="004E4713"/>
    <w:rsid w:val="004E4801"/>
    <w:rsid w:val="004E4909"/>
    <w:rsid w:val="004E4A48"/>
    <w:rsid w:val="004E4AC8"/>
    <w:rsid w:val="004E4B0B"/>
    <w:rsid w:val="004E4BAB"/>
    <w:rsid w:val="004E4E3B"/>
    <w:rsid w:val="004E4EB2"/>
    <w:rsid w:val="004E4F21"/>
    <w:rsid w:val="004E5B7D"/>
    <w:rsid w:val="004E5BC6"/>
    <w:rsid w:val="004E5BF6"/>
    <w:rsid w:val="004E5F56"/>
    <w:rsid w:val="004E6149"/>
    <w:rsid w:val="004E6B7B"/>
    <w:rsid w:val="004E741B"/>
    <w:rsid w:val="004E74B7"/>
    <w:rsid w:val="004E750E"/>
    <w:rsid w:val="004E7B50"/>
    <w:rsid w:val="004F00AF"/>
    <w:rsid w:val="004F020B"/>
    <w:rsid w:val="004F0329"/>
    <w:rsid w:val="004F0452"/>
    <w:rsid w:val="004F04E6"/>
    <w:rsid w:val="004F05B2"/>
    <w:rsid w:val="004F0918"/>
    <w:rsid w:val="004F0C03"/>
    <w:rsid w:val="004F0CF2"/>
    <w:rsid w:val="004F134B"/>
    <w:rsid w:val="004F161B"/>
    <w:rsid w:val="004F179F"/>
    <w:rsid w:val="004F2319"/>
    <w:rsid w:val="004F2433"/>
    <w:rsid w:val="004F2734"/>
    <w:rsid w:val="004F27A9"/>
    <w:rsid w:val="004F28E5"/>
    <w:rsid w:val="004F2AA1"/>
    <w:rsid w:val="004F2C5B"/>
    <w:rsid w:val="004F3661"/>
    <w:rsid w:val="004F36E7"/>
    <w:rsid w:val="004F3B24"/>
    <w:rsid w:val="004F3B72"/>
    <w:rsid w:val="004F3C78"/>
    <w:rsid w:val="004F3CBC"/>
    <w:rsid w:val="004F401D"/>
    <w:rsid w:val="004F44DC"/>
    <w:rsid w:val="004F48F8"/>
    <w:rsid w:val="004F4B74"/>
    <w:rsid w:val="004F4D3E"/>
    <w:rsid w:val="004F5460"/>
    <w:rsid w:val="004F5531"/>
    <w:rsid w:val="004F5A34"/>
    <w:rsid w:val="004F5C5E"/>
    <w:rsid w:val="004F5C9E"/>
    <w:rsid w:val="004F5E96"/>
    <w:rsid w:val="004F5EDD"/>
    <w:rsid w:val="004F5F64"/>
    <w:rsid w:val="004F606D"/>
    <w:rsid w:val="004F60AE"/>
    <w:rsid w:val="004F65CA"/>
    <w:rsid w:val="004F6652"/>
    <w:rsid w:val="004F6972"/>
    <w:rsid w:val="004F6B4C"/>
    <w:rsid w:val="004F6C38"/>
    <w:rsid w:val="004F6F0C"/>
    <w:rsid w:val="004F7427"/>
    <w:rsid w:val="004F78A8"/>
    <w:rsid w:val="004F7938"/>
    <w:rsid w:val="004F7A98"/>
    <w:rsid w:val="004F7BBD"/>
    <w:rsid w:val="004F7C9F"/>
    <w:rsid w:val="00500783"/>
    <w:rsid w:val="005009F8"/>
    <w:rsid w:val="00500A05"/>
    <w:rsid w:val="00500A42"/>
    <w:rsid w:val="00500DA0"/>
    <w:rsid w:val="00500FFD"/>
    <w:rsid w:val="0050199F"/>
    <w:rsid w:val="00501CD0"/>
    <w:rsid w:val="00501E24"/>
    <w:rsid w:val="00501FD2"/>
    <w:rsid w:val="00501FE0"/>
    <w:rsid w:val="00502317"/>
    <w:rsid w:val="005023E3"/>
    <w:rsid w:val="00502419"/>
    <w:rsid w:val="00502549"/>
    <w:rsid w:val="005026EF"/>
    <w:rsid w:val="005027E3"/>
    <w:rsid w:val="00502AAC"/>
    <w:rsid w:val="00502CA2"/>
    <w:rsid w:val="00502DF1"/>
    <w:rsid w:val="00503008"/>
    <w:rsid w:val="005033E0"/>
    <w:rsid w:val="00503B8E"/>
    <w:rsid w:val="00504152"/>
    <w:rsid w:val="005042C5"/>
    <w:rsid w:val="005043F0"/>
    <w:rsid w:val="00504CD1"/>
    <w:rsid w:val="00505049"/>
    <w:rsid w:val="005052BB"/>
    <w:rsid w:val="00505617"/>
    <w:rsid w:val="00505671"/>
    <w:rsid w:val="00505881"/>
    <w:rsid w:val="00505A3A"/>
    <w:rsid w:val="00505B56"/>
    <w:rsid w:val="00505CB0"/>
    <w:rsid w:val="00506228"/>
    <w:rsid w:val="00506B75"/>
    <w:rsid w:val="00507213"/>
    <w:rsid w:val="00507364"/>
    <w:rsid w:val="005074DA"/>
    <w:rsid w:val="0050771F"/>
    <w:rsid w:val="00507BA6"/>
    <w:rsid w:val="00507D1B"/>
    <w:rsid w:val="00507FAF"/>
    <w:rsid w:val="00507FBA"/>
    <w:rsid w:val="0051049C"/>
    <w:rsid w:val="00510695"/>
    <w:rsid w:val="005106C4"/>
    <w:rsid w:val="00510A01"/>
    <w:rsid w:val="00510B67"/>
    <w:rsid w:val="00510DCB"/>
    <w:rsid w:val="00511400"/>
    <w:rsid w:val="0051160F"/>
    <w:rsid w:val="005118BF"/>
    <w:rsid w:val="00511FD0"/>
    <w:rsid w:val="0051201A"/>
    <w:rsid w:val="00512B13"/>
    <w:rsid w:val="00512B1B"/>
    <w:rsid w:val="00512D01"/>
    <w:rsid w:val="00512DE9"/>
    <w:rsid w:val="005131DB"/>
    <w:rsid w:val="00513B3A"/>
    <w:rsid w:val="00513B5C"/>
    <w:rsid w:val="00513D4F"/>
    <w:rsid w:val="00513EFB"/>
    <w:rsid w:val="00514010"/>
    <w:rsid w:val="00514210"/>
    <w:rsid w:val="00514262"/>
    <w:rsid w:val="005142FB"/>
    <w:rsid w:val="00514364"/>
    <w:rsid w:val="00514576"/>
    <w:rsid w:val="0051461C"/>
    <w:rsid w:val="00514796"/>
    <w:rsid w:val="0051491B"/>
    <w:rsid w:val="00514B49"/>
    <w:rsid w:val="00514D36"/>
    <w:rsid w:val="00514EDC"/>
    <w:rsid w:val="0051516E"/>
    <w:rsid w:val="00515247"/>
    <w:rsid w:val="005154A7"/>
    <w:rsid w:val="005156A3"/>
    <w:rsid w:val="005156CB"/>
    <w:rsid w:val="00515957"/>
    <w:rsid w:val="0051595E"/>
    <w:rsid w:val="00515B23"/>
    <w:rsid w:val="00515E73"/>
    <w:rsid w:val="00515EC3"/>
    <w:rsid w:val="00515FFB"/>
    <w:rsid w:val="00516278"/>
    <w:rsid w:val="00516319"/>
    <w:rsid w:val="00516440"/>
    <w:rsid w:val="005169C5"/>
    <w:rsid w:val="00516BD5"/>
    <w:rsid w:val="00516F49"/>
    <w:rsid w:val="00516FE7"/>
    <w:rsid w:val="00517159"/>
    <w:rsid w:val="005175F5"/>
    <w:rsid w:val="00517D59"/>
    <w:rsid w:val="00520111"/>
    <w:rsid w:val="0052016E"/>
    <w:rsid w:val="00520741"/>
    <w:rsid w:val="0052084A"/>
    <w:rsid w:val="00520870"/>
    <w:rsid w:val="00520A8C"/>
    <w:rsid w:val="00520E04"/>
    <w:rsid w:val="00520F58"/>
    <w:rsid w:val="00521021"/>
    <w:rsid w:val="005213FA"/>
    <w:rsid w:val="005214D1"/>
    <w:rsid w:val="00521AF7"/>
    <w:rsid w:val="00521F6A"/>
    <w:rsid w:val="005222FD"/>
    <w:rsid w:val="005226C7"/>
    <w:rsid w:val="00522703"/>
    <w:rsid w:val="00522C5B"/>
    <w:rsid w:val="00522E87"/>
    <w:rsid w:val="00522F96"/>
    <w:rsid w:val="005230E8"/>
    <w:rsid w:val="00523A5B"/>
    <w:rsid w:val="00523C4B"/>
    <w:rsid w:val="0052425F"/>
    <w:rsid w:val="0052444E"/>
    <w:rsid w:val="0052447E"/>
    <w:rsid w:val="005244B0"/>
    <w:rsid w:val="00524CDE"/>
    <w:rsid w:val="00525381"/>
    <w:rsid w:val="00525B04"/>
    <w:rsid w:val="00525F47"/>
    <w:rsid w:val="00525FDB"/>
    <w:rsid w:val="005263F1"/>
    <w:rsid w:val="0052680F"/>
    <w:rsid w:val="00526AE1"/>
    <w:rsid w:val="00526CC3"/>
    <w:rsid w:val="00526FC3"/>
    <w:rsid w:val="0052703C"/>
    <w:rsid w:val="00527134"/>
    <w:rsid w:val="0052770F"/>
    <w:rsid w:val="0052775D"/>
    <w:rsid w:val="005279C1"/>
    <w:rsid w:val="00527D60"/>
    <w:rsid w:val="00527FC4"/>
    <w:rsid w:val="00527FFD"/>
    <w:rsid w:val="0053001C"/>
    <w:rsid w:val="00530046"/>
    <w:rsid w:val="00530483"/>
    <w:rsid w:val="0053071F"/>
    <w:rsid w:val="00530A70"/>
    <w:rsid w:val="00530BC1"/>
    <w:rsid w:val="00530DA1"/>
    <w:rsid w:val="005312F4"/>
    <w:rsid w:val="00531352"/>
    <w:rsid w:val="0053161E"/>
    <w:rsid w:val="005317B7"/>
    <w:rsid w:val="00531DD7"/>
    <w:rsid w:val="00532093"/>
    <w:rsid w:val="0053230D"/>
    <w:rsid w:val="00532523"/>
    <w:rsid w:val="0053255A"/>
    <w:rsid w:val="005327F3"/>
    <w:rsid w:val="005328AE"/>
    <w:rsid w:val="00532981"/>
    <w:rsid w:val="00532D6D"/>
    <w:rsid w:val="00533619"/>
    <w:rsid w:val="00533E07"/>
    <w:rsid w:val="00534241"/>
    <w:rsid w:val="005343DB"/>
    <w:rsid w:val="005343E9"/>
    <w:rsid w:val="0053452C"/>
    <w:rsid w:val="0053492D"/>
    <w:rsid w:val="00534E74"/>
    <w:rsid w:val="0053526A"/>
    <w:rsid w:val="005355B6"/>
    <w:rsid w:val="00535610"/>
    <w:rsid w:val="005358BA"/>
    <w:rsid w:val="00535C5F"/>
    <w:rsid w:val="00535E7A"/>
    <w:rsid w:val="005360A5"/>
    <w:rsid w:val="005360E0"/>
    <w:rsid w:val="00536284"/>
    <w:rsid w:val="005362F0"/>
    <w:rsid w:val="00536334"/>
    <w:rsid w:val="00536423"/>
    <w:rsid w:val="005366CF"/>
    <w:rsid w:val="005367BB"/>
    <w:rsid w:val="00536924"/>
    <w:rsid w:val="00536964"/>
    <w:rsid w:val="005369E9"/>
    <w:rsid w:val="00536C76"/>
    <w:rsid w:val="00536DF1"/>
    <w:rsid w:val="00536FD6"/>
    <w:rsid w:val="00537444"/>
    <w:rsid w:val="0053749E"/>
    <w:rsid w:val="00537733"/>
    <w:rsid w:val="00537857"/>
    <w:rsid w:val="00537A89"/>
    <w:rsid w:val="00537EF5"/>
    <w:rsid w:val="00537F42"/>
    <w:rsid w:val="0054014C"/>
    <w:rsid w:val="0054019F"/>
    <w:rsid w:val="005407E5"/>
    <w:rsid w:val="00540A4B"/>
    <w:rsid w:val="00540F4E"/>
    <w:rsid w:val="005411EF"/>
    <w:rsid w:val="005412ED"/>
    <w:rsid w:val="005418EB"/>
    <w:rsid w:val="005418EC"/>
    <w:rsid w:val="00541BBF"/>
    <w:rsid w:val="00541EF1"/>
    <w:rsid w:val="00541FE2"/>
    <w:rsid w:val="0054214C"/>
    <w:rsid w:val="005422D2"/>
    <w:rsid w:val="00542547"/>
    <w:rsid w:val="005426A6"/>
    <w:rsid w:val="005429A2"/>
    <w:rsid w:val="00542EFB"/>
    <w:rsid w:val="00542FAE"/>
    <w:rsid w:val="005434DC"/>
    <w:rsid w:val="00543873"/>
    <w:rsid w:val="005438AA"/>
    <w:rsid w:val="00543B34"/>
    <w:rsid w:val="00543D0F"/>
    <w:rsid w:val="00543D38"/>
    <w:rsid w:val="00543ECC"/>
    <w:rsid w:val="005440C7"/>
    <w:rsid w:val="0054416E"/>
    <w:rsid w:val="00544588"/>
    <w:rsid w:val="00544692"/>
    <w:rsid w:val="0054470F"/>
    <w:rsid w:val="005447FE"/>
    <w:rsid w:val="00544AD6"/>
    <w:rsid w:val="00544CDC"/>
    <w:rsid w:val="00544D1C"/>
    <w:rsid w:val="00545141"/>
    <w:rsid w:val="005451E9"/>
    <w:rsid w:val="0054534D"/>
    <w:rsid w:val="00545445"/>
    <w:rsid w:val="00545A9D"/>
    <w:rsid w:val="00545F9B"/>
    <w:rsid w:val="005466C9"/>
    <w:rsid w:val="00546D40"/>
    <w:rsid w:val="00546D62"/>
    <w:rsid w:val="00546E5B"/>
    <w:rsid w:val="00546FDE"/>
    <w:rsid w:val="00547207"/>
    <w:rsid w:val="00547521"/>
    <w:rsid w:val="00547819"/>
    <w:rsid w:val="00547836"/>
    <w:rsid w:val="0054794A"/>
    <w:rsid w:val="00547B93"/>
    <w:rsid w:val="00547CC0"/>
    <w:rsid w:val="005500EF"/>
    <w:rsid w:val="0055068E"/>
    <w:rsid w:val="0055081E"/>
    <w:rsid w:val="00550FBB"/>
    <w:rsid w:val="00550FDB"/>
    <w:rsid w:val="00551ADC"/>
    <w:rsid w:val="00551C67"/>
    <w:rsid w:val="00552798"/>
    <w:rsid w:val="0055287A"/>
    <w:rsid w:val="0055297E"/>
    <w:rsid w:val="00552B9A"/>
    <w:rsid w:val="005531C2"/>
    <w:rsid w:val="0055328C"/>
    <w:rsid w:val="0055347F"/>
    <w:rsid w:val="0055355E"/>
    <w:rsid w:val="005538CB"/>
    <w:rsid w:val="00553E05"/>
    <w:rsid w:val="005546A3"/>
    <w:rsid w:val="00554B09"/>
    <w:rsid w:val="00554DF4"/>
    <w:rsid w:val="00554E74"/>
    <w:rsid w:val="00554FEE"/>
    <w:rsid w:val="005556D5"/>
    <w:rsid w:val="005559AE"/>
    <w:rsid w:val="00555AE8"/>
    <w:rsid w:val="00555FA5"/>
    <w:rsid w:val="00556097"/>
    <w:rsid w:val="005560E8"/>
    <w:rsid w:val="00556800"/>
    <w:rsid w:val="00556AAA"/>
    <w:rsid w:val="00556FC0"/>
    <w:rsid w:val="0055708B"/>
    <w:rsid w:val="00557119"/>
    <w:rsid w:val="00557518"/>
    <w:rsid w:val="00557BD0"/>
    <w:rsid w:val="00557CFF"/>
    <w:rsid w:val="00560056"/>
    <w:rsid w:val="005602F0"/>
    <w:rsid w:val="005603F0"/>
    <w:rsid w:val="00560422"/>
    <w:rsid w:val="00560527"/>
    <w:rsid w:val="005608F6"/>
    <w:rsid w:val="00560DDD"/>
    <w:rsid w:val="00560F7D"/>
    <w:rsid w:val="0056198D"/>
    <w:rsid w:val="00561C38"/>
    <w:rsid w:val="00562437"/>
    <w:rsid w:val="00562679"/>
    <w:rsid w:val="00562FBB"/>
    <w:rsid w:val="005631FD"/>
    <w:rsid w:val="00563778"/>
    <w:rsid w:val="00563837"/>
    <w:rsid w:val="00563A75"/>
    <w:rsid w:val="00564264"/>
    <w:rsid w:val="005646B7"/>
    <w:rsid w:val="005649CC"/>
    <w:rsid w:val="00564C82"/>
    <w:rsid w:val="00565039"/>
    <w:rsid w:val="00565839"/>
    <w:rsid w:val="00565A37"/>
    <w:rsid w:val="00565B69"/>
    <w:rsid w:val="00565DFE"/>
    <w:rsid w:val="00565E10"/>
    <w:rsid w:val="00565E97"/>
    <w:rsid w:val="005663BB"/>
    <w:rsid w:val="00566AAF"/>
    <w:rsid w:val="00566BAD"/>
    <w:rsid w:val="005673DD"/>
    <w:rsid w:val="00567563"/>
    <w:rsid w:val="005675EB"/>
    <w:rsid w:val="0056772C"/>
    <w:rsid w:val="00570412"/>
    <w:rsid w:val="005706D4"/>
    <w:rsid w:val="00570735"/>
    <w:rsid w:val="00570799"/>
    <w:rsid w:val="005708A4"/>
    <w:rsid w:val="005709BE"/>
    <w:rsid w:val="00570A21"/>
    <w:rsid w:val="00570B2A"/>
    <w:rsid w:val="00570C30"/>
    <w:rsid w:val="00570CD9"/>
    <w:rsid w:val="005715AE"/>
    <w:rsid w:val="005716BF"/>
    <w:rsid w:val="005724F9"/>
    <w:rsid w:val="0057263A"/>
    <w:rsid w:val="00573244"/>
    <w:rsid w:val="0057324F"/>
    <w:rsid w:val="005736F6"/>
    <w:rsid w:val="00573967"/>
    <w:rsid w:val="00573973"/>
    <w:rsid w:val="00573C08"/>
    <w:rsid w:val="00573EB7"/>
    <w:rsid w:val="00573FF9"/>
    <w:rsid w:val="00574185"/>
    <w:rsid w:val="00574C09"/>
    <w:rsid w:val="00574EF2"/>
    <w:rsid w:val="00575044"/>
    <w:rsid w:val="005751DF"/>
    <w:rsid w:val="00575269"/>
    <w:rsid w:val="00575281"/>
    <w:rsid w:val="00575331"/>
    <w:rsid w:val="005756DB"/>
    <w:rsid w:val="00575A05"/>
    <w:rsid w:val="00575AEC"/>
    <w:rsid w:val="0057629C"/>
    <w:rsid w:val="005762CA"/>
    <w:rsid w:val="00576464"/>
    <w:rsid w:val="00576470"/>
    <w:rsid w:val="00576662"/>
    <w:rsid w:val="00576A31"/>
    <w:rsid w:val="00576A42"/>
    <w:rsid w:val="00576B38"/>
    <w:rsid w:val="00576E84"/>
    <w:rsid w:val="0057702D"/>
    <w:rsid w:val="00577105"/>
    <w:rsid w:val="0057749F"/>
    <w:rsid w:val="0057759C"/>
    <w:rsid w:val="00577672"/>
    <w:rsid w:val="005777E0"/>
    <w:rsid w:val="00577881"/>
    <w:rsid w:val="00580270"/>
    <w:rsid w:val="005806B3"/>
    <w:rsid w:val="0058091D"/>
    <w:rsid w:val="00580975"/>
    <w:rsid w:val="00580AF1"/>
    <w:rsid w:val="00580D27"/>
    <w:rsid w:val="00580E86"/>
    <w:rsid w:val="005810EA"/>
    <w:rsid w:val="005815F0"/>
    <w:rsid w:val="005818F9"/>
    <w:rsid w:val="00581A00"/>
    <w:rsid w:val="00581C87"/>
    <w:rsid w:val="00582981"/>
    <w:rsid w:val="00582AED"/>
    <w:rsid w:val="00582BCB"/>
    <w:rsid w:val="005831BB"/>
    <w:rsid w:val="0058341A"/>
    <w:rsid w:val="0058372F"/>
    <w:rsid w:val="00583AC8"/>
    <w:rsid w:val="00583BA9"/>
    <w:rsid w:val="00583CEA"/>
    <w:rsid w:val="00583F2B"/>
    <w:rsid w:val="0058439E"/>
    <w:rsid w:val="00584824"/>
    <w:rsid w:val="00584ADB"/>
    <w:rsid w:val="00584C2B"/>
    <w:rsid w:val="00584F5C"/>
    <w:rsid w:val="0058523B"/>
    <w:rsid w:val="00585305"/>
    <w:rsid w:val="005855F7"/>
    <w:rsid w:val="00585838"/>
    <w:rsid w:val="00585DF6"/>
    <w:rsid w:val="00585E5B"/>
    <w:rsid w:val="00586272"/>
    <w:rsid w:val="00586374"/>
    <w:rsid w:val="0058650C"/>
    <w:rsid w:val="005865A5"/>
    <w:rsid w:val="0058675F"/>
    <w:rsid w:val="00586940"/>
    <w:rsid w:val="00586A59"/>
    <w:rsid w:val="00586BDE"/>
    <w:rsid w:val="00586CBF"/>
    <w:rsid w:val="00586D8E"/>
    <w:rsid w:val="00586DE0"/>
    <w:rsid w:val="00586E24"/>
    <w:rsid w:val="00586EF1"/>
    <w:rsid w:val="00587403"/>
    <w:rsid w:val="00587574"/>
    <w:rsid w:val="00587D3F"/>
    <w:rsid w:val="005902F6"/>
    <w:rsid w:val="00590392"/>
    <w:rsid w:val="005905C9"/>
    <w:rsid w:val="00590660"/>
    <w:rsid w:val="005906EC"/>
    <w:rsid w:val="0059084B"/>
    <w:rsid w:val="00590975"/>
    <w:rsid w:val="00590AE2"/>
    <w:rsid w:val="00590C2A"/>
    <w:rsid w:val="00590F1B"/>
    <w:rsid w:val="0059101B"/>
    <w:rsid w:val="00591584"/>
    <w:rsid w:val="0059183C"/>
    <w:rsid w:val="0059234C"/>
    <w:rsid w:val="005924EA"/>
    <w:rsid w:val="00592628"/>
    <w:rsid w:val="00592DA5"/>
    <w:rsid w:val="005931AB"/>
    <w:rsid w:val="00593424"/>
    <w:rsid w:val="005935C8"/>
    <w:rsid w:val="005936E7"/>
    <w:rsid w:val="00593785"/>
    <w:rsid w:val="00593CD2"/>
    <w:rsid w:val="00593DD5"/>
    <w:rsid w:val="00594586"/>
    <w:rsid w:val="005947C8"/>
    <w:rsid w:val="005949FA"/>
    <w:rsid w:val="00594A57"/>
    <w:rsid w:val="00594D1A"/>
    <w:rsid w:val="00594F76"/>
    <w:rsid w:val="00595481"/>
    <w:rsid w:val="00595703"/>
    <w:rsid w:val="00595836"/>
    <w:rsid w:val="00595F9C"/>
    <w:rsid w:val="0059674F"/>
    <w:rsid w:val="00596D9E"/>
    <w:rsid w:val="00596DB9"/>
    <w:rsid w:val="00596EE6"/>
    <w:rsid w:val="00596F76"/>
    <w:rsid w:val="00597238"/>
    <w:rsid w:val="0059730E"/>
    <w:rsid w:val="005977C4"/>
    <w:rsid w:val="00597CC6"/>
    <w:rsid w:val="00597ED5"/>
    <w:rsid w:val="00597F32"/>
    <w:rsid w:val="005A004F"/>
    <w:rsid w:val="005A01DF"/>
    <w:rsid w:val="005A0395"/>
    <w:rsid w:val="005A05C5"/>
    <w:rsid w:val="005A0742"/>
    <w:rsid w:val="005A0975"/>
    <w:rsid w:val="005A0B1B"/>
    <w:rsid w:val="005A0D10"/>
    <w:rsid w:val="005A0E1B"/>
    <w:rsid w:val="005A0EE5"/>
    <w:rsid w:val="005A10EF"/>
    <w:rsid w:val="005A11EE"/>
    <w:rsid w:val="005A17F1"/>
    <w:rsid w:val="005A18ED"/>
    <w:rsid w:val="005A1C9F"/>
    <w:rsid w:val="005A1DD3"/>
    <w:rsid w:val="005A255E"/>
    <w:rsid w:val="005A25ED"/>
    <w:rsid w:val="005A2856"/>
    <w:rsid w:val="005A2C43"/>
    <w:rsid w:val="005A2F20"/>
    <w:rsid w:val="005A30AB"/>
    <w:rsid w:val="005A3101"/>
    <w:rsid w:val="005A3224"/>
    <w:rsid w:val="005A329C"/>
    <w:rsid w:val="005A32FF"/>
    <w:rsid w:val="005A341E"/>
    <w:rsid w:val="005A34C2"/>
    <w:rsid w:val="005A3516"/>
    <w:rsid w:val="005A359E"/>
    <w:rsid w:val="005A359F"/>
    <w:rsid w:val="005A366C"/>
    <w:rsid w:val="005A38EA"/>
    <w:rsid w:val="005A3985"/>
    <w:rsid w:val="005A4220"/>
    <w:rsid w:val="005A44C8"/>
    <w:rsid w:val="005A450D"/>
    <w:rsid w:val="005A46A7"/>
    <w:rsid w:val="005A47E7"/>
    <w:rsid w:val="005A50F7"/>
    <w:rsid w:val="005A55BB"/>
    <w:rsid w:val="005A584F"/>
    <w:rsid w:val="005A590C"/>
    <w:rsid w:val="005A591D"/>
    <w:rsid w:val="005A5F44"/>
    <w:rsid w:val="005A5F4E"/>
    <w:rsid w:val="005A5F58"/>
    <w:rsid w:val="005A6156"/>
    <w:rsid w:val="005A63B2"/>
    <w:rsid w:val="005A63BF"/>
    <w:rsid w:val="005A65BD"/>
    <w:rsid w:val="005A6896"/>
    <w:rsid w:val="005A6D8A"/>
    <w:rsid w:val="005A6DEA"/>
    <w:rsid w:val="005A6E9A"/>
    <w:rsid w:val="005A7593"/>
    <w:rsid w:val="005A775F"/>
    <w:rsid w:val="005A7AA1"/>
    <w:rsid w:val="005A7D66"/>
    <w:rsid w:val="005B01E4"/>
    <w:rsid w:val="005B03CC"/>
    <w:rsid w:val="005B0502"/>
    <w:rsid w:val="005B05C0"/>
    <w:rsid w:val="005B07F5"/>
    <w:rsid w:val="005B0B36"/>
    <w:rsid w:val="005B0EB3"/>
    <w:rsid w:val="005B10F7"/>
    <w:rsid w:val="005B12A3"/>
    <w:rsid w:val="005B12EB"/>
    <w:rsid w:val="005B1335"/>
    <w:rsid w:val="005B18B7"/>
    <w:rsid w:val="005B18BD"/>
    <w:rsid w:val="005B1B6B"/>
    <w:rsid w:val="005B1FA3"/>
    <w:rsid w:val="005B1FBF"/>
    <w:rsid w:val="005B215E"/>
    <w:rsid w:val="005B217B"/>
    <w:rsid w:val="005B2388"/>
    <w:rsid w:val="005B24E9"/>
    <w:rsid w:val="005B2B76"/>
    <w:rsid w:val="005B2DF2"/>
    <w:rsid w:val="005B2FC4"/>
    <w:rsid w:val="005B32DA"/>
    <w:rsid w:val="005B3475"/>
    <w:rsid w:val="005B3BD9"/>
    <w:rsid w:val="005B47EA"/>
    <w:rsid w:val="005B483C"/>
    <w:rsid w:val="005B4BF4"/>
    <w:rsid w:val="005B4C0C"/>
    <w:rsid w:val="005B4C3A"/>
    <w:rsid w:val="005B4C52"/>
    <w:rsid w:val="005B4C67"/>
    <w:rsid w:val="005B4F1C"/>
    <w:rsid w:val="005B50C4"/>
    <w:rsid w:val="005B5145"/>
    <w:rsid w:val="005B5177"/>
    <w:rsid w:val="005B51F6"/>
    <w:rsid w:val="005B523D"/>
    <w:rsid w:val="005B5423"/>
    <w:rsid w:val="005B5501"/>
    <w:rsid w:val="005B5721"/>
    <w:rsid w:val="005B57CE"/>
    <w:rsid w:val="005B5933"/>
    <w:rsid w:val="005B5A39"/>
    <w:rsid w:val="005B5B17"/>
    <w:rsid w:val="005B605B"/>
    <w:rsid w:val="005B65E0"/>
    <w:rsid w:val="005B6707"/>
    <w:rsid w:val="005B7387"/>
    <w:rsid w:val="005B7CC8"/>
    <w:rsid w:val="005B7D4A"/>
    <w:rsid w:val="005B7E6D"/>
    <w:rsid w:val="005C0728"/>
    <w:rsid w:val="005C0930"/>
    <w:rsid w:val="005C2245"/>
    <w:rsid w:val="005C227F"/>
    <w:rsid w:val="005C2422"/>
    <w:rsid w:val="005C26D7"/>
    <w:rsid w:val="005C2A0C"/>
    <w:rsid w:val="005C2EDE"/>
    <w:rsid w:val="005C2EE4"/>
    <w:rsid w:val="005C3188"/>
    <w:rsid w:val="005C35B3"/>
    <w:rsid w:val="005C3861"/>
    <w:rsid w:val="005C3C0E"/>
    <w:rsid w:val="005C3EB1"/>
    <w:rsid w:val="005C45CC"/>
    <w:rsid w:val="005C489D"/>
    <w:rsid w:val="005C4F18"/>
    <w:rsid w:val="005C4F5A"/>
    <w:rsid w:val="005C5041"/>
    <w:rsid w:val="005C504A"/>
    <w:rsid w:val="005C5153"/>
    <w:rsid w:val="005C54DA"/>
    <w:rsid w:val="005C5D4D"/>
    <w:rsid w:val="005C5F24"/>
    <w:rsid w:val="005C5FDA"/>
    <w:rsid w:val="005C63BC"/>
    <w:rsid w:val="005C67C9"/>
    <w:rsid w:val="005C6AD4"/>
    <w:rsid w:val="005C6DC2"/>
    <w:rsid w:val="005C6F6C"/>
    <w:rsid w:val="005C74FD"/>
    <w:rsid w:val="005C7DC3"/>
    <w:rsid w:val="005C7E72"/>
    <w:rsid w:val="005C7EE5"/>
    <w:rsid w:val="005D0010"/>
    <w:rsid w:val="005D05EF"/>
    <w:rsid w:val="005D07EB"/>
    <w:rsid w:val="005D0B20"/>
    <w:rsid w:val="005D0DEE"/>
    <w:rsid w:val="005D1099"/>
    <w:rsid w:val="005D1226"/>
    <w:rsid w:val="005D1892"/>
    <w:rsid w:val="005D1B91"/>
    <w:rsid w:val="005D1BB5"/>
    <w:rsid w:val="005D203C"/>
    <w:rsid w:val="005D2498"/>
    <w:rsid w:val="005D25B9"/>
    <w:rsid w:val="005D2615"/>
    <w:rsid w:val="005D2936"/>
    <w:rsid w:val="005D29DC"/>
    <w:rsid w:val="005D2DDF"/>
    <w:rsid w:val="005D2E04"/>
    <w:rsid w:val="005D2E54"/>
    <w:rsid w:val="005D30F9"/>
    <w:rsid w:val="005D3197"/>
    <w:rsid w:val="005D32E2"/>
    <w:rsid w:val="005D3AB2"/>
    <w:rsid w:val="005D3B95"/>
    <w:rsid w:val="005D3BF8"/>
    <w:rsid w:val="005D3C88"/>
    <w:rsid w:val="005D4095"/>
    <w:rsid w:val="005D4432"/>
    <w:rsid w:val="005D4A52"/>
    <w:rsid w:val="005D4ADF"/>
    <w:rsid w:val="005D52DA"/>
    <w:rsid w:val="005D5D1C"/>
    <w:rsid w:val="005D5D6A"/>
    <w:rsid w:val="005D5DAA"/>
    <w:rsid w:val="005D5EAF"/>
    <w:rsid w:val="005D617F"/>
    <w:rsid w:val="005D6B23"/>
    <w:rsid w:val="005D6C1F"/>
    <w:rsid w:val="005D6C3E"/>
    <w:rsid w:val="005D6CBF"/>
    <w:rsid w:val="005D6FD0"/>
    <w:rsid w:val="005D6FF1"/>
    <w:rsid w:val="005D7056"/>
    <w:rsid w:val="005D711D"/>
    <w:rsid w:val="005D715F"/>
    <w:rsid w:val="005D7337"/>
    <w:rsid w:val="005D73F1"/>
    <w:rsid w:val="005D7563"/>
    <w:rsid w:val="005D76EE"/>
    <w:rsid w:val="005D7A57"/>
    <w:rsid w:val="005D7C59"/>
    <w:rsid w:val="005D7F38"/>
    <w:rsid w:val="005E0484"/>
    <w:rsid w:val="005E0822"/>
    <w:rsid w:val="005E0FDB"/>
    <w:rsid w:val="005E185C"/>
    <w:rsid w:val="005E1F1E"/>
    <w:rsid w:val="005E2270"/>
    <w:rsid w:val="005E2288"/>
    <w:rsid w:val="005E2335"/>
    <w:rsid w:val="005E23C1"/>
    <w:rsid w:val="005E23E8"/>
    <w:rsid w:val="005E2727"/>
    <w:rsid w:val="005E2798"/>
    <w:rsid w:val="005E317F"/>
    <w:rsid w:val="005E31D4"/>
    <w:rsid w:val="005E324E"/>
    <w:rsid w:val="005E343A"/>
    <w:rsid w:val="005E35E1"/>
    <w:rsid w:val="005E3686"/>
    <w:rsid w:val="005E3AAC"/>
    <w:rsid w:val="005E3B7D"/>
    <w:rsid w:val="005E3CDB"/>
    <w:rsid w:val="005E3DD0"/>
    <w:rsid w:val="005E3FFD"/>
    <w:rsid w:val="005E427B"/>
    <w:rsid w:val="005E42FA"/>
    <w:rsid w:val="005E45F3"/>
    <w:rsid w:val="005E4A6E"/>
    <w:rsid w:val="005E4D70"/>
    <w:rsid w:val="005E5092"/>
    <w:rsid w:val="005E50A9"/>
    <w:rsid w:val="005E50D4"/>
    <w:rsid w:val="005E513C"/>
    <w:rsid w:val="005E5700"/>
    <w:rsid w:val="005E572F"/>
    <w:rsid w:val="005E5942"/>
    <w:rsid w:val="005E59DB"/>
    <w:rsid w:val="005E5E26"/>
    <w:rsid w:val="005E612B"/>
    <w:rsid w:val="005E6225"/>
    <w:rsid w:val="005E626A"/>
    <w:rsid w:val="005E63C6"/>
    <w:rsid w:val="005E67A2"/>
    <w:rsid w:val="005E67B5"/>
    <w:rsid w:val="005E6954"/>
    <w:rsid w:val="005E6A84"/>
    <w:rsid w:val="005E6C25"/>
    <w:rsid w:val="005E6CF3"/>
    <w:rsid w:val="005E6F5F"/>
    <w:rsid w:val="005E6FAB"/>
    <w:rsid w:val="005E7928"/>
    <w:rsid w:val="005E7A49"/>
    <w:rsid w:val="005E7EBD"/>
    <w:rsid w:val="005F0849"/>
    <w:rsid w:val="005F0979"/>
    <w:rsid w:val="005F0B3E"/>
    <w:rsid w:val="005F0C3A"/>
    <w:rsid w:val="005F0D98"/>
    <w:rsid w:val="005F11F2"/>
    <w:rsid w:val="005F15DE"/>
    <w:rsid w:val="005F1725"/>
    <w:rsid w:val="005F186E"/>
    <w:rsid w:val="005F1B05"/>
    <w:rsid w:val="005F1E9A"/>
    <w:rsid w:val="005F1EE2"/>
    <w:rsid w:val="005F21E1"/>
    <w:rsid w:val="005F261A"/>
    <w:rsid w:val="005F266D"/>
    <w:rsid w:val="005F28A4"/>
    <w:rsid w:val="005F28DE"/>
    <w:rsid w:val="005F2995"/>
    <w:rsid w:val="005F3264"/>
    <w:rsid w:val="005F32CD"/>
    <w:rsid w:val="005F3449"/>
    <w:rsid w:val="005F354B"/>
    <w:rsid w:val="005F35F5"/>
    <w:rsid w:val="005F38C3"/>
    <w:rsid w:val="005F3965"/>
    <w:rsid w:val="005F39FB"/>
    <w:rsid w:val="005F3AB0"/>
    <w:rsid w:val="005F3D5B"/>
    <w:rsid w:val="005F3DAB"/>
    <w:rsid w:val="005F4033"/>
    <w:rsid w:val="005F40EC"/>
    <w:rsid w:val="005F4594"/>
    <w:rsid w:val="005F4675"/>
    <w:rsid w:val="005F49A6"/>
    <w:rsid w:val="005F50E6"/>
    <w:rsid w:val="005F5184"/>
    <w:rsid w:val="005F5881"/>
    <w:rsid w:val="005F5CAC"/>
    <w:rsid w:val="005F5E6E"/>
    <w:rsid w:val="005F6071"/>
    <w:rsid w:val="005F6568"/>
    <w:rsid w:val="005F6610"/>
    <w:rsid w:val="005F6BB9"/>
    <w:rsid w:val="005F6E66"/>
    <w:rsid w:val="005F7214"/>
    <w:rsid w:val="005F7240"/>
    <w:rsid w:val="005F742E"/>
    <w:rsid w:val="005F743F"/>
    <w:rsid w:val="005F744F"/>
    <w:rsid w:val="005F7522"/>
    <w:rsid w:val="005F7837"/>
    <w:rsid w:val="005F7AF9"/>
    <w:rsid w:val="005F7C01"/>
    <w:rsid w:val="0060005A"/>
    <w:rsid w:val="00600288"/>
    <w:rsid w:val="0060033C"/>
    <w:rsid w:val="0060053D"/>
    <w:rsid w:val="00600979"/>
    <w:rsid w:val="006009E7"/>
    <w:rsid w:val="00600E40"/>
    <w:rsid w:val="00600E52"/>
    <w:rsid w:val="0060128C"/>
    <w:rsid w:val="0060130F"/>
    <w:rsid w:val="00601505"/>
    <w:rsid w:val="006018C3"/>
    <w:rsid w:val="006019A5"/>
    <w:rsid w:val="006019F3"/>
    <w:rsid w:val="00602121"/>
    <w:rsid w:val="00602378"/>
    <w:rsid w:val="006023AD"/>
    <w:rsid w:val="006023FF"/>
    <w:rsid w:val="0060278E"/>
    <w:rsid w:val="006027E0"/>
    <w:rsid w:val="00602CF6"/>
    <w:rsid w:val="00603042"/>
    <w:rsid w:val="00603118"/>
    <w:rsid w:val="006034E3"/>
    <w:rsid w:val="00603FB6"/>
    <w:rsid w:val="0060422E"/>
    <w:rsid w:val="00604442"/>
    <w:rsid w:val="00604AB7"/>
    <w:rsid w:val="00604E50"/>
    <w:rsid w:val="0060515B"/>
    <w:rsid w:val="006051CD"/>
    <w:rsid w:val="00605314"/>
    <w:rsid w:val="00605586"/>
    <w:rsid w:val="006056AD"/>
    <w:rsid w:val="0060590F"/>
    <w:rsid w:val="0060595C"/>
    <w:rsid w:val="00605F6A"/>
    <w:rsid w:val="00605FB1"/>
    <w:rsid w:val="00605FC3"/>
    <w:rsid w:val="00606149"/>
    <w:rsid w:val="00606398"/>
    <w:rsid w:val="006065DB"/>
    <w:rsid w:val="00606653"/>
    <w:rsid w:val="0060670D"/>
    <w:rsid w:val="006067F3"/>
    <w:rsid w:val="0060688A"/>
    <w:rsid w:val="00606B07"/>
    <w:rsid w:val="006072CF"/>
    <w:rsid w:val="0060752B"/>
    <w:rsid w:val="006076F5"/>
    <w:rsid w:val="006078B4"/>
    <w:rsid w:val="00607927"/>
    <w:rsid w:val="00607B6B"/>
    <w:rsid w:val="00607D93"/>
    <w:rsid w:val="00607EE7"/>
    <w:rsid w:val="0061011C"/>
    <w:rsid w:val="0061031B"/>
    <w:rsid w:val="00610469"/>
    <w:rsid w:val="00610598"/>
    <w:rsid w:val="0061062D"/>
    <w:rsid w:val="00610687"/>
    <w:rsid w:val="00610721"/>
    <w:rsid w:val="00610784"/>
    <w:rsid w:val="00610839"/>
    <w:rsid w:val="00610875"/>
    <w:rsid w:val="00610E5A"/>
    <w:rsid w:val="0061169E"/>
    <w:rsid w:val="0061170A"/>
    <w:rsid w:val="006118E7"/>
    <w:rsid w:val="0061196D"/>
    <w:rsid w:val="00611A23"/>
    <w:rsid w:val="00611E9A"/>
    <w:rsid w:val="00612312"/>
    <w:rsid w:val="00612375"/>
    <w:rsid w:val="00612398"/>
    <w:rsid w:val="0061252E"/>
    <w:rsid w:val="0061253A"/>
    <w:rsid w:val="006126FB"/>
    <w:rsid w:val="00612869"/>
    <w:rsid w:val="00612A68"/>
    <w:rsid w:val="00612B7E"/>
    <w:rsid w:val="00612BAF"/>
    <w:rsid w:val="00612D41"/>
    <w:rsid w:val="00612D60"/>
    <w:rsid w:val="00612D7F"/>
    <w:rsid w:val="00612E08"/>
    <w:rsid w:val="006131CB"/>
    <w:rsid w:val="00613441"/>
    <w:rsid w:val="006134A3"/>
    <w:rsid w:val="006138BF"/>
    <w:rsid w:val="006138EB"/>
    <w:rsid w:val="00613DD3"/>
    <w:rsid w:val="00613EB0"/>
    <w:rsid w:val="00613FAB"/>
    <w:rsid w:val="00614015"/>
    <w:rsid w:val="00614231"/>
    <w:rsid w:val="00614233"/>
    <w:rsid w:val="00614246"/>
    <w:rsid w:val="00614432"/>
    <w:rsid w:val="00614802"/>
    <w:rsid w:val="006149F7"/>
    <w:rsid w:val="00614A7E"/>
    <w:rsid w:val="00614BFF"/>
    <w:rsid w:val="00614E39"/>
    <w:rsid w:val="00614EB9"/>
    <w:rsid w:val="00614F43"/>
    <w:rsid w:val="006150A0"/>
    <w:rsid w:val="00615423"/>
    <w:rsid w:val="0061579A"/>
    <w:rsid w:val="0061581F"/>
    <w:rsid w:val="00615B98"/>
    <w:rsid w:val="00615BAB"/>
    <w:rsid w:val="0061602F"/>
    <w:rsid w:val="00616169"/>
    <w:rsid w:val="00616583"/>
    <w:rsid w:val="00616614"/>
    <w:rsid w:val="00616C8A"/>
    <w:rsid w:val="0061716B"/>
    <w:rsid w:val="0061759C"/>
    <w:rsid w:val="00617652"/>
    <w:rsid w:val="006179DE"/>
    <w:rsid w:val="00617A29"/>
    <w:rsid w:val="00617A4E"/>
    <w:rsid w:val="00617F5D"/>
    <w:rsid w:val="00617F76"/>
    <w:rsid w:val="00620724"/>
    <w:rsid w:val="00620F1E"/>
    <w:rsid w:val="00621077"/>
    <w:rsid w:val="006210F8"/>
    <w:rsid w:val="006211C8"/>
    <w:rsid w:val="00621616"/>
    <w:rsid w:val="00621834"/>
    <w:rsid w:val="00621B23"/>
    <w:rsid w:val="00621BCC"/>
    <w:rsid w:val="00622111"/>
    <w:rsid w:val="006222D8"/>
    <w:rsid w:val="006222E7"/>
    <w:rsid w:val="0062253A"/>
    <w:rsid w:val="00622757"/>
    <w:rsid w:val="00622A6A"/>
    <w:rsid w:val="00622AA8"/>
    <w:rsid w:val="00622D2C"/>
    <w:rsid w:val="00622D5F"/>
    <w:rsid w:val="00622DD3"/>
    <w:rsid w:val="00622EDE"/>
    <w:rsid w:val="00623035"/>
    <w:rsid w:val="006231EF"/>
    <w:rsid w:val="00623240"/>
    <w:rsid w:val="00623278"/>
    <w:rsid w:val="006233A3"/>
    <w:rsid w:val="00623A9B"/>
    <w:rsid w:val="00623E6D"/>
    <w:rsid w:val="00623FD1"/>
    <w:rsid w:val="00623FD7"/>
    <w:rsid w:val="00624032"/>
    <w:rsid w:val="0062479B"/>
    <w:rsid w:val="0062490B"/>
    <w:rsid w:val="00624A4B"/>
    <w:rsid w:val="00624AC3"/>
    <w:rsid w:val="00624ADF"/>
    <w:rsid w:val="00624B62"/>
    <w:rsid w:val="00625180"/>
    <w:rsid w:val="006255B3"/>
    <w:rsid w:val="0062564F"/>
    <w:rsid w:val="00625E53"/>
    <w:rsid w:val="00625FCA"/>
    <w:rsid w:val="00626C83"/>
    <w:rsid w:val="00626DB9"/>
    <w:rsid w:val="006270EB"/>
    <w:rsid w:val="00627124"/>
    <w:rsid w:val="00627258"/>
    <w:rsid w:val="006275D4"/>
    <w:rsid w:val="00627A1E"/>
    <w:rsid w:val="00627A56"/>
    <w:rsid w:val="00627C20"/>
    <w:rsid w:val="00627DEC"/>
    <w:rsid w:val="006303E2"/>
    <w:rsid w:val="00630F9A"/>
    <w:rsid w:val="00630FB3"/>
    <w:rsid w:val="00631101"/>
    <w:rsid w:val="0063127A"/>
    <w:rsid w:val="006312D7"/>
    <w:rsid w:val="0063186A"/>
    <w:rsid w:val="00631C1F"/>
    <w:rsid w:val="00631F86"/>
    <w:rsid w:val="0063287D"/>
    <w:rsid w:val="00632A09"/>
    <w:rsid w:val="00632B04"/>
    <w:rsid w:val="00632B29"/>
    <w:rsid w:val="00632D0D"/>
    <w:rsid w:val="00633184"/>
    <w:rsid w:val="006334FD"/>
    <w:rsid w:val="006337AE"/>
    <w:rsid w:val="006338E5"/>
    <w:rsid w:val="00633FA0"/>
    <w:rsid w:val="00633FBD"/>
    <w:rsid w:val="0063453F"/>
    <w:rsid w:val="006346FA"/>
    <w:rsid w:val="0063474D"/>
    <w:rsid w:val="00634837"/>
    <w:rsid w:val="00634BC6"/>
    <w:rsid w:val="00634BD0"/>
    <w:rsid w:val="00634EFE"/>
    <w:rsid w:val="00635010"/>
    <w:rsid w:val="00635160"/>
    <w:rsid w:val="006354CC"/>
    <w:rsid w:val="006354E1"/>
    <w:rsid w:val="006355FA"/>
    <w:rsid w:val="006358F2"/>
    <w:rsid w:val="00635968"/>
    <w:rsid w:val="006359EA"/>
    <w:rsid w:val="00635D78"/>
    <w:rsid w:val="00635F67"/>
    <w:rsid w:val="00635FAD"/>
    <w:rsid w:val="0063634D"/>
    <w:rsid w:val="00636373"/>
    <w:rsid w:val="0063642D"/>
    <w:rsid w:val="006365E6"/>
    <w:rsid w:val="0063698F"/>
    <w:rsid w:val="006369F9"/>
    <w:rsid w:val="0063704A"/>
    <w:rsid w:val="006374B7"/>
    <w:rsid w:val="0063767B"/>
    <w:rsid w:val="006379E3"/>
    <w:rsid w:val="00637A38"/>
    <w:rsid w:val="00637C01"/>
    <w:rsid w:val="00637D36"/>
    <w:rsid w:val="00637E00"/>
    <w:rsid w:val="0064058C"/>
    <w:rsid w:val="0064141F"/>
    <w:rsid w:val="00641803"/>
    <w:rsid w:val="00641941"/>
    <w:rsid w:val="00641CD9"/>
    <w:rsid w:val="00641DE4"/>
    <w:rsid w:val="00642020"/>
    <w:rsid w:val="006427B5"/>
    <w:rsid w:val="00642A37"/>
    <w:rsid w:val="00642A93"/>
    <w:rsid w:val="00642A9B"/>
    <w:rsid w:val="00642D53"/>
    <w:rsid w:val="0064337E"/>
    <w:rsid w:val="0064338A"/>
    <w:rsid w:val="006436B2"/>
    <w:rsid w:val="006437B5"/>
    <w:rsid w:val="00643B46"/>
    <w:rsid w:val="00643CEB"/>
    <w:rsid w:val="00643FAE"/>
    <w:rsid w:val="006445A6"/>
    <w:rsid w:val="00644789"/>
    <w:rsid w:val="006447C4"/>
    <w:rsid w:val="00645318"/>
    <w:rsid w:val="00645394"/>
    <w:rsid w:val="00645AE3"/>
    <w:rsid w:val="00645C16"/>
    <w:rsid w:val="00645F4C"/>
    <w:rsid w:val="00645FE4"/>
    <w:rsid w:val="00646072"/>
    <w:rsid w:val="0064659A"/>
    <w:rsid w:val="006467A8"/>
    <w:rsid w:val="0064699E"/>
    <w:rsid w:val="00646A83"/>
    <w:rsid w:val="00646D13"/>
    <w:rsid w:val="00646D7F"/>
    <w:rsid w:val="00646FE2"/>
    <w:rsid w:val="0064764F"/>
    <w:rsid w:val="00647A80"/>
    <w:rsid w:val="00647A8E"/>
    <w:rsid w:val="00647D86"/>
    <w:rsid w:val="00647FAE"/>
    <w:rsid w:val="006502E5"/>
    <w:rsid w:val="0065078D"/>
    <w:rsid w:val="006508FC"/>
    <w:rsid w:val="00650C96"/>
    <w:rsid w:val="00650DDE"/>
    <w:rsid w:val="00650F65"/>
    <w:rsid w:val="00650FCC"/>
    <w:rsid w:val="00650FD1"/>
    <w:rsid w:val="0065129C"/>
    <w:rsid w:val="00651363"/>
    <w:rsid w:val="006514BE"/>
    <w:rsid w:val="00651699"/>
    <w:rsid w:val="0065174F"/>
    <w:rsid w:val="00651F80"/>
    <w:rsid w:val="00651FF0"/>
    <w:rsid w:val="00652308"/>
    <w:rsid w:val="006524D8"/>
    <w:rsid w:val="0065251F"/>
    <w:rsid w:val="00652D32"/>
    <w:rsid w:val="00652D89"/>
    <w:rsid w:val="0065307C"/>
    <w:rsid w:val="00653B90"/>
    <w:rsid w:val="00653FA8"/>
    <w:rsid w:val="0065408F"/>
    <w:rsid w:val="00654257"/>
    <w:rsid w:val="0065481E"/>
    <w:rsid w:val="006548AE"/>
    <w:rsid w:val="00654AA8"/>
    <w:rsid w:val="00654F1F"/>
    <w:rsid w:val="00654FB4"/>
    <w:rsid w:val="00654FD0"/>
    <w:rsid w:val="00655097"/>
    <w:rsid w:val="00655599"/>
    <w:rsid w:val="00655BC8"/>
    <w:rsid w:val="00656DA3"/>
    <w:rsid w:val="00657266"/>
    <w:rsid w:val="00657D2D"/>
    <w:rsid w:val="00657EB4"/>
    <w:rsid w:val="006601A7"/>
    <w:rsid w:val="006602E6"/>
    <w:rsid w:val="00660359"/>
    <w:rsid w:val="006604B4"/>
    <w:rsid w:val="006608F4"/>
    <w:rsid w:val="006609F5"/>
    <w:rsid w:val="00660CCC"/>
    <w:rsid w:val="00661062"/>
    <w:rsid w:val="006614EB"/>
    <w:rsid w:val="006616AE"/>
    <w:rsid w:val="0066193F"/>
    <w:rsid w:val="00661A04"/>
    <w:rsid w:val="00661A88"/>
    <w:rsid w:val="00661B1C"/>
    <w:rsid w:val="00661B5E"/>
    <w:rsid w:val="00661E83"/>
    <w:rsid w:val="00661EED"/>
    <w:rsid w:val="0066225C"/>
    <w:rsid w:val="0066240C"/>
    <w:rsid w:val="0066241B"/>
    <w:rsid w:val="00662448"/>
    <w:rsid w:val="00662625"/>
    <w:rsid w:val="00662702"/>
    <w:rsid w:val="00662930"/>
    <w:rsid w:val="006629D8"/>
    <w:rsid w:val="00662B6E"/>
    <w:rsid w:val="00662B76"/>
    <w:rsid w:val="00662D89"/>
    <w:rsid w:val="0066309D"/>
    <w:rsid w:val="00663269"/>
    <w:rsid w:val="0066369D"/>
    <w:rsid w:val="00663807"/>
    <w:rsid w:val="00663DBD"/>
    <w:rsid w:val="00664A08"/>
    <w:rsid w:val="00664B28"/>
    <w:rsid w:val="00664F76"/>
    <w:rsid w:val="00665155"/>
    <w:rsid w:val="00665323"/>
    <w:rsid w:val="0066555E"/>
    <w:rsid w:val="00665A30"/>
    <w:rsid w:val="006662CB"/>
    <w:rsid w:val="006664F0"/>
    <w:rsid w:val="006666B1"/>
    <w:rsid w:val="006666C8"/>
    <w:rsid w:val="006666DB"/>
    <w:rsid w:val="00666840"/>
    <w:rsid w:val="0066691A"/>
    <w:rsid w:val="00666BF6"/>
    <w:rsid w:val="00666DE4"/>
    <w:rsid w:val="00667140"/>
    <w:rsid w:val="006675B4"/>
    <w:rsid w:val="006676DB"/>
    <w:rsid w:val="00667A84"/>
    <w:rsid w:val="00667B3C"/>
    <w:rsid w:val="00667ECA"/>
    <w:rsid w:val="0067003F"/>
    <w:rsid w:val="0067029F"/>
    <w:rsid w:val="006705AC"/>
    <w:rsid w:val="0067099F"/>
    <w:rsid w:val="006709A1"/>
    <w:rsid w:val="00670AC7"/>
    <w:rsid w:val="00670FEC"/>
    <w:rsid w:val="006712F3"/>
    <w:rsid w:val="006715E0"/>
    <w:rsid w:val="00671A65"/>
    <w:rsid w:val="00671ED6"/>
    <w:rsid w:val="00671F4C"/>
    <w:rsid w:val="00672215"/>
    <w:rsid w:val="00672646"/>
    <w:rsid w:val="00672729"/>
    <w:rsid w:val="0067299F"/>
    <w:rsid w:val="00672B3D"/>
    <w:rsid w:val="00672BB8"/>
    <w:rsid w:val="00672BBC"/>
    <w:rsid w:val="00672BD8"/>
    <w:rsid w:val="00672C23"/>
    <w:rsid w:val="00672C37"/>
    <w:rsid w:val="00672CEC"/>
    <w:rsid w:val="006730DF"/>
    <w:rsid w:val="00673201"/>
    <w:rsid w:val="00673636"/>
    <w:rsid w:val="00673A1F"/>
    <w:rsid w:val="00673B45"/>
    <w:rsid w:val="00673E46"/>
    <w:rsid w:val="00673F7A"/>
    <w:rsid w:val="0067437A"/>
    <w:rsid w:val="006745B1"/>
    <w:rsid w:val="00674D74"/>
    <w:rsid w:val="00674D77"/>
    <w:rsid w:val="00674DA0"/>
    <w:rsid w:val="00675270"/>
    <w:rsid w:val="00675CF3"/>
    <w:rsid w:val="00675D1E"/>
    <w:rsid w:val="00675D9C"/>
    <w:rsid w:val="006760F3"/>
    <w:rsid w:val="00676436"/>
    <w:rsid w:val="006765E4"/>
    <w:rsid w:val="006766C1"/>
    <w:rsid w:val="00676965"/>
    <w:rsid w:val="00676AD9"/>
    <w:rsid w:val="00676B9B"/>
    <w:rsid w:val="00676E4B"/>
    <w:rsid w:val="00677295"/>
    <w:rsid w:val="0067757A"/>
    <w:rsid w:val="006778A4"/>
    <w:rsid w:val="00677A31"/>
    <w:rsid w:val="0068003C"/>
    <w:rsid w:val="00680797"/>
    <w:rsid w:val="006808EB"/>
    <w:rsid w:val="00680935"/>
    <w:rsid w:val="006809CF"/>
    <w:rsid w:val="00680A8C"/>
    <w:rsid w:val="0068102A"/>
    <w:rsid w:val="006810E8"/>
    <w:rsid w:val="0068138E"/>
    <w:rsid w:val="0068156C"/>
    <w:rsid w:val="00681632"/>
    <w:rsid w:val="00681944"/>
    <w:rsid w:val="00681C10"/>
    <w:rsid w:val="006820C7"/>
    <w:rsid w:val="0068217B"/>
    <w:rsid w:val="00682572"/>
    <w:rsid w:val="006825B5"/>
    <w:rsid w:val="0068274C"/>
    <w:rsid w:val="00682AA9"/>
    <w:rsid w:val="00682B4F"/>
    <w:rsid w:val="00682C3B"/>
    <w:rsid w:val="00682D0C"/>
    <w:rsid w:val="00682E40"/>
    <w:rsid w:val="00682ED7"/>
    <w:rsid w:val="00682EDE"/>
    <w:rsid w:val="0068301E"/>
    <w:rsid w:val="006831AB"/>
    <w:rsid w:val="006833BF"/>
    <w:rsid w:val="006835AC"/>
    <w:rsid w:val="00683733"/>
    <w:rsid w:val="006837BC"/>
    <w:rsid w:val="006839BA"/>
    <w:rsid w:val="00683BD4"/>
    <w:rsid w:val="00683C7E"/>
    <w:rsid w:val="00683EA4"/>
    <w:rsid w:val="00684046"/>
    <w:rsid w:val="00684346"/>
    <w:rsid w:val="0068438B"/>
    <w:rsid w:val="00684750"/>
    <w:rsid w:val="00684803"/>
    <w:rsid w:val="00685189"/>
    <w:rsid w:val="006852EF"/>
    <w:rsid w:val="006854F4"/>
    <w:rsid w:val="0068579D"/>
    <w:rsid w:val="00685966"/>
    <w:rsid w:val="00685B6F"/>
    <w:rsid w:val="00685B8F"/>
    <w:rsid w:val="00685DA4"/>
    <w:rsid w:val="00685F8C"/>
    <w:rsid w:val="0068639F"/>
    <w:rsid w:val="0068654F"/>
    <w:rsid w:val="00686686"/>
    <w:rsid w:val="00686848"/>
    <w:rsid w:val="00686862"/>
    <w:rsid w:val="00686BC2"/>
    <w:rsid w:val="006870EC"/>
    <w:rsid w:val="006874BB"/>
    <w:rsid w:val="00687B7B"/>
    <w:rsid w:val="00687DBD"/>
    <w:rsid w:val="006901B2"/>
    <w:rsid w:val="006907CE"/>
    <w:rsid w:val="006908C2"/>
    <w:rsid w:val="00690A79"/>
    <w:rsid w:val="00690ABF"/>
    <w:rsid w:val="00690D5D"/>
    <w:rsid w:val="00690E81"/>
    <w:rsid w:val="00690FFC"/>
    <w:rsid w:val="0069128E"/>
    <w:rsid w:val="00691355"/>
    <w:rsid w:val="006915DF"/>
    <w:rsid w:val="0069191F"/>
    <w:rsid w:val="006919D3"/>
    <w:rsid w:val="00691AAF"/>
    <w:rsid w:val="00691B9F"/>
    <w:rsid w:val="00692551"/>
    <w:rsid w:val="00692585"/>
    <w:rsid w:val="00692626"/>
    <w:rsid w:val="0069267E"/>
    <w:rsid w:val="00692774"/>
    <w:rsid w:val="0069291F"/>
    <w:rsid w:val="00692931"/>
    <w:rsid w:val="00692AFA"/>
    <w:rsid w:val="00692B2F"/>
    <w:rsid w:val="006930BE"/>
    <w:rsid w:val="0069312C"/>
    <w:rsid w:val="006933F7"/>
    <w:rsid w:val="0069347E"/>
    <w:rsid w:val="00693542"/>
    <w:rsid w:val="0069383A"/>
    <w:rsid w:val="00693B12"/>
    <w:rsid w:val="00693F68"/>
    <w:rsid w:val="00693FA9"/>
    <w:rsid w:val="0069461A"/>
    <w:rsid w:val="00694A1D"/>
    <w:rsid w:val="00694A58"/>
    <w:rsid w:val="00694E3E"/>
    <w:rsid w:val="00694FBA"/>
    <w:rsid w:val="006950C2"/>
    <w:rsid w:val="0069518F"/>
    <w:rsid w:val="0069522B"/>
    <w:rsid w:val="00695239"/>
    <w:rsid w:val="006953E9"/>
    <w:rsid w:val="00695431"/>
    <w:rsid w:val="00695537"/>
    <w:rsid w:val="00695751"/>
    <w:rsid w:val="006958DF"/>
    <w:rsid w:val="00695D3D"/>
    <w:rsid w:val="00695DC4"/>
    <w:rsid w:val="00695EFE"/>
    <w:rsid w:val="006963F1"/>
    <w:rsid w:val="00696628"/>
    <w:rsid w:val="00696752"/>
    <w:rsid w:val="00696835"/>
    <w:rsid w:val="00696E7A"/>
    <w:rsid w:val="00696EE2"/>
    <w:rsid w:val="00696F42"/>
    <w:rsid w:val="00697127"/>
    <w:rsid w:val="006975EB"/>
    <w:rsid w:val="006976BE"/>
    <w:rsid w:val="006978CC"/>
    <w:rsid w:val="0069796D"/>
    <w:rsid w:val="006979BC"/>
    <w:rsid w:val="006979FC"/>
    <w:rsid w:val="00697D65"/>
    <w:rsid w:val="00697E3D"/>
    <w:rsid w:val="00697E86"/>
    <w:rsid w:val="00697EC9"/>
    <w:rsid w:val="006A0116"/>
    <w:rsid w:val="006A0336"/>
    <w:rsid w:val="006A0882"/>
    <w:rsid w:val="006A09DF"/>
    <w:rsid w:val="006A0A5C"/>
    <w:rsid w:val="006A0AD3"/>
    <w:rsid w:val="006A0D3E"/>
    <w:rsid w:val="006A0E98"/>
    <w:rsid w:val="006A136E"/>
    <w:rsid w:val="006A18EC"/>
    <w:rsid w:val="006A1ADA"/>
    <w:rsid w:val="006A1B88"/>
    <w:rsid w:val="006A1EBA"/>
    <w:rsid w:val="006A1ECC"/>
    <w:rsid w:val="006A1F08"/>
    <w:rsid w:val="006A2156"/>
    <w:rsid w:val="006A21AB"/>
    <w:rsid w:val="006A226F"/>
    <w:rsid w:val="006A24D0"/>
    <w:rsid w:val="006A2521"/>
    <w:rsid w:val="006A28AD"/>
    <w:rsid w:val="006A29F6"/>
    <w:rsid w:val="006A2C7C"/>
    <w:rsid w:val="006A2D47"/>
    <w:rsid w:val="006A2F29"/>
    <w:rsid w:val="006A3248"/>
    <w:rsid w:val="006A38F0"/>
    <w:rsid w:val="006A390B"/>
    <w:rsid w:val="006A4044"/>
    <w:rsid w:val="006A4375"/>
    <w:rsid w:val="006A43C1"/>
    <w:rsid w:val="006A457B"/>
    <w:rsid w:val="006A46ED"/>
    <w:rsid w:val="006A4D66"/>
    <w:rsid w:val="006A50CE"/>
    <w:rsid w:val="006A5186"/>
    <w:rsid w:val="006A53C0"/>
    <w:rsid w:val="006A5523"/>
    <w:rsid w:val="006A5821"/>
    <w:rsid w:val="006A58B9"/>
    <w:rsid w:val="006A5AD0"/>
    <w:rsid w:val="006A5D6E"/>
    <w:rsid w:val="006A5FF8"/>
    <w:rsid w:val="006A6010"/>
    <w:rsid w:val="006A622A"/>
    <w:rsid w:val="006A6267"/>
    <w:rsid w:val="006A6302"/>
    <w:rsid w:val="006A6455"/>
    <w:rsid w:val="006A6825"/>
    <w:rsid w:val="006A690A"/>
    <w:rsid w:val="006A6952"/>
    <w:rsid w:val="006A6DC7"/>
    <w:rsid w:val="006A6EA3"/>
    <w:rsid w:val="006A7061"/>
    <w:rsid w:val="006A72C4"/>
    <w:rsid w:val="006A7453"/>
    <w:rsid w:val="006A75E6"/>
    <w:rsid w:val="006A7947"/>
    <w:rsid w:val="006A7AF9"/>
    <w:rsid w:val="006B00F9"/>
    <w:rsid w:val="006B07ED"/>
    <w:rsid w:val="006B0A00"/>
    <w:rsid w:val="006B0CBC"/>
    <w:rsid w:val="006B154D"/>
    <w:rsid w:val="006B15B0"/>
    <w:rsid w:val="006B1D8E"/>
    <w:rsid w:val="006B2533"/>
    <w:rsid w:val="006B26DD"/>
    <w:rsid w:val="006B27F9"/>
    <w:rsid w:val="006B2C9A"/>
    <w:rsid w:val="006B2E67"/>
    <w:rsid w:val="006B2F27"/>
    <w:rsid w:val="006B3082"/>
    <w:rsid w:val="006B3161"/>
    <w:rsid w:val="006B3515"/>
    <w:rsid w:val="006B374F"/>
    <w:rsid w:val="006B3BE9"/>
    <w:rsid w:val="006B4120"/>
    <w:rsid w:val="006B4181"/>
    <w:rsid w:val="006B488B"/>
    <w:rsid w:val="006B4983"/>
    <w:rsid w:val="006B4FCD"/>
    <w:rsid w:val="006B4FE0"/>
    <w:rsid w:val="006B508E"/>
    <w:rsid w:val="006B5475"/>
    <w:rsid w:val="006B570B"/>
    <w:rsid w:val="006B5936"/>
    <w:rsid w:val="006B5A92"/>
    <w:rsid w:val="006B62BB"/>
    <w:rsid w:val="006B638A"/>
    <w:rsid w:val="006B6489"/>
    <w:rsid w:val="006B64BE"/>
    <w:rsid w:val="006B64DB"/>
    <w:rsid w:val="006B6851"/>
    <w:rsid w:val="006B6983"/>
    <w:rsid w:val="006B69D2"/>
    <w:rsid w:val="006B6D0E"/>
    <w:rsid w:val="006B6DF1"/>
    <w:rsid w:val="006B6F3A"/>
    <w:rsid w:val="006B7293"/>
    <w:rsid w:val="006B743E"/>
    <w:rsid w:val="006B74B6"/>
    <w:rsid w:val="006B7528"/>
    <w:rsid w:val="006B779D"/>
    <w:rsid w:val="006B7DE7"/>
    <w:rsid w:val="006B7F82"/>
    <w:rsid w:val="006C005C"/>
    <w:rsid w:val="006C0148"/>
    <w:rsid w:val="006C080E"/>
    <w:rsid w:val="006C0AE9"/>
    <w:rsid w:val="006C0B13"/>
    <w:rsid w:val="006C10E7"/>
    <w:rsid w:val="006C1287"/>
    <w:rsid w:val="006C12B8"/>
    <w:rsid w:val="006C1C8F"/>
    <w:rsid w:val="006C1F03"/>
    <w:rsid w:val="006C208A"/>
    <w:rsid w:val="006C21BD"/>
    <w:rsid w:val="006C22EC"/>
    <w:rsid w:val="006C2406"/>
    <w:rsid w:val="006C2642"/>
    <w:rsid w:val="006C269A"/>
    <w:rsid w:val="006C2719"/>
    <w:rsid w:val="006C2BA5"/>
    <w:rsid w:val="006C2DC5"/>
    <w:rsid w:val="006C3023"/>
    <w:rsid w:val="006C3700"/>
    <w:rsid w:val="006C371C"/>
    <w:rsid w:val="006C392D"/>
    <w:rsid w:val="006C39EE"/>
    <w:rsid w:val="006C3BAD"/>
    <w:rsid w:val="006C3C9A"/>
    <w:rsid w:val="006C40D3"/>
    <w:rsid w:val="006C41F2"/>
    <w:rsid w:val="006C4357"/>
    <w:rsid w:val="006C43A8"/>
    <w:rsid w:val="006C43AE"/>
    <w:rsid w:val="006C472F"/>
    <w:rsid w:val="006C4DA3"/>
    <w:rsid w:val="006C4F8E"/>
    <w:rsid w:val="006C53F6"/>
    <w:rsid w:val="006C544D"/>
    <w:rsid w:val="006C5BCA"/>
    <w:rsid w:val="006C5C3A"/>
    <w:rsid w:val="006C5DD5"/>
    <w:rsid w:val="006C6395"/>
    <w:rsid w:val="006C649E"/>
    <w:rsid w:val="006C681D"/>
    <w:rsid w:val="006C68D5"/>
    <w:rsid w:val="006C6A1F"/>
    <w:rsid w:val="006C6B3A"/>
    <w:rsid w:val="006C6BBC"/>
    <w:rsid w:val="006C7910"/>
    <w:rsid w:val="006C7A42"/>
    <w:rsid w:val="006C7B00"/>
    <w:rsid w:val="006C7E40"/>
    <w:rsid w:val="006D0430"/>
    <w:rsid w:val="006D048C"/>
    <w:rsid w:val="006D0508"/>
    <w:rsid w:val="006D059A"/>
    <w:rsid w:val="006D067D"/>
    <w:rsid w:val="006D06E4"/>
    <w:rsid w:val="006D07E0"/>
    <w:rsid w:val="006D0825"/>
    <w:rsid w:val="006D09AA"/>
    <w:rsid w:val="006D0A93"/>
    <w:rsid w:val="006D0F40"/>
    <w:rsid w:val="006D0F6B"/>
    <w:rsid w:val="006D10C0"/>
    <w:rsid w:val="006D131B"/>
    <w:rsid w:val="006D17B3"/>
    <w:rsid w:val="006D1964"/>
    <w:rsid w:val="006D1DA6"/>
    <w:rsid w:val="006D1E96"/>
    <w:rsid w:val="006D2151"/>
    <w:rsid w:val="006D260B"/>
    <w:rsid w:val="006D26C3"/>
    <w:rsid w:val="006D2ACA"/>
    <w:rsid w:val="006D2D16"/>
    <w:rsid w:val="006D2E62"/>
    <w:rsid w:val="006D2F3F"/>
    <w:rsid w:val="006D30CC"/>
    <w:rsid w:val="006D3179"/>
    <w:rsid w:val="006D33CC"/>
    <w:rsid w:val="006D35E9"/>
    <w:rsid w:val="006D37B0"/>
    <w:rsid w:val="006D38CC"/>
    <w:rsid w:val="006D3996"/>
    <w:rsid w:val="006D3B4B"/>
    <w:rsid w:val="006D4165"/>
    <w:rsid w:val="006D44F0"/>
    <w:rsid w:val="006D45DD"/>
    <w:rsid w:val="006D4673"/>
    <w:rsid w:val="006D4DA0"/>
    <w:rsid w:val="006D50FB"/>
    <w:rsid w:val="006D51B8"/>
    <w:rsid w:val="006D550C"/>
    <w:rsid w:val="006D55FF"/>
    <w:rsid w:val="006D5898"/>
    <w:rsid w:val="006D5AA8"/>
    <w:rsid w:val="006D5AAC"/>
    <w:rsid w:val="006D5B13"/>
    <w:rsid w:val="006D5E71"/>
    <w:rsid w:val="006D60EA"/>
    <w:rsid w:val="006D6117"/>
    <w:rsid w:val="006D6193"/>
    <w:rsid w:val="006D6737"/>
    <w:rsid w:val="006D67D5"/>
    <w:rsid w:val="006D6D6F"/>
    <w:rsid w:val="006D70AF"/>
    <w:rsid w:val="006D7164"/>
    <w:rsid w:val="006D755B"/>
    <w:rsid w:val="006D75F9"/>
    <w:rsid w:val="006D7755"/>
    <w:rsid w:val="006D7A25"/>
    <w:rsid w:val="006D7EDB"/>
    <w:rsid w:val="006D7F01"/>
    <w:rsid w:val="006E04C1"/>
    <w:rsid w:val="006E05B2"/>
    <w:rsid w:val="006E0910"/>
    <w:rsid w:val="006E096B"/>
    <w:rsid w:val="006E0BA9"/>
    <w:rsid w:val="006E0BAD"/>
    <w:rsid w:val="006E0CC1"/>
    <w:rsid w:val="006E0CDB"/>
    <w:rsid w:val="006E14DC"/>
    <w:rsid w:val="006E1715"/>
    <w:rsid w:val="006E1E38"/>
    <w:rsid w:val="006E210D"/>
    <w:rsid w:val="006E232E"/>
    <w:rsid w:val="006E24F0"/>
    <w:rsid w:val="006E2806"/>
    <w:rsid w:val="006E32CD"/>
    <w:rsid w:val="006E3362"/>
    <w:rsid w:val="006E3712"/>
    <w:rsid w:val="006E3C32"/>
    <w:rsid w:val="006E4083"/>
    <w:rsid w:val="006E41F1"/>
    <w:rsid w:val="006E450D"/>
    <w:rsid w:val="006E45FB"/>
    <w:rsid w:val="006E480E"/>
    <w:rsid w:val="006E4B37"/>
    <w:rsid w:val="006E4C82"/>
    <w:rsid w:val="006E4EB2"/>
    <w:rsid w:val="006E55BB"/>
    <w:rsid w:val="006E5608"/>
    <w:rsid w:val="006E57A0"/>
    <w:rsid w:val="006E58E8"/>
    <w:rsid w:val="006E5C8F"/>
    <w:rsid w:val="006E5C9B"/>
    <w:rsid w:val="006E5CFB"/>
    <w:rsid w:val="006E60F2"/>
    <w:rsid w:val="006E62D3"/>
    <w:rsid w:val="006E6607"/>
    <w:rsid w:val="006E66BF"/>
    <w:rsid w:val="006E6878"/>
    <w:rsid w:val="006E69A6"/>
    <w:rsid w:val="006E6E8F"/>
    <w:rsid w:val="006E73ED"/>
    <w:rsid w:val="006E781F"/>
    <w:rsid w:val="006E78BA"/>
    <w:rsid w:val="006E78E3"/>
    <w:rsid w:val="006E7B1B"/>
    <w:rsid w:val="006E7BF8"/>
    <w:rsid w:val="006E7D89"/>
    <w:rsid w:val="006F04AB"/>
    <w:rsid w:val="006F0670"/>
    <w:rsid w:val="006F075E"/>
    <w:rsid w:val="006F0837"/>
    <w:rsid w:val="006F0DA1"/>
    <w:rsid w:val="006F1207"/>
    <w:rsid w:val="006F1260"/>
    <w:rsid w:val="006F12C3"/>
    <w:rsid w:val="006F14AB"/>
    <w:rsid w:val="006F14AC"/>
    <w:rsid w:val="006F167D"/>
    <w:rsid w:val="006F186F"/>
    <w:rsid w:val="006F1ABB"/>
    <w:rsid w:val="006F1C6B"/>
    <w:rsid w:val="006F1E62"/>
    <w:rsid w:val="006F1EAD"/>
    <w:rsid w:val="006F2350"/>
    <w:rsid w:val="006F241F"/>
    <w:rsid w:val="006F2C63"/>
    <w:rsid w:val="006F2EB8"/>
    <w:rsid w:val="006F316E"/>
    <w:rsid w:val="006F3532"/>
    <w:rsid w:val="006F37F1"/>
    <w:rsid w:val="006F3879"/>
    <w:rsid w:val="006F388E"/>
    <w:rsid w:val="006F3D2A"/>
    <w:rsid w:val="006F3DAF"/>
    <w:rsid w:val="006F41BF"/>
    <w:rsid w:val="006F42B9"/>
    <w:rsid w:val="006F4357"/>
    <w:rsid w:val="006F4493"/>
    <w:rsid w:val="006F44E6"/>
    <w:rsid w:val="006F46AC"/>
    <w:rsid w:val="006F4A0D"/>
    <w:rsid w:val="006F5156"/>
    <w:rsid w:val="006F5973"/>
    <w:rsid w:val="006F59C4"/>
    <w:rsid w:val="006F5D9C"/>
    <w:rsid w:val="006F5E4B"/>
    <w:rsid w:val="006F6004"/>
    <w:rsid w:val="006F61A7"/>
    <w:rsid w:val="006F61FC"/>
    <w:rsid w:val="006F64A6"/>
    <w:rsid w:val="006F6582"/>
    <w:rsid w:val="006F65A6"/>
    <w:rsid w:val="006F67BE"/>
    <w:rsid w:val="006F681F"/>
    <w:rsid w:val="006F6A9E"/>
    <w:rsid w:val="006F6C91"/>
    <w:rsid w:val="006F6EE3"/>
    <w:rsid w:val="006F7511"/>
    <w:rsid w:val="006F79C6"/>
    <w:rsid w:val="006F7A14"/>
    <w:rsid w:val="006F7C60"/>
    <w:rsid w:val="006F7F32"/>
    <w:rsid w:val="00700631"/>
    <w:rsid w:val="0070067D"/>
    <w:rsid w:val="007006C5"/>
    <w:rsid w:val="00700930"/>
    <w:rsid w:val="00700B68"/>
    <w:rsid w:val="007010B0"/>
    <w:rsid w:val="007018C4"/>
    <w:rsid w:val="007019E9"/>
    <w:rsid w:val="00701C6F"/>
    <w:rsid w:val="00701E6A"/>
    <w:rsid w:val="00701F55"/>
    <w:rsid w:val="00702005"/>
    <w:rsid w:val="007026EE"/>
    <w:rsid w:val="00702960"/>
    <w:rsid w:val="00702C70"/>
    <w:rsid w:val="00702C8F"/>
    <w:rsid w:val="007030AA"/>
    <w:rsid w:val="00703509"/>
    <w:rsid w:val="0070381D"/>
    <w:rsid w:val="00703BE9"/>
    <w:rsid w:val="00703BF5"/>
    <w:rsid w:val="007040C4"/>
    <w:rsid w:val="007041A6"/>
    <w:rsid w:val="007045D5"/>
    <w:rsid w:val="007047F2"/>
    <w:rsid w:val="0070480F"/>
    <w:rsid w:val="00704945"/>
    <w:rsid w:val="00704B02"/>
    <w:rsid w:val="00704B6E"/>
    <w:rsid w:val="00704BC9"/>
    <w:rsid w:val="00704E0F"/>
    <w:rsid w:val="00704FA5"/>
    <w:rsid w:val="0070506D"/>
    <w:rsid w:val="007051EE"/>
    <w:rsid w:val="0070539F"/>
    <w:rsid w:val="007053AA"/>
    <w:rsid w:val="00705439"/>
    <w:rsid w:val="0070588E"/>
    <w:rsid w:val="00706670"/>
    <w:rsid w:val="00706698"/>
    <w:rsid w:val="00706CC3"/>
    <w:rsid w:val="00706D04"/>
    <w:rsid w:val="007073CA"/>
    <w:rsid w:val="007073EC"/>
    <w:rsid w:val="0070758C"/>
    <w:rsid w:val="007076A6"/>
    <w:rsid w:val="0071008D"/>
    <w:rsid w:val="00710376"/>
    <w:rsid w:val="00710A00"/>
    <w:rsid w:val="00710BE3"/>
    <w:rsid w:val="00710E5E"/>
    <w:rsid w:val="00710FEA"/>
    <w:rsid w:val="007111B2"/>
    <w:rsid w:val="0071126F"/>
    <w:rsid w:val="00711830"/>
    <w:rsid w:val="00711BCC"/>
    <w:rsid w:val="00711E45"/>
    <w:rsid w:val="007124D5"/>
    <w:rsid w:val="00712629"/>
    <w:rsid w:val="007127E4"/>
    <w:rsid w:val="0071292B"/>
    <w:rsid w:val="00712FBD"/>
    <w:rsid w:val="00713128"/>
    <w:rsid w:val="00713239"/>
    <w:rsid w:val="00713565"/>
    <w:rsid w:val="007135C7"/>
    <w:rsid w:val="00713F03"/>
    <w:rsid w:val="0071404E"/>
    <w:rsid w:val="00714239"/>
    <w:rsid w:val="00714842"/>
    <w:rsid w:val="00714861"/>
    <w:rsid w:val="0071506E"/>
    <w:rsid w:val="00715085"/>
    <w:rsid w:val="00715128"/>
    <w:rsid w:val="007152B6"/>
    <w:rsid w:val="0071542E"/>
    <w:rsid w:val="00715698"/>
    <w:rsid w:val="00715829"/>
    <w:rsid w:val="0071619C"/>
    <w:rsid w:val="00716B7A"/>
    <w:rsid w:val="00716BE3"/>
    <w:rsid w:val="00716F80"/>
    <w:rsid w:val="0071705F"/>
    <w:rsid w:val="0071710B"/>
    <w:rsid w:val="00717148"/>
    <w:rsid w:val="00717176"/>
    <w:rsid w:val="007171BC"/>
    <w:rsid w:val="00717312"/>
    <w:rsid w:val="007174F9"/>
    <w:rsid w:val="0071760B"/>
    <w:rsid w:val="0071775D"/>
    <w:rsid w:val="00717A78"/>
    <w:rsid w:val="00717B34"/>
    <w:rsid w:val="00717BA5"/>
    <w:rsid w:val="00717EA9"/>
    <w:rsid w:val="0072028C"/>
    <w:rsid w:val="0072048B"/>
    <w:rsid w:val="007205D8"/>
    <w:rsid w:val="00720917"/>
    <w:rsid w:val="00720BC3"/>
    <w:rsid w:val="00720EFC"/>
    <w:rsid w:val="0072116B"/>
    <w:rsid w:val="00721392"/>
    <w:rsid w:val="00721459"/>
    <w:rsid w:val="00721514"/>
    <w:rsid w:val="0072165A"/>
    <w:rsid w:val="00721751"/>
    <w:rsid w:val="00721C92"/>
    <w:rsid w:val="00721D0C"/>
    <w:rsid w:val="0072200A"/>
    <w:rsid w:val="0072219F"/>
    <w:rsid w:val="00722318"/>
    <w:rsid w:val="00722343"/>
    <w:rsid w:val="00722973"/>
    <w:rsid w:val="00722977"/>
    <w:rsid w:val="007231AC"/>
    <w:rsid w:val="007232D3"/>
    <w:rsid w:val="00723347"/>
    <w:rsid w:val="007234D3"/>
    <w:rsid w:val="00723696"/>
    <w:rsid w:val="007236A2"/>
    <w:rsid w:val="007236B9"/>
    <w:rsid w:val="00723B53"/>
    <w:rsid w:val="00723C79"/>
    <w:rsid w:val="00723D5B"/>
    <w:rsid w:val="00723E17"/>
    <w:rsid w:val="00723E96"/>
    <w:rsid w:val="007241C6"/>
    <w:rsid w:val="00724234"/>
    <w:rsid w:val="007242BC"/>
    <w:rsid w:val="007242EA"/>
    <w:rsid w:val="00724444"/>
    <w:rsid w:val="00724535"/>
    <w:rsid w:val="00724649"/>
    <w:rsid w:val="00724713"/>
    <w:rsid w:val="0072483C"/>
    <w:rsid w:val="00724A95"/>
    <w:rsid w:val="00724AD2"/>
    <w:rsid w:val="00724B5A"/>
    <w:rsid w:val="00724F06"/>
    <w:rsid w:val="00724FCE"/>
    <w:rsid w:val="007251D5"/>
    <w:rsid w:val="007251EF"/>
    <w:rsid w:val="0072520C"/>
    <w:rsid w:val="00725240"/>
    <w:rsid w:val="00725AA8"/>
    <w:rsid w:val="00725CEA"/>
    <w:rsid w:val="0072632B"/>
    <w:rsid w:val="007266BC"/>
    <w:rsid w:val="007266CF"/>
    <w:rsid w:val="00726B4B"/>
    <w:rsid w:val="00726E01"/>
    <w:rsid w:val="0072714E"/>
    <w:rsid w:val="00727369"/>
    <w:rsid w:val="0072756D"/>
    <w:rsid w:val="0072786D"/>
    <w:rsid w:val="007278DB"/>
    <w:rsid w:val="00727ED2"/>
    <w:rsid w:val="00727F74"/>
    <w:rsid w:val="00730529"/>
    <w:rsid w:val="007306D3"/>
    <w:rsid w:val="0073086D"/>
    <w:rsid w:val="00730B2F"/>
    <w:rsid w:val="007310C8"/>
    <w:rsid w:val="0073176D"/>
    <w:rsid w:val="00732041"/>
    <w:rsid w:val="00732268"/>
    <w:rsid w:val="007322F3"/>
    <w:rsid w:val="007327B2"/>
    <w:rsid w:val="00732A56"/>
    <w:rsid w:val="00732F04"/>
    <w:rsid w:val="00732F14"/>
    <w:rsid w:val="00732FE4"/>
    <w:rsid w:val="0073309F"/>
    <w:rsid w:val="007331D8"/>
    <w:rsid w:val="00733241"/>
    <w:rsid w:val="00733525"/>
    <w:rsid w:val="00733B89"/>
    <w:rsid w:val="00733D9E"/>
    <w:rsid w:val="00733EA5"/>
    <w:rsid w:val="00733EA7"/>
    <w:rsid w:val="007345DC"/>
    <w:rsid w:val="007348DB"/>
    <w:rsid w:val="00735AA0"/>
    <w:rsid w:val="00735C42"/>
    <w:rsid w:val="00735FDA"/>
    <w:rsid w:val="007360CB"/>
    <w:rsid w:val="00736370"/>
    <w:rsid w:val="007364B2"/>
    <w:rsid w:val="0073660B"/>
    <w:rsid w:val="00736774"/>
    <w:rsid w:val="007368B2"/>
    <w:rsid w:val="00736911"/>
    <w:rsid w:val="0073694E"/>
    <w:rsid w:val="00736C39"/>
    <w:rsid w:val="0073745E"/>
    <w:rsid w:val="007375E7"/>
    <w:rsid w:val="007377CC"/>
    <w:rsid w:val="00737939"/>
    <w:rsid w:val="007403BE"/>
    <w:rsid w:val="007403EA"/>
    <w:rsid w:val="007407BB"/>
    <w:rsid w:val="00740969"/>
    <w:rsid w:val="00740E53"/>
    <w:rsid w:val="00741493"/>
    <w:rsid w:val="00741772"/>
    <w:rsid w:val="00741A0C"/>
    <w:rsid w:val="00741F13"/>
    <w:rsid w:val="00742088"/>
    <w:rsid w:val="0074213D"/>
    <w:rsid w:val="00742521"/>
    <w:rsid w:val="007425D8"/>
    <w:rsid w:val="007427F4"/>
    <w:rsid w:val="007428F6"/>
    <w:rsid w:val="00742992"/>
    <w:rsid w:val="00742F0A"/>
    <w:rsid w:val="00742F75"/>
    <w:rsid w:val="0074312F"/>
    <w:rsid w:val="00743577"/>
    <w:rsid w:val="007435C1"/>
    <w:rsid w:val="00743AAF"/>
    <w:rsid w:val="00743B63"/>
    <w:rsid w:val="00743D74"/>
    <w:rsid w:val="00743F3E"/>
    <w:rsid w:val="00743F59"/>
    <w:rsid w:val="0074433A"/>
    <w:rsid w:val="00744382"/>
    <w:rsid w:val="007444B7"/>
    <w:rsid w:val="007446DB"/>
    <w:rsid w:val="0074493D"/>
    <w:rsid w:val="0074500E"/>
    <w:rsid w:val="0074526B"/>
    <w:rsid w:val="00745355"/>
    <w:rsid w:val="00745567"/>
    <w:rsid w:val="007455F4"/>
    <w:rsid w:val="0074577E"/>
    <w:rsid w:val="007458EE"/>
    <w:rsid w:val="00745AF6"/>
    <w:rsid w:val="00745E41"/>
    <w:rsid w:val="0074623C"/>
    <w:rsid w:val="007465D4"/>
    <w:rsid w:val="00746A3E"/>
    <w:rsid w:val="00746C68"/>
    <w:rsid w:val="00746CC8"/>
    <w:rsid w:val="00746CDB"/>
    <w:rsid w:val="00746DD6"/>
    <w:rsid w:val="0074737D"/>
    <w:rsid w:val="007473CF"/>
    <w:rsid w:val="00747C7F"/>
    <w:rsid w:val="00747F3A"/>
    <w:rsid w:val="00747F63"/>
    <w:rsid w:val="00747F7D"/>
    <w:rsid w:val="00750001"/>
    <w:rsid w:val="00750420"/>
    <w:rsid w:val="007506AE"/>
    <w:rsid w:val="007507D0"/>
    <w:rsid w:val="00750FE9"/>
    <w:rsid w:val="007514C2"/>
    <w:rsid w:val="00751772"/>
    <w:rsid w:val="007517B3"/>
    <w:rsid w:val="0075186F"/>
    <w:rsid w:val="00751D1E"/>
    <w:rsid w:val="00751E45"/>
    <w:rsid w:val="007524F8"/>
    <w:rsid w:val="00752705"/>
    <w:rsid w:val="00752A8F"/>
    <w:rsid w:val="00752B29"/>
    <w:rsid w:val="00753156"/>
    <w:rsid w:val="00753673"/>
    <w:rsid w:val="00753689"/>
    <w:rsid w:val="00753D0F"/>
    <w:rsid w:val="007541C5"/>
    <w:rsid w:val="007544C4"/>
    <w:rsid w:val="007544EF"/>
    <w:rsid w:val="007547DE"/>
    <w:rsid w:val="007547F7"/>
    <w:rsid w:val="00754CC2"/>
    <w:rsid w:val="00754F11"/>
    <w:rsid w:val="00755223"/>
    <w:rsid w:val="00755A6C"/>
    <w:rsid w:val="00755AD2"/>
    <w:rsid w:val="00755AF7"/>
    <w:rsid w:val="00755B91"/>
    <w:rsid w:val="00755BE0"/>
    <w:rsid w:val="00755E70"/>
    <w:rsid w:val="007563E7"/>
    <w:rsid w:val="007564FD"/>
    <w:rsid w:val="00756737"/>
    <w:rsid w:val="007567F9"/>
    <w:rsid w:val="00756CB4"/>
    <w:rsid w:val="00756D89"/>
    <w:rsid w:val="00756DAD"/>
    <w:rsid w:val="00756F17"/>
    <w:rsid w:val="0075737F"/>
    <w:rsid w:val="00757490"/>
    <w:rsid w:val="007575C8"/>
    <w:rsid w:val="0075767C"/>
    <w:rsid w:val="007576AD"/>
    <w:rsid w:val="0075772D"/>
    <w:rsid w:val="007579C1"/>
    <w:rsid w:val="00757A80"/>
    <w:rsid w:val="00757CB3"/>
    <w:rsid w:val="0076065B"/>
    <w:rsid w:val="00760695"/>
    <w:rsid w:val="00760893"/>
    <w:rsid w:val="007609BC"/>
    <w:rsid w:val="00760B23"/>
    <w:rsid w:val="00760CA2"/>
    <w:rsid w:val="00761246"/>
    <w:rsid w:val="00761354"/>
    <w:rsid w:val="00761375"/>
    <w:rsid w:val="00761725"/>
    <w:rsid w:val="0076180E"/>
    <w:rsid w:val="00761C71"/>
    <w:rsid w:val="00761F76"/>
    <w:rsid w:val="00762AB2"/>
    <w:rsid w:val="0076355E"/>
    <w:rsid w:val="007635DF"/>
    <w:rsid w:val="007636B6"/>
    <w:rsid w:val="00763C56"/>
    <w:rsid w:val="00763C6E"/>
    <w:rsid w:val="0076446E"/>
    <w:rsid w:val="0076467F"/>
    <w:rsid w:val="00764956"/>
    <w:rsid w:val="00764AD2"/>
    <w:rsid w:val="00765249"/>
    <w:rsid w:val="00765931"/>
    <w:rsid w:val="00765B98"/>
    <w:rsid w:val="00765F0D"/>
    <w:rsid w:val="0076620E"/>
    <w:rsid w:val="007662FC"/>
    <w:rsid w:val="00766372"/>
    <w:rsid w:val="0076656C"/>
    <w:rsid w:val="0076670E"/>
    <w:rsid w:val="007669E2"/>
    <w:rsid w:val="00766AC7"/>
    <w:rsid w:val="00766BBC"/>
    <w:rsid w:val="007671CD"/>
    <w:rsid w:val="00767C94"/>
    <w:rsid w:val="007701BF"/>
    <w:rsid w:val="0077068A"/>
    <w:rsid w:val="007706A2"/>
    <w:rsid w:val="0077070C"/>
    <w:rsid w:val="00770750"/>
    <w:rsid w:val="00770B39"/>
    <w:rsid w:val="00770C85"/>
    <w:rsid w:val="00770CF3"/>
    <w:rsid w:val="00770DB4"/>
    <w:rsid w:val="00770F37"/>
    <w:rsid w:val="00770FAB"/>
    <w:rsid w:val="007710AB"/>
    <w:rsid w:val="007710B1"/>
    <w:rsid w:val="00771143"/>
    <w:rsid w:val="00771410"/>
    <w:rsid w:val="00771445"/>
    <w:rsid w:val="007715A7"/>
    <w:rsid w:val="0077196B"/>
    <w:rsid w:val="00771CE3"/>
    <w:rsid w:val="00771DBD"/>
    <w:rsid w:val="00771F20"/>
    <w:rsid w:val="00772096"/>
    <w:rsid w:val="007720EB"/>
    <w:rsid w:val="00772356"/>
    <w:rsid w:val="00772387"/>
    <w:rsid w:val="007723C2"/>
    <w:rsid w:val="0077245F"/>
    <w:rsid w:val="007724FA"/>
    <w:rsid w:val="007725D9"/>
    <w:rsid w:val="00772AFD"/>
    <w:rsid w:val="00772B01"/>
    <w:rsid w:val="00772B7C"/>
    <w:rsid w:val="00772E6E"/>
    <w:rsid w:val="00773565"/>
    <w:rsid w:val="0077387B"/>
    <w:rsid w:val="00773A64"/>
    <w:rsid w:val="00773A95"/>
    <w:rsid w:val="00773ADE"/>
    <w:rsid w:val="00773F71"/>
    <w:rsid w:val="00774062"/>
    <w:rsid w:val="0077428A"/>
    <w:rsid w:val="0077447B"/>
    <w:rsid w:val="0077454B"/>
    <w:rsid w:val="00774C7A"/>
    <w:rsid w:val="00774DC9"/>
    <w:rsid w:val="007752C8"/>
    <w:rsid w:val="0077570B"/>
    <w:rsid w:val="007757CC"/>
    <w:rsid w:val="0077593A"/>
    <w:rsid w:val="00775A14"/>
    <w:rsid w:val="00775B4D"/>
    <w:rsid w:val="00775BDD"/>
    <w:rsid w:val="00775CC8"/>
    <w:rsid w:val="00776045"/>
    <w:rsid w:val="007763BB"/>
    <w:rsid w:val="00776402"/>
    <w:rsid w:val="007766EF"/>
    <w:rsid w:val="00776D9F"/>
    <w:rsid w:val="00776E0E"/>
    <w:rsid w:val="0077727D"/>
    <w:rsid w:val="0077745B"/>
    <w:rsid w:val="007774D1"/>
    <w:rsid w:val="0077770B"/>
    <w:rsid w:val="0077781B"/>
    <w:rsid w:val="00777983"/>
    <w:rsid w:val="0078056F"/>
    <w:rsid w:val="0078085B"/>
    <w:rsid w:val="00780E1F"/>
    <w:rsid w:val="00781049"/>
    <w:rsid w:val="00781416"/>
    <w:rsid w:val="007817A3"/>
    <w:rsid w:val="00781BA8"/>
    <w:rsid w:val="00781E19"/>
    <w:rsid w:val="00781F98"/>
    <w:rsid w:val="0078207E"/>
    <w:rsid w:val="00782183"/>
    <w:rsid w:val="0078245F"/>
    <w:rsid w:val="00782A19"/>
    <w:rsid w:val="00782D5D"/>
    <w:rsid w:val="00782EA0"/>
    <w:rsid w:val="00783317"/>
    <w:rsid w:val="00783367"/>
    <w:rsid w:val="007833A5"/>
    <w:rsid w:val="007834A6"/>
    <w:rsid w:val="00783911"/>
    <w:rsid w:val="0078391F"/>
    <w:rsid w:val="00783DAE"/>
    <w:rsid w:val="00783F73"/>
    <w:rsid w:val="00783FC8"/>
    <w:rsid w:val="00784008"/>
    <w:rsid w:val="007840CD"/>
    <w:rsid w:val="0078442D"/>
    <w:rsid w:val="007844C7"/>
    <w:rsid w:val="00784636"/>
    <w:rsid w:val="00784ADA"/>
    <w:rsid w:val="00784DB3"/>
    <w:rsid w:val="00784EEB"/>
    <w:rsid w:val="007852AB"/>
    <w:rsid w:val="007852BD"/>
    <w:rsid w:val="007855E6"/>
    <w:rsid w:val="00785929"/>
    <w:rsid w:val="00785C6A"/>
    <w:rsid w:val="00785DD0"/>
    <w:rsid w:val="00785FC0"/>
    <w:rsid w:val="0078644F"/>
    <w:rsid w:val="00786823"/>
    <w:rsid w:val="00786C0B"/>
    <w:rsid w:val="00787061"/>
    <w:rsid w:val="0078712D"/>
    <w:rsid w:val="0078715E"/>
    <w:rsid w:val="00787236"/>
    <w:rsid w:val="00787461"/>
    <w:rsid w:val="00787938"/>
    <w:rsid w:val="00787963"/>
    <w:rsid w:val="00787B80"/>
    <w:rsid w:val="00787EA8"/>
    <w:rsid w:val="007900D6"/>
    <w:rsid w:val="007902BE"/>
    <w:rsid w:val="0079040E"/>
    <w:rsid w:val="007907E9"/>
    <w:rsid w:val="007908A9"/>
    <w:rsid w:val="007908E8"/>
    <w:rsid w:val="00790FE0"/>
    <w:rsid w:val="0079105F"/>
    <w:rsid w:val="00791257"/>
    <w:rsid w:val="007912F4"/>
    <w:rsid w:val="00791592"/>
    <w:rsid w:val="007916CC"/>
    <w:rsid w:val="007917E9"/>
    <w:rsid w:val="00791A55"/>
    <w:rsid w:val="00791AA1"/>
    <w:rsid w:val="00791C5D"/>
    <w:rsid w:val="00791E42"/>
    <w:rsid w:val="00791F2B"/>
    <w:rsid w:val="007923A2"/>
    <w:rsid w:val="0079240D"/>
    <w:rsid w:val="00792778"/>
    <w:rsid w:val="00792BBA"/>
    <w:rsid w:val="00793028"/>
    <w:rsid w:val="0079305F"/>
    <w:rsid w:val="00793459"/>
    <w:rsid w:val="00793B4C"/>
    <w:rsid w:val="0079405F"/>
    <w:rsid w:val="00794134"/>
    <w:rsid w:val="00794206"/>
    <w:rsid w:val="0079425C"/>
    <w:rsid w:val="007943D6"/>
    <w:rsid w:val="007943DA"/>
    <w:rsid w:val="00794424"/>
    <w:rsid w:val="007945F9"/>
    <w:rsid w:val="007946DA"/>
    <w:rsid w:val="00794849"/>
    <w:rsid w:val="007949CC"/>
    <w:rsid w:val="00794B97"/>
    <w:rsid w:val="00794C6B"/>
    <w:rsid w:val="00794F98"/>
    <w:rsid w:val="007953FD"/>
    <w:rsid w:val="007958A6"/>
    <w:rsid w:val="00795D0E"/>
    <w:rsid w:val="00795D52"/>
    <w:rsid w:val="00795F3D"/>
    <w:rsid w:val="00796093"/>
    <w:rsid w:val="0079609E"/>
    <w:rsid w:val="00796335"/>
    <w:rsid w:val="00796378"/>
    <w:rsid w:val="00796516"/>
    <w:rsid w:val="0079698B"/>
    <w:rsid w:val="00796A90"/>
    <w:rsid w:val="00796FD0"/>
    <w:rsid w:val="00797644"/>
    <w:rsid w:val="007976CA"/>
    <w:rsid w:val="007976D1"/>
    <w:rsid w:val="00797776"/>
    <w:rsid w:val="00797935"/>
    <w:rsid w:val="00797A11"/>
    <w:rsid w:val="00797A51"/>
    <w:rsid w:val="00797C1F"/>
    <w:rsid w:val="00797CB5"/>
    <w:rsid w:val="007A034E"/>
    <w:rsid w:val="007A055C"/>
    <w:rsid w:val="007A06A1"/>
    <w:rsid w:val="007A0CD2"/>
    <w:rsid w:val="007A10DF"/>
    <w:rsid w:val="007A13F3"/>
    <w:rsid w:val="007A196E"/>
    <w:rsid w:val="007A1F3E"/>
    <w:rsid w:val="007A1FE2"/>
    <w:rsid w:val="007A21D5"/>
    <w:rsid w:val="007A21FE"/>
    <w:rsid w:val="007A25AC"/>
    <w:rsid w:val="007A2A91"/>
    <w:rsid w:val="007A3095"/>
    <w:rsid w:val="007A3183"/>
    <w:rsid w:val="007A31CC"/>
    <w:rsid w:val="007A32FA"/>
    <w:rsid w:val="007A33D0"/>
    <w:rsid w:val="007A3493"/>
    <w:rsid w:val="007A3526"/>
    <w:rsid w:val="007A3633"/>
    <w:rsid w:val="007A3717"/>
    <w:rsid w:val="007A3BAB"/>
    <w:rsid w:val="007A3C01"/>
    <w:rsid w:val="007A3FB2"/>
    <w:rsid w:val="007A40EB"/>
    <w:rsid w:val="007A4598"/>
    <w:rsid w:val="007A45E5"/>
    <w:rsid w:val="007A480A"/>
    <w:rsid w:val="007A4990"/>
    <w:rsid w:val="007A4CDB"/>
    <w:rsid w:val="007A4F28"/>
    <w:rsid w:val="007A4FA3"/>
    <w:rsid w:val="007A5169"/>
    <w:rsid w:val="007A5720"/>
    <w:rsid w:val="007A585E"/>
    <w:rsid w:val="007A5893"/>
    <w:rsid w:val="007A5929"/>
    <w:rsid w:val="007A5F11"/>
    <w:rsid w:val="007A614B"/>
    <w:rsid w:val="007A61D6"/>
    <w:rsid w:val="007A6309"/>
    <w:rsid w:val="007A6D69"/>
    <w:rsid w:val="007A6D8F"/>
    <w:rsid w:val="007A71CC"/>
    <w:rsid w:val="007A723E"/>
    <w:rsid w:val="007A7314"/>
    <w:rsid w:val="007A73C7"/>
    <w:rsid w:val="007A74B3"/>
    <w:rsid w:val="007A75C0"/>
    <w:rsid w:val="007A76FC"/>
    <w:rsid w:val="007A7E8A"/>
    <w:rsid w:val="007B0033"/>
    <w:rsid w:val="007B0731"/>
    <w:rsid w:val="007B0B66"/>
    <w:rsid w:val="007B0E53"/>
    <w:rsid w:val="007B0F90"/>
    <w:rsid w:val="007B118F"/>
    <w:rsid w:val="007B122A"/>
    <w:rsid w:val="007B1506"/>
    <w:rsid w:val="007B166B"/>
    <w:rsid w:val="007B19D7"/>
    <w:rsid w:val="007B1B4B"/>
    <w:rsid w:val="007B1EF2"/>
    <w:rsid w:val="007B1EFE"/>
    <w:rsid w:val="007B1F8D"/>
    <w:rsid w:val="007B1FC5"/>
    <w:rsid w:val="007B207C"/>
    <w:rsid w:val="007B20AD"/>
    <w:rsid w:val="007B222A"/>
    <w:rsid w:val="007B22BA"/>
    <w:rsid w:val="007B233E"/>
    <w:rsid w:val="007B27DB"/>
    <w:rsid w:val="007B298F"/>
    <w:rsid w:val="007B2AF2"/>
    <w:rsid w:val="007B2B93"/>
    <w:rsid w:val="007B2E30"/>
    <w:rsid w:val="007B2F03"/>
    <w:rsid w:val="007B3055"/>
    <w:rsid w:val="007B30B5"/>
    <w:rsid w:val="007B31C8"/>
    <w:rsid w:val="007B3302"/>
    <w:rsid w:val="007B34A7"/>
    <w:rsid w:val="007B34B4"/>
    <w:rsid w:val="007B3CFF"/>
    <w:rsid w:val="007B3EBD"/>
    <w:rsid w:val="007B3F45"/>
    <w:rsid w:val="007B4537"/>
    <w:rsid w:val="007B465F"/>
    <w:rsid w:val="007B4B77"/>
    <w:rsid w:val="007B4D28"/>
    <w:rsid w:val="007B4EE5"/>
    <w:rsid w:val="007B4FF7"/>
    <w:rsid w:val="007B50FC"/>
    <w:rsid w:val="007B530A"/>
    <w:rsid w:val="007B5460"/>
    <w:rsid w:val="007B54C5"/>
    <w:rsid w:val="007B5BE1"/>
    <w:rsid w:val="007B5FBE"/>
    <w:rsid w:val="007B638E"/>
    <w:rsid w:val="007B650A"/>
    <w:rsid w:val="007B697B"/>
    <w:rsid w:val="007B6B68"/>
    <w:rsid w:val="007B6CC0"/>
    <w:rsid w:val="007B70E9"/>
    <w:rsid w:val="007B7206"/>
    <w:rsid w:val="007B72EB"/>
    <w:rsid w:val="007B7727"/>
    <w:rsid w:val="007B7743"/>
    <w:rsid w:val="007B776C"/>
    <w:rsid w:val="007B785D"/>
    <w:rsid w:val="007B7AEE"/>
    <w:rsid w:val="007B7C78"/>
    <w:rsid w:val="007B7E27"/>
    <w:rsid w:val="007C0032"/>
    <w:rsid w:val="007C03C9"/>
    <w:rsid w:val="007C03E5"/>
    <w:rsid w:val="007C057D"/>
    <w:rsid w:val="007C0B8C"/>
    <w:rsid w:val="007C0BD0"/>
    <w:rsid w:val="007C0F32"/>
    <w:rsid w:val="007C121E"/>
    <w:rsid w:val="007C1423"/>
    <w:rsid w:val="007C1545"/>
    <w:rsid w:val="007C1AB7"/>
    <w:rsid w:val="007C1BEA"/>
    <w:rsid w:val="007C1CD2"/>
    <w:rsid w:val="007C1D8F"/>
    <w:rsid w:val="007C1EE2"/>
    <w:rsid w:val="007C1FC8"/>
    <w:rsid w:val="007C21FF"/>
    <w:rsid w:val="007C2289"/>
    <w:rsid w:val="007C23B0"/>
    <w:rsid w:val="007C23BF"/>
    <w:rsid w:val="007C242C"/>
    <w:rsid w:val="007C2583"/>
    <w:rsid w:val="007C25B6"/>
    <w:rsid w:val="007C28EB"/>
    <w:rsid w:val="007C2A33"/>
    <w:rsid w:val="007C2B1D"/>
    <w:rsid w:val="007C2CCE"/>
    <w:rsid w:val="007C2F99"/>
    <w:rsid w:val="007C353E"/>
    <w:rsid w:val="007C39B6"/>
    <w:rsid w:val="007C3B92"/>
    <w:rsid w:val="007C3D22"/>
    <w:rsid w:val="007C3E0A"/>
    <w:rsid w:val="007C41CE"/>
    <w:rsid w:val="007C4716"/>
    <w:rsid w:val="007C4722"/>
    <w:rsid w:val="007C4856"/>
    <w:rsid w:val="007C48B9"/>
    <w:rsid w:val="007C48E4"/>
    <w:rsid w:val="007C4A42"/>
    <w:rsid w:val="007C4E5A"/>
    <w:rsid w:val="007C512D"/>
    <w:rsid w:val="007C51DF"/>
    <w:rsid w:val="007C551C"/>
    <w:rsid w:val="007C5927"/>
    <w:rsid w:val="007C5994"/>
    <w:rsid w:val="007C5BBA"/>
    <w:rsid w:val="007C5CD6"/>
    <w:rsid w:val="007C5EEE"/>
    <w:rsid w:val="007C5FE6"/>
    <w:rsid w:val="007C63CF"/>
    <w:rsid w:val="007C6ABB"/>
    <w:rsid w:val="007C6CD2"/>
    <w:rsid w:val="007C6E51"/>
    <w:rsid w:val="007C7261"/>
    <w:rsid w:val="007C73E4"/>
    <w:rsid w:val="007C7432"/>
    <w:rsid w:val="007C775E"/>
    <w:rsid w:val="007C797E"/>
    <w:rsid w:val="007C7A01"/>
    <w:rsid w:val="007C7E80"/>
    <w:rsid w:val="007C7FB3"/>
    <w:rsid w:val="007D00B8"/>
    <w:rsid w:val="007D00FF"/>
    <w:rsid w:val="007D022C"/>
    <w:rsid w:val="007D028E"/>
    <w:rsid w:val="007D03FF"/>
    <w:rsid w:val="007D0481"/>
    <w:rsid w:val="007D059D"/>
    <w:rsid w:val="007D0683"/>
    <w:rsid w:val="007D0FED"/>
    <w:rsid w:val="007D1ABB"/>
    <w:rsid w:val="007D1D41"/>
    <w:rsid w:val="007D1E46"/>
    <w:rsid w:val="007D2198"/>
    <w:rsid w:val="007D2B8B"/>
    <w:rsid w:val="007D2C41"/>
    <w:rsid w:val="007D2CFC"/>
    <w:rsid w:val="007D3746"/>
    <w:rsid w:val="007D3819"/>
    <w:rsid w:val="007D3B58"/>
    <w:rsid w:val="007D3E03"/>
    <w:rsid w:val="007D4194"/>
    <w:rsid w:val="007D41AE"/>
    <w:rsid w:val="007D42D5"/>
    <w:rsid w:val="007D486F"/>
    <w:rsid w:val="007D49D2"/>
    <w:rsid w:val="007D4A8A"/>
    <w:rsid w:val="007D4B01"/>
    <w:rsid w:val="007D4D29"/>
    <w:rsid w:val="007D5137"/>
    <w:rsid w:val="007D51C5"/>
    <w:rsid w:val="007D51E3"/>
    <w:rsid w:val="007D56FD"/>
    <w:rsid w:val="007D5959"/>
    <w:rsid w:val="007D5B1C"/>
    <w:rsid w:val="007D5E5C"/>
    <w:rsid w:val="007D616A"/>
    <w:rsid w:val="007D63E7"/>
    <w:rsid w:val="007D672B"/>
    <w:rsid w:val="007D687D"/>
    <w:rsid w:val="007D6911"/>
    <w:rsid w:val="007D6CD6"/>
    <w:rsid w:val="007D6FA1"/>
    <w:rsid w:val="007D70D6"/>
    <w:rsid w:val="007D779C"/>
    <w:rsid w:val="007D7E16"/>
    <w:rsid w:val="007D7EDE"/>
    <w:rsid w:val="007D7F8D"/>
    <w:rsid w:val="007D7F92"/>
    <w:rsid w:val="007E001E"/>
    <w:rsid w:val="007E002B"/>
    <w:rsid w:val="007E01B0"/>
    <w:rsid w:val="007E02D9"/>
    <w:rsid w:val="007E03EC"/>
    <w:rsid w:val="007E0595"/>
    <w:rsid w:val="007E05FC"/>
    <w:rsid w:val="007E061C"/>
    <w:rsid w:val="007E06AB"/>
    <w:rsid w:val="007E0863"/>
    <w:rsid w:val="007E0E2F"/>
    <w:rsid w:val="007E10C4"/>
    <w:rsid w:val="007E13D1"/>
    <w:rsid w:val="007E1607"/>
    <w:rsid w:val="007E1B98"/>
    <w:rsid w:val="007E1C97"/>
    <w:rsid w:val="007E22D5"/>
    <w:rsid w:val="007E233D"/>
    <w:rsid w:val="007E235F"/>
    <w:rsid w:val="007E24C5"/>
    <w:rsid w:val="007E2637"/>
    <w:rsid w:val="007E280E"/>
    <w:rsid w:val="007E286E"/>
    <w:rsid w:val="007E2BDA"/>
    <w:rsid w:val="007E2D62"/>
    <w:rsid w:val="007E2EBB"/>
    <w:rsid w:val="007E305D"/>
    <w:rsid w:val="007E33E2"/>
    <w:rsid w:val="007E35F9"/>
    <w:rsid w:val="007E388A"/>
    <w:rsid w:val="007E3AC3"/>
    <w:rsid w:val="007E3ACF"/>
    <w:rsid w:val="007E3CB1"/>
    <w:rsid w:val="007E4051"/>
    <w:rsid w:val="007E44DD"/>
    <w:rsid w:val="007E4553"/>
    <w:rsid w:val="007E46B1"/>
    <w:rsid w:val="007E46DA"/>
    <w:rsid w:val="007E4736"/>
    <w:rsid w:val="007E47DE"/>
    <w:rsid w:val="007E4D75"/>
    <w:rsid w:val="007E4EAF"/>
    <w:rsid w:val="007E51F3"/>
    <w:rsid w:val="007E54C1"/>
    <w:rsid w:val="007E55EB"/>
    <w:rsid w:val="007E5A88"/>
    <w:rsid w:val="007E5F1B"/>
    <w:rsid w:val="007E6133"/>
    <w:rsid w:val="007E65D5"/>
    <w:rsid w:val="007E6902"/>
    <w:rsid w:val="007E695A"/>
    <w:rsid w:val="007E6A5E"/>
    <w:rsid w:val="007E6C50"/>
    <w:rsid w:val="007E6F1E"/>
    <w:rsid w:val="007E710E"/>
    <w:rsid w:val="007E76D8"/>
    <w:rsid w:val="007E76EE"/>
    <w:rsid w:val="007E7801"/>
    <w:rsid w:val="007E79ED"/>
    <w:rsid w:val="007E7CB9"/>
    <w:rsid w:val="007E7E10"/>
    <w:rsid w:val="007E7F51"/>
    <w:rsid w:val="007F057F"/>
    <w:rsid w:val="007F08F1"/>
    <w:rsid w:val="007F0901"/>
    <w:rsid w:val="007F0AFE"/>
    <w:rsid w:val="007F0EC9"/>
    <w:rsid w:val="007F11DC"/>
    <w:rsid w:val="007F1499"/>
    <w:rsid w:val="007F18FE"/>
    <w:rsid w:val="007F1DF9"/>
    <w:rsid w:val="007F1EA7"/>
    <w:rsid w:val="007F24E9"/>
    <w:rsid w:val="007F29DA"/>
    <w:rsid w:val="007F31F6"/>
    <w:rsid w:val="007F357C"/>
    <w:rsid w:val="007F367B"/>
    <w:rsid w:val="007F3A5E"/>
    <w:rsid w:val="007F3CF0"/>
    <w:rsid w:val="007F4065"/>
    <w:rsid w:val="007F40EF"/>
    <w:rsid w:val="007F427B"/>
    <w:rsid w:val="007F44FE"/>
    <w:rsid w:val="007F46F0"/>
    <w:rsid w:val="007F4703"/>
    <w:rsid w:val="007F47C5"/>
    <w:rsid w:val="007F48ED"/>
    <w:rsid w:val="007F4978"/>
    <w:rsid w:val="007F4F91"/>
    <w:rsid w:val="007F520B"/>
    <w:rsid w:val="007F55D4"/>
    <w:rsid w:val="007F58D9"/>
    <w:rsid w:val="007F5EB6"/>
    <w:rsid w:val="007F61F7"/>
    <w:rsid w:val="007F66D9"/>
    <w:rsid w:val="007F6C03"/>
    <w:rsid w:val="007F72EF"/>
    <w:rsid w:val="007F7328"/>
    <w:rsid w:val="007F73D7"/>
    <w:rsid w:val="007F742C"/>
    <w:rsid w:val="007F775A"/>
    <w:rsid w:val="007F77A9"/>
    <w:rsid w:val="007F7830"/>
    <w:rsid w:val="007F784B"/>
    <w:rsid w:val="007F791D"/>
    <w:rsid w:val="007F7969"/>
    <w:rsid w:val="007F797D"/>
    <w:rsid w:val="007F7AC5"/>
    <w:rsid w:val="007F7B3A"/>
    <w:rsid w:val="007F7DFB"/>
    <w:rsid w:val="008000EC"/>
    <w:rsid w:val="008002B1"/>
    <w:rsid w:val="008003F8"/>
    <w:rsid w:val="0080056F"/>
    <w:rsid w:val="008006F4"/>
    <w:rsid w:val="00800ACF"/>
    <w:rsid w:val="00800B62"/>
    <w:rsid w:val="00800E91"/>
    <w:rsid w:val="00800EE7"/>
    <w:rsid w:val="008011D0"/>
    <w:rsid w:val="00801215"/>
    <w:rsid w:val="00801545"/>
    <w:rsid w:val="008017DE"/>
    <w:rsid w:val="00801993"/>
    <w:rsid w:val="00801A42"/>
    <w:rsid w:val="00801E12"/>
    <w:rsid w:val="00802119"/>
    <w:rsid w:val="008021AF"/>
    <w:rsid w:val="00802546"/>
    <w:rsid w:val="008026B3"/>
    <w:rsid w:val="00802758"/>
    <w:rsid w:val="00802782"/>
    <w:rsid w:val="008027BD"/>
    <w:rsid w:val="00802BE0"/>
    <w:rsid w:val="00802F03"/>
    <w:rsid w:val="008030CE"/>
    <w:rsid w:val="0080349B"/>
    <w:rsid w:val="008037C3"/>
    <w:rsid w:val="00803988"/>
    <w:rsid w:val="00803DC4"/>
    <w:rsid w:val="00803FDF"/>
    <w:rsid w:val="00804270"/>
    <w:rsid w:val="008043CD"/>
    <w:rsid w:val="0080482D"/>
    <w:rsid w:val="008050B8"/>
    <w:rsid w:val="008051C6"/>
    <w:rsid w:val="008053D5"/>
    <w:rsid w:val="008057BC"/>
    <w:rsid w:val="008058D8"/>
    <w:rsid w:val="00805A46"/>
    <w:rsid w:val="00805DF7"/>
    <w:rsid w:val="00805E30"/>
    <w:rsid w:val="0080618D"/>
    <w:rsid w:val="008061BF"/>
    <w:rsid w:val="0080638D"/>
    <w:rsid w:val="0080644B"/>
    <w:rsid w:val="00806533"/>
    <w:rsid w:val="00806D51"/>
    <w:rsid w:val="00806F97"/>
    <w:rsid w:val="00807A59"/>
    <w:rsid w:val="00807FE2"/>
    <w:rsid w:val="0081004B"/>
    <w:rsid w:val="00810373"/>
    <w:rsid w:val="00810474"/>
    <w:rsid w:val="00810503"/>
    <w:rsid w:val="00810932"/>
    <w:rsid w:val="00810A4A"/>
    <w:rsid w:val="00810B3C"/>
    <w:rsid w:val="00810F28"/>
    <w:rsid w:val="00810FC7"/>
    <w:rsid w:val="00810FE0"/>
    <w:rsid w:val="0081111E"/>
    <w:rsid w:val="00811143"/>
    <w:rsid w:val="0081121E"/>
    <w:rsid w:val="008118B5"/>
    <w:rsid w:val="008118FD"/>
    <w:rsid w:val="00811975"/>
    <w:rsid w:val="00811BB8"/>
    <w:rsid w:val="00811BD9"/>
    <w:rsid w:val="00811CA5"/>
    <w:rsid w:val="00811E07"/>
    <w:rsid w:val="00812498"/>
    <w:rsid w:val="008129E3"/>
    <w:rsid w:val="00812B0F"/>
    <w:rsid w:val="00812C23"/>
    <w:rsid w:val="008131E9"/>
    <w:rsid w:val="008134A2"/>
    <w:rsid w:val="008134FF"/>
    <w:rsid w:val="00813784"/>
    <w:rsid w:val="008138DD"/>
    <w:rsid w:val="00813B16"/>
    <w:rsid w:val="00813F84"/>
    <w:rsid w:val="0081408B"/>
    <w:rsid w:val="00814244"/>
    <w:rsid w:val="008142B6"/>
    <w:rsid w:val="0081483E"/>
    <w:rsid w:val="00814DBA"/>
    <w:rsid w:val="00814E96"/>
    <w:rsid w:val="008150A2"/>
    <w:rsid w:val="008151C5"/>
    <w:rsid w:val="00815309"/>
    <w:rsid w:val="0081532B"/>
    <w:rsid w:val="008153C3"/>
    <w:rsid w:val="0081543D"/>
    <w:rsid w:val="00815901"/>
    <w:rsid w:val="00815912"/>
    <w:rsid w:val="00816198"/>
    <w:rsid w:val="0081628E"/>
    <w:rsid w:val="008166D4"/>
    <w:rsid w:val="008169BB"/>
    <w:rsid w:val="00817252"/>
    <w:rsid w:val="00817AA5"/>
    <w:rsid w:val="00817B82"/>
    <w:rsid w:val="00817D36"/>
    <w:rsid w:val="00817D48"/>
    <w:rsid w:val="00817E56"/>
    <w:rsid w:val="0082010C"/>
    <w:rsid w:val="00820172"/>
    <w:rsid w:val="0082049C"/>
    <w:rsid w:val="00820799"/>
    <w:rsid w:val="00820A38"/>
    <w:rsid w:val="00820A98"/>
    <w:rsid w:val="00820CA6"/>
    <w:rsid w:val="00820CDB"/>
    <w:rsid w:val="00820F15"/>
    <w:rsid w:val="008210E6"/>
    <w:rsid w:val="0082157C"/>
    <w:rsid w:val="00821B66"/>
    <w:rsid w:val="00821B9C"/>
    <w:rsid w:val="00822030"/>
    <w:rsid w:val="0082222D"/>
    <w:rsid w:val="00822327"/>
    <w:rsid w:val="00822376"/>
    <w:rsid w:val="008229D1"/>
    <w:rsid w:val="00822A7F"/>
    <w:rsid w:val="00822FEA"/>
    <w:rsid w:val="0082320D"/>
    <w:rsid w:val="00823249"/>
    <w:rsid w:val="0082327E"/>
    <w:rsid w:val="0082351F"/>
    <w:rsid w:val="008238AA"/>
    <w:rsid w:val="008239BF"/>
    <w:rsid w:val="00823B95"/>
    <w:rsid w:val="00823FB0"/>
    <w:rsid w:val="008243AF"/>
    <w:rsid w:val="00824497"/>
    <w:rsid w:val="00824837"/>
    <w:rsid w:val="00824BCE"/>
    <w:rsid w:val="00824C12"/>
    <w:rsid w:val="00824D5B"/>
    <w:rsid w:val="00824FD4"/>
    <w:rsid w:val="00825568"/>
    <w:rsid w:val="0082563F"/>
    <w:rsid w:val="008257D9"/>
    <w:rsid w:val="0082592F"/>
    <w:rsid w:val="00825945"/>
    <w:rsid w:val="008259DB"/>
    <w:rsid w:val="00825CEB"/>
    <w:rsid w:val="00825EA6"/>
    <w:rsid w:val="00825EEF"/>
    <w:rsid w:val="008260F8"/>
    <w:rsid w:val="00826A37"/>
    <w:rsid w:val="00826A47"/>
    <w:rsid w:val="00827575"/>
    <w:rsid w:val="008276F1"/>
    <w:rsid w:val="00827AF6"/>
    <w:rsid w:val="00827CF2"/>
    <w:rsid w:val="00830181"/>
    <w:rsid w:val="00830274"/>
    <w:rsid w:val="0083028A"/>
    <w:rsid w:val="00830415"/>
    <w:rsid w:val="00830562"/>
    <w:rsid w:val="008305D7"/>
    <w:rsid w:val="00830767"/>
    <w:rsid w:val="00830A6E"/>
    <w:rsid w:val="00831520"/>
    <w:rsid w:val="00831574"/>
    <w:rsid w:val="00831AD6"/>
    <w:rsid w:val="00831B9B"/>
    <w:rsid w:val="00831E53"/>
    <w:rsid w:val="00831EB9"/>
    <w:rsid w:val="008321B3"/>
    <w:rsid w:val="0083272A"/>
    <w:rsid w:val="00832A01"/>
    <w:rsid w:val="00832A23"/>
    <w:rsid w:val="00832BC4"/>
    <w:rsid w:val="00833331"/>
    <w:rsid w:val="008336BA"/>
    <w:rsid w:val="008336C8"/>
    <w:rsid w:val="00833F61"/>
    <w:rsid w:val="00833FC1"/>
    <w:rsid w:val="0083403B"/>
    <w:rsid w:val="008342CA"/>
    <w:rsid w:val="008344E3"/>
    <w:rsid w:val="008345D7"/>
    <w:rsid w:val="008345FB"/>
    <w:rsid w:val="0083469D"/>
    <w:rsid w:val="008347CA"/>
    <w:rsid w:val="0083489A"/>
    <w:rsid w:val="00834BC9"/>
    <w:rsid w:val="0083516F"/>
    <w:rsid w:val="00835230"/>
    <w:rsid w:val="0083540A"/>
    <w:rsid w:val="008354BD"/>
    <w:rsid w:val="00835736"/>
    <w:rsid w:val="0083573C"/>
    <w:rsid w:val="008357A8"/>
    <w:rsid w:val="00835B54"/>
    <w:rsid w:val="00835BB0"/>
    <w:rsid w:val="00835C4E"/>
    <w:rsid w:val="00835DD1"/>
    <w:rsid w:val="00835FF6"/>
    <w:rsid w:val="008361AF"/>
    <w:rsid w:val="00836750"/>
    <w:rsid w:val="008367F4"/>
    <w:rsid w:val="008368AD"/>
    <w:rsid w:val="008368BB"/>
    <w:rsid w:val="008369EF"/>
    <w:rsid w:val="00836BDA"/>
    <w:rsid w:val="00836DA2"/>
    <w:rsid w:val="008379E2"/>
    <w:rsid w:val="00837F38"/>
    <w:rsid w:val="00840077"/>
    <w:rsid w:val="00840123"/>
    <w:rsid w:val="0084012F"/>
    <w:rsid w:val="008403F9"/>
    <w:rsid w:val="008408EC"/>
    <w:rsid w:val="008408ED"/>
    <w:rsid w:val="00840A9E"/>
    <w:rsid w:val="00840B56"/>
    <w:rsid w:val="00840C78"/>
    <w:rsid w:val="00840D19"/>
    <w:rsid w:val="00840EE4"/>
    <w:rsid w:val="00840FB7"/>
    <w:rsid w:val="00841104"/>
    <w:rsid w:val="00841210"/>
    <w:rsid w:val="00841221"/>
    <w:rsid w:val="0084188D"/>
    <w:rsid w:val="008419CA"/>
    <w:rsid w:val="00841C34"/>
    <w:rsid w:val="00841D0F"/>
    <w:rsid w:val="00841FD4"/>
    <w:rsid w:val="008424E0"/>
    <w:rsid w:val="008426F6"/>
    <w:rsid w:val="008427CF"/>
    <w:rsid w:val="00842A46"/>
    <w:rsid w:val="00842D1F"/>
    <w:rsid w:val="00842D6B"/>
    <w:rsid w:val="00842F6F"/>
    <w:rsid w:val="00843020"/>
    <w:rsid w:val="0084311A"/>
    <w:rsid w:val="0084318F"/>
    <w:rsid w:val="0084385E"/>
    <w:rsid w:val="00843CDE"/>
    <w:rsid w:val="00843F68"/>
    <w:rsid w:val="00843FF0"/>
    <w:rsid w:val="00844AAA"/>
    <w:rsid w:val="00844B63"/>
    <w:rsid w:val="00844EE1"/>
    <w:rsid w:val="0084502F"/>
    <w:rsid w:val="008452F6"/>
    <w:rsid w:val="00845400"/>
    <w:rsid w:val="0084545A"/>
    <w:rsid w:val="0084551B"/>
    <w:rsid w:val="008455F5"/>
    <w:rsid w:val="008459BC"/>
    <w:rsid w:val="00845AB0"/>
    <w:rsid w:val="00845ACF"/>
    <w:rsid w:val="00845B88"/>
    <w:rsid w:val="00845CBA"/>
    <w:rsid w:val="00845D13"/>
    <w:rsid w:val="00845DE4"/>
    <w:rsid w:val="00845FDE"/>
    <w:rsid w:val="00846664"/>
    <w:rsid w:val="00846D96"/>
    <w:rsid w:val="008472B0"/>
    <w:rsid w:val="008472FA"/>
    <w:rsid w:val="00847365"/>
    <w:rsid w:val="00847541"/>
    <w:rsid w:val="008475EB"/>
    <w:rsid w:val="008476F4"/>
    <w:rsid w:val="00847D56"/>
    <w:rsid w:val="00850271"/>
    <w:rsid w:val="0085050E"/>
    <w:rsid w:val="00850786"/>
    <w:rsid w:val="0085082B"/>
    <w:rsid w:val="00850A11"/>
    <w:rsid w:val="00850BE9"/>
    <w:rsid w:val="00850F03"/>
    <w:rsid w:val="00851021"/>
    <w:rsid w:val="00851124"/>
    <w:rsid w:val="00851358"/>
    <w:rsid w:val="00851703"/>
    <w:rsid w:val="008519D1"/>
    <w:rsid w:val="0085224A"/>
    <w:rsid w:val="008525C8"/>
    <w:rsid w:val="0085271F"/>
    <w:rsid w:val="0085277C"/>
    <w:rsid w:val="00852873"/>
    <w:rsid w:val="0085295F"/>
    <w:rsid w:val="00852BA9"/>
    <w:rsid w:val="00852FE5"/>
    <w:rsid w:val="008530FC"/>
    <w:rsid w:val="00853164"/>
    <w:rsid w:val="008531B7"/>
    <w:rsid w:val="0085338B"/>
    <w:rsid w:val="008533F9"/>
    <w:rsid w:val="00853684"/>
    <w:rsid w:val="00853C61"/>
    <w:rsid w:val="00853C96"/>
    <w:rsid w:val="00854018"/>
    <w:rsid w:val="00854020"/>
    <w:rsid w:val="00854224"/>
    <w:rsid w:val="00854378"/>
    <w:rsid w:val="008544AF"/>
    <w:rsid w:val="008544D9"/>
    <w:rsid w:val="00854839"/>
    <w:rsid w:val="00854BBB"/>
    <w:rsid w:val="00854CB1"/>
    <w:rsid w:val="00855206"/>
    <w:rsid w:val="00855312"/>
    <w:rsid w:val="00855B8D"/>
    <w:rsid w:val="00855BC0"/>
    <w:rsid w:val="0085666C"/>
    <w:rsid w:val="00856811"/>
    <w:rsid w:val="0085687D"/>
    <w:rsid w:val="00857329"/>
    <w:rsid w:val="008575E2"/>
    <w:rsid w:val="00857B92"/>
    <w:rsid w:val="00857D5B"/>
    <w:rsid w:val="00857F3A"/>
    <w:rsid w:val="008601B9"/>
    <w:rsid w:val="00860325"/>
    <w:rsid w:val="00860506"/>
    <w:rsid w:val="0086052A"/>
    <w:rsid w:val="00860673"/>
    <w:rsid w:val="008607AB"/>
    <w:rsid w:val="0086095D"/>
    <w:rsid w:val="00860E9F"/>
    <w:rsid w:val="008610C4"/>
    <w:rsid w:val="0086134C"/>
    <w:rsid w:val="008613DF"/>
    <w:rsid w:val="00861952"/>
    <w:rsid w:val="00861C14"/>
    <w:rsid w:val="00861DA7"/>
    <w:rsid w:val="00862ACD"/>
    <w:rsid w:val="00862ADA"/>
    <w:rsid w:val="00862E7E"/>
    <w:rsid w:val="00863074"/>
    <w:rsid w:val="008632B6"/>
    <w:rsid w:val="00863751"/>
    <w:rsid w:val="008641F3"/>
    <w:rsid w:val="0086444C"/>
    <w:rsid w:val="00864654"/>
    <w:rsid w:val="0086475A"/>
    <w:rsid w:val="00864970"/>
    <w:rsid w:val="00864A03"/>
    <w:rsid w:val="00864A67"/>
    <w:rsid w:val="00864FDA"/>
    <w:rsid w:val="0086518C"/>
    <w:rsid w:val="00865208"/>
    <w:rsid w:val="00865503"/>
    <w:rsid w:val="0086551D"/>
    <w:rsid w:val="008656E2"/>
    <w:rsid w:val="00865DFB"/>
    <w:rsid w:val="00865EF9"/>
    <w:rsid w:val="00866066"/>
    <w:rsid w:val="008662AD"/>
    <w:rsid w:val="00866446"/>
    <w:rsid w:val="008665E2"/>
    <w:rsid w:val="00866702"/>
    <w:rsid w:val="00866721"/>
    <w:rsid w:val="00866754"/>
    <w:rsid w:val="008668A7"/>
    <w:rsid w:val="00867372"/>
    <w:rsid w:val="008673A2"/>
    <w:rsid w:val="008679F0"/>
    <w:rsid w:val="00867A11"/>
    <w:rsid w:val="008701F8"/>
    <w:rsid w:val="0087036F"/>
    <w:rsid w:val="00870598"/>
    <w:rsid w:val="0087080B"/>
    <w:rsid w:val="00870BD7"/>
    <w:rsid w:val="008711B0"/>
    <w:rsid w:val="008712BF"/>
    <w:rsid w:val="00871794"/>
    <w:rsid w:val="008717FD"/>
    <w:rsid w:val="0087185F"/>
    <w:rsid w:val="00871874"/>
    <w:rsid w:val="00871EBF"/>
    <w:rsid w:val="00871FD7"/>
    <w:rsid w:val="00872092"/>
    <w:rsid w:val="008726FD"/>
    <w:rsid w:val="00872C48"/>
    <w:rsid w:val="00872F11"/>
    <w:rsid w:val="00873206"/>
    <w:rsid w:val="008734ED"/>
    <w:rsid w:val="008735B5"/>
    <w:rsid w:val="008736AA"/>
    <w:rsid w:val="00873A68"/>
    <w:rsid w:val="00873BAF"/>
    <w:rsid w:val="008741D7"/>
    <w:rsid w:val="00874284"/>
    <w:rsid w:val="00874682"/>
    <w:rsid w:val="0087475D"/>
    <w:rsid w:val="008748AB"/>
    <w:rsid w:val="008748DE"/>
    <w:rsid w:val="00874D70"/>
    <w:rsid w:val="00875118"/>
    <w:rsid w:val="00875134"/>
    <w:rsid w:val="00875301"/>
    <w:rsid w:val="00875409"/>
    <w:rsid w:val="008757B5"/>
    <w:rsid w:val="0087591A"/>
    <w:rsid w:val="0087592C"/>
    <w:rsid w:val="00875969"/>
    <w:rsid w:val="00875F9C"/>
    <w:rsid w:val="008763B9"/>
    <w:rsid w:val="008770ED"/>
    <w:rsid w:val="008773C9"/>
    <w:rsid w:val="0087768F"/>
    <w:rsid w:val="008776D6"/>
    <w:rsid w:val="00877893"/>
    <w:rsid w:val="008779D9"/>
    <w:rsid w:val="00877A7E"/>
    <w:rsid w:val="0088070F"/>
    <w:rsid w:val="008808D9"/>
    <w:rsid w:val="00880957"/>
    <w:rsid w:val="00880C35"/>
    <w:rsid w:val="00880EC0"/>
    <w:rsid w:val="00881448"/>
    <w:rsid w:val="0088148C"/>
    <w:rsid w:val="00881586"/>
    <w:rsid w:val="0088173F"/>
    <w:rsid w:val="00881ADB"/>
    <w:rsid w:val="00881C40"/>
    <w:rsid w:val="0088217B"/>
    <w:rsid w:val="00882464"/>
    <w:rsid w:val="008825DE"/>
    <w:rsid w:val="008826C9"/>
    <w:rsid w:val="00882994"/>
    <w:rsid w:val="00882CE6"/>
    <w:rsid w:val="00882F2A"/>
    <w:rsid w:val="00882F6A"/>
    <w:rsid w:val="00883055"/>
    <w:rsid w:val="0088333B"/>
    <w:rsid w:val="008835C1"/>
    <w:rsid w:val="008836F0"/>
    <w:rsid w:val="00883721"/>
    <w:rsid w:val="0088384D"/>
    <w:rsid w:val="008839D0"/>
    <w:rsid w:val="008839D1"/>
    <w:rsid w:val="00883A46"/>
    <w:rsid w:val="00883BBF"/>
    <w:rsid w:val="00883E8A"/>
    <w:rsid w:val="00883F27"/>
    <w:rsid w:val="00883FE8"/>
    <w:rsid w:val="00884316"/>
    <w:rsid w:val="008844A3"/>
    <w:rsid w:val="0088494F"/>
    <w:rsid w:val="00884EFB"/>
    <w:rsid w:val="00884FBF"/>
    <w:rsid w:val="0088558E"/>
    <w:rsid w:val="008856F5"/>
    <w:rsid w:val="00885AA7"/>
    <w:rsid w:val="00885D15"/>
    <w:rsid w:val="00885FB4"/>
    <w:rsid w:val="00886037"/>
    <w:rsid w:val="00886151"/>
    <w:rsid w:val="00886354"/>
    <w:rsid w:val="008863F7"/>
    <w:rsid w:val="00886463"/>
    <w:rsid w:val="00886744"/>
    <w:rsid w:val="0088697C"/>
    <w:rsid w:val="00886C0F"/>
    <w:rsid w:val="00886E44"/>
    <w:rsid w:val="00886E97"/>
    <w:rsid w:val="00887556"/>
    <w:rsid w:val="008876A8"/>
    <w:rsid w:val="008879BC"/>
    <w:rsid w:val="00887D72"/>
    <w:rsid w:val="00887F30"/>
    <w:rsid w:val="00890073"/>
    <w:rsid w:val="008900D5"/>
    <w:rsid w:val="0089032A"/>
    <w:rsid w:val="00890583"/>
    <w:rsid w:val="008910D0"/>
    <w:rsid w:val="00891418"/>
    <w:rsid w:val="00891603"/>
    <w:rsid w:val="0089177D"/>
    <w:rsid w:val="00891A89"/>
    <w:rsid w:val="00891C58"/>
    <w:rsid w:val="00891E27"/>
    <w:rsid w:val="00891FEA"/>
    <w:rsid w:val="00892019"/>
    <w:rsid w:val="008922AD"/>
    <w:rsid w:val="0089280E"/>
    <w:rsid w:val="00892C4B"/>
    <w:rsid w:val="00893166"/>
    <w:rsid w:val="00893174"/>
    <w:rsid w:val="008931DE"/>
    <w:rsid w:val="008932D2"/>
    <w:rsid w:val="008934F0"/>
    <w:rsid w:val="008937B4"/>
    <w:rsid w:val="0089399D"/>
    <w:rsid w:val="00893ADC"/>
    <w:rsid w:val="00893B30"/>
    <w:rsid w:val="00893C4C"/>
    <w:rsid w:val="00893DFA"/>
    <w:rsid w:val="00893F4C"/>
    <w:rsid w:val="00894310"/>
    <w:rsid w:val="00894332"/>
    <w:rsid w:val="00894F5D"/>
    <w:rsid w:val="00895252"/>
    <w:rsid w:val="00895448"/>
    <w:rsid w:val="008957F1"/>
    <w:rsid w:val="008958AC"/>
    <w:rsid w:val="00895B54"/>
    <w:rsid w:val="00895B97"/>
    <w:rsid w:val="00895CB9"/>
    <w:rsid w:val="00895E20"/>
    <w:rsid w:val="00895EAF"/>
    <w:rsid w:val="00895EF6"/>
    <w:rsid w:val="008960C8"/>
    <w:rsid w:val="00896179"/>
    <w:rsid w:val="0089665D"/>
    <w:rsid w:val="00896935"/>
    <w:rsid w:val="00896C5B"/>
    <w:rsid w:val="00896CAA"/>
    <w:rsid w:val="00896E8A"/>
    <w:rsid w:val="00896E90"/>
    <w:rsid w:val="00896FFE"/>
    <w:rsid w:val="008970F7"/>
    <w:rsid w:val="0089746F"/>
    <w:rsid w:val="008974EC"/>
    <w:rsid w:val="0089777A"/>
    <w:rsid w:val="00897782"/>
    <w:rsid w:val="00897789"/>
    <w:rsid w:val="00897985"/>
    <w:rsid w:val="00897D74"/>
    <w:rsid w:val="00897FEB"/>
    <w:rsid w:val="00897FF6"/>
    <w:rsid w:val="008A0050"/>
    <w:rsid w:val="008A036B"/>
    <w:rsid w:val="008A048F"/>
    <w:rsid w:val="008A04AC"/>
    <w:rsid w:val="008A0715"/>
    <w:rsid w:val="008A0F8E"/>
    <w:rsid w:val="008A1103"/>
    <w:rsid w:val="008A11B1"/>
    <w:rsid w:val="008A11B7"/>
    <w:rsid w:val="008A1262"/>
    <w:rsid w:val="008A1C7C"/>
    <w:rsid w:val="008A1C9F"/>
    <w:rsid w:val="008A1E08"/>
    <w:rsid w:val="008A1E5A"/>
    <w:rsid w:val="008A1F0F"/>
    <w:rsid w:val="008A21E6"/>
    <w:rsid w:val="008A2223"/>
    <w:rsid w:val="008A233E"/>
    <w:rsid w:val="008A2392"/>
    <w:rsid w:val="008A253C"/>
    <w:rsid w:val="008A25F1"/>
    <w:rsid w:val="008A29AA"/>
    <w:rsid w:val="008A2A25"/>
    <w:rsid w:val="008A2A4E"/>
    <w:rsid w:val="008A2BB7"/>
    <w:rsid w:val="008A2EDE"/>
    <w:rsid w:val="008A2EFE"/>
    <w:rsid w:val="008A32F2"/>
    <w:rsid w:val="008A390C"/>
    <w:rsid w:val="008A3918"/>
    <w:rsid w:val="008A3C79"/>
    <w:rsid w:val="008A3F28"/>
    <w:rsid w:val="008A4211"/>
    <w:rsid w:val="008A42B0"/>
    <w:rsid w:val="008A42C7"/>
    <w:rsid w:val="008A4467"/>
    <w:rsid w:val="008A457E"/>
    <w:rsid w:val="008A4673"/>
    <w:rsid w:val="008A481C"/>
    <w:rsid w:val="008A48CD"/>
    <w:rsid w:val="008A4B05"/>
    <w:rsid w:val="008A4E55"/>
    <w:rsid w:val="008A4EE4"/>
    <w:rsid w:val="008A4EF3"/>
    <w:rsid w:val="008A4F88"/>
    <w:rsid w:val="008A5102"/>
    <w:rsid w:val="008A5149"/>
    <w:rsid w:val="008A518F"/>
    <w:rsid w:val="008A54E4"/>
    <w:rsid w:val="008A56BF"/>
    <w:rsid w:val="008A5A90"/>
    <w:rsid w:val="008A5B56"/>
    <w:rsid w:val="008A5CCD"/>
    <w:rsid w:val="008A64FC"/>
    <w:rsid w:val="008A674E"/>
    <w:rsid w:val="008A6A77"/>
    <w:rsid w:val="008A6BBC"/>
    <w:rsid w:val="008A715A"/>
    <w:rsid w:val="008A7287"/>
    <w:rsid w:val="008A7B14"/>
    <w:rsid w:val="008A7B8F"/>
    <w:rsid w:val="008A7E0B"/>
    <w:rsid w:val="008B05D0"/>
    <w:rsid w:val="008B0918"/>
    <w:rsid w:val="008B0C9A"/>
    <w:rsid w:val="008B0F59"/>
    <w:rsid w:val="008B1F5D"/>
    <w:rsid w:val="008B26A9"/>
    <w:rsid w:val="008B2B0D"/>
    <w:rsid w:val="008B2EB4"/>
    <w:rsid w:val="008B2F0F"/>
    <w:rsid w:val="008B2FFE"/>
    <w:rsid w:val="008B33FF"/>
    <w:rsid w:val="008B34E7"/>
    <w:rsid w:val="008B3633"/>
    <w:rsid w:val="008B38F8"/>
    <w:rsid w:val="008B3D1A"/>
    <w:rsid w:val="008B42E9"/>
    <w:rsid w:val="008B5030"/>
    <w:rsid w:val="008B51CA"/>
    <w:rsid w:val="008B520F"/>
    <w:rsid w:val="008B5392"/>
    <w:rsid w:val="008B5528"/>
    <w:rsid w:val="008B566F"/>
    <w:rsid w:val="008B5812"/>
    <w:rsid w:val="008B58AE"/>
    <w:rsid w:val="008B597B"/>
    <w:rsid w:val="008B5C07"/>
    <w:rsid w:val="008B5F7C"/>
    <w:rsid w:val="008B5FBF"/>
    <w:rsid w:val="008B62B1"/>
    <w:rsid w:val="008B635A"/>
    <w:rsid w:val="008B649E"/>
    <w:rsid w:val="008B6588"/>
    <w:rsid w:val="008B6ABB"/>
    <w:rsid w:val="008B6E0F"/>
    <w:rsid w:val="008B70D6"/>
    <w:rsid w:val="008B7983"/>
    <w:rsid w:val="008B79CA"/>
    <w:rsid w:val="008B7C6E"/>
    <w:rsid w:val="008B7F3A"/>
    <w:rsid w:val="008B7F41"/>
    <w:rsid w:val="008C004F"/>
    <w:rsid w:val="008C0710"/>
    <w:rsid w:val="008C0CCC"/>
    <w:rsid w:val="008C0CD1"/>
    <w:rsid w:val="008C1390"/>
    <w:rsid w:val="008C13AE"/>
    <w:rsid w:val="008C1402"/>
    <w:rsid w:val="008C165A"/>
    <w:rsid w:val="008C192B"/>
    <w:rsid w:val="008C19FC"/>
    <w:rsid w:val="008C1A61"/>
    <w:rsid w:val="008C217B"/>
    <w:rsid w:val="008C21EF"/>
    <w:rsid w:val="008C2433"/>
    <w:rsid w:val="008C247D"/>
    <w:rsid w:val="008C256A"/>
    <w:rsid w:val="008C273C"/>
    <w:rsid w:val="008C2AA8"/>
    <w:rsid w:val="008C2C40"/>
    <w:rsid w:val="008C2E19"/>
    <w:rsid w:val="008C323B"/>
    <w:rsid w:val="008C337C"/>
    <w:rsid w:val="008C3389"/>
    <w:rsid w:val="008C3A61"/>
    <w:rsid w:val="008C3CB0"/>
    <w:rsid w:val="008C43BB"/>
    <w:rsid w:val="008C4420"/>
    <w:rsid w:val="008C449E"/>
    <w:rsid w:val="008C45EE"/>
    <w:rsid w:val="008C481A"/>
    <w:rsid w:val="008C4B26"/>
    <w:rsid w:val="008C4B2E"/>
    <w:rsid w:val="008C4D63"/>
    <w:rsid w:val="008C4DD4"/>
    <w:rsid w:val="008C5723"/>
    <w:rsid w:val="008C5B16"/>
    <w:rsid w:val="008C5E93"/>
    <w:rsid w:val="008C62EA"/>
    <w:rsid w:val="008C6601"/>
    <w:rsid w:val="008C6B55"/>
    <w:rsid w:val="008C6FB3"/>
    <w:rsid w:val="008C73B4"/>
    <w:rsid w:val="008C74A3"/>
    <w:rsid w:val="008C7638"/>
    <w:rsid w:val="008C76DD"/>
    <w:rsid w:val="008C78CC"/>
    <w:rsid w:val="008C794F"/>
    <w:rsid w:val="008C7BE0"/>
    <w:rsid w:val="008C7EEC"/>
    <w:rsid w:val="008C7F06"/>
    <w:rsid w:val="008D040D"/>
    <w:rsid w:val="008D0A33"/>
    <w:rsid w:val="008D0AEF"/>
    <w:rsid w:val="008D0F57"/>
    <w:rsid w:val="008D12CB"/>
    <w:rsid w:val="008D1400"/>
    <w:rsid w:val="008D140D"/>
    <w:rsid w:val="008D1419"/>
    <w:rsid w:val="008D1431"/>
    <w:rsid w:val="008D1552"/>
    <w:rsid w:val="008D15C6"/>
    <w:rsid w:val="008D176B"/>
    <w:rsid w:val="008D1A2E"/>
    <w:rsid w:val="008D1B97"/>
    <w:rsid w:val="008D21D7"/>
    <w:rsid w:val="008D22F5"/>
    <w:rsid w:val="008D2444"/>
    <w:rsid w:val="008D2B95"/>
    <w:rsid w:val="008D2EE6"/>
    <w:rsid w:val="008D2EF6"/>
    <w:rsid w:val="008D3242"/>
    <w:rsid w:val="008D35C6"/>
    <w:rsid w:val="008D366B"/>
    <w:rsid w:val="008D3A5C"/>
    <w:rsid w:val="008D3D7E"/>
    <w:rsid w:val="008D3DEF"/>
    <w:rsid w:val="008D3E46"/>
    <w:rsid w:val="008D3EF2"/>
    <w:rsid w:val="008D3EF9"/>
    <w:rsid w:val="008D419B"/>
    <w:rsid w:val="008D42F3"/>
    <w:rsid w:val="008D4548"/>
    <w:rsid w:val="008D45F8"/>
    <w:rsid w:val="008D46FD"/>
    <w:rsid w:val="008D485D"/>
    <w:rsid w:val="008D4C86"/>
    <w:rsid w:val="008D5168"/>
    <w:rsid w:val="008D53C3"/>
    <w:rsid w:val="008D5A86"/>
    <w:rsid w:val="008D5B9C"/>
    <w:rsid w:val="008D5CFC"/>
    <w:rsid w:val="008D64F7"/>
    <w:rsid w:val="008D659D"/>
    <w:rsid w:val="008D65CA"/>
    <w:rsid w:val="008D694B"/>
    <w:rsid w:val="008D6B67"/>
    <w:rsid w:val="008D6C30"/>
    <w:rsid w:val="008D700C"/>
    <w:rsid w:val="008D7198"/>
    <w:rsid w:val="008D799B"/>
    <w:rsid w:val="008D7AC7"/>
    <w:rsid w:val="008D7AE0"/>
    <w:rsid w:val="008D7C94"/>
    <w:rsid w:val="008D7DB4"/>
    <w:rsid w:val="008D7FBF"/>
    <w:rsid w:val="008D7FD2"/>
    <w:rsid w:val="008E00CD"/>
    <w:rsid w:val="008E0579"/>
    <w:rsid w:val="008E08E7"/>
    <w:rsid w:val="008E08EE"/>
    <w:rsid w:val="008E0B97"/>
    <w:rsid w:val="008E0ECD"/>
    <w:rsid w:val="008E1584"/>
    <w:rsid w:val="008E1608"/>
    <w:rsid w:val="008E1760"/>
    <w:rsid w:val="008E1FB9"/>
    <w:rsid w:val="008E245D"/>
    <w:rsid w:val="008E2755"/>
    <w:rsid w:val="008E2858"/>
    <w:rsid w:val="008E2C61"/>
    <w:rsid w:val="008E2F53"/>
    <w:rsid w:val="008E2FC1"/>
    <w:rsid w:val="008E353D"/>
    <w:rsid w:val="008E36E7"/>
    <w:rsid w:val="008E37FA"/>
    <w:rsid w:val="008E389F"/>
    <w:rsid w:val="008E390F"/>
    <w:rsid w:val="008E3969"/>
    <w:rsid w:val="008E3D68"/>
    <w:rsid w:val="008E3EE6"/>
    <w:rsid w:val="008E423C"/>
    <w:rsid w:val="008E4262"/>
    <w:rsid w:val="008E4361"/>
    <w:rsid w:val="008E44AC"/>
    <w:rsid w:val="008E4AA6"/>
    <w:rsid w:val="008E4CED"/>
    <w:rsid w:val="008E5037"/>
    <w:rsid w:val="008E5343"/>
    <w:rsid w:val="008E5423"/>
    <w:rsid w:val="008E5552"/>
    <w:rsid w:val="008E57BE"/>
    <w:rsid w:val="008E609A"/>
    <w:rsid w:val="008E61D9"/>
    <w:rsid w:val="008E66B4"/>
    <w:rsid w:val="008E6E7C"/>
    <w:rsid w:val="008E6F4C"/>
    <w:rsid w:val="008E795A"/>
    <w:rsid w:val="008E7D31"/>
    <w:rsid w:val="008F0033"/>
    <w:rsid w:val="008F01A8"/>
    <w:rsid w:val="008F04F6"/>
    <w:rsid w:val="008F05F6"/>
    <w:rsid w:val="008F0648"/>
    <w:rsid w:val="008F09B2"/>
    <w:rsid w:val="008F09DC"/>
    <w:rsid w:val="008F0B1B"/>
    <w:rsid w:val="008F0B3A"/>
    <w:rsid w:val="008F0DA6"/>
    <w:rsid w:val="008F1229"/>
    <w:rsid w:val="008F143B"/>
    <w:rsid w:val="008F1474"/>
    <w:rsid w:val="008F1668"/>
    <w:rsid w:val="008F17D6"/>
    <w:rsid w:val="008F1BD2"/>
    <w:rsid w:val="008F1E19"/>
    <w:rsid w:val="008F22E7"/>
    <w:rsid w:val="008F263D"/>
    <w:rsid w:val="008F2A84"/>
    <w:rsid w:val="008F2B5C"/>
    <w:rsid w:val="008F2BE6"/>
    <w:rsid w:val="008F2F76"/>
    <w:rsid w:val="008F2F9D"/>
    <w:rsid w:val="008F3001"/>
    <w:rsid w:val="008F3080"/>
    <w:rsid w:val="008F31EE"/>
    <w:rsid w:val="008F325C"/>
    <w:rsid w:val="008F3492"/>
    <w:rsid w:val="008F36BA"/>
    <w:rsid w:val="008F3774"/>
    <w:rsid w:val="008F3B53"/>
    <w:rsid w:val="008F3EC1"/>
    <w:rsid w:val="008F3F31"/>
    <w:rsid w:val="008F459A"/>
    <w:rsid w:val="008F4AF6"/>
    <w:rsid w:val="008F51B3"/>
    <w:rsid w:val="008F5BD5"/>
    <w:rsid w:val="008F5E74"/>
    <w:rsid w:val="008F616D"/>
    <w:rsid w:val="008F6175"/>
    <w:rsid w:val="008F618D"/>
    <w:rsid w:val="008F6449"/>
    <w:rsid w:val="008F6561"/>
    <w:rsid w:val="008F6D60"/>
    <w:rsid w:val="008F6E6B"/>
    <w:rsid w:val="008F6F1A"/>
    <w:rsid w:val="008F6F68"/>
    <w:rsid w:val="008F6FE2"/>
    <w:rsid w:val="008F7258"/>
    <w:rsid w:val="008F72C0"/>
    <w:rsid w:val="008F76CB"/>
    <w:rsid w:val="008F79E9"/>
    <w:rsid w:val="00900196"/>
    <w:rsid w:val="0090049E"/>
    <w:rsid w:val="00900703"/>
    <w:rsid w:val="00900868"/>
    <w:rsid w:val="0090128B"/>
    <w:rsid w:val="00901358"/>
    <w:rsid w:val="009014DD"/>
    <w:rsid w:val="0090155E"/>
    <w:rsid w:val="0090166A"/>
    <w:rsid w:val="00901A28"/>
    <w:rsid w:val="00901B96"/>
    <w:rsid w:val="0090206C"/>
    <w:rsid w:val="009021D7"/>
    <w:rsid w:val="009022DB"/>
    <w:rsid w:val="009025FC"/>
    <w:rsid w:val="0090323A"/>
    <w:rsid w:val="009036B5"/>
    <w:rsid w:val="009039B2"/>
    <w:rsid w:val="00903CC8"/>
    <w:rsid w:val="00903D5E"/>
    <w:rsid w:val="00904024"/>
    <w:rsid w:val="0090410B"/>
    <w:rsid w:val="009041E9"/>
    <w:rsid w:val="00904346"/>
    <w:rsid w:val="009044AE"/>
    <w:rsid w:val="009045A0"/>
    <w:rsid w:val="009048BB"/>
    <w:rsid w:val="00905218"/>
    <w:rsid w:val="009052F6"/>
    <w:rsid w:val="009056C0"/>
    <w:rsid w:val="0090570E"/>
    <w:rsid w:val="00905922"/>
    <w:rsid w:val="00905F09"/>
    <w:rsid w:val="00905F18"/>
    <w:rsid w:val="00906292"/>
    <w:rsid w:val="00906395"/>
    <w:rsid w:val="0090667A"/>
    <w:rsid w:val="00906738"/>
    <w:rsid w:val="0090675B"/>
    <w:rsid w:val="009068CD"/>
    <w:rsid w:val="00906E3C"/>
    <w:rsid w:val="00906FBA"/>
    <w:rsid w:val="00906FE2"/>
    <w:rsid w:val="009074E3"/>
    <w:rsid w:val="00907831"/>
    <w:rsid w:val="00907C65"/>
    <w:rsid w:val="00910130"/>
    <w:rsid w:val="0091035F"/>
    <w:rsid w:val="0091051F"/>
    <w:rsid w:val="0091108D"/>
    <w:rsid w:val="00911684"/>
    <w:rsid w:val="00911718"/>
    <w:rsid w:val="00911C4B"/>
    <w:rsid w:val="009121F5"/>
    <w:rsid w:val="00912472"/>
    <w:rsid w:val="0091249D"/>
    <w:rsid w:val="009125C8"/>
    <w:rsid w:val="0091282D"/>
    <w:rsid w:val="00912AC5"/>
    <w:rsid w:val="00912B11"/>
    <w:rsid w:val="00912BC4"/>
    <w:rsid w:val="00912E36"/>
    <w:rsid w:val="00912F53"/>
    <w:rsid w:val="00912FD3"/>
    <w:rsid w:val="00913199"/>
    <w:rsid w:val="0091334A"/>
    <w:rsid w:val="00913520"/>
    <w:rsid w:val="00913BB1"/>
    <w:rsid w:val="00913BD4"/>
    <w:rsid w:val="009143B6"/>
    <w:rsid w:val="009146A2"/>
    <w:rsid w:val="0091474E"/>
    <w:rsid w:val="00914A8F"/>
    <w:rsid w:val="00914BD3"/>
    <w:rsid w:val="00915128"/>
    <w:rsid w:val="0091541D"/>
    <w:rsid w:val="009158A8"/>
    <w:rsid w:val="00915F96"/>
    <w:rsid w:val="00915FCC"/>
    <w:rsid w:val="0091619A"/>
    <w:rsid w:val="0091661D"/>
    <w:rsid w:val="009168A6"/>
    <w:rsid w:val="009168B2"/>
    <w:rsid w:val="00916D1F"/>
    <w:rsid w:val="009170A8"/>
    <w:rsid w:val="00917107"/>
    <w:rsid w:val="0091712D"/>
    <w:rsid w:val="0091735C"/>
    <w:rsid w:val="00917473"/>
    <w:rsid w:val="009174C4"/>
    <w:rsid w:val="009174F8"/>
    <w:rsid w:val="009175D8"/>
    <w:rsid w:val="009177FC"/>
    <w:rsid w:val="00917BB3"/>
    <w:rsid w:val="00917FF4"/>
    <w:rsid w:val="0092013E"/>
    <w:rsid w:val="009202B0"/>
    <w:rsid w:val="00920374"/>
    <w:rsid w:val="00920519"/>
    <w:rsid w:val="00920567"/>
    <w:rsid w:val="009205E9"/>
    <w:rsid w:val="009205F5"/>
    <w:rsid w:val="00920812"/>
    <w:rsid w:val="00920B61"/>
    <w:rsid w:val="00920BB6"/>
    <w:rsid w:val="009219D8"/>
    <w:rsid w:val="00921A5E"/>
    <w:rsid w:val="00921BAF"/>
    <w:rsid w:val="00921CA6"/>
    <w:rsid w:val="00921FCA"/>
    <w:rsid w:val="0092214E"/>
    <w:rsid w:val="00922585"/>
    <w:rsid w:val="00922A0D"/>
    <w:rsid w:val="00922C20"/>
    <w:rsid w:val="00922CB3"/>
    <w:rsid w:val="00923201"/>
    <w:rsid w:val="009233EB"/>
    <w:rsid w:val="009239AA"/>
    <w:rsid w:val="00923AC1"/>
    <w:rsid w:val="00923AF6"/>
    <w:rsid w:val="00923B73"/>
    <w:rsid w:val="00923C4B"/>
    <w:rsid w:val="00923CA1"/>
    <w:rsid w:val="00924742"/>
    <w:rsid w:val="00924832"/>
    <w:rsid w:val="00924B2A"/>
    <w:rsid w:val="00924D2F"/>
    <w:rsid w:val="00924E0C"/>
    <w:rsid w:val="00924EEF"/>
    <w:rsid w:val="009251CA"/>
    <w:rsid w:val="009253B8"/>
    <w:rsid w:val="009255DB"/>
    <w:rsid w:val="00925BB4"/>
    <w:rsid w:val="00925BD8"/>
    <w:rsid w:val="00925D8E"/>
    <w:rsid w:val="00925F0F"/>
    <w:rsid w:val="00925F95"/>
    <w:rsid w:val="0092649E"/>
    <w:rsid w:val="00926BCD"/>
    <w:rsid w:val="00926C47"/>
    <w:rsid w:val="00926C5D"/>
    <w:rsid w:val="00926F57"/>
    <w:rsid w:val="009272FB"/>
    <w:rsid w:val="00927322"/>
    <w:rsid w:val="00927791"/>
    <w:rsid w:val="00927807"/>
    <w:rsid w:val="00927EBD"/>
    <w:rsid w:val="00927F36"/>
    <w:rsid w:val="00927FD5"/>
    <w:rsid w:val="00930012"/>
    <w:rsid w:val="00930271"/>
    <w:rsid w:val="00930622"/>
    <w:rsid w:val="00930668"/>
    <w:rsid w:val="009309F8"/>
    <w:rsid w:val="00930B02"/>
    <w:rsid w:val="00930E6C"/>
    <w:rsid w:val="00930E9C"/>
    <w:rsid w:val="0093105F"/>
    <w:rsid w:val="009311DC"/>
    <w:rsid w:val="009315B8"/>
    <w:rsid w:val="009319C4"/>
    <w:rsid w:val="00931E2B"/>
    <w:rsid w:val="00931F22"/>
    <w:rsid w:val="00931F8E"/>
    <w:rsid w:val="009328A7"/>
    <w:rsid w:val="00933303"/>
    <w:rsid w:val="009333F0"/>
    <w:rsid w:val="00933430"/>
    <w:rsid w:val="009334FF"/>
    <w:rsid w:val="009336BD"/>
    <w:rsid w:val="00933720"/>
    <w:rsid w:val="00933D06"/>
    <w:rsid w:val="00933FF4"/>
    <w:rsid w:val="00934068"/>
    <w:rsid w:val="0093423E"/>
    <w:rsid w:val="009348B4"/>
    <w:rsid w:val="009348DB"/>
    <w:rsid w:val="00934AA7"/>
    <w:rsid w:val="00934E8C"/>
    <w:rsid w:val="00935520"/>
    <w:rsid w:val="00935997"/>
    <w:rsid w:val="00935BBF"/>
    <w:rsid w:val="00935C96"/>
    <w:rsid w:val="00935CD1"/>
    <w:rsid w:val="00935D9E"/>
    <w:rsid w:val="009365F3"/>
    <w:rsid w:val="00936950"/>
    <w:rsid w:val="00936A39"/>
    <w:rsid w:val="00936ABB"/>
    <w:rsid w:val="00936B0B"/>
    <w:rsid w:val="00936B28"/>
    <w:rsid w:val="00937098"/>
    <w:rsid w:val="00937278"/>
    <w:rsid w:val="009372ED"/>
    <w:rsid w:val="00937542"/>
    <w:rsid w:val="009378AA"/>
    <w:rsid w:val="009378FF"/>
    <w:rsid w:val="009400AB"/>
    <w:rsid w:val="00940ACC"/>
    <w:rsid w:val="0094182A"/>
    <w:rsid w:val="0094186B"/>
    <w:rsid w:val="009418FF"/>
    <w:rsid w:val="00941F12"/>
    <w:rsid w:val="00942086"/>
    <w:rsid w:val="009421A6"/>
    <w:rsid w:val="009423D8"/>
    <w:rsid w:val="009427F0"/>
    <w:rsid w:val="00942B34"/>
    <w:rsid w:val="00942B90"/>
    <w:rsid w:val="00942BCA"/>
    <w:rsid w:val="00942D8B"/>
    <w:rsid w:val="009432B7"/>
    <w:rsid w:val="00943313"/>
    <w:rsid w:val="009433E7"/>
    <w:rsid w:val="009436A0"/>
    <w:rsid w:val="009436FA"/>
    <w:rsid w:val="00943E5C"/>
    <w:rsid w:val="009449D1"/>
    <w:rsid w:val="009449D3"/>
    <w:rsid w:val="00944C47"/>
    <w:rsid w:val="00944C60"/>
    <w:rsid w:val="009451AF"/>
    <w:rsid w:val="0094522A"/>
    <w:rsid w:val="00945434"/>
    <w:rsid w:val="00945494"/>
    <w:rsid w:val="0094565D"/>
    <w:rsid w:val="00945895"/>
    <w:rsid w:val="009459D2"/>
    <w:rsid w:val="009459DF"/>
    <w:rsid w:val="00945A94"/>
    <w:rsid w:val="00945AC8"/>
    <w:rsid w:val="00945E09"/>
    <w:rsid w:val="00946130"/>
    <w:rsid w:val="009462E2"/>
    <w:rsid w:val="00946371"/>
    <w:rsid w:val="00946398"/>
    <w:rsid w:val="0094643B"/>
    <w:rsid w:val="0094656B"/>
    <w:rsid w:val="00946654"/>
    <w:rsid w:val="00946810"/>
    <w:rsid w:val="00946970"/>
    <w:rsid w:val="00946BF6"/>
    <w:rsid w:val="009471A1"/>
    <w:rsid w:val="009471CE"/>
    <w:rsid w:val="00947281"/>
    <w:rsid w:val="0094744D"/>
    <w:rsid w:val="0094769C"/>
    <w:rsid w:val="00947795"/>
    <w:rsid w:val="0094779B"/>
    <w:rsid w:val="009479EE"/>
    <w:rsid w:val="00950394"/>
    <w:rsid w:val="009507DC"/>
    <w:rsid w:val="00950816"/>
    <w:rsid w:val="0095083D"/>
    <w:rsid w:val="009508D4"/>
    <w:rsid w:val="00950B84"/>
    <w:rsid w:val="00950BD2"/>
    <w:rsid w:val="009513B9"/>
    <w:rsid w:val="00951893"/>
    <w:rsid w:val="00951A52"/>
    <w:rsid w:val="00951B73"/>
    <w:rsid w:val="00951B90"/>
    <w:rsid w:val="00951FE9"/>
    <w:rsid w:val="009520E1"/>
    <w:rsid w:val="009523E5"/>
    <w:rsid w:val="009525C7"/>
    <w:rsid w:val="00952888"/>
    <w:rsid w:val="00952D00"/>
    <w:rsid w:val="00952EC9"/>
    <w:rsid w:val="00953ADF"/>
    <w:rsid w:val="00953E9A"/>
    <w:rsid w:val="0095480C"/>
    <w:rsid w:val="00954A67"/>
    <w:rsid w:val="00954B23"/>
    <w:rsid w:val="0095505F"/>
    <w:rsid w:val="0095514B"/>
    <w:rsid w:val="009551D4"/>
    <w:rsid w:val="00955291"/>
    <w:rsid w:val="00955588"/>
    <w:rsid w:val="0095566C"/>
    <w:rsid w:val="00955735"/>
    <w:rsid w:val="00955B7A"/>
    <w:rsid w:val="00955C27"/>
    <w:rsid w:val="00955F4C"/>
    <w:rsid w:val="00956327"/>
    <w:rsid w:val="00956490"/>
    <w:rsid w:val="0095650C"/>
    <w:rsid w:val="0095650D"/>
    <w:rsid w:val="00956655"/>
    <w:rsid w:val="00956B77"/>
    <w:rsid w:val="00956BD2"/>
    <w:rsid w:val="00956EB3"/>
    <w:rsid w:val="00956F2C"/>
    <w:rsid w:val="00957013"/>
    <w:rsid w:val="0095736F"/>
    <w:rsid w:val="00957D51"/>
    <w:rsid w:val="00957EDC"/>
    <w:rsid w:val="00960279"/>
    <w:rsid w:val="00960352"/>
    <w:rsid w:val="009604C9"/>
    <w:rsid w:val="00960676"/>
    <w:rsid w:val="009607FE"/>
    <w:rsid w:val="0096087E"/>
    <w:rsid w:val="009609D5"/>
    <w:rsid w:val="00960D5F"/>
    <w:rsid w:val="00960E7F"/>
    <w:rsid w:val="00961006"/>
    <w:rsid w:val="009613EA"/>
    <w:rsid w:val="00961792"/>
    <w:rsid w:val="00961C94"/>
    <w:rsid w:val="00961CAB"/>
    <w:rsid w:val="00961CB1"/>
    <w:rsid w:val="00961FE0"/>
    <w:rsid w:val="009622E2"/>
    <w:rsid w:val="009625BC"/>
    <w:rsid w:val="00962735"/>
    <w:rsid w:val="00962783"/>
    <w:rsid w:val="009628A2"/>
    <w:rsid w:val="00962DC3"/>
    <w:rsid w:val="00962E58"/>
    <w:rsid w:val="00963053"/>
    <w:rsid w:val="009637CF"/>
    <w:rsid w:val="00963D97"/>
    <w:rsid w:val="00963FBF"/>
    <w:rsid w:val="00964394"/>
    <w:rsid w:val="009643C7"/>
    <w:rsid w:val="0096463E"/>
    <w:rsid w:val="0096469B"/>
    <w:rsid w:val="009647D4"/>
    <w:rsid w:val="009648B9"/>
    <w:rsid w:val="00964940"/>
    <w:rsid w:val="00964C95"/>
    <w:rsid w:val="00964E47"/>
    <w:rsid w:val="00964E96"/>
    <w:rsid w:val="00964FE2"/>
    <w:rsid w:val="00965041"/>
    <w:rsid w:val="00965212"/>
    <w:rsid w:val="00965582"/>
    <w:rsid w:val="00965AF4"/>
    <w:rsid w:val="00965F98"/>
    <w:rsid w:val="00965FCD"/>
    <w:rsid w:val="00966700"/>
    <w:rsid w:val="0096675E"/>
    <w:rsid w:val="009668B7"/>
    <w:rsid w:val="0096697D"/>
    <w:rsid w:val="00966D68"/>
    <w:rsid w:val="00966E90"/>
    <w:rsid w:val="00966F5A"/>
    <w:rsid w:val="0096702B"/>
    <w:rsid w:val="009670E3"/>
    <w:rsid w:val="00967464"/>
    <w:rsid w:val="00967A38"/>
    <w:rsid w:val="00967A54"/>
    <w:rsid w:val="00967F39"/>
    <w:rsid w:val="00967F75"/>
    <w:rsid w:val="00970267"/>
    <w:rsid w:val="009707BE"/>
    <w:rsid w:val="00970C91"/>
    <w:rsid w:val="00970FB6"/>
    <w:rsid w:val="0097165F"/>
    <w:rsid w:val="00972091"/>
    <w:rsid w:val="00972457"/>
    <w:rsid w:val="009724FB"/>
    <w:rsid w:val="00972919"/>
    <w:rsid w:val="009729DD"/>
    <w:rsid w:val="00972C36"/>
    <w:rsid w:val="00972F24"/>
    <w:rsid w:val="00972FB4"/>
    <w:rsid w:val="0097344E"/>
    <w:rsid w:val="009734F2"/>
    <w:rsid w:val="00973CE6"/>
    <w:rsid w:val="00974471"/>
    <w:rsid w:val="009745D4"/>
    <w:rsid w:val="00974BC8"/>
    <w:rsid w:val="00974D1F"/>
    <w:rsid w:val="00974E00"/>
    <w:rsid w:val="00974F22"/>
    <w:rsid w:val="00975215"/>
    <w:rsid w:val="0097552E"/>
    <w:rsid w:val="00975560"/>
    <w:rsid w:val="009755BD"/>
    <w:rsid w:val="00975622"/>
    <w:rsid w:val="00975784"/>
    <w:rsid w:val="00975B23"/>
    <w:rsid w:val="00975BE0"/>
    <w:rsid w:val="00975EA4"/>
    <w:rsid w:val="0097648E"/>
    <w:rsid w:val="00976501"/>
    <w:rsid w:val="009765A1"/>
    <w:rsid w:val="009768E1"/>
    <w:rsid w:val="00976A6D"/>
    <w:rsid w:val="009772E0"/>
    <w:rsid w:val="00977887"/>
    <w:rsid w:val="009779B7"/>
    <w:rsid w:val="009779E8"/>
    <w:rsid w:val="00977D5E"/>
    <w:rsid w:val="00977E5F"/>
    <w:rsid w:val="00980887"/>
    <w:rsid w:val="00980920"/>
    <w:rsid w:val="00980EDA"/>
    <w:rsid w:val="009812A1"/>
    <w:rsid w:val="009815CE"/>
    <w:rsid w:val="009816D8"/>
    <w:rsid w:val="00981ED8"/>
    <w:rsid w:val="00982010"/>
    <w:rsid w:val="009824DD"/>
    <w:rsid w:val="00982739"/>
    <w:rsid w:val="0098284D"/>
    <w:rsid w:val="009829A6"/>
    <w:rsid w:val="00983368"/>
    <w:rsid w:val="00983383"/>
    <w:rsid w:val="00983957"/>
    <w:rsid w:val="0098430B"/>
    <w:rsid w:val="00984476"/>
    <w:rsid w:val="009846A7"/>
    <w:rsid w:val="009848D6"/>
    <w:rsid w:val="00984B50"/>
    <w:rsid w:val="00984B6A"/>
    <w:rsid w:val="00984FCF"/>
    <w:rsid w:val="00985431"/>
    <w:rsid w:val="009856A4"/>
    <w:rsid w:val="009859F6"/>
    <w:rsid w:val="00986389"/>
    <w:rsid w:val="00987452"/>
    <w:rsid w:val="00987DB9"/>
    <w:rsid w:val="0099001D"/>
    <w:rsid w:val="00990052"/>
    <w:rsid w:val="00990141"/>
    <w:rsid w:val="00990143"/>
    <w:rsid w:val="009901A1"/>
    <w:rsid w:val="009901F5"/>
    <w:rsid w:val="0099044A"/>
    <w:rsid w:val="009904E5"/>
    <w:rsid w:val="00990D25"/>
    <w:rsid w:val="00990FA5"/>
    <w:rsid w:val="00991115"/>
    <w:rsid w:val="009911C1"/>
    <w:rsid w:val="009911E3"/>
    <w:rsid w:val="0099149B"/>
    <w:rsid w:val="00991750"/>
    <w:rsid w:val="00991850"/>
    <w:rsid w:val="00991999"/>
    <w:rsid w:val="00991A13"/>
    <w:rsid w:val="00991D6F"/>
    <w:rsid w:val="00991EDB"/>
    <w:rsid w:val="00992273"/>
    <w:rsid w:val="009924D3"/>
    <w:rsid w:val="00992720"/>
    <w:rsid w:val="00992981"/>
    <w:rsid w:val="00992C68"/>
    <w:rsid w:val="00992F6E"/>
    <w:rsid w:val="00993511"/>
    <w:rsid w:val="009938F0"/>
    <w:rsid w:val="00993D33"/>
    <w:rsid w:val="00993ECC"/>
    <w:rsid w:val="00993F41"/>
    <w:rsid w:val="009942C8"/>
    <w:rsid w:val="009945BB"/>
    <w:rsid w:val="00994B00"/>
    <w:rsid w:val="00994CD2"/>
    <w:rsid w:val="00994E86"/>
    <w:rsid w:val="0099503F"/>
    <w:rsid w:val="00995228"/>
    <w:rsid w:val="00995332"/>
    <w:rsid w:val="00995491"/>
    <w:rsid w:val="009954EC"/>
    <w:rsid w:val="00995838"/>
    <w:rsid w:val="00995D46"/>
    <w:rsid w:val="00995E01"/>
    <w:rsid w:val="00995F16"/>
    <w:rsid w:val="00995FE3"/>
    <w:rsid w:val="009968A8"/>
    <w:rsid w:val="00996F21"/>
    <w:rsid w:val="009970FE"/>
    <w:rsid w:val="00997347"/>
    <w:rsid w:val="00997532"/>
    <w:rsid w:val="00997A1B"/>
    <w:rsid w:val="00997A96"/>
    <w:rsid w:val="00997EE2"/>
    <w:rsid w:val="009A01B0"/>
    <w:rsid w:val="009A0639"/>
    <w:rsid w:val="009A065C"/>
    <w:rsid w:val="009A0EE9"/>
    <w:rsid w:val="009A0F26"/>
    <w:rsid w:val="009A12B6"/>
    <w:rsid w:val="009A1540"/>
    <w:rsid w:val="009A167F"/>
    <w:rsid w:val="009A1819"/>
    <w:rsid w:val="009A1906"/>
    <w:rsid w:val="009A1AD7"/>
    <w:rsid w:val="009A1D88"/>
    <w:rsid w:val="009A2049"/>
    <w:rsid w:val="009A2309"/>
    <w:rsid w:val="009A2380"/>
    <w:rsid w:val="009A2497"/>
    <w:rsid w:val="009A274B"/>
    <w:rsid w:val="009A279F"/>
    <w:rsid w:val="009A2A87"/>
    <w:rsid w:val="009A2B61"/>
    <w:rsid w:val="009A2C1D"/>
    <w:rsid w:val="009A2C3A"/>
    <w:rsid w:val="009A2CA9"/>
    <w:rsid w:val="009A304C"/>
    <w:rsid w:val="009A3215"/>
    <w:rsid w:val="009A360F"/>
    <w:rsid w:val="009A364D"/>
    <w:rsid w:val="009A36F5"/>
    <w:rsid w:val="009A3C9A"/>
    <w:rsid w:val="009A3CB9"/>
    <w:rsid w:val="009A3F70"/>
    <w:rsid w:val="009A4058"/>
    <w:rsid w:val="009A4197"/>
    <w:rsid w:val="009A430A"/>
    <w:rsid w:val="009A44B3"/>
    <w:rsid w:val="009A48DB"/>
    <w:rsid w:val="009A4C25"/>
    <w:rsid w:val="009A5159"/>
    <w:rsid w:val="009A5184"/>
    <w:rsid w:val="009A539C"/>
    <w:rsid w:val="009A5B04"/>
    <w:rsid w:val="009A5FD2"/>
    <w:rsid w:val="009A5FEE"/>
    <w:rsid w:val="009A6112"/>
    <w:rsid w:val="009A63B7"/>
    <w:rsid w:val="009A658E"/>
    <w:rsid w:val="009A6647"/>
    <w:rsid w:val="009A6F0C"/>
    <w:rsid w:val="009A6F9D"/>
    <w:rsid w:val="009A6FD3"/>
    <w:rsid w:val="009A71D8"/>
    <w:rsid w:val="009A732A"/>
    <w:rsid w:val="009A7C3A"/>
    <w:rsid w:val="009A7DED"/>
    <w:rsid w:val="009B01CE"/>
    <w:rsid w:val="009B0513"/>
    <w:rsid w:val="009B0652"/>
    <w:rsid w:val="009B0919"/>
    <w:rsid w:val="009B09FA"/>
    <w:rsid w:val="009B0D8C"/>
    <w:rsid w:val="009B0EAB"/>
    <w:rsid w:val="009B121E"/>
    <w:rsid w:val="009B1234"/>
    <w:rsid w:val="009B1301"/>
    <w:rsid w:val="009B168A"/>
    <w:rsid w:val="009B1B8F"/>
    <w:rsid w:val="009B231D"/>
    <w:rsid w:val="009B281B"/>
    <w:rsid w:val="009B291C"/>
    <w:rsid w:val="009B294B"/>
    <w:rsid w:val="009B2AAD"/>
    <w:rsid w:val="009B2B9E"/>
    <w:rsid w:val="009B33F1"/>
    <w:rsid w:val="009B35EA"/>
    <w:rsid w:val="009B3660"/>
    <w:rsid w:val="009B3871"/>
    <w:rsid w:val="009B392A"/>
    <w:rsid w:val="009B3D62"/>
    <w:rsid w:val="009B3E74"/>
    <w:rsid w:val="009B4B99"/>
    <w:rsid w:val="009B4DC4"/>
    <w:rsid w:val="009B4DD1"/>
    <w:rsid w:val="009B4FB2"/>
    <w:rsid w:val="009B5032"/>
    <w:rsid w:val="009B530A"/>
    <w:rsid w:val="009B55F0"/>
    <w:rsid w:val="009B5600"/>
    <w:rsid w:val="009B5746"/>
    <w:rsid w:val="009B61C8"/>
    <w:rsid w:val="009B61F7"/>
    <w:rsid w:val="009B66A1"/>
    <w:rsid w:val="009B67CA"/>
    <w:rsid w:val="009B69B0"/>
    <w:rsid w:val="009B69C5"/>
    <w:rsid w:val="009B6D97"/>
    <w:rsid w:val="009B6F0C"/>
    <w:rsid w:val="009B76D5"/>
    <w:rsid w:val="009B7759"/>
    <w:rsid w:val="009B77B1"/>
    <w:rsid w:val="009B7BA8"/>
    <w:rsid w:val="009B7C07"/>
    <w:rsid w:val="009C0144"/>
    <w:rsid w:val="009C0173"/>
    <w:rsid w:val="009C022B"/>
    <w:rsid w:val="009C0250"/>
    <w:rsid w:val="009C0518"/>
    <w:rsid w:val="009C0688"/>
    <w:rsid w:val="009C0BDE"/>
    <w:rsid w:val="009C0D24"/>
    <w:rsid w:val="009C0DBB"/>
    <w:rsid w:val="009C0EA2"/>
    <w:rsid w:val="009C113B"/>
    <w:rsid w:val="009C133A"/>
    <w:rsid w:val="009C1465"/>
    <w:rsid w:val="009C1516"/>
    <w:rsid w:val="009C1697"/>
    <w:rsid w:val="009C17AD"/>
    <w:rsid w:val="009C1B52"/>
    <w:rsid w:val="009C1E64"/>
    <w:rsid w:val="009C204F"/>
    <w:rsid w:val="009C24A9"/>
    <w:rsid w:val="009C261B"/>
    <w:rsid w:val="009C262A"/>
    <w:rsid w:val="009C291E"/>
    <w:rsid w:val="009C2A5F"/>
    <w:rsid w:val="009C2B51"/>
    <w:rsid w:val="009C2D04"/>
    <w:rsid w:val="009C2DDA"/>
    <w:rsid w:val="009C3264"/>
    <w:rsid w:val="009C329F"/>
    <w:rsid w:val="009C32C4"/>
    <w:rsid w:val="009C32DB"/>
    <w:rsid w:val="009C3376"/>
    <w:rsid w:val="009C33B9"/>
    <w:rsid w:val="009C3604"/>
    <w:rsid w:val="009C368A"/>
    <w:rsid w:val="009C3A8C"/>
    <w:rsid w:val="009C3EA1"/>
    <w:rsid w:val="009C3EBA"/>
    <w:rsid w:val="009C4A80"/>
    <w:rsid w:val="009C4D4A"/>
    <w:rsid w:val="009C51EF"/>
    <w:rsid w:val="009C5641"/>
    <w:rsid w:val="009C569A"/>
    <w:rsid w:val="009C5B17"/>
    <w:rsid w:val="009C5F56"/>
    <w:rsid w:val="009C6041"/>
    <w:rsid w:val="009C613D"/>
    <w:rsid w:val="009C62B9"/>
    <w:rsid w:val="009C631A"/>
    <w:rsid w:val="009C63D2"/>
    <w:rsid w:val="009C66CD"/>
    <w:rsid w:val="009C69C3"/>
    <w:rsid w:val="009C6BC7"/>
    <w:rsid w:val="009C708C"/>
    <w:rsid w:val="009C73AF"/>
    <w:rsid w:val="009C74D4"/>
    <w:rsid w:val="009C762F"/>
    <w:rsid w:val="009C7671"/>
    <w:rsid w:val="009C78C6"/>
    <w:rsid w:val="009D02BE"/>
    <w:rsid w:val="009D06AC"/>
    <w:rsid w:val="009D06CB"/>
    <w:rsid w:val="009D08BD"/>
    <w:rsid w:val="009D0B78"/>
    <w:rsid w:val="009D0D86"/>
    <w:rsid w:val="009D0DAA"/>
    <w:rsid w:val="009D12CB"/>
    <w:rsid w:val="009D169B"/>
    <w:rsid w:val="009D1A8A"/>
    <w:rsid w:val="009D21A6"/>
    <w:rsid w:val="009D2247"/>
    <w:rsid w:val="009D26EF"/>
    <w:rsid w:val="009D297B"/>
    <w:rsid w:val="009D2BE1"/>
    <w:rsid w:val="009D3150"/>
    <w:rsid w:val="009D3274"/>
    <w:rsid w:val="009D3339"/>
    <w:rsid w:val="009D3349"/>
    <w:rsid w:val="009D3469"/>
    <w:rsid w:val="009D39B1"/>
    <w:rsid w:val="009D3E29"/>
    <w:rsid w:val="009D405E"/>
    <w:rsid w:val="009D4128"/>
    <w:rsid w:val="009D4434"/>
    <w:rsid w:val="009D44AB"/>
    <w:rsid w:val="009D4751"/>
    <w:rsid w:val="009D4777"/>
    <w:rsid w:val="009D49AD"/>
    <w:rsid w:val="009D4C69"/>
    <w:rsid w:val="009D4CEF"/>
    <w:rsid w:val="009D4D6A"/>
    <w:rsid w:val="009D4E06"/>
    <w:rsid w:val="009D4EA1"/>
    <w:rsid w:val="009D538E"/>
    <w:rsid w:val="009D57EB"/>
    <w:rsid w:val="009D6003"/>
    <w:rsid w:val="009D6087"/>
    <w:rsid w:val="009D6802"/>
    <w:rsid w:val="009D687C"/>
    <w:rsid w:val="009D687F"/>
    <w:rsid w:val="009D69DD"/>
    <w:rsid w:val="009D69F3"/>
    <w:rsid w:val="009D6A98"/>
    <w:rsid w:val="009D767E"/>
    <w:rsid w:val="009D7B01"/>
    <w:rsid w:val="009D7D4D"/>
    <w:rsid w:val="009E039A"/>
    <w:rsid w:val="009E044B"/>
    <w:rsid w:val="009E055B"/>
    <w:rsid w:val="009E08B0"/>
    <w:rsid w:val="009E09A2"/>
    <w:rsid w:val="009E1045"/>
    <w:rsid w:val="009E13C2"/>
    <w:rsid w:val="009E1629"/>
    <w:rsid w:val="009E1ACD"/>
    <w:rsid w:val="009E1E74"/>
    <w:rsid w:val="009E1F41"/>
    <w:rsid w:val="009E2178"/>
    <w:rsid w:val="009E24D2"/>
    <w:rsid w:val="009E2515"/>
    <w:rsid w:val="009E257D"/>
    <w:rsid w:val="009E2619"/>
    <w:rsid w:val="009E2651"/>
    <w:rsid w:val="009E2795"/>
    <w:rsid w:val="009E28B6"/>
    <w:rsid w:val="009E2A8C"/>
    <w:rsid w:val="009E3274"/>
    <w:rsid w:val="009E3CB5"/>
    <w:rsid w:val="009E4457"/>
    <w:rsid w:val="009E4668"/>
    <w:rsid w:val="009E4A7A"/>
    <w:rsid w:val="009E4BD9"/>
    <w:rsid w:val="009E4D19"/>
    <w:rsid w:val="009E50D0"/>
    <w:rsid w:val="009E51CF"/>
    <w:rsid w:val="009E520C"/>
    <w:rsid w:val="009E52D1"/>
    <w:rsid w:val="009E55C5"/>
    <w:rsid w:val="009E55EC"/>
    <w:rsid w:val="009E56A7"/>
    <w:rsid w:val="009E593B"/>
    <w:rsid w:val="009E5974"/>
    <w:rsid w:val="009E5C71"/>
    <w:rsid w:val="009E6058"/>
    <w:rsid w:val="009E69EC"/>
    <w:rsid w:val="009E6BB9"/>
    <w:rsid w:val="009E6E8A"/>
    <w:rsid w:val="009E6F7D"/>
    <w:rsid w:val="009E777D"/>
    <w:rsid w:val="009E78B8"/>
    <w:rsid w:val="009E79D6"/>
    <w:rsid w:val="009E79FB"/>
    <w:rsid w:val="009E7A1B"/>
    <w:rsid w:val="009F052B"/>
    <w:rsid w:val="009F0788"/>
    <w:rsid w:val="009F0895"/>
    <w:rsid w:val="009F0904"/>
    <w:rsid w:val="009F0A09"/>
    <w:rsid w:val="009F0A32"/>
    <w:rsid w:val="009F12CF"/>
    <w:rsid w:val="009F1640"/>
    <w:rsid w:val="009F18DB"/>
    <w:rsid w:val="009F1B67"/>
    <w:rsid w:val="009F1F98"/>
    <w:rsid w:val="009F21DB"/>
    <w:rsid w:val="009F21E3"/>
    <w:rsid w:val="009F24B6"/>
    <w:rsid w:val="009F24BC"/>
    <w:rsid w:val="009F24C5"/>
    <w:rsid w:val="009F2762"/>
    <w:rsid w:val="009F2927"/>
    <w:rsid w:val="009F294B"/>
    <w:rsid w:val="009F2A24"/>
    <w:rsid w:val="009F2B05"/>
    <w:rsid w:val="009F2EAE"/>
    <w:rsid w:val="009F2F75"/>
    <w:rsid w:val="009F3203"/>
    <w:rsid w:val="009F3230"/>
    <w:rsid w:val="009F3393"/>
    <w:rsid w:val="009F349A"/>
    <w:rsid w:val="009F38A3"/>
    <w:rsid w:val="009F3CC6"/>
    <w:rsid w:val="009F3D1D"/>
    <w:rsid w:val="009F3DC9"/>
    <w:rsid w:val="009F3E99"/>
    <w:rsid w:val="009F42E4"/>
    <w:rsid w:val="009F4BE6"/>
    <w:rsid w:val="009F4CA3"/>
    <w:rsid w:val="009F4CAD"/>
    <w:rsid w:val="009F4CE8"/>
    <w:rsid w:val="009F4DC5"/>
    <w:rsid w:val="009F4E2D"/>
    <w:rsid w:val="009F50D9"/>
    <w:rsid w:val="009F52BA"/>
    <w:rsid w:val="009F535E"/>
    <w:rsid w:val="009F5730"/>
    <w:rsid w:val="009F5CC5"/>
    <w:rsid w:val="009F5CD6"/>
    <w:rsid w:val="009F5EDC"/>
    <w:rsid w:val="009F5F29"/>
    <w:rsid w:val="009F61AF"/>
    <w:rsid w:val="009F62FC"/>
    <w:rsid w:val="009F62FF"/>
    <w:rsid w:val="009F6590"/>
    <w:rsid w:val="009F6A58"/>
    <w:rsid w:val="009F6AD3"/>
    <w:rsid w:val="009F6B6E"/>
    <w:rsid w:val="009F6DC6"/>
    <w:rsid w:val="009F6E2D"/>
    <w:rsid w:val="009F6F3B"/>
    <w:rsid w:val="009F6F5A"/>
    <w:rsid w:val="009F729B"/>
    <w:rsid w:val="009F7663"/>
    <w:rsid w:val="009F76C4"/>
    <w:rsid w:val="009F7AF1"/>
    <w:rsid w:val="009F7B0D"/>
    <w:rsid w:val="009F7F06"/>
    <w:rsid w:val="00A00362"/>
    <w:rsid w:val="00A00524"/>
    <w:rsid w:val="00A005B1"/>
    <w:rsid w:val="00A0066B"/>
    <w:rsid w:val="00A00798"/>
    <w:rsid w:val="00A00A15"/>
    <w:rsid w:val="00A00B1B"/>
    <w:rsid w:val="00A00B63"/>
    <w:rsid w:val="00A00CD7"/>
    <w:rsid w:val="00A00DCF"/>
    <w:rsid w:val="00A00F47"/>
    <w:rsid w:val="00A00F87"/>
    <w:rsid w:val="00A00FB3"/>
    <w:rsid w:val="00A0105A"/>
    <w:rsid w:val="00A011D6"/>
    <w:rsid w:val="00A01500"/>
    <w:rsid w:val="00A01725"/>
    <w:rsid w:val="00A01A0E"/>
    <w:rsid w:val="00A01EC8"/>
    <w:rsid w:val="00A01F93"/>
    <w:rsid w:val="00A02015"/>
    <w:rsid w:val="00A02281"/>
    <w:rsid w:val="00A0263B"/>
    <w:rsid w:val="00A02A32"/>
    <w:rsid w:val="00A02B30"/>
    <w:rsid w:val="00A03398"/>
    <w:rsid w:val="00A03673"/>
    <w:rsid w:val="00A03886"/>
    <w:rsid w:val="00A0390A"/>
    <w:rsid w:val="00A0399D"/>
    <w:rsid w:val="00A039A0"/>
    <w:rsid w:val="00A040C1"/>
    <w:rsid w:val="00A04133"/>
    <w:rsid w:val="00A04336"/>
    <w:rsid w:val="00A046AA"/>
    <w:rsid w:val="00A04948"/>
    <w:rsid w:val="00A049AE"/>
    <w:rsid w:val="00A04F13"/>
    <w:rsid w:val="00A0536C"/>
    <w:rsid w:val="00A05A4E"/>
    <w:rsid w:val="00A05A87"/>
    <w:rsid w:val="00A05CFF"/>
    <w:rsid w:val="00A05FE3"/>
    <w:rsid w:val="00A0605F"/>
    <w:rsid w:val="00A060DB"/>
    <w:rsid w:val="00A0623F"/>
    <w:rsid w:val="00A06380"/>
    <w:rsid w:val="00A066DC"/>
    <w:rsid w:val="00A06A26"/>
    <w:rsid w:val="00A06C32"/>
    <w:rsid w:val="00A06EFD"/>
    <w:rsid w:val="00A070D2"/>
    <w:rsid w:val="00A07290"/>
    <w:rsid w:val="00A073A4"/>
    <w:rsid w:val="00A0752C"/>
    <w:rsid w:val="00A077A1"/>
    <w:rsid w:val="00A079B6"/>
    <w:rsid w:val="00A07A72"/>
    <w:rsid w:val="00A1025B"/>
    <w:rsid w:val="00A10B98"/>
    <w:rsid w:val="00A10C72"/>
    <w:rsid w:val="00A10DC0"/>
    <w:rsid w:val="00A10EA2"/>
    <w:rsid w:val="00A110DD"/>
    <w:rsid w:val="00A11166"/>
    <w:rsid w:val="00A11391"/>
    <w:rsid w:val="00A11439"/>
    <w:rsid w:val="00A114B4"/>
    <w:rsid w:val="00A11513"/>
    <w:rsid w:val="00A11A40"/>
    <w:rsid w:val="00A11CBC"/>
    <w:rsid w:val="00A11EFA"/>
    <w:rsid w:val="00A11F2B"/>
    <w:rsid w:val="00A124AC"/>
    <w:rsid w:val="00A129D5"/>
    <w:rsid w:val="00A12A5C"/>
    <w:rsid w:val="00A12AFD"/>
    <w:rsid w:val="00A12BB8"/>
    <w:rsid w:val="00A12E91"/>
    <w:rsid w:val="00A12FA9"/>
    <w:rsid w:val="00A13125"/>
    <w:rsid w:val="00A13292"/>
    <w:rsid w:val="00A138BF"/>
    <w:rsid w:val="00A13C03"/>
    <w:rsid w:val="00A13CFE"/>
    <w:rsid w:val="00A141B9"/>
    <w:rsid w:val="00A14646"/>
    <w:rsid w:val="00A1464B"/>
    <w:rsid w:val="00A146A5"/>
    <w:rsid w:val="00A14B13"/>
    <w:rsid w:val="00A14B7E"/>
    <w:rsid w:val="00A14FE9"/>
    <w:rsid w:val="00A1557E"/>
    <w:rsid w:val="00A15706"/>
    <w:rsid w:val="00A15DF9"/>
    <w:rsid w:val="00A16200"/>
    <w:rsid w:val="00A16302"/>
    <w:rsid w:val="00A16336"/>
    <w:rsid w:val="00A163F9"/>
    <w:rsid w:val="00A167C6"/>
    <w:rsid w:val="00A173D7"/>
    <w:rsid w:val="00A17669"/>
    <w:rsid w:val="00A176F3"/>
    <w:rsid w:val="00A1791E"/>
    <w:rsid w:val="00A17B6C"/>
    <w:rsid w:val="00A17CE0"/>
    <w:rsid w:val="00A17D6C"/>
    <w:rsid w:val="00A17EC5"/>
    <w:rsid w:val="00A206FD"/>
    <w:rsid w:val="00A20AFD"/>
    <w:rsid w:val="00A20D29"/>
    <w:rsid w:val="00A20EBE"/>
    <w:rsid w:val="00A21002"/>
    <w:rsid w:val="00A2142A"/>
    <w:rsid w:val="00A21615"/>
    <w:rsid w:val="00A217B9"/>
    <w:rsid w:val="00A21A96"/>
    <w:rsid w:val="00A21C67"/>
    <w:rsid w:val="00A2211F"/>
    <w:rsid w:val="00A22174"/>
    <w:rsid w:val="00A225D3"/>
    <w:rsid w:val="00A2260E"/>
    <w:rsid w:val="00A2281D"/>
    <w:rsid w:val="00A2299A"/>
    <w:rsid w:val="00A22A8A"/>
    <w:rsid w:val="00A22D1C"/>
    <w:rsid w:val="00A230A4"/>
    <w:rsid w:val="00A2341C"/>
    <w:rsid w:val="00A23B96"/>
    <w:rsid w:val="00A23E73"/>
    <w:rsid w:val="00A242FA"/>
    <w:rsid w:val="00A24412"/>
    <w:rsid w:val="00A244D0"/>
    <w:rsid w:val="00A24B44"/>
    <w:rsid w:val="00A24BAD"/>
    <w:rsid w:val="00A24EB7"/>
    <w:rsid w:val="00A24EBE"/>
    <w:rsid w:val="00A24F44"/>
    <w:rsid w:val="00A25099"/>
    <w:rsid w:val="00A252FC"/>
    <w:rsid w:val="00A2535A"/>
    <w:rsid w:val="00A2540A"/>
    <w:rsid w:val="00A2567F"/>
    <w:rsid w:val="00A25784"/>
    <w:rsid w:val="00A258FB"/>
    <w:rsid w:val="00A25C05"/>
    <w:rsid w:val="00A26005"/>
    <w:rsid w:val="00A26740"/>
    <w:rsid w:val="00A27146"/>
    <w:rsid w:val="00A272C7"/>
    <w:rsid w:val="00A27405"/>
    <w:rsid w:val="00A2744E"/>
    <w:rsid w:val="00A27AC2"/>
    <w:rsid w:val="00A27B4E"/>
    <w:rsid w:val="00A30096"/>
    <w:rsid w:val="00A30318"/>
    <w:rsid w:val="00A30556"/>
    <w:rsid w:val="00A305A8"/>
    <w:rsid w:val="00A3078C"/>
    <w:rsid w:val="00A308A2"/>
    <w:rsid w:val="00A30C53"/>
    <w:rsid w:val="00A30D84"/>
    <w:rsid w:val="00A311B7"/>
    <w:rsid w:val="00A3123E"/>
    <w:rsid w:val="00A312A0"/>
    <w:rsid w:val="00A31423"/>
    <w:rsid w:val="00A316A7"/>
    <w:rsid w:val="00A31809"/>
    <w:rsid w:val="00A3183F"/>
    <w:rsid w:val="00A31856"/>
    <w:rsid w:val="00A319BF"/>
    <w:rsid w:val="00A31AB2"/>
    <w:rsid w:val="00A31AC7"/>
    <w:rsid w:val="00A31AE9"/>
    <w:rsid w:val="00A31BEC"/>
    <w:rsid w:val="00A31CBF"/>
    <w:rsid w:val="00A327CE"/>
    <w:rsid w:val="00A33312"/>
    <w:rsid w:val="00A33578"/>
    <w:rsid w:val="00A339AD"/>
    <w:rsid w:val="00A33BD4"/>
    <w:rsid w:val="00A33C34"/>
    <w:rsid w:val="00A33D5A"/>
    <w:rsid w:val="00A34059"/>
    <w:rsid w:val="00A340C1"/>
    <w:rsid w:val="00A34268"/>
    <w:rsid w:val="00A3435C"/>
    <w:rsid w:val="00A344E3"/>
    <w:rsid w:val="00A345FE"/>
    <w:rsid w:val="00A346F8"/>
    <w:rsid w:val="00A34D11"/>
    <w:rsid w:val="00A34D82"/>
    <w:rsid w:val="00A350EA"/>
    <w:rsid w:val="00A3512B"/>
    <w:rsid w:val="00A351E5"/>
    <w:rsid w:val="00A35364"/>
    <w:rsid w:val="00A357B6"/>
    <w:rsid w:val="00A358A5"/>
    <w:rsid w:val="00A35945"/>
    <w:rsid w:val="00A35D87"/>
    <w:rsid w:val="00A35F4D"/>
    <w:rsid w:val="00A362F9"/>
    <w:rsid w:val="00A36452"/>
    <w:rsid w:val="00A36B4B"/>
    <w:rsid w:val="00A36D2E"/>
    <w:rsid w:val="00A370CB"/>
    <w:rsid w:val="00A376B8"/>
    <w:rsid w:val="00A37D07"/>
    <w:rsid w:val="00A40035"/>
    <w:rsid w:val="00A4017E"/>
    <w:rsid w:val="00A40286"/>
    <w:rsid w:val="00A405B0"/>
    <w:rsid w:val="00A40721"/>
    <w:rsid w:val="00A4166B"/>
    <w:rsid w:val="00A41893"/>
    <w:rsid w:val="00A4198E"/>
    <w:rsid w:val="00A41DD8"/>
    <w:rsid w:val="00A41EF1"/>
    <w:rsid w:val="00A42382"/>
    <w:rsid w:val="00A4255E"/>
    <w:rsid w:val="00A427B9"/>
    <w:rsid w:val="00A428B6"/>
    <w:rsid w:val="00A42906"/>
    <w:rsid w:val="00A42A66"/>
    <w:rsid w:val="00A42DA5"/>
    <w:rsid w:val="00A42DA9"/>
    <w:rsid w:val="00A4313E"/>
    <w:rsid w:val="00A4328A"/>
    <w:rsid w:val="00A435BD"/>
    <w:rsid w:val="00A43831"/>
    <w:rsid w:val="00A4393B"/>
    <w:rsid w:val="00A43AA5"/>
    <w:rsid w:val="00A43E51"/>
    <w:rsid w:val="00A44061"/>
    <w:rsid w:val="00A4406A"/>
    <w:rsid w:val="00A44349"/>
    <w:rsid w:val="00A4437E"/>
    <w:rsid w:val="00A4460E"/>
    <w:rsid w:val="00A45CCA"/>
    <w:rsid w:val="00A4623C"/>
    <w:rsid w:val="00A46291"/>
    <w:rsid w:val="00A4639C"/>
    <w:rsid w:val="00A463A2"/>
    <w:rsid w:val="00A469D3"/>
    <w:rsid w:val="00A471F0"/>
    <w:rsid w:val="00A47374"/>
    <w:rsid w:val="00A473D8"/>
    <w:rsid w:val="00A4763A"/>
    <w:rsid w:val="00A47706"/>
    <w:rsid w:val="00A47991"/>
    <w:rsid w:val="00A47CA6"/>
    <w:rsid w:val="00A47FBD"/>
    <w:rsid w:val="00A50575"/>
    <w:rsid w:val="00A505B9"/>
    <w:rsid w:val="00A505CE"/>
    <w:rsid w:val="00A50B95"/>
    <w:rsid w:val="00A50BE7"/>
    <w:rsid w:val="00A50BED"/>
    <w:rsid w:val="00A50C0D"/>
    <w:rsid w:val="00A517B9"/>
    <w:rsid w:val="00A51A10"/>
    <w:rsid w:val="00A51AFD"/>
    <w:rsid w:val="00A51B4E"/>
    <w:rsid w:val="00A51D41"/>
    <w:rsid w:val="00A51F48"/>
    <w:rsid w:val="00A52334"/>
    <w:rsid w:val="00A52A10"/>
    <w:rsid w:val="00A52C34"/>
    <w:rsid w:val="00A52CA4"/>
    <w:rsid w:val="00A52D06"/>
    <w:rsid w:val="00A53249"/>
    <w:rsid w:val="00A532C1"/>
    <w:rsid w:val="00A53717"/>
    <w:rsid w:val="00A5390E"/>
    <w:rsid w:val="00A53D73"/>
    <w:rsid w:val="00A53DDA"/>
    <w:rsid w:val="00A53E86"/>
    <w:rsid w:val="00A54054"/>
    <w:rsid w:val="00A54282"/>
    <w:rsid w:val="00A54737"/>
    <w:rsid w:val="00A5499B"/>
    <w:rsid w:val="00A549FB"/>
    <w:rsid w:val="00A54AAF"/>
    <w:rsid w:val="00A54DD9"/>
    <w:rsid w:val="00A551B0"/>
    <w:rsid w:val="00A55310"/>
    <w:rsid w:val="00A55522"/>
    <w:rsid w:val="00A5568D"/>
    <w:rsid w:val="00A56032"/>
    <w:rsid w:val="00A566E5"/>
    <w:rsid w:val="00A56A26"/>
    <w:rsid w:val="00A56DC6"/>
    <w:rsid w:val="00A56E6D"/>
    <w:rsid w:val="00A570A1"/>
    <w:rsid w:val="00A5728B"/>
    <w:rsid w:val="00A574D9"/>
    <w:rsid w:val="00A57668"/>
    <w:rsid w:val="00A57C71"/>
    <w:rsid w:val="00A57E6E"/>
    <w:rsid w:val="00A60270"/>
    <w:rsid w:val="00A6029B"/>
    <w:rsid w:val="00A604E5"/>
    <w:rsid w:val="00A6051B"/>
    <w:rsid w:val="00A607F5"/>
    <w:rsid w:val="00A60928"/>
    <w:rsid w:val="00A60929"/>
    <w:rsid w:val="00A609BA"/>
    <w:rsid w:val="00A60C17"/>
    <w:rsid w:val="00A60F51"/>
    <w:rsid w:val="00A61043"/>
    <w:rsid w:val="00A61158"/>
    <w:rsid w:val="00A611F1"/>
    <w:rsid w:val="00A61583"/>
    <w:rsid w:val="00A61A7A"/>
    <w:rsid w:val="00A61C5E"/>
    <w:rsid w:val="00A61CB1"/>
    <w:rsid w:val="00A61D61"/>
    <w:rsid w:val="00A620B4"/>
    <w:rsid w:val="00A62126"/>
    <w:rsid w:val="00A6222B"/>
    <w:rsid w:val="00A622A1"/>
    <w:rsid w:val="00A62600"/>
    <w:rsid w:val="00A629C0"/>
    <w:rsid w:val="00A62BA0"/>
    <w:rsid w:val="00A62CC1"/>
    <w:rsid w:val="00A63000"/>
    <w:rsid w:val="00A6357C"/>
    <w:rsid w:val="00A63710"/>
    <w:rsid w:val="00A63E77"/>
    <w:rsid w:val="00A63F0D"/>
    <w:rsid w:val="00A64086"/>
    <w:rsid w:val="00A64094"/>
    <w:rsid w:val="00A643C2"/>
    <w:rsid w:val="00A644C6"/>
    <w:rsid w:val="00A64A8F"/>
    <w:rsid w:val="00A64DEA"/>
    <w:rsid w:val="00A65756"/>
    <w:rsid w:val="00A65EC9"/>
    <w:rsid w:val="00A66194"/>
    <w:rsid w:val="00A6624C"/>
    <w:rsid w:val="00A66255"/>
    <w:rsid w:val="00A66355"/>
    <w:rsid w:val="00A66365"/>
    <w:rsid w:val="00A663F3"/>
    <w:rsid w:val="00A668DA"/>
    <w:rsid w:val="00A6699E"/>
    <w:rsid w:val="00A66A63"/>
    <w:rsid w:val="00A66BC3"/>
    <w:rsid w:val="00A66C53"/>
    <w:rsid w:val="00A66DBD"/>
    <w:rsid w:val="00A66DC4"/>
    <w:rsid w:val="00A67100"/>
    <w:rsid w:val="00A6740C"/>
    <w:rsid w:val="00A67CA7"/>
    <w:rsid w:val="00A67DAA"/>
    <w:rsid w:val="00A7032A"/>
    <w:rsid w:val="00A70737"/>
    <w:rsid w:val="00A7079F"/>
    <w:rsid w:val="00A709BD"/>
    <w:rsid w:val="00A70D66"/>
    <w:rsid w:val="00A71113"/>
    <w:rsid w:val="00A7179C"/>
    <w:rsid w:val="00A720A9"/>
    <w:rsid w:val="00A724C9"/>
    <w:rsid w:val="00A725EB"/>
    <w:rsid w:val="00A72988"/>
    <w:rsid w:val="00A72D82"/>
    <w:rsid w:val="00A7310E"/>
    <w:rsid w:val="00A7311C"/>
    <w:rsid w:val="00A7373B"/>
    <w:rsid w:val="00A738F2"/>
    <w:rsid w:val="00A73A69"/>
    <w:rsid w:val="00A73EE5"/>
    <w:rsid w:val="00A73F47"/>
    <w:rsid w:val="00A74B0B"/>
    <w:rsid w:val="00A7558F"/>
    <w:rsid w:val="00A755F4"/>
    <w:rsid w:val="00A75763"/>
    <w:rsid w:val="00A75997"/>
    <w:rsid w:val="00A76049"/>
    <w:rsid w:val="00A76201"/>
    <w:rsid w:val="00A7627F"/>
    <w:rsid w:val="00A7636D"/>
    <w:rsid w:val="00A767F9"/>
    <w:rsid w:val="00A768D4"/>
    <w:rsid w:val="00A77057"/>
    <w:rsid w:val="00A773F4"/>
    <w:rsid w:val="00A77419"/>
    <w:rsid w:val="00A77572"/>
    <w:rsid w:val="00A779BB"/>
    <w:rsid w:val="00A77B0E"/>
    <w:rsid w:val="00A77C93"/>
    <w:rsid w:val="00A77CDD"/>
    <w:rsid w:val="00A77E53"/>
    <w:rsid w:val="00A77F93"/>
    <w:rsid w:val="00A801BE"/>
    <w:rsid w:val="00A803E5"/>
    <w:rsid w:val="00A80478"/>
    <w:rsid w:val="00A805BD"/>
    <w:rsid w:val="00A80D30"/>
    <w:rsid w:val="00A80E1F"/>
    <w:rsid w:val="00A80FFD"/>
    <w:rsid w:val="00A8100E"/>
    <w:rsid w:val="00A8139A"/>
    <w:rsid w:val="00A815B7"/>
    <w:rsid w:val="00A8186C"/>
    <w:rsid w:val="00A81889"/>
    <w:rsid w:val="00A81907"/>
    <w:rsid w:val="00A819EA"/>
    <w:rsid w:val="00A81DAF"/>
    <w:rsid w:val="00A81FB6"/>
    <w:rsid w:val="00A821BD"/>
    <w:rsid w:val="00A82359"/>
    <w:rsid w:val="00A82753"/>
    <w:rsid w:val="00A8297B"/>
    <w:rsid w:val="00A82996"/>
    <w:rsid w:val="00A82FAC"/>
    <w:rsid w:val="00A83287"/>
    <w:rsid w:val="00A834AD"/>
    <w:rsid w:val="00A83727"/>
    <w:rsid w:val="00A83991"/>
    <w:rsid w:val="00A83CFF"/>
    <w:rsid w:val="00A83D40"/>
    <w:rsid w:val="00A8406A"/>
    <w:rsid w:val="00A840C1"/>
    <w:rsid w:val="00A8444F"/>
    <w:rsid w:val="00A84832"/>
    <w:rsid w:val="00A84CE0"/>
    <w:rsid w:val="00A84CE9"/>
    <w:rsid w:val="00A85148"/>
    <w:rsid w:val="00A856B9"/>
    <w:rsid w:val="00A85924"/>
    <w:rsid w:val="00A859BB"/>
    <w:rsid w:val="00A85C52"/>
    <w:rsid w:val="00A865AF"/>
    <w:rsid w:val="00A868B6"/>
    <w:rsid w:val="00A8696E"/>
    <w:rsid w:val="00A86AB7"/>
    <w:rsid w:val="00A86B21"/>
    <w:rsid w:val="00A8718F"/>
    <w:rsid w:val="00A871E6"/>
    <w:rsid w:val="00A874B3"/>
    <w:rsid w:val="00A87630"/>
    <w:rsid w:val="00A878A0"/>
    <w:rsid w:val="00A87A1B"/>
    <w:rsid w:val="00A87B7A"/>
    <w:rsid w:val="00A87C16"/>
    <w:rsid w:val="00A87D05"/>
    <w:rsid w:val="00A9011A"/>
    <w:rsid w:val="00A901FA"/>
    <w:rsid w:val="00A90210"/>
    <w:rsid w:val="00A90464"/>
    <w:rsid w:val="00A9109C"/>
    <w:rsid w:val="00A91117"/>
    <w:rsid w:val="00A91126"/>
    <w:rsid w:val="00A91133"/>
    <w:rsid w:val="00A917BF"/>
    <w:rsid w:val="00A91A4D"/>
    <w:rsid w:val="00A91B6E"/>
    <w:rsid w:val="00A91C48"/>
    <w:rsid w:val="00A91D0E"/>
    <w:rsid w:val="00A91E98"/>
    <w:rsid w:val="00A9283B"/>
    <w:rsid w:val="00A928A1"/>
    <w:rsid w:val="00A928B6"/>
    <w:rsid w:val="00A928F0"/>
    <w:rsid w:val="00A92A0D"/>
    <w:rsid w:val="00A92AF2"/>
    <w:rsid w:val="00A92F09"/>
    <w:rsid w:val="00A92F0C"/>
    <w:rsid w:val="00A932A8"/>
    <w:rsid w:val="00A9344C"/>
    <w:rsid w:val="00A93636"/>
    <w:rsid w:val="00A93991"/>
    <w:rsid w:val="00A93B4F"/>
    <w:rsid w:val="00A93FD6"/>
    <w:rsid w:val="00A94449"/>
    <w:rsid w:val="00A945B7"/>
    <w:rsid w:val="00A948B4"/>
    <w:rsid w:val="00A94CDB"/>
    <w:rsid w:val="00A94E32"/>
    <w:rsid w:val="00A9510D"/>
    <w:rsid w:val="00A95234"/>
    <w:rsid w:val="00A9527C"/>
    <w:rsid w:val="00A952C4"/>
    <w:rsid w:val="00A9533C"/>
    <w:rsid w:val="00A9553E"/>
    <w:rsid w:val="00A95830"/>
    <w:rsid w:val="00A95CC9"/>
    <w:rsid w:val="00A95D95"/>
    <w:rsid w:val="00A96140"/>
    <w:rsid w:val="00A96D6D"/>
    <w:rsid w:val="00A96EA1"/>
    <w:rsid w:val="00A9703D"/>
    <w:rsid w:val="00A970BA"/>
    <w:rsid w:val="00A9714E"/>
    <w:rsid w:val="00A975E3"/>
    <w:rsid w:val="00A977B9"/>
    <w:rsid w:val="00A97AFE"/>
    <w:rsid w:val="00A97CFD"/>
    <w:rsid w:val="00A97DF3"/>
    <w:rsid w:val="00A97FAF"/>
    <w:rsid w:val="00AA028A"/>
    <w:rsid w:val="00AA035B"/>
    <w:rsid w:val="00AA0E47"/>
    <w:rsid w:val="00AA1092"/>
    <w:rsid w:val="00AA114D"/>
    <w:rsid w:val="00AA121E"/>
    <w:rsid w:val="00AA13B8"/>
    <w:rsid w:val="00AA142F"/>
    <w:rsid w:val="00AA15F4"/>
    <w:rsid w:val="00AA16B3"/>
    <w:rsid w:val="00AA17D1"/>
    <w:rsid w:val="00AA1923"/>
    <w:rsid w:val="00AA1A6A"/>
    <w:rsid w:val="00AA1BFB"/>
    <w:rsid w:val="00AA1DAE"/>
    <w:rsid w:val="00AA2603"/>
    <w:rsid w:val="00AA271E"/>
    <w:rsid w:val="00AA2A06"/>
    <w:rsid w:val="00AA2D35"/>
    <w:rsid w:val="00AA2EDE"/>
    <w:rsid w:val="00AA2F3B"/>
    <w:rsid w:val="00AA3026"/>
    <w:rsid w:val="00AA3039"/>
    <w:rsid w:val="00AA309B"/>
    <w:rsid w:val="00AA3137"/>
    <w:rsid w:val="00AA3310"/>
    <w:rsid w:val="00AA35B9"/>
    <w:rsid w:val="00AA35C5"/>
    <w:rsid w:val="00AA375B"/>
    <w:rsid w:val="00AA384A"/>
    <w:rsid w:val="00AA3A0C"/>
    <w:rsid w:val="00AA41C0"/>
    <w:rsid w:val="00AA4203"/>
    <w:rsid w:val="00AA444F"/>
    <w:rsid w:val="00AA4592"/>
    <w:rsid w:val="00AA4C38"/>
    <w:rsid w:val="00AA5194"/>
    <w:rsid w:val="00AA53FC"/>
    <w:rsid w:val="00AA5FBA"/>
    <w:rsid w:val="00AA62DA"/>
    <w:rsid w:val="00AA644C"/>
    <w:rsid w:val="00AA659F"/>
    <w:rsid w:val="00AA6788"/>
    <w:rsid w:val="00AA6919"/>
    <w:rsid w:val="00AA6A2C"/>
    <w:rsid w:val="00AA6B41"/>
    <w:rsid w:val="00AA6B6B"/>
    <w:rsid w:val="00AA6B8A"/>
    <w:rsid w:val="00AA6EC3"/>
    <w:rsid w:val="00AA6F7C"/>
    <w:rsid w:val="00AA76B1"/>
    <w:rsid w:val="00AA7744"/>
    <w:rsid w:val="00AA7CA2"/>
    <w:rsid w:val="00AB06DA"/>
    <w:rsid w:val="00AB06E3"/>
    <w:rsid w:val="00AB0706"/>
    <w:rsid w:val="00AB0788"/>
    <w:rsid w:val="00AB0850"/>
    <w:rsid w:val="00AB0A2F"/>
    <w:rsid w:val="00AB0ABB"/>
    <w:rsid w:val="00AB0EDD"/>
    <w:rsid w:val="00AB1766"/>
    <w:rsid w:val="00AB194F"/>
    <w:rsid w:val="00AB1C25"/>
    <w:rsid w:val="00AB1DE3"/>
    <w:rsid w:val="00AB2139"/>
    <w:rsid w:val="00AB26F6"/>
    <w:rsid w:val="00AB280D"/>
    <w:rsid w:val="00AB30A2"/>
    <w:rsid w:val="00AB419B"/>
    <w:rsid w:val="00AB44CE"/>
    <w:rsid w:val="00AB45D6"/>
    <w:rsid w:val="00AB45F7"/>
    <w:rsid w:val="00AB47CD"/>
    <w:rsid w:val="00AB4C59"/>
    <w:rsid w:val="00AB54BF"/>
    <w:rsid w:val="00AB54EC"/>
    <w:rsid w:val="00AB5DF2"/>
    <w:rsid w:val="00AB5F7F"/>
    <w:rsid w:val="00AB6076"/>
    <w:rsid w:val="00AB626F"/>
    <w:rsid w:val="00AB629D"/>
    <w:rsid w:val="00AB6A89"/>
    <w:rsid w:val="00AB6CE3"/>
    <w:rsid w:val="00AB7057"/>
    <w:rsid w:val="00AB72E4"/>
    <w:rsid w:val="00AB74B5"/>
    <w:rsid w:val="00AB75DE"/>
    <w:rsid w:val="00AB7815"/>
    <w:rsid w:val="00AB7995"/>
    <w:rsid w:val="00AB79E6"/>
    <w:rsid w:val="00AB7B7B"/>
    <w:rsid w:val="00AB7C86"/>
    <w:rsid w:val="00AC0033"/>
    <w:rsid w:val="00AC0462"/>
    <w:rsid w:val="00AC06C7"/>
    <w:rsid w:val="00AC0A1F"/>
    <w:rsid w:val="00AC0BB6"/>
    <w:rsid w:val="00AC0D17"/>
    <w:rsid w:val="00AC0F9E"/>
    <w:rsid w:val="00AC12E4"/>
    <w:rsid w:val="00AC13A0"/>
    <w:rsid w:val="00AC152F"/>
    <w:rsid w:val="00AC15FB"/>
    <w:rsid w:val="00AC1691"/>
    <w:rsid w:val="00AC174F"/>
    <w:rsid w:val="00AC177E"/>
    <w:rsid w:val="00AC185E"/>
    <w:rsid w:val="00AC1FC3"/>
    <w:rsid w:val="00AC20D7"/>
    <w:rsid w:val="00AC2315"/>
    <w:rsid w:val="00AC254E"/>
    <w:rsid w:val="00AC26F4"/>
    <w:rsid w:val="00AC27FB"/>
    <w:rsid w:val="00AC2C28"/>
    <w:rsid w:val="00AC2CC9"/>
    <w:rsid w:val="00AC2D04"/>
    <w:rsid w:val="00AC2F4B"/>
    <w:rsid w:val="00AC308D"/>
    <w:rsid w:val="00AC30A3"/>
    <w:rsid w:val="00AC3356"/>
    <w:rsid w:val="00AC3633"/>
    <w:rsid w:val="00AC36F7"/>
    <w:rsid w:val="00AC3725"/>
    <w:rsid w:val="00AC3975"/>
    <w:rsid w:val="00AC3EA6"/>
    <w:rsid w:val="00AC406D"/>
    <w:rsid w:val="00AC46A4"/>
    <w:rsid w:val="00AC4707"/>
    <w:rsid w:val="00AC4C4A"/>
    <w:rsid w:val="00AC4C98"/>
    <w:rsid w:val="00AC4E35"/>
    <w:rsid w:val="00AC4EF1"/>
    <w:rsid w:val="00AC5647"/>
    <w:rsid w:val="00AC583F"/>
    <w:rsid w:val="00AC5D8B"/>
    <w:rsid w:val="00AC616F"/>
    <w:rsid w:val="00AC6345"/>
    <w:rsid w:val="00AC64E4"/>
    <w:rsid w:val="00AC7053"/>
    <w:rsid w:val="00AC71EF"/>
    <w:rsid w:val="00AC72A0"/>
    <w:rsid w:val="00AC7662"/>
    <w:rsid w:val="00AC7690"/>
    <w:rsid w:val="00AC774A"/>
    <w:rsid w:val="00AC78B3"/>
    <w:rsid w:val="00AC7EF6"/>
    <w:rsid w:val="00AD038B"/>
    <w:rsid w:val="00AD126F"/>
    <w:rsid w:val="00AD15D3"/>
    <w:rsid w:val="00AD1823"/>
    <w:rsid w:val="00AD2252"/>
    <w:rsid w:val="00AD273B"/>
    <w:rsid w:val="00AD2AEC"/>
    <w:rsid w:val="00AD2C15"/>
    <w:rsid w:val="00AD2C3E"/>
    <w:rsid w:val="00AD2E49"/>
    <w:rsid w:val="00AD2FE5"/>
    <w:rsid w:val="00AD3425"/>
    <w:rsid w:val="00AD3494"/>
    <w:rsid w:val="00AD3697"/>
    <w:rsid w:val="00AD386D"/>
    <w:rsid w:val="00AD3933"/>
    <w:rsid w:val="00AD3BE5"/>
    <w:rsid w:val="00AD3C85"/>
    <w:rsid w:val="00AD3CBF"/>
    <w:rsid w:val="00AD3E99"/>
    <w:rsid w:val="00AD413D"/>
    <w:rsid w:val="00AD4262"/>
    <w:rsid w:val="00AD42EB"/>
    <w:rsid w:val="00AD45A2"/>
    <w:rsid w:val="00AD4D9A"/>
    <w:rsid w:val="00AD4DA1"/>
    <w:rsid w:val="00AD4EA4"/>
    <w:rsid w:val="00AD5177"/>
    <w:rsid w:val="00AD5620"/>
    <w:rsid w:val="00AD5C4D"/>
    <w:rsid w:val="00AD60D2"/>
    <w:rsid w:val="00AD6361"/>
    <w:rsid w:val="00AD64E6"/>
    <w:rsid w:val="00AD6CE9"/>
    <w:rsid w:val="00AD6D26"/>
    <w:rsid w:val="00AD6E39"/>
    <w:rsid w:val="00AD7129"/>
    <w:rsid w:val="00AD7468"/>
    <w:rsid w:val="00AD782B"/>
    <w:rsid w:val="00AD78F9"/>
    <w:rsid w:val="00AD7906"/>
    <w:rsid w:val="00AD7A02"/>
    <w:rsid w:val="00AD7BCD"/>
    <w:rsid w:val="00AE0106"/>
    <w:rsid w:val="00AE0258"/>
    <w:rsid w:val="00AE02D2"/>
    <w:rsid w:val="00AE03F3"/>
    <w:rsid w:val="00AE086B"/>
    <w:rsid w:val="00AE0B9E"/>
    <w:rsid w:val="00AE1540"/>
    <w:rsid w:val="00AE154D"/>
    <w:rsid w:val="00AE19F6"/>
    <w:rsid w:val="00AE1B8D"/>
    <w:rsid w:val="00AE1EC5"/>
    <w:rsid w:val="00AE1FC1"/>
    <w:rsid w:val="00AE1FFC"/>
    <w:rsid w:val="00AE2294"/>
    <w:rsid w:val="00AE22A9"/>
    <w:rsid w:val="00AE23A8"/>
    <w:rsid w:val="00AE29B1"/>
    <w:rsid w:val="00AE2DF9"/>
    <w:rsid w:val="00AE2EDB"/>
    <w:rsid w:val="00AE303D"/>
    <w:rsid w:val="00AE31FE"/>
    <w:rsid w:val="00AE3224"/>
    <w:rsid w:val="00AE35AE"/>
    <w:rsid w:val="00AE3BBA"/>
    <w:rsid w:val="00AE3BD8"/>
    <w:rsid w:val="00AE3EC7"/>
    <w:rsid w:val="00AE416A"/>
    <w:rsid w:val="00AE4235"/>
    <w:rsid w:val="00AE42FB"/>
    <w:rsid w:val="00AE43B0"/>
    <w:rsid w:val="00AE465B"/>
    <w:rsid w:val="00AE476A"/>
    <w:rsid w:val="00AE4894"/>
    <w:rsid w:val="00AE4B24"/>
    <w:rsid w:val="00AE4B9F"/>
    <w:rsid w:val="00AE52EE"/>
    <w:rsid w:val="00AE5346"/>
    <w:rsid w:val="00AE574A"/>
    <w:rsid w:val="00AE5771"/>
    <w:rsid w:val="00AE5812"/>
    <w:rsid w:val="00AE5DF9"/>
    <w:rsid w:val="00AE614D"/>
    <w:rsid w:val="00AE66B2"/>
    <w:rsid w:val="00AE6751"/>
    <w:rsid w:val="00AE6944"/>
    <w:rsid w:val="00AE6B1A"/>
    <w:rsid w:val="00AE6C6B"/>
    <w:rsid w:val="00AE6EC1"/>
    <w:rsid w:val="00AE6F03"/>
    <w:rsid w:val="00AE7949"/>
    <w:rsid w:val="00AE7CE5"/>
    <w:rsid w:val="00AE7D29"/>
    <w:rsid w:val="00AF024D"/>
    <w:rsid w:val="00AF0B94"/>
    <w:rsid w:val="00AF0DC6"/>
    <w:rsid w:val="00AF0DF1"/>
    <w:rsid w:val="00AF0EBF"/>
    <w:rsid w:val="00AF1017"/>
    <w:rsid w:val="00AF10A4"/>
    <w:rsid w:val="00AF18B3"/>
    <w:rsid w:val="00AF1953"/>
    <w:rsid w:val="00AF1996"/>
    <w:rsid w:val="00AF1D4E"/>
    <w:rsid w:val="00AF2435"/>
    <w:rsid w:val="00AF266A"/>
    <w:rsid w:val="00AF2822"/>
    <w:rsid w:val="00AF2897"/>
    <w:rsid w:val="00AF2C7D"/>
    <w:rsid w:val="00AF2F1F"/>
    <w:rsid w:val="00AF345E"/>
    <w:rsid w:val="00AF35AF"/>
    <w:rsid w:val="00AF3655"/>
    <w:rsid w:val="00AF3714"/>
    <w:rsid w:val="00AF3882"/>
    <w:rsid w:val="00AF38D4"/>
    <w:rsid w:val="00AF3DAD"/>
    <w:rsid w:val="00AF3FCF"/>
    <w:rsid w:val="00AF407D"/>
    <w:rsid w:val="00AF41DA"/>
    <w:rsid w:val="00AF4322"/>
    <w:rsid w:val="00AF47BF"/>
    <w:rsid w:val="00AF496D"/>
    <w:rsid w:val="00AF49EA"/>
    <w:rsid w:val="00AF4BEB"/>
    <w:rsid w:val="00AF4C7B"/>
    <w:rsid w:val="00AF541A"/>
    <w:rsid w:val="00AF5472"/>
    <w:rsid w:val="00AF5653"/>
    <w:rsid w:val="00AF56B1"/>
    <w:rsid w:val="00AF573B"/>
    <w:rsid w:val="00AF58B2"/>
    <w:rsid w:val="00AF5AFD"/>
    <w:rsid w:val="00AF6052"/>
    <w:rsid w:val="00AF622C"/>
    <w:rsid w:val="00AF63C1"/>
    <w:rsid w:val="00AF64E8"/>
    <w:rsid w:val="00AF66BE"/>
    <w:rsid w:val="00AF66FD"/>
    <w:rsid w:val="00AF6912"/>
    <w:rsid w:val="00AF69E8"/>
    <w:rsid w:val="00AF6ADF"/>
    <w:rsid w:val="00AF72A2"/>
    <w:rsid w:val="00AF7558"/>
    <w:rsid w:val="00AF7BA1"/>
    <w:rsid w:val="00AF7FFA"/>
    <w:rsid w:val="00B0002C"/>
    <w:rsid w:val="00B002CF"/>
    <w:rsid w:val="00B0043A"/>
    <w:rsid w:val="00B00450"/>
    <w:rsid w:val="00B00467"/>
    <w:rsid w:val="00B005DF"/>
    <w:rsid w:val="00B0074F"/>
    <w:rsid w:val="00B00D86"/>
    <w:rsid w:val="00B01038"/>
    <w:rsid w:val="00B0106C"/>
    <w:rsid w:val="00B011A8"/>
    <w:rsid w:val="00B012A8"/>
    <w:rsid w:val="00B012F5"/>
    <w:rsid w:val="00B01325"/>
    <w:rsid w:val="00B013BB"/>
    <w:rsid w:val="00B016D8"/>
    <w:rsid w:val="00B0172C"/>
    <w:rsid w:val="00B017F2"/>
    <w:rsid w:val="00B0194D"/>
    <w:rsid w:val="00B01C16"/>
    <w:rsid w:val="00B01EFF"/>
    <w:rsid w:val="00B01F47"/>
    <w:rsid w:val="00B027C1"/>
    <w:rsid w:val="00B02C8C"/>
    <w:rsid w:val="00B02EC5"/>
    <w:rsid w:val="00B03039"/>
    <w:rsid w:val="00B03BB6"/>
    <w:rsid w:val="00B03C47"/>
    <w:rsid w:val="00B03D89"/>
    <w:rsid w:val="00B03E38"/>
    <w:rsid w:val="00B03E4F"/>
    <w:rsid w:val="00B03E5F"/>
    <w:rsid w:val="00B03F13"/>
    <w:rsid w:val="00B03F3D"/>
    <w:rsid w:val="00B0404E"/>
    <w:rsid w:val="00B04842"/>
    <w:rsid w:val="00B048EA"/>
    <w:rsid w:val="00B048F4"/>
    <w:rsid w:val="00B04D5F"/>
    <w:rsid w:val="00B05095"/>
    <w:rsid w:val="00B05581"/>
    <w:rsid w:val="00B05654"/>
    <w:rsid w:val="00B05774"/>
    <w:rsid w:val="00B0580E"/>
    <w:rsid w:val="00B059A0"/>
    <w:rsid w:val="00B05A2A"/>
    <w:rsid w:val="00B05ACC"/>
    <w:rsid w:val="00B05D41"/>
    <w:rsid w:val="00B05DDE"/>
    <w:rsid w:val="00B05EA0"/>
    <w:rsid w:val="00B05EE5"/>
    <w:rsid w:val="00B0621C"/>
    <w:rsid w:val="00B06C5D"/>
    <w:rsid w:val="00B07043"/>
    <w:rsid w:val="00B0721A"/>
    <w:rsid w:val="00B07770"/>
    <w:rsid w:val="00B077D0"/>
    <w:rsid w:val="00B07EC5"/>
    <w:rsid w:val="00B07F70"/>
    <w:rsid w:val="00B10061"/>
    <w:rsid w:val="00B101E6"/>
    <w:rsid w:val="00B10B4A"/>
    <w:rsid w:val="00B1118C"/>
    <w:rsid w:val="00B112B6"/>
    <w:rsid w:val="00B113EF"/>
    <w:rsid w:val="00B1159B"/>
    <w:rsid w:val="00B118AC"/>
    <w:rsid w:val="00B11B6A"/>
    <w:rsid w:val="00B121FC"/>
    <w:rsid w:val="00B122DD"/>
    <w:rsid w:val="00B1297F"/>
    <w:rsid w:val="00B12CEB"/>
    <w:rsid w:val="00B130B9"/>
    <w:rsid w:val="00B130FF"/>
    <w:rsid w:val="00B1350D"/>
    <w:rsid w:val="00B13668"/>
    <w:rsid w:val="00B136F5"/>
    <w:rsid w:val="00B13768"/>
    <w:rsid w:val="00B13B43"/>
    <w:rsid w:val="00B13F11"/>
    <w:rsid w:val="00B14230"/>
    <w:rsid w:val="00B14319"/>
    <w:rsid w:val="00B14391"/>
    <w:rsid w:val="00B1455C"/>
    <w:rsid w:val="00B1484D"/>
    <w:rsid w:val="00B14AC7"/>
    <w:rsid w:val="00B150AD"/>
    <w:rsid w:val="00B15274"/>
    <w:rsid w:val="00B15521"/>
    <w:rsid w:val="00B156D0"/>
    <w:rsid w:val="00B157D2"/>
    <w:rsid w:val="00B15822"/>
    <w:rsid w:val="00B15A22"/>
    <w:rsid w:val="00B15CBA"/>
    <w:rsid w:val="00B15D2C"/>
    <w:rsid w:val="00B15FB3"/>
    <w:rsid w:val="00B16095"/>
    <w:rsid w:val="00B163A9"/>
    <w:rsid w:val="00B165DF"/>
    <w:rsid w:val="00B16722"/>
    <w:rsid w:val="00B16734"/>
    <w:rsid w:val="00B1731B"/>
    <w:rsid w:val="00B1735C"/>
    <w:rsid w:val="00B177CE"/>
    <w:rsid w:val="00B17E04"/>
    <w:rsid w:val="00B17E41"/>
    <w:rsid w:val="00B17F1E"/>
    <w:rsid w:val="00B20165"/>
    <w:rsid w:val="00B204CE"/>
    <w:rsid w:val="00B2052E"/>
    <w:rsid w:val="00B20530"/>
    <w:rsid w:val="00B20BE6"/>
    <w:rsid w:val="00B20BF1"/>
    <w:rsid w:val="00B20C21"/>
    <w:rsid w:val="00B21208"/>
    <w:rsid w:val="00B212B3"/>
    <w:rsid w:val="00B21586"/>
    <w:rsid w:val="00B215D2"/>
    <w:rsid w:val="00B21B41"/>
    <w:rsid w:val="00B21C29"/>
    <w:rsid w:val="00B21E91"/>
    <w:rsid w:val="00B2217A"/>
    <w:rsid w:val="00B223D1"/>
    <w:rsid w:val="00B224A3"/>
    <w:rsid w:val="00B225D4"/>
    <w:rsid w:val="00B225D7"/>
    <w:rsid w:val="00B229AC"/>
    <w:rsid w:val="00B229C9"/>
    <w:rsid w:val="00B22BB8"/>
    <w:rsid w:val="00B22BD8"/>
    <w:rsid w:val="00B22F3D"/>
    <w:rsid w:val="00B23467"/>
    <w:rsid w:val="00B236BE"/>
    <w:rsid w:val="00B23736"/>
    <w:rsid w:val="00B23A1B"/>
    <w:rsid w:val="00B23BA9"/>
    <w:rsid w:val="00B23E1B"/>
    <w:rsid w:val="00B23E99"/>
    <w:rsid w:val="00B23EA3"/>
    <w:rsid w:val="00B23F52"/>
    <w:rsid w:val="00B24501"/>
    <w:rsid w:val="00B24590"/>
    <w:rsid w:val="00B24591"/>
    <w:rsid w:val="00B24717"/>
    <w:rsid w:val="00B24764"/>
    <w:rsid w:val="00B24980"/>
    <w:rsid w:val="00B2524E"/>
    <w:rsid w:val="00B252EE"/>
    <w:rsid w:val="00B253B0"/>
    <w:rsid w:val="00B25547"/>
    <w:rsid w:val="00B255A1"/>
    <w:rsid w:val="00B256FC"/>
    <w:rsid w:val="00B2571E"/>
    <w:rsid w:val="00B25765"/>
    <w:rsid w:val="00B25923"/>
    <w:rsid w:val="00B25A7B"/>
    <w:rsid w:val="00B25BAB"/>
    <w:rsid w:val="00B25F81"/>
    <w:rsid w:val="00B2620F"/>
    <w:rsid w:val="00B265A3"/>
    <w:rsid w:val="00B26B99"/>
    <w:rsid w:val="00B2703E"/>
    <w:rsid w:val="00B27288"/>
    <w:rsid w:val="00B27543"/>
    <w:rsid w:val="00B27716"/>
    <w:rsid w:val="00B27AF6"/>
    <w:rsid w:val="00B27D10"/>
    <w:rsid w:val="00B27F04"/>
    <w:rsid w:val="00B302D7"/>
    <w:rsid w:val="00B302FA"/>
    <w:rsid w:val="00B30708"/>
    <w:rsid w:val="00B30DC4"/>
    <w:rsid w:val="00B30FDD"/>
    <w:rsid w:val="00B3122B"/>
    <w:rsid w:val="00B313E3"/>
    <w:rsid w:val="00B31637"/>
    <w:rsid w:val="00B3165E"/>
    <w:rsid w:val="00B31EA6"/>
    <w:rsid w:val="00B323C8"/>
    <w:rsid w:val="00B3252B"/>
    <w:rsid w:val="00B3288E"/>
    <w:rsid w:val="00B332B2"/>
    <w:rsid w:val="00B33338"/>
    <w:rsid w:val="00B335BD"/>
    <w:rsid w:val="00B3373C"/>
    <w:rsid w:val="00B33EFE"/>
    <w:rsid w:val="00B3401B"/>
    <w:rsid w:val="00B340C8"/>
    <w:rsid w:val="00B341D5"/>
    <w:rsid w:val="00B346C8"/>
    <w:rsid w:val="00B34B30"/>
    <w:rsid w:val="00B34B5D"/>
    <w:rsid w:val="00B34D63"/>
    <w:rsid w:val="00B35064"/>
    <w:rsid w:val="00B35115"/>
    <w:rsid w:val="00B3549A"/>
    <w:rsid w:val="00B3549B"/>
    <w:rsid w:val="00B354FD"/>
    <w:rsid w:val="00B3553D"/>
    <w:rsid w:val="00B35727"/>
    <w:rsid w:val="00B35CA7"/>
    <w:rsid w:val="00B35CFA"/>
    <w:rsid w:val="00B3649E"/>
    <w:rsid w:val="00B36572"/>
    <w:rsid w:val="00B36573"/>
    <w:rsid w:val="00B36737"/>
    <w:rsid w:val="00B3673D"/>
    <w:rsid w:val="00B367E7"/>
    <w:rsid w:val="00B36A52"/>
    <w:rsid w:val="00B36C6F"/>
    <w:rsid w:val="00B36E52"/>
    <w:rsid w:val="00B36F10"/>
    <w:rsid w:val="00B36FE2"/>
    <w:rsid w:val="00B377B0"/>
    <w:rsid w:val="00B3788A"/>
    <w:rsid w:val="00B37B31"/>
    <w:rsid w:val="00B406A0"/>
    <w:rsid w:val="00B4072A"/>
    <w:rsid w:val="00B40945"/>
    <w:rsid w:val="00B40AE7"/>
    <w:rsid w:val="00B40B8D"/>
    <w:rsid w:val="00B40B9C"/>
    <w:rsid w:val="00B40CB4"/>
    <w:rsid w:val="00B40FFB"/>
    <w:rsid w:val="00B4106B"/>
    <w:rsid w:val="00B4112D"/>
    <w:rsid w:val="00B411E7"/>
    <w:rsid w:val="00B412BD"/>
    <w:rsid w:val="00B41487"/>
    <w:rsid w:val="00B41C2B"/>
    <w:rsid w:val="00B41CC7"/>
    <w:rsid w:val="00B4209C"/>
    <w:rsid w:val="00B4227C"/>
    <w:rsid w:val="00B422A8"/>
    <w:rsid w:val="00B4287E"/>
    <w:rsid w:val="00B428A3"/>
    <w:rsid w:val="00B429EE"/>
    <w:rsid w:val="00B42A8A"/>
    <w:rsid w:val="00B42FBB"/>
    <w:rsid w:val="00B43032"/>
    <w:rsid w:val="00B43146"/>
    <w:rsid w:val="00B43648"/>
    <w:rsid w:val="00B438AA"/>
    <w:rsid w:val="00B43A75"/>
    <w:rsid w:val="00B43AF6"/>
    <w:rsid w:val="00B441F2"/>
    <w:rsid w:val="00B442E6"/>
    <w:rsid w:val="00B4454B"/>
    <w:rsid w:val="00B44868"/>
    <w:rsid w:val="00B448CE"/>
    <w:rsid w:val="00B44EFA"/>
    <w:rsid w:val="00B4515F"/>
    <w:rsid w:val="00B451CD"/>
    <w:rsid w:val="00B45225"/>
    <w:rsid w:val="00B45375"/>
    <w:rsid w:val="00B45451"/>
    <w:rsid w:val="00B45548"/>
    <w:rsid w:val="00B455D7"/>
    <w:rsid w:val="00B45CB7"/>
    <w:rsid w:val="00B45D5D"/>
    <w:rsid w:val="00B45E16"/>
    <w:rsid w:val="00B45ECF"/>
    <w:rsid w:val="00B45F55"/>
    <w:rsid w:val="00B45F9D"/>
    <w:rsid w:val="00B46249"/>
    <w:rsid w:val="00B4679F"/>
    <w:rsid w:val="00B46D76"/>
    <w:rsid w:val="00B471EC"/>
    <w:rsid w:val="00B47214"/>
    <w:rsid w:val="00B472F6"/>
    <w:rsid w:val="00B47540"/>
    <w:rsid w:val="00B475AF"/>
    <w:rsid w:val="00B4769D"/>
    <w:rsid w:val="00B478E1"/>
    <w:rsid w:val="00B4797F"/>
    <w:rsid w:val="00B4799A"/>
    <w:rsid w:val="00B479E8"/>
    <w:rsid w:val="00B47A3C"/>
    <w:rsid w:val="00B47E76"/>
    <w:rsid w:val="00B501B1"/>
    <w:rsid w:val="00B50622"/>
    <w:rsid w:val="00B5070A"/>
    <w:rsid w:val="00B5081E"/>
    <w:rsid w:val="00B508CB"/>
    <w:rsid w:val="00B509FF"/>
    <w:rsid w:val="00B50FD7"/>
    <w:rsid w:val="00B5124B"/>
    <w:rsid w:val="00B51D24"/>
    <w:rsid w:val="00B51ED5"/>
    <w:rsid w:val="00B51FBE"/>
    <w:rsid w:val="00B520DE"/>
    <w:rsid w:val="00B5242B"/>
    <w:rsid w:val="00B5281A"/>
    <w:rsid w:val="00B5293D"/>
    <w:rsid w:val="00B52C0C"/>
    <w:rsid w:val="00B53450"/>
    <w:rsid w:val="00B534AD"/>
    <w:rsid w:val="00B53691"/>
    <w:rsid w:val="00B53E59"/>
    <w:rsid w:val="00B53E6A"/>
    <w:rsid w:val="00B53ED2"/>
    <w:rsid w:val="00B5404D"/>
    <w:rsid w:val="00B548AA"/>
    <w:rsid w:val="00B5498B"/>
    <w:rsid w:val="00B54DA3"/>
    <w:rsid w:val="00B551E3"/>
    <w:rsid w:val="00B559E6"/>
    <w:rsid w:val="00B55AC1"/>
    <w:rsid w:val="00B55BD4"/>
    <w:rsid w:val="00B55C69"/>
    <w:rsid w:val="00B55FE0"/>
    <w:rsid w:val="00B56097"/>
    <w:rsid w:val="00B560C2"/>
    <w:rsid w:val="00B56446"/>
    <w:rsid w:val="00B565A7"/>
    <w:rsid w:val="00B56CB8"/>
    <w:rsid w:val="00B56CCA"/>
    <w:rsid w:val="00B56E5F"/>
    <w:rsid w:val="00B56E83"/>
    <w:rsid w:val="00B5715B"/>
    <w:rsid w:val="00B5747E"/>
    <w:rsid w:val="00B5788A"/>
    <w:rsid w:val="00B57BF5"/>
    <w:rsid w:val="00B57E10"/>
    <w:rsid w:val="00B60474"/>
    <w:rsid w:val="00B606C0"/>
    <w:rsid w:val="00B606D6"/>
    <w:rsid w:val="00B608A3"/>
    <w:rsid w:val="00B609DD"/>
    <w:rsid w:val="00B60A41"/>
    <w:rsid w:val="00B60A83"/>
    <w:rsid w:val="00B60C07"/>
    <w:rsid w:val="00B611CE"/>
    <w:rsid w:val="00B611F0"/>
    <w:rsid w:val="00B614F0"/>
    <w:rsid w:val="00B6187B"/>
    <w:rsid w:val="00B61AA4"/>
    <w:rsid w:val="00B61DBB"/>
    <w:rsid w:val="00B61E7E"/>
    <w:rsid w:val="00B62382"/>
    <w:rsid w:val="00B62668"/>
    <w:rsid w:val="00B62EDC"/>
    <w:rsid w:val="00B6307F"/>
    <w:rsid w:val="00B63307"/>
    <w:rsid w:val="00B635C8"/>
    <w:rsid w:val="00B637A3"/>
    <w:rsid w:val="00B6380F"/>
    <w:rsid w:val="00B63E60"/>
    <w:rsid w:val="00B6400E"/>
    <w:rsid w:val="00B643C5"/>
    <w:rsid w:val="00B64642"/>
    <w:rsid w:val="00B646B3"/>
    <w:rsid w:val="00B649D7"/>
    <w:rsid w:val="00B65016"/>
    <w:rsid w:val="00B650D5"/>
    <w:rsid w:val="00B65169"/>
    <w:rsid w:val="00B655DA"/>
    <w:rsid w:val="00B65899"/>
    <w:rsid w:val="00B65BE3"/>
    <w:rsid w:val="00B65D30"/>
    <w:rsid w:val="00B65F0A"/>
    <w:rsid w:val="00B65F7C"/>
    <w:rsid w:val="00B6628D"/>
    <w:rsid w:val="00B669E1"/>
    <w:rsid w:val="00B66B94"/>
    <w:rsid w:val="00B66D33"/>
    <w:rsid w:val="00B66F67"/>
    <w:rsid w:val="00B66FD8"/>
    <w:rsid w:val="00B66FF8"/>
    <w:rsid w:val="00B6745B"/>
    <w:rsid w:val="00B675DF"/>
    <w:rsid w:val="00B67E6B"/>
    <w:rsid w:val="00B67F3A"/>
    <w:rsid w:val="00B67F3F"/>
    <w:rsid w:val="00B7023E"/>
    <w:rsid w:val="00B7029B"/>
    <w:rsid w:val="00B70428"/>
    <w:rsid w:val="00B705E1"/>
    <w:rsid w:val="00B70984"/>
    <w:rsid w:val="00B70A11"/>
    <w:rsid w:val="00B70AFB"/>
    <w:rsid w:val="00B70E61"/>
    <w:rsid w:val="00B712F2"/>
    <w:rsid w:val="00B71429"/>
    <w:rsid w:val="00B714A0"/>
    <w:rsid w:val="00B71935"/>
    <w:rsid w:val="00B71F7A"/>
    <w:rsid w:val="00B7224A"/>
    <w:rsid w:val="00B723C9"/>
    <w:rsid w:val="00B72807"/>
    <w:rsid w:val="00B72988"/>
    <w:rsid w:val="00B72BAF"/>
    <w:rsid w:val="00B72D5E"/>
    <w:rsid w:val="00B72EA8"/>
    <w:rsid w:val="00B73186"/>
    <w:rsid w:val="00B73702"/>
    <w:rsid w:val="00B73728"/>
    <w:rsid w:val="00B73893"/>
    <w:rsid w:val="00B73947"/>
    <w:rsid w:val="00B739F7"/>
    <w:rsid w:val="00B73C0D"/>
    <w:rsid w:val="00B73ED2"/>
    <w:rsid w:val="00B7401E"/>
    <w:rsid w:val="00B74757"/>
    <w:rsid w:val="00B74E82"/>
    <w:rsid w:val="00B7543B"/>
    <w:rsid w:val="00B754C3"/>
    <w:rsid w:val="00B7558D"/>
    <w:rsid w:val="00B756AB"/>
    <w:rsid w:val="00B75C17"/>
    <w:rsid w:val="00B75C69"/>
    <w:rsid w:val="00B7607F"/>
    <w:rsid w:val="00B76121"/>
    <w:rsid w:val="00B763D1"/>
    <w:rsid w:val="00B767AE"/>
    <w:rsid w:val="00B768AB"/>
    <w:rsid w:val="00B76981"/>
    <w:rsid w:val="00B76BF3"/>
    <w:rsid w:val="00B76F53"/>
    <w:rsid w:val="00B76F8A"/>
    <w:rsid w:val="00B77452"/>
    <w:rsid w:val="00B777D8"/>
    <w:rsid w:val="00B7784B"/>
    <w:rsid w:val="00B779C2"/>
    <w:rsid w:val="00B8031F"/>
    <w:rsid w:val="00B80503"/>
    <w:rsid w:val="00B80505"/>
    <w:rsid w:val="00B805E8"/>
    <w:rsid w:val="00B80700"/>
    <w:rsid w:val="00B8080F"/>
    <w:rsid w:val="00B8089F"/>
    <w:rsid w:val="00B809D0"/>
    <w:rsid w:val="00B80A9C"/>
    <w:rsid w:val="00B80EC4"/>
    <w:rsid w:val="00B8140A"/>
    <w:rsid w:val="00B8142C"/>
    <w:rsid w:val="00B81547"/>
    <w:rsid w:val="00B81791"/>
    <w:rsid w:val="00B817F0"/>
    <w:rsid w:val="00B81B46"/>
    <w:rsid w:val="00B81E63"/>
    <w:rsid w:val="00B81F5F"/>
    <w:rsid w:val="00B82126"/>
    <w:rsid w:val="00B8222A"/>
    <w:rsid w:val="00B8292F"/>
    <w:rsid w:val="00B82A71"/>
    <w:rsid w:val="00B82C59"/>
    <w:rsid w:val="00B82D00"/>
    <w:rsid w:val="00B82EF7"/>
    <w:rsid w:val="00B82FF6"/>
    <w:rsid w:val="00B83F43"/>
    <w:rsid w:val="00B84054"/>
    <w:rsid w:val="00B84273"/>
    <w:rsid w:val="00B843A0"/>
    <w:rsid w:val="00B8499F"/>
    <w:rsid w:val="00B84ACC"/>
    <w:rsid w:val="00B84BC9"/>
    <w:rsid w:val="00B84DD2"/>
    <w:rsid w:val="00B84EDD"/>
    <w:rsid w:val="00B8532F"/>
    <w:rsid w:val="00B858E9"/>
    <w:rsid w:val="00B858F1"/>
    <w:rsid w:val="00B85BCC"/>
    <w:rsid w:val="00B85DA6"/>
    <w:rsid w:val="00B85E35"/>
    <w:rsid w:val="00B860D2"/>
    <w:rsid w:val="00B861AB"/>
    <w:rsid w:val="00B86257"/>
    <w:rsid w:val="00B864AB"/>
    <w:rsid w:val="00B864C7"/>
    <w:rsid w:val="00B86582"/>
    <w:rsid w:val="00B869A6"/>
    <w:rsid w:val="00B86ACE"/>
    <w:rsid w:val="00B86BA5"/>
    <w:rsid w:val="00B86BCC"/>
    <w:rsid w:val="00B86C5D"/>
    <w:rsid w:val="00B86C78"/>
    <w:rsid w:val="00B86CC3"/>
    <w:rsid w:val="00B86D28"/>
    <w:rsid w:val="00B86E75"/>
    <w:rsid w:val="00B870D8"/>
    <w:rsid w:val="00B870E6"/>
    <w:rsid w:val="00B87559"/>
    <w:rsid w:val="00B87976"/>
    <w:rsid w:val="00B87A47"/>
    <w:rsid w:val="00B87BAA"/>
    <w:rsid w:val="00B87CD5"/>
    <w:rsid w:val="00B903F7"/>
    <w:rsid w:val="00B904DD"/>
    <w:rsid w:val="00B90688"/>
    <w:rsid w:val="00B908A7"/>
    <w:rsid w:val="00B90B37"/>
    <w:rsid w:val="00B90B3E"/>
    <w:rsid w:val="00B90D34"/>
    <w:rsid w:val="00B912C2"/>
    <w:rsid w:val="00B91410"/>
    <w:rsid w:val="00B91494"/>
    <w:rsid w:val="00B91792"/>
    <w:rsid w:val="00B91819"/>
    <w:rsid w:val="00B918A7"/>
    <w:rsid w:val="00B9197B"/>
    <w:rsid w:val="00B91B7D"/>
    <w:rsid w:val="00B91F09"/>
    <w:rsid w:val="00B92390"/>
    <w:rsid w:val="00B92865"/>
    <w:rsid w:val="00B92A19"/>
    <w:rsid w:val="00B92BD5"/>
    <w:rsid w:val="00B92D6E"/>
    <w:rsid w:val="00B937D3"/>
    <w:rsid w:val="00B93885"/>
    <w:rsid w:val="00B939EC"/>
    <w:rsid w:val="00B93B18"/>
    <w:rsid w:val="00B93D46"/>
    <w:rsid w:val="00B94024"/>
    <w:rsid w:val="00B94136"/>
    <w:rsid w:val="00B946A5"/>
    <w:rsid w:val="00B94888"/>
    <w:rsid w:val="00B94A30"/>
    <w:rsid w:val="00B94C5F"/>
    <w:rsid w:val="00B94E47"/>
    <w:rsid w:val="00B95456"/>
    <w:rsid w:val="00B954A7"/>
    <w:rsid w:val="00B954AF"/>
    <w:rsid w:val="00B95693"/>
    <w:rsid w:val="00B9587A"/>
    <w:rsid w:val="00B95C9D"/>
    <w:rsid w:val="00B95DAC"/>
    <w:rsid w:val="00B95EF1"/>
    <w:rsid w:val="00B9602C"/>
    <w:rsid w:val="00B96A3A"/>
    <w:rsid w:val="00B96BE2"/>
    <w:rsid w:val="00B96C78"/>
    <w:rsid w:val="00B96DAC"/>
    <w:rsid w:val="00B96E35"/>
    <w:rsid w:val="00B96E6C"/>
    <w:rsid w:val="00B970EA"/>
    <w:rsid w:val="00B97177"/>
    <w:rsid w:val="00B97283"/>
    <w:rsid w:val="00B977CE"/>
    <w:rsid w:val="00B978D0"/>
    <w:rsid w:val="00B97960"/>
    <w:rsid w:val="00B97A44"/>
    <w:rsid w:val="00B97DB9"/>
    <w:rsid w:val="00BA01C9"/>
    <w:rsid w:val="00BA0760"/>
    <w:rsid w:val="00BA0856"/>
    <w:rsid w:val="00BA087F"/>
    <w:rsid w:val="00BA0BA5"/>
    <w:rsid w:val="00BA0CBF"/>
    <w:rsid w:val="00BA12AB"/>
    <w:rsid w:val="00BA12C6"/>
    <w:rsid w:val="00BA12CF"/>
    <w:rsid w:val="00BA13DF"/>
    <w:rsid w:val="00BA1A6E"/>
    <w:rsid w:val="00BA1FD8"/>
    <w:rsid w:val="00BA2014"/>
    <w:rsid w:val="00BA2079"/>
    <w:rsid w:val="00BA2125"/>
    <w:rsid w:val="00BA2263"/>
    <w:rsid w:val="00BA2349"/>
    <w:rsid w:val="00BA254A"/>
    <w:rsid w:val="00BA29A4"/>
    <w:rsid w:val="00BA29A8"/>
    <w:rsid w:val="00BA2C94"/>
    <w:rsid w:val="00BA2DB5"/>
    <w:rsid w:val="00BA2F5E"/>
    <w:rsid w:val="00BA327B"/>
    <w:rsid w:val="00BA3381"/>
    <w:rsid w:val="00BA3503"/>
    <w:rsid w:val="00BA3582"/>
    <w:rsid w:val="00BA3658"/>
    <w:rsid w:val="00BA37DF"/>
    <w:rsid w:val="00BA3912"/>
    <w:rsid w:val="00BA39C3"/>
    <w:rsid w:val="00BA3A23"/>
    <w:rsid w:val="00BA3A7C"/>
    <w:rsid w:val="00BA3ACD"/>
    <w:rsid w:val="00BA3B34"/>
    <w:rsid w:val="00BA456B"/>
    <w:rsid w:val="00BA4596"/>
    <w:rsid w:val="00BA47C0"/>
    <w:rsid w:val="00BA4888"/>
    <w:rsid w:val="00BA48B5"/>
    <w:rsid w:val="00BA4AEC"/>
    <w:rsid w:val="00BA4B07"/>
    <w:rsid w:val="00BA4B09"/>
    <w:rsid w:val="00BA4BAB"/>
    <w:rsid w:val="00BA4EAE"/>
    <w:rsid w:val="00BA513F"/>
    <w:rsid w:val="00BA5553"/>
    <w:rsid w:val="00BA58B9"/>
    <w:rsid w:val="00BA59D0"/>
    <w:rsid w:val="00BA5A32"/>
    <w:rsid w:val="00BA5AFB"/>
    <w:rsid w:val="00BA5BA2"/>
    <w:rsid w:val="00BA64AF"/>
    <w:rsid w:val="00BA67F8"/>
    <w:rsid w:val="00BA712F"/>
    <w:rsid w:val="00BA7198"/>
    <w:rsid w:val="00BA7381"/>
    <w:rsid w:val="00BA77B5"/>
    <w:rsid w:val="00BA77EC"/>
    <w:rsid w:val="00BA78FA"/>
    <w:rsid w:val="00BA7ACD"/>
    <w:rsid w:val="00BA7BC7"/>
    <w:rsid w:val="00BA7F05"/>
    <w:rsid w:val="00BB0883"/>
    <w:rsid w:val="00BB096C"/>
    <w:rsid w:val="00BB0AB8"/>
    <w:rsid w:val="00BB0B3D"/>
    <w:rsid w:val="00BB0D92"/>
    <w:rsid w:val="00BB1027"/>
    <w:rsid w:val="00BB12CB"/>
    <w:rsid w:val="00BB133D"/>
    <w:rsid w:val="00BB149B"/>
    <w:rsid w:val="00BB1589"/>
    <w:rsid w:val="00BB17B1"/>
    <w:rsid w:val="00BB1A0C"/>
    <w:rsid w:val="00BB1B86"/>
    <w:rsid w:val="00BB1CC7"/>
    <w:rsid w:val="00BB1F04"/>
    <w:rsid w:val="00BB1F5C"/>
    <w:rsid w:val="00BB23E5"/>
    <w:rsid w:val="00BB2410"/>
    <w:rsid w:val="00BB245A"/>
    <w:rsid w:val="00BB250D"/>
    <w:rsid w:val="00BB251A"/>
    <w:rsid w:val="00BB29F5"/>
    <w:rsid w:val="00BB2A92"/>
    <w:rsid w:val="00BB2B3D"/>
    <w:rsid w:val="00BB2DB9"/>
    <w:rsid w:val="00BB2FB4"/>
    <w:rsid w:val="00BB2FE8"/>
    <w:rsid w:val="00BB323C"/>
    <w:rsid w:val="00BB34DE"/>
    <w:rsid w:val="00BB3813"/>
    <w:rsid w:val="00BB3840"/>
    <w:rsid w:val="00BB3A29"/>
    <w:rsid w:val="00BB3BC6"/>
    <w:rsid w:val="00BB3CA6"/>
    <w:rsid w:val="00BB3D1D"/>
    <w:rsid w:val="00BB3ECF"/>
    <w:rsid w:val="00BB4168"/>
    <w:rsid w:val="00BB4989"/>
    <w:rsid w:val="00BB5077"/>
    <w:rsid w:val="00BB5227"/>
    <w:rsid w:val="00BB541A"/>
    <w:rsid w:val="00BB56D8"/>
    <w:rsid w:val="00BB572A"/>
    <w:rsid w:val="00BB59CE"/>
    <w:rsid w:val="00BB5C9E"/>
    <w:rsid w:val="00BB5DC1"/>
    <w:rsid w:val="00BB5EDD"/>
    <w:rsid w:val="00BB6323"/>
    <w:rsid w:val="00BB6346"/>
    <w:rsid w:val="00BB63DF"/>
    <w:rsid w:val="00BB661A"/>
    <w:rsid w:val="00BB6B86"/>
    <w:rsid w:val="00BB6C0F"/>
    <w:rsid w:val="00BB7208"/>
    <w:rsid w:val="00BB733B"/>
    <w:rsid w:val="00BB74AE"/>
    <w:rsid w:val="00BB7594"/>
    <w:rsid w:val="00BB7967"/>
    <w:rsid w:val="00BB7A70"/>
    <w:rsid w:val="00BB7FB9"/>
    <w:rsid w:val="00BC01A3"/>
    <w:rsid w:val="00BC0283"/>
    <w:rsid w:val="00BC03BA"/>
    <w:rsid w:val="00BC056C"/>
    <w:rsid w:val="00BC0692"/>
    <w:rsid w:val="00BC0917"/>
    <w:rsid w:val="00BC0B87"/>
    <w:rsid w:val="00BC0F3E"/>
    <w:rsid w:val="00BC125E"/>
    <w:rsid w:val="00BC1479"/>
    <w:rsid w:val="00BC1725"/>
    <w:rsid w:val="00BC180D"/>
    <w:rsid w:val="00BC191F"/>
    <w:rsid w:val="00BC1AD3"/>
    <w:rsid w:val="00BC1BA3"/>
    <w:rsid w:val="00BC1E11"/>
    <w:rsid w:val="00BC1E2C"/>
    <w:rsid w:val="00BC207E"/>
    <w:rsid w:val="00BC2113"/>
    <w:rsid w:val="00BC25D7"/>
    <w:rsid w:val="00BC2DC8"/>
    <w:rsid w:val="00BC309F"/>
    <w:rsid w:val="00BC332C"/>
    <w:rsid w:val="00BC3405"/>
    <w:rsid w:val="00BC342F"/>
    <w:rsid w:val="00BC3474"/>
    <w:rsid w:val="00BC3981"/>
    <w:rsid w:val="00BC3B1C"/>
    <w:rsid w:val="00BC3B80"/>
    <w:rsid w:val="00BC3E51"/>
    <w:rsid w:val="00BC41F7"/>
    <w:rsid w:val="00BC44A2"/>
    <w:rsid w:val="00BC4584"/>
    <w:rsid w:val="00BC476C"/>
    <w:rsid w:val="00BC49CF"/>
    <w:rsid w:val="00BC4D29"/>
    <w:rsid w:val="00BC4EBC"/>
    <w:rsid w:val="00BC4ECA"/>
    <w:rsid w:val="00BC4F0E"/>
    <w:rsid w:val="00BC5159"/>
    <w:rsid w:val="00BC5434"/>
    <w:rsid w:val="00BC578C"/>
    <w:rsid w:val="00BC57A4"/>
    <w:rsid w:val="00BC58C7"/>
    <w:rsid w:val="00BC5B74"/>
    <w:rsid w:val="00BC5CA3"/>
    <w:rsid w:val="00BC5F3B"/>
    <w:rsid w:val="00BC6138"/>
    <w:rsid w:val="00BC682C"/>
    <w:rsid w:val="00BC6995"/>
    <w:rsid w:val="00BC69B8"/>
    <w:rsid w:val="00BC6DC4"/>
    <w:rsid w:val="00BC74B9"/>
    <w:rsid w:val="00BC7683"/>
    <w:rsid w:val="00BC7770"/>
    <w:rsid w:val="00BC777C"/>
    <w:rsid w:val="00BC7813"/>
    <w:rsid w:val="00BC7AC3"/>
    <w:rsid w:val="00BC7B31"/>
    <w:rsid w:val="00BC7D82"/>
    <w:rsid w:val="00BC7FE9"/>
    <w:rsid w:val="00BD04BD"/>
    <w:rsid w:val="00BD060E"/>
    <w:rsid w:val="00BD074D"/>
    <w:rsid w:val="00BD0951"/>
    <w:rsid w:val="00BD0CBF"/>
    <w:rsid w:val="00BD0EF6"/>
    <w:rsid w:val="00BD12DC"/>
    <w:rsid w:val="00BD1475"/>
    <w:rsid w:val="00BD1673"/>
    <w:rsid w:val="00BD1968"/>
    <w:rsid w:val="00BD1DE2"/>
    <w:rsid w:val="00BD243F"/>
    <w:rsid w:val="00BD24F6"/>
    <w:rsid w:val="00BD2DBA"/>
    <w:rsid w:val="00BD2DE4"/>
    <w:rsid w:val="00BD3000"/>
    <w:rsid w:val="00BD314E"/>
    <w:rsid w:val="00BD32B0"/>
    <w:rsid w:val="00BD341D"/>
    <w:rsid w:val="00BD35F1"/>
    <w:rsid w:val="00BD376E"/>
    <w:rsid w:val="00BD37DE"/>
    <w:rsid w:val="00BD3B91"/>
    <w:rsid w:val="00BD3C5F"/>
    <w:rsid w:val="00BD412C"/>
    <w:rsid w:val="00BD46D6"/>
    <w:rsid w:val="00BD4905"/>
    <w:rsid w:val="00BD4B0A"/>
    <w:rsid w:val="00BD4F5A"/>
    <w:rsid w:val="00BD4FB5"/>
    <w:rsid w:val="00BD54D5"/>
    <w:rsid w:val="00BD54EA"/>
    <w:rsid w:val="00BD5FFA"/>
    <w:rsid w:val="00BD64BF"/>
    <w:rsid w:val="00BD6625"/>
    <w:rsid w:val="00BD6996"/>
    <w:rsid w:val="00BD6E2D"/>
    <w:rsid w:val="00BD72EE"/>
    <w:rsid w:val="00BD7CE0"/>
    <w:rsid w:val="00BD7D79"/>
    <w:rsid w:val="00BD7ECB"/>
    <w:rsid w:val="00BE0380"/>
    <w:rsid w:val="00BE091F"/>
    <w:rsid w:val="00BE0BCD"/>
    <w:rsid w:val="00BE0D5E"/>
    <w:rsid w:val="00BE101D"/>
    <w:rsid w:val="00BE103F"/>
    <w:rsid w:val="00BE1251"/>
    <w:rsid w:val="00BE1389"/>
    <w:rsid w:val="00BE1576"/>
    <w:rsid w:val="00BE16C5"/>
    <w:rsid w:val="00BE1803"/>
    <w:rsid w:val="00BE1830"/>
    <w:rsid w:val="00BE192A"/>
    <w:rsid w:val="00BE1C98"/>
    <w:rsid w:val="00BE1FD2"/>
    <w:rsid w:val="00BE205A"/>
    <w:rsid w:val="00BE21E0"/>
    <w:rsid w:val="00BE21E4"/>
    <w:rsid w:val="00BE24B2"/>
    <w:rsid w:val="00BE25DF"/>
    <w:rsid w:val="00BE28C1"/>
    <w:rsid w:val="00BE29E0"/>
    <w:rsid w:val="00BE2A18"/>
    <w:rsid w:val="00BE2B40"/>
    <w:rsid w:val="00BE2C2E"/>
    <w:rsid w:val="00BE2C98"/>
    <w:rsid w:val="00BE323C"/>
    <w:rsid w:val="00BE349B"/>
    <w:rsid w:val="00BE36E8"/>
    <w:rsid w:val="00BE38E8"/>
    <w:rsid w:val="00BE3E03"/>
    <w:rsid w:val="00BE40F6"/>
    <w:rsid w:val="00BE40F7"/>
    <w:rsid w:val="00BE4346"/>
    <w:rsid w:val="00BE4421"/>
    <w:rsid w:val="00BE4B8C"/>
    <w:rsid w:val="00BE4FB5"/>
    <w:rsid w:val="00BE50B5"/>
    <w:rsid w:val="00BE50C1"/>
    <w:rsid w:val="00BE5108"/>
    <w:rsid w:val="00BE59B0"/>
    <w:rsid w:val="00BE5BA1"/>
    <w:rsid w:val="00BE5D14"/>
    <w:rsid w:val="00BE5E53"/>
    <w:rsid w:val="00BE5EB7"/>
    <w:rsid w:val="00BE612B"/>
    <w:rsid w:val="00BE615A"/>
    <w:rsid w:val="00BE6249"/>
    <w:rsid w:val="00BE64F4"/>
    <w:rsid w:val="00BE69C7"/>
    <w:rsid w:val="00BE6A98"/>
    <w:rsid w:val="00BE6E63"/>
    <w:rsid w:val="00BE6EC5"/>
    <w:rsid w:val="00BE7081"/>
    <w:rsid w:val="00BE710A"/>
    <w:rsid w:val="00BE7171"/>
    <w:rsid w:val="00BE7394"/>
    <w:rsid w:val="00BE799B"/>
    <w:rsid w:val="00BE7B2F"/>
    <w:rsid w:val="00BF010B"/>
    <w:rsid w:val="00BF01B7"/>
    <w:rsid w:val="00BF0465"/>
    <w:rsid w:val="00BF0AA5"/>
    <w:rsid w:val="00BF0CC5"/>
    <w:rsid w:val="00BF0D24"/>
    <w:rsid w:val="00BF0E88"/>
    <w:rsid w:val="00BF1357"/>
    <w:rsid w:val="00BF16D6"/>
    <w:rsid w:val="00BF1713"/>
    <w:rsid w:val="00BF1788"/>
    <w:rsid w:val="00BF195F"/>
    <w:rsid w:val="00BF1A22"/>
    <w:rsid w:val="00BF1A37"/>
    <w:rsid w:val="00BF24FF"/>
    <w:rsid w:val="00BF2B1B"/>
    <w:rsid w:val="00BF3006"/>
    <w:rsid w:val="00BF323F"/>
    <w:rsid w:val="00BF332A"/>
    <w:rsid w:val="00BF33E1"/>
    <w:rsid w:val="00BF34FF"/>
    <w:rsid w:val="00BF3549"/>
    <w:rsid w:val="00BF3600"/>
    <w:rsid w:val="00BF37F1"/>
    <w:rsid w:val="00BF3827"/>
    <w:rsid w:val="00BF3963"/>
    <w:rsid w:val="00BF3BD9"/>
    <w:rsid w:val="00BF3C91"/>
    <w:rsid w:val="00BF45F8"/>
    <w:rsid w:val="00BF4604"/>
    <w:rsid w:val="00BF4712"/>
    <w:rsid w:val="00BF4966"/>
    <w:rsid w:val="00BF4A0F"/>
    <w:rsid w:val="00BF4CDB"/>
    <w:rsid w:val="00BF501F"/>
    <w:rsid w:val="00BF507E"/>
    <w:rsid w:val="00BF5087"/>
    <w:rsid w:val="00BF5320"/>
    <w:rsid w:val="00BF53CF"/>
    <w:rsid w:val="00BF53DD"/>
    <w:rsid w:val="00BF552F"/>
    <w:rsid w:val="00BF5972"/>
    <w:rsid w:val="00BF59D7"/>
    <w:rsid w:val="00BF5CAA"/>
    <w:rsid w:val="00BF6167"/>
    <w:rsid w:val="00BF64FC"/>
    <w:rsid w:val="00BF7622"/>
    <w:rsid w:val="00BF7A55"/>
    <w:rsid w:val="00BF7FAE"/>
    <w:rsid w:val="00BF7FD7"/>
    <w:rsid w:val="00C00175"/>
    <w:rsid w:val="00C001A5"/>
    <w:rsid w:val="00C006DE"/>
    <w:rsid w:val="00C0080D"/>
    <w:rsid w:val="00C00A13"/>
    <w:rsid w:val="00C00AA4"/>
    <w:rsid w:val="00C00EEB"/>
    <w:rsid w:val="00C0100E"/>
    <w:rsid w:val="00C01092"/>
    <w:rsid w:val="00C012CF"/>
    <w:rsid w:val="00C0147A"/>
    <w:rsid w:val="00C018FD"/>
    <w:rsid w:val="00C01BDA"/>
    <w:rsid w:val="00C01FCF"/>
    <w:rsid w:val="00C01FFF"/>
    <w:rsid w:val="00C0209F"/>
    <w:rsid w:val="00C02493"/>
    <w:rsid w:val="00C0252C"/>
    <w:rsid w:val="00C02683"/>
    <w:rsid w:val="00C02692"/>
    <w:rsid w:val="00C02AE2"/>
    <w:rsid w:val="00C02B2A"/>
    <w:rsid w:val="00C0335A"/>
    <w:rsid w:val="00C0370F"/>
    <w:rsid w:val="00C03A7E"/>
    <w:rsid w:val="00C03DEC"/>
    <w:rsid w:val="00C03EBA"/>
    <w:rsid w:val="00C03F06"/>
    <w:rsid w:val="00C04171"/>
    <w:rsid w:val="00C0425B"/>
    <w:rsid w:val="00C04320"/>
    <w:rsid w:val="00C0438E"/>
    <w:rsid w:val="00C047F5"/>
    <w:rsid w:val="00C04B68"/>
    <w:rsid w:val="00C04E18"/>
    <w:rsid w:val="00C051FC"/>
    <w:rsid w:val="00C05245"/>
    <w:rsid w:val="00C053FE"/>
    <w:rsid w:val="00C058F7"/>
    <w:rsid w:val="00C059F9"/>
    <w:rsid w:val="00C05B0E"/>
    <w:rsid w:val="00C05DD2"/>
    <w:rsid w:val="00C05E3F"/>
    <w:rsid w:val="00C05E7D"/>
    <w:rsid w:val="00C05EB1"/>
    <w:rsid w:val="00C05ED1"/>
    <w:rsid w:val="00C05FC4"/>
    <w:rsid w:val="00C06243"/>
    <w:rsid w:val="00C06559"/>
    <w:rsid w:val="00C06606"/>
    <w:rsid w:val="00C06608"/>
    <w:rsid w:val="00C066FE"/>
    <w:rsid w:val="00C06892"/>
    <w:rsid w:val="00C068CA"/>
    <w:rsid w:val="00C06B30"/>
    <w:rsid w:val="00C06B89"/>
    <w:rsid w:val="00C06BE1"/>
    <w:rsid w:val="00C072DD"/>
    <w:rsid w:val="00C075F4"/>
    <w:rsid w:val="00C07788"/>
    <w:rsid w:val="00C07CA0"/>
    <w:rsid w:val="00C07DFA"/>
    <w:rsid w:val="00C07F2F"/>
    <w:rsid w:val="00C101E5"/>
    <w:rsid w:val="00C10257"/>
    <w:rsid w:val="00C102EB"/>
    <w:rsid w:val="00C103B3"/>
    <w:rsid w:val="00C105E8"/>
    <w:rsid w:val="00C10AE4"/>
    <w:rsid w:val="00C10C9F"/>
    <w:rsid w:val="00C10F0F"/>
    <w:rsid w:val="00C11225"/>
    <w:rsid w:val="00C1138E"/>
    <w:rsid w:val="00C11652"/>
    <w:rsid w:val="00C11B21"/>
    <w:rsid w:val="00C11B8C"/>
    <w:rsid w:val="00C11CD4"/>
    <w:rsid w:val="00C11F2A"/>
    <w:rsid w:val="00C120BA"/>
    <w:rsid w:val="00C120D4"/>
    <w:rsid w:val="00C122D3"/>
    <w:rsid w:val="00C12310"/>
    <w:rsid w:val="00C1260D"/>
    <w:rsid w:val="00C12677"/>
    <w:rsid w:val="00C12A5C"/>
    <w:rsid w:val="00C12DE4"/>
    <w:rsid w:val="00C130CE"/>
    <w:rsid w:val="00C13146"/>
    <w:rsid w:val="00C131D4"/>
    <w:rsid w:val="00C13ABD"/>
    <w:rsid w:val="00C13B45"/>
    <w:rsid w:val="00C146EE"/>
    <w:rsid w:val="00C149AA"/>
    <w:rsid w:val="00C14E6F"/>
    <w:rsid w:val="00C15264"/>
    <w:rsid w:val="00C153C8"/>
    <w:rsid w:val="00C154B5"/>
    <w:rsid w:val="00C15915"/>
    <w:rsid w:val="00C15D6B"/>
    <w:rsid w:val="00C15EF9"/>
    <w:rsid w:val="00C15F91"/>
    <w:rsid w:val="00C15FAA"/>
    <w:rsid w:val="00C16179"/>
    <w:rsid w:val="00C16243"/>
    <w:rsid w:val="00C16413"/>
    <w:rsid w:val="00C16541"/>
    <w:rsid w:val="00C16AA7"/>
    <w:rsid w:val="00C16E50"/>
    <w:rsid w:val="00C16F53"/>
    <w:rsid w:val="00C17334"/>
    <w:rsid w:val="00C17A65"/>
    <w:rsid w:val="00C17C72"/>
    <w:rsid w:val="00C17FE3"/>
    <w:rsid w:val="00C202BD"/>
    <w:rsid w:val="00C20392"/>
    <w:rsid w:val="00C20DA7"/>
    <w:rsid w:val="00C20F47"/>
    <w:rsid w:val="00C21296"/>
    <w:rsid w:val="00C2144B"/>
    <w:rsid w:val="00C215A3"/>
    <w:rsid w:val="00C216C8"/>
    <w:rsid w:val="00C21A78"/>
    <w:rsid w:val="00C21AA2"/>
    <w:rsid w:val="00C21D30"/>
    <w:rsid w:val="00C21EAB"/>
    <w:rsid w:val="00C22837"/>
    <w:rsid w:val="00C230EE"/>
    <w:rsid w:val="00C23B7F"/>
    <w:rsid w:val="00C23EFE"/>
    <w:rsid w:val="00C2400D"/>
    <w:rsid w:val="00C24023"/>
    <w:rsid w:val="00C24121"/>
    <w:rsid w:val="00C24206"/>
    <w:rsid w:val="00C24647"/>
    <w:rsid w:val="00C246A8"/>
    <w:rsid w:val="00C2490C"/>
    <w:rsid w:val="00C2498E"/>
    <w:rsid w:val="00C24D9D"/>
    <w:rsid w:val="00C24ED9"/>
    <w:rsid w:val="00C24F5D"/>
    <w:rsid w:val="00C2538D"/>
    <w:rsid w:val="00C25643"/>
    <w:rsid w:val="00C25910"/>
    <w:rsid w:val="00C25CD1"/>
    <w:rsid w:val="00C264FF"/>
    <w:rsid w:val="00C26B67"/>
    <w:rsid w:val="00C275BD"/>
    <w:rsid w:val="00C27752"/>
    <w:rsid w:val="00C27E88"/>
    <w:rsid w:val="00C27F34"/>
    <w:rsid w:val="00C27F7A"/>
    <w:rsid w:val="00C3039F"/>
    <w:rsid w:val="00C30AF0"/>
    <w:rsid w:val="00C31100"/>
    <w:rsid w:val="00C31271"/>
    <w:rsid w:val="00C313E1"/>
    <w:rsid w:val="00C313EA"/>
    <w:rsid w:val="00C3157F"/>
    <w:rsid w:val="00C318A5"/>
    <w:rsid w:val="00C31E7A"/>
    <w:rsid w:val="00C31F43"/>
    <w:rsid w:val="00C32476"/>
    <w:rsid w:val="00C325F6"/>
    <w:rsid w:val="00C32721"/>
    <w:rsid w:val="00C32D0B"/>
    <w:rsid w:val="00C331B6"/>
    <w:rsid w:val="00C33206"/>
    <w:rsid w:val="00C3339A"/>
    <w:rsid w:val="00C33766"/>
    <w:rsid w:val="00C33817"/>
    <w:rsid w:val="00C33BF2"/>
    <w:rsid w:val="00C3410C"/>
    <w:rsid w:val="00C34137"/>
    <w:rsid w:val="00C345C3"/>
    <w:rsid w:val="00C34CF0"/>
    <w:rsid w:val="00C34DBF"/>
    <w:rsid w:val="00C34EBE"/>
    <w:rsid w:val="00C35080"/>
    <w:rsid w:val="00C3528A"/>
    <w:rsid w:val="00C3538E"/>
    <w:rsid w:val="00C35B26"/>
    <w:rsid w:val="00C35E33"/>
    <w:rsid w:val="00C35F79"/>
    <w:rsid w:val="00C363F5"/>
    <w:rsid w:val="00C36D73"/>
    <w:rsid w:val="00C36E15"/>
    <w:rsid w:val="00C37204"/>
    <w:rsid w:val="00C373BE"/>
    <w:rsid w:val="00C376D8"/>
    <w:rsid w:val="00C378B5"/>
    <w:rsid w:val="00C37C74"/>
    <w:rsid w:val="00C40435"/>
    <w:rsid w:val="00C404DA"/>
    <w:rsid w:val="00C405A9"/>
    <w:rsid w:val="00C40EC6"/>
    <w:rsid w:val="00C40FB3"/>
    <w:rsid w:val="00C4115C"/>
    <w:rsid w:val="00C411A0"/>
    <w:rsid w:val="00C41361"/>
    <w:rsid w:val="00C41758"/>
    <w:rsid w:val="00C4177F"/>
    <w:rsid w:val="00C41939"/>
    <w:rsid w:val="00C41B7D"/>
    <w:rsid w:val="00C41D63"/>
    <w:rsid w:val="00C41EDB"/>
    <w:rsid w:val="00C4207D"/>
    <w:rsid w:val="00C422E6"/>
    <w:rsid w:val="00C42304"/>
    <w:rsid w:val="00C42E89"/>
    <w:rsid w:val="00C42F39"/>
    <w:rsid w:val="00C430BE"/>
    <w:rsid w:val="00C43709"/>
    <w:rsid w:val="00C437F2"/>
    <w:rsid w:val="00C43924"/>
    <w:rsid w:val="00C4396C"/>
    <w:rsid w:val="00C43CDC"/>
    <w:rsid w:val="00C43F64"/>
    <w:rsid w:val="00C440A1"/>
    <w:rsid w:val="00C44C9E"/>
    <w:rsid w:val="00C44CA1"/>
    <w:rsid w:val="00C44CCC"/>
    <w:rsid w:val="00C45118"/>
    <w:rsid w:val="00C45986"/>
    <w:rsid w:val="00C45BAF"/>
    <w:rsid w:val="00C45CB0"/>
    <w:rsid w:val="00C45CB4"/>
    <w:rsid w:val="00C465F7"/>
    <w:rsid w:val="00C46900"/>
    <w:rsid w:val="00C46A72"/>
    <w:rsid w:val="00C46EAB"/>
    <w:rsid w:val="00C4715E"/>
    <w:rsid w:val="00C47284"/>
    <w:rsid w:val="00C47A6F"/>
    <w:rsid w:val="00C47AA9"/>
    <w:rsid w:val="00C47CD4"/>
    <w:rsid w:val="00C47E21"/>
    <w:rsid w:val="00C47E29"/>
    <w:rsid w:val="00C50254"/>
    <w:rsid w:val="00C50312"/>
    <w:rsid w:val="00C50331"/>
    <w:rsid w:val="00C51084"/>
    <w:rsid w:val="00C51239"/>
    <w:rsid w:val="00C5167D"/>
    <w:rsid w:val="00C519E0"/>
    <w:rsid w:val="00C51B61"/>
    <w:rsid w:val="00C51C48"/>
    <w:rsid w:val="00C51EF0"/>
    <w:rsid w:val="00C523BA"/>
    <w:rsid w:val="00C52463"/>
    <w:rsid w:val="00C52896"/>
    <w:rsid w:val="00C5293A"/>
    <w:rsid w:val="00C52A87"/>
    <w:rsid w:val="00C52E7F"/>
    <w:rsid w:val="00C52F05"/>
    <w:rsid w:val="00C5331E"/>
    <w:rsid w:val="00C533AA"/>
    <w:rsid w:val="00C533AC"/>
    <w:rsid w:val="00C533EE"/>
    <w:rsid w:val="00C536CE"/>
    <w:rsid w:val="00C5384B"/>
    <w:rsid w:val="00C53B49"/>
    <w:rsid w:val="00C53CD2"/>
    <w:rsid w:val="00C53E28"/>
    <w:rsid w:val="00C53EE7"/>
    <w:rsid w:val="00C53EFC"/>
    <w:rsid w:val="00C53F1C"/>
    <w:rsid w:val="00C54087"/>
    <w:rsid w:val="00C54359"/>
    <w:rsid w:val="00C54B2B"/>
    <w:rsid w:val="00C54D0B"/>
    <w:rsid w:val="00C55055"/>
    <w:rsid w:val="00C55699"/>
    <w:rsid w:val="00C5573B"/>
    <w:rsid w:val="00C5594F"/>
    <w:rsid w:val="00C55B04"/>
    <w:rsid w:val="00C55C55"/>
    <w:rsid w:val="00C55D5A"/>
    <w:rsid w:val="00C55E7A"/>
    <w:rsid w:val="00C56022"/>
    <w:rsid w:val="00C560C5"/>
    <w:rsid w:val="00C5629D"/>
    <w:rsid w:val="00C56468"/>
    <w:rsid w:val="00C56545"/>
    <w:rsid w:val="00C5677C"/>
    <w:rsid w:val="00C567F2"/>
    <w:rsid w:val="00C568B0"/>
    <w:rsid w:val="00C56B40"/>
    <w:rsid w:val="00C56EC2"/>
    <w:rsid w:val="00C5772F"/>
    <w:rsid w:val="00C57908"/>
    <w:rsid w:val="00C57E0C"/>
    <w:rsid w:val="00C604A7"/>
    <w:rsid w:val="00C6066B"/>
    <w:rsid w:val="00C606E3"/>
    <w:rsid w:val="00C60842"/>
    <w:rsid w:val="00C608D0"/>
    <w:rsid w:val="00C60AAE"/>
    <w:rsid w:val="00C60FFB"/>
    <w:rsid w:val="00C61736"/>
    <w:rsid w:val="00C61E06"/>
    <w:rsid w:val="00C61E39"/>
    <w:rsid w:val="00C62144"/>
    <w:rsid w:val="00C625A1"/>
    <w:rsid w:val="00C6279A"/>
    <w:rsid w:val="00C6283E"/>
    <w:rsid w:val="00C629A9"/>
    <w:rsid w:val="00C629DD"/>
    <w:rsid w:val="00C62AD3"/>
    <w:rsid w:val="00C62B05"/>
    <w:rsid w:val="00C62C3A"/>
    <w:rsid w:val="00C62C5D"/>
    <w:rsid w:val="00C62D8D"/>
    <w:rsid w:val="00C632D7"/>
    <w:rsid w:val="00C633F8"/>
    <w:rsid w:val="00C63495"/>
    <w:rsid w:val="00C63499"/>
    <w:rsid w:val="00C63765"/>
    <w:rsid w:val="00C63878"/>
    <w:rsid w:val="00C6392E"/>
    <w:rsid w:val="00C63AA9"/>
    <w:rsid w:val="00C63C85"/>
    <w:rsid w:val="00C63C92"/>
    <w:rsid w:val="00C63EC2"/>
    <w:rsid w:val="00C64361"/>
    <w:rsid w:val="00C6438F"/>
    <w:rsid w:val="00C64786"/>
    <w:rsid w:val="00C64C5B"/>
    <w:rsid w:val="00C65B07"/>
    <w:rsid w:val="00C65BC1"/>
    <w:rsid w:val="00C65F8C"/>
    <w:rsid w:val="00C6634B"/>
    <w:rsid w:val="00C66684"/>
    <w:rsid w:val="00C66720"/>
    <w:rsid w:val="00C668B8"/>
    <w:rsid w:val="00C66BCD"/>
    <w:rsid w:val="00C66BED"/>
    <w:rsid w:val="00C66C7B"/>
    <w:rsid w:val="00C66DE0"/>
    <w:rsid w:val="00C67013"/>
    <w:rsid w:val="00C670B7"/>
    <w:rsid w:val="00C670C4"/>
    <w:rsid w:val="00C672DA"/>
    <w:rsid w:val="00C67363"/>
    <w:rsid w:val="00C67447"/>
    <w:rsid w:val="00C677BC"/>
    <w:rsid w:val="00C67B70"/>
    <w:rsid w:val="00C702FA"/>
    <w:rsid w:val="00C707F1"/>
    <w:rsid w:val="00C70860"/>
    <w:rsid w:val="00C70CC0"/>
    <w:rsid w:val="00C7116A"/>
    <w:rsid w:val="00C711E5"/>
    <w:rsid w:val="00C714AB"/>
    <w:rsid w:val="00C71A81"/>
    <w:rsid w:val="00C71C0D"/>
    <w:rsid w:val="00C71DA2"/>
    <w:rsid w:val="00C71E08"/>
    <w:rsid w:val="00C722A5"/>
    <w:rsid w:val="00C72428"/>
    <w:rsid w:val="00C72445"/>
    <w:rsid w:val="00C72499"/>
    <w:rsid w:val="00C72500"/>
    <w:rsid w:val="00C72889"/>
    <w:rsid w:val="00C72BC0"/>
    <w:rsid w:val="00C73209"/>
    <w:rsid w:val="00C732D6"/>
    <w:rsid w:val="00C73739"/>
    <w:rsid w:val="00C73E9E"/>
    <w:rsid w:val="00C744FD"/>
    <w:rsid w:val="00C74831"/>
    <w:rsid w:val="00C74A9C"/>
    <w:rsid w:val="00C74AEC"/>
    <w:rsid w:val="00C74C9E"/>
    <w:rsid w:val="00C74F0F"/>
    <w:rsid w:val="00C750AA"/>
    <w:rsid w:val="00C751A6"/>
    <w:rsid w:val="00C752AC"/>
    <w:rsid w:val="00C752E5"/>
    <w:rsid w:val="00C754F0"/>
    <w:rsid w:val="00C7588D"/>
    <w:rsid w:val="00C75AA7"/>
    <w:rsid w:val="00C75B61"/>
    <w:rsid w:val="00C76037"/>
    <w:rsid w:val="00C7616E"/>
    <w:rsid w:val="00C76378"/>
    <w:rsid w:val="00C764FB"/>
    <w:rsid w:val="00C7652B"/>
    <w:rsid w:val="00C766A5"/>
    <w:rsid w:val="00C7680E"/>
    <w:rsid w:val="00C7719F"/>
    <w:rsid w:val="00C771C1"/>
    <w:rsid w:val="00C773A3"/>
    <w:rsid w:val="00C774B6"/>
    <w:rsid w:val="00C77646"/>
    <w:rsid w:val="00C7781D"/>
    <w:rsid w:val="00C7797D"/>
    <w:rsid w:val="00C77A35"/>
    <w:rsid w:val="00C77AC1"/>
    <w:rsid w:val="00C80163"/>
    <w:rsid w:val="00C80375"/>
    <w:rsid w:val="00C803A7"/>
    <w:rsid w:val="00C80771"/>
    <w:rsid w:val="00C811B9"/>
    <w:rsid w:val="00C812D7"/>
    <w:rsid w:val="00C81508"/>
    <w:rsid w:val="00C8180D"/>
    <w:rsid w:val="00C81D33"/>
    <w:rsid w:val="00C81D3A"/>
    <w:rsid w:val="00C8215B"/>
    <w:rsid w:val="00C824CA"/>
    <w:rsid w:val="00C824CF"/>
    <w:rsid w:val="00C82531"/>
    <w:rsid w:val="00C82753"/>
    <w:rsid w:val="00C82811"/>
    <w:rsid w:val="00C82ACB"/>
    <w:rsid w:val="00C82C92"/>
    <w:rsid w:val="00C82DFF"/>
    <w:rsid w:val="00C82F49"/>
    <w:rsid w:val="00C83412"/>
    <w:rsid w:val="00C83432"/>
    <w:rsid w:val="00C8362B"/>
    <w:rsid w:val="00C83820"/>
    <w:rsid w:val="00C839D7"/>
    <w:rsid w:val="00C83AEF"/>
    <w:rsid w:val="00C84086"/>
    <w:rsid w:val="00C8430E"/>
    <w:rsid w:val="00C8437E"/>
    <w:rsid w:val="00C84496"/>
    <w:rsid w:val="00C84B12"/>
    <w:rsid w:val="00C84C4F"/>
    <w:rsid w:val="00C84FBA"/>
    <w:rsid w:val="00C85074"/>
    <w:rsid w:val="00C859D8"/>
    <w:rsid w:val="00C85EF6"/>
    <w:rsid w:val="00C85F2F"/>
    <w:rsid w:val="00C860D0"/>
    <w:rsid w:val="00C862A8"/>
    <w:rsid w:val="00C862DB"/>
    <w:rsid w:val="00C86545"/>
    <w:rsid w:val="00C86676"/>
    <w:rsid w:val="00C86918"/>
    <w:rsid w:val="00C86AA4"/>
    <w:rsid w:val="00C86BD3"/>
    <w:rsid w:val="00C86DE4"/>
    <w:rsid w:val="00C86EE8"/>
    <w:rsid w:val="00C86FEA"/>
    <w:rsid w:val="00C870BE"/>
    <w:rsid w:val="00C87297"/>
    <w:rsid w:val="00C87358"/>
    <w:rsid w:val="00C87984"/>
    <w:rsid w:val="00C87F74"/>
    <w:rsid w:val="00C9022E"/>
    <w:rsid w:val="00C90518"/>
    <w:rsid w:val="00C90810"/>
    <w:rsid w:val="00C90A44"/>
    <w:rsid w:val="00C90ACE"/>
    <w:rsid w:val="00C90B17"/>
    <w:rsid w:val="00C90F45"/>
    <w:rsid w:val="00C91258"/>
    <w:rsid w:val="00C91572"/>
    <w:rsid w:val="00C91643"/>
    <w:rsid w:val="00C91B7E"/>
    <w:rsid w:val="00C91B84"/>
    <w:rsid w:val="00C91E50"/>
    <w:rsid w:val="00C92105"/>
    <w:rsid w:val="00C92185"/>
    <w:rsid w:val="00C92513"/>
    <w:rsid w:val="00C92610"/>
    <w:rsid w:val="00C928A6"/>
    <w:rsid w:val="00C92C79"/>
    <w:rsid w:val="00C92D3D"/>
    <w:rsid w:val="00C92E05"/>
    <w:rsid w:val="00C938D6"/>
    <w:rsid w:val="00C93A38"/>
    <w:rsid w:val="00C93A55"/>
    <w:rsid w:val="00C93C35"/>
    <w:rsid w:val="00C940CF"/>
    <w:rsid w:val="00C940DD"/>
    <w:rsid w:val="00C9410E"/>
    <w:rsid w:val="00C948A8"/>
    <w:rsid w:val="00C948C9"/>
    <w:rsid w:val="00C94A05"/>
    <w:rsid w:val="00C94D2E"/>
    <w:rsid w:val="00C95199"/>
    <w:rsid w:val="00C951B4"/>
    <w:rsid w:val="00C95271"/>
    <w:rsid w:val="00C9528C"/>
    <w:rsid w:val="00C952BF"/>
    <w:rsid w:val="00C9531E"/>
    <w:rsid w:val="00C95628"/>
    <w:rsid w:val="00C95CE3"/>
    <w:rsid w:val="00C95E4F"/>
    <w:rsid w:val="00C95E70"/>
    <w:rsid w:val="00C96635"/>
    <w:rsid w:val="00C968FF"/>
    <w:rsid w:val="00C969F8"/>
    <w:rsid w:val="00C96BCA"/>
    <w:rsid w:val="00C96D80"/>
    <w:rsid w:val="00C96EF3"/>
    <w:rsid w:val="00C96F41"/>
    <w:rsid w:val="00C97B4D"/>
    <w:rsid w:val="00C97B7B"/>
    <w:rsid w:val="00C97C56"/>
    <w:rsid w:val="00C97D3C"/>
    <w:rsid w:val="00C97E61"/>
    <w:rsid w:val="00CA005D"/>
    <w:rsid w:val="00CA0168"/>
    <w:rsid w:val="00CA060A"/>
    <w:rsid w:val="00CA0704"/>
    <w:rsid w:val="00CA07D8"/>
    <w:rsid w:val="00CA10D4"/>
    <w:rsid w:val="00CA1198"/>
    <w:rsid w:val="00CA1230"/>
    <w:rsid w:val="00CA1D71"/>
    <w:rsid w:val="00CA1EA0"/>
    <w:rsid w:val="00CA1EB0"/>
    <w:rsid w:val="00CA2365"/>
    <w:rsid w:val="00CA2D3F"/>
    <w:rsid w:val="00CA3878"/>
    <w:rsid w:val="00CA39D2"/>
    <w:rsid w:val="00CA4233"/>
    <w:rsid w:val="00CA49E8"/>
    <w:rsid w:val="00CA4A91"/>
    <w:rsid w:val="00CA4ECC"/>
    <w:rsid w:val="00CA4F8F"/>
    <w:rsid w:val="00CA598C"/>
    <w:rsid w:val="00CA5BD9"/>
    <w:rsid w:val="00CA5C81"/>
    <w:rsid w:val="00CA5F58"/>
    <w:rsid w:val="00CA67E7"/>
    <w:rsid w:val="00CA6877"/>
    <w:rsid w:val="00CA69A2"/>
    <w:rsid w:val="00CA6C0A"/>
    <w:rsid w:val="00CA6D41"/>
    <w:rsid w:val="00CA712B"/>
    <w:rsid w:val="00CA7137"/>
    <w:rsid w:val="00CA7270"/>
    <w:rsid w:val="00CA7464"/>
    <w:rsid w:val="00CA765C"/>
    <w:rsid w:val="00CA78DC"/>
    <w:rsid w:val="00CA7965"/>
    <w:rsid w:val="00CA7C00"/>
    <w:rsid w:val="00CA7CD8"/>
    <w:rsid w:val="00CA7F88"/>
    <w:rsid w:val="00CB02D5"/>
    <w:rsid w:val="00CB031A"/>
    <w:rsid w:val="00CB03B3"/>
    <w:rsid w:val="00CB0496"/>
    <w:rsid w:val="00CB074B"/>
    <w:rsid w:val="00CB0954"/>
    <w:rsid w:val="00CB1841"/>
    <w:rsid w:val="00CB19A6"/>
    <w:rsid w:val="00CB2296"/>
    <w:rsid w:val="00CB274A"/>
    <w:rsid w:val="00CB2EC0"/>
    <w:rsid w:val="00CB31DA"/>
    <w:rsid w:val="00CB34A8"/>
    <w:rsid w:val="00CB34F1"/>
    <w:rsid w:val="00CB375A"/>
    <w:rsid w:val="00CB37A2"/>
    <w:rsid w:val="00CB38F3"/>
    <w:rsid w:val="00CB3A6B"/>
    <w:rsid w:val="00CB3B3C"/>
    <w:rsid w:val="00CB3CAA"/>
    <w:rsid w:val="00CB3CDA"/>
    <w:rsid w:val="00CB3F49"/>
    <w:rsid w:val="00CB40BD"/>
    <w:rsid w:val="00CB410E"/>
    <w:rsid w:val="00CB4170"/>
    <w:rsid w:val="00CB4279"/>
    <w:rsid w:val="00CB4738"/>
    <w:rsid w:val="00CB49B4"/>
    <w:rsid w:val="00CB4FF5"/>
    <w:rsid w:val="00CB5050"/>
    <w:rsid w:val="00CB5483"/>
    <w:rsid w:val="00CB54E5"/>
    <w:rsid w:val="00CB59D0"/>
    <w:rsid w:val="00CB5E23"/>
    <w:rsid w:val="00CB641F"/>
    <w:rsid w:val="00CB6541"/>
    <w:rsid w:val="00CB6AC0"/>
    <w:rsid w:val="00CB6B93"/>
    <w:rsid w:val="00CB6F06"/>
    <w:rsid w:val="00CB71E0"/>
    <w:rsid w:val="00CB74F5"/>
    <w:rsid w:val="00CB7800"/>
    <w:rsid w:val="00CB7805"/>
    <w:rsid w:val="00CB788D"/>
    <w:rsid w:val="00CB7895"/>
    <w:rsid w:val="00CB7B65"/>
    <w:rsid w:val="00CB7C8F"/>
    <w:rsid w:val="00CB7D52"/>
    <w:rsid w:val="00CB7EFA"/>
    <w:rsid w:val="00CB7F6A"/>
    <w:rsid w:val="00CC00EA"/>
    <w:rsid w:val="00CC0185"/>
    <w:rsid w:val="00CC018A"/>
    <w:rsid w:val="00CC019D"/>
    <w:rsid w:val="00CC02AE"/>
    <w:rsid w:val="00CC0328"/>
    <w:rsid w:val="00CC0493"/>
    <w:rsid w:val="00CC0597"/>
    <w:rsid w:val="00CC0771"/>
    <w:rsid w:val="00CC0893"/>
    <w:rsid w:val="00CC0ACC"/>
    <w:rsid w:val="00CC0C18"/>
    <w:rsid w:val="00CC0D3B"/>
    <w:rsid w:val="00CC0E3B"/>
    <w:rsid w:val="00CC0F5C"/>
    <w:rsid w:val="00CC10B1"/>
    <w:rsid w:val="00CC10B7"/>
    <w:rsid w:val="00CC1620"/>
    <w:rsid w:val="00CC1B4E"/>
    <w:rsid w:val="00CC1C0E"/>
    <w:rsid w:val="00CC1C72"/>
    <w:rsid w:val="00CC218B"/>
    <w:rsid w:val="00CC2E4C"/>
    <w:rsid w:val="00CC2E8B"/>
    <w:rsid w:val="00CC2F05"/>
    <w:rsid w:val="00CC31A8"/>
    <w:rsid w:val="00CC35CA"/>
    <w:rsid w:val="00CC36C6"/>
    <w:rsid w:val="00CC371B"/>
    <w:rsid w:val="00CC3755"/>
    <w:rsid w:val="00CC377C"/>
    <w:rsid w:val="00CC37EC"/>
    <w:rsid w:val="00CC37FB"/>
    <w:rsid w:val="00CC3BD5"/>
    <w:rsid w:val="00CC3CDB"/>
    <w:rsid w:val="00CC3EA2"/>
    <w:rsid w:val="00CC3F27"/>
    <w:rsid w:val="00CC3F33"/>
    <w:rsid w:val="00CC406F"/>
    <w:rsid w:val="00CC422E"/>
    <w:rsid w:val="00CC4281"/>
    <w:rsid w:val="00CC42A7"/>
    <w:rsid w:val="00CC49ED"/>
    <w:rsid w:val="00CC4B1B"/>
    <w:rsid w:val="00CC4E8E"/>
    <w:rsid w:val="00CC579D"/>
    <w:rsid w:val="00CC5EA2"/>
    <w:rsid w:val="00CC5F4B"/>
    <w:rsid w:val="00CC5F63"/>
    <w:rsid w:val="00CC600D"/>
    <w:rsid w:val="00CC618E"/>
    <w:rsid w:val="00CC6246"/>
    <w:rsid w:val="00CC6665"/>
    <w:rsid w:val="00CC6A0B"/>
    <w:rsid w:val="00CC6B42"/>
    <w:rsid w:val="00CC6B9D"/>
    <w:rsid w:val="00CC6BDF"/>
    <w:rsid w:val="00CC6DE1"/>
    <w:rsid w:val="00CC6F18"/>
    <w:rsid w:val="00CC700E"/>
    <w:rsid w:val="00CC7CDE"/>
    <w:rsid w:val="00CC7DD7"/>
    <w:rsid w:val="00CC7E24"/>
    <w:rsid w:val="00CC7F19"/>
    <w:rsid w:val="00CD0352"/>
    <w:rsid w:val="00CD03A6"/>
    <w:rsid w:val="00CD04B8"/>
    <w:rsid w:val="00CD0703"/>
    <w:rsid w:val="00CD07FF"/>
    <w:rsid w:val="00CD0A0A"/>
    <w:rsid w:val="00CD0E06"/>
    <w:rsid w:val="00CD0E14"/>
    <w:rsid w:val="00CD10F4"/>
    <w:rsid w:val="00CD1B97"/>
    <w:rsid w:val="00CD1D51"/>
    <w:rsid w:val="00CD1D6F"/>
    <w:rsid w:val="00CD2567"/>
    <w:rsid w:val="00CD2716"/>
    <w:rsid w:val="00CD279E"/>
    <w:rsid w:val="00CD2868"/>
    <w:rsid w:val="00CD2A10"/>
    <w:rsid w:val="00CD2C56"/>
    <w:rsid w:val="00CD2D6F"/>
    <w:rsid w:val="00CD3252"/>
    <w:rsid w:val="00CD3333"/>
    <w:rsid w:val="00CD3577"/>
    <w:rsid w:val="00CD38E5"/>
    <w:rsid w:val="00CD3A83"/>
    <w:rsid w:val="00CD3B43"/>
    <w:rsid w:val="00CD3B9A"/>
    <w:rsid w:val="00CD48D3"/>
    <w:rsid w:val="00CD49EC"/>
    <w:rsid w:val="00CD4CFB"/>
    <w:rsid w:val="00CD4E01"/>
    <w:rsid w:val="00CD500B"/>
    <w:rsid w:val="00CD53B7"/>
    <w:rsid w:val="00CD551E"/>
    <w:rsid w:val="00CD57DF"/>
    <w:rsid w:val="00CD5966"/>
    <w:rsid w:val="00CD5A8E"/>
    <w:rsid w:val="00CD5CA2"/>
    <w:rsid w:val="00CD6317"/>
    <w:rsid w:val="00CD635F"/>
    <w:rsid w:val="00CD68DB"/>
    <w:rsid w:val="00CD6D35"/>
    <w:rsid w:val="00CD6F7E"/>
    <w:rsid w:val="00CD75ED"/>
    <w:rsid w:val="00CD7BEE"/>
    <w:rsid w:val="00CD7DC3"/>
    <w:rsid w:val="00CD7F52"/>
    <w:rsid w:val="00CD7FA4"/>
    <w:rsid w:val="00CE0014"/>
    <w:rsid w:val="00CE049A"/>
    <w:rsid w:val="00CE0775"/>
    <w:rsid w:val="00CE07F5"/>
    <w:rsid w:val="00CE0FBF"/>
    <w:rsid w:val="00CE12D2"/>
    <w:rsid w:val="00CE17D2"/>
    <w:rsid w:val="00CE1BD7"/>
    <w:rsid w:val="00CE1C26"/>
    <w:rsid w:val="00CE1E57"/>
    <w:rsid w:val="00CE1F76"/>
    <w:rsid w:val="00CE1FE8"/>
    <w:rsid w:val="00CE20FB"/>
    <w:rsid w:val="00CE22DE"/>
    <w:rsid w:val="00CE270A"/>
    <w:rsid w:val="00CE2BE8"/>
    <w:rsid w:val="00CE35FF"/>
    <w:rsid w:val="00CE3B5C"/>
    <w:rsid w:val="00CE3DC0"/>
    <w:rsid w:val="00CE42D5"/>
    <w:rsid w:val="00CE4418"/>
    <w:rsid w:val="00CE4568"/>
    <w:rsid w:val="00CE4815"/>
    <w:rsid w:val="00CE4AA7"/>
    <w:rsid w:val="00CE4B19"/>
    <w:rsid w:val="00CE4C29"/>
    <w:rsid w:val="00CE4CE0"/>
    <w:rsid w:val="00CE4F13"/>
    <w:rsid w:val="00CE4F18"/>
    <w:rsid w:val="00CE4F88"/>
    <w:rsid w:val="00CE4FD3"/>
    <w:rsid w:val="00CE502F"/>
    <w:rsid w:val="00CE50C4"/>
    <w:rsid w:val="00CE527A"/>
    <w:rsid w:val="00CE54A9"/>
    <w:rsid w:val="00CE552D"/>
    <w:rsid w:val="00CE552E"/>
    <w:rsid w:val="00CE557B"/>
    <w:rsid w:val="00CE580F"/>
    <w:rsid w:val="00CE58CC"/>
    <w:rsid w:val="00CE5947"/>
    <w:rsid w:val="00CE5A11"/>
    <w:rsid w:val="00CE5A94"/>
    <w:rsid w:val="00CE602F"/>
    <w:rsid w:val="00CE645B"/>
    <w:rsid w:val="00CE692A"/>
    <w:rsid w:val="00CE6B92"/>
    <w:rsid w:val="00CE6C47"/>
    <w:rsid w:val="00CE6D16"/>
    <w:rsid w:val="00CE6E50"/>
    <w:rsid w:val="00CE7144"/>
    <w:rsid w:val="00CE7155"/>
    <w:rsid w:val="00CE7B09"/>
    <w:rsid w:val="00CE7C3F"/>
    <w:rsid w:val="00CE7E51"/>
    <w:rsid w:val="00CE7F44"/>
    <w:rsid w:val="00CF04E4"/>
    <w:rsid w:val="00CF0E45"/>
    <w:rsid w:val="00CF1050"/>
    <w:rsid w:val="00CF1139"/>
    <w:rsid w:val="00CF1148"/>
    <w:rsid w:val="00CF146C"/>
    <w:rsid w:val="00CF152C"/>
    <w:rsid w:val="00CF16F0"/>
    <w:rsid w:val="00CF194A"/>
    <w:rsid w:val="00CF1C56"/>
    <w:rsid w:val="00CF1D23"/>
    <w:rsid w:val="00CF1E77"/>
    <w:rsid w:val="00CF208F"/>
    <w:rsid w:val="00CF2395"/>
    <w:rsid w:val="00CF25D3"/>
    <w:rsid w:val="00CF2758"/>
    <w:rsid w:val="00CF28C3"/>
    <w:rsid w:val="00CF2F76"/>
    <w:rsid w:val="00CF2FD7"/>
    <w:rsid w:val="00CF303F"/>
    <w:rsid w:val="00CF337F"/>
    <w:rsid w:val="00CF3934"/>
    <w:rsid w:val="00CF3A4D"/>
    <w:rsid w:val="00CF3A58"/>
    <w:rsid w:val="00CF3B21"/>
    <w:rsid w:val="00CF3B98"/>
    <w:rsid w:val="00CF3BDA"/>
    <w:rsid w:val="00CF4665"/>
    <w:rsid w:val="00CF46BD"/>
    <w:rsid w:val="00CF4ED7"/>
    <w:rsid w:val="00CF4FEE"/>
    <w:rsid w:val="00CF525D"/>
    <w:rsid w:val="00CF54D9"/>
    <w:rsid w:val="00CF5732"/>
    <w:rsid w:val="00CF5BCD"/>
    <w:rsid w:val="00CF607B"/>
    <w:rsid w:val="00CF63EF"/>
    <w:rsid w:val="00CF6555"/>
    <w:rsid w:val="00CF681A"/>
    <w:rsid w:val="00CF69D4"/>
    <w:rsid w:val="00CF6C1A"/>
    <w:rsid w:val="00CF6C2D"/>
    <w:rsid w:val="00CF6C35"/>
    <w:rsid w:val="00CF6D13"/>
    <w:rsid w:val="00CF7066"/>
    <w:rsid w:val="00CF70C6"/>
    <w:rsid w:val="00CF761B"/>
    <w:rsid w:val="00CF7CD6"/>
    <w:rsid w:val="00CF7D9D"/>
    <w:rsid w:val="00CF7DC9"/>
    <w:rsid w:val="00D00211"/>
    <w:rsid w:val="00D00911"/>
    <w:rsid w:val="00D009C4"/>
    <w:rsid w:val="00D012C9"/>
    <w:rsid w:val="00D01314"/>
    <w:rsid w:val="00D01512"/>
    <w:rsid w:val="00D01733"/>
    <w:rsid w:val="00D0195D"/>
    <w:rsid w:val="00D0196B"/>
    <w:rsid w:val="00D01A8B"/>
    <w:rsid w:val="00D01B7C"/>
    <w:rsid w:val="00D01C5C"/>
    <w:rsid w:val="00D01E8F"/>
    <w:rsid w:val="00D02081"/>
    <w:rsid w:val="00D0215C"/>
    <w:rsid w:val="00D021FC"/>
    <w:rsid w:val="00D0231A"/>
    <w:rsid w:val="00D024C2"/>
    <w:rsid w:val="00D02645"/>
    <w:rsid w:val="00D027B3"/>
    <w:rsid w:val="00D0284C"/>
    <w:rsid w:val="00D0285F"/>
    <w:rsid w:val="00D028E7"/>
    <w:rsid w:val="00D02A47"/>
    <w:rsid w:val="00D02C66"/>
    <w:rsid w:val="00D02FD2"/>
    <w:rsid w:val="00D03311"/>
    <w:rsid w:val="00D03376"/>
    <w:rsid w:val="00D03452"/>
    <w:rsid w:val="00D03870"/>
    <w:rsid w:val="00D03961"/>
    <w:rsid w:val="00D03973"/>
    <w:rsid w:val="00D03A8C"/>
    <w:rsid w:val="00D03BAE"/>
    <w:rsid w:val="00D03EDF"/>
    <w:rsid w:val="00D03F32"/>
    <w:rsid w:val="00D040C0"/>
    <w:rsid w:val="00D0418D"/>
    <w:rsid w:val="00D04533"/>
    <w:rsid w:val="00D04C25"/>
    <w:rsid w:val="00D04EE6"/>
    <w:rsid w:val="00D052C0"/>
    <w:rsid w:val="00D05416"/>
    <w:rsid w:val="00D05522"/>
    <w:rsid w:val="00D05550"/>
    <w:rsid w:val="00D05A0A"/>
    <w:rsid w:val="00D05AD0"/>
    <w:rsid w:val="00D05EDA"/>
    <w:rsid w:val="00D05EF9"/>
    <w:rsid w:val="00D05FE7"/>
    <w:rsid w:val="00D05FED"/>
    <w:rsid w:val="00D0626E"/>
    <w:rsid w:val="00D066FC"/>
    <w:rsid w:val="00D06755"/>
    <w:rsid w:val="00D067AD"/>
    <w:rsid w:val="00D06909"/>
    <w:rsid w:val="00D06A8B"/>
    <w:rsid w:val="00D07148"/>
    <w:rsid w:val="00D07370"/>
    <w:rsid w:val="00D0742E"/>
    <w:rsid w:val="00D0797E"/>
    <w:rsid w:val="00D10010"/>
    <w:rsid w:val="00D10215"/>
    <w:rsid w:val="00D10435"/>
    <w:rsid w:val="00D105F8"/>
    <w:rsid w:val="00D10817"/>
    <w:rsid w:val="00D1098F"/>
    <w:rsid w:val="00D10B55"/>
    <w:rsid w:val="00D10CA3"/>
    <w:rsid w:val="00D10E7F"/>
    <w:rsid w:val="00D10E96"/>
    <w:rsid w:val="00D10FAF"/>
    <w:rsid w:val="00D11253"/>
    <w:rsid w:val="00D11360"/>
    <w:rsid w:val="00D11378"/>
    <w:rsid w:val="00D119A1"/>
    <w:rsid w:val="00D11B6A"/>
    <w:rsid w:val="00D11C3E"/>
    <w:rsid w:val="00D11D80"/>
    <w:rsid w:val="00D11EA2"/>
    <w:rsid w:val="00D11FBF"/>
    <w:rsid w:val="00D12465"/>
    <w:rsid w:val="00D12607"/>
    <w:rsid w:val="00D12C63"/>
    <w:rsid w:val="00D12D36"/>
    <w:rsid w:val="00D13123"/>
    <w:rsid w:val="00D131DD"/>
    <w:rsid w:val="00D131E3"/>
    <w:rsid w:val="00D132E9"/>
    <w:rsid w:val="00D134BF"/>
    <w:rsid w:val="00D1377E"/>
    <w:rsid w:val="00D13813"/>
    <w:rsid w:val="00D1393F"/>
    <w:rsid w:val="00D13B0D"/>
    <w:rsid w:val="00D13B42"/>
    <w:rsid w:val="00D13C64"/>
    <w:rsid w:val="00D13F32"/>
    <w:rsid w:val="00D13F49"/>
    <w:rsid w:val="00D14341"/>
    <w:rsid w:val="00D1442D"/>
    <w:rsid w:val="00D1466B"/>
    <w:rsid w:val="00D14738"/>
    <w:rsid w:val="00D14749"/>
    <w:rsid w:val="00D148BE"/>
    <w:rsid w:val="00D14A58"/>
    <w:rsid w:val="00D14C68"/>
    <w:rsid w:val="00D14D05"/>
    <w:rsid w:val="00D15651"/>
    <w:rsid w:val="00D15851"/>
    <w:rsid w:val="00D16089"/>
    <w:rsid w:val="00D162AA"/>
    <w:rsid w:val="00D162B7"/>
    <w:rsid w:val="00D163C2"/>
    <w:rsid w:val="00D16605"/>
    <w:rsid w:val="00D16978"/>
    <w:rsid w:val="00D169BE"/>
    <w:rsid w:val="00D169CF"/>
    <w:rsid w:val="00D16A66"/>
    <w:rsid w:val="00D16F7C"/>
    <w:rsid w:val="00D17280"/>
    <w:rsid w:val="00D17386"/>
    <w:rsid w:val="00D17A1B"/>
    <w:rsid w:val="00D17BA8"/>
    <w:rsid w:val="00D17E64"/>
    <w:rsid w:val="00D17F6E"/>
    <w:rsid w:val="00D20406"/>
    <w:rsid w:val="00D20836"/>
    <w:rsid w:val="00D20911"/>
    <w:rsid w:val="00D20AC6"/>
    <w:rsid w:val="00D20B0C"/>
    <w:rsid w:val="00D20D5A"/>
    <w:rsid w:val="00D212C3"/>
    <w:rsid w:val="00D21375"/>
    <w:rsid w:val="00D213D0"/>
    <w:rsid w:val="00D217C2"/>
    <w:rsid w:val="00D21862"/>
    <w:rsid w:val="00D21886"/>
    <w:rsid w:val="00D2192A"/>
    <w:rsid w:val="00D21D93"/>
    <w:rsid w:val="00D22279"/>
    <w:rsid w:val="00D2296B"/>
    <w:rsid w:val="00D22AE3"/>
    <w:rsid w:val="00D22B2D"/>
    <w:rsid w:val="00D231EB"/>
    <w:rsid w:val="00D2322B"/>
    <w:rsid w:val="00D239D5"/>
    <w:rsid w:val="00D23E0B"/>
    <w:rsid w:val="00D24664"/>
    <w:rsid w:val="00D24690"/>
    <w:rsid w:val="00D255AB"/>
    <w:rsid w:val="00D25622"/>
    <w:rsid w:val="00D25994"/>
    <w:rsid w:val="00D259E9"/>
    <w:rsid w:val="00D25D30"/>
    <w:rsid w:val="00D25D7E"/>
    <w:rsid w:val="00D25F37"/>
    <w:rsid w:val="00D2602F"/>
    <w:rsid w:val="00D2608F"/>
    <w:rsid w:val="00D260AF"/>
    <w:rsid w:val="00D263D4"/>
    <w:rsid w:val="00D26496"/>
    <w:rsid w:val="00D264F6"/>
    <w:rsid w:val="00D265BF"/>
    <w:rsid w:val="00D26611"/>
    <w:rsid w:val="00D266F9"/>
    <w:rsid w:val="00D267C8"/>
    <w:rsid w:val="00D26884"/>
    <w:rsid w:val="00D26AEC"/>
    <w:rsid w:val="00D26B54"/>
    <w:rsid w:val="00D26BA7"/>
    <w:rsid w:val="00D26D84"/>
    <w:rsid w:val="00D26F2C"/>
    <w:rsid w:val="00D27035"/>
    <w:rsid w:val="00D27059"/>
    <w:rsid w:val="00D271F8"/>
    <w:rsid w:val="00D27313"/>
    <w:rsid w:val="00D2733D"/>
    <w:rsid w:val="00D277CB"/>
    <w:rsid w:val="00D27932"/>
    <w:rsid w:val="00D30349"/>
    <w:rsid w:val="00D30590"/>
    <w:rsid w:val="00D305E1"/>
    <w:rsid w:val="00D30A35"/>
    <w:rsid w:val="00D30BA8"/>
    <w:rsid w:val="00D3115D"/>
    <w:rsid w:val="00D3171A"/>
    <w:rsid w:val="00D318AC"/>
    <w:rsid w:val="00D321FD"/>
    <w:rsid w:val="00D3230A"/>
    <w:rsid w:val="00D32346"/>
    <w:rsid w:val="00D32411"/>
    <w:rsid w:val="00D324D0"/>
    <w:rsid w:val="00D3258B"/>
    <w:rsid w:val="00D327F1"/>
    <w:rsid w:val="00D328D5"/>
    <w:rsid w:val="00D32922"/>
    <w:rsid w:val="00D32B02"/>
    <w:rsid w:val="00D32E7D"/>
    <w:rsid w:val="00D330AD"/>
    <w:rsid w:val="00D330DA"/>
    <w:rsid w:val="00D33181"/>
    <w:rsid w:val="00D332B6"/>
    <w:rsid w:val="00D33552"/>
    <w:rsid w:val="00D33798"/>
    <w:rsid w:val="00D33A23"/>
    <w:rsid w:val="00D33B55"/>
    <w:rsid w:val="00D33CC5"/>
    <w:rsid w:val="00D340D9"/>
    <w:rsid w:val="00D344F4"/>
    <w:rsid w:val="00D34B32"/>
    <w:rsid w:val="00D34EC9"/>
    <w:rsid w:val="00D34EF1"/>
    <w:rsid w:val="00D350F4"/>
    <w:rsid w:val="00D356AA"/>
    <w:rsid w:val="00D3577F"/>
    <w:rsid w:val="00D35C69"/>
    <w:rsid w:val="00D360FB"/>
    <w:rsid w:val="00D36143"/>
    <w:rsid w:val="00D361C7"/>
    <w:rsid w:val="00D3655B"/>
    <w:rsid w:val="00D36802"/>
    <w:rsid w:val="00D368A9"/>
    <w:rsid w:val="00D368C3"/>
    <w:rsid w:val="00D36E30"/>
    <w:rsid w:val="00D36ED2"/>
    <w:rsid w:val="00D36FA1"/>
    <w:rsid w:val="00D371D3"/>
    <w:rsid w:val="00D375D7"/>
    <w:rsid w:val="00D37BE4"/>
    <w:rsid w:val="00D37C54"/>
    <w:rsid w:val="00D37CE3"/>
    <w:rsid w:val="00D37D9D"/>
    <w:rsid w:val="00D37F87"/>
    <w:rsid w:val="00D400DB"/>
    <w:rsid w:val="00D4019E"/>
    <w:rsid w:val="00D4022C"/>
    <w:rsid w:val="00D402F8"/>
    <w:rsid w:val="00D403B3"/>
    <w:rsid w:val="00D40548"/>
    <w:rsid w:val="00D40739"/>
    <w:rsid w:val="00D40946"/>
    <w:rsid w:val="00D40988"/>
    <w:rsid w:val="00D40BB3"/>
    <w:rsid w:val="00D40DCA"/>
    <w:rsid w:val="00D41370"/>
    <w:rsid w:val="00D41568"/>
    <w:rsid w:val="00D415CA"/>
    <w:rsid w:val="00D4191A"/>
    <w:rsid w:val="00D419B8"/>
    <w:rsid w:val="00D41A6D"/>
    <w:rsid w:val="00D41A81"/>
    <w:rsid w:val="00D41CBF"/>
    <w:rsid w:val="00D41F79"/>
    <w:rsid w:val="00D42405"/>
    <w:rsid w:val="00D42423"/>
    <w:rsid w:val="00D42CDC"/>
    <w:rsid w:val="00D42D8A"/>
    <w:rsid w:val="00D42EC5"/>
    <w:rsid w:val="00D4333A"/>
    <w:rsid w:val="00D43651"/>
    <w:rsid w:val="00D4375D"/>
    <w:rsid w:val="00D43857"/>
    <w:rsid w:val="00D438C8"/>
    <w:rsid w:val="00D43906"/>
    <w:rsid w:val="00D43AA8"/>
    <w:rsid w:val="00D43C7B"/>
    <w:rsid w:val="00D442D5"/>
    <w:rsid w:val="00D443B7"/>
    <w:rsid w:val="00D458B6"/>
    <w:rsid w:val="00D459E1"/>
    <w:rsid w:val="00D45A25"/>
    <w:rsid w:val="00D46D58"/>
    <w:rsid w:val="00D46D80"/>
    <w:rsid w:val="00D46F19"/>
    <w:rsid w:val="00D474E9"/>
    <w:rsid w:val="00D478C9"/>
    <w:rsid w:val="00D47CFC"/>
    <w:rsid w:val="00D47E41"/>
    <w:rsid w:val="00D50485"/>
    <w:rsid w:val="00D5064F"/>
    <w:rsid w:val="00D506CB"/>
    <w:rsid w:val="00D507E0"/>
    <w:rsid w:val="00D50CD0"/>
    <w:rsid w:val="00D50E77"/>
    <w:rsid w:val="00D50EE7"/>
    <w:rsid w:val="00D51188"/>
    <w:rsid w:val="00D512D6"/>
    <w:rsid w:val="00D51328"/>
    <w:rsid w:val="00D51405"/>
    <w:rsid w:val="00D51599"/>
    <w:rsid w:val="00D51CF0"/>
    <w:rsid w:val="00D51EAD"/>
    <w:rsid w:val="00D52770"/>
    <w:rsid w:val="00D52864"/>
    <w:rsid w:val="00D529CD"/>
    <w:rsid w:val="00D529E1"/>
    <w:rsid w:val="00D52A75"/>
    <w:rsid w:val="00D52C4A"/>
    <w:rsid w:val="00D53335"/>
    <w:rsid w:val="00D53611"/>
    <w:rsid w:val="00D537E0"/>
    <w:rsid w:val="00D5383E"/>
    <w:rsid w:val="00D5387D"/>
    <w:rsid w:val="00D5389E"/>
    <w:rsid w:val="00D53988"/>
    <w:rsid w:val="00D53BC0"/>
    <w:rsid w:val="00D53C17"/>
    <w:rsid w:val="00D53E35"/>
    <w:rsid w:val="00D53EA9"/>
    <w:rsid w:val="00D54136"/>
    <w:rsid w:val="00D54637"/>
    <w:rsid w:val="00D55356"/>
    <w:rsid w:val="00D5536C"/>
    <w:rsid w:val="00D553CD"/>
    <w:rsid w:val="00D555BB"/>
    <w:rsid w:val="00D55725"/>
    <w:rsid w:val="00D557AE"/>
    <w:rsid w:val="00D557CA"/>
    <w:rsid w:val="00D55874"/>
    <w:rsid w:val="00D55EC3"/>
    <w:rsid w:val="00D56029"/>
    <w:rsid w:val="00D5614B"/>
    <w:rsid w:val="00D565AB"/>
    <w:rsid w:val="00D56737"/>
    <w:rsid w:val="00D5678D"/>
    <w:rsid w:val="00D56AA7"/>
    <w:rsid w:val="00D56B8D"/>
    <w:rsid w:val="00D56C09"/>
    <w:rsid w:val="00D5704B"/>
    <w:rsid w:val="00D57154"/>
    <w:rsid w:val="00D57228"/>
    <w:rsid w:val="00D57289"/>
    <w:rsid w:val="00D57787"/>
    <w:rsid w:val="00D57826"/>
    <w:rsid w:val="00D578B3"/>
    <w:rsid w:val="00D579C8"/>
    <w:rsid w:val="00D57F3F"/>
    <w:rsid w:val="00D57FAF"/>
    <w:rsid w:val="00D60226"/>
    <w:rsid w:val="00D60500"/>
    <w:rsid w:val="00D609A9"/>
    <w:rsid w:val="00D60C2C"/>
    <w:rsid w:val="00D60D67"/>
    <w:rsid w:val="00D60D77"/>
    <w:rsid w:val="00D60E97"/>
    <w:rsid w:val="00D615B9"/>
    <w:rsid w:val="00D6162E"/>
    <w:rsid w:val="00D61722"/>
    <w:rsid w:val="00D61BBD"/>
    <w:rsid w:val="00D61BDC"/>
    <w:rsid w:val="00D61CAB"/>
    <w:rsid w:val="00D61EEA"/>
    <w:rsid w:val="00D623BF"/>
    <w:rsid w:val="00D62826"/>
    <w:rsid w:val="00D62B1F"/>
    <w:rsid w:val="00D62BF5"/>
    <w:rsid w:val="00D62C66"/>
    <w:rsid w:val="00D62CF3"/>
    <w:rsid w:val="00D62DC6"/>
    <w:rsid w:val="00D63361"/>
    <w:rsid w:val="00D634B9"/>
    <w:rsid w:val="00D63677"/>
    <w:rsid w:val="00D6379F"/>
    <w:rsid w:val="00D63CF2"/>
    <w:rsid w:val="00D63D94"/>
    <w:rsid w:val="00D642D9"/>
    <w:rsid w:val="00D64426"/>
    <w:rsid w:val="00D64451"/>
    <w:rsid w:val="00D6458A"/>
    <w:rsid w:val="00D6483D"/>
    <w:rsid w:val="00D64928"/>
    <w:rsid w:val="00D64CB2"/>
    <w:rsid w:val="00D64F09"/>
    <w:rsid w:val="00D65405"/>
    <w:rsid w:val="00D65416"/>
    <w:rsid w:val="00D65BE0"/>
    <w:rsid w:val="00D65D30"/>
    <w:rsid w:val="00D6618F"/>
    <w:rsid w:val="00D6652F"/>
    <w:rsid w:val="00D66752"/>
    <w:rsid w:val="00D66815"/>
    <w:rsid w:val="00D6688D"/>
    <w:rsid w:val="00D66A26"/>
    <w:rsid w:val="00D66B81"/>
    <w:rsid w:val="00D66E44"/>
    <w:rsid w:val="00D66EA6"/>
    <w:rsid w:val="00D66F52"/>
    <w:rsid w:val="00D6700D"/>
    <w:rsid w:val="00D6715B"/>
    <w:rsid w:val="00D6717A"/>
    <w:rsid w:val="00D67608"/>
    <w:rsid w:val="00D6770D"/>
    <w:rsid w:val="00D677AD"/>
    <w:rsid w:val="00D67BE0"/>
    <w:rsid w:val="00D67BE8"/>
    <w:rsid w:val="00D67C72"/>
    <w:rsid w:val="00D67F7D"/>
    <w:rsid w:val="00D703F7"/>
    <w:rsid w:val="00D708AD"/>
    <w:rsid w:val="00D709CD"/>
    <w:rsid w:val="00D70AFE"/>
    <w:rsid w:val="00D70ED7"/>
    <w:rsid w:val="00D7141B"/>
    <w:rsid w:val="00D71584"/>
    <w:rsid w:val="00D715EC"/>
    <w:rsid w:val="00D71A07"/>
    <w:rsid w:val="00D71A08"/>
    <w:rsid w:val="00D71A5D"/>
    <w:rsid w:val="00D71AD4"/>
    <w:rsid w:val="00D71B61"/>
    <w:rsid w:val="00D71C1C"/>
    <w:rsid w:val="00D725CF"/>
    <w:rsid w:val="00D725D4"/>
    <w:rsid w:val="00D72C7B"/>
    <w:rsid w:val="00D72D76"/>
    <w:rsid w:val="00D734B7"/>
    <w:rsid w:val="00D73500"/>
    <w:rsid w:val="00D737E9"/>
    <w:rsid w:val="00D7386A"/>
    <w:rsid w:val="00D73D38"/>
    <w:rsid w:val="00D73EE6"/>
    <w:rsid w:val="00D73EFC"/>
    <w:rsid w:val="00D73FCC"/>
    <w:rsid w:val="00D74115"/>
    <w:rsid w:val="00D7414C"/>
    <w:rsid w:val="00D7459D"/>
    <w:rsid w:val="00D747EC"/>
    <w:rsid w:val="00D74892"/>
    <w:rsid w:val="00D749C0"/>
    <w:rsid w:val="00D74B2D"/>
    <w:rsid w:val="00D74BC3"/>
    <w:rsid w:val="00D75311"/>
    <w:rsid w:val="00D75791"/>
    <w:rsid w:val="00D757E0"/>
    <w:rsid w:val="00D7592A"/>
    <w:rsid w:val="00D75AEF"/>
    <w:rsid w:val="00D75B1D"/>
    <w:rsid w:val="00D75C23"/>
    <w:rsid w:val="00D7647B"/>
    <w:rsid w:val="00D7681D"/>
    <w:rsid w:val="00D768F1"/>
    <w:rsid w:val="00D76909"/>
    <w:rsid w:val="00D76931"/>
    <w:rsid w:val="00D769D6"/>
    <w:rsid w:val="00D769FF"/>
    <w:rsid w:val="00D77079"/>
    <w:rsid w:val="00D77309"/>
    <w:rsid w:val="00D773D8"/>
    <w:rsid w:val="00D77463"/>
    <w:rsid w:val="00D77691"/>
    <w:rsid w:val="00D77931"/>
    <w:rsid w:val="00D8049B"/>
    <w:rsid w:val="00D80666"/>
    <w:rsid w:val="00D8077A"/>
    <w:rsid w:val="00D808CE"/>
    <w:rsid w:val="00D80BE2"/>
    <w:rsid w:val="00D80DA8"/>
    <w:rsid w:val="00D80DD9"/>
    <w:rsid w:val="00D80EA8"/>
    <w:rsid w:val="00D81253"/>
    <w:rsid w:val="00D81297"/>
    <w:rsid w:val="00D8157B"/>
    <w:rsid w:val="00D81641"/>
    <w:rsid w:val="00D818F8"/>
    <w:rsid w:val="00D81C65"/>
    <w:rsid w:val="00D81E9A"/>
    <w:rsid w:val="00D81EFD"/>
    <w:rsid w:val="00D822E4"/>
    <w:rsid w:val="00D8230B"/>
    <w:rsid w:val="00D826F7"/>
    <w:rsid w:val="00D826FB"/>
    <w:rsid w:val="00D82860"/>
    <w:rsid w:val="00D82CBC"/>
    <w:rsid w:val="00D82D93"/>
    <w:rsid w:val="00D831E2"/>
    <w:rsid w:val="00D8335C"/>
    <w:rsid w:val="00D836C1"/>
    <w:rsid w:val="00D83F84"/>
    <w:rsid w:val="00D8416C"/>
    <w:rsid w:val="00D84641"/>
    <w:rsid w:val="00D846A9"/>
    <w:rsid w:val="00D8475D"/>
    <w:rsid w:val="00D847C1"/>
    <w:rsid w:val="00D84B2E"/>
    <w:rsid w:val="00D8525F"/>
    <w:rsid w:val="00D854A3"/>
    <w:rsid w:val="00D8565B"/>
    <w:rsid w:val="00D857FB"/>
    <w:rsid w:val="00D85B93"/>
    <w:rsid w:val="00D85CF2"/>
    <w:rsid w:val="00D85D2F"/>
    <w:rsid w:val="00D85DB1"/>
    <w:rsid w:val="00D85E59"/>
    <w:rsid w:val="00D85EFF"/>
    <w:rsid w:val="00D86198"/>
    <w:rsid w:val="00D864C7"/>
    <w:rsid w:val="00D86605"/>
    <w:rsid w:val="00D867E6"/>
    <w:rsid w:val="00D869EC"/>
    <w:rsid w:val="00D87094"/>
    <w:rsid w:val="00D871A8"/>
    <w:rsid w:val="00D87446"/>
    <w:rsid w:val="00D874BB"/>
    <w:rsid w:val="00D874E5"/>
    <w:rsid w:val="00D87847"/>
    <w:rsid w:val="00D87ACE"/>
    <w:rsid w:val="00D87F59"/>
    <w:rsid w:val="00D9003F"/>
    <w:rsid w:val="00D90079"/>
    <w:rsid w:val="00D905C9"/>
    <w:rsid w:val="00D90A24"/>
    <w:rsid w:val="00D90A52"/>
    <w:rsid w:val="00D90F60"/>
    <w:rsid w:val="00D9108D"/>
    <w:rsid w:val="00D915AA"/>
    <w:rsid w:val="00D915FD"/>
    <w:rsid w:val="00D91C57"/>
    <w:rsid w:val="00D91CD4"/>
    <w:rsid w:val="00D921E7"/>
    <w:rsid w:val="00D92484"/>
    <w:rsid w:val="00D924BE"/>
    <w:rsid w:val="00D925D5"/>
    <w:rsid w:val="00D926B8"/>
    <w:rsid w:val="00D92876"/>
    <w:rsid w:val="00D92C69"/>
    <w:rsid w:val="00D92C90"/>
    <w:rsid w:val="00D9312C"/>
    <w:rsid w:val="00D9353A"/>
    <w:rsid w:val="00D9399C"/>
    <w:rsid w:val="00D942DE"/>
    <w:rsid w:val="00D9454B"/>
    <w:rsid w:val="00D946A7"/>
    <w:rsid w:val="00D94A03"/>
    <w:rsid w:val="00D94B9B"/>
    <w:rsid w:val="00D94CEC"/>
    <w:rsid w:val="00D9509F"/>
    <w:rsid w:val="00D95163"/>
    <w:rsid w:val="00D95184"/>
    <w:rsid w:val="00D95A00"/>
    <w:rsid w:val="00D95C4F"/>
    <w:rsid w:val="00D95CBD"/>
    <w:rsid w:val="00D95D1A"/>
    <w:rsid w:val="00D95D7A"/>
    <w:rsid w:val="00D95DD0"/>
    <w:rsid w:val="00D960C7"/>
    <w:rsid w:val="00D96108"/>
    <w:rsid w:val="00D9615B"/>
    <w:rsid w:val="00D96186"/>
    <w:rsid w:val="00D962AB"/>
    <w:rsid w:val="00D96346"/>
    <w:rsid w:val="00D9658F"/>
    <w:rsid w:val="00D96590"/>
    <w:rsid w:val="00D96748"/>
    <w:rsid w:val="00D96845"/>
    <w:rsid w:val="00D96BC3"/>
    <w:rsid w:val="00D96F1D"/>
    <w:rsid w:val="00D9702C"/>
    <w:rsid w:val="00D97165"/>
    <w:rsid w:val="00D97323"/>
    <w:rsid w:val="00D97635"/>
    <w:rsid w:val="00D97659"/>
    <w:rsid w:val="00D97860"/>
    <w:rsid w:val="00D979F1"/>
    <w:rsid w:val="00D97BF2"/>
    <w:rsid w:val="00D97D59"/>
    <w:rsid w:val="00DA0272"/>
    <w:rsid w:val="00DA04E5"/>
    <w:rsid w:val="00DA0681"/>
    <w:rsid w:val="00DA0A62"/>
    <w:rsid w:val="00DA0B1C"/>
    <w:rsid w:val="00DA0C92"/>
    <w:rsid w:val="00DA11F5"/>
    <w:rsid w:val="00DA1231"/>
    <w:rsid w:val="00DA12D5"/>
    <w:rsid w:val="00DA12F7"/>
    <w:rsid w:val="00DA145C"/>
    <w:rsid w:val="00DA14A6"/>
    <w:rsid w:val="00DA18C5"/>
    <w:rsid w:val="00DA1C0B"/>
    <w:rsid w:val="00DA1E64"/>
    <w:rsid w:val="00DA2388"/>
    <w:rsid w:val="00DA2788"/>
    <w:rsid w:val="00DA2CF0"/>
    <w:rsid w:val="00DA2EF7"/>
    <w:rsid w:val="00DA3375"/>
    <w:rsid w:val="00DA3447"/>
    <w:rsid w:val="00DA3B05"/>
    <w:rsid w:val="00DA3D41"/>
    <w:rsid w:val="00DA3ECD"/>
    <w:rsid w:val="00DA3F4B"/>
    <w:rsid w:val="00DA4450"/>
    <w:rsid w:val="00DA4471"/>
    <w:rsid w:val="00DA44AA"/>
    <w:rsid w:val="00DA4591"/>
    <w:rsid w:val="00DA4662"/>
    <w:rsid w:val="00DA468F"/>
    <w:rsid w:val="00DA46DB"/>
    <w:rsid w:val="00DA4749"/>
    <w:rsid w:val="00DA489B"/>
    <w:rsid w:val="00DA4989"/>
    <w:rsid w:val="00DA4D3C"/>
    <w:rsid w:val="00DA4FFE"/>
    <w:rsid w:val="00DA5100"/>
    <w:rsid w:val="00DA56E3"/>
    <w:rsid w:val="00DA587E"/>
    <w:rsid w:val="00DA5959"/>
    <w:rsid w:val="00DA5988"/>
    <w:rsid w:val="00DA5B8A"/>
    <w:rsid w:val="00DA610D"/>
    <w:rsid w:val="00DA6297"/>
    <w:rsid w:val="00DA6457"/>
    <w:rsid w:val="00DA648D"/>
    <w:rsid w:val="00DA65C3"/>
    <w:rsid w:val="00DA67F7"/>
    <w:rsid w:val="00DA702B"/>
    <w:rsid w:val="00DA707D"/>
    <w:rsid w:val="00DA70B3"/>
    <w:rsid w:val="00DA7192"/>
    <w:rsid w:val="00DA72F3"/>
    <w:rsid w:val="00DA783F"/>
    <w:rsid w:val="00DA7965"/>
    <w:rsid w:val="00DA7980"/>
    <w:rsid w:val="00DA7A92"/>
    <w:rsid w:val="00DA7E9F"/>
    <w:rsid w:val="00DA7EF5"/>
    <w:rsid w:val="00DB0003"/>
    <w:rsid w:val="00DB002C"/>
    <w:rsid w:val="00DB034E"/>
    <w:rsid w:val="00DB0526"/>
    <w:rsid w:val="00DB05D5"/>
    <w:rsid w:val="00DB06D5"/>
    <w:rsid w:val="00DB06DB"/>
    <w:rsid w:val="00DB10B0"/>
    <w:rsid w:val="00DB1169"/>
    <w:rsid w:val="00DB12D3"/>
    <w:rsid w:val="00DB164B"/>
    <w:rsid w:val="00DB166A"/>
    <w:rsid w:val="00DB1769"/>
    <w:rsid w:val="00DB187B"/>
    <w:rsid w:val="00DB1A2A"/>
    <w:rsid w:val="00DB1C2B"/>
    <w:rsid w:val="00DB2768"/>
    <w:rsid w:val="00DB28E6"/>
    <w:rsid w:val="00DB2962"/>
    <w:rsid w:val="00DB29A1"/>
    <w:rsid w:val="00DB2DA8"/>
    <w:rsid w:val="00DB3460"/>
    <w:rsid w:val="00DB36DC"/>
    <w:rsid w:val="00DB3D50"/>
    <w:rsid w:val="00DB3DCD"/>
    <w:rsid w:val="00DB3F2B"/>
    <w:rsid w:val="00DB4030"/>
    <w:rsid w:val="00DB41A5"/>
    <w:rsid w:val="00DB45A3"/>
    <w:rsid w:val="00DB4639"/>
    <w:rsid w:val="00DB4A5B"/>
    <w:rsid w:val="00DB4A63"/>
    <w:rsid w:val="00DB4E5E"/>
    <w:rsid w:val="00DB52AA"/>
    <w:rsid w:val="00DB53CB"/>
    <w:rsid w:val="00DB547A"/>
    <w:rsid w:val="00DB54EC"/>
    <w:rsid w:val="00DB56BB"/>
    <w:rsid w:val="00DB56CB"/>
    <w:rsid w:val="00DB5843"/>
    <w:rsid w:val="00DB595B"/>
    <w:rsid w:val="00DB5A44"/>
    <w:rsid w:val="00DB5A8F"/>
    <w:rsid w:val="00DB5A92"/>
    <w:rsid w:val="00DB5CE2"/>
    <w:rsid w:val="00DB60A1"/>
    <w:rsid w:val="00DB61FF"/>
    <w:rsid w:val="00DB6205"/>
    <w:rsid w:val="00DB6247"/>
    <w:rsid w:val="00DB62F6"/>
    <w:rsid w:val="00DB63BE"/>
    <w:rsid w:val="00DB65FB"/>
    <w:rsid w:val="00DB667C"/>
    <w:rsid w:val="00DB6D1A"/>
    <w:rsid w:val="00DB6D34"/>
    <w:rsid w:val="00DB6E46"/>
    <w:rsid w:val="00DB7423"/>
    <w:rsid w:val="00DB7426"/>
    <w:rsid w:val="00DB74F8"/>
    <w:rsid w:val="00DB74FD"/>
    <w:rsid w:val="00DB7810"/>
    <w:rsid w:val="00DB7DF5"/>
    <w:rsid w:val="00DB7F2C"/>
    <w:rsid w:val="00DC0540"/>
    <w:rsid w:val="00DC09C5"/>
    <w:rsid w:val="00DC0A2A"/>
    <w:rsid w:val="00DC0C00"/>
    <w:rsid w:val="00DC0DD4"/>
    <w:rsid w:val="00DC0F62"/>
    <w:rsid w:val="00DC10E9"/>
    <w:rsid w:val="00DC1164"/>
    <w:rsid w:val="00DC1440"/>
    <w:rsid w:val="00DC1627"/>
    <w:rsid w:val="00DC1636"/>
    <w:rsid w:val="00DC16C0"/>
    <w:rsid w:val="00DC1846"/>
    <w:rsid w:val="00DC1AD9"/>
    <w:rsid w:val="00DC1E9A"/>
    <w:rsid w:val="00DC25B4"/>
    <w:rsid w:val="00DC25E5"/>
    <w:rsid w:val="00DC29A1"/>
    <w:rsid w:val="00DC2A8B"/>
    <w:rsid w:val="00DC2BA0"/>
    <w:rsid w:val="00DC2C2C"/>
    <w:rsid w:val="00DC354B"/>
    <w:rsid w:val="00DC37EB"/>
    <w:rsid w:val="00DC3EE2"/>
    <w:rsid w:val="00DC3F0F"/>
    <w:rsid w:val="00DC47B3"/>
    <w:rsid w:val="00DC4A52"/>
    <w:rsid w:val="00DC4B6F"/>
    <w:rsid w:val="00DC4DF2"/>
    <w:rsid w:val="00DC4ECE"/>
    <w:rsid w:val="00DC50CD"/>
    <w:rsid w:val="00DC51EF"/>
    <w:rsid w:val="00DC5414"/>
    <w:rsid w:val="00DC5A54"/>
    <w:rsid w:val="00DC5C3A"/>
    <w:rsid w:val="00DC5F77"/>
    <w:rsid w:val="00DC60ED"/>
    <w:rsid w:val="00DC62E6"/>
    <w:rsid w:val="00DC6478"/>
    <w:rsid w:val="00DC65FF"/>
    <w:rsid w:val="00DC6986"/>
    <w:rsid w:val="00DC6AD6"/>
    <w:rsid w:val="00DC6B08"/>
    <w:rsid w:val="00DC70D9"/>
    <w:rsid w:val="00DC70FC"/>
    <w:rsid w:val="00DC75F4"/>
    <w:rsid w:val="00DC76FB"/>
    <w:rsid w:val="00DC7788"/>
    <w:rsid w:val="00DC77DE"/>
    <w:rsid w:val="00DC7EA8"/>
    <w:rsid w:val="00DD0294"/>
    <w:rsid w:val="00DD04E1"/>
    <w:rsid w:val="00DD05F7"/>
    <w:rsid w:val="00DD0A36"/>
    <w:rsid w:val="00DD0B62"/>
    <w:rsid w:val="00DD0B9C"/>
    <w:rsid w:val="00DD104A"/>
    <w:rsid w:val="00DD1304"/>
    <w:rsid w:val="00DD17C0"/>
    <w:rsid w:val="00DD183C"/>
    <w:rsid w:val="00DD18B8"/>
    <w:rsid w:val="00DD19E0"/>
    <w:rsid w:val="00DD1ABD"/>
    <w:rsid w:val="00DD1B52"/>
    <w:rsid w:val="00DD1C84"/>
    <w:rsid w:val="00DD227C"/>
    <w:rsid w:val="00DD2610"/>
    <w:rsid w:val="00DD2809"/>
    <w:rsid w:val="00DD297F"/>
    <w:rsid w:val="00DD2AB7"/>
    <w:rsid w:val="00DD3094"/>
    <w:rsid w:val="00DD34EB"/>
    <w:rsid w:val="00DD3603"/>
    <w:rsid w:val="00DD38AD"/>
    <w:rsid w:val="00DD39A4"/>
    <w:rsid w:val="00DD3CE9"/>
    <w:rsid w:val="00DD3EDC"/>
    <w:rsid w:val="00DD51B2"/>
    <w:rsid w:val="00DD5485"/>
    <w:rsid w:val="00DD54F2"/>
    <w:rsid w:val="00DD5553"/>
    <w:rsid w:val="00DD5758"/>
    <w:rsid w:val="00DD597A"/>
    <w:rsid w:val="00DD5B04"/>
    <w:rsid w:val="00DD5BAA"/>
    <w:rsid w:val="00DD5C4E"/>
    <w:rsid w:val="00DD5C59"/>
    <w:rsid w:val="00DD5F8E"/>
    <w:rsid w:val="00DD61B8"/>
    <w:rsid w:val="00DD672B"/>
    <w:rsid w:val="00DD6869"/>
    <w:rsid w:val="00DD696E"/>
    <w:rsid w:val="00DD6B20"/>
    <w:rsid w:val="00DD6DE5"/>
    <w:rsid w:val="00DD6F5C"/>
    <w:rsid w:val="00DD70EE"/>
    <w:rsid w:val="00DD714A"/>
    <w:rsid w:val="00DD738D"/>
    <w:rsid w:val="00DD7518"/>
    <w:rsid w:val="00DD7836"/>
    <w:rsid w:val="00DD7A84"/>
    <w:rsid w:val="00DD7B42"/>
    <w:rsid w:val="00DD7D3C"/>
    <w:rsid w:val="00DD7EC4"/>
    <w:rsid w:val="00DE001D"/>
    <w:rsid w:val="00DE034A"/>
    <w:rsid w:val="00DE0478"/>
    <w:rsid w:val="00DE0675"/>
    <w:rsid w:val="00DE0904"/>
    <w:rsid w:val="00DE090F"/>
    <w:rsid w:val="00DE0B3C"/>
    <w:rsid w:val="00DE0B89"/>
    <w:rsid w:val="00DE0CA6"/>
    <w:rsid w:val="00DE0CFE"/>
    <w:rsid w:val="00DE0DE8"/>
    <w:rsid w:val="00DE107B"/>
    <w:rsid w:val="00DE172B"/>
    <w:rsid w:val="00DE1740"/>
    <w:rsid w:val="00DE177E"/>
    <w:rsid w:val="00DE19B6"/>
    <w:rsid w:val="00DE19D6"/>
    <w:rsid w:val="00DE1D92"/>
    <w:rsid w:val="00DE2048"/>
    <w:rsid w:val="00DE25D9"/>
    <w:rsid w:val="00DE3094"/>
    <w:rsid w:val="00DE30D0"/>
    <w:rsid w:val="00DE31D6"/>
    <w:rsid w:val="00DE320B"/>
    <w:rsid w:val="00DE3360"/>
    <w:rsid w:val="00DE337C"/>
    <w:rsid w:val="00DE339C"/>
    <w:rsid w:val="00DE377E"/>
    <w:rsid w:val="00DE3D52"/>
    <w:rsid w:val="00DE425A"/>
    <w:rsid w:val="00DE4424"/>
    <w:rsid w:val="00DE4742"/>
    <w:rsid w:val="00DE49D4"/>
    <w:rsid w:val="00DE4AB2"/>
    <w:rsid w:val="00DE4C07"/>
    <w:rsid w:val="00DE4D00"/>
    <w:rsid w:val="00DE4D16"/>
    <w:rsid w:val="00DE4D31"/>
    <w:rsid w:val="00DE51F0"/>
    <w:rsid w:val="00DE525C"/>
    <w:rsid w:val="00DE53C8"/>
    <w:rsid w:val="00DE53DF"/>
    <w:rsid w:val="00DE54A9"/>
    <w:rsid w:val="00DE57E4"/>
    <w:rsid w:val="00DE58FD"/>
    <w:rsid w:val="00DE5E4F"/>
    <w:rsid w:val="00DE5EBF"/>
    <w:rsid w:val="00DE607F"/>
    <w:rsid w:val="00DE62FD"/>
    <w:rsid w:val="00DE64D7"/>
    <w:rsid w:val="00DE6866"/>
    <w:rsid w:val="00DE68A8"/>
    <w:rsid w:val="00DE68C3"/>
    <w:rsid w:val="00DE6974"/>
    <w:rsid w:val="00DE6CDE"/>
    <w:rsid w:val="00DE6D0B"/>
    <w:rsid w:val="00DE6F30"/>
    <w:rsid w:val="00DE7231"/>
    <w:rsid w:val="00DE73B6"/>
    <w:rsid w:val="00DE79A7"/>
    <w:rsid w:val="00DE7A45"/>
    <w:rsid w:val="00DE7AF8"/>
    <w:rsid w:val="00DF0120"/>
    <w:rsid w:val="00DF01B0"/>
    <w:rsid w:val="00DF020E"/>
    <w:rsid w:val="00DF04DC"/>
    <w:rsid w:val="00DF066F"/>
    <w:rsid w:val="00DF082C"/>
    <w:rsid w:val="00DF08FF"/>
    <w:rsid w:val="00DF0E0F"/>
    <w:rsid w:val="00DF0FB1"/>
    <w:rsid w:val="00DF1A0B"/>
    <w:rsid w:val="00DF1EA4"/>
    <w:rsid w:val="00DF1F49"/>
    <w:rsid w:val="00DF1F78"/>
    <w:rsid w:val="00DF2181"/>
    <w:rsid w:val="00DF24E4"/>
    <w:rsid w:val="00DF2AFC"/>
    <w:rsid w:val="00DF2BA7"/>
    <w:rsid w:val="00DF2DEB"/>
    <w:rsid w:val="00DF2E1B"/>
    <w:rsid w:val="00DF2EC3"/>
    <w:rsid w:val="00DF3185"/>
    <w:rsid w:val="00DF32CA"/>
    <w:rsid w:val="00DF33E5"/>
    <w:rsid w:val="00DF362C"/>
    <w:rsid w:val="00DF3B64"/>
    <w:rsid w:val="00DF41AB"/>
    <w:rsid w:val="00DF4898"/>
    <w:rsid w:val="00DF4E2B"/>
    <w:rsid w:val="00DF5179"/>
    <w:rsid w:val="00DF539D"/>
    <w:rsid w:val="00DF569B"/>
    <w:rsid w:val="00DF5983"/>
    <w:rsid w:val="00DF59A6"/>
    <w:rsid w:val="00DF614E"/>
    <w:rsid w:val="00DF636F"/>
    <w:rsid w:val="00DF6492"/>
    <w:rsid w:val="00DF655C"/>
    <w:rsid w:val="00DF6873"/>
    <w:rsid w:val="00DF6B40"/>
    <w:rsid w:val="00DF7372"/>
    <w:rsid w:val="00DF784E"/>
    <w:rsid w:val="00DF7969"/>
    <w:rsid w:val="00DF7A92"/>
    <w:rsid w:val="00DF7D52"/>
    <w:rsid w:val="00DF7F94"/>
    <w:rsid w:val="00E002D9"/>
    <w:rsid w:val="00E004E1"/>
    <w:rsid w:val="00E009D1"/>
    <w:rsid w:val="00E00FEC"/>
    <w:rsid w:val="00E017A9"/>
    <w:rsid w:val="00E01802"/>
    <w:rsid w:val="00E01931"/>
    <w:rsid w:val="00E01DC4"/>
    <w:rsid w:val="00E0249D"/>
    <w:rsid w:val="00E0267B"/>
    <w:rsid w:val="00E0287B"/>
    <w:rsid w:val="00E03187"/>
    <w:rsid w:val="00E03218"/>
    <w:rsid w:val="00E036F5"/>
    <w:rsid w:val="00E03794"/>
    <w:rsid w:val="00E03AD7"/>
    <w:rsid w:val="00E03BC3"/>
    <w:rsid w:val="00E03D93"/>
    <w:rsid w:val="00E03E00"/>
    <w:rsid w:val="00E04247"/>
    <w:rsid w:val="00E04558"/>
    <w:rsid w:val="00E04F43"/>
    <w:rsid w:val="00E05696"/>
    <w:rsid w:val="00E05769"/>
    <w:rsid w:val="00E05CDA"/>
    <w:rsid w:val="00E05D42"/>
    <w:rsid w:val="00E05DFC"/>
    <w:rsid w:val="00E0638E"/>
    <w:rsid w:val="00E06AFD"/>
    <w:rsid w:val="00E06C1A"/>
    <w:rsid w:val="00E06C61"/>
    <w:rsid w:val="00E070DE"/>
    <w:rsid w:val="00E073B6"/>
    <w:rsid w:val="00E073BD"/>
    <w:rsid w:val="00E0741E"/>
    <w:rsid w:val="00E074FD"/>
    <w:rsid w:val="00E07613"/>
    <w:rsid w:val="00E07619"/>
    <w:rsid w:val="00E0775B"/>
    <w:rsid w:val="00E07862"/>
    <w:rsid w:val="00E0787A"/>
    <w:rsid w:val="00E07922"/>
    <w:rsid w:val="00E079CC"/>
    <w:rsid w:val="00E07D48"/>
    <w:rsid w:val="00E07D91"/>
    <w:rsid w:val="00E07D9A"/>
    <w:rsid w:val="00E07E94"/>
    <w:rsid w:val="00E10003"/>
    <w:rsid w:val="00E101E2"/>
    <w:rsid w:val="00E10213"/>
    <w:rsid w:val="00E104D7"/>
    <w:rsid w:val="00E10A72"/>
    <w:rsid w:val="00E11128"/>
    <w:rsid w:val="00E111EB"/>
    <w:rsid w:val="00E113C4"/>
    <w:rsid w:val="00E115F0"/>
    <w:rsid w:val="00E11BC6"/>
    <w:rsid w:val="00E11D4F"/>
    <w:rsid w:val="00E11EB4"/>
    <w:rsid w:val="00E1203A"/>
    <w:rsid w:val="00E12126"/>
    <w:rsid w:val="00E124B5"/>
    <w:rsid w:val="00E124DB"/>
    <w:rsid w:val="00E12AD5"/>
    <w:rsid w:val="00E12D52"/>
    <w:rsid w:val="00E12D59"/>
    <w:rsid w:val="00E130DC"/>
    <w:rsid w:val="00E1331B"/>
    <w:rsid w:val="00E1362C"/>
    <w:rsid w:val="00E13AA1"/>
    <w:rsid w:val="00E13BF4"/>
    <w:rsid w:val="00E13DFA"/>
    <w:rsid w:val="00E13F1D"/>
    <w:rsid w:val="00E143B0"/>
    <w:rsid w:val="00E1442F"/>
    <w:rsid w:val="00E144E0"/>
    <w:rsid w:val="00E145FF"/>
    <w:rsid w:val="00E14605"/>
    <w:rsid w:val="00E14627"/>
    <w:rsid w:val="00E146B2"/>
    <w:rsid w:val="00E147C3"/>
    <w:rsid w:val="00E14DA4"/>
    <w:rsid w:val="00E152B6"/>
    <w:rsid w:val="00E153DE"/>
    <w:rsid w:val="00E15AF5"/>
    <w:rsid w:val="00E15B79"/>
    <w:rsid w:val="00E15E50"/>
    <w:rsid w:val="00E15E8E"/>
    <w:rsid w:val="00E1624B"/>
    <w:rsid w:val="00E16264"/>
    <w:rsid w:val="00E163A2"/>
    <w:rsid w:val="00E16DD7"/>
    <w:rsid w:val="00E17099"/>
    <w:rsid w:val="00E170AC"/>
    <w:rsid w:val="00E17772"/>
    <w:rsid w:val="00E17DF1"/>
    <w:rsid w:val="00E17E93"/>
    <w:rsid w:val="00E17F85"/>
    <w:rsid w:val="00E2017E"/>
    <w:rsid w:val="00E204FB"/>
    <w:rsid w:val="00E207D5"/>
    <w:rsid w:val="00E208D4"/>
    <w:rsid w:val="00E20CCA"/>
    <w:rsid w:val="00E20D83"/>
    <w:rsid w:val="00E20EBD"/>
    <w:rsid w:val="00E20FF2"/>
    <w:rsid w:val="00E21159"/>
    <w:rsid w:val="00E2128B"/>
    <w:rsid w:val="00E213EF"/>
    <w:rsid w:val="00E21525"/>
    <w:rsid w:val="00E215D7"/>
    <w:rsid w:val="00E21BC1"/>
    <w:rsid w:val="00E21D9E"/>
    <w:rsid w:val="00E22043"/>
    <w:rsid w:val="00E224BD"/>
    <w:rsid w:val="00E22B2D"/>
    <w:rsid w:val="00E22D38"/>
    <w:rsid w:val="00E23125"/>
    <w:rsid w:val="00E2349A"/>
    <w:rsid w:val="00E2381D"/>
    <w:rsid w:val="00E239A6"/>
    <w:rsid w:val="00E23CC9"/>
    <w:rsid w:val="00E23CD7"/>
    <w:rsid w:val="00E23EFC"/>
    <w:rsid w:val="00E23F64"/>
    <w:rsid w:val="00E24560"/>
    <w:rsid w:val="00E252D1"/>
    <w:rsid w:val="00E25496"/>
    <w:rsid w:val="00E254A2"/>
    <w:rsid w:val="00E2574D"/>
    <w:rsid w:val="00E2579F"/>
    <w:rsid w:val="00E259D1"/>
    <w:rsid w:val="00E25A9C"/>
    <w:rsid w:val="00E25F3E"/>
    <w:rsid w:val="00E25F52"/>
    <w:rsid w:val="00E26092"/>
    <w:rsid w:val="00E2642B"/>
    <w:rsid w:val="00E265BB"/>
    <w:rsid w:val="00E26869"/>
    <w:rsid w:val="00E26A1C"/>
    <w:rsid w:val="00E2702B"/>
    <w:rsid w:val="00E27568"/>
    <w:rsid w:val="00E27729"/>
    <w:rsid w:val="00E277AE"/>
    <w:rsid w:val="00E27949"/>
    <w:rsid w:val="00E27986"/>
    <w:rsid w:val="00E27C1C"/>
    <w:rsid w:val="00E27DB8"/>
    <w:rsid w:val="00E306ED"/>
    <w:rsid w:val="00E308E2"/>
    <w:rsid w:val="00E30B84"/>
    <w:rsid w:val="00E30E69"/>
    <w:rsid w:val="00E30EFA"/>
    <w:rsid w:val="00E31017"/>
    <w:rsid w:val="00E310A2"/>
    <w:rsid w:val="00E311DD"/>
    <w:rsid w:val="00E3149F"/>
    <w:rsid w:val="00E317F0"/>
    <w:rsid w:val="00E31896"/>
    <w:rsid w:val="00E31E9B"/>
    <w:rsid w:val="00E31F75"/>
    <w:rsid w:val="00E321A4"/>
    <w:rsid w:val="00E32212"/>
    <w:rsid w:val="00E3227D"/>
    <w:rsid w:val="00E3269C"/>
    <w:rsid w:val="00E32A18"/>
    <w:rsid w:val="00E32BD4"/>
    <w:rsid w:val="00E32C07"/>
    <w:rsid w:val="00E32E1C"/>
    <w:rsid w:val="00E32F68"/>
    <w:rsid w:val="00E330A1"/>
    <w:rsid w:val="00E337BF"/>
    <w:rsid w:val="00E33CFD"/>
    <w:rsid w:val="00E34004"/>
    <w:rsid w:val="00E348C2"/>
    <w:rsid w:val="00E34C81"/>
    <w:rsid w:val="00E34DC8"/>
    <w:rsid w:val="00E34F70"/>
    <w:rsid w:val="00E35130"/>
    <w:rsid w:val="00E3583D"/>
    <w:rsid w:val="00E358AC"/>
    <w:rsid w:val="00E35BBF"/>
    <w:rsid w:val="00E35BC3"/>
    <w:rsid w:val="00E35D75"/>
    <w:rsid w:val="00E360C1"/>
    <w:rsid w:val="00E360FD"/>
    <w:rsid w:val="00E3614D"/>
    <w:rsid w:val="00E361AD"/>
    <w:rsid w:val="00E3624C"/>
    <w:rsid w:val="00E36482"/>
    <w:rsid w:val="00E36819"/>
    <w:rsid w:val="00E36C21"/>
    <w:rsid w:val="00E37199"/>
    <w:rsid w:val="00E37272"/>
    <w:rsid w:val="00E37315"/>
    <w:rsid w:val="00E37332"/>
    <w:rsid w:val="00E3746F"/>
    <w:rsid w:val="00E376BF"/>
    <w:rsid w:val="00E3777B"/>
    <w:rsid w:val="00E37AED"/>
    <w:rsid w:val="00E37CC3"/>
    <w:rsid w:val="00E37D11"/>
    <w:rsid w:val="00E4020E"/>
    <w:rsid w:val="00E403CC"/>
    <w:rsid w:val="00E40507"/>
    <w:rsid w:val="00E40806"/>
    <w:rsid w:val="00E40990"/>
    <w:rsid w:val="00E40CB2"/>
    <w:rsid w:val="00E40D24"/>
    <w:rsid w:val="00E40D4B"/>
    <w:rsid w:val="00E40FF9"/>
    <w:rsid w:val="00E41199"/>
    <w:rsid w:val="00E412F6"/>
    <w:rsid w:val="00E4147B"/>
    <w:rsid w:val="00E418E3"/>
    <w:rsid w:val="00E419D5"/>
    <w:rsid w:val="00E41A78"/>
    <w:rsid w:val="00E41B96"/>
    <w:rsid w:val="00E41C55"/>
    <w:rsid w:val="00E421B3"/>
    <w:rsid w:val="00E42434"/>
    <w:rsid w:val="00E42602"/>
    <w:rsid w:val="00E427F3"/>
    <w:rsid w:val="00E42B1B"/>
    <w:rsid w:val="00E42D15"/>
    <w:rsid w:val="00E42D9C"/>
    <w:rsid w:val="00E43009"/>
    <w:rsid w:val="00E43211"/>
    <w:rsid w:val="00E4366D"/>
    <w:rsid w:val="00E437F1"/>
    <w:rsid w:val="00E44139"/>
    <w:rsid w:val="00E443AE"/>
    <w:rsid w:val="00E44902"/>
    <w:rsid w:val="00E44EF0"/>
    <w:rsid w:val="00E4519C"/>
    <w:rsid w:val="00E45672"/>
    <w:rsid w:val="00E458CC"/>
    <w:rsid w:val="00E459BA"/>
    <w:rsid w:val="00E45DD3"/>
    <w:rsid w:val="00E45E68"/>
    <w:rsid w:val="00E45EC1"/>
    <w:rsid w:val="00E46047"/>
    <w:rsid w:val="00E46740"/>
    <w:rsid w:val="00E47109"/>
    <w:rsid w:val="00E47172"/>
    <w:rsid w:val="00E47230"/>
    <w:rsid w:val="00E472AD"/>
    <w:rsid w:val="00E475B0"/>
    <w:rsid w:val="00E47F2D"/>
    <w:rsid w:val="00E500F4"/>
    <w:rsid w:val="00E505E4"/>
    <w:rsid w:val="00E5068E"/>
    <w:rsid w:val="00E50791"/>
    <w:rsid w:val="00E50850"/>
    <w:rsid w:val="00E50B86"/>
    <w:rsid w:val="00E50DA2"/>
    <w:rsid w:val="00E50DBF"/>
    <w:rsid w:val="00E5132F"/>
    <w:rsid w:val="00E51A84"/>
    <w:rsid w:val="00E51BF6"/>
    <w:rsid w:val="00E51D6C"/>
    <w:rsid w:val="00E52391"/>
    <w:rsid w:val="00E524B8"/>
    <w:rsid w:val="00E525C1"/>
    <w:rsid w:val="00E52639"/>
    <w:rsid w:val="00E529AC"/>
    <w:rsid w:val="00E53523"/>
    <w:rsid w:val="00E537EA"/>
    <w:rsid w:val="00E53853"/>
    <w:rsid w:val="00E539E9"/>
    <w:rsid w:val="00E5465E"/>
    <w:rsid w:val="00E54735"/>
    <w:rsid w:val="00E5476B"/>
    <w:rsid w:val="00E54B3A"/>
    <w:rsid w:val="00E54CA4"/>
    <w:rsid w:val="00E54CAB"/>
    <w:rsid w:val="00E54F69"/>
    <w:rsid w:val="00E54FA9"/>
    <w:rsid w:val="00E550D4"/>
    <w:rsid w:val="00E55202"/>
    <w:rsid w:val="00E55720"/>
    <w:rsid w:val="00E55AD7"/>
    <w:rsid w:val="00E55DED"/>
    <w:rsid w:val="00E55E0A"/>
    <w:rsid w:val="00E55E2F"/>
    <w:rsid w:val="00E55FE0"/>
    <w:rsid w:val="00E562B3"/>
    <w:rsid w:val="00E5636D"/>
    <w:rsid w:val="00E56377"/>
    <w:rsid w:val="00E56412"/>
    <w:rsid w:val="00E5659A"/>
    <w:rsid w:val="00E565CF"/>
    <w:rsid w:val="00E5662C"/>
    <w:rsid w:val="00E56693"/>
    <w:rsid w:val="00E56889"/>
    <w:rsid w:val="00E56A46"/>
    <w:rsid w:val="00E56C07"/>
    <w:rsid w:val="00E56CB1"/>
    <w:rsid w:val="00E56F39"/>
    <w:rsid w:val="00E57012"/>
    <w:rsid w:val="00E57548"/>
    <w:rsid w:val="00E57561"/>
    <w:rsid w:val="00E5771F"/>
    <w:rsid w:val="00E57740"/>
    <w:rsid w:val="00E57A99"/>
    <w:rsid w:val="00E57BFD"/>
    <w:rsid w:val="00E6002F"/>
    <w:rsid w:val="00E60597"/>
    <w:rsid w:val="00E605BF"/>
    <w:rsid w:val="00E6097B"/>
    <w:rsid w:val="00E60B2F"/>
    <w:rsid w:val="00E60C98"/>
    <w:rsid w:val="00E60E6D"/>
    <w:rsid w:val="00E6103C"/>
    <w:rsid w:val="00E61135"/>
    <w:rsid w:val="00E613E2"/>
    <w:rsid w:val="00E6155B"/>
    <w:rsid w:val="00E615E5"/>
    <w:rsid w:val="00E6167D"/>
    <w:rsid w:val="00E616CF"/>
    <w:rsid w:val="00E6170E"/>
    <w:rsid w:val="00E6176D"/>
    <w:rsid w:val="00E61AF5"/>
    <w:rsid w:val="00E61E61"/>
    <w:rsid w:val="00E62131"/>
    <w:rsid w:val="00E62153"/>
    <w:rsid w:val="00E62405"/>
    <w:rsid w:val="00E629CD"/>
    <w:rsid w:val="00E62B7C"/>
    <w:rsid w:val="00E62C7A"/>
    <w:rsid w:val="00E62E22"/>
    <w:rsid w:val="00E63302"/>
    <w:rsid w:val="00E635FE"/>
    <w:rsid w:val="00E6374B"/>
    <w:rsid w:val="00E637F7"/>
    <w:rsid w:val="00E6380A"/>
    <w:rsid w:val="00E639D3"/>
    <w:rsid w:val="00E63A09"/>
    <w:rsid w:val="00E63BCC"/>
    <w:rsid w:val="00E63CCD"/>
    <w:rsid w:val="00E63E10"/>
    <w:rsid w:val="00E640D7"/>
    <w:rsid w:val="00E6450B"/>
    <w:rsid w:val="00E64931"/>
    <w:rsid w:val="00E64C14"/>
    <w:rsid w:val="00E64DB0"/>
    <w:rsid w:val="00E64F2C"/>
    <w:rsid w:val="00E65024"/>
    <w:rsid w:val="00E6503C"/>
    <w:rsid w:val="00E651B1"/>
    <w:rsid w:val="00E65451"/>
    <w:rsid w:val="00E65795"/>
    <w:rsid w:val="00E65A28"/>
    <w:rsid w:val="00E661C4"/>
    <w:rsid w:val="00E6626A"/>
    <w:rsid w:val="00E66404"/>
    <w:rsid w:val="00E66F8D"/>
    <w:rsid w:val="00E67015"/>
    <w:rsid w:val="00E6701B"/>
    <w:rsid w:val="00E67719"/>
    <w:rsid w:val="00E677EA"/>
    <w:rsid w:val="00E67A01"/>
    <w:rsid w:val="00E67A99"/>
    <w:rsid w:val="00E67D86"/>
    <w:rsid w:val="00E67FC9"/>
    <w:rsid w:val="00E702B4"/>
    <w:rsid w:val="00E702F7"/>
    <w:rsid w:val="00E70515"/>
    <w:rsid w:val="00E70D0D"/>
    <w:rsid w:val="00E70E2E"/>
    <w:rsid w:val="00E70E97"/>
    <w:rsid w:val="00E70FAE"/>
    <w:rsid w:val="00E71033"/>
    <w:rsid w:val="00E7104F"/>
    <w:rsid w:val="00E713FA"/>
    <w:rsid w:val="00E71498"/>
    <w:rsid w:val="00E714C0"/>
    <w:rsid w:val="00E714D7"/>
    <w:rsid w:val="00E71C38"/>
    <w:rsid w:val="00E71F63"/>
    <w:rsid w:val="00E71FB0"/>
    <w:rsid w:val="00E724E1"/>
    <w:rsid w:val="00E726E3"/>
    <w:rsid w:val="00E73220"/>
    <w:rsid w:val="00E735F4"/>
    <w:rsid w:val="00E736D3"/>
    <w:rsid w:val="00E737A2"/>
    <w:rsid w:val="00E73932"/>
    <w:rsid w:val="00E73984"/>
    <w:rsid w:val="00E73D9C"/>
    <w:rsid w:val="00E73DF5"/>
    <w:rsid w:val="00E74249"/>
    <w:rsid w:val="00E7447B"/>
    <w:rsid w:val="00E74598"/>
    <w:rsid w:val="00E745B4"/>
    <w:rsid w:val="00E746E4"/>
    <w:rsid w:val="00E74D64"/>
    <w:rsid w:val="00E74E32"/>
    <w:rsid w:val="00E74E93"/>
    <w:rsid w:val="00E74F01"/>
    <w:rsid w:val="00E7510F"/>
    <w:rsid w:val="00E75229"/>
    <w:rsid w:val="00E7542D"/>
    <w:rsid w:val="00E7549E"/>
    <w:rsid w:val="00E756E0"/>
    <w:rsid w:val="00E75854"/>
    <w:rsid w:val="00E75AA4"/>
    <w:rsid w:val="00E75AC9"/>
    <w:rsid w:val="00E75BB3"/>
    <w:rsid w:val="00E75F0E"/>
    <w:rsid w:val="00E76037"/>
    <w:rsid w:val="00E760CC"/>
    <w:rsid w:val="00E7616B"/>
    <w:rsid w:val="00E761F3"/>
    <w:rsid w:val="00E762CA"/>
    <w:rsid w:val="00E7649B"/>
    <w:rsid w:val="00E76540"/>
    <w:rsid w:val="00E76CA7"/>
    <w:rsid w:val="00E76E81"/>
    <w:rsid w:val="00E76F9C"/>
    <w:rsid w:val="00E77105"/>
    <w:rsid w:val="00E77189"/>
    <w:rsid w:val="00E778E3"/>
    <w:rsid w:val="00E77960"/>
    <w:rsid w:val="00E77B88"/>
    <w:rsid w:val="00E77BC3"/>
    <w:rsid w:val="00E77E16"/>
    <w:rsid w:val="00E80134"/>
    <w:rsid w:val="00E80434"/>
    <w:rsid w:val="00E810EA"/>
    <w:rsid w:val="00E8116F"/>
    <w:rsid w:val="00E811BB"/>
    <w:rsid w:val="00E812C2"/>
    <w:rsid w:val="00E81579"/>
    <w:rsid w:val="00E81CC5"/>
    <w:rsid w:val="00E82522"/>
    <w:rsid w:val="00E82916"/>
    <w:rsid w:val="00E82ABC"/>
    <w:rsid w:val="00E82D4E"/>
    <w:rsid w:val="00E836D7"/>
    <w:rsid w:val="00E83765"/>
    <w:rsid w:val="00E8386A"/>
    <w:rsid w:val="00E838BF"/>
    <w:rsid w:val="00E8392C"/>
    <w:rsid w:val="00E83D28"/>
    <w:rsid w:val="00E8434F"/>
    <w:rsid w:val="00E843FC"/>
    <w:rsid w:val="00E844FB"/>
    <w:rsid w:val="00E8470E"/>
    <w:rsid w:val="00E84994"/>
    <w:rsid w:val="00E84A2B"/>
    <w:rsid w:val="00E84CC8"/>
    <w:rsid w:val="00E84D83"/>
    <w:rsid w:val="00E84EC4"/>
    <w:rsid w:val="00E85168"/>
    <w:rsid w:val="00E851B1"/>
    <w:rsid w:val="00E852B4"/>
    <w:rsid w:val="00E859E1"/>
    <w:rsid w:val="00E859F3"/>
    <w:rsid w:val="00E85A08"/>
    <w:rsid w:val="00E85BBC"/>
    <w:rsid w:val="00E85D9B"/>
    <w:rsid w:val="00E85DA1"/>
    <w:rsid w:val="00E85F1A"/>
    <w:rsid w:val="00E86016"/>
    <w:rsid w:val="00E8609A"/>
    <w:rsid w:val="00E8615E"/>
    <w:rsid w:val="00E862D2"/>
    <w:rsid w:val="00E867FE"/>
    <w:rsid w:val="00E86A9E"/>
    <w:rsid w:val="00E86E8A"/>
    <w:rsid w:val="00E871B6"/>
    <w:rsid w:val="00E874C9"/>
    <w:rsid w:val="00E875EA"/>
    <w:rsid w:val="00E8766B"/>
    <w:rsid w:val="00E876E2"/>
    <w:rsid w:val="00E87702"/>
    <w:rsid w:val="00E879AF"/>
    <w:rsid w:val="00E87C9D"/>
    <w:rsid w:val="00E87CB6"/>
    <w:rsid w:val="00E9002D"/>
    <w:rsid w:val="00E905A7"/>
    <w:rsid w:val="00E9065D"/>
    <w:rsid w:val="00E908FD"/>
    <w:rsid w:val="00E90C71"/>
    <w:rsid w:val="00E90CC1"/>
    <w:rsid w:val="00E910A6"/>
    <w:rsid w:val="00E9155B"/>
    <w:rsid w:val="00E916D6"/>
    <w:rsid w:val="00E916EC"/>
    <w:rsid w:val="00E917E8"/>
    <w:rsid w:val="00E919C3"/>
    <w:rsid w:val="00E91A50"/>
    <w:rsid w:val="00E91EA6"/>
    <w:rsid w:val="00E91FA2"/>
    <w:rsid w:val="00E924C9"/>
    <w:rsid w:val="00E92510"/>
    <w:rsid w:val="00E92778"/>
    <w:rsid w:val="00E9286F"/>
    <w:rsid w:val="00E92989"/>
    <w:rsid w:val="00E93053"/>
    <w:rsid w:val="00E9365F"/>
    <w:rsid w:val="00E93A62"/>
    <w:rsid w:val="00E93A9A"/>
    <w:rsid w:val="00E94769"/>
    <w:rsid w:val="00E94897"/>
    <w:rsid w:val="00E949CC"/>
    <w:rsid w:val="00E94D57"/>
    <w:rsid w:val="00E951B8"/>
    <w:rsid w:val="00E95AC6"/>
    <w:rsid w:val="00E95FB5"/>
    <w:rsid w:val="00E963B7"/>
    <w:rsid w:val="00E9653A"/>
    <w:rsid w:val="00E968DC"/>
    <w:rsid w:val="00E96A2C"/>
    <w:rsid w:val="00E96B37"/>
    <w:rsid w:val="00E96E95"/>
    <w:rsid w:val="00E975B6"/>
    <w:rsid w:val="00E97B64"/>
    <w:rsid w:val="00E97BEC"/>
    <w:rsid w:val="00E97D94"/>
    <w:rsid w:val="00E97E9C"/>
    <w:rsid w:val="00E97F17"/>
    <w:rsid w:val="00EA01A4"/>
    <w:rsid w:val="00EA0246"/>
    <w:rsid w:val="00EA051C"/>
    <w:rsid w:val="00EA0E17"/>
    <w:rsid w:val="00EA0F30"/>
    <w:rsid w:val="00EA1311"/>
    <w:rsid w:val="00EA1946"/>
    <w:rsid w:val="00EA1BAD"/>
    <w:rsid w:val="00EA1D17"/>
    <w:rsid w:val="00EA1D7B"/>
    <w:rsid w:val="00EA1E2A"/>
    <w:rsid w:val="00EA1EDE"/>
    <w:rsid w:val="00EA2308"/>
    <w:rsid w:val="00EA23E5"/>
    <w:rsid w:val="00EA24F9"/>
    <w:rsid w:val="00EA28B6"/>
    <w:rsid w:val="00EA2AA3"/>
    <w:rsid w:val="00EA2AD0"/>
    <w:rsid w:val="00EA2B02"/>
    <w:rsid w:val="00EA2DB4"/>
    <w:rsid w:val="00EA329F"/>
    <w:rsid w:val="00EA35D2"/>
    <w:rsid w:val="00EA3612"/>
    <w:rsid w:val="00EA36DA"/>
    <w:rsid w:val="00EA37DB"/>
    <w:rsid w:val="00EA3800"/>
    <w:rsid w:val="00EA385F"/>
    <w:rsid w:val="00EA38A9"/>
    <w:rsid w:val="00EA441F"/>
    <w:rsid w:val="00EA46EC"/>
    <w:rsid w:val="00EA483F"/>
    <w:rsid w:val="00EA5092"/>
    <w:rsid w:val="00EA50B5"/>
    <w:rsid w:val="00EA5190"/>
    <w:rsid w:val="00EA54E4"/>
    <w:rsid w:val="00EA5C3F"/>
    <w:rsid w:val="00EA5DB5"/>
    <w:rsid w:val="00EA5F3E"/>
    <w:rsid w:val="00EA628A"/>
    <w:rsid w:val="00EA64EF"/>
    <w:rsid w:val="00EA658E"/>
    <w:rsid w:val="00EA6A89"/>
    <w:rsid w:val="00EA6B38"/>
    <w:rsid w:val="00EA6ED7"/>
    <w:rsid w:val="00EA6F71"/>
    <w:rsid w:val="00EA763F"/>
    <w:rsid w:val="00EA7752"/>
    <w:rsid w:val="00EA780E"/>
    <w:rsid w:val="00EA7D50"/>
    <w:rsid w:val="00EA7FC0"/>
    <w:rsid w:val="00EB0433"/>
    <w:rsid w:val="00EB08C7"/>
    <w:rsid w:val="00EB095B"/>
    <w:rsid w:val="00EB0EE8"/>
    <w:rsid w:val="00EB124D"/>
    <w:rsid w:val="00EB1AA8"/>
    <w:rsid w:val="00EB1FF5"/>
    <w:rsid w:val="00EB2416"/>
    <w:rsid w:val="00EB2432"/>
    <w:rsid w:val="00EB2753"/>
    <w:rsid w:val="00EB287C"/>
    <w:rsid w:val="00EB2B94"/>
    <w:rsid w:val="00EB2C0E"/>
    <w:rsid w:val="00EB2CC6"/>
    <w:rsid w:val="00EB30B0"/>
    <w:rsid w:val="00EB382F"/>
    <w:rsid w:val="00EB450A"/>
    <w:rsid w:val="00EB45B2"/>
    <w:rsid w:val="00EB468C"/>
    <w:rsid w:val="00EB4782"/>
    <w:rsid w:val="00EB4884"/>
    <w:rsid w:val="00EB4A08"/>
    <w:rsid w:val="00EB4BFC"/>
    <w:rsid w:val="00EB4D45"/>
    <w:rsid w:val="00EB4D57"/>
    <w:rsid w:val="00EB4E43"/>
    <w:rsid w:val="00EB4FDC"/>
    <w:rsid w:val="00EB51C4"/>
    <w:rsid w:val="00EB5321"/>
    <w:rsid w:val="00EB54B6"/>
    <w:rsid w:val="00EB5562"/>
    <w:rsid w:val="00EB56B2"/>
    <w:rsid w:val="00EB5816"/>
    <w:rsid w:val="00EB589A"/>
    <w:rsid w:val="00EB5A0F"/>
    <w:rsid w:val="00EB5E2A"/>
    <w:rsid w:val="00EB5F69"/>
    <w:rsid w:val="00EB6045"/>
    <w:rsid w:val="00EB698E"/>
    <w:rsid w:val="00EB6DEC"/>
    <w:rsid w:val="00EB6E23"/>
    <w:rsid w:val="00EB6F8E"/>
    <w:rsid w:val="00EB71BB"/>
    <w:rsid w:val="00EB7371"/>
    <w:rsid w:val="00EB7B07"/>
    <w:rsid w:val="00EB7F53"/>
    <w:rsid w:val="00EC0184"/>
    <w:rsid w:val="00EC07F6"/>
    <w:rsid w:val="00EC084D"/>
    <w:rsid w:val="00EC0A06"/>
    <w:rsid w:val="00EC0CB9"/>
    <w:rsid w:val="00EC0DFB"/>
    <w:rsid w:val="00EC1102"/>
    <w:rsid w:val="00EC1174"/>
    <w:rsid w:val="00EC11D0"/>
    <w:rsid w:val="00EC15C9"/>
    <w:rsid w:val="00EC1808"/>
    <w:rsid w:val="00EC1909"/>
    <w:rsid w:val="00EC1E61"/>
    <w:rsid w:val="00EC1FA8"/>
    <w:rsid w:val="00EC204E"/>
    <w:rsid w:val="00EC20B4"/>
    <w:rsid w:val="00EC2107"/>
    <w:rsid w:val="00EC2259"/>
    <w:rsid w:val="00EC22F6"/>
    <w:rsid w:val="00EC2537"/>
    <w:rsid w:val="00EC2660"/>
    <w:rsid w:val="00EC295D"/>
    <w:rsid w:val="00EC2E5E"/>
    <w:rsid w:val="00EC307E"/>
    <w:rsid w:val="00EC341B"/>
    <w:rsid w:val="00EC356E"/>
    <w:rsid w:val="00EC36B9"/>
    <w:rsid w:val="00EC3751"/>
    <w:rsid w:val="00EC385D"/>
    <w:rsid w:val="00EC38E1"/>
    <w:rsid w:val="00EC3B3F"/>
    <w:rsid w:val="00EC3B94"/>
    <w:rsid w:val="00EC3DDE"/>
    <w:rsid w:val="00EC4447"/>
    <w:rsid w:val="00EC4519"/>
    <w:rsid w:val="00EC4537"/>
    <w:rsid w:val="00EC45CB"/>
    <w:rsid w:val="00EC47F7"/>
    <w:rsid w:val="00EC4D5D"/>
    <w:rsid w:val="00EC513C"/>
    <w:rsid w:val="00EC5390"/>
    <w:rsid w:val="00EC58AC"/>
    <w:rsid w:val="00EC5B0C"/>
    <w:rsid w:val="00EC5BF6"/>
    <w:rsid w:val="00EC625A"/>
    <w:rsid w:val="00EC627A"/>
    <w:rsid w:val="00EC6308"/>
    <w:rsid w:val="00EC632D"/>
    <w:rsid w:val="00EC65AC"/>
    <w:rsid w:val="00EC66DB"/>
    <w:rsid w:val="00EC68C6"/>
    <w:rsid w:val="00EC6B9C"/>
    <w:rsid w:val="00EC6C7A"/>
    <w:rsid w:val="00EC6DEA"/>
    <w:rsid w:val="00EC6FF0"/>
    <w:rsid w:val="00EC7041"/>
    <w:rsid w:val="00EC71F3"/>
    <w:rsid w:val="00EC75B1"/>
    <w:rsid w:val="00EC7C58"/>
    <w:rsid w:val="00EC7D0E"/>
    <w:rsid w:val="00ED0040"/>
    <w:rsid w:val="00ED0301"/>
    <w:rsid w:val="00ED0360"/>
    <w:rsid w:val="00ED05EA"/>
    <w:rsid w:val="00ED082E"/>
    <w:rsid w:val="00ED08A1"/>
    <w:rsid w:val="00ED0938"/>
    <w:rsid w:val="00ED099C"/>
    <w:rsid w:val="00ED0A38"/>
    <w:rsid w:val="00ED0BB4"/>
    <w:rsid w:val="00ED0DED"/>
    <w:rsid w:val="00ED0E39"/>
    <w:rsid w:val="00ED1135"/>
    <w:rsid w:val="00ED11DF"/>
    <w:rsid w:val="00ED134C"/>
    <w:rsid w:val="00ED154F"/>
    <w:rsid w:val="00ED163B"/>
    <w:rsid w:val="00ED1752"/>
    <w:rsid w:val="00ED188F"/>
    <w:rsid w:val="00ED1CFF"/>
    <w:rsid w:val="00ED1D6D"/>
    <w:rsid w:val="00ED201C"/>
    <w:rsid w:val="00ED20CD"/>
    <w:rsid w:val="00ED3043"/>
    <w:rsid w:val="00ED3078"/>
    <w:rsid w:val="00ED3238"/>
    <w:rsid w:val="00ED3647"/>
    <w:rsid w:val="00ED3D68"/>
    <w:rsid w:val="00ED40ED"/>
    <w:rsid w:val="00ED4189"/>
    <w:rsid w:val="00ED41B7"/>
    <w:rsid w:val="00ED45C3"/>
    <w:rsid w:val="00ED4602"/>
    <w:rsid w:val="00ED4699"/>
    <w:rsid w:val="00ED46D5"/>
    <w:rsid w:val="00ED473F"/>
    <w:rsid w:val="00ED4791"/>
    <w:rsid w:val="00ED4DEF"/>
    <w:rsid w:val="00ED4EC7"/>
    <w:rsid w:val="00ED51FA"/>
    <w:rsid w:val="00ED555D"/>
    <w:rsid w:val="00ED567E"/>
    <w:rsid w:val="00ED58BE"/>
    <w:rsid w:val="00ED5AE8"/>
    <w:rsid w:val="00ED5D68"/>
    <w:rsid w:val="00ED5FB8"/>
    <w:rsid w:val="00ED5FF3"/>
    <w:rsid w:val="00ED64DB"/>
    <w:rsid w:val="00ED699E"/>
    <w:rsid w:val="00ED6ADF"/>
    <w:rsid w:val="00ED6BC5"/>
    <w:rsid w:val="00ED6C33"/>
    <w:rsid w:val="00ED6C41"/>
    <w:rsid w:val="00ED6F4F"/>
    <w:rsid w:val="00ED7287"/>
    <w:rsid w:val="00ED7397"/>
    <w:rsid w:val="00ED767B"/>
    <w:rsid w:val="00ED76D4"/>
    <w:rsid w:val="00ED7B12"/>
    <w:rsid w:val="00ED7B8C"/>
    <w:rsid w:val="00ED7BB2"/>
    <w:rsid w:val="00ED7D80"/>
    <w:rsid w:val="00EE0193"/>
    <w:rsid w:val="00EE0398"/>
    <w:rsid w:val="00EE0B59"/>
    <w:rsid w:val="00EE0D4E"/>
    <w:rsid w:val="00EE1037"/>
    <w:rsid w:val="00EE14F7"/>
    <w:rsid w:val="00EE1884"/>
    <w:rsid w:val="00EE1979"/>
    <w:rsid w:val="00EE1C35"/>
    <w:rsid w:val="00EE1D1D"/>
    <w:rsid w:val="00EE1E44"/>
    <w:rsid w:val="00EE256A"/>
    <w:rsid w:val="00EE279C"/>
    <w:rsid w:val="00EE27D0"/>
    <w:rsid w:val="00EE2B02"/>
    <w:rsid w:val="00EE339A"/>
    <w:rsid w:val="00EE33B8"/>
    <w:rsid w:val="00EE33DE"/>
    <w:rsid w:val="00EE3B14"/>
    <w:rsid w:val="00EE3CF8"/>
    <w:rsid w:val="00EE3E55"/>
    <w:rsid w:val="00EE439F"/>
    <w:rsid w:val="00EE4508"/>
    <w:rsid w:val="00EE45FD"/>
    <w:rsid w:val="00EE46ED"/>
    <w:rsid w:val="00EE474E"/>
    <w:rsid w:val="00EE4E5A"/>
    <w:rsid w:val="00EE5558"/>
    <w:rsid w:val="00EE5881"/>
    <w:rsid w:val="00EE58F9"/>
    <w:rsid w:val="00EE5BC6"/>
    <w:rsid w:val="00EE5CD2"/>
    <w:rsid w:val="00EE6146"/>
    <w:rsid w:val="00EE65B9"/>
    <w:rsid w:val="00EE65F9"/>
    <w:rsid w:val="00EE6764"/>
    <w:rsid w:val="00EE690B"/>
    <w:rsid w:val="00EE69EC"/>
    <w:rsid w:val="00EE6D2B"/>
    <w:rsid w:val="00EE6FD0"/>
    <w:rsid w:val="00EE7239"/>
    <w:rsid w:val="00EE7860"/>
    <w:rsid w:val="00EE7B6D"/>
    <w:rsid w:val="00EE7B9A"/>
    <w:rsid w:val="00EE7C00"/>
    <w:rsid w:val="00EE7DFB"/>
    <w:rsid w:val="00EF03A6"/>
    <w:rsid w:val="00EF0497"/>
    <w:rsid w:val="00EF107D"/>
    <w:rsid w:val="00EF10C8"/>
    <w:rsid w:val="00EF14AA"/>
    <w:rsid w:val="00EF1632"/>
    <w:rsid w:val="00EF17F1"/>
    <w:rsid w:val="00EF191A"/>
    <w:rsid w:val="00EF1967"/>
    <w:rsid w:val="00EF1A35"/>
    <w:rsid w:val="00EF1B8E"/>
    <w:rsid w:val="00EF1BF7"/>
    <w:rsid w:val="00EF21C8"/>
    <w:rsid w:val="00EF2619"/>
    <w:rsid w:val="00EF27AB"/>
    <w:rsid w:val="00EF2937"/>
    <w:rsid w:val="00EF2A88"/>
    <w:rsid w:val="00EF2A9D"/>
    <w:rsid w:val="00EF2E82"/>
    <w:rsid w:val="00EF2FEC"/>
    <w:rsid w:val="00EF3565"/>
    <w:rsid w:val="00EF3A8C"/>
    <w:rsid w:val="00EF3DD6"/>
    <w:rsid w:val="00EF3F88"/>
    <w:rsid w:val="00EF4B78"/>
    <w:rsid w:val="00EF4F55"/>
    <w:rsid w:val="00EF4FD8"/>
    <w:rsid w:val="00EF55AA"/>
    <w:rsid w:val="00EF5862"/>
    <w:rsid w:val="00EF5B75"/>
    <w:rsid w:val="00EF5C75"/>
    <w:rsid w:val="00EF7371"/>
    <w:rsid w:val="00EF74E6"/>
    <w:rsid w:val="00EF77F8"/>
    <w:rsid w:val="00EF7C24"/>
    <w:rsid w:val="00EF7F0C"/>
    <w:rsid w:val="00EF7F48"/>
    <w:rsid w:val="00EF7FD0"/>
    <w:rsid w:val="00F000B5"/>
    <w:rsid w:val="00F001B7"/>
    <w:rsid w:val="00F00247"/>
    <w:rsid w:val="00F00326"/>
    <w:rsid w:val="00F004F6"/>
    <w:rsid w:val="00F005AE"/>
    <w:rsid w:val="00F0068A"/>
    <w:rsid w:val="00F0085C"/>
    <w:rsid w:val="00F00963"/>
    <w:rsid w:val="00F00A37"/>
    <w:rsid w:val="00F00AD1"/>
    <w:rsid w:val="00F00BC0"/>
    <w:rsid w:val="00F00D69"/>
    <w:rsid w:val="00F00E9E"/>
    <w:rsid w:val="00F00EA8"/>
    <w:rsid w:val="00F0114A"/>
    <w:rsid w:val="00F01B80"/>
    <w:rsid w:val="00F01C18"/>
    <w:rsid w:val="00F01D5A"/>
    <w:rsid w:val="00F0210B"/>
    <w:rsid w:val="00F021A9"/>
    <w:rsid w:val="00F02962"/>
    <w:rsid w:val="00F02990"/>
    <w:rsid w:val="00F02EE2"/>
    <w:rsid w:val="00F03078"/>
    <w:rsid w:val="00F03606"/>
    <w:rsid w:val="00F03A08"/>
    <w:rsid w:val="00F03E48"/>
    <w:rsid w:val="00F03F89"/>
    <w:rsid w:val="00F041EE"/>
    <w:rsid w:val="00F044E1"/>
    <w:rsid w:val="00F04A2B"/>
    <w:rsid w:val="00F04B68"/>
    <w:rsid w:val="00F04E18"/>
    <w:rsid w:val="00F05191"/>
    <w:rsid w:val="00F05DEE"/>
    <w:rsid w:val="00F06658"/>
    <w:rsid w:val="00F06BA8"/>
    <w:rsid w:val="00F06C1D"/>
    <w:rsid w:val="00F07104"/>
    <w:rsid w:val="00F071AE"/>
    <w:rsid w:val="00F07757"/>
    <w:rsid w:val="00F07989"/>
    <w:rsid w:val="00F079A3"/>
    <w:rsid w:val="00F07B10"/>
    <w:rsid w:val="00F10187"/>
    <w:rsid w:val="00F10B07"/>
    <w:rsid w:val="00F10DF1"/>
    <w:rsid w:val="00F11041"/>
    <w:rsid w:val="00F1155A"/>
    <w:rsid w:val="00F11836"/>
    <w:rsid w:val="00F1186B"/>
    <w:rsid w:val="00F11901"/>
    <w:rsid w:val="00F11924"/>
    <w:rsid w:val="00F11A2B"/>
    <w:rsid w:val="00F12072"/>
    <w:rsid w:val="00F12151"/>
    <w:rsid w:val="00F12376"/>
    <w:rsid w:val="00F123E3"/>
    <w:rsid w:val="00F123EF"/>
    <w:rsid w:val="00F123FC"/>
    <w:rsid w:val="00F1269F"/>
    <w:rsid w:val="00F12736"/>
    <w:rsid w:val="00F12853"/>
    <w:rsid w:val="00F128DA"/>
    <w:rsid w:val="00F1295B"/>
    <w:rsid w:val="00F12D4C"/>
    <w:rsid w:val="00F13043"/>
    <w:rsid w:val="00F13481"/>
    <w:rsid w:val="00F135CD"/>
    <w:rsid w:val="00F13738"/>
    <w:rsid w:val="00F138AD"/>
    <w:rsid w:val="00F13B1C"/>
    <w:rsid w:val="00F13FF6"/>
    <w:rsid w:val="00F14171"/>
    <w:rsid w:val="00F141B7"/>
    <w:rsid w:val="00F14246"/>
    <w:rsid w:val="00F14419"/>
    <w:rsid w:val="00F14480"/>
    <w:rsid w:val="00F14569"/>
    <w:rsid w:val="00F149C3"/>
    <w:rsid w:val="00F14CF7"/>
    <w:rsid w:val="00F14DAF"/>
    <w:rsid w:val="00F14FEC"/>
    <w:rsid w:val="00F153E3"/>
    <w:rsid w:val="00F154C0"/>
    <w:rsid w:val="00F1593F"/>
    <w:rsid w:val="00F15976"/>
    <w:rsid w:val="00F15A6D"/>
    <w:rsid w:val="00F15C31"/>
    <w:rsid w:val="00F15CA9"/>
    <w:rsid w:val="00F15D36"/>
    <w:rsid w:val="00F16256"/>
    <w:rsid w:val="00F163B7"/>
    <w:rsid w:val="00F165DD"/>
    <w:rsid w:val="00F166A3"/>
    <w:rsid w:val="00F16978"/>
    <w:rsid w:val="00F16AAD"/>
    <w:rsid w:val="00F16BB3"/>
    <w:rsid w:val="00F16D5C"/>
    <w:rsid w:val="00F1712F"/>
    <w:rsid w:val="00F172CC"/>
    <w:rsid w:val="00F1751F"/>
    <w:rsid w:val="00F177AB"/>
    <w:rsid w:val="00F2086B"/>
    <w:rsid w:val="00F208C8"/>
    <w:rsid w:val="00F2119E"/>
    <w:rsid w:val="00F21209"/>
    <w:rsid w:val="00F21532"/>
    <w:rsid w:val="00F21607"/>
    <w:rsid w:val="00F21D07"/>
    <w:rsid w:val="00F21DEF"/>
    <w:rsid w:val="00F22EB0"/>
    <w:rsid w:val="00F2350C"/>
    <w:rsid w:val="00F2351E"/>
    <w:rsid w:val="00F239C8"/>
    <w:rsid w:val="00F23B69"/>
    <w:rsid w:val="00F23FAC"/>
    <w:rsid w:val="00F241D2"/>
    <w:rsid w:val="00F24408"/>
    <w:rsid w:val="00F248EF"/>
    <w:rsid w:val="00F24E0B"/>
    <w:rsid w:val="00F25175"/>
    <w:rsid w:val="00F25211"/>
    <w:rsid w:val="00F256D7"/>
    <w:rsid w:val="00F2589C"/>
    <w:rsid w:val="00F25A45"/>
    <w:rsid w:val="00F25A88"/>
    <w:rsid w:val="00F25B93"/>
    <w:rsid w:val="00F25C2D"/>
    <w:rsid w:val="00F25CB8"/>
    <w:rsid w:val="00F25FA1"/>
    <w:rsid w:val="00F25FCB"/>
    <w:rsid w:val="00F26484"/>
    <w:rsid w:val="00F26560"/>
    <w:rsid w:val="00F268C9"/>
    <w:rsid w:val="00F26B8E"/>
    <w:rsid w:val="00F26CBF"/>
    <w:rsid w:val="00F26FE5"/>
    <w:rsid w:val="00F271CE"/>
    <w:rsid w:val="00F278AF"/>
    <w:rsid w:val="00F27A81"/>
    <w:rsid w:val="00F27C79"/>
    <w:rsid w:val="00F30225"/>
    <w:rsid w:val="00F3031B"/>
    <w:rsid w:val="00F30680"/>
    <w:rsid w:val="00F30DD0"/>
    <w:rsid w:val="00F319D1"/>
    <w:rsid w:val="00F31BAA"/>
    <w:rsid w:val="00F31CA6"/>
    <w:rsid w:val="00F32343"/>
    <w:rsid w:val="00F32457"/>
    <w:rsid w:val="00F325F2"/>
    <w:rsid w:val="00F3270F"/>
    <w:rsid w:val="00F32734"/>
    <w:rsid w:val="00F32BED"/>
    <w:rsid w:val="00F32E64"/>
    <w:rsid w:val="00F33041"/>
    <w:rsid w:val="00F3311A"/>
    <w:rsid w:val="00F334E7"/>
    <w:rsid w:val="00F336C1"/>
    <w:rsid w:val="00F33812"/>
    <w:rsid w:val="00F3385C"/>
    <w:rsid w:val="00F33942"/>
    <w:rsid w:val="00F33B48"/>
    <w:rsid w:val="00F33ED9"/>
    <w:rsid w:val="00F341FE"/>
    <w:rsid w:val="00F341FF"/>
    <w:rsid w:val="00F34412"/>
    <w:rsid w:val="00F34726"/>
    <w:rsid w:val="00F348B8"/>
    <w:rsid w:val="00F34AE8"/>
    <w:rsid w:val="00F34DB6"/>
    <w:rsid w:val="00F3520B"/>
    <w:rsid w:val="00F3532A"/>
    <w:rsid w:val="00F35424"/>
    <w:rsid w:val="00F35626"/>
    <w:rsid w:val="00F3580D"/>
    <w:rsid w:val="00F35990"/>
    <w:rsid w:val="00F35A5E"/>
    <w:rsid w:val="00F35C26"/>
    <w:rsid w:val="00F364D0"/>
    <w:rsid w:val="00F3657F"/>
    <w:rsid w:val="00F365DF"/>
    <w:rsid w:val="00F366F8"/>
    <w:rsid w:val="00F36852"/>
    <w:rsid w:val="00F36962"/>
    <w:rsid w:val="00F37307"/>
    <w:rsid w:val="00F37538"/>
    <w:rsid w:val="00F37727"/>
    <w:rsid w:val="00F3776B"/>
    <w:rsid w:val="00F37BD9"/>
    <w:rsid w:val="00F37C0B"/>
    <w:rsid w:val="00F37DF1"/>
    <w:rsid w:val="00F37F13"/>
    <w:rsid w:val="00F40276"/>
    <w:rsid w:val="00F4034F"/>
    <w:rsid w:val="00F40396"/>
    <w:rsid w:val="00F403ED"/>
    <w:rsid w:val="00F40484"/>
    <w:rsid w:val="00F4055D"/>
    <w:rsid w:val="00F40781"/>
    <w:rsid w:val="00F40D46"/>
    <w:rsid w:val="00F40D51"/>
    <w:rsid w:val="00F40E42"/>
    <w:rsid w:val="00F412DE"/>
    <w:rsid w:val="00F41424"/>
    <w:rsid w:val="00F41741"/>
    <w:rsid w:val="00F418FF"/>
    <w:rsid w:val="00F41DFA"/>
    <w:rsid w:val="00F420B6"/>
    <w:rsid w:val="00F4245E"/>
    <w:rsid w:val="00F4303C"/>
    <w:rsid w:val="00F431F7"/>
    <w:rsid w:val="00F4329C"/>
    <w:rsid w:val="00F43328"/>
    <w:rsid w:val="00F433F8"/>
    <w:rsid w:val="00F4382A"/>
    <w:rsid w:val="00F438C4"/>
    <w:rsid w:val="00F43933"/>
    <w:rsid w:val="00F43A0C"/>
    <w:rsid w:val="00F440D6"/>
    <w:rsid w:val="00F44ABF"/>
    <w:rsid w:val="00F44CB1"/>
    <w:rsid w:val="00F44E4E"/>
    <w:rsid w:val="00F44E64"/>
    <w:rsid w:val="00F458F0"/>
    <w:rsid w:val="00F459F2"/>
    <w:rsid w:val="00F45B3E"/>
    <w:rsid w:val="00F45B52"/>
    <w:rsid w:val="00F45CC4"/>
    <w:rsid w:val="00F45D1A"/>
    <w:rsid w:val="00F45DC7"/>
    <w:rsid w:val="00F45F54"/>
    <w:rsid w:val="00F45FE9"/>
    <w:rsid w:val="00F46002"/>
    <w:rsid w:val="00F4661A"/>
    <w:rsid w:val="00F4685A"/>
    <w:rsid w:val="00F46982"/>
    <w:rsid w:val="00F469AA"/>
    <w:rsid w:val="00F469D9"/>
    <w:rsid w:val="00F46B88"/>
    <w:rsid w:val="00F46D40"/>
    <w:rsid w:val="00F4704A"/>
    <w:rsid w:val="00F471E8"/>
    <w:rsid w:val="00F474D1"/>
    <w:rsid w:val="00F4777B"/>
    <w:rsid w:val="00F47781"/>
    <w:rsid w:val="00F477BD"/>
    <w:rsid w:val="00F47A30"/>
    <w:rsid w:val="00F47C81"/>
    <w:rsid w:val="00F47C89"/>
    <w:rsid w:val="00F47D58"/>
    <w:rsid w:val="00F5033E"/>
    <w:rsid w:val="00F50423"/>
    <w:rsid w:val="00F50970"/>
    <w:rsid w:val="00F50C1C"/>
    <w:rsid w:val="00F50EDF"/>
    <w:rsid w:val="00F50FAC"/>
    <w:rsid w:val="00F510C5"/>
    <w:rsid w:val="00F512DB"/>
    <w:rsid w:val="00F5193E"/>
    <w:rsid w:val="00F51E14"/>
    <w:rsid w:val="00F51E90"/>
    <w:rsid w:val="00F51F7F"/>
    <w:rsid w:val="00F52001"/>
    <w:rsid w:val="00F520EB"/>
    <w:rsid w:val="00F52725"/>
    <w:rsid w:val="00F52B9E"/>
    <w:rsid w:val="00F52BB3"/>
    <w:rsid w:val="00F52D9C"/>
    <w:rsid w:val="00F52DCA"/>
    <w:rsid w:val="00F530B1"/>
    <w:rsid w:val="00F5327F"/>
    <w:rsid w:val="00F532ED"/>
    <w:rsid w:val="00F53358"/>
    <w:rsid w:val="00F533AF"/>
    <w:rsid w:val="00F53618"/>
    <w:rsid w:val="00F53AFB"/>
    <w:rsid w:val="00F542B5"/>
    <w:rsid w:val="00F546A2"/>
    <w:rsid w:val="00F546DA"/>
    <w:rsid w:val="00F5487E"/>
    <w:rsid w:val="00F54AE2"/>
    <w:rsid w:val="00F54C43"/>
    <w:rsid w:val="00F550AD"/>
    <w:rsid w:val="00F550F3"/>
    <w:rsid w:val="00F554D5"/>
    <w:rsid w:val="00F5572A"/>
    <w:rsid w:val="00F55A9F"/>
    <w:rsid w:val="00F55CBF"/>
    <w:rsid w:val="00F55D71"/>
    <w:rsid w:val="00F56046"/>
    <w:rsid w:val="00F56424"/>
    <w:rsid w:val="00F566C7"/>
    <w:rsid w:val="00F56B10"/>
    <w:rsid w:val="00F5710E"/>
    <w:rsid w:val="00F57248"/>
    <w:rsid w:val="00F577DC"/>
    <w:rsid w:val="00F57984"/>
    <w:rsid w:val="00F6001C"/>
    <w:rsid w:val="00F601A2"/>
    <w:rsid w:val="00F60242"/>
    <w:rsid w:val="00F60289"/>
    <w:rsid w:val="00F60560"/>
    <w:rsid w:val="00F608E7"/>
    <w:rsid w:val="00F60A19"/>
    <w:rsid w:val="00F60CE9"/>
    <w:rsid w:val="00F61BD7"/>
    <w:rsid w:val="00F61BED"/>
    <w:rsid w:val="00F61CED"/>
    <w:rsid w:val="00F61E48"/>
    <w:rsid w:val="00F61FD2"/>
    <w:rsid w:val="00F6266F"/>
    <w:rsid w:val="00F627DB"/>
    <w:rsid w:val="00F62877"/>
    <w:rsid w:val="00F63341"/>
    <w:rsid w:val="00F6344E"/>
    <w:rsid w:val="00F63CFD"/>
    <w:rsid w:val="00F63D94"/>
    <w:rsid w:val="00F63DE4"/>
    <w:rsid w:val="00F64432"/>
    <w:rsid w:val="00F644B3"/>
    <w:rsid w:val="00F64A39"/>
    <w:rsid w:val="00F64AD3"/>
    <w:rsid w:val="00F650A2"/>
    <w:rsid w:val="00F650B3"/>
    <w:rsid w:val="00F651C7"/>
    <w:rsid w:val="00F65620"/>
    <w:rsid w:val="00F65A6B"/>
    <w:rsid w:val="00F65B6A"/>
    <w:rsid w:val="00F65C35"/>
    <w:rsid w:val="00F65D92"/>
    <w:rsid w:val="00F65EC6"/>
    <w:rsid w:val="00F65FC8"/>
    <w:rsid w:val="00F6603B"/>
    <w:rsid w:val="00F661F6"/>
    <w:rsid w:val="00F66399"/>
    <w:rsid w:val="00F6642E"/>
    <w:rsid w:val="00F66489"/>
    <w:rsid w:val="00F66504"/>
    <w:rsid w:val="00F6680B"/>
    <w:rsid w:val="00F66C15"/>
    <w:rsid w:val="00F66C65"/>
    <w:rsid w:val="00F66C7A"/>
    <w:rsid w:val="00F66CD0"/>
    <w:rsid w:val="00F66D9A"/>
    <w:rsid w:val="00F67119"/>
    <w:rsid w:val="00F6720B"/>
    <w:rsid w:val="00F6745E"/>
    <w:rsid w:val="00F67517"/>
    <w:rsid w:val="00F67541"/>
    <w:rsid w:val="00F67561"/>
    <w:rsid w:val="00F6765F"/>
    <w:rsid w:val="00F67853"/>
    <w:rsid w:val="00F67A7A"/>
    <w:rsid w:val="00F70242"/>
    <w:rsid w:val="00F70401"/>
    <w:rsid w:val="00F704EC"/>
    <w:rsid w:val="00F707DC"/>
    <w:rsid w:val="00F70B8F"/>
    <w:rsid w:val="00F70B91"/>
    <w:rsid w:val="00F7117A"/>
    <w:rsid w:val="00F71251"/>
    <w:rsid w:val="00F712DF"/>
    <w:rsid w:val="00F71747"/>
    <w:rsid w:val="00F71936"/>
    <w:rsid w:val="00F71A3C"/>
    <w:rsid w:val="00F71B93"/>
    <w:rsid w:val="00F72172"/>
    <w:rsid w:val="00F7239F"/>
    <w:rsid w:val="00F723B7"/>
    <w:rsid w:val="00F723F0"/>
    <w:rsid w:val="00F727F3"/>
    <w:rsid w:val="00F7295B"/>
    <w:rsid w:val="00F72972"/>
    <w:rsid w:val="00F72A60"/>
    <w:rsid w:val="00F72B42"/>
    <w:rsid w:val="00F72CF9"/>
    <w:rsid w:val="00F72F20"/>
    <w:rsid w:val="00F72FCB"/>
    <w:rsid w:val="00F731CD"/>
    <w:rsid w:val="00F73473"/>
    <w:rsid w:val="00F73848"/>
    <w:rsid w:val="00F738C4"/>
    <w:rsid w:val="00F744E3"/>
    <w:rsid w:val="00F7450F"/>
    <w:rsid w:val="00F74621"/>
    <w:rsid w:val="00F747AC"/>
    <w:rsid w:val="00F748D1"/>
    <w:rsid w:val="00F749CA"/>
    <w:rsid w:val="00F74A0C"/>
    <w:rsid w:val="00F74C2B"/>
    <w:rsid w:val="00F74EF0"/>
    <w:rsid w:val="00F74F2E"/>
    <w:rsid w:val="00F75043"/>
    <w:rsid w:val="00F7506B"/>
    <w:rsid w:val="00F7506C"/>
    <w:rsid w:val="00F7549F"/>
    <w:rsid w:val="00F7550E"/>
    <w:rsid w:val="00F75D1F"/>
    <w:rsid w:val="00F75F71"/>
    <w:rsid w:val="00F7638B"/>
    <w:rsid w:val="00F76441"/>
    <w:rsid w:val="00F76588"/>
    <w:rsid w:val="00F77179"/>
    <w:rsid w:val="00F77267"/>
    <w:rsid w:val="00F778B0"/>
    <w:rsid w:val="00F77B30"/>
    <w:rsid w:val="00F77B92"/>
    <w:rsid w:val="00F77C59"/>
    <w:rsid w:val="00F77DED"/>
    <w:rsid w:val="00F77E12"/>
    <w:rsid w:val="00F77E9B"/>
    <w:rsid w:val="00F77F46"/>
    <w:rsid w:val="00F801EE"/>
    <w:rsid w:val="00F80748"/>
    <w:rsid w:val="00F8090D"/>
    <w:rsid w:val="00F80A17"/>
    <w:rsid w:val="00F80AF8"/>
    <w:rsid w:val="00F80DC9"/>
    <w:rsid w:val="00F81115"/>
    <w:rsid w:val="00F81200"/>
    <w:rsid w:val="00F81874"/>
    <w:rsid w:val="00F81B04"/>
    <w:rsid w:val="00F81C58"/>
    <w:rsid w:val="00F82079"/>
    <w:rsid w:val="00F8225E"/>
    <w:rsid w:val="00F8255B"/>
    <w:rsid w:val="00F826BF"/>
    <w:rsid w:val="00F82798"/>
    <w:rsid w:val="00F829CF"/>
    <w:rsid w:val="00F82CB5"/>
    <w:rsid w:val="00F82CB8"/>
    <w:rsid w:val="00F83411"/>
    <w:rsid w:val="00F83438"/>
    <w:rsid w:val="00F83664"/>
    <w:rsid w:val="00F83911"/>
    <w:rsid w:val="00F83AE8"/>
    <w:rsid w:val="00F83C53"/>
    <w:rsid w:val="00F84625"/>
    <w:rsid w:val="00F847E1"/>
    <w:rsid w:val="00F84922"/>
    <w:rsid w:val="00F84A3C"/>
    <w:rsid w:val="00F84D19"/>
    <w:rsid w:val="00F85085"/>
    <w:rsid w:val="00F85099"/>
    <w:rsid w:val="00F850A1"/>
    <w:rsid w:val="00F850F8"/>
    <w:rsid w:val="00F857E0"/>
    <w:rsid w:val="00F85D47"/>
    <w:rsid w:val="00F85DDD"/>
    <w:rsid w:val="00F86180"/>
    <w:rsid w:val="00F866D6"/>
    <w:rsid w:val="00F868CA"/>
    <w:rsid w:val="00F86A8A"/>
    <w:rsid w:val="00F86CAF"/>
    <w:rsid w:val="00F86E45"/>
    <w:rsid w:val="00F87153"/>
    <w:rsid w:val="00F87320"/>
    <w:rsid w:val="00F87401"/>
    <w:rsid w:val="00F87705"/>
    <w:rsid w:val="00F87863"/>
    <w:rsid w:val="00F8787A"/>
    <w:rsid w:val="00F878D2"/>
    <w:rsid w:val="00F87D86"/>
    <w:rsid w:val="00F87EC6"/>
    <w:rsid w:val="00F90041"/>
    <w:rsid w:val="00F9027F"/>
    <w:rsid w:val="00F90922"/>
    <w:rsid w:val="00F90EA0"/>
    <w:rsid w:val="00F9119D"/>
    <w:rsid w:val="00F91AAF"/>
    <w:rsid w:val="00F91BC2"/>
    <w:rsid w:val="00F92013"/>
    <w:rsid w:val="00F92043"/>
    <w:rsid w:val="00F9235F"/>
    <w:rsid w:val="00F923C6"/>
    <w:rsid w:val="00F9263A"/>
    <w:rsid w:val="00F9286D"/>
    <w:rsid w:val="00F92B96"/>
    <w:rsid w:val="00F92C4F"/>
    <w:rsid w:val="00F92E0C"/>
    <w:rsid w:val="00F92E1C"/>
    <w:rsid w:val="00F931A1"/>
    <w:rsid w:val="00F931E3"/>
    <w:rsid w:val="00F937B2"/>
    <w:rsid w:val="00F937F4"/>
    <w:rsid w:val="00F93BB1"/>
    <w:rsid w:val="00F93E4B"/>
    <w:rsid w:val="00F93E9D"/>
    <w:rsid w:val="00F94171"/>
    <w:rsid w:val="00F944F6"/>
    <w:rsid w:val="00F9461F"/>
    <w:rsid w:val="00F94B65"/>
    <w:rsid w:val="00F94C24"/>
    <w:rsid w:val="00F94C7D"/>
    <w:rsid w:val="00F951E7"/>
    <w:rsid w:val="00F953E6"/>
    <w:rsid w:val="00F955A2"/>
    <w:rsid w:val="00F95C7C"/>
    <w:rsid w:val="00F95D09"/>
    <w:rsid w:val="00F95F57"/>
    <w:rsid w:val="00F962F2"/>
    <w:rsid w:val="00F96419"/>
    <w:rsid w:val="00F96730"/>
    <w:rsid w:val="00F969A4"/>
    <w:rsid w:val="00F973DD"/>
    <w:rsid w:val="00F9771D"/>
    <w:rsid w:val="00F97742"/>
    <w:rsid w:val="00F97862"/>
    <w:rsid w:val="00F97953"/>
    <w:rsid w:val="00F97C38"/>
    <w:rsid w:val="00F97E1E"/>
    <w:rsid w:val="00F97FB1"/>
    <w:rsid w:val="00FA0133"/>
    <w:rsid w:val="00FA016D"/>
    <w:rsid w:val="00FA0426"/>
    <w:rsid w:val="00FA044C"/>
    <w:rsid w:val="00FA0462"/>
    <w:rsid w:val="00FA0AB5"/>
    <w:rsid w:val="00FA0C1A"/>
    <w:rsid w:val="00FA115F"/>
    <w:rsid w:val="00FA1C17"/>
    <w:rsid w:val="00FA1F10"/>
    <w:rsid w:val="00FA2259"/>
    <w:rsid w:val="00FA2339"/>
    <w:rsid w:val="00FA241D"/>
    <w:rsid w:val="00FA2585"/>
    <w:rsid w:val="00FA26FF"/>
    <w:rsid w:val="00FA27F9"/>
    <w:rsid w:val="00FA28EF"/>
    <w:rsid w:val="00FA28FD"/>
    <w:rsid w:val="00FA29F2"/>
    <w:rsid w:val="00FA29F7"/>
    <w:rsid w:val="00FA2ED3"/>
    <w:rsid w:val="00FA307A"/>
    <w:rsid w:val="00FA3419"/>
    <w:rsid w:val="00FA35E1"/>
    <w:rsid w:val="00FA3897"/>
    <w:rsid w:val="00FA3947"/>
    <w:rsid w:val="00FA406E"/>
    <w:rsid w:val="00FA415C"/>
    <w:rsid w:val="00FA424B"/>
    <w:rsid w:val="00FA42D6"/>
    <w:rsid w:val="00FA4369"/>
    <w:rsid w:val="00FA470F"/>
    <w:rsid w:val="00FA4AE2"/>
    <w:rsid w:val="00FA4F3E"/>
    <w:rsid w:val="00FA5028"/>
    <w:rsid w:val="00FA5138"/>
    <w:rsid w:val="00FA522E"/>
    <w:rsid w:val="00FA5498"/>
    <w:rsid w:val="00FA5614"/>
    <w:rsid w:val="00FA5C32"/>
    <w:rsid w:val="00FA5D93"/>
    <w:rsid w:val="00FA5E8F"/>
    <w:rsid w:val="00FA5FF9"/>
    <w:rsid w:val="00FA6298"/>
    <w:rsid w:val="00FA6345"/>
    <w:rsid w:val="00FA6580"/>
    <w:rsid w:val="00FA680C"/>
    <w:rsid w:val="00FA697B"/>
    <w:rsid w:val="00FA6CBF"/>
    <w:rsid w:val="00FA7093"/>
    <w:rsid w:val="00FA716A"/>
    <w:rsid w:val="00FA73C6"/>
    <w:rsid w:val="00FA7B75"/>
    <w:rsid w:val="00FA7C9F"/>
    <w:rsid w:val="00FB043F"/>
    <w:rsid w:val="00FB0517"/>
    <w:rsid w:val="00FB07A3"/>
    <w:rsid w:val="00FB0832"/>
    <w:rsid w:val="00FB0933"/>
    <w:rsid w:val="00FB098B"/>
    <w:rsid w:val="00FB18DE"/>
    <w:rsid w:val="00FB1A1E"/>
    <w:rsid w:val="00FB1DC2"/>
    <w:rsid w:val="00FB21AA"/>
    <w:rsid w:val="00FB224C"/>
    <w:rsid w:val="00FB25E3"/>
    <w:rsid w:val="00FB29B9"/>
    <w:rsid w:val="00FB2ACC"/>
    <w:rsid w:val="00FB2C2D"/>
    <w:rsid w:val="00FB2C72"/>
    <w:rsid w:val="00FB3864"/>
    <w:rsid w:val="00FB3AC5"/>
    <w:rsid w:val="00FB3C73"/>
    <w:rsid w:val="00FB3ECB"/>
    <w:rsid w:val="00FB43EF"/>
    <w:rsid w:val="00FB46F6"/>
    <w:rsid w:val="00FB49E3"/>
    <w:rsid w:val="00FB4AD3"/>
    <w:rsid w:val="00FB4EA6"/>
    <w:rsid w:val="00FB4FDC"/>
    <w:rsid w:val="00FB513E"/>
    <w:rsid w:val="00FB516E"/>
    <w:rsid w:val="00FB53F2"/>
    <w:rsid w:val="00FB56E1"/>
    <w:rsid w:val="00FB5C21"/>
    <w:rsid w:val="00FB6010"/>
    <w:rsid w:val="00FB6081"/>
    <w:rsid w:val="00FB63FE"/>
    <w:rsid w:val="00FB6858"/>
    <w:rsid w:val="00FB6BFF"/>
    <w:rsid w:val="00FB760C"/>
    <w:rsid w:val="00FC014F"/>
    <w:rsid w:val="00FC0442"/>
    <w:rsid w:val="00FC0539"/>
    <w:rsid w:val="00FC054A"/>
    <w:rsid w:val="00FC093F"/>
    <w:rsid w:val="00FC0BA3"/>
    <w:rsid w:val="00FC0EDC"/>
    <w:rsid w:val="00FC1560"/>
    <w:rsid w:val="00FC1801"/>
    <w:rsid w:val="00FC1819"/>
    <w:rsid w:val="00FC19EC"/>
    <w:rsid w:val="00FC1A4B"/>
    <w:rsid w:val="00FC1B32"/>
    <w:rsid w:val="00FC1F41"/>
    <w:rsid w:val="00FC205A"/>
    <w:rsid w:val="00FC2094"/>
    <w:rsid w:val="00FC20B5"/>
    <w:rsid w:val="00FC2994"/>
    <w:rsid w:val="00FC2C35"/>
    <w:rsid w:val="00FC3091"/>
    <w:rsid w:val="00FC364E"/>
    <w:rsid w:val="00FC38B3"/>
    <w:rsid w:val="00FC3BD4"/>
    <w:rsid w:val="00FC3DBB"/>
    <w:rsid w:val="00FC4310"/>
    <w:rsid w:val="00FC438A"/>
    <w:rsid w:val="00FC43EA"/>
    <w:rsid w:val="00FC45DC"/>
    <w:rsid w:val="00FC466B"/>
    <w:rsid w:val="00FC4712"/>
    <w:rsid w:val="00FC478B"/>
    <w:rsid w:val="00FC4E01"/>
    <w:rsid w:val="00FC4F4F"/>
    <w:rsid w:val="00FC512A"/>
    <w:rsid w:val="00FC515E"/>
    <w:rsid w:val="00FC51B0"/>
    <w:rsid w:val="00FC53A8"/>
    <w:rsid w:val="00FC540E"/>
    <w:rsid w:val="00FC581C"/>
    <w:rsid w:val="00FC59F2"/>
    <w:rsid w:val="00FC5AD5"/>
    <w:rsid w:val="00FC5B9D"/>
    <w:rsid w:val="00FC6055"/>
    <w:rsid w:val="00FC6302"/>
    <w:rsid w:val="00FC638F"/>
    <w:rsid w:val="00FC6693"/>
    <w:rsid w:val="00FC686E"/>
    <w:rsid w:val="00FC6A25"/>
    <w:rsid w:val="00FC6D4A"/>
    <w:rsid w:val="00FC6EEC"/>
    <w:rsid w:val="00FC7523"/>
    <w:rsid w:val="00FC7673"/>
    <w:rsid w:val="00FC793A"/>
    <w:rsid w:val="00FC7CD7"/>
    <w:rsid w:val="00FC7F67"/>
    <w:rsid w:val="00FD0180"/>
    <w:rsid w:val="00FD0454"/>
    <w:rsid w:val="00FD0568"/>
    <w:rsid w:val="00FD0627"/>
    <w:rsid w:val="00FD07D5"/>
    <w:rsid w:val="00FD0AC6"/>
    <w:rsid w:val="00FD0D42"/>
    <w:rsid w:val="00FD0EBC"/>
    <w:rsid w:val="00FD1095"/>
    <w:rsid w:val="00FD12C3"/>
    <w:rsid w:val="00FD1660"/>
    <w:rsid w:val="00FD1859"/>
    <w:rsid w:val="00FD195C"/>
    <w:rsid w:val="00FD1A06"/>
    <w:rsid w:val="00FD2157"/>
    <w:rsid w:val="00FD2233"/>
    <w:rsid w:val="00FD24FB"/>
    <w:rsid w:val="00FD3274"/>
    <w:rsid w:val="00FD33AF"/>
    <w:rsid w:val="00FD3771"/>
    <w:rsid w:val="00FD39C6"/>
    <w:rsid w:val="00FD3BDC"/>
    <w:rsid w:val="00FD3C1C"/>
    <w:rsid w:val="00FD3CC8"/>
    <w:rsid w:val="00FD4021"/>
    <w:rsid w:val="00FD4179"/>
    <w:rsid w:val="00FD41C6"/>
    <w:rsid w:val="00FD4268"/>
    <w:rsid w:val="00FD456E"/>
    <w:rsid w:val="00FD4D17"/>
    <w:rsid w:val="00FD4D5B"/>
    <w:rsid w:val="00FD4D6E"/>
    <w:rsid w:val="00FD4DDB"/>
    <w:rsid w:val="00FD4FB4"/>
    <w:rsid w:val="00FD511C"/>
    <w:rsid w:val="00FD5400"/>
    <w:rsid w:val="00FD563E"/>
    <w:rsid w:val="00FD5681"/>
    <w:rsid w:val="00FD57C8"/>
    <w:rsid w:val="00FD5B4B"/>
    <w:rsid w:val="00FD5C97"/>
    <w:rsid w:val="00FD5D9C"/>
    <w:rsid w:val="00FD6AA9"/>
    <w:rsid w:val="00FD6CB1"/>
    <w:rsid w:val="00FD6D01"/>
    <w:rsid w:val="00FD6FE9"/>
    <w:rsid w:val="00FD7000"/>
    <w:rsid w:val="00FD7681"/>
    <w:rsid w:val="00FD77C7"/>
    <w:rsid w:val="00FD7C9C"/>
    <w:rsid w:val="00FD7CE4"/>
    <w:rsid w:val="00FD7D98"/>
    <w:rsid w:val="00FE05A6"/>
    <w:rsid w:val="00FE0657"/>
    <w:rsid w:val="00FE0880"/>
    <w:rsid w:val="00FE0EE4"/>
    <w:rsid w:val="00FE1079"/>
    <w:rsid w:val="00FE124D"/>
    <w:rsid w:val="00FE12FC"/>
    <w:rsid w:val="00FE1525"/>
    <w:rsid w:val="00FE1629"/>
    <w:rsid w:val="00FE1665"/>
    <w:rsid w:val="00FE2044"/>
    <w:rsid w:val="00FE2047"/>
    <w:rsid w:val="00FE2306"/>
    <w:rsid w:val="00FE2346"/>
    <w:rsid w:val="00FE23B3"/>
    <w:rsid w:val="00FE250D"/>
    <w:rsid w:val="00FE2531"/>
    <w:rsid w:val="00FE2536"/>
    <w:rsid w:val="00FE2732"/>
    <w:rsid w:val="00FE2776"/>
    <w:rsid w:val="00FE28CC"/>
    <w:rsid w:val="00FE2919"/>
    <w:rsid w:val="00FE2A68"/>
    <w:rsid w:val="00FE2D00"/>
    <w:rsid w:val="00FE2D58"/>
    <w:rsid w:val="00FE2FDE"/>
    <w:rsid w:val="00FE30D3"/>
    <w:rsid w:val="00FE31F0"/>
    <w:rsid w:val="00FE33EF"/>
    <w:rsid w:val="00FE39E5"/>
    <w:rsid w:val="00FE3AAD"/>
    <w:rsid w:val="00FE3F9F"/>
    <w:rsid w:val="00FE4113"/>
    <w:rsid w:val="00FE43DB"/>
    <w:rsid w:val="00FE48D5"/>
    <w:rsid w:val="00FE4912"/>
    <w:rsid w:val="00FE4A74"/>
    <w:rsid w:val="00FE4A94"/>
    <w:rsid w:val="00FE4C6B"/>
    <w:rsid w:val="00FE5761"/>
    <w:rsid w:val="00FE57F5"/>
    <w:rsid w:val="00FE5878"/>
    <w:rsid w:val="00FE5A06"/>
    <w:rsid w:val="00FE60F8"/>
    <w:rsid w:val="00FE6393"/>
    <w:rsid w:val="00FE64C6"/>
    <w:rsid w:val="00FE676B"/>
    <w:rsid w:val="00FE709B"/>
    <w:rsid w:val="00FE70B8"/>
    <w:rsid w:val="00FE7132"/>
    <w:rsid w:val="00FE7170"/>
    <w:rsid w:val="00FE7279"/>
    <w:rsid w:val="00FE72D6"/>
    <w:rsid w:val="00FE72F4"/>
    <w:rsid w:val="00FE743A"/>
    <w:rsid w:val="00FE74FB"/>
    <w:rsid w:val="00FE7654"/>
    <w:rsid w:val="00FE7838"/>
    <w:rsid w:val="00FE791E"/>
    <w:rsid w:val="00FE7B4E"/>
    <w:rsid w:val="00FE7DE0"/>
    <w:rsid w:val="00FE7EB0"/>
    <w:rsid w:val="00FE7F00"/>
    <w:rsid w:val="00FF0342"/>
    <w:rsid w:val="00FF090D"/>
    <w:rsid w:val="00FF0A49"/>
    <w:rsid w:val="00FF0A5D"/>
    <w:rsid w:val="00FF0AE4"/>
    <w:rsid w:val="00FF0B8D"/>
    <w:rsid w:val="00FF0FF7"/>
    <w:rsid w:val="00FF11A6"/>
    <w:rsid w:val="00FF12A1"/>
    <w:rsid w:val="00FF12C3"/>
    <w:rsid w:val="00FF135F"/>
    <w:rsid w:val="00FF14D3"/>
    <w:rsid w:val="00FF159D"/>
    <w:rsid w:val="00FF160D"/>
    <w:rsid w:val="00FF17B4"/>
    <w:rsid w:val="00FF196D"/>
    <w:rsid w:val="00FF23FB"/>
    <w:rsid w:val="00FF3162"/>
    <w:rsid w:val="00FF322D"/>
    <w:rsid w:val="00FF36F0"/>
    <w:rsid w:val="00FF38C5"/>
    <w:rsid w:val="00FF3946"/>
    <w:rsid w:val="00FF3EF2"/>
    <w:rsid w:val="00FF3F05"/>
    <w:rsid w:val="00FF3F50"/>
    <w:rsid w:val="00FF3F5D"/>
    <w:rsid w:val="00FF42E8"/>
    <w:rsid w:val="00FF4835"/>
    <w:rsid w:val="00FF518B"/>
    <w:rsid w:val="00FF55E5"/>
    <w:rsid w:val="00FF55E9"/>
    <w:rsid w:val="00FF563B"/>
    <w:rsid w:val="00FF566B"/>
    <w:rsid w:val="00FF5AE5"/>
    <w:rsid w:val="00FF5D1A"/>
    <w:rsid w:val="00FF5F2E"/>
    <w:rsid w:val="00FF65D1"/>
    <w:rsid w:val="00FF6A17"/>
    <w:rsid w:val="00FF6E26"/>
    <w:rsid w:val="00FF7547"/>
    <w:rsid w:val="00FF7717"/>
    <w:rsid w:val="00FF7C64"/>
    <w:rsid w:val="00FF7DB7"/>
    <w:rsid w:val="011B78CE"/>
    <w:rsid w:val="0123252C"/>
    <w:rsid w:val="0139006F"/>
    <w:rsid w:val="015C08A3"/>
    <w:rsid w:val="01755552"/>
    <w:rsid w:val="01B30223"/>
    <w:rsid w:val="01CC32D7"/>
    <w:rsid w:val="01D234AB"/>
    <w:rsid w:val="02053D6E"/>
    <w:rsid w:val="02696B6D"/>
    <w:rsid w:val="026B51A3"/>
    <w:rsid w:val="02BF556A"/>
    <w:rsid w:val="02C02A40"/>
    <w:rsid w:val="02C352FB"/>
    <w:rsid w:val="02D61323"/>
    <w:rsid w:val="03231119"/>
    <w:rsid w:val="037A5D0E"/>
    <w:rsid w:val="039F6058"/>
    <w:rsid w:val="0417104F"/>
    <w:rsid w:val="043E3A7C"/>
    <w:rsid w:val="048F3D22"/>
    <w:rsid w:val="04B9691F"/>
    <w:rsid w:val="04DC173F"/>
    <w:rsid w:val="04F90D37"/>
    <w:rsid w:val="05391633"/>
    <w:rsid w:val="05645151"/>
    <w:rsid w:val="056C264C"/>
    <w:rsid w:val="05772566"/>
    <w:rsid w:val="058A5177"/>
    <w:rsid w:val="05964206"/>
    <w:rsid w:val="05A5639B"/>
    <w:rsid w:val="05AD1B88"/>
    <w:rsid w:val="05C21635"/>
    <w:rsid w:val="05CF03F8"/>
    <w:rsid w:val="05FE2C84"/>
    <w:rsid w:val="062C52F6"/>
    <w:rsid w:val="0647547F"/>
    <w:rsid w:val="065C6E63"/>
    <w:rsid w:val="065D2119"/>
    <w:rsid w:val="06A26479"/>
    <w:rsid w:val="06B76C3E"/>
    <w:rsid w:val="0706349A"/>
    <w:rsid w:val="072310CB"/>
    <w:rsid w:val="075B2A66"/>
    <w:rsid w:val="07802849"/>
    <w:rsid w:val="07895CED"/>
    <w:rsid w:val="07E87FC2"/>
    <w:rsid w:val="08046FD1"/>
    <w:rsid w:val="08525E65"/>
    <w:rsid w:val="0894235F"/>
    <w:rsid w:val="08CB3727"/>
    <w:rsid w:val="08D0172C"/>
    <w:rsid w:val="091640C5"/>
    <w:rsid w:val="091F1AD0"/>
    <w:rsid w:val="09236D90"/>
    <w:rsid w:val="0978577C"/>
    <w:rsid w:val="0A155489"/>
    <w:rsid w:val="0A387AE4"/>
    <w:rsid w:val="0A5F04CE"/>
    <w:rsid w:val="0AA07CE5"/>
    <w:rsid w:val="0AAA4067"/>
    <w:rsid w:val="0AFC5F5D"/>
    <w:rsid w:val="0B0748AC"/>
    <w:rsid w:val="0B3C5505"/>
    <w:rsid w:val="0BC11A91"/>
    <w:rsid w:val="0BD131DC"/>
    <w:rsid w:val="0BDA5DFD"/>
    <w:rsid w:val="0C344D4F"/>
    <w:rsid w:val="0CB7509A"/>
    <w:rsid w:val="0CC57C7C"/>
    <w:rsid w:val="0D0D4993"/>
    <w:rsid w:val="0D3F671E"/>
    <w:rsid w:val="0D486CE1"/>
    <w:rsid w:val="0D50210E"/>
    <w:rsid w:val="0D6547EE"/>
    <w:rsid w:val="0D984FA6"/>
    <w:rsid w:val="0DA339D2"/>
    <w:rsid w:val="0DBD5FFB"/>
    <w:rsid w:val="0DC1137B"/>
    <w:rsid w:val="0DD40589"/>
    <w:rsid w:val="0DFA2901"/>
    <w:rsid w:val="0E0A7D37"/>
    <w:rsid w:val="0E4B61DD"/>
    <w:rsid w:val="0E4D7E9D"/>
    <w:rsid w:val="0E7D76D6"/>
    <w:rsid w:val="0EA367BB"/>
    <w:rsid w:val="0EE46560"/>
    <w:rsid w:val="0F346096"/>
    <w:rsid w:val="0F494B59"/>
    <w:rsid w:val="0F5C0150"/>
    <w:rsid w:val="0F6F5E61"/>
    <w:rsid w:val="0F960A4F"/>
    <w:rsid w:val="0F9F22B4"/>
    <w:rsid w:val="0FB33E8D"/>
    <w:rsid w:val="0FF268CB"/>
    <w:rsid w:val="10191DB4"/>
    <w:rsid w:val="10292848"/>
    <w:rsid w:val="102B1BCE"/>
    <w:rsid w:val="103C3DC3"/>
    <w:rsid w:val="103D69A6"/>
    <w:rsid w:val="104A6E1F"/>
    <w:rsid w:val="1077635E"/>
    <w:rsid w:val="109F1AA3"/>
    <w:rsid w:val="10B14F60"/>
    <w:rsid w:val="10BD6382"/>
    <w:rsid w:val="10F469DD"/>
    <w:rsid w:val="110345F2"/>
    <w:rsid w:val="11535F85"/>
    <w:rsid w:val="116A497C"/>
    <w:rsid w:val="116B212E"/>
    <w:rsid w:val="118934A9"/>
    <w:rsid w:val="119320E5"/>
    <w:rsid w:val="119C37E5"/>
    <w:rsid w:val="11AB14C1"/>
    <w:rsid w:val="11B21C1B"/>
    <w:rsid w:val="11C015AE"/>
    <w:rsid w:val="11DB5D2C"/>
    <w:rsid w:val="11F2706E"/>
    <w:rsid w:val="11F619EF"/>
    <w:rsid w:val="12015CDE"/>
    <w:rsid w:val="12B72C8C"/>
    <w:rsid w:val="12D847DD"/>
    <w:rsid w:val="13B1395B"/>
    <w:rsid w:val="13BF08FD"/>
    <w:rsid w:val="140504A8"/>
    <w:rsid w:val="142B18D9"/>
    <w:rsid w:val="142E2F90"/>
    <w:rsid w:val="143F5634"/>
    <w:rsid w:val="145130A0"/>
    <w:rsid w:val="14AA3A23"/>
    <w:rsid w:val="14E45CCB"/>
    <w:rsid w:val="15463178"/>
    <w:rsid w:val="158D51B4"/>
    <w:rsid w:val="159B361E"/>
    <w:rsid w:val="15D84BF4"/>
    <w:rsid w:val="15F049A2"/>
    <w:rsid w:val="1604154E"/>
    <w:rsid w:val="160D5794"/>
    <w:rsid w:val="16234567"/>
    <w:rsid w:val="166D6E2E"/>
    <w:rsid w:val="16707DB6"/>
    <w:rsid w:val="167A4E6A"/>
    <w:rsid w:val="167A7865"/>
    <w:rsid w:val="16D9031A"/>
    <w:rsid w:val="170C70F3"/>
    <w:rsid w:val="172A5930"/>
    <w:rsid w:val="176E7D85"/>
    <w:rsid w:val="17896854"/>
    <w:rsid w:val="179B24CA"/>
    <w:rsid w:val="17BD71E7"/>
    <w:rsid w:val="17E0063E"/>
    <w:rsid w:val="17E101E6"/>
    <w:rsid w:val="18092CAF"/>
    <w:rsid w:val="180E2611"/>
    <w:rsid w:val="182C453F"/>
    <w:rsid w:val="184376D1"/>
    <w:rsid w:val="1850189A"/>
    <w:rsid w:val="186845A7"/>
    <w:rsid w:val="18756197"/>
    <w:rsid w:val="18AA78A1"/>
    <w:rsid w:val="18B21EA4"/>
    <w:rsid w:val="18D317C0"/>
    <w:rsid w:val="18E80FE8"/>
    <w:rsid w:val="18FB71C6"/>
    <w:rsid w:val="1920571C"/>
    <w:rsid w:val="193E08CD"/>
    <w:rsid w:val="19476613"/>
    <w:rsid w:val="195E5967"/>
    <w:rsid w:val="196B7F41"/>
    <w:rsid w:val="19B546CA"/>
    <w:rsid w:val="19D45C5B"/>
    <w:rsid w:val="19DD76AD"/>
    <w:rsid w:val="19FE7818"/>
    <w:rsid w:val="1A0E6B2D"/>
    <w:rsid w:val="1A777CCC"/>
    <w:rsid w:val="1A8A14C5"/>
    <w:rsid w:val="1A9D75F6"/>
    <w:rsid w:val="1ABB64DE"/>
    <w:rsid w:val="1AD202C8"/>
    <w:rsid w:val="1AD2444A"/>
    <w:rsid w:val="1ADF1A5B"/>
    <w:rsid w:val="1B083873"/>
    <w:rsid w:val="1B1F6729"/>
    <w:rsid w:val="1B3C7789"/>
    <w:rsid w:val="1B50737C"/>
    <w:rsid w:val="1B794688"/>
    <w:rsid w:val="1C141266"/>
    <w:rsid w:val="1C164E7A"/>
    <w:rsid w:val="1C1E043C"/>
    <w:rsid w:val="1C22648D"/>
    <w:rsid w:val="1C4F6932"/>
    <w:rsid w:val="1C553EEE"/>
    <w:rsid w:val="1C7E10FD"/>
    <w:rsid w:val="1CB51FF4"/>
    <w:rsid w:val="1CE11569"/>
    <w:rsid w:val="1D0419D7"/>
    <w:rsid w:val="1D634687"/>
    <w:rsid w:val="1D844C10"/>
    <w:rsid w:val="1DBA0C31"/>
    <w:rsid w:val="1E2E19AA"/>
    <w:rsid w:val="1E5F585E"/>
    <w:rsid w:val="1E717F06"/>
    <w:rsid w:val="1E865D08"/>
    <w:rsid w:val="1EBB4A59"/>
    <w:rsid w:val="1EC67B44"/>
    <w:rsid w:val="1EDD6E46"/>
    <w:rsid w:val="1EE97C1D"/>
    <w:rsid w:val="1F0A3D6A"/>
    <w:rsid w:val="1F106F9F"/>
    <w:rsid w:val="1F442E75"/>
    <w:rsid w:val="1F501C8A"/>
    <w:rsid w:val="1F9709C9"/>
    <w:rsid w:val="20530F2A"/>
    <w:rsid w:val="209C30A0"/>
    <w:rsid w:val="20A06CEA"/>
    <w:rsid w:val="20A23159"/>
    <w:rsid w:val="211D7091"/>
    <w:rsid w:val="21883684"/>
    <w:rsid w:val="21A9708C"/>
    <w:rsid w:val="21C60808"/>
    <w:rsid w:val="21E73C96"/>
    <w:rsid w:val="21FB0471"/>
    <w:rsid w:val="22584906"/>
    <w:rsid w:val="227226EC"/>
    <w:rsid w:val="22735B62"/>
    <w:rsid w:val="22D321A8"/>
    <w:rsid w:val="232875D1"/>
    <w:rsid w:val="233A5F6A"/>
    <w:rsid w:val="234C5BEC"/>
    <w:rsid w:val="23676AC5"/>
    <w:rsid w:val="23A22BA5"/>
    <w:rsid w:val="23CE6D3B"/>
    <w:rsid w:val="24381693"/>
    <w:rsid w:val="244A19BF"/>
    <w:rsid w:val="24B71473"/>
    <w:rsid w:val="24C257DE"/>
    <w:rsid w:val="24EA757F"/>
    <w:rsid w:val="25152B14"/>
    <w:rsid w:val="252E7942"/>
    <w:rsid w:val="253534C6"/>
    <w:rsid w:val="254427AA"/>
    <w:rsid w:val="25510DDB"/>
    <w:rsid w:val="258D4F52"/>
    <w:rsid w:val="25B74938"/>
    <w:rsid w:val="25D9587B"/>
    <w:rsid w:val="25E36BBC"/>
    <w:rsid w:val="25E46A98"/>
    <w:rsid w:val="267A5E6C"/>
    <w:rsid w:val="267B53BC"/>
    <w:rsid w:val="268447DA"/>
    <w:rsid w:val="26A30712"/>
    <w:rsid w:val="26B801DB"/>
    <w:rsid w:val="26D11DEF"/>
    <w:rsid w:val="271561A5"/>
    <w:rsid w:val="271E1131"/>
    <w:rsid w:val="27404A02"/>
    <w:rsid w:val="27981DD5"/>
    <w:rsid w:val="27C9064C"/>
    <w:rsid w:val="28273995"/>
    <w:rsid w:val="282E7AD6"/>
    <w:rsid w:val="28460F90"/>
    <w:rsid w:val="28516BA5"/>
    <w:rsid w:val="28A9232F"/>
    <w:rsid w:val="28BA5BFF"/>
    <w:rsid w:val="29065007"/>
    <w:rsid w:val="292B08FC"/>
    <w:rsid w:val="29412CCA"/>
    <w:rsid w:val="296D60DA"/>
    <w:rsid w:val="297C07FE"/>
    <w:rsid w:val="29C05622"/>
    <w:rsid w:val="2A252D70"/>
    <w:rsid w:val="2A671A55"/>
    <w:rsid w:val="2A7017B1"/>
    <w:rsid w:val="2A8249CE"/>
    <w:rsid w:val="2A8B7B78"/>
    <w:rsid w:val="2A9C18B5"/>
    <w:rsid w:val="2AB95314"/>
    <w:rsid w:val="2AC3081E"/>
    <w:rsid w:val="2B09684F"/>
    <w:rsid w:val="2B105347"/>
    <w:rsid w:val="2B165C61"/>
    <w:rsid w:val="2B1A00A6"/>
    <w:rsid w:val="2B764A64"/>
    <w:rsid w:val="2B777082"/>
    <w:rsid w:val="2B8C6FE8"/>
    <w:rsid w:val="2B9A4A20"/>
    <w:rsid w:val="2BA62564"/>
    <w:rsid w:val="2BAC431C"/>
    <w:rsid w:val="2BC11FE8"/>
    <w:rsid w:val="2C434872"/>
    <w:rsid w:val="2C4A1115"/>
    <w:rsid w:val="2CCC59EE"/>
    <w:rsid w:val="2D06580D"/>
    <w:rsid w:val="2D0B3147"/>
    <w:rsid w:val="2D0C4884"/>
    <w:rsid w:val="2D1B22A5"/>
    <w:rsid w:val="2D263526"/>
    <w:rsid w:val="2D2D1C5A"/>
    <w:rsid w:val="2D3776B5"/>
    <w:rsid w:val="2D476A0A"/>
    <w:rsid w:val="2DB6601C"/>
    <w:rsid w:val="2DD413BE"/>
    <w:rsid w:val="2DD703EC"/>
    <w:rsid w:val="2E647DF6"/>
    <w:rsid w:val="2E7E459E"/>
    <w:rsid w:val="2E8241F3"/>
    <w:rsid w:val="2E863B88"/>
    <w:rsid w:val="2EB70D5F"/>
    <w:rsid w:val="2EF8731E"/>
    <w:rsid w:val="2F177742"/>
    <w:rsid w:val="2F622B24"/>
    <w:rsid w:val="2F9B652E"/>
    <w:rsid w:val="2FEB06C9"/>
    <w:rsid w:val="302E5415"/>
    <w:rsid w:val="302F291C"/>
    <w:rsid w:val="3033236F"/>
    <w:rsid w:val="30A34580"/>
    <w:rsid w:val="30AF1285"/>
    <w:rsid w:val="30BB48AA"/>
    <w:rsid w:val="30CA4083"/>
    <w:rsid w:val="30DE0BEE"/>
    <w:rsid w:val="31436983"/>
    <w:rsid w:val="314E6831"/>
    <w:rsid w:val="317F31B4"/>
    <w:rsid w:val="318229B0"/>
    <w:rsid w:val="3192471A"/>
    <w:rsid w:val="31C35225"/>
    <w:rsid w:val="31E14A40"/>
    <w:rsid w:val="32132855"/>
    <w:rsid w:val="32BB17EF"/>
    <w:rsid w:val="32C03D43"/>
    <w:rsid w:val="32CA61A0"/>
    <w:rsid w:val="32CE0818"/>
    <w:rsid w:val="32DD3A3D"/>
    <w:rsid w:val="32E15DFD"/>
    <w:rsid w:val="330603E7"/>
    <w:rsid w:val="331D7210"/>
    <w:rsid w:val="33433380"/>
    <w:rsid w:val="33450136"/>
    <w:rsid w:val="33540A82"/>
    <w:rsid w:val="335418B3"/>
    <w:rsid w:val="33601A20"/>
    <w:rsid w:val="33B01D51"/>
    <w:rsid w:val="33BF203F"/>
    <w:rsid w:val="33D03C47"/>
    <w:rsid w:val="33F569D0"/>
    <w:rsid w:val="33FA31AD"/>
    <w:rsid w:val="3413172E"/>
    <w:rsid w:val="3428192B"/>
    <w:rsid w:val="349F5C27"/>
    <w:rsid w:val="35077691"/>
    <w:rsid w:val="35665F1B"/>
    <w:rsid w:val="357A4D33"/>
    <w:rsid w:val="358E6835"/>
    <w:rsid w:val="35DB1F2C"/>
    <w:rsid w:val="35E3382E"/>
    <w:rsid w:val="36066081"/>
    <w:rsid w:val="360E2C5A"/>
    <w:rsid w:val="36400C08"/>
    <w:rsid w:val="364A4D8D"/>
    <w:rsid w:val="368C0451"/>
    <w:rsid w:val="36ED3B03"/>
    <w:rsid w:val="36EE2CA8"/>
    <w:rsid w:val="36F93C2B"/>
    <w:rsid w:val="375A342E"/>
    <w:rsid w:val="37651B7D"/>
    <w:rsid w:val="377D2CE5"/>
    <w:rsid w:val="379D25D7"/>
    <w:rsid w:val="37C1100A"/>
    <w:rsid w:val="37C3014C"/>
    <w:rsid w:val="37D228B5"/>
    <w:rsid w:val="37EE2537"/>
    <w:rsid w:val="37F52D97"/>
    <w:rsid w:val="37F963E3"/>
    <w:rsid w:val="3839499E"/>
    <w:rsid w:val="383D1569"/>
    <w:rsid w:val="38463A4C"/>
    <w:rsid w:val="385113A1"/>
    <w:rsid w:val="387A2804"/>
    <w:rsid w:val="388E2F9B"/>
    <w:rsid w:val="38B848C9"/>
    <w:rsid w:val="38C66131"/>
    <w:rsid w:val="38EC127B"/>
    <w:rsid w:val="38F33EC8"/>
    <w:rsid w:val="393102D7"/>
    <w:rsid w:val="397C110C"/>
    <w:rsid w:val="398F6BCB"/>
    <w:rsid w:val="39BA759A"/>
    <w:rsid w:val="39BE2536"/>
    <w:rsid w:val="39F34113"/>
    <w:rsid w:val="3A033244"/>
    <w:rsid w:val="3A257A8B"/>
    <w:rsid w:val="3A2761A3"/>
    <w:rsid w:val="3A4334AF"/>
    <w:rsid w:val="3A54689B"/>
    <w:rsid w:val="3A572F96"/>
    <w:rsid w:val="3A682FE9"/>
    <w:rsid w:val="3A6A6066"/>
    <w:rsid w:val="3A8F09C6"/>
    <w:rsid w:val="3AA50161"/>
    <w:rsid w:val="3B3B7FFB"/>
    <w:rsid w:val="3B4701F7"/>
    <w:rsid w:val="3BD11330"/>
    <w:rsid w:val="3C272720"/>
    <w:rsid w:val="3C3E09E5"/>
    <w:rsid w:val="3C491615"/>
    <w:rsid w:val="3C4E4E74"/>
    <w:rsid w:val="3C6110C7"/>
    <w:rsid w:val="3C7C2DF6"/>
    <w:rsid w:val="3C8D1276"/>
    <w:rsid w:val="3C950411"/>
    <w:rsid w:val="3CD41362"/>
    <w:rsid w:val="3CF5175A"/>
    <w:rsid w:val="3D0918AD"/>
    <w:rsid w:val="3D830197"/>
    <w:rsid w:val="3D9B786D"/>
    <w:rsid w:val="3DC120E1"/>
    <w:rsid w:val="3DC70D32"/>
    <w:rsid w:val="3DDD667D"/>
    <w:rsid w:val="3E0B4AD6"/>
    <w:rsid w:val="3E175771"/>
    <w:rsid w:val="3E797301"/>
    <w:rsid w:val="3E88504B"/>
    <w:rsid w:val="3F083934"/>
    <w:rsid w:val="3F2A12AF"/>
    <w:rsid w:val="3F315A38"/>
    <w:rsid w:val="3F3317A9"/>
    <w:rsid w:val="3F3B0307"/>
    <w:rsid w:val="3F4640B5"/>
    <w:rsid w:val="3F6B7767"/>
    <w:rsid w:val="3FAC76EA"/>
    <w:rsid w:val="3FDE3E9B"/>
    <w:rsid w:val="3FEF13A1"/>
    <w:rsid w:val="400D48C5"/>
    <w:rsid w:val="40403570"/>
    <w:rsid w:val="40D45051"/>
    <w:rsid w:val="40E8674D"/>
    <w:rsid w:val="40F407F7"/>
    <w:rsid w:val="40FA5A64"/>
    <w:rsid w:val="412D1F02"/>
    <w:rsid w:val="412E703C"/>
    <w:rsid w:val="4145648C"/>
    <w:rsid w:val="4148218A"/>
    <w:rsid w:val="41500D52"/>
    <w:rsid w:val="415E349B"/>
    <w:rsid w:val="41741B70"/>
    <w:rsid w:val="417E769E"/>
    <w:rsid w:val="4217027A"/>
    <w:rsid w:val="422018E3"/>
    <w:rsid w:val="42332880"/>
    <w:rsid w:val="4244332C"/>
    <w:rsid w:val="424A0CC5"/>
    <w:rsid w:val="4251203C"/>
    <w:rsid w:val="42685F48"/>
    <w:rsid w:val="426969FF"/>
    <w:rsid w:val="427F7140"/>
    <w:rsid w:val="42AD0937"/>
    <w:rsid w:val="431D3F47"/>
    <w:rsid w:val="43280E2A"/>
    <w:rsid w:val="433D63B6"/>
    <w:rsid w:val="433E2DD4"/>
    <w:rsid w:val="435030DB"/>
    <w:rsid w:val="43741F4D"/>
    <w:rsid w:val="43B5081F"/>
    <w:rsid w:val="43D81F70"/>
    <w:rsid w:val="43F81C45"/>
    <w:rsid w:val="44027B22"/>
    <w:rsid w:val="441D4CA9"/>
    <w:rsid w:val="4429620A"/>
    <w:rsid w:val="44495099"/>
    <w:rsid w:val="44857337"/>
    <w:rsid w:val="44FE5177"/>
    <w:rsid w:val="459C177F"/>
    <w:rsid w:val="45C404C0"/>
    <w:rsid w:val="45C94E39"/>
    <w:rsid w:val="45FC792F"/>
    <w:rsid w:val="460D5498"/>
    <w:rsid w:val="461D5965"/>
    <w:rsid w:val="462956AF"/>
    <w:rsid w:val="463853C6"/>
    <w:rsid w:val="46955EAA"/>
    <w:rsid w:val="47384760"/>
    <w:rsid w:val="477A6E15"/>
    <w:rsid w:val="478532B4"/>
    <w:rsid w:val="478B2DD0"/>
    <w:rsid w:val="47982C14"/>
    <w:rsid w:val="47B170D1"/>
    <w:rsid w:val="480858BC"/>
    <w:rsid w:val="481E09DF"/>
    <w:rsid w:val="482D5C35"/>
    <w:rsid w:val="48AB5627"/>
    <w:rsid w:val="490332DF"/>
    <w:rsid w:val="4915060C"/>
    <w:rsid w:val="49163692"/>
    <w:rsid w:val="491B16B9"/>
    <w:rsid w:val="496F1B6A"/>
    <w:rsid w:val="49C600F0"/>
    <w:rsid w:val="49D04EEE"/>
    <w:rsid w:val="4A0829C7"/>
    <w:rsid w:val="4A1E714F"/>
    <w:rsid w:val="4A267B46"/>
    <w:rsid w:val="4A2C1BB0"/>
    <w:rsid w:val="4A374A4F"/>
    <w:rsid w:val="4A3E784B"/>
    <w:rsid w:val="4A882AB4"/>
    <w:rsid w:val="4AAE12ED"/>
    <w:rsid w:val="4AD11A49"/>
    <w:rsid w:val="4AD1441B"/>
    <w:rsid w:val="4B0429F2"/>
    <w:rsid w:val="4B084C91"/>
    <w:rsid w:val="4B233B25"/>
    <w:rsid w:val="4B24548C"/>
    <w:rsid w:val="4B301942"/>
    <w:rsid w:val="4B405484"/>
    <w:rsid w:val="4B462B2C"/>
    <w:rsid w:val="4B821214"/>
    <w:rsid w:val="4BE847C0"/>
    <w:rsid w:val="4BF07B66"/>
    <w:rsid w:val="4BF541E2"/>
    <w:rsid w:val="4BF64F47"/>
    <w:rsid w:val="4BF7776E"/>
    <w:rsid w:val="4C0049AD"/>
    <w:rsid w:val="4C047C17"/>
    <w:rsid w:val="4C107A76"/>
    <w:rsid w:val="4C2A397A"/>
    <w:rsid w:val="4C2F5FE7"/>
    <w:rsid w:val="4C3C4A7D"/>
    <w:rsid w:val="4C465ABA"/>
    <w:rsid w:val="4C54283C"/>
    <w:rsid w:val="4CDA0173"/>
    <w:rsid w:val="4D061751"/>
    <w:rsid w:val="4D9F3D8A"/>
    <w:rsid w:val="4DA23BFB"/>
    <w:rsid w:val="4DB3106B"/>
    <w:rsid w:val="4DB548F9"/>
    <w:rsid w:val="4DF803F8"/>
    <w:rsid w:val="4E294F1B"/>
    <w:rsid w:val="4E4B727A"/>
    <w:rsid w:val="4E5A6318"/>
    <w:rsid w:val="4E6C0596"/>
    <w:rsid w:val="4E86116A"/>
    <w:rsid w:val="4EEB76BA"/>
    <w:rsid w:val="4F0A45E6"/>
    <w:rsid w:val="4F296CAD"/>
    <w:rsid w:val="4F60287D"/>
    <w:rsid w:val="4F8133CF"/>
    <w:rsid w:val="4F8347DE"/>
    <w:rsid w:val="4F843BC0"/>
    <w:rsid w:val="4FD06629"/>
    <w:rsid w:val="4FDC66BE"/>
    <w:rsid w:val="4FFC6810"/>
    <w:rsid w:val="50063A78"/>
    <w:rsid w:val="501C5EAD"/>
    <w:rsid w:val="50255B04"/>
    <w:rsid w:val="506148BE"/>
    <w:rsid w:val="50F45B4F"/>
    <w:rsid w:val="510221C1"/>
    <w:rsid w:val="510359D5"/>
    <w:rsid w:val="510A12B2"/>
    <w:rsid w:val="512D5872"/>
    <w:rsid w:val="515D1A27"/>
    <w:rsid w:val="518A5A81"/>
    <w:rsid w:val="51BF0FF3"/>
    <w:rsid w:val="51C35D5D"/>
    <w:rsid w:val="51DB0C53"/>
    <w:rsid w:val="52164347"/>
    <w:rsid w:val="526809E4"/>
    <w:rsid w:val="526C4DBF"/>
    <w:rsid w:val="52F448FA"/>
    <w:rsid w:val="530F6AC5"/>
    <w:rsid w:val="5316616D"/>
    <w:rsid w:val="531C299A"/>
    <w:rsid w:val="53854793"/>
    <w:rsid w:val="538C6578"/>
    <w:rsid w:val="53A5163E"/>
    <w:rsid w:val="53DA3602"/>
    <w:rsid w:val="53EB015B"/>
    <w:rsid w:val="53F03CA6"/>
    <w:rsid w:val="53F95CD2"/>
    <w:rsid w:val="54006866"/>
    <w:rsid w:val="54500BDC"/>
    <w:rsid w:val="54926EFF"/>
    <w:rsid w:val="54961341"/>
    <w:rsid w:val="54B03C42"/>
    <w:rsid w:val="5520482D"/>
    <w:rsid w:val="552C43DE"/>
    <w:rsid w:val="553969A8"/>
    <w:rsid w:val="556246D0"/>
    <w:rsid w:val="55696C17"/>
    <w:rsid w:val="558569EA"/>
    <w:rsid w:val="55A04938"/>
    <w:rsid w:val="55AA52AA"/>
    <w:rsid w:val="564277FE"/>
    <w:rsid w:val="566565F4"/>
    <w:rsid w:val="569A04D1"/>
    <w:rsid w:val="569A70B5"/>
    <w:rsid w:val="569B39E8"/>
    <w:rsid w:val="56C106DD"/>
    <w:rsid w:val="56D65986"/>
    <w:rsid w:val="570165EB"/>
    <w:rsid w:val="570E5F59"/>
    <w:rsid w:val="57170E5A"/>
    <w:rsid w:val="571B0055"/>
    <w:rsid w:val="5721756F"/>
    <w:rsid w:val="57382EF4"/>
    <w:rsid w:val="57462372"/>
    <w:rsid w:val="575F1F1D"/>
    <w:rsid w:val="5772378F"/>
    <w:rsid w:val="577F4D70"/>
    <w:rsid w:val="578C7382"/>
    <w:rsid w:val="57986D3B"/>
    <w:rsid w:val="57C84CF5"/>
    <w:rsid w:val="57DC5E6F"/>
    <w:rsid w:val="582748DB"/>
    <w:rsid w:val="583E75DF"/>
    <w:rsid w:val="584722A5"/>
    <w:rsid w:val="58821B4A"/>
    <w:rsid w:val="589C326D"/>
    <w:rsid w:val="58C7117E"/>
    <w:rsid w:val="58F44371"/>
    <w:rsid w:val="5936426D"/>
    <w:rsid w:val="59652771"/>
    <w:rsid w:val="5973645B"/>
    <w:rsid w:val="59CB7637"/>
    <w:rsid w:val="5A1877BD"/>
    <w:rsid w:val="5A1C7D2C"/>
    <w:rsid w:val="5A3F36B2"/>
    <w:rsid w:val="5A3F625C"/>
    <w:rsid w:val="5A6F640D"/>
    <w:rsid w:val="5A7E3E37"/>
    <w:rsid w:val="5AB44D51"/>
    <w:rsid w:val="5AB60134"/>
    <w:rsid w:val="5ABD408D"/>
    <w:rsid w:val="5ACC4E20"/>
    <w:rsid w:val="5AE2643F"/>
    <w:rsid w:val="5B1A37BB"/>
    <w:rsid w:val="5B5F699A"/>
    <w:rsid w:val="5B730C71"/>
    <w:rsid w:val="5B786450"/>
    <w:rsid w:val="5BEA56D8"/>
    <w:rsid w:val="5CAD2D80"/>
    <w:rsid w:val="5CB700ED"/>
    <w:rsid w:val="5CDF5B59"/>
    <w:rsid w:val="5D04560C"/>
    <w:rsid w:val="5D1F1BE3"/>
    <w:rsid w:val="5D216DF9"/>
    <w:rsid w:val="5D222775"/>
    <w:rsid w:val="5D365DB8"/>
    <w:rsid w:val="5D4565DD"/>
    <w:rsid w:val="5D7164CD"/>
    <w:rsid w:val="5DA26ABF"/>
    <w:rsid w:val="5DCC1931"/>
    <w:rsid w:val="5DD37F2A"/>
    <w:rsid w:val="5DD63BB9"/>
    <w:rsid w:val="5DF748C4"/>
    <w:rsid w:val="5E2562EA"/>
    <w:rsid w:val="5E566E6B"/>
    <w:rsid w:val="5E873E14"/>
    <w:rsid w:val="5EA852FC"/>
    <w:rsid w:val="5EB43B53"/>
    <w:rsid w:val="5EC01B8B"/>
    <w:rsid w:val="5ECD7E4B"/>
    <w:rsid w:val="5EDE2A90"/>
    <w:rsid w:val="5EE94836"/>
    <w:rsid w:val="5F107FFA"/>
    <w:rsid w:val="5F327DE4"/>
    <w:rsid w:val="5FCD4306"/>
    <w:rsid w:val="5FD404F4"/>
    <w:rsid w:val="5FD85D54"/>
    <w:rsid w:val="5FDC3178"/>
    <w:rsid w:val="60081195"/>
    <w:rsid w:val="601661EB"/>
    <w:rsid w:val="603D4D1E"/>
    <w:rsid w:val="604E772A"/>
    <w:rsid w:val="60596709"/>
    <w:rsid w:val="60710BD7"/>
    <w:rsid w:val="607B228D"/>
    <w:rsid w:val="60D36C01"/>
    <w:rsid w:val="61435238"/>
    <w:rsid w:val="61993223"/>
    <w:rsid w:val="61D42783"/>
    <w:rsid w:val="61E762E5"/>
    <w:rsid w:val="620E0632"/>
    <w:rsid w:val="622977C5"/>
    <w:rsid w:val="623B0330"/>
    <w:rsid w:val="6249419E"/>
    <w:rsid w:val="627E22D2"/>
    <w:rsid w:val="62AE0037"/>
    <w:rsid w:val="63244D91"/>
    <w:rsid w:val="63671D61"/>
    <w:rsid w:val="636C463A"/>
    <w:rsid w:val="63963C10"/>
    <w:rsid w:val="63FF5510"/>
    <w:rsid w:val="644B4666"/>
    <w:rsid w:val="645B08A3"/>
    <w:rsid w:val="64981B8A"/>
    <w:rsid w:val="64A00222"/>
    <w:rsid w:val="64AA7B7B"/>
    <w:rsid w:val="64B86503"/>
    <w:rsid w:val="64BD0D23"/>
    <w:rsid w:val="64CE7B4F"/>
    <w:rsid w:val="64DF42CC"/>
    <w:rsid w:val="655D485D"/>
    <w:rsid w:val="66016077"/>
    <w:rsid w:val="664D5377"/>
    <w:rsid w:val="669860E5"/>
    <w:rsid w:val="669F5DC8"/>
    <w:rsid w:val="67181354"/>
    <w:rsid w:val="67276410"/>
    <w:rsid w:val="675C216B"/>
    <w:rsid w:val="676047C2"/>
    <w:rsid w:val="679318C6"/>
    <w:rsid w:val="67A914D7"/>
    <w:rsid w:val="67C007A9"/>
    <w:rsid w:val="67D2773C"/>
    <w:rsid w:val="682D3686"/>
    <w:rsid w:val="688E5A34"/>
    <w:rsid w:val="68DC2658"/>
    <w:rsid w:val="69061E65"/>
    <w:rsid w:val="690B0E8D"/>
    <w:rsid w:val="69290E83"/>
    <w:rsid w:val="697440D3"/>
    <w:rsid w:val="69B96EC1"/>
    <w:rsid w:val="69C91E6D"/>
    <w:rsid w:val="69FE3CD9"/>
    <w:rsid w:val="6A305BB1"/>
    <w:rsid w:val="6A4E4D09"/>
    <w:rsid w:val="6A7A2DF9"/>
    <w:rsid w:val="6A946E24"/>
    <w:rsid w:val="6AB57524"/>
    <w:rsid w:val="6ABB65FB"/>
    <w:rsid w:val="6AF8568B"/>
    <w:rsid w:val="6B0038A3"/>
    <w:rsid w:val="6B4856AA"/>
    <w:rsid w:val="6B8E1015"/>
    <w:rsid w:val="6BFC70CE"/>
    <w:rsid w:val="6C3A6C88"/>
    <w:rsid w:val="6C4A3D3E"/>
    <w:rsid w:val="6C875F9B"/>
    <w:rsid w:val="6CAA00DA"/>
    <w:rsid w:val="6D27064F"/>
    <w:rsid w:val="6D30154A"/>
    <w:rsid w:val="6D3E54CC"/>
    <w:rsid w:val="6D526774"/>
    <w:rsid w:val="6D7B3402"/>
    <w:rsid w:val="6DDC1D22"/>
    <w:rsid w:val="6E3C285F"/>
    <w:rsid w:val="6E507838"/>
    <w:rsid w:val="6E5751BA"/>
    <w:rsid w:val="6E5B5B91"/>
    <w:rsid w:val="6E947218"/>
    <w:rsid w:val="6EBB1095"/>
    <w:rsid w:val="6F231D04"/>
    <w:rsid w:val="6F2B5D92"/>
    <w:rsid w:val="6F746F18"/>
    <w:rsid w:val="6F9D35BA"/>
    <w:rsid w:val="6FA314A8"/>
    <w:rsid w:val="6FC0095D"/>
    <w:rsid w:val="6FC56240"/>
    <w:rsid w:val="70123264"/>
    <w:rsid w:val="703A1A76"/>
    <w:rsid w:val="707A01E3"/>
    <w:rsid w:val="70A72179"/>
    <w:rsid w:val="70BF2C13"/>
    <w:rsid w:val="70C40F7D"/>
    <w:rsid w:val="71031120"/>
    <w:rsid w:val="71157DCC"/>
    <w:rsid w:val="711837F1"/>
    <w:rsid w:val="71266FB0"/>
    <w:rsid w:val="712D586F"/>
    <w:rsid w:val="71465249"/>
    <w:rsid w:val="714F3C2C"/>
    <w:rsid w:val="71CE098C"/>
    <w:rsid w:val="71DA1826"/>
    <w:rsid w:val="71E51E00"/>
    <w:rsid w:val="71F83168"/>
    <w:rsid w:val="720B2AFF"/>
    <w:rsid w:val="72130F57"/>
    <w:rsid w:val="72212664"/>
    <w:rsid w:val="723D5101"/>
    <w:rsid w:val="72636CF5"/>
    <w:rsid w:val="728829B6"/>
    <w:rsid w:val="72B94FBF"/>
    <w:rsid w:val="73244635"/>
    <w:rsid w:val="73354155"/>
    <w:rsid w:val="737744BB"/>
    <w:rsid w:val="73795FF6"/>
    <w:rsid w:val="73814BFF"/>
    <w:rsid w:val="73B450CC"/>
    <w:rsid w:val="740B6148"/>
    <w:rsid w:val="7416497C"/>
    <w:rsid w:val="743361A9"/>
    <w:rsid w:val="74855065"/>
    <w:rsid w:val="74EE3B89"/>
    <w:rsid w:val="752F2019"/>
    <w:rsid w:val="75325396"/>
    <w:rsid w:val="756B0868"/>
    <w:rsid w:val="75A1265A"/>
    <w:rsid w:val="75D249D6"/>
    <w:rsid w:val="761E0F02"/>
    <w:rsid w:val="7639361B"/>
    <w:rsid w:val="765671C7"/>
    <w:rsid w:val="766170AA"/>
    <w:rsid w:val="76661CBF"/>
    <w:rsid w:val="76CA7B92"/>
    <w:rsid w:val="76D83B6A"/>
    <w:rsid w:val="76FC0754"/>
    <w:rsid w:val="77017B84"/>
    <w:rsid w:val="77224157"/>
    <w:rsid w:val="77554615"/>
    <w:rsid w:val="775F7CC9"/>
    <w:rsid w:val="77E67595"/>
    <w:rsid w:val="78324954"/>
    <w:rsid w:val="783D0751"/>
    <w:rsid w:val="785B5F2B"/>
    <w:rsid w:val="787E5249"/>
    <w:rsid w:val="78A80262"/>
    <w:rsid w:val="78C7229A"/>
    <w:rsid w:val="79344B76"/>
    <w:rsid w:val="794B7CA1"/>
    <w:rsid w:val="796B20C0"/>
    <w:rsid w:val="79BA4AC1"/>
    <w:rsid w:val="79E1768B"/>
    <w:rsid w:val="79EE531A"/>
    <w:rsid w:val="79F96BF0"/>
    <w:rsid w:val="7A061C2F"/>
    <w:rsid w:val="7A4704B8"/>
    <w:rsid w:val="7A5E35EB"/>
    <w:rsid w:val="7A9F74B4"/>
    <w:rsid w:val="7B7A714B"/>
    <w:rsid w:val="7BA852D8"/>
    <w:rsid w:val="7BAD19D4"/>
    <w:rsid w:val="7BB82E73"/>
    <w:rsid w:val="7BD14747"/>
    <w:rsid w:val="7CA95689"/>
    <w:rsid w:val="7CF57DC6"/>
    <w:rsid w:val="7D30493B"/>
    <w:rsid w:val="7D711568"/>
    <w:rsid w:val="7D885493"/>
    <w:rsid w:val="7D8D3791"/>
    <w:rsid w:val="7E38714A"/>
    <w:rsid w:val="7E3928D8"/>
    <w:rsid w:val="7E5F4F56"/>
    <w:rsid w:val="7E630BC1"/>
    <w:rsid w:val="7E786774"/>
    <w:rsid w:val="7E7B7913"/>
    <w:rsid w:val="7E7C1832"/>
    <w:rsid w:val="7E7D3092"/>
    <w:rsid w:val="7E8672F6"/>
    <w:rsid w:val="7EE3256C"/>
    <w:rsid w:val="7F26763D"/>
    <w:rsid w:val="7F2A5634"/>
    <w:rsid w:val="7F8D7408"/>
    <w:rsid w:val="7FA21FF4"/>
    <w:rsid w:val="7FC71D5F"/>
    <w:rsid w:val="7FCB6E14"/>
    <w:rsid w:val="7FCD7330"/>
    <w:rsid w:val="7FE22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41"/>
    <w:qFormat/>
    <w:uiPriority w:val="9"/>
    <w:pPr>
      <w:keepNext/>
      <w:keepLines/>
      <w:numPr>
        <w:ilvl w:val="0"/>
        <w:numId w:val="1"/>
      </w:numPr>
      <w:spacing w:before="360" w:after="240"/>
      <w:jc w:val="center"/>
      <w:outlineLvl w:val="0"/>
    </w:pPr>
    <w:rPr>
      <w:b/>
      <w:bCs/>
      <w:kern w:val="44"/>
      <w:sz w:val="36"/>
      <w:szCs w:val="44"/>
    </w:rPr>
  </w:style>
  <w:style w:type="paragraph" w:styleId="3">
    <w:name w:val="heading 2"/>
    <w:basedOn w:val="1"/>
    <w:next w:val="1"/>
    <w:link w:val="42"/>
    <w:unhideWhenUsed/>
    <w:qFormat/>
    <w:uiPriority w:val="9"/>
    <w:pPr>
      <w:keepNext/>
      <w:keepLines/>
      <w:numPr>
        <w:ilvl w:val="1"/>
        <w:numId w:val="1"/>
      </w:numPr>
      <w:tabs>
        <w:tab w:val="left" w:pos="5241"/>
        <w:tab w:val="clear" w:pos="3965"/>
      </w:tabs>
      <w:ind w:left="5396"/>
      <w:jc w:val="center"/>
      <w:outlineLvl w:val="1"/>
    </w:pPr>
    <w:rPr>
      <w:b/>
      <w:bCs/>
      <w:kern w:val="0"/>
      <w:sz w:val="28"/>
      <w:szCs w:val="32"/>
    </w:rPr>
  </w:style>
  <w:style w:type="paragraph" w:styleId="4">
    <w:name w:val="heading 3"/>
    <w:basedOn w:val="1"/>
    <w:next w:val="1"/>
    <w:link w:val="43"/>
    <w:unhideWhenUsed/>
    <w:qFormat/>
    <w:uiPriority w:val="0"/>
    <w:pPr>
      <w:keepNext/>
      <w:keepLines/>
      <w:numPr>
        <w:ilvl w:val="2"/>
        <w:numId w:val="1"/>
      </w:numPr>
      <w:spacing w:line="288" w:lineRule="auto"/>
      <w:outlineLvl w:val="2"/>
    </w:pPr>
    <w:rPr>
      <w:b/>
      <w:bCs/>
      <w:kern w:val="0"/>
      <w:sz w:val="20"/>
      <w:szCs w:val="32"/>
    </w:rPr>
  </w:style>
  <w:style w:type="paragraph" w:styleId="5">
    <w:name w:val="heading 4"/>
    <w:basedOn w:val="1"/>
    <w:next w:val="1"/>
    <w:semiHidden/>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9"/>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9"/>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9"/>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9"/>
    <w:pPr>
      <w:keepNext/>
      <w:keepLines/>
      <w:numPr>
        <w:ilvl w:val="8"/>
        <w:numId w:val="1"/>
      </w:numPr>
      <w:spacing w:before="240" w:after="64" w:line="317" w:lineRule="auto"/>
      <w:outlineLvl w:val="8"/>
    </w:pPr>
    <w:rPr>
      <w:rFonts w:ascii="Arial" w:hAnsi="Arial" w:eastAsia="黑体"/>
      <w:sz w:val="21"/>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0"/>
    <w:rPr>
      <w:rFonts w:ascii="Arial" w:hAnsi="Arial" w:eastAsia="黑体"/>
      <w:sz w:val="20"/>
    </w:rPr>
  </w:style>
  <w:style w:type="paragraph" w:styleId="12">
    <w:name w:val="Document Map"/>
    <w:basedOn w:val="1"/>
    <w:link w:val="32"/>
    <w:semiHidden/>
    <w:unhideWhenUsed/>
    <w:qFormat/>
    <w:uiPriority w:val="99"/>
    <w:rPr>
      <w:rFonts w:ascii="宋体"/>
      <w:sz w:val="18"/>
      <w:szCs w:val="18"/>
    </w:rPr>
  </w:style>
  <w:style w:type="paragraph" w:styleId="13">
    <w:name w:val="annotation text"/>
    <w:basedOn w:val="1"/>
    <w:link w:val="54"/>
    <w:unhideWhenUsed/>
    <w:qFormat/>
    <w:uiPriority w:val="0"/>
    <w:pPr>
      <w:jc w:val="left"/>
    </w:pPr>
  </w:style>
  <w:style w:type="paragraph" w:styleId="14">
    <w:name w:val="Body Text"/>
    <w:basedOn w:val="1"/>
    <w:qFormat/>
    <w:uiPriority w:val="0"/>
    <w:pPr>
      <w:spacing w:after="120"/>
    </w:pPr>
    <w:rPr>
      <w:rFonts w:ascii="宋体" w:hAnsi="宋体"/>
      <w:color w:val="000000"/>
      <w:sz w:val="28"/>
      <w:szCs w:val="28"/>
    </w:rPr>
  </w:style>
  <w:style w:type="paragraph" w:styleId="15">
    <w:name w:val="Plain Text"/>
    <w:basedOn w:val="1"/>
    <w:qFormat/>
    <w:uiPriority w:val="0"/>
    <w:rPr>
      <w:rFonts w:ascii="宋体" w:hAnsi="Courier New"/>
      <w:szCs w:val="21"/>
    </w:rPr>
  </w:style>
  <w:style w:type="paragraph" w:styleId="16">
    <w:name w:val="Date"/>
    <w:basedOn w:val="1"/>
    <w:next w:val="1"/>
    <w:link w:val="44"/>
    <w:unhideWhenUsed/>
    <w:qFormat/>
    <w:uiPriority w:val="0"/>
    <w:pPr>
      <w:ind w:left="100" w:leftChars="2500"/>
    </w:pPr>
  </w:style>
  <w:style w:type="paragraph" w:styleId="17">
    <w:name w:val="Balloon Text"/>
    <w:basedOn w:val="1"/>
    <w:link w:val="56"/>
    <w:semiHidden/>
    <w:unhideWhenUsed/>
    <w:qFormat/>
    <w:uiPriority w:val="99"/>
    <w:rPr>
      <w:sz w:val="18"/>
      <w:szCs w:val="18"/>
    </w:rPr>
  </w:style>
  <w:style w:type="paragraph" w:styleId="18">
    <w:name w:val="footer"/>
    <w:basedOn w:val="1"/>
    <w:link w:val="31"/>
    <w:unhideWhenUsed/>
    <w:qFormat/>
    <w:uiPriority w:val="99"/>
    <w:pPr>
      <w:tabs>
        <w:tab w:val="center" w:pos="4153"/>
        <w:tab w:val="right" w:pos="8306"/>
      </w:tabs>
      <w:snapToGrid w:val="0"/>
      <w:jc w:val="left"/>
    </w:pPr>
    <w:rPr>
      <w:sz w:val="18"/>
      <w:szCs w:val="18"/>
    </w:rPr>
  </w:style>
  <w:style w:type="paragraph" w:styleId="19">
    <w:name w:val="header"/>
    <w:basedOn w:val="1"/>
    <w:link w:val="30"/>
    <w:unhideWhenUsed/>
    <w:qFormat/>
    <w:uiPriority w:val="0"/>
    <w:pP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9061"/>
      </w:tabs>
    </w:pPr>
    <w:rPr>
      <w:rFonts w:ascii="黑体" w:hAnsi="黑体" w:eastAsia="黑体"/>
      <w:b/>
      <w:bCs/>
      <w:kern w:val="44"/>
    </w:rPr>
  </w:style>
  <w:style w:type="paragraph" w:styleId="21">
    <w:name w:val="toc 2"/>
    <w:basedOn w:val="1"/>
    <w:next w:val="1"/>
    <w:unhideWhenUsed/>
    <w:qFormat/>
    <w:uiPriority w:val="39"/>
    <w:pPr>
      <w:tabs>
        <w:tab w:val="right" w:leader="dot" w:pos="9061"/>
      </w:tabs>
      <w:ind w:left="420" w:leftChars="200"/>
    </w:pPr>
  </w:style>
  <w:style w:type="paragraph" w:styleId="22">
    <w:name w:val="Normal (Web)"/>
    <w:basedOn w:val="1"/>
    <w:qFormat/>
    <w:uiPriority w:val="0"/>
    <w:pPr>
      <w:spacing w:beforeAutospacing="1" w:afterAutospacing="1"/>
      <w:jc w:val="left"/>
    </w:pPr>
    <w:rPr>
      <w:kern w:val="0"/>
    </w:rPr>
  </w:style>
  <w:style w:type="paragraph" w:styleId="23">
    <w:name w:val="annotation subject"/>
    <w:basedOn w:val="13"/>
    <w:next w:val="13"/>
    <w:link w:val="55"/>
    <w:semiHidden/>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unhideWhenUsed/>
    <w:qFormat/>
    <w:uiPriority w:val="99"/>
    <w:rPr>
      <w:color w:val="0000FF"/>
      <w:u w:val="single"/>
    </w:rPr>
  </w:style>
  <w:style w:type="character" w:styleId="28">
    <w:name w:val="annotation reference"/>
    <w:basedOn w:val="26"/>
    <w:unhideWhenUsed/>
    <w:qFormat/>
    <w:uiPriority w:val="0"/>
    <w:rPr>
      <w:sz w:val="21"/>
      <w:szCs w:val="21"/>
    </w:rPr>
  </w:style>
  <w:style w:type="paragraph" w:customStyle="1" w:styleId="2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0">
    <w:name w:val="页眉 字符"/>
    <w:basedOn w:val="26"/>
    <w:link w:val="19"/>
    <w:qFormat/>
    <w:uiPriority w:val="0"/>
    <w:rPr>
      <w:rFonts w:ascii="Times New Roman" w:hAnsi="Times New Roman" w:eastAsia="宋体"/>
      <w:sz w:val="18"/>
      <w:szCs w:val="18"/>
    </w:rPr>
  </w:style>
  <w:style w:type="character" w:customStyle="1" w:styleId="31">
    <w:name w:val="页脚 字符"/>
    <w:basedOn w:val="26"/>
    <w:link w:val="18"/>
    <w:qFormat/>
    <w:uiPriority w:val="99"/>
    <w:rPr>
      <w:sz w:val="18"/>
      <w:szCs w:val="18"/>
    </w:rPr>
  </w:style>
  <w:style w:type="character" w:customStyle="1" w:styleId="32">
    <w:name w:val="文档结构图 字符"/>
    <w:basedOn w:val="26"/>
    <w:link w:val="12"/>
    <w:semiHidden/>
    <w:qFormat/>
    <w:uiPriority w:val="99"/>
    <w:rPr>
      <w:rFonts w:ascii="宋体" w:eastAsia="宋体"/>
      <w:sz w:val="18"/>
      <w:szCs w:val="18"/>
    </w:rPr>
  </w:style>
  <w:style w:type="paragraph" w:styleId="33">
    <w:name w:val="List Paragraph"/>
    <w:basedOn w:val="1"/>
    <w:link w:val="34"/>
    <w:qFormat/>
    <w:uiPriority w:val="34"/>
    <w:pPr>
      <w:numPr>
        <w:ilvl w:val="0"/>
        <w:numId w:val="2"/>
      </w:numPr>
    </w:pPr>
    <w:rPr>
      <w:i/>
    </w:rPr>
  </w:style>
  <w:style w:type="character" w:customStyle="1" w:styleId="34">
    <w:name w:val="列表段落 字符"/>
    <w:basedOn w:val="26"/>
    <w:link w:val="33"/>
    <w:qFormat/>
    <w:uiPriority w:val="34"/>
    <w:rPr>
      <w:rFonts w:ascii="Times New Roman" w:hAnsi="Times New Roman" w:eastAsia="宋体" w:cs="Times New Roman"/>
      <w:i/>
    </w:rPr>
  </w:style>
  <w:style w:type="paragraph" w:customStyle="1" w:styleId="35">
    <w:name w:val="条"/>
    <w:basedOn w:val="1"/>
    <w:link w:val="36"/>
    <w:qFormat/>
    <w:uiPriority w:val="0"/>
    <w:rPr>
      <w:szCs w:val="23"/>
    </w:rPr>
  </w:style>
  <w:style w:type="character" w:customStyle="1" w:styleId="36">
    <w:name w:val="条 字符"/>
    <w:basedOn w:val="26"/>
    <w:link w:val="35"/>
    <w:qFormat/>
    <w:uiPriority w:val="0"/>
    <w:rPr>
      <w:rFonts w:ascii="Times New Roman" w:hAnsi="Times New Roman" w:cs="Times New Roman"/>
      <w:szCs w:val="23"/>
    </w:rPr>
  </w:style>
  <w:style w:type="paragraph" w:customStyle="1" w:styleId="37">
    <w:name w:val="条文说明"/>
    <w:basedOn w:val="1"/>
    <w:link w:val="38"/>
    <w:qFormat/>
    <w:uiPriority w:val="0"/>
    <w:rPr>
      <w:rFonts w:ascii="楷体" w:eastAsia="楷体"/>
      <w:kern w:val="0"/>
      <w:szCs w:val="20"/>
    </w:rPr>
  </w:style>
  <w:style w:type="character" w:customStyle="1" w:styleId="38">
    <w:name w:val="条文说明 Char"/>
    <w:link w:val="37"/>
    <w:qFormat/>
    <w:uiPriority w:val="0"/>
    <w:rPr>
      <w:rFonts w:ascii="楷体" w:hAnsi="Times New Roman" w:eastAsia="楷体" w:cs="Times New Roman"/>
      <w:kern w:val="0"/>
      <w:szCs w:val="20"/>
    </w:rPr>
  </w:style>
  <w:style w:type="paragraph" w:customStyle="1" w:styleId="39">
    <w:name w:val="节"/>
    <w:basedOn w:val="1"/>
    <w:link w:val="40"/>
    <w:qFormat/>
    <w:uiPriority w:val="0"/>
    <w:pPr>
      <w:keepNext/>
      <w:keepLines/>
      <w:snapToGrid w:val="0"/>
      <w:spacing w:before="317" w:beforeLines="100" w:after="317" w:afterLines="100"/>
      <w:jc w:val="center"/>
      <w:outlineLvl w:val="1"/>
    </w:pPr>
    <w:rPr>
      <w:rFonts w:eastAsia="黑体"/>
      <w:bCs/>
      <w:kern w:val="0"/>
      <w:szCs w:val="30"/>
    </w:rPr>
  </w:style>
  <w:style w:type="character" w:customStyle="1" w:styleId="40">
    <w:name w:val="节 字符"/>
    <w:basedOn w:val="26"/>
    <w:link w:val="39"/>
    <w:qFormat/>
    <w:uiPriority w:val="0"/>
    <w:rPr>
      <w:rFonts w:ascii="Times New Roman" w:hAnsi="Times New Roman" w:eastAsia="黑体" w:cs="Times New Roman"/>
      <w:bCs/>
      <w:kern w:val="0"/>
      <w:sz w:val="24"/>
      <w:szCs w:val="30"/>
    </w:rPr>
  </w:style>
  <w:style w:type="character" w:customStyle="1" w:styleId="41">
    <w:name w:val="标题 1 字符"/>
    <w:basedOn w:val="26"/>
    <w:link w:val="2"/>
    <w:qFormat/>
    <w:uiPriority w:val="9"/>
    <w:rPr>
      <w:rFonts w:ascii="Times New Roman" w:hAnsi="Times New Roman" w:eastAsia="宋体" w:cs="Times New Roman"/>
      <w:b/>
      <w:bCs/>
      <w:kern w:val="44"/>
      <w:sz w:val="36"/>
      <w:szCs w:val="44"/>
    </w:rPr>
  </w:style>
  <w:style w:type="character" w:customStyle="1" w:styleId="42">
    <w:name w:val="标题 2 字符"/>
    <w:basedOn w:val="26"/>
    <w:link w:val="3"/>
    <w:qFormat/>
    <w:uiPriority w:val="9"/>
    <w:rPr>
      <w:rFonts w:ascii="Times New Roman" w:hAnsi="Times New Roman" w:eastAsia="宋体" w:cs="Times New Roman"/>
      <w:b/>
      <w:bCs/>
      <w:kern w:val="0"/>
      <w:sz w:val="28"/>
      <w:szCs w:val="32"/>
    </w:rPr>
  </w:style>
  <w:style w:type="character" w:customStyle="1" w:styleId="43">
    <w:name w:val="标题 3 字符"/>
    <w:basedOn w:val="26"/>
    <w:link w:val="4"/>
    <w:qFormat/>
    <w:uiPriority w:val="0"/>
    <w:rPr>
      <w:rFonts w:ascii="Times New Roman" w:hAnsi="Times New Roman" w:eastAsia="宋体" w:cs="Times New Roman"/>
      <w:b/>
      <w:bCs/>
      <w:kern w:val="0"/>
      <w:sz w:val="20"/>
      <w:szCs w:val="32"/>
    </w:rPr>
  </w:style>
  <w:style w:type="character" w:customStyle="1" w:styleId="44">
    <w:name w:val="日期 字符"/>
    <w:basedOn w:val="26"/>
    <w:link w:val="16"/>
    <w:qFormat/>
    <w:uiPriority w:val="0"/>
    <w:rPr>
      <w:rFonts w:ascii="Times New Roman" w:hAnsi="Times New Roman" w:eastAsia="宋体"/>
    </w:rPr>
  </w:style>
  <w:style w:type="paragraph" w:customStyle="1" w:styleId="45">
    <w:name w:val="款"/>
    <w:basedOn w:val="1"/>
    <w:link w:val="46"/>
    <w:qFormat/>
    <w:uiPriority w:val="0"/>
    <w:pPr>
      <w:ind w:firstLine="200" w:firstLineChars="200"/>
    </w:pPr>
    <w:rPr>
      <w:rFonts w:ascii="宋体"/>
      <w:szCs w:val="23"/>
    </w:rPr>
  </w:style>
  <w:style w:type="character" w:customStyle="1" w:styleId="46">
    <w:name w:val="款 字符"/>
    <w:basedOn w:val="26"/>
    <w:link w:val="45"/>
    <w:qFormat/>
    <w:uiPriority w:val="0"/>
    <w:rPr>
      <w:rFonts w:ascii="宋体" w:hAnsi="Times New Roman" w:cs="Times New Roman"/>
      <w:szCs w:val="23"/>
    </w:rPr>
  </w:style>
  <w:style w:type="paragraph" w:customStyle="1" w:styleId="47">
    <w:name w:val="表格"/>
    <w:basedOn w:val="1"/>
    <w:link w:val="52"/>
    <w:qFormat/>
    <w:uiPriority w:val="0"/>
    <w:pPr>
      <w:snapToGrid w:val="0"/>
      <w:spacing w:line="400" w:lineRule="exact"/>
      <w:jc w:val="center"/>
    </w:pPr>
    <w:rPr>
      <w:rFonts w:eastAsia="黑体"/>
      <w:sz w:val="18"/>
      <w:szCs w:val="20"/>
    </w:rPr>
  </w:style>
  <w:style w:type="character" w:styleId="48">
    <w:name w:val="Placeholder Text"/>
    <w:basedOn w:val="26"/>
    <w:semiHidden/>
    <w:qFormat/>
    <w:uiPriority w:val="99"/>
    <w:rPr>
      <w:color w:val="808080"/>
    </w:rPr>
  </w:style>
  <w:style w:type="paragraph" w:customStyle="1" w:styleId="49">
    <w:name w:val="TOC 标题1"/>
    <w:basedOn w:val="2"/>
    <w:next w:val="1"/>
    <w:unhideWhenUsed/>
    <w:qFormat/>
    <w:uiPriority w:val="39"/>
    <w:pPr>
      <w:widowControl/>
      <w:numPr>
        <w:numId w:val="0"/>
      </w:numPr>
      <w:spacing w:before="240" w:after="0" w:line="259" w:lineRule="auto"/>
      <w:jc w:val="left"/>
      <w:outlineLvl w:val="9"/>
    </w:pPr>
    <w:rPr>
      <w:rFonts w:ascii="Cambria" w:hAnsi="Cambria"/>
      <w:b w:val="0"/>
      <w:bCs w:val="0"/>
      <w:color w:val="366091"/>
      <w:kern w:val="0"/>
      <w:sz w:val="32"/>
      <w:szCs w:val="32"/>
    </w:rPr>
  </w:style>
  <w:style w:type="character" w:customStyle="1" w:styleId="50">
    <w:name w:val="MTEquationSection"/>
    <w:basedOn w:val="26"/>
    <w:qFormat/>
    <w:uiPriority w:val="0"/>
    <w:rPr>
      <w:b/>
      <w:vanish/>
      <w:color w:val="FF0000"/>
      <w:sz w:val="32"/>
      <w:szCs w:val="36"/>
    </w:rPr>
  </w:style>
  <w:style w:type="paragraph" w:customStyle="1" w:styleId="51">
    <w:name w:val="图"/>
    <w:basedOn w:val="47"/>
    <w:link w:val="53"/>
    <w:qFormat/>
    <w:uiPriority w:val="0"/>
    <w:pPr>
      <w:spacing w:line="240" w:lineRule="auto"/>
    </w:pPr>
    <w:rPr>
      <w:rFonts w:ascii="宋体" w:eastAsia="宋体"/>
      <w:color w:val="000000"/>
    </w:rPr>
  </w:style>
  <w:style w:type="character" w:customStyle="1" w:styleId="52">
    <w:name w:val="表格 字符"/>
    <w:basedOn w:val="26"/>
    <w:link w:val="47"/>
    <w:qFormat/>
    <w:uiPriority w:val="0"/>
    <w:rPr>
      <w:rFonts w:ascii="Times New Roman" w:hAnsi="Times New Roman" w:eastAsia="黑体" w:cs="Times New Roman"/>
      <w:sz w:val="18"/>
      <w:szCs w:val="20"/>
    </w:rPr>
  </w:style>
  <w:style w:type="character" w:customStyle="1" w:styleId="53">
    <w:name w:val="图 字符"/>
    <w:basedOn w:val="52"/>
    <w:link w:val="51"/>
    <w:qFormat/>
    <w:uiPriority w:val="0"/>
    <w:rPr>
      <w:rFonts w:ascii="宋体" w:hAnsi="Times New Roman" w:eastAsia="宋体" w:cs="Times New Roman"/>
      <w:color w:val="000000"/>
      <w:sz w:val="18"/>
      <w:szCs w:val="20"/>
    </w:rPr>
  </w:style>
  <w:style w:type="character" w:customStyle="1" w:styleId="54">
    <w:name w:val="批注文字 字符"/>
    <w:basedOn w:val="26"/>
    <w:link w:val="13"/>
    <w:qFormat/>
    <w:uiPriority w:val="0"/>
    <w:rPr>
      <w:rFonts w:ascii="Times New Roman" w:hAnsi="Times New Roman" w:eastAsia="宋体"/>
    </w:rPr>
  </w:style>
  <w:style w:type="character" w:customStyle="1" w:styleId="55">
    <w:name w:val="批注主题 字符"/>
    <w:basedOn w:val="54"/>
    <w:link w:val="23"/>
    <w:semiHidden/>
    <w:qFormat/>
    <w:uiPriority w:val="99"/>
    <w:rPr>
      <w:rFonts w:ascii="Times New Roman" w:hAnsi="Times New Roman" w:eastAsia="宋体"/>
      <w:b/>
      <w:bCs/>
    </w:rPr>
  </w:style>
  <w:style w:type="character" w:customStyle="1" w:styleId="56">
    <w:name w:val="批注框文本 字符"/>
    <w:basedOn w:val="26"/>
    <w:link w:val="17"/>
    <w:semiHidden/>
    <w:qFormat/>
    <w:uiPriority w:val="99"/>
    <w:rPr>
      <w:rFonts w:ascii="Times New Roman" w:hAnsi="Times New Roman" w:eastAsia="宋体"/>
      <w:sz w:val="18"/>
      <w:szCs w:val="18"/>
    </w:rPr>
  </w:style>
  <w:style w:type="paragraph" w:customStyle="1" w:styleId="57">
    <w:name w:val="段落文字"/>
    <w:basedOn w:val="1"/>
    <w:link w:val="58"/>
    <w:qFormat/>
    <w:uiPriority w:val="0"/>
    <w:pPr>
      <w:tabs>
        <w:tab w:val="left" w:pos="900"/>
      </w:tabs>
      <w:spacing w:line="400" w:lineRule="exact"/>
      <w:ind w:firstLine="480" w:firstLineChars="200"/>
    </w:pPr>
    <w:rPr>
      <w:szCs w:val="24"/>
    </w:rPr>
  </w:style>
  <w:style w:type="character" w:customStyle="1" w:styleId="58">
    <w:name w:val="段落文字 Char"/>
    <w:link w:val="57"/>
    <w:qFormat/>
    <w:uiPriority w:val="0"/>
    <w:rPr>
      <w:rFonts w:ascii="Times New Roman" w:hAnsi="Times New Roman" w:eastAsia="宋体" w:cs="Times New Roman"/>
      <w:sz w:val="24"/>
      <w:szCs w:val="24"/>
    </w:rPr>
  </w:style>
  <w:style w:type="paragraph" w:customStyle="1" w:styleId="59">
    <w:name w:val="注"/>
    <w:basedOn w:val="1"/>
    <w:link w:val="60"/>
    <w:qFormat/>
    <w:uiPriority w:val="0"/>
    <w:pPr>
      <w:ind w:firstLine="200" w:firstLineChars="200"/>
    </w:pPr>
    <w:rPr>
      <w:rFonts w:ascii="宋体"/>
      <w:sz w:val="15"/>
      <w:szCs w:val="23"/>
    </w:rPr>
  </w:style>
  <w:style w:type="character" w:customStyle="1" w:styleId="60">
    <w:name w:val="注 字符"/>
    <w:basedOn w:val="26"/>
    <w:link w:val="59"/>
    <w:qFormat/>
    <w:uiPriority w:val="0"/>
    <w:rPr>
      <w:rFonts w:ascii="宋体" w:hAnsi="Times New Roman" w:cs="Times New Roman"/>
      <w:sz w:val="15"/>
      <w:szCs w:val="23"/>
    </w:rPr>
  </w:style>
  <w:style w:type="paragraph" w:customStyle="1" w:styleId="61">
    <w:name w:val="修订1"/>
    <w:hidden/>
    <w:semiHidden/>
    <w:qFormat/>
    <w:uiPriority w:val="99"/>
    <w:rPr>
      <w:rFonts w:ascii="Times New Roman" w:hAnsi="Times New Roman" w:eastAsia="宋体" w:cs="Times New Roman"/>
      <w:kern w:val="2"/>
      <w:sz w:val="21"/>
      <w:szCs w:val="22"/>
      <w:lang w:val="en-US" w:eastAsia="zh-CN" w:bidi="ar-SA"/>
    </w:rPr>
  </w:style>
  <w:style w:type="character" w:customStyle="1" w:styleId="62">
    <w:name w:val="font61"/>
    <w:basedOn w:val="26"/>
    <w:qFormat/>
    <w:uiPriority w:val="0"/>
    <w:rPr>
      <w:rFonts w:hint="default" w:ascii="Times New Roman" w:hAnsi="Times New Roman" w:cs="Times New Roman"/>
      <w:i/>
      <w:iCs/>
      <w:color w:val="000000"/>
      <w:sz w:val="18"/>
      <w:szCs w:val="18"/>
      <w:u w:val="none"/>
    </w:rPr>
  </w:style>
  <w:style w:type="character" w:customStyle="1" w:styleId="63">
    <w:name w:val="font21"/>
    <w:basedOn w:val="26"/>
    <w:qFormat/>
    <w:uiPriority w:val="0"/>
    <w:rPr>
      <w:rFonts w:hint="default" w:ascii="Times New Roman" w:hAnsi="Times New Roman" w:cs="Times New Roman"/>
      <w:color w:val="000000"/>
      <w:sz w:val="11"/>
      <w:szCs w:val="11"/>
      <w:u w:val="none"/>
    </w:rPr>
  </w:style>
  <w:style w:type="character" w:customStyle="1" w:styleId="64">
    <w:name w:val="font11"/>
    <w:basedOn w:val="26"/>
    <w:qFormat/>
    <w:uiPriority w:val="0"/>
    <w:rPr>
      <w:rFonts w:hint="eastAsia" w:ascii="宋体" w:hAnsi="宋体" w:eastAsia="宋体" w:cs="宋体"/>
      <w:color w:val="000000"/>
      <w:sz w:val="18"/>
      <w:szCs w:val="18"/>
      <w:u w:val="none"/>
    </w:rPr>
  </w:style>
  <w:style w:type="character" w:customStyle="1" w:styleId="65">
    <w:name w:val="font31"/>
    <w:basedOn w:val="26"/>
    <w:qFormat/>
    <w:uiPriority w:val="0"/>
    <w:rPr>
      <w:rFonts w:hint="default" w:ascii="Times New Roman" w:hAnsi="Times New Roman" w:cs="Times New Roman"/>
      <w:color w:val="000000"/>
      <w:sz w:val="18"/>
      <w:szCs w:val="18"/>
      <w:u w:val="none"/>
    </w:rPr>
  </w:style>
  <w:style w:type="character" w:customStyle="1" w:styleId="66">
    <w:name w:val="font91"/>
    <w:basedOn w:val="26"/>
    <w:qFormat/>
    <w:uiPriority w:val="0"/>
    <w:rPr>
      <w:rFonts w:hint="default" w:ascii="Times New Roman" w:hAnsi="Times New Roman" w:cs="Times New Roman"/>
      <w:i/>
      <w:iCs/>
      <w:color w:val="000000"/>
      <w:sz w:val="20"/>
      <w:szCs w:val="20"/>
      <w:u w:val="none"/>
    </w:rPr>
  </w:style>
  <w:style w:type="character" w:customStyle="1" w:styleId="67">
    <w:name w:val="font101"/>
    <w:basedOn w:val="26"/>
    <w:qFormat/>
    <w:uiPriority w:val="0"/>
    <w:rPr>
      <w:rFonts w:hint="default" w:ascii="Times New Roman" w:hAnsi="Times New Roman" w:cs="Times New Roman"/>
      <w:i/>
      <w:iCs/>
      <w:color w:val="000000"/>
      <w:sz w:val="14"/>
      <w:szCs w:val="14"/>
      <w:u w:val="none"/>
    </w:rPr>
  </w:style>
  <w:style w:type="character" w:customStyle="1" w:styleId="68">
    <w:name w:val="条、款的编号 Char"/>
    <w:link w:val="69"/>
    <w:qFormat/>
    <w:uiPriority w:val="0"/>
    <w:rPr>
      <w:rFonts w:ascii="黑体" w:hAnsi="宋体" w:eastAsia="黑体"/>
      <w:b/>
      <w:color w:val="000000"/>
      <w:szCs w:val="21"/>
    </w:rPr>
  </w:style>
  <w:style w:type="paragraph" w:customStyle="1" w:styleId="69">
    <w:name w:val="条、款的编号"/>
    <w:basedOn w:val="1"/>
    <w:link w:val="68"/>
    <w:qFormat/>
    <w:uiPriority w:val="0"/>
    <w:pPr>
      <w:tabs>
        <w:tab w:val="left" w:pos="540"/>
        <w:tab w:val="left" w:pos="720"/>
        <w:tab w:val="left" w:pos="900"/>
        <w:tab w:val="left" w:pos="1080"/>
      </w:tabs>
      <w:snapToGrid w:val="0"/>
      <w:spacing w:line="288" w:lineRule="auto"/>
    </w:pPr>
    <w:rPr>
      <w:rFonts w:ascii="黑体" w:hAnsi="宋体" w:eastAsia="黑体"/>
      <w:b/>
      <w:color w:val="000000"/>
      <w:szCs w:val="21"/>
    </w:rPr>
  </w:style>
  <w:style w:type="paragraph" w:customStyle="1" w:styleId="70">
    <w:name w:val="标准（正文）"/>
    <w:basedOn w:val="1"/>
    <w:qFormat/>
    <w:uiPriority w:val="0"/>
    <w:rPr>
      <w:rFonts w:ascii="宋体" w:hAnsi="宋体"/>
      <w:color w:val="000000"/>
      <w:szCs w:val="21"/>
    </w:rPr>
  </w:style>
  <w:style w:type="paragraph" w:customStyle="1" w:styleId="71">
    <w:name w:val="修订2"/>
    <w:hidden/>
    <w:semiHidden/>
    <w:qFormat/>
    <w:uiPriority w:val="99"/>
    <w:rPr>
      <w:rFonts w:ascii="Times New Roman" w:hAnsi="Times New Roman" w:eastAsia="宋体" w:cs="Times New Roman"/>
      <w:kern w:val="2"/>
      <w:sz w:val="24"/>
      <w:szCs w:val="22"/>
      <w:lang w:val="en-US" w:eastAsia="zh-CN" w:bidi="ar-SA"/>
    </w:rPr>
  </w:style>
  <w:style w:type="paragraph" w:customStyle="1" w:styleId="72">
    <w:name w:val="修订3"/>
    <w:hidden/>
    <w:semiHidden/>
    <w:qFormat/>
    <w:uiPriority w:val="99"/>
    <w:rPr>
      <w:rFonts w:ascii="Times New Roman" w:hAnsi="Times New Roman" w:eastAsia="宋体" w:cs="Times New Roman"/>
      <w:kern w:val="2"/>
      <w:sz w:val="24"/>
      <w:szCs w:val="22"/>
      <w:lang w:val="en-US" w:eastAsia="zh-CN" w:bidi="ar-SA"/>
    </w:rPr>
  </w:style>
  <w:style w:type="table" w:customStyle="1" w:styleId="73">
    <w:name w:val="网格型1"/>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4">
    <w:name w:val="fontstyle01"/>
    <w:basedOn w:val="26"/>
    <w:qFormat/>
    <w:uiPriority w:val="0"/>
    <w:rPr>
      <w:rFonts w:hint="eastAsia" w:ascii="宋体" w:hAnsi="宋体" w:eastAsia="宋体"/>
      <w:color w:val="000000"/>
      <w:sz w:val="20"/>
      <w:szCs w:val="20"/>
    </w:rPr>
  </w:style>
  <w:style w:type="character" w:customStyle="1" w:styleId="75">
    <w:name w:val="Char Style 27"/>
    <w:basedOn w:val="26"/>
    <w:link w:val="76"/>
    <w:qFormat/>
    <w:uiPriority w:val="0"/>
    <w:rPr>
      <w:rFonts w:ascii="宋体" w:hAnsi="宋体" w:eastAsia="宋体" w:cs="宋体"/>
      <w:sz w:val="30"/>
      <w:szCs w:val="30"/>
      <w:u w:val="none"/>
      <w:lang w:val="zh-CN" w:eastAsia="zh-CN" w:bidi="zh-CN"/>
    </w:rPr>
  </w:style>
  <w:style w:type="paragraph" w:customStyle="1" w:styleId="76">
    <w:name w:val="Style 26"/>
    <w:link w:val="75"/>
    <w:qFormat/>
    <w:uiPriority w:val="0"/>
    <w:pPr>
      <w:widowControl w:val="0"/>
      <w:spacing w:line="329" w:lineRule="auto"/>
    </w:pPr>
    <w:rPr>
      <w:rFonts w:ascii="宋体" w:hAnsi="宋体" w:eastAsia="宋体" w:cs="宋体"/>
      <w:sz w:val="30"/>
      <w:szCs w:val="30"/>
      <w:lang w:val="zh-CN" w:eastAsia="zh-CN" w:bidi="zh-CN"/>
    </w:rPr>
  </w:style>
  <w:style w:type="paragraph" w:customStyle="1" w:styleId="77">
    <w:name w:val="Style 4"/>
    <w:basedOn w:val="1"/>
    <w:link w:val="78"/>
    <w:qFormat/>
    <w:uiPriority w:val="0"/>
    <w:pPr>
      <w:spacing w:line="329" w:lineRule="auto"/>
    </w:pPr>
    <w:rPr>
      <w:rFonts w:ascii="宋体" w:hAnsi="宋体" w:cs="宋体"/>
      <w:sz w:val="30"/>
      <w:szCs w:val="30"/>
      <w:lang w:val="zh-CN" w:bidi="zh-CN"/>
    </w:rPr>
  </w:style>
  <w:style w:type="character" w:customStyle="1" w:styleId="78">
    <w:name w:val="Char Style 5"/>
    <w:basedOn w:val="26"/>
    <w:link w:val="77"/>
    <w:qFormat/>
    <w:uiPriority w:val="0"/>
    <w:rPr>
      <w:rFonts w:ascii="宋体" w:hAnsi="宋体" w:eastAsia="宋体" w:cs="宋体"/>
      <w:sz w:val="30"/>
      <w:szCs w:val="30"/>
      <w:u w:val="none"/>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2.bin"/><Relationship Id="rId98" Type="http://schemas.openxmlformats.org/officeDocument/2006/relationships/image" Target="media/image31.wmf"/><Relationship Id="rId97" Type="http://schemas.openxmlformats.org/officeDocument/2006/relationships/oleObject" Target="embeddings/oleObject21.bin"/><Relationship Id="rId96" Type="http://schemas.openxmlformats.org/officeDocument/2006/relationships/image" Target="media/image30.png"/><Relationship Id="rId95" Type="http://schemas.openxmlformats.org/officeDocument/2006/relationships/image" Target="media/image29.png"/><Relationship Id="rId94" Type="http://schemas.openxmlformats.org/officeDocument/2006/relationships/image" Target="media/image28.wmf"/><Relationship Id="rId93" Type="http://schemas.openxmlformats.org/officeDocument/2006/relationships/oleObject" Target="embeddings/oleObject20.bin"/><Relationship Id="rId92" Type="http://schemas.openxmlformats.org/officeDocument/2006/relationships/image" Target="media/image27.wmf"/><Relationship Id="rId91" Type="http://schemas.openxmlformats.org/officeDocument/2006/relationships/oleObject" Target="embeddings/oleObject19.bin"/><Relationship Id="rId90" Type="http://schemas.openxmlformats.org/officeDocument/2006/relationships/image" Target="media/image26.wmf"/><Relationship Id="rId9" Type="http://schemas.openxmlformats.org/officeDocument/2006/relationships/footer" Target="footer3.xml"/><Relationship Id="rId89" Type="http://schemas.openxmlformats.org/officeDocument/2006/relationships/oleObject" Target="embeddings/oleObject18.bin"/><Relationship Id="rId88" Type="http://schemas.openxmlformats.org/officeDocument/2006/relationships/image" Target="media/image25.wmf"/><Relationship Id="rId87" Type="http://schemas.openxmlformats.org/officeDocument/2006/relationships/oleObject" Target="embeddings/oleObject17.bin"/><Relationship Id="rId86" Type="http://schemas.openxmlformats.org/officeDocument/2006/relationships/image" Target="media/image24.wmf"/><Relationship Id="rId85" Type="http://schemas.openxmlformats.org/officeDocument/2006/relationships/oleObject" Target="embeddings/oleObject16.bin"/><Relationship Id="rId84" Type="http://schemas.openxmlformats.org/officeDocument/2006/relationships/image" Target="media/image23.wmf"/><Relationship Id="rId83" Type="http://schemas.openxmlformats.org/officeDocument/2006/relationships/oleObject" Target="embeddings/oleObject15.bin"/><Relationship Id="rId82" Type="http://schemas.openxmlformats.org/officeDocument/2006/relationships/image" Target="media/image22.png"/><Relationship Id="rId81" Type="http://schemas.openxmlformats.org/officeDocument/2006/relationships/image" Target="media/image21.png"/><Relationship Id="rId80" Type="http://schemas.openxmlformats.org/officeDocument/2006/relationships/image" Target="media/image20.png"/><Relationship Id="rId8" Type="http://schemas.openxmlformats.org/officeDocument/2006/relationships/footer" Target="footer2.xml"/><Relationship Id="rId79" Type="http://schemas.openxmlformats.org/officeDocument/2006/relationships/image" Target="media/image19.png"/><Relationship Id="rId78" Type="http://schemas.openxmlformats.org/officeDocument/2006/relationships/image" Target="media/image18.png"/><Relationship Id="rId77" Type="http://schemas.openxmlformats.org/officeDocument/2006/relationships/image" Target="media/image17.png"/><Relationship Id="rId76" Type="http://schemas.openxmlformats.org/officeDocument/2006/relationships/image" Target="media/image16.png"/><Relationship Id="rId75" Type="http://schemas.openxmlformats.org/officeDocument/2006/relationships/oleObject" Target="embeddings/oleObject14.bin"/><Relationship Id="rId74" Type="http://schemas.openxmlformats.org/officeDocument/2006/relationships/oleObject" Target="embeddings/oleObject13.bin"/><Relationship Id="rId73" Type="http://schemas.openxmlformats.org/officeDocument/2006/relationships/image" Target="media/image15.wmf"/><Relationship Id="rId72" Type="http://schemas.openxmlformats.org/officeDocument/2006/relationships/oleObject" Target="embeddings/oleObject12.bin"/><Relationship Id="rId71" Type="http://schemas.openxmlformats.org/officeDocument/2006/relationships/oleObject" Target="embeddings/oleObject11.bin"/><Relationship Id="rId70" Type="http://schemas.openxmlformats.org/officeDocument/2006/relationships/oleObject" Target="embeddings/oleObject10.bin"/><Relationship Id="rId7" Type="http://schemas.openxmlformats.org/officeDocument/2006/relationships/footer" Target="footer1.xml"/><Relationship Id="rId69" Type="http://schemas.openxmlformats.org/officeDocument/2006/relationships/image" Target="media/image14.wmf"/><Relationship Id="rId68" Type="http://schemas.openxmlformats.org/officeDocument/2006/relationships/oleObject" Target="embeddings/oleObject9.bin"/><Relationship Id="rId67" Type="http://schemas.openxmlformats.org/officeDocument/2006/relationships/image" Target="media/image13.wmf"/><Relationship Id="rId66" Type="http://schemas.openxmlformats.org/officeDocument/2006/relationships/oleObject" Target="embeddings/oleObject8.bin"/><Relationship Id="rId65" Type="http://schemas.openxmlformats.org/officeDocument/2006/relationships/image" Target="media/image12.png"/><Relationship Id="rId64" Type="http://schemas.openxmlformats.org/officeDocument/2006/relationships/image" Target="media/image11.wmf"/><Relationship Id="rId63" Type="http://schemas.openxmlformats.org/officeDocument/2006/relationships/oleObject" Target="embeddings/oleObject7.bin"/><Relationship Id="rId62" Type="http://schemas.openxmlformats.org/officeDocument/2006/relationships/image" Target="media/image10.png"/><Relationship Id="rId61" Type="http://schemas.openxmlformats.org/officeDocument/2006/relationships/image" Target="media/image9.wmf"/><Relationship Id="rId60" Type="http://schemas.openxmlformats.org/officeDocument/2006/relationships/oleObject" Target="embeddings/oleObject6.bin"/><Relationship Id="rId6" Type="http://schemas.openxmlformats.org/officeDocument/2006/relationships/header" Target="header2.xml"/><Relationship Id="rId59" Type="http://schemas.openxmlformats.org/officeDocument/2006/relationships/image" Target="media/image8.png"/><Relationship Id="rId58" Type="http://schemas.openxmlformats.org/officeDocument/2006/relationships/image" Target="media/image7.wmf"/><Relationship Id="rId57" Type="http://schemas.openxmlformats.org/officeDocument/2006/relationships/oleObject" Target="embeddings/oleObject5.bin"/><Relationship Id="rId56" Type="http://schemas.openxmlformats.org/officeDocument/2006/relationships/image" Target="media/image6.png"/><Relationship Id="rId55" Type="http://schemas.openxmlformats.org/officeDocument/2006/relationships/image" Target="media/image5.wmf"/><Relationship Id="rId54" Type="http://schemas.openxmlformats.org/officeDocument/2006/relationships/oleObject" Target="embeddings/oleObject4.bin"/><Relationship Id="rId53" Type="http://schemas.openxmlformats.org/officeDocument/2006/relationships/image" Target="media/image4.wmf"/><Relationship Id="rId52" Type="http://schemas.openxmlformats.org/officeDocument/2006/relationships/oleObject" Target="embeddings/oleObject3.bin"/><Relationship Id="rId51" Type="http://schemas.openxmlformats.org/officeDocument/2006/relationships/image" Target="media/image3.wmf"/><Relationship Id="rId50" Type="http://schemas.openxmlformats.org/officeDocument/2006/relationships/oleObject" Target="embeddings/oleObject2.bin"/><Relationship Id="rId5" Type="http://schemas.openxmlformats.org/officeDocument/2006/relationships/header" Target="header1.xml"/><Relationship Id="rId49" Type="http://schemas.openxmlformats.org/officeDocument/2006/relationships/image" Target="media/image2.wmf"/><Relationship Id="rId48" Type="http://schemas.openxmlformats.org/officeDocument/2006/relationships/oleObject" Target="embeddings/oleObject1.bin"/><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header" Target="header32.xml"/><Relationship Id="rId44" Type="http://schemas.openxmlformats.org/officeDocument/2006/relationships/header" Target="header31.xml"/><Relationship Id="rId43" Type="http://schemas.openxmlformats.org/officeDocument/2006/relationships/header" Target="header30.xml"/><Relationship Id="rId42" Type="http://schemas.openxmlformats.org/officeDocument/2006/relationships/header" Target="header29.xml"/><Relationship Id="rId41" Type="http://schemas.openxmlformats.org/officeDocument/2006/relationships/header" Target="header28.xml"/><Relationship Id="rId40" Type="http://schemas.openxmlformats.org/officeDocument/2006/relationships/header" Target="header27.xml"/><Relationship Id="rId4" Type="http://schemas.openxmlformats.org/officeDocument/2006/relationships/endnotes" Target="endnotes.xml"/><Relationship Id="rId39" Type="http://schemas.openxmlformats.org/officeDocument/2006/relationships/header" Target="header26.xml"/><Relationship Id="rId38" Type="http://schemas.openxmlformats.org/officeDocument/2006/relationships/header" Target="header25.xml"/><Relationship Id="rId37" Type="http://schemas.openxmlformats.org/officeDocument/2006/relationships/header" Target="header24.xml"/><Relationship Id="rId36" Type="http://schemas.openxmlformats.org/officeDocument/2006/relationships/header" Target="header23.xml"/><Relationship Id="rId35" Type="http://schemas.openxmlformats.org/officeDocument/2006/relationships/header" Target="header22.xml"/><Relationship Id="rId34" Type="http://schemas.openxmlformats.org/officeDocument/2006/relationships/header" Target="header21.xml"/><Relationship Id="rId33" Type="http://schemas.openxmlformats.org/officeDocument/2006/relationships/header" Target="header20.xml"/><Relationship Id="rId32" Type="http://schemas.openxmlformats.org/officeDocument/2006/relationships/header" Target="header19.xml"/><Relationship Id="rId31" Type="http://schemas.openxmlformats.org/officeDocument/2006/relationships/header" Target="header18.xml"/><Relationship Id="rId30" Type="http://schemas.openxmlformats.org/officeDocument/2006/relationships/footer" Target="footer9.xml"/><Relationship Id="rId3" Type="http://schemas.openxmlformats.org/officeDocument/2006/relationships/footnotes" Target="footnotes.xml"/><Relationship Id="rId29" Type="http://schemas.openxmlformats.org/officeDocument/2006/relationships/header" Target="header17.xml"/><Relationship Id="rId28" Type="http://schemas.openxmlformats.org/officeDocument/2006/relationships/header" Target="header16.xml"/><Relationship Id="rId27" Type="http://schemas.openxmlformats.org/officeDocument/2006/relationships/header" Target="header15.xml"/><Relationship Id="rId26" Type="http://schemas.openxmlformats.org/officeDocument/2006/relationships/footer" Target="footer8.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footer" Target="footer7.xml"/><Relationship Id="rId21" Type="http://schemas.openxmlformats.org/officeDocument/2006/relationships/footer" Target="footer6.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0" Type="http://schemas.openxmlformats.org/officeDocument/2006/relationships/fontTable" Target="fontTable.xml"/><Relationship Id="rId12" Type="http://schemas.openxmlformats.org/officeDocument/2006/relationships/header" Target="header5.xml"/><Relationship Id="rId119" Type="http://schemas.openxmlformats.org/officeDocument/2006/relationships/customXml" Target="../customXml/item2.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40.wmf"/><Relationship Id="rId115" Type="http://schemas.openxmlformats.org/officeDocument/2006/relationships/oleObject" Target="embeddings/oleObject30.bin"/><Relationship Id="rId114" Type="http://schemas.openxmlformats.org/officeDocument/2006/relationships/image" Target="media/image39.png"/><Relationship Id="rId113" Type="http://schemas.openxmlformats.org/officeDocument/2006/relationships/image" Target="media/image38.png"/><Relationship Id="rId112" Type="http://schemas.openxmlformats.org/officeDocument/2006/relationships/image" Target="media/image37.wmf"/><Relationship Id="rId111" Type="http://schemas.openxmlformats.org/officeDocument/2006/relationships/oleObject" Target="embeddings/oleObject29.bin"/><Relationship Id="rId110" Type="http://schemas.openxmlformats.org/officeDocument/2006/relationships/image" Target="media/image36.wmf"/><Relationship Id="rId11" Type="http://schemas.openxmlformats.org/officeDocument/2006/relationships/header" Target="header4.xml"/><Relationship Id="rId109" Type="http://schemas.openxmlformats.org/officeDocument/2006/relationships/oleObject" Target="embeddings/oleObject28.bin"/><Relationship Id="rId108" Type="http://schemas.openxmlformats.org/officeDocument/2006/relationships/oleObject" Target="embeddings/oleObject27.bin"/><Relationship Id="rId107" Type="http://schemas.openxmlformats.org/officeDocument/2006/relationships/oleObject" Target="embeddings/oleObject26.bin"/><Relationship Id="rId106" Type="http://schemas.openxmlformats.org/officeDocument/2006/relationships/image" Target="media/image35.wmf"/><Relationship Id="rId105" Type="http://schemas.openxmlformats.org/officeDocument/2006/relationships/oleObject" Target="embeddings/oleObject25.bin"/><Relationship Id="rId104" Type="http://schemas.openxmlformats.org/officeDocument/2006/relationships/image" Target="media/image34.wmf"/><Relationship Id="rId103" Type="http://schemas.openxmlformats.org/officeDocument/2006/relationships/oleObject" Target="embeddings/oleObject24.bin"/><Relationship Id="rId102" Type="http://schemas.openxmlformats.org/officeDocument/2006/relationships/image" Target="media/image33.wmf"/><Relationship Id="rId101" Type="http://schemas.openxmlformats.org/officeDocument/2006/relationships/oleObject" Target="embeddings/oleObject23.bin"/><Relationship Id="rId100" Type="http://schemas.openxmlformats.org/officeDocument/2006/relationships/image" Target="media/image32.wmf"/><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ABDE6C-9F0F-46DB-82DE-BEE963E04EFE}">
  <ds:schemaRefs/>
</ds:datastoreItem>
</file>

<file path=docProps/app.xml><?xml version="1.0" encoding="utf-8"?>
<Properties xmlns="http://schemas.openxmlformats.org/officeDocument/2006/extended-properties" xmlns:vt="http://schemas.openxmlformats.org/officeDocument/2006/docPropsVTypes">
  <Template>Normal</Template>
  <Pages>55</Pages>
  <Words>22717</Words>
  <Characters>25542</Characters>
  <Lines>227</Lines>
  <Paragraphs>64</Paragraphs>
  <TotalTime>10</TotalTime>
  <ScaleCrop>false</ScaleCrop>
  <LinksUpToDate>false</LinksUpToDate>
  <CharactersWithSpaces>29950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2023-07-17T01:37:00Z</dcterms:created>
  <dc:creator>huangcw1337</dc:creator>
  <cp:lastModifiedBy>Administrator</cp:lastModifiedBy>
  <cp:lastPrinted>2023-02-21T02:11:00Z</cp:lastPrinted>
  <dcterms:modified xsi:type="dcterms:W3CDTF">2023-07-31T08:25:13Z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KSOProductBuildVer">
    <vt:lpwstr>2052-11.1.0.14309</vt:lpwstr>
  </property>
  <property fmtid="{D5CDD505-2E9C-101B-9397-08002B2CF9AE}" pid="6" name="ICV">
    <vt:lpwstr>692252858CE1457DBF00F92C8A2A43FA</vt:lpwstr>
  </property>
</Properties>
</file>