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60"/>
        </w:tabs>
        <w:spacing w:line="360" w:lineRule="auto"/>
        <w:ind w:right="62"/>
        <w:rPr>
          <w:rFonts w:eastAsia="黑体"/>
          <w:b/>
          <w:i/>
          <w:color w:val="000000" w:themeColor="text1"/>
          <w:sz w:val="56"/>
          <w:szCs w:val="32"/>
          <w14:textFill>
            <w14:solidFill>
              <w14:schemeClr w14:val="tx1"/>
            </w14:solidFill>
          </w14:textFill>
        </w:rPr>
      </w:pPr>
      <w:bookmarkStart w:id="0" w:name="_Hlk141736473"/>
      <w:bookmarkEnd w:id="0"/>
      <w:bookmarkStart w:id="1" w:name="_Hlk512244031"/>
    </w:p>
    <w:p>
      <w:pPr>
        <w:tabs>
          <w:tab w:val="left" w:pos="6660"/>
        </w:tabs>
        <w:spacing w:line="360" w:lineRule="auto"/>
        <w:ind w:right="62"/>
        <w:rPr>
          <w:rFonts w:eastAsia="黑体"/>
          <w:b/>
          <w:i/>
          <w:color w:val="000000" w:themeColor="text1"/>
          <w:sz w:val="56"/>
          <w:szCs w:val="32"/>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drawing>
          <wp:anchor distT="0" distB="0" distL="114300" distR="114300" simplePos="0" relativeHeight="251664384" behindDoc="0" locked="0" layoutInCell="1" allowOverlap="1">
            <wp:simplePos x="0" y="0"/>
            <wp:positionH relativeFrom="column">
              <wp:posOffset>0</wp:posOffset>
            </wp:positionH>
            <wp:positionV relativeFrom="paragraph">
              <wp:posOffset>38100</wp:posOffset>
            </wp:positionV>
            <wp:extent cx="1737995" cy="1149350"/>
            <wp:effectExtent l="0" t="0" r="14605" b="1270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r>
        <w:rPr>
          <w:rFonts w:eastAsia="黑体"/>
          <w:b/>
          <w:i/>
          <w:color w:val="000000" w:themeColor="text1"/>
          <w:sz w:val="56"/>
          <w:szCs w:val="32"/>
          <w14:textFill>
            <w14:solidFill>
              <w14:schemeClr w14:val="tx1"/>
            </w14:solidFill>
          </w14:textFill>
        </w:rPr>
        <w:t>CECS</w:t>
      </w:r>
    </w:p>
    <w:p>
      <w:pPr>
        <w:spacing w:after="0" w:line="240" w:lineRule="auto"/>
        <w:jc w:val="right"/>
        <w:rPr>
          <w:color w:val="auto"/>
          <w:kern w:val="2"/>
          <w:sz w:val="32"/>
          <w:szCs w:val="32"/>
        </w:rPr>
      </w:pPr>
      <w:r>
        <w:rPr>
          <w:b/>
          <w:bCs/>
          <w:color w:val="auto"/>
          <w:kern w:val="2"/>
          <w:sz w:val="36"/>
          <w:szCs w:val="36"/>
        </w:rPr>
        <w:t xml:space="preserve">T/CECS </w:t>
      </w:r>
      <w:r>
        <w:rPr>
          <w:rFonts w:hint="eastAsia" w:ascii="宋体" w:hAnsi="宋体" w:cs="宋体"/>
          <w:b/>
          <w:color w:val="auto"/>
          <w:kern w:val="2"/>
          <w:sz w:val="36"/>
          <w:szCs w:val="36"/>
        </w:rPr>
        <w:t>×××</w:t>
      </w:r>
      <w:r>
        <w:rPr>
          <w:color w:val="auto"/>
          <w:kern w:val="2"/>
          <w:sz w:val="36"/>
          <w:szCs w:val="36"/>
        </w:rPr>
        <w:t>- 20</w:t>
      </w:r>
      <w:r>
        <w:rPr>
          <w:rFonts w:hint="eastAsia" w:ascii="宋体" w:hAnsi="宋体" w:cs="宋体"/>
          <w:b/>
          <w:color w:val="auto"/>
          <w:kern w:val="2"/>
          <w:sz w:val="36"/>
          <w:szCs w:val="36"/>
        </w:rPr>
        <w:t>××</w:t>
      </w:r>
    </w:p>
    <w:p>
      <w:pPr>
        <w:rPr>
          <w:b/>
          <w:color w:val="auto"/>
          <w:sz w:val="28"/>
          <w:szCs w:val="28"/>
        </w:rPr>
      </w:pPr>
      <w:r>
        <w:rPr>
          <w:b/>
          <w:color w:val="auto"/>
          <w:sz w:val="28"/>
          <w:szCs w:val="28"/>
        </w:rPr>
        <w:drawing>
          <wp:inline distT="0" distB="0" distL="0" distR="0">
            <wp:extent cx="5267325" cy="184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18415"/>
                    </a:xfrm>
                    <a:prstGeom prst="rect">
                      <a:avLst/>
                    </a:prstGeom>
                    <a:noFill/>
                  </pic:spPr>
                </pic:pic>
              </a:graphicData>
            </a:graphic>
          </wp:inline>
        </w:drawing>
      </w:r>
    </w:p>
    <w:p>
      <w:pPr>
        <w:rPr>
          <w:b/>
          <w:color w:val="auto"/>
          <w:sz w:val="28"/>
          <w:szCs w:val="28"/>
        </w:rPr>
      </w:pPr>
    </w:p>
    <w:p>
      <w:pPr>
        <w:jc w:val="center"/>
        <w:rPr>
          <w:rFonts w:eastAsia="黑体"/>
          <w:b/>
          <w:color w:val="auto"/>
          <w:sz w:val="32"/>
          <w:szCs w:val="32"/>
        </w:rPr>
      </w:pPr>
      <w:r>
        <w:rPr>
          <w:rFonts w:hint="eastAsia" w:ascii="宋体" w:hAnsi="宋体"/>
          <w:b/>
          <w:color w:val="auto"/>
          <w:kern w:val="2"/>
          <w:sz w:val="36"/>
          <w:szCs w:val="36"/>
        </w:rPr>
        <w:t>中国工程建设标准化协会标准</w:t>
      </w:r>
    </w:p>
    <w:p>
      <w:pPr>
        <w:jc w:val="center"/>
        <w:rPr>
          <w:b/>
          <w:color w:val="auto"/>
          <w:sz w:val="44"/>
          <w:szCs w:val="44"/>
        </w:rPr>
      </w:pPr>
    </w:p>
    <w:p>
      <w:pPr>
        <w:widowControl/>
        <w:adjustRightInd w:val="0"/>
        <w:snapToGrid w:val="0"/>
        <w:spacing w:before="312" w:beforeLines="100" w:after="156" w:afterLines="50" w:line="360" w:lineRule="auto"/>
        <w:jc w:val="center"/>
        <w:rPr>
          <w:rFonts w:eastAsia="黑体"/>
          <w:color w:val="auto"/>
          <w:kern w:val="2"/>
          <w:sz w:val="48"/>
          <w:szCs w:val="44"/>
        </w:rPr>
      </w:pPr>
      <w:bookmarkStart w:id="2" w:name="_Hlk103332533"/>
      <w:r>
        <w:rPr>
          <w:rFonts w:hint="eastAsia" w:eastAsia="黑体"/>
          <w:color w:val="auto"/>
          <w:kern w:val="2"/>
          <w:sz w:val="48"/>
          <w:szCs w:val="44"/>
        </w:rPr>
        <w:t>混凝土结构植筋系统应用技术规程</w:t>
      </w:r>
    </w:p>
    <w:bookmarkEnd w:id="2"/>
    <w:p>
      <w:pPr>
        <w:snapToGrid w:val="0"/>
        <w:spacing w:after="0" w:line="240" w:lineRule="auto"/>
        <w:jc w:val="center"/>
        <w:rPr>
          <w:b/>
          <w:color w:val="auto"/>
          <w:kern w:val="2"/>
          <w:sz w:val="28"/>
          <w:szCs w:val="28"/>
        </w:rPr>
      </w:pPr>
      <w:r>
        <w:rPr>
          <w:b/>
          <w:color w:val="auto"/>
          <w:kern w:val="2"/>
          <w:sz w:val="28"/>
          <w:szCs w:val="28"/>
        </w:rPr>
        <w:t>Technical specification for post-installed rebar system for use</w:t>
      </w:r>
    </w:p>
    <w:p>
      <w:pPr>
        <w:snapToGrid w:val="0"/>
        <w:spacing w:after="0" w:line="240" w:lineRule="auto"/>
        <w:jc w:val="center"/>
        <w:rPr>
          <w:b/>
          <w:color w:val="auto"/>
          <w:kern w:val="2"/>
          <w:sz w:val="28"/>
          <w:szCs w:val="28"/>
        </w:rPr>
      </w:pPr>
      <w:r>
        <w:rPr>
          <w:b/>
          <w:color w:val="auto"/>
          <w:kern w:val="2"/>
          <w:sz w:val="28"/>
          <w:szCs w:val="28"/>
        </w:rPr>
        <w:t xml:space="preserve"> in concrete structures</w:t>
      </w:r>
    </w:p>
    <w:p>
      <w:pPr>
        <w:rPr>
          <w:color w:val="auto"/>
          <w:sz w:val="28"/>
          <w:szCs w:val="28"/>
        </w:rPr>
      </w:pPr>
    </w:p>
    <w:p>
      <w:pPr>
        <w:jc w:val="center"/>
        <w:rPr>
          <w:color w:val="auto"/>
          <w:sz w:val="28"/>
          <w:szCs w:val="28"/>
        </w:rPr>
      </w:pPr>
      <w:r>
        <w:rPr>
          <w:rFonts w:hint="eastAsia"/>
          <w:color w:val="auto"/>
          <w:sz w:val="36"/>
          <w:szCs w:val="36"/>
        </w:rPr>
        <w:t>（</w:t>
      </w:r>
      <w:r>
        <w:rPr>
          <w:rFonts w:hint="eastAsia"/>
          <w:color w:val="auto"/>
          <w:sz w:val="36"/>
          <w:szCs w:val="36"/>
          <w:lang w:val="en-US" w:eastAsia="zh-CN"/>
        </w:rPr>
        <w:t>征求意见</w:t>
      </w:r>
      <w:r>
        <w:rPr>
          <w:rFonts w:hint="eastAsia"/>
          <w:color w:val="auto"/>
          <w:sz w:val="36"/>
          <w:szCs w:val="36"/>
        </w:rPr>
        <w:t>稿</w:t>
      </w:r>
      <w:r>
        <w:rPr>
          <w:color w:val="auto"/>
          <w:sz w:val="36"/>
          <w:szCs w:val="36"/>
        </w:rPr>
        <w:t>）</w:t>
      </w:r>
    </w:p>
    <w:p>
      <w:pPr>
        <w:rPr>
          <w:color w:val="auto"/>
          <w:sz w:val="28"/>
          <w:szCs w:val="28"/>
        </w:rPr>
      </w:pPr>
    </w:p>
    <w:p>
      <w:pPr>
        <w:pStyle w:val="2"/>
        <w:rPr>
          <w:color w:val="auto"/>
        </w:rPr>
      </w:pPr>
    </w:p>
    <w:p>
      <w:pPr>
        <w:rPr>
          <w:color w:val="auto"/>
          <w:sz w:val="28"/>
          <w:szCs w:val="28"/>
        </w:rPr>
      </w:pPr>
    </w:p>
    <w:p>
      <w:pPr>
        <w:rPr>
          <w:color w:val="auto"/>
          <w:sz w:val="28"/>
          <w:szCs w:val="28"/>
        </w:rPr>
      </w:pPr>
    </w:p>
    <w:p>
      <w:pPr>
        <w:rPr>
          <w:color w:val="auto"/>
          <w:sz w:val="28"/>
          <w:szCs w:val="28"/>
        </w:rPr>
      </w:pPr>
    </w:p>
    <w:p>
      <w:pPr>
        <w:jc w:val="center"/>
        <w:rPr>
          <w:rFonts w:ascii="仿宋" w:hAnsi="仿宋" w:eastAsia="仿宋"/>
          <w:b/>
          <w:bCs/>
          <w:color w:val="auto"/>
          <w:spacing w:val="20"/>
          <w:sz w:val="30"/>
          <w:szCs w:val="30"/>
        </w:rPr>
      </w:pPr>
      <w:r>
        <w:rPr>
          <w:rFonts w:hint="eastAsia" w:ascii="宋体" w:hAnsi="宋体" w:cs="宋体"/>
          <w:b/>
          <w:color w:val="auto"/>
          <w:sz w:val="30"/>
          <w:szCs w:val="30"/>
        </w:rPr>
        <w:t>××××</w:t>
      </w:r>
      <w:r>
        <w:rPr>
          <w:rFonts w:hint="eastAsia" w:ascii="仿宋" w:hAnsi="仿宋" w:eastAsia="仿宋"/>
          <w:b/>
          <w:bCs/>
          <w:color w:val="auto"/>
          <w:spacing w:val="20"/>
          <w:sz w:val="30"/>
          <w:szCs w:val="30"/>
        </w:rPr>
        <w:t>出版社</w:t>
      </w:r>
    </w:p>
    <w:p>
      <w:pPr>
        <w:widowControl/>
        <w:spacing w:line="360" w:lineRule="auto"/>
        <w:jc w:val="center"/>
        <w:rPr>
          <w:rFonts w:eastAsia="黑体"/>
          <w:color w:val="auto"/>
          <w:kern w:val="2"/>
          <w:sz w:val="36"/>
          <w:szCs w:val="36"/>
        </w:rPr>
      </w:pPr>
    </w:p>
    <w:p>
      <w:pPr>
        <w:spacing w:after="0" w:line="240" w:lineRule="auto"/>
        <w:jc w:val="center"/>
        <w:rPr>
          <w:rFonts w:eastAsia="黑体"/>
          <w:b/>
          <w:color w:val="auto"/>
          <w:kern w:val="2"/>
          <w:sz w:val="32"/>
          <w:szCs w:val="32"/>
        </w:rPr>
      </w:pPr>
    </w:p>
    <w:p>
      <w:pPr>
        <w:spacing w:after="0" w:line="240" w:lineRule="auto"/>
        <w:jc w:val="center"/>
        <w:rPr>
          <w:rFonts w:eastAsia="黑体"/>
          <w:b/>
          <w:color w:val="auto"/>
          <w:kern w:val="2"/>
          <w:sz w:val="32"/>
          <w:szCs w:val="32"/>
        </w:rPr>
      </w:pPr>
    </w:p>
    <w:p>
      <w:pPr>
        <w:spacing w:after="0" w:line="240" w:lineRule="auto"/>
        <w:jc w:val="center"/>
        <w:rPr>
          <w:rFonts w:eastAsia="黑体"/>
          <w:b/>
          <w:color w:val="auto"/>
          <w:kern w:val="2"/>
          <w:sz w:val="32"/>
          <w:szCs w:val="32"/>
        </w:rPr>
      </w:pPr>
    </w:p>
    <w:p>
      <w:pPr>
        <w:spacing w:after="0" w:line="240" w:lineRule="auto"/>
        <w:jc w:val="center"/>
        <w:rPr>
          <w:rFonts w:eastAsia="黑体"/>
          <w:bCs/>
          <w:color w:val="auto"/>
          <w:kern w:val="2"/>
          <w:sz w:val="32"/>
          <w:szCs w:val="32"/>
        </w:rPr>
      </w:pPr>
      <w:r>
        <w:rPr>
          <w:rFonts w:hint="eastAsia" w:eastAsia="黑体"/>
          <w:bCs/>
          <w:color w:val="auto"/>
          <w:kern w:val="2"/>
          <w:sz w:val="32"/>
          <w:szCs w:val="32"/>
        </w:rPr>
        <w:t>中国工程建设标准化协会标准</w:t>
      </w:r>
    </w:p>
    <w:p>
      <w:pPr>
        <w:spacing w:after="0" w:line="240" w:lineRule="auto"/>
        <w:rPr>
          <w:b/>
          <w:color w:val="auto"/>
          <w:kern w:val="2"/>
          <w:sz w:val="28"/>
          <w:szCs w:val="28"/>
        </w:rPr>
      </w:pPr>
    </w:p>
    <w:p>
      <w:pPr>
        <w:spacing w:after="0" w:line="240" w:lineRule="auto"/>
        <w:jc w:val="center"/>
        <w:rPr>
          <w:b/>
          <w:color w:val="auto"/>
          <w:kern w:val="2"/>
          <w:sz w:val="44"/>
          <w:szCs w:val="44"/>
        </w:rPr>
      </w:pPr>
    </w:p>
    <w:p>
      <w:pPr>
        <w:spacing w:after="0" w:line="240" w:lineRule="auto"/>
        <w:jc w:val="center"/>
        <w:rPr>
          <w:b/>
          <w:color w:val="auto"/>
          <w:kern w:val="2"/>
          <w:sz w:val="44"/>
          <w:szCs w:val="44"/>
        </w:rPr>
      </w:pPr>
    </w:p>
    <w:p>
      <w:pPr>
        <w:spacing w:after="0" w:line="240" w:lineRule="auto"/>
        <w:jc w:val="center"/>
        <w:rPr>
          <w:b/>
          <w:color w:val="auto"/>
          <w:kern w:val="2"/>
          <w:sz w:val="44"/>
          <w:szCs w:val="44"/>
        </w:rPr>
      </w:pPr>
      <w:r>
        <w:rPr>
          <w:rFonts w:hint="eastAsia"/>
          <w:b/>
          <w:color w:val="auto"/>
          <w:kern w:val="2"/>
          <w:sz w:val="44"/>
          <w:szCs w:val="44"/>
        </w:rPr>
        <w:t>混凝土结构植筋系统应用技术规程</w:t>
      </w:r>
    </w:p>
    <w:p>
      <w:pPr>
        <w:widowControl/>
        <w:snapToGrid w:val="0"/>
        <w:spacing w:after="0" w:line="240" w:lineRule="auto"/>
        <w:jc w:val="center"/>
        <w:rPr>
          <w:rFonts w:eastAsia="黑体"/>
          <w:color w:val="auto"/>
          <w:kern w:val="2"/>
          <w:sz w:val="28"/>
          <w:szCs w:val="28"/>
        </w:rPr>
      </w:pPr>
    </w:p>
    <w:p>
      <w:pPr>
        <w:widowControl/>
        <w:snapToGrid w:val="0"/>
        <w:spacing w:after="0" w:line="240" w:lineRule="auto"/>
        <w:jc w:val="center"/>
        <w:rPr>
          <w:rFonts w:eastAsia="黑体"/>
          <w:color w:val="auto"/>
          <w:kern w:val="2"/>
          <w:sz w:val="28"/>
          <w:szCs w:val="28"/>
        </w:rPr>
      </w:pPr>
      <w:r>
        <w:rPr>
          <w:rFonts w:eastAsia="黑体"/>
          <w:color w:val="auto"/>
          <w:kern w:val="2"/>
          <w:sz w:val="28"/>
          <w:szCs w:val="28"/>
        </w:rPr>
        <w:t>Technical specification for post-installed rebar system for us</w:t>
      </w:r>
    </w:p>
    <w:p>
      <w:pPr>
        <w:widowControl/>
        <w:snapToGrid w:val="0"/>
        <w:spacing w:after="0" w:line="240" w:lineRule="auto"/>
        <w:jc w:val="center"/>
        <w:rPr>
          <w:rFonts w:ascii="黑体" w:eastAsia="黑体"/>
          <w:color w:val="auto"/>
          <w:kern w:val="2"/>
          <w:sz w:val="28"/>
          <w:szCs w:val="28"/>
        </w:rPr>
      </w:pPr>
      <w:r>
        <w:rPr>
          <w:rFonts w:eastAsia="黑体"/>
          <w:color w:val="auto"/>
          <w:kern w:val="2"/>
          <w:sz w:val="28"/>
          <w:szCs w:val="28"/>
        </w:rPr>
        <w:t xml:space="preserve"> in concrete structures</w:t>
      </w:r>
    </w:p>
    <w:p>
      <w:pPr>
        <w:spacing w:after="0" w:line="240" w:lineRule="auto"/>
        <w:jc w:val="center"/>
        <w:rPr>
          <w:b/>
          <w:color w:val="auto"/>
          <w:kern w:val="2"/>
          <w:sz w:val="28"/>
          <w:szCs w:val="28"/>
        </w:rPr>
      </w:pPr>
    </w:p>
    <w:p>
      <w:pPr>
        <w:pStyle w:val="2"/>
        <w:rPr>
          <w:color w:val="auto"/>
        </w:rPr>
      </w:pPr>
    </w:p>
    <w:p>
      <w:pPr>
        <w:jc w:val="center"/>
        <w:rPr>
          <w:rFonts w:ascii="宋体" w:hAnsi="宋体" w:cs="宋体"/>
          <w:b/>
          <w:color w:val="auto"/>
        </w:rPr>
      </w:pPr>
      <w:r>
        <w:rPr>
          <w:b/>
          <w:color w:val="auto"/>
        </w:rPr>
        <w:t xml:space="preserve">T/CECS </w:t>
      </w:r>
      <w:r>
        <w:rPr>
          <w:rFonts w:hint="eastAsia" w:ascii="宋体" w:hAnsi="宋体" w:cs="宋体"/>
          <w:b/>
          <w:color w:val="auto"/>
        </w:rPr>
        <w:t>×××-</w:t>
      </w:r>
      <w:r>
        <w:rPr>
          <w:b/>
          <w:color w:val="auto"/>
        </w:rPr>
        <w:t>20</w:t>
      </w:r>
      <w:r>
        <w:rPr>
          <w:rFonts w:hint="eastAsia" w:ascii="宋体" w:hAnsi="宋体" w:cs="宋体"/>
          <w:b/>
          <w:color w:val="auto"/>
        </w:rPr>
        <w:t>×××</w:t>
      </w:r>
    </w:p>
    <w:p>
      <w:pPr>
        <w:pStyle w:val="2"/>
        <w:rPr>
          <w:color w:val="auto"/>
        </w:rPr>
      </w:pPr>
    </w:p>
    <w:tbl>
      <w:tblPr>
        <w:tblStyle w:val="28"/>
        <w:tblW w:w="53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3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8" w:type="dxa"/>
          </w:tcPr>
          <w:p>
            <w:pPr>
              <w:spacing w:after="0" w:line="360" w:lineRule="auto"/>
              <w:jc w:val="left"/>
              <w:rPr>
                <w:color w:val="auto"/>
                <w:kern w:val="2"/>
                <w:sz w:val="24"/>
                <w:szCs w:val="24"/>
              </w:rPr>
            </w:pPr>
            <w:r>
              <w:rPr>
                <w:color w:val="auto"/>
                <w:kern w:val="2"/>
                <w:sz w:val="24"/>
                <w:szCs w:val="24"/>
              </w:rPr>
              <w:t>主编单位：</w:t>
            </w:r>
          </w:p>
        </w:tc>
        <w:tc>
          <w:tcPr>
            <w:tcW w:w="3969" w:type="dxa"/>
            <w:vAlign w:val="center"/>
          </w:tcPr>
          <w:p>
            <w:pPr>
              <w:spacing w:after="0" w:line="360" w:lineRule="auto"/>
              <w:jc w:val="left"/>
              <w:rPr>
                <w:color w:val="auto"/>
                <w:kern w:val="2"/>
                <w:sz w:val="24"/>
                <w:szCs w:val="24"/>
              </w:rPr>
            </w:pPr>
            <w:r>
              <w:rPr>
                <w:rFonts w:hint="eastAsia"/>
                <w:color w:val="auto"/>
                <w:kern w:val="2"/>
                <w:sz w:val="24"/>
                <w:szCs w:val="24"/>
              </w:rPr>
              <w:t>中建研科技股份有限公司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8" w:type="dxa"/>
          </w:tcPr>
          <w:p>
            <w:pPr>
              <w:spacing w:after="0" w:line="360" w:lineRule="auto"/>
              <w:jc w:val="left"/>
              <w:rPr>
                <w:color w:val="auto"/>
                <w:kern w:val="2"/>
                <w:sz w:val="24"/>
                <w:szCs w:val="24"/>
              </w:rPr>
            </w:pPr>
            <w:r>
              <w:rPr>
                <w:color w:val="auto"/>
                <w:kern w:val="2"/>
                <w:sz w:val="24"/>
                <w:szCs w:val="24"/>
              </w:rPr>
              <w:t>批准部门：</w:t>
            </w:r>
          </w:p>
        </w:tc>
        <w:tc>
          <w:tcPr>
            <w:tcW w:w="3969" w:type="dxa"/>
            <w:vAlign w:val="center"/>
          </w:tcPr>
          <w:p>
            <w:pPr>
              <w:spacing w:after="0" w:line="360" w:lineRule="auto"/>
              <w:jc w:val="left"/>
              <w:rPr>
                <w:color w:val="auto"/>
                <w:kern w:val="2"/>
                <w:sz w:val="24"/>
                <w:szCs w:val="24"/>
              </w:rPr>
            </w:pPr>
            <w:r>
              <w:rPr>
                <w:color w:val="auto"/>
                <w:kern w:val="2"/>
                <w:sz w:val="24"/>
                <w:szCs w:val="24"/>
              </w:rPr>
              <w:t>中国工程建设标准化协会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8" w:type="dxa"/>
          </w:tcPr>
          <w:p>
            <w:pPr>
              <w:spacing w:after="0" w:line="360" w:lineRule="auto"/>
              <w:jc w:val="left"/>
              <w:rPr>
                <w:color w:val="auto"/>
                <w:kern w:val="2"/>
                <w:sz w:val="24"/>
                <w:szCs w:val="24"/>
              </w:rPr>
            </w:pPr>
            <w:r>
              <w:rPr>
                <w:color w:val="auto"/>
                <w:kern w:val="2"/>
                <w:sz w:val="24"/>
                <w:szCs w:val="24"/>
              </w:rPr>
              <w:t>施行日期：</w:t>
            </w:r>
          </w:p>
        </w:tc>
        <w:tc>
          <w:tcPr>
            <w:tcW w:w="3969" w:type="dxa"/>
            <w:vAlign w:val="center"/>
          </w:tcPr>
          <w:p>
            <w:pPr>
              <w:spacing w:after="0" w:line="360" w:lineRule="auto"/>
              <w:jc w:val="left"/>
              <w:rPr>
                <w:color w:val="auto"/>
                <w:kern w:val="2"/>
                <w:sz w:val="24"/>
                <w:szCs w:val="24"/>
              </w:rPr>
            </w:pPr>
            <w:r>
              <w:rPr>
                <w:color w:val="auto"/>
                <w:kern w:val="2"/>
                <w:sz w:val="24"/>
                <w:szCs w:val="24"/>
              </w:rPr>
              <w:t>20</w:t>
            </w:r>
            <w:r>
              <w:rPr>
                <w:rFonts w:hint="eastAsia"/>
                <w:color w:val="auto"/>
                <w:kern w:val="2"/>
                <w:sz w:val="24"/>
                <w:szCs w:val="24"/>
              </w:rPr>
              <w:t>××</w:t>
            </w:r>
            <w:r>
              <w:rPr>
                <w:color w:val="auto"/>
                <w:kern w:val="2"/>
                <w:sz w:val="24"/>
                <w:szCs w:val="24"/>
              </w:rPr>
              <w:t>年</w:t>
            </w:r>
            <w:r>
              <w:rPr>
                <w:rFonts w:hint="eastAsia"/>
                <w:color w:val="auto"/>
                <w:kern w:val="2"/>
                <w:sz w:val="24"/>
                <w:szCs w:val="24"/>
              </w:rPr>
              <w:t>××</w:t>
            </w:r>
            <w:r>
              <w:rPr>
                <w:color w:val="auto"/>
                <w:kern w:val="2"/>
                <w:sz w:val="24"/>
                <w:szCs w:val="24"/>
              </w:rPr>
              <w:t>月</w:t>
            </w:r>
            <w:r>
              <w:rPr>
                <w:rFonts w:hint="eastAsia"/>
                <w:color w:val="auto"/>
                <w:kern w:val="2"/>
                <w:sz w:val="24"/>
                <w:szCs w:val="24"/>
              </w:rPr>
              <w:t>××</w:t>
            </w:r>
            <w:r>
              <w:rPr>
                <w:color w:val="auto"/>
                <w:kern w:val="2"/>
                <w:sz w:val="24"/>
                <w:szCs w:val="24"/>
              </w:rPr>
              <w:t>日</w:t>
            </w:r>
          </w:p>
        </w:tc>
      </w:tr>
    </w:tbl>
    <w:p>
      <w:pPr>
        <w:spacing w:after="0" w:line="360" w:lineRule="auto"/>
        <w:jc w:val="left"/>
        <w:rPr>
          <w:color w:val="auto"/>
          <w:kern w:val="2"/>
          <w:sz w:val="28"/>
          <w:szCs w:val="28"/>
        </w:rPr>
      </w:pPr>
    </w:p>
    <w:p>
      <w:pPr>
        <w:spacing w:after="0" w:line="240" w:lineRule="auto"/>
        <w:rPr>
          <w:color w:val="auto"/>
          <w:kern w:val="2"/>
          <w:sz w:val="28"/>
          <w:szCs w:val="28"/>
        </w:rPr>
      </w:pPr>
    </w:p>
    <w:p>
      <w:pPr>
        <w:spacing w:after="0" w:line="360" w:lineRule="auto"/>
        <w:jc w:val="center"/>
        <w:rPr>
          <w:color w:val="auto"/>
          <w:kern w:val="2"/>
          <w:sz w:val="28"/>
          <w:szCs w:val="28"/>
        </w:rPr>
      </w:pPr>
    </w:p>
    <w:p>
      <w:pPr>
        <w:spacing w:line="360" w:lineRule="auto"/>
        <w:jc w:val="center"/>
        <w:rPr>
          <w:color w:val="auto"/>
          <w:sz w:val="18"/>
        </w:rPr>
      </w:pPr>
    </w:p>
    <w:p>
      <w:pPr>
        <w:spacing w:after="0" w:line="360" w:lineRule="auto"/>
        <w:jc w:val="center"/>
        <w:rPr>
          <w:rFonts w:ascii="宋体" w:hAnsi="宋体" w:cs="宋体"/>
          <w:bCs/>
          <w:color w:val="auto"/>
          <w:kern w:val="2"/>
          <w:sz w:val="28"/>
          <w:szCs w:val="28"/>
        </w:rPr>
      </w:pPr>
      <w:r>
        <w:rPr>
          <w:rFonts w:hint="eastAsia" w:ascii="宋体" w:hAnsi="宋体" w:cs="宋体"/>
          <w:bCs/>
          <w:color w:val="auto"/>
          <w:kern w:val="2"/>
          <w:sz w:val="28"/>
          <w:szCs w:val="28"/>
        </w:rPr>
        <w:t>××××出版社</w:t>
      </w:r>
    </w:p>
    <w:p>
      <w:pPr>
        <w:pStyle w:val="16"/>
        <w:jc w:val="center"/>
        <w:rPr>
          <w:rFonts w:eastAsia="黑体"/>
          <w:color w:val="auto"/>
        </w:rPr>
      </w:pPr>
      <w:r>
        <w:rPr>
          <w:rFonts w:eastAsia="黑体"/>
          <w:b/>
          <w:bCs/>
          <w:color w:val="auto"/>
        </w:rPr>
        <w:t>202</w:t>
      </w:r>
      <w:r>
        <w:rPr>
          <w:rFonts w:hint="eastAsia" w:eastAsia="黑体"/>
          <w:b/>
          <w:bCs/>
          <w:color w:val="auto"/>
        </w:rPr>
        <w:t>X</w:t>
      </w:r>
      <w:r>
        <w:rPr>
          <w:rFonts w:eastAsia="黑体"/>
          <w:b/>
          <w:bCs/>
          <w:color w:val="auto"/>
        </w:rPr>
        <w:t>　</w:t>
      </w:r>
      <w:r>
        <w:rPr>
          <w:rFonts w:eastAsia="黑体"/>
          <w:color w:val="auto"/>
        </w:rPr>
        <w:t>北　　京</w:t>
      </w:r>
    </w:p>
    <w:p>
      <w:pPr>
        <w:spacing w:after="0" w:line="240" w:lineRule="auto"/>
        <w:rPr>
          <w:color w:val="auto"/>
          <w:kern w:val="2"/>
          <w:sz w:val="28"/>
          <w:szCs w:val="28"/>
        </w:rPr>
      </w:pPr>
    </w:p>
    <w:p>
      <w:pPr>
        <w:adjustRightInd w:val="0"/>
        <w:snapToGrid w:val="0"/>
        <w:spacing w:line="400" w:lineRule="atLeast"/>
        <w:jc w:val="center"/>
        <w:rPr>
          <w:rFonts w:eastAsia="黑体"/>
          <w:color w:val="auto"/>
          <w:sz w:val="32"/>
          <w:szCs w:val="32"/>
        </w:rPr>
      </w:pPr>
      <w:r>
        <w:rPr>
          <w:rFonts w:hint="eastAsia" w:eastAsia="黑体"/>
          <w:color w:val="auto"/>
          <w:sz w:val="32"/>
          <w:szCs w:val="32"/>
        </w:rPr>
        <w:t>前    言</w:t>
      </w:r>
    </w:p>
    <w:p>
      <w:pPr>
        <w:adjustRightInd w:val="0"/>
        <w:snapToGrid w:val="0"/>
        <w:spacing w:after="0" w:line="400" w:lineRule="atLeast"/>
        <w:ind w:firstLine="359" w:firstLineChars="171"/>
        <w:rPr>
          <w:color w:val="auto"/>
          <w:kern w:val="2"/>
        </w:rPr>
      </w:pPr>
      <w:r>
        <w:rPr>
          <w:rFonts w:hint="eastAsia"/>
          <w:color w:val="auto"/>
          <w:kern w:val="2"/>
        </w:rPr>
        <w:t>根据中国工程建设标准化协会《关于印发&lt;2020年第二批协会标准制订、修订计划&gt;的通知》（建标协字[2020]</w:t>
      </w:r>
      <w:r>
        <w:rPr>
          <w:color w:val="auto"/>
          <w:kern w:val="2"/>
        </w:rPr>
        <w:t>23</w:t>
      </w:r>
      <w:r>
        <w:rPr>
          <w:rFonts w:hint="eastAsia"/>
          <w:color w:val="auto"/>
          <w:kern w:val="2"/>
        </w:rPr>
        <w:t>号）的要求，规程编制</w:t>
      </w:r>
      <w:r>
        <w:rPr>
          <w:color w:val="auto"/>
          <w:kern w:val="2"/>
        </w:rPr>
        <w:t>组经广泛调查研究，认真总结</w:t>
      </w:r>
      <w:r>
        <w:rPr>
          <w:rFonts w:hint="eastAsia"/>
          <w:color w:val="auto"/>
          <w:kern w:val="2"/>
        </w:rPr>
        <w:t>工程</w:t>
      </w:r>
      <w:r>
        <w:rPr>
          <w:color w:val="auto"/>
          <w:kern w:val="2"/>
        </w:rPr>
        <w:t>实践经验，参考有关</w:t>
      </w:r>
      <w:r>
        <w:rPr>
          <w:rFonts w:hint="eastAsia"/>
          <w:color w:val="auto"/>
          <w:kern w:val="2"/>
        </w:rPr>
        <w:t>国内外先进</w:t>
      </w:r>
      <w:r>
        <w:rPr>
          <w:color w:val="auto"/>
          <w:kern w:val="2"/>
        </w:rPr>
        <w:t>标准，并在广泛征求意见的基础上，</w:t>
      </w:r>
      <w:r>
        <w:rPr>
          <w:rFonts w:hint="eastAsia"/>
          <w:color w:val="auto"/>
          <w:kern w:val="2"/>
        </w:rPr>
        <w:t>制订本规程。</w:t>
      </w:r>
    </w:p>
    <w:p>
      <w:pPr>
        <w:adjustRightInd w:val="0"/>
        <w:snapToGrid w:val="0"/>
        <w:spacing w:after="0" w:line="400" w:lineRule="atLeast"/>
        <w:ind w:firstLine="359" w:firstLineChars="171"/>
        <w:rPr>
          <w:color w:val="auto"/>
          <w:kern w:val="2"/>
        </w:rPr>
      </w:pPr>
      <w:r>
        <w:rPr>
          <w:rFonts w:hint="eastAsia"/>
          <w:color w:val="auto"/>
          <w:kern w:val="2"/>
        </w:rPr>
        <w:t>本规程共分为</w:t>
      </w:r>
      <w:r>
        <w:rPr>
          <w:color w:val="auto"/>
          <w:kern w:val="2"/>
        </w:rPr>
        <w:t>6</w:t>
      </w:r>
      <w:r>
        <w:rPr>
          <w:rFonts w:hint="eastAsia"/>
          <w:color w:val="auto"/>
          <w:kern w:val="2"/>
        </w:rPr>
        <w:t>章和</w:t>
      </w:r>
      <w:r>
        <w:rPr>
          <w:color w:val="auto"/>
          <w:kern w:val="2"/>
        </w:rPr>
        <w:t>10</w:t>
      </w:r>
      <w:r>
        <w:rPr>
          <w:rFonts w:hint="eastAsia"/>
          <w:color w:val="auto"/>
          <w:kern w:val="2"/>
        </w:rPr>
        <w:t>个附录，主要技术内容包括：总则、术语和符号、材料、设计、构造措施、施工要求与质量验收等。</w:t>
      </w:r>
    </w:p>
    <w:p>
      <w:pPr>
        <w:adjustRightInd w:val="0"/>
        <w:snapToGrid w:val="0"/>
        <w:spacing w:after="0" w:line="400" w:lineRule="atLeast"/>
        <w:ind w:firstLine="359" w:firstLineChars="171"/>
        <w:rPr>
          <w:color w:val="auto"/>
          <w:kern w:val="2"/>
        </w:rPr>
      </w:pPr>
      <w:r>
        <w:rPr>
          <w:rFonts w:hint="eastAsia"/>
          <w:color w:val="auto"/>
          <w:kern w:val="2"/>
        </w:rPr>
        <w:t>本规程的某些内容可能直接或间接涉及专利，本规程的发布机构不承担识别这些专利的责任。</w:t>
      </w:r>
    </w:p>
    <w:p>
      <w:pPr>
        <w:adjustRightInd w:val="0"/>
        <w:snapToGrid w:val="0"/>
        <w:spacing w:after="0" w:line="400" w:lineRule="atLeast"/>
        <w:ind w:firstLine="359" w:firstLineChars="171"/>
        <w:rPr>
          <w:color w:val="auto"/>
          <w:kern w:val="2"/>
        </w:rPr>
      </w:pPr>
      <w:r>
        <w:rPr>
          <w:rFonts w:hint="eastAsia"/>
          <w:color w:val="auto"/>
          <w:kern w:val="2"/>
        </w:rPr>
        <w:t>本规程由中国工程建设标准化协会混凝土结构专业委员会归口管理，由中建研科技股份有限公司负责具体内容的解释。执行过程中如有意见或建议，请寄送解释单位（地址：北京市北三环东路</w:t>
      </w:r>
      <w:r>
        <w:rPr>
          <w:color w:val="auto"/>
          <w:kern w:val="2"/>
        </w:rPr>
        <w:t>30</w:t>
      </w:r>
      <w:r>
        <w:rPr>
          <w:rFonts w:hint="eastAsia"/>
          <w:color w:val="auto"/>
          <w:kern w:val="2"/>
        </w:rPr>
        <w:t>号；邮政编码：</w:t>
      </w:r>
      <w:r>
        <w:rPr>
          <w:color w:val="auto"/>
          <w:kern w:val="2"/>
        </w:rPr>
        <w:t>100013</w:t>
      </w:r>
      <w:r>
        <w:rPr>
          <w:rFonts w:hint="eastAsia"/>
          <w:color w:val="auto"/>
          <w:kern w:val="2"/>
        </w:rPr>
        <w:t>）。</w:t>
      </w: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r>
        <w:rPr>
          <w:color w:val="auto"/>
          <w:kern w:val="2"/>
        </w:rPr>
        <w:t>主编单位：</w:t>
      </w:r>
      <w:bookmarkStart w:id="3" w:name="OLE_LINK5"/>
      <w:bookmarkStart w:id="4" w:name="OLE_LINK4"/>
      <w:r>
        <w:rPr>
          <w:rFonts w:hint="eastAsia"/>
          <w:color w:val="auto"/>
          <w:kern w:val="2"/>
        </w:rPr>
        <w:t>中建研科技股份有限公司</w:t>
      </w:r>
      <w:bookmarkEnd w:id="3"/>
      <w:bookmarkEnd w:id="4"/>
    </w:p>
    <w:p>
      <w:pPr>
        <w:adjustRightInd w:val="0"/>
        <w:snapToGrid w:val="0"/>
        <w:spacing w:after="0" w:line="400" w:lineRule="atLeast"/>
        <w:ind w:firstLine="359" w:firstLineChars="171"/>
        <w:rPr>
          <w:color w:val="auto"/>
          <w:kern w:val="2"/>
        </w:rPr>
      </w:pPr>
      <w:r>
        <w:rPr>
          <w:color w:val="auto"/>
          <w:kern w:val="2"/>
        </w:rPr>
        <w:t>参编单位：</w:t>
      </w:r>
      <w:bookmarkStart w:id="5" w:name="OLE_LINK42"/>
    </w:p>
    <w:p>
      <w:pPr>
        <w:adjustRightInd w:val="0"/>
        <w:snapToGrid w:val="0"/>
        <w:spacing w:after="0" w:line="400" w:lineRule="atLeast"/>
        <w:ind w:firstLine="1478" w:firstLineChars="704"/>
        <w:rPr>
          <w:color w:val="auto"/>
          <w:kern w:val="2"/>
        </w:rPr>
      </w:pPr>
    </w:p>
    <w:p>
      <w:pPr>
        <w:adjustRightInd w:val="0"/>
        <w:snapToGrid w:val="0"/>
        <w:spacing w:after="0" w:line="400" w:lineRule="atLeast"/>
        <w:ind w:firstLine="1478" w:firstLineChars="704"/>
        <w:rPr>
          <w:color w:val="auto"/>
          <w:kern w:val="2"/>
        </w:rPr>
      </w:pPr>
    </w:p>
    <w:p>
      <w:pPr>
        <w:adjustRightInd w:val="0"/>
        <w:snapToGrid w:val="0"/>
        <w:spacing w:after="0" w:line="400" w:lineRule="atLeast"/>
        <w:ind w:firstLine="1478" w:firstLineChars="704"/>
        <w:rPr>
          <w:color w:val="auto"/>
          <w:kern w:val="2"/>
        </w:rPr>
      </w:pPr>
    </w:p>
    <w:p>
      <w:pPr>
        <w:adjustRightInd w:val="0"/>
        <w:snapToGrid w:val="0"/>
        <w:spacing w:after="0" w:line="400" w:lineRule="atLeast"/>
        <w:ind w:firstLine="1478" w:firstLineChars="704"/>
        <w:rPr>
          <w:color w:val="auto"/>
          <w:kern w:val="2"/>
        </w:rPr>
      </w:pPr>
    </w:p>
    <w:p>
      <w:pPr>
        <w:adjustRightInd w:val="0"/>
        <w:snapToGrid w:val="0"/>
        <w:spacing w:after="0" w:line="400" w:lineRule="atLeast"/>
        <w:ind w:firstLine="1478" w:firstLineChars="704"/>
        <w:rPr>
          <w:color w:val="auto"/>
          <w:kern w:val="2"/>
        </w:rPr>
      </w:pPr>
      <w:bookmarkStart w:id="138" w:name="_GoBack"/>
      <w:bookmarkEnd w:id="138"/>
    </w:p>
    <w:bookmarkEnd w:id="5"/>
    <w:p>
      <w:pPr>
        <w:adjustRightInd w:val="0"/>
        <w:snapToGrid w:val="0"/>
        <w:spacing w:after="0" w:line="400" w:lineRule="atLeast"/>
        <w:ind w:firstLine="359" w:firstLineChars="171"/>
        <w:rPr>
          <w:color w:val="auto"/>
          <w:kern w:val="2"/>
        </w:rPr>
      </w:pPr>
      <w:r>
        <w:rPr>
          <w:color w:val="auto"/>
          <w:kern w:val="2"/>
        </w:rPr>
        <w:t>主要起草人：</w:t>
      </w: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r>
        <w:rPr>
          <w:color w:val="auto"/>
          <w:kern w:val="2"/>
        </w:rPr>
        <w:t>主要审查人：</w:t>
      </w: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adjustRightInd w:val="0"/>
        <w:snapToGrid w:val="0"/>
        <w:spacing w:after="0" w:line="400" w:lineRule="atLeast"/>
        <w:ind w:firstLine="359" w:firstLineChars="171"/>
        <w:rPr>
          <w:color w:val="auto"/>
          <w:kern w:val="2"/>
        </w:rPr>
      </w:pPr>
    </w:p>
    <w:p>
      <w:pPr>
        <w:rPr>
          <w:color w:val="auto"/>
          <w:kern w:val="2"/>
        </w:rPr>
      </w:pPr>
      <w:r>
        <w:rPr>
          <w:color w:val="auto"/>
          <w:kern w:val="2"/>
        </w:rPr>
        <w:br w:type="page"/>
      </w:r>
    </w:p>
    <w:bookmarkEnd w:id="1"/>
    <w:p>
      <w:pPr>
        <w:adjustRightInd w:val="0"/>
        <w:snapToGrid w:val="0"/>
        <w:spacing w:line="400" w:lineRule="atLeast"/>
        <w:jc w:val="center"/>
        <w:rPr>
          <w:rFonts w:ascii="仿宋" w:hAnsi="仿宋" w:eastAsia="仿宋"/>
          <w:b/>
          <w:color w:val="auto"/>
          <w:sz w:val="32"/>
          <w:szCs w:val="32"/>
        </w:rPr>
      </w:pPr>
      <w:r>
        <w:rPr>
          <w:rFonts w:hint="eastAsia" w:ascii="仿宋" w:hAnsi="仿宋" w:eastAsia="仿宋"/>
          <w:b/>
          <w:color w:val="auto"/>
          <w:sz w:val="32"/>
          <w:szCs w:val="32"/>
        </w:rPr>
        <w:t>目    次</w:t>
      </w:r>
    </w:p>
    <w:sdt>
      <w:sdtPr>
        <w:rPr>
          <w:color w:val="auto"/>
        </w:rPr>
        <w:id w:val="699126509"/>
        <w:docPartObj>
          <w:docPartGallery w:val="Table of Contents"/>
          <w:docPartUnique/>
        </w:docPartObj>
      </w:sdtPr>
      <w:sdtEndPr>
        <w:rPr>
          <w:b/>
          <w:bCs/>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tLeast"/>
            <w:ind w:left="0" w:leftChars="0" w:right="0" w:rightChars="0" w:firstLine="0" w:firstLineChars="0"/>
            <w:jc w:val="center"/>
            <w:textAlignment w:val="auto"/>
            <w:rPr>
              <w:color w:val="auto"/>
              <w:sz w:val="10"/>
              <w:szCs w:val="10"/>
            </w:rPr>
          </w:pP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color w:val="auto"/>
              <w:sz w:val="24"/>
              <w:szCs w:val="24"/>
            </w:rPr>
            <w:fldChar w:fldCharType="begin"/>
          </w:r>
          <w:r>
            <w:rPr>
              <w:color w:val="auto"/>
              <w:sz w:val="24"/>
              <w:szCs w:val="24"/>
            </w:rPr>
            <w:instrText xml:space="preserve"> TOC \o "1-3" \h \z \u </w:instrText>
          </w:r>
          <w:r>
            <w:rPr>
              <w:color w:val="auto"/>
              <w:sz w:val="24"/>
              <w:szCs w:val="24"/>
            </w:rPr>
            <w:fldChar w:fldCharType="separate"/>
          </w:r>
          <w:r>
            <w:rPr>
              <w:color w:val="auto"/>
              <w:szCs w:val="24"/>
            </w:rPr>
            <w:fldChar w:fldCharType="begin"/>
          </w:r>
          <w:r>
            <w:rPr>
              <w:color w:val="auto"/>
              <w:szCs w:val="24"/>
            </w:rPr>
            <w:instrText xml:space="preserve"> HYPERLINK \l _Toc28564 </w:instrText>
          </w:r>
          <w:r>
            <w:rPr>
              <w:color w:val="auto"/>
              <w:szCs w:val="24"/>
            </w:rPr>
            <w:fldChar w:fldCharType="separate"/>
          </w:r>
          <w:r>
            <w:rPr>
              <w:rFonts w:hint="eastAsia" w:ascii="宋体" w:hAnsi="宋体" w:eastAsia="宋体" w:cs="宋体"/>
              <w:color w:val="auto"/>
            </w:rPr>
            <w:t>1  总  则</w:t>
          </w:r>
          <w:r>
            <w:rPr>
              <w:color w:val="auto"/>
            </w:rPr>
            <w:tab/>
          </w:r>
          <w:r>
            <w:rPr>
              <w:color w:val="auto"/>
            </w:rPr>
            <w:fldChar w:fldCharType="begin"/>
          </w:r>
          <w:r>
            <w:rPr>
              <w:color w:val="auto"/>
            </w:rPr>
            <w:instrText xml:space="preserve"> PAGEREF _Toc28564 \h </w:instrText>
          </w:r>
          <w:r>
            <w:rPr>
              <w:color w:val="auto"/>
            </w:rPr>
            <w:fldChar w:fldCharType="separate"/>
          </w:r>
          <w:r>
            <w:rPr>
              <w:color w:val="auto"/>
            </w:rPr>
            <w:t>1</w:t>
          </w:r>
          <w:r>
            <w:rPr>
              <w:color w:val="auto"/>
            </w:rPr>
            <w:fldChar w:fldCharType="end"/>
          </w:r>
          <w:r>
            <w:rPr>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_Toc21525 </w:instrText>
          </w:r>
          <w:r>
            <w:rPr>
              <w:bCs/>
              <w:color w:val="auto"/>
              <w:szCs w:val="24"/>
            </w:rPr>
            <w:fldChar w:fldCharType="separate"/>
          </w:r>
          <w:r>
            <w:rPr>
              <w:rFonts w:hint="eastAsia" w:ascii="宋体" w:hAnsi="宋体" w:eastAsia="宋体" w:cs="宋体"/>
              <w:color w:val="auto"/>
            </w:rPr>
            <w:t>2  术语和符号</w:t>
          </w:r>
          <w:r>
            <w:rPr>
              <w:color w:val="auto"/>
            </w:rPr>
            <w:tab/>
          </w:r>
          <w:r>
            <w:rPr>
              <w:color w:val="auto"/>
            </w:rPr>
            <w:fldChar w:fldCharType="begin"/>
          </w:r>
          <w:r>
            <w:rPr>
              <w:color w:val="auto"/>
            </w:rPr>
            <w:instrText xml:space="preserve"> PAGEREF _Toc21525 \h </w:instrText>
          </w:r>
          <w:r>
            <w:rPr>
              <w:color w:val="auto"/>
            </w:rPr>
            <w:fldChar w:fldCharType="separate"/>
          </w:r>
          <w:r>
            <w:rPr>
              <w:color w:val="auto"/>
            </w:rPr>
            <w:t>2</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_Toc24564 </w:instrText>
          </w:r>
          <w:r>
            <w:rPr>
              <w:bCs/>
              <w:color w:val="auto"/>
              <w:szCs w:val="24"/>
            </w:rPr>
            <w:fldChar w:fldCharType="separate"/>
          </w:r>
          <w:r>
            <w:rPr>
              <w:color w:val="auto"/>
            </w:rPr>
            <w:t xml:space="preserve">2.1 </w:t>
          </w:r>
          <w:r>
            <w:rPr>
              <w:rFonts w:hint="eastAsia"/>
              <w:color w:val="auto"/>
            </w:rPr>
            <w:t>术  语</w:t>
          </w:r>
          <w:r>
            <w:rPr>
              <w:color w:val="auto"/>
            </w:rPr>
            <w:tab/>
          </w:r>
          <w:r>
            <w:rPr>
              <w:color w:val="auto"/>
            </w:rPr>
            <w:fldChar w:fldCharType="begin"/>
          </w:r>
          <w:r>
            <w:rPr>
              <w:color w:val="auto"/>
            </w:rPr>
            <w:instrText xml:space="preserve"> PAGEREF _Toc24564 \h </w:instrText>
          </w:r>
          <w:r>
            <w:rPr>
              <w:color w:val="auto"/>
            </w:rPr>
            <w:fldChar w:fldCharType="separate"/>
          </w:r>
          <w:r>
            <w:rPr>
              <w:color w:val="auto"/>
            </w:rPr>
            <w:t>2</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_Toc25571 </w:instrText>
          </w:r>
          <w:r>
            <w:rPr>
              <w:bCs/>
              <w:color w:val="auto"/>
              <w:szCs w:val="24"/>
            </w:rPr>
            <w:fldChar w:fldCharType="separate"/>
          </w:r>
          <w:r>
            <w:rPr>
              <w:color w:val="auto"/>
              <w:szCs w:val="24"/>
            </w:rPr>
            <w:t>2.2 符  号</w:t>
          </w:r>
          <w:r>
            <w:rPr>
              <w:color w:val="auto"/>
            </w:rPr>
            <w:tab/>
          </w:r>
          <w:r>
            <w:rPr>
              <w:color w:val="auto"/>
            </w:rPr>
            <w:fldChar w:fldCharType="begin"/>
          </w:r>
          <w:r>
            <w:rPr>
              <w:color w:val="auto"/>
            </w:rPr>
            <w:instrText xml:space="preserve"> PAGEREF _Toc25571 \h </w:instrText>
          </w:r>
          <w:r>
            <w:rPr>
              <w:color w:val="auto"/>
            </w:rPr>
            <w:fldChar w:fldCharType="separate"/>
          </w:r>
          <w:r>
            <w:rPr>
              <w:color w:val="auto"/>
            </w:rPr>
            <w:t>3</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_Toc9824 </w:instrText>
          </w:r>
          <w:r>
            <w:rPr>
              <w:bCs/>
              <w:color w:val="auto"/>
              <w:szCs w:val="24"/>
            </w:rPr>
            <w:fldChar w:fldCharType="separate"/>
          </w:r>
          <w:r>
            <w:rPr>
              <w:rFonts w:hint="eastAsia" w:ascii="宋体" w:hAnsi="宋体" w:eastAsia="宋体" w:cs="宋体"/>
              <w:color w:val="auto"/>
            </w:rPr>
            <w:t>3  材料</w:t>
          </w:r>
          <w:r>
            <w:rPr>
              <w:color w:val="auto"/>
            </w:rPr>
            <w:tab/>
          </w:r>
          <w:r>
            <w:rPr>
              <w:color w:val="auto"/>
            </w:rPr>
            <w:fldChar w:fldCharType="begin"/>
          </w:r>
          <w:r>
            <w:rPr>
              <w:color w:val="auto"/>
            </w:rPr>
            <w:instrText xml:space="preserve"> PAGEREF _Toc9824 \h </w:instrText>
          </w:r>
          <w:r>
            <w:rPr>
              <w:color w:val="auto"/>
            </w:rPr>
            <w:fldChar w:fldCharType="separate"/>
          </w:r>
          <w:r>
            <w:rPr>
              <w:color w:val="auto"/>
            </w:rPr>
            <w:t>8</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_Toc25913 </w:instrText>
          </w:r>
          <w:r>
            <w:rPr>
              <w:bCs/>
              <w:color w:val="auto"/>
              <w:szCs w:val="24"/>
            </w:rPr>
            <w:fldChar w:fldCharType="separate"/>
          </w:r>
          <w:r>
            <w:rPr>
              <w:rFonts w:hint="eastAsia"/>
              <w:color w:val="auto"/>
            </w:rPr>
            <w:t>3.1 一般要求</w:t>
          </w:r>
          <w:r>
            <w:rPr>
              <w:color w:val="auto"/>
            </w:rPr>
            <w:tab/>
          </w:r>
          <w:r>
            <w:rPr>
              <w:color w:val="auto"/>
            </w:rPr>
            <w:fldChar w:fldCharType="begin"/>
          </w:r>
          <w:r>
            <w:rPr>
              <w:color w:val="auto"/>
            </w:rPr>
            <w:instrText xml:space="preserve"> PAGEREF _Toc25913 \h </w:instrText>
          </w:r>
          <w:r>
            <w:rPr>
              <w:color w:val="auto"/>
            </w:rPr>
            <w:fldChar w:fldCharType="separate"/>
          </w:r>
          <w:r>
            <w:rPr>
              <w:color w:val="auto"/>
            </w:rPr>
            <w:t>8</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_Toc558 </w:instrText>
          </w:r>
          <w:r>
            <w:rPr>
              <w:bCs/>
              <w:color w:val="auto"/>
              <w:szCs w:val="24"/>
            </w:rPr>
            <w:fldChar w:fldCharType="separate"/>
          </w:r>
          <w:r>
            <w:rPr>
              <w:color w:val="auto"/>
            </w:rPr>
            <w:t>3.2 植筋系统的要求</w:t>
          </w:r>
          <w:r>
            <w:rPr>
              <w:color w:val="auto"/>
            </w:rPr>
            <w:tab/>
          </w:r>
          <w:r>
            <w:rPr>
              <w:color w:val="auto"/>
            </w:rPr>
            <w:fldChar w:fldCharType="begin"/>
          </w:r>
          <w:r>
            <w:rPr>
              <w:color w:val="auto"/>
            </w:rPr>
            <w:instrText xml:space="preserve"> PAGEREF _Toc558 \h </w:instrText>
          </w:r>
          <w:r>
            <w:rPr>
              <w:color w:val="auto"/>
            </w:rPr>
            <w:fldChar w:fldCharType="separate"/>
          </w:r>
          <w:r>
            <w:rPr>
              <w:color w:val="auto"/>
            </w:rPr>
            <w:t>10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_Toc6530 </w:instrText>
          </w:r>
          <w:r>
            <w:rPr>
              <w:bCs/>
              <w:color w:val="auto"/>
              <w:szCs w:val="24"/>
            </w:rPr>
            <w:fldChar w:fldCharType="separate"/>
          </w:r>
          <w:r>
            <w:rPr>
              <w:rFonts w:hint="eastAsia" w:ascii="宋体" w:hAnsi="宋体" w:eastAsia="宋体" w:cs="宋体"/>
              <w:color w:val="auto"/>
            </w:rPr>
            <w:t>4  设计</w:t>
          </w:r>
          <w:r>
            <w:rPr>
              <w:color w:val="auto"/>
            </w:rPr>
            <w:tab/>
          </w:r>
          <w:r>
            <w:rPr>
              <w:color w:val="auto"/>
            </w:rPr>
            <w:fldChar w:fldCharType="begin"/>
          </w:r>
          <w:r>
            <w:rPr>
              <w:color w:val="auto"/>
            </w:rPr>
            <w:instrText xml:space="preserve"> PAGEREF _Toc6530 \h </w:instrText>
          </w:r>
          <w:r>
            <w:rPr>
              <w:color w:val="auto"/>
            </w:rPr>
            <w:fldChar w:fldCharType="separate"/>
          </w:r>
          <w:r>
            <w:rPr>
              <w:color w:val="auto"/>
            </w:rPr>
            <w:t>12</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_Toc22749 </w:instrText>
          </w:r>
          <w:r>
            <w:rPr>
              <w:bCs/>
              <w:color w:val="auto"/>
              <w:szCs w:val="24"/>
            </w:rPr>
            <w:fldChar w:fldCharType="separate"/>
          </w:r>
          <w:r>
            <w:rPr>
              <w:rFonts w:hint="eastAsia"/>
              <w:color w:val="auto"/>
            </w:rPr>
            <w:t>4.1 一般规定</w:t>
          </w:r>
          <w:r>
            <w:rPr>
              <w:color w:val="auto"/>
            </w:rPr>
            <w:tab/>
          </w:r>
          <w:r>
            <w:rPr>
              <w:color w:val="auto"/>
            </w:rPr>
            <w:fldChar w:fldCharType="begin"/>
          </w:r>
          <w:r>
            <w:rPr>
              <w:color w:val="auto"/>
            </w:rPr>
            <w:instrText xml:space="preserve"> PAGEREF _Toc22749 \h </w:instrText>
          </w:r>
          <w:r>
            <w:rPr>
              <w:color w:val="auto"/>
            </w:rPr>
            <w:fldChar w:fldCharType="separate"/>
          </w:r>
          <w:r>
            <w:rPr>
              <w:color w:val="auto"/>
            </w:rPr>
            <w:t>12</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_Toc23290 </w:instrText>
          </w:r>
          <w:r>
            <w:rPr>
              <w:bCs/>
              <w:color w:val="auto"/>
              <w:szCs w:val="24"/>
            </w:rPr>
            <w:fldChar w:fldCharType="separate"/>
          </w:r>
          <w:r>
            <w:rPr>
              <w:color w:val="auto"/>
            </w:rPr>
            <w:t>4</w:t>
          </w:r>
          <w:r>
            <w:rPr>
              <w:rFonts w:hint="eastAsia"/>
              <w:color w:val="auto"/>
            </w:rPr>
            <w:t>.</w:t>
          </w:r>
          <w:r>
            <w:rPr>
              <w:color w:val="auto"/>
            </w:rPr>
            <w:t>2</w:t>
          </w:r>
          <w:r>
            <w:rPr>
              <w:rFonts w:hint="eastAsia"/>
              <w:color w:val="auto"/>
            </w:rPr>
            <w:t xml:space="preserve"> 基于充分利用钢材强度的植筋锚固长度验算</w:t>
          </w:r>
          <w:r>
            <w:rPr>
              <w:color w:val="auto"/>
            </w:rPr>
            <w:tab/>
          </w:r>
          <w:r>
            <w:rPr>
              <w:color w:val="auto"/>
            </w:rPr>
            <w:fldChar w:fldCharType="begin"/>
          </w:r>
          <w:r>
            <w:rPr>
              <w:color w:val="auto"/>
            </w:rPr>
            <w:instrText xml:space="preserve"> PAGEREF _Toc23290 \h </w:instrText>
          </w:r>
          <w:r>
            <w:rPr>
              <w:color w:val="auto"/>
            </w:rPr>
            <w:fldChar w:fldCharType="separate"/>
          </w:r>
          <w:r>
            <w:rPr>
              <w:color w:val="auto"/>
            </w:rPr>
            <w:t>15</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_Toc25482 </w:instrText>
          </w:r>
          <w:r>
            <w:rPr>
              <w:bCs/>
              <w:color w:val="auto"/>
              <w:szCs w:val="24"/>
            </w:rPr>
            <w:fldChar w:fldCharType="separate"/>
          </w:r>
          <w:r>
            <w:rPr>
              <w:color w:val="auto"/>
            </w:rPr>
            <w:t>4</w:t>
          </w:r>
          <w:r>
            <w:rPr>
              <w:rFonts w:hint="eastAsia"/>
              <w:color w:val="auto"/>
            </w:rPr>
            <w:t>.3 搭接植筋长度计算</w:t>
          </w:r>
          <w:r>
            <w:rPr>
              <w:color w:val="auto"/>
            </w:rPr>
            <w:tab/>
          </w:r>
          <w:r>
            <w:rPr>
              <w:color w:val="auto"/>
            </w:rPr>
            <w:fldChar w:fldCharType="begin"/>
          </w:r>
          <w:r>
            <w:rPr>
              <w:color w:val="auto"/>
            </w:rPr>
            <w:instrText xml:space="preserve"> PAGEREF _Toc25482 \h </w:instrText>
          </w:r>
          <w:r>
            <w:rPr>
              <w:color w:val="auto"/>
            </w:rPr>
            <w:fldChar w:fldCharType="separate"/>
          </w:r>
          <w:r>
            <w:rPr>
              <w:color w:val="auto"/>
            </w:rPr>
            <w:t>23</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_Toc28367 </w:instrText>
          </w:r>
          <w:r>
            <w:rPr>
              <w:bCs/>
              <w:color w:val="auto"/>
              <w:szCs w:val="24"/>
            </w:rPr>
            <w:fldChar w:fldCharType="separate"/>
          </w:r>
          <w:r>
            <w:rPr>
              <w:color w:val="auto"/>
            </w:rPr>
            <w:t>4</w:t>
          </w:r>
          <w:r>
            <w:rPr>
              <w:rFonts w:hint="eastAsia"/>
              <w:color w:val="auto"/>
            </w:rPr>
            <w:t>.4 拉结植筋锚固承载力计算</w:t>
          </w:r>
          <w:r>
            <w:rPr>
              <w:color w:val="auto"/>
            </w:rPr>
            <w:tab/>
          </w:r>
          <w:r>
            <w:rPr>
              <w:color w:val="auto"/>
            </w:rPr>
            <w:fldChar w:fldCharType="begin"/>
          </w:r>
          <w:r>
            <w:rPr>
              <w:color w:val="auto"/>
            </w:rPr>
            <w:instrText xml:space="preserve"> PAGEREF _Toc28367 \h </w:instrText>
          </w:r>
          <w:r>
            <w:rPr>
              <w:color w:val="auto"/>
            </w:rPr>
            <w:fldChar w:fldCharType="separate"/>
          </w:r>
          <w:r>
            <w:rPr>
              <w:color w:val="auto"/>
            </w:rPr>
            <w:t>23</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_Toc10511 </w:instrText>
          </w:r>
          <w:r>
            <w:rPr>
              <w:bCs/>
              <w:color w:val="auto"/>
              <w:szCs w:val="24"/>
            </w:rPr>
            <w:fldChar w:fldCharType="separate"/>
          </w:r>
          <w:r>
            <w:rPr>
              <w:color w:val="auto"/>
            </w:rPr>
            <w:t>4</w:t>
          </w:r>
          <w:r>
            <w:rPr>
              <w:rFonts w:hint="eastAsia"/>
              <w:color w:val="auto"/>
            </w:rPr>
            <w:t>.5 火灾下的植筋锚固计算</w:t>
          </w:r>
          <w:r>
            <w:rPr>
              <w:color w:val="auto"/>
            </w:rPr>
            <w:tab/>
          </w:r>
          <w:r>
            <w:rPr>
              <w:color w:val="auto"/>
            </w:rPr>
            <w:fldChar w:fldCharType="begin"/>
          </w:r>
          <w:r>
            <w:rPr>
              <w:color w:val="auto"/>
            </w:rPr>
            <w:instrText xml:space="preserve"> PAGEREF _Toc10511 \h </w:instrText>
          </w:r>
          <w:r>
            <w:rPr>
              <w:color w:val="auto"/>
            </w:rPr>
            <w:fldChar w:fldCharType="separate"/>
          </w:r>
          <w:r>
            <w:rPr>
              <w:color w:val="auto"/>
            </w:rPr>
            <w:t>27</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_Toc17749 </w:instrText>
          </w:r>
          <w:r>
            <w:rPr>
              <w:bCs/>
              <w:color w:val="auto"/>
              <w:szCs w:val="24"/>
            </w:rPr>
            <w:fldChar w:fldCharType="separate"/>
          </w:r>
          <w:r>
            <w:rPr>
              <w:rFonts w:ascii="宋体" w:hAnsi="宋体" w:eastAsia="宋体" w:cs="宋体"/>
              <w:color w:val="auto"/>
            </w:rPr>
            <w:t>5</w:t>
          </w:r>
          <w:r>
            <w:rPr>
              <w:rFonts w:hint="eastAsia" w:ascii="宋体" w:hAnsi="宋体" w:eastAsia="宋体" w:cs="宋体"/>
              <w:color w:val="auto"/>
            </w:rPr>
            <w:t xml:space="preserve">  构造措施</w:t>
          </w:r>
          <w:r>
            <w:rPr>
              <w:color w:val="auto"/>
            </w:rPr>
            <w:tab/>
          </w:r>
          <w:r>
            <w:rPr>
              <w:color w:val="auto"/>
            </w:rPr>
            <w:fldChar w:fldCharType="begin"/>
          </w:r>
          <w:r>
            <w:rPr>
              <w:color w:val="auto"/>
            </w:rPr>
            <w:instrText xml:space="preserve"> PAGEREF _Toc17749 \h </w:instrText>
          </w:r>
          <w:r>
            <w:rPr>
              <w:color w:val="auto"/>
            </w:rPr>
            <w:fldChar w:fldCharType="separate"/>
          </w:r>
          <w:r>
            <w:rPr>
              <w:color w:val="auto"/>
            </w:rPr>
            <w:t>30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_Toc12769 </w:instrText>
          </w:r>
          <w:r>
            <w:rPr>
              <w:bCs/>
              <w:color w:val="auto"/>
              <w:szCs w:val="24"/>
            </w:rPr>
            <w:fldChar w:fldCharType="separate"/>
          </w:r>
          <w:r>
            <w:rPr>
              <w:rFonts w:ascii="宋体" w:hAnsi="宋体" w:eastAsia="宋体" w:cs="宋体"/>
              <w:color w:val="auto"/>
            </w:rPr>
            <w:t>6</w:t>
          </w:r>
          <w:r>
            <w:rPr>
              <w:rFonts w:hint="eastAsia" w:ascii="宋体" w:hAnsi="宋体" w:eastAsia="宋体" w:cs="宋体"/>
              <w:color w:val="auto"/>
            </w:rPr>
            <w:t xml:space="preserve">  施工要求与质量验收</w:t>
          </w:r>
          <w:r>
            <w:rPr>
              <w:color w:val="auto"/>
            </w:rPr>
            <w:tab/>
          </w:r>
          <w:r>
            <w:rPr>
              <w:color w:val="auto"/>
            </w:rPr>
            <w:fldChar w:fldCharType="begin"/>
          </w:r>
          <w:r>
            <w:rPr>
              <w:color w:val="auto"/>
            </w:rPr>
            <w:instrText xml:space="preserve"> PAGEREF _Toc12769 \h </w:instrText>
          </w:r>
          <w:r>
            <w:rPr>
              <w:color w:val="auto"/>
            </w:rPr>
            <w:fldChar w:fldCharType="separate"/>
          </w:r>
          <w:r>
            <w:rPr>
              <w:color w:val="auto"/>
            </w:rPr>
            <w:t>32</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_Toc209 </w:instrText>
          </w:r>
          <w:r>
            <w:rPr>
              <w:bCs/>
              <w:color w:val="auto"/>
              <w:szCs w:val="24"/>
            </w:rPr>
            <w:fldChar w:fldCharType="separate"/>
          </w:r>
          <w:r>
            <w:rPr>
              <w:color w:val="auto"/>
            </w:rPr>
            <w:t>6</w:t>
          </w:r>
          <w:r>
            <w:rPr>
              <w:rFonts w:hint="eastAsia"/>
              <w:color w:val="auto"/>
            </w:rPr>
            <w:t>.1 一般规定</w:t>
          </w:r>
          <w:r>
            <w:rPr>
              <w:color w:val="auto"/>
            </w:rPr>
            <w:tab/>
          </w:r>
          <w:r>
            <w:rPr>
              <w:color w:val="auto"/>
            </w:rPr>
            <w:fldChar w:fldCharType="begin"/>
          </w:r>
          <w:r>
            <w:rPr>
              <w:color w:val="auto"/>
            </w:rPr>
            <w:instrText xml:space="preserve"> PAGEREF _Toc209 \h </w:instrText>
          </w:r>
          <w:r>
            <w:rPr>
              <w:color w:val="auto"/>
            </w:rPr>
            <w:fldChar w:fldCharType="separate"/>
          </w:r>
          <w:r>
            <w:rPr>
              <w:color w:val="auto"/>
            </w:rPr>
            <w:t>32</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_Toc3123 </w:instrText>
          </w:r>
          <w:r>
            <w:rPr>
              <w:bCs/>
              <w:color w:val="auto"/>
              <w:szCs w:val="24"/>
            </w:rPr>
            <w:fldChar w:fldCharType="separate"/>
          </w:r>
          <w:r>
            <w:rPr>
              <w:color w:val="auto"/>
            </w:rPr>
            <w:t>6</w:t>
          </w:r>
          <w:r>
            <w:rPr>
              <w:rFonts w:hint="eastAsia"/>
              <w:color w:val="auto"/>
            </w:rPr>
            <w:t>.2 施工要求</w:t>
          </w:r>
          <w:r>
            <w:rPr>
              <w:color w:val="auto"/>
            </w:rPr>
            <w:tab/>
          </w:r>
          <w:r>
            <w:rPr>
              <w:color w:val="auto"/>
            </w:rPr>
            <w:fldChar w:fldCharType="begin"/>
          </w:r>
          <w:r>
            <w:rPr>
              <w:color w:val="auto"/>
            </w:rPr>
            <w:instrText xml:space="preserve"> PAGEREF _Toc3123 \h </w:instrText>
          </w:r>
          <w:r>
            <w:rPr>
              <w:color w:val="auto"/>
            </w:rPr>
            <w:fldChar w:fldCharType="separate"/>
          </w:r>
          <w:r>
            <w:rPr>
              <w:color w:val="auto"/>
            </w:rPr>
            <w:t>33</w:t>
          </w:r>
          <w:r>
            <w:rPr>
              <w:color w:val="auto"/>
            </w:rPr>
            <w:fldChar w:fldCharType="end"/>
          </w:r>
          <w:r>
            <w:rPr>
              <w:bCs/>
              <w:color w:val="auto"/>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_Toc8104 </w:instrText>
          </w:r>
          <w:r>
            <w:rPr>
              <w:bCs/>
              <w:color w:val="auto"/>
              <w:szCs w:val="24"/>
            </w:rPr>
            <w:fldChar w:fldCharType="separate"/>
          </w:r>
          <w:r>
            <w:rPr>
              <w:color w:val="auto"/>
            </w:rPr>
            <w:t>6</w:t>
          </w:r>
          <w:r>
            <w:rPr>
              <w:rFonts w:hint="eastAsia"/>
              <w:color w:val="auto"/>
            </w:rPr>
            <w:t>.3 施工质量验收</w:t>
          </w:r>
          <w:r>
            <w:rPr>
              <w:color w:val="auto"/>
            </w:rPr>
            <w:tab/>
          </w:r>
          <w:r>
            <w:rPr>
              <w:color w:val="auto"/>
            </w:rPr>
            <w:fldChar w:fldCharType="begin"/>
          </w:r>
          <w:r>
            <w:rPr>
              <w:color w:val="auto"/>
            </w:rPr>
            <w:instrText xml:space="preserve"> PAGEREF _Toc8104 \h </w:instrText>
          </w:r>
          <w:r>
            <w:rPr>
              <w:color w:val="auto"/>
            </w:rPr>
            <w:fldChar w:fldCharType="separate"/>
          </w:r>
          <w:r>
            <w:rPr>
              <w:color w:val="auto"/>
            </w:rPr>
            <w:t>40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_Toc10731 </w:instrText>
          </w:r>
          <w:r>
            <w:rPr>
              <w:bCs/>
              <w:color w:val="auto"/>
              <w:szCs w:val="24"/>
            </w:rPr>
            <w:fldChar w:fldCharType="separate"/>
          </w:r>
          <w:r>
            <w:rPr>
              <w:rFonts w:hint="eastAsia" w:ascii="黑体" w:hAnsi="黑体" w:eastAsia="黑体" w:cs="黑体"/>
              <w:color w:val="auto"/>
            </w:rPr>
            <w:t>附录A  植筋系统试验通用要求</w:t>
          </w:r>
          <w:r>
            <w:rPr>
              <w:color w:val="auto"/>
            </w:rPr>
            <w:tab/>
          </w:r>
          <w:r>
            <w:rPr>
              <w:color w:val="auto"/>
            </w:rPr>
            <w:fldChar w:fldCharType="begin"/>
          </w:r>
          <w:r>
            <w:rPr>
              <w:color w:val="auto"/>
            </w:rPr>
            <w:instrText xml:space="preserve"> PAGEREF _Toc10731 \h </w:instrText>
          </w:r>
          <w:r>
            <w:rPr>
              <w:color w:val="auto"/>
            </w:rPr>
            <w:fldChar w:fldCharType="separate"/>
          </w:r>
          <w:r>
            <w:rPr>
              <w:color w:val="auto"/>
            </w:rPr>
            <w:t>43</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_Toc3938 </w:instrText>
          </w:r>
          <w:r>
            <w:rPr>
              <w:bCs/>
              <w:color w:val="auto"/>
              <w:szCs w:val="24"/>
            </w:rPr>
            <w:fldChar w:fldCharType="separate"/>
          </w:r>
          <w:r>
            <w:rPr>
              <w:rFonts w:hint="eastAsia" w:ascii="Times New Roman" w:hAnsi="Times New Roman"/>
              <w:color w:val="auto"/>
            </w:rPr>
            <w:t>附录B  植筋基准试验方法及评估</w:t>
          </w:r>
          <w:r>
            <w:rPr>
              <w:color w:val="auto"/>
            </w:rPr>
            <w:tab/>
          </w:r>
          <w:r>
            <w:rPr>
              <w:color w:val="auto"/>
            </w:rPr>
            <w:fldChar w:fldCharType="begin"/>
          </w:r>
          <w:r>
            <w:rPr>
              <w:color w:val="auto"/>
            </w:rPr>
            <w:instrText xml:space="preserve"> PAGEREF _Toc3938 \h </w:instrText>
          </w:r>
          <w:r>
            <w:rPr>
              <w:color w:val="auto"/>
            </w:rPr>
            <w:fldChar w:fldCharType="separate"/>
          </w:r>
          <w:r>
            <w:rPr>
              <w:color w:val="auto"/>
            </w:rPr>
            <w:t>50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_Toc29588 </w:instrText>
          </w:r>
          <w:r>
            <w:rPr>
              <w:bCs/>
              <w:color w:val="auto"/>
              <w:szCs w:val="24"/>
            </w:rPr>
            <w:fldChar w:fldCharType="separate"/>
          </w:r>
          <w:r>
            <w:rPr>
              <w:rFonts w:hint="eastAsia" w:ascii="Times New Roman" w:hAnsi="Times New Roman"/>
              <w:color w:val="auto"/>
            </w:rPr>
            <w:t>附录C 干燥混凝土清孔敏感性试验方法与评估</w:t>
          </w:r>
          <w:r>
            <w:rPr>
              <w:color w:val="auto"/>
            </w:rPr>
            <w:tab/>
          </w:r>
          <w:r>
            <w:rPr>
              <w:color w:val="auto"/>
            </w:rPr>
            <w:fldChar w:fldCharType="begin"/>
          </w:r>
          <w:r>
            <w:rPr>
              <w:color w:val="auto"/>
            </w:rPr>
            <w:instrText xml:space="preserve"> PAGEREF _Toc29588 \h </w:instrText>
          </w:r>
          <w:r>
            <w:rPr>
              <w:color w:val="auto"/>
            </w:rPr>
            <w:fldChar w:fldCharType="separate"/>
          </w:r>
          <w:r>
            <w:rPr>
              <w:color w:val="auto"/>
            </w:rPr>
            <w:t>56</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_Toc30793 </w:instrText>
          </w:r>
          <w:r>
            <w:rPr>
              <w:bCs/>
              <w:color w:val="auto"/>
              <w:szCs w:val="24"/>
            </w:rPr>
            <w:fldChar w:fldCharType="separate"/>
          </w:r>
          <w:r>
            <w:rPr>
              <w:rFonts w:hint="eastAsia" w:ascii="Times New Roman" w:hAnsi="Times New Roman"/>
              <w:color w:val="auto"/>
            </w:rPr>
            <w:t>附录D 潮湿混凝土清孔敏感性试验方法与评估</w:t>
          </w:r>
          <w:r>
            <w:rPr>
              <w:color w:val="auto"/>
            </w:rPr>
            <w:tab/>
          </w:r>
          <w:r>
            <w:rPr>
              <w:color w:val="auto"/>
            </w:rPr>
            <w:fldChar w:fldCharType="begin"/>
          </w:r>
          <w:r>
            <w:rPr>
              <w:color w:val="auto"/>
            </w:rPr>
            <w:instrText xml:space="preserve"> PAGEREF _Toc30793 \h </w:instrText>
          </w:r>
          <w:r>
            <w:rPr>
              <w:color w:val="auto"/>
            </w:rPr>
            <w:fldChar w:fldCharType="separate"/>
          </w:r>
          <w:r>
            <w:rPr>
              <w:color w:val="auto"/>
            </w:rPr>
            <w:t>58</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_Toc15732 </w:instrText>
          </w:r>
          <w:r>
            <w:rPr>
              <w:bCs/>
              <w:color w:val="auto"/>
              <w:szCs w:val="24"/>
            </w:rPr>
            <w:fldChar w:fldCharType="separate"/>
          </w:r>
          <w:r>
            <w:rPr>
              <w:rFonts w:hint="eastAsia" w:ascii="Times New Roman" w:hAnsi="Times New Roman"/>
              <w:color w:val="auto"/>
            </w:rPr>
            <w:t>附录E 垂直向上安装试验方法与评估</w:t>
          </w:r>
          <w:r>
            <w:rPr>
              <w:color w:val="auto"/>
            </w:rPr>
            <w:tab/>
          </w:r>
          <w:r>
            <w:rPr>
              <w:color w:val="auto"/>
            </w:rPr>
            <w:fldChar w:fldCharType="begin"/>
          </w:r>
          <w:r>
            <w:rPr>
              <w:color w:val="auto"/>
            </w:rPr>
            <w:instrText xml:space="preserve"> PAGEREF _Toc15732 \h </w:instrText>
          </w:r>
          <w:r>
            <w:rPr>
              <w:color w:val="auto"/>
            </w:rPr>
            <w:fldChar w:fldCharType="separate"/>
          </w:r>
          <w:r>
            <w:rPr>
              <w:color w:val="auto"/>
            </w:rPr>
            <w:t>60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_Toc2430 </w:instrText>
          </w:r>
          <w:r>
            <w:rPr>
              <w:bCs/>
              <w:color w:val="auto"/>
              <w:szCs w:val="24"/>
            </w:rPr>
            <w:fldChar w:fldCharType="separate"/>
          </w:r>
          <w:r>
            <w:rPr>
              <w:rFonts w:hint="eastAsia" w:ascii="Times New Roman" w:hAnsi="Times New Roman"/>
              <w:color w:val="auto"/>
            </w:rPr>
            <w:t>附录F 水平方向安装试验方法与评估</w:t>
          </w:r>
          <w:r>
            <w:rPr>
              <w:color w:val="auto"/>
            </w:rPr>
            <w:tab/>
          </w:r>
          <w:r>
            <w:rPr>
              <w:color w:val="auto"/>
            </w:rPr>
            <w:fldChar w:fldCharType="begin"/>
          </w:r>
          <w:r>
            <w:rPr>
              <w:color w:val="auto"/>
            </w:rPr>
            <w:instrText xml:space="preserve"> PAGEREF _Toc2430 \h </w:instrText>
          </w:r>
          <w:r>
            <w:rPr>
              <w:color w:val="auto"/>
            </w:rPr>
            <w:fldChar w:fldCharType="separate"/>
          </w:r>
          <w:r>
            <w:rPr>
              <w:color w:val="auto"/>
            </w:rPr>
            <w:t>62</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_Toc27435 </w:instrText>
          </w:r>
          <w:r>
            <w:rPr>
              <w:bCs/>
              <w:color w:val="auto"/>
              <w:szCs w:val="24"/>
            </w:rPr>
            <w:fldChar w:fldCharType="separate"/>
          </w:r>
          <w:r>
            <w:rPr>
              <w:rFonts w:hint="eastAsia" w:ascii="Times New Roman" w:hAnsi="Times New Roman"/>
              <w:color w:val="auto"/>
            </w:rPr>
            <w:t>附录G常温长期荷载性能试验方法与评估</w:t>
          </w:r>
          <w:r>
            <w:rPr>
              <w:color w:val="auto"/>
            </w:rPr>
            <w:tab/>
          </w:r>
          <w:r>
            <w:rPr>
              <w:color w:val="auto"/>
            </w:rPr>
            <w:fldChar w:fldCharType="begin"/>
          </w:r>
          <w:r>
            <w:rPr>
              <w:color w:val="auto"/>
            </w:rPr>
            <w:instrText xml:space="preserve"> PAGEREF _Toc27435 \h </w:instrText>
          </w:r>
          <w:r>
            <w:rPr>
              <w:color w:val="auto"/>
            </w:rPr>
            <w:fldChar w:fldCharType="separate"/>
          </w:r>
          <w:r>
            <w:rPr>
              <w:color w:val="auto"/>
            </w:rPr>
            <w:t>64</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_Toc6975 </w:instrText>
          </w:r>
          <w:r>
            <w:rPr>
              <w:bCs/>
              <w:color w:val="auto"/>
              <w:szCs w:val="24"/>
            </w:rPr>
            <w:fldChar w:fldCharType="separate"/>
          </w:r>
          <w:r>
            <w:rPr>
              <w:rFonts w:hint="eastAsia" w:ascii="Times New Roman" w:hAnsi="Times New Roman"/>
              <w:color w:val="auto"/>
            </w:rPr>
            <w:t>附录H 最高长期使用温度下长期荷载性能试验方法与评估</w:t>
          </w:r>
          <w:r>
            <w:rPr>
              <w:color w:val="auto"/>
            </w:rPr>
            <w:tab/>
          </w:r>
          <w:r>
            <w:rPr>
              <w:color w:val="auto"/>
            </w:rPr>
            <w:fldChar w:fldCharType="begin"/>
          </w:r>
          <w:r>
            <w:rPr>
              <w:color w:val="auto"/>
            </w:rPr>
            <w:instrText xml:space="preserve"> PAGEREF _Toc6975 \h </w:instrText>
          </w:r>
          <w:r>
            <w:rPr>
              <w:color w:val="auto"/>
            </w:rPr>
            <w:fldChar w:fldCharType="separate"/>
          </w:r>
          <w:r>
            <w:rPr>
              <w:color w:val="auto"/>
            </w:rPr>
            <w:t>67</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_Toc13877 </w:instrText>
          </w:r>
          <w:r>
            <w:rPr>
              <w:bCs/>
              <w:color w:val="auto"/>
              <w:szCs w:val="24"/>
            </w:rPr>
            <w:fldChar w:fldCharType="separate"/>
          </w:r>
          <w:r>
            <w:rPr>
              <w:rFonts w:hint="eastAsia" w:ascii="Times New Roman" w:hAnsi="Times New Roman"/>
              <w:color w:val="auto"/>
            </w:rPr>
            <w:t>附录J 植筋抗震性能试验方法与评估</w:t>
          </w:r>
          <w:r>
            <w:rPr>
              <w:color w:val="auto"/>
            </w:rPr>
            <w:tab/>
          </w:r>
          <w:r>
            <w:rPr>
              <w:color w:val="auto"/>
            </w:rPr>
            <w:fldChar w:fldCharType="begin"/>
          </w:r>
          <w:r>
            <w:rPr>
              <w:color w:val="auto"/>
            </w:rPr>
            <w:instrText xml:space="preserve"> PAGEREF _Toc13877 \h </w:instrText>
          </w:r>
          <w:r>
            <w:rPr>
              <w:color w:val="auto"/>
            </w:rPr>
            <w:fldChar w:fldCharType="separate"/>
          </w:r>
          <w:r>
            <w:rPr>
              <w:color w:val="auto"/>
            </w:rPr>
            <w:t>70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_Toc3023 </w:instrText>
          </w:r>
          <w:r>
            <w:rPr>
              <w:bCs/>
              <w:color w:val="auto"/>
              <w:szCs w:val="24"/>
            </w:rPr>
            <w:fldChar w:fldCharType="separate"/>
          </w:r>
          <w:r>
            <w:rPr>
              <w:rFonts w:hint="eastAsia" w:ascii="Times New Roman" w:hAnsi="Times New Roman"/>
              <w:color w:val="auto"/>
            </w:rPr>
            <w:t>附录K最高使用温度试验方法与评估</w:t>
          </w:r>
          <w:r>
            <w:rPr>
              <w:color w:val="auto"/>
            </w:rPr>
            <w:tab/>
          </w:r>
          <w:r>
            <w:rPr>
              <w:color w:val="auto"/>
            </w:rPr>
            <w:fldChar w:fldCharType="begin"/>
          </w:r>
          <w:r>
            <w:rPr>
              <w:color w:val="auto"/>
            </w:rPr>
            <w:instrText xml:space="preserve"> PAGEREF _Toc3023 \h </w:instrText>
          </w:r>
          <w:r>
            <w:rPr>
              <w:color w:val="auto"/>
            </w:rPr>
            <w:fldChar w:fldCharType="separate"/>
          </w:r>
          <w:r>
            <w:rPr>
              <w:color w:val="auto"/>
            </w:rPr>
            <w:t>78</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_Toc24010 </w:instrText>
          </w:r>
          <w:r>
            <w:rPr>
              <w:bCs/>
              <w:color w:val="auto"/>
              <w:szCs w:val="24"/>
            </w:rPr>
            <w:fldChar w:fldCharType="separate"/>
          </w:r>
          <w:r>
            <w:rPr>
              <w:rFonts w:hint="eastAsia" w:ascii="Times New Roman" w:hAnsi="Times New Roman"/>
              <w:color w:val="auto"/>
            </w:rPr>
            <w:t>本</w:t>
          </w:r>
          <w:r>
            <w:rPr>
              <w:rFonts w:hint="eastAsia" w:ascii="Times New Roman" w:hAnsi="Times New Roman"/>
              <w:color w:val="auto"/>
              <w:lang w:val="en-US" w:eastAsia="zh-CN"/>
            </w:rPr>
            <w:t>规程</w:t>
          </w:r>
          <w:r>
            <w:rPr>
              <w:rFonts w:hint="eastAsia" w:ascii="Times New Roman" w:hAnsi="Times New Roman"/>
              <w:color w:val="auto"/>
            </w:rPr>
            <w:t>用词说明</w:t>
          </w:r>
          <w:r>
            <w:rPr>
              <w:color w:val="auto"/>
            </w:rPr>
            <w:tab/>
          </w:r>
          <w:r>
            <w:rPr>
              <w:color w:val="auto"/>
            </w:rPr>
            <w:fldChar w:fldCharType="begin"/>
          </w:r>
          <w:r>
            <w:rPr>
              <w:color w:val="auto"/>
            </w:rPr>
            <w:instrText xml:space="preserve"> PAGEREF _Toc24010 \h </w:instrText>
          </w:r>
          <w:r>
            <w:rPr>
              <w:color w:val="auto"/>
            </w:rPr>
            <w:fldChar w:fldCharType="separate"/>
          </w:r>
          <w:r>
            <w:rPr>
              <w:color w:val="auto"/>
            </w:rPr>
            <w:t>80</w:t>
          </w:r>
          <w:r>
            <w:rPr>
              <w:color w:val="auto"/>
            </w:rPr>
            <w:fldChar w:fldCharType="end"/>
          </w:r>
          <w:r>
            <w:rPr>
              <w:bCs/>
              <w:color w:val="auto"/>
              <w:szCs w:val="24"/>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0" w:line="312" w:lineRule="auto"/>
            <w:textAlignment w:val="auto"/>
            <w:rPr>
              <w:color w:val="auto"/>
            </w:rPr>
          </w:pPr>
          <w:r>
            <w:rPr>
              <w:bCs/>
              <w:color w:val="auto"/>
              <w:szCs w:val="24"/>
            </w:rPr>
            <w:fldChar w:fldCharType="begin"/>
          </w:r>
          <w:r>
            <w:rPr>
              <w:bCs/>
              <w:color w:val="auto"/>
              <w:szCs w:val="24"/>
            </w:rPr>
            <w:instrText xml:space="preserve"> HYPERLINK \l _Toc25848 </w:instrText>
          </w:r>
          <w:r>
            <w:rPr>
              <w:bCs/>
              <w:color w:val="auto"/>
              <w:szCs w:val="24"/>
            </w:rPr>
            <w:fldChar w:fldCharType="separate"/>
          </w:r>
          <w:r>
            <w:rPr>
              <w:rFonts w:hint="eastAsia"/>
              <w:color w:val="auto"/>
              <w:lang w:val="en-US" w:eastAsia="zh-CN"/>
            </w:rPr>
            <w:t>引用标准名录</w:t>
          </w:r>
          <w:r>
            <w:rPr>
              <w:color w:val="auto"/>
            </w:rPr>
            <w:tab/>
          </w:r>
          <w:r>
            <w:rPr>
              <w:color w:val="auto"/>
            </w:rPr>
            <w:fldChar w:fldCharType="begin"/>
          </w:r>
          <w:r>
            <w:rPr>
              <w:color w:val="auto"/>
            </w:rPr>
            <w:instrText xml:space="preserve"> PAGEREF _Toc25848 \h </w:instrText>
          </w:r>
          <w:r>
            <w:rPr>
              <w:color w:val="auto"/>
            </w:rPr>
            <w:fldChar w:fldCharType="separate"/>
          </w:r>
          <w:r>
            <w:rPr>
              <w:color w:val="auto"/>
            </w:rPr>
            <w:t>81</w:t>
          </w:r>
          <w:r>
            <w:rPr>
              <w:color w:val="auto"/>
            </w:rPr>
            <w:fldChar w:fldCharType="end"/>
          </w:r>
          <w:r>
            <w:rPr>
              <w:bCs/>
              <w:color w:val="auto"/>
              <w:szCs w:val="24"/>
            </w:rPr>
            <w:fldChar w:fldCharType="end"/>
          </w:r>
        </w:p>
        <w:p>
          <w:pPr>
            <w:keepNext w:val="0"/>
            <w:keepLines w:val="0"/>
            <w:pageBreakBefore w:val="0"/>
            <w:widowControl w:val="0"/>
            <w:kinsoku/>
            <w:wordWrap/>
            <w:overflowPunct/>
            <w:topLinePunct w:val="0"/>
            <w:autoSpaceDE/>
            <w:autoSpaceDN/>
            <w:bidi w:val="0"/>
            <w:adjustRightInd/>
            <w:snapToGrid/>
            <w:spacing w:after="0" w:line="312" w:lineRule="auto"/>
            <w:textAlignment w:val="auto"/>
          </w:pPr>
          <w:r>
            <w:rPr>
              <w:bCs/>
              <w:color w:val="auto"/>
              <w:szCs w:val="24"/>
            </w:rPr>
            <w:fldChar w:fldCharType="end"/>
          </w:r>
        </w:p>
      </w:sdtContent>
    </w:sdt>
    <w:p>
      <w:pPr>
        <w:pStyle w:val="2"/>
      </w:pPr>
    </w:p>
    <w:p>
      <w:pPr>
        <w:widowControl/>
        <w:jc w:val="left"/>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br w:type="page"/>
      </w:r>
    </w:p>
    <w:p>
      <w:pPr>
        <w:adjustRightInd w:val="0"/>
        <w:snapToGrid w:val="0"/>
        <w:spacing w:line="400" w:lineRule="atLeast"/>
        <w:jc w:val="center"/>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Contents</w:t>
      </w:r>
    </w:p>
    <w:tbl>
      <w:tblPr>
        <w:tblStyle w:val="27"/>
        <w:tblW w:w="833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68"/>
        <w:gridCol w:w="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General Provisions</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Terms and Symbols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Terms</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2.2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Symbols</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3 Material</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8" w:leftChars="0"/>
              <w:textAlignment w:val="auto"/>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General Requirements</w:t>
            </w:r>
            <w:r>
              <w:rPr>
                <w:rFonts w:hint="eastAsia"/>
                <w:color w:val="000000" w:themeColor="text1"/>
                <w14:textFill>
                  <w14:solidFill>
                    <w14:schemeClr w14:val="tx1"/>
                  </w14:solidFill>
                </w14:textFill>
              </w:rPr>
              <w:t xml:space="preserve"> …………………………………………………………</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8" w:leftChars="0"/>
              <w:textAlignment w:val="auto"/>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Requirements on Post-installed Rebar System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 w:leftChars="-1"/>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4 Design Requirements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4.1 General Requirements</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4.2 Anchorage Design Based on Yield Strength of Rebar Fully Utilized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4.3 Lap Splice Design of PIR in Existing Concrete Members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4.4 Design of Post-Installed Shear Connection for Two Concrete Layers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4.5 Fire Resistance of Post-Installed Rebar</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Detail</w:t>
            </w:r>
            <w:r>
              <w:rPr>
                <w:rFonts w:hint="eastAsia"/>
                <w:color w:val="000000" w:themeColor="text1"/>
                <w14:textFill>
                  <w14:solidFill>
                    <w14:schemeClr w14:val="tx1"/>
                  </w14:solidFill>
                </w14:textFill>
              </w:rPr>
              <w:t>ing</w:t>
            </w:r>
            <w:r>
              <w:rPr>
                <w:color w:val="000000" w:themeColor="text1"/>
                <w14:textFill>
                  <w14:solidFill>
                    <w14:schemeClr w14:val="tx1"/>
                  </w14:solidFill>
                </w14:textFill>
              </w:rPr>
              <w:t xml:space="preserve"> Requirements</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Construction and Acceptance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     6.1 General Requirements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6.2 </w:t>
            </w:r>
            <w:r>
              <w:rPr>
                <w:rFonts w:hint="eastAsia"/>
                <w:color w:val="000000" w:themeColor="text1"/>
                <w14:textFill>
                  <w14:solidFill>
                    <w14:schemeClr w14:val="tx1"/>
                  </w14:solidFill>
                </w14:textFill>
              </w:rPr>
              <w:t>Construction</w:t>
            </w:r>
            <w:r>
              <w:rPr>
                <w:color w:val="000000" w:themeColor="text1"/>
                <w14:textFill>
                  <w14:solidFill>
                    <w14:schemeClr w14:val="tx1"/>
                  </w14:solidFill>
                </w14:textFill>
              </w:rPr>
              <w:t xml:space="preserve"> Requirements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ind w:left="283" w:leftChars="135"/>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6.3 </w:t>
            </w:r>
            <w:r>
              <w:rPr>
                <w:rFonts w:hint="eastAsia"/>
                <w:color w:val="000000" w:themeColor="text1"/>
                <w14:textFill>
                  <w14:solidFill>
                    <w14:schemeClr w14:val="tx1"/>
                  </w14:solidFill>
                </w14:textFill>
              </w:rPr>
              <w:t>Inspection</w:t>
            </w:r>
            <w:r>
              <w:rPr>
                <w:color w:val="000000" w:themeColor="text1"/>
                <w14:textFill>
                  <w14:solidFill>
                    <w14:schemeClr w14:val="tx1"/>
                  </w14:solidFill>
                </w14:textFill>
              </w:rPr>
              <w:t xml:space="preserve"> and Acceptance Criteria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Appendix A General Requirement on Post-Installed Rebar System Tests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Appendix </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Reference Tests and Assessments for Post-Installed Rebar</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400" w:lineRule="atLeast"/>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Appendix C Robustness in Dry Concrete Test and Assessment</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Appendix</w:t>
            </w:r>
            <w:r>
              <w:rPr>
                <w:rFonts w:hint="eastAsia"/>
                <w:color w:val="000000" w:themeColor="text1"/>
                <w14:textFill>
                  <w14:solidFill>
                    <w14:schemeClr w14:val="tx1"/>
                  </w14:solidFill>
                </w14:textFill>
              </w:rPr>
              <w:t xml:space="preserve"> D</w:t>
            </w:r>
            <w:r>
              <w:rPr>
                <w:color w:val="000000" w:themeColor="text1"/>
                <w14:textFill>
                  <w14:solidFill>
                    <w14:schemeClr w14:val="tx1"/>
                  </w14:solidFill>
                </w14:textFill>
              </w:rPr>
              <w:t xml:space="preserve"> Robustness in Wet Concrete Test and Assessment</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Appendix</w:t>
            </w:r>
            <w:r>
              <w:rPr>
                <w:rFonts w:hint="eastAsia"/>
                <w:color w:val="000000" w:themeColor="text1"/>
                <w14:textFill>
                  <w14:solidFill>
                    <w14:schemeClr w14:val="tx1"/>
                  </w14:solidFill>
                </w14:textFill>
              </w:rPr>
              <w:t xml:space="preserve"> E</w:t>
            </w:r>
            <w:r>
              <w:rPr>
                <w:color w:val="000000" w:themeColor="text1"/>
                <w14:textFill>
                  <w14:solidFill>
                    <w14:schemeClr w14:val="tx1"/>
                  </w14:solidFill>
                </w14:textFill>
              </w:rPr>
              <w:t xml:space="preserve"> Vertical Upwards Installation Direction Test and Assessment</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Appendix F Horizontal Installation Direction Test and Assessment</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jc w:val="lef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Appendix</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G Normal Temperature Sustain Load Test and Assessment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Appendix</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H </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 xml:space="preserve">aximum Long Term Temperature Sustain Load Test and Assessment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Appendix</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J </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eismic Performance Test and Assessment</w:t>
            </w:r>
            <w:r>
              <w:rPr>
                <w:rFonts w:hint="eastAsia"/>
                <w:color w:val="000000" w:themeColor="text1"/>
                <w14:textFill>
                  <w14:solidFill>
                    <w14:schemeClr w14:val="tx1"/>
                  </w14:solidFill>
                </w14:textFill>
              </w:rPr>
              <w:t xml:space="preserve"> …………………………………</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Appendix</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K High Temperature Test and Assessment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Explanation of Wording in This Code </w:t>
            </w:r>
            <w:r>
              <w:rPr>
                <w:rFonts w:hint="eastAsia"/>
                <w:color w:val="000000" w:themeColor="text1"/>
                <w14:textFill>
                  <w14:solidFill>
                    <w14:schemeClr w14:val="tx1"/>
                  </w14:solidFill>
                </w14:textFill>
              </w:rPr>
              <w:t>……………………………………………………</w:t>
            </w:r>
          </w:p>
        </w:tc>
        <w:tc>
          <w:tcPr>
            <w:tcW w:w="567"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8" w:type="dxa"/>
          </w:tcPr>
          <w:p>
            <w:pPr>
              <w:keepNext w:val="0"/>
              <w:keepLines w:val="0"/>
              <w:pageBreakBefore w:val="0"/>
              <w:widowControl w:val="0"/>
              <w:kinsoku/>
              <w:wordWrap/>
              <w:overflowPunct/>
              <w:topLinePunct w:val="0"/>
              <w:autoSpaceDE/>
              <w:autoSpaceDN/>
              <w:bidi w:val="0"/>
              <w:adjustRightInd w:val="0"/>
              <w:snapToGrid w:val="0"/>
              <w:spacing w:after="0" w:line="400" w:lineRule="atLeas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color w:val="000000" w:themeColor="text1"/>
                <w14:textFill>
                  <w14:solidFill>
                    <w14:schemeClr w14:val="tx1"/>
                  </w14:solidFill>
                </w14:textFill>
              </w:rPr>
              <w:t xml:space="preserve">ist of Quoted Standards </w:t>
            </w:r>
            <w:r>
              <w:rPr>
                <w:rFonts w:hint="eastAsia"/>
                <w:color w:val="000000" w:themeColor="text1"/>
                <w14:textFill>
                  <w14:solidFill>
                    <w14:schemeClr w14:val="tx1"/>
                  </w14:solidFill>
                </w14:textFill>
              </w:rPr>
              <w:t>…………………………………………………………………</w:t>
            </w:r>
          </w:p>
        </w:tc>
        <w:tc>
          <w:tcPr>
            <w:tcW w:w="567" w:type="dxa"/>
          </w:tcPr>
          <w:p>
            <w:pPr>
              <w:pStyle w:val="2"/>
              <w:keepNext w:val="0"/>
              <w:keepLines w:val="0"/>
              <w:pageBreakBefore w:val="0"/>
              <w:widowControl w:val="0"/>
              <w:tabs>
                <w:tab w:val="left" w:pos="210"/>
              </w:tabs>
              <w:kinsoku/>
              <w:wordWrap/>
              <w:overflowPunct/>
              <w:topLinePunct w:val="0"/>
              <w:autoSpaceDE/>
              <w:autoSpaceDN/>
              <w:bidi w:val="0"/>
              <w:adjustRightInd/>
              <w:snapToGrid/>
              <w:spacing w:after="0"/>
              <w:ind w:left="0" w:leftChars="0" w:firstLine="0" w:firstLineChars="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81</w:t>
            </w:r>
          </w:p>
        </w:tc>
      </w:tr>
    </w:tbl>
    <w:p>
      <w:pPr>
        <w:widowControl/>
        <w:jc w:val="left"/>
        <w:rPr>
          <w:rFonts w:ascii="FangSong_GB2312" w:eastAsia="FangSong_GB2312"/>
          <w:sz w:val="24"/>
          <w:szCs w:val="24"/>
        </w:rPr>
      </w:pPr>
    </w:p>
    <w:p>
      <w:pPr>
        <w:widowControl/>
        <w:jc w:val="left"/>
        <w:rPr>
          <w:rFonts w:ascii="FangSong_GB2312" w:eastAsia="FangSong_GB2312"/>
          <w:sz w:val="24"/>
          <w:szCs w:val="24"/>
        </w:rPr>
        <w:sectPr>
          <w:footerReference r:id="rId5" w:type="default"/>
          <w:pgSz w:w="11906" w:h="16838"/>
          <w:pgMar w:top="1440" w:right="1800" w:bottom="1440" w:left="1800" w:header="850" w:footer="994" w:gutter="0"/>
          <w:cols w:space="425" w:num="1"/>
          <w:docGrid w:type="lines" w:linePitch="312" w:charSpace="0"/>
        </w:sectPr>
      </w:pPr>
    </w:p>
    <w:p>
      <w:pPr>
        <w:pStyle w:val="4"/>
        <w:rPr>
          <w:rFonts w:ascii="宋体" w:hAnsi="宋体" w:eastAsia="宋体" w:cs="宋体"/>
          <w:color w:val="auto"/>
        </w:rPr>
      </w:pPr>
      <w:bookmarkStart w:id="6" w:name="_Toc28564"/>
      <w:bookmarkStart w:id="7" w:name="_Toc145273803"/>
      <w:r>
        <w:rPr>
          <w:rFonts w:hint="eastAsia" w:ascii="宋体" w:hAnsi="宋体" w:eastAsia="宋体" w:cs="宋体"/>
          <w:color w:val="auto"/>
        </w:rPr>
        <w:t>1  总  则</w:t>
      </w:r>
      <w:bookmarkEnd w:id="6"/>
      <w:bookmarkEnd w:id="7"/>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bCs/>
          <w:color w:val="auto"/>
          <w:kern w:val="2"/>
          <w:sz w:val="24"/>
          <w:szCs w:val="24"/>
        </w:rPr>
      </w:pPr>
      <w:r>
        <w:rPr>
          <w:b/>
          <w:color w:val="auto"/>
          <w:kern w:val="2"/>
          <w:sz w:val="24"/>
          <w:szCs w:val="24"/>
        </w:rPr>
        <w:t>1.0.1</w:t>
      </w:r>
      <w:r>
        <w:rPr>
          <w:bCs/>
          <w:color w:val="auto"/>
          <w:kern w:val="2"/>
          <w:sz w:val="24"/>
          <w:szCs w:val="24"/>
        </w:rPr>
        <w:t xml:space="preserve"> 为在混凝土结构后锚固植筋系统的应用中做到安全、适用、经济，</w:t>
      </w:r>
      <w:r>
        <w:rPr>
          <w:rFonts w:hint="eastAsia"/>
          <w:bCs/>
          <w:color w:val="auto"/>
          <w:kern w:val="2"/>
          <w:sz w:val="24"/>
          <w:szCs w:val="24"/>
        </w:rPr>
        <w:t>保证质量，</w:t>
      </w:r>
      <w:r>
        <w:rPr>
          <w:bCs/>
          <w:color w:val="auto"/>
          <w:kern w:val="2"/>
          <w:sz w:val="24"/>
          <w:szCs w:val="24"/>
        </w:rPr>
        <w:t>制定本规程。</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bCs/>
          <w:color w:val="auto"/>
          <w:kern w:val="2"/>
          <w:sz w:val="24"/>
          <w:szCs w:val="24"/>
        </w:rPr>
      </w:pPr>
      <w:r>
        <w:rPr>
          <w:b/>
          <w:color w:val="auto"/>
          <w:kern w:val="2"/>
          <w:sz w:val="24"/>
          <w:szCs w:val="24"/>
        </w:rPr>
        <w:t>1.0.2</w:t>
      </w:r>
      <w:r>
        <w:rPr>
          <w:bCs/>
          <w:color w:val="auto"/>
          <w:kern w:val="2"/>
          <w:sz w:val="24"/>
          <w:szCs w:val="24"/>
        </w:rPr>
        <w:t xml:space="preserve"> 本规程适用于</w:t>
      </w:r>
      <w:r>
        <w:rPr>
          <w:rFonts w:hint="eastAsia"/>
          <w:bCs/>
          <w:color w:val="auto"/>
          <w:kern w:val="2"/>
          <w:sz w:val="24"/>
          <w:szCs w:val="24"/>
        </w:rPr>
        <w:t>以钢筋混凝土及预应力混凝土为基材的</w:t>
      </w:r>
      <w:r>
        <w:rPr>
          <w:bCs/>
          <w:color w:val="auto"/>
          <w:kern w:val="2"/>
          <w:sz w:val="24"/>
          <w:szCs w:val="24"/>
        </w:rPr>
        <w:t>后锚固植筋系统的检验、设计</w:t>
      </w:r>
      <w:r>
        <w:rPr>
          <w:rFonts w:hint="eastAsia"/>
          <w:bCs/>
          <w:color w:val="auto"/>
          <w:kern w:val="2"/>
          <w:sz w:val="24"/>
          <w:szCs w:val="24"/>
        </w:rPr>
        <w:t>、</w:t>
      </w:r>
      <w:r>
        <w:rPr>
          <w:bCs/>
          <w:color w:val="auto"/>
          <w:kern w:val="2"/>
          <w:sz w:val="24"/>
          <w:szCs w:val="24"/>
        </w:rPr>
        <w:t>施工</w:t>
      </w:r>
      <w:r>
        <w:rPr>
          <w:rFonts w:hint="eastAsia"/>
          <w:bCs/>
          <w:color w:val="auto"/>
          <w:kern w:val="2"/>
          <w:sz w:val="24"/>
          <w:szCs w:val="24"/>
        </w:rPr>
        <w:t>及验收；不适用于以砌体、轻骨料混凝土及特种混凝土为基材的后锚固植筋</w:t>
      </w:r>
      <w:r>
        <w:rPr>
          <w:bCs/>
          <w:color w:val="auto"/>
          <w:kern w:val="2"/>
          <w:sz w:val="24"/>
          <w:szCs w:val="24"/>
        </w:rPr>
        <w:t>。</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bCs/>
          <w:color w:val="auto"/>
          <w:kern w:val="2"/>
          <w:sz w:val="24"/>
          <w:szCs w:val="24"/>
        </w:rPr>
      </w:pPr>
      <w:r>
        <w:rPr>
          <w:b/>
          <w:color w:val="auto"/>
          <w:kern w:val="2"/>
          <w:sz w:val="24"/>
          <w:szCs w:val="24"/>
        </w:rPr>
        <w:t>1.0.3</w:t>
      </w:r>
      <w:r>
        <w:rPr>
          <w:bCs/>
          <w:color w:val="auto"/>
          <w:kern w:val="2"/>
          <w:sz w:val="24"/>
          <w:szCs w:val="24"/>
        </w:rPr>
        <w:t xml:space="preserve"> 混凝土结构植筋系统的检验、设计</w:t>
      </w:r>
      <w:r>
        <w:rPr>
          <w:rFonts w:hint="eastAsia"/>
          <w:bCs/>
          <w:color w:val="auto"/>
          <w:kern w:val="2"/>
          <w:sz w:val="24"/>
          <w:szCs w:val="24"/>
        </w:rPr>
        <w:t>、</w:t>
      </w:r>
      <w:r>
        <w:rPr>
          <w:bCs/>
          <w:color w:val="auto"/>
          <w:kern w:val="2"/>
          <w:sz w:val="24"/>
          <w:szCs w:val="24"/>
        </w:rPr>
        <w:t>施工</w:t>
      </w:r>
      <w:r>
        <w:rPr>
          <w:rFonts w:hint="eastAsia"/>
          <w:bCs/>
          <w:color w:val="auto"/>
          <w:kern w:val="2"/>
          <w:sz w:val="24"/>
          <w:szCs w:val="24"/>
        </w:rPr>
        <w:t>及验</w:t>
      </w:r>
      <w:r>
        <w:rPr>
          <w:bCs/>
          <w:color w:val="auto"/>
          <w:kern w:val="2"/>
          <w:sz w:val="24"/>
          <w:szCs w:val="24"/>
        </w:rPr>
        <w:t>收，除应符合本规程的规定外，尚应符合国家现行有关标准的规定。</w:t>
      </w:r>
    </w:p>
    <w:p>
      <w:pPr>
        <w:widowControl/>
        <w:autoSpaceDE w:val="0"/>
        <w:autoSpaceDN w:val="0"/>
        <w:adjustRightInd w:val="0"/>
        <w:spacing w:after="0" w:line="360" w:lineRule="auto"/>
        <w:rPr>
          <w:rFonts w:hint="eastAsia"/>
          <w:i/>
          <w:iCs/>
          <w:color w:val="0070C0"/>
          <w:sz w:val="24"/>
          <w:szCs w:val="24"/>
        </w:rPr>
      </w:pPr>
      <w:r>
        <w:rPr>
          <w:i/>
          <w:iCs/>
          <w:color w:val="0070C0"/>
          <w:sz w:val="24"/>
          <w:szCs w:val="24"/>
        </w:rPr>
        <w:t>【条文说明】</w:t>
      </w:r>
      <w:r>
        <w:rPr>
          <w:rFonts w:hint="eastAsia"/>
          <w:b/>
          <w:bCs/>
          <w:i/>
          <w:iCs/>
          <w:color w:val="0070C0"/>
          <w:sz w:val="24"/>
          <w:szCs w:val="24"/>
          <w:lang w:val="en-US" w:eastAsia="zh-CN"/>
        </w:rPr>
        <w:t xml:space="preserve"> </w:t>
      </w:r>
      <w:r>
        <w:rPr>
          <w:rFonts w:hint="eastAsia"/>
          <w:i/>
          <w:iCs/>
          <w:color w:val="0070C0"/>
          <w:sz w:val="24"/>
          <w:szCs w:val="24"/>
        </w:rPr>
        <w:t>根据国家标准《既有建筑物鉴定与加固通用规范》GB55021的规定，植筋不得用于素混凝土构件。当锚固基材为素混凝土或低配筋混凝土时，应按锚栓理论进行设计。</w:t>
      </w:r>
      <w:r>
        <w:rPr>
          <w:rFonts w:hint="eastAsia"/>
          <w:i/>
          <w:iCs/>
          <w:color w:val="0070C0"/>
          <w:sz w:val="24"/>
          <w:szCs w:val="24"/>
          <w:lang w:val="en-US" w:eastAsia="zh-CN"/>
        </w:rPr>
        <w:t>本规程的植筋，主要应用于</w:t>
      </w:r>
      <w:r>
        <w:rPr>
          <w:rFonts w:hint="eastAsia"/>
          <w:i/>
          <w:iCs/>
          <w:color w:val="0070C0"/>
          <w:sz w:val="24"/>
          <w:szCs w:val="24"/>
        </w:rPr>
        <w:t>受拉锚固植筋</w:t>
      </w:r>
      <w:r>
        <w:rPr>
          <w:rFonts w:hint="eastAsia"/>
          <w:i/>
          <w:iCs/>
          <w:color w:val="0070C0"/>
          <w:sz w:val="24"/>
          <w:szCs w:val="24"/>
          <w:lang w:eastAsia="zh-CN"/>
        </w:rPr>
        <w:t>、</w:t>
      </w:r>
      <w:r>
        <w:rPr>
          <w:rFonts w:hint="eastAsia"/>
          <w:i/>
          <w:iCs/>
          <w:color w:val="0070C0"/>
          <w:sz w:val="24"/>
          <w:szCs w:val="24"/>
        </w:rPr>
        <w:t>搭接植筋</w:t>
      </w:r>
      <w:r>
        <w:rPr>
          <w:rFonts w:hint="eastAsia"/>
          <w:i/>
          <w:iCs/>
          <w:color w:val="0070C0"/>
          <w:sz w:val="24"/>
          <w:szCs w:val="24"/>
          <w:lang w:eastAsia="zh-CN"/>
        </w:rPr>
        <w:t>、</w:t>
      </w:r>
      <w:r>
        <w:rPr>
          <w:rFonts w:hint="eastAsia"/>
          <w:i/>
          <w:iCs/>
          <w:color w:val="0070C0"/>
          <w:sz w:val="24"/>
          <w:szCs w:val="24"/>
        </w:rPr>
        <w:t>新旧混凝土构件界面</w:t>
      </w:r>
      <w:r>
        <w:rPr>
          <w:rFonts w:hint="eastAsia"/>
          <w:i/>
          <w:iCs/>
          <w:color w:val="0070C0"/>
          <w:sz w:val="24"/>
          <w:szCs w:val="24"/>
          <w:lang w:val="en-US" w:eastAsia="zh-CN"/>
        </w:rPr>
        <w:t>的</w:t>
      </w:r>
      <w:r>
        <w:rPr>
          <w:rFonts w:hint="eastAsia"/>
          <w:i/>
          <w:iCs/>
          <w:color w:val="0070C0"/>
          <w:sz w:val="24"/>
          <w:szCs w:val="24"/>
        </w:rPr>
        <w:t>拉结植筋</w:t>
      </w:r>
      <w:r>
        <w:rPr>
          <w:rFonts w:hint="eastAsia"/>
          <w:i/>
          <w:iCs/>
          <w:color w:val="0070C0"/>
          <w:sz w:val="24"/>
          <w:szCs w:val="24"/>
          <w:lang w:val="en-US" w:eastAsia="zh-CN"/>
        </w:rPr>
        <w:t>及受压锚固植筋</w:t>
      </w:r>
      <w:r>
        <w:rPr>
          <w:rFonts w:hint="eastAsia"/>
          <w:i/>
          <w:iCs/>
          <w:color w:val="0070C0"/>
          <w:sz w:val="24"/>
          <w:szCs w:val="24"/>
        </w:rPr>
        <w:t>。</w:t>
      </w:r>
    </w:p>
    <w:p>
      <w:pPr>
        <w:pStyle w:val="2"/>
      </w:pPr>
    </w:p>
    <w:p>
      <w:pPr>
        <w:widowControl/>
        <w:jc w:val="left"/>
        <w:rPr>
          <w:rFonts w:ascii="FangSong_GB2312" w:eastAsia="FangSong_GB2312"/>
          <w:color w:val="auto"/>
          <w:sz w:val="24"/>
          <w:szCs w:val="24"/>
        </w:rPr>
      </w:pPr>
      <w:r>
        <w:rPr>
          <w:rFonts w:ascii="FangSong_GB2312" w:eastAsia="FangSong_GB2312"/>
          <w:color w:val="auto"/>
          <w:sz w:val="24"/>
          <w:szCs w:val="24"/>
        </w:rPr>
        <w:br w:type="page"/>
      </w:r>
    </w:p>
    <w:p>
      <w:pPr>
        <w:pStyle w:val="4"/>
        <w:rPr>
          <w:rFonts w:ascii="宋体" w:hAnsi="宋体" w:eastAsia="宋体" w:cs="宋体"/>
        </w:rPr>
      </w:pPr>
      <w:bookmarkStart w:id="8" w:name="_Toc145273804"/>
      <w:bookmarkStart w:id="9" w:name="_Toc21525"/>
      <w:r>
        <w:rPr>
          <w:rFonts w:hint="eastAsia" w:ascii="宋体" w:hAnsi="宋体" w:eastAsia="宋体" w:cs="宋体"/>
        </w:rPr>
        <w:t>2  术语和符号</w:t>
      </w:r>
      <w:bookmarkEnd w:id="8"/>
      <w:bookmarkEnd w:id="9"/>
    </w:p>
    <w:p>
      <w:pPr>
        <w:pStyle w:val="5"/>
      </w:pPr>
      <w:bookmarkStart w:id="10" w:name="_Toc24564"/>
      <w:bookmarkStart w:id="11" w:name="_Toc145273805"/>
      <w:r>
        <w:t xml:space="preserve">2.1 </w:t>
      </w:r>
      <w:r>
        <w:rPr>
          <w:rFonts w:hint="eastAsia"/>
        </w:rPr>
        <w:t>术  语</w:t>
      </w:r>
      <w:bookmarkEnd w:id="10"/>
      <w:bookmarkEnd w:id="11"/>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bookmarkStart w:id="12" w:name="_Hlk138608595"/>
      <w:r>
        <w:rPr>
          <w:b/>
          <w:bCs/>
          <w:color w:val="auto"/>
          <w:sz w:val="24"/>
          <w:szCs w:val="24"/>
        </w:rPr>
        <w:t>2.1.</w:t>
      </w:r>
      <w:r>
        <w:rPr>
          <w:rFonts w:hint="eastAsia"/>
          <w:b/>
          <w:bCs/>
          <w:color w:val="auto"/>
          <w:sz w:val="24"/>
          <w:szCs w:val="24"/>
        </w:rPr>
        <w:t>1</w:t>
      </w:r>
      <w:r>
        <w:rPr>
          <w:b/>
          <w:bCs/>
          <w:color w:val="auto"/>
          <w:sz w:val="24"/>
          <w:szCs w:val="24"/>
        </w:rPr>
        <w:t xml:space="preserve"> </w:t>
      </w:r>
      <w:r>
        <w:rPr>
          <w:rFonts w:hint="eastAsia"/>
          <w:color w:val="auto"/>
          <w:sz w:val="24"/>
          <w:szCs w:val="24"/>
        </w:rPr>
        <w:t>植筋</w:t>
      </w:r>
      <w:r>
        <w:rPr>
          <w:color w:val="auto"/>
          <w:sz w:val="24"/>
          <w:szCs w:val="24"/>
        </w:rPr>
        <w:t xml:space="preserve">  post-installed rebar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10" w:firstLineChars="171"/>
        <w:textAlignment w:val="auto"/>
        <w:rPr>
          <w:rFonts w:hAnsi="宋体"/>
          <w:color w:val="auto"/>
          <w:sz w:val="24"/>
          <w:szCs w:val="24"/>
        </w:rPr>
      </w:pPr>
      <w:r>
        <w:rPr>
          <w:rFonts w:hint="eastAsia" w:hAnsi="宋体"/>
          <w:color w:val="auto"/>
          <w:sz w:val="24"/>
          <w:szCs w:val="24"/>
        </w:rPr>
        <w:t>以专用胶粘剂将带肋钢筋或全螺纹螺杆种植于混凝土基材中的一种后锚固连接方法。</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b/>
          <w:bCs/>
          <w:color w:val="auto"/>
          <w:sz w:val="24"/>
          <w:szCs w:val="24"/>
        </w:rPr>
      </w:pPr>
      <w:r>
        <w:rPr>
          <w:b/>
          <w:bCs/>
          <w:color w:val="auto"/>
          <w:sz w:val="24"/>
          <w:szCs w:val="24"/>
        </w:rPr>
        <w:t>2.1.</w:t>
      </w:r>
      <w:r>
        <w:rPr>
          <w:rFonts w:hint="eastAsia"/>
          <w:b/>
          <w:bCs/>
          <w:color w:val="auto"/>
          <w:sz w:val="24"/>
          <w:szCs w:val="24"/>
        </w:rPr>
        <w:t>2</w:t>
      </w:r>
      <w:r>
        <w:rPr>
          <w:b/>
          <w:bCs/>
          <w:color w:val="auto"/>
          <w:sz w:val="24"/>
          <w:szCs w:val="24"/>
        </w:rPr>
        <w:t xml:space="preserve"> </w:t>
      </w:r>
      <w:r>
        <w:rPr>
          <w:color w:val="auto"/>
          <w:sz w:val="24"/>
          <w:szCs w:val="24"/>
        </w:rPr>
        <w:t>植筋系统 post-installed rebar system</w:t>
      </w:r>
    </w:p>
    <w:p>
      <w:pPr>
        <w:keepNext w:val="0"/>
        <w:keepLines w:val="0"/>
        <w:pageBreakBefore w:val="0"/>
        <w:widowControl w:val="0"/>
        <w:kinsoku/>
        <w:wordWrap/>
        <w:overflowPunct/>
        <w:topLinePunct w:val="0"/>
        <w:autoSpaceDE/>
        <w:autoSpaceDN/>
        <w:bidi w:val="0"/>
        <w:spacing w:after="0" w:line="360" w:lineRule="auto"/>
        <w:ind w:firstLine="555"/>
        <w:textAlignment w:val="auto"/>
        <w:rPr>
          <w:color w:val="auto"/>
          <w:sz w:val="24"/>
          <w:szCs w:val="24"/>
        </w:rPr>
      </w:pPr>
      <w:r>
        <w:rPr>
          <w:rFonts w:hint="eastAsia"/>
          <w:color w:val="auto"/>
          <w:sz w:val="24"/>
          <w:szCs w:val="24"/>
        </w:rPr>
        <w:t>采用植筋方法将新增构件与既有混凝土基材形成整体共同受力的体系。</w:t>
      </w:r>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r>
        <w:rPr>
          <w:b/>
          <w:bCs/>
          <w:color w:val="auto"/>
          <w:sz w:val="24"/>
          <w:szCs w:val="24"/>
        </w:rPr>
        <w:t>2.1.</w:t>
      </w:r>
      <w:r>
        <w:rPr>
          <w:rFonts w:hint="eastAsia"/>
          <w:b/>
          <w:bCs/>
          <w:color w:val="auto"/>
          <w:sz w:val="24"/>
          <w:szCs w:val="24"/>
        </w:rPr>
        <w:t>3</w:t>
      </w:r>
      <w:r>
        <w:rPr>
          <w:b/>
          <w:bCs/>
          <w:color w:val="auto"/>
          <w:sz w:val="24"/>
          <w:szCs w:val="24"/>
        </w:rPr>
        <w:t xml:space="preserve"> </w:t>
      </w:r>
      <w:r>
        <w:rPr>
          <w:color w:val="auto"/>
          <w:sz w:val="24"/>
          <w:szCs w:val="24"/>
        </w:rPr>
        <w:t>混凝土基材 concrete base s</w:t>
      </w:r>
      <w:r>
        <w:rPr>
          <w:rFonts w:hint="eastAsia"/>
          <w:color w:val="auto"/>
          <w:sz w:val="24"/>
          <w:szCs w:val="24"/>
        </w:rPr>
        <w:t>tru</w:t>
      </w:r>
      <w:r>
        <w:rPr>
          <w:color w:val="auto"/>
          <w:sz w:val="24"/>
          <w:szCs w:val="24"/>
        </w:rPr>
        <w:t>cture</w:t>
      </w:r>
    </w:p>
    <w:p>
      <w:pPr>
        <w:keepNext w:val="0"/>
        <w:keepLines w:val="0"/>
        <w:pageBreakBefore w:val="0"/>
        <w:widowControl w:val="0"/>
        <w:kinsoku/>
        <w:wordWrap/>
        <w:overflowPunct/>
        <w:topLinePunct w:val="0"/>
        <w:autoSpaceDE/>
        <w:autoSpaceDN/>
        <w:bidi w:val="0"/>
        <w:spacing w:after="0" w:line="360" w:lineRule="auto"/>
        <w:ind w:firstLine="420"/>
        <w:textAlignment w:val="auto"/>
        <w:rPr>
          <w:color w:val="auto"/>
          <w:sz w:val="24"/>
          <w:szCs w:val="24"/>
        </w:rPr>
      </w:pPr>
      <w:r>
        <w:rPr>
          <w:color w:val="auto"/>
          <w:sz w:val="24"/>
          <w:szCs w:val="24"/>
        </w:rPr>
        <w:t>用于</w:t>
      </w:r>
      <w:r>
        <w:rPr>
          <w:rFonts w:hint="eastAsia"/>
          <w:color w:val="auto"/>
          <w:sz w:val="24"/>
          <w:szCs w:val="24"/>
        </w:rPr>
        <w:t>承载</w:t>
      </w:r>
      <w:r>
        <w:rPr>
          <w:color w:val="auto"/>
          <w:sz w:val="24"/>
          <w:szCs w:val="24"/>
        </w:rPr>
        <w:t>植筋锚固的</w:t>
      </w:r>
      <w:r>
        <w:rPr>
          <w:rFonts w:hint="eastAsia"/>
          <w:color w:val="auto"/>
          <w:sz w:val="24"/>
          <w:szCs w:val="24"/>
        </w:rPr>
        <w:t>母体</w:t>
      </w:r>
      <w:r>
        <w:rPr>
          <w:color w:val="auto"/>
          <w:sz w:val="24"/>
          <w:szCs w:val="24"/>
        </w:rPr>
        <w:t>结构</w:t>
      </w:r>
      <w:r>
        <w:rPr>
          <w:rFonts w:hint="eastAsia"/>
          <w:color w:val="auto"/>
          <w:sz w:val="24"/>
          <w:szCs w:val="24"/>
        </w:rPr>
        <w:t>或非结构混凝土构件</w:t>
      </w:r>
      <w:r>
        <w:rPr>
          <w:color w:val="auto"/>
          <w:sz w:val="24"/>
          <w:szCs w:val="24"/>
        </w:rPr>
        <w:t>，</w:t>
      </w:r>
      <w:r>
        <w:rPr>
          <w:rFonts w:hint="eastAsia"/>
          <w:color w:val="auto"/>
          <w:sz w:val="24"/>
          <w:szCs w:val="24"/>
        </w:rPr>
        <w:t>可以是</w:t>
      </w:r>
      <w:r>
        <w:rPr>
          <w:color w:val="auto"/>
          <w:sz w:val="24"/>
          <w:szCs w:val="24"/>
        </w:rPr>
        <w:t>钢筋混凝土</w:t>
      </w:r>
      <w:r>
        <w:rPr>
          <w:rFonts w:hint="eastAsia"/>
          <w:color w:val="auto"/>
          <w:sz w:val="24"/>
          <w:szCs w:val="24"/>
        </w:rPr>
        <w:t>构件也可以是</w:t>
      </w:r>
      <w:r>
        <w:rPr>
          <w:color w:val="auto"/>
          <w:sz w:val="24"/>
          <w:szCs w:val="24"/>
        </w:rPr>
        <w:t>预应力混凝土</w:t>
      </w:r>
      <w:r>
        <w:rPr>
          <w:rFonts w:hint="eastAsia"/>
          <w:color w:val="auto"/>
          <w:sz w:val="24"/>
          <w:szCs w:val="24"/>
        </w:rPr>
        <w:t>构件等</w:t>
      </w:r>
      <w:r>
        <w:rPr>
          <w:color w:val="auto"/>
          <w:sz w:val="24"/>
          <w:szCs w:val="24"/>
        </w:rPr>
        <w:t>。</w:t>
      </w:r>
    </w:p>
    <w:p>
      <w:pPr>
        <w:keepNext w:val="0"/>
        <w:keepLines w:val="0"/>
        <w:pageBreakBefore w:val="0"/>
        <w:widowControl w:val="0"/>
        <w:kinsoku/>
        <w:wordWrap/>
        <w:overflowPunct/>
        <w:topLinePunct w:val="0"/>
        <w:autoSpaceDE/>
        <w:autoSpaceDN/>
        <w:bidi w:val="0"/>
        <w:spacing w:after="0" w:line="360" w:lineRule="auto"/>
        <w:textAlignment w:val="auto"/>
        <w:rPr>
          <w:color w:val="auto"/>
          <w:sz w:val="24"/>
          <w:szCs w:val="24"/>
        </w:rPr>
      </w:pPr>
      <w:r>
        <w:rPr>
          <w:b/>
          <w:bCs/>
          <w:color w:val="auto"/>
          <w:sz w:val="24"/>
          <w:szCs w:val="24"/>
        </w:rPr>
        <w:t>2.1.</w:t>
      </w:r>
      <w:r>
        <w:rPr>
          <w:rFonts w:hint="eastAsia"/>
          <w:b/>
          <w:bCs/>
          <w:color w:val="auto"/>
          <w:sz w:val="24"/>
          <w:szCs w:val="24"/>
        </w:rPr>
        <w:t>4</w:t>
      </w:r>
      <w:r>
        <w:rPr>
          <w:b/>
          <w:bCs/>
          <w:color w:val="auto"/>
          <w:sz w:val="24"/>
          <w:szCs w:val="24"/>
        </w:rPr>
        <w:t xml:space="preserve"> </w:t>
      </w:r>
      <w:r>
        <w:rPr>
          <w:color w:val="auto"/>
          <w:sz w:val="24"/>
          <w:szCs w:val="24"/>
        </w:rPr>
        <w:t>锚固用胶粘剂</w:t>
      </w:r>
      <w:r>
        <w:rPr>
          <w:color w:val="auto"/>
          <w:sz w:val="24"/>
          <w:szCs w:val="24"/>
        </w:rPr>
        <w:tab/>
      </w:r>
      <w:r>
        <w:rPr>
          <w:color w:val="auto"/>
          <w:sz w:val="24"/>
          <w:szCs w:val="24"/>
        </w:rPr>
        <w:t>adhesive material for anchorage</w:t>
      </w:r>
    </w:p>
    <w:p>
      <w:pPr>
        <w:keepNext w:val="0"/>
        <w:keepLines w:val="0"/>
        <w:pageBreakBefore w:val="0"/>
        <w:widowControl w:val="0"/>
        <w:kinsoku/>
        <w:wordWrap/>
        <w:overflowPunct/>
        <w:topLinePunct w:val="0"/>
        <w:autoSpaceDE/>
        <w:autoSpaceDN/>
        <w:bidi w:val="0"/>
        <w:spacing w:after="0" w:line="360" w:lineRule="auto"/>
        <w:ind w:left="420"/>
        <w:textAlignment w:val="auto"/>
        <w:rPr>
          <w:color w:val="auto"/>
          <w:sz w:val="24"/>
          <w:szCs w:val="24"/>
        </w:rPr>
      </w:pPr>
      <w:r>
        <w:rPr>
          <w:color w:val="auto"/>
          <w:sz w:val="24"/>
          <w:szCs w:val="24"/>
        </w:rPr>
        <w:t>植筋系统的组成部分，用于将钢筋应力传递至混凝土的胶粘材料。</w:t>
      </w:r>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r>
        <w:rPr>
          <w:b/>
          <w:bCs/>
          <w:color w:val="auto"/>
          <w:sz w:val="24"/>
          <w:szCs w:val="24"/>
        </w:rPr>
        <w:t>2.1.</w:t>
      </w:r>
      <w:r>
        <w:rPr>
          <w:rFonts w:hint="eastAsia"/>
          <w:b/>
          <w:bCs/>
          <w:color w:val="auto"/>
          <w:sz w:val="24"/>
          <w:szCs w:val="24"/>
        </w:rPr>
        <w:t>5</w:t>
      </w:r>
      <w:r>
        <w:rPr>
          <w:b/>
          <w:bCs/>
          <w:color w:val="auto"/>
          <w:sz w:val="24"/>
          <w:szCs w:val="24"/>
        </w:rPr>
        <w:t xml:space="preserve"> </w:t>
      </w:r>
      <w:r>
        <w:rPr>
          <w:color w:val="auto"/>
          <w:sz w:val="24"/>
          <w:szCs w:val="24"/>
        </w:rPr>
        <w:t>锚固长度 anchorage length</w:t>
      </w:r>
    </w:p>
    <w:p>
      <w:pPr>
        <w:keepNext w:val="0"/>
        <w:keepLines w:val="0"/>
        <w:pageBreakBefore w:val="0"/>
        <w:widowControl w:val="0"/>
        <w:kinsoku/>
        <w:wordWrap/>
        <w:overflowPunct/>
        <w:topLinePunct w:val="0"/>
        <w:autoSpaceDE/>
        <w:autoSpaceDN/>
        <w:bidi w:val="0"/>
        <w:spacing w:after="0" w:line="360" w:lineRule="auto"/>
        <w:ind w:firstLine="555"/>
        <w:textAlignment w:val="auto"/>
        <w:rPr>
          <w:color w:val="auto"/>
          <w:sz w:val="24"/>
          <w:szCs w:val="24"/>
        </w:rPr>
      </w:pPr>
      <w:r>
        <w:rPr>
          <w:color w:val="auto"/>
          <w:sz w:val="24"/>
          <w:szCs w:val="24"/>
        </w:rPr>
        <w:t>受力钢筋依靠其表面与胶粘剂的粘结作用和胶粘剂与混凝土的粘结作用而将设计荷载传递至混凝土基材的</w:t>
      </w:r>
      <w:r>
        <w:rPr>
          <w:rFonts w:hint="eastAsia"/>
          <w:color w:val="auto"/>
          <w:sz w:val="24"/>
          <w:szCs w:val="24"/>
        </w:rPr>
        <w:t>有效粘结</w:t>
      </w:r>
      <w:r>
        <w:rPr>
          <w:color w:val="auto"/>
          <w:sz w:val="24"/>
          <w:szCs w:val="24"/>
        </w:rPr>
        <w:t>长度。</w:t>
      </w:r>
    </w:p>
    <w:p>
      <w:pPr>
        <w:keepNext w:val="0"/>
        <w:keepLines w:val="0"/>
        <w:pageBreakBefore w:val="0"/>
        <w:widowControl w:val="0"/>
        <w:kinsoku/>
        <w:wordWrap/>
        <w:overflowPunct/>
        <w:topLinePunct w:val="0"/>
        <w:autoSpaceDE/>
        <w:autoSpaceDN/>
        <w:bidi w:val="0"/>
        <w:spacing w:after="0" w:line="360" w:lineRule="auto"/>
        <w:textAlignment w:val="auto"/>
        <w:rPr>
          <w:color w:val="auto"/>
          <w:sz w:val="24"/>
          <w:szCs w:val="24"/>
        </w:rPr>
      </w:pPr>
      <w:r>
        <w:rPr>
          <w:b/>
          <w:bCs/>
          <w:color w:val="auto"/>
          <w:sz w:val="24"/>
          <w:szCs w:val="24"/>
        </w:rPr>
        <w:t xml:space="preserve">2.1.6 </w:t>
      </w:r>
      <w:r>
        <w:rPr>
          <w:rFonts w:hint="eastAsia"/>
          <w:color w:val="auto"/>
          <w:sz w:val="24"/>
          <w:szCs w:val="24"/>
        </w:rPr>
        <w:t>锚固用植筋</w:t>
      </w:r>
      <w:r>
        <w:rPr>
          <w:color w:val="auto"/>
          <w:sz w:val="24"/>
          <w:szCs w:val="24"/>
        </w:rPr>
        <w:tab/>
      </w:r>
      <w:r>
        <w:rPr>
          <w:color w:val="auto"/>
          <w:sz w:val="24"/>
          <w:szCs w:val="24"/>
        </w:rPr>
        <w:t>post-installed rebar for embedment</w:t>
      </w:r>
    </w:p>
    <w:p>
      <w:pPr>
        <w:keepNext w:val="0"/>
        <w:keepLines w:val="0"/>
        <w:pageBreakBefore w:val="0"/>
        <w:widowControl w:val="0"/>
        <w:kinsoku/>
        <w:wordWrap/>
        <w:overflowPunct/>
        <w:topLinePunct w:val="0"/>
        <w:autoSpaceDE/>
        <w:autoSpaceDN/>
        <w:bidi w:val="0"/>
        <w:spacing w:after="0" w:line="360" w:lineRule="auto"/>
        <w:ind w:firstLine="555"/>
        <w:textAlignment w:val="auto"/>
        <w:rPr>
          <w:color w:val="auto"/>
          <w:sz w:val="24"/>
          <w:szCs w:val="24"/>
        </w:rPr>
      </w:pPr>
      <w:r>
        <w:rPr>
          <w:color w:val="auto"/>
          <w:sz w:val="24"/>
          <w:szCs w:val="24"/>
        </w:rPr>
        <w:t>通过</w:t>
      </w:r>
      <w:r>
        <w:rPr>
          <w:rFonts w:hint="eastAsia"/>
          <w:color w:val="auto"/>
          <w:sz w:val="24"/>
          <w:szCs w:val="24"/>
        </w:rPr>
        <w:t>植筋实现钢筋有效锚固的内力传递形式，</w:t>
      </w:r>
      <w:r>
        <w:rPr>
          <w:color w:val="auto"/>
          <w:sz w:val="24"/>
          <w:szCs w:val="24"/>
        </w:rPr>
        <w:t>包含受拉锚固植筋和受</w:t>
      </w:r>
      <w:r>
        <w:rPr>
          <w:rFonts w:hint="eastAsia"/>
          <w:color w:val="auto"/>
          <w:sz w:val="24"/>
          <w:szCs w:val="24"/>
        </w:rPr>
        <w:t>压</w:t>
      </w:r>
      <w:r>
        <w:rPr>
          <w:color w:val="auto"/>
          <w:sz w:val="24"/>
          <w:szCs w:val="24"/>
        </w:rPr>
        <w:t>锚固植筋。</w:t>
      </w:r>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r>
        <w:rPr>
          <w:b/>
          <w:bCs/>
          <w:color w:val="auto"/>
          <w:sz w:val="24"/>
          <w:szCs w:val="24"/>
        </w:rPr>
        <w:t xml:space="preserve">2.1.7 </w:t>
      </w:r>
      <w:r>
        <w:rPr>
          <w:rFonts w:hint="eastAsia"/>
          <w:color w:val="auto"/>
          <w:sz w:val="24"/>
          <w:szCs w:val="24"/>
        </w:rPr>
        <w:t>搭接用植筋</w:t>
      </w:r>
      <w:r>
        <w:rPr>
          <w:color w:val="auto"/>
          <w:sz w:val="24"/>
          <w:szCs w:val="24"/>
        </w:rPr>
        <w:tab/>
      </w:r>
      <w:r>
        <w:rPr>
          <w:color w:val="auto"/>
          <w:sz w:val="24"/>
          <w:szCs w:val="24"/>
        </w:rPr>
        <w:t>post-installed rebar used for lap splice</w:t>
      </w:r>
    </w:p>
    <w:p>
      <w:pPr>
        <w:keepNext w:val="0"/>
        <w:keepLines w:val="0"/>
        <w:pageBreakBefore w:val="0"/>
        <w:widowControl w:val="0"/>
        <w:kinsoku/>
        <w:wordWrap/>
        <w:overflowPunct/>
        <w:topLinePunct w:val="0"/>
        <w:autoSpaceDE/>
        <w:autoSpaceDN/>
        <w:bidi w:val="0"/>
        <w:spacing w:after="0" w:line="360" w:lineRule="auto"/>
        <w:ind w:firstLine="555"/>
        <w:textAlignment w:val="auto"/>
        <w:rPr>
          <w:color w:val="auto"/>
          <w:sz w:val="24"/>
          <w:szCs w:val="24"/>
        </w:rPr>
      </w:pPr>
      <w:r>
        <w:rPr>
          <w:color w:val="auto"/>
          <w:sz w:val="24"/>
          <w:szCs w:val="24"/>
        </w:rPr>
        <w:t>与</w:t>
      </w:r>
      <w:r>
        <w:rPr>
          <w:rFonts w:hint="eastAsia"/>
          <w:color w:val="auto"/>
          <w:sz w:val="24"/>
          <w:szCs w:val="24"/>
        </w:rPr>
        <w:t>既有</w:t>
      </w:r>
      <w:r>
        <w:rPr>
          <w:color w:val="auto"/>
          <w:sz w:val="24"/>
          <w:szCs w:val="24"/>
        </w:rPr>
        <w:t>混凝土内既有钢筋平行安装的植筋，通过搭接长度上的钢筋与混凝土的粘结锚固作用，实现</w:t>
      </w:r>
      <w:r>
        <w:rPr>
          <w:rFonts w:hint="eastAsia"/>
          <w:color w:val="auto"/>
          <w:sz w:val="24"/>
          <w:szCs w:val="24"/>
        </w:rPr>
        <w:t>植筋与既有</w:t>
      </w:r>
      <w:r>
        <w:rPr>
          <w:color w:val="auto"/>
          <w:sz w:val="24"/>
          <w:szCs w:val="24"/>
        </w:rPr>
        <w:t>钢筋</w:t>
      </w:r>
      <w:r>
        <w:rPr>
          <w:rFonts w:hint="eastAsia"/>
          <w:color w:val="auto"/>
          <w:sz w:val="24"/>
          <w:szCs w:val="24"/>
        </w:rPr>
        <w:t>之间</w:t>
      </w:r>
      <w:r>
        <w:rPr>
          <w:color w:val="auto"/>
          <w:sz w:val="24"/>
          <w:szCs w:val="24"/>
        </w:rPr>
        <w:t>的拉力传递。</w:t>
      </w:r>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r>
        <w:rPr>
          <w:b/>
          <w:bCs/>
          <w:color w:val="auto"/>
          <w:sz w:val="24"/>
          <w:szCs w:val="24"/>
        </w:rPr>
        <w:t>2.1.</w:t>
      </w:r>
      <w:r>
        <w:rPr>
          <w:rFonts w:hint="eastAsia"/>
          <w:b/>
          <w:bCs/>
          <w:color w:val="auto"/>
          <w:sz w:val="24"/>
          <w:szCs w:val="24"/>
        </w:rPr>
        <w:t>8</w:t>
      </w:r>
      <w:r>
        <w:rPr>
          <w:b/>
          <w:bCs/>
          <w:color w:val="auto"/>
          <w:sz w:val="24"/>
          <w:szCs w:val="24"/>
        </w:rPr>
        <w:t xml:space="preserve"> </w:t>
      </w:r>
      <w:r>
        <w:rPr>
          <w:color w:val="auto"/>
          <w:sz w:val="24"/>
          <w:szCs w:val="24"/>
        </w:rPr>
        <w:t>拉结</w:t>
      </w:r>
      <w:r>
        <w:rPr>
          <w:rFonts w:hint="eastAsia"/>
          <w:color w:val="auto"/>
          <w:sz w:val="24"/>
          <w:szCs w:val="24"/>
        </w:rPr>
        <w:t>用</w:t>
      </w:r>
      <w:r>
        <w:rPr>
          <w:color w:val="auto"/>
          <w:sz w:val="24"/>
          <w:szCs w:val="24"/>
        </w:rPr>
        <w:t>植筋</w:t>
      </w:r>
      <w:r>
        <w:rPr>
          <w:color w:val="auto"/>
          <w:sz w:val="24"/>
          <w:szCs w:val="24"/>
        </w:rPr>
        <w:tab/>
      </w:r>
      <w:r>
        <w:rPr>
          <w:color w:val="auto"/>
          <w:sz w:val="24"/>
          <w:szCs w:val="24"/>
        </w:rPr>
        <w:t>post-installed tie bar</w:t>
      </w:r>
    </w:p>
    <w:p>
      <w:pPr>
        <w:keepNext w:val="0"/>
        <w:keepLines w:val="0"/>
        <w:pageBreakBefore w:val="0"/>
        <w:widowControl w:val="0"/>
        <w:kinsoku/>
        <w:wordWrap/>
        <w:overflowPunct/>
        <w:topLinePunct w:val="0"/>
        <w:autoSpaceDE/>
        <w:autoSpaceDN/>
        <w:bidi w:val="0"/>
        <w:spacing w:after="0" w:line="360" w:lineRule="auto"/>
        <w:ind w:firstLine="555"/>
        <w:textAlignment w:val="auto"/>
        <w:rPr>
          <w:color w:val="auto"/>
          <w:sz w:val="24"/>
          <w:szCs w:val="24"/>
        </w:rPr>
      </w:pPr>
      <w:r>
        <w:rPr>
          <w:color w:val="auto"/>
          <w:sz w:val="24"/>
          <w:szCs w:val="24"/>
        </w:rPr>
        <w:t>通过</w:t>
      </w:r>
      <w:r>
        <w:rPr>
          <w:rFonts w:hint="eastAsia"/>
          <w:color w:val="auto"/>
          <w:sz w:val="24"/>
          <w:szCs w:val="24"/>
        </w:rPr>
        <w:t>植筋实现新旧混凝土有效连接的内力传递形式，植筋</w:t>
      </w:r>
      <w:r>
        <w:rPr>
          <w:color w:val="auto"/>
          <w:sz w:val="24"/>
          <w:szCs w:val="24"/>
        </w:rPr>
        <w:t>主要用于抵抗</w:t>
      </w:r>
      <w:r>
        <w:rPr>
          <w:rFonts w:hint="eastAsia"/>
          <w:color w:val="auto"/>
          <w:sz w:val="24"/>
          <w:szCs w:val="24"/>
        </w:rPr>
        <w:t>新旧混凝土界面</w:t>
      </w:r>
      <w:r>
        <w:rPr>
          <w:color w:val="auto"/>
          <w:sz w:val="24"/>
          <w:szCs w:val="24"/>
        </w:rPr>
        <w:t>的受力及变形，保证共同工作。</w:t>
      </w:r>
    </w:p>
    <w:p>
      <w:pPr>
        <w:keepNext w:val="0"/>
        <w:keepLines w:val="0"/>
        <w:pageBreakBefore w:val="0"/>
        <w:widowControl w:val="0"/>
        <w:kinsoku/>
        <w:wordWrap/>
        <w:overflowPunct/>
        <w:topLinePunct w:val="0"/>
        <w:autoSpaceDE/>
        <w:autoSpaceDN/>
        <w:bidi w:val="0"/>
        <w:spacing w:after="0" w:line="360" w:lineRule="auto"/>
        <w:textAlignment w:val="auto"/>
        <w:rPr>
          <w:color w:val="auto"/>
          <w:sz w:val="24"/>
          <w:szCs w:val="24"/>
        </w:rPr>
      </w:pPr>
      <w:r>
        <w:rPr>
          <w:b/>
          <w:bCs/>
          <w:color w:val="auto"/>
          <w:sz w:val="24"/>
          <w:szCs w:val="24"/>
        </w:rPr>
        <w:t>2.1.</w:t>
      </w:r>
      <w:r>
        <w:rPr>
          <w:rFonts w:hint="eastAsia"/>
          <w:b/>
          <w:bCs/>
          <w:color w:val="auto"/>
          <w:sz w:val="24"/>
          <w:szCs w:val="24"/>
        </w:rPr>
        <w:t>9</w:t>
      </w:r>
      <w:r>
        <w:rPr>
          <w:b/>
          <w:bCs/>
          <w:color w:val="auto"/>
          <w:sz w:val="24"/>
          <w:szCs w:val="24"/>
        </w:rPr>
        <w:t xml:space="preserve"> </w:t>
      </w:r>
      <w:r>
        <w:rPr>
          <w:color w:val="auto"/>
          <w:sz w:val="24"/>
          <w:szCs w:val="24"/>
        </w:rPr>
        <w:t xml:space="preserve">短期使用温度 short term temperature </w:t>
      </w:r>
    </w:p>
    <w:p>
      <w:pPr>
        <w:keepNext w:val="0"/>
        <w:keepLines w:val="0"/>
        <w:pageBreakBefore w:val="0"/>
        <w:widowControl w:val="0"/>
        <w:kinsoku/>
        <w:wordWrap/>
        <w:overflowPunct/>
        <w:topLinePunct w:val="0"/>
        <w:autoSpaceDE/>
        <w:autoSpaceDN/>
        <w:bidi w:val="0"/>
        <w:spacing w:after="0" w:line="360" w:lineRule="auto"/>
        <w:ind w:firstLine="420"/>
        <w:textAlignment w:val="auto"/>
        <w:rPr>
          <w:color w:val="auto"/>
          <w:sz w:val="24"/>
          <w:szCs w:val="24"/>
        </w:rPr>
      </w:pPr>
      <w:r>
        <w:rPr>
          <w:color w:val="auto"/>
          <w:sz w:val="24"/>
          <w:szCs w:val="24"/>
        </w:rPr>
        <w:t>植筋系统的混凝土构件在</w:t>
      </w:r>
      <w:r>
        <w:rPr>
          <w:rFonts w:hint="eastAsia"/>
          <w:color w:val="auto"/>
          <w:sz w:val="24"/>
          <w:szCs w:val="24"/>
        </w:rPr>
        <w:t>正常</w:t>
      </w:r>
      <w:r>
        <w:rPr>
          <w:color w:val="auto"/>
          <w:sz w:val="24"/>
          <w:szCs w:val="24"/>
        </w:rPr>
        <w:t>使用条件下短时间内</w:t>
      </w:r>
      <w:r>
        <w:rPr>
          <w:rFonts w:hint="eastAsia"/>
          <w:color w:val="auto"/>
          <w:sz w:val="24"/>
          <w:szCs w:val="24"/>
        </w:rPr>
        <w:t>允许</w:t>
      </w:r>
      <w:r>
        <w:rPr>
          <w:color w:val="auto"/>
          <w:sz w:val="24"/>
          <w:szCs w:val="24"/>
        </w:rPr>
        <w:t>发生的温度</w:t>
      </w:r>
      <w:r>
        <w:rPr>
          <w:rFonts w:hint="eastAsia"/>
          <w:color w:val="auto"/>
          <w:sz w:val="24"/>
          <w:szCs w:val="24"/>
        </w:rPr>
        <w:t>变化</w:t>
      </w:r>
      <w:r>
        <w:rPr>
          <w:color w:val="auto"/>
          <w:sz w:val="24"/>
          <w:szCs w:val="24"/>
        </w:rPr>
        <w:t>范围</w:t>
      </w:r>
      <w:r>
        <w:rPr>
          <w:rFonts w:hint="eastAsia"/>
          <w:color w:val="auto"/>
          <w:sz w:val="24"/>
          <w:szCs w:val="24"/>
        </w:rPr>
        <w:t>，通常指</w:t>
      </w:r>
      <w:r>
        <w:rPr>
          <w:color w:val="auto"/>
          <w:sz w:val="24"/>
          <w:szCs w:val="24"/>
        </w:rPr>
        <w:t>昼夜</w:t>
      </w:r>
      <w:r>
        <w:rPr>
          <w:rFonts w:hint="eastAsia"/>
          <w:color w:val="auto"/>
          <w:sz w:val="24"/>
          <w:szCs w:val="24"/>
        </w:rPr>
        <w:t>或</w:t>
      </w:r>
      <w:r>
        <w:rPr>
          <w:color w:val="auto"/>
          <w:sz w:val="24"/>
          <w:szCs w:val="24"/>
        </w:rPr>
        <w:t>冻融循环</w:t>
      </w:r>
      <w:r>
        <w:rPr>
          <w:rFonts w:hint="eastAsia"/>
          <w:color w:val="auto"/>
          <w:sz w:val="24"/>
          <w:szCs w:val="24"/>
        </w:rPr>
        <w:t>内温度变化范围</w:t>
      </w:r>
      <w:r>
        <w:rPr>
          <w:color w:val="auto"/>
          <w:sz w:val="24"/>
          <w:szCs w:val="24"/>
        </w:rPr>
        <w:t>。</w:t>
      </w:r>
    </w:p>
    <w:p>
      <w:pPr>
        <w:keepNext w:val="0"/>
        <w:keepLines w:val="0"/>
        <w:pageBreakBefore w:val="0"/>
        <w:widowControl w:val="0"/>
        <w:kinsoku/>
        <w:wordWrap/>
        <w:overflowPunct/>
        <w:topLinePunct w:val="0"/>
        <w:autoSpaceDE/>
        <w:autoSpaceDN/>
        <w:bidi w:val="0"/>
        <w:spacing w:after="0" w:line="360" w:lineRule="auto"/>
        <w:textAlignment w:val="auto"/>
        <w:rPr>
          <w:color w:val="auto"/>
          <w:sz w:val="24"/>
          <w:szCs w:val="24"/>
        </w:rPr>
      </w:pPr>
      <w:r>
        <w:rPr>
          <w:b/>
          <w:bCs/>
          <w:color w:val="auto"/>
          <w:sz w:val="24"/>
          <w:szCs w:val="24"/>
        </w:rPr>
        <w:t>2.1.1</w:t>
      </w:r>
      <w:r>
        <w:rPr>
          <w:rFonts w:hint="eastAsia"/>
          <w:b/>
          <w:bCs/>
          <w:color w:val="auto"/>
          <w:sz w:val="24"/>
          <w:szCs w:val="24"/>
        </w:rPr>
        <w:t>1</w:t>
      </w:r>
      <w:r>
        <w:rPr>
          <w:b/>
          <w:bCs/>
          <w:color w:val="auto"/>
          <w:sz w:val="24"/>
          <w:szCs w:val="24"/>
        </w:rPr>
        <w:t xml:space="preserve"> </w:t>
      </w:r>
      <w:r>
        <w:rPr>
          <w:color w:val="auto"/>
          <w:sz w:val="24"/>
          <w:szCs w:val="24"/>
        </w:rPr>
        <w:t>长期使用温度 long term temperature</w:t>
      </w:r>
    </w:p>
    <w:p>
      <w:pPr>
        <w:keepNext w:val="0"/>
        <w:keepLines w:val="0"/>
        <w:pageBreakBefore w:val="0"/>
        <w:widowControl w:val="0"/>
        <w:kinsoku/>
        <w:wordWrap/>
        <w:overflowPunct/>
        <w:topLinePunct w:val="0"/>
        <w:autoSpaceDE/>
        <w:autoSpaceDN/>
        <w:bidi w:val="0"/>
        <w:spacing w:after="0" w:line="360" w:lineRule="auto"/>
        <w:ind w:firstLine="420"/>
        <w:textAlignment w:val="auto"/>
        <w:rPr>
          <w:color w:val="auto"/>
          <w:sz w:val="24"/>
          <w:szCs w:val="24"/>
        </w:rPr>
      </w:pPr>
      <w:r>
        <w:rPr>
          <w:rFonts w:hint="eastAsia"/>
          <w:color w:val="auto"/>
          <w:sz w:val="24"/>
          <w:szCs w:val="24"/>
        </w:rPr>
        <w:t>保证</w:t>
      </w:r>
      <w:r>
        <w:rPr>
          <w:color w:val="auto"/>
          <w:sz w:val="24"/>
          <w:szCs w:val="24"/>
        </w:rPr>
        <w:t>植筋系统</w:t>
      </w:r>
      <w:r>
        <w:rPr>
          <w:rFonts w:hint="eastAsia"/>
          <w:color w:val="auto"/>
          <w:sz w:val="24"/>
          <w:szCs w:val="24"/>
        </w:rPr>
        <w:t>能够正常使用的数周或数月期间内</w:t>
      </w:r>
      <w:r>
        <w:rPr>
          <w:color w:val="auto"/>
          <w:sz w:val="24"/>
          <w:szCs w:val="24"/>
        </w:rPr>
        <w:t>的大部分时间所保持的基本稳定</w:t>
      </w:r>
      <w:r>
        <w:rPr>
          <w:rFonts w:hint="eastAsia"/>
          <w:color w:val="auto"/>
          <w:sz w:val="24"/>
          <w:szCs w:val="24"/>
        </w:rPr>
        <w:t>的</w:t>
      </w:r>
      <w:r>
        <w:rPr>
          <w:color w:val="auto"/>
          <w:sz w:val="24"/>
          <w:szCs w:val="24"/>
        </w:rPr>
        <w:t>温度范围。</w:t>
      </w:r>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r>
        <w:rPr>
          <w:b/>
          <w:bCs/>
          <w:color w:val="auto"/>
          <w:sz w:val="24"/>
          <w:szCs w:val="24"/>
        </w:rPr>
        <w:t>2.1.1</w:t>
      </w:r>
      <w:r>
        <w:rPr>
          <w:rFonts w:hint="eastAsia"/>
          <w:b/>
          <w:bCs/>
          <w:color w:val="auto"/>
          <w:sz w:val="24"/>
          <w:szCs w:val="24"/>
        </w:rPr>
        <w:t>2</w:t>
      </w:r>
      <w:r>
        <w:rPr>
          <w:b/>
          <w:bCs/>
          <w:color w:val="auto"/>
          <w:sz w:val="24"/>
          <w:szCs w:val="24"/>
        </w:rPr>
        <w:t xml:space="preserve"> </w:t>
      </w:r>
      <w:r>
        <w:rPr>
          <w:color w:val="auto"/>
          <w:sz w:val="24"/>
          <w:szCs w:val="24"/>
        </w:rPr>
        <w:t>可操作时间</w:t>
      </w:r>
      <w:r>
        <w:rPr>
          <w:color w:val="auto"/>
          <w:sz w:val="24"/>
          <w:szCs w:val="24"/>
        </w:rPr>
        <w:tab/>
      </w:r>
      <w:r>
        <w:rPr>
          <w:color w:val="auto"/>
          <w:sz w:val="24"/>
          <w:szCs w:val="24"/>
        </w:rPr>
        <w:t>operation time</w:t>
      </w:r>
    </w:p>
    <w:p>
      <w:pPr>
        <w:keepNext w:val="0"/>
        <w:keepLines w:val="0"/>
        <w:pageBreakBefore w:val="0"/>
        <w:widowControl w:val="0"/>
        <w:kinsoku/>
        <w:wordWrap/>
        <w:overflowPunct/>
        <w:topLinePunct w:val="0"/>
        <w:autoSpaceDE/>
        <w:autoSpaceDN/>
        <w:bidi w:val="0"/>
        <w:spacing w:after="0" w:line="360" w:lineRule="auto"/>
        <w:ind w:firstLine="420"/>
        <w:textAlignment w:val="auto"/>
        <w:rPr>
          <w:color w:val="auto"/>
          <w:sz w:val="24"/>
          <w:szCs w:val="24"/>
          <w:highlight w:val="yellow"/>
        </w:rPr>
      </w:pPr>
      <w:r>
        <w:rPr>
          <w:rFonts w:hint="eastAsia"/>
          <w:color w:val="auto"/>
          <w:sz w:val="24"/>
          <w:szCs w:val="24"/>
        </w:rPr>
        <w:t>锚固胶粘剂允许进行植筋安装操作（从搅拌完成到注胶并植入钢筋就位）的最长时间。</w:t>
      </w:r>
    </w:p>
    <w:p>
      <w:pPr>
        <w:keepNext w:val="0"/>
        <w:keepLines w:val="0"/>
        <w:pageBreakBefore w:val="0"/>
        <w:widowControl w:val="0"/>
        <w:kinsoku/>
        <w:wordWrap/>
        <w:overflowPunct/>
        <w:topLinePunct w:val="0"/>
        <w:autoSpaceDE/>
        <w:autoSpaceDN/>
        <w:bidi w:val="0"/>
        <w:spacing w:after="0" w:line="360" w:lineRule="auto"/>
        <w:textAlignment w:val="auto"/>
        <w:rPr>
          <w:b/>
          <w:bCs/>
          <w:color w:val="auto"/>
          <w:sz w:val="24"/>
          <w:szCs w:val="24"/>
        </w:rPr>
      </w:pPr>
      <w:r>
        <w:rPr>
          <w:b/>
          <w:bCs/>
          <w:color w:val="auto"/>
          <w:sz w:val="24"/>
          <w:szCs w:val="24"/>
        </w:rPr>
        <w:t>2.1.1</w:t>
      </w:r>
      <w:r>
        <w:rPr>
          <w:rFonts w:hint="eastAsia"/>
          <w:b/>
          <w:bCs/>
          <w:color w:val="auto"/>
          <w:sz w:val="24"/>
          <w:szCs w:val="24"/>
        </w:rPr>
        <w:t>3</w:t>
      </w:r>
      <w:r>
        <w:rPr>
          <w:b/>
          <w:bCs/>
          <w:color w:val="auto"/>
          <w:sz w:val="24"/>
          <w:szCs w:val="24"/>
        </w:rPr>
        <w:t xml:space="preserve"> </w:t>
      </w:r>
      <w:r>
        <w:rPr>
          <w:rFonts w:hint="eastAsia"/>
          <w:color w:val="auto"/>
          <w:sz w:val="24"/>
          <w:szCs w:val="24"/>
        </w:rPr>
        <w:t>固化</w:t>
      </w:r>
      <w:r>
        <w:rPr>
          <w:color w:val="auto"/>
          <w:sz w:val="24"/>
          <w:szCs w:val="24"/>
        </w:rPr>
        <w:t>时间</w:t>
      </w:r>
      <w:r>
        <w:rPr>
          <w:color w:val="auto"/>
          <w:sz w:val="24"/>
          <w:szCs w:val="24"/>
        </w:rPr>
        <w:tab/>
      </w:r>
      <w:r>
        <w:rPr>
          <w:color w:val="auto"/>
          <w:sz w:val="24"/>
          <w:szCs w:val="24"/>
        </w:rPr>
        <w:t>curing time</w:t>
      </w:r>
    </w:p>
    <w:p>
      <w:pPr>
        <w:keepNext w:val="0"/>
        <w:keepLines w:val="0"/>
        <w:pageBreakBefore w:val="0"/>
        <w:widowControl w:val="0"/>
        <w:kinsoku/>
        <w:wordWrap/>
        <w:overflowPunct/>
        <w:topLinePunct w:val="0"/>
        <w:autoSpaceDE/>
        <w:autoSpaceDN/>
        <w:bidi w:val="0"/>
        <w:spacing w:after="0" w:line="360" w:lineRule="auto"/>
        <w:ind w:firstLine="420"/>
        <w:textAlignment w:val="auto"/>
        <w:rPr>
          <w:color w:val="auto"/>
          <w:sz w:val="24"/>
          <w:szCs w:val="24"/>
        </w:rPr>
      </w:pPr>
      <w:r>
        <w:rPr>
          <w:color w:val="auto"/>
          <w:sz w:val="24"/>
          <w:szCs w:val="24"/>
        </w:rPr>
        <w:t>从胶粘剂注入混凝土钻孔到植筋可以完全承受最大设计荷载的最短时间。</w:t>
      </w:r>
    </w:p>
    <w:p>
      <w:pPr>
        <w:pStyle w:val="2"/>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color w:val="auto"/>
          <w:sz w:val="24"/>
          <w:szCs w:val="24"/>
        </w:rPr>
      </w:pPr>
      <w:r>
        <w:rPr>
          <w:rFonts w:hint="eastAsia"/>
          <w:b/>
          <w:bCs/>
          <w:color w:val="auto"/>
          <w:sz w:val="24"/>
          <w:szCs w:val="24"/>
        </w:rPr>
        <w:t>2</w:t>
      </w:r>
      <w:r>
        <w:rPr>
          <w:b/>
          <w:bCs/>
          <w:color w:val="auto"/>
          <w:sz w:val="24"/>
          <w:szCs w:val="24"/>
        </w:rPr>
        <w:t>.1.1</w:t>
      </w:r>
      <w:r>
        <w:rPr>
          <w:rFonts w:hint="eastAsia"/>
          <w:b/>
          <w:bCs/>
          <w:color w:val="auto"/>
          <w:sz w:val="24"/>
          <w:szCs w:val="24"/>
        </w:rPr>
        <w:t>4</w:t>
      </w:r>
      <w:r>
        <w:rPr>
          <w:b/>
          <w:bCs/>
          <w:color w:val="auto"/>
          <w:sz w:val="24"/>
          <w:szCs w:val="24"/>
        </w:rPr>
        <w:t xml:space="preserve"> </w:t>
      </w:r>
      <w:r>
        <w:rPr>
          <w:rFonts w:hint="eastAsia"/>
          <w:color w:val="auto"/>
          <w:sz w:val="24"/>
          <w:szCs w:val="24"/>
        </w:rPr>
        <w:t>混凝土保护层厚度 c</w:t>
      </w:r>
      <w:r>
        <w:rPr>
          <w:color w:val="auto"/>
          <w:sz w:val="24"/>
          <w:szCs w:val="24"/>
        </w:rPr>
        <w:t>oncrete cover thickness</w:t>
      </w:r>
    </w:p>
    <w:p>
      <w:pPr>
        <w:pStyle w:val="2"/>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color w:val="auto"/>
          <w:sz w:val="24"/>
          <w:szCs w:val="24"/>
        </w:rPr>
      </w:pPr>
      <w:r>
        <w:rPr>
          <w:color w:val="auto"/>
          <w:sz w:val="24"/>
          <w:szCs w:val="24"/>
        </w:rPr>
        <w:tab/>
      </w:r>
      <w:r>
        <w:rPr>
          <w:rFonts w:hint="eastAsia"/>
          <w:color w:val="auto"/>
          <w:sz w:val="24"/>
          <w:szCs w:val="24"/>
        </w:rPr>
        <w:t>结构构件中钢筋外边缘至构件表面范围用于保护钢筋的混凝土厚度，简称保护层厚度。</w:t>
      </w:r>
    </w:p>
    <w:p>
      <w:pPr>
        <w:pStyle w:val="2"/>
        <w:keepNext w:val="0"/>
        <w:keepLines w:val="0"/>
        <w:pageBreakBefore w:val="0"/>
        <w:widowControl w:val="0"/>
        <w:kinsoku/>
        <w:wordWrap/>
        <w:overflowPunct/>
        <w:topLinePunct w:val="0"/>
        <w:autoSpaceDE/>
        <w:autoSpaceDN/>
        <w:bidi w:val="0"/>
        <w:spacing w:line="360" w:lineRule="auto"/>
        <w:ind w:left="0" w:leftChars="0" w:firstLine="0" w:firstLineChars="0"/>
        <w:textAlignment w:val="auto"/>
      </w:pPr>
      <w:r>
        <w:rPr>
          <w:rFonts w:hint="eastAsia"/>
          <w:b/>
          <w:bCs/>
          <w:color w:val="auto"/>
          <w:sz w:val="24"/>
          <w:szCs w:val="24"/>
        </w:rPr>
        <w:t>2</w:t>
      </w:r>
      <w:r>
        <w:rPr>
          <w:b/>
          <w:bCs/>
          <w:color w:val="auto"/>
          <w:sz w:val="24"/>
          <w:szCs w:val="24"/>
        </w:rPr>
        <w:t>.1.1</w:t>
      </w:r>
      <w:r>
        <w:rPr>
          <w:rFonts w:hint="eastAsia"/>
          <w:b/>
          <w:bCs/>
          <w:color w:val="auto"/>
          <w:sz w:val="24"/>
          <w:szCs w:val="24"/>
        </w:rPr>
        <w:t>5</w:t>
      </w:r>
      <w:r>
        <w:t xml:space="preserve"> </w:t>
      </w:r>
      <w:r>
        <w:rPr>
          <w:rFonts w:hint="eastAsia"/>
          <w:color w:val="auto"/>
          <w:sz w:val="24"/>
          <w:szCs w:val="24"/>
        </w:rPr>
        <w:t xml:space="preserve">植筋边距 </w:t>
      </w:r>
      <w:r>
        <w:rPr>
          <w:color w:val="auto"/>
          <w:sz w:val="24"/>
          <w:szCs w:val="24"/>
        </w:rPr>
        <w:t>edge distance of post-installed rebar</w:t>
      </w:r>
    </w:p>
    <w:p>
      <w:pPr>
        <w:pStyle w:val="2"/>
        <w:keepNext w:val="0"/>
        <w:keepLines w:val="0"/>
        <w:pageBreakBefore w:val="0"/>
        <w:widowControl w:val="0"/>
        <w:kinsoku/>
        <w:wordWrap/>
        <w:overflowPunct/>
        <w:topLinePunct w:val="0"/>
        <w:autoSpaceDE/>
        <w:autoSpaceDN/>
        <w:bidi w:val="0"/>
        <w:spacing w:line="360" w:lineRule="auto"/>
        <w:ind w:left="0" w:leftChars="0" w:firstLineChars="0"/>
        <w:textAlignment w:val="auto"/>
      </w:pPr>
      <w:r>
        <w:rPr>
          <w:rFonts w:hint="eastAsia"/>
          <w:color w:val="auto"/>
          <w:sz w:val="24"/>
          <w:szCs w:val="24"/>
        </w:rPr>
        <w:t>结构构件中钢筋中心点至构件表面的距离，通常为保护层厚度与钢筋半径之和。</w:t>
      </w:r>
    </w:p>
    <w:bookmarkEnd w:id="12"/>
    <w:p>
      <w:pPr>
        <w:pStyle w:val="5"/>
        <w:rPr>
          <w:sz w:val="24"/>
          <w:szCs w:val="24"/>
        </w:rPr>
      </w:pPr>
      <w:bookmarkStart w:id="13" w:name="_Toc145273806"/>
      <w:bookmarkStart w:id="14" w:name="_Toc25571"/>
      <w:r>
        <w:rPr>
          <w:sz w:val="24"/>
          <w:szCs w:val="24"/>
        </w:rPr>
        <w:t>2.2 符  号</w:t>
      </w:r>
      <w:bookmarkEnd w:id="13"/>
      <w:bookmarkEnd w:id="14"/>
    </w:p>
    <w:tbl>
      <w:tblPr>
        <w:tblStyle w:val="28"/>
        <w:tblW w:w="85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5"/>
        <w:gridCol w:w="500"/>
        <w:gridCol w:w="6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iCs/>
                <w:color w:val="auto"/>
                <w:sz w:val="24"/>
                <w:szCs w:val="24"/>
              </w:rPr>
              <w:t>a</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iCs/>
                <w:color w:val="auto"/>
                <w:sz w:val="24"/>
                <w:szCs w:val="24"/>
              </w:rPr>
              <w:t>植筋净距；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position w:val="-12"/>
                <w:sz w:val="24"/>
                <w:szCs w:val="24"/>
              </w:rPr>
              <w:object>
                <v:shape id="_x0000_i1025" o:spt="75" type="#_x0000_t75" style="height:21pt;width:21pt;" o:ole="t" filled="f" o:preferrelative="t" stroked="f" coordsize="21600,21600">
                  <v:path/>
                  <v:fill on="f" focussize="0,0"/>
                  <v:stroke on="f" joinstyle="miter"/>
                  <v:imagedata r:id="rId11" o:title=""/>
                  <o:lock v:ext="edit" aspectratio="t"/>
                  <w10:wrap type="none"/>
                  <w10:anchorlock/>
                </v:shape>
                <o:OLEObject Type="Embed" ProgID="AutoCAD.Drawing.17" ShapeID="_x0000_i1025" DrawAspect="Content" ObjectID="_1468075725" r:id="rId10">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Ansi="宋体"/>
                <w:color w:val="auto"/>
                <w:sz w:val="24"/>
                <w:szCs w:val="24"/>
              </w:rPr>
              <w:t>单根锚栓或群锚受拉时，混凝土实际锥体破坏投影面面积</w:t>
            </w:r>
            <w:r>
              <w:rPr>
                <w:rFonts w:hint="eastAsia"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sz w:val="24"/>
                <w:szCs w:val="24"/>
              </w:rPr>
            </w:pPr>
            <m:oMathPara>
              <m:oMathParaPr>
                <m:jc m:val="right"/>
              </m:oMathParaPr>
              <m:oMath>
                <m:sSubSup>
                  <m:sSubSupPr>
                    <m:ctrlPr>
                      <w:rPr>
                        <w:rFonts w:ascii="Cambria Math" w:hAnsi="Cambria Math"/>
                        <w:i/>
                        <w:color w:val="auto"/>
                        <w:sz w:val="24"/>
                        <w:szCs w:val="24"/>
                      </w:rPr>
                    </m:ctrlPr>
                  </m:sSubSupPr>
                  <m:e>
                    <m:r>
                      <m:rPr/>
                      <w:rPr>
                        <w:rFonts w:hint="eastAsia" w:ascii="Cambria Math" w:hAnsi="Cambria Math"/>
                        <w:color w:val="auto"/>
                        <w:sz w:val="24"/>
                        <w:szCs w:val="24"/>
                      </w:rPr>
                      <m:t>A</m:t>
                    </m:r>
                    <m:ctrlPr>
                      <w:rPr>
                        <w:rFonts w:hint="eastAsia" w:ascii="Cambria Math" w:hAnsi="Cambria Math"/>
                        <w:i/>
                        <w:color w:val="auto"/>
                        <w:sz w:val="24"/>
                        <w:szCs w:val="24"/>
                      </w:rPr>
                    </m:ctrlPr>
                  </m:e>
                  <m:sub>
                    <m:r>
                      <m:rPr/>
                      <w:rPr>
                        <w:rFonts w:ascii="Cambria Math" w:hAnsi="Cambria Math"/>
                        <w:color w:val="auto"/>
                        <w:sz w:val="24"/>
                        <w:szCs w:val="24"/>
                      </w:rPr>
                      <m:t>c,N</m:t>
                    </m:r>
                    <m:ctrlPr>
                      <w:rPr>
                        <w:rFonts w:ascii="Cambria Math" w:hAnsi="Cambria Math"/>
                        <w:i/>
                        <w:color w:val="auto"/>
                        <w:sz w:val="24"/>
                        <w:szCs w:val="24"/>
                      </w:rPr>
                    </m:ctrlPr>
                  </m:sub>
                  <m:sup>
                    <m:r>
                      <m:rPr/>
                      <w:rPr>
                        <w:rFonts w:ascii="Cambria Math" w:hAnsi="Cambria Math"/>
                        <w:color w:val="auto"/>
                        <w:sz w:val="24"/>
                        <w:szCs w:val="24"/>
                      </w:rPr>
                      <m:t>0</m:t>
                    </m:r>
                    <m:ctrlPr>
                      <w:rPr>
                        <w:rFonts w:ascii="Cambria Math" w:hAnsi="Cambria Math"/>
                        <w:i/>
                        <w:color w:val="auto"/>
                        <w:sz w:val="24"/>
                        <w:szCs w:val="24"/>
                      </w:rPr>
                    </m:ctrlPr>
                  </m:sup>
                </m:sSubSup>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Ansi="宋体"/>
                <w:color w:val="auto"/>
                <w:sz w:val="24"/>
                <w:szCs w:val="24"/>
              </w:rPr>
            </w:pPr>
            <w:r>
              <w:rPr>
                <w:rFonts w:hAnsi="宋体"/>
                <w:color w:val="auto"/>
                <w:sz w:val="24"/>
                <w:szCs w:val="24"/>
              </w:rPr>
              <w:t>单根锚栓受拉且</w:t>
            </w:r>
            <w:r>
              <w:rPr>
                <w:rFonts w:hint="eastAsia" w:hAnsi="宋体"/>
                <w:color w:val="auto"/>
                <w:sz w:val="24"/>
                <w:szCs w:val="24"/>
              </w:rPr>
              <w:t>无</w:t>
            </w:r>
            <w:r>
              <w:rPr>
                <w:rFonts w:hAnsi="宋体"/>
                <w:color w:val="auto"/>
                <w:sz w:val="24"/>
                <w:szCs w:val="24"/>
              </w:rPr>
              <w:t>间距、边距</w:t>
            </w:r>
            <w:r>
              <w:rPr>
                <w:rFonts w:hint="eastAsia" w:hAnsi="宋体"/>
                <w:color w:val="auto"/>
                <w:sz w:val="24"/>
                <w:szCs w:val="24"/>
              </w:rPr>
              <w:t>影响</w:t>
            </w:r>
            <w:r>
              <w:rPr>
                <w:rFonts w:hAnsi="宋体"/>
                <w:color w:val="auto"/>
                <w:sz w:val="24"/>
                <w:szCs w:val="24"/>
              </w:rPr>
              <w:t>时，混凝土理想锥体破坏投影面面积</w:t>
            </w:r>
            <w:r>
              <w:rPr>
                <w:rFonts w:hint="eastAsia"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color w:val="000000" w:themeColor="text1"/>
                <w:kern w:val="2"/>
                <w:position w:val="-10"/>
                <w:sz w:val="24"/>
                <w:szCs w:val="24"/>
                <w14:textFill>
                  <w14:solidFill>
                    <w14:schemeClr w14:val="tx1"/>
                  </w14:solidFill>
                </w14:textFill>
              </w:rPr>
              <w:object>
                <v:shape id="_x0000_i1026" o:spt="75" type="#_x0000_t75" style="height:16pt;width:11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000000" w:themeColor="text1"/>
                <w:kern w:val="2"/>
                <w:sz w:val="24"/>
                <w:szCs w:val="24"/>
                <w14:textFill>
                  <w14:solidFill>
                    <w14:schemeClr w14:val="tx1"/>
                  </w14:solidFill>
                </w14:textFill>
              </w:rPr>
              <w:t>单根钢筋的截面面积；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w:r>
              <w:rPr>
                <w:rFonts w:hint="eastAsia"/>
                <w:i/>
                <w:iCs/>
                <w:color w:val="auto"/>
              </w:rPr>
              <w:t>A</w:t>
            </w:r>
            <w:r>
              <w:rPr>
                <w:rFonts w:hint="eastAsia"/>
                <w:color w:val="auto"/>
                <w:vertAlign w:val="subscript"/>
              </w:rPr>
              <w:t>s,old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ascii="宋体" w:hAnsi="宋体"/>
                <w:color w:val="auto"/>
                <w:sz w:val="24"/>
                <w:szCs w:val="24"/>
              </w:rPr>
              <w:t>原截面受拉钢筋截面面积；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hint="eastAsia"/>
                <w:i/>
                <w:iCs/>
                <w:color w:val="auto"/>
              </w:rPr>
              <w:t>A</w:t>
            </w:r>
            <w:r>
              <w:rPr>
                <w:rFonts w:hint="eastAsia"/>
                <w:color w:val="auto"/>
                <w:vertAlign w:val="subscript"/>
              </w:rPr>
              <w:t>s,new</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hAnsi="宋体"/>
                <w:color w:val="auto"/>
                <w:sz w:val="24"/>
                <w:szCs w:val="24"/>
              </w:rPr>
              <w:t>新增截面受拉钢筋截面面积；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hint="eastAsia"/>
                <w:i/>
                <w:iCs/>
                <w:color w:val="auto"/>
              </w:rPr>
              <w:t>A</w:t>
            </w:r>
            <w:r>
              <w:rPr>
                <w:rFonts w:hint="eastAsia"/>
                <w:color w:val="auto"/>
                <w:vertAlign w:val="subscript"/>
              </w:rPr>
              <w:t>t,new</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hAnsi="宋体"/>
                <w:color w:val="auto"/>
                <w:sz w:val="24"/>
                <w:szCs w:val="24"/>
              </w:rPr>
              <w:t>新增截面受拉区混凝土面积；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hint="eastAsia"/>
                <w:i/>
                <w:iCs/>
                <w:color w:val="auto"/>
              </w:rPr>
              <w:t>A</w:t>
            </w:r>
            <w:r>
              <w:rPr>
                <w:rFonts w:hint="eastAsia"/>
                <w:color w:val="auto"/>
                <w:vertAlign w:val="subscript"/>
              </w:rPr>
              <w:t>t,old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hAnsi="宋体"/>
                <w:color w:val="auto"/>
                <w:sz w:val="24"/>
                <w:szCs w:val="24"/>
              </w:rPr>
              <w:t>原截面混凝土受拉区截面面积；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hint="eastAsia"/>
                <w:i/>
                <w:iCs/>
                <w:color w:val="auto"/>
              </w:rPr>
              <w:t>b</w:t>
            </w:r>
            <w:r>
              <w:rPr>
                <w:rFonts w:hint="eastAsia"/>
                <w:color w:val="auto"/>
                <w:vertAlign w:val="subscript"/>
              </w:rPr>
              <w:t>j</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hAnsi="宋体"/>
                <w:color w:val="auto"/>
                <w:sz w:val="24"/>
                <w:szCs w:val="24"/>
              </w:rPr>
              <w:t>构件截面的计算宽度；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i/>
                <w:color w:val="auto"/>
                <w:sz w:val="24"/>
                <w:szCs w:val="24"/>
              </w:rPr>
              <w:t>c</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000000" w:themeColor="text1"/>
                <w:kern w:val="2"/>
                <w:sz w:val="24"/>
                <w:szCs w:val="24"/>
                <w14:textFill>
                  <w14:solidFill>
                    <w14:schemeClr w14:val="tx1"/>
                  </w14:solidFill>
                </w14:textFill>
              </w:rPr>
              <w:t>植筋表面至构件表面的最小距离</w:t>
            </w:r>
            <w:r>
              <w:rPr>
                <w:rFonts w:hint="eastAsia"/>
                <w:color w:val="000000" w:themeColor="text1"/>
                <w:kern w:val="2"/>
                <w:sz w:val="24"/>
                <w:szCs w:val="24"/>
                <w14:textFill>
                  <w14:solidFill>
                    <w14:schemeClr w14:val="tx1"/>
                  </w14:solidFill>
                </w14:textFill>
              </w:rPr>
              <w:t>，即</w:t>
            </w:r>
            <w:r>
              <w:rPr>
                <w:rFonts w:hint="eastAsia"/>
                <w:color w:val="auto"/>
                <w:sz w:val="24"/>
                <w:szCs w:val="24"/>
              </w:rPr>
              <w:t>植筋共有的保护层厚度；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i/>
                <w:color w:val="auto"/>
                <w:sz w:val="24"/>
                <w:szCs w:val="24"/>
              </w:rPr>
              <w:t>c</w:t>
            </w:r>
            <w:r>
              <w:rPr>
                <w:iCs/>
                <w:color w:val="auto"/>
                <w:sz w:val="24"/>
                <w:szCs w:val="24"/>
                <w:vertAlign w:val="subscript"/>
              </w:rPr>
              <w:t>2</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角部植筋在相临边的保护层厚度；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i/>
                <w:color w:val="auto"/>
                <w:sz w:val="24"/>
                <w:szCs w:val="24"/>
              </w:rPr>
              <w:t>c</w:t>
            </w:r>
            <w:r>
              <w:rPr>
                <w:rFonts w:hint="eastAsia"/>
                <w:iCs/>
                <w:color w:val="auto"/>
                <w:sz w:val="24"/>
                <w:szCs w:val="24"/>
                <w:vertAlign w:val="subscript"/>
              </w:rPr>
              <w:t>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等效保护层厚度；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宋体" w:hAnsi="宋体"/>
                <w:i/>
                <w:iCs/>
                <w:color w:val="auto"/>
                <w:sz w:val="24"/>
                <w:szCs w:val="24"/>
              </w:rPr>
            </w:pPr>
            <w:r>
              <w:rPr>
                <w:rFonts w:hint="eastAsia"/>
                <w:i/>
                <w:iCs/>
                <w:color w:val="auto"/>
                <w:sz w:val="24"/>
                <w:szCs w:val="24"/>
              </w:rPr>
              <w:t>c</w:t>
            </w:r>
            <w:r>
              <w:rPr>
                <w:color w:val="auto"/>
                <w:sz w:val="24"/>
                <w:szCs w:val="24"/>
                <w:vertAlign w:val="subscript"/>
              </w:rPr>
              <w:t>r</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rFonts w:hint="eastAsia"/>
                <w:color w:val="auto"/>
                <w:sz w:val="24"/>
                <w:szCs w:val="24"/>
              </w:rPr>
              <w:t>界面混凝土粗糙度影响系数；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i/>
                <w:iCs/>
                <w:color w:val="000000" w:themeColor="text1"/>
                <w:sz w:val="24"/>
                <w:szCs w:val="24"/>
                <w14:textFill>
                  <w14:solidFill>
                    <w14:schemeClr w14:val="tx1"/>
                  </w14:solidFill>
                </w14:textFill>
              </w:rPr>
              <w:t>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钢筋公称直径；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w:t>d</w:t>
            </w:r>
            <w:r>
              <w:rPr>
                <w:color w:val="000000" w:themeColor="text1"/>
                <w:sz w:val="24"/>
                <w:szCs w:val="24"/>
                <w:vertAlign w:val="subscript"/>
                <w14:textFill>
                  <w14:solidFill>
                    <w14:schemeClr w14:val="tx1"/>
                  </w14:solidFill>
                </w14:textFill>
              </w:rPr>
              <w:t>0</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000000" w:themeColor="text1"/>
                <w:sz w:val="24"/>
                <w:szCs w:val="24"/>
                <w14:textFill>
                  <w14:solidFill>
                    <w14:schemeClr w14:val="tx1"/>
                  </w14:solidFill>
                </w14:textFill>
              </w:rPr>
              <w:t>钻头直径；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w:t>d</w:t>
            </w:r>
            <w:r>
              <w:rPr>
                <w:rFonts w:hint="eastAsia"/>
                <w:color w:val="000000" w:themeColor="text1"/>
                <w:sz w:val="24"/>
                <w:szCs w:val="24"/>
                <w:vertAlign w:val="subscript"/>
                <w14:textFill>
                  <w14:solidFill>
                    <w14:schemeClr w14:val="tx1"/>
                  </w14:solidFill>
                </w14:textFill>
              </w:rPr>
              <w:t>m</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中等钻头直径；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w:r>
              <w:rPr>
                <w:rFonts w:ascii="宋体" w:hAnsi="宋体"/>
                <w:i/>
                <w:iCs/>
                <w:color w:val="auto"/>
                <w:sz w:val="24"/>
                <w:szCs w:val="24"/>
              </w:rPr>
              <w:t>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sz w:val="24"/>
                <w:szCs w:val="24"/>
                <w14:textFill>
                  <w14:solidFill>
                    <w14:schemeClr w14:val="tx1"/>
                  </w14:solidFill>
                </w14:textFill>
              </w:rPr>
            </w:pPr>
            <w:r>
              <w:rPr>
                <w:rFonts w:hint="eastAsia" w:ascii="宋体" w:hAnsi="宋体"/>
                <w:color w:val="auto"/>
                <w:sz w:val="24"/>
                <w:szCs w:val="24"/>
              </w:rPr>
              <w:t>钻孔直径；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hint="eastAsia" w:ascii="Cambria Math" w:hAnsi="Cambria Math"/>
                        <w:color w:val="auto"/>
                        <w:sz w:val="24"/>
                        <w:szCs w:val="24"/>
                      </w:rPr>
                      <m:t>bd</m:t>
                    </m:r>
                    <m:r>
                      <m:rPr/>
                      <w:rPr>
                        <w:rFonts w:ascii="Cambria Math" w:hAnsi="Cambria Math"/>
                        <w:color w:val="auto"/>
                        <w:sz w:val="24"/>
                        <w:szCs w:val="24"/>
                      </w:rPr>
                      <m:t>,fi,i</m:t>
                    </m:r>
                    <m:ctrlPr>
                      <w:rPr>
                        <w:rFonts w:ascii="Cambria Math" w:hAnsi="Cambria Math"/>
                        <w:i/>
                        <w:color w:val="auto"/>
                        <w:sz w:val="24"/>
                        <w:szCs w:val="24"/>
                      </w:rPr>
                    </m:ctrlPr>
                  </m:sub>
                </m:sSub>
                <m:r>
                  <m:rPr/>
                  <w:rPr>
                    <w:rFonts w:ascii="Cambria Math" w:hAnsi="Cambria Math"/>
                    <w:color w:val="auto"/>
                    <w:sz w:val="24"/>
                    <w:szCs w:val="24"/>
                  </w:rPr>
                  <m:t>(θ)</m:t>
                </m:r>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第i段植筋长度在温度（</w:t>
            </w:r>
            <w:r>
              <w:rPr>
                <w:rFonts w:ascii="Symbol" w:hAnsi="Symbol"/>
                <w:color w:val="auto"/>
                <w:sz w:val="24"/>
                <w:szCs w:val="24"/>
              </w:rPr>
              <w:t>q</w:t>
            </w:r>
            <w:r>
              <w:rPr>
                <w:rFonts w:hint="eastAsia" w:ascii="Symbol" w:hAnsi="Symbol"/>
                <w:color w:val="auto"/>
                <w:sz w:val="24"/>
                <w:szCs w:val="24"/>
              </w:rPr>
              <w:t>）条件</w:t>
            </w:r>
            <w:r>
              <w:rPr>
                <w:rFonts w:hint="eastAsia"/>
                <w:color w:val="auto"/>
                <w:sz w:val="24"/>
                <w:szCs w:val="24"/>
              </w:rPr>
              <w:t>下的粘结强度设计值；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hint="eastAsia"/>
                <w:i/>
                <w:iCs/>
                <w:color w:val="000000" w:themeColor="text1"/>
                <w:sz w:val="24"/>
                <w:szCs w:val="24"/>
                <w14:textFill>
                  <w14:solidFill>
                    <w14:schemeClr w14:val="tx1"/>
                  </w14:solidFill>
                </w14:textFill>
              </w:rPr>
              <w:t>f</w:t>
            </w:r>
            <w:r>
              <w:rPr>
                <w:rFonts w:hint="eastAsia"/>
                <w:iCs/>
                <w:color w:val="000000" w:themeColor="text1"/>
                <w:sz w:val="24"/>
                <w:szCs w:val="24"/>
                <w:vertAlign w:val="subscript"/>
                <w14:textFill>
                  <w14:solidFill>
                    <w14:schemeClr w14:val="tx1"/>
                  </w14:solidFill>
                </w14:textFill>
              </w:rPr>
              <w:t>bd</w:t>
            </w:r>
            <w:r>
              <w:rPr>
                <w:iCs/>
                <w:color w:val="000000" w:themeColor="text1"/>
                <w:sz w:val="24"/>
                <w:szCs w:val="24"/>
                <w:vertAlign w:val="subscript"/>
                <w14:textFill>
                  <w14:solidFill>
                    <w14:schemeClr w14:val="tx1"/>
                  </w14:solidFill>
                </w14:textFill>
              </w:rPr>
              <w:t>,PIR</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植筋用胶粘剂的粘结强度设计值；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w:r>
              <w:rPr>
                <w:rFonts w:ascii="宋体" w:hAnsi="宋体"/>
                <w:i/>
                <w:iCs/>
                <w:color w:val="auto"/>
                <w:sz w:val="24"/>
                <w:szCs w:val="24"/>
              </w:rPr>
              <w:t>f</w:t>
            </w:r>
            <w:r>
              <w:rPr>
                <w:rFonts w:ascii="宋体" w:hAnsi="宋体"/>
                <w:color w:val="auto"/>
                <w:sz w:val="24"/>
                <w:szCs w:val="24"/>
                <w:vertAlign w:val="subscript"/>
              </w:rPr>
              <w:t>bd,PIR,A</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ascii="宋体" w:hAnsi="宋体"/>
                <w:color w:val="auto"/>
                <w:sz w:val="24"/>
                <w:szCs w:val="24"/>
              </w:rPr>
              <w:t>有认证报告时</w:t>
            </w:r>
            <w:r>
              <w:rPr>
                <w:rFonts w:hint="eastAsia"/>
                <w:color w:val="auto"/>
                <w:sz w:val="24"/>
                <w:szCs w:val="24"/>
              </w:rPr>
              <w:t>植筋用胶粘剂的</w:t>
            </w:r>
            <w:r>
              <w:rPr>
                <w:rFonts w:hint="eastAsia" w:ascii="宋体" w:hAnsi="宋体"/>
                <w:color w:val="auto"/>
                <w:sz w:val="24"/>
                <w:szCs w:val="24"/>
              </w:rPr>
              <w:t>粘结强度设计值；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宋体" w:hAnsi="宋体"/>
                <w:i/>
                <w:iCs/>
                <w:color w:val="auto"/>
                <w:sz w:val="24"/>
                <w:szCs w:val="24"/>
              </w:rPr>
            </w:pPr>
            <m:oMathPara>
              <m:oMathParaPr>
                <m:jc m:val="right"/>
              </m:oMathParaPr>
              <m:oMath>
                <m:sSub>
                  <m:sSubPr>
                    <m:ctrlPr>
                      <w:rPr>
                        <w:rFonts w:ascii="Cambria Math" w:hAnsi="Cambria Math" w:cs="Arial"/>
                        <w:i/>
                        <w:color w:val="auto"/>
                        <w:sz w:val="24"/>
                        <w:szCs w:val="24"/>
                      </w:rPr>
                    </m:ctrlPr>
                  </m:sSubPr>
                  <m:e>
                    <m:r>
                      <m:rPr/>
                      <w:rPr>
                        <w:rFonts w:ascii="Cambria Math" w:hAnsi="Cambria Math" w:cs="Arial"/>
                        <w:color w:val="auto"/>
                        <w:sz w:val="24"/>
                        <w:szCs w:val="24"/>
                      </w:rPr>
                      <m:t>f</m:t>
                    </m:r>
                    <m:ctrlPr>
                      <w:rPr>
                        <w:rFonts w:ascii="Cambria Math" w:hAnsi="Cambria Math" w:cs="Arial"/>
                        <w:i/>
                        <w:color w:val="auto"/>
                        <w:sz w:val="24"/>
                        <w:szCs w:val="24"/>
                      </w:rPr>
                    </m:ctrlPr>
                  </m:e>
                  <m:sub>
                    <m:r>
                      <m:rPr/>
                      <w:rPr>
                        <w:rFonts w:ascii="Cambria Math" w:hAnsi="Cambria Math" w:cs="Arial"/>
                        <w:color w:val="auto"/>
                        <w:sz w:val="24"/>
                        <w:szCs w:val="24"/>
                      </w:rPr>
                      <m:t>cu,k</m:t>
                    </m:r>
                    <m:ctrlPr>
                      <w:rPr>
                        <w:rFonts w:ascii="Cambria Math" w:hAnsi="Cambria Math" w:cs="Arial"/>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rFonts w:hint="eastAsia"/>
                <w:color w:val="auto"/>
                <w:sz w:val="24"/>
                <w:szCs w:val="24"/>
              </w:rPr>
              <w:t>混凝土立方体抗压强度标准值；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bCs/>
                <w:color w:val="auto"/>
                <w:sz w:val="24"/>
                <w:szCs w:val="24"/>
              </w:rPr>
              <w:t>植筋用钢筋的抗拉强度设计值，一般情况下</w:t>
            </w: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m:t>
                  </m:r>
                  <m:ctrlPr>
                    <w:rPr>
                      <w:rFonts w:ascii="Cambria Math" w:hAnsi="Cambria Math"/>
                      <w:i/>
                      <w:color w:val="auto"/>
                      <w:sz w:val="24"/>
                      <w:szCs w:val="24"/>
                    </w:rPr>
                  </m:ctrlPr>
                </m:sub>
              </m:sSub>
            </m:oMath>
            <w:r>
              <w:rPr>
                <w:rFonts w:hint="eastAsia"/>
                <w:b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w:r>
              <w:rPr>
                <w:color w:val="000000" w:themeColor="text1"/>
                <w:kern w:val="2"/>
                <w:position w:val="-14"/>
                <w:sz w:val="24"/>
                <w:szCs w:val="24"/>
                <w14:textFill>
                  <w14:solidFill>
                    <w14:schemeClr w14:val="tx1"/>
                  </w14:solidFill>
                </w14:textFill>
              </w:rPr>
              <w:object>
                <v:shape id="_x0000_i1027" o:spt="75" type="#_x0000_t75" style="height:21pt;width:11pt;" o:ole="t" filled="f" o:preferrelative="t" stroked="f" coordsize="21600,21600">
                  <v:path/>
                  <v:fill on="f" focussize="0,0"/>
                  <v:stroke on="f" joinstyle="miter"/>
                  <v:imagedata r:id="rId15" o:title=""/>
                  <o:lock v:ext="edit" aspectratio="t"/>
                  <w10:wrap type="none"/>
                  <w10:anchorlock/>
                </v:shape>
                <o:OLEObject Type="Embed" ProgID="AutoCAD.Drawing.17" ShapeID="_x0000_i1027" DrawAspect="Content" ObjectID="_1468075727" r:id="rId14">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植筋用钢筋的抗拉强度设计值；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vAlign w:val="top"/>
          </w:tcPr>
          <w:p>
            <w:pPr>
              <w:widowControl/>
              <w:spacing w:after="0" w:line="360" w:lineRule="auto"/>
              <w:jc w:val="right"/>
              <w:rPr>
                <w:rFonts w:ascii="Times New Roman" w:hAnsi="Times New Roman" w:eastAsia="宋体" w:cs="Times New Roman"/>
                <w:i/>
                <w:iCs/>
                <w:color w:val="000000" w:themeColor="text1"/>
                <w:sz w:val="24"/>
                <w:szCs w:val="24"/>
                <w:lang w:val="en-US" w:eastAsia="zh-CN" w:bidi="ar-SA"/>
                <w14:textFill>
                  <w14:solidFill>
                    <w14:schemeClr w14:val="tx1"/>
                  </w14:solidFill>
                </w14:textFill>
              </w:rPr>
            </w:pPr>
            <m:oMathPara>
              <m:oMathParaPr>
                <m:jc m:val="right"/>
              </m:oMathParaPr>
              <m:oMath>
                <m:sSub>
                  <m:sSubPr>
                    <m:ctrlPr>
                      <w:rPr>
                        <w:rFonts w:ascii="Cambria Math" w:hAnsi="Cambria Math" w:cs="Arial"/>
                        <w:i/>
                        <w:color w:val="auto"/>
                        <w:sz w:val="24"/>
                        <w:szCs w:val="24"/>
                      </w:rPr>
                    </m:ctrlPr>
                  </m:sSubPr>
                  <m:e>
                    <m:r>
                      <m:rPr/>
                      <w:rPr>
                        <w:rFonts w:ascii="Cambria Math" w:hAnsi="Cambria Math" w:cs="Arial"/>
                        <w:color w:val="auto"/>
                        <w:sz w:val="24"/>
                        <w:szCs w:val="24"/>
                      </w:rPr>
                      <m:t>f</m:t>
                    </m:r>
                    <m:ctrlPr>
                      <w:rPr>
                        <w:rFonts w:ascii="Cambria Math" w:hAnsi="Cambria Math" w:cs="Arial"/>
                        <w:i/>
                        <w:color w:val="auto"/>
                        <w:sz w:val="24"/>
                        <w:szCs w:val="24"/>
                      </w:rPr>
                    </m:ctrlPr>
                  </m:e>
                  <m:sub>
                    <m:r>
                      <m:rPr/>
                      <w:rPr>
                        <w:rFonts w:ascii="Cambria Math" w:hAnsi="Cambria Math" w:cs="Arial"/>
                        <w:color w:val="auto"/>
                        <w:sz w:val="24"/>
                        <w:szCs w:val="24"/>
                      </w:rPr>
                      <m:t>yk</m:t>
                    </m:r>
                    <m:ctrlPr>
                      <w:rPr>
                        <w:rFonts w:ascii="Cambria Math" w:hAnsi="Cambria Math" w:cs="Arial"/>
                        <w:i/>
                        <w:color w:val="auto"/>
                        <w:sz w:val="24"/>
                        <w:szCs w:val="24"/>
                      </w:rPr>
                    </m:ctrlPr>
                  </m:sub>
                </m:sSub>
              </m:oMath>
            </m:oMathPara>
          </w:p>
        </w:tc>
        <w:tc>
          <w:tcPr>
            <w:tcW w:w="500" w:type="dxa"/>
            <w:vAlign w:val="top"/>
          </w:tcPr>
          <w:p>
            <w:pPr>
              <w:widowControl/>
              <w:spacing w:after="0" w:line="360" w:lineRule="auto"/>
              <w:jc w:val="left"/>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vAlign w:val="top"/>
          </w:tcPr>
          <w:p>
            <w:pPr>
              <w:widowControl/>
              <w:spacing w:after="0" w:line="360" w:lineRule="auto"/>
              <w:jc w:val="left"/>
              <w:rPr>
                <w:rFonts w:hint="eastAsia" w:ascii="Times New Roman" w:hAnsi="Times New Roman" w:eastAsia="宋体" w:cs="Times New Roman"/>
                <w:color w:val="auto"/>
                <w:sz w:val="24"/>
                <w:szCs w:val="24"/>
                <w:lang w:val="en-US" w:eastAsia="zh-CN" w:bidi="ar-SA"/>
              </w:rPr>
            </w:pPr>
            <w:r>
              <w:rPr>
                <w:rFonts w:hint="eastAsia"/>
                <w:color w:val="auto"/>
                <w:sz w:val="24"/>
                <w:szCs w:val="24"/>
              </w:rPr>
              <w:t>植筋用钢筋的</w:t>
            </w:r>
            <w:r>
              <w:rPr>
                <w:rFonts w:hint="eastAsia"/>
                <w:color w:val="auto"/>
                <w:sz w:val="24"/>
                <w:szCs w:val="24"/>
                <w:lang w:val="en-US" w:eastAsia="zh-CN"/>
              </w:rPr>
              <w:t>屈服</w:t>
            </w:r>
            <w:r>
              <w:rPr>
                <w:rFonts w:hint="eastAsia"/>
                <w:color w:val="auto"/>
                <w:sz w:val="24"/>
                <w:szCs w:val="24"/>
              </w:rPr>
              <w:t>强度标准值；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宋体" w:hAnsi="宋体"/>
                <w:i/>
                <w:iCs/>
                <w:color w:val="auto"/>
                <w:sz w:val="24"/>
                <w:szCs w:val="24"/>
              </w:rPr>
            </w:pPr>
            <w:r>
              <w:rPr>
                <w:i/>
                <w:iCs/>
                <w:color w:val="auto"/>
                <w:sz w:val="24"/>
                <w:szCs w:val="24"/>
              </w:rPr>
              <w:t>f</w:t>
            </w:r>
            <w:r>
              <w:rPr>
                <w:color w:val="auto"/>
                <w:sz w:val="24"/>
                <w:szCs w:val="24"/>
                <w:vertAlign w:val="subscript"/>
              </w:rPr>
              <w:t>yk,fi</w:t>
            </w:r>
            <w:r>
              <w:rPr>
                <w:color w:val="auto"/>
                <w:sz w:val="24"/>
                <w:szCs w:val="24"/>
              </w:rPr>
              <w:t xml:space="preserve"> (</w:t>
            </w:r>
            <w:r>
              <w:rPr>
                <w:rFonts w:ascii="Symbol" w:hAnsi="Symbol"/>
                <w:color w:val="auto"/>
                <w:sz w:val="24"/>
                <w:szCs w:val="24"/>
              </w:rPr>
              <w:t>q</w:t>
            </w:r>
            <w:r>
              <w:rPr>
                <w:color w:val="auto"/>
                <w:sz w:val="24"/>
                <w:szCs w:val="24"/>
              </w:rPr>
              <w: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rFonts w:hint="eastAsia"/>
                <w:color w:val="auto"/>
                <w:sz w:val="24"/>
                <w:szCs w:val="24"/>
              </w:rPr>
              <w:t>钢材在指定火灾温度下的屈服强度；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ℎ</m:t>
                    </m:r>
                    <m:ctrlPr>
                      <w:rPr>
                        <w:rFonts w:ascii="Cambria Math" w:hAnsi="Cambria Math"/>
                        <w:i/>
                        <w:color w:val="auto"/>
                        <w:sz w:val="24"/>
                        <w:szCs w:val="24"/>
                      </w:rPr>
                    </m:ctrlPr>
                  </m:e>
                  <m:sub>
                    <m:r>
                      <m:rPr/>
                      <w:rPr>
                        <w:rFonts w:ascii="Cambria Math" w:hAnsi="Cambria Math"/>
                        <w:color w:val="auto"/>
                        <w:sz w:val="24"/>
                        <w:szCs w:val="24"/>
                      </w:rPr>
                      <m:t>min</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混凝土基材的最小厚度；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i/>
                        <w:color w:val="auto"/>
                        <w:sz w:val="24"/>
                        <w:szCs w:val="24"/>
                      </w:rPr>
                    </m:ctrlPr>
                  </m:e>
                  <m:sub>
                    <m:r>
                      <m:rPr/>
                      <w:rPr>
                        <w:rFonts w:ascii="Cambria Math" w:hAnsi="Cambria Math"/>
                        <w:color w:val="auto"/>
                        <w:sz w:val="24"/>
                        <w:szCs w:val="24"/>
                      </w:rPr>
                      <m:t>b</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iCs/>
                <w:color w:val="auto"/>
                <w:sz w:val="24"/>
                <w:szCs w:val="24"/>
              </w:rPr>
              <w:t>考虑不同因素对植筋系统粘结强度的折减（影响）系数；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w:r>
              <w:rPr>
                <w:rFonts w:hint="eastAsia"/>
                <w:i/>
                <w:color w:val="auto"/>
                <w:sz w:val="24"/>
                <w:szCs w:val="24"/>
              </w:rPr>
              <w:t>k</w:t>
            </w:r>
            <w:r>
              <w:rPr>
                <w:iCs/>
                <w:color w:val="auto"/>
                <w:sz w:val="24"/>
                <w:szCs w:val="24"/>
                <w:vertAlign w:val="subscript"/>
              </w:rPr>
              <w:t>b</w:t>
            </w:r>
            <w:r>
              <w:rPr>
                <w:rFonts w:hint="eastAsia"/>
                <w:iCs/>
                <w:color w:val="auto"/>
                <w:sz w:val="24"/>
                <w:szCs w:val="24"/>
                <w:vertAlign w:val="subscript"/>
              </w:rPr>
              <w:t>,</w:t>
            </w:r>
            <w:r>
              <w:rPr>
                <w:iCs/>
                <w:color w:val="auto"/>
                <w:sz w:val="24"/>
                <w:szCs w:val="24"/>
                <w:vertAlign w:val="subscript"/>
              </w:rPr>
              <w:t>seis</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color w:val="auto"/>
                <w:sz w:val="24"/>
                <w:szCs w:val="24"/>
              </w:rPr>
              <w:t>仅考虑地震作用时植筋系统粘结强度的折减系数</w:t>
            </w:r>
            <w:r>
              <w:rPr>
                <w:rFonts w:hint="eastAsia"/>
                <w:bCs/>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i/>
                        <w:color w:val="auto"/>
                        <w:sz w:val="24"/>
                        <w:szCs w:val="24"/>
                      </w:rPr>
                    </m:ctrlPr>
                  </m:e>
                  <m:sub>
                    <m:r>
                      <m:rPr/>
                      <w:rPr>
                        <w:rFonts w:ascii="Cambria Math" w:hAnsi="Cambria Math"/>
                        <w:color w:val="auto"/>
                        <w:sz w:val="24"/>
                        <w:szCs w:val="24"/>
                      </w:rPr>
                      <m:t>b,fi</m:t>
                    </m:r>
                    <m:ctrlPr>
                      <w:rPr>
                        <w:rFonts w:ascii="Cambria Math" w:hAnsi="Cambria Math"/>
                        <w:i/>
                        <w:color w:val="auto"/>
                        <w:sz w:val="24"/>
                        <w:szCs w:val="24"/>
                      </w:rPr>
                    </m:ctrlPr>
                  </m:sub>
                </m:sSub>
                <m:d>
                  <m:dPr>
                    <m:ctrlPr>
                      <w:rPr>
                        <w:rFonts w:ascii="Cambria Math" w:hAnsi="Cambria Math"/>
                        <w:i/>
                        <w:color w:val="auto"/>
                        <w:sz w:val="24"/>
                        <w:szCs w:val="24"/>
                      </w:rPr>
                    </m:ctrlPr>
                  </m:dPr>
                  <m:e>
                    <m:r>
                      <m:rPr/>
                      <w:rPr>
                        <w:rFonts w:ascii="Cambria Math" w:hAnsi="Cambria Math"/>
                        <w:color w:val="auto"/>
                        <w:sz w:val="24"/>
                        <w:szCs w:val="24"/>
                      </w:rPr>
                      <m:t>θ</m:t>
                    </m:r>
                    <m:ctrlPr>
                      <w:rPr>
                        <w:rFonts w:ascii="Cambria Math" w:hAnsi="Cambria Math"/>
                        <w:i/>
                        <w:color w:val="auto"/>
                        <w:sz w:val="24"/>
                        <w:szCs w:val="24"/>
                      </w:rPr>
                    </m:ctrlPr>
                  </m:e>
                </m:d>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考虑火灾高温（</w:t>
            </w:r>
            <m:oMath>
              <m:r>
                <m:rPr/>
                <w:rPr>
                  <w:rFonts w:ascii="Cambria Math" w:hAnsi="Cambria Math"/>
                  <w:color w:val="auto"/>
                  <w:sz w:val="24"/>
                  <w:szCs w:val="24"/>
                </w:rPr>
                <m:t>θ</m:t>
              </m:r>
            </m:oMath>
            <w:r>
              <w:rPr>
                <w:rFonts w:hint="eastAsia"/>
                <w:color w:val="auto"/>
                <w:sz w:val="24"/>
                <w:szCs w:val="24"/>
              </w:rPr>
              <w:t>）影响的植筋粘结强度折减系数</w:t>
            </w:r>
            <w:r>
              <w:rPr>
                <w:rFonts w:hint="eastAsia" w:ascii="Cambria Math" w:hAnsi="Cambria Math"/>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color w:val="auto"/>
                <w:sz w:val="24"/>
                <w:szCs w:val="24"/>
              </w:rPr>
            </w:pPr>
            <w:r>
              <w:rPr>
                <w:rFonts w:hint="eastAsia"/>
                <w:i/>
                <w:iCs/>
                <w:color w:val="auto"/>
                <w:sz w:val="24"/>
                <w:szCs w:val="24"/>
              </w:rPr>
              <w:t>k</w:t>
            </w:r>
            <w:r>
              <w:rPr>
                <w:color w:val="auto"/>
                <w:sz w:val="24"/>
                <w:szCs w:val="24"/>
                <w:vertAlign w:val="subscript"/>
              </w:rPr>
              <w:t xml:space="preserve">s,fi </w:t>
            </w:r>
            <w:r>
              <w:rPr>
                <w:color w:val="auto"/>
                <w:sz w:val="24"/>
                <w:szCs w:val="24"/>
              </w:rPr>
              <w:t>(</w:t>
            </w:r>
            <w:r>
              <w:rPr>
                <w:rFonts w:ascii="Symbol" w:hAnsi="Symbol"/>
                <w:color w:val="auto"/>
                <w:sz w:val="24"/>
                <w:szCs w:val="24"/>
              </w:rPr>
              <w:t>q</w:t>
            </w:r>
            <w:r>
              <w:rPr>
                <w:color w:val="auto"/>
                <w:sz w:val="24"/>
                <w:szCs w:val="24"/>
              </w:rPr>
              <w: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热轧带肋钢筋高温（</w:t>
            </w:r>
            <m:oMath>
              <m:r>
                <m:rPr/>
                <w:rPr>
                  <w:rFonts w:ascii="Cambria Math" w:hAnsi="Cambria Math"/>
                  <w:color w:val="auto"/>
                  <w:sz w:val="24"/>
                  <w:szCs w:val="24"/>
                </w:rPr>
                <m:t>θ</m:t>
              </m:r>
            </m:oMath>
            <w:r>
              <w:rPr>
                <w:rFonts w:hint="eastAsia"/>
                <w:color w:val="auto"/>
                <w:sz w:val="24"/>
                <w:szCs w:val="24"/>
              </w:rPr>
              <w:t>）环境下的强度折减系数；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Para>
              <m:oMathParaPr>
                <m:jc m:val="right"/>
              </m:oMathParaPr>
              <m:oMath>
                <m:sSub>
                  <m:sSubPr>
                    <m:ctrlPr>
                      <w:rPr>
                        <w:rFonts w:ascii="Cambria Math" w:hAnsi="Cambria Math"/>
                        <w:i/>
                        <w:iCs/>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b,min</m:t>
                    </m:r>
                    <m:ctrlPr>
                      <w:rPr>
                        <w:rFonts w:ascii="Cambria Math" w:hAnsi="Cambria Math"/>
                        <w:i/>
                        <w:iCs/>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iCs/>
                <w:color w:val="auto"/>
                <w:sz w:val="24"/>
                <w:szCs w:val="24"/>
              </w:rPr>
              <w:t>植筋的最小基本锚固长度；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28" o:spt="75" type="#_x0000_t75" style="height:16pt;width:11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植筋锚固长度设计值；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m:oMathPara>
              <m:oMathParaPr>
                <m:jc m:val="right"/>
              </m:oMathParaPr>
              <m:oMath>
                <m:sSub>
                  <m:sSubPr>
                    <m:ctrlPr>
                      <w:rPr>
                        <w:rFonts w:ascii="Cambria Math" w:hAnsi="Cambria Math"/>
                        <w:i/>
                        <w:iCs/>
                        <w:color w:val="auto"/>
                        <w:sz w:val="24"/>
                        <w:szCs w:val="24"/>
                      </w:rPr>
                    </m:ctrlPr>
                  </m:sSubPr>
                  <m:e>
                    <m:r>
                      <m:rPr/>
                      <w:rPr>
                        <w:rFonts w:ascii="Cambria Math" w:hAnsi="Cambria Math"/>
                        <w:color w:val="auto"/>
                        <w:sz w:val="24"/>
                        <w:szCs w:val="24"/>
                      </w:rPr>
                      <m:t>l</m:t>
                    </m:r>
                    <m:ctrlPr>
                      <w:rPr>
                        <w:rFonts w:ascii="Cambria Math" w:hAnsi="Cambria Math"/>
                        <w:i/>
                        <w:iCs/>
                        <w:color w:val="auto"/>
                        <w:sz w:val="24"/>
                        <w:szCs w:val="24"/>
                      </w:rPr>
                    </m:ctrlPr>
                  </m:e>
                  <m:sub>
                    <m:r>
                      <m:rPr/>
                      <w:rPr>
                        <w:rFonts w:ascii="Cambria Math" w:hAnsi="Cambria Math"/>
                        <w:color w:val="auto"/>
                        <w:sz w:val="24"/>
                        <w:szCs w:val="24"/>
                      </w:rPr>
                      <m:t>i</m:t>
                    </m:r>
                    <m:ctrlPr>
                      <w:rPr>
                        <w:rFonts w:ascii="Cambria Math" w:hAnsi="Cambria Math"/>
                        <w:i/>
                        <w:iCs/>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第i段植筋长度；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m:oMathPara>
              <m:oMathParaPr>
                <m:jc m:val="right"/>
              </m:oMathParaPr>
              <m:oMath>
                <m:sSub>
                  <m:sSubPr>
                    <m:ctrlPr>
                      <w:rPr>
                        <w:rFonts w:ascii="Cambria Math" w:hAnsi="Cambria Math" w:cs="Arial"/>
                        <w:i/>
                        <w:color w:val="auto"/>
                        <w:sz w:val="24"/>
                        <w:szCs w:val="24"/>
                      </w:rPr>
                    </m:ctrlPr>
                  </m:sSubPr>
                  <m:e>
                    <m:r>
                      <m:rPr/>
                      <w:rPr>
                        <w:rFonts w:hint="eastAsia" w:ascii="Cambria Math" w:hAnsi="Cambria Math" w:cs="Arial"/>
                        <w:color w:val="auto"/>
                        <w:sz w:val="24"/>
                        <w:szCs w:val="24"/>
                      </w:rPr>
                      <m:t>l</m:t>
                    </m:r>
                    <m:ctrlPr>
                      <w:rPr>
                        <w:rFonts w:ascii="Cambria Math" w:hAnsi="Cambria Math" w:cs="Arial"/>
                        <w:i/>
                        <w:color w:val="auto"/>
                        <w:sz w:val="24"/>
                        <w:szCs w:val="24"/>
                      </w:rPr>
                    </m:ctrlPr>
                  </m:e>
                  <m:sub>
                    <m:r>
                      <m:rPr/>
                      <w:rPr>
                        <w:rFonts w:ascii="Cambria Math" w:hAnsi="Cambria Math" w:cs="Arial"/>
                        <w:color w:val="auto"/>
                        <w:sz w:val="24"/>
                        <w:szCs w:val="24"/>
                      </w:rPr>
                      <m:t>l</m:t>
                    </m:r>
                    <m:ctrlPr>
                      <w:rPr>
                        <w:rFonts w:ascii="Cambria Math" w:hAnsi="Cambria Math" w:cs="Arial"/>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iCs/>
                <w:color w:val="auto"/>
                <w:sz w:val="24"/>
                <w:szCs w:val="24"/>
              </w:rPr>
              <w:t>锚固钢筋的搭接长度；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m:oMathPara>
              <m:oMathParaPr>
                <m:jc m:val="right"/>
              </m:oMathParaPr>
              <m:oMath>
                <m:sSub>
                  <m:sSubPr>
                    <m:ctrlPr>
                      <w:rPr>
                        <w:rFonts w:ascii="Cambria Math" w:hAnsi="Cambria Math"/>
                        <w:i/>
                        <w:iCs/>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min</m:t>
                    </m:r>
                    <m:ctrlPr>
                      <w:rPr>
                        <w:rFonts w:ascii="Cambria Math" w:hAnsi="Cambria Math"/>
                        <w:i/>
                        <w:iCs/>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iCs/>
                <w:color w:val="auto"/>
                <w:sz w:val="24"/>
                <w:szCs w:val="24"/>
              </w:rPr>
              <w:t>植筋的最小锚固长度；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29" o:spt="75" type="#_x0000_t75" style="height:16pt;width:11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植筋的基本锚固长度；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color w:val="auto"/>
                <w:sz w:val="24"/>
                <w:szCs w:val="24"/>
              </w:rPr>
              <w:t>min</w:t>
            </w:r>
            <w:r>
              <w:rPr>
                <w:rFonts w:ascii="Symbol" w:hAnsi="Symbol"/>
                <w:i/>
                <w:iCs/>
                <w:color w:val="auto"/>
                <w:sz w:val="24"/>
                <w:szCs w:val="24"/>
              </w:rPr>
              <w:t>b</w:t>
            </w:r>
            <w:r>
              <w:rPr>
                <w:color w:val="auto"/>
                <w:sz w:val="24"/>
                <w:szCs w:val="24"/>
                <w:vertAlign w:val="subscript"/>
              </w:rPr>
              <w:t>cv</w:t>
            </w:r>
            <w:r>
              <w:rPr>
                <w:rFonts w:hint="eastAsia"/>
                <w:color w:val="auto"/>
                <w:sz w:val="24"/>
                <w:szCs w:val="24"/>
              </w:rPr>
              <w:t xml:space="preserve"> </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highlight w:val="none"/>
              </w:rPr>
            </w:pPr>
            <w:r>
              <w:rPr>
                <w:rFonts w:hint="eastAsia"/>
                <w:color w:val="auto"/>
                <w:sz w:val="24"/>
                <w:szCs w:val="24"/>
                <w:highlight w:val="none"/>
              </w:rPr>
              <w:t>所考虑因素对应</w:t>
            </w:r>
            <w:r>
              <w:rPr>
                <w:rFonts w:hint="eastAsia"/>
                <w:color w:val="auto"/>
                <w:sz w:val="24"/>
                <w:szCs w:val="24"/>
                <w:highlight w:val="none"/>
                <w:lang w:val="en-US" w:eastAsia="zh-CN"/>
              </w:rPr>
              <w:t>的</w:t>
            </w:r>
            <w:r>
              <w:rPr>
                <w:rFonts w:hint="eastAsia"/>
                <w:color w:val="auto"/>
                <w:sz w:val="24"/>
                <w:szCs w:val="24"/>
                <w:highlight w:val="none"/>
              </w:rPr>
              <w:t>各单项</w:t>
            </w:r>
            <w:r>
              <w:rPr>
                <w:rFonts w:hint="eastAsia"/>
                <w:bCs/>
                <w:color w:val="000000" w:themeColor="text1"/>
                <w:sz w:val="24"/>
                <w:szCs w:val="24"/>
                <w:highlight w:val="none"/>
                <w14:textFill>
                  <w14:solidFill>
                    <w14:schemeClr w14:val="tx1"/>
                  </w14:solidFill>
                </w14:textFill>
              </w:rPr>
              <w:t>试验结果变异系数对应的折减系数的最小值；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bCs/>
                <w:color w:val="000000" w:themeColor="text1"/>
                <w:sz w:val="24"/>
                <w:szCs w:val="24"/>
                <w14:textFill>
                  <w14:solidFill>
                    <w14:schemeClr w14:val="tx1"/>
                  </w14:solidFill>
                </w14:textFill>
              </w:rPr>
              <w:t>min</w:t>
            </w:r>
            <w:r>
              <w:rPr>
                <w:rFonts w:ascii="Symbol" w:hAnsi="Symbol"/>
                <w:bCs/>
                <w:i/>
                <w:iCs/>
                <w:color w:val="000000" w:themeColor="text1"/>
                <w:sz w:val="24"/>
                <w:szCs w:val="24"/>
                <w14:textFill>
                  <w14:solidFill>
                    <w14:schemeClr w14:val="tx1"/>
                  </w14:solidFill>
                </w14:textFill>
              </w:rPr>
              <w:t>a</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highlight w:val="none"/>
              </w:rPr>
            </w:pPr>
            <w:r>
              <w:rPr>
                <w:rFonts w:hint="eastAsia"/>
                <w:color w:val="auto"/>
                <w:sz w:val="24"/>
                <w:szCs w:val="24"/>
                <w:highlight w:val="none"/>
              </w:rPr>
              <w:t>所考虑因素对应</w:t>
            </w:r>
            <w:r>
              <w:rPr>
                <w:rFonts w:hint="eastAsia"/>
                <w:color w:val="auto"/>
                <w:sz w:val="24"/>
                <w:szCs w:val="24"/>
                <w:highlight w:val="none"/>
                <w:lang w:val="en-US" w:eastAsia="zh-CN"/>
              </w:rPr>
              <w:t>的</w:t>
            </w:r>
            <w:r>
              <w:rPr>
                <w:rFonts w:hint="eastAsia"/>
                <w:bCs/>
                <w:color w:val="000000" w:themeColor="text1"/>
                <w:sz w:val="24"/>
                <w:szCs w:val="24"/>
                <w:highlight w:val="none"/>
                <w14:textFill>
                  <w14:solidFill>
                    <w14:schemeClr w14:val="tx1"/>
                  </w14:solidFill>
                </w14:textFill>
              </w:rPr>
              <w:t>各单项试验承载力折减系数的最小值；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c</m:t>
                    </m:r>
                    <m:r>
                      <m:rPr/>
                      <w:rPr>
                        <w:rFonts w:ascii="Cambria Math" w:hAnsi="Cambria Math"/>
                        <w:color w:val="auto"/>
                        <w:sz w:val="24"/>
                        <w:szCs w:val="24"/>
                      </w:rPr>
                      <m:t>,t</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单根拉结植筋发生混凝土锥体破坏的承载力设计值；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bCs/>
                <w:color w:val="000000" w:themeColor="text1"/>
                <w:sz w:val="24"/>
                <w:szCs w:val="24"/>
                <w14:textFill>
                  <w14:solidFill>
                    <w14:schemeClr w14:val="tx1"/>
                  </w14:solidFill>
                </w14:textFill>
              </w:rPr>
            </w:pPr>
            <m:oMathPara>
              <m:oMath>
                <m:sSub>
                  <m:sSubPr>
                    <m:ctrlPr>
                      <w:rPr>
                        <w:rFonts w:ascii="Cambria Math" w:hAnsi="Cambria Math"/>
                        <w:i/>
                        <w:iCs/>
                        <w:color w:val="auto"/>
                        <w:sz w:val="24"/>
                        <w:szCs w:val="24"/>
                      </w:rPr>
                    </m:ctrlPr>
                  </m:sSubPr>
                  <m:e>
                    <m:r>
                      <m:rPr/>
                      <w:rPr>
                        <w:rFonts w:ascii="Cambria Math" w:hAnsi="Cambria Math"/>
                        <w:color w:val="auto"/>
                        <w:sz w:val="24"/>
                        <w:szCs w:val="24"/>
                      </w:rPr>
                      <m:t>N</m:t>
                    </m:r>
                    <m:ctrlPr>
                      <w:rPr>
                        <w:rFonts w:ascii="Cambria Math" w:hAnsi="Cambria Math"/>
                        <w:i/>
                        <w:iCs/>
                        <w:color w:val="auto"/>
                        <w:sz w:val="24"/>
                        <w:szCs w:val="24"/>
                      </w:rPr>
                    </m:ctrlPr>
                  </m:e>
                  <m:sub>
                    <m:r>
                      <m:rPr/>
                      <w:rPr>
                        <w:rFonts w:ascii="Cambria Math" w:hAnsi="Cambria Math"/>
                        <w:color w:val="auto"/>
                        <w:sz w:val="24"/>
                        <w:szCs w:val="24"/>
                      </w:rPr>
                      <m:t>R</m:t>
                    </m:r>
                    <m:r>
                      <m:rPr/>
                      <w:rPr>
                        <w:rFonts w:hint="eastAsia" w:ascii="Cambria Math" w:hAnsi="Cambria Math"/>
                        <w:color w:val="auto"/>
                        <w:sz w:val="24"/>
                        <w:szCs w:val="24"/>
                      </w:rPr>
                      <m:t>d</m:t>
                    </m:r>
                    <m:r>
                      <m:rPr/>
                      <w:rPr>
                        <w:rFonts w:ascii="Cambria Math" w:hAnsi="Cambria Math"/>
                        <w:color w:val="auto"/>
                        <w:sz w:val="24"/>
                        <w:szCs w:val="24"/>
                      </w:rPr>
                      <m:t>,adℎ,fi</m:t>
                    </m:r>
                    <m:ctrlPr>
                      <w:rPr>
                        <w:rFonts w:ascii="Cambria Math" w:hAnsi="Cambria Math"/>
                        <w:i/>
                        <w:iCs/>
                        <w:color w:val="auto"/>
                        <w:sz w:val="24"/>
                        <w:szCs w:val="24"/>
                      </w:rPr>
                    </m:ctrlPr>
                  </m:sub>
                </m:sSub>
                <m:r>
                  <m:rPr/>
                  <w:rPr>
                    <w:rFonts w:ascii="Cambria Math" w:hAnsi="Cambria Math"/>
                    <w:color w:val="auto"/>
                    <w:sz w:val="24"/>
                    <w:szCs w:val="24"/>
                  </w:rPr>
                  <m:t>(θ)</m:t>
                </m:r>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highlight w:val="yellow"/>
              </w:rPr>
            </w:pPr>
            <w:r>
              <w:rPr>
                <w:rFonts w:hint="eastAsia"/>
                <w:color w:val="auto"/>
                <w:sz w:val="24"/>
                <w:szCs w:val="24"/>
              </w:rPr>
              <w:t>在温度（</w:t>
            </w:r>
            <w:r>
              <w:rPr>
                <w:rFonts w:ascii="Symbol" w:hAnsi="Symbol"/>
                <w:color w:val="auto"/>
                <w:sz w:val="24"/>
                <w:szCs w:val="24"/>
              </w:rPr>
              <w:t>q</w:t>
            </w:r>
            <w:r>
              <w:rPr>
                <w:rFonts w:hint="eastAsia"/>
                <w:color w:val="auto"/>
                <w:sz w:val="24"/>
                <w:szCs w:val="24"/>
              </w:rPr>
              <w:t>）条件下锚固胶粘剂的粘结承载力设计值；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Rd,p,t</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拉结植筋发生粘结破坏的承载力设计值；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bCs/>
                <w:color w:val="000000" w:themeColor="text1"/>
                <w:sz w:val="24"/>
                <w:szCs w:val="24"/>
                <w14:textFill>
                  <w14:solidFill>
                    <w14:schemeClr w14:val="tx1"/>
                  </w14:solidFill>
                </w14:textFill>
              </w:rPr>
            </w:pPr>
            <w:r>
              <w:rPr>
                <w:i/>
                <w:iCs/>
                <w:color w:val="auto"/>
                <w:sz w:val="24"/>
                <w:szCs w:val="24"/>
              </w:rPr>
              <w:t>N</w:t>
            </w:r>
            <w:r>
              <w:rPr>
                <w:color w:val="auto"/>
                <w:sz w:val="24"/>
                <w:szCs w:val="24"/>
                <w:vertAlign w:val="subscript"/>
              </w:rPr>
              <w:t>Rd,s,fi</w:t>
            </w:r>
            <w:r>
              <w:rPr>
                <w:color w:val="auto"/>
                <w:sz w:val="24"/>
                <w:szCs w:val="24"/>
              </w:rPr>
              <w:t>(</w:t>
            </w:r>
            <w:r>
              <w:rPr>
                <w:rFonts w:ascii="Symbol" w:hAnsi="Symbol"/>
                <w:color w:val="auto"/>
                <w:sz w:val="24"/>
                <w:szCs w:val="24"/>
              </w:rPr>
              <w:t>q</w:t>
            </w:r>
            <w:r>
              <w:rPr>
                <w:rFonts w:hint="eastAsia"/>
                <w:color w:val="auto"/>
                <w:sz w:val="24"/>
                <w:szCs w:val="24"/>
              </w:rPr>
              <w:t>)</w:t>
            </w:r>
            <w:r>
              <w:rPr>
                <w:color w:val="auto"/>
                <w:sz w:val="24"/>
                <w:szCs w:val="24"/>
              </w:rPr>
              <w:t xml:space="preserve"> </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highlight w:val="yellow"/>
              </w:rPr>
            </w:pPr>
            <w:r>
              <w:rPr>
                <w:rFonts w:hint="eastAsia"/>
                <w:color w:val="auto"/>
                <w:sz w:val="24"/>
                <w:szCs w:val="24"/>
              </w:rPr>
              <w:t>在温度（</w:t>
            </w:r>
            <w:r>
              <w:rPr>
                <w:rFonts w:ascii="Symbol" w:hAnsi="Symbol"/>
                <w:color w:val="auto"/>
                <w:sz w:val="24"/>
                <w:szCs w:val="24"/>
              </w:rPr>
              <w:t>q</w:t>
            </w:r>
            <w:r>
              <w:rPr>
                <w:rFonts w:hint="eastAsia" w:ascii="Symbol" w:hAnsi="Symbol"/>
                <w:color w:val="auto"/>
                <w:sz w:val="24"/>
                <w:szCs w:val="24"/>
              </w:rPr>
              <w:t>）条件</w:t>
            </w:r>
            <w:r>
              <w:rPr>
                <w:rFonts w:hint="eastAsia"/>
                <w:color w:val="auto"/>
                <w:sz w:val="24"/>
                <w:szCs w:val="24"/>
              </w:rPr>
              <w:t>下钢材强度的设计值；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Rd,s,t</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拉结植筋发生钢材破坏的承载力设计值；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m:oMathPara>
              <m:oMath>
                <m:sSub>
                  <m:sSubPr>
                    <m:ctrlPr>
                      <w:rPr>
                        <w:rFonts w:ascii="Cambria Math" w:hAnsi="Cambria Math"/>
                        <w:i/>
                        <w:iCs/>
                        <w:color w:val="auto"/>
                        <w:sz w:val="24"/>
                        <w:szCs w:val="24"/>
                      </w:rPr>
                    </m:ctrlPr>
                  </m:sSubPr>
                  <m:e>
                    <m:r>
                      <m:rPr/>
                      <w:rPr>
                        <w:rFonts w:ascii="Cambria Math" w:hAnsi="Cambria Math"/>
                        <w:color w:val="auto"/>
                        <w:sz w:val="24"/>
                        <w:szCs w:val="24"/>
                      </w:rPr>
                      <m:t>N</m:t>
                    </m:r>
                    <m:ctrlPr>
                      <w:rPr>
                        <w:rFonts w:ascii="Cambria Math" w:hAnsi="Cambria Math"/>
                        <w:i/>
                        <w:iCs/>
                        <w:color w:val="auto"/>
                        <w:sz w:val="24"/>
                        <w:szCs w:val="24"/>
                      </w:rPr>
                    </m:ctrlPr>
                  </m:e>
                  <m:sub>
                    <m:r>
                      <m:rPr/>
                      <w:rPr>
                        <w:rFonts w:ascii="Cambria Math" w:hAnsi="Cambria Math"/>
                        <w:color w:val="auto"/>
                        <w:sz w:val="24"/>
                        <w:szCs w:val="24"/>
                      </w:rPr>
                      <m:t>Rk,adℎ,fi</m:t>
                    </m:r>
                    <m:ctrlPr>
                      <w:rPr>
                        <w:rFonts w:ascii="Cambria Math" w:hAnsi="Cambria Math"/>
                        <w:i/>
                        <w:iCs/>
                        <w:color w:val="auto"/>
                        <w:sz w:val="24"/>
                        <w:szCs w:val="24"/>
                      </w:rPr>
                    </m:ctrlPr>
                  </m:sub>
                </m:sSub>
                <m:r>
                  <m:rPr/>
                  <w:rPr>
                    <w:rFonts w:ascii="Cambria Math" w:hAnsi="Cambria Math"/>
                    <w:color w:val="auto"/>
                    <w:sz w:val="24"/>
                    <w:szCs w:val="24"/>
                  </w:rPr>
                  <m:t>(θ)</m:t>
                </m:r>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在温度（</w:t>
            </w:r>
            <w:r>
              <w:rPr>
                <w:rFonts w:ascii="Symbol" w:hAnsi="Symbol"/>
                <w:color w:val="auto"/>
                <w:sz w:val="24"/>
                <w:szCs w:val="24"/>
              </w:rPr>
              <w:t>q</w:t>
            </w:r>
            <w:r>
              <w:rPr>
                <w:rFonts w:hint="eastAsia"/>
                <w:color w:val="auto"/>
                <w:sz w:val="24"/>
                <w:szCs w:val="24"/>
              </w:rPr>
              <w:t>）条件下锚固胶粘剂的粘结承载力标准值；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m:t>
                    </m:r>
                    <m:r>
                      <m:rPr/>
                      <w:rPr>
                        <w:rFonts w:hint="eastAsia" w:ascii="Cambria Math" w:hAnsi="Cambria Math"/>
                        <w:color w:val="auto"/>
                        <w:sz w:val="24"/>
                        <w:szCs w:val="24"/>
                      </w:rPr>
                      <m:t>k</m:t>
                    </m:r>
                    <m:r>
                      <m:rPr/>
                      <w:rPr>
                        <w:rFonts w:ascii="Cambria Math" w:hAnsi="Cambria Math"/>
                        <w:color w:val="auto"/>
                        <w:sz w:val="24"/>
                        <w:szCs w:val="24"/>
                      </w:rPr>
                      <m:t>,c</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ascii="宋体" w:hAnsi="宋体"/>
                <w:color w:val="auto"/>
                <w:sz w:val="24"/>
                <w:szCs w:val="24"/>
              </w:rPr>
              <w:t>植筋系统的混凝土锥体破坏承载力标准值；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w:r>
              <w:rPr>
                <w:i/>
                <w:iCs/>
                <w:color w:val="auto"/>
                <w:sz w:val="24"/>
                <w:szCs w:val="24"/>
              </w:rPr>
              <w:t>N</w:t>
            </w:r>
            <w:r>
              <w:rPr>
                <w:color w:val="auto"/>
                <w:sz w:val="24"/>
                <w:szCs w:val="24"/>
                <w:vertAlign w:val="subscript"/>
              </w:rPr>
              <w:t>Rk,s,fi</w:t>
            </w:r>
            <w:r>
              <w:rPr>
                <w:color w:val="auto"/>
                <w:sz w:val="24"/>
                <w:szCs w:val="24"/>
              </w:rPr>
              <w:t>(</w:t>
            </w:r>
            <w:r>
              <w:rPr>
                <w:rFonts w:ascii="Symbol" w:hAnsi="Symbol"/>
                <w:color w:val="auto"/>
                <w:sz w:val="24"/>
                <w:szCs w:val="24"/>
              </w:rPr>
              <w:t>q</w:t>
            </w:r>
            <w:r>
              <w:rPr>
                <w:rFonts w:hint="eastAsia"/>
                <w:color w:val="auto"/>
                <w:sz w:val="24"/>
                <w:szCs w:val="24"/>
              </w:rPr>
              <w: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在温度（</w:t>
            </w:r>
            <w:r>
              <w:rPr>
                <w:rFonts w:ascii="Symbol" w:hAnsi="Symbol"/>
                <w:color w:val="auto"/>
                <w:sz w:val="24"/>
                <w:szCs w:val="24"/>
              </w:rPr>
              <w:t>q</w:t>
            </w:r>
            <w:r>
              <w:rPr>
                <w:rFonts w:hint="eastAsia" w:ascii="Symbol" w:hAnsi="Symbol"/>
                <w:color w:val="auto"/>
                <w:sz w:val="24"/>
                <w:szCs w:val="24"/>
              </w:rPr>
              <w:t>）条件</w:t>
            </w:r>
            <w:r>
              <w:rPr>
                <w:rFonts w:hint="eastAsia"/>
                <w:color w:val="auto"/>
                <w:sz w:val="24"/>
                <w:szCs w:val="24"/>
              </w:rPr>
              <w:t>下钢材强度的标准值；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Para>
              <m:oMathParaPr>
                <m:jc m:val="right"/>
              </m:oMathParaPr>
              <m:oMath>
                <m:sSubSup>
                  <m:sSubSupPr>
                    <m:ctrlPr>
                      <w:rPr>
                        <w:rFonts w:ascii="Cambria Math" w:hAnsi="Cambria Math"/>
                        <w:i/>
                        <w:color w:val="auto"/>
                        <w:sz w:val="24"/>
                        <w:szCs w:val="24"/>
                      </w:rPr>
                    </m:ctrlPr>
                  </m:sSubSupPr>
                  <m:e>
                    <m:r>
                      <m:rPr/>
                      <w:rPr>
                        <w:rFonts w:hint="eastAsia" w:ascii="Cambria Math" w:hAnsi="Cambria Math"/>
                        <w:color w:val="auto"/>
                        <w:sz w:val="24"/>
                        <w:szCs w:val="24"/>
                      </w:rPr>
                      <m:t>N</m:t>
                    </m:r>
                    <m:ctrlPr>
                      <w:rPr>
                        <w:rFonts w:hint="eastAsia" w:ascii="Cambria Math" w:hAnsi="Cambria Math"/>
                        <w:i/>
                        <w:color w:val="auto"/>
                        <w:sz w:val="24"/>
                        <w:szCs w:val="24"/>
                      </w:rPr>
                    </m:ctrlPr>
                  </m:e>
                  <m:sub>
                    <m:r>
                      <m:rPr/>
                      <w:rPr>
                        <w:rFonts w:hint="eastAsia" w:ascii="Cambria Math" w:hAnsi="Cambria Math"/>
                        <w:color w:val="auto"/>
                        <w:sz w:val="24"/>
                        <w:szCs w:val="24"/>
                      </w:rPr>
                      <m:t>R</m:t>
                    </m:r>
                    <m:r>
                      <m:rPr/>
                      <w:rPr>
                        <w:rFonts w:ascii="Cambria Math" w:hAnsi="Cambria Math"/>
                        <w:color w:val="auto"/>
                        <w:sz w:val="24"/>
                        <w:szCs w:val="24"/>
                      </w:rPr>
                      <m:t>k,c</m:t>
                    </m:r>
                    <m:ctrlPr>
                      <w:rPr>
                        <w:rFonts w:ascii="Cambria Math" w:hAnsi="Cambria Math"/>
                        <w:i/>
                        <w:color w:val="auto"/>
                        <w:sz w:val="24"/>
                        <w:szCs w:val="24"/>
                      </w:rPr>
                    </m:ctrlPr>
                  </m:sub>
                  <m:sup>
                    <m:r>
                      <m:rPr/>
                      <w:rPr>
                        <w:rFonts w:ascii="Cambria Math" w:hAnsi="Cambria Math"/>
                        <w:color w:val="auto"/>
                        <w:sz w:val="24"/>
                        <w:szCs w:val="24"/>
                      </w:rPr>
                      <m:t>0</m:t>
                    </m:r>
                    <m:ctrlPr>
                      <w:rPr>
                        <w:rFonts w:ascii="Cambria Math" w:hAnsi="Cambria Math"/>
                        <w:i/>
                        <w:color w:val="auto"/>
                        <w:sz w:val="24"/>
                        <w:szCs w:val="24"/>
                      </w:rPr>
                    </m:ctrlPr>
                  </m:sup>
                </m:sSubSup>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ascii="宋体" w:hAnsi="宋体"/>
                <w:color w:val="auto"/>
                <w:sz w:val="24"/>
                <w:szCs w:val="24"/>
              </w:rPr>
              <w:t>单根植筋理想混凝土锥体破坏标准值；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000000" w:themeColor="text1"/>
                <w:sz w:val="24"/>
                <w:szCs w:val="24"/>
                <w14:textFill>
                  <w14:solidFill>
                    <w14:schemeClr w14:val="tx1"/>
                  </w14:solidFill>
                </w14:textFill>
              </w:rPr>
            </w:pPr>
            <w:r>
              <w:rPr>
                <w:rFonts w:ascii="宋体" w:hAnsi="宋体"/>
                <w:color w:val="000000" w:themeColor="text1"/>
                <w:kern w:val="2"/>
                <w:position w:val="-10"/>
                <w:sz w:val="24"/>
                <w:szCs w:val="24"/>
                <w14:textFill>
                  <w14:solidFill>
                    <w14:schemeClr w14:val="tx1"/>
                  </w14:solidFill>
                </w14:textFill>
              </w:rPr>
              <w:object>
                <v:shape id="_x0000_i1030" o:spt="75" type="#_x0000_t75" style="height:21pt;width:21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000000" w:themeColor="text1"/>
                <w:kern w:val="2"/>
                <w:sz w:val="24"/>
                <w:szCs w:val="24"/>
                <w14:textFill>
                  <w14:solidFill>
                    <w14:schemeClr w14:val="tx1"/>
                  </w14:solidFill>
                </w14:textFill>
              </w:rPr>
              <w:t>植筋钢材受拉承载力设计值；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w:r>
              <w:rPr>
                <w:i/>
                <w:iCs/>
                <w:color w:val="auto"/>
                <w:sz w:val="24"/>
                <w:szCs w:val="24"/>
              </w:rPr>
              <w:t>R</w:t>
            </w:r>
            <w:r>
              <w:rPr>
                <w:rFonts w:hint="eastAsia"/>
                <w:color w:val="auto"/>
                <w:sz w:val="24"/>
                <w:szCs w:val="24"/>
                <w:vertAlign w:val="subscript"/>
              </w:rPr>
              <w:t>d</w:t>
            </w:r>
            <w:r>
              <w:rPr>
                <w:color w:val="auto"/>
                <w:sz w:val="24"/>
                <w:szCs w:val="24"/>
                <w:vertAlign w:val="subscript"/>
              </w:rPr>
              <w:t>,fi</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rFonts w:hint="eastAsia"/>
                <w:color w:val="auto"/>
                <w:sz w:val="24"/>
                <w:szCs w:val="24"/>
              </w:rPr>
              <w:t>火灾条件下植筋的承载力设计值；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宋体" w:hAnsi="宋体"/>
                <w:color w:val="000000" w:themeColor="text1"/>
                <w:kern w:val="2"/>
                <w:sz w:val="24"/>
                <w:szCs w:val="24"/>
                <w14:textFill>
                  <w14:solidFill>
                    <w14:schemeClr w14:val="tx1"/>
                  </w14:solidFill>
                </w14:textFill>
              </w:rPr>
            </w:pPr>
            <w:r>
              <w:rPr>
                <w:i/>
                <w:color w:val="auto"/>
                <w:sz w:val="24"/>
                <w:szCs w:val="24"/>
              </w:rPr>
              <w:t>s</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钢筋间距，即相邻钢筋中心点间的距离；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宋体" w:hAnsi="宋体"/>
                <w:color w:val="000000" w:themeColor="text1"/>
                <w:kern w:val="2"/>
                <w:sz w:val="24"/>
                <w:szCs w:val="24"/>
                <w14:textFill>
                  <w14:solidFill>
                    <w14:schemeClr w14:val="tx1"/>
                  </w14:solidFill>
                </w14:textFill>
              </w:rPr>
            </w:pPr>
            <w:r>
              <w:rPr>
                <w:rFonts w:hint="eastAsia"/>
                <w:i/>
                <w:iCs/>
                <w:color w:val="auto"/>
                <w:sz w:val="24"/>
                <w:szCs w:val="24"/>
              </w:rPr>
              <w:t>S</w:t>
            </w:r>
            <w:r>
              <w:rPr>
                <w:i/>
                <w:iCs/>
                <w:color w:val="auto"/>
                <w:sz w:val="24"/>
                <w:szCs w:val="24"/>
                <w:vertAlign w:val="subscript"/>
              </w:rPr>
              <w:t>d,fi</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火灾条件下的荷载设计值</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color w:val="auto"/>
                <w:sz w:val="24"/>
                <w:szCs w:val="24"/>
              </w:rPr>
            </w:pPr>
            <m:oMathPara>
              <m:oMathParaPr>
                <m:jc m:val="right"/>
              </m:oMathParaPr>
              <m:oMath>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k,fi</m:t>
                    </m:r>
                    <m:ctrlPr>
                      <w:rPr>
                        <w:rFonts w:ascii="Cambria Math" w:hAnsi="Cambria Math"/>
                        <w:i/>
                        <w:color w:val="auto"/>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火灾条件下的荷载特征值；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
                <w:iCs/>
                <w:color w:val="auto"/>
              </w:rPr>
            </w:pPr>
            <w:r>
              <w:rPr>
                <w:rFonts w:hint="eastAsia"/>
                <w:i/>
                <w:iCs/>
                <w:color w:val="auto"/>
              </w:rPr>
              <w:t>V</w:t>
            </w:r>
            <w:r>
              <w:rPr>
                <w:color w:val="auto"/>
                <w:vertAlign w:val="subscript"/>
              </w:rPr>
              <w:t>Ed,</w:t>
            </w:r>
            <w:r>
              <w:rPr>
                <w:rFonts w:hint="eastAsia"/>
                <w:i/>
                <w:iCs/>
                <w:color w:val="auto"/>
                <w:vertAlign w:val="subscript"/>
              </w:rPr>
              <w:t>i</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rFonts w:hint="eastAsia" w:ascii="宋体" w:hAnsi="宋体"/>
                <w:color w:val="auto"/>
                <w:sz w:val="24"/>
                <w:szCs w:val="24"/>
              </w:rPr>
              <w:t>截面受到的总剪力设计值；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hAnsi="宋体"/>
                <w:i/>
                <w:iCs/>
                <w:color w:val="auto"/>
                <w:sz w:val="24"/>
                <w:szCs w:val="24"/>
              </w:rPr>
              <w:t>z</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eastAsia="宋体"/>
                <w:color w:val="000000" w:themeColor="text1"/>
                <w:kern w:val="2"/>
                <w:sz w:val="24"/>
                <w:szCs w:val="24"/>
                <w:highlight w:val="none"/>
                <w:lang w:eastAsia="zh-CN"/>
                <w14:textFill>
                  <w14:solidFill>
                    <w14:schemeClr w14:val="tx1"/>
                  </w14:solidFill>
                </w14:textFill>
              </w:rPr>
            </w:pPr>
            <w:r>
              <w:rPr>
                <w:rFonts w:hint="eastAsia" w:ascii="宋体" w:cs="宋体" w:hAnsiTheme="minorHAnsi"/>
                <w:color w:val="auto"/>
                <w:sz w:val="24"/>
                <w:szCs w:val="24"/>
                <w:highlight w:val="none"/>
              </w:rPr>
              <w:t>节点外弯矩</w:t>
            </w:r>
            <w:r>
              <w:rPr>
                <w:rFonts w:hint="eastAsia" w:hAnsi="宋体"/>
                <w:i/>
                <w:iCs/>
                <w:color w:val="auto"/>
                <w:sz w:val="24"/>
                <w:szCs w:val="24"/>
                <w:highlight w:val="none"/>
              </w:rPr>
              <w:t>M</w:t>
            </w:r>
            <w:r>
              <w:rPr>
                <w:rFonts w:hint="eastAsia" w:ascii="宋体" w:cs="宋体" w:hAnsiTheme="minorHAnsi"/>
                <w:color w:val="auto"/>
                <w:sz w:val="24"/>
                <w:szCs w:val="24"/>
                <w:highlight w:val="none"/>
              </w:rPr>
              <w:t>产生的拉力合力作用点与压力合力作用点之间的距离</w:t>
            </w:r>
            <w:r>
              <w:rPr>
                <w:rFonts w:hint="eastAsia" w:ascii="宋体" w:cs="宋体" w:hAnsiTheme="minorHAnsi"/>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hint="eastAsia" w:ascii="宋体" w:hAnsi="宋体"/>
                <w:i/>
                <w:iCs/>
                <w:color w:val="auto"/>
                <w:sz w:val="24"/>
                <w:szCs w:val="24"/>
              </w:rPr>
              <w:t>Z</w:t>
            </w:r>
            <w:r>
              <w:rPr>
                <w:rFonts w:hint="eastAsia" w:ascii="宋体" w:hAnsi="宋体"/>
                <w:color w:val="auto"/>
                <w:sz w:val="24"/>
                <w:szCs w:val="24"/>
                <w:vertAlign w:val="subscript"/>
              </w:rPr>
              <w:t>new</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highlight w:val="yellow"/>
                <w14:textFill>
                  <w14:solidFill>
                    <w14:schemeClr w14:val="tx1"/>
                  </w14:solidFill>
                </w14:textFill>
              </w:rPr>
            </w:pPr>
            <w:r>
              <w:rPr>
                <w:rFonts w:hint="eastAsia" w:ascii="宋体" w:hAnsi="宋体"/>
                <w:color w:val="auto"/>
                <w:sz w:val="24"/>
                <w:szCs w:val="24"/>
              </w:rPr>
              <w:t>新增截面受拉区到混凝土受压区合力点的距离；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Ansi="宋体"/>
                <w:i/>
                <w:iCs/>
                <w:color w:val="auto"/>
                <w:sz w:val="24"/>
                <w:szCs w:val="24"/>
              </w:rPr>
            </w:pPr>
            <w:r>
              <w:rPr>
                <w:rFonts w:hint="eastAsia" w:ascii="宋体" w:hAnsi="宋体"/>
                <w:i/>
                <w:iCs/>
                <w:color w:val="auto"/>
                <w:sz w:val="24"/>
                <w:szCs w:val="24"/>
              </w:rPr>
              <w:t>Z</w:t>
            </w:r>
            <w:r>
              <w:rPr>
                <w:rFonts w:hint="eastAsia" w:ascii="宋体" w:hAnsi="宋体"/>
                <w:color w:val="auto"/>
                <w:sz w:val="24"/>
                <w:szCs w:val="24"/>
                <w:vertAlign w:val="subscript"/>
              </w:rPr>
              <w:t>old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kinsoku/>
              <w:wordWrap/>
              <w:overflowPunct/>
              <w:topLinePunct w:val="0"/>
              <w:autoSpaceDE/>
              <w:autoSpaceDN/>
              <w:bidi w:val="0"/>
              <w:adjustRightInd/>
              <w:snapToGrid/>
              <w:spacing w:after="0" w:line="360" w:lineRule="auto"/>
              <w:textAlignment w:val="auto"/>
              <w:rPr>
                <w:rFonts w:ascii="宋体" w:cs="宋体" w:hAnsiTheme="minorHAnsi"/>
                <w:color w:val="auto"/>
                <w:sz w:val="24"/>
                <w:szCs w:val="24"/>
              </w:rPr>
            </w:pPr>
            <w:r>
              <w:rPr>
                <w:rFonts w:hint="eastAsia" w:ascii="宋体" w:hAnsi="宋体"/>
                <w:color w:val="auto"/>
                <w:sz w:val="24"/>
                <w:szCs w:val="24"/>
              </w:rPr>
              <w:t>原截面混凝土受拉区到混凝土受压区合力点的距离；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Ansi="宋体"/>
                <w:i/>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cs</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w:t>
            </w:r>
          </w:p>
        </w:tc>
        <w:tc>
          <w:tcPr>
            <w:tcW w:w="6737" w:type="dxa"/>
          </w:tcPr>
          <w:p>
            <w:pPr>
              <w:keepNext w:val="0"/>
              <w:keepLines w:val="0"/>
              <w:pageBreakBefore w:val="0"/>
              <w:kinsoku/>
              <w:wordWrap/>
              <w:overflowPunct/>
              <w:topLinePunct w:val="0"/>
              <w:autoSpaceDE/>
              <w:autoSpaceDN/>
              <w:bidi w:val="0"/>
              <w:adjustRightInd/>
              <w:snapToGrid/>
              <w:spacing w:after="0" w:line="360" w:lineRule="auto"/>
              <w:textAlignment w:val="auto"/>
              <w:rPr>
                <w:rFonts w:ascii="宋体" w:cs="宋体" w:hAnsiTheme="minorHAnsi"/>
                <w:color w:val="auto"/>
                <w:sz w:val="24"/>
                <w:szCs w:val="24"/>
              </w:rPr>
            </w:pPr>
            <w:r>
              <w:rPr>
                <w:rFonts w:hint="eastAsia"/>
                <w:iCs/>
                <w:color w:val="auto"/>
                <w:sz w:val="24"/>
                <w:szCs w:val="24"/>
              </w:rPr>
              <w:t>考虑混凝土保护层厚度和间距对植筋系统锚固长度的修正系数</w:t>
            </w:r>
            <w:r>
              <w:rPr>
                <w:rStyle w:val="34"/>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Ansi="宋体"/>
                <w:i/>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lb</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kinsoku/>
              <w:wordWrap/>
              <w:overflowPunct/>
              <w:topLinePunct w:val="0"/>
              <w:autoSpaceDE/>
              <w:autoSpaceDN/>
              <w:bidi w:val="0"/>
              <w:adjustRightInd/>
              <w:snapToGrid/>
              <w:spacing w:after="0" w:line="360" w:lineRule="auto"/>
              <w:textAlignment w:val="auto"/>
              <w:rPr>
                <w:rFonts w:ascii="宋体" w:cs="宋体" w:hAnsiTheme="minorHAnsi"/>
                <w:color w:val="auto"/>
                <w:sz w:val="24"/>
                <w:szCs w:val="24"/>
              </w:rPr>
            </w:pPr>
            <w:r>
              <w:rPr>
                <w:rFonts w:hint="eastAsia"/>
                <w:iCs/>
                <w:color w:val="auto"/>
                <w:sz w:val="24"/>
                <w:szCs w:val="24"/>
              </w:rPr>
              <w:t>锚固胶粘剂性能对植筋最小锚固长度的放大系数；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Cs/>
                <w:color w:val="auto"/>
                <w:sz w:val="24"/>
                <w:szCs w:val="24"/>
              </w:rPr>
            </w:pPr>
            <w:r>
              <w:rPr>
                <w:rFonts w:ascii="Symbol" w:hAnsi="Symbol"/>
                <w:i/>
                <w:color w:val="auto"/>
                <w:sz w:val="24"/>
                <w:szCs w:val="24"/>
              </w:rPr>
              <w:t>a</w:t>
            </w:r>
            <w:r>
              <w:rPr>
                <w:iCs/>
                <w:color w:val="auto"/>
                <w:sz w:val="24"/>
                <w:szCs w:val="24"/>
                <w:vertAlign w:val="subscript"/>
              </w:rPr>
              <w:t>seis</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color w:val="auto"/>
                <w:sz w:val="24"/>
                <w:szCs w:val="24"/>
              </w:rPr>
              <w:t>抗震性能</w:t>
            </w:r>
            <w:r>
              <w:rPr>
                <w:rFonts w:hint="eastAsia"/>
                <w:bCs/>
                <w:color w:val="000000" w:themeColor="text1"/>
                <w:sz w:val="24"/>
                <w:szCs w:val="24"/>
                <w14:textFill>
                  <w14:solidFill>
                    <w14:schemeClr w14:val="tx1"/>
                  </w14:solidFill>
                </w14:textFill>
              </w:rPr>
              <w:t>试验中承载力折减系数的最小值。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color w:val="000000" w:themeColor="text1"/>
                <w:kern w:val="2"/>
                <w:position w:val="-14"/>
                <w:sz w:val="24"/>
                <w:szCs w:val="24"/>
                <w14:textFill>
                  <w14:solidFill>
                    <w14:schemeClr w14:val="tx1"/>
                  </w14:solidFill>
                </w14:textFill>
              </w:rPr>
              <w:object>
                <v:shape id="_x0000_i1031" o:spt="75" type="#_x0000_t75" style="height:21pt;width:21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000000" w:themeColor="text1"/>
                <w:kern w:val="2"/>
                <w:sz w:val="24"/>
                <w:szCs w:val="24"/>
                <w14:textFill>
                  <w14:solidFill>
                    <w14:schemeClr w14:val="tx1"/>
                  </w14:solidFill>
                </w14:textFill>
              </w:rPr>
              <w:t>考虑混凝土劈裂影响的计算系数；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σ</m:t>
                    </m:r>
                    <m:ctrlPr>
                      <w:rPr>
                        <w:rFonts w:ascii="Cambria Math" w:hAnsi="Cambria Math"/>
                        <w:i/>
                        <w:color w:val="auto"/>
                        <w:sz w:val="24"/>
                        <w:szCs w:val="24"/>
                      </w:rPr>
                    </m:ctrlPr>
                  </m:e>
                  <m:sub>
                    <m:r>
                      <m:rPr/>
                      <w:rPr>
                        <w:rFonts w:ascii="Cambria Math" w:hAnsi="Cambria Math"/>
                        <w:color w:val="auto"/>
                        <w:sz w:val="24"/>
                        <w:szCs w:val="24"/>
                      </w:rPr>
                      <m:t>s,t</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pStyle w:val="2"/>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ascii="宋体" w:hAnsi="宋体"/>
                <w:color w:val="auto"/>
                <w:sz w:val="24"/>
                <w:szCs w:val="24"/>
              </w:rPr>
            </w:pPr>
            <w:r>
              <w:rPr>
                <w:rFonts w:hint="eastAsia"/>
                <w:color w:val="auto"/>
                <w:sz w:val="24"/>
                <w:szCs w:val="24"/>
              </w:rPr>
              <w:t>拉结钢筋的破坏应力设计值；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tr</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iCs/>
                <w:color w:val="auto"/>
                <w:sz w:val="24"/>
                <w:szCs w:val="24"/>
              </w:rPr>
              <w:t>混凝土基材内位于植筋锚固长度范围内的横向钢筋对植筋系统锚固长度的修正系数；</w:t>
            </w:r>
            <w:r>
              <w:rPr>
                <w:i/>
                <w:color w:val="auto"/>
                <w:sz w:val="24"/>
                <w:szCs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κ1</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color w:val="auto"/>
                <w:sz w:val="24"/>
                <w:szCs w:val="24"/>
              </w:rPr>
              <w:t>植筋延性影响系数；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ascii="Symbol" w:hAnsi="Symbol"/>
                <w:i/>
                <w:iCs/>
                <w:color w:val="auto"/>
              </w:rPr>
              <w:t>b</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ascii="宋体" w:hAnsi="宋体"/>
                <w:color w:val="auto"/>
                <w:sz w:val="24"/>
                <w:szCs w:val="24"/>
              </w:rPr>
              <w:t>受拉或受压区新混凝土上受到的拉力或压力与全截面混凝土受拉或受压区受到的总拉力或压力的比值；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rPr>
            </w:pPr>
            <w:r>
              <w:rPr>
                <w:rFonts w:ascii="Symbol" w:hAnsi="Symbol"/>
                <w:i/>
                <w:color w:val="auto"/>
                <w:sz w:val="24"/>
                <w:szCs w:val="24"/>
              </w:rPr>
              <w:t xml:space="preserve"> b</w:t>
            </w:r>
            <w:r>
              <w:rPr>
                <w:iCs/>
                <w:color w:val="auto"/>
                <w:sz w:val="24"/>
                <w:szCs w:val="24"/>
                <w:vertAlign w:val="subscript"/>
              </w:rPr>
              <w:t>cv,seis</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rFonts w:hint="eastAsia"/>
                <w:color w:val="auto"/>
                <w:sz w:val="24"/>
                <w:szCs w:val="24"/>
              </w:rPr>
              <w:t>抗震性能</w:t>
            </w:r>
            <w:r>
              <w:rPr>
                <w:rFonts w:hint="eastAsia"/>
                <w:bCs/>
                <w:color w:val="000000" w:themeColor="text1"/>
                <w:sz w:val="24"/>
                <w:szCs w:val="24"/>
                <w14:textFill>
                  <w14:solidFill>
                    <w14:schemeClr w14:val="tx1"/>
                  </w14:solidFill>
                </w14:textFill>
              </w:rPr>
              <w:t>试验中变异系数对应的折减系数的最小值；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w:r>
              <w:rPr>
                <w:rFonts w:ascii="Symbol" w:hAnsi="Symbol"/>
                <w:i/>
                <w:iCs/>
                <w:color w:val="auto"/>
                <w:sz w:val="24"/>
                <w:szCs w:val="24"/>
              </w:rPr>
              <w:t>t</w:t>
            </w:r>
            <w:r>
              <w:rPr>
                <w:rFonts w:ascii="宋体" w:hAnsi="宋体"/>
                <w:color w:val="auto"/>
                <w:sz w:val="24"/>
                <w:szCs w:val="24"/>
                <w:vertAlign w:val="subscript"/>
              </w:rPr>
              <w:t>Ed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ascii="宋体" w:hAnsi="宋体"/>
                <w:color w:val="auto"/>
                <w:sz w:val="24"/>
                <w:szCs w:val="24"/>
              </w:rPr>
              <w:t>由外荷载产生新旧混凝土层间剪应力设计值；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w:r>
              <w:rPr>
                <w:rFonts w:ascii="Symbol" w:hAnsi="Symbol"/>
                <w:i/>
                <w:iCs/>
                <w:color w:val="auto"/>
                <w:sz w:val="24"/>
                <w:szCs w:val="24"/>
              </w:rPr>
              <w:t>t</w:t>
            </w:r>
            <w:r>
              <w:rPr>
                <w:rFonts w:hint="eastAsia" w:ascii="宋体" w:hAnsi="宋体"/>
                <w:color w:val="auto"/>
                <w:sz w:val="24"/>
                <w:szCs w:val="24"/>
                <w:vertAlign w:val="subscript"/>
              </w:rPr>
              <w:t>R</w:t>
            </w:r>
            <w:r>
              <w:rPr>
                <w:rFonts w:ascii="宋体" w:hAnsi="宋体"/>
                <w:color w:val="auto"/>
                <w:sz w:val="24"/>
                <w:szCs w:val="24"/>
                <w:vertAlign w:val="subscript"/>
              </w:rPr>
              <w:t>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w:t>
            </w:r>
          </w:p>
        </w:tc>
        <w:tc>
          <w:tcPr>
            <w:tcW w:w="6737" w:type="dxa"/>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宋体" w:hAnsi="宋体"/>
                <w:color w:val="auto"/>
                <w:sz w:val="24"/>
                <w:szCs w:val="24"/>
              </w:rPr>
            </w:pPr>
            <w:r>
              <w:rPr>
                <w:color w:val="auto"/>
                <w:sz w:val="24"/>
                <w:szCs w:val="24"/>
              </w:rPr>
              <w:t>带有拉结</w:t>
            </w:r>
            <w:r>
              <w:rPr>
                <w:rFonts w:hint="eastAsia"/>
                <w:color w:val="auto"/>
                <w:sz w:val="24"/>
                <w:szCs w:val="24"/>
              </w:rPr>
              <w:t>抗剪功能的植筋在新旧混凝土界面的抗剪强度设计值；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d</m:t>
                  </m:r>
                  <m:ctrlPr>
                    <w:rPr>
                      <w:rFonts w:ascii="Cambria Math" w:hAnsi="Cambria Math"/>
                      <w:i/>
                      <w:color w:val="auto"/>
                      <w:sz w:val="24"/>
                      <w:szCs w:val="24"/>
                    </w:rPr>
                  </m:ctrlPr>
                </m:sub>
              </m:sSub>
            </m:oMath>
            <w:r>
              <w:rPr>
                <w:rFonts w:ascii="Symbol" w:hAnsi="Symbol"/>
                <w:i/>
                <w:iCs/>
                <w:color w:val="auto"/>
                <w:sz w:val="24"/>
                <w:szCs w:val="24"/>
              </w:rPr>
              <w:t>t</w:t>
            </w:r>
            <w:r>
              <w:rPr>
                <w:rFonts w:hint="eastAsia" w:ascii="宋体" w:hAnsi="宋体"/>
                <w:color w:val="auto"/>
                <w:sz w:val="24"/>
                <w:szCs w:val="24"/>
                <w:vertAlign w:val="subscript"/>
              </w:rPr>
              <w:t>R</w:t>
            </w:r>
            <w:r>
              <w:rPr>
                <w:rFonts w:ascii="宋体" w:hAnsi="宋体"/>
                <w:color w:val="auto"/>
                <w:sz w:val="24"/>
                <w:szCs w:val="24"/>
                <w:vertAlign w:val="subscript"/>
              </w:rPr>
              <w:t>d</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iCs/>
                <w:color w:val="auto"/>
                <w:sz w:val="24"/>
                <w:szCs w:val="24"/>
              </w:rPr>
            </w:pPr>
            <w:r>
              <w:rPr>
                <w:rFonts w:hint="eastAsia"/>
                <w:color w:val="auto"/>
                <w:sz w:val="24"/>
                <w:szCs w:val="24"/>
              </w:rPr>
              <w:t>拉结钢筋销栓作用的抗剪强度设计值；</w:t>
            </w:r>
            <w:r>
              <w:rPr>
                <w:color w:val="auto"/>
                <w:sz w:val="24"/>
                <w:szCs w:val="24"/>
              </w:rPr>
              <w:t>带有拉结</w:t>
            </w:r>
            <w:r>
              <w:rPr>
                <w:rFonts w:hint="eastAsia"/>
                <w:color w:val="auto"/>
                <w:sz w:val="24"/>
                <w:szCs w:val="24"/>
              </w:rPr>
              <w:t>抗剪功能的植筋在新旧混凝土界面的抗剪强度设计值；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f</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剪切摩擦提供的抗剪强度设计值；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Rd,i</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iCs/>
                <w:color w:val="auto"/>
                <w:sz w:val="24"/>
                <w:szCs w:val="24"/>
              </w:rPr>
            </w:pPr>
            <w:r>
              <w:rPr>
                <w:rFonts w:hint="eastAsia"/>
                <w:color w:val="auto"/>
                <w:sz w:val="24"/>
                <w:szCs w:val="24"/>
              </w:rPr>
              <w:t>新、旧混凝土骨料咬合作用产生的粘结抗剪强度设计值；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Rk,sp</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ascii="宋体" w:hAnsi="宋体"/>
                <w:color w:val="auto"/>
                <w:sz w:val="24"/>
                <w:szCs w:val="24"/>
              </w:rPr>
              <w:t>植筋系统中最不利植筋的抗拉胶粘劈裂强度；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γ</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常温下的材料分项系数；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auto"/>
              </w:rPr>
            </w:pPr>
            <m:oMathPara>
              <m:oMathParaPr>
                <m:jc m:val="right"/>
              </m:oMathParaPr>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F,fi</m:t>
                    </m:r>
                    <m:ctrlPr>
                      <w:rPr>
                        <w:rFonts w:ascii="Cambria Math" w:hAnsi="Cambria Math"/>
                        <w:i/>
                        <w:color w:val="auto"/>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火灾条件下的荷载分项系数；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w:r>
              <w:rPr>
                <w:rFonts w:ascii="Symbol" w:hAnsi="Symbol"/>
                <w:color w:val="auto"/>
                <w:sz w:val="24"/>
                <w:szCs w:val="24"/>
              </w:rPr>
              <w:t>g</w:t>
            </w:r>
            <w:r>
              <w:rPr>
                <w:color w:val="auto"/>
                <w:sz w:val="24"/>
                <w:szCs w:val="24"/>
                <w:vertAlign w:val="subscript"/>
              </w:rPr>
              <w:t>M</w:t>
            </w:r>
            <w:r>
              <w:rPr>
                <w:rFonts w:hint="eastAsia"/>
                <w:color w:val="auto"/>
                <w:sz w:val="24"/>
                <w:szCs w:val="24"/>
                <w:vertAlign w:val="subscript"/>
              </w:rPr>
              <w:t>s</w:t>
            </w:r>
            <w:r>
              <w:rPr>
                <w:color w:val="auto"/>
                <w:sz w:val="24"/>
                <w:szCs w:val="24"/>
                <w:vertAlign w:val="subscript"/>
              </w:rPr>
              <w:t xml:space="preserve">,fi </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火灾下钢材的分项系数；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w:r>
              <w:rPr>
                <w:rFonts w:hint="eastAsia"/>
                <w:color w:val="auto"/>
                <w:sz w:val="24"/>
                <w:szCs w:val="24"/>
              </w:rPr>
              <w:t>（</w:t>
            </w:r>
            <w:r>
              <w:rPr>
                <w:rFonts w:ascii="Symbol" w:hAnsi="Symbol"/>
                <w:color w:val="auto"/>
                <w:sz w:val="24"/>
                <w:szCs w:val="24"/>
              </w:rPr>
              <w:t>q</w:t>
            </w:r>
            <w:r>
              <w:rPr>
                <w:rFonts w:hint="eastAsia" w:ascii="Symbol" w:hAnsi="Symbol"/>
                <w:color w:val="auto"/>
                <w:sz w:val="24"/>
                <w:szCs w:val="24"/>
              </w:rPr>
              <w: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混凝土构件内植筋所处位置的最高温度；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m:oMathPara>
              <m:oMathParaPr>
                <m:jc m:val="right"/>
              </m:oMathParaPr>
              <m:oMath>
                <m:sSub>
                  <m:sSubPr>
                    <m:ctrlPr>
                      <w:rPr>
                        <w:rFonts w:ascii="Cambria Math" w:hAnsi="Cambria Math"/>
                        <w:i/>
                        <w:iCs/>
                        <w:color w:val="auto"/>
                        <w:sz w:val="24"/>
                        <w:szCs w:val="24"/>
                      </w:rPr>
                    </m:ctrlPr>
                  </m:sSubPr>
                  <m:e>
                    <m:r>
                      <m:rPr/>
                      <w:rPr>
                        <w:rFonts w:ascii="Cambria Math" w:hAnsi="Cambria Math"/>
                        <w:color w:val="auto"/>
                        <w:sz w:val="24"/>
                        <w:szCs w:val="24"/>
                      </w:rPr>
                      <m:t>ζ</m:t>
                    </m:r>
                    <m:ctrlPr>
                      <w:rPr>
                        <w:rFonts w:ascii="Cambria Math" w:hAnsi="Cambria Math"/>
                        <w:i/>
                        <w:iCs/>
                        <w:color w:val="auto"/>
                        <w:sz w:val="24"/>
                        <w:szCs w:val="24"/>
                      </w:rPr>
                    </m:ctrlPr>
                  </m:e>
                  <m:sub>
                    <m:r>
                      <m:rPr/>
                      <w:rPr>
                        <w:rFonts w:hint="eastAsia" w:ascii="Cambria Math" w:hAnsi="Cambria Math"/>
                        <w:color w:val="auto"/>
                        <w:sz w:val="24"/>
                        <w:szCs w:val="24"/>
                      </w:rPr>
                      <m:t>l</m:t>
                    </m:r>
                    <m:ctrlPr>
                      <w:rPr>
                        <w:rFonts w:ascii="Cambria Math" w:hAnsi="Cambria Math"/>
                        <w:i/>
                        <w:iCs/>
                        <w:color w:val="auto"/>
                        <w:sz w:val="24"/>
                        <w:szCs w:val="24"/>
                      </w:rPr>
                    </m:ctrlPr>
                  </m:sub>
                </m:sSub>
              </m:oMath>
            </m:oMathPara>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auto"/>
                <w:sz w:val="24"/>
                <w:szCs w:val="24"/>
              </w:rPr>
              <w:t>纵向受拉钢筋搭接长度修正系数；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w:r>
              <w:rPr>
                <w:rFonts w:ascii="Symbol" w:hAnsi="Symbol" w:cs="宋体"/>
                <w:i/>
                <w:iCs/>
                <w:color w:val="auto"/>
                <w:sz w:val="24"/>
                <w:szCs w:val="24"/>
              </w:rPr>
              <w:t>y</w:t>
            </w:r>
            <w:r>
              <w:rPr>
                <w:rFonts w:hint="eastAsia" w:ascii="宋体" w:cs="宋体" w:hAnsiTheme="minorHAnsi"/>
                <w:color w:val="auto"/>
                <w:sz w:val="24"/>
                <w:szCs w:val="24"/>
                <w:vertAlign w:val="subscript"/>
              </w:rPr>
              <w:t>ae</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color w:val="000000" w:themeColor="text1"/>
                <w:kern w:val="2"/>
                <w:sz w:val="24"/>
                <w:szCs w:val="24"/>
                <w14:textFill>
                  <w14:solidFill>
                    <w14:schemeClr w14:val="tx1"/>
                  </w14:solidFill>
                </w14:textFill>
              </w:rPr>
              <w:t>考虑植筋位移延性要求的修正系数；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w:r>
              <w:rPr>
                <w:color w:val="000000" w:themeColor="text1"/>
                <w:kern w:val="2"/>
                <w:position w:val="-10"/>
                <w:sz w:val="24"/>
                <w:szCs w:val="24"/>
                <w14:textFill>
                  <w14:solidFill>
                    <w14:schemeClr w14:val="tx1"/>
                  </w14:solidFill>
                </w14:textFill>
              </w:rPr>
              <w:object>
                <v:shape id="_x0000_i1032" o:spt="75" type="#_x0000_t75" style="height:16pt;width:16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000000" w:themeColor="text1"/>
                <w:kern w:val="2"/>
                <w:sz w:val="24"/>
                <w:szCs w:val="24"/>
                <w14:textFill>
                  <w14:solidFill>
                    <w14:schemeClr w14:val="tx1"/>
                  </w14:solidFill>
                </w14:textFill>
              </w:rPr>
              <w:t>考虑结构构件受力状态对承载力影响的系数：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w:r>
              <w:rPr>
                <w:rFonts w:ascii="Symbol" w:hAnsi="Symbol" w:cs="宋体"/>
                <w:i/>
                <w:iCs/>
                <w:color w:val="auto"/>
                <w:sz w:val="24"/>
                <w:szCs w:val="24"/>
              </w:rPr>
              <w:t>y</w:t>
            </w:r>
            <w:r>
              <w:rPr>
                <w:rFonts w:ascii="宋体" w:cs="宋体" w:hAnsiTheme="minorHAnsi"/>
                <w:color w:val="auto"/>
                <w:sz w:val="24"/>
                <w:szCs w:val="24"/>
                <w:vertAlign w:val="subscript"/>
              </w:rPr>
              <w:t>ec</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ascii="宋体" w:cs="宋体" w:hAnsiTheme="minorHAnsi"/>
                <w:color w:val="auto"/>
                <w:sz w:val="24"/>
                <w:szCs w:val="24"/>
              </w:rPr>
              <w:t>荷载偏</w:t>
            </w:r>
            <w:r>
              <w:rPr>
                <w:rFonts w:hint="eastAsia" w:hAnsi="宋体"/>
                <w:i/>
                <w:iCs/>
                <w:color w:val="auto"/>
                <w:sz w:val="24"/>
                <w:szCs w:val="24"/>
              </w:rPr>
              <w:t xml:space="preserve"> e</w:t>
            </w:r>
            <w:r>
              <w:rPr>
                <w:rFonts w:hint="eastAsia" w:ascii="宋体" w:cs="宋体" w:hAnsiTheme="minorHAnsi"/>
                <w:color w:val="auto"/>
                <w:sz w:val="24"/>
                <w:szCs w:val="24"/>
              </w:rPr>
              <w:t>对受拉承载力的影响系数</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iCs/>
                <w:color w:val="auto"/>
                <w:sz w:val="24"/>
                <w:szCs w:val="24"/>
              </w:rPr>
            </w:pPr>
            <w:r>
              <w:rPr>
                <w:rFonts w:ascii="Symbol" w:hAnsi="Symbol" w:cs="宋体"/>
                <w:i/>
                <w:iCs/>
                <w:color w:val="auto"/>
                <w:sz w:val="24"/>
                <w:szCs w:val="24"/>
              </w:rPr>
              <w:t>y</w:t>
            </w:r>
            <w:r>
              <w:rPr>
                <w:rFonts w:hint="eastAsia" w:ascii="宋体" w:cs="宋体" w:hAnsiTheme="minorHAnsi"/>
                <w:color w:val="auto"/>
                <w:sz w:val="24"/>
                <w:szCs w:val="24"/>
                <w:vertAlign w:val="subscript"/>
              </w:rPr>
              <w:t>M,</w:t>
            </w:r>
            <w:r>
              <w:rPr>
                <w:rFonts w:ascii="宋体" w:cs="宋体" w:hAnsiTheme="minorHAnsi"/>
                <w:color w:val="auto"/>
                <w:sz w:val="24"/>
                <w:szCs w:val="24"/>
                <w:vertAlign w:val="subscript"/>
              </w:rPr>
              <w:t>N</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 w:val="24"/>
                <w:szCs w:val="24"/>
              </w:rPr>
            </w:pPr>
            <w:r>
              <w:rPr>
                <w:rFonts w:hint="eastAsia" w:ascii="宋体" w:cs="宋体" w:hAnsiTheme="minorHAnsi"/>
                <w:color w:val="auto"/>
                <w:sz w:val="24"/>
                <w:szCs w:val="24"/>
              </w:rPr>
              <w:t>考虑弯矩作用对结构构件截面产生压力区约束作用对受拉承载力的影响系数；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ascii="Symbol" w:hAnsi="Symbol" w:cs="宋体"/>
                <w:i/>
                <w:iCs/>
                <w:color w:val="auto"/>
                <w:sz w:val="24"/>
                <w:szCs w:val="24"/>
              </w:rPr>
              <w:t>y</w:t>
            </w:r>
            <w:r>
              <w:rPr>
                <w:rFonts w:ascii="宋体" w:cs="宋体" w:hAnsiTheme="minorHAnsi"/>
                <w:color w:val="auto"/>
                <w:sz w:val="24"/>
                <w:szCs w:val="24"/>
                <w:vertAlign w:val="subscript"/>
              </w:rPr>
              <w:t>N</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000000" w:themeColor="text1"/>
                <w:kern w:val="2"/>
                <w:sz w:val="24"/>
                <w:szCs w:val="24"/>
                <w14:textFill>
                  <w14:solidFill>
                    <w14:schemeClr w14:val="tx1"/>
                  </w14:solidFill>
                </w14:textFill>
              </w:rPr>
              <w:t>考虑各种因素对植筋受拉承载力影响而需加大锚固长度的修正系数；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sz w:val="24"/>
                <w:szCs w:val="24"/>
                <w14:textFill>
                  <w14:solidFill>
                    <w14:schemeClr w14:val="tx1"/>
                  </w14:solidFill>
                </w14:textFill>
              </w:rPr>
            </w:pPr>
            <w:r>
              <w:rPr>
                <w:rFonts w:ascii="Symbol" w:hAnsi="Symbol" w:cs="宋体"/>
                <w:i/>
                <w:iCs/>
                <w:color w:val="auto"/>
                <w:sz w:val="24"/>
                <w:szCs w:val="24"/>
              </w:rPr>
              <w:t>y</w:t>
            </w:r>
            <w:r>
              <w:rPr>
                <w:rFonts w:ascii="宋体" w:cs="宋体" w:hAnsiTheme="minorHAnsi"/>
                <w:color w:val="auto"/>
                <w:sz w:val="24"/>
                <w:szCs w:val="24"/>
                <w:vertAlign w:val="subscript"/>
              </w:rPr>
              <w:t>re</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cs="宋体" w:hAnsiTheme="minorHAnsi"/>
                <w:color w:val="auto"/>
                <w:sz w:val="24"/>
                <w:szCs w:val="24"/>
              </w:rPr>
              <w:t>表层混凝土因密集配筋的剥离作用对受拉承载力的影响系数</w:t>
            </w:r>
            <w:r>
              <w:rPr>
                <w:rFonts w:hint="eastAsia" w:ascii="宋体" w:hAnsi="宋体"/>
                <w:color w:val="auto"/>
                <w:sz w:val="24"/>
                <w:szCs w:val="24"/>
              </w:rPr>
              <w:t>；</w:t>
            </w:r>
            <w:r>
              <w:rPr>
                <w:rFonts w:hint="eastAsia"/>
                <w:color w:val="000000" w:themeColor="text1"/>
                <w:kern w:val="2"/>
                <w:sz w:val="24"/>
                <w:szCs w:val="24"/>
                <w14:textFill>
                  <w14:solidFill>
                    <w14:schemeClr w14:val="tx1"/>
                  </w14:solidFill>
                </w14:textFill>
              </w:rPr>
              <w:t>考虑各种因素对植筋受拉承载力影响而需加大锚固长度的修正系数；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sz w:val="24"/>
                <w:szCs w:val="24"/>
                <w14:textFill>
                  <w14:solidFill>
                    <w14:schemeClr w14:val="tx1"/>
                  </w14:solidFill>
                </w14:textFill>
              </w:rPr>
            </w:pPr>
            <w:r>
              <w:rPr>
                <w:rFonts w:ascii="Symbol" w:hAnsi="Symbol" w:cs="宋体"/>
                <w:i/>
                <w:iCs/>
                <w:color w:val="auto"/>
                <w:sz w:val="24"/>
                <w:szCs w:val="24"/>
              </w:rPr>
              <w:t>y</w:t>
            </w:r>
            <w:r>
              <w:rPr>
                <w:rFonts w:ascii="宋体" w:cs="宋体" w:hAnsiTheme="minorHAnsi"/>
                <w:color w:val="auto"/>
                <w:sz w:val="24"/>
                <w:szCs w:val="24"/>
                <w:vertAlign w:val="subscript"/>
              </w:rPr>
              <w:t>re</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cs="宋体" w:hAnsiTheme="minorHAnsi"/>
                <w:color w:val="auto"/>
                <w:sz w:val="24"/>
                <w:szCs w:val="24"/>
              </w:rPr>
              <w:t>表层混凝土因密集配筋的剥离作用对受拉承载力的影响系数</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sz w:val="24"/>
                <w:szCs w:val="24"/>
                <w14:textFill>
                  <w14:solidFill>
                    <w14:schemeClr w14:val="tx1"/>
                  </w14:solidFill>
                </w14:textFill>
              </w:rPr>
            </w:pPr>
            <w:r>
              <w:rPr>
                <w:rFonts w:ascii="Symbol" w:hAnsi="Symbol" w:cs="宋体"/>
                <w:i/>
                <w:iCs/>
                <w:color w:val="auto"/>
                <w:sz w:val="24"/>
                <w:szCs w:val="24"/>
              </w:rPr>
              <w:t>y</w:t>
            </w:r>
            <w:r>
              <w:rPr>
                <w:rFonts w:ascii="宋体" w:cs="宋体" w:hAnsiTheme="minorHAnsi"/>
                <w:color w:val="auto"/>
                <w:sz w:val="24"/>
                <w:szCs w:val="24"/>
                <w:vertAlign w:val="subscript"/>
              </w:rPr>
              <w:t>s</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ascii="宋体" w:cs="宋体" w:hAnsiTheme="minorHAnsi"/>
                <w:color w:val="auto"/>
                <w:sz w:val="24"/>
                <w:szCs w:val="24"/>
              </w:rPr>
              <w:t>边距</w:t>
            </w:r>
            <w:r>
              <w:rPr>
                <w:rFonts w:hAnsi="宋体"/>
                <w:i/>
                <w:iCs/>
                <w:color w:val="auto"/>
                <w:sz w:val="24"/>
                <w:szCs w:val="24"/>
              </w:rPr>
              <w:t>c</w:t>
            </w:r>
            <w:r>
              <w:rPr>
                <w:rFonts w:hint="eastAsia" w:ascii="宋体" w:cs="宋体" w:hAnsiTheme="minorHAnsi"/>
                <w:color w:val="auto"/>
                <w:sz w:val="24"/>
                <w:szCs w:val="24"/>
              </w:rPr>
              <w:t>对受拉承载力的影响系数</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33" o:spt="75" type="#_x0000_t75" style="height:16pt;width:16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使用环境的温度影响系数</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34" o:spt="75" type="#_x0000_t75" style="height:16pt;width:16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8">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考虑</w:t>
            </w:r>
            <w:r>
              <w:rPr>
                <w:rFonts w:hint="eastAsia"/>
                <w:color w:val="000000" w:themeColor="text1"/>
                <w:kern w:val="2"/>
                <w:sz w:val="24"/>
                <w:szCs w:val="24"/>
                <w14:textFill>
                  <w14:solidFill>
                    <w14:schemeClr w14:val="tx1"/>
                  </w14:solidFill>
                </w14:textFill>
              </w:rPr>
              <w:t>新增</w:t>
            </w:r>
            <w:r>
              <w:rPr>
                <w:color w:val="000000" w:themeColor="text1"/>
                <w:kern w:val="2"/>
                <w:sz w:val="24"/>
                <w:szCs w:val="24"/>
                <w14:textFill>
                  <w14:solidFill>
                    <w14:schemeClr w14:val="tx1"/>
                  </w14:solidFill>
                </w14:textFill>
              </w:rPr>
              <w:t>结构构件受力状态对</w:t>
            </w:r>
            <w:r>
              <w:rPr>
                <w:rFonts w:hint="eastAsia"/>
                <w:color w:val="000000" w:themeColor="text1"/>
                <w:kern w:val="2"/>
                <w:sz w:val="24"/>
                <w:szCs w:val="24"/>
                <w14:textFill>
                  <w14:solidFill>
                    <w14:schemeClr w14:val="tx1"/>
                  </w14:solidFill>
                </w14:textFill>
              </w:rPr>
              <w:t>植筋</w:t>
            </w:r>
            <w:r>
              <w:rPr>
                <w:color w:val="000000" w:themeColor="text1"/>
                <w:kern w:val="2"/>
                <w:sz w:val="24"/>
                <w:szCs w:val="24"/>
                <w14:textFill>
                  <w14:solidFill>
                    <w14:schemeClr w14:val="tx1"/>
                  </w14:solidFill>
                </w14:textFill>
              </w:rPr>
              <w:t>承载力影响的系数：使用环境的温度影响系数</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35" o:spt="75" type="#_x0000_t75" style="height:16pt;width:16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000000" w:themeColor="text1"/>
                <w:sz w:val="24"/>
                <w:szCs w:val="24"/>
                <w14:textFill>
                  <w14:solidFill>
                    <w14:schemeClr w14:val="tx1"/>
                  </w14:solidFill>
                </w14:textFill>
              </w:rPr>
              <w:t>混凝土孔壁潮湿影响系数；</w:t>
            </w:r>
            <w:r>
              <w:rPr>
                <w:color w:val="000000" w:themeColor="text1"/>
                <w:kern w:val="2"/>
                <w:sz w:val="24"/>
                <w:szCs w:val="24"/>
                <w14:textFill>
                  <w14:solidFill>
                    <w14:schemeClr w14:val="tx1"/>
                  </w14:solidFill>
                </w14:textFill>
              </w:rPr>
              <w:t>考虑</w:t>
            </w:r>
            <w:r>
              <w:rPr>
                <w:rFonts w:hint="eastAsia"/>
                <w:color w:val="000000" w:themeColor="text1"/>
                <w:kern w:val="2"/>
                <w:sz w:val="24"/>
                <w:szCs w:val="24"/>
                <w14:textFill>
                  <w14:solidFill>
                    <w14:schemeClr w14:val="tx1"/>
                  </w14:solidFill>
                </w14:textFill>
              </w:rPr>
              <w:t>新增</w:t>
            </w:r>
            <w:r>
              <w:rPr>
                <w:color w:val="000000" w:themeColor="text1"/>
                <w:kern w:val="2"/>
                <w:sz w:val="24"/>
                <w:szCs w:val="24"/>
                <w14:textFill>
                  <w14:solidFill>
                    <w14:schemeClr w14:val="tx1"/>
                  </w14:solidFill>
                </w14:textFill>
              </w:rPr>
              <w:t>结构构件受力状态对</w:t>
            </w:r>
            <w:r>
              <w:rPr>
                <w:rFonts w:hint="eastAsia"/>
                <w:color w:val="000000" w:themeColor="text1"/>
                <w:kern w:val="2"/>
                <w:sz w:val="24"/>
                <w:szCs w:val="24"/>
                <w14:textFill>
                  <w14:solidFill>
                    <w14:schemeClr w14:val="tx1"/>
                  </w14:solidFill>
                </w14:textFill>
              </w:rPr>
              <w:t>植筋</w:t>
            </w:r>
            <w:r>
              <w:rPr>
                <w:color w:val="000000" w:themeColor="text1"/>
                <w:kern w:val="2"/>
                <w:sz w:val="24"/>
                <w:szCs w:val="24"/>
                <w14:textFill>
                  <w14:solidFill>
                    <w14:schemeClr w14:val="tx1"/>
                  </w14:solidFill>
                </w14:textFill>
              </w:rPr>
              <w:t>承载力影响的系数：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hint="eastAsia" w:ascii="Symbol" w:hAnsi="Symbol"/>
                <w:iCs/>
                <w:color w:val="auto"/>
                <w:sz w:val="24"/>
                <w:szCs w:val="24"/>
              </w:rPr>
              <w:t>S</w:t>
            </w:r>
            <w:r>
              <w:rPr>
                <w:i/>
                <w:color w:val="auto"/>
                <w:sz w:val="24"/>
                <w:szCs w:val="24"/>
              </w:rPr>
              <w:t>A</w:t>
            </w:r>
            <w:r>
              <w:rPr>
                <w:iCs/>
                <w:color w:val="auto"/>
                <w:sz w:val="24"/>
                <w:szCs w:val="24"/>
                <w:vertAlign w:val="subscript"/>
              </w:rPr>
              <w:t>s</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color w:val="000000" w:themeColor="text1"/>
                <w:kern w:val="2"/>
                <w:sz w:val="24"/>
                <w:szCs w:val="24"/>
                <w14:textFill>
                  <w14:solidFill>
                    <w14:schemeClr w14:val="tx1"/>
                  </w14:solidFill>
                </w14:textFill>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ascii="宋体" w:hAnsi="宋体"/>
                <w:color w:val="auto"/>
                <w:sz w:val="24"/>
                <w:szCs w:val="24"/>
              </w:rPr>
              <w:t>植筋系统中受拉钢筋总截面面积；</w:t>
            </w:r>
            <w:r>
              <w:rPr>
                <w:rFonts w:hint="eastAsia"/>
                <w:color w:val="000000" w:themeColor="text1"/>
                <w:sz w:val="24"/>
                <w:szCs w:val="24"/>
                <w14:textFill>
                  <w14:solidFill>
                    <w14:schemeClr w14:val="tx1"/>
                  </w14:solidFill>
                </w14:textFill>
              </w:rPr>
              <w:t>混凝土孔壁潮湿影响系数；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sz w:val="24"/>
                <w:szCs w:val="24"/>
                <w14:textFill>
                  <w14:solidFill>
                    <w14:schemeClr w14:val="tx1"/>
                  </w14:solidFill>
                </w14:textFill>
              </w:rPr>
            </w:pPr>
            <w:r>
              <w:rPr>
                <w:rFonts w:hint="eastAsia" w:ascii="Symbol" w:hAnsi="Symbol"/>
                <w:iCs/>
                <w:color w:val="auto"/>
                <w:sz w:val="24"/>
                <w:szCs w:val="24"/>
              </w:rPr>
              <w:t>S</w:t>
            </w:r>
            <w:r>
              <w:rPr>
                <w:i/>
                <w:color w:val="auto"/>
                <w:sz w:val="24"/>
                <w:szCs w:val="24"/>
              </w:rPr>
              <w:t>A</w:t>
            </w:r>
            <w:r>
              <w:rPr>
                <w:iCs/>
                <w:color w:val="auto"/>
                <w:sz w:val="24"/>
                <w:szCs w:val="24"/>
                <w:vertAlign w:val="subscript"/>
              </w:rPr>
              <w:t>st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iCs/>
                <w:color w:val="auto"/>
                <w:sz w:val="24"/>
                <w:szCs w:val="24"/>
              </w:rPr>
              <w:t>整个植筋锚固区域内横向约束钢筋（箍筋）截面面积之和；</w:t>
            </w:r>
            <w:r>
              <w:rPr>
                <w:rFonts w:hint="eastAsia" w:ascii="宋体" w:hAnsi="宋体"/>
                <w:color w:val="auto"/>
                <w:sz w:val="24"/>
                <w:szCs w:val="24"/>
              </w:rPr>
              <w:t>植筋系统中受拉钢筋总截面面积；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hint="eastAsia" w:ascii="Symbol" w:hAnsi="Symbol"/>
                <w:iCs/>
                <w:color w:val="auto"/>
                <w:sz w:val="24"/>
                <w:szCs w:val="24"/>
              </w:rPr>
              <w:t>S</w:t>
            </w:r>
            <w:r>
              <w:rPr>
                <w:i/>
                <w:color w:val="auto"/>
                <w:sz w:val="24"/>
                <w:szCs w:val="24"/>
              </w:rPr>
              <w:t>A</w:t>
            </w:r>
            <w:r>
              <w:rPr>
                <w:iCs/>
                <w:color w:val="auto"/>
                <w:sz w:val="24"/>
                <w:szCs w:val="24"/>
                <w:vertAlign w:val="subscript"/>
              </w:rPr>
              <w:t>st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iCs/>
                <w:color w:val="auto"/>
                <w:sz w:val="24"/>
                <w:szCs w:val="24"/>
              </w:rPr>
              <w:t>整个植筋锚固区域内横向钢筋（箍筋）截面面积之和；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ascii="Symbol" w:hAnsi="Symbol"/>
                <w:i/>
                <w:color w:val="auto"/>
                <w:sz w:val="24"/>
                <w:szCs w:val="24"/>
              </w:rPr>
              <w:t>l</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iCs/>
                <w:color w:val="auto"/>
                <w:sz w:val="24"/>
                <w:szCs w:val="24"/>
              </w:rPr>
              <w:t>考虑植筋锚固长度范围内的横向钢筋总截面面积与单根植筋截面积比的计算系数；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ascii="Symbol" w:hAnsi="Symbol"/>
                <w:i/>
                <w:iCs/>
                <w:color w:val="auto"/>
                <w:sz w:val="24"/>
                <w:szCs w:val="24"/>
                <w:shd w:val="pct10" w:color="auto" w:fill="FFFFFF"/>
              </w:rPr>
              <w:t>z</w:t>
            </w:r>
            <w:r>
              <w:rPr>
                <w:rFonts w:hint="eastAsia" w:ascii="宋体" w:hAnsi="宋体"/>
                <w:i/>
                <w:iCs/>
                <w:color w:val="auto"/>
                <w:sz w:val="24"/>
                <w:szCs w:val="24"/>
                <w:shd w:val="pct10" w:color="auto" w:fill="FFFFFF"/>
                <w:vertAlign w:val="subscript"/>
              </w:rPr>
              <w:t>l</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sz w:val="24"/>
                <w:szCs w:val="24"/>
                <w14:textFill>
                  <w14:solidFill>
                    <w14:schemeClr w14:val="tx1"/>
                  </w14:solidFill>
                </w14:textFill>
              </w:rPr>
            </w:pPr>
            <w:r>
              <w:rPr>
                <w:rFonts w:hint="eastAsia"/>
                <w:color w:val="auto"/>
                <w:sz w:val="24"/>
                <w:szCs w:val="24"/>
              </w:rPr>
              <w:t>纵向受拉钢筋搭接长度修正系数</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color w:val="000000" w:themeColor="text1"/>
                <w:kern w:val="2"/>
                <w:sz w:val="24"/>
                <w:szCs w:val="24"/>
                <w14:textFill>
                  <w14:solidFill>
                    <w14:schemeClr w14:val="tx1"/>
                  </w14:solidFill>
                </w14:textFill>
              </w:rPr>
            </w:pPr>
            <w:r>
              <w:rPr>
                <w:rFonts w:ascii="Symbol" w:hAnsi="Symbol"/>
                <w:i/>
                <w:iCs/>
                <w:color w:val="auto"/>
                <w:sz w:val="24"/>
                <w:szCs w:val="24"/>
              </w:rPr>
              <w:t>r</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color w:val="auto"/>
                <w:sz w:val="24"/>
                <w:szCs w:val="24"/>
              </w:rPr>
              <w:t>—</w:t>
            </w:r>
          </w:p>
        </w:tc>
        <w:tc>
          <w:tcPr>
            <w:tcW w:w="6737"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000000" w:themeColor="text1"/>
                <w:kern w:val="2"/>
                <w:sz w:val="24"/>
                <w:szCs w:val="24"/>
                <w14:textFill>
                  <w14:solidFill>
                    <w14:schemeClr w14:val="tx1"/>
                  </w14:solidFill>
                </w14:textFill>
              </w:rPr>
            </w:pPr>
            <w:r>
              <w:rPr>
                <w:rFonts w:hint="eastAsia"/>
                <w:color w:val="auto"/>
                <w:sz w:val="24"/>
                <w:szCs w:val="24"/>
              </w:rPr>
              <w:t>拉结钢筋的配筋率；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35" w:type="dxa"/>
          </w:tcPr>
          <w:p>
            <w:pPr>
              <w:keepNext w:val="0"/>
              <w:keepLines w:val="0"/>
              <w:pageBreakBefore w:val="0"/>
              <w:widowControl/>
              <w:kinsoku/>
              <w:wordWrap/>
              <w:overflowPunct/>
              <w:topLinePunct w:val="0"/>
              <w:autoSpaceDE/>
              <w:autoSpaceDN/>
              <w:bidi w:val="0"/>
              <w:adjustRightInd/>
              <w:snapToGrid/>
              <w:spacing w:after="0" w:line="360" w:lineRule="auto"/>
              <w:jc w:val="right"/>
              <w:textAlignment w:val="auto"/>
              <w:rPr>
                <w:rFonts w:ascii="FangSong_GB2312" w:eastAsia="FangSong_GB2312"/>
                <w:sz w:val="24"/>
                <w:szCs w:val="24"/>
              </w:rPr>
            </w:pPr>
            <w:r>
              <w:rPr>
                <w:rFonts w:ascii="Symbol" w:hAnsi="Symbol"/>
                <w:i/>
                <w:iCs/>
                <w:color w:val="auto"/>
                <w:sz w:val="24"/>
                <w:szCs w:val="24"/>
                <w:shd w:val="pct10" w:color="auto" w:fill="FFFFFF"/>
              </w:rPr>
              <w:t>r</w:t>
            </w:r>
            <w:r>
              <w:rPr>
                <w:rFonts w:hint="eastAsia"/>
                <w:color w:val="auto"/>
                <w:sz w:val="24"/>
                <w:szCs w:val="24"/>
                <w:shd w:val="pct10" w:color="auto" w:fill="FFFFFF"/>
                <w:vertAlign w:val="subscript"/>
              </w:rPr>
              <w:t>t</w:t>
            </w:r>
          </w:p>
        </w:tc>
        <w:tc>
          <w:tcPr>
            <w:tcW w:w="500" w:type="dxa"/>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ascii="FangSong_GB2312" w:eastAsia="FangSong_GB2312"/>
                <w:sz w:val="24"/>
                <w:szCs w:val="24"/>
              </w:rPr>
            </w:pPr>
            <w:r>
              <w:rPr>
                <w:rFonts w:hint="eastAsia"/>
                <w:color w:val="auto"/>
                <w:sz w:val="24"/>
                <w:szCs w:val="24"/>
              </w:rPr>
              <w:t>—</w:t>
            </w:r>
          </w:p>
        </w:tc>
        <w:tc>
          <w:tcPr>
            <w:tcW w:w="6737" w:type="dxa"/>
          </w:tcPr>
          <w:p>
            <w:pPr>
              <w:keepNext w:val="0"/>
              <w:keepLines w:val="0"/>
              <w:pageBreakBefore w:val="0"/>
              <w:kinsoku/>
              <w:wordWrap/>
              <w:overflowPunct/>
              <w:topLinePunct w:val="0"/>
              <w:autoSpaceDE/>
              <w:autoSpaceDN/>
              <w:bidi w:val="0"/>
              <w:adjustRightInd/>
              <w:snapToGrid/>
              <w:spacing w:after="0" w:line="360" w:lineRule="auto"/>
              <w:textAlignment w:val="auto"/>
              <w:rPr>
                <w:rFonts w:hint="eastAsia" w:ascii="FangSong_GB2312" w:eastAsia="宋体"/>
                <w:sz w:val="24"/>
                <w:szCs w:val="24"/>
                <w:lang w:eastAsia="zh-CN"/>
              </w:rPr>
            </w:pPr>
            <w:r>
              <w:rPr>
                <w:rFonts w:hint="eastAsia"/>
                <w:color w:val="auto"/>
                <w:sz w:val="24"/>
                <w:szCs w:val="24"/>
              </w:rPr>
              <w:t>同一连接区段内纵向受力钢筋搭接接头面积百分率</w:t>
            </w:r>
            <w:r>
              <w:rPr>
                <w:rFonts w:hint="eastAsia"/>
                <w:color w:val="auto"/>
                <w:sz w:val="24"/>
                <w:szCs w:val="24"/>
                <w:lang w:eastAsia="zh-CN"/>
              </w:rPr>
              <w:t>。</w:t>
            </w:r>
          </w:p>
        </w:tc>
      </w:tr>
    </w:tbl>
    <w:p>
      <w:pPr>
        <w:widowControl/>
        <w:jc w:val="left"/>
        <w:rPr>
          <w:rFonts w:ascii="FangSong_GB2312" w:eastAsia="FangSong_GB2312"/>
          <w:sz w:val="24"/>
          <w:szCs w:val="24"/>
        </w:rPr>
      </w:pPr>
      <w:r>
        <w:rPr>
          <w:rFonts w:ascii="FangSong_GB2312" w:eastAsia="FangSong_GB2312"/>
          <w:sz w:val="24"/>
          <w:szCs w:val="24"/>
        </w:rPr>
        <w:br w:type="page"/>
      </w:r>
    </w:p>
    <w:p>
      <w:pPr>
        <w:pStyle w:val="4"/>
        <w:rPr>
          <w:rFonts w:ascii="宋体" w:hAnsi="宋体" w:eastAsia="宋体" w:cs="宋体"/>
        </w:rPr>
      </w:pPr>
      <w:bookmarkStart w:id="15" w:name="_Toc9824"/>
      <w:bookmarkStart w:id="16" w:name="_Toc145273807"/>
      <w:r>
        <w:rPr>
          <w:rFonts w:hint="eastAsia" w:ascii="宋体" w:hAnsi="宋体" w:eastAsia="宋体" w:cs="宋体"/>
        </w:rPr>
        <w:t>3  材料</w:t>
      </w:r>
      <w:bookmarkEnd w:id="15"/>
      <w:bookmarkEnd w:id="16"/>
    </w:p>
    <w:p>
      <w:pPr>
        <w:pStyle w:val="5"/>
      </w:pPr>
      <w:bookmarkStart w:id="17" w:name="_Toc25913"/>
      <w:bookmarkStart w:id="18" w:name="_Toc145273808"/>
      <w:r>
        <w:rPr>
          <w:rFonts w:hint="eastAsia"/>
        </w:rPr>
        <w:t>3.1 一般要求</w:t>
      </w:r>
      <w:bookmarkEnd w:id="17"/>
      <w:bookmarkEnd w:id="18"/>
    </w:p>
    <w:p>
      <w:pPr>
        <w:spacing w:after="0" w:line="360" w:lineRule="auto"/>
        <w:rPr>
          <w:color w:val="auto"/>
          <w:sz w:val="24"/>
          <w:szCs w:val="24"/>
        </w:rPr>
      </w:pPr>
      <w:r>
        <w:rPr>
          <w:b/>
          <w:bCs/>
          <w:color w:val="auto"/>
          <w:sz w:val="24"/>
          <w:szCs w:val="24"/>
        </w:rPr>
        <w:t xml:space="preserve">3.1.1 </w:t>
      </w:r>
      <w:r>
        <w:rPr>
          <w:rFonts w:hint="eastAsia"/>
          <w:color w:val="auto"/>
          <w:sz w:val="24"/>
          <w:szCs w:val="24"/>
        </w:rPr>
        <w:t>植筋锚固基材应为钢筋混凝土或预应力混凝土构件，</w:t>
      </w:r>
      <w:r>
        <w:rPr>
          <w:color w:val="auto"/>
          <w:sz w:val="24"/>
          <w:szCs w:val="24"/>
        </w:rPr>
        <w:t>受力钢筋的配筋率不宜低于现行国家标准《混凝土结构设计规范》GB50010 中规定的最小配筋率</w:t>
      </w:r>
      <w:r>
        <w:rPr>
          <w:rFonts w:hint="eastAsia"/>
          <w:color w:val="auto"/>
          <w:sz w:val="24"/>
          <w:szCs w:val="24"/>
        </w:rPr>
        <w:t>。</w:t>
      </w:r>
      <w:r>
        <w:rPr>
          <w:color w:val="auto"/>
          <w:sz w:val="24"/>
          <w:szCs w:val="24"/>
        </w:rPr>
        <w:t>作为植筋系统锚固基材的混凝土力学性能应符合现行国家标准《混凝土结构设计规范》GB50010的规定。</w:t>
      </w:r>
    </w:p>
    <w:p>
      <w:pPr>
        <w:spacing w:after="0" w:line="360" w:lineRule="auto"/>
        <w:rPr>
          <w:i/>
          <w:iCs/>
          <w:color w:val="0070C0"/>
          <w:sz w:val="24"/>
          <w:szCs w:val="24"/>
        </w:rPr>
      </w:pPr>
      <w:r>
        <w:rPr>
          <w:i/>
          <w:iCs/>
          <w:color w:val="0070C0"/>
          <w:sz w:val="24"/>
          <w:szCs w:val="24"/>
        </w:rPr>
        <w:t>【条文说明</w:t>
      </w:r>
      <w:r>
        <w:rPr>
          <w:i/>
          <w:iCs/>
          <w:color w:val="4472C4" w:themeColor="accent1"/>
          <w:sz w:val="24"/>
          <w:szCs w:val="24"/>
          <w14:textFill>
            <w14:solidFill>
              <w14:schemeClr w14:val="accent1"/>
            </w14:solidFill>
          </w14:textFill>
        </w:rPr>
        <w:t>】</w:t>
      </w:r>
      <w:r>
        <w:rPr>
          <w:rFonts w:hint="eastAsia"/>
          <w:b/>
          <w:bCs/>
          <w:i/>
          <w:iCs/>
          <w:color w:val="4472C4" w:themeColor="accent1"/>
          <w:sz w:val="24"/>
          <w:szCs w:val="24"/>
          <w14:textFill>
            <w14:solidFill>
              <w14:schemeClr w14:val="accent1"/>
            </w14:solidFill>
          </w14:textFill>
        </w:rPr>
        <w:t>3</w:t>
      </w:r>
      <w:r>
        <w:rPr>
          <w:b/>
          <w:bCs/>
          <w:i/>
          <w:iCs/>
          <w:color w:val="4472C4" w:themeColor="accent1"/>
          <w:sz w:val="24"/>
          <w:szCs w:val="24"/>
          <w14:textFill>
            <w14:solidFill>
              <w14:schemeClr w14:val="accent1"/>
            </w14:solidFill>
          </w14:textFill>
        </w:rPr>
        <w:t>.1.1</w:t>
      </w:r>
      <w:r>
        <w:rPr>
          <w:i/>
          <w:iCs/>
          <w:color w:val="4472C4" w:themeColor="accent1"/>
          <w:sz w:val="24"/>
          <w:szCs w:val="24"/>
          <w14:textFill>
            <w14:solidFill>
              <w14:schemeClr w14:val="accent1"/>
            </w14:solidFill>
          </w14:textFill>
        </w:rPr>
        <w:t xml:space="preserve"> </w:t>
      </w:r>
      <w:r>
        <w:rPr>
          <w:rFonts w:hint="eastAsia"/>
          <w:i/>
          <w:iCs/>
          <w:color w:val="0070C0"/>
          <w:sz w:val="24"/>
          <w:szCs w:val="24"/>
        </w:rPr>
        <w:t>根据国家标准《既有建筑物鉴定与加固通用规范》GB</w:t>
      </w:r>
      <w:r>
        <w:rPr>
          <w:i/>
          <w:iCs/>
          <w:color w:val="0070C0"/>
          <w:sz w:val="24"/>
          <w:szCs w:val="24"/>
        </w:rPr>
        <w:t>55021</w:t>
      </w:r>
      <w:r>
        <w:rPr>
          <w:rFonts w:hint="eastAsia"/>
          <w:i/>
          <w:iCs/>
          <w:color w:val="0070C0"/>
          <w:sz w:val="24"/>
          <w:szCs w:val="24"/>
        </w:rPr>
        <w:t>的规定，植筋不得用于素混凝土构件。</w:t>
      </w:r>
      <w:r>
        <w:rPr>
          <w:i/>
          <w:iCs/>
          <w:color w:val="0070C0"/>
          <w:sz w:val="24"/>
          <w:szCs w:val="24"/>
        </w:rPr>
        <w:t>当锚固基材为素混凝土或低配筋混凝土时，</w:t>
      </w:r>
      <w:r>
        <w:rPr>
          <w:rFonts w:hint="eastAsia"/>
          <w:i/>
          <w:iCs/>
          <w:color w:val="0070C0"/>
          <w:sz w:val="24"/>
          <w:szCs w:val="24"/>
        </w:rPr>
        <w:t>应</w:t>
      </w:r>
      <w:r>
        <w:rPr>
          <w:i/>
          <w:iCs/>
          <w:color w:val="0070C0"/>
          <w:sz w:val="24"/>
          <w:szCs w:val="24"/>
        </w:rPr>
        <w:t>按锚栓理论进行设计</w:t>
      </w:r>
      <w:r>
        <w:rPr>
          <w:rFonts w:hint="eastAsia"/>
          <w:i/>
          <w:iCs/>
          <w:color w:val="0070C0"/>
          <w:sz w:val="24"/>
          <w:szCs w:val="24"/>
        </w:rPr>
        <w:t>，这时建议考虑基材为开裂混凝土，除非可以充分证明和保证基材混凝土不发生开裂</w:t>
      </w:r>
      <w:r>
        <w:rPr>
          <w:i/>
          <w:iCs/>
          <w:color w:val="0070C0"/>
          <w:sz w:val="24"/>
          <w:szCs w:val="24"/>
        </w:rPr>
        <w:t>。</w:t>
      </w:r>
      <w:r>
        <w:rPr>
          <w:rFonts w:hint="eastAsia"/>
          <w:i/>
          <w:iCs/>
          <w:color w:val="0070C0"/>
          <w:sz w:val="24"/>
          <w:szCs w:val="24"/>
        </w:rPr>
        <w:t>受拉</w:t>
      </w:r>
      <w:r>
        <w:rPr>
          <w:i/>
          <w:iCs/>
          <w:color w:val="0070C0"/>
          <w:sz w:val="24"/>
          <w:szCs w:val="24"/>
        </w:rPr>
        <w:t>锚固植筋和搭接植筋是按照钢筋受拉屈服原则设计，只有当原构件混凝土具有正常的配筋率和足够箍筋时，植筋连接才是有效而可靠的；拉结</w:t>
      </w:r>
      <w:r>
        <w:rPr>
          <w:rFonts w:hint="eastAsia"/>
          <w:i/>
          <w:iCs/>
          <w:color w:val="0070C0"/>
          <w:sz w:val="24"/>
          <w:szCs w:val="24"/>
        </w:rPr>
        <w:t>用</w:t>
      </w:r>
      <w:r>
        <w:rPr>
          <w:i/>
          <w:iCs/>
          <w:color w:val="0070C0"/>
          <w:sz w:val="24"/>
          <w:szCs w:val="24"/>
        </w:rPr>
        <w:t>植筋主要用于抵抗</w:t>
      </w:r>
      <w:r>
        <w:rPr>
          <w:rFonts w:hint="eastAsia"/>
          <w:i/>
          <w:iCs/>
          <w:color w:val="0070C0"/>
          <w:sz w:val="24"/>
          <w:szCs w:val="24"/>
        </w:rPr>
        <w:t>新旧混凝土界面</w:t>
      </w:r>
      <w:r>
        <w:rPr>
          <w:i/>
          <w:iCs/>
          <w:color w:val="0070C0"/>
          <w:sz w:val="24"/>
          <w:szCs w:val="24"/>
        </w:rPr>
        <w:t>的受力及变形，保证共同工作</w:t>
      </w:r>
      <w:r>
        <w:rPr>
          <w:rFonts w:hint="eastAsia"/>
          <w:i/>
          <w:iCs/>
          <w:color w:val="0070C0"/>
          <w:sz w:val="24"/>
          <w:szCs w:val="24"/>
        </w:rPr>
        <w:t>，基材及新混凝土不易采用素混凝土</w:t>
      </w:r>
      <w:r>
        <w:rPr>
          <w:i/>
          <w:iCs/>
          <w:color w:val="0070C0"/>
          <w:sz w:val="24"/>
          <w:szCs w:val="24"/>
        </w:rPr>
        <w:t>。</w:t>
      </w:r>
    </w:p>
    <w:p>
      <w:pPr>
        <w:spacing w:after="0" w:line="360" w:lineRule="auto"/>
        <w:rPr>
          <w:color w:val="auto"/>
          <w:sz w:val="24"/>
          <w:szCs w:val="24"/>
        </w:rPr>
      </w:pPr>
      <w:r>
        <w:rPr>
          <w:b/>
          <w:bCs/>
          <w:color w:val="auto"/>
          <w:sz w:val="24"/>
          <w:szCs w:val="24"/>
        </w:rPr>
        <w:t>3.1.2</w:t>
      </w:r>
      <w:r>
        <w:rPr>
          <w:color w:val="auto"/>
          <w:sz w:val="24"/>
          <w:szCs w:val="24"/>
        </w:rPr>
        <w:t xml:space="preserve"> 新增构件为悬挑结构构件时，其用于锚固植筋系统的基材混凝土强度等级不得低于C25，当新增构件为其它结构构件时，用于植筋系统的基材混凝土强度等级不得低于C20。</w:t>
      </w:r>
    </w:p>
    <w:p>
      <w:pPr>
        <w:widowControl/>
        <w:autoSpaceDE w:val="0"/>
        <w:autoSpaceDN w:val="0"/>
        <w:adjustRightInd w:val="0"/>
        <w:spacing w:after="0" w:line="360" w:lineRule="auto"/>
        <w:jc w:val="left"/>
        <w:rPr>
          <w:i/>
          <w:iCs/>
          <w:color w:val="0070C0"/>
          <w:sz w:val="24"/>
          <w:szCs w:val="24"/>
        </w:rPr>
      </w:pPr>
      <w:r>
        <w:rPr>
          <w:i/>
          <w:iCs/>
          <w:color w:val="0070C0"/>
          <w:sz w:val="24"/>
          <w:szCs w:val="24"/>
        </w:rPr>
        <w:t>【条文说明】</w:t>
      </w:r>
      <w:r>
        <w:rPr>
          <w:b/>
          <w:bCs/>
          <w:i/>
          <w:iCs/>
          <w:color w:val="0070C0"/>
          <w:sz w:val="24"/>
          <w:szCs w:val="24"/>
        </w:rPr>
        <w:t>3.1.2</w:t>
      </w:r>
      <w:r>
        <w:rPr>
          <w:i/>
          <w:iCs/>
          <w:color w:val="0070C0"/>
          <w:sz w:val="24"/>
          <w:szCs w:val="24"/>
        </w:rPr>
        <w:t xml:space="preserve"> 与现行全文强制性标准《既有建筑物鉴定与加固通用规范》GB55021-2021一致。原构件植筋部位的混凝土强度等级直接影响植筋的粘结强度和承载力。为此，必须对原构件的混凝土强度等级提出要求。</w:t>
      </w:r>
    </w:p>
    <w:p>
      <w:pPr>
        <w:widowControl/>
        <w:autoSpaceDE w:val="0"/>
        <w:autoSpaceDN w:val="0"/>
        <w:adjustRightInd w:val="0"/>
        <w:spacing w:after="0" w:line="360" w:lineRule="auto"/>
        <w:jc w:val="left"/>
        <w:rPr>
          <w:i/>
          <w:iCs/>
          <w:color w:val="0070C0"/>
          <w:sz w:val="24"/>
          <w:szCs w:val="24"/>
        </w:rPr>
      </w:pPr>
      <w:r>
        <w:rPr>
          <w:i/>
          <w:iCs/>
          <w:color w:val="0070C0"/>
          <w:sz w:val="24"/>
          <w:szCs w:val="24"/>
        </w:rPr>
        <w:t>基于目前的经验，对C20及以上混凝土上的植筋系统可以得到其粘结强度。但实际工程中很多时候混凝土强度等级不足C20。如果一定要在这种低强度混凝土构件上进行植筋，应先采用必要措施提高原构件的抗劈裂能力。同时，不应仅仅基于</w:t>
      </w:r>
      <w:r>
        <w:rPr>
          <w:rFonts w:hint="eastAsia"/>
          <w:i/>
          <w:iCs/>
          <w:color w:val="0070C0"/>
          <w:sz w:val="24"/>
          <w:szCs w:val="24"/>
        </w:rPr>
        <w:t>设计</w:t>
      </w:r>
      <w:r>
        <w:rPr>
          <w:i/>
          <w:iCs/>
          <w:color w:val="0070C0"/>
          <w:sz w:val="24"/>
          <w:szCs w:val="24"/>
        </w:rPr>
        <w:t>的混凝土强度进行折减，更需要原状混凝土的现场植筋拉拔测试和评估。由工程师判断植筋粘结强度可靠性并在工程竣工后严格进行承载力</w:t>
      </w:r>
      <w:r>
        <w:rPr>
          <w:rFonts w:hint="eastAsia"/>
          <w:i/>
          <w:iCs/>
          <w:color w:val="0070C0"/>
          <w:sz w:val="24"/>
          <w:szCs w:val="24"/>
        </w:rPr>
        <w:t>检测，</w:t>
      </w:r>
      <w:r>
        <w:rPr>
          <w:i/>
          <w:iCs/>
          <w:color w:val="0070C0"/>
          <w:sz w:val="24"/>
          <w:szCs w:val="24"/>
        </w:rPr>
        <w:t>保证植筋工程的安全性。</w:t>
      </w:r>
    </w:p>
    <w:p>
      <w:pPr>
        <w:spacing w:after="0" w:line="360" w:lineRule="auto"/>
        <w:rPr>
          <w:color w:val="auto"/>
          <w:sz w:val="24"/>
          <w:szCs w:val="24"/>
        </w:rPr>
      </w:pPr>
      <w:r>
        <w:rPr>
          <w:b/>
          <w:bCs/>
          <w:color w:val="auto"/>
          <w:sz w:val="24"/>
          <w:szCs w:val="24"/>
        </w:rPr>
        <w:t xml:space="preserve">3.1.3 </w:t>
      </w:r>
      <w:r>
        <w:rPr>
          <w:color w:val="auto"/>
          <w:sz w:val="24"/>
          <w:szCs w:val="24"/>
        </w:rPr>
        <w:t>冻融受损混凝土、腐蚀受损混凝土、严重裂损混凝土、不密实混凝土</w:t>
      </w:r>
      <w:r>
        <w:rPr>
          <w:rFonts w:hint="eastAsia"/>
          <w:color w:val="auto"/>
          <w:sz w:val="24"/>
          <w:szCs w:val="24"/>
        </w:rPr>
        <w:t>、带有空腔的混凝土</w:t>
      </w:r>
      <w:r>
        <w:rPr>
          <w:color w:val="auto"/>
          <w:sz w:val="24"/>
          <w:szCs w:val="24"/>
        </w:rPr>
        <w:t>，不应作为植筋系统的锚固基材。锚固部位的原构件混凝土不得有局部缺陷，若有局部缺陷，应先进行补强或加固处理后再植筋。</w:t>
      </w:r>
    </w:p>
    <w:p>
      <w:pPr>
        <w:widowControl/>
        <w:autoSpaceDE w:val="0"/>
        <w:autoSpaceDN w:val="0"/>
        <w:adjustRightInd w:val="0"/>
        <w:spacing w:after="0" w:line="360" w:lineRule="auto"/>
        <w:jc w:val="left"/>
        <w:rPr>
          <w:i/>
          <w:iCs/>
          <w:color w:val="0070C0"/>
          <w:sz w:val="24"/>
          <w:szCs w:val="24"/>
        </w:rPr>
      </w:pPr>
      <w:r>
        <w:rPr>
          <w:i/>
          <w:iCs/>
          <w:color w:val="0070C0"/>
          <w:sz w:val="24"/>
          <w:szCs w:val="24"/>
        </w:rPr>
        <w:t>【条文说明】</w:t>
      </w:r>
      <w:r>
        <w:rPr>
          <w:b/>
          <w:bCs/>
          <w:i/>
          <w:iCs/>
          <w:color w:val="0070C0"/>
          <w:sz w:val="24"/>
          <w:szCs w:val="24"/>
        </w:rPr>
        <w:t>3.1.3</w:t>
      </w:r>
      <w:r>
        <w:rPr>
          <w:i/>
          <w:iCs/>
          <w:color w:val="0070C0"/>
          <w:sz w:val="24"/>
          <w:szCs w:val="24"/>
        </w:rPr>
        <w:t xml:space="preserve"> 承重构件植筋部位的混凝土应坚实、无局部缺陷，且宜配有适量钢筋和箍筋，才能使植筋正常受力。因此，不允许有局部缺陷存在于锚固部位；即使处于锚固部位以外，也应先加固后植筋，以保证安全和质量。</w:t>
      </w:r>
    </w:p>
    <w:p>
      <w:pPr>
        <w:spacing w:after="0" w:line="360" w:lineRule="auto"/>
        <w:rPr>
          <w:b/>
          <w:bCs/>
          <w:color w:val="auto"/>
          <w:sz w:val="24"/>
          <w:szCs w:val="24"/>
        </w:rPr>
      </w:pPr>
      <w:r>
        <w:rPr>
          <w:b/>
          <w:bCs/>
          <w:color w:val="auto"/>
          <w:sz w:val="24"/>
          <w:szCs w:val="24"/>
        </w:rPr>
        <w:t xml:space="preserve">3.1.4 </w:t>
      </w:r>
      <w:r>
        <w:rPr>
          <w:color w:val="auto"/>
          <w:sz w:val="24"/>
          <w:szCs w:val="24"/>
        </w:rPr>
        <w:t>用于植筋的锚固用结构胶粘剂应符合现行国家标准《混凝土结构工程用锚固胶》GB</w:t>
      </w:r>
      <w:r>
        <w:rPr>
          <w:rFonts w:hint="eastAsia"/>
          <w:color w:val="auto"/>
          <w:sz w:val="24"/>
          <w:szCs w:val="24"/>
          <w:lang w:val="en-US" w:eastAsia="zh-CN"/>
        </w:rPr>
        <w:t>/</w:t>
      </w:r>
      <w:r>
        <w:rPr>
          <w:color w:val="auto"/>
          <w:sz w:val="24"/>
          <w:szCs w:val="24"/>
        </w:rPr>
        <w:t>T</w:t>
      </w:r>
      <w:r>
        <w:rPr>
          <w:rFonts w:hint="eastAsia"/>
          <w:color w:val="auto"/>
          <w:sz w:val="24"/>
          <w:szCs w:val="24"/>
          <w:lang w:val="en-US" w:eastAsia="zh-CN"/>
        </w:rPr>
        <w:t xml:space="preserve"> </w:t>
      </w:r>
      <w:r>
        <w:rPr>
          <w:color w:val="auto"/>
          <w:sz w:val="24"/>
          <w:szCs w:val="24"/>
        </w:rPr>
        <w:t>37127的有关规定。</w:t>
      </w:r>
      <w:r>
        <w:rPr>
          <w:rFonts w:hint="eastAsia"/>
          <w:color w:val="auto"/>
          <w:sz w:val="24"/>
          <w:szCs w:val="24"/>
        </w:rPr>
        <w:t>植筋</w:t>
      </w:r>
      <w:r>
        <w:rPr>
          <w:color w:val="auto"/>
          <w:sz w:val="24"/>
          <w:szCs w:val="24"/>
        </w:rPr>
        <w:t>宜采用按混合比例封装的带有自动混和的注射</w:t>
      </w:r>
      <w:r>
        <w:rPr>
          <w:rFonts w:hint="eastAsia"/>
          <w:color w:val="auto"/>
          <w:sz w:val="24"/>
          <w:szCs w:val="24"/>
        </w:rPr>
        <w:t>筒</w:t>
      </w:r>
      <w:r>
        <w:rPr>
          <w:color w:val="auto"/>
          <w:sz w:val="24"/>
          <w:szCs w:val="24"/>
        </w:rPr>
        <w:t>包装</w:t>
      </w:r>
      <w:r>
        <w:rPr>
          <w:rFonts w:hint="eastAsia"/>
          <w:color w:val="auto"/>
          <w:sz w:val="24"/>
          <w:szCs w:val="24"/>
        </w:rPr>
        <w:t>，自动混合器应能保证胶粘剂混合均匀。</w:t>
      </w:r>
    </w:p>
    <w:p>
      <w:pPr>
        <w:widowControl/>
        <w:autoSpaceDE w:val="0"/>
        <w:autoSpaceDN w:val="0"/>
        <w:adjustRightInd w:val="0"/>
        <w:spacing w:after="0" w:line="360" w:lineRule="auto"/>
        <w:jc w:val="left"/>
        <w:rPr>
          <w:i/>
          <w:iCs/>
          <w:color w:val="0070C0"/>
          <w:sz w:val="24"/>
          <w:szCs w:val="24"/>
        </w:rPr>
      </w:pPr>
      <w:r>
        <w:rPr>
          <w:i/>
          <w:iCs/>
          <w:color w:val="0070C0"/>
          <w:sz w:val="24"/>
          <w:szCs w:val="24"/>
        </w:rPr>
        <w:t>【条文说明】</w:t>
      </w:r>
      <w:r>
        <w:rPr>
          <w:b/>
          <w:bCs/>
          <w:i/>
          <w:iCs/>
          <w:color w:val="0070C0"/>
          <w:sz w:val="24"/>
          <w:szCs w:val="24"/>
        </w:rPr>
        <w:t>3.1.4</w:t>
      </w:r>
      <w:r>
        <w:rPr>
          <w:i/>
          <w:iCs/>
          <w:color w:val="0070C0"/>
          <w:sz w:val="24"/>
          <w:szCs w:val="24"/>
        </w:rPr>
        <w:t xml:space="preserve"> 过去植筋工程中很多时候会采用桶装A、B组分胶粘剂，现场根据说明进行比例调配和搅拌混合。这种方式的胶粘剂很难有效保证调配比例的准确</w:t>
      </w:r>
      <w:r>
        <w:rPr>
          <w:rFonts w:hint="eastAsia"/>
          <w:i/>
          <w:iCs/>
          <w:color w:val="0070C0"/>
          <w:sz w:val="24"/>
          <w:szCs w:val="24"/>
        </w:rPr>
        <w:t>性</w:t>
      </w:r>
      <w:r>
        <w:rPr>
          <w:i/>
          <w:iCs/>
          <w:color w:val="0070C0"/>
          <w:sz w:val="24"/>
          <w:szCs w:val="24"/>
        </w:rPr>
        <w:t>和混合充分及混合时间，也难免会</w:t>
      </w:r>
      <w:r>
        <w:rPr>
          <w:rFonts w:hint="eastAsia"/>
          <w:i/>
          <w:iCs/>
          <w:color w:val="0070C0"/>
          <w:sz w:val="24"/>
          <w:szCs w:val="24"/>
        </w:rPr>
        <w:t>在</w:t>
      </w:r>
      <w:r>
        <w:rPr>
          <w:i/>
          <w:iCs/>
          <w:color w:val="0070C0"/>
          <w:sz w:val="24"/>
          <w:szCs w:val="24"/>
        </w:rPr>
        <w:t>搅拌过程中混入杂质影响植筋胶质量</w:t>
      </w:r>
      <w:r>
        <w:rPr>
          <w:rFonts w:hint="eastAsia"/>
          <w:i/>
          <w:iCs/>
          <w:color w:val="0070C0"/>
          <w:sz w:val="24"/>
          <w:szCs w:val="24"/>
          <w:lang w:eastAsia="zh-CN"/>
        </w:rPr>
        <w:t>；</w:t>
      </w:r>
      <w:r>
        <w:rPr>
          <w:i/>
          <w:iCs/>
          <w:color w:val="0070C0"/>
          <w:sz w:val="24"/>
          <w:szCs w:val="24"/>
        </w:rPr>
        <w:t>另外，也为调配后的植筋胶的灌注带来不便，很多时候施工人员仅通过钢筋蘸取胶液插入钻孔即完成植筋作业</w:t>
      </w:r>
      <w:r>
        <w:rPr>
          <w:rFonts w:hint="eastAsia"/>
          <w:i/>
          <w:iCs/>
          <w:color w:val="0070C0"/>
          <w:sz w:val="24"/>
          <w:szCs w:val="24"/>
          <w:lang w:eastAsia="zh-CN"/>
        </w:rPr>
        <w:t>，</w:t>
      </w:r>
      <w:r>
        <w:rPr>
          <w:i/>
          <w:iCs/>
          <w:color w:val="0070C0"/>
          <w:sz w:val="24"/>
          <w:szCs w:val="24"/>
        </w:rPr>
        <w:t>根本无法保证植筋施工质量，为植筋工程带来安全隐患。故桶装（散装）A、B组分胶粘剂不</w:t>
      </w:r>
      <w:r>
        <w:rPr>
          <w:rFonts w:hint="eastAsia"/>
          <w:i/>
          <w:iCs/>
          <w:color w:val="0070C0"/>
          <w:sz w:val="24"/>
          <w:szCs w:val="24"/>
        </w:rPr>
        <w:t>宜</w:t>
      </w:r>
      <w:r>
        <w:rPr>
          <w:i/>
          <w:iCs/>
          <w:color w:val="0070C0"/>
          <w:sz w:val="24"/>
          <w:szCs w:val="24"/>
        </w:rPr>
        <w:t>作为植筋胶使用。</w:t>
      </w:r>
    </w:p>
    <w:p>
      <w:pPr>
        <w:spacing w:after="0" w:line="360" w:lineRule="auto"/>
        <w:ind w:firstLine="562"/>
        <w:rPr>
          <w:i/>
          <w:iCs/>
          <w:color w:val="0070C0"/>
          <w:sz w:val="24"/>
          <w:szCs w:val="24"/>
        </w:rPr>
      </w:pPr>
      <w:r>
        <w:rPr>
          <w:i/>
          <w:iCs/>
          <w:color w:val="0070C0"/>
          <w:sz w:val="24"/>
          <w:szCs w:val="24"/>
        </w:rPr>
        <w:t>近年来随着制造业的发展，锚固用植筋胶大部分已经采用注胶筒式的独立包装A、B组份产品。现场通过专用</w:t>
      </w:r>
      <w:r>
        <w:rPr>
          <w:rFonts w:hint="eastAsia"/>
          <w:i/>
          <w:iCs/>
          <w:color w:val="0070C0"/>
          <w:sz w:val="24"/>
          <w:szCs w:val="24"/>
        </w:rPr>
        <w:t>自动</w:t>
      </w:r>
      <w:r>
        <w:rPr>
          <w:i/>
          <w:iCs/>
          <w:color w:val="0070C0"/>
          <w:sz w:val="24"/>
          <w:szCs w:val="24"/>
        </w:rPr>
        <w:t>混合</w:t>
      </w:r>
      <w:r>
        <w:rPr>
          <w:rFonts w:hint="eastAsia"/>
          <w:i/>
          <w:iCs/>
          <w:color w:val="0070C0"/>
          <w:sz w:val="24"/>
          <w:szCs w:val="24"/>
        </w:rPr>
        <w:t>器</w:t>
      </w:r>
      <w:r>
        <w:rPr>
          <w:i/>
          <w:iCs/>
          <w:color w:val="0070C0"/>
          <w:sz w:val="24"/>
          <w:szCs w:val="24"/>
        </w:rPr>
        <w:t>和注胶枪即可实现胶粘剂的按比例混合和注胶。这种产品可以较好的保证植筋过程中的注胶质量和植筋的安装质量。</w:t>
      </w:r>
    </w:p>
    <w:p>
      <w:pPr>
        <w:keepNext w:val="0"/>
        <w:keepLines w:val="0"/>
        <w:pageBreakBefore w:val="0"/>
        <w:widowControl/>
        <w:kinsoku/>
        <w:wordWrap/>
        <w:overflowPunct/>
        <w:topLinePunct w:val="0"/>
        <w:autoSpaceDE w:val="0"/>
        <w:autoSpaceDN w:val="0"/>
        <w:bidi w:val="0"/>
        <w:adjustRightInd w:val="0"/>
        <w:snapToGrid/>
        <w:spacing w:after="0" w:line="360" w:lineRule="auto"/>
        <w:textAlignment w:val="auto"/>
        <w:rPr>
          <w:color w:val="auto"/>
          <w:sz w:val="24"/>
          <w:szCs w:val="24"/>
        </w:rPr>
      </w:pPr>
      <w:r>
        <w:rPr>
          <w:b/>
          <w:bCs/>
          <w:color w:val="auto"/>
          <w:sz w:val="24"/>
          <w:szCs w:val="24"/>
        </w:rPr>
        <w:t xml:space="preserve">3.1.5 </w:t>
      </w:r>
      <w:r>
        <w:rPr>
          <w:color w:val="auto"/>
          <w:sz w:val="24"/>
          <w:szCs w:val="24"/>
        </w:rPr>
        <w:t>植入混凝土内的钢筋应</w:t>
      </w:r>
      <w:r>
        <w:rPr>
          <w:rFonts w:hint="eastAsia"/>
          <w:color w:val="auto"/>
          <w:sz w:val="24"/>
          <w:szCs w:val="24"/>
        </w:rPr>
        <w:t>使用</w:t>
      </w:r>
      <w:r>
        <w:rPr>
          <w:color w:val="auto"/>
          <w:sz w:val="24"/>
          <w:szCs w:val="24"/>
        </w:rPr>
        <w:t>热轧带肋钢筋或全螺纹螺杆，不得使用光圆钢筋或无螺纹的螺杆</w:t>
      </w:r>
      <w:r>
        <w:rPr>
          <w:rFonts w:hint="eastAsia"/>
          <w:color w:val="auto"/>
          <w:sz w:val="24"/>
          <w:szCs w:val="24"/>
        </w:rPr>
        <w:t>，钢筋直径不宜超过2</w:t>
      </w:r>
      <w:r>
        <w:rPr>
          <w:color w:val="auto"/>
          <w:sz w:val="24"/>
          <w:szCs w:val="24"/>
        </w:rPr>
        <w:t>5mm。</w:t>
      </w:r>
      <w:r>
        <w:rPr>
          <w:rFonts w:hint="eastAsia"/>
          <w:color w:val="auto"/>
          <w:sz w:val="24"/>
          <w:szCs w:val="24"/>
        </w:rPr>
        <w:t>钢筋和螺杆尚应符合如下规定：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color w:val="auto"/>
          <w:sz w:val="24"/>
          <w:szCs w:val="24"/>
        </w:rPr>
      </w:pPr>
      <w:r>
        <w:rPr>
          <w:rFonts w:hint="eastAsia"/>
          <w:color w:val="auto"/>
          <w:sz w:val="24"/>
          <w:szCs w:val="24"/>
        </w:rPr>
        <w:t>1</w:t>
      </w:r>
      <w:r>
        <w:rPr>
          <w:rFonts w:hint="eastAsia"/>
          <w:color w:val="auto"/>
          <w:sz w:val="24"/>
          <w:szCs w:val="24"/>
          <w:lang w:val="en-US" w:eastAsia="zh-CN"/>
        </w:rPr>
        <w:t xml:space="preserve"> </w:t>
      </w:r>
      <w:r>
        <w:rPr>
          <w:rFonts w:hint="eastAsia"/>
          <w:color w:val="auto"/>
          <w:sz w:val="24"/>
          <w:szCs w:val="24"/>
        </w:rPr>
        <w:t>宜选用HRB</w:t>
      </w:r>
      <w:r>
        <w:rPr>
          <w:color w:val="auto"/>
          <w:sz w:val="24"/>
          <w:szCs w:val="24"/>
        </w:rPr>
        <w:t>400</w:t>
      </w:r>
      <w:r>
        <w:rPr>
          <w:rFonts w:hint="eastAsia"/>
          <w:color w:val="auto"/>
          <w:sz w:val="24"/>
          <w:szCs w:val="24"/>
        </w:rPr>
        <w:t>级钢筋，钢筋质量应符合现行国家标准《钢筋混凝土用钢 第2部分：热轧带肋钢筋》GB</w:t>
      </w:r>
      <w:r>
        <w:rPr>
          <w:color w:val="auto"/>
          <w:sz w:val="24"/>
          <w:szCs w:val="24"/>
        </w:rPr>
        <w:t xml:space="preserve"> 1499.2</w:t>
      </w:r>
      <w:r>
        <w:rPr>
          <w:rFonts w:hint="eastAsia"/>
          <w:color w:val="auto"/>
          <w:sz w:val="24"/>
          <w:szCs w:val="24"/>
        </w:rPr>
        <w:t>的规定；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pPr>
      <w:r>
        <w:rPr>
          <w:color w:val="auto"/>
          <w:sz w:val="24"/>
          <w:szCs w:val="24"/>
        </w:rPr>
        <w:t xml:space="preserve">2 </w:t>
      </w:r>
      <w:r>
        <w:rPr>
          <w:rFonts w:hint="eastAsia"/>
          <w:color w:val="auto"/>
          <w:sz w:val="24"/>
          <w:szCs w:val="24"/>
        </w:rPr>
        <w:t>植筋用钢螺杆的钢材等级</w:t>
      </w:r>
      <w:r>
        <w:rPr>
          <w:rFonts w:hint="eastAsia"/>
          <w:color w:val="auto"/>
          <w:sz w:val="24"/>
          <w:szCs w:val="24"/>
          <w:lang w:val="en-US" w:eastAsia="zh-CN"/>
        </w:rPr>
        <w:t>宜</w:t>
      </w:r>
      <w:r>
        <w:rPr>
          <w:rFonts w:hint="eastAsia"/>
          <w:color w:val="auto"/>
          <w:sz w:val="24"/>
          <w:szCs w:val="24"/>
        </w:rPr>
        <w:t>为Q</w:t>
      </w:r>
      <w:r>
        <w:rPr>
          <w:color w:val="auto"/>
          <w:sz w:val="24"/>
          <w:szCs w:val="24"/>
        </w:rPr>
        <w:t>345</w:t>
      </w:r>
      <w:r>
        <w:rPr>
          <w:rFonts w:hint="eastAsia"/>
          <w:color w:val="auto"/>
          <w:sz w:val="24"/>
          <w:szCs w:val="24"/>
        </w:rPr>
        <w:t>级；其质量应符合现行国家标准《低合金高强度结构钢》GB/</w:t>
      </w:r>
      <w:r>
        <w:rPr>
          <w:color w:val="auto"/>
          <w:sz w:val="24"/>
          <w:szCs w:val="24"/>
        </w:rPr>
        <w:t>T 1591</w:t>
      </w:r>
      <w:r>
        <w:rPr>
          <w:rFonts w:hint="eastAsia"/>
          <w:color w:val="auto"/>
          <w:sz w:val="24"/>
          <w:szCs w:val="24"/>
        </w:rPr>
        <w:t>的规定。</w:t>
      </w:r>
    </w:p>
    <w:p>
      <w:pPr>
        <w:keepNext w:val="0"/>
        <w:keepLines w:val="0"/>
        <w:pageBreakBefore w:val="0"/>
        <w:widowControl/>
        <w:kinsoku/>
        <w:wordWrap/>
        <w:overflowPunct/>
        <w:topLinePunct w:val="0"/>
        <w:autoSpaceDE w:val="0"/>
        <w:autoSpaceDN w:val="0"/>
        <w:bidi w:val="0"/>
        <w:adjustRightInd w:val="0"/>
        <w:snapToGrid/>
        <w:spacing w:after="0" w:line="360" w:lineRule="auto"/>
        <w:textAlignment w:val="auto"/>
        <w:rPr>
          <w:i/>
          <w:iCs/>
          <w:color w:val="0070C0"/>
          <w:sz w:val="24"/>
          <w:szCs w:val="24"/>
        </w:rPr>
      </w:pPr>
      <w:r>
        <w:rPr>
          <w:i/>
          <w:iCs/>
          <w:color w:val="0070C0"/>
          <w:sz w:val="24"/>
          <w:szCs w:val="24"/>
        </w:rPr>
        <w:t>【条文说明】</w:t>
      </w:r>
      <w:r>
        <w:rPr>
          <w:b/>
          <w:bCs/>
          <w:i/>
          <w:iCs/>
          <w:color w:val="0070C0"/>
          <w:sz w:val="24"/>
          <w:szCs w:val="24"/>
        </w:rPr>
        <w:t>3.1.5</w:t>
      </w:r>
      <w:r>
        <w:rPr>
          <w:i/>
          <w:iCs/>
          <w:color w:val="0070C0"/>
          <w:sz w:val="24"/>
          <w:szCs w:val="24"/>
        </w:rPr>
        <w:t xml:space="preserve"> 试验表明光圆钢筋或无螺纹螺杆即便通过胶粘剂可以锚固在混凝土内部，也无法提供有效的锚固承载力，故不应作为植筋使用。</w:t>
      </w:r>
      <w:r>
        <w:rPr>
          <w:rFonts w:hint="eastAsia"/>
          <w:i/>
          <w:iCs/>
          <w:color w:val="0070C0"/>
          <w:sz w:val="24"/>
          <w:szCs w:val="24"/>
        </w:rPr>
        <w:t>根据目前植筋工程调研结果的分析，较大直径钢筋用于植筋时较难保证施工质量，目前国内关于大直径植筋的承载力研究也比较少。故本规范的植筋直径建议不宜超过2</w:t>
      </w:r>
      <w:r>
        <w:rPr>
          <w:i/>
          <w:iCs/>
          <w:color w:val="0070C0"/>
          <w:sz w:val="24"/>
          <w:szCs w:val="24"/>
        </w:rPr>
        <w:t>5</w:t>
      </w:r>
      <w:r>
        <w:rPr>
          <w:rFonts w:hint="eastAsia"/>
          <w:i/>
          <w:iCs/>
          <w:color w:val="0070C0"/>
          <w:sz w:val="24"/>
          <w:szCs w:val="24"/>
        </w:rPr>
        <w:t>mm。</w:t>
      </w:r>
    </w:p>
    <w:p>
      <w:pPr>
        <w:pStyle w:val="5"/>
      </w:pPr>
      <w:bookmarkStart w:id="19" w:name="_Toc145273809"/>
      <w:bookmarkStart w:id="20" w:name="_Toc558"/>
      <w:r>
        <w:t>3.2 植筋系统的要求</w:t>
      </w:r>
      <w:bookmarkEnd w:id="19"/>
      <w:bookmarkEnd w:id="20"/>
    </w:p>
    <w:p>
      <w:pPr>
        <w:widowControl/>
        <w:autoSpaceDE w:val="0"/>
        <w:autoSpaceDN w:val="0"/>
        <w:adjustRightInd w:val="0"/>
        <w:spacing w:before="120" w:after="0" w:line="360" w:lineRule="auto"/>
        <w:jc w:val="left"/>
        <w:rPr>
          <w:color w:val="auto"/>
          <w:sz w:val="24"/>
          <w:szCs w:val="24"/>
        </w:rPr>
      </w:pPr>
      <w:r>
        <w:rPr>
          <w:b/>
          <w:bCs/>
          <w:color w:val="auto"/>
          <w:sz w:val="24"/>
          <w:szCs w:val="24"/>
        </w:rPr>
        <w:t>3.2.1</w:t>
      </w:r>
      <w:r>
        <w:rPr>
          <w:rFonts w:hint="eastAsia"/>
          <w:b/>
          <w:bCs/>
          <w:color w:val="auto"/>
          <w:sz w:val="24"/>
          <w:szCs w:val="24"/>
          <w:lang w:val="en-US" w:eastAsia="zh-CN"/>
        </w:rPr>
        <w:t xml:space="preserve"> </w:t>
      </w:r>
      <w:r>
        <w:rPr>
          <w:rFonts w:hint="eastAsia"/>
          <w:color w:val="auto"/>
          <w:sz w:val="24"/>
          <w:szCs w:val="24"/>
        </w:rPr>
        <w:t>植筋系统应根据安装和使用条件考虑钻孔方式、钻孔方向、</w:t>
      </w:r>
      <w:r>
        <w:rPr>
          <w:color w:val="auto"/>
          <w:sz w:val="24"/>
          <w:szCs w:val="24"/>
        </w:rPr>
        <w:t>混凝土基材</w:t>
      </w:r>
      <w:r>
        <w:rPr>
          <w:rFonts w:hint="eastAsia"/>
          <w:color w:val="auto"/>
          <w:sz w:val="24"/>
          <w:szCs w:val="24"/>
        </w:rPr>
        <w:t>潮湿程度、</w:t>
      </w:r>
      <w:r>
        <w:rPr>
          <w:color w:val="auto"/>
          <w:sz w:val="24"/>
          <w:szCs w:val="24"/>
        </w:rPr>
        <w:t>长期使用温度</w:t>
      </w:r>
      <w:r>
        <w:rPr>
          <w:rFonts w:hint="eastAsia"/>
          <w:color w:val="auto"/>
          <w:sz w:val="24"/>
          <w:szCs w:val="24"/>
        </w:rPr>
        <w:t>、</w:t>
      </w:r>
      <w:r>
        <w:rPr>
          <w:color w:val="auto"/>
          <w:sz w:val="24"/>
          <w:szCs w:val="24"/>
        </w:rPr>
        <w:t>长期</w:t>
      </w:r>
      <w:r>
        <w:rPr>
          <w:rFonts w:hint="eastAsia"/>
          <w:color w:val="auto"/>
          <w:sz w:val="24"/>
          <w:szCs w:val="24"/>
        </w:rPr>
        <w:t>拉力荷载</w:t>
      </w:r>
      <w:r>
        <w:rPr>
          <w:color w:val="auto"/>
          <w:sz w:val="24"/>
          <w:szCs w:val="24"/>
        </w:rPr>
        <w:t>作用</w:t>
      </w:r>
      <w:r>
        <w:rPr>
          <w:rFonts w:hint="eastAsia"/>
          <w:color w:val="auto"/>
          <w:sz w:val="24"/>
          <w:szCs w:val="24"/>
        </w:rPr>
        <w:t>、</w:t>
      </w:r>
      <w:r>
        <w:rPr>
          <w:color w:val="auto"/>
          <w:sz w:val="24"/>
          <w:szCs w:val="24"/>
        </w:rPr>
        <w:t>地震作用</w:t>
      </w:r>
      <w:r>
        <w:rPr>
          <w:rFonts w:hint="eastAsia"/>
          <w:color w:val="auto"/>
          <w:sz w:val="24"/>
          <w:szCs w:val="24"/>
        </w:rPr>
        <w:t>、火灾等因素的影响。</w:t>
      </w:r>
    </w:p>
    <w:p>
      <w:pPr>
        <w:pStyle w:val="2"/>
        <w:spacing w:after="0" w:line="360" w:lineRule="auto"/>
        <w:ind w:left="0" w:leftChars="0" w:firstLine="0" w:firstLineChars="0"/>
        <w:rPr>
          <w:i/>
          <w:iCs/>
          <w:color w:val="0070C0"/>
          <w:sz w:val="24"/>
          <w:szCs w:val="24"/>
        </w:rPr>
      </w:pPr>
      <w:r>
        <w:rPr>
          <w:i/>
          <w:iCs/>
          <w:color w:val="0070C0"/>
          <w:sz w:val="24"/>
          <w:szCs w:val="24"/>
        </w:rPr>
        <w:t xml:space="preserve">【条文说明】 </w:t>
      </w:r>
      <w:r>
        <w:rPr>
          <w:b/>
          <w:bCs/>
          <w:i/>
          <w:iCs/>
          <w:color w:val="0070C0"/>
          <w:sz w:val="24"/>
          <w:szCs w:val="24"/>
        </w:rPr>
        <w:t>3.2.1</w:t>
      </w:r>
      <w:r>
        <w:rPr>
          <w:rFonts w:hint="eastAsia"/>
          <w:i/>
          <w:iCs/>
          <w:color w:val="0070C0"/>
          <w:sz w:val="24"/>
          <w:szCs w:val="24"/>
        </w:rPr>
        <w:t>植筋系统中由于植筋胶的存在，其承载力性能会严重受到钻孔方式等外在因素的影响。传统的植筋钻孔工具为锤击钻配常规钻头，近年来随着钻孔工具的发展和工程实际需求，真空吸尘钻头和水钻钻孔也开始在植筋钻孔中采用。但这两种钻孔方式会导致孔壁粗糙度下降，这会直接影响到植筋的锚固强度。因此，当需要采用非传统的锤击钻孔和常规钻头时，植筋设计时的粘结强度的应充分考虑可能带来的不利影响。另外，根据现有的研究表明，对于不同种类的植筋胶粘剂的粘结强度会对钻孔时的钻孔（安装）方向、孔洞干燥程度、使用阶段的高温环境、以及长期持续荷载的敏感度不同。这就导致很难用单一的设计安全系数来考虑这些因素的影响。因此，本规程特别提出应在设计时考虑这些因素，并给出了这些影响因素的测试和评估方法。</w:t>
      </w:r>
    </w:p>
    <w:p>
      <w:pPr>
        <w:pStyle w:val="2"/>
        <w:spacing w:after="0" w:line="360" w:lineRule="auto"/>
        <w:ind w:left="0" w:leftChars="0" w:firstLine="0" w:firstLineChars="0"/>
        <w:rPr>
          <w:i/>
          <w:iCs/>
          <w:color w:val="0070C0"/>
          <w:sz w:val="24"/>
          <w:szCs w:val="24"/>
        </w:rPr>
      </w:pPr>
      <w:r>
        <w:rPr>
          <w:rFonts w:hint="eastAsia"/>
          <w:i/>
          <w:iCs/>
          <w:color w:val="0070C0"/>
          <w:sz w:val="24"/>
          <w:szCs w:val="24"/>
        </w:rPr>
        <w:t>长期使用温度是指植筋系统的混凝土基材的恒定或接近恒定的温度，例如在保持恒温的房间或热源旁边的温度。通常，可以假定长期使用温度的范围接近于短期使用温度范围的0</w:t>
      </w:r>
      <w:r>
        <w:rPr>
          <w:i/>
          <w:iCs/>
          <w:color w:val="0070C0"/>
          <w:sz w:val="24"/>
          <w:szCs w:val="24"/>
        </w:rPr>
        <w:t>.6</w:t>
      </w:r>
      <w:r>
        <w:rPr>
          <w:rFonts w:hint="eastAsia"/>
          <w:i/>
          <w:iCs/>
          <w:color w:val="0070C0"/>
          <w:sz w:val="24"/>
          <w:szCs w:val="24"/>
        </w:rPr>
        <w:t>倍。如短期使用温度上限是4</w:t>
      </w:r>
      <w:r>
        <w:rPr>
          <w:i/>
          <w:iCs/>
          <w:color w:val="0070C0"/>
          <w:sz w:val="24"/>
          <w:szCs w:val="24"/>
        </w:rPr>
        <w:t>0</w:t>
      </w:r>
      <w:r>
        <w:rPr>
          <w:rFonts w:hint="eastAsia"/>
          <w:i/>
          <w:iCs/>
          <w:color w:val="0070C0"/>
          <w:sz w:val="24"/>
          <w:szCs w:val="24"/>
        </w:rPr>
        <w:t>°C，则长期使用温度上限是2</w:t>
      </w:r>
      <w:r>
        <w:rPr>
          <w:i/>
          <w:iCs/>
          <w:color w:val="0070C0"/>
          <w:sz w:val="24"/>
          <w:szCs w:val="24"/>
        </w:rPr>
        <w:t>4</w:t>
      </w:r>
      <w:r>
        <w:rPr>
          <w:rFonts w:hint="eastAsia"/>
          <w:i/>
          <w:iCs/>
          <w:color w:val="0070C0"/>
          <w:sz w:val="24"/>
          <w:szCs w:val="24"/>
        </w:rPr>
        <w:t>°C。</w:t>
      </w:r>
    </w:p>
    <w:p>
      <w:pPr>
        <w:spacing w:after="0" w:line="360" w:lineRule="auto"/>
        <w:rPr>
          <w:b/>
          <w:bCs/>
          <w:color w:val="auto"/>
          <w:sz w:val="24"/>
          <w:szCs w:val="24"/>
        </w:rPr>
      </w:pPr>
      <w:r>
        <w:rPr>
          <w:b/>
          <w:bCs/>
          <w:color w:val="auto"/>
          <w:sz w:val="24"/>
          <w:szCs w:val="24"/>
        </w:rPr>
        <w:t xml:space="preserve">3.2.2 </w:t>
      </w:r>
      <w:r>
        <w:rPr>
          <w:color w:val="auto"/>
          <w:sz w:val="24"/>
          <w:szCs w:val="24"/>
        </w:rPr>
        <w:t>植筋</w:t>
      </w:r>
      <w:r>
        <w:rPr>
          <w:rFonts w:hint="eastAsia"/>
          <w:color w:val="auto"/>
          <w:sz w:val="24"/>
          <w:szCs w:val="24"/>
        </w:rPr>
        <w:t>系统应满足基本的粘结强度和性能要求，试验方法和评估要求</w:t>
      </w:r>
      <w:r>
        <w:rPr>
          <w:rFonts w:hint="eastAsia"/>
          <w:color w:val="auto"/>
          <w:sz w:val="24"/>
          <w:szCs w:val="24"/>
          <w:lang w:val="en-US" w:eastAsia="zh-CN"/>
        </w:rPr>
        <w:t>应符合本规程</w:t>
      </w:r>
      <w:r>
        <w:rPr>
          <w:rFonts w:hint="eastAsia"/>
          <w:color w:val="auto"/>
          <w:sz w:val="24"/>
          <w:szCs w:val="24"/>
        </w:rPr>
        <w:t>附录</w:t>
      </w:r>
      <w:r>
        <w:rPr>
          <w:rFonts w:hint="eastAsia"/>
          <w:color w:val="auto"/>
          <w:sz w:val="24"/>
          <w:szCs w:val="24"/>
          <w:lang w:val="en-US" w:eastAsia="zh-CN"/>
        </w:rPr>
        <w:t>A和</w:t>
      </w:r>
      <w:r>
        <w:rPr>
          <w:rFonts w:hint="eastAsia"/>
          <w:color w:val="auto"/>
          <w:sz w:val="24"/>
          <w:szCs w:val="24"/>
        </w:rPr>
        <w:t>附录B</w:t>
      </w:r>
      <w:r>
        <w:rPr>
          <w:rFonts w:hint="eastAsia"/>
          <w:color w:val="auto"/>
          <w:sz w:val="24"/>
          <w:szCs w:val="24"/>
          <w:lang w:val="en-US" w:eastAsia="zh-CN"/>
        </w:rPr>
        <w:t>的规定</w:t>
      </w:r>
      <w:r>
        <w:rPr>
          <w:color w:val="auto"/>
          <w:sz w:val="24"/>
          <w:szCs w:val="24"/>
        </w:rPr>
        <w:t>。</w:t>
      </w:r>
    </w:p>
    <w:p>
      <w:pPr>
        <w:spacing w:after="0" w:line="360" w:lineRule="auto"/>
        <w:rPr>
          <w:color w:val="auto"/>
          <w:sz w:val="24"/>
          <w:szCs w:val="24"/>
        </w:rPr>
      </w:pPr>
      <w:r>
        <w:rPr>
          <w:b/>
          <w:bCs/>
          <w:color w:val="auto"/>
          <w:sz w:val="24"/>
          <w:szCs w:val="24"/>
        </w:rPr>
        <w:t>3.2.3</w:t>
      </w:r>
      <w:r>
        <w:rPr>
          <w:rFonts w:hint="eastAsia"/>
          <w:b/>
          <w:bCs/>
          <w:color w:val="auto"/>
          <w:sz w:val="24"/>
          <w:szCs w:val="24"/>
        </w:rPr>
        <w:t xml:space="preserve"> </w:t>
      </w:r>
      <w:r>
        <w:rPr>
          <w:color w:val="auto"/>
          <w:sz w:val="24"/>
          <w:szCs w:val="24"/>
        </w:rPr>
        <w:t>当植筋系统采用不同钻孔方式</w:t>
      </w:r>
      <w:r>
        <w:rPr>
          <w:rFonts w:hint="eastAsia"/>
          <w:color w:val="auto"/>
          <w:sz w:val="24"/>
          <w:szCs w:val="24"/>
        </w:rPr>
        <w:t>和</w:t>
      </w:r>
      <w:r>
        <w:rPr>
          <w:color w:val="auto"/>
          <w:sz w:val="24"/>
          <w:szCs w:val="24"/>
        </w:rPr>
        <w:t>在潮湿环境下进行植筋安装作业时，植筋系统应满足</w:t>
      </w:r>
      <w:r>
        <w:rPr>
          <w:rFonts w:hint="eastAsia"/>
          <w:color w:val="auto"/>
          <w:sz w:val="24"/>
          <w:szCs w:val="24"/>
        </w:rPr>
        <w:t>对应</w:t>
      </w:r>
      <w:r>
        <w:rPr>
          <w:color w:val="auto"/>
          <w:sz w:val="24"/>
          <w:szCs w:val="24"/>
        </w:rPr>
        <w:t>钻孔方式</w:t>
      </w:r>
      <w:r>
        <w:rPr>
          <w:rFonts w:hint="eastAsia"/>
          <w:color w:val="auto"/>
          <w:sz w:val="24"/>
          <w:szCs w:val="24"/>
        </w:rPr>
        <w:t>和</w:t>
      </w:r>
      <w:r>
        <w:rPr>
          <w:color w:val="auto"/>
          <w:sz w:val="24"/>
          <w:szCs w:val="24"/>
        </w:rPr>
        <w:t>潮湿</w:t>
      </w:r>
      <w:r>
        <w:rPr>
          <w:rFonts w:hint="eastAsia"/>
          <w:color w:val="auto"/>
          <w:sz w:val="24"/>
          <w:szCs w:val="24"/>
        </w:rPr>
        <w:t>混凝土</w:t>
      </w:r>
      <w:r>
        <w:rPr>
          <w:color w:val="auto"/>
          <w:sz w:val="24"/>
          <w:szCs w:val="24"/>
        </w:rPr>
        <w:t>敏感性试验的要求</w:t>
      </w:r>
      <w:r>
        <w:rPr>
          <w:rFonts w:hint="eastAsia"/>
          <w:color w:val="auto"/>
          <w:sz w:val="24"/>
          <w:szCs w:val="24"/>
        </w:rPr>
        <w:t>，试验方法和评估要求</w:t>
      </w:r>
      <w:r>
        <w:rPr>
          <w:rFonts w:hint="eastAsia"/>
          <w:color w:val="auto"/>
          <w:sz w:val="24"/>
          <w:szCs w:val="24"/>
          <w:lang w:val="en-US" w:eastAsia="zh-CN"/>
        </w:rPr>
        <w:t>应符合本规程</w:t>
      </w:r>
      <w:r>
        <w:rPr>
          <w:rFonts w:hint="eastAsia"/>
          <w:color w:val="auto"/>
          <w:sz w:val="24"/>
          <w:szCs w:val="24"/>
        </w:rPr>
        <w:t>附录C和附录</w:t>
      </w:r>
      <w:r>
        <w:rPr>
          <w:color w:val="auto"/>
          <w:sz w:val="24"/>
          <w:szCs w:val="24"/>
        </w:rPr>
        <w:t>D</w:t>
      </w:r>
      <w:r>
        <w:rPr>
          <w:rFonts w:hint="eastAsia"/>
          <w:color w:val="auto"/>
          <w:sz w:val="24"/>
          <w:szCs w:val="24"/>
          <w:lang w:val="en-US" w:eastAsia="zh-CN"/>
        </w:rPr>
        <w:t>的规定</w:t>
      </w:r>
      <w:r>
        <w:rPr>
          <w:color w:val="auto"/>
          <w:sz w:val="24"/>
          <w:szCs w:val="24"/>
        </w:rPr>
        <w:t>。</w:t>
      </w:r>
    </w:p>
    <w:p>
      <w:pPr>
        <w:widowControl/>
        <w:autoSpaceDE w:val="0"/>
        <w:autoSpaceDN w:val="0"/>
        <w:adjustRightInd w:val="0"/>
        <w:spacing w:after="0" w:line="360" w:lineRule="auto"/>
        <w:jc w:val="left"/>
        <w:rPr>
          <w:i/>
          <w:iCs/>
          <w:color w:val="0070C0"/>
          <w:sz w:val="24"/>
          <w:szCs w:val="24"/>
        </w:rPr>
      </w:pPr>
      <w:r>
        <w:rPr>
          <w:i/>
          <w:iCs/>
          <w:color w:val="0070C0"/>
          <w:sz w:val="24"/>
          <w:szCs w:val="24"/>
        </w:rPr>
        <w:t>【条文说明】</w:t>
      </w:r>
      <w:r>
        <w:rPr>
          <w:b/>
          <w:bCs/>
          <w:i/>
          <w:iCs/>
          <w:color w:val="0070C0"/>
          <w:sz w:val="24"/>
          <w:szCs w:val="24"/>
        </w:rPr>
        <w:t>3.2.3</w:t>
      </w:r>
      <w:r>
        <w:rPr>
          <w:i/>
          <w:iCs/>
          <w:color w:val="0070C0"/>
          <w:sz w:val="24"/>
          <w:szCs w:val="24"/>
        </w:rPr>
        <w:t xml:space="preserve"> 植筋钻孔方式包括采用传统电锤钻头的锤击钻孔、采用水钻钻头的钻石钻孔和采用真空吸尘钻头钻孔等方式。因为每种钻孔方式采用的钻头不同，钻孔孔壁的粗糙度甚至潮湿度也不同，植筋胶的锚固粘接</w:t>
      </w:r>
      <w:r>
        <w:rPr>
          <w:rFonts w:hint="eastAsia"/>
          <w:i/>
          <w:iCs/>
          <w:color w:val="0070C0"/>
          <w:sz w:val="24"/>
          <w:szCs w:val="24"/>
        </w:rPr>
        <w:t>强度</w:t>
      </w:r>
      <w:r>
        <w:rPr>
          <w:i/>
          <w:iCs/>
          <w:color w:val="0070C0"/>
          <w:sz w:val="24"/>
          <w:szCs w:val="24"/>
        </w:rPr>
        <w:t>也</w:t>
      </w:r>
      <w:r>
        <w:rPr>
          <w:rFonts w:hint="eastAsia"/>
          <w:i/>
          <w:iCs/>
          <w:color w:val="0070C0"/>
          <w:sz w:val="24"/>
          <w:szCs w:val="24"/>
        </w:rPr>
        <w:t>会</w:t>
      </w:r>
      <w:r>
        <w:rPr>
          <w:i/>
          <w:iCs/>
          <w:color w:val="0070C0"/>
          <w:sz w:val="24"/>
          <w:szCs w:val="24"/>
        </w:rPr>
        <w:t>不同。因此，需要对植筋胶粘剂进行</w:t>
      </w:r>
      <w:r>
        <w:rPr>
          <w:rFonts w:hint="eastAsia"/>
          <w:i/>
          <w:iCs/>
          <w:color w:val="0070C0"/>
          <w:sz w:val="24"/>
          <w:szCs w:val="24"/>
        </w:rPr>
        <w:t>与</w:t>
      </w:r>
      <w:r>
        <w:rPr>
          <w:i/>
          <w:iCs/>
          <w:color w:val="0070C0"/>
          <w:sz w:val="24"/>
          <w:szCs w:val="24"/>
        </w:rPr>
        <w:t>钻孔方式</w:t>
      </w:r>
      <w:r>
        <w:rPr>
          <w:rFonts w:hint="eastAsia"/>
          <w:i/>
          <w:iCs/>
          <w:color w:val="0070C0"/>
          <w:sz w:val="24"/>
          <w:szCs w:val="24"/>
        </w:rPr>
        <w:t>匹配</w:t>
      </w:r>
      <w:r>
        <w:rPr>
          <w:i/>
          <w:iCs/>
          <w:color w:val="0070C0"/>
          <w:sz w:val="24"/>
          <w:szCs w:val="24"/>
        </w:rPr>
        <w:t>的系统粘结性能测试，保证植筋系统的粘结强度与钻孔工艺匹配。</w:t>
      </w:r>
    </w:p>
    <w:p>
      <w:pPr>
        <w:spacing w:after="0" w:line="360" w:lineRule="auto"/>
        <w:rPr>
          <w:color w:val="auto"/>
          <w:sz w:val="24"/>
          <w:szCs w:val="24"/>
        </w:rPr>
      </w:pPr>
      <w:r>
        <w:rPr>
          <w:b/>
          <w:bCs/>
          <w:color w:val="auto"/>
          <w:sz w:val="24"/>
          <w:szCs w:val="24"/>
        </w:rPr>
        <w:t>3.2.</w:t>
      </w:r>
      <w:r>
        <w:rPr>
          <w:rFonts w:hint="eastAsia"/>
          <w:b/>
          <w:bCs/>
          <w:color w:val="auto"/>
          <w:sz w:val="24"/>
          <w:szCs w:val="24"/>
        </w:rPr>
        <w:t xml:space="preserve">4 </w:t>
      </w:r>
      <w:r>
        <w:rPr>
          <w:rFonts w:hint="eastAsia"/>
          <w:color w:val="auto"/>
          <w:sz w:val="24"/>
          <w:szCs w:val="24"/>
        </w:rPr>
        <w:t>当</w:t>
      </w:r>
      <w:r>
        <w:rPr>
          <w:color w:val="auto"/>
          <w:sz w:val="24"/>
          <w:szCs w:val="24"/>
        </w:rPr>
        <w:t>植筋系统采用</w:t>
      </w:r>
      <w:r>
        <w:rPr>
          <w:rFonts w:hint="eastAsia"/>
          <w:color w:val="auto"/>
          <w:sz w:val="24"/>
          <w:szCs w:val="24"/>
        </w:rPr>
        <w:t>不同钻孔方向钻孔、安装</w:t>
      </w:r>
      <w:r>
        <w:rPr>
          <w:color w:val="auto"/>
          <w:sz w:val="24"/>
          <w:szCs w:val="24"/>
        </w:rPr>
        <w:t>时，应</w:t>
      </w:r>
      <w:r>
        <w:rPr>
          <w:rFonts w:hint="eastAsia"/>
          <w:color w:val="auto"/>
          <w:sz w:val="24"/>
          <w:szCs w:val="24"/>
        </w:rPr>
        <w:t>满足对应钻孔方向的</w:t>
      </w:r>
      <w:r>
        <w:rPr>
          <w:color w:val="auto"/>
          <w:sz w:val="24"/>
          <w:szCs w:val="24"/>
        </w:rPr>
        <w:t>系统粘接性能</w:t>
      </w:r>
      <w:r>
        <w:rPr>
          <w:rFonts w:hint="eastAsia"/>
          <w:color w:val="auto"/>
          <w:sz w:val="24"/>
          <w:szCs w:val="24"/>
        </w:rPr>
        <w:t>要求，试验方法和评估要求</w:t>
      </w:r>
      <w:r>
        <w:rPr>
          <w:rFonts w:hint="eastAsia"/>
          <w:color w:val="auto"/>
          <w:sz w:val="24"/>
          <w:szCs w:val="24"/>
          <w:lang w:val="en-US" w:eastAsia="zh-CN"/>
        </w:rPr>
        <w:t>应符合本规程</w:t>
      </w:r>
      <w:r>
        <w:rPr>
          <w:rFonts w:hint="eastAsia"/>
          <w:color w:val="auto"/>
          <w:sz w:val="24"/>
          <w:szCs w:val="24"/>
        </w:rPr>
        <w:t>附录E和附录</w:t>
      </w:r>
      <w:r>
        <w:rPr>
          <w:color w:val="auto"/>
          <w:sz w:val="24"/>
          <w:szCs w:val="24"/>
        </w:rPr>
        <w:t>F</w:t>
      </w:r>
      <w:r>
        <w:rPr>
          <w:rFonts w:hint="eastAsia"/>
          <w:color w:val="auto"/>
          <w:sz w:val="24"/>
          <w:szCs w:val="24"/>
          <w:lang w:val="en-US" w:eastAsia="zh-CN"/>
        </w:rPr>
        <w:t>的规定</w:t>
      </w:r>
      <w:r>
        <w:rPr>
          <w:color w:val="auto"/>
          <w:sz w:val="24"/>
          <w:szCs w:val="24"/>
        </w:rPr>
        <w:t>。</w:t>
      </w:r>
    </w:p>
    <w:p>
      <w:pPr>
        <w:pStyle w:val="2"/>
        <w:spacing w:after="0" w:line="360" w:lineRule="auto"/>
        <w:ind w:left="0" w:leftChars="0" w:firstLine="0" w:firstLineChars="0"/>
      </w:pPr>
      <w:r>
        <w:rPr>
          <w:i/>
          <w:iCs/>
          <w:color w:val="0070C0"/>
          <w:sz w:val="24"/>
          <w:szCs w:val="24"/>
        </w:rPr>
        <w:t>【条文说明】</w:t>
      </w:r>
      <w:r>
        <w:rPr>
          <w:b/>
          <w:bCs/>
          <w:i/>
          <w:iCs/>
          <w:color w:val="0070C0"/>
          <w:sz w:val="24"/>
          <w:szCs w:val="24"/>
        </w:rPr>
        <w:t>3.2.4</w:t>
      </w:r>
      <w:r>
        <w:rPr>
          <w:i/>
          <w:iCs/>
          <w:color w:val="0070C0"/>
          <w:sz w:val="24"/>
          <w:szCs w:val="24"/>
        </w:rPr>
        <w:t xml:space="preserve"> 钻</w:t>
      </w:r>
      <w:r>
        <w:rPr>
          <w:rFonts w:hint="eastAsia"/>
          <w:i/>
          <w:iCs/>
          <w:color w:val="0070C0"/>
          <w:sz w:val="24"/>
          <w:szCs w:val="24"/>
        </w:rPr>
        <w:t>孔方向不仅会影响清孔质量，也会影响注胶质量和植筋后的胶粘效果。本规程第6章有关于不同钻孔方向施工的明确要求以保证施工质量。但在植筋系统的性能仍会受到钻孔方向的影响。</w:t>
      </w:r>
    </w:p>
    <w:p>
      <w:pPr>
        <w:spacing w:after="0" w:line="360" w:lineRule="auto"/>
        <w:rPr>
          <w:color w:val="auto"/>
          <w:sz w:val="24"/>
          <w:szCs w:val="24"/>
        </w:rPr>
      </w:pPr>
      <w:r>
        <w:rPr>
          <w:b/>
          <w:bCs/>
          <w:color w:val="auto"/>
          <w:sz w:val="24"/>
          <w:szCs w:val="24"/>
        </w:rPr>
        <w:t xml:space="preserve">3.2.5 </w:t>
      </w:r>
      <w:r>
        <w:rPr>
          <w:color w:val="auto"/>
          <w:sz w:val="24"/>
          <w:szCs w:val="24"/>
        </w:rPr>
        <w:t>当植筋系统需要承受长期</w:t>
      </w:r>
      <w:r>
        <w:rPr>
          <w:rFonts w:hint="eastAsia"/>
          <w:color w:val="auto"/>
          <w:sz w:val="24"/>
          <w:szCs w:val="24"/>
        </w:rPr>
        <w:t>拉力作用</w:t>
      </w:r>
      <w:r>
        <w:rPr>
          <w:color w:val="auto"/>
          <w:sz w:val="24"/>
          <w:szCs w:val="24"/>
        </w:rPr>
        <w:t>时，</w:t>
      </w:r>
      <w:r>
        <w:rPr>
          <w:rFonts w:hint="eastAsia"/>
          <w:color w:val="auto"/>
          <w:sz w:val="24"/>
          <w:szCs w:val="24"/>
        </w:rPr>
        <w:t>植筋用锚固胶粘剂应满足耐长期应力作用能力的要求，</w:t>
      </w:r>
      <w:r>
        <w:rPr>
          <w:color w:val="auto"/>
          <w:sz w:val="24"/>
          <w:szCs w:val="24"/>
        </w:rPr>
        <w:t>植筋系统</w:t>
      </w:r>
      <w:r>
        <w:rPr>
          <w:rFonts w:hint="eastAsia"/>
          <w:color w:val="auto"/>
          <w:sz w:val="24"/>
          <w:szCs w:val="24"/>
        </w:rPr>
        <w:t>也</w:t>
      </w:r>
      <w:r>
        <w:rPr>
          <w:color w:val="auto"/>
          <w:sz w:val="24"/>
          <w:szCs w:val="24"/>
        </w:rPr>
        <w:t>应</w:t>
      </w:r>
      <w:r>
        <w:rPr>
          <w:rFonts w:hint="eastAsia"/>
          <w:color w:val="auto"/>
          <w:sz w:val="24"/>
          <w:szCs w:val="24"/>
        </w:rPr>
        <w:t>满足</w:t>
      </w:r>
      <w:r>
        <w:rPr>
          <w:color w:val="auto"/>
          <w:sz w:val="24"/>
          <w:szCs w:val="24"/>
        </w:rPr>
        <w:t>长期</w:t>
      </w:r>
      <w:r>
        <w:rPr>
          <w:rFonts w:hint="eastAsia"/>
          <w:color w:val="auto"/>
          <w:sz w:val="24"/>
          <w:szCs w:val="24"/>
        </w:rPr>
        <w:t>荷载性能要求，试验方法和评估要求</w:t>
      </w:r>
      <w:r>
        <w:rPr>
          <w:rFonts w:hint="eastAsia"/>
          <w:color w:val="auto"/>
          <w:sz w:val="24"/>
          <w:szCs w:val="24"/>
          <w:lang w:val="en-US" w:eastAsia="zh-CN"/>
        </w:rPr>
        <w:t>应符合本规程</w:t>
      </w:r>
      <w:r>
        <w:rPr>
          <w:rFonts w:hint="eastAsia"/>
          <w:color w:val="auto"/>
          <w:sz w:val="24"/>
          <w:szCs w:val="24"/>
          <w:highlight w:val="none"/>
        </w:rPr>
        <w:t>附录G</w:t>
      </w:r>
      <w:r>
        <w:rPr>
          <w:rFonts w:hint="eastAsia"/>
          <w:color w:val="auto"/>
          <w:sz w:val="24"/>
          <w:szCs w:val="24"/>
          <w:highlight w:val="none"/>
          <w:lang w:val="en-US" w:eastAsia="zh-CN"/>
        </w:rPr>
        <w:t>的规定</w:t>
      </w:r>
      <w:r>
        <w:rPr>
          <w:color w:val="auto"/>
          <w:sz w:val="24"/>
          <w:szCs w:val="24"/>
        </w:rPr>
        <w:t>。</w:t>
      </w:r>
    </w:p>
    <w:p>
      <w:pPr>
        <w:widowControl/>
        <w:autoSpaceDE w:val="0"/>
        <w:autoSpaceDN w:val="0"/>
        <w:adjustRightInd w:val="0"/>
        <w:spacing w:after="0" w:line="360" w:lineRule="auto"/>
        <w:jc w:val="left"/>
        <w:rPr>
          <w:i/>
          <w:iCs/>
          <w:color w:val="0070C0"/>
          <w:sz w:val="24"/>
          <w:szCs w:val="24"/>
        </w:rPr>
      </w:pPr>
      <w:r>
        <w:rPr>
          <w:i/>
          <w:iCs/>
          <w:color w:val="0070C0"/>
          <w:sz w:val="24"/>
          <w:szCs w:val="24"/>
        </w:rPr>
        <w:t>【条文说明】</w:t>
      </w:r>
      <w:r>
        <w:rPr>
          <w:b/>
          <w:bCs/>
          <w:i/>
          <w:iCs/>
          <w:color w:val="0070C0"/>
          <w:sz w:val="24"/>
          <w:szCs w:val="24"/>
        </w:rPr>
        <w:t>3.2.5</w:t>
      </w:r>
      <w:r>
        <w:rPr>
          <w:i/>
          <w:iCs/>
          <w:color w:val="0070C0"/>
          <w:sz w:val="24"/>
          <w:szCs w:val="24"/>
        </w:rPr>
        <w:t xml:space="preserve"> 基于</w:t>
      </w:r>
      <w:r>
        <w:rPr>
          <w:rFonts w:hint="eastAsia"/>
          <w:i/>
          <w:iCs/>
          <w:color w:val="0070C0"/>
          <w:sz w:val="24"/>
          <w:szCs w:val="24"/>
        </w:rPr>
        <w:t>植筋系统</w:t>
      </w:r>
      <w:r>
        <w:rPr>
          <w:i/>
          <w:iCs/>
          <w:color w:val="0070C0"/>
          <w:sz w:val="24"/>
          <w:szCs w:val="24"/>
        </w:rPr>
        <w:t>50年使用寿命的考虑，对于承受长期持续荷载的植筋系统应满足长期应力性能要求。</w:t>
      </w:r>
    </w:p>
    <w:p>
      <w:pPr>
        <w:spacing w:after="0" w:line="360" w:lineRule="auto"/>
        <w:rPr>
          <w:color w:val="auto"/>
          <w:sz w:val="24"/>
          <w:szCs w:val="24"/>
        </w:rPr>
      </w:pPr>
      <w:r>
        <w:rPr>
          <w:b/>
          <w:bCs/>
          <w:color w:val="auto"/>
          <w:sz w:val="24"/>
          <w:szCs w:val="24"/>
        </w:rPr>
        <w:t>3.2.</w:t>
      </w:r>
      <w:r>
        <w:rPr>
          <w:rFonts w:hint="eastAsia"/>
          <w:b/>
          <w:bCs/>
          <w:color w:val="auto"/>
          <w:sz w:val="24"/>
          <w:szCs w:val="24"/>
        </w:rPr>
        <w:t xml:space="preserve">6  </w:t>
      </w:r>
      <w:r>
        <w:rPr>
          <w:color w:val="auto"/>
          <w:sz w:val="24"/>
          <w:szCs w:val="24"/>
        </w:rPr>
        <w:t>植筋系统</w:t>
      </w:r>
      <w:r>
        <w:rPr>
          <w:rFonts w:hint="eastAsia"/>
          <w:color w:val="auto"/>
          <w:sz w:val="24"/>
          <w:szCs w:val="24"/>
        </w:rPr>
        <w:t>最高短</w:t>
      </w:r>
      <w:r>
        <w:rPr>
          <w:color w:val="auto"/>
          <w:sz w:val="24"/>
          <w:szCs w:val="24"/>
        </w:rPr>
        <w:t>期使用温度不</w:t>
      </w:r>
      <w:r>
        <w:rPr>
          <w:rFonts w:hint="eastAsia"/>
          <w:color w:val="auto"/>
          <w:sz w:val="24"/>
          <w:szCs w:val="24"/>
        </w:rPr>
        <w:t>宜</w:t>
      </w:r>
      <w:r>
        <w:rPr>
          <w:color w:val="auto"/>
          <w:sz w:val="24"/>
          <w:szCs w:val="24"/>
        </w:rPr>
        <w:t>高于60°C</w:t>
      </w:r>
      <w:r>
        <w:rPr>
          <w:rFonts w:hint="eastAsia"/>
          <w:color w:val="auto"/>
          <w:sz w:val="24"/>
          <w:szCs w:val="24"/>
        </w:rPr>
        <w:t>且最高长期使用温度不宜高于3</w:t>
      </w:r>
      <w:r>
        <w:rPr>
          <w:color w:val="auto"/>
          <w:sz w:val="24"/>
          <w:szCs w:val="24"/>
        </w:rPr>
        <w:t>6°C</w:t>
      </w:r>
      <w:r>
        <w:rPr>
          <w:rFonts w:hint="eastAsia"/>
          <w:color w:val="auto"/>
          <w:sz w:val="24"/>
          <w:szCs w:val="24"/>
        </w:rPr>
        <w:t>；</w:t>
      </w:r>
      <w:r>
        <w:rPr>
          <w:color w:val="auto"/>
          <w:sz w:val="24"/>
          <w:szCs w:val="24"/>
        </w:rPr>
        <w:t>当植筋系统</w:t>
      </w:r>
      <w:r>
        <w:rPr>
          <w:rFonts w:hint="eastAsia"/>
          <w:color w:val="auto"/>
          <w:sz w:val="24"/>
          <w:szCs w:val="24"/>
        </w:rPr>
        <w:t>最高短</w:t>
      </w:r>
      <w:r>
        <w:rPr>
          <w:color w:val="auto"/>
          <w:sz w:val="24"/>
          <w:szCs w:val="24"/>
        </w:rPr>
        <w:t>期使用温度</w:t>
      </w:r>
      <w:r>
        <w:rPr>
          <w:rFonts w:hint="eastAsia"/>
          <w:color w:val="auto"/>
          <w:sz w:val="24"/>
          <w:szCs w:val="24"/>
        </w:rPr>
        <w:t>高于</w:t>
      </w:r>
      <w:r>
        <w:rPr>
          <w:color w:val="auto"/>
          <w:sz w:val="24"/>
          <w:szCs w:val="24"/>
        </w:rPr>
        <w:t>60°C</w:t>
      </w:r>
      <w:r>
        <w:rPr>
          <w:rFonts w:hint="eastAsia"/>
          <w:color w:val="auto"/>
          <w:sz w:val="24"/>
          <w:szCs w:val="24"/>
        </w:rPr>
        <w:t>或最高</w:t>
      </w:r>
      <w:r>
        <w:rPr>
          <w:color w:val="auto"/>
          <w:sz w:val="24"/>
          <w:szCs w:val="24"/>
        </w:rPr>
        <w:t>长期使用温度</w:t>
      </w:r>
      <w:r>
        <w:rPr>
          <w:rFonts w:hint="eastAsia"/>
          <w:color w:val="auto"/>
          <w:sz w:val="24"/>
          <w:szCs w:val="24"/>
        </w:rPr>
        <w:t>高于</w:t>
      </w:r>
      <w:r>
        <w:rPr>
          <w:color w:val="auto"/>
          <w:sz w:val="24"/>
          <w:szCs w:val="24"/>
        </w:rPr>
        <w:t>36°C时，植筋系统应满足相应</w:t>
      </w:r>
      <w:r>
        <w:rPr>
          <w:rFonts w:hint="eastAsia"/>
          <w:color w:val="auto"/>
          <w:sz w:val="24"/>
          <w:szCs w:val="24"/>
        </w:rPr>
        <w:t>最高</w:t>
      </w:r>
      <w:r>
        <w:rPr>
          <w:color w:val="auto"/>
          <w:sz w:val="24"/>
          <w:szCs w:val="24"/>
        </w:rPr>
        <w:t>使用温度下的性能要求</w:t>
      </w:r>
      <w:r>
        <w:rPr>
          <w:rFonts w:hint="eastAsia"/>
          <w:color w:val="auto"/>
          <w:sz w:val="24"/>
          <w:szCs w:val="24"/>
        </w:rPr>
        <w:t>，试验方法和评估要求</w:t>
      </w:r>
      <w:r>
        <w:rPr>
          <w:rFonts w:hint="eastAsia"/>
          <w:color w:val="auto"/>
          <w:sz w:val="24"/>
          <w:szCs w:val="24"/>
          <w:lang w:val="en-US" w:eastAsia="zh-CN"/>
        </w:rPr>
        <w:t>应符合本规程</w:t>
      </w:r>
      <w:r>
        <w:rPr>
          <w:rFonts w:hint="eastAsia"/>
          <w:color w:val="auto"/>
          <w:sz w:val="24"/>
          <w:szCs w:val="24"/>
          <w:highlight w:val="none"/>
        </w:rPr>
        <w:t>附录K</w:t>
      </w:r>
      <w:r>
        <w:rPr>
          <w:rFonts w:hint="eastAsia"/>
          <w:color w:val="auto"/>
          <w:sz w:val="24"/>
          <w:szCs w:val="24"/>
          <w:highlight w:val="none"/>
          <w:lang w:val="en-US" w:eastAsia="zh-CN"/>
        </w:rPr>
        <w:t>的规定</w:t>
      </w:r>
      <w:r>
        <w:rPr>
          <w:color w:val="auto"/>
          <w:sz w:val="24"/>
          <w:szCs w:val="24"/>
        </w:rPr>
        <w:t>。</w:t>
      </w:r>
    </w:p>
    <w:p>
      <w:pPr>
        <w:widowControl/>
        <w:autoSpaceDE w:val="0"/>
        <w:autoSpaceDN w:val="0"/>
        <w:adjustRightInd w:val="0"/>
        <w:spacing w:after="0" w:line="360" w:lineRule="auto"/>
        <w:rPr>
          <w:i/>
          <w:iCs/>
          <w:color w:val="0070C0"/>
          <w:sz w:val="24"/>
          <w:szCs w:val="24"/>
        </w:rPr>
      </w:pPr>
      <w:r>
        <w:rPr>
          <w:i/>
          <w:iCs/>
          <w:color w:val="0070C0"/>
          <w:sz w:val="24"/>
          <w:szCs w:val="24"/>
        </w:rPr>
        <w:t>【条文说明】</w:t>
      </w:r>
      <w:r>
        <w:rPr>
          <w:b/>
          <w:bCs/>
          <w:i/>
          <w:iCs/>
          <w:color w:val="0070C0"/>
          <w:sz w:val="24"/>
          <w:szCs w:val="24"/>
        </w:rPr>
        <w:t>3.2.</w:t>
      </w:r>
      <w:r>
        <w:rPr>
          <w:rFonts w:hint="eastAsia"/>
          <w:b/>
          <w:bCs/>
          <w:i/>
          <w:iCs/>
          <w:color w:val="0070C0"/>
          <w:sz w:val="24"/>
          <w:szCs w:val="24"/>
        </w:rPr>
        <w:t>6</w:t>
      </w:r>
      <w:r>
        <w:rPr>
          <w:rFonts w:hint="eastAsia"/>
          <w:i/>
          <w:iCs/>
          <w:color w:val="0070C0"/>
          <w:sz w:val="24"/>
          <w:szCs w:val="24"/>
        </w:rPr>
        <w:t xml:space="preserve"> 通常情况下最高短期温度6</w:t>
      </w:r>
      <w:r>
        <w:rPr>
          <w:i/>
          <w:iCs/>
          <w:color w:val="0070C0"/>
          <w:sz w:val="24"/>
          <w:szCs w:val="24"/>
        </w:rPr>
        <w:t>0</w:t>
      </w:r>
      <w:r>
        <w:rPr>
          <w:rFonts w:hint="eastAsia"/>
          <w:i/>
          <w:iCs/>
          <w:color w:val="0070C0"/>
          <w:sz w:val="24"/>
          <w:szCs w:val="24"/>
        </w:rPr>
        <w:t>°C对应最高长期使用温度3</w:t>
      </w:r>
      <w:r>
        <w:rPr>
          <w:i/>
          <w:iCs/>
          <w:color w:val="0070C0"/>
          <w:sz w:val="24"/>
          <w:szCs w:val="24"/>
        </w:rPr>
        <w:t>6</w:t>
      </w:r>
      <w:r>
        <w:rPr>
          <w:rFonts w:hint="eastAsia"/>
          <w:i/>
          <w:iCs/>
          <w:color w:val="0070C0"/>
          <w:sz w:val="24"/>
          <w:szCs w:val="24"/>
        </w:rPr>
        <w:t>°C。</w:t>
      </w:r>
      <w:r>
        <w:rPr>
          <w:i/>
          <w:iCs/>
          <w:color w:val="0070C0"/>
          <w:sz w:val="24"/>
          <w:szCs w:val="24"/>
        </w:rPr>
        <w:t>对于某些生产商生产的植筋胶或基于某些项目的实际工程需要，植筋系统使用环境的长期使用温度和粘结强度高于基本要求时，应按照实际温度和强度要求进行环境温度试验。</w:t>
      </w:r>
    </w:p>
    <w:p>
      <w:pPr>
        <w:spacing w:after="0" w:line="360" w:lineRule="auto"/>
        <w:rPr>
          <w:color w:val="auto"/>
          <w:sz w:val="24"/>
          <w:szCs w:val="24"/>
        </w:rPr>
      </w:pPr>
      <w:r>
        <w:rPr>
          <w:b/>
          <w:bCs/>
          <w:color w:val="auto"/>
          <w:sz w:val="24"/>
          <w:szCs w:val="24"/>
        </w:rPr>
        <w:t>3.2.</w:t>
      </w:r>
      <w:r>
        <w:rPr>
          <w:rFonts w:hint="eastAsia"/>
          <w:b/>
          <w:bCs/>
          <w:color w:val="auto"/>
          <w:sz w:val="24"/>
          <w:szCs w:val="24"/>
        </w:rPr>
        <w:t xml:space="preserve">7 </w:t>
      </w:r>
      <w:r>
        <w:rPr>
          <w:b/>
          <w:bCs/>
          <w:color w:val="auto"/>
          <w:sz w:val="24"/>
          <w:szCs w:val="24"/>
        </w:rPr>
        <w:t xml:space="preserve"> </w:t>
      </w:r>
      <w:r>
        <w:rPr>
          <w:color w:val="auto"/>
          <w:sz w:val="24"/>
          <w:szCs w:val="24"/>
        </w:rPr>
        <w:t>当植筋系统</w:t>
      </w:r>
      <w:r>
        <w:rPr>
          <w:rFonts w:hint="eastAsia"/>
          <w:color w:val="auto"/>
          <w:sz w:val="24"/>
          <w:szCs w:val="24"/>
        </w:rPr>
        <w:t>有抗震需求时，</w:t>
      </w:r>
      <w:r>
        <w:rPr>
          <w:color w:val="auto"/>
          <w:sz w:val="24"/>
          <w:szCs w:val="24"/>
        </w:rPr>
        <w:t>应满足</w:t>
      </w:r>
      <w:r>
        <w:rPr>
          <w:rFonts w:hint="eastAsia"/>
          <w:color w:val="auto"/>
          <w:sz w:val="24"/>
          <w:szCs w:val="24"/>
        </w:rPr>
        <w:t>抗震</w:t>
      </w:r>
      <w:r>
        <w:rPr>
          <w:color w:val="auto"/>
          <w:sz w:val="24"/>
          <w:szCs w:val="24"/>
        </w:rPr>
        <w:t>性能试验要求</w:t>
      </w:r>
      <w:r>
        <w:rPr>
          <w:rFonts w:hint="eastAsia"/>
          <w:color w:val="auto"/>
          <w:sz w:val="24"/>
          <w:szCs w:val="24"/>
        </w:rPr>
        <w:t>，试验方法和评估要求</w:t>
      </w:r>
      <w:r>
        <w:rPr>
          <w:rFonts w:hint="eastAsia"/>
          <w:color w:val="auto"/>
          <w:sz w:val="24"/>
          <w:szCs w:val="24"/>
          <w:lang w:val="en-US" w:eastAsia="zh-CN"/>
        </w:rPr>
        <w:t>应符合本规程</w:t>
      </w:r>
      <w:r>
        <w:rPr>
          <w:rFonts w:hint="eastAsia"/>
          <w:color w:val="auto"/>
          <w:sz w:val="24"/>
          <w:szCs w:val="24"/>
          <w:highlight w:val="none"/>
        </w:rPr>
        <w:t>附录</w:t>
      </w:r>
      <w:r>
        <w:rPr>
          <w:color w:val="auto"/>
          <w:sz w:val="24"/>
          <w:szCs w:val="24"/>
          <w:highlight w:val="none"/>
        </w:rPr>
        <w:t>J</w:t>
      </w:r>
      <w:r>
        <w:rPr>
          <w:rFonts w:hint="eastAsia"/>
          <w:color w:val="auto"/>
          <w:sz w:val="24"/>
          <w:szCs w:val="24"/>
          <w:highlight w:val="none"/>
          <w:lang w:val="en-US" w:eastAsia="zh-CN"/>
        </w:rPr>
        <w:t>的规定</w:t>
      </w:r>
      <w:r>
        <w:rPr>
          <w:color w:val="auto"/>
          <w:sz w:val="24"/>
          <w:szCs w:val="24"/>
        </w:rPr>
        <w:t>。</w:t>
      </w:r>
    </w:p>
    <w:p>
      <w:pPr>
        <w:pStyle w:val="2"/>
        <w:ind w:left="0" w:leftChars="0" w:firstLine="0" w:firstLineChars="0"/>
        <w:rPr>
          <w:strike/>
          <w:color w:val="auto"/>
          <w:sz w:val="24"/>
          <w:szCs w:val="24"/>
        </w:rPr>
      </w:pPr>
      <w:r>
        <w:rPr>
          <w:b/>
          <w:bCs/>
          <w:color w:val="auto"/>
          <w:sz w:val="24"/>
          <w:szCs w:val="24"/>
        </w:rPr>
        <w:t>3.2.8</w:t>
      </w:r>
      <w:r>
        <w:rPr>
          <w:color w:val="auto"/>
        </w:rPr>
        <w:t xml:space="preserve"> </w:t>
      </w:r>
      <w:r>
        <w:rPr>
          <w:rFonts w:hint="eastAsia"/>
          <w:color w:val="auto"/>
          <w:sz w:val="24"/>
          <w:szCs w:val="24"/>
        </w:rPr>
        <w:t>当植筋系统有防火需求时，应满足火灾性能要求。</w:t>
      </w:r>
    </w:p>
    <w:p>
      <w:pPr>
        <w:widowControl/>
        <w:jc w:val="left"/>
        <w:rPr>
          <w:rFonts w:asciiTheme="majorHAnsi" w:hAnsiTheme="majorHAnsi" w:eastAsiaTheme="majorEastAsia" w:cstheme="majorBidi"/>
          <w:b/>
          <w:bCs/>
          <w:color w:val="auto"/>
          <w:sz w:val="24"/>
          <w:szCs w:val="24"/>
        </w:rPr>
      </w:pPr>
      <w:r>
        <w:rPr>
          <w:bCs/>
          <w:color w:val="auto"/>
          <w:sz w:val="24"/>
          <w:szCs w:val="24"/>
        </w:rPr>
        <w:br w:type="page"/>
      </w:r>
    </w:p>
    <w:p>
      <w:pPr>
        <w:pStyle w:val="4"/>
        <w:rPr>
          <w:rFonts w:ascii="宋体" w:hAnsi="宋体" w:eastAsia="宋体" w:cs="宋体"/>
        </w:rPr>
      </w:pPr>
      <w:bookmarkStart w:id="21" w:name="_Toc145273810"/>
      <w:bookmarkStart w:id="22" w:name="_Toc6530"/>
      <w:r>
        <w:rPr>
          <w:rFonts w:hint="eastAsia" w:ascii="宋体" w:hAnsi="宋体" w:eastAsia="宋体" w:cs="宋体"/>
        </w:rPr>
        <w:t>4  设计</w:t>
      </w:r>
      <w:bookmarkEnd w:id="21"/>
      <w:bookmarkEnd w:id="22"/>
    </w:p>
    <w:p>
      <w:pPr>
        <w:pStyle w:val="5"/>
      </w:pPr>
      <w:bookmarkStart w:id="23" w:name="_Toc145273811"/>
      <w:bookmarkStart w:id="24" w:name="_Toc22749"/>
      <w:r>
        <w:rPr>
          <w:rFonts w:hint="eastAsia"/>
        </w:rPr>
        <w:t>4.1 一般规定</w:t>
      </w:r>
      <w:bookmarkEnd w:id="23"/>
      <w:bookmarkEnd w:id="24"/>
    </w:p>
    <w:p>
      <w:pPr>
        <w:spacing w:after="0" w:line="360" w:lineRule="auto"/>
        <w:rPr>
          <w:color w:val="auto"/>
          <w:sz w:val="24"/>
          <w:szCs w:val="24"/>
        </w:rPr>
      </w:pPr>
      <w:r>
        <w:rPr>
          <w:b/>
          <w:bCs/>
          <w:color w:val="auto"/>
          <w:sz w:val="24"/>
          <w:szCs w:val="24"/>
        </w:rPr>
        <w:t>4.1.1</w:t>
      </w:r>
      <w:r>
        <w:rPr>
          <w:color w:val="auto"/>
          <w:sz w:val="24"/>
          <w:szCs w:val="24"/>
        </w:rPr>
        <w:t xml:space="preserve"> 植筋的设计应符合下列规定：</w:t>
      </w:r>
    </w:p>
    <w:p>
      <w:pPr>
        <w:spacing w:after="0" w:line="360" w:lineRule="auto"/>
        <w:ind w:firstLine="420"/>
        <w:rPr>
          <w:color w:val="auto"/>
          <w:sz w:val="24"/>
          <w:szCs w:val="24"/>
        </w:rPr>
      </w:pPr>
      <w:r>
        <w:rPr>
          <w:color w:val="auto"/>
          <w:sz w:val="24"/>
          <w:szCs w:val="24"/>
        </w:rPr>
        <w:t>1</w:t>
      </w:r>
      <w:r>
        <w:rPr>
          <w:rFonts w:hint="eastAsia"/>
          <w:color w:val="auto"/>
          <w:sz w:val="24"/>
          <w:szCs w:val="24"/>
        </w:rPr>
        <w:t xml:space="preserve"> </w:t>
      </w:r>
      <w:r>
        <w:rPr>
          <w:color w:val="auto"/>
          <w:sz w:val="24"/>
          <w:szCs w:val="24"/>
        </w:rPr>
        <w:t>受拉锚固植筋</w:t>
      </w:r>
      <w:r>
        <w:rPr>
          <w:rFonts w:hint="eastAsia"/>
          <w:color w:val="auto"/>
          <w:sz w:val="24"/>
          <w:szCs w:val="24"/>
        </w:rPr>
        <w:t>及搭接植筋应</w:t>
      </w:r>
      <w:r>
        <w:rPr>
          <w:color w:val="auto"/>
          <w:sz w:val="24"/>
          <w:szCs w:val="24"/>
        </w:rPr>
        <w:t>按照充分利用钢材强度</w:t>
      </w:r>
      <w:r>
        <w:rPr>
          <w:rFonts w:hint="eastAsia"/>
          <w:color w:val="auto"/>
          <w:sz w:val="24"/>
          <w:szCs w:val="24"/>
        </w:rPr>
        <w:t>设计；</w:t>
      </w:r>
    </w:p>
    <w:p>
      <w:pPr>
        <w:spacing w:after="0" w:line="360" w:lineRule="auto"/>
        <w:ind w:firstLine="420"/>
        <w:rPr>
          <w:color w:val="auto"/>
          <w:sz w:val="24"/>
          <w:szCs w:val="24"/>
        </w:rPr>
      </w:pPr>
      <w:r>
        <w:rPr>
          <w:color w:val="auto"/>
          <w:sz w:val="24"/>
          <w:szCs w:val="24"/>
        </w:rPr>
        <w:t>2</w:t>
      </w:r>
      <w:r>
        <w:rPr>
          <w:rFonts w:hint="eastAsia"/>
          <w:color w:val="auto"/>
          <w:sz w:val="24"/>
          <w:szCs w:val="24"/>
        </w:rPr>
        <w:t xml:space="preserve"> 拉结植筋可按照锚栓理论进行设计；</w:t>
      </w:r>
    </w:p>
    <w:p>
      <w:pPr>
        <w:spacing w:after="0" w:line="360" w:lineRule="auto"/>
        <w:ind w:firstLine="420"/>
        <w:rPr>
          <w:color w:val="auto"/>
          <w:sz w:val="24"/>
          <w:szCs w:val="24"/>
        </w:rPr>
      </w:pPr>
      <w:r>
        <w:rPr>
          <w:color w:val="auto"/>
          <w:sz w:val="24"/>
          <w:szCs w:val="24"/>
        </w:rPr>
        <w:t>3</w:t>
      </w:r>
      <w:r>
        <w:rPr>
          <w:rFonts w:hint="eastAsia"/>
          <w:color w:val="auto"/>
          <w:sz w:val="24"/>
          <w:szCs w:val="24"/>
        </w:rPr>
        <w:t>受压锚固植筋应满足本规程第</w:t>
      </w:r>
      <w:r>
        <w:rPr>
          <w:color w:val="auto"/>
          <w:sz w:val="24"/>
          <w:szCs w:val="24"/>
        </w:rPr>
        <w:t>5</w:t>
      </w:r>
      <w:r>
        <w:rPr>
          <w:rFonts w:hint="eastAsia"/>
          <w:color w:val="auto"/>
          <w:sz w:val="24"/>
          <w:szCs w:val="24"/>
        </w:rPr>
        <w:t>章的最小锚固长度要求。</w:t>
      </w:r>
    </w:p>
    <w:p>
      <w:pPr>
        <w:widowControl/>
        <w:autoSpaceDE w:val="0"/>
        <w:autoSpaceDN w:val="0"/>
        <w:adjustRightInd w:val="0"/>
        <w:spacing w:after="0" w:line="360" w:lineRule="auto"/>
        <w:rPr>
          <w:i/>
          <w:iCs/>
          <w:color w:val="4472C4" w:themeColor="accent1"/>
          <w:sz w:val="24"/>
          <w:szCs w:val="24"/>
          <w14:textFill>
            <w14:solidFill>
              <w14:schemeClr w14:val="accent1"/>
            </w14:solidFill>
          </w14:textFill>
        </w:rPr>
      </w:pPr>
      <w:r>
        <w:rPr>
          <w:i/>
          <w:iCs/>
          <w:color w:val="0070C0"/>
          <w:sz w:val="24"/>
          <w:szCs w:val="24"/>
        </w:rPr>
        <w:t>【条文说明】</w:t>
      </w:r>
      <w:r>
        <w:rPr>
          <w:b/>
          <w:bCs/>
          <w:i/>
          <w:iCs/>
          <w:color w:val="0070C0"/>
          <w:sz w:val="24"/>
          <w:szCs w:val="24"/>
        </w:rPr>
        <w:t>4.1.1</w:t>
      </w:r>
      <w:r>
        <w:rPr>
          <w:i/>
          <w:iCs/>
          <w:color w:val="0070C0"/>
          <w:sz w:val="24"/>
          <w:szCs w:val="24"/>
        </w:rPr>
        <w:t xml:space="preserve"> </w:t>
      </w:r>
      <w:r>
        <w:rPr>
          <w:rFonts w:hint="eastAsia"/>
          <w:i/>
          <w:iCs/>
          <w:color w:val="4472C4" w:themeColor="accent1"/>
          <w:sz w:val="24"/>
          <w:szCs w:val="24"/>
          <w14:textFill>
            <w14:solidFill>
              <w14:schemeClr w14:val="accent1"/>
            </w14:solidFill>
          </w14:textFill>
        </w:rPr>
        <w:t>受拉锚固植筋及</w:t>
      </w:r>
      <w:r>
        <w:rPr>
          <w:i/>
          <w:iCs/>
          <w:color w:val="4472C4" w:themeColor="accent1"/>
          <w:sz w:val="24"/>
          <w:szCs w:val="24"/>
          <w14:textFill>
            <w14:solidFill>
              <w14:schemeClr w14:val="accent1"/>
            </w14:solidFill>
          </w14:textFill>
        </w:rPr>
        <w:t>搭接植筋是按照充分发挥钢材强度</w:t>
      </w:r>
      <w:r>
        <w:rPr>
          <w:rFonts w:hint="eastAsia"/>
          <w:i/>
          <w:iCs/>
          <w:color w:val="4472C4" w:themeColor="accent1"/>
          <w:sz w:val="24"/>
          <w:szCs w:val="24"/>
          <w14:textFill>
            <w14:solidFill>
              <w14:schemeClr w14:val="accent1"/>
            </w14:solidFill>
          </w14:textFill>
        </w:rPr>
        <w:t>的</w:t>
      </w:r>
      <w:r>
        <w:rPr>
          <w:i/>
          <w:iCs/>
          <w:color w:val="4472C4" w:themeColor="accent1"/>
          <w:sz w:val="24"/>
          <w:szCs w:val="24"/>
          <w14:textFill>
            <w14:solidFill>
              <w14:schemeClr w14:val="accent1"/>
            </w14:solidFill>
          </w14:textFill>
        </w:rPr>
        <w:t>钢筋受拉屈服原则设计，只有当原构件混凝土具有正常的配筋率和足够箍筋时，植筋连接才是有效而可靠的</w:t>
      </w:r>
      <w:r>
        <w:rPr>
          <w:rFonts w:hint="eastAsia"/>
          <w:i/>
          <w:iCs/>
          <w:color w:val="4472C4" w:themeColor="accent1"/>
          <w:sz w:val="24"/>
          <w:szCs w:val="24"/>
          <w14:textFill>
            <w14:solidFill>
              <w14:schemeClr w14:val="accent1"/>
            </w14:solidFill>
          </w14:textFill>
        </w:rPr>
        <w:t>，不满足时，应对原混凝土构件进行加固</w:t>
      </w:r>
      <w:r>
        <w:rPr>
          <w:i/>
          <w:iCs/>
          <w:color w:val="0070C0"/>
          <w:sz w:val="24"/>
          <w:szCs w:val="24"/>
        </w:rPr>
        <w:t>；</w:t>
      </w:r>
      <w:r>
        <w:rPr>
          <w:rFonts w:hint="eastAsia"/>
          <w:i/>
          <w:iCs/>
          <w:color w:val="4472C4" w:themeColor="accent1"/>
          <w:sz w:val="24"/>
          <w:szCs w:val="24"/>
          <w14:textFill>
            <w14:solidFill>
              <w14:schemeClr w14:val="accent1"/>
            </w14:solidFill>
          </w14:textFill>
        </w:rPr>
        <w:t>对于新、旧混凝土构件界面起拉结功能的植筋，应验算新、旧混凝土构件的抗剪承载力，植筋承载力按锚栓理论计算。</w:t>
      </w:r>
    </w:p>
    <w:p>
      <w:pPr>
        <w:widowControl/>
        <w:autoSpaceDE w:val="0"/>
        <w:autoSpaceDN w:val="0"/>
        <w:adjustRightInd w:val="0"/>
        <w:spacing w:after="0" w:line="360" w:lineRule="auto"/>
        <w:jc w:val="left"/>
        <w:rPr>
          <w:color w:val="auto"/>
          <w:sz w:val="24"/>
          <w:szCs w:val="24"/>
        </w:rPr>
      </w:pPr>
      <w:r>
        <w:rPr>
          <w:b/>
          <w:bCs/>
          <w:color w:val="auto"/>
          <w:sz w:val="24"/>
          <w:szCs w:val="24"/>
        </w:rPr>
        <w:t>4.1.</w:t>
      </w:r>
      <w:r>
        <w:rPr>
          <w:rFonts w:hint="eastAsia"/>
          <w:b/>
          <w:bCs/>
          <w:color w:val="auto"/>
          <w:sz w:val="24"/>
          <w:szCs w:val="24"/>
        </w:rPr>
        <w:t>2</w:t>
      </w:r>
      <w:r>
        <w:rPr>
          <w:color w:val="auto"/>
          <w:sz w:val="24"/>
          <w:szCs w:val="24"/>
        </w:rPr>
        <w:t xml:space="preserve"> 植筋锚固的设计工作年限应与被连接结构的设计工作年限一致</w:t>
      </w:r>
      <w:r>
        <w:rPr>
          <w:rFonts w:hint="eastAsia"/>
          <w:color w:val="auto"/>
          <w:sz w:val="24"/>
          <w:szCs w:val="24"/>
        </w:rPr>
        <w:t>且</w:t>
      </w:r>
      <w:r>
        <w:rPr>
          <w:color w:val="auto"/>
          <w:sz w:val="24"/>
          <w:szCs w:val="24"/>
        </w:rPr>
        <w:t>不宜小于30年。采用了植筋系统锚固的工程应定期对植筋系统关联的结构构件进行安全性鉴定，检验的时间间隔可由设计单位确定，但第一次检验时间</w:t>
      </w:r>
      <w:r>
        <w:rPr>
          <w:rFonts w:hint="eastAsia"/>
          <w:color w:val="auto"/>
          <w:sz w:val="24"/>
          <w:szCs w:val="24"/>
        </w:rPr>
        <w:t>应</w:t>
      </w:r>
      <w:r>
        <w:rPr>
          <w:color w:val="auto"/>
          <w:sz w:val="24"/>
          <w:szCs w:val="24"/>
        </w:rPr>
        <w:t>在植筋工程完工10年之内。</w:t>
      </w:r>
    </w:p>
    <w:p>
      <w:pPr>
        <w:keepNext w:val="0"/>
        <w:keepLines w:val="0"/>
        <w:pageBreakBefore w:val="0"/>
        <w:widowControl/>
        <w:kinsoku/>
        <w:wordWrap/>
        <w:overflowPunct/>
        <w:topLinePunct w:val="0"/>
        <w:autoSpaceDE w:val="0"/>
        <w:autoSpaceDN w:val="0"/>
        <w:bidi w:val="0"/>
        <w:adjustRightInd w:val="0"/>
        <w:snapToGrid/>
        <w:spacing w:after="0" w:line="360" w:lineRule="auto"/>
        <w:jc w:val="left"/>
        <w:textAlignment w:val="auto"/>
        <w:rPr>
          <w:i/>
          <w:iCs/>
          <w:color w:val="0070C0"/>
          <w:sz w:val="24"/>
          <w:szCs w:val="24"/>
        </w:rPr>
      </w:pPr>
      <w:r>
        <w:rPr>
          <w:i/>
          <w:iCs/>
          <w:color w:val="0070C0"/>
          <w:sz w:val="24"/>
          <w:szCs w:val="24"/>
        </w:rPr>
        <w:t>【条文说明】</w:t>
      </w:r>
      <w:r>
        <w:rPr>
          <w:b/>
          <w:bCs/>
          <w:i/>
          <w:iCs/>
          <w:color w:val="0070C0"/>
          <w:sz w:val="24"/>
          <w:szCs w:val="24"/>
        </w:rPr>
        <w:t>4.1.</w:t>
      </w:r>
      <w:r>
        <w:rPr>
          <w:rFonts w:hint="eastAsia"/>
          <w:b/>
          <w:bCs/>
          <w:i/>
          <w:iCs/>
          <w:color w:val="0070C0"/>
          <w:sz w:val="24"/>
          <w:szCs w:val="24"/>
        </w:rPr>
        <w:t>2</w:t>
      </w:r>
      <w:r>
        <w:rPr>
          <w:i/>
          <w:iCs/>
          <w:color w:val="0070C0"/>
          <w:sz w:val="24"/>
          <w:szCs w:val="24"/>
        </w:rPr>
        <w:t xml:space="preserve"> 为使植筋设计更经济合理，故规定植筋系统所采用的设计</w:t>
      </w:r>
      <w:r>
        <w:rPr>
          <w:rFonts w:hint="eastAsia"/>
          <w:i/>
          <w:iCs/>
          <w:color w:val="0070C0"/>
          <w:sz w:val="24"/>
          <w:szCs w:val="24"/>
        </w:rPr>
        <w:t>工作</w:t>
      </w:r>
      <w:r>
        <w:rPr>
          <w:i/>
          <w:iCs/>
          <w:color w:val="0070C0"/>
          <w:sz w:val="24"/>
          <w:szCs w:val="24"/>
        </w:rPr>
        <w:t>年限，应与新增的被连接结构的设计工作年限一致。</w:t>
      </w:r>
    </w:p>
    <w:p>
      <w:pPr>
        <w:keepNext w:val="0"/>
        <w:keepLines w:val="0"/>
        <w:pageBreakBefore w:val="0"/>
        <w:widowControl/>
        <w:kinsoku/>
        <w:wordWrap/>
        <w:overflowPunct/>
        <w:topLinePunct w:val="0"/>
        <w:autoSpaceDE w:val="0"/>
        <w:autoSpaceDN w:val="0"/>
        <w:bidi w:val="0"/>
        <w:adjustRightInd w:val="0"/>
        <w:snapToGrid/>
        <w:spacing w:after="0" w:line="360" w:lineRule="auto"/>
        <w:textAlignment w:val="auto"/>
        <w:rPr>
          <w:i/>
          <w:iCs/>
          <w:color w:val="0070C0"/>
          <w:sz w:val="24"/>
          <w:szCs w:val="24"/>
        </w:rPr>
      </w:pPr>
      <w:r>
        <w:rPr>
          <w:rFonts w:hint="eastAsia"/>
          <w:i/>
          <w:iCs/>
          <w:color w:val="0070C0"/>
          <w:sz w:val="24"/>
          <w:szCs w:val="24"/>
        </w:rPr>
        <w:t xml:space="preserve"> </w:t>
      </w:r>
      <w:r>
        <w:rPr>
          <w:i/>
          <w:iCs/>
          <w:color w:val="0070C0"/>
          <w:sz w:val="24"/>
          <w:szCs w:val="24"/>
        </w:rPr>
        <w:t xml:space="preserve">       根据《建筑物鉴定与加固标准》GB55021，既有建筑物的抗震鉴定，根据后续工作年限分为三类：后续工作年限为30年以内（含30年）的建筑为A类建筑；后续工作年限为30年以上40年以内（含40年）的建筑为B类建筑；后续工作年限为40年以上50年以内（含50年）的为C类建筑。因此，本规程规定后锚固连接的设计使用年限不宜小于30 年。</w:t>
      </w:r>
    </w:p>
    <w:p>
      <w:pPr>
        <w:keepNext w:val="0"/>
        <w:keepLines w:val="0"/>
        <w:pageBreakBefore w:val="0"/>
        <w:kinsoku/>
        <w:wordWrap/>
        <w:overflowPunct/>
        <w:topLinePunct w:val="0"/>
        <w:bidi w:val="0"/>
        <w:snapToGrid/>
        <w:spacing w:after="0" w:line="360" w:lineRule="auto"/>
        <w:textAlignment w:val="auto"/>
        <w:rPr>
          <w:i/>
          <w:iCs/>
          <w:color w:val="0070C0"/>
          <w:sz w:val="24"/>
          <w:szCs w:val="24"/>
        </w:rPr>
      </w:pPr>
      <w:r>
        <w:rPr>
          <w:rFonts w:hint="eastAsia"/>
          <w:i/>
          <w:iCs/>
          <w:color w:val="0070C0"/>
          <w:sz w:val="24"/>
          <w:szCs w:val="24"/>
        </w:rPr>
        <w:t xml:space="preserve"> </w:t>
      </w:r>
      <w:r>
        <w:rPr>
          <w:i/>
          <w:iCs/>
          <w:color w:val="0070C0"/>
          <w:sz w:val="24"/>
          <w:szCs w:val="24"/>
        </w:rPr>
        <w:t xml:space="preserve">       对</w:t>
      </w:r>
      <w:r>
        <w:rPr>
          <w:rFonts w:hint="eastAsia"/>
          <w:i/>
          <w:iCs/>
          <w:color w:val="0070C0"/>
          <w:sz w:val="24"/>
          <w:szCs w:val="24"/>
        </w:rPr>
        <w:t>于</w:t>
      </w:r>
      <w:r>
        <w:rPr>
          <w:i/>
          <w:iCs/>
          <w:color w:val="0070C0"/>
          <w:sz w:val="24"/>
          <w:szCs w:val="24"/>
        </w:rPr>
        <w:t>植筋，不可避免地存在着胶粘剂的老化问题，只是程度不同而已。为了防范这类隐患，宜加强检查或监测，但检查时间的间隔可由设计单位作出规定，第一次检查时间宜定为投入使用后的6 年～8 年，且至迟不应晚于10 年。</w:t>
      </w:r>
    </w:p>
    <w:p>
      <w:pPr>
        <w:spacing w:before="120" w:after="0" w:line="360" w:lineRule="auto"/>
        <w:rPr>
          <w:color w:val="auto"/>
          <w:sz w:val="24"/>
          <w:szCs w:val="24"/>
        </w:rPr>
      </w:pPr>
      <w:r>
        <w:rPr>
          <w:b/>
          <w:bCs/>
          <w:color w:val="auto"/>
          <w:sz w:val="24"/>
          <w:szCs w:val="24"/>
        </w:rPr>
        <w:t>4.1.3</w:t>
      </w:r>
      <w:r>
        <w:rPr>
          <w:color w:val="auto"/>
          <w:sz w:val="24"/>
          <w:szCs w:val="24"/>
        </w:rPr>
        <w:t xml:space="preserve"> 植筋系统可参考本规程</w:t>
      </w:r>
      <w:r>
        <w:rPr>
          <w:rFonts w:hint="eastAsia"/>
          <w:color w:val="auto"/>
          <w:sz w:val="24"/>
          <w:szCs w:val="24"/>
          <w:lang w:val="en-US" w:eastAsia="zh-CN"/>
        </w:rPr>
        <w:t>第</w:t>
      </w:r>
      <w:r>
        <w:rPr>
          <w:rFonts w:hint="eastAsia"/>
          <w:color w:val="auto"/>
          <w:sz w:val="24"/>
          <w:szCs w:val="24"/>
        </w:rPr>
        <w:t>4</w:t>
      </w:r>
      <w:r>
        <w:rPr>
          <w:color w:val="auto"/>
          <w:sz w:val="24"/>
          <w:szCs w:val="24"/>
        </w:rPr>
        <w:t>.5</w:t>
      </w:r>
      <w:r>
        <w:rPr>
          <w:rFonts w:hint="eastAsia"/>
          <w:color w:val="auto"/>
          <w:sz w:val="24"/>
          <w:szCs w:val="24"/>
        </w:rPr>
        <w:t>节的要求进行火灾条件下的承载力验算，</w:t>
      </w:r>
      <w:r>
        <w:rPr>
          <w:color w:val="auto"/>
          <w:sz w:val="24"/>
          <w:szCs w:val="24"/>
        </w:rPr>
        <w:t>所连接的基材构件和新构件防火设计应符合国家现行有关标准的规定。</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i/>
          <w:iCs/>
          <w:color w:val="0070C0"/>
          <w:sz w:val="24"/>
          <w:szCs w:val="24"/>
        </w:rPr>
      </w:pPr>
      <w:r>
        <w:rPr>
          <w:i/>
          <w:iCs/>
          <w:color w:val="0070C0"/>
          <w:sz w:val="24"/>
          <w:szCs w:val="24"/>
        </w:rPr>
        <w:t xml:space="preserve">【条文说明】 </w:t>
      </w:r>
      <w:r>
        <w:rPr>
          <w:b/>
          <w:bCs/>
          <w:i/>
          <w:iCs/>
          <w:color w:val="0070C0"/>
          <w:sz w:val="24"/>
          <w:szCs w:val="24"/>
        </w:rPr>
        <w:t>4.1.3</w:t>
      </w:r>
      <w:r>
        <w:rPr>
          <w:i/>
          <w:iCs/>
          <w:color w:val="0070C0"/>
          <w:sz w:val="24"/>
          <w:szCs w:val="24"/>
        </w:rPr>
        <w:t xml:space="preserve"> 用于混凝土与混凝土连接的植筋系统的防火能力可以</w:t>
      </w:r>
      <w:r>
        <w:rPr>
          <w:rFonts w:hint="eastAsia"/>
          <w:i/>
          <w:iCs/>
          <w:color w:val="0070C0"/>
          <w:sz w:val="24"/>
          <w:szCs w:val="24"/>
        </w:rPr>
        <w:t>根据植筋的</w:t>
      </w:r>
      <w:r>
        <w:rPr>
          <w:i/>
          <w:iCs/>
          <w:color w:val="0070C0"/>
          <w:sz w:val="24"/>
          <w:szCs w:val="24"/>
        </w:rPr>
        <w:t>保护层厚度</w:t>
      </w:r>
      <w:r>
        <w:rPr>
          <w:rFonts w:hint="eastAsia"/>
          <w:i/>
          <w:iCs/>
          <w:color w:val="0070C0"/>
          <w:sz w:val="24"/>
          <w:szCs w:val="24"/>
        </w:rPr>
        <w:t>和植筋胶粘剂在高温环境下的承载能力进行评估设计</w:t>
      </w:r>
      <w:r>
        <w:rPr>
          <w:i/>
          <w:iCs/>
          <w:color w:val="0070C0"/>
          <w:sz w:val="24"/>
          <w:szCs w:val="24"/>
        </w:rPr>
        <w:t>，新</w:t>
      </w:r>
      <w:r>
        <w:rPr>
          <w:rFonts w:hint="eastAsia"/>
          <w:i/>
          <w:iCs/>
          <w:color w:val="0070C0"/>
          <w:sz w:val="24"/>
          <w:szCs w:val="24"/>
        </w:rPr>
        <w:t>增</w:t>
      </w:r>
      <w:r>
        <w:rPr>
          <w:i/>
          <w:iCs/>
          <w:color w:val="0070C0"/>
          <w:sz w:val="24"/>
          <w:szCs w:val="24"/>
        </w:rPr>
        <w:t>构件的保护层厚度应满足相应防火等级的要求</w:t>
      </w:r>
      <w:r>
        <w:rPr>
          <w:rFonts w:hint="eastAsia"/>
          <w:i/>
          <w:iCs/>
          <w:color w:val="0070C0"/>
          <w:sz w:val="24"/>
          <w:szCs w:val="24"/>
        </w:rPr>
        <w:t>，但是仅依靠钢混设计规范规定的保护层厚度未必能保证植筋系统在火灾条件下的安全，故应进行火灾条件下的承载力验算。必要情况下可</w:t>
      </w:r>
      <w:r>
        <w:rPr>
          <w:i/>
          <w:iCs/>
          <w:color w:val="0070C0"/>
          <w:sz w:val="24"/>
          <w:szCs w:val="24"/>
        </w:rPr>
        <w:t>通过可靠</w:t>
      </w:r>
      <w:r>
        <w:rPr>
          <w:rFonts w:hint="eastAsia"/>
          <w:i/>
          <w:iCs/>
          <w:color w:val="0070C0"/>
          <w:sz w:val="24"/>
          <w:szCs w:val="24"/>
        </w:rPr>
        <w:t>的隔热</w:t>
      </w:r>
      <w:r>
        <w:rPr>
          <w:i/>
          <w:iCs/>
          <w:color w:val="0070C0"/>
          <w:sz w:val="24"/>
          <w:szCs w:val="24"/>
        </w:rPr>
        <w:t>措施达到国家现行有关标准的规定。</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宋体"/>
          <w:i/>
          <w:iCs/>
          <w:color w:val="0070C0"/>
          <w:sz w:val="24"/>
          <w:szCs w:val="24"/>
          <w:lang w:val="en-US" w:eastAsia="zh-CN"/>
        </w:rPr>
      </w:pPr>
      <w:r>
        <w:rPr>
          <w:rFonts w:hint="eastAsia"/>
          <w:i/>
          <w:iCs/>
          <w:color w:val="0070C0"/>
          <w:sz w:val="24"/>
          <w:szCs w:val="24"/>
        </w:rPr>
        <w:t xml:space="preserve"> </w:t>
      </w:r>
      <w:r>
        <w:rPr>
          <w:i/>
          <w:iCs/>
          <w:color w:val="0070C0"/>
          <w:sz w:val="24"/>
          <w:szCs w:val="24"/>
        </w:rPr>
        <w:t xml:space="preserve"> </w:t>
      </w:r>
      <w:r>
        <w:rPr>
          <w:rFonts w:hint="eastAsia"/>
          <w:i/>
          <w:iCs/>
          <w:color w:val="0070C0"/>
          <w:sz w:val="24"/>
          <w:szCs w:val="24"/>
        </w:rPr>
        <w:t>对于</w:t>
      </w:r>
      <w:r>
        <w:rPr>
          <w:i/>
          <w:iCs/>
          <w:color w:val="0070C0"/>
          <w:sz w:val="24"/>
          <w:szCs w:val="24"/>
        </w:rPr>
        <w:t>植筋连接构件</w:t>
      </w:r>
      <w:r>
        <w:rPr>
          <w:rFonts w:hint="eastAsia"/>
          <w:i/>
          <w:iCs/>
          <w:color w:val="0070C0"/>
          <w:sz w:val="24"/>
          <w:szCs w:val="24"/>
        </w:rPr>
        <w:t>的耐火极限</w:t>
      </w:r>
      <w:r>
        <w:rPr>
          <w:i/>
          <w:iCs/>
          <w:color w:val="0070C0"/>
          <w:sz w:val="24"/>
          <w:szCs w:val="24"/>
        </w:rPr>
        <w:t>，可</w:t>
      </w:r>
      <w:r>
        <w:rPr>
          <w:rFonts w:hint="eastAsia"/>
          <w:i/>
          <w:iCs/>
          <w:color w:val="0070C0"/>
          <w:sz w:val="24"/>
          <w:szCs w:val="24"/>
        </w:rPr>
        <w:t>先</w:t>
      </w:r>
      <w:r>
        <w:rPr>
          <w:i/>
          <w:iCs/>
          <w:color w:val="0070C0"/>
          <w:sz w:val="24"/>
          <w:szCs w:val="24"/>
        </w:rPr>
        <w:t>进行</w:t>
      </w:r>
      <w:r>
        <w:rPr>
          <w:rFonts w:hint="eastAsia"/>
          <w:i/>
          <w:iCs/>
          <w:color w:val="0070C0"/>
          <w:sz w:val="24"/>
          <w:szCs w:val="24"/>
        </w:rPr>
        <w:t>植筋锚固长度范围内混凝土的</w:t>
      </w:r>
      <w:r>
        <w:rPr>
          <w:i/>
          <w:iCs/>
          <w:color w:val="0070C0"/>
          <w:sz w:val="24"/>
          <w:szCs w:val="24"/>
        </w:rPr>
        <w:t>温度场分析，</w:t>
      </w:r>
      <w:r>
        <w:rPr>
          <w:rFonts w:hint="eastAsia"/>
          <w:i/>
          <w:iCs/>
          <w:color w:val="0070C0"/>
          <w:sz w:val="24"/>
          <w:szCs w:val="24"/>
        </w:rPr>
        <w:t>再根据不同温度条件下锚固胶粘剂的粘结强度计算出植筋的承载力。</w:t>
      </w:r>
      <w:r>
        <w:rPr>
          <w:i/>
          <w:iCs/>
          <w:color w:val="0070C0"/>
          <w:sz w:val="24"/>
          <w:szCs w:val="24"/>
        </w:rPr>
        <w:t>在</w:t>
      </w:r>
      <w:r>
        <w:rPr>
          <w:rFonts w:hint="eastAsia"/>
          <w:i/>
          <w:iCs/>
          <w:color w:val="0070C0"/>
          <w:sz w:val="24"/>
          <w:szCs w:val="24"/>
        </w:rPr>
        <w:t>进行</w:t>
      </w:r>
      <w:r>
        <w:rPr>
          <w:i/>
          <w:iCs/>
          <w:color w:val="0070C0"/>
          <w:sz w:val="24"/>
          <w:szCs w:val="24"/>
        </w:rPr>
        <w:t>植筋锚固承载力计算时不</w:t>
      </w:r>
      <w:r>
        <w:rPr>
          <w:rFonts w:hint="eastAsia"/>
          <w:i/>
          <w:iCs/>
          <w:color w:val="0070C0"/>
          <w:sz w:val="24"/>
          <w:szCs w:val="24"/>
        </w:rPr>
        <w:t>宜</w:t>
      </w:r>
      <w:r>
        <w:rPr>
          <w:i/>
          <w:iCs/>
          <w:color w:val="0070C0"/>
          <w:sz w:val="24"/>
          <w:szCs w:val="24"/>
        </w:rPr>
        <w:t>考虑温度超过</w:t>
      </w:r>
      <w:r>
        <w:rPr>
          <w:rFonts w:hint="eastAsia"/>
          <w:i/>
          <w:iCs/>
          <w:color w:val="0070C0"/>
          <w:sz w:val="24"/>
          <w:szCs w:val="24"/>
        </w:rPr>
        <w:t>150</w:t>
      </w:r>
      <w:r>
        <w:rPr>
          <w:i/>
          <w:iCs/>
          <w:color w:val="0070C0"/>
          <w:sz w:val="24"/>
          <w:szCs w:val="24"/>
        </w:rPr>
        <w:t>°C的区段</w:t>
      </w:r>
      <w:r>
        <w:rPr>
          <w:rFonts w:hint="eastAsia"/>
          <w:i/>
          <w:iCs/>
          <w:color w:val="0070C0"/>
          <w:sz w:val="24"/>
          <w:szCs w:val="24"/>
        </w:rPr>
        <w:t>内植筋的承载力贡献</w:t>
      </w:r>
      <w:r>
        <w:rPr>
          <w:i/>
          <w:iCs/>
          <w:color w:val="0070C0"/>
          <w:sz w:val="24"/>
          <w:szCs w:val="24"/>
        </w:rPr>
        <w:t>。</w:t>
      </w:r>
      <w:r>
        <w:rPr>
          <w:rFonts w:hint="eastAsia"/>
          <w:i/>
          <w:iCs/>
          <w:color w:val="0070C0"/>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sz w:val="24"/>
          <w:szCs w:val="24"/>
        </w:rPr>
      </w:pPr>
      <w:r>
        <w:rPr>
          <w:b/>
          <w:bCs/>
          <w:color w:val="auto"/>
          <w:sz w:val="24"/>
          <w:szCs w:val="24"/>
        </w:rPr>
        <w:t xml:space="preserve">4.1.4 </w:t>
      </w:r>
      <w:r>
        <w:rPr>
          <w:color w:val="auto"/>
          <w:sz w:val="24"/>
          <w:szCs w:val="24"/>
        </w:rPr>
        <w:t>用于连接钢结构的植筋，外露部分的</w:t>
      </w:r>
      <w:r>
        <w:rPr>
          <w:rFonts w:hint="eastAsia"/>
          <w:color w:val="auto"/>
          <w:sz w:val="24"/>
          <w:szCs w:val="24"/>
        </w:rPr>
        <w:t>钢筋</w:t>
      </w:r>
      <w:r>
        <w:rPr>
          <w:color w:val="auto"/>
          <w:sz w:val="24"/>
          <w:szCs w:val="24"/>
        </w:rPr>
        <w:t>或螺杆端头应有可靠的防腐措施。防腐蚀标准不应低于被连接构件的防腐蚀要求。</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i/>
          <w:iCs/>
          <w:color w:val="0070C0"/>
          <w:sz w:val="24"/>
          <w:szCs w:val="24"/>
        </w:rPr>
      </w:pPr>
      <w:r>
        <w:rPr>
          <w:i/>
          <w:iCs/>
          <w:color w:val="0070C0"/>
          <w:sz w:val="24"/>
          <w:szCs w:val="24"/>
        </w:rPr>
        <w:t>【条文说明】</w:t>
      </w:r>
      <w:r>
        <w:rPr>
          <w:b/>
          <w:bCs/>
          <w:i/>
          <w:iCs/>
          <w:color w:val="0070C0"/>
          <w:sz w:val="24"/>
          <w:szCs w:val="24"/>
        </w:rPr>
        <w:t>4.1.4</w:t>
      </w:r>
      <w:r>
        <w:rPr>
          <w:i/>
          <w:iCs/>
          <w:color w:val="0070C0"/>
          <w:sz w:val="24"/>
          <w:szCs w:val="24"/>
        </w:rPr>
        <w:t xml:space="preserve"> 外露部分的植筋或螺杆端头的防腐措施应与其耐久性要求相适应。</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r>
        <w:rPr>
          <w:b/>
          <w:bCs/>
          <w:color w:val="auto"/>
          <w:sz w:val="24"/>
          <w:szCs w:val="24"/>
        </w:rPr>
        <w:t xml:space="preserve">4.1.5 </w:t>
      </w:r>
      <w:r>
        <w:rPr>
          <w:rFonts w:hint="eastAsia"/>
          <w:color w:val="auto"/>
          <w:sz w:val="24"/>
          <w:szCs w:val="24"/>
        </w:rPr>
        <w:t>受拉锚固</w:t>
      </w:r>
      <w:r>
        <w:rPr>
          <w:rFonts w:hint="eastAsia" w:ascii="宋体" w:hAnsi="宋体"/>
          <w:color w:val="auto"/>
          <w:sz w:val="24"/>
          <w:szCs w:val="24"/>
        </w:rPr>
        <w:t>植筋不宜考虑直接承担抗剪，用于混凝土与混凝土连接时，应进行混凝土抗剪承载力验算；用于既有混凝土结构与钢结构连接时，宜由锚栓或剪力键承担被固定构件传递到混凝土上的剪力。</w:t>
      </w:r>
      <w:r>
        <w:rPr>
          <w:rFonts w:hint="eastAsia"/>
          <w:color w:val="auto"/>
          <w:sz w:val="24"/>
          <w:szCs w:val="24"/>
        </w:rPr>
        <w:t>当采用植筋</w:t>
      </w:r>
      <w:r>
        <w:rPr>
          <w:rFonts w:hint="eastAsia" w:ascii="宋体" w:hAnsi="宋体"/>
          <w:color w:val="auto"/>
          <w:sz w:val="24"/>
          <w:szCs w:val="24"/>
        </w:rPr>
        <w:t>进行抗剪设计时</w:t>
      </w:r>
      <w:r>
        <w:rPr>
          <w:rFonts w:hint="eastAsia"/>
          <w:color w:val="auto"/>
          <w:sz w:val="24"/>
          <w:szCs w:val="24"/>
        </w:rPr>
        <w:t>，可按现行行业标准《混凝土结构后锚固技术规程》</w:t>
      </w:r>
      <w:r>
        <w:rPr>
          <w:color w:val="auto"/>
          <w:sz w:val="24"/>
          <w:szCs w:val="24"/>
        </w:rPr>
        <w:t>JGJ</w:t>
      </w:r>
      <w:r>
        <w:rPr>
          <w:rFonts w:hint="eastAsia"/>
          <w:color w:val="auto"/>
          <w:sz w:val="24"/>
          <w:szCs w:val="24"/>
          <w:lang w:val="en-US" w:eastAsia="zh-CN"/>
        </w:rPr>
        <w:t xml:space="preserve"> </w:t>
      </w:r>
      <w:r>
        <w:rPr>
          <w:color w:val="auto"/>
          <w:sz w:val="24"/>
          <w:szCs w:val="24"/>
        </w:rPr>
        <w:t>145</w:t>
      </w:r>
      <w:r>
        <w:rPr>
          <w:rFonts w:hint="eastAsia" w:ascii="宋体" w:hAnsi="宋体"/>
          <w:color w:val="auto"/>
          <w:sz w:val="24"/>
          <w:szCs w:val="24"/>
        </w:rPr>
        <w:t>中关于化学锚栓的设计方法进行计算</w:t>
      </w:r>
      <w:r>
        <w:rPr>
          <w:color w:val="auto"/>
          <w:sz w:val="24"/>
          <w:szCs w:val="24"/>
        </w:rPr>
        <w:t>。</w:t>
      </w:r>
      <w:r>
        <w:rPr>
          <w:rFonts w:ascii="宋体" w:hAnsi="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i/>
          <w:iCs/>
          <w:color w:val="0070C0"/>
          <w:sz w:val="24"/>
          <w:szCs w:val="24"/>
        </w:rPr>
      </w:pPr>
      <w:r>
        <w:rPr>
          <w:i/>
          <w:iCs/>
          <w:color w:val="0070C0"/>
          <w:sz w:val="24"/>
          <w:szCs w:val="24"/>
        </w:rPr>
        <w:t>【条文说明】</w:t>
      </w:r>
      <w:r>
        <w:rPr>
          <w:b/>
          <w:bCs/>
          <w:i/>
          <w:iCs/>
          <w:color w:val="0070C0"/>
          <w:sz w:val="24"/>
          <w:szCs w:val="24"/>
        </w:rPr>
        <w:t>4.1.5</w:t>
      </w:r>
      <w:r>
        <w:rPr>
          <w:i/>
          <w:iCs/>
          <w:color w:val="0070C0"/>
          <w:sz w:val="24"/>
          <w:szCs w:val="24"/>
        </w:rPr>
        <w:t xml:space="preserve"> </w:t>
      </w:r>
      <w:r>
        <w:rPr>
          <w:rFonts w:hint="eastAsia"/>
          <w:i/>
          <w:iCs/>
          <w:color w:val="0070C0"/>
          <w:sz w:val="24"/>
          <w:szCs w:val="24"/>
        </w:rPr>
        <w:t>植筋用于新、旧混凝土连接时，界面应进行凿毛且在新增构件内配置拉结抗剪钢筋，不宜直接采用植筋抗剪。对于新增钢构件，宜采用剪力键或通过锚板长槽孔配合锚栓的方式避免植筋直接承受剪力。</w:t>
      </w:r>
    </w:p>
    <w:p>
      <w:pPr>
        <w:pStyle w:val="2"/>
        <w:ind w:left="420" w:leftChars="0" w:hanging="420" w:hangingChars="200"/>
      </w:pPr>
      <w:r>
        <w:rPr>
          <w:color w:val="auto"/>
        </w:rPr>
        <w:object>
          <v:shape id="_x0000_i1036" o:spt="75" type="#_x0000_t75" style="height:93.55pt;width:194.3pt;" o:ole="t" filled="f" o:preferrelative="t" stroked="f" coordsize="21600,21600">
            <v:path/>
            <v:fill on="f" focussize="0,0"/>
            <v:stroke on="f"/>
            <v:imagedata r:id="rId32" o:title=""/>
            <o:lock v:ext="edit" aspectratio="t"/>
            <w10:wrap type="none"/>
            <w10:anchorlock/>
          </v:shape>
          <o:OLEObject Type="Embed" ProgID="PBrush" ShapeID="_x0000_i1036" DrawAspect="Content" ObjectID="_1468075736" r:id="rId31">
            <o:LockedField>false</o:LockedField>
          </o:OLEObject>
        </w:object>
      </w:r>
      <w:r>
        <w:rPr>
          <w:color w:val="auto"/>
        </w:rPr>
        <w:drawing>
          <wp:inline distT="0" distB="0" distL="0" distR="0">
            <wp:extent cx="2788920" cy="1259840"/>
            <wp:effectExtent l="0" t="0" r="1143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88920" cy="1259840"/>
                    </a:xfrm>
                    <a:prstGeom prst="rect">
                      <a:avLst/>
                    </a:prstGeom>
                    <a:noFill/>
                    <a:ln>
                      <a:noFill/>
                    </a:ln>
                  </pic:spPr>
                </pic:pic>
              </a:graphicData>
            </a:graphic>
          </wp:inline>
        </w:drawing>
      </w:r>
    </w:p>
    <w:p>
      <w:pPr>
        <w:spacing w:after="0" w:line="360" w:lineRule="auto"/>
        <w:jc w:val="center"/>
        <w:rPr>
          <w:i/>
          <w:iCs/>
          <w:color w:val="0070C0"/>
          <w:sz w:val="24"/>
          <w:szCs w:val="24"/>
        </w:rPr>
      </w:pPr>
      <w:r>
        <w:rPr>
          <w:rFonts w:hint="eastAsia"/>
          <w:i/>
          <w:iCs/>
          <w:color w:val="0070C0"/>
          <w:sz w:val="24"/>
          <w:szCs w:val="24"/>
        </w:rPr>
        <w:t>【条文说明】图</w:t>
      </w:r>
      <w:r>
        <w:rPr>
          <w:rFonts w:hint="eastAsia"/>
          <w:i/>
          <w:iCs/>
          <w:color w:val="0070C0"/>
          <w:sz w:val="24"/>
          <w:szCs w:val="24"/>
          <w:lang w:val="en-US" w:eastAsia="zh-CN"/>
        </w:rPr>
        <w:t xml:space="preserve">   </w:t>
      </w:r>
      <w:r>
        <w:rPr>
          <w:i/>
          <w:iCs/>
          <w:color w:val="0070C0"/>
          <w:sz w:val="24"/>
          <w:szCs w:val="24"/>
        </w:rPr>
        <w:t xml:space="preserve"> </w:t>
      </w:r>
      <w:r>
        <w:rPr>
          <w:rFonts w:hint="eastAsia"/>
          <w:i/>
          <w:iCs/>
          <w:color w:val="0070C0"/>
          <w:sz w:val="24"/>
          <w:szCs w:val="24"/>
        </w:rPr>
        <w:t>植筋用于钢构件连接时界面抗剪措施示意</w:t>
      </w:r>
    </w:p>
    <w:p>
      <w:pPr>
        <w:spacing w:after="0" w:line="360" w:lineRule="auto"/>
        <w:rPr>
          <w:color w:val="auto"/>
          <w:sz w:val="24"/>
          <w:szCs w:val="24"/>
        </w:rPr>
      </w:pPr>
      <w:r>
        <w:rPr>
          <w:b/>
          <w:bCs/>
          <w:color w:val="auto"/>
          <w:sz w:val="24"/>
          <w:szCs w:val="24"/>
        </w:rPr>
        <w:t>4.1</w:t>
      </w:r>
      <w:r>
        <w:rPr>
          <w:rFonts w:hint="eastAsia"/>
          <w:b/>
          <w:bCs/>
          <w:color w:val="auto"/>
          <w:sz w:val="24"/>
          <w:szCs w:val="24"/>
        </w:rPr>
        <w:t>.</w:t>
      </w:r>
      <w:r>
        <w:rPr>
          <w:b/>
          <w:bCs/>
          <w:color w:val="auto"/>
          <w:sz w:val="24"/>
          <w:szCs w:val="24"/>
        </w:rPr>
        <w:t>6</w:t>
      </w:r>
      <w:r>
        <w:rPr>
          <w:color w:val="auto"/>
          <w:sz w:val="24"/>
          <w:szCs w:val="24"/>
        </w:rPr>
        <w:t xml:space="preserve"> 植筋系统的应用方式</w:t>
      </w:r>
      <w:r>
        <w:rPr>
          <w:rFonts w:hint="eastAsia"/>
          <w:color w:val="auto"/>
          <w:sz w:val="24"/>
          <w:szCs w:val="24"/>
        </w:rPr>
        <w:t>宜符合</w:t>
      </w:r>
      <w:r>
        <w:rPr>
          <w:color w:val="auto"/>
          <w:sz w:val="24"/>
          <w:szCs w:val="24"/>
        </w:rPr>
        <w:t>表4.1</w:t>
      </w:r>
      <w:r>
        <w:rPr>
          <w:rFonts w:hint="eastAsia"/>
          <w:color w:val="auto"/>
          <w:sz w:val="24"/>
          <w:szCs w:val="24"/>
        </w:rPr>
        <w:t>.</w:t>
      </w:r>
      <w:r>
        <w:rPr>
          <w:color w:val="auto"/>
          <w:sz w:val="24"/>
          <w:szCs w:val="24"/>
        </w:rPr>
        <w:t>6</w:t>
      </w:r>
      <w:r>
        <w:rPr>
          <w:rFonts w:hint="eastAsia"/>
          <w:color w:val="auto"/>
          <w:sz w:val="24"/>
          <w:szCs w:val="24"/>
        </w:rPr>
        <w:t>的规定</w:t>
      </w:r>
      <w:r>
        <w:rPr>
          <w:color w:val="auto"/>
          <w:sz w:val="24"/>
          <w:szCs w:val="24"/>
        </w:rPr>
        <w:t>。</w:t>
      </w:r>
    </w:p>
    <w:p>
      <w:pPr>
        <w:spacing w:after="0" w:line="360" w:lineRule="auto"/>
        <w:jc w:val="center"/>
        <w:rPr>
          <w:rFonts w:ascii="宋体" w:hAnsi="宋体"/>
          <w:color w:val="auto"/>
          <w:sz w:val="24"/>
          <w:szCs w:val="24"/>
        </w:rPr>
      </w:pPr>
      <w:r>
        <w:rPr>
          <w:rFonts w:hint="eastAsia" w:ascii="宋体" w:hAnsi="宋体"/>
          <w:color w:val="auto"/>
          <w:sz w:val="24"/>
          <w:szCs w:val="24"/>
        </w:rPr>
        <w:t>表4</w:t>
      </w:r>
      <w:r>
        <w:rPr>
          <w:rFonts w:ascii="宋体" w:hAnsi="宋体"/>
          <w:color w:val="auto"/>
          <w:sz w:val="24"/>
          <w:szCs w:val="24"/>
        </w:rPr>
        <w:t>.1.6</w:t>
      </w:r>
      <w:r>
        <w:rPr>
          <w:rFonts w:hint="eastAsia" w:ascii="宋体" w:hAnsi="宋体"/>
          <w:color w:val="auto"/>
          <w:sz w:val="24"/>
          <w:szCs w:val="24"/>
        </w:rPr>
        <w:t>植筋系统的应用方式</w:t>
      </w:r>
    </w:p>
    <w:tbl>
      <w:tblPr>
        <w:tblStyle w:val="28"/>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415"/>
        <w:gridCol w:w="2183"/>
        <w:gridCol w:w="180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tcPr>
          <w:p>
            <w:pPr>
              <w:spacing w:after="0" w:line="240" w:lineRule="auto"/>
              <w:rPr>
                <w:color w:val="auto"/>
              </w:rPr>
            </w:pPr>
            <w:bookmarkStart w:id="25" w:name="_Hlk138626229"/>
            <w:r>
              <w:rPr>
                <w:rFonts w:hint="eastAsia"/>
                <w:color w:val="auto"/>
              </w:rPr>
              <w:t>应用</w:t>
            </w:r>
            <w:r>
              <w:rPr>
                <w:color w:val="auto"/>
              </w:rPr>
              <w:t xml:space="preserve">方式 </w:t>
            </w:r>
          </w:p>
        </w:tc>
        <w:tc>
          <w:tcPr>
            <w:tcW w:w="2183" w:type="dxa"/>
          </w:tcPr>
          <w:p>
            <w:pPr>
              <w:spacing w:after="0" w:line="240" w:lineRule="auto"/>
              <w:rPr>
                <w:color w:val="auto"/>
              </w:rPr>
            </w:pPr>
            <w:r>
              <w:rPr>
                <w:color w:val="auto"/>
              </w:rPr>
              <w:t>图示</w:t>
            </w:r>
          </w:p>
        </w:tc>
        <w:tc>
          <w:tcPr>
            <w:tcW w:w="1800" w:type="dxa"/>
          </w:tcPr>
          <w:p>
            <w:pPr>
              <w:spacing w:after="0" w:line="240" w:lineRule="auto"/>
              <w:rPr>
                <w:color w:val="auto"/>
              </w:rPr>
            </w:pPr>
            <w:r>
              <w:rPr>
                <w:rFonts w:hint="eastAsia"/>
                <w:color w:val="auto"/>
              </w:rPr>
              <w:t>受力和基材条件</w:t>
            </w:r>
            <w:r>
              <w:rPr>
                <w:color w:val="auto"/>
                <w:vertAlign w:val="superscript"/>
              </w:rPr>
              <w:t>*</w:t>
            </w:r>
          </w:p>
        </w:tc>
        <w:tc>
          <w:tcPr>
            <w:tcW w:w="2250" w:type="dxa"/>
          </w:tcPr>
          <w:p>
            <w:pPr>
              <w:spacing w:after="0" w:line="240" w:lineRule="auto"/>
              <w:rPr>
                <w:color w:val="auto"/>
              </w:rPr>
            </w:pPr>
            <w:r>
              <w:rPr>
                <w:color w:val="auto"/>
              </w:rPr>
              <w:t>植筋系统的锚固</w:t>
            </w:r>
            <w:r>
              <w:rPr>
                <w:rFonts w:hint="eastAsia"/>
                <w:color w:val="auto"/>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restart"/>
          </w:tcPr>
          <w:p>
            <w:pPr>
              <w:spacing w:after="0" w:line="240" w:lineRule="auto"/>
              <w:rPr>
                <w:color w:val="auto"/>
              </w:rPr>
            </w:pPr>
            <w:r>
              <w:rPr>
                <w:color w:val="auto"/>
              </w:rPr>
              <w:t>新增混凝土水平构件</w:t>
            </w:r>
          </w:p>
        </w:tc>
        <w:tc>
          <w:tcPr>
            <w:tcW w:w="1415" w:type="dxa"/>
          </w:tcPr>
          <w:p>
            <w:pPr>
              <w:spacing w:after="0" w:line="240" w:lineRule="auto"/>
              <w:rPr>
                <w:color w:val="auto"/>
              </w:rPr>
            </w:pPr>
            <w:r>
              <w:rPr>
                <w:rFonts w:hint="eastAsia"/>
                <w:color w:val="auto"/>
              </w:rPr>
              <w:t>(</w:t>
            </w:r>
            <w:r>
              <w:rPr>
                <w:color w:val="auto"/>
              </w:rPr>
              <w:t>a)</w:t>
            </w:r>
            <w:r>
              <w:rPr>
                <w:rFonts w:hint="eastAsia"/>
                <w:color w:val="auto"/>
              </w:rPr>
              <w:t>既有</w:t>
            </w:r>
            <w:r>
              <w:rPr>
                <w:color w:val="auto"/>
              </w:rPr>
              <w:t>构件的延长–梁、板构件端部的接长</w:t>
            </w:r>
          </w:p>
          <w:p>
            <w:pPr>
              <w:spacing w:after="0" w:line="240" w:lineRule="auto"/>
              <w:rPr>
                <w:color w:val="auto"/>
              </w:rPr>
            </w:pPr>
          </w:p>
        </w:tc>
        <w:tc>
          <w:tcPr>
            <w:tcW w:w="2183" w:type="dxa"/>
          </w:tcPr>
          <w:p>
            <w:pPr>
              <w:spacing w:after="0" w:line="240" w:lineRule="auto"/>
              <w:rPr>
                <w:color w:val="auto"/>
              </w:rPr>
            </w:pPr>
            <w:r>
              <mc:AlternateContent>
                <mc:Choice Requires="wps">
                  <w:drawing>
                    <wp:anchor distT="0" distB="0" distL="114300" distR="114300" simplePos="0" relativeHeight="251662336" behindDoc="0" locked="0" layoutInCell="1" allowOverlap="1">
                      <wp:simplePos x="0" y="0"/>
                      <wp:positionH relativeFrom="column">
                        <wp:posOffset>1184275</wp:posOffset>
                      </wp:positionH>
                      <wp:positionV relativeFrom="paragraph">
                        <wp:posOffset>381635</wp:posOffset>
                      </wp:positionV>
                      <wp:extent cx="122555" cy="83185"/>
                      <wp:effectExtent l="17145" t="6350" r="12700" b="24765"/>
                      <wp:wrapNone/>
                      <wp:docPr id="6" name="Freeform: Shape 34"/>
                      <wp:cNvGraphicFramePr/>
                      <a:graphic xmlns:a="http://schemas.openxmlformats.org/drawingml/2006/main">
                        <a:graphicData uri="http://schemas.microsoft.com/office/word/2010/wordprocessingShape">
                          <wps:wsp>
                            <wps:cNvSpPr/>
                            <wps:spPr>
                              <a:xfrm>
                                <a:off x="0" y="0"/>
                                <a:ext cx="122555" cy="83185"/>
                              </a:xfrm>
                              <a:custGeom>
                                <a:avLst/>
                                <a:gdLst>
                                  <a:gd name="A1" fmla="val -11796480"/>
                                  <a:gd name="A2" fmla="val 0"/>
                                  <a:gd name="A3" fmla="val 5400"/>
                                  <a:gd name="txL" fmla="*/ 0 w 122246"/>
                                  <a:gd name="txT" fmla="*/ 0 h 83137"/>
                                  <a:gd name="txR" fmla="*/ 122246 w 122246"/>
                                  <a:gd name="txB" fmla="*/ 83137 h 83137"/>
                                </a:gdLst>
                                <a:ahLst/>
                                <a:cxnLst>
                                  <a:cxn ang="0">
                                    <a:pos x="68631" y="0"/>
                                  </a:cxn>
                                  <a:cxn ang="0">
                                    <a:pos x="68631" y="0"/>
                                  </a:cxn>
                                  <a:cxn ang="0">
                                    <a:pos x="117654" y="14678"/>
                                  </a:cxn>
                                  <a:cxn ang="0">
                                    <a:pos x="122555" y="19570"/>
                                  </a:cxn>
                                  <a:cxn ang="0">
                                    <a:pos x="78436" y="34249"/>
                                  </a:cxn>
                                  <a:cxn ang="0">
                                    <a:pos x="49023" y="39142"/>
                                  </a:cxn>
                                  <a:cxn ang="0">
                                    <a:pos x="0" y="53819"/>
                                  </a:cxn>
                                  <a:cxn ang="0">
                                    <a:pos x="49023" y="73390"/>
                                  </a:cxn>
                                  <a:cxn ang="0">
                                    <a:pos x="73533" y="83175"/>
                                  </a:cxn>
                                </a:cxnLst>
                                <a:rect l="txL" t="txT" r="txR" b="txB"/>
                                <a:pathLst>
                                  <a:path w="122246" h="83137">
                                    <a:moveTo>
                                      <a:pt x="68458" y="0"/>
                                    </a:moveTo>
                                    <a:lnTo>
                                      <a:pt x="68458" y="0"/>
                                    </a:lnTo>
                                    <a:cubicBezTo>
                                      <a:pt x="114717" y="10280"/>
                                      <a:pt x="101841" y="-846"/>
                                      <a:pt x="117357" y="14670"/>
                                    </a:cubicBezTo>
                                    <a:lnTo>
                                      <a:pt x="122246" y="19559"/>
                                    </a:lnTo>
                                    <a:cubicBezTo>
                                      <a:pt x="107577" y="24449"/>
                                      <a:pt x="93179" y="30245"/>
                                      <a:pt x="78238" y="34229"/>
                                    </a:cubicBezTo>
                                    <a:cubicBezTo>
                                      <a:pt x="68658" y="36784"/>
                                      <a:pt x="58395" y="36270"/>
                                      <a:pt x="48899" y="39119"/>
                                    </a:cubicBezTo>
                                    <a:cubicBezTo>
                                      <a:pt x="-22170" y="60439"/>
                                      <a:pt x="94526" y="38033"/>
                                      <a:pt x="0" y="53788"/>
                                    </a:cubicBezTo>
                                    <a:cubicBezTo>
                                      <a:pt x="29621" y="73536"/>
                                      <a:pt x="-1234" y="55118"/>
                                      <a:pt x="48899" y="73348"/>
                                    </a:cubicBezTo>
                                    <a:cubicBezTo>
                                      <a:pt x="77796" y="83856"/>
                                      <a:pt x="59407" y="83127"/>
                                      <a:pt x="73348" y="83127"/>
                                    </a:cubicBezTo>
                                  </a:path>
                                </a:pathLst>
                              </a:custGeom>
                              <a:noFill/>
                              <a:ln w="12700" cap="flat" cmpd="sng">
                                <a:solidFill>
                                  <a:srgbClr val="1F3763"/>
                                </a:solidFill>
                                <a:prstDash val="solid"/>
                                <a:miter/>
                                <a:headEnd type="none" w="med" len="med"/>
                                <a:tailEnd type="none" w="med" len="med"/>
                              </a:ln>
                            </wps:spPr>
                            <wps:txbx>
                              <w:txbxContent>
                                <w:p>
                                  <w:pPr>
                                    <w:jc w:val="center"/>
                                  </w:pPr>
                                  <w:r>
                                    <w:rPr>
                                      <w:rFonts w:hint="eastAsia"/>
                                    </w:rPr>
                                    <w:t>、</w:t>
                                  </w:r>
                                </w:p>
                              </w:txbxContent>
                            </wps:txbx>
                            <wps:bodyPr wrap="square" anchor="ctr" anchorCtr="0" upright="1"/>
                          </wps:wsp>
                        </a:graphicData>
                      </a:graphic>
                    </wp:anchor>
                  </w:drawing>
                </mc:Choice>
                <mc:Fallback>
                  <w:pict>
                    <v:shape id="Freeform: Shape 34" o:spid="_x0000_s1026" o:spt="100" style="position:absolute;left:0pt;margin-left:93.25pt;margin-top:30.05pt;height:6.55pt;width:9.65pt;z-index:251662336;v-text-anchor:middle;mso-width-relative:page;mso-height-relative:page;" filled="f" stroked="t" coordsize="122246,83137" o:gfxdata="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MqUR17WAAAACQEA&#10;AA8AAAAAAAAAAQAgAAAAIgAAAGRycy9kb3ducmV2LnhtbFBLAQIUABQAAAAIAIdO4kB85lF5HQQA&#10;AJwKAAAOAAAAAAAAAAEAIAAAACUBAABkcnMvZTJvRG9jLnhtbFBLBQYAAAAABgAGAFkBAAC0BwAA&#10;AAA=&#10;" path="m68458,0l68458,0c114717,10280,101841,-846,117357,14670l122246,19559c107577,24449,93179,30245,78238,34229c68658,36784,58395,36270,48899,39119c-22170,60439,94526,38033,0,53788c29621,73536,-1234,55118,48899,73348c77796,83856,59407,83127,73348,83127e">
                      <v:path textboxrect="0,0,122246,83137" o:connectlocs="68631,0;68631,0;117654,14678;122555,19570;78436,34249;49023,39142;0,53819;49023,73390;73533,83175" o:connectangles="0,0,0,0,0,0,0,0,0"/>
                      <v:fill on="f" focussize="0,0"/>
                      <v:stroke weight="1pt" color="#1F3763" joinstyle="miter"/>
                      <v:imagedata o:title=""/>
                      <o:lock v:ext="edit" aspectratio="f"/>
                      <v:textbox>
                        <w:txbxContent>
                          <w:p>
                            <w:pPr>
                              <w:jc w:val="center"/>
                            </w:pPr>
                            <w:r>
                              <w:rPr>
                                <w:rFonts w:hint="eastAsia"/>
                              </w:rPr>
                              <w:t>、</w:t>
                            </w:r>
                          </w:p>
                        </w:txbxContent>
                      </v:textbox>
                    </v:shape>
                  </w:pict>
                </mc:Fallback>
              </mc:AlternateContent>
            </w:r>
            <w:r>
              <w:rPr>
                <w:color w:val="auto"/>
              </w:rPr>
              <w:drawing>
                <wp:inline distT="0" distB="0" distL="0" distR="0">
                  <wp:extent cx="1293495" cy="9182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32145" cy="946034"/>
                          </a:xfrm>
                          <a:prstGeom prst="rect">
                            <a:avLst/>
                          </a:prstGeom>
                          <a:noFill/>
                          <a:ln>
                            <a:noFill/>
                          </a:ln>
                        </pic:spPr>
                      </pic:pic>
                    </a:graphicData>
                  </a:graphic>
                </wp:inline>
              </w:drawing>
            </w:r>
          </w:p>
        </w:tc>
        <w:tc>
          <w:tcPr>
            <w:tcW w:w="1800" w:type="dxa"/>
          </w:tcPr>
          <w:p>
            <w:pPr>
              <w:spacing w:after="0" w:line="240" w:lineRule="auto"/>
              <w:rPr>
                <w:color w:val="auto"/>
              </w:rPr>
            </w:pPr>
            <w:r>
              <w:rPr>
                <w:rFonts w:hint="eastAsia"/>
                <w:color w:val="auto"/>
              </w:rPr>
              <w:t>V、M；</w:t>
            </w:r>
          </w:p>
          <w:p>
            <w:pPr>
              <w:pStyle w:val="2"/>
              <w:ind w:left="0" w:leftChars="0" w:firstLine="0" w:firstLineChars="0"/>
              <w:rPr>
                <w:color w:val="auto"/>
              </w:rPr>
            </w:pPr>
            <w:r>
              <w:rPr>
                <w:rFonts w:hint="eastAsia"/>
                <w:color w:val="auto"/>
              </w:rPr>
              <w:t>既有构件内有可搭接预埋纵筋；锚固范围内有横向约束钢筋</w:t>
            </w:r>
          </w:p>
        </w:tc>
        <w:tc>
          <w:tcPr>
            <w:tcW w:w="2250" w:type="dxa"/>
          </w:tcPr>
          <w:p>
            <w:pPr>
              <w:spacing w:after="120" w:line="240" w:lineRule="auto"/>
              <w:rPr>
                <w:color w:val="auto"/>
              </w:rPr>
            </w:pPr>
            <w:r>
              <w:rPr>
                <w:color w:val="auto"/>
              </w:rPr>
              <w:t>上部</w:t>
            </w:r>
            <w:r>
              <w:rPr>
                <w:rFonts w:hint="eastAsia"/>
                <w:color w:val="auto"/>
              </w:rPr>
              <w:t>为</w:t>
            </w:r>
            <w:r>
              <w:rPr>
                <w:color w:val="auto"/>
              </w:rPr>
              <w:t>搭接</w:t>
            </w:r>
            <w:r>
              <w:rPr>
                <w:rFonts w:hint="eastAsia"/>
                <w:color w:val="auto"/>
              </w:rPr>
              <w:t>植筋，且搭接长度</w:t>
            </w:r>
            <w:r>
              <w:rPr>
                <w:color w:val="auto"/>
              </w:rPr>
              <w:t>应</w:t>
            </w:r>
            <w:r>
              <w:rPr>
                <w:rFonts w:hint="eastAsia"/>
                <w:color w:val="auto"/>
              </w:rPr>
              <w:t>符合</w:t>
            </w:r>
            <w:r>
              <w:rPr>
                <w:color w:val="auto"/>
              </w:rPr>
              <w:t>受拉包络的规定；</w:t>
            </w:r>
          </w:p>
          <w:p>
            <w:pPr>
              <w:spacing w:after="120" w:line="240" w:lineRule="auto"/>
              <w:rPr>
                <w:color w:val="auto"/>
              </w:rPr>
            </w:pPr>
            <w:r>
              <w:rPr>
                <w:color w:val="auto"/>
              </w:rPr>
              <w:t>下部</w:t>
            </w:r>
            <w:r>
              <w:rPr>
                <w:rFonts w:hint="eastAsia"/>
                <w:color w:val="auto"/>
              </w:rPr>
              <w:t>为</w:t>
            </w:r>
            <w:r>
              <w:rPr>
                <w:color w:val="auto"/>
              </w:rPr>
              <w:t>受压</w:t>
            </w:r>
            <w:r>
              <w:rPr>
                <w:rFonts w:hint="eastAsia"/>
                <w:color w:val="auto"/>
              </w:rPr>
              <w:t>锚固</w:t>
            </w:r>
            <w:r>
              <w:rPr>
                <w:color w:val="auto"/>
              </w:rPr>
              <w:t>植筋</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trPr>
        <w:tc>
          <w:tcPr>
            <w:tcW w:w="740" w:type="dxa"/>
            <w:vMerge w:val="continue"/>
          </w:tcPr>
          <w:p>
            <w:pPr>
              <w:spacing w:after="0" w:line="240" w:lineRule="auto"/>
              <w:rPr>
                <w:color w:val="auto"/>
                <w:highlight w:val="yellow"/>
              </w:rPr>
            </w:pPr>
          </w:p>
        </w:tc>
        <w:tc>
          <w:tcPr>
            <w:tcW w:w="1415" w:type="dxa"/>
          </w:tcPr>
          <w:p>
            <w:pPr>
              <w:spacing w:after="0" w:line="240" w:lineRule="auto"/>
              <w:rPr>
                <w:color w:val="auto"/>
              </w:rPr>
            </w:pPr>
            <w:r>
              <w:rPr>
                <w:color w:val="auto"/>
              </w:rPr>
              <w:t>(b)竖向构件新增水平简支受弯构件</w:t>
            </w:r>
            <w:r>
              <w:rPr>
                <w:rFonts w:hint="eastAsia"/>
                <w:color w:val="auto"/>
              </w:rPr>
              <w:t xml:space="preserve"> </w:t>
            </w:r>
            <w:r>
              <w:rPr>
                <w:color w:val="auto"/>
              </w:rPr>
              <w:t xml:space="preserve">– </w:t>
            </w:r>
            <w:r>
              <w:rPr>
                <w:rFonts w:hint="eastAsia"/>
                <w:color w:val="auto"/>
              </w:rPr>
              <w:t>柱上增梁、墙上增梁/板</w:t>
            </w:r>
          </w:p>
        </w:tc>
        <w:tc>
          <w:tcPr>
            <w:tcW w:w="2183" w:type="dxa"/>
          </w:tcPr>
          <w:p>
            <w:pPr>
              <w:spacing w:after="0" w:line="240" w:lineRule="auto"/>
              <w:rPr>
                <w:color w:val="auto"/>
              </w:rPr>
            </w:pPr>
            <w:r>
              <w:object>
                <v:shape id="_x0000_i1037" o:spt="75" type="#_x0000_t75" style="height:46pt;width:98pt;" o:ole="t" filled="f" o:preferrelative="t" stroked="f" coordsize="21600,21600">
                  <v:path/>
                  <v:fill on="f" focussize="0,0"/>
                  <v:stroke on="f" joinstyle="miter"/>
                  <v:imagedata r:id="rId36" o:title=""/>
                  <o:lock v:ext="edit" aspectratio="t"/>
                  <w10:wrap type="none"/>
                  <w10:anchorlock/>
                </v:shape>
                <o:OLEObject Type="Embed" ProgID="PBrush" ShapeID="_x0000_i1037" DrawAspect="Content" ObjectID="_1468075737" r:id="rId35">
                  <o:LockedField>false</o:LockedField>
                </o:OLEObject>
              </w:object>
            </w:r>
          </w:p>
        </w:tc>
        <w:tc>
          <w:tcPr>
            <w:tcW w:w="1800" w:type="dxa"/>
          </w:tcPr>
          <w:p>
            <w:pPr>
              <w:spacing w:after="0" w:line="240" w:lineRule="auto"/>
              <w:rPr>
                <w:color w:val="auto"/>
              </w:rPr>
            </w:pPr>
            <w:r>
              <w:rPr>
                <w:rFonts w:hint="eastAsia"/>
                <w:color w:val="auto"/>
              </w:rPr>
              <w:t>N 、V；</w:t>
            </w:r>
          </w:p>
          <w:p>
            <w:pPr>
              <w:pStyle w:val="2"/>
              <w:ind w:left="0" w:leftChars="0" w:firstLine="0" w:firstLineChars="0"/>
              <w:rPr>
                <w:color w:val="auto"/>
              </w:rPr>
            </w:pPr>
            <w:r>
              <w:rPr>
                <w:rFonts w:hint="eastAsia"/>
                <w:color w:val="auto"/>
              </w:rPr>
              <w:t>既有构件内无可搭接预埋钢筋；</w:t>
            </w:r>
          </w:p>
          <w:p>
            <w:pPr>
              <w:pStyle w:val="2"/>
              <w:ind w:left="0" w:leftChars="0" w:firstLine="0" w:firstLineChars="0"/>
              <w:rPr>
                <w:color w:val="auto"/>
              </w:rPr>
            </w:pPr>
            <w:r>
              <w:rPr>
                <w:rFonts w:hint="eastAsia"/>
                <w:color w:val="auto"/>
              </w:rPr>
              <w:t>锚固范围内无横向约束钢筋</w:t>
            </w:r>
          </w:p>
        </w:tc>
        <w:tc>
          <w:tcPr>
            <w:tcW w:w="2250" w:type="dxa"/>
          </w:tcPr>
          <w:p>
            <w:pPr>
              <w:spacing w:after="120" w:line="240" w:lineRule="auto"/>
              <w:rPr>
                <w:color w:val="auto"/>
              </w:rPr>
            </w:pPr>
            <w:r>
              <w:rPr>
                <w:rFonts w:hint="eastAsia"/>
                <w:color w:val="auto"/>
              </w:rPr>
              <w:t>上部为构造受拉锚固植筋；</w:t>
            </w:r>
          </w:p>
          <w:p>
            <w:pPr>
              <w:spacing w:after="120" w:line="240" w:lineRule="auto"/>
              <w:rPr>
                <w:color w:val="auto"/>
              </w:rPr>
            </w:pPr>
            <w:r>
              <w:rPr>
                <w:color w:val="auto"/>
              </w:rPr>
              <w:t>下部</w:t>
            </w:r>
            <w:r>
              <w:rPr>
                <w:rFonts w:hint="eastAsia"/>
                <w:color w:val="auto"/>
              </w:rPr>
              <w:t>为受拉</w:t>
            </w:r>
            <w:r>
              <w:rPr>
                <w:color w:val="auto"/>
              </w:rPr>
              <w:t>锚固植筋</w:t>
            </w:r>
            <w:r>
              <w:rPr>
                <w:rFonts w:hint="eastAsia"/>
                <w:color w:val="auto"/>
              </w:rPr>
              <w:t>。</w:t>
            </w:r>
          </w:p>
          <w:p>
            <w:pPr>
              <w:pStyle w:val="2"/>
              <w:ind w:left="0" w:leftChars="0"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Pr>
          <w:p>
            <w:pPr>
              <w:spacing w:after="0" w:line="240" w:lineRule="auto"/>
              <w:rPr>
                <w:color w:val="auto"/>
                <w:highlight w:val="yellow"/>
              </w:rPr>
            </w:pPr>
          </w:p>
        </w:tc>
        <w:tc>
          <w:tcPr>
            <w:tcW w:w="1415" w:type="dxa"/>
          </w:tcPr>
          <w:p>
            <w:pPr>
              <w:spacing w:after="0" w:line="240" w:lineRule="auto"/>
              <w:rPr>
                <w:color w:val="auto"/>
              </w:rPr>
            </w:pPr>
            <w:r>
              <w:rPr>
                <w:color w:val="auto"/>
              </w:rPr>
              <w:t>(c) 竖向构件新增水平</w:t>
            </w:r>
            <w:r>
              <w:rPr>
                <w:rFonts w:hint="eastAsia"/>
                <w:color w:val="auto"/>
              </w:rPr>
              <w:t>刚结</w:t>
            </w:r>
            <w:r>
              <w:rPr>
                <w:color w:val="auto"/>
              </w:rPr>
              <w:t>受弯构件</w:t>
            </w:r>
            <w:r>
              <w:rPr>
                <w:rFonts w:hint="eastAsia"/>
                <w:color w:val="auto"/>
              </w:rPr>
              <w:t xml:space="preserve"> </w:t>
            </w:r>
            <w:r>
              <w:rPr>
                <w:color w:val="auto"/>
              </w:rPr>
              <w:t xml:space="preserve">– </w:t>
            </w:r>
            <w:r>
              <w:rPr>
                <w:rFonts w:hint="eastAsia"/>
                <w:color w:val="auto"/>
              </w:rPr>
              <w:t>柱上增梁、墙上增梁/板</w:t>
            </w:r>
          </w:p>
        </w:tc>
        <w:tc>
          <w:tcPr>
            <w:tcW w:w="2183" w:type="dxa"/>
          </w:tcPr>
          <w:p>
            <w:pPr>
              <w:spacing w:after="0" w:line="240" w:lineRule="auto"/>
              <w:rPr>
                <w:color w:val="auto"/>
              </w:rPr>
            </w:pPr>
            <w:r>
              <w:object>
                <v:shape id="_x0000_i1038" o:spt="75" type="#_x0000_t75" style="height:56pt;width:108pt;" o:ole="t" filled="f" o:preferrelative="t" stroked="f" coordsize="21600,21600">
                  <v:path/>
                  <v:fill on="f" focussize="0,0"/>
                  <v:stroke on="f" joinstyle="miter"/>
                  <v:imagedata r:id="rId38" o:title=""/>
                  <o:lock v:ext="edit" aspectratio="t"/>
                  <w10:wrap type="none"/>
                  <w10:anchorlock/>
                </v:shape>
                <o:OLEObject Type="Embed" ProgID="PBrush" ShapeID="_x0000_i1038" DrawAspect="Content" ObjectID="_1468075738" r:id="rId37">
                  <o:LockedField>false</o:LockedField>
                </o:OLEObject>
              </w:object>
            </w:r>
          </w:p>
        </w:tc>
        <w:tc>
          <w:tcPr>
            <w:tcW w:w="1800" w:type="dxa"/>
          </w:tcPr>
          <w:p>
            <w:pPr>
              <w:spacing w:after="0" w:line="240" w:lineRule="auto"/>
              <w:rPr>
                <w:color w:val="auto"/>
              </w:rPr>
            </w:pPr>
            <w:r>
              <w:rPr>
                <w:color w:val="auto"/>
              </w:rPr>
              <w:t>N, V, M</w:t>
            </w:r>
            <w:r>
              <w:rPr>
                <w:rFonts w:hint="eastAsia"/>
                <w:color w:val="auto"/>
              </w:rPr>
              <w:t>；</w:t>
            </w:r>
          </w:p>
          <w:p>
            <w:pPr>
              <w:pStyle w:val="2"/>
              <w:ind w:left="0" w:leftChars="0" w:firstLine="0" w:firstLineChars="0"/>
              <w:rPr>
                <w:color w:val="auto"/>
              </w:rPr>
            </w:pPr>
            <w:r>
              <w:rPr>
                <w:rFonts w:hint="eastAsia"/>
                <w:color w:val="auto"/>
              </w:rPr>
              <w:t>既有构件内无可搭接预埋钢筋；</w:t>
            </w:r>
          </w:p>
          <w:p>
            <w:pPr>
              <w:pStyle w:val="2"/>
              <w:ind w:left="0" w:leftChars="0" w:firstLine="0" w:firstLineChars="0"/>
            </w:pPr>
            <w:r>
              <w:rPr>
                <w:rFonts w:hint="eastAsia"/>
                <w:color w:val="auto"/>
              </w:rPr>
              <w:t>锚固范围内无横向约束钢筋</w:t>
            </w:r>
          </w:p>
        </w:tc>
        <w:tc>
          <w:tcPr>
            <w:tcW w:w="2250" w:type="dxa"/>
          </w:tcPr>
          <w:p>
            <w:pPr>
              <w:spacing w:after="120" w:line="240" w:lineRule="auto"/>
              <w:rPr>
                <w:color w:val="auto"/>
              </w:rPr>
            </w:pPr>
            <w:r>
              <w:rPr>
                <w:rFonts w:hint="eastAsia"/>
                <w:color w:val="auto"/>
              </w:rPr>
              <w:t>上</w:t>
            </w:r>
            <w:r>
              <w:rPr>
                <w:color w:val="auto"/>
              </w:rPr>
              <w:t>部</w:t>
            </w:r>
            <w:r>
              <w:rPr>
                <w:rFonts w:hint="eastAsia"/>
                <w:color w:val="auto"/>
              </w:rPr>
              <w:t>为受拉</w:t>
            </w:r>
            <w:r>
              <w:rPr>
                <w:color w:val="auto"/>
              </w:rPr>
              <w:t>锚固植筋</w:t>
            </w:r>
            <w:r>
              <w:rPr>
                <w:rFonts w:hint="eastAsia"/>
                <w:color w:val="auto"/>
              </w:rPr>
              <w:t>；</w:t>
            </w:r>
          </w:p>
          <w:p>
            <w:pPr>
              <w:spacing w:after="0" w:line="240" w:lineRule="auto"/>
            </w:pPr>
            <w:r>
              <w:rPr>
                <w:color w:val="auto"/>
              </w:rPr>
              <w:t>下部</w:t>
            </w:r>
            <w:r>
              <w:rPr>
                <w:rFonts w:hint="eastAsia"/>
                <w:color w:val="auto"/>
              </w:rPr>
              <w:t>为</w:t>
            </w:r>
            <w:r>
              <w:rPr>
                <w:color w:val="auto"/>
              </w:rPr>
              <w:t>受压锚固植筋</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40" w:type="dxa"/>
          </w:tcPr>
          <w:p>
            <w:pPr>
              <w:spacing w:after="0" w:line="240" w:lineRule="auto"/>
              <w:rPr>
                <w:color w:val="auto"/>
              </w:rPr>
            </w:pPr>
            <w:r>
              <w:rPr>
                <w:color w:val="auto"/>
              </w:rPr>
              <w:t>新增钢结构水平构件</w:t>
            </w:r>
          </w:p>
        </w:tc>
        <w:tc>
          <w:tcPr>
            <w:tcW w:w="1415" w:type="dxa"/>
          </w:tcPr>
          <w:p>
            <w:pPr>
              <w:spacing w:after="0" w:line="240" w:lineRule="auto"/>
              <w:rPr>
                <w:color w:val="auto"/>
              </w:rPr>
            </w:pPr>
            <w:r>
              <w:rPr>
                <w:color w:val="auto"/>
              </w:rPr>
              <w:t>(d) 新增钢构件与既有混凝土结构构件的连接</w:t>
            </w:r>
          </w:p>
        </w:tc>
        <w:tc>
          <w:tcPr>
            <w:tcW w:w="2183" w:type="dxa"/>
          </w:tcPr>
          <w:p>
            <w:pPr>
              <w:spacing w:after="0" w:line="240" w:lineRule="auto"/>
              <w:rPr>
                <w:strike/>
                <w:color w:val="auto"/>
                <w:highlight w:val="yellow"/>
              </w:rPr>
            </w:pPr>
            <w:r>
              <w:rPr>
                <w:color w:val="auto"/>
                <w:highlight w:val="yellow"/>
              </w:rPr>
              <w:object>
                <v:shape id="_x0000_i1039" o:spt="75" type="#_x0000_t75" style="height:51pt;width:108pt;" o:ole="t" filled="f" o:preferrelative="t" stroked="f" coordsize="21600,21600">
                  <v:path/>
                  <v:fill on="f" focussize="0,0"/>
                  <v:stroke on="f" joinstyle="miter"/>
                  <v:imagedata r:id="rId32" o:title=""/>
                  <o:lock v:ext="edit" aspectratio="t"/>
                  <w10:wrap type="none"/>
                  <w10:anchorlock/>
                </v:shape>
                <o:OLEObject Type="Embed" ProgID="PBrush" ShapeID="_x0000_i1039" DrawAspect="Content" ObjectID="_1468075739" r:id="rId39">
                  <o:LockedField>false</o:LockedField>
                </o:OLEObject>
              </w:object>
            </w:r>
          </w:p>
        </w:tc>
        <w:tc>
          <w:tcPr>
            <w:tcW w:w="1800" w:type="dxa"/>
          </w:tcPr>
          <w:p>
            <w:pPr>
              <w:spacing w:after="0" w:line="240" w:lineRule="auto"/>
              <w:rPr>
                <w:color w:val="auto"/>
              </w:rPr>
            </w:pPr>
            <w:r>
              <w:rPr>
                <w:rFonts w:hint="eastAsia"/>
                <w:color w:val="auto"/>
              </w:rPr>
              <w:t>N、V、M；</w:t>
            </w:r>
          </w:p>
          <w:p>
            <w:pPr>
              <w:spacing w:after="0" w:line="240" w:lineRule="auto"/>
              <w:rPr>
                <w:color w:val="auto"/>
              </w:rPr>
            </w:pPr>
            <w:r>
              <w:rPr>
                <w:rFonts w:hint="eastAsia"/>
                <w:color w:val="auto"/>
              </w:rPr>
              <w:t>锚固范围内有横向钢筋</w:t>
            </w:r>
          </w:p>
        </w:tc>
        <w:tc>
          <w:tcPr>
            <w:tcW w:w="2250" w:type="dxa"/>
          </w:tcPr>
          <w:p>
            <w:pPr>
              <w:spacing w:after="120" w:line="240" w:lineRule="auto"/>
              <w:rPr>
                <w:color w:val="auto"/>
              </w:rPr>
            </w:pPr>
            <w:r>
              <w:rPr>
                <w:color w:val="auto"/>
              </w:rPr>
              <w:t>上部</w:t>
            </w:r>
            <w:r>
              <w:rPr>
                <w:rFonts w:hint="eastAsia"/>
                <w:color w:val="auto"/>
              </w:rPr>
              <w:t>受拉</w:t>
            </w:r>
            <w:r>
              <w:rPr>
                <w:color w:val="auto"/>
              </w:rPr>
              <w:t>锚固植筋</w:t>
            </w:r>
            <w:r>
              <w:rPr>
                <w:rFonts w:hint="eastAsia"/>
                <w:color w:val="auto"/>
              </w:rPr>
              <w:t>或搭接植筋</w:t>
            </w:r>
            <w:r>
              <w:rPr>
                <w:color w:val="auto"/>
              </w:rPr>
              <w:t>；</w:t>
            </w:r>
          </w:p>
          <w:p>
            <w:pPr>
              <w:spacing w:after="120" w:line="240" w:lineRule="auto"/>
              <w:rPr>
                <w:color w:val="auto"/>
              </w:rPr>
            </w:pPr>
            <w:r>
              <w:rPr>
                <w:color w:val="auto"/>
              </w:rPr>
              <w:t>下部</w:t>
            </w:r>
            <w:r>
              <w:rPr>
                <w:rFonts w:hint="eastAsia"/>
                <w:color w:val="auto"/>
              </w:rPr>
              <w:t>为</w:t>
            </w:r>
            <w:r>
              <w:rPr>
                <w:color w:val="auto"/>
              </w:rPr>
              <w:t>锚栓抗剪</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740" w:type="dxa"/>
            <w:vMerge w:val="restart"/>
          </w:tcPr>
          <w:p>
            <w:pPr>
              <w:spacing w:after="0" w:line="240" w:lineRule="auto"/>
              <w:rPr>
                <w:color w:val="auto"/>
              </w:rPr>
            </w:pPr>
            <w:r>
              <w:rPr>
                <w:color w:val="auto"/>
              </w:rPr>
              <w:t>新增混凝土竖向构件</w:t>
            </w:r>
          </w:p>
        </w:tc>
        <w:tc>
          <w:tcPr>
            <w:tcW w:w="1415" w:type="dxa"/>
          </w:tcPr>
          <w:p>
            <w:pPr>
              <w:spacing w:after="0" w:line="240" w:lineRule="auto"/>
              <w:rPr>
                <w:color w:val="auto"/>
              </w:rPr>
            </w:pPr>
            <w:r>
              <w:rPr>
                <w:color w:val="auto"/>
              </w:rPr>
              <w:t>(</w:t>
            </w:r>
            <w:r>
              <w:rPr>
                <w:rFonts w:hint="eastAsia"/>
                <w:color w:val="auto"/>
              </w:rPr>
              <w:t>e</w:t>
            </w:r>
            <w:r>
              <w:rPr>
                <w:color w:val="auto"/>
              </w:rPr>
              <w:t>)水平构件上新增竖向受压构件</w:t>
            </w:r>
            <w:r>
              <w:rPr>
                <w:rFonts w:hint="eastAsia"/>
                <w:color w:val="auto"/>
              </w:rPr>
              <w:t xml:space="preserve"> </w:t>
            </w:r>
            <w:r>
              <w:rPr>
                <w:color w:val="auto"/>
              </w:rPr>
              <w:t>- 柱</w:t>
            </w:r>
            <w:r>
              <w:rPr>
                <w:rFonts w:hint="eastAsia"/>
                <w:color w:val="auto"/>
              </w:rPr>
              <w:t>/楼板或梁上增加柱/</w:t>
            </w:r>
            <w:r>
              <w:rPr>
                <w:color w:val="auto"/>
              </w:rPr>
              <w:t>墙</w:t>
            </w:r>
          </w:p>
        </w:tc>
        <w:tc>
          <w:tcPr>
            <w:tcW w:w="2183" w:type="dxa"/>
          </w:tcPr>
          <w:p>
            <w:pPr>
              <w:spacing w:after="0" w:line="240" w:lineRule="auto"/>
              <w:rPr>
                <w:color w:val="auto"/>
              </w:rPr>
            </w:pPr>
            <w:r>
              <w:drawing>
                <wp:inline distT="0" distB="0" distL="114300" distR="114300">
                  <wp:extent cx="1494155" cy="1219835"/>
                  <wp:effectExtent l="0" t="0" r="10795" b="18415"/>
                  <wp:docPr id="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
                          <pic:cNvPicPr>
                            <a:picLocks noChangeAspect="1"/>
                          </pic:cNvPicPr>
                        </pic:nvPicPr>
                        <pic:blipFill>
                          <a:blip r:embed="rId40"/>
                          <a:stretch>
                            <a:fillRect/>
                          </a:stretch>
                        </pic:blipFill>
                        <pic:spPr>
                          <a:xfrm>
                            <a:off x="0" y="0"/>
                            <a:ext cx="1494155" cy="1219835"/>
                          </a:xfrm>
                          <a:prstGeom prst="rect">
                            <a:avLst/>
                          </a:prstGeom>
                          <a:noFill/>
                          <a:ln>
                            <a:noFill/>
                          </a:ln>
                        </pic:spPr>
                      </pic:pic>
                    </a:graphicData>
                  </a:graphic>
                </wp:inline>
              </w:drawing>
            </w:r>
          </w:p>
        </w:tc>
        <w:tc>
          <w:tcPr>
            <w:tcW w:w="1800" w:type="dxa"/>
          </w:tcPr>
          <w:p>
            <w:pPr>
              <w:spacing w:after="0" w:line="240" w:lineRule="auto"/>
              <w:rPr>
                <w:color w:val="auto"/>
              </w:rPr>
            </w:pPr>
            <w:r>
              <w:rPr>
                <w:color w:val="auto"/>
              </w:rPr>
              <w:t>N*</w:t>
            </w:r>
          </w:p>
          <w:p>
            <w:pPr>
              <w:spacing w:after="0" w:line="240" w:lineRule="auto"/>
              <w:rPr>
                <w:color w:val="auto"/>
              </w:rPr>
            </w:pPr>
          </w:p>
        </w:tc>
        <w:tc>
          <w:tcPr>
            <w:tcW w:w="2250" w:type="dxa"/>
          </w:tcPr>
          <w:p>
            <w:pPr>
              <w:spacing w:after="0" w:line="240" w:lineRule="auto"/>
              <w:rPr>
                <w:color w:val="auto"/>
              </w:rPr>
            </w:pPr>
            <w:r>
              <w:rPr>
                <w:rFonts w:hint="eastAsia"/>
                <w:color w:val="auto"/>
              </w:rPr>
              <w:t>均为</w:t>
            </w:r>
            <w:r>
              <w:rPr>
                <w:color w:val="auto"/>
              </w:rPr>
              <w:t>受压锚固植筋</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740" w:type="dxa"/>
            <w:vMerge w:val="continue"/>
          </w:tcPr>
          <w:p>
            <w:pPr>
              <w:spacing w:after="0" w:line="240" w:lineRule="auto"/>
              <w:rPr>
                <w:color w:val="auto"/>
              </w:rPr>
            </w:pPr>
          </w:p>
        </w:tc>
        <w:tc>
          <w:tcPr>
            <w:tcW w:w="1415" w:type="dxa"/>
          </w:tcPr>
          <w:p>
            <w:pPr>
              <w:spacing w:after="0" w:line="240" w:lineRule="auto"/>
              <w:rPr>
                <w:color w:val="auto"/>
              </w:rPr>
            </w:pPr>
            <w:r>
              <w:rPr>
                <w:color w:val="auto"/>
              </w:rPr>
              <w:t>(</w:t>
            </w:r>
            <w:r>
              <w:rPr>
                <w:rFonts w:hint="eastAsia"/>
                <w:color w:val="auto"/>
              </w:rPr>
              <w:t>f</w:t>
            </w:r>
            <w:r>
              <w:rPr>
                <w:color w:val="auto"/>
              </w:rPr>
              <w:t>)水平构件上新增竖向压弯构件</w:t>
            </w:r>
            <w:r>
              <w:rPr>
                <w:rFonts w:hint="eastAsia"/>
                <w:color w:val="auto"/>
              </w:rPr>
              <w:t xml:space="preserve"> </w:t>
            </w:r>
            <w:r>
              <w:rPr>
                <w:color w:val="auto"/>
              </w:rPr>
              <w:t>–楼板</w:t>
            </w:r>
            <w:r>
              <w:rPr>
                <w:rFonts w:hint="eastAsia"/>
                <w:color w:val="auto"/>
              </w:rPr>
              <w:t>/梁或</w:t>
            </w:r>
            <w:r>
              <w:rPr>
                <w:color w:val="auto"/>
              </w:rPr>
              <w:t>基础底板上新增柱</w:t>
            </w:r>
            <w:r>
              <w:rPr>
                <w:rFonts w:hint="eastAsia"/>
                <w:color w:val="auto"/>
              </w:rPr>
              <w:t>或墙</w:t>
            </w:r>
          </w:p>
        </w:tc>
        <w:tc>
          <w:tcPr>
            <w:tcW w:w="2183" w:type="dxa"/>
          </w:tcPr>
          <w:p>
            <w:pPr>
              <w:spacing w:after="0" w:line="240" w:lineRule="auto"/>
              <w:rPr>
                <w:color w:val="auto"/>
              </w:rPr>
            </w:pPr>
            <w:r>
              <w:rPr>
                <w:color w:val="auto"/>
              </w:rPr>
              <w:drawing>
                <wp:inline distT="0" distB="0" distL="0" distR="0">
                  <wp:extent cx="1461770" cy="1701165"/>
                  <wp:effectExtent l="0" t="0" r="5080" b="13335"/>
                  <wp:docPr id="1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31"/>
                          <pic:cNvPicPr>
                            <a:picLocks noChangeAspect="1"/>
                          </pic:cNvPicPr>
                        </pic:nvPicPr>
                        <pic:blipFill>
                          <a:blip r:embed="rId41"/>
                          <a:stretch>
                            <a:fillRect/>
                          </a:stretch>
                        </pic:blipFill>
                        <pic:spPr>
                          <a:xfrm>
                            <a:off x="0" y="0"/>
                            <a:ext cx="1498210" cy="1743453"/>
                          </a:xfrm>
                          <a:prstGeom prst="rect">
                            <a:avLst/>
                          </a:prstGeom>
                        </pic:spPr>
                      </pic:pic>
                    </a:graphicData>
                  </a:graphic>
                </wp:inline>
              </w:drawing>
            </w:r>
          </w:p>
        </w:tc>
        <w:tc>
          <w:tcPr>
            <w:tcW w:w="1800" w:type="dxa"/>
          </w:tcPr>
          <w:p>
            <w:pPr>
              <w:spacing w:after="0" w:line="240" w:lineRule="auto"/>
              <w:rPr>
                <w:color w:val="auto"/>
              </w:rPr>
            </w:pPr>
            <w:r>
              <w:rPr>
                <w:color w:val="auto"/>
              </w:rPr>
              <w:t>N</w:t>
            </w:r>
            <w:r>
              <w:rPr>
                <w:rFonts w:hint="eastAsia"/>
                <w:color w:val="auto"/>
              </w:rPr>
              <w:t>、V、M；</w:t>
            </w:r>
          </w:p>
          <w:p>
            <w:pPr>
              <w:spacing w:after="0" w:line="240" w:lineRule="auto"/>
              <w:rPr>
                <w:color w:val="auto"/>
              </w:rPr>
            </w:pPr>
            <w:r>
              <w:rPr>
                <w:rFonts w:hint="eastAsia"/>
                <w:color w:val="auto"/>
              </w:rPr>
              <w:t>既有构件内无可搭接预埋钢筋；</w:t>
            </w:r>
          </w:p>
          <w:p>
            <w:pPr>
              <w:spacing w:after="0" w:line="240" w:lineRule="auto"/>
              <w:rPr>
                <w:color w:val="auto"/>
              </w:rPr>
            </w:pPr>
            <w:r>
              <w:rPr>
                <w:rFonts w:hint="eastAsia"/>
                <w:color w:val="auto"/>
              </w:rPr>
              <w:t>锚固范围内无横向约束钢筋</w:t>
            </w:r>
          </w:p>
        </w:tc>
        <w:tc>
          <w:tcPr>
            <w:tcW w:w="2250" w:type="dxa"/>
          </w:tcPr>
          <w:p>
            <w:pPr>
              <w:spacing w:after="120" w:line="240" w:lineRule="auto"/>
              <w:rPr>
                <w:color w:val="auto"/>
              </w:rPr>
            </w:pPr>
            <w:r>
              <w:rPr>
                <w:rFonts w:hint="eastAsia"/>
                <w:color w:val="auto"/>
              </w:rPr>
              <w:t>受拉</w:t>
            </w:r>
            <w:r>
              <w:rPr>
                <w:color w:val="auto"/>
              </w:rPr>
              <w:t>锚固植筋</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740" w:type="dxa"/>
            <w:vMerge w:val="restart"/>
          </w:tcPr>
          <w:p>
            <w:pPr>
              <w:spacing w:after="0" w:line="360" w:lineRule="auto"/>
              <w:rPr>
                <w:strike/>
                <w:color w:val="auto"/>
              </w:rPr>
            </w:pPr>
            <w:r>
              <w:rPr>
                <w:color w:val="auto"/>
              </w:rPr>
              <w:t>新增</w:t>
            </w:r>
            <w:r>
              <w:rPr>
                <w:rFonts w:hint="eastAsia"/>
                <w:color w:val="auto"/>
              </w:rPr>
              <w:t>钢结构</w:t>
            </w:r>
            <w:r>
              <w:rPr>
                <w:color w:val="auto"/>
              </w:rPr>
              <w:t>竖向构件</w:t>
            </w:r>
          </w:p>
        </w:tc>
        <w:tc>
          <w:tcPr>
            <w:tcW w:w="1415" w:type="dxa"/>
          </w:tcPr>
          <w:p>
            <w:pPr>
              <w:spacing w:after="0" w:line="240" w:lineRule="auto"/>
              <w:rPr>
                <w:color w:val="auto"/>
              </w:rPr>
            </w:pPr>
            <w:r>
              <w:rPr>
                <w:color w:val="auto"/>
              </w:rPr>
              <w:t>(</w:t>
            </w:r>
            <w:r>
              <w:rPr>
                <w:rFonts w:hint="eastAsia"/>
                <w:color w:val="auto"/>
              </w:rPr>
              <w:t>g</w:t>
            </w:r>
            <w:r>
              <w:rPr>
                <w:color w:val="auto"/>
              </w:rPr>
              <w:t>)新增</w:t>
            </w:r>
            <w:r>
              <w:rPr>
                <w:rFonts w:hint="eastAsia"/>
                <w:color w:val="auto"/>
              </w:rPr>
              <w:t>柱脚连接板带剪力键的刚接</w:t>
            </w:r>
            <w:r>
              <w:rPr>
                <w:color w:val="auto"/>
              </w:rPr>
              <w:t>钢结构竖向构件</w:t>
            </w:r>
          </w:p>
        </w:tc>
        <w:tc>
          <w:tcPr>
            <w:tcW w:w="2183" w:type="dxa"/>
          </w:tcPr>
          <w:p>
            <w:pPr>
              <w:spacing w:after="0" w:line="240" w:lineRule="auto"/>
              <w:rPr>
                <w:color w:val="auto"/>
              </w:rPr>
            </w:pPr>
            <w:r>
              <w:drawing>
                <wp:inline distT="0" distB="0" distL="114300" distR="114300">
                  <wp:extent cx="1282700" cy="863600"/>
                  <wp:effectExtent l="0" t="0" r="0" b="0"/>
                  <wp:docPr id="1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pic:cNvPicPr>
                            <a:picLocks noChangeAspect="1"/>
                          </pic:cNvPicPr>
                        </pic:nvPicPr>
                        <pic:blipFill>
                          <a:blip r:embed="rId42"/>
                          <a:stretch>
                            <a:fillRect/>
                          </a:stretch>
                        </pic:blipFill>
                        <pic:spPr>
                          <a:xfrm>
                            <a:off x="0" y="0"/>
                            <a:ext cx="1290902" cy="868856"/>
                          </a:xfrm>
                          <a:prstGeom prst="rect">
                            <a:avLst/>
                          </a:prstGeom>
                          <a:noFill/>
                          <a:ln>
                            <a:noFill/>
                          </a:ln>
                        </pic:spPr>
                      </pic:pic>
                    </a:graphicData>
                  </a:graphic>
                </wp:inline>
              </w:drawing>
            </w:r>
          </w:p>
        </w:tc>
        <w:tc>
          <w:tcPr>
            <w:tcW w:w="1800" w:type="dxa"/>
          </w:tcPr>
          <w:p>
            <w:pPr>
              <w:spacing w:after="0" w:line="240" w:lineRule="auto"/>
              <w:rPr>
                <w:color w:val="auto"/>
              </w:rPr>
            </w:pPr>
            <w:r>
              <w:rPr>
                <w:color w:val="auto"/>
              </w:rPr>
              <w:t>N</w:t>
            </w:r>
            <w:r>
              <w:rPr>
                <w:rFonts w:hint="eastAsia"/>
                <w:color w:val="auto"/>
              </w:rPr>
              <w:t>、</w:t>
            </w:r>
            <w:r>
              <w:rPr>
                <w:color w:val="auto"/>
              </w:rPr>
              <w:t>V</w:t>
            </w:r>
            <w:r>
              <w:rPr>
                <w:rFonts w:hint="eastAsia"/>
                <w:color w:val="auto"/>
              </w:rPr>
              <w:t>、M；</w:t>
            </w:r>
          </w:p>
          <w:p>
            <w:pPr>
              <w:spacing w:after="0" w:line="240" w:lineRule="auto"/>
              <w:rPr>
                <w:color w:val="auto"/>
              </w:rPr>
            </w:pPr>
            <w:r>
              <w:rPr>
                <w:rFonts w:hint="eastAsia"/>
                <w:color w:val="auto"/>
              </w:rPr>
              <w:t>既有构件内有可搭接预埋箍筋；</w:t>
            </w:r>
          </w:p>
          <w:p>
            <w:pPr>
              <w:pStyle w:val="2"/>
              <w:ind w:left="0" w:leftChars="0" w:firstLine="0" w:firstLineChars="0"/>
            </w:pPr>
            <w:r>
              <w:rPr>
                <w:rFonts w:hint="eastAsia"/>
                <w:color w:val="auto"/>
              </w:rPr>
              <w:t>锚固范围内无横向约束钢筋</w:t>
            </w:r>
          </w:p>
          <w:p>
            <w:pPr>
              <w:spacing w:after="0" w:line="240" w:lineRule="auto"/>
              <w:rPr>
                <w:color w:val="auto"/>
              </w:rPr>
            </w:pPr>
          </w:p>
        </w:tc>
        <w:tc>
          <w:tcPr>
            <w:tcW w:w="2250" w:type="dxa"/>
          </w:tcPr>
          <w:p>
            <w:pPr>
              <w:spacing w:after="0" w:line="240" w:lineRule="auto"/>
              <w:rPr>
                <w:color w:val="auto"/>
              </w:rPr>
            </w:pPr>
            <w:r>
              <w:rPr>
                <w:rFonts w:hint="eastAsia"/>
                <w:color w:val="auto"/>
              </w:rPr>
              <w:t>受拉</w:t>
            </w:r>
            <w:r>
              <w:rPr>
                <w:color w:val="auto"/>
              </w:rPr>
              <w:t>锚固植筋</w:t>
            </w:r>
            <w:r>
              <w:rPr>
                <w:rFonts w:hint="eastAsia"/>
                <w:color w:val="auto"/>
              </w:rPr>
              <w:t>。</w:t>
            </w:r>
          </w:p>
          <w:p>
            <w:pPr>
              <w:pStyle w:val="2"/>
              <w:ind w:left="0" w:leftChars="0" w:firstLine="0" w:firstLineChars="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trPr>
        <w:tc>
          <w:tcPr>
            <w:tcW w:w="740" w:type="dxa"/>
            <w:vMerge w:val="continue"/>
          </w:tcPr>
          <w:p>
            <w:pPr>
              <w:spacing w:after="0" w:line="240" w:lineRule="auto"/>
              <w:rPr>
                <w:color w:val="auto"/>
              </w:rPr>
            </w:pPr>
          </w:p>
        </w:tc>
        <w:tc>
          <w:tcPr>
            <w:tcW w:w="1415" w:type="dxa"/>
          </w:tcPr>
          <w:p>
            <w:pPr>
              <w:spacing w:after="0" w:line="240" w:lineRule="auto"/>
              <w:rPr>
                <w:color w:val="auto"/>
              </w:rPr>
            </w:pPr>
            <w:r>
              <w:rPr>
                <w:color w:val="auto"/>
              </w:rPr>
              <w:t xml:space="preserve">(h) </w:t>
            </w:r>
            <w:r>
              <w:rPr>
                <w:rFonts w:hint="eastAsia"/>
                <w:color w:val="auto"/>
              </w:rPr>
              <w:t>新增钢构件铰接节点与既有混凝土结构构件的连接</w:t>
            </w:r>
          </w:p>
        </w:tc>
        <w:tc>
          <w:tcPr>
            <w:tcW w:w="2183" w:type="dxa"/>
          </w:tcPr>
          <w:p>
            <w:pPr>
              <w:spacing w:after="0" w:line="240" w:lineRule="auto"/>
            </w:pPr>
            <w:r>
              <mc:AlternateContent>
                <mc:Choice Requires="wpg">
                  <w:drawing>
                    <wp:anchor distT="0" distB="0" distL="114300" distR="114300" simplePos="0" relativeHeight="251665408" behindDoc="0" locked="0" layoutInCell="1" allowOverlap="1">
                      <wp:simplePos x="0" y="0"/>
                      <wp:positionH relativeFrom="column">
                        <wp:posOffset>-60325</wp:posOffset>
                      </wp:positionH>
                      <wp:positionV relativeFrom="paragraph">
                        <wp:posOffset>164465</wp:posOffset>
                      </wp:positionV>
                      <wp:extent cx="1104900" cy="1061085"/>
                      <wp:effectExtent l="0" t="0" r="0" b="5715"/>
                      <wp:wrapNone/>
                      <wp:docPr id="201" name="Group 201"/>
                      <wp:cNvGraphicFramePr/>
                      <a:graphic xmlns:a="http://schemas.openxmlformats.org/drawingml/2006/main">
                        <a:graphicData uri="http://schemas.microsoft.com/office/word/2010/wordprocessingGroup">
                          <wpg:wgp>
                            <wpg:cNvGrpSpPr/>
                            <wpg:grpSpPr>
                              <a:xfrm>
                                <a:off x="0" y="0"/>
                                <a:ext cx="1104900" cy="1061085"/>
                                <a:chOff x="-63500" y="-54666"/>
                                <a:chExt cx="1104900" cy="1061142"/>
                              </a:xfrm>
                            </wpg:grpSpPr>
                            <pic:pic xmlns:pic="http://schemas.openxmlformats.org/drawingml/2006/picture">
                              <pic:nvPicPr>
                                <pic:cNvPr id="199" name="Picture 19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a:xfrm>
                                  <a:off x="-63500" y="-54666"/>
                                  <a:ext cx="1104900" cy="1061142"/>
                                </a:xfrm>
                                <a:prstGeom prst="rect">
                                  <a:avLst/>
                                </a:prstGeom>
                                <a:noFill/>
                              </pic:spPr>
                            </pic:pic>
                            <pic:pic xmlns:pic="http://schemas.openxmlformats.org/drawingml/2006/picture">
                              <pic:nvPicPr>
                                <pic:cNvPr id="200" name="Picture 20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133350" y="19050"/>
                                  <a:ext cx="723900" cy="904875"/>
                                </a:xfrm>
                                <a:prstGeom prst="rect">
                                  <a:avLst/>
                                </a:prstGeom>
                                <a:noFill/>
                              </pic:spPr>
                            </pic:pic>
                          </wpg:wgp>
                        </a:graphicData>
                      </a:graphic>
                    </wp:anchor>
                  </w:drawing>
                </mc:Choice>
                <mc:Fallback>
                  <w:pict>
                    <v:group id="Group 201" o:spid="_x0000_s1026" o:spt="203" style="position:absolute;left:0pt;margin-left:-4.75pt;margin-top:12.95pt;height:83.55pt;width:87pt;z-index:251665408;mso-width-relative:page;mso-height-relative:page;" coordorigin="-63500,-54666" coordsize="1104900,1061142" o:gfxdata="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">
                      <o:lock v:ext="edit" aspectratio="f"/>
                      <v:shape id="Picture 199" o:spid="_x0000_s1026" o:spt="75" type="#_x0000_t75" style="position:absolute;left:-63500;top:-54666;height:1061142;width:1104900;" filled="f" o:preferrelative="t" stroked="f" coordsize="21600,21600" o:gfxdata="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GzobsAAADc&#10;AAAADwAAAAAAAAABACAAAAAiAAAAZHJzL2Rvd25yZXYueG1sUEsBAhQAFAAAAAgAh07iQDMvBZ47&#10;AAAAOQAAABAAAAAAAAAAAQAgAAAACgEAAGRycy9zaGFwZXhtbC54bWxQSwUGAAAAAAYABgBbAQAA&#10;tAMAAAAA&#10;">
                        <v:fill on="f" focussize="0,0"/>
                        <v:stroke on="f"/>
                        <v:imagedata r:id="rId43" o:title=""/>
                        <o:lock v:ext="edit" aspectratio="t"/>
                      </v:shape>
                      <v:shape id="Picture 200" o:spid="_x0000_s1026" o:spt="75" type="#_x0000_t75" style="position:absolute;left:133350;top:19050;height:904875;width:723900;" filled="f" o:preferrelative="t" stroked="f" coordsize="21600,21600" o:gfxdata="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DIQL4A&#10;AADcAAAADwAAAAAAAAABACAAAAAiAAAAZHJzL2Rvd25yZXYueG1sUEsBAhQAFAAAAAgAh07iQDMv&#10;BZ47AAAAOQAAABAAAAAAAAAAAQAgAAAADQEAAGRycy9zaGFwZXhtbC54bWxQSwUGAAAAAAYABgBb&#10;AQAAtwMAAAAA&#10;">
                        <v:fill on="f" focussize="0,0"/>
                        <v:stroke on="f"/>
                        <v:imagedata r:id="rId44" o:title=""/>
                        <o:lock v:ext="edit" aspectratio="t"/>
                      </v:shape>
                    </v:group>
                  </w:pict>
                </mc:Fallback>
              </mc:AlternateContent>
            </w:r>
          </w:p>
          <w:p>
            <w:pPr>
              <w:spacing w:after="0" w:line="240" w:lineRule="auto"/>
            </w:pPr>
          </w:p>
          <w:p>
            <w:pPr>
              <w:spacing w:after="0" w:line="240" w:lineRule="auto"/>
            </w:pPr>
          </w:p>
        </w:tc>
        <w:tc>
          <w:tcPr>
            <w:tcW w:w="1800" w:type="dxa"/>
          </w:tcPr>
          <w:p>
            <w:pPr>
              <w:spacing w:after="0" w:line="240" w:lineRule="auto"/>
              <w:rPr>
                <w:color w:val="auto"/>
              </w:rPr>
            </w:pPr>
            <w:r>
              <w:rPr>
                <w:color w:val="auto"/>
              </w:rPr>
              <w:t>N</w:t>
            </w:r>
            <w:r>
              <w:rPr>
                <w:rFonts w:hint="eastAsia"/>
                <w:color w:val="auto"/>
              </w:rPr>
              <w:t>、</w:t>
            </w:r>
            <w:r>
              <w:rPr>
                <w:color w:val="auto"/>
              </w:rPr>
              <w:t>V</w:t>
            </w:r>
            <w:r>
              <w:rPr>
                <w:rFonts w:hint="eastAsia"/>
                <w:color w:val="auto"/>
              </w:rPr>
              <w:t>；</w:t>
            </w:r>
          </w:p>
          <w:p>
            <w:pPr>
              <w:spacing w:after="0" w:line="240" w:lineRule="auto"/>
              <w:rPr>
                <w:color w:val="auto"/>
              </w:rPr>
            </w:pPr>
            <w:r>
              <w:rPr>
                <w:rFonts w:hint="eastAsia"/>
                <w:color w:val="auto"/>
              </w:rPr>
              <w:t>既有构件内钢筋无要求</w:t>
            </w:r>
          </w:p>
        </w:tc>
        <w:tc>
          <w:tcPr>
            <w:tcW w:w="2250" w:type="dxa"/>
          </w:tcPr>
          <w:p>
            <w:pPr>
              <w:spacing w:after="0" w:line="240" w:lineRule="auto"/>
              <w:rPr>
                <w:color w:val="auto"/>
              </w:rPr>
            </w:pPr>
            <w:r>
              <w:rPr>
                <w:rFonts w:hint="eastAsia"/>
                <w:color w:val="auto"/>
              </w:rPr>
              <w:t>等同化学锚栓的植筋拉剪复合作用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40" w:type="dxa"/>
          </w:tcPr>
          <w:p>
            <w:pPr>
              <w:spacing w:after="0" w:line="240" w:lineRule="auto"/>
              <w:jc w:val="left"/>
              <w:rPr>
                <w:color w:val="auto"/>
              </w:rPr>
            </w:pPr>
            <w:r>
              <w:rPr>
                <w:rFonts w:hint="eastAsia"/>
                <w:color w:val="auto"/>
              </w:rPr>
              <w:t>增大构件截面</w:t>
            </w:r>
          </w:p>
        </w:tc>
        <w:tc>
          <w:tcPr>
            <w:tcW w:w="1415" w:type="dxa"/>
          </w:tcPr>
          <w:p>
            <w:pPr>
              <w:spacing w:after="0" w:line="240" w:lineRule="auto"/>
              <w:rPr>
                <w:color w:val="auto"/>
              </w:rPr>
            </w:pPr>
            <w:r>
              <w:rPr>
                <w:color w:val="auto"/>
              </w:rPr>
              <w:t>(i</w:t>
            </w:r>
            <w:r>
              <w:rPr>
                <w:rFonts w:hint="eastAsia"/>
                <w:color w:val="auto"/>
              </w:rPr>
              <w:t>)</w:t>
            </w:r>
            <w:r>
              <w:rPr>
                <w:color w:val="auto"/>
              </w:rPr>
              <w:t xml:space="preserve"> </w:t>
            </w:r>
            <w:r>
              <w:rPr>
                <w:rFonts w:hint="eastAsia"/>
                <w:color w:val="auto"/>
              </w:rPr>
              <w:t>增大截面</w:t>
            </w:r>
          </w:p>
        </w:tc>
        <w:tc>
          <w:tcPr>
            <w:tcW w:w="2183" w:type="dxa"/>
          </w:tcPr>
          <w:p>
            <w:pPr>
              <w:spacing w:after="0" w:line="240" w:lineRule="auto"/>
            </w:pPr>
          </w:p>
          <w:p>
            <w:pPr>
              <w:spacing w:after="0" w:line="240" w:lineRule="auto"/>
              <w:rPr>
                <w:color w:val="auto"/>
              </w:rPr>
            </w:pPr>
            <w:r>
              <w:object>
                <v:shape id="_x0000_i1040" o:spt="75" type="#_x0000_t75" style="height:21pt;width:108pt;" o:ole="t" filled="f" o:preferrelative="t" stroked="f" coordsize="21600,21600">
                  <v:path/>
                  <v:fill on="f" focussize="0,0"/>
                  <v:stroke on="f" joinstyle="miter"/>
                  <v:imagedata r:id="rId46" o:title=""/>
                  <o:lock v:ext="edit" aspectratio="t"/>
                  <w10:wrap type="none"/>
                  <w10:anchorlock/>
                </v:shape>
                <o:OLEObject Type="Embed" ProgID="PBrush" ShapeID="_x0000_i1040" DrawAspect="Content" ObjectID="_1468075740" r:id="rId45">
                  <o:LockedField>false</o:LockedField>
                </o:OLEObject>
              </w:object>
            </w:r>
          </w:p>
        </w:tc>
        <w:tc>
          <w:tcPr>
            <w:tcW w:w="1800" w:type="dxa"/>
          </w:tcPr>
          <w:p>
            <w:pPr>
              <w:spacing w:after="0" w:line="240" w:lineRule="auto"/>
              <w:rPr>
                <w:color w:val="auto"/>
              </w:rPr>
            </w:pPr>
            <w:r>
              <w:rPr>
                <w:rFonts w:hint="eastAsia"/>
                <w:color w:val="auto"/>
              </w:rPr>
              <w:t>N、V</w:t>
            </w:r>
          </w:p>
          <w:p>
            <w:pPr>
              <w:pStyle w:val="2"/>
              <w:ind w:left="0" w:leftChars="0" w:firstLine="0" w:firstLineChars="0"/>
            </w:pPr>
            <w:r>
              <w:rPr>
                <w:rFonts w:hint="eastAsia"/>
                <w:color w:val="auto"/>
              </w:rPr>
              <w:t>既有构件内钢筋无要求</w:t>
            </w:r>
          </w:p>
        </w:tc>
        <w:tc>
          <w:tcPr>
            <w:tcW w:w="2250" w:type="dxa"/>
          </w:tcPr>
          <w:p>
            <w:pPr>
              <w:spacing w:after="0" w:line="240" w:lineRule="auto"/>
              <w:rPr>
                <w:color w:val="auto"/>
              </w:rPr>
            </w:pPr>
            <w:r>
              <w:rPr>
                <w:rFonts w:hint="eastAsia"/>
                <w:color w:val="auto"/>
              </w:rPr>
              <w:t>新旧混凝土拉结植筋</w:t>
            </w:r>
          </w:p>
        </w:tc>
      </w:tr>
      <w:bookmarkEnd w:id="25"/>
    </w:tbl>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b/>
          <w:bCs/>
          <w:color w:val="auto"/>
        </w:rPr>
      </w:pPr>
      <w:r>
        <w:rPr>
          <w:rFonts w:ascii="宋体" w:hAnsi="宋体"/>
          <w:b/>
          <w:bCs/>
          <w:color w:val="auto"/>
        </w:rPr>
        <w:t>注</w:t>
      </w:r>
      <w:r>
        <w:rPr>
          <w:rFonts w:hint="eastAsia" w:ascii="宋体" w:hAnsi="宋体"/>
          <w:b/>
          <w:bCs/>
          <w:color w:val="auto"/>
        </w:rPr>
        <w:t>：指当轴向压力占主导作用时，即植筋连接节点可以同时受到压力和弯矩作用，但经内力分析后的植筋均承受压力。</w:t>
      </w:r>
    </w:p>
    <w:p>
      <w:pPr>
        <w:widowControl/>
        <w:autoSpaceDE w:val="0"/>
        <w:autoSpaceDN w:val="0"/>
        <w:adjustRightInd w:val="0"/>
        <w:spacing w:after="0" w:line="360" w:lineRule="auto"/>
        <w:jc w:val="left"/>
        <w:rPr>
          <w:rFonts w:hint="eastAsia" w:ascii="宋体" w:cs="宋体" w:hAnsiTheme="minorHAnsi"/>
          <w:i/>
          <w:iCs/>
          <w:color w:val="4472C4" w:themeColor="accent1"/>
          <w:sz w:val="24"/>
          <w:szCs w:val="24"/>
          <w14:textFill>
            <w14:solidFill>
              <w14:schemeClr w14:val="accent1"/>
            </w14:solidFill>
          </w14:textFill>
        </w:rPr>
      </w:pPr>
      <w:r>
        <w:rPr>
          <w:rFonts w:hint="eastAsia" w:ascii="宋体" w:cs="宋体" w:hAnsiTheme="minorHAnsi"/>
          <w:i/>
          <w:iCs/>
          <w:color w:val="4472C4" w:themeColor="accent1"/>
          <w:sz w:val="24"/>
          <w:szCs w:val="24"/>
          <w14:textFill>
            <w14:solidFill>
              <w14:schemeClr w14:val="accent1"/>
            </w14:solidFill>
          </w14:textFill>
        </w:rPr>
        <w:t>【条文说明】</w:t>
      </w:r>
      <w:r>
        <w:rPr>
          <w:rFonts w:hint="eastAsia" w:ascii="宋体" w:cs="宋体" w:hAnsiTheme="minorHAnsi"/>
          <w:b/>
          <w:bCs/>
          <w:i/>
          <w:iCs/>
          <w:color w:val="4472C4" w:themeColor="accent1"/>
          <w:sz w:val="24"/>
          <w:szCs w:val="24"/>
          <w14:textFill>
            <w14:solidFill>
              <w14:schemeClr w14:val="accent1"/>
            </w14:solidFill>
          </w14:textFill>
        </w:rPr>
        <w:t>4.1.</w:t>
      </w:r>
      <w:r>
        <w:rPr>
          <w:rFonts w:hint="eastAsia" w:ascii="宋体" w:cs="宋体" w:hAnsiTheme="minorHAnsi"/>
          <w:b/>
          <w:bCs/>
          <w:i/>
          <w:iCs/>
          <w:color w:val="4472C4" w:themeColor="accent1"/>
          <w:sz w:val="24"/>
          <w:szCs w:val="24"/>
          <w:lang w:val="en-US" w:eastAsia="zh-CN"/>
          <w14:textFill>
            <w14:solidFill>
              <w14:schemeClr w14:val="accent1"/>
            </w14:solidFill>
          </w14:textFill>
        </w:rPr>
        <w:t>6</w:t>
      </w:r>
      <w:r>
        <w:rPr>
          <w:rFonts w:hint="eastAsia" w:ascii="宋体" w:cs="宋体" w:hAnsiTheme="minorHAnsi"/>
          <w:i/>
          <w:iCs/>
          <w:color w:val="4472C4" w:themeColor="accent1"/>
          <w:sz w:val="24"/>
          <w:szCs w:val="24"/>
          <w14:textFill>
            <w14:solidFill>
              <w14:schemeClr w14:val="accent1"/>
            </w14:solidFill>
          </w14:textFill>
        </w:rPr>
        <w:t xml:space="preserve"> 横向约束钢筋指为提高混凝土抗劈裂破坏能力而专门布置的钢筋。通常，既有混凝土中的箍筋可以认为是横向约束钢筋，而对于既有混凝土基材内与植筋方向垂直的主筋（如以柱为混凝土基材时，柱侧面植筋时柱的纵向钢筋）一般不认为是横向约束钢筋。</w:t>
      </w:r>
    </w:p>
    <w:p>
      <w:pPr>
        <w:spacing w:after="0" w:line="360" w:lineRule="auto"/>
        <w:rPr>
          <w:color w:val="auto"/>
          <w:sz w:val="24"/>
          <w:szCs w:val="24"/>
          <w:highlight w:val="yellow"/>
        </w:rPr>
      </w:pPr>
      <w:r>
        <w:rPr>
          <w:b/>
          <w:bCs/>
          <w:color w:val="auto"/>
          <w:sz w:val="24"/>
          <w:szCs w:val="24"/>
        </w:rPr>
        <w:t>4.1.7</w:t>
      </w:r>
      <w:r>
        <w:rPr>
          <w:rFonts w:hint="eastAsia"/>
          <w:color w:val="auto"/>
          <w:sz w:val="24"/>
          <w:szCs w:val="24"/>
        </w:rPr>
        <w:t>用于连接同一被连接结构构件的植筋应</w:t>
      </w:r>
      <w:r>
        <w:rPr>
          <w:color w:val="auto"/>
          <w:sz w:val="24"/>
          <w:szCs w:val="24"/>
        </w:rPr>
        <w:t>根据</w:t>
      </w:r>
      <w:r>
        <w:rPr>
          <w:rFonts w:hint="eastAsia"/>
          <w:color w:val="auto"/>
          <w:sz w:val="24"/>
          <w:szCs w:val="24"/>
        </w:rPr>
        <w:t>所有植筋中处于最不利位置的单根植筋进行锚固设计。</w:t>
      </w:r>
    </w:p>
    <w:p>
      <w:pPr>
        <w:widowControl/>
        <w:autoSpaceDE w:val="0"/>
        <w:autoSpaceDN w:val="0"/>
        <w:adjustRightInd w:val="0"/>
        <w:spacing w:after="0" w:line="360" w:lineRule="auto"/>
        <w:jc w:val="left"/>
        <w:rPr>
          <w:i/>
          <w:iCs/>
          <w:color w:val="0070C0"/>
          <w:sz w:val="24"/>
          <w:szCs w:val="24"/>
        </w:rPr>
      </w:pPr>
      <w:r>
        <w:rPr>
          <w:rFonts w:hint="eastAsia"/>
          <w:i/>
          <w:iCs/>
          <w:color w:val="4472C4" w:themeColor="accent1"/>
          <w:sz w:val="24"/>
          <w:szCs w:val="24"/>
          <w14:textFill>
            <w14:solidFill>
              <w14:schemeClr w14:val="accent1"/>
            </w14:solidFill>
          </w14:textFill>
        </w:rPr>
        <w:t>【条文说明】</w:t>
      </w:r>
      <w:r>
        <w:rPr>
          <w:rFonts w:hint="default" w:ascii="Times New Roman" w:hAnsi="Times New Roman" w:cs="Times New Roman"/>
          <w:b/>
          <w:bCs/>
          <w:i/>
          <w:iCs/>
          <w:color w:val="0070C0"/>
          <w:sz w:val="24"/>
          <w:szCs w:val="24"/>
        </w:rPr>
        <w:t xml:space="preserve">4.1.7 </w:t>
      </w:r>
      <w:r>
        <w:rPr>
          <w:rFonts w:hint="eastAsia"/>
          <w:i/>
          <w:iCs/>
          <w:color w:val="0070C0"/>
          <w:sz w:val="24"/>
          <w:szCs w:val="24"/>
        </w:rPr>
        <w:t>当植筋群中的个体植筋存在角部或边缘布置时，应充分考虑混凝土劈裂破坏对植筋承载力的影响。</w:t>
      </w:r>
    </w:p>
    <w:p>
      <w:pPr>
        <w:spacing w:after="0" w:line="360" w:lineRule="auto"/>
        <w:rPr>
          <w:rFonts w:ascii="宋体" w:hAnsi="宋体"/>
          <w:color w:val="auto"/>
          <w:sz w:val="24"/>
          <w:szCs w:val="24"/>
        </w:rPr>
      </w:pPr>
      <w:r>
        <w:rPr>
          <w:b/>
          <w:bCs/>
          <w:color w:val="auto"/>
          <w:sz w:val="24"/>
          <w:szCs w:val="24"/>
        </w:rPr>
        <w:t>4.</w:t>
      </w:r>
      <w:r>
        <w:rPr>
          <w:rFonts w:hint="eastAsia"/>
          <w:b/>
          <w:bCs/>
          <w:color w:val="auto"/>
          <w:sz w:val="24"/>
          <w:szCs w:val="24"/>
        </w:rPr>
        <w:t>1</w:t>
      </w:r>
      <w:r>
        <w:rPr>
          <w:b/>
          <w:bCs/>
          <w:color w:val="auto"/>
          <w:sz w:val="24"/>
          <w:szCs w:val="24"/>
        </w:rPr>
        <w:t>.</w:t>
      </w:r>
      <w:r>
        <w:rPr>
          <w:rFonts w:hint="eastAsia"/>
          <w:b/>
          <w:bCs/>
          <w:color w:val="auto"/>
          <w:sz w:val="24"/>
          <w:szCs w:val="24"/>
        </w:rPr>
        <w:t>8</w:t>
      </w:r>
      <w:r>
        <w:rPr>
          <w:rFonts w:hint="eastAsia" w:ascii="宋体" w:hAnsi="宋体"/>
          <w:color w:val="auto"/>
          <w:sz w:val="24"/>
          <w:szCs w:val="24"/>
        </w:rPr>
        <w:t xml:space="preserve"> 承重结构植筋的锚固长度应经设计计算确定，不得按短期拉拔试验值或厂商技术手册的推荐值采用。</w:t>
      </w:r>
    </w:p>
    <w:p>
      <w:pPr>
        <w:spacing w:after="0" w:line="360" w:lineRule="auto"/>
        <w:rPr>
          <w:rFonts w:ascii="宋体" w:cs="宋体" w:hAnsiTheme="minorHAnsi"/>
          <w:i/>
          <w:iCs/>
          <w:color w:val="0070C0"/>
          <w:sz w:val="24"/>
          <w:szCs w:val="24"/>
        </w:rPr>
      </w:pPr>
      <w:r>
        <w:rPr>
          <w:rFonts w:hint="eastAsia" w:ascii="宋体" w:cs="宋体" w:hAnsiTheme="minorHAnsi"/>
          <w:i/>
          <w:iCs/>
          <w:color w:val="0070C0"/>
          <w:sz w:val="24"/>
          <w:szCs w:val="24"/>
        </w:rPr>
        <w:t>【条文说明】</w:t>
      </w:r>
      <w:r>
        <w:rPr>
          <w:rFonts w:hint="default" w:ascii="Times New Roman" w:hAnsi="Times New Roman" w:cs="Times New Roman"/>
          <w:b/>
          <w:bCs/>
          <w:i/>
          <w:iCs/>
          <w:color w:val="0070C0"/>
          <w:sz w:val="24"/>
          <w:szCs w:val="24"/>
        </w:rPr>
        <w:t>4.1.8</w:t>
      </w:r>
      <w:r>
        <w:rPr>
          <w:rFonts w:hint="default" w:ascii="Times New Roman" w:hAnsi="Times New Roman" w:cs="Times New Roman"/>
          <w:i/>
          <w:iCs/>
          <w:color w:val="0070C0"/>
          <w:sz w:val="24"/>
          <w:szCs w:val="24"/>
        </w:rPr>
        <w:t xml:space="preserve"> </w:t>
      </w:r>
      <w:r>
        <w:rPr>
          <w:rFonts w:hint="eastAsia" w:ascii="宋体" w:cs="宋体" w:hAnsiTheme="minorHAnsi"/>
          <w:i/>
          <w:iCs/>
          <w:color w:val="0070C0"/>
          <w:sz w:val="24"/>
          <w:szCs w:val="24"/>
        </w:rPr>
        <w:t>植筋间距和边距严重影响单根和多根植筋的承载力。即便厂商技术手册推荐的单根钢筋承载力数据真实甚至经过现场的单根钢筋拉拔测试证明能够达到一定力值，也严禁将其作为设计参数直接用于植筋设计。</w:t>
      </w:r>
    </w:p>
    <w:p>
      <w:pPr>
        <w:spacing w:after="0" w:line="36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4.1.9</w:t>
      </w:r>
      <w:r>
        <w:rPr>
          <w:rFonts w:hint="default" w:ascii="Times New Roman" w:hAnsi="Times New Roman" w:cs="Times New Roman"/>
          <w:color w:val="auto"/>
          <w:sz w:val="24"/>
          <w:szCs w:val="24"/>
        </w:rPr>
        <w:t xml:space="preserve"> 作为植筋连接的混凝土基材结构构件完成植筋锚固后形成的节点内力分析和设计应满足现行国家标准《混凝土结构设计规范》GB</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50010的有关规定。</w:t>
      </w:r>
    </w:p>
    <w:p>
      <w:pPr>
        <w:pStyle w:val="2"/>
        <w:spacing w:after="0" w:line="360" w:lineRule="auto"/>
        <w:ind w:left="0" w:leftChars="0" w:firstLine="0" w:firstLineChars="0"/>
        <w:rPr>
          <w:rFonts w:hint="default" w:ascii="Times New Roman" w:hAnsi="Times New Roman" w:cs="Times New Roman"/>
          <w:i/>
          <w:iCs/>
          <w:color w:val="4472C4" w:themeColor="accent1"/>
          <w14:textFill>
            <w14:solidFill>
              <w14:schemeClr w14:val="accent1"/>
            </w14:solidFill>
          </w14:textFill>
        </w:rPr>
      </w:pPr>
      <w:r>
        <w:rPr>
          <w:rFonts w:hint="default" w:ascii="Times New Roman" w:hAnsi="Times New Roman" w:cs="Times New Roman"/>
          <w:i/>
          <w:iCs/>
          <w:color w:val="4472C4" w:themeColor="accent1"/>
          <w:sz w:val="24"/>
          <w:szCs w:val="24"/>
          <w14:textFill>
            <w14:solidFill>
              <w14:schemeClr w14:val="accent1"/>
            </w14:solidFill>
          </w14:textFill>
        </w:rPr>
        <w:t>【条文说明】</w:t>
      </w:r>
      <w:r>
        <w:rPr>
          <w:rFonts w:hint="default" w:ascii="Times New Roman" w:hAnsi="Times New Roman" w:cs="Times New Roman"/>
          <w:b/>
          <w:bCs/>
          <w:i/>
          <w:iCs/>
          <w:color w:val="4472C4" w:themeColor="accent1"/>
          <w:sz w:val="24"/>
          <w:szCs w:val="24"/>
          <w14:textFill>
            <w14:solidFill>
              <w14:schemeClr w14:val="accent1"/>
            </w14:solidFill>
          </w14:textFill>
        </w:rPr>
        <w:t>4.1.9</w:t>
      </w:r>
      <w:r>
        <w:rPr>
          <w:rFonts w:hint="default" w:ascii="Times New Roman" w:hAnsi="Times New Roman" w:cs="Times New Roman"/>
          <w:i/>
          <w:iCs/>
          <w:color w:val="4472C4" w:themeColor="accent1"/>
          <w14:textFill>
            <w14:solidFill>
              <w14:schemeClr w14:val="accent1"/>
            </w14:solidFill>
          </w14:textFill>
        </w:rPr>
        <w:t xml:space="preserve"> </w:t>
      </w:r>
      <w:r>
        <w:rPr>
          <w:rFonts w:hint="default" w:ascii="Times New Roman" w:hAnsi="Times New Roman" w:cs="Times New Roman"/>
          <w:i/>
          <w:iCs/>
          <w:color w:val="4472C4" w:themeColor="accent1"/>
          <w:sz w:val="24"/>
          <w:szCs w:val="24"/>
          <w14:textFill>
            <w14:solidFill>
              <w14:schemeClr w14:val="accent1"/>
            </w14:solidFill>
          </w14:textFill>
        </w:rPr>
        <w:t>既有构件的设计不属于本规范范畴。后锚固后引起的新荷载（内力）条件应该按照现行相关规范进行验算或设计。</w:t>
      </w:r>
    </w:p>
    <w:p>
      <w:pPr>
        <w:pStyle w:val="5"/>
      </w:pPr>
      <w:bookmarkStart w:id="26" w:name="_Toc145273812"/>
      <w:bookmarkStart w:id="27" w:name="_Toc23290"/>
      <w:r>
        <w:t>4</w:t>
      </w:r>
      <w:r>
        <w:rPr>
          <w:rFonts w:hint="eastAsia"/>
        </w:rPr>
        <w:t>.</w:t>
      </w:r>
      <w:r>
        <w:t>2</w:t>
      </w:r>
      <w:r>
        <w:rPr>
          <w:rFonts w:hint="eastAsia"/>
        </w:rPr>
        <w:t xml:space="preserve"> 基于充分利用钢材强度的植筋锚固长度验算</w:t>
      </w:r>
      <w:bookmarkEnd w:id="26"/>
      <w:bookmarkEnd w:id="27"/>
    </w:p>
    <w:p>
      <w:pPr>
        <w:spacing w:after="0"/>
        <w:jc w:val="center"/>
        <w:rPr>
          <w:rFonts w:hint="eastAsia" w:ascii="宋体" w:hAnsi="宋体" w:eastAsia="宋体"/>
          <w:b/>
          <w:bCs/>
          <w:sz w:val="24"/>
          <w:szCs w:val="24"/>
          <w:lang w:eastAsia="zh-CN"/>
        </w:rPr>
      </w:pPr>
      <w:r>
        <w:rPr>
          <w:rFonts w:hint="eastAsia" w:ascii="宋体" w:hAnsi="宋体"/>
          <w:b/>
          <w:bCs/>
          <w:color w:val="auto"/>
          <w:sz w:val="24"/>
          <w:szCs w:val="24"/>
        </w:rPr>
        <w:fldChar w:fldCharType="begin"/>
      </w:r>
      <w:r>
        <w:rPr>
          <w:rFonts w:ascii="宋体" w:hAnsi="宋体"/>
          <w:b/>
          <w:bCs/>
          <w:color w:val="auto"/>
          <w:sz w:val="24"/>
          <w:szCs w:val="24"/>
        </w:rPr>
        <w:instrText xml:space="preserve"> = 1 \* ROMAN \* MERGEFORMAT </w:instrText>
      </w:r>
      <w:r>
        <w:rPr>
          <w:rFonts w:hint="eastAsia" w:ascii="宋体" w:hAnsi="宋体"/>
          <w:b/>
          <w:bCs/>
          <w:color w:val="auto"/>
          <w:sz w:val="24"/>
          <w:szCs w:val="24"/>
        </w:rPr>
        <w:fldChar w:fldCharType="separate"/>
      </w:r>
      <w:r>
        <w:rPr>
          <w:rFonts w:ascii="宋体" w:hAnsi="宋体"/>
          <w:b/>
          <w:bCs/>
          <w:color w:val="auto"/>
          <w:sz w:val="24"/>
          <w:szCs w:val="24"/>
        </w:rPr>
        <w:t>I</w:t>
      </w:r>
      <w:r>
        <w:rPr>
          <w:rFonts w:hint="eastAsia" w:ascii="宋体" w:hAnsi="宋体"/>
          <w:b/>
          <w:bCs/>
          <w:color w:val="auto"/>
          <w:sz w:val="24"/>
          <w:szCs w:val="24"/>
        </w:rPr>
        <w:fldChar w:fldCharType="end"/>
      </w:r>
      <w:r>
        <w:rPr>
          <w:rFonts w:ascii="宋体" w:hAnsi="宋体"/>
          <w:b/>
          <w:bCs/>
          <w:color w:val="auto"/>
          <w:sz w:val="24"/>
          <w:szCs w:val="24"/>
        </w:rPr>
        <w:t xml:space="preserve"> 无认证报告时的锚固长度</w:t>
      </w:r>
      <w:r>
        <w:rPr>
          <w:rFonts w:hint="eastAsia" w:ascii="宋体" w:hAnsi="宋体"/>
          <w:b/>
          <w:bCs/>
          <w:color w:val="auto"/>
          <w:sz w:val="24"/>
          <w:szCs w:val="24"/>
          <w:lang w:val="en-US" w:eastAsia="zh-CN"/>
        </w:rPr>
        <w:t>验算</w:t>
      </w:r>
    </w:p>
    <w:p>
      <w:pPr>
        <w:tabs>
          <w:tab w:val="left" w:pos="567"/>
        </w:tabs>
        <w:spacing w:after="0" w:line="400" w:lineRule="atLeast"/>
        <w:rPr>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4</w:t>
      </w:r>
      <w:r>
        <w:rPr>
          <w:b/>
          <w:color w:val="000000" w:themeColor="text1"/>
          <w:kern w:val="2"/>
          <w:sz w:val="24"/>
          <w:szCs w:val="24"/>
          <w14:textFill>
            <w14:solidFill>
              <w14:schemeClr w14:val="tx1"/>
            </w14:solidFill>
          </w14:textFill>
        </w:rPr>
        <w:t>.</w:t>
      </w:r>
      <w:r>
        <w:rPr>
          <w:rFonts w:hint="eastAsia"/>
          <w:b/>
          <w:color w:val="000000" w:themeColor="text1"/>
          <w:kern w:val="2"/>
          <w:sz w:val="24"/>
          <w:szCs w:val="24"/>
          <w14:textFill>
            <w14:solidFill>
              <w14:schemeClr w14:val="tx1"/>
            </w14:solidFill>
          </w14:textFill>
        </w:rPr>
        <w:t>2</w:t>
      </w:r>
      <w:r>
        <w:rPr>
          <w:b/>
          <w:color w:val="000000" w:themeColor="text1"/>
          <w:kern w:val="2"/>
          <w:sz w:val="24"/>
          <w:szCs w:val="24"/>
          <w14:textFill>
            <w14:solidFill>
              <w14:schemeClr w14:val="tx1"/>
            </w14:solidFill>
          </w14:textFill>
        </w:rPr>
        <w:t>.1</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对于</w:t>
      </w:r>
      <w:r>
        <w:rPr>
          <w:color w:val="000000" w:themeColor="text1"/>
          <w:sz w:val="24"/>
          <w:szCs w:val="24"/>
          <w14:textFill>
            <w14:solidFill>
              <w14:schemeClr w14:val="tx1"/>
            </w14:solidFill>
          </w14:textFill>
        </w:rPr>
        <w:t>受拉锚固植筋</w:t>
      </w:r>
      <w:r>
        <w:rPr>
          <w:rFonts w:hint="eastAsia"/>
          <w:color w:val="000000" w:themeColor="text1"/>
          <w:sz w:val="24"/>
          <w:szCs w:val="24"/>
          <w14:textFill>
            <w14:solidFill>
              <w14:schemeClr w14:val="tx1"/>
            </w14:solidFill>
          </w14:textFill>
        </w:rPr>
        <w:t>，</w:t>
      </w:r>
      <w:r>
        <w:rPr>
          <w:rFonts w:hint="eastAsia"/>
          <w:color w:val="000000" w:themeColor="text1"/>
          <w:kern w:val="2"/>
          <w:sz w:val="24"/>
          <w:szCs w:val="24"/>
          <w14:textFill>
            <w14:solidFill>
              <w14:schemeClr w14:val="tx1"/>
            </w14:solidFill>
          </w14:textFill>
        </w:rPr>
        <w:t>单根植筋锚固的锚固长度设计值和受拉承载力设计值应符合下列规定：</w:t>
      </w:r>
    </w:p>
    <w:p>
      <w:pPr>
        <w:spacing w:after="0" w:line="300" w:lineRule="auto"/>
        <w:jc w:val="right"/>
        <w:rPr>
          <w:color w:val="000000" w:themeColor="text1"/>
          <w:sz w:val="24"/>
          <w:szCs w:val="24"/>
          <w14:textFill>
            <w14:solidFill>
              <w14:schemeClr w14:val="tx1"/>
            </w14:solidFill>
          </w14:textFill>
        </w:rPr>
      </w:pPr>
      <w:r>
        <w:rPr>
          <w:color w:val="000000" w:themeColor="text1"/>
          <w:position w:val="-12"/>
          <w:sz w:val="24"/>
          <w:szCs w:val="24"/>
          <w14:textFill>
            <w14:solidFill>
              <w14:schemeClr w14:val="tx1"/>
            </w14:solidFill>
          </w14:textFill>
        </w:rPr>
        <w:object>
          <v:shape id="_x0000_i1041" o:spt="75" type="#_x0000_t75" style="height:21pt;width:21pt;" o:ole="t" filled="f" o:preferrelative="t" stroked="f" coordsize="21600,21600">
            <v:path/>
            <v:fill on="f" focussize="0,0"/>
            <v:stroke on="f" joinstyle="miter"/>
            <v:imagedata r:id="rId48" o:title=""/>
            <o:lock v:ext="edit" aspectratio="t"/>
            <w10:wrap type="none"/>
            <w10:anchorlock/>
          </v:shape>
          <o:OLEObject Type="Embed" ProgID="Equation.3" ShapeID="_x0000_i1041" DrawAspect="Content" ObjectID="_1468075741" r:id="rId47">
            <o:LockedField>false</o:LockedField>
          </o:OLEObject>
        </w:object>
      </w:r>
      <w:r>
        <w:rPr>
          <w:rFonts w:hint="eastAsia" w:ascii="宋体" w:hAnsi="宋体"/>
          <w:color w:val="000000" w:themeColor="text1"/>
          <w:sz w:val="24"/>
          <w:szCs w:val="24"/>
          <w14:textFill>
            <w14:solidFill>
              <w14:schemeClr w14:val="tx1"/>
            </w14:solidFill>
          </w14:textFill>
        </w:rPr>
        <w:t>＝</w:t>
      </w:r>
      <w:r>
        <w:rPr>
          <w:rFonts w:hint="eastAsia"/>
          <w:i/>
          <w:iCs/>
          <w:color w:val="000000" w:themeColor="text1"/>
          <w:spacing w:val="40"/>
          <w:sz w:val="24"/>
          <w:szCs w:val="24"/>
          <w14:textFill>
            <w14:solidFill>
              <w14:schemeClr w14:val="tx1"/>
            </w14:solidFill>
          </w14:textFill>
        </w:rPr>
        <w:t>f</w:t>
      </w:r>
      <w:r>
        <w:rPr>
          <w:rFonts w:hint="eastAsia"/>
          <w:iCs/>
          <w:color w:val="000000" w:themeColor="text1"/>
          <w:spacing w:val="40"/>
          <w:sz w:val="24"/>
          <w:szCs w:val="24"/>
          <w:vertAlign w:val="subscript"/>
          <w14:textFill>
            <w14:solidFill>
              <w14:schemeClr w14:val="tx1"/>
            </w14:solidFill>
          </w14:textFill>
        </w:rPr>
        <w:t>y</w:t>
      </w:r>
      <w:r>
        <w:rPr>
          <w:color w:val="000000" w:themeColor="text1"/>
          <w:spacing w:val="40"/>
          <w:sz w:val="24"/>
          <w:szCs w:val="24"/>
          <w14:textFill>
            <w14:solidFill>
              <w14:schemeClr w14:val="tx1"/>
            </w14:solidFill>
          </w14:textFill>
        </w:rPr>
        <w:t>∙</w:t>
      </w:r>
      <w:r>
        <w:rPr>
          <w:rFonts w:hint="eastAsia"/>
          <w:i/>
          <w:iCs/>
          <w:color w:val="000000" w:themeColor="text1"/>
          <w:spacing w:val="40"/>
          <w:sz w:val="24"/>
          <w:szCs w:val="24"/>
          <w14:textFill>
            <w14:solidFill>
              <w14:schemeClr w14:val="tx1"/>
            </w14:solidFill>
          </w14:textFill>
        </w:rPr>
        <w:t>A</w:t>
      </w:r>
      <w:r>
        <w:rPr>
          <w:rFonts w:hint="eastAsia"/>
          <w:iCs/>
          <w:color w:val="000000" w:themeColor="text1"/>
          <w:spacing w:val="40"/>
          <w:sz w:val="24"/>
          <w:szCs w:val="24"/>
          <w:vertAlign w:val="subscript"/>
          <w14:textFill>
            <w14:solidFill>
              <w14:schemeClr w14:val="tx1"/>
            </w14:solidFill>
          </w14:textFill>
        </w:rPr>
        <w:t>s</w:t>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4.2.1-1）</w:t>
      </w:r>
    </w:p>
    <w:p>
      <w:pPr>
        <w:spacing w:after="0" w:line="300" w:lineRule="auto"/>
        <w:jc w:val="right"/>
        <w:rPr>
          <w:color w:val="000000" w:themeColor="text1"/>
          <w:sz w:val="24"/>
          <w:szCs w:val="24"/>
          <w14:textFill>
            <w14:solidFill>
              <w14:schemeClr w14:val="tx1"/>
            </w14:solidFill>
          </w14:textFill>
        </w:rPr>
      </w:pPr>
      <m:oMath>
        <m:sSub>
          <m:sSubPr>
            <m:ctrlPr>
              <w:rPr>
                <w:rFonts w:ascii="Cambria Math" w:hAnsi="Cambria Math"/>
                <w:i/>
                <w:iCs/>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l</m:t>
            </m:r>
            <m:ctrlPr>
              <w:rPr>
                <w:rFonts w:ascii="Cambria Math" w:hAnsi="Cambria Math"/>
                <w:i/>
                <w:iCs/>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d</m:t>
            </m:r>
            <m:ctrlPr>
              <w:rPr>
                <w:rFonts w:ascii="Cambria Math" w:hAnsi="Cambria Math"/>
                <w:i/>
                <w:iCs/>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iCs/>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ψ</m:t>
            </m:r>
            <m:ctrlPr>
              <w:rPr>
                <w:rFonts w:ascii="Cambria Math" w:hAnsi="Cambria Math"/>
                <w:i/>
                <w:iCs/>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N</m:t>
            </m:r>
            <m:ctrlPr>
              <w:rPr>
                <w:rFonts w:ascii="Cambria Math" w:hAnsi="Cambria Math"/>
                <w:i/>
                <w:iCs/>
                <w:color w:val="000000" w:themeColor="text1"/>
                <w:sz w:val="24"/>
                <w:szCs w:val="24"/>
                <w14:textFill>
                  <w14:solidFill>
                    <w14:schemeClr w14:val="tx1"/>
                  </w14:solidFill>
                </w14:textFill>
              </w:rPr>
            </m:ctrlPr>
          </m:sub>
        </m:sSub>
        <m:sSub>
          <m:sSubPr>
            <m:ctrlPr>
              <w:rPr>
                <w:rFonts w:ascii="Cambria Math" w:hAnsi="Cambria Math"/>
                <w:i/>
                <w:iCs/>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ψ</m:t>
            </m:r>
            <m:ctrlPr>
              <w:rPr>
                <w:rFonts w:ascii="Cambria Math" w:hAnsi="Cambria Math"/>
                <w:i/>
                <w:iCs/>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ae</m:t>
            </m:r>
            <m:ctrlPr>
              <w:rPr>
                <w:rFonts w:ascii="Cambria Math" w:hAnsi="Cambria Math"/>
                <w:i/>
                <w:iCs/>
                <w:color w:val="000000" w:themeColor="text1"/>
                <w:sz w:val="24"/>
                <w:szCs w:val="24"/>
                <w14:textFill>
                  <w14:solidFill>
                    <w14:schemeClr w14:val="tx1"/>
                  </w14:solidFill>
                </w14:textFill>
              </w:rPr>
            </m:ctrlPr>
          </m:sub>
        </m:sSub>
        <m:sSub>
          <m:sSubPr>
            <m:ctrlPr>
              <w:rPr>
                <w:rFonts w:ascii="Cambria Math" w:hAnsi="Cambria Math"/>
                <w:i/>
                <w:iCs/>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l</m:t>
            </m:r>
            <m:ctrlPr>
              <w:rPr>
                <w:rFonts w:ascii="Cambria Math" w:hAnsi="Cambria Math"/>
                <w:i/>
                <w:iCs/>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m:t>
            </m:r>
            <m:ctrlPr>
              <w:rPr>
                <w:rFonts w:ascii="Cambria Math" w:hAnsi="Cambria Math"/>
                <w:i/>
                <w:iCs/>
                <w:color w:val="000000" w:themeColor="text1"/>
                <w:sz w:val="24"/>
                <w:szCs w:val="24"/>
                <w14:textFill>
                  <w14:solidFill>
                    <w14:schemeClr w14:val="tx1"/>
                  </w14:solidFill>
                </w14:textFill>
              </w:rPr>
            </m:ctrlPr>
          </m:sub>
        </m:sSub>
      </m:oMath>
      <w:r>
        <w:rPr>
          <w:rFonts w:hint="eastAsia" w:ascii="Cambria Math" w:hAnsi="Cambria Math"/>
          <w:i/>
          <w:iCs/>
          <w:color w:val="000000" w:themeColor="text1"/>
          <w:sz w:val="24"/>
          <w:szCs w:val="24"/>
          <w:lang w:val="en-US" w:eastAsia="zh-CN"/>
          <w14:textFill>
            <w14:solidFill>
              <w14:schemeClr w14:val="tx1"/>
            </w14:solidFill>
          </w14:textFill>
        </w:rPr>
        <w:t xml:space="preserve">       </w:t>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（4.2.1-2</w:t>
      </w:r>
      <w:r>
        <w:rPr>
          <w:rFonts w:hint="eastAsia"/>
          <w:color w:val="000000" w:themeColor="text1"/>
          <w:sz w:val="24"/>
          <w:szCs w:val="24"/>
          <w14:textFill>
            <w14:solidFill>
              <w14:schemeClr w14:val="tx1"/>
            </w14:solidFill>
          </w14:textFill>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9"/>
        <w:gridCol w:w="6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式中：</w:t>
            </w:r>
            <w:r>
              <w:rPr>
                <w:rFonts w:ascii="宋体" w:hAnsi="宋体"/>
                <w:color w:val="000000" w:themeColor="text1"/>
                <w:kern w:val="2"/>
                <w:position w:val="-10"/>
                <w:sz w:val="24"/>
                <w:szCs w:val="24"/>
                <w14:textFill>
                  <w14:solidFill>
                    <w14:schemeClr w14:val="tx1"/>
                  </w14:solidFill>
                </w14:textFill>
              </w:rPr>
              <w:object>
                <v:shape id="_x0000_i1042" o:spt="75" type="#_x0000_t75" style="height:21pt;width:21pt;" o:ole="t" filled="f" o:preferrelative="t" stroked="f" coordsize="21600,21600">
                  <v:path/>
                  <v:fill on="f" focussize="0,0"/>
                  <v:stroke on="f" joinstyle="miter"/>
                  <v:imagedata r:id="rId21" o:title=""/>
                  <o:lock v:ext="edit" aspectratio="t"/>
                  <w10:wrap type="none"/>
                  <w10:anchorlock/>
                </v:shape>
                <o:OLEObject Type="Embed" ProgID="Equation.DSMT4" ShapeID="_x0000_i1042" DrawAspect="Content" ObjectID="_1468075742" r:id="rId49">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植筋钢材受拉承载力设计值</w:t>
            </w:r>
            <w:r>
              <w:rPr>
                <w:rFonts w:hint="eastAsia" w:hAnsi="宋体"/>
                <w:color w:val="000000" w:themeColor="text1"/>
                <w:kern w:val="2"/>
                <w:sz w:val="24"/>
                <w:szCs w:val="24"/>
                <w14:textFill>
                  <w14:solidFill>
                    <w14:schemeClr w14:val="tx1"/>
                  </w14:solidFill>
                </w14:textFill>
              </w:rPr>
              <w:t>（</w:t>
            </w:r>
            <w:r>
              <w:rPr>
                <w:rFonts w:hAnsi="宋体"/>
                <w:color w:val="000000" w:themeColor="text1"/>
                <w:kern w:val="2"/>
                <w:sz w:val="24"/>
                <w:szCs w:val="24"/>
                <w14:textFill>
                  <w14:solidFill>
                    <w14:schemeClr w14:val="tx1"/>
                  </w14:solidFill>
                </w14:textFill>
              </w:rPr>
              <w:t>N</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4"/>
                <w:sz w:val="24"/>
                <w:szCs w:val="24"/>
                <w14:textFill>
                  <w14:solidFill>
                    <w14:schemeClr w14:val="tx1"/>
                  </w14:solidFill>
                </w14:textFill>
              </w:rPr>
              <w:object>
                <v:shape id="_x0000_i1043" o:spt="75" type="#_x0000_t75" style="height:21pt;width:11pt;" o:ole="t" filled="f" o:preferrelative="t" stroked="f" coordsize="21600,21600">
                  <v:path/>
                  <v:fill on="f" focussize="0,0"/>
                  <v:stroke on="f" joinstyle="miter"/>
                  <v:imagedata r:id="rId15" o:title=""/>
                  <o:lock v:ext="edit" aspectratio="t"/>
                  <w10:wrap type="none"/>
                  <w10:anchorlock/>
                </v:shape>
                <o:OLEObject Type="Embed" ProgID="AutoCAD.Drawing.17" ShapeID="_x0000_i1043" DrawAspect="Content" ObjectID="_1468075743" r:id="rId50">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jc w:val="lef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植筋用钢筋的抗拉强度设计值</w:t>
            </w:r>
            <w:r>
              <w:rPr>
                <w:rFonts w:hint="eastAsia" w:hAnsi="宋体"/>
                <w:color w:val="000000" w:themeColor="text1"/>
                <w:kern w:val="2"/>
                <w:sz w:val="24"/>
                <w:szCs w:val="24"/>
                <w14:textFill>
                  <w14:solidFill>
                    <w14:schemeClr w14:val="tx1"/>
                  </w14:solidFill>
                </w14:textFill>
              </w:rPr>
              <w:t>（</w:t>
            </w:r>
            <w:r>
              <w:rPr>
                <w:color w:val="000000" w:themeColor="text1"/>
                <w:kern w:val="2"/>
                <w:position w:val="-10"/>
                <w:sz w:val="24"/>
                <w:szCs w:val="24"/>
                <w14:textFill>
                  <w14:solidFill>
                    <w14:schemeClr w14:val="tx1"/>
                  </w14:solidFill>
                </w14:textFill>
              </w:rPr>
              <w:object>
                <v:shape id="_x0000_i1044" o:spt="75" type="#_x0000_t75" style="height:16pt;width:41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1">
                  <o:LockedField>false</o:LockedField>
                </o:OLEObject>
              </w:object>
            </w:r>
            <w:r>
              <w:rPr>
                <w:rFonts w:hint="eastAsia" w:hAnsi="宋体"/>
                <w:color w:val="000000" w:themeColor="text1"/>
                <w:kern w:val="2"/>
                <w:sz w:val="24"/>
                <w:szCs w:val="24"/>
                <w14:textFill>
                  <w14:solidFill>
                    <w14:schemeClr w14:val="tx1"/>
                  </w14:solidFill>
                </w14:textFill>
              </w:rPr>
              <w:t>）</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45" o:spt="75" type="#_x0000_t75" style="height:16pt;width:11pt;" o:ole="t" filled="f" o:preferrelative="t" stroked="f" coordsize="21600,21600">
                  <v:path/>
                  <v:fill on="f" focussize="0,0"/>
                  <v:stroke on="f" joinstyle="miter"/>
                  <v:imagedata r:id="rId13" o:title=""/>
                  <o:lock v:ext="edit" aspectratio="t"/>
                  <w10:wrap type="none"/>
                  <w10:anchorlock/>
                </v:shape>
                <o:OLEObject Type="Embed" ProgID="Equation.DSMT4" ShapeID="_x0000_i1045" DrawAspect="Content" ObjectID="_1468075745" r:id="rId53">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jc w:val="lef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钢筋截面面积（</w:t>
            </w:r>
            <w:r>
              <w:rPr>
                <w:color w:val="000000" w:themeColor="text1"/>
                <w:kern w:val="2"/>
                <w:sz w:val="24"/>
                <w:szCs w:val="24"/>
                <w14:textFill>
                  <w14:solidFill>
                    <w14:schemeClr w14:val="tx1"/>
                  </w14:solidFill>
                </w14:textFill>
              </w:rPr>
              <w:t>mm</w:t>
            </w:r>
            <w:r>
              <w:rPr>
                <w:color w:val="000000" w:themeColor="text1"/>
                <w:kern w:val="2"/>
                <w:sz w:val="24"/>
                <w:szCs w:val="24"/>
                <w:vertAlign w:val="superscript"/>
                <w14:textFill>
                  <w14:solidFill>
                    <w14:schemeClr w14:val="tx1"/>
                  </w14:solidFill>
                </w14:textFill>
              </w:rPr>
              <w:t>2</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46" o:spt="75" type="#_x0000_t75" style="height:16pt;width:11pt;" o:ole="t" filled="f" o:preferrelative="t" stroked="f" coordsize="21600,21600">
                  <v:path/>
                  <v:fill on="f" focussize="0,0"/>
                  <v:stroke on="f" joinstyle="miter"/>
                  <v:imagedata r:id="rId17" o:title=""/>
                  <o:lock v:ext="edit" aspectratio="t"/>
                  <w10:wrap type="none"/>
                  <w10:anchorlock/>
                </v:shape>
                <o:OLEObject Type="Embed" ProgID="Equation.DSMT4" ShapeID="_x0000_i1046" DrawAspect="Content" ObjectID="_1468075746" r:id="rId54">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jc w:val="lef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植筋锚固长度设计值（</w:t>
            </w:r>
            <w:r>
              <w:rPr>
                <w:color w:val="000000" w:themeColor="text1"/>
                <w:kern w:val="2"/>
                <w:sz w:val="24"/>
                <w:szCs w:val="24"/>
                <w14:textFill>
                  <w14:solidFill>
                    <w14:schemeClr w14:val="tx1"/>
                  </w14:solidFill>
                </w14:textFill>
              </w:rPr>
              <w:t>mm</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47" o:spt="75" type="#_x0000_t75" style="height:16pt;width:11pt;" o:ole="t" filled="f" o:preferrelative="t" stroked="f" coordsize="21600,21600">
                  <v:path/>
                  <v:fill on="f" focussize="0,0"/>
                  <v:stroke on="f" joinstyle="miter"/>
                  <v:imagedata r:id="rId19" o:title=""/>
                  <o:lock v:ext="edit" aspectratio="t"/>
                  <w10:wrap type="none"/>
                  <w10:anchorlock/>
                </v:shape>
                <o:OLEObject Type="Embed" ProgID="Equation.DSMT4" ShapeID="_x0000_i1047" DrawAspect="Content" ObjectID="_1468075747" r:id="rId55">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jc w:val="lef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植筋的基本锚固长度（</w:t>
            </w:r>
            <w:r>
              <w:rPr>
                <w:color w:val="000000" w:themeColor="text1"/>
                <w:kern w:val="2"/>
                <w:sz w:val="24"/>
                <w:szCs w:val="24"/>
                <w14:textFill>
                  <w14:solidFill>
                    <w14:schemeClr w14:val="tx1"/>
                  </w14:solidFill>
                </w14:textFill>
              </w:rPr>
              <w:t>mm</w:t>
            </w:r>
            <w:r>
              <w:rPr>
                <w:rFonts w:hint="eastAsia"/>
                <w:color w:val="000000" w:themeColor="text1"/>
                <w:kern w:val="2"/>
                <w:sz w:val="24"/>
                <w:szCs w:val="24"/>
                <w14:textFill>
                  <w14:solidFill>
                    <w14:schemeClr w14:val="tx1"/>
                  </w14:solidFill>
                </w14:textFill>
              </w:rPr>
              <w:t>），按本规程第4</w:t>
            </w:r>
            <w:r>
              <w:rPr>
                <w:color w:val="000000" w:themeColor="text1"/>
                <w:kern w:val="2"/>
                <w:sz w:val="24"/>
                <w:szCs w:val="24"/>
                <w14:textFill>
                  <w14:solidFill>
                    <w14:schemeClr w14:val="tx1"/>
                  </w14:solidFill>
                </w14:textFill>
              </w:rPr>
              <w:t>.</w:t>
            </w:r>
            <w:r>
              <w:rPr>
                <w:rFonts w:hint="eastAsia"/>
                <w:color w:val="000000" w:themeColor="text1"/>
                <w:kern w:val="2"/>
                <w:sz w:val="24"/>
                <w:szCs w:val="24"/>
                <w14:textFill>
                  <w14:solidFill>
                    <w14:schemeClr w14:val="tx1"/>
                  </w14:solidFill>
                </w14:textFill>
              </w:rPr>
              <w:t>2</w:t>
            </w:r>
            <w:r>
              <w:rPr>
                <w:color w:val="000000" w:themeColor="text1"/>
                <w:kern w:val="2"/>
                <w:sz w:val="24"/>
                <w:szCs w:val="24"/>
                <w14:textFill>
                  <w14:solidFill>
                    <w14:schemeClr w14:val="tx1"/>
                  </w14:solidFill>
                </w14:textFill>
              </w:rPr>
              <w:t>.2</w:t>
            </w:r>
            <w:r>
              <w:rPr>
                <w:rFonts w:hint="eastAsia"/>
                <w:color w:val="000000" w:themeColor="text1"/>
                <w:kern w:val="2"/>
                <w:sz w:val="24"/>
                <w:szCs w:val="24"/>
                <w14:textFill>
                  <w14:solidFill>
                    <w14:schemeClr w14:val="tx1"/>
                  </w14:solidFill>
                </w14:textFill>
              </w:rPr>
              <w:t>条计算；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48" o:spt="75" type="#_x0000_t75" style="height:16pt;width:16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jc w:val="lef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考虑各种因素对植筋受拉承载力影响而需加大锚固长度的修正系数，按本规程第4.2.4条计算；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49" o:spt="75" type="#_x0000_t75" style="height:16pt;width:21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color w:val="000000" w:themeColor="text1"/>
                <w:kern w:val="2"/>
                <w:sz w:val="24"/>
                <w:szCs w:val="24"/>
                <w14:textFill>
                  <w14:solidFill>
                    <w14:schemeClr w14:val="tx1"/>
                  </w14:solidFill>
                </w14:textFill>
              </w:rPr>
              <w:t>—</w:t>
            </w:r>
          </w:p>
        </w:tc>
        <w:tc>
          <w:tcPr>
            <w:tcW w:w="6713" w:type="dxa"/>
          </w:tcPr>
          <w:p>
            <w:pPr>
              <w:adjustRightInd w:val="0"/>
              <w:snapToGrid w:val="0"/>
              <w:spacing w:after="0" w:line="400" w:lineRule="atLeast"/>
              <w:ind w:left="-107" w:leftChars="-51"/>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考虑植筋位移延性要求的修正系数；当混凝土强度等级不高于</w:t>
            </w:r>
            <w:r>
              <w:rPr>
                <w:color w:val="000000" w:themeColor="text1"/>
                <w:kern w:val="2"/>
                <w:sz w:val="24"/>
                <w:szCs w:val="24"/>
                <w14:textFill>
                  <w14:solidFill>
                    <w14:schemeClr w14:val="tx1"/>
                  </w14:solidFill>
                </w14:textFill>
              </w:rPr>
              <w:t>C30</w:t>
            </w:r>
            <w:r>
              <w:rPr>
                <w:rFonts w:hint="eastAsia"/>
                <w:color w:val="000000" w:themeColor="text1"/>
                <w:kern w:val="2"/>
                <w:sz w:val="24"/>
                <w:szCs w:val="24"/>
                <w14:textFill>
                  <w14:solidFill>
                    <w14:schemeClr w14:val="tx1"/>
                  </w14:solidFill>
                </w14:textFill>
              </w:rPr>
              <w:t>时，对</w:t>
            </w:r>
            <w:r>
              <w:rPr>
                <w:color w:val="000000" w:themeColor="text1"/>
                <w:kern w:val="2"/>
                <w:sz w:val="24"/>
                <w:szCs w:val="24"/>
                <w14:textFill>
                  <w14:solidFill>
                    <w14:schemeClr w14:val="tx1"/>
                  </w14:solidFill>
                </w14:textFill>
              </w:rPr>
              <w:t>6</w:t>
            </w:r>
            <w:r>
              <w:rPr>
                <w:rFonts w:hint="eastAsia"/>
                <w:color w:val="000000" w:themeColor="text1"/>
                <w:kern w:val="2"/>
                <w:sz w:val="24"/>
                <w:szCs w:val="24"/>
                <w14:textFill>
                  <w14:solidFill>
                    <w14:schemeClr w14:val="tx1"/>
                  </w14:solidFill>
                </w14:textFill>
              </w:rPr>
              <w:t>度区及</w:t>
            </w:r>
            <w:r>
              <w:rPr>
                <w:color w:val="000000" w:themeColor="text1"/>
                <w:kern w:val="2"/>
                <w:sz w:val="24"/>
                <w:szCs w:val="24"/>
                <w14:textFill>
                  <w14:solidFill>
                    <w14:schemeClr w14:val="tx1"/>
                  </w14:solidFill>
                </w14:textFill>
              </w:rPr>
              <w:t>7</w:t>
            </w:r>
            <w:r>
              <w:rPr>
                <w:rFonts w:hint="eastAsia"/>
                <w:color w:val="000000" w:themeColor="text1"/>
                <w:kern w:val="2"/>
                <w:sz w:val="24"/>
                <w:szCs w:val="24"/>
                <w14:textFill>
                  <w14:solidFill>
                    <w14:schemeClr w14:val="tx1"/>
                  </w14:solidFill>
                </w14:textFill>
              </w:rPr>
              <w:t>度区</w:t>
            </w:r>
            <w:r>
              <w:rPr>
                <w:color w:val="000000" w:themeColor="text1"/>
                <w:kern w:val="2"/>
                <w:sz w:val="24"/>
                <w:szCs w:val="24"/>
                <w14:textFill>
                  <w14:solidFill>
                    <w14:schemeClr w14:val="tx1"/>
                  </w14:solidFill>
                </w14:textFill>
              </w:rPr>
              <w:fldChar w:fldCharType="begin"/>
            </w:r>
            <w:r>
              <w:rPr>
                <w:color w:val="000000" w:themeColor="text1"/>
                <w:kern w:val="2"/>
                <w:sz w:val="24"/>
                <w:szCs w:val="24"/>
                <w14:textFill>
                  <w14:solidFill>
                    <w14:schemeClr w14:val="tx1"/>
                  </w14:solidFill>
                </w14:textFill>
              </w:rPr>
              <w:instrText xml:space="preserve"> = 1 \* ROMAN </w:instrText>
            </w:r>
            <w:r>
              <w:rPr>
                <w:color w:val="000000" w:themeColor="text1"/>
                <w:kern w:val="2"/>
                <w:sz w:val="24"/>
                <w:szCs w:val="24"/>
                <w14:textFill>
                  <w14:solidFill>
                    <w14:schemeClr w14:val="tx1"/>
                  </w14:solidFill>
                </w14:textFill>
              </w:rPr>
              <w:fldChar w:fldCharType="separate"/>
            </w:r>
            <w:r>
              <w:rPr>
                <w:color w:val="000000" w:themeColor="text1"/>
                <w:kern w:val="2"/>
                <w:sz w:val="24"/>
                <w:szCs w:val="24"/>
                <w14:textFill>
                  <w14:solidFill>
                    <w14:schemeClr w14:val="tx1"/>
                  </w14:solidFill>
                </w14:textFill>
              </w:rPr>
              <w:t>I</w:t>
            </w:r>
            <w:r>
              <w:rPr>
                <w:color w:val="000000" w:themeColor="text1"/>
                <w:kern w:val="2"/>
                <w:sz w:val="24"/>
                <w:szCs w:val="24"/>
                <w14:textFill>
                  <w14:solidFill>
                    <w14:schemeClr w14:val="tx1"/>
                  </w14:solidFill>
                </w14:textFill>
              </w:rPr>
              <w:fldChar w:fldCharType="end"/>
            </w:r>
            <w:r>
              <w:rPr>
                <w:rFonts w:hint="eastAsia"/>
                <w:color w:val="000000" w:themeColor="text1"/>
                <w:kern w:val="2"/>
                <w:sz w:val="24"/>
                <w:szCs w:val="24"/>
                <w14:textFill>
                  <w14:solidFill>
                    <w14:schemeClr w14:val="tx1"/>
                  </w14:solidFill>
                </w14:textFill>
              </w:rPr>
              <w:t>、</w:t>
            </w:r>
            <w:r>
              <w:rPr>
                <w:color w:val="000000" w:themeColor="text1"/>
                <w:kern w:val="2"/>
                <w:sz w:val="24"/>
                <w:szCs w:val="24"/>
                <w14:textFill>
                  <w14:solidFill>
                    <w14:schemeClr w14:val="tx1"/>
                  </w14:solidFill>
                </w14:textFill>
              </w:rPr>
              <w:fldChar w:fldCharType="begin"/>
            </w:r>
            <w:r>
              <w:rPr>
                <w:color w:val="000000" w:themeColor="text1"/>
                <w:kern w:val="2"/>
                <w:sz w:val="24"/>
                <w:szCs w:val="24"/>
                <w14:textFill>
                  <w14:solidFill>
                    <w14:schemeClr w14:val="tx1"/>
                  </w14:solidFill>
                </w14:textFill>
              </w:rPr>
              <w:instrText xml:space="preserve"> = 2 \* ROMAN </w:instrText>
            </w:r>
            <w:r>
              <w:rPr>
                <w:color w:val="000000" w:themeColor="text1"/>
                <w:kern w:val="2"/>
                <w:sz w:val="24"/>
                <w:szCs w:val="24"/>
                <w14:textFill>
                  <w14:solidFill>
                    <w14:schemeClr w14:val="tx1"/>
                  </w14:solidFill>
                </w14:textFill>
              </w:rPr>
              <w:fldChar w:fldCharType="separate"/>
            </w:r>
            <w:r>
              <w:rPr>
                <w:color w:val="000000" w:themeColor="text1"/>
                <w:kern w:val="2"/>
                <w:sz w:val="24"/>
                <w:szCs w:val="24"/>
                <w14:textFill>
                  <w14:solidFill>
                    <w14:schemeClr w14:val="tx1"/>
                  </w14:solidFill>
                </w14:textFill>
              </w:rPr>
              <w:t>II</w:t>
            </w:r>
            <w:r>
              <w:rPr>
                <w:color w:val="000000" w:themeColor="text1"/>
                <w:kern w:val="2"/>
                <w:sz w:val="24"/>
                <w:szCs w:val="24"/>
                <w14:textFill>
                  <w14:solidFill>
                    <w14:schemeClr w14:val="tx1"/>
                  </w14:solidFill>
                </w14:textFill>
              </w:rPr>
              <w:fldChar w:fldCharType="end"/>
            </w:r>
            <w:r>
              <w:rPr>
                <w:rFonts w:hint="eastAsia"/>
                <w:color w:val="000000" w:themeColor="text1"/>
                <w:kern w:val="2"/>
                <w:sz w:val="24"/>
                <w:szCs w:val="24"/>
                <w14:textFill>
                  <w14:solidFill>
                    <w14:schemeClr w14:val="tx1"/>
                  </w14:solidFill>
                </w14:textFill>
              </w:rPr>
              <w:t>类场地，应取</w:t>
            </w:r>
            <w:r>
              <w:rPr>
                <w:color w:val="000000" w:themeColor="text1"/>
                <w:kern w:val="2"/>
                <w:sz w:val="24"/>
                <w:szCs w:val="24"/>
                <w14:textFill>
                  <w14:solidFill>
                    <w14:schemeClr w14:val="tx1"/>
                  </w14:solidFill>
                </w14:textFill>
              </w:rPr>
              <w:t>1.1</w:t>
            </w:r>
            <w:r>
              <w:rPr>
                <w:rFonts w:hint="eastAsia"/>
                <w:color w:val="000000" w:themeColor="text1"/>
                <w:kern w:val="2"/>
                <w:sz w:val="24"/>
                <w:szCs w:val="24"/>
                <w14:textFill>
                  <w14:solidFill>
                    <w14:schemeClr w14:val="tx1"/>
                  </w14:solidFill>
                </w14:textFill>
              </w:rPr>
              <w:t>；对</w:t>
            </w:r>
            <w:r>
              <w:rPr>
                <w:color w:val="000000" w:themeColor="text1"/>
                <w:kern w:val="2"/>
                <w:sz w:val="24"/>
                <w:szCs w:val="24"/>
                <w14:textFill>
                  <w14:solidFill>
                    <w14:schemeClr w14:val="tx1"/>
                  </w14:solidFill>
                </w14:textFill>
              </w:rPr>
              <w:t>7</w:t>
            </w:r>
            <w:r>
              <w:rPr>
                <w:rFonts w:hint="eastAsia"/>
                <w:color w:val="000000" w:themeColor="text1"/>
                <w:kern w:val="2"/>
                <w:sz w:val="24"/>
                <w:szCs w:val="24"/>
                <w14:textFill>
                  <w14:solidFill>
                    <w14:schemeClr w14:val="tx1"/>
                  </w14:solidFill>
                </w14:textFill>
              </w:rPr>
              <w:t>度区</w:t>
            </w:r>
            <w:r>
              <w:rPr>
                <w:color w:val="000000" w:themeColor="text1"/>
                <w:kern w:val="2"/>
                <w:sz w:val="24"/>
                <w:szCs w:val="24"/>
                <w14:textFill>
                  <w14:solidFill>
                    <w14:schemeClr w14:val="tx1"/>
                  </w14:solidFill>
                </w14:textFill>
              </w:rPr>
              <w:fldChar w:fldCharType="begin"/>
            </w:r>
            <w:r>
              <w:rPr>
                <w:color w:val="000000" w:themeColor="text1"/>
                <w:kern w:val="2"/>
                <w:sz w:val="24"/>
                <w:szCs w:val="24"/>
                <w14:textFill>
                  <w14:solidFill>
                    <w14:schemeClr w14:val="tx1"/>
                  </w14:solidFill>
                </w14:textFill>
              </w:rPr>
              <w:instrText xml:space="preserve"> = 3 \* ROMAN </w:instrText>
            </w:r>
            <w:r>
              <w:rPr>
                <w:color w:val="000000" w:themeColor="text1"/>
                <w:kern w:val="2"/>
                <w:sz w:val="24"/>
                <w:szCs w:val="24"/>
                <w14:textFill>
                  <w14:solidFill>
                    <w14:schemeClr w14:val="tx1"/>
                  </w14:solidFill>
                </w14:textFill>
              </w:rPr>
              <w:fldChar w:fldCharType="separate"/>
            </w:r>
            <w:r>
              <w:rPr>
                <w:color w:val="000000" w:themeColor="text1"/>
                <w:kern w:val="2"/>
                <w:sz w:val="24"/>
                <w:szCs w:val="24"/>
                <w14:textFill>
                  <w14:solidFill>
                    <w14:schemeClr w14:val="tx1"/>
                  </w14:solidFill>
                </w14:textFill>
              </w:rPr>
              <w:t>III</w:t>
            </w:r>
            <w:r>
              <w:rPr>
                <w:color w:val="000000" w:themeColor="text1"/>
                <w:kern w:val="2"/>
                <w:sz w:val="24"/>
                <w:szCs w:val="24"/>
                <w14:textFill>
                  <w14:solidFill>
                    <w14:schemeClr w14:val="tx1"/>
                  </w14:solidFill>
                </w14:textFill>
              </w:rPr>
              <w:fldChar w:fldCharType="end"/>
            </w:r>
            <w:r>
              <w:rPr>
                <w:rFonts w:hint="eastAsia"/>
                <w:color w:val="000000" w:themeColor="text1"/>
                <w:kern w:val="2"/>
                <w:sz w:val="24"/>
                <w:szCs w:val="24"/>
                <w14:textFill>
                  <w14:solidFill>
                    <w14:schemeClr w14:val="tx1"/>
                  </w14:solidFill>
                </w14:textFill>
              </w:rPr>
              <w:t>、</w:t>
            </w:r>
            <w:r>
              <w:rPr>
                <w:color w:val="000000" w:themeColor="text1"/>
                <w:kern w:val="2"/>
                <w:sz w:val="24"/>
                <w:szCs w:val="24"/>
                <w14:textFill>
                  <w14:solidFill>
                    <w14:schemeClr w14:val="tx1"/>
                  </w14:solidFill>
                </w14:textFill>
              </w:rPr>
              <w:fldChar w:fldCharType="begin"/>
            </w:r>
            <w:r>
              <w:rPr>
                <w:color w:val="000000" w:themeColor="text1"/>
                <w:kern w:val="2"/>
                <w:sz w:val="24"/>
                <w:szCs w:val="24"/>
                <w14:textFill>
                  <w14:solidFill>
                    <w14:schemeClr w14:val="tx1"/>
                  </w14:solidFill>
                </w14:textFill>
              </w:rPr>
              <w:instrText xml:space="preserve"> = 4 \* ROMAN </w:instrText>
            </w:r>
            <w:r>
              <w:rPr>
                <w:color w:val="000000" w:themeColor="text1"/>
                <w:kern w:val="2"/>
                <w:sz w:val="24"/>
                <w:szCs w:val="24"/>
                <w14:textFill>
                  <w14:solidFill>
                    <w14:schemeClr w14:val="tx1"/>
                  </w14:solidFill>
                </w14:textFill>
              </w:rPr>
              <w:fldChar w:fldCharType="separate"/>
            </w:r>
            <w:r>
              <w:rPr>
                <w:color w:val="000000" w:themeColor="text1"/>
                <w:kern w:val="2"/>
                <w:sz w:val="24"/>
                <w:szCs w:val="24"/>
                <w14:textFill>
                  <w14:solidFill>
                    <w14:schemeClr w14:val="tx1"/>
                  </w14:solidFill>
                </w14:textFill>
              </w:rPr>
              <w:t>IV</w:t>
            </w:r>
            <w:r>
              <w:rPr>
                <w:color w:val="000000" w:themeColor="text1"/>
                <w:kern w:val="2"/>
                <w:sz w:val="24"/>
                <w:szCs w:val="24"/>
                <w14:textFill>
                  <w14:solidFill>
                    <w14:schemeClr w14:val="tx1"/>
                  </w14:solidFill>
                </w14:textFill>
              </w:rPr>
              <w:fldChar w:fldCharType="end"/>
            </w:r>
            <w:r>
              <w:rPr>
                <w:rFonts w:hint="eastAsia"/>
                <w:color w:val="000000" w:themeColor="text1"/>
                <w:kern w:val="2"/>
                <w:sz w:val="24"/>
                <w:szCs w:val="24"/>
                <w14:textFill>
                  <w14:solidFill>
                    <w14:schemeClr w14:val="tx1"/>
                  </w14:solidFill>
                </w14:textFill>
              </w:rPr>
              <w:t>类场地及</w:t>
            </w:r>
            <w:r>
              <w:rPr>
                <w:color w:val="000000" w:themeColor="text1"/>
                <w:kern w:val="2"/>
                <w:sz w:val="24"/>
                <w:szCs w:val="24"/>
                <w14:textFill>
                  <w14:solidFill>
                    <w14:schemeClr w14:val="tx1"/>
                  </w14:solidFill>
                </w14:textFill>
              </w:rPr>
              <w:t>8</w:t>
            </w:r>
            <w:r>
              <w:rPr>
                <w:rFonts w:hint="eastAsia"/>
                <w:color w:val="000000" w:themeColor="text1"/>
                <w:kern w:val="2"/>
                <w:sz w:val="24"/>
                <w:szCs w:val="24"/>
                <w14:textFill>
                  <w14:solidFill>
                    <w14:schemeClr w14:val="tx1"/>
                  </w14:solidFill>
                </w14:textFill>
              </w:rPr>
              <w:t>度区，应取</w:t>
            </w:r>
            <w:r>
              <w:rPr>
                <w:color w:val="000000" w:themeColor="text1"/>
                <w:kern w:val="2"/>
                <w:sz w:val="24"/>
                <w:szCs w:val="24"/>
                <w14:textFill>
                  <w14:solidFill>
                    <w14:schemeClr w14:val="tx1"/>
                  </w14:solidFill>
                </w14:textFill>
              </w:rPr>
              <w:t>1.25</w:t>
            </w:r>
            <w:r>
              <w:rPr>
                <w:rFonts w:hint="eastAsia"/>
                <w:color w:val="000000" w:themeColor="text1"/>
                <w:kern w:val="2"/>
                <w:sz w:val="24"/>
                <w:szCs w:val="24"/>
                <w14:textFill>
                  <w14:solidFill>
                    <w14:schemeClr w14:val="tx1"/>
                  </w14:solidFill>
                </w14:textFill>
              </w:rPr>
              <w:t>；当混凝土强度等级高于</w:t>
            </w:r>
            <w:r>
              <w:rPr>
                <w:color w:val="000000" w:themeColor="text1"/>
                <w:kern w:val="2"/>
                <w:sz w:val="24"/>
                <w:szCs w:val="24"/>
                <w14:textFill>
                  <w14:solidFill>
                    <w14:schemeClr w14:val="tx1"/>
                  </w14:solidFill>
                </w14:textFill>
              </w:rPr>
              <w:t>C30</w:t>
            </w:r>
            <w:r>
              <w:rPr>
                <w:rFonts w:hint="eastAsia"/>
                <w:color w:val="000000" w:themeColor="text1"/>
                <w:kern w:val="2"/>
                <w:sz w:val="24"/>
                <w:szCs w:val="24"/>
                <w14:textFill>
                  <w14:solidFill>
                    <w14:schemeClr w14:val="tx1"/>
                  </w14:solidFill>
                </w14:textFill>
              </w:rPr>
              <w:t>时，应取</w:t>
            </w:r>
            <w:r>
              <w:rPr>
                <w:color w:val="000000" w:themeColor="text1"/>
                <w:kern w:val="2"/>
                <w:sz w:val="24"/>
                <w:szCs w:val="24"/>
                <w14:textFill>
                  <w14:solidFill>
                    <w14:schemeClr w14:val="tx1"/>
                  </w14:solidFill>
                </w14:textFill>
              </w:rPr>
              <w:t>1.0</w:t>
            </w:r>
            <w:r>
              <w:rPr>
                <w:rFonts w:hint="eastAsia"/>
                <w:color w:val="000000" w:themeColor="text1"/>
                <w:kern w:val="2"/>
                <w:sz w:val="24"/>
                <w:szCs w:val="24"/>
                <w14:textFill>
                  <w14:solidFill>
                    <w14:schemeClr w14:val="tx1"/>
                  </w14:solidFill>
                </w14:textFill>
              </w:rPr>
              <w:t>。</w:t>
            </w:r>
          </w:p>
        </w:tc>
      </w:tr>
    </w:tbl>
    <w:p>
      <w:pPr>
        <w:widowControl/>
        <w:autoSpaceDE w:val="0"/>
        <w:autoSpaceDN w:val="0"/>
        <w:adjustRightInd w:val="0"/>
        <w:spacing w:after="0" w:line="360" w:lineRule="auto"/>
        <w:rPr>
          <w:rFonts w:hint="default" w:ascii="Times New Roman" w:hAnsi="Times New Roman" w:cs="Times New Roman"/>
          <w:i/>
          <w:iCs/>
          <w:color w:val="FF0000"/>
          <w:sz w:val="24"/>
          <w:szCs w:val="24"/>
        </w:rPr>
      </w:pPr>
      <w:r>
        <w:rPr>
          <w:rFonts w:hint="default" w:ascii="Times New Roman" w:hAnsi="Times New Roman" w:cs="Times New Roman"/>
          <w:i/>
          <w:iCs/>
          <w:color w:val="0070C0"/>
          <w:sz w:val="24"/>
          <w:szCs w:val="24"/>
        </w:rPr>
        <w:t>【条文说明】</w:t>
      </w:r>
      <w:r>
        <w:rPr>
          <w:rFonts w:hint="default" w:ascii="Times New Roman" w:hAnsi="Times New Roman" w:cs="Times New Roman"/>
          <w:b/>
          <w:bCs/>
          <w:i/>
          <w:iCs/>
          <w:color w:val="0070C0"/>
          <w:sz w:val="24"/>
          <w:szCs w:val="24"/>
        </w:rPr>
        <w:t>4.2.1</w:t>
      </w:r>
      <w:r>
        <w:rPr>
          <w:rFonts w:hint="default" w:ascii="Times New Roman" w:hAnsi="Times New Roman" w:cs="Times New Roman"/>
          <w:i/>
          <w:iCs/>
          <w:color w:val="0070C0"/>
          <w:sz w:val="24"/>
          <w:szCs w:val="24"/>
        </w:rPr>
        <w:t xml:space="preserve"> 本规定与现行国家标准《混凝土结构加固设计规范》GB</w:t>
      </w:r>
      <w:r>
        <w:rPr>
          <w:rFonts w:hint="eastAsia" w:cs="Times New Roman"/>
          <w:i/>
          <w:iCs/>
          <w:color w:val="0070C0"/>
          <w:sz w:val="24"/>
          <w:szCs w:val="24"/>
          <w:lang w:val="en-US" w:eastAsia="zh-CN"/>
        </w:rPr>
        <w:t xml:space="preserve"> </w:t>
      </w:r>
      <w:r>
        <w:rPr>
          <w:rFonts w:hint="default" w:ascii="Times New Roman" w:hAnsi="Times New Roman" w:cs="Times New Roman"/>
          <w:i/>
          <w:iCs/>
          <w:color w:val="0070C0"/>
          <w:sz w:val="24"/>
          <w:szCs w:val="24"/>
        </w:rPr>
        <w:t>50367和行业标准《混凝土结构后锚固技术规程》JGJ</w:t>
      </w:r>
      <w:r>
        <w:rPr>
          <w:rFonts w:hint="eastAsia" w:cs="Times New Roman"/>
          <w:i/>
          <w:iCs/>
          <w:color w:val="0070C0"/>
          <w:sz w:val="24"/>
          <w:szCs w:val="24"/>
          <w:lang w:val="en-US" w:eastAsia="zh-CN"/>
        </w:rPr>
        <w:t xml:space="preserve"> </w:t>
      </w:r>
      <w:r>
        <w:rPr>
          <w:rFonts w:hint="default" w:ascii="Times New Roman" w:hAnsi="Times New Roman" w:cs="Times New Roman"/>
          <w:i/>
          <w:iCs/>
          <w:color w:val="0070C0"/>
          <w:sz w:val="24"/>
          <w:szCs w:val="24"/>
        </w:rPr>
        <w:t>145中关于植筋的相关计算公式内容基本一致。即以充分利用钢材强度和延性为条件的，但在确定其基本锚固长度时，以可发生粘结破坏时的承载力不低于钢材屈服时的承载力为条件进行计算。同时考虑了包括施工阶段（如钻孔方向、潮湿环境安装等）与使用阶段（长期应力、高温、地震）植筋可能遇到的外界因素对植筋承载力的影响。</w:t>
      </w:r>
    </w:p>
    <w:p>
      <w:pPr>
        <w:spacing w:after="0" w:line="360" w:lineRule="auto"/>
        <w:rPr>
          <w:color w:val="auto"/>
          <w:sz w:val="24"/>
          <w:szCs w:val="24"/>
        </w:rPr>
      </w:pPr>
      <w:r>
        <w:rPr>
          <w:rFonts w:hint="eastAsia"/>
          <w:b/>
          <w:color w:val="000000" w:themeColor="text1"/>
          <w:kern w:val="2"/>
          <w:sz w:val="24"/>
          <w:szCs w:val="24"/>
          <w14:textFill>
            <w14:solidFill>
              <w14:schemeClr w14:val="tx1"/>
            </w14:solidFill>
          </w14:textFill>
        </w:rPr>
        <w:t>4.2.</w:t>
      </w:r>
      <w:r>
        <w:rPr>
          <w:b/>
          <w:color w:val="000000" w:themeColor="text1"/>
          <w:kern w:val="2"/>
          <w:sz w:val="24"/>
          <w:szCs w:val="24"/>
          <w14:textFill>
            <w14:solidFill>
              <w14:schemeClr w14:val="tx1"/>
            </w14:solidFill>
          </w14:textFill>
        </w:rPr>
        <w:t>2</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植筋的基本锚固长度</w:t>
      </w:r>
      <w:r>
        <w:rPr>
          <w:color w:val="000000" w:themeColor="text1"/>
          <w:kern w:val="2"/>
          <w:position w:val="-10"/>
          <w:sz w:val="24"/>
          <w:szCs w:val="24"/>
          <w14:textFill>
            <w14:solidFill>
              <w14:schemeClr w14:val="tx1"/>
            </w14:solidFill>
          </w14:textFill>
        </w:rPr>
        <w:object>
          <v:shape id="_x0000_i1050" o:spt="75" type="#_x0000_t75" style="height:16pt;width:11pt;" o:ole="t" filled="f" o:preferrelative="t" stroked="f" coordsize="21600,21600">
            <v:path/>
            <v:fill on="f" focussize="0,0"/>
            <v:stroke on="f" joinstyle="miter"/>
            <v:imagedata r:id="rId19" o:title=""/>
            <o:lock v:ext="edit" aspectratio="t"/>
            <w10:wrap type="none"/>
            <w10:anchorlock/>
          </v:shape>
          <o:OLEObject Type="Embed" ProgID="Equation.DSMT4" ShapeID="_x0000_i1050" DrawAspect="Content" ObjectID="_1468075750" r:id="rId60">
            <o:LockedField>false</o:LockedField>
          </o:OLEObject>
        </w:object>
      </w:r>
      <w:r>
        <w:rPr>
          <w:rFonts w:hint="eastAsia"/>
          <w:color w:val="000000" w:themeColor="text1"/>
          <w:kern w:val="2"/>
          <w:sz w:val="24"/>
          <w:szCs w:val="24"/>
          <w14:textFill>
            <w14:solidFill>
              <w14:schemeClr w14:val="tx1"/>
            </w14:solidFill>
          </w14:textFill>
        </w:rPr>
        <w:t>应按下式计算：</w:t>
      </w:r>
    </w:p>
    <w:p>
      <w:pPr>
        <w:spacing w:after="0" w:line="360" w:lineRule="auto"/>
        <w:jc w:val="right"/>
        <w:rPr>
          <w:color w:val="auto"/>
          <w:sz w:val="24"/>
          <w:szCs w:val="24"/>
        </w:rPr>
      </w:pPr>
      <w:r>
        <w:rPr>
          <w:rFonts w:hint="eastAsia"/>
          <w:color w:val="auto"/>
          <w:sz w:val="24"/>
          <w:szCs w:val="24"/>
        </w:rPr>
        <w:t xml:space="preserve">                          </w:t>
      </w:r>
      <m:oMath>
        <m:sSub>
          <m:sSubPr>
            <m:ctrlPr>
              <w:rPr>
                <w:rFonts w:ascii="Cambria Math" w:hAnsi="Cambria Math"/>
                <w:i/>
                <w:iCs/>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l</m:t>
            </m:r>
            <m:ctrlPr>
              <w:rPr>
                <w:rFonts w:ascii="Cambria Math" w:hAnsi="Cambria Math"/>
                <w:i/>
                <w:iCs/>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s</m:t>
            </m:r>
            <m:ctrlPr>
              <w:rPr>
                <w:rFonts w:ascii="Cambria Math" w:hAnsi="Cambria Math"/>
                <w:i/>
                <w:iCs/>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type m:val="lin"/>
            <m:ctrlPr>
              <w:rPr>
                <w:rFonts w:ascii="Cambria Math" w:hAnsi="Cambria Math"/>
                <w:i/>
                <w:iCs/>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0.2</m:t>
            </m:r>
            <m:sSub>
              <m:sSubPr>
                <m:ctrlPr>
                  <w:rPr>
                    <w:rFonts w:ascii="Cambria Math" w:hAnsi="Cambria Math"/>
                    <w:i/>
                    <w:iCs/>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iCs/>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spt</m:t>
                </m:r>
                <m:ctrlPr>
                  <w:rPr>
                    <w:rFonts w:ascii="Cambria Math" w:hAnsi="Cambria Math"/>
                    <w:i/>
                    <w:iCs/>
                    <w:color w:val="000000" w:themeColor="text1"/>
                    <w:sz w:val="24"/>
                    <w:szCs w:val="24"/>
                    <w14:textFill>
                      <w14:solidFill>
                        <w14:schemeClr w14:val="tx1"/>
                      </w14:solidFill>
                    </w14:textFill>
                  </w:rPr>
                </m:ctrlPr>
              </m:sub>
            </m:sSub>
            <m:r>
              <m:rPr/>
              <w:rPr>
                <w:rFonts w:hint="eastAsia" w:ascii="Cambria Math" w:hAnsi="Cambria Math"/>
                <w:color w:val="000000" w:themeColor="text1"/>
                <w:sz w:val="24"/>
                <w:szCs w:val="24"/>
                <w14:textFill>
                  <w14:solidFill>
                    <w14:schemeClr w14:val="tx1"/>
                  </w14:solidFill>
                </w14:textFill>
              </w:rPr>
              <m:t>d</m:t>
            </m:r>
            <m:sSub>
              <m:sSubPr>
                <m:ctrlPr>
                  <w:rPr>
                    <w:rFonts w:ascii="Cambria Math" w:hAnsi="Cambria Math"/>
                    <w:i/>
                    <w:iCs/>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f</m:t>
                </m:r>
                <m:ctrlPr>
                  <w:rPr>
                    <w:rFonts w:ascii="Cambria Math" w:hAnsi="Cambria Math"/>
                    <w:i/>
                    <w:iCs/>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y</m:t>
                </m:r>
                <m:ctrlPr>
                  <w:rPr>
                    <w:rFonts w:ascii="Cambria Math" w:hAnsi="Cambria Math"/>
                    <w:i/>
                    <w:iCs/>
                    <w:color w:val="000000" w:themeColor="text1"/>
                    <w:sz w:val="24"/>
                    <w:szCs w:val="24"/>
                    <w14:textFill>
                      <w14:solidFill>
                        <w14:schemeClr w14:val="tx1"/>
                      </w14:solidFill>
                    </w14:textFill>
                  </w:rPr>
                </m:ctrlPr>
              </m:sub>
            </m:sSub>
            <m:ctrlPr>
              <w:rPr>
                <w:rFonts w:ascii="Cambria Math" w:hAnsi="Cambria Math"/>
                <w:i/>
                <w:iCs/>
                <w:color w:val="000000" w:themeColor="text1"/>
                <w:sz w:val="24"/>
                <w:szCs w:val="24"/>
                <w14:textFill>
                  <w14:solidFill>
                    <w14:schemeClr w14:val="tx1"/>
                  </w14:solidFill>
                </w14:textFill>
              </w:rPr>
            </m:ctrlPr>
          </m:num>
          <m:den>
            <m:sSub>
              <m:sSubPr>
                <m:ctrlPr>
                  <w:rPr>
                    <w:rFonts w:ascii="Cambria Math" w:hAnsi="Cambria Math"/>
                    <w:i/>
                    <w:iCs/>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f</m:t>
                </m:r>
                <m:ctrlPr>
                  <w:rPr>
                    <w:rFonts w:ascii="Cambria Math" w:hAnsi="Cambria Math"/>
                    <w:i/>
                    <w:iCs/>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bd,PIR</m:t>
                </m:r>
                <m:ctrlPr>
                  <w:rPr>
                    <w:rFonts w:ascii="Cambria Math" w:hAnsi="Cambria Math"/>
                    <w:i/>
                    <w:iCs/>
                    <w:color w:val="000000" w:themeColor="text1"/>
                    <w:sz w:val="24"/>
                    <w:szCs w:val="24"/>
                    <w14:textFill>
                      <w14:solidFill>
                        <w14:schemeClr w14:val="tx1"/>
                      </w14:solidFill>
                    </w14:textFill>
                  </w:rPr>
                </m:ctrlPr>
              </m:sub>
            </m:sSub>
            <m:ctrlPr>
              <w:rPr>
                <w:rFonts w:ascii="Cambria Math" w:hAnsi="Cambria Math"/>
                <w:i/>
                <w:iCs/>
                <w:color w:val="000000" w:themeColor="text1"/>
                <w:sz w:val="24"/>
                <w:szCs w:val="24"/>
                <w14:textFill>
                  <w14:solidFill>
                    <w14:schemeClr w14:val="tx1"/>
                  </w14:solidFill>
                </w14:textFill>
              </w:rPr>
            </m:ctrlPr>
          </m:den>
        </m:f>
      </m:oMath>
      <w:r>
        <w:rPr>
          <w:rFonts w:hint="eastAsia"/>
          <w:iCs/>
          <w:color w:val="auto"/>
          <w:sz w:val="24"/>
          <w:szCs w:val="24"/>
          <w:vertAlign w:val="subscript"/>
        </w:rPr>
        <w:tab/>
      </w:r>
      <w:r>
        <w:rPr>
          <w:rFonts w:hint="eastAsia"/>
          <w:iCs/>
          <w:color w:val="auto"/>
          <w:sz w:val="24"/>
          <w:szCs w:val="24"/>
          <w:vertAlign w:val="subscript"/>
          <w:lang w:val="en-US" w:eastAsia="zh-CN"/>
        </w:rPr>
        <w:t xml:space="preserve">           </w:t>
      </w:r>
      <w:r>
        <w:rPr>
          <w:rFonts w:hint="eastAsia"/>
          <w:color w:val="auto"/>
          <w:sz w:val="24"/>
          <w:szCs w:val="24"/>
        </w:rPr>
        <w:tab/>
      </w:r>
      <w:r>
        <w:rPr>
          <w:color w:val="auto"/>
          <w:sz w:val="24"/>
          <w:szCs w:val="24"/>
        </w:rPr>
        <w:tab/>
      </w:r>
      <w:r>
        <w:rPr>
          <w:color w:val="auto"/>
          <w:sz w:val="24"/>
          <w:szCs w:val="24"/>
        </w:rPr>
        <w:tab/>
      </w:r>
      <w:r>
        <w:rPr>
          <w:rFonts w:hint="eastAsia"/>
          <w:color w:val="auto"/>
          <w:sz w:val="24"/>
          <w:szCs w:val="24"/>
        </w:rPr>
        <w:tab/>
      </w:r>
      <w:r>
        <w:rPr>
          <w:rFonts w:hint="eastAsia"/>
          <w:color w:val="auto"/>
          <w:sz w:val="24"/>
          <w:szCs w:val="24"/>
        </w:rPr>
        <w:t xml:space="preserve"> （4.2.</w:t>
      </w:r>
      <w:r>
        <w:rPr>
          <w:color w:val="auto"/>
          <w:sz w:val="24"/>
          <w:szCs w:val="24"/>
        </w:rPr>
        <w:t>2</w:t>
      </w:r>
      <w:r>
        <w:rPr>
          <w:rFonts w:hint="eastAsia"/>
          <w:color w:val="auto"/>
          <w:sz w:val="24"/>
          <w:szCs w:val="24"/>
        </w:rPr>
        <w:t>）</w:t>
      </w:r>
    </w:p>
    <w:tbl>
      <w:tblPr>
        <w:tblStyle w:val="28"/>
        <w:tblW w:w="0" w:type="auto"/>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
        <w:gridCol w:w="914"/>
        <w:gridCol w:w="527"/>
        <w:gridCol w:w="6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 w:type="dxa"/>
            <w:tcMar>
              <w:left w:w="29" w:type="dxa"/>
              <w:right w:w="29" w:type="dxa"/>
            </w:tcMar>
          </w:tcPr>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式中：</w:t>
            </w:r>
          </w:p>
        </w:tc>
        <w:tc>
          <w:tcPr>
            <w:tcW w:w="914" w:type="dxa"/>
          </w:tcPr>
          <w:p>
            <w:pPr>
              <w:keepNext w:val="0"/>
              <w:keepLines w:val="0"/>
              <w:pageBreakBefore w:val="0"/>
              <w:widowControl w:val="0"/>
              <w:kinsoku/>
              <w:wordWrap/>
              <w:overflowPunct/>
              <w:topLinePunct w:val="0"/>
              <w:autoSpaceDE/>
              <w:autoSpaceDN/>
              <w:bidi w:val="0"/>
              <w:adjustRightInd w:val="0"/>
              <w:snapToGrid w:val="0"/>
              <w:spacing w:after="0" w:line="360" w:lineRule="auto"/>
              <w:jc w:val="right"/>
              <w:textAlignment w:val="auto"/>
              <w:rPr>
                <w:color w:val="000000" w:themeColor="text1"/>
                <w:kern w:val="2"/>
                <w:sz w:val="24"/>
                <w:szCs w:val="24"/>
                <w14:textFill>
                  <w14:solidFill>
                    <w14:schemeClr w14:val="tx1"/>
                  </w14:solidFill>
                </w14:textFill>
              </w:rPr>
            </w:pPr>
            <w:r>
              <w:rPr>
                <w:color w:val="000000" w:themeColor="text1"/>
                <w:kern w:val="2"/>
                <w:position w:val="-14"/>
                <w:sz w:val="24"/>
                <w:szCs w:val="24"/>
                <w14:textFill>
                  <w14:solidFill>
                    <w14:schemeClr w14:val="tx1"/>
                  </w14:solidFill>
                </w14:textFill>
              </w:rPr>
              <w:object>
                <v:shape id="_x0000_i1051" o:spt="75" type="#_x0000_t75" style="height:21pt;width:21pt;" o:ole="t" filled="f" o:preferrelative="t" stroked="f" coordsize="21600,21600">
                  <v:path/>
                  <v:fill on="f" focussize="0,0"/>
                  <v:stroke on="f" joinstyle="miter"/>
                  <v:imagedata r:id="rId23" o:title=""/>
                  <o:lock v:ext="edit" aspectratio="t"/>
                  <w10:wrap type="none"/>
                  <w10:anchorlock/>
                </v:shape>
                <o:OLEObject Type="Embed" ProgID="Equation.DSMT4" ShapeID="_x0000_i1051" DrawAspect="Content" ObjectID="_1468075751" r:id="rId61">
                  <o:LockedField>false</o:LockedField>
                </o:OLEObject>
              </w:object>
            </w:r>
          </w:p>
        </w:tc>
        <w:tc>
          <w:tcPr>
            <w:tcW w:w="527" w:type="dxa"/>
          </w:tcPr>
          <w:p>
            <w:pPr>
              <w:keepNext w:val="0"/>
              <w:keepLines w:val="0"/>
              <w:pageBreakBefore w:val="0"/>
              <w:widowControl w:val="0"/>
              <w:kinsoku/>
              <w:wordWrap/>
              <w:overflowPunct/>
              <w:topLinePunct w:val="0"/>
              <w:autoSpaceDE/>
              <w:autoSpaceDN/>
              <w:bidi w:val="0"/>
              <w:adjustRightInd w:val="0"/>
              <w:snapToGrid w:val="0"/>
              <w:spacing w:after="0" w:line="360" w:lineRule="auto"/>
              <w:ind w:left="-107" w:leftChars="-51"/>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051" w:type="dxa"/>
          </w:tcPr>
          <w:p>
            <w:pPr>
              <w:keepNext w:val="0"/>
              <w:keepLines w:val="0"/>
              <w:pageBreakBefore w:val="0"/>
              <w:widowControl w:val="0"/>
              <w:kinsoku/>
              <w:wordWrap/>
              <w:overflowPunct/>
              <w:topLinePunct w:val="0"/>
              <w:autoSpaceDE/>
              <w:autoSpaceDN/>
              <w:bidi w:val="0"/>
              <w:adjustRightInd w:val="0"/>
              <w:snapToGrid w:val="0"/>
              <w:spacing w:after="0" w:line="360" w:lineRule="auto"/>
              <w:ind w:left="-107" w:leftChars="-51"/>
              <w:textAlignment w:val="auto"/>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考虑混凝土劈裂影响的计算系数。当植筋表面至构件表面的最小距离</w:t>
            </w:r>
            <m:oMath>
              <m:r>
                <m:rPr/>
                <w:rPr>
                  <w:rFonts w:ascii="Cambria Math" w:hAnsi="Cambria Math"/>
                  <w:color w:val="000000" w:themeColor="text1"/>
                  <w:sz w:val="24"/>
                  <w:szCs w:val="24"/>
                  <w14:textFill>
                    <w14:solidFill>
                      <w14:schemeClr w14:val="tx1"/>
                    </w14:solidFill>
                  </w14:textFill>
                </w:rPr>
                <m:t>c</m:t>
              </m:r>
            </m:oMath>
            <w:r>
              <w:rPr>
                <w:rFonts w:hint="eastAsia"/>
                <w:color w:val="000000" w:themeColor="text1"/>
                <w:kern w:val="2"/>
                <w:sz w:val="24"/>
                <w:szCs w:val="24"/>
                <w14:textFill>
                  <w14:solidFill>
                    <w14:schemeClr w14:val="tx1"/>
                  </w14:solidFill>
                </w14:textFill>
              </w:rPr>
              <w:t>不大于</w:t>
            </w:r>
            <m:oMath>
              <m:r>
                <m:rPr>
                  <m:sty m:val="p"/>
                </m:rPr>
                <w:rPr>
                  <w:rFonts w:ascii="Cambria Math" w:hAnsi="Cambria Math"/>
                  <w:color w:val="000000" w:themeColor="text1"/>
                  <w:sz w:val="24"/>
                  <w:szCs w:val="24"/>
                  <w14:textFill>
                    <w14:solidFill>
                      <w14:schemeClr w14:val="tx1"/>
                    </w14:solidFill>
                  </w14:textFill>
                </w:rPr>
                <m:t>5</m:t>
              </m:r>
              <m:r>
                <m:rPr/>
                <w:rPr>
                  <w:rFonts w:ascii="Cambria Math" w:hAnsi="Cambria Math"/>
                  <w:color w:val="000000" w:themeColor="text1"/>
                  <w:sz w:val="24"/>
                  <w:szCs w:val="24"/>
                  <w14:textFill>
                    <w14:solidFill>
                      <w14:schemeClr w14:val="tx1"/>
                    </w14:solidFill>
                  </w14:textFill>
                </w:rPr>
                <m:t>d</m:t>
              </m:r>
            </m:oMath>
            <w:r>
              <w:rPr>
                <w:rFonts w:hint="eastAsia"/>
                <w:color w:val="000000" w:themeColor="text1"/>
                <w:kern w:val="2"/>
                <w:sz w:val="24"/>
                <w:szCs w:val="24"/>
                <w14:textFill>
                  <w14:solidFill>
                    <w14:schemeClr w14:val="tx1"/>
                  </w14:solidFill>
                </w14:textFill>
              </w:rPr>
              <w:t>时，按表4.2.</w:t>
            </w:r>
            <w:r>
              <w:rPr>
                <w:color w:val="000000" w:themeColor="text1"/>
                <w:kern w:val="2"/>
                <w:sz w:val="24"/>
                <w:szCs w:val="24"/>
                <w14:textFill>
                  <w14:solidFill>
                    <w14:schemeClr w14:val="tx1"/>
                  </w14:solidFill>
                </w14:textFill>
              </w:rPr>
              <w:t>2</w:t>
            </w:r>
            <w:r>
              <w:rPr>
                <w:rFonts w:hint="eastAsia"/>
                <w:color w:val="000000" w:themeColor="text1"/>
                <w:kern w:val="2"/>
                <w:sz w:val="24"/>
                <w:szCs w:val="24"/>
                <w14:textFill>
                  <w14:solidFill>
                    <w14:schemeClr w14:val="tx1"/>
                  </w14:solidFill>
                </w14:textFill>
              </w:rPr>
              <w:t>取用；当植筋表面至构件表面的最小距离</w:t>
            </w:r>
            <m:oMath>
              <m:r>
                <m:rPr/>
                <w:rPr>
                  <w:rFonts w:ascii="Cambria Math" w:hAnsi="Cambria Math"/>
                  <w:color w:val="000000" w:themeColor="text1"/>
                  <w:sz w:val="24"/>
                  <w:szCs w:val="24"/>
                  <w14:textFill>
                    <w14:solidFill>
                      <w14:schemeClr w14:val="tx1"/>
                    </w14:solidFill>
                  </w14:textFill>
                </w:rPr>
                <m:t>c</m:t>
              </m:r>
            </m:oMath>
            <w:r>
              <w:rPr>
                <w:rFonts w:hint="eastAsia"/>
                <w:color w:val="000000" w:themeColor="text1"/>
                <w:kern w:val="2"/>
                <w:sz w:val="24"/>
                <w:szCs w:val="24"/>
                <w14:textFill>
                  <w14:solidFill>
                    <w14:schemeClr w14:val="tx1"/>
                  </w14:solidFill>
                </w14:textFill>
              </w:rPr>
              <w:t>大于</w:t>
            </w:r>
            <m:oMath>
              <m:r>
                <m:rPr>
                  <m:sty m:val="p"/>
                </m:rPr>
                <w:rPr>
                  <w:rFonts w:ascii="Cambria Math" w:hAnsi="Cambria Math"/>
                  <w:color w:val="000000" w:themeColor="text1"/>
                  <w:sz w:val="24"/>
                  <w:szCs w:val="24"/>
                  <w14:textFill>
                    <w14:solidFill>
                      <w14:schemeClr w14:val="tx1"/>
                    </w14:solidFill>
                  </w14:textFill>
                </w:rPr>
                <m:t>5</m:t>
              </m:r>
              <m:r>
                <m:rPr/>
                <w:rPr>
                  <w:rFonts w:ascii="Cambria Math" w:hAnsi="Cambria Math"/>
                  <w:color w:val="000000" w:themeColor="text1"/>
                  <w:sz w:val="24"/>
                  <w:szCs w:val="24"/>
                  <w14:textFill>
                    <w14:solidFill>
                      <w14:schemeClr w14:val="tx1"/>
                    </w14:solidFill>
                  </w14:textFill>
                </w:rPr>
                <m:t>d</m:t>
              </m:r>
            </m:oMath>
            <w:r>
              <w:rPr>
                <w:rFonts w:hint="eastAsia"/>
                <w:color w:val="000000" w:themeColor="text1"/>
                <w:kern w:val="2"/>
                <w:sz w:val="24"/>
                <w:szCs w:val="24"/>
                <w14:textFill>
                  <w14:solidFill>
                    <w14:schemeClr w14:val="tx1"/>
                  </w14:solidFill>
                </w14:textFill>
              </w:rPr>
              <w:t>时，</w:t>
            </w:r>
            <w:r>
              <w:rPr>
                <w:color w:val="000000" w:themeColor="text1"/>
                <w:kern w:val="2"/>
                <w:position w:val="-14"/>
                <w:sz w:val="24"/>
                <w:szCs w:val="24"/>
                <w14:textFill>
                  <w14:solidFill>
                    <w14:schemeClr w14:val="tx1"/>
                  </w14:solidFill>
                </w14:textFill>
              </w:rPr>
              <w:object>
                <v:shape id="_x0000_i1052" o:spt="75" type="#_x0000_t75" style="height:21pt;width:21pt;" o:ole="t" filled="f" o:preferrelative="t" stroked="f" coordsize="21600,21600">
                  <v:path/>
                  <v:fill on="f" focussize="0,0"/>
                  <v:stroke on="f" joinstyle="miter"/>
                  <v:imagedata r:id="rId23" o:title=""/>
                  <o:lock v:ext="edit" aspectratio="t"/>
                  <w10:wrap type="none"/>
                  <w10:anchorlock/>
                </v:shape>
                <o:OLEObject Type="Embed" ProgID="Equation.DSMT4" ShapeID="_x0000_i1052" DrawAspect="Content" ObjectID="_1468075752" r:id="rId62">
                  <o:LockedField>false</o:LockedField>
                </o:OLEObject>
              </w:object>
            </w:r>
            <w:r>
              <w:rPr>
                <w:rFonts w:hint="eastAsia"/>
                <w:color w:val="000000" w:themeColor="text1"/>
                <w:kern w:val="2"/>
                <w:sz w:val="24"/>
                <w:szCs w:val="24"/>
                <w14:textFill>
                  <w14:solidFill>
                    <w14:schemeClr w14:val="tx1"/>
                  </w14:solidFill>
                </w14:textFill>
              </w:rPr>
              <w:t>应</w:t>
            </w:r>
            <m:oMath>
              <m:r>
                <m:rPr>
                  <m:sty m:val="p"/>
                </m:rPr>
                <w:rPr>
                  <w:rFonts w:hint="eastAsia" w:ascii="Cambria Math" w:hAnsi="Cambria Math"/>
                  <w:color w:val="000000" w:themeColor="text1"/>
                  <w:sz w:val="24"/>
                  <w:szCs w:val="24"/>
                  <w14:textFill>
                    <w14:solidFill>
                      <w14:schemeClr w14:val="tx1"/>
                    </w14:solidFill>
                  </w14:textFill>
                </w:rPr>
                <m:t>取</m:t>
              </m:r>
              <m:r>
                <m:rPr>
                  <m:sty m:val="p"/>
                </m:rPr>
                <w:rPr>
                  <w:rFonts w:ascii="Cambria Math" w:hAnsi="Cambria Math"/>
                  <w:color w:val="000000" w:themeColor="text1"/>
                  <w:sz w:val="24"/>
                  <w:szCs w:val="24"/>
                  <w14:textFill>
                    <w14:solidFill>
                      <w14:schemeClr w14:val="tx1"/>
                    </w14:solidFill>
                  </w14:textFill>
                </w:rPr>
                <m:t>1.0</m:t>
              </m:r>
            </m:oMath>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 w:type="dxa"/>
          </w:tcPr>
          <w:p>
            <w:pPr>
              <w:keepNext w:val="0"/>
              <w:keepLines w:val="0"/>
              <w:pageBreakBefore w:val="0"/>
              <w:widowControl w:val="0"/>
              <w:kinsoku/>
              <w:wordWrap/>
              <w:overflowPunct/>
              <w:topLinePunct w:val="0"/>
              <w:autoSpaceDE/>
              <w:autoSpaceDN/>
              <w:bidi w:val="0"/>
              <w:adjustRightInd w:val="0"/>
              <w:snapToGrid w:val="0"/>
              <w:spacing w:after="0" w:line="360" w:lineRule="auto"/>
              <w:jc w:val="right"/>
              <w:textAlignment w:val="auto"/>
              <w:rPr>
                <w:color w:val="000000" w:themeColor="text1"/>
                <w:sz w:val="24"/>
                <w:szCs w:val="24"/>
                <w14:textFill>
                  <w14:solidFill>
                    <w14:schemeClr w14:val="tx1"/>
                  </w14:solidFill>
                </w14:textFill>
              </w:rPr>
            </w:pPr>
          </w:p>
        </w:tc>
        <w:tc>
          <w:tcPr>
            <w:tcW w:w="914" w:type="dxa"/>
          </w:tcPr>
          <w:p>
            <w:pPr>
              <w:keepNext w:val="0"/>
              <w:keepLines w:val="0"/>
              <w:pageBreakBefore w:val="0"/>
              <w:widowControl w:val="0"/>
              <w:kinsoku/>
              <w:wordWrap/>
              <w:overflowPunct/>
              <w:topLinePunct w:val="0"/>
              <w:autoSpaceDE/>
              <w:autoSpaceDN/>
              <w:bidi w:val="0"/>
              <w:adjustRightInd w:val="0"/>
              <w:snapToGrid w:val="0"/>
              <w:spacing w:after="0" w:line="360" w:lineRule="auto"/>
              <w:jc w:val="right"/>
              <w:textAlignment w:val="auto"/>
              <w:rPr>
                <w:color w:val="000000" w:themeColor="text1"/>
                <w:kern w:val="2"/>
                <w:sz w:val="24"/>
                <w:szCs w:val="24"/>
                <w14:textFill>
                  <w14:solidFill>
                    <w14:schemeClr w14:val="tx1"/>
                  </w14:solidFill>
                </w14:textFill>
              </w:rPr>
            </w:pPr>
            <m:oMathPara>
              <m:oMathParaPr>
                <m:jc m:val="right"/>
              </m:oMathParaPr>
              <m:oMath>
                <m:r>
                  <m:rPr/>
                  <w:rPr>
                    <w:rFonts w:ascii="Cambria Math" w:hAnsi="Cambria Math"/>
                    <w:color w:val="000000" w:themeColor="text1"/>
                    <w:sz w:val="24"/>
                    <w:szCs w:val="24"/>
                    <w14:textFill>
                      <w14:solidFill>
                        <w14:schemeClr w14:val="tx1"/>
                      </w14:solidFill>
                    </w14:textFill>
                  </w:rPr>
                  <m:t>d</m:t>
                </m:r>
              </m:oMath>
            </m:oMathPara>
          </w:p>
        </w:tc>
        <w:tc>
          <w:tcPr>
            <w:tcW w:w="527" w:type="dxa"/>
          </w:tcPr>
          <w:p>
            <w:pPr>
              <w:keepNext w:val="0"/>
              <w:keepLines w:val="0"/>
              <w:pageBreakBefore w:val="0"/>
              <w:widowControl w:val="0"/>
              <w:kinsoku/>
              <w:wordWrap/>
              <w:overflowPunct/>
              <w:topLinePunct w:val="0"/>
              <w:autoSpaceDE/>
              <w:autoSpaceDN/>
              <w:bidi w:val="0"/>
              <w:adjustRightInd w:val="0"/>
              <w:snapToGrid w:val="0"/>
              <w:spacing w:after="0" w:line="360" w:lineRule="auto"/>
              <w:ind w:left="-107" w:leftChars="-51"/>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051" w:type="dxa"/>
          </w:tcPr>
          <w:p>
            <w:pPr>
              <w:keepNext w:val="0"/>
              <w:keepLines w:val="0"/>
              <w:pageBreakBefore w:val="0"/>
              <w:widowControl w:val="0"/>
              <w:kinsoku/>
              <w:wordWrap/>
              <w:overflowPunct/>
              <w:topLinePunct w:val="0"/>
              <w:autoSpaceDE/>
              <w:autoSpaceDN/>
              <w:bidi w:val="0"/>
              <w:adjustRightInd w:val="0"/>
              <w:snapToGrid w:val="0"/>
              <w:spacing w:after="0" w:line="360" w:lineRule="auto"/>
              <w:ind w:left="-107" w:leftChars="-51"/>
              <w:jc w:val="left"/>
              <w:textAlignment w:val="auto"/>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 xml:space="preserve">植筋公称直径（ </w:t>
            </w:r>
            <w:r>
              <w:rPr>
                <w:color w:val="000000" w:themeColor="text1"/>
                <w:kern w:val="2"/>
                <w:sz w:val="24"/>
                <w:szCs w:val="24"/>
                <w14:textFill>
                  <w14:solidFill>
                    <w14:schemeClr w14:val="tx1"/>
                  </w14:solidFill>
                </w14:textFill>
              </w:rPr>
              <w:t>mm</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 w:type="dxa"/>
          </w:tcPr>
          <w:p>
            <w:pPr>
              <w:keepNext w:val="0"/>
              <w:keepLines w:val="0"/>
              <w:pageBreakBefore w:val="0"/>
              <w:widowControl w:val="0"/>
              <w:kinsoku/>
              <w:wordWrap/>
              <w:overflowPunct/>
              <w:topLinePunct w:val="0"/>
              <w:autoSpaceDE/>
              <w:autoSpaceDN/>
              <w:bidi w:val="0"/>
              <w:adjustRightInd w:val="0"/>
              <w:snapToGrid w:val="0"/>
              <w:spacing w:after="0" w:line="360" w:lineRule="auto"/>
              <w:jc w:val="right"/>
              <w:textAlignment w:val="auto"/>
              <w:rPr>
                <w:color w:val="000000" w:themeColor="text1"/>
                <w:sz w:val="24"/>
                <w:szCs w:val="24"/>
                <w14:textFill>
                  <w14:solidFill>
                    <w14:schemeClr w14:val="tx1"/>
                  </w14:solidFill>
                </w14:textFill>
              </w:rPr>
            </w:pPr>
          </w:p>
        </w:tc>
        <w:tc>
          <w:tcPr>
            <w:tcW w:w="914" w:type="dxa"/>
          </w:tcPr>
          <w:p>
            <w:pPr>
              <w:keepNext w:val="0"/>
              <w:keepLines w:val="0"/>
              <w:pageBreakBefore w:val="0"/>
              <w:widowControl w:val="0"/>
              <w:kinsoku/>
              <w:wordWrap/>
              <w:overflowPunct/>
              <w:topLinePunct w:val="0"/>
              <w:autoSpaceDE/>
              <w:autoSpaceDN/>
              <w:bidi w:val="0"/>
              <w:adjustRightInd w:val="0"/>
              <w:snapToGrid w:val="0"/>
              <w:spacing w:after="0" w:line="360" w:lineRule="auto"/>
              <w:jc w:val="right"/>
              <w:textAlignment w:val="auto"/>
              <w:rPr>
                <w:color w:val="000000" w:themeColor="text1"/>
                <w:kern w:val="2"/>
                <w:sz w:val="24"/>
                <w:szCs w:val="24"/>
                <w14:textFill>
                  <w14:solidFill>
                    <w14:schemeClr w14:val="tx1"/>
                  </w14:solidFill>
                </w14:textFill>
              </w:rPr>
            </w:pPr>
            <m:oMath>
              <m:sSub>
                <m:sSubPr>
                  <m:ctrlPr>
                    <w:rPr>
                      <w:rFonts w:ascii="Cambria Math" w:hAnsi="Cambria Math"/>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bd,PIR</m:t>
                  </m:r>
                  <m:ctrlPr>
                    <w:rPr>
                      <w:rFonts w:ascii="Cambria Math" w:hAnsi="Cambria Math"/>
                      <w:color w:val="000000" w:themeColor="text1"/>
                      <w:sz w:val="24"/>
                      <w:szCs w:val="24"/>
                      <w14:textFill>
                        <w14:solidFill>
                          <w14:schemeClr w14:val="tx1"/>
                        </w14:solidFill>
                      </w14:textFill>
                    </w:rPr>
                  </m:ctrlPr>
                </m:sub>
              </m:sSub>
            </m:oMath>
            <w:r>
              <w:rPr>
                <w:rFonts w:ascii="Symbol" w:hAnsi="Symbol"/>
                <w:color w:val="000000" w:themeColor="text1"/>
                <w:sz w:val="24"/>
                <w:szCs w:val="24"/>
                <w14:textFill>
                  <w14:solidFill>
                    <w14:schemeClr w14:val="tx1"/>
                  </w14:solidFill>
                </w14:textFill>
              </w:rPr>
              <w:t xml:space="preserve"> </w:t>
            </w:r>
          </w:p>
        </w:tc>
        <w:tc>
          <w:tcPr>
            <w:tcW w:w="527" w:type="dxa"/>
          </w:tcPr>
          <w:p>
            <w:pPr>
              <w:keepNext w:val="0"/>
              <w:keepLines w:val="0"/>
              <w:pageBreakBefore w:val="0"/>
              <w:widowControl w:val="0"/>
              <w:kinsoku/>
              <w:wordWrap/>
              <w:overflowPunct/>
              <w:topLinePunct w:val="0"/>
              <w:autoSpaceDE/>
              <w:autoSpaceDN/>
              <w:bidi w:val="0"/>
              <w:adjustRightInd w:val="0"/>
              <w:snapToGrid w:val="0"/>
              <w:spacing w:after="0" w:line="360" w:lineRule="auto"/>
              <w:ind w:left="-107" w:leftChars="-51"/>
              <w:jc w:val="left"/>
              <w:textAlignment w:val="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w:t>
            </w:r>
          </w:p>
        </w:tc>
        <w:tc>
          <w:tcPr>
            <w:tcW w:w="6051" w:type="dxa"/>
          </w:tcPr>
          <w:p>
            <w:pPr>
              <w:keepNext w:val="0"/>
              <w:keepLines w:val="0"/>
              <w:pageBreakBefore w:val="0"/>
              <w:widowControl w:val="0"/>
              <w:kinsoku/>
              <w:wordWrap/>
              <w:overflowPunct/>
              <w:topLinePunct w:val="0"/>
              <w:autoSpaceDE/>
              <w:autoSpaceDN/>
              <w:bidi w:val="0"/>
              <w:adjustRightInd w:val="0"/>
              <w:snapToGrid w:val="0"/>
              <w:spacing w:after="0" w:line="360" w:lineRule="auto"/>
              <w:ind w:left="-107" w:leftChars="-51"/>
              <w:jc w:val="left"/>
              <w:textAlignment w:val="auto"/>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植筋用胶粘剂的粘结强度设计值（</w:t>
            </w:r>
            <w:r>
              <w:rPr>
                <w:color w:val="000000" w:themeColor="text1"/>
                <w:kern w:val="2"/>
                <w:position w:val="-10"/>
                <w:sz w:val="24"/>
                <w:szCs w:val="24"/>
                <w14:textFill>
                  <w14:solidFill>
                    <w14:schemeClr w14:val="tx1"/>
                  </w14:solidFill>
                </w14:textFill>
              </w:rPr>
              <w:object>
                <v:shape id="_x0000_i1053" o:spt="75" type="#_x0000_t75" style="height:16pt;width:41pt;" o:ole="t" filled="f" o:preferrelative="t" stroked="f" coordsize="21600,21600">
                  <v:path/>
                  <v:fill on="f" focussize="0,0"/>
                  <v:stroke on="f" joinstyle="miter"/>
                  <v:imagedata r:id="rId52" o:title=""/>
                  <o:lock v:ext="edit" aspectratio="t"/>
                  <w10:wrap type="none"/>
                  <w10:anchorlock/>
                </v:shape>
                <o:OLEObject Type="Embed" ProgID="Equation.DSMT4" ShapeID="_x0000_i1053" DrawAspect="Content" ObjectID="_1468075753" r:id="rId63">
                  <o:LockedField>false</o:LockedField>
                </o:OLEObject>
              </w:object>
            </w:r>
            <w:r>
              <w:rPr>
                <w:rFonts w:hint="eastAsia"/>
                <w:color w:val="000000" w:themeColor="text1"/>
                <w:kern w:val="2"/>
                <w:sz w:val="24"/>
                <w:szCs w:val="24"/>
                <w14:textFill>
                  <w14:solidFill>
                    <w14:schemeClr w14:val="tx1"/>
                  </w14:solidFill>
                </w14:textFill>
              </w:rPr>
              <w:t>），按本规程表4.2.</w:t>
            </w:r>
            <w:r>
              <w:rPr>
                <w:color w:val="000000" w:themeColor="text1"/>
                <w:kern w:val="2"/>
                <w:sz w:val="24"/>
                <w:szCs w:val="24"/>
                <w14:textFill>
                  <w14:solidFill>
                    <w14:schemeClr w14:val="tx1"/>
                  </w14:solidFill>
                </w14:textFill>
              </w:rPr>
              <w:t>3</w:t>
            </w:r>
            <w:r>
              <w:rPr>
                <w:rFonts w:hint="eastAsia"/>
                <w:color w:val="000000" w:themeColor="text1"/>
                <w:kern w:val="2"/>
                <w:sz w:val="24"/>
                <w:szCs w:val="24"/>
                <w14:textFill>
                  <w14:solidFill>
                    <w14:schemeClr w14:val="tx1"/>
                  </w14:solidFill>
                </w14:textFill>
              </w:rPr>
              <w:t>取用。</w:t>
            </w:r>
          </w:p>
        </w:tc>
      </w:tr>
    </w:tbl>
    <w:p>
      <w:pPr>
        <w:adjustRightInd w:val="0"/>
        <w:snapToGrid w:val="0"/>
        <w:spacing w:after="0" w:line="360" w:lineRule="auto"/>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表</w:t>
      </w:r>
      <w:r>
        <w:rPr>
          <w:rFonts w:hint="eastAsia"/>
          <w:b/>
          <w:bCs/>
          <w:color w:val="000000" w:themeColor="text1"/>
          <w:kern w:val="2"/>
          <w:sz w:val="21"/>
          <w:szCs w:val="21"/>
          <w14:textFill>
            <w14:solidFill>
              <w14:schemeClr w14:val="tx1"/>
            </w14:solidFill>
          </w14:textFill>
        </w:rPr>
        <w:t>4.2.</w:t>
      </w:r>
      <w:r>
        <w:rPr>
          <w:b/>
          <w:bCs/>
          <w:color w:val="000000" w:themeColor="text1"/>
          <w:kern w:val="2"/>
          <w:sz w:val="21"/>
          <w:szCs w:val="21"/>
          <w14:textFill>
            <w14:solidFill>
              <w14:schemeClr w14:val="tx1"/>
            </w14:solidFill>
          </w14:textFill>
        </w:rPr>
        <w:t>2  考虑混凝土劈裂影响的计算系数</w:t>
      </w:r>
      <w:r>
        <w:rPr>
          <w:b/>
          <w:bCs/>
          <w:color w:val="000000" w:themeColor="text1"/>
          <w:kern w:val="2"/>
          <w:position w:val="-14"/>
          <w:sz w:val="21"/>
          <w:szCs w:val="21"/>
          <w14:textFill>
            <w14:solidFill>
              <w14:schemeClr w14:val="tx1"/>
            </w14:solidFill>
          </w14:textFill>
        </w:rPr>
        <w:object>
          <v:shape id="_x0000_i1054" o:spt="75" type="#_x0000_t75" style="height:21pt;width:21pt;" o:ole="t" filled="f" o:preferrelative="t" stroked="f" coordsize="21600,21600">
            <v:path/>
            <v:fill on="f" focussize="0,0"/>
            <v:stroke on="f" joinstyle="miter"/>
            <v:imagedata r:id="rId23" o:title=""/>
            <o:lock v:ext="edit" aspectratio="t"/>
            <w10:wrap type="none"/>
            <w10:anchorlock/>
          </v:shape>
          <o:OLEObject Type="Embed" ProgID="Equation.DSMT4" ShapeID="_x0000_i1054" DrawAspect="Content" ObjectID="_1468075754" r:id="rId64">
            <o:LockedField>false</o:LockedField>
          </o:OLEObject>
        </w:objec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675"/>
        <w:gridCol w:w="774"/>
        <w:gridCol w:w="991"/>
        <w:gridCol w:w="991"/>
        <w:gridCol w:w="986"/>
        <w:gridCol w:w="98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gridSpan w:val="2"/>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植筋表面至构件表面的最小距离</w:t>
            </w:r>
            <m:oMath>
              <m:r>
                <m:rPr/>
                <w:rPr>
                  <w:rFonts w:ascii="Cambria Math" w:hAnsi="Cambria Math"/>
                  <w:color w:val="000000" w:themeColor="text1"/>
                  <w:kern w:val="2"/>
                  <w:sz w:val="21"/>
                  <w:szCs w:val="21"/>
                  <w14:textFill>
                    <w14:solidFill>
                      <w14:schemeClr w14:val="tx1"/>
                    </w14:solidFill>
                  </w14:textFill>
                </w:rPr>
                <m:t>c</m:t>
              </m:r>
            </m:oMath>
            <w:r>
              <w:rPr>
                <w:color w:val="000000" w:themeColor="text1"/>
                <w:kern w:val="2"/>
                <w:sz w:val="21"/>
                <w:szCs w:val="21"/>
                <w14:textFill>
                  <w14:solidFill>
                    <w14:schemeClr w14:val="tx1"/>
                  </w14:solidFill>
                </w14:textFill>
              </w:rPr>
              <w:t>（</w:t>
            </w:r>
            <m:oMath>
              <m:r>
                <m:rPr>
                  <m:sty m:val="p"/>
                </m:rPr>
                <w:rPr>
                  <w:rFonts w:ascii="Cambria Math" w:hAnsi="Cambria Math"/>
                  <w:color w:val="000000" w:themeColor="text1"/>
                  <w:kern w:val="2"/>
                  <w:sz w:val="21"/>
                  <w:szCs w:val="21"/>
                  <w14:textFill>
                    <w14:solidFill>
                      <w14:schemeClr w14:val="tx1"/>
                    </w14:solidFill>
                  </w14:textFill>
                </w:rPr>
                <m:t>mm</m:t>
              </m:r>
            </m:oMath>
            <w:r>
              <w:rPr>
                <w:color w:val="000000" w:themeColor="text1"/>
                <w:kern w:val="2"/>
                <w:sz w:val="21"/>
                <w:szCs w:val="21"/>
                <w14:textFill>
                  <w14:solidFill>
                    <w14:schemeClr w14:val="tx1"/>
                  </w14:solidFill>
                </w14:textFill>
              </w:rPr>
              <w:t>）</w:t>
            </w:r>
          </w:p>
        </w:tc>
        <w:tc>
          <w:tcPr>
            <w:tcW w:w="1765" w:type="dxa"/>
            <w:gridSpan w:val="2"/>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25</w:t>
            </w:r>
          </w:p>
        </w:tc>
        <w:tc>
          <w:tcPr>
            <w:tcW w:w="1977" w:type="dxa"/>
            <w:gridSpan w:val="2"/>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30</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35</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横向</w:t>
            </w:r>
            <w:r>
              <w:rPr>
                <w:rFonts w:hint="eastAsia"/>
                <w:color w:val="000000" w:themeColor="text1"/>
                <w:kern w:val="2"/>
                <w:sz w:val="21"/>
                <w:szCs w:val="21"/>
                <w14:textFill>
                  <w14:solidFill>
                    <w14:schemeClr w14:val="tx1"/>
                  </w14:solidFill>
                </w14:textFill>
              </w:rPr>
              <w:t>约束</w:t>
            </w:r>
            <w:r>
              <w:rPr>
                <w:color w:val="000000" w:themeColor="text1"/>
                <w:kern w:val="2"/>
                <w:sz w:val="21"/>
                <w:szCs w:val="21"/>
                <w14:textFill>
                  <w14:solidFill>
                    <w14:schemeClr w14:val="tx1"/>
                  </w14:solidFill>
                </w14:textFill>
              </w:rPr>
              <w:t>钢筋</w:t>
            </w:r>
          </w:p>
        </w:tc>
        <w:tc>
          <w:tcPr>
            <w:tcW w:w="1675"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直径</w:t>
            </w:r>
            <m:oMath>
              <m:r>
                <m:rPr/>
                <w:rPr>
                  <w:rFonts w:ascii="Cambria Math" w:hAnsi="Cambria Math"/>
                  <w:color w:val="000000" w:themeColor="text1"/>
                  <w:kern w:val="2"/>
                  <w:sz w:val="21"/>
                  <w:szCs w:val="21"/>
                  <w14:textFill>
                    <w14:solidFill>
                      <w14:schemeClr w14:val="tx1"/>
                    </w14:solidFill>
                  </w14:textFill>
                </w:rPr>
                <m:t>d</m:t>
              </m:r>
            </m:oMath>
            <w:r>
              <w:rPr>
                <w:color w:val="000000" w:themeColor="text1"/>
                <w:kern w:val="2"/>
                <w:sz w:val="21"/>
                <w:szCs w:val="21"/>
                <w14:textFill>
                  <w14:solidFill>
                    <w14:schemeClr w14:val="tx1"/>
                  </w14:solidFill>
                </w14:textFill>
              </w:rPr>
              <w:t>（</w:t>
            </w:r>
            <m:oMath>
              <m:r>
                <m:rPr>
                  <m:sty m:val="p"/>
                </m:rPr>
                <w:rPr>
                  <w:rFonts w:ascii="Cambria Math" w:hAnsi="Cambria Math"/>
                  <w:color w:val="000000" w:themeColor="text1"/>
                  <w:kern w:val="2"/>
                  <w:sz w:val="21"/>
                  <w:szCs w:val="21"/>
                  <w14:textFill>
                    <w14:solidFill>
                      <w14:schemeClr w14:val="tx1"/>
                    </w14:solidFill>
                  </w14:textFill>
                </w:rPr>
                <m:t>mm</m:t>
              </m:r>
            </m:oMath>
            <w:r>
              <w:rPr>
                <w:color w:val="000000" w:themeColor="text1"/>
                <w:kern w:val="2"/>
                <w:sz w:val="21"/>
                <w:szCs w:val="21"/>
                <w14:textFill>
                  <w14:solidFill>
                    <w14:schemeClr w14:val="tx1"/>
                  </w14:solidFill>
                </w14:textFill>
              </w:rPr>
              <w:t>）</w:t>
            </w:r>
          </w:p>
        </w:tc>
        <w:tc>
          <w:tcPr>
            <w:tcW w:w="774"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6</w:t>
            </w:r>
          </w:p>
        </w:tc>
        <w:tc>
          <w:tcPr>
            <w:tcW w:w="991" w:type="dxa"/>
          </w:tcPr>
          <w:p>
            <w:pPr>
              <w:keepNext w:val="0"/>
              <w:keepLines w:val="0"/>
              <w:pageBreakBefore w:val="0"/>
              <w:widowControl w:val="0"/>
              <w:kinsoku/>
              <w:wordWrap/>
              <w:overflowPunct/>
              <w:topLinePunct w:val="0"/>
              <w:autoSpaceDE/>
              <w:autoSpaceDN/>
              <w:bidi w:val="0"/>
              <w:adjustRightInd/>
              <w:snapToGrid/>
              <w:spacing w:after="0" w:line="312" w:lineRule="auto"/>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8或10</w:t>
            </w:r>
          </w:p>
        </w:tc>
        <w:tc>
          <w:tcPr>
            <w:tcW w:w="991"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6</w:t>
            </w:r>
          </w:p>
        </w:tc>
        <w:tc>
          <w:tcPr>
            <w:tcW w:w="986"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8或10</w:t>
            </w:r>
          </w:p>
        </w:tc>
        <w:tc>
          <w:tcPr>
            <w:tcW w:w="986"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≥6</w:t>
            </w:r>
          </w:p>
        </w:tc>
        <w:tc>
          <w:tcPr>
            <w:tcW w:w="992"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p>
        </w:tc>
        <w:tc>
          <w:tcPr>
            <w:tcW w:w="1675"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间距</w:t>
            </w:r>
            <m:oMath>
              <m:r>
                <m:rPr/>
                <w:rPr>
                  <w:rFonts w:ascii="Cambria Math" w:hAnsi="Cambria Math"/>
                  <w:color w:val="000000" w:themeColor="text1"/>
                  <w:kern w:val="2"/>
                  <w:sz w:val="21"/>
                  <w:szCs w:val="21"/>
                  <w14:textFill>
                    <w14:solidFill>
                      <w14:schemeClr w14:val="tx1"/>
                    </w14:solidFill>
                  </w14:textFill>
                </w:rPr>
                <m:t>s</m:t>
              </m:r>
            </m:oMath>
            <w:r>
              <w:rPr>
                <w:color w:val="000000" w:themeColor="text1"/>
                <w:kern w:val="2"/>
                <w:sz w:val="21"/>
                <w:szCs w:val="21"/>
                <w14:textFill>
                  <w14:solidFill>
                    <w14:schemeClr w14:val="tx1"/>
                  </w14:solidFill>
                </w14:textFill>
              </w:rPr>
              <w:t>（</w:t>
            </w:r>
            <m:oMath>
              <m:r>
                <m:rPr>
                  <m:sty m:val="p"/>
                </m:rPr>
                <w:rPr>
                  <w:rFonts w:ascii="Cambria Math" w:hAnsi="Cambria Math"/>
                  <w:color w:val="000000" w:themeColor="text1"/>
                  <w:kern w:val="2"/>
                  <w:sz w:val="21"/>
                  <w:szCs w:val="21"/>
                  <w14:textFill>
                    <w14:solidFill>
                      <w14:schemeClr w14:val="tx1"/>
                    </w14:solidFill>
                  </w14:textFill>
                </w:rPr>
                <m:t>mm</m:t>
              </m:r>
            </m:oMath>
            <w:r>
              <w:rPr>
                <w:color w:val="000000" w:themeColor="text1"/>
                <w:kern w:val="2"/>
                <w:sz w:val="21"/>
                <w:szCs w:val="21"/>
                <w14:textFill>
                  <w14:solidFill>
                    <w14:schemeClr w14:val="tx1"/>
                  </w14:solidFill>
                </w14:textFill>
              </w:rPr>
              <w:t>）</w:t>
            </w:r>
          </w:p>
        </w:tc>
        <w:tc>
          <w:tcPr>
            <w:tcW w:w="5720" w:type="dxa"/>
            <w:gridSpan w:val="6"/>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在植筋锚固长度范围内，</w:t>
            </w:r>
            <m:oMath>
              <m:r>
                <m:rPr/>
                <w:rPr>
                  <w:rFonts w:ascii="Cambria Math" w:hAnsi="Cambria Math"/>
                  <w:color w:val="000000" w:themeColor="text1"/>
                  <w:kern w:val="2"/>
                  <w:sz w:val="21"/>
                  <w:szCs w:val="21"/>
                  <w14:textFill>
                    <w14:solidFill>
                      <w14:schemeClr w14:val="tx1"/>
                    </w14:solidFill>
                  </w14:textFill>
                </w:rPr>
                <m:t>s</m:t>
              </m:r>
            </m:oMath>
            <w:r>
              <w:rPr>
                <w:color w:val="000000" w:themeColor="text1"/>
                <w:kern w:val="2"/>
                <w:sz w:val="21"/>
                <w:szCs w:val="21"/>
                <w14:textFill>
                  <w14:solidFill>
                    <w14:schemeClr w14:val="tx1"/>
                  </w14:solidFill>
                </w14:textFill>
              </w:rPr>
              <w:t>不应大于100</w:t>
            </w:r>
            <m:oMath>
              <m:r>
                <m:rPr>
                  <m:sty m:val="p"/>
                </m:rPr>
                <w:rPr>
                  <w:rFonts w:ascii="Cambria Math" w:hAnsi="Cambria Math"/>
                  <w:color w:val="000000" w:themeColor="text1"/>
                  <w:kern w:val="2"/>
                  <w:sz w:val="21"/>
                  <w:szCs w:val="21"/>
                  <w14:textFill>
                    <w14:solidFill>
                      <w14:schemeClr w14:val="tx1"/>
                    </w14:solidFill>
                  </w14:textFill>
                </w:rPr>
                <m:t xml:space="preserve"> mm</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植筋直径</w:t>
            </w:r>
            <m:oMath>
              <m:r>
                <m:rPr/>
                <w:rPr>
                  <w:rFonts w:ascii="Cambria Math" w:hAnsi="Cambria Math"/>
                  <w:color w:val="000000" w:themeColor="text1"/>
                  <w:kern w:val="2"/>
                  <w:sz w:val="21"/>
                  <w:szCs w:val="21"/>
                  <w14:textFill>
                    <w14:solidFill>
                      <w14:schemeClr w14:val="tx1"/>
                    </w14:solidFill>
                  </w14:textFill>
                </w:rPr>
                <m:t>d</m:t>
              </m:r>
            </m:oMath>
            <w:r>
              <w:rPr>
                <w:color w:val="000000" w:themeColor="text1"/>
                <w:kern w:val="2"/>
                <w:sz w:val="21"/>
                <w:szCs w:val="21"/>
                <w14:textFill>
                  <w14:solidFill>
                    <w14:schemeClr w14:val="tx1"/>
                  </w14:solidFill>
                </w14:textFill>
              </w:rPr>
              <w:t>（</w:t>
            </w:r>
            <m:oMath>
              <m:r>
                <m:rPr>
                  <m:sty m:val="p"/>
                </m:rPr>
                <w:rPr>
                  <w:rFonts w:ascii="Cambria Math" w:hAnsi="Cambria Math"/>
                  <w:color w:val="000000" w:themeColor="text1"/>
                  <w:kern w:val="2"/>
                  <w:sz w:val="21"/>
                  <w:szCs w:val="21"/>
                  <w14:textFill>
                    <w14:solidFill>
                      <w14:schemeClr w14:val="tx1"/>
                    </w14:solidFill>
                  </w14:textFill>
                </w:rPr>
                <m:t>mm</m:t>
              </m:r>
            </m:oMath>
            <w:r>
              <w:rPr>
                <w:color w:val="000000" w:themeColor="text1"/>
                <w:kern w:val="2"/>
                <w:sz w:val="21"/>
                <w:szCs w:val="21"/>
                <w14:textFill>
                  <w14:solidFill>
                    <w14:schemeClr w14:val="tx1"/>
                  </w14:solidFill>
                </w14:textFill>
              </w:rPr>
              <w:t>）</w:t>
            </w:r>
          </w:p>
        </w:tc>
        <w:tc>
          <w:tcPr>
            <w:tcW w:w="1675" w:type="dxa"/>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w:t>
            </w:r>
          </w:p>
        </w:tc>
        <w:tc>
          <w:tcPr>
            <w:tcW w:w="1765" w:type="dxa"/>
            <w:gridSpan w:val="2"/>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c>
          <w:tcPr>
            <w:tcW w:w="1977" w:type="dxa"/>
            <w:gridSpan w:val="2"/>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c>
          <w:tcPr>
            <w:tcW w:w="986"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c>
          <w:tcPr>
            <w:tcW w:w="992"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color w:val="000000" w:themeColor="text1"/>
                <w:kern w:val="2"/>
                <w:sz w:val="21"/>
                <w:szCs w:val="21"/>
                <w14:textFill>
                  <w14:solidFill>
                    <w14:schemeClr w14:val="tx1"/>
                  </w14:solidFill>
                </w14:textFill>
              </w:rPr>
            </w:pPr>
          </w:p>
        </w:tc>
        <w:tc>
          <w:tcPr>
            <w:tcW w:w="1675" w:type="dxa"/>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25</w:t>
            </w:r>
          </w:p>
        </w:tc>
        <w:tc>
          <w:tcPr>
            <w:tcW w:w="774" w:type="dxa"/>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1.10</w:t>
            </w:r>
          </w:p>
        </w:tc>
        <w:tc>
          <w:tcPr>
            <w:tcW w:w="991"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1.05</w:t>
            </w:r>
          </w:p>
        </w:tc>
        <w:tc>
          <w:tcPr>
            <w:tcW w:w="991"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1.05</w:t>
            </w:r>
          </w:p>
        </w:tc>
        <w:tc>
          <w:tcPr>
            <w:tcW w:w="986"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c>
          <w:tcPr>
            <w:tcW w:w="986"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c>
          <w:tcPr>
            <w:tcW w:w="992" w:type="dxa"/>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宋体" w:hAnsi="宋体"/>
                <w:color w:val="000000" w:themeColor="text1"/>
                <w:kern w:val="2"/>
                <w:sz w:val="21"/>
                <w:szCs w:val="21"/>
                <w14:textFill>
                  <w14:solidFill>
                    <w14:schemeClr w14:val="tx1"/>
                  </w14:solidFill>
                </w14:textFill>
              </w:rPr>
            </w:pPr>
            <w:r>
              <w:rPr>
                <w:rFonts w:ascii="宋体" w:hAnsi="宋体"/>
                <w:color w:val="000000" w:themeColor="text1"/>
                <w:kern w:val="2"/>
                <w:sz w:val="21"/>
                <w:szCs w:val="21"/>
                <w14:textFill>
                  <w14:solidFill>
                    <w14:schemeClr w14:val="tx1"/>
                  </w14:solidFill>
                </w14:textFill>
              </w:rPr>
              <w:t>1.00</w:t>
            </w:r>
          </w:p>
        </w:tc>
      </w:tr>
    </w:tbl>
    <w:p>
      <w:pPr>
        <w:spacing w:after="0" w:line="360" w:lineRule="auto"/>
        <w:rPr>
          <w:i/>
          <w:iCs/>
          <w:color w:val="4472C4" w:themeColor="accent1"/>
          <w:sz w:val="24"/>
          <w:szCs w:val="24"/>
          <w14:textFill>
            <w14:solidFill>
              <w14:schemeClr w14:val="accent1"/>
            </w14:solidFill>
          </w14:textFill>
        </w:rPr>
      </w:pPr>
      <w:r>
        <w:rPr>
          <w:rFonts w:hint="eastAsia"/>
          <w:i/>
          <w:iCs/>
          <w:color w:val="4472C4" w:themeColor="accent1"/>
          <w:sz w:val="24"/>
          <w:szCs w:val="24"/>
          <w14:textFill>
            <w14:solidFill>
              <w14:schemeClr w14:val="accent1"/>
            </w14:solidFill>
          </w14:textFill>
        </w:rPr>
        <w:t>【条文说明】</w:t>
      </w:r>
      <w:r>
        <w:rPr>
          <w:rFonts w:hint="eastAsia"/>
          <w:b/>
          <w:bCs/>
          <w:i/>
          <w:iCs/>
          <w:color w:val="4472C4" w:themeColor="accent1"/>
          <w:sz w:val="24"/>
          <w:szCs w:val="24"/>
          <w14:textFill>
            <w14:solidFill>
              <w14:schemeClr w14:val="accent1"/>
            </w14:solidFill>
          </w14:textFill>
        </w:rPr>
        <w:t>4</w:t>
      </w:r>
      <w:r>
        <w:rPr>
          <w:b/>
          <w:bCs/>
          <w:i/>
          <w:iCs/>
          <w:color w:val="4472C4" w:themeColor="accent1"/>
          <w:sz w:val="24"/>
          <w:szCs w:val="24"/>
          <w14:textFill>
            <w14:solidFill>
              <w14:schemeClr w14:val="accent1"/>
            </w14:solidFill>
          </w14:textFill>
        </w:rPr>
        <w:t>.2.2</w:t>
      </w:r>
      <w:r>
        <w:rPr>
          <w:i/>
          <w:iCs/>
          <w:color w:val="4472C4" w:themeColor="accent1"/>
          <w:sz w:val="24"/>
          <w:szCs w:val="24"/>
          <w14:textFill>
            <w14:solidFill>
              <w14:schemeClr w14:val="accent1"/>
            </w14:solidFill>
          </w14:textFill>
        </w:rPr>
        <w:t xml:space="preserve"> </w:t>
      </w:r>
      <w:r>
        <w:rPr>
          <w:rFonts w:hint="eastAsia"/>
          <w:i/>
          <w:iCs/>
          <w:color w:val="4472C4" w:themeColor="accent1"/>
          <w:sz w:val="24"/>
          <w:szCs w:val="24"/>
          <w14:textFill>
            <w14:solidFill>
              <w14:schemeClr w14:val="accent1"/>
            </w14:solidFill>
          </w14:textFill>
        </w:rPr>
        <w:t>实际工程中，除结构构件单元如梁、柱接长等特殊工况外，很难保证植筋的保护层范围内存在箍筋的情况，特别是箍筋间距不大于1</w:t>
      </w:r>
      <w:r>
        <w:rPr>
          <w:i/>
          <w:iCs/>
          <w:color w:val="4472C4" w:themeColor="accent1"/>
          <w:sz w:val="24"/>
          <w:szCs w:val="24"/>
          <w14:textFill>
            <w14:solidFill>
              <w14:schemeClr w14:val="accent1"/>
            </w14:solidFill>
          </w14:textFill>
        </w:rPr>
        <w:t>00</w:t>
      </w:r>
      <w:r>
        <w:rPr>
          <w:rFonts w:hint="eastAsia"/>
          <w:i/>
          <w:iCs/>
          <w:color w:val="4472C4" w:themeColor="accent1"/>
          <w:sz w:val="24"/>
          <w:szCs w:val="24"/>
          <w14:textFill>
            <w14:solidFill>
              <w14:schemeClr w14:val="accent1"/>
            </w14:solidFill>
          </w14:textFill>
        </w:rPr>
        <w:t>mm的要求很难满足，这时应先对混凝土基材进行加固。</w:t>
      </w:r>
    </w:p>
    <w:p>
      <w:pPr>
        <w:tabs>
          <w:tab w:val="left" w:pos="567"/>
        </w:tabs>
        <w:adjustRightInd w:val="0"/>
        <w:snapToGrid w:val="0"/>
        <w:spacing w:after="0" w:line="400" w:lineRule="atLeast"/>
        <w:rPr>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4.2.</w:t>
      </w:r>
      <w:r>
        <w:rPr>
          <w:b/>
          <w:color w:val="000000" w:themeColor="text1"/>
          <w:kern w:val="2"/>
          <w:sz w:val="24"/>
          <w:szCs w:val="24"/>
          <w14:textFill>
            <w14:solidFill>
              <w14:schemeClr w14:val="tx1"/>
            </w14:solidFill>
          </w14:textFill>
        </w:rPr>
        <w:t>3</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构件的混凝土保护层厚度不低于现行国家标准《混凝土结构设计规范》</w:t>
      </w:r>
      <w:r>
        <w:rPr>
          <w:color w:val="000000" w:themeColor="text1"/>
          <w:kern w:val="2"/>
          <w:sz w:val="24"/>
          <w:szCs w:val="24"/>
          <w14:textFill>
            <w14:solidFill>
              <w14:schemeClr w14:val="tx1"/>
            </w14:solidFill>
          </w14:textFill>
        </w:rPr>
        <w:t>GB 50010</w:t>
      </w:r>
      <w:r>
        <w:rPr>
          <w:rFonts w:hint="eastAsia"/>
          <w:color w:val="000000" w:themeColor="text1"/>
          <w:kern w:val="2"/>
          <w:sz w:val="24"/>
          <w:szCs w:val="24"/>
          <w14:textFill>
            <w14:solidFill>
              <w14:schemeClr w14:val="tx1"/>
            </w14:solidFill>
          </w14:textFill>
        </w:rPr>
        <w:t>的规定时，植筋用胶粘剂的粘结强度设计值</w:t>
      </w:r>
      <w:r>
        <w:rPr>
          <w:rFonts w:hint="eastAsia"/>
          <w:i/>
          <w:iCs/>
          <w:color w:val="000000" w:themeColor="text1"/>
          <w:sz w:val="24"/>
          <w:szCs w:val="24"/>
          <w14:textFill>
            <w14:solidFill>
              <w14:schemeClr w14:val="tx1"/>
            </w14:solidFill>
          </w14:textFill>
        </w:rPr>
        <w:t>f</w:t>
      </w:r>
      <w:r>
        <w:rPr>
          <w:rFonts w:hint="eastAsia"/>
          <w:iCs/>
          <w:color w:val="000000" w:themeColor="text1"/>
          <w:sz w:val="24"/>
          <w:szCs w:val="24"/>
          <w:vertAlign w:val="subscript"/>
          <w14:textFill>
            <w14:solidFill>
              <w14:schemeClr w14:val="tx1"/>
            </w14:solidFill>
          </w14:textFill>
        </w:rPr>
        <w:t>bd</w:t>
      </w:r>
      <w:r>
        <w:rPr>
          <w:iCs/>
          <w:color w:val="000000" w:themeColor="text1"/>
          <w:sz w:val="24"/>
          <w:szCs w:val="24"/>
          <w:vertAlign w:val="subscript"/>
          <w14:textFill>
            <w14:solidFill>
              <w14:schemeClr w14:val="tx1"/>
            </w14:solidFill>
          </w14:textFill>
        </w:rPr>
        <w:t>,PIR</w:t>
      </w:r>
      <w:r>
        <w:rPr>
          <w:rFonts w:hint="eastAsia"/>
          <w:color w:val="000000" w:themeColor="text1"/>
          <w:kern w:val="2"/>
          <w:sz w:val="24"/>
          <w:szCs w:val="24"/>
          <w14:textFill>
            <w14:solidFill>
              <w14:schemeClr w14:val="tx1"/>
            </w14:solidFill>
          </w14:textFill>
        </w:rPr>
        <w:t>可按表4.2.</w:t>
      </w:r>
      <w:r>
        <w:rPr>
          <w:color w:val="000000" w:themeColor="text1"/>
          <w:kern w:val="2"/>
          <w:sz w:val="24"/>
          <w:szCs w:val="24"/>
          <w14:textFill>
            <w14:solidFill>
              <w14:schemeClr w14:val="tx1"/>
            </w14:solidFill>
          </w14:textFill>
        </w:rPr>
        <w:t>3</w:t>
      </w:r>
      <w:r>
        <w:rPr>
          <w:rFonts w:hint="eastAsia"/>
          <w:color w:val="000000" w:themeColor="text1"/>
          <w:kern w:val="2"/>
          <w:sz w:val="24"/>
          <w:szCs w:val="24"/>
          <w14:textFill>
            <w14:solidFill>
              <w14:schemeClr w14:val="tx1"/>
            </w14:solidFill>
          </w14:textFill>
        </w:rPr>
        <w:t>规定值取用。当基材混凝土强度等级大于</w:t>
      </w:r>
      <w:r>
        <w:rPr>
          <w:color w:val="000000" w:themeColor="text1"/>
          <w:kern w:val="2"/>
          <w:sz w:val="24"/>
          <w:szCs w:val="24"/>
          <w14:textFill>
            <w14:solidFill>
              <w14:schemeClr w14:val="tx1"/>
            </w14:solidFill>
          </w14:textFill>
        </w:rPr>
        <w:t>C30</w:t>
      </w:r>
      <w:r>
        <w:rPr>
          <w:rFonts w:hint="eastAsia"/>
          <w:color w:val="000000" w:themeColor="text1"/>
          <w:kern w:val="2"/>
          <w:sz w:val="24"/>
          <w:szCs w:val="24"/>
          <w14:textFill>
            <w14:solidFill>
              <w14:schemeClr w14:val="tx1"/>
            </w14:solidFill>
          </w14:textFill>
        </w:rPr>
        <w:t>，且使用快固型胶粘剂时，表中的</w:t>
      </w:r>
      <w:r>
        <w:rPr>
          <w:rFonts w:hint="eastAsia"/>
          <w:i/>
          <w:iCs/>
          <w:color w:val="000000" w:themeColor="text1"/>
          <w:sz w:val="24"/>
          <w:szCs w:val="24"/>
          <w14:textFill>
            <w14:solidFill>
              <w14:schemeClr w14:val="tx1"/>
            </w14:solidFill>
          </w14:textFill>
        </w:rPr>
        <w:t>f</w:t>
      </w:r>
      <w:r>
        <w:rPr>
          <w:rFonts w:hint="eastAsia"/>
          <w:iCs/>
          <w:color w:val="000000" w:themeColor="text1"/>
          <w:sz w:val="24"/>
          <w:szCs w:val="24"/>
          <w:vertAlign w:val="subscript"/>
          <w14:textFill>
            <w14:solidFill>
              <w14:schemeClr w14:val="tx1"/>
            </w14:solidFill>
          </w14:textFill>
        </w:rPr>
        <w:t>bd</w:t>
      </w:r>
      <w:r>
        <w:rPr>
          <w:iCs/>
          <w:color w:val="000000" w:themeColor="text1"/>
          <w:sz w:val="24"/>
          <w:szCs w:val="24"/>
          <w:vertAlign w:val="subscript"/>
          <w14:textFill>
            <w14:solidFill>
              <w14:schemeClr w14:val="tx1"/>
            </w14:solidFill>
          </w14:textFill>
        </w:rPr>
        <w:t>,PIR</w:t>
      </w:r>
      <w:r>
        <w:rPr>
          <w:rFonts w:hint="eastAsia"/>
          <w:color w:val="000000" w:themeColor="text1"/>
          <w:kern w:val="2"/>
          <w:sz w:val="24"/>
          <w:szCs w:val="24"/>
          <w14:textFill>
            <w14:solidFill>
              <w14:schemeClr w14:val="tx1"/>
            </w14:solidFill>
          </w14:textFill>
        </w:rPr>
        <w:t>值应乘以</w:t>
      </w:r>
      <w:r>
        <w:rPr>
          <w:color w:val="000000" w:themeColor="text1"/>
          <w:kern w:val="2"/>
          <w:sz w:val="24"/>
          <w:szCs w:val="24"/>
          <w14:textFill>
            <w14:solidFill>
              <w14:schemeClr w14:val="tx1"/>
            </w14:solidFill>
          </w14:textFill>
        </w:rPr>
        <w:t>0.8</w:t>
      </w:r>
      <w:r>
        <w:rPr>
          <w:rFonts w:hint="eastAsia"/>
          <w:color w:val="000000" w:themeColor="text1"/>
          <w:kern w:val="2"/>
          <w:sz w:val="24"/>
          <w:szCs w:val="24"/>
          <w14:textFill>
            <w14:solidFill>
              <w14:schemeClr w14:val="tx1"/>
            </w14:solidFill>
          </w14:textFill>
        </w:rPr>
        <w:t>的折减系数。</w:t>
      </w:r>
    </w:p>
    <w:p>
      <w:pPr>
        <w:adjustRightInd w:val="0"/>
        <w:snapToGrid w:val="0"/>
        <w:spacing w:after="0" w:line="400" w:lineRule="atLeast"/>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表</w:t>
      </w:r>
      <w:r>
        <w:rPr>
          <w:rFonts w:hint="eastAsia"/>
          <w:b/>
          <w:bCs/>
          <w:color w:val="000000" w:themeColor="text1"/>
          <w:kern w:val="2"/>
          <w:sz w:val="21"/>
          <w:szCs w:val="21"/>
          <w14:textFill>
            <w14:solidFill>
              <w14:schemeClr w14:val="tx1"/>
            </w14:solidFill>
          </w14:textFill>
        </w:rPr>
        <w:t>4.2.</w:t>
      </w:r>
      <w:r>
        <w:rPr>
          <w:b/>
          <w:bCs/>
          <w:color w:val="000000" w:themeColor="text1"/>
          <w:kern w:val="2"/>
          <w:sz w:val="21"/>
          <w:szCs w:val="21"/>
          <w14:textFill>
            <w14:solidFill>
              <w14:schemeClr w14:val="tx1"/>
            </w14:solidFill>
          </w14:textFill>
        </w:rPr>
        <w:t>3  粘结强度设计值</w:t>
      </w:r>
      <w:r>
        <w:rPr>
          <w:rFonts w:hint="eastAsia"/>
          <w:b/>
          <w:bCs/>
          <w:i/>
          <w:iCs/>
          <w:color w:val="000000" w:themeColor="text1"/>
          <w:sz w:val="21"/>
          <w:szCs w:val="21"/>
          <w14:textFill>
            <w14:solidFill>
              <w14:schemeClr w14:val="tx1"/>
            </w14:solidFill>
          </w14:textFill>
        </w:rPr>
        <w:t>f</w:t>
      </w:r>
      <w:r>
        <w:rPr>
          <w:rFonts w:hint="eastAsia"/>
          <w:b/>
          <w:bCs/>
          <w:iCs/>
          <w:color w:val="000000" w:themeColor="text1"/>
          <w:sz w:val="21"/>
          <w:szCs w:val="21"/>
          <w:vertAlign w:val="subscript"/>
          <w14:textFill>
            <w14:solidFill>
              <w14:schemeClr w14:val="tx1"/>
            </w14:solidFill>
          </w14:textFill>
        </w:rPr>
        <w:t>bd</w:t>
      </w:r>
      <w:r>
        <w:rPr>
          <w:b/>
          <w:bCs/>
          <w:iCs/>
          <w:color w:val="000000" w:themeColor="text1"/>
          <w:sz w:val="21"/>
          <w:szCs w:val="21"/>
          <w:vertAlign w:val="subscript"/>
          <w14:textFill>
            <w14:solidFill>
              <w14:schemeClr w14:val="tx1"/>
            </w14:solidFill>
          </w14:textFill>
        </w:rPr>
        <w:t>,PIR</w:t>
      </w:r>
      <w:r>
        <w:rPr>
          <w:rFonts w:hint="eastAsia" w:hAnsi="宋体"/>
          <w:b/>
          <w:bCs/>
          <w:color w:val="000000" w:themeColor="text1"/>
          <w:kern w:val="2"/>
          <w:sz w:val="21"/>
          <w:szCs w:val="21"/>
          <w14:textFill>
            <w14:solidFill>
              <w14:schemeClr w14:val="tx1"/>
            </w14:solidFill>
          </w14:textFill>
        </w:rPr>
        <w:t>（N</w:t>
      </w:r>
      <w:r>
        <w:rPr>
          <w:rFonts w:hAnsi="宋体"/>
          <w:b/>
          <w:bCs/>
          <w:color w:val="000000" w:themeColor="text1"/>
          <w:kern w:val="2"/>
          <w:sz w:val="21"/>
          <w:szCs w:val="21"/>
          <w14:textFill>
            <w14:solidFill>
              <w14:schemeClr w14:val="tx1"/>
            </w14:solidFill>
          </w14:textFill>
        </w:rPr>
        <w:t>/mm</w:t>
      </w:r>
      <w:r>
        <w:rPr>
          <w:rFonts w:hAnsi="宋体"/>
          <w:b/>
          <w:bCs/>
          <w:color w:val="000000" w:themeColor="text1"/>
          <w:kern w:val="2"/>
          <w:sz w:val="21"/>
          <w:szCs w:val="21"/>
          <w:vertAlign w:val="superscript"/>
          <w14:textFill>
            <w14:solidFill>
              <w14:schemeClr w14:val="tx1"/>
            </w14:solidFill>
          </w14:textFill>
        </w:rPr>
        <w:t>2</w:t>
      </w:r>
      <w:r>
        <w:rPr>
          <w:rFonts w:hint="eastAsia" w:hAnsi="宋体"/>
          <w:b/>
          <w:bCs/>
          <w:color w:val="000000" w:themeColor="text1"/>
          <w:kern w:val="2"/>
          <w:sz w:val="21"/>
          <w:szCs w:val="21"/>
          <w14:textFill>
            <w14:solidFill>
              <w14:schemeClr w14:val="tx1"/>
            </w14:solidFill>
          </w14:textFill>
        </w:rPr>
        <w:t>）</w:t>
      </w:r>
    </w:p>
    <w:tbl>
      <w:tblPr>
        <w:tblStyle w:val="27"/>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530"/>
        <w:gridCol w:w="990"/>
        <w:gridCol w:w="900"/>
        <w:gridCol w:w="900"/>
        <w:gridCol w:w="900"/>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粘结剂等级</w:t>
            </w:r>
          </w:p>
        </w:tc>
        <w:tc>
          <w:tcPr>
            <w:tcW w:w="153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构造条件</w:t>
            </w:r>
          </w:p>
        </w:tc>
        <w:tc>
          <w:tcPr>
            <w:tcW w:w="4532" w:type="dxa"/>
            <w:gridSpan w:val="5"/>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p>
        </w:tc>
        <w:tc>
          <w:tcPr>
            <w:tcW w:w="153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p>
        </w:tc>
        <w:tc>
          <w:tcPr>
            <w:tcW w:w="99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C20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C25</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C30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C40</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A级胶</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iCs/>
                <w:color w:val="000000" w:themeColor="text1"/>
                <w:kern w:val="2"/>
                <w:sz w:val="21"/>
                <w:szCs w:val="21"/>
                <w14:textFill>
                  <w14:solidFill>
                    <w14:schemeClr w14:val="tx1"/>
                  </w14:solidFill>
                </w14:textFill>
              </w:rPr>
            </w:pPr>
            <m:oMathPara>
              <m:oMath>
                <m:r>
                  <m:rPr>
                    <m:sty m:val="p"/>
                  </m:rPr>
                  <w:rPr>
                    <w:rFonts w:ascii="Cambria Math" w:hAnsi="Cambria Math"/>
                    <w:color w:val="000000" w:themeColor="text1"/>
                    <w:sz w:val="21"/>
                    <w:szCs w:val="21"/>
                    <w14:textFill>
                      <w14:solidFill>
                        <w14:schemeClr w14:val="tx1"/>
                      </w14:solidFill>
                    </w14:textFill>
                  </w:rPr>
                  <m:t>s≥5</m:t>
                </m:r>
                <m:r>
                  <m:rPr/>
                  <w:rPr>
                    <w:rFonts w:ascii="Cambria Math" w:hAnsi="Cambria Math"/>
                    <w:color w:val="000000" w:themeColor="text1"/>
                    <w:sz w:val="21"/>
                    <w:szCs w:val="21"/>
                    <w14:textFill>
                      <w14:solidFill>
                        <w14:schemeClr w14:val="tx1"/>
                      </w14:solidFill>
                    </w14:textFill>
                  </w:rPr>
                  <m:t>d</m:t>
                </m:r>
              </m:oMath>
            </m:oMathPara>
          </w:p>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Cambria Math" w:hAnsi="Cambria Math"/>
                <w:color w:val="000000" w:themeColor="text1"/>
                <w:kern w:val="2"/>
                <w:sz w:val="21"/>
                <w:szCs w:val="21"/>
                <w14:textFill>
                  <w14:solidFill>
                    <w14:schemeClr w14:val="tx1"/>
                  </w14:solidFill>
                </w14:textFill>
              </w:rPr>
            </w:pPr>
            <m:oMathPara>
              <m:oMath>
                <m:r>
                  <m:rPr/>
                  <w:rPr>
                    <w:rFonts w:hint="eastAsia" w:ascii="Cambria Math" w:hAnsi="Cambria Math"/>
                    <w:color w:val="000000" w:themeColor="text1"/>
                    <w:sz w:val="21"/>
                    <w:szCs w:val="21"/>
                    <w14:textFill>
                      <w14:solidFill>
                        <w14:schemeClr w14:val="tx1"/>
                      </w14:solidFill>
                    </w14:textFill>
                  </w:rPr>
                  <m:t>c</m:t>
                </m:r>
                <m:r>
                  <m:rPr>
                    <m:sty m:val="p"/>
                  </m:rPr>
                  <w:rPr>
                    <w:rFonts w:hint="eastAsia" w:ascii="Cambria Math" w:hAnsi="Cambria Math"/>
                    <w:color w:val="000000" w:themeColor="text1"/>
                    <w:sz w:val="21"/>
                    <w:szCs w:val="21"/>
                    <w14:textFill>
                      <w14:solidFill>
                        <w14:schemeClr w14:val="tx1"/>
                      </w14:solidFill>
                    </w14:textFill>
                  </w:rPr>
                  <m:t>≥2.5</m:t>
                </m:r>
                <m:r>
                  <m:rPr/>
                  <w:rPr>
                    <w:rFonts w:hint="eastAsia" w:ascii="Cambria Math" w:hAnsi="Cambria Math"/>
                    <w:color w:val="000000" w:themeColor="text1"/>
                    <w:sz w:val="21"/>
                    <w:szCs w:val="21"/>
                    <w14:textFill>
                      <w14:solidFill>
                        <w14:schemeClr w14:val="tx1"/>
                      </w14:solidFill>
                    </w14:textFill>
                  </w:rPr>
                  <m:t>d</m:t>
                </m:r>
              </m:oMath>
            </m:oMathPara>
          </w:p>
        </w:tc>
        <w:tc>
          <w:tcPr>
            <w:tcW w:w="99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2.3</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2.7</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3.7</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4.0</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A级胶</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Cambria Math" w:hAnsi="Cambria Math"/>
                <w:color w:val="000000" w:themeColor="text1"/>
                <w:kern w:val="2"/>
                <w:sz w:val="21"/>
                <w:szCs w:val="21"/>
                <w14:textFill>
                  <w14:solidFill>
                    <w14:schemeClr w14:val="tx1"/>
                  </w14:solidFill>
                </w14:textFill>
              </w:rPr>
            </w:pPr>
            <m:oMathPara>
              <m:oMath>
                <m:r>
                  <m:rPr>
                    <m:sty m:val="p"/>
                  </m:rPr>
                  <w:rPr>
                    <w:rFonts w:ascii="Cambria Math" w:hAnsi="Cambria Math"/>
                    <w:color w:val="000000" w:themeColor="text1"/>
                    <w:sz w:val="21"/>
                    <w:szCs w:val="21"/>
                    <w14:textFill>
                      <w14:solidFill>
                        <w14:schemeClr w14:val="tx1"/>
                      </w14:solidFill>
                    </w14:textFill>
                  </w:rPr>
                  <m:t>s≥6</m:t>
                </m:r>
                <m:r>
                  <m:rPr/>
                  <w:rPr>
                    <w:rFonts w:ascii="Cambria Math" w:hAnsi="Cambria Math"/>
                    <w:color w:val="000000" w:themeColor="text1"/>
                    <w:sz w:val="21"/>
                    <w:szCs w:val="21"/>
                    <w14:textFill>
                      <w14:solidFill>
                        <w14:schemeClr w14:val="tx1"/>
                      </w14:solidFill>
                    </w14:textFill>
                  </w:rPr>
                  <m:t>d</m:t>
                </m:r>
              </m:oMath>
            </m:oMathPara>
          </w:p>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Cambria Math" w:hAnsi="Cambria Math" w:eastAsia="Times New Roman"/>
                <w:b/>
                <w:color w:val="000000" w:themeColor="text1"/>
                <w:kern w:val="2"/>
                <w:sz w:val="21"/>
                <w:szCs w:val="21"/>
                <w:lang w:eastAsia="en-US"/>
                <w14:textFill>
                  <w14:solidFill>
                    <w14:schemeClr w14:val="tx1"/>
                  </w14:solidFill>
                </w14:textFill>
              </w:rPr>
            </w:pPr>
            <m:oMathPara>
              <m:oMath>
                <m:r>
                  <m:rPr/>
                  <w:rPr>
                    <w:rFonts w:ascii="Cambria Math" w:hAnsi="Cambria Math"/>
                    <w:color w:val="000000" w:themeColor="text1"/>
                    <w:sz w:val="21"/>
                    <w:szCs w:val="21"/>
                    <w14:textFill>
                      <w14:solidFill>
                        <w14:schemeClr w14:val="tx1"/>
                      </w14:solidFill>
                    </w14:textFill>
                  </w:rPr>
                  <m:t>c</m:t>
                </m:r>
                <m:r>
                  <m:rPr>
                    <m:sty m:val="p"/>
                  </m:rPr>
                  <w:rPr>
                    <w:rFonts w:ascii="Cambria Math" w:hAnsi="Cambria Math"/>
                    <w:color w:val="000000" w:themeColor="text1"/>
                    <w:sz w:val="21"/>
                    <w:szCs w:val="21"/>
                    <w14:textFill>
                      <w14:solidFill>
                        <w14:schemeClr w14:val="tx1"/>
                      </w14:solidFill>
                    </w14:textFill>
                  </w:rPr>
                  <m:t>≥3</m:t>
                </m:r>
                <m:r>
                  <m:rPr/>
                  <w:rPr>
                    <w:rFonts w:ascii="Cambria Math" w:hAnsi="Cambria Math"/>
                    <w:color w:val="000000" w:themeColor="text1"/>
                    <w:sz w:val="21"/>
                    <w:szCs w:val="21"/>
                    <w14:textFill>
                      <w14:solidFill>
                        <w14:schemeClr w14:val="tx1"/>
                      </w14:solidFill>
                    </w14:textFill>
                  </w:rPr>
                  <m:t>d</m:t>
                </m:r>
              </m:oMath>
            </m:oMathPara>
          </w:p>
        </w:tc>
        <w:tc>
          <w:tcPr>
            <w:tcW w:w="99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2.3</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2.7</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Cambria Math" w:hAnsi="Cambria Math"/>
                <w:color w:val="000000" w:themeColor="text1"/>
                <w:kern w:val="2"/>
                <w:sz w:val="21"/>
                <w:szCs w:val="21"/>
                <w14:textFill>
                  <w14:solidFill>
                    <w14:schemeClr w14:val="tx1"/>
                  </w14:solidFill>
                </w14:textFill>
              </w:rPr>
            </w:pPr>
            <m:oMathPara>
              <m:oMath>
                <m:r>
                  <m:rPr>
                    <m:sty m:val="p"/>
                  </m:rPr>
                  <w:rPr>
                    <w:rFonts w:ascii="Cambria Math" w:hAnsi="Cambria Math"/>
                    <w:color w:val="000000" w:themeColor="text1"/>
                    <w:sz w:val="21"/>
                    <w:szCs w:val="21"/>
                    <w14:textFill>
                      <w14:solidFill>
                        <w14:schemeClr w14:val="tx1"/>
                      </w14:solidFill>
                    </w14:textFill>
                  </w:rPr>
                  <m:t>s≥7</m:t>
                </m:r>
                <m:r>
                  <m:rPr/>
                  <w:rPr>
                    <w:rFonts w:ascii="Cambria Math" w:hAnsi="Cambria Math"/>
                    <w:color w:val="000000" w:themeColor="text1"/>
                    <w:sz w:val="21"/>
                    <w:szCs w:val="21"/>
                    <w14:textFill>
                      <w14:solidFill>
                        <w14:schemeClr w14:val="tx1"/>
                      </w14:solidFill>
                    </w14:textFill>
                  </w:rPr>
                  <m:t>d</m:t>
                </m:r>
              </m:oMath>
            </m:oMathPara>
          </w:p>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rFonts w:ascii="Cambria Math" w:hAnsi="Cambria Math" w:eastAsia="Times New Roman"/>
                <w:b/>
                <w:color w:val="000000" w:themeColor="text1"/>
                <w:kern w:val="2"/>
                <w:sz w:val="21"/>
                <w:szCs w:val="21"/>
                <w:lang w:eastAsia="en-US"/>
                <w14:textFill>
                  <w14:solidFill>
                    <w14:schemeClr w14:val="tx1"/>
                  </w14:solidFill>
                </w14:textFill>
              </w:rPr>
            </w:pPr>
            <m:oMathPara>
              <m:oMath>
                <m:r>
                  <m:rPr/>
                  <w:rPr>
                    <w:rFonts w:ascii="Cambria Math" w:hAnsi="Cambria Math"/>
                    <w:color w:val="000000" w:themeColor="text1"/>
                    <w:sz w:val="21"/>
                    <w:szCs w:val="21"/>
                    <w14:textFill>
                      <w14:solidFill>
                        <w14:schemeClr w14:val="tx1"/>
                      </w14:solidFill>
                    </w14:textFill>
                  </w:rPr>
                  <m:t>c</m:t>
                </m:r>
                <m:r>
                  <m:rPr>
                    <m:sty m:val="p"/>
                  </m:rPr>
                  <w:rPr>
                    <w:rFonts w:ascii="Cambria Math" w:hAnsi="Cambria Math"/>
                    <w:color w:val="000000" w:themeColor="text1"/>
                    <w:sz w:val="21"/>
                    <w:szCs w:val="21"/>
                    <w14:textFill>
                      <w14:solidFill>
                        <w14:schemeClr w14:val="tx1"/>
                      </w14:solidFill>
                    </w14:textFill>
                  </w:rPr>
                  <m:t>≥3.5</m:t>
                </m:r>
                <m:r>
                  <m:rPr/>
                  <w:rPr>
                    <w:rFonts w:ascii="Cambria Math" w:hAnsi="Cambria Math"/>
                    <w:color w:val="000000" w:themeColor="text1"/>
                    <w:sz w:val="21"/>
                    <w:szCs w:val="21"/>
                    <w14:textFill>
                      <w14:solidFill>
                        <w14:schemeClr w14:val="tx1"/>
                      </w14:solidFill>
                    </w14:textFill>
                  </w:rPr>
                  <m:t>d</m:t>
                </m:r>
              </m:oMath>
            </m:oMathPara>
          </w:p>
        </w:tc>
        <w:tc>
          <w:tcPr>
            <w:tcW w:w="99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2.3</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2.7</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4.5</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after="0" w:line="312" w:lineRule="auto"/>
              <w:jc w:val="center"/>
              <w:textAlignment w:val="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val="0"/>
        <w:snapToGrid w:val="0"/>
        <w:spacing w:after="0" w:line="240" w:lineRule="auto"/>
        <w:ind w:left="496" w:hanging="498" w:hangingChars="236"/>
        <w:textAlignment w:val="auto"/>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注：1 表中</w:t>
      </w:r>
      <m:oMath>
        <m:r>
          <m:rPr>
            <m:sty m:val="b"/>
          </m:rPr>
          <w:rPr>
            <w:rFonts w:ascii="Cambria Math" w:hAnsi="Cambria Math"/>
            <w:color w:val="000000" w:themeColor="text1"/>
            <w:sz w:val="21"/>
            <w:szCs w:val="21"/>
            <w14:textFill>
              <w14:solidFill>
                <w14:schemeClr w14:val="tx1"/>
              </w14:solidFill>
            </w14:textFill>
          </w:rPr>
          <m:t>s</m:t>
        </m:r>
      </m:oMath>
      <w:r>
        <w:rPr>
          <w:rFonts w:ascii="Cambria Math"/>
          <w:b/>
          <w:bCs/>
          <w:color w:val="000000" w:themeColor="text1"/>
          <w:kern w:val="2"/>
          <w:sz w:val="21"/>
          <w:szCs w:val="21"/>
          <w14:textFill>
            <w14:solidFill>
              <w14:schemeClr w14:val="tx1"/>
            </w14:solidFill>
          </w14:textFill>
        </w:rPr>
        <w:t>为植筋间距；</w:t>
      </w:r>
      <m:oMath>
        <m:r>
          <m:rPr>
            <m:sty m:val="bi"/>
          </m:rPr>
          <w:rPr>
            <w:rFonts w:ascii="Cambria Math" w:hAnsi="Cambria Math"/>
            <w:color w:val="000000" w:themeColor="text1"/>
            <w:sz w:val="21"/>
            <w:szCs w:val="21"/>
            <w14:textFill>
              <w14:solidFill>
                <w14:schemeClr w14:val="tx1"/>
              </w14:solidFill>
            </w14:textFill>
          </w:rPr>
          <m:t>c</m:t>
        </m:r>
      </m:oMath>
      <w:r>
        <w:rPr>
          <w:b/>
          <w:bCs/>
          <w:color w:val="000000" w:themeColor="text1"/>
          <w:kern w:val="2"/>
          <w:sz w:val="21"/>
          <w:szCs w:val="21"/>
          <w14:textFill>
            <w14:solidFill>
              <w14:schemeClr w14:val="tx1"/>
            </w14:solidFill>
          </w14:textFill>
        </w:rPr>
        <w:t>为植筋边距；</w:t>
      </w:r>
    </w:p>
    <w:p>
      <w:pPr>
        <w:keepNext w:val="0"/>
        <w:keepLines w:val="0"/>
        <w:pageBreakBefore w:val="0"/>
        <w:widowControl w:val="0"/>
        <w:kinsoku/>
        <w:wordWrap/>
        <w:overflowPunct/>
        <w:topLinePunct w:val="0"/>
        <w:autoSpaceDE/>
        <w:autoSpaceDN/>
        <w:bidi w:val="0"/>
        <w:spacing w:after="0" w:line="240" w:lineRule="auto"/>
        <w:ind w:firstLine="390"/>
        <w:textAlignment w:val="auto"/>
        <w:rPr>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2</w:t>
      </w:r>
      <w:r>
        <w:rPr>
          <w:b/>
          <w:bCs/>
          <w:color w:val="000000" w:themeColor="text1"/>
          <w:kern w:val="2"/>
          <w:sz w:val="21"/>
          <w:szCs w:val="21"/>
          <w14:textFill>
            <w14:solidFill>
              <w14:schemeClr w14:val="tx1"/>
            </w14:solidFill>
          </w14:textFill>
        </w:rPr>
        <w:t xml:space="preserve"> 表中</w:t>
      </w:r>
      <w:r>
        <w:rPr>
          <w:rFonts w:hint="eastAsia"/>
          <w:b/>
          <w:bCs/>
          <w:i/>
          <w:iCs/>
          <w:color w:val="000000" w:themeColor="text1"/>
          <w:sz w:val="21"/>
          <w:szCs w:val="21"/>
          <w14:textFill>
            <w14:solidFill>
              <w14:schemeClr w14:val="tx1"/>
            </w14:solidFill>
          </w14:textFill>
        </w:rPr>
        <w:t>f</w:t>
      </w:r>
      <w:r>
        <w:rPr>
          <w:rFonts w:hint="eastAsia"/>
          <w:b/>
          <w:bCs/>
          <w:iCs/>
          <w:color w:val="000000" w:themeColor="text1"/>
          <w:sz w:val="21"/>
          <w:szCs w:val="21"/>
          <w:vertAlign w:val="subscript"/>
          <w14:textFill>
            <w14:solidFill>
              <w14:schemeClr w14:val="tx1"/>
            </w14:solidFill>
          </w14:textFill>
        </w:rPr>
        <w:t>bd</w:t>
      </w:r>
      <w:r>
        <w:rPr>
          <w:b/>
          <w:bCs/>
          <w:iCs/>
          <w:color w:val="000000" w:themeColor="text1"/>
          <w:sz w:val="21"/>
          <w:szCs w:val="21"/>
          <w:vertAlign w:val="subscript"/>
          <w14:textFill>
            <w14:solidFill>
              <w14:schemeClr w14:val="tx1"/>
            </w14:solidFill>
          </w14:textFill>
        </w:rPr>
        <w:t>,PIR</w:t>
      </w:r>
      <w:r>
        <w:rPr>
          <w:b/>
          <w:bCs/>
          <w:color w:val="000000" w:themeColor="text1"/>
          <w:kern w:val="2"/>
          <w:sz w:val="21"/>
          <w:szCs w:val="21"/>
          <w14:textFill>
            <w14:solidFill>
              <w14:schemeClr w14:val="tx1"/>
            </w14:solidFill>
          </w14:textFill>
        </w:rPr>
        <w:t>值仅适用于带肋钢筋的粘结锚固。</w:t>
      </w:r>
    </w:p>
    <w:p>
      <w:pPr>
        <w:tabs>
          <w:tab w:val="left" w:pos="567"/>
        </w:tabs>
        <w:adjustRightInd w:val="0"/>
        <w:snapToGrid w:val="0"/>
        <w:spacing w:after="0" w:line="400" w:lineRule="atLeast"/>
        <w:rPr>
          <w:rStyle w:val="34"/>
        </w:rPr>
      </w:pPr>
      <w:r>
        <w:rPr>
          <w:rFonts w:hint="eastAsia"/>
          <w:bCs/>
          <w:i/>
          <w:iCs/>
          <w:color w:val="4472C4" w:themeColor="accent1"/>
          <w:kern w:val="2"/>
          <w:sz w:val="24"/>
          <w:szCs w:val="24"/>
          <w14:textFill>
            <w14:solidFill>
              <w14:schemeClr w14:val="accent1"/>
            </w14:solidFill>
          </w14:textFill>
        </w:rPr>
        <w:t>【条文说明】</w:t>
      </w:r>
      <w:r>
        <w:rPr>
          <w:rFonts w:hint="eastAsia"/>
          <w:b/>
          <w:i/>
          <w:iCs/>
          <w:color w:val="4472C4" w:themeColor="accent1"/>
          <w:kern w:val="2"/>
          <w:sz w:val="24"/>
          <w:szCs w:val="24"/>
          <w14:textFill>
            <w14:solidFill>
              <w14:schemeClr w14:val="accent1"/>
            </w14:solidFill>
          </w14:textFill>
        </w:rPr>
        <w:t>4</w:t>
      </w:r>
      <w:r>
        <w:rPr>
          <w:b/>
          <w:i/>
          <w:iCs/>
          <w:color w:val="4472C4" w:themeColor="accent1"/>
          <w:kern w:val="2"/>
          <w:sz w:val="24"/>
          <w:szCs w:val="24"/>
          <w14:textFill>
            <w14:solidFill>
              <w14:schemeClr w14:val="accent1"/>
            </w14:solidFill>
          </w14:textFill>
        </w:rPr>
        <w:t>.2.3</w:t>
      </w:r>
      <w:r>
        <w:rPr>
          <w:rFonts w:hint="eastAsia"/>
          <w:bCs/>
          <w:i/>
          <w:iCs/>
          <w:color w:val="4472C4" w:themeColor="accent1"/>
          <w:kern w:val="2"/>
          <w:sz w:val="24"/>
          <w:szCs w:val="24"/>
          <w14:textFill>
            <w14:solidFill>
              <w14:schemeClr w14:val="accent1"/>
            </w14:solidFill>
          </w14:textFill>
        </w:rPr>
        <w:t>目前市场上B级胶和无机胶市场使用经验较少，因此本</w:t>
      </w:r>
      <w:r>
        <w:rPr>
          <w:rFonts w:hint="eastAsia"/>
          <w:bCs/>
          <w:i/>
          <w:iCs/>
          <w:color w:val="4472C4" w:themeColor="accent1"/>
          <w:kern w:val="2"/>
          <w:sz w:val="24"/>
          <w:szCs w:val="24"/>
          <w:lang w:val="en-US" w:eastAsia="zh-CN"/>
          <w14:textFill>
            <w14:solidFill>
              <w14:schemeClr w14:val="accent1"/>
            </w14:solidFill>
          </w14:textFill>
        </w:rPr>
        <w:t>规程</w:t>
      </w:r>
      <w:r>
        <w:rPr>
          <w:rFonts w:hint="eastAsia"/>
          <w:bCs/>
          <w:i/>
          <w:iCs/>
          <w:color w:val="4472C4" w:themeColor="accent1"/>
          <w:kern w:val="2"/>
          <w:sz w:val="24"/>
          <w:szCs w:val="24"/>
          <w14:textFill>
            <w14:solidFill>
              <w14:schemeClr w14:val="accent1"/>
            </w14:solidFill>
          </w14:textFill>
        </w:rPr>
        <w:t>不包括对这两类胶的要求。</w:t>
      </w:r>
    </w:p>
    <w:p>
      <w:pPr>
        <w:tabs>
          <w:tab w:val="left" w:pos="567"/>
        </w:tabs>
        <w:adjustRightInd w:val="0"/>
        <w:snapToGrid w:val="0"/>
        <w:spacing w:after="0" w:line="400" w:lineRule="atLeast"/>
        <w:rPr>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4.2.</w:t>
      </w:r>
      <w:r>
        <w:rPr>
          <w:b/>
          <w:color w:val="000000" w:themeColor="text1"/>
          <w:kern w:val="2"/>
          <w:sz w:val="24"/>
          <w:szCs w:val="24"/>
          <w14:textFill>
            <w14:solidFill>
              <w14:schemeClr w14:val="tx1"/>
            </w14:solidFill>
          </w14:textFill>
        </w:rPr>
        <w:t>4</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考虑各种因素对植筋受拉承载力影响的锚固长度修正系数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ψ</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kern w:val="2"/>
          <w:sz w:val="24"/>
          <w:szCs w:val="24"/>
          <w14:textFill>
            <w14:solidFill>
              <w14:schemeClr w14:val="tx1"/>
            </w14:solidFill>
          </w14:textFill>
        </w:rPr>
        <w:t>应按下式计算：</w:t>
      </w:r>
    </w:p>
    <w:p>
      <w:pPr>
        <w:tabs>
          <w:tab w:val="left" w:pos="567"/>
        </w:tabs>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position w:val="-10"/>
          <w:sz w:val="24"/>
          <w:szCs w:val="24"/>
          <w14:textFill>
            <w14:solidFill>
              <w14:schemeClr w14:val="tx1"/>
            </w14:solidFill>
          </w14:textFill>
        </w:rPr>
        <w:object>
          <v:shape id="_x0000_i1055" o:spt="75" type="#_x0000_t75" style="height:16pt;width:67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 xml:space="preserve">          </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4.2.</w:t>
      </w:r>
      <w:r>
        <w:rPr>
          <w:color w:val="000000" w:themeColor="text1"/>
          <w:kern w:val="2"/>
          <w:sz w:val="24"/>
          <w:szCs w:val="24"/>
          <w14:textFill>
            <w14:solidFill>
              <w14:schemeClr w14:val="tx1"/>
            </w14:solidFill>
          </w14:textFill>
        </w:rPr>
        <w:t>4）</w:t>
      </w:r>
    </w:p>
    <w:tbl>
      <w:tblPr>
        <w:tblStyle w:val="28"/>
        <w:tblW w:w="0" w:type="auto"/>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pPr>
              <w:tabs>
                <w:tab w:val="left" w:pos="567"/>
              </w:tabs>
              <w:adjustRightInd w:val="0"/>
              <w:snapToGrid w:val="0"/>
              <w:spacing w:after="0" w:line="400" w:lineRule="atLeast"/>
              <w:jc w:val="right"/>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式中：</w:t>
            </w:r>
            <w:r>
              <w:rPr>
                <w:color w:val="000000" w:themeColor="text1"/>
                <w:kern w:val="2"/>
                <w:position w:val="-10"/>
                <w:sz w:val="24"/>
                <w:szCs w:val="24"/>
                <w14:textFill>
                  <w14:solidFill>
                    <w14:schemeClr w14:val="tx1"/>
                  </w14:solidFill>
                </w14:textFill>
              </w:rPr>
              <w:object>
                <v:shape id="_x0000_i1056" o:spt="75" type="#_x0000_t75" style="height:16pt;width:16pt;" o:ole="t" filled="f" o:preferrelative="t" stroked="f" coordsize="21600,21600">
                  <v:path/>
                  <v:fill on="f" focussize="0,0"/>
                  <v:stroke on="f" joinstyle="miter"/>
                  <v:imagedata r:id="rId25" o:title=""/>
                  <o:lock v:ext="edit" aspectratio="t"/>
                  <w10:wrap type="none"/>
                  <w10:anchorlock/>
                </v:shape>
                <o:OLEObject Type="Embed" ProgID="Equation.DSMT4" ShapeID="_x0000_i1056" DrawAspect="Content" ObjectID="_1468075756" r:id="rId67">
                  <o:LockedField>false</o:LockedField>
                </o:OLEObject>
              </w:object>
            </w:r>
            <w:r>
              <w:rPr>
                <w:color w:val="000000" w:themeColor="text1"/>
                <w:kern w:val="2"/>
                <w:sz w:val="24"/>
                <w:szCs w:val="24"/>
                <w14:textFill>
                  <w14:solidFill>
                    <w14:schemeClr w14:val="tx1"/>
                  </w14:solidFill>
                </w14:textFill>
              </w:rPr>
              <w:t>—</w:t>
            </w:r>
          </w:p>
        </w:tc>
        <w:tc>
          <w:tcPr>
            <w:tcW w:w="6996" w:type="dxa"/>
          </w:tcPr>
          <w:p>
            <w:pPr>
              <w:tabs>
                <w:tab w:val="left" w:pos="567"/>
              </w:tabs>
              <w:adjustRightInd w:val="0"/>
              <w:snapToGrid w:val="0"/>
              <w:spacing w:after="0" w:line="400" w:lineRule="atLeast"/>
              <w:ind w:left="-107" w:leftChars="-51"/>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考虑</w:t>
            </w:r>
            <w:r>
              <w:rPr>
                <w:rFonts w:hint="eastAsia"/>
                <w:color w:val="000000" w:themeColor="text1"/>
                <w:kern w:val="2"/>
                <w:sz w:val="24"/>
                <w:szCs w:val="24"/>
                <w14:textFill>
                  <w14:solidFill>
                    <w14:schemeClr w14:val="tx1"/>
                  </w14:solidFill>
                </w14:textFill>
              </w:rPr>
              <w:t>新增</w:t>
            </w:r>
            <w:r>
              <w:rPr>
                <w:color w:val="000000" w:themeColor="text1"/>
                <w:kern w:val="2"/>
                <w:sz w:val="24"/>
                <w:szCs w:val="24"/>
                <w14:textFill>
                  <w14:solidFill>
                    <w14:schemeClr w14:val="tx1"/>
                  </w14:solidFill>
                </w14:textFill>
              </w:rPr>
              <w:t>结构构件受力状态对</w:t>
            </w:r>
            <w:r>
              <w:rPr>
                <w:rFonts w:hint="eastAsia"/>
                <w:color w:val="000000" w:themeColor="text1"/>
                <w:kern w:val="2"/>
                <w:sz w:val="24"/>
                <w:szCs w:val="24"/>
                <w14:textFill>
                  <w14:solidFill>
                    <w14:schemeClr w14:val="tx1"/>
                  </w14:solidFill>
                </w14:textFill>
              </w:rPr>
              <w:t>植筋</w:t>
            </w:r>
            <w:r>
              <w:rPr>
                <w:color w:val="000000" w:themeColor="text1"/>
                <w:kern w:val="2"/>
                <w:sz w:val="24"/>
                <w:szCs w:val="24"/>
                <w14:textFill>
                  <w14:solidFill>
                    <w14:schemeClr w14:val="tx1"/>
                  </w14:solidFill>
                </w14:textFill>
              </w:rPr>
              <w:t>承载力影响的系数：当为悬挑结构构件时</w:t>
            </w:r>
            <w:r>
              <w:rPr>
                <w:rFonts w:hint="eastAsia"/>
                <w:color w:val="000000" w:themeColor="text1"/>
                <w:kern w:val="2"/>
                <w:sz w:val="24"/>
                <w:szCs w:val="24"/>
                <w14:textFill>
                  <w14:solidFill>
                    <w14:schemeClr w14:val="tx1"/>
                  </w14:solidFill>
                </w14:textFill>
              </w:rPr>
              <w:t>，</w:t>
            </w:r>
            <w:r>
              <w:rPr>
                <w:color w:val="000000" w:themeColor="text1"/>
                <w:kern w:val="2"/>
                <w:sz w:val="24"/>
                <w:szCs w:val="24"/>
                <w14:textFill>
                  <w14:solidFill>
                    <w14:schemeClr w14:val="tx1"/>
                  </w14:solidFill>
                </w14:textFill>
              </w:rPr>
              <w:t>宜取1.5；当为非悬挑的重要构件接长时，宜取1.15；当为其他构件时，宜取1.0</w:t>
            </w:r>
            <w:r>
              <w:rPr>
                <w:rFonts w:hint="eastAsia"/>
                <w:color w:val="000000" w:themeColor="text1"/>
                <w:kern w:val="2"/>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pPr>
              <w:tabs>
                <w:tab w:val="left" w:pos="567"/>
              </w:tabs>
              <w:adjustRightInd w:val="0"/>
              <w:snapToGrid w:val="0"/>
              <w:spacing w:after="0" w:line="400" w:lineRule="atLeast"/>
              <w:jc w:val="right"/>
              <w:rPr>
                <w:color w:val="000000" w:themeColor="text1"/>
                <w:kern w:val="2"/>
                <w:sz w:val="24"/>
                <w:szCs w:val="24"/>
                <w14:textFill>
                  <w14:solidFill>
                    <w14:schemeClr w14:val="tx1"/>
                  </w14:solidFill>
                </w14:textFill>
              </w:rPr>
            </w:pPr>
            <w:bookmarkStart w:id="28" w:name="_Hlk145854744"/>
            <w:r>
              <w:rPr>
                <w:color w:val="000000" w:themeColor="text1"/>
                <w:kern w:val="2"/>
                <w:position w:val="-10"/>
                <w:sz w:val="24"/>
                <w:szCs w:val="24"/>
                <w14:textFill>
                  <w14:solidFill>
                    <w14:schemeClr w14:val="tx1"/>
                  </w14:solidFill>
                </w14:textFill>
              </w:rPr>
              <w:object>
                <v:shape id="_x0000_i1057" o:spt="75" type="#_x0000_t75" style="height:16pt;width:16pt;" o:ole="t" filled="f" o:preferrelative="t" stroked="f" coordsize="21600,21600">
                  <v:path/>
                  <v:fill on="f" focussize="0,0"/>
                  <v:stroke on="f" joinstyle="miter"/>
                  <v:imagedata r:id="rId30" o:title=""/>
                  <o:lock v:ext="edit" aspectratio="t"/>
                  <w10:wrap type="none"/>
                  <w10:anchorlock/>
                </v:shape>
                <o:OLEObject Type="Embed" ProgID="Equation.DSMT4" ShapeID="_x0000_i1057" DrawAspect="Content" ObjectID="_1468075757" r:id="rId68">
                  <o:LockedField>false</o:LockedField>
                </o:OLEObject>
              </w:object>
            </w:r>
            <w:r>
              <w:rPr>
                <w:color w:val="000000" w:themeColor="text1"/>
                <w:kern w:val="2"/>
                <w:sz w:val="24"/>
                <w:szCs w:val="24"/>
                <w14:textFill>
                  <w14:solidFill>
                    <w14:schemeClr w14:val="tx1"/>
                  </w14:solidFill>
                </w14:textFill>
              </w:rPr>
              <w:t>—</w:t>
            </w:r>
          </w:p>
        </w:tc>
        <w:tc>
          <w:tcPr>
            <w:tcW w:w="6996" w:type="dxa"/>
          </w:tcPr>
          <w:p>
            <w:pPr>
              <w:tabs>
                <w:tab w:val="left" w:pos="567"/>
              </w:tabs>
              <w:adjustRightInd w:val="0"/>
              <w:snapToGrid w:val="0"/>
              <w:spacing w:after="0" w:line="400" w:lineRule="atLeast"/>
              <w:ind w:left="-107" w:leftChars="-51"/>
              <w:rPr>
                <w:color w:val="000000" w:themeColor="text1"/>
                <w:kern w:val="2"/>
                <w:sz w:val="24"/>
                <w:szCs w:val="24"/>
                <w14:textFill>
                  <w14:solidFill>
                    <w14:schemeClr w14:val="tx1"/>
                  </w14:solidFill>
                </w14:textFill>
              </w:rPr>
            </w:pPr>
            <w:r>
              <w:rPr>
                <w:rFonts w:hint="eastAsia"/>
                <w:color w:val="000000" w:themeColor="text1"/>
                <w:sz w:val="24"/>
                <w:szCs w:val="24"/>
                <w14:textFill>
                  <w14:solidFill>
                    <w14:schemeClr w14:val="tx1"/>
                  </w14:solidFill>
                </w14:textFill>
              </w:rPr>
              <w:t>混凝土孔壁潮湿影响系数。对耐潮湿型胶粘剂，应按产品说明书的规定值采用，且不应低于</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w:t>
            </w:r>
          </w:p>
        </w:tc>
      </w:tr>
      <w:bookmarkEnd w:id="2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pPr>
              <w:tabs>
                <w:tab w:val="left" w:pos="567"/>
              </w:tabs>
              <w:adjustRightInd w:val="0"/>
              <w:snapToGrid w:val="0"/>
              <w:spacing w:after="0" w:line="400" w:lineRule="atLeast"/>
              <w:jc w:val="right"/>
              <w:rPr>
                <w:color w:val="000000" w:themeColor="text1"/>
                <w:kern w:val="2"/>
                <w:sz w:val="24"/>
                <w:szCs w:val="24"/>
                <w:highlight w:val="none"/>
                <w14:textFill>
                  <w14:solidFill>
                    <w14:schemeClr w14:val="tx1"/>
                  </w14:solidFill>
                </w14:textFill>
              </w:rPr>
            </w:pPr>
            <w:r>
              <w:rPr>
                <w:color w:val="000000" w:themeColor="text1"/>
                <w:kern w:val="2"/>
                <w:position w:val="-10"/>
                <w:sz w:val="24"/>
                <w:szCs w:val="24"/>
                <w:highlight w:val="none"/>
                <w14:textFill>
                  <w14:solidFill>
                    <w14:schemeClr w14:val="tx1"/>
                  </w14:solidFill>
                </w14:textFill>
              </w:rPr>
              <w:object>
                <v:shape id="_x0000_i1058" o:spt="75" type="#_x0000_t75" style="height:16pt;width:16pt;" o:ole="t" filled="f" o:preferrelative="t" stroked="f" coordsize="21600,21600">
                  <v:path/>
                  <v:fill on="f" focussize="0,0"/>
                  <v:stroke on="f" joinstyle="miter"/>
                  <v:imagedata r:id="rId27" o:title=""/>
                  <o:lock v:ext="edit" aspectratio="t"/>
                  <w10:wrap type="none"/>
                  <w10:anchorlock/>
                </v:shape>
                <o:OLEObject Type="Embed" ProgID="Equation.DSMT4" ShapeID="_x0000_i1058" DrawAspect="Content" ObjectID="_1468075758" r:id="rId69">
                  <o:LockedField>false</o:LockedField>
                </o:OLEObject>
              </w:object>
            </w:r>
            <w:r>
              <w:rPr>
                <w:color w:val="000000" w:themeColor="text1"/>
                <w:kern w:val="2"/>
                <w:sz w:val="24"/>
                <w:szCs w:val="24"/>
                <w:highlight w:val="none"/>
                <w14:textFill>
                  <w14:solidFill>
                    <w14:schemeClr w14:val="tx1"/>
                  </w14:solidFill>
                </w14:textFill>
              </w:rPr>
              <w:t>—</w:t>
            </w:r>
          </w:p>
        </w:tc>
        <w:tc>
          <w:tcPr>
            <w:tcW w:w="6996" w:type="dxa"/>
          </w:tcPr>
          <w:p>
            <w:pPr>
              <w:tabs>
                <w:tab w:val="left" w:pos="567"/>
              </w:tabs>
              <w:adjustRightInd w:val="0"/>
              <w:snapToGrid w:val="0"/>
              <w:spacing w:after="0" w:line="400" w:lineRule="atLeast"/>
              <w:ind w:left="-107" w:leftChars="-51"/>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使用环境的温度影响系数</w:t>
            </w:r>
            <w:r>
              <w:rPr>
                <w:rFonts w:hint="eastAsia"/>
                <w:color w:val="000000" w:themeColor="text1"/>
                <w:kern w:val="2"/>
                <w:sz w:val="24"/>
                <w:szCs w:val="24"/>
                <w:highlight w:val="none"/>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当最高长期使用温度不大于</w:t>
            </w:r>
            <w:r>
              <w:rPr>
                <w:bCs/>
                <w:color w:val="000000" w:themeColor="text1"/>
                <w:sz w:val="24"/>
                <w:szCs w:val="24"/>
                <w:highlight w:val="none"/>
                <w14:textFill>
                  <w14:solidFill>
                    <w14:schemeClr w14:val="tx1"/>
                  </w14:solidFill>
                </w14:textFill>
              </w:rPr>
              <w:t>36</w:t>
            </w:r>
            <w:r>
              <w:rPr>
                <w:rFonts w:hint="eastAsia"/>
                <w:bCs/>
                <w:color w:val="000000" w:themeColor="text1"/>
                <w:sz w:val="24"/>
                <w:szCs w:val="24"/>
                <w:highlight w:val="none"/>
                <w14:textFill>
                  <w14:solidFill>
                    <w14:schemeClr w14:val="tx1"/>
                  </w14:solidFill>
                </w14:textFill>
              </w:rPr>
              <w:t>℃且最高短期使用温度不大于</w:t>
            </w:r>
            <w:r>
              <w:rPr>
                <w:bCs/>
                <w:color w:val="000000" w:themeColor="text1"/>
                <w:sz w:val="24"/>
                <w:szCs w:val="24"/>
                <w:highlight w:val="none"/>
                <w14:textFill>
                  <w14:solidFill>
                    <w14:schemeClr w14:val="tx1"/>
                  </w14:solidFill>
                </w14:textFill>
              </w:rPr>
              <w:t>60</w:t>
            </w:r>
            <w:r>
              <w:rPr>
                <w:rFonts w:hint="eastAsia"/>
                <w:bCs/>
                <w:color w:val="000000" w:themeColor="text1"/>
                <w:sz w:val="24"/>
                <w:szCs w:val="24"/>
                <w:highlight w:val="none"/>
                <w14:textFill>
                  <w14:solidFill>
                    <w14:schemeClr w14:val="tx1"/>
                  </w14:solidFill>
                </w14:textFill>
              </w:rPr>
              <w:t>°</w:t>
            </w:r>
            <w:r>
              <w:rPr>
                <w:bCs/>
                <w:color w:val="000000" w:themeColor="text1"/>
                <w:sz w:val="24"/>
                <w:szCs w:val="24"/>
                <w:highlight w:val="none"/>
                <w14:textFill>
                  <w14:solidFill>
                    <w14:schemeClr w14:val="tx1"/>
                  </w14:solidFill>
                </w14:textFill>
              </w:rPr>
              <w:t>C</w:t>
            </w:r>
            <w:r>
              <w:rPr>
                <w:rFonts w:hint="eastAsia"/>
                <w:bCs/>
                <w:color w:val="000000" w:themeColor="text1"/>
                <w:sz w:val="24"/>
                <w:szCs w:val="24"/>
                <w:highlight w:val="none"/>
                <w14:textFill>
                  <w14:solidFill>
                    <w14:schemeClr w14:val="tx1"/>
                  </w14:solidFill>
                </w14:textFill>
              </w:rPr>
              <w:t>时，可取</w:t>
            </w:r>
            <w:r>
              <w:rPr>
                <w:color w:val="000000" w:themeColor="text1"/>
                <w:sz w:val="24"/>
                <w:szCs w:val="24"/>
                <w:highlight w:val="none"/>
                <w14:textFill>
                  <w14:solidFill>
                    <w14:schemeClr w14:val="tx1"/>
                  </w14:solidFill>
                </w14:textFill>
              </w:rPr>
              <w:t>1.0</w:t>
            </w:r>
            <w:r>
              <w:rPr>
                <w:rFonts w:hint="eastAsia"/>
                <w:bCs/>
                <w:color w:val="000000" w:themeColor="text1"/>
                <w:sz w:val="24"/>
                <w:szCs w:val="24"/>
                <w:highlight w:val="none"/>
                <w14:textFill>
                  <w14:solidFill>
                    <w14:schemeClr w14:val="tx1"/>
                  </w14:solidFill>
                </w14:textFill>
              </w:rPr>
              <w:t>；当最高长期使用温度大于</w:t>
            </w:r>
            <w:r>
              <w:rPr>
                <w:bCs/>
                <w:color w:val="000000" w:themeColor="text1"/>
                <w:sz w:val="24"/>
                <w:szCs w:val="24"/>
                <w:highlight w:val="none"/>
                <w14:textFill>
                  <w14:solidFill>
                    <w14:schemeClr w14:val="tx1"/>
                  </w14:solidFill>
                </w14:textFill>
              </w:rPr>
              <w:t>36</w:t>
            </w:r>
            <w:r>
              <w:rPr>
                <w:rFonts w:hint="eastAsia"/>
                <w:bCs/>
                <w:color w:val="000000" w:themeColor="text1"/>
                <w:sz w:val="24"/>
                <w:szCs w:val="24"/>
                <w:highlight w:val="none"/>
                <w14:textFill>
                  <w14:solidFill>
                    <w14:schemeClr w14:val="tx1"/>
                  </w14:solidFill>
                </w14:textFill>
              </w:rPr>
              <w:t>℃或最高短期使用温度大于</w:t>
            </w:r>
            <w:r>
              <w:rPr>
                <w:bCs/>
                <w:color w:val="000000" w:themeColor="text1"/>
                <w:sz w:val="24"/>
                <w:szCs w:val="24"/>
                <w:highlight w:val="none"/>
                <w14:textFill>
                  <w14:solidFill>
                    <w14:schemeClr w14:val="tx1"/>
                  </w14:solidFill>
                </w14:textFill>
              </w:rPr>
              <w:t>60</w:t>
            </w:r>
            <w:r>
              <w:rPr>
                <w:rFonts w:hint="eastAsia"/>
                <w:bCs/>
                <w:color w:val="000000" w:themeColor="text1"/>
                <w:sz w:val="24"/>
                <w:szCs w:val="24"/>
                <w:highlight w:val="none"/>
                <w14:textFill>
                  <w14:solidFill>
                    <w14:schemeClr w14:val="tx1"/>
                  </w14:solidFill>
                </w14:textFill>
              </w:rPr>
              <w:t>°</w:t>
            </w:r>
            <w:r>
              <w:rPr>
                <w:bCs/>
                <w:color w:val="000000" w:themeColor="text1"/>
                <w:sz w:val="24"/>
                <w:szCs w:val="24"/>
                <w:highlight w:val="none"/>
                <w14:textFill>
                  <w14:solidFill>
                    <w14:schemeClr w14:val="tx1"/>
                  </w14:solidFill>
                </w14:textFill>
              </w:rPr>
              <w:t>C</w:t>
            </w:r>
            <w:r>
              <w:rPr>
                <w:rFonts w:hint="eastAsia"/>
                <w:bCs/>
                <w:color w:val="000000" w:themeColor="text1"/>
                <w:sz w:val="24"/>
                <w:szCs w:val="24"/>
                <w:highlight w:val="none"/>
                <w14:textFill>
                  <w14:solidFill>
                    <w14:schemeClr w14:val="tx1"/>
                  </w14:solidFill>
                </w14:textFill>
              </w:rPr>
              <w:t>时，</w:t>
            </w:r>
            <w:r>
              <w:rPr>
                <w:rFonts w:hint="eastAsia"/>
                <w:color w:val="000000" w:themeColor="text1"/>
                <w:sz w:val="24"/>
                <w:szCs w:val="24"/>
                <w:highlight w:val="none"/>
                <w14:textFill>
                  <w14:solidFill>
                    <w14:schemeClr w14:val="tx1"/>
                  </w14:solidFill>
                </w14:textFill>
              </w:rPr>
              <w:t>应采用耐高温胶粘剂，</w:t>
            </w:r>
            <m:oMath>
              <m:sSub>
                <m:sSubPr>
                  <m:ctrlPr>
                    <w:rPr>
                      <w:rFonts w:ascii="Cambria Math" w:hAnsi="Cambria Math"/>
                      <w:i/>
                      <w:color w:val="000000" w:themeColor="text1"/>
                      <w:sz w:val="24"/>
                      <w:szCs w:val="24"/>
                      <w:highlight w:val="none"/>
                      <w14:textFill>
                        <w14:solidFill>
                          <w14:schemeClr w14:val="tx1"/>
                        </w14:solidFill>
                      </w14:textFill>
                    </w:rPr>
                  </m:ctrlPr>
                </m:sSubPr>
                <m:e>
                  <m:r>
                    <m:rPr/>
                    <w:rPr>
                      <w:rFonts w:ascii="Cambria Math" w:hAnsi="Cambria Math"/>
                      <w:color w:val="000000" w:themeColor="text1"/>
                      <w:sz w:val="24"/>
                      <w:szCs w:val="24"/>
                      <w:highlight w:val="none"/>
                      <w14:textFill>
                        <w14:solidFill>
                          <w14:schemeClr w14:val="tx1"/>
                        </w14:solidFill>
                      </w14:textFill>
                    </w:rPr>
                    <m:t>ψ</m:t>
                  </m:r>
                  <m:ctrlPr>
                    <w:rPr>
                      <w:rFonts w:ascii="Cambria Math" w:hAnsi="Cambria Math"/>
                      <w:i/>
                      <w:color w:val="000000" w:themeColor="text1"/>
                      <w:sz w:val="24"/>
                      <w:szCs w:val="24"/>
                      <w:highlight w:val="none"/>
                      <w14:textFill>
                        <w14:solidFill>
                          <w14:schemeClr w14:val="tx1"/>
                        </w14:solidFill>
                      </w14:textFill>
                    </w:rPr>
                  </m:ctrlPr>
                </m:e>
                <m:sub>
                  <m:r>
                    <m:rPr/>
                    <w:rPr>
                      <w:rFonts w:ascii="Cambria Math" w:hAnsi="Cambria Math"/>
                      <w:color w:val="000000" w:themeColor="text1"/>
                      <w:sz w:val="24"/>
                      <w:szCs w:val="24"/>
                      <w:highlight w:val="none"/>
                      <w14:textFill>
                        <w14:solidFill>
                          <w14:schemeClr w14:val="tx1"/>
                        </w14:solidFill>
                      </w14:textFill>
                    </w:rPr>
                    <m:t>T</m:t>
                  </m:r>
                  <m:ctrlPr>
                    <w:rPr>
                      <w:rFonts w:ascii="Cambria Math" w:hAnsi="Cambria Math"/>
                      <w:i/>
                      <w:color w:val="000000" w:themeColor="text1"/>
                      <w:sz w:val="24"/>
                      <w:szCs w:val="24"/>
                      <w:highlight w:val="none"/>
                      <w14:textFill>
                        <w14:solidFill>
                          <w14:schemeClr w14:val="tx1"/>
                        </w14:solidFill>
                      </w14:textFill>
                    </w:rPr>
                  </m:ctrlPr>
                </m:sub>
              </m:sSub>
            </m:oMath>
            <w:r>
              <w:rPr>
                <w:rFonts w:hint="eastAsia"/>
                <w:bCs/>
                <w:color w:val="000000" w:themeColor="text1"/>
                <w:sz w:val="24"/>
                <w:szCs w:val="24"/>
                <w:highlight w:val="none"/>
                <w14:textFill>
                  <w14:solidFill>
                    <w14:schemeClr w14:val="tx1"/>
                  </w14:solidFill>
                </w14:textFill>
              </w:rPr>
              <w:t>应按照本规程附录</w:t>
            </w:r>
            <w:r>
              <w:rPr>
                <w:bCs/>
                <w:color w:val="000000" w:themeColor="text1"/>
                <w:sz w:val="24"/>
                <w:szCs w:val="24"/>
                <w:highlight w:val="none"/>
                <w14:textFill>
                  <w14:solidFill>
                    <w14:schemeClr w14:val="tx1"/>
                  </w14:solidFill>
                </w14:textFill>
              </w:rPr>
              <w:t>K</w:t>
            </w:r>
            <w:r>
              <w:rPr>
                <w:rFonts w:hint="eastAsia"/>
                <w:bCs/>
                <w:color w:val="000000" w:themeColor="text1"/>
                <w:sz w:val="24"/>
                <w:szCs w:val="24"/>
                <w:highlight w:val="none"/>
                <w14:textFill>
                  <w14:solidFill>
                    <w14:schemeClr w14:val="tx1"/>
                  </w14:solidFill>
                </w14:textFill>
              </w:rPr>
              <w:t>的方法评估确定。</w:t>
            </w:r>
          </w:p>
        </w:tc>
      </w:tr>
    </w:tbl>
    <w:p>
      <w:pPr>
        <w:spacing w:after="0" w:line="300" w:lineRule="auto"/>
        <w:rPr>
          <w:rFonts w:ascii="宋体" w:hAnsi="宋体"/>
          <w:i/>
          <w:iCs/>
          <w:color w:val="0070C0"/>
          <w:sz w:val="24"/>
          <w:szCs w:val="24"/>
        </w:rPr>
      </w:pPr>
      <w:r>
        <w:rPr>
          <w:rFonts w:hint="eastAsia" w:ascii="宋体" w:hAnsi="宋体"/>
          <w:i/>
          <w:iCs/>
          <w:color w:val="0070C0"/>
          <w:sz w:val="24"/>
          <w:szCs w:val="24"/>
        </w:rPr>
        <w:t>【条文说明】</w:t>
      </w:r>
      <w:r>
        <w:rPr>
          <w:rFonts w:hint="eastAsia" w:ascii="宋体" w:hAnsi="宋体"/>
          <w:b/>
          <w:bCs/>
          <w:i/>
          <w:iCs/>
          <w:color w:val="0070C0"/>
          <w:sz w:val="24"/>
          <w:szCs w:val="24"/>
        </w:rPr>
        <w:t>4</w:t>
      </w:r>
      <w:r>
        <w:rPr>
          <w:rFonts w:ascii="宋体" w:hAnsi="宋体"/>
          <w:b/>
          <w:bCs/>
          <w:i/>
          <w:iCs/>
          <w:color w:val="0070C0"/>
          <w:sz w:val="24"/>
          <w:szCs w:val="24"/>
        </w:rPr>
        <w:t>.2.4</w:t>
      </w:r>
      <w:r>
        <w:rPr>
          <w:rFonts w:hint="eastAsia" w:ascii="宋体" w:hAnsi="宋体"/>
          <w:i/>
          <w:iCs/>
          <w:color w:val="0070C0"/>
          <w:sz w:val="24"/>
          <w:szCs w:val="24"/>
        </w:rPr>
        <w:t>本条参考现行国家标准《混凝土结构加固设计规范》GB</w:t>
      </w:r>
      <w:r>
        <w:rPr>
          <w:rFonts w:ascii="宋体" w:hAnsi="宋体"/>
          <w:i/>
          <w:iCs/>
          <w:color w:val="0070C0"/>
          <w:sz w:val="24"/>
          <w:szCs w:val="24"/>
        </w:rPr>
        <w:t>50367</w:t>
      </w:r>
      <w:r>
        <w:rPr>
          <w:rFonts w:hint="eastAsia" w:ascii="宋体" w:hAnsi="宋体"/>
          <w:i/>
          <w:iCs/>
          <w:color w:val="0070C0"/>
          <w:sz w:val="24"/>
          <w:szCs w:val="24"/>
        </w:rPr>
        <w:t>和行业标准《混凝土结构后锚固技术规程》JGJ</w:t>
      </w:r>
      <w:r>
        <w:rPr>
          <w:rFonts w:ascii="宋体" w:hAnsi="宋体"/>
          <w:i/>
          <w:iCs/>
          <w:color w:val="0070C0"/>
          <w:sz w:val="24"/>
          <w:szCs w:val="24"/>
        </w:rPr>
        <w:t>145</w:t>
      </w:r>
      <w:r>
        <w:rPr>
          <w:rFonts w:hint="eastAsia" w:ascii="宋体" w:hAnsi="宋体"/>
          <w:i/>
          <w:iCs/>
          <w:color w:val="0070C0"/>
          <w:sz w:val="24"/>
          <w:szCs w:val="24"/>
        </w:rPr>
        <w:t>的规定。与预埋钢筋与混凝土的共同工作性能保障不同，植筋系统的锚固性能不仅与锚固胶粘剂的力学性能有关，还与施工安装质量和使用阶段的外界调剂有关。比如钻孔清孔、植筋安装方向、潮湿混凝土孔壁、长期持续拉力荷载下的徐变、高温环境、冻融循环环境、高碱性酸性环境、钢筋锈蚀以及抗震带来的基材混凝土裂缝和动态荷载等因素都会影响植筋承载力，必须要经过一系列的验证试验。考虑到植筋胶的相关产品标准，比如GBT</w:t>
      </w:r>
      <w:r>
        <w:rPr>
          <w:rFonts w:ascii="宋体" w:hAnsi="宋体"/>
          <w:i/>
          <w:iCs/>
          <w:color w:val="0070C0"/>
          <w:sz w:val="24"/>
          <w:szCs w:val="24"/>
        </w:rPr>
        <w:t>37127-2018</w:t>
      </w:r>
      <w:r>
        <w:rPr>
          <w:rFonts w:hint="eastAsia" w:ascii="宋体" w:hAnsi="宋体"/>
          <w:i/>
          <w:iCs/>
          <w:color w:val="0070C0"/>
          <w:sz w:val="24"/>
          <w:szCs w:val="24"/>
        </w:rPr>
        <w:t>《结构工程锚固胶粘剂》和G</w:t>
      </w:r>
      <w:r>
        <w:rPr>
          <w:rFonts w:ascii="宋体" w:hAnsi="宋体"/>
          <w:i/>
          <w:iCs/>
          <w:color w:val="0070C0"/>
          <w:sz w:val="24"/>
          <w:szCs w:val="24"/>
        </w:rPr>
        <w:t>B50728-2011</w:t>
      </w:r>
      <w:r>
        <w:rPr>
          <w:rFonts w:hint="eastAsia" w:ascii="宋体" w:hAnsi="宋体"/>
          <w:i/>
          <w:iCs/>
          <w:color w:val="0070C0"/>
          <w:sz w:val="24"/>
          <w:szCs w:val="24"/>
        </w:rPr>
        <w:t>《工程结构加固材料安全性鉴定技术规范》等，已经涵盖了部分植筋用锚固胶粘剂的材料性能测试，比如冻融循环、耐酸碱介质、耐湿热老化等，所以本标准对既有产品标准中已经规定的测试不再要求，仅对植筋的系统性能试验提出要求。</w:t>
      </w:r>
    </w:p>
    <w:p>
      <w:pPr>
        <w:spacing w:after="0" w:line="300" w:lineRule="auto"/>
        <w:rPr>
          <w:rFonts w:ascii="宋体" w:hAnsi="宋体"/>
          <w:i/>
          <w:iCs/>
          <w:color w:val="0070C0"/>
          <w:sz w:val="24"/>
          <w:szCs w:val="24"/>
        </w:rPr>
      </w:pPr>
      <w:r>
        <w:rPr>
          <w:rFonts w:hint="eastAsia" w:ascii="宋体" w:hAnsi="宋体"/>
          <w:i/>
          <w:iCs/>
          <w:color w:val="0070C0"/>
          <w:sz w:val="24"/>
          <w:szCs w:val="24"/>
        </w:rPr>
        <w:t>现行国标和行业标准中规定用于连接悬挑结构构件的植筋锚固长度应采用1</w:t>
      </w:r>
      <w:r>
        <w:rPr>
          <w:rFonts w:ascii="宋体" w:hAnsi="宋体"/>
          <w:i/>
          <w:iCs/>
          <w:color w:val="0070C0"/>
          <w:sz w:val="24"/>
          <w:szCs w:val="24"/>
        </w:rPr>
        <w:t>.5</w:t>
      </w:r>
      <w:r>
        <w:rPr>
          <w:rFonts w:hint="eastAsia" w:ascii="宋体" w:hAnsi="宋体"/>
          <w:i/>
          <w:iCs/>
          <w:color w:val="0070C0"/>
          <w:sz w:val="24"/>
          <w:szCs w:val="24"/>
        </w:rPr>
        <w:t>的系数，这条规定应指悬挑构件中受拉区的钢筋，主要考虑在长期拉力作用下锚固胶粘剂会在徐变作用下可能发生承载力下降。</w:t>
      </w:r>
    </w:p>
    <w:p>
      <w:pPr>
        <w:spacing w:after="0" w:line="300" w:lineRule="auto"/>
        <w:rPr>
          <w:rFonts w:ascii="宋体" w:hAnsi="宋体"/>
          <w:i/>
          <w:iCs/>
          <w:color w:val="0070C0"/>
          <w:sz w:val="24"/>
          <w:szCs w:val="24"/>
        </w:rPr>
      </w:pPr>
      <w:r>
        <w:rPr>
          <w:rFonts w:ascii="宋体" w:hAnsi="宋体"/>
          <w:i/>
          <w:iCs/>
          <w:color w:val="0070C0"/>
          <w:sz w:val="24"/>
          <w:szCs w:val="24"/>
        </w:rPr>
        <w:t>使用</w:t>
      </w:r>
      <w:r>
        <w:rPr>
          <w:rFonts w:hint="eastAsia" w:ascii="宋体" w:hAnsi="宋体"/>
          <w:i/>
          <w:iCs/>
          <w:color w:val="0070C0"/>
          <w:sz w:val="24"/>
          <w:szCs w:val="24"/>
        </w:rPr>
        <w:t>环境的温度目前现行标准并无明确的长期使用环境和短期使用环境的定义。本</w:t>
      </w:r>
      <w:r>
        <w:rPr>
          <w:rFonts w:hint="eastAsia" w:ascii="宋体" w:hAnsi="宋体"/>
          <w:i/>
          <w:iCs/>
          <w:color w:val="0070C0"/>
          <w:sz w:val="24"/>
          <w:szCs w:val="24"/>
          <w:lang w:val="en-US" w:eastAsia="zh-CN"/>
        </w:rPr>
        <w:t>规程</w:t>
      </w:r>
      <w:r>
        <w:rPr>
          <w:rFonts w:hint="eastAsia" w:ascii="宋体" w:hAnsi="宋体"/>
          <w:i/>
          <w:iCs/>
          <w:color w:val="0070C0"/>
          <w:sz w:val="24"/>
          <w:szCs w:val="24"/>
        </w:rPr>
        <w:t>进行了定义并明确了高于正常环境温度条件下的测试要求。</w:t>
      </w:r>
    </w:p>
    <w:p>
      <w:pPr>
        <w:tabs>
          <w:tab w:val="left" w:pos="567"/>
        </w:tabs>
        <w:adjustRightInd w:val="0"/>
        <w:snapToGrid w:val="0"/>
        <w:spacing w:after="0" w:line="400" w:lineRule="atLeast"/>
        <w:rPr>
          <w:b/>
          <w:bCs w:val="0"/>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4.2.5</w:t>
      </w:r>
      <w:r>
        <w:rPr>
          <w:rFonts w:hint="eastAsia"/>
          <w:b/>
          <w:color w:val="000000" w:themeColor="text1"/>
          <w:kern w:val="2"/>
          <w:sz w:val="24"/>
          <w:szCs w:val="24"/>
          <w:lang w:val="en-US" w:eastAsia="zh-CN"/>
          <w14:textFill>
            <w14:solidFill>
              <w14:schemeClr w14:val="tx1"/>
            </w14:solidFill>
          </w14:textFill>
        </w:rPr>
        <w:t xml:space="preserve"> </w:t>
      </w:r>
      <w:r>
        <w:rPr>
          <w:rFonts w:hint="eastAsia"/>
          <w:bCs/>
          <w:color w:val="000000" w:themeColor="text1"/>
          <w:kern w:val="2"/>
          <w:sz w:val="24"/>
          <w:szCs w:val="24"/>
          <w14:textFill>
            <w14:solidFill>
              <w14:schemeClr w14:val="tx1"/>
            </w14:solidFill>
          </w14:textFill>
        </w:rPr>
        <w:t>当植筋系统采用真空吸尘钻头或水钻方式安装时，应考虑钻孔方式对植筋系统承载力的影响，</w:t>
      </w:r>
      <w:r>
        <w:rPr>
          <w:rFonts w:hint="eastAsia"/>
          <w:bCs/>
          <w:color w:val="000000" w:themeColor="text1"/>
          <w:kern w:val="2"/>
          <w:sz w:val="24"/>
          <w:szCs w:val="24"/>
          <w:lang w:val="en-US" w:eastAsia="zh-CN"/>
          <w14:textFill>
            <w14:solidFill>
              <w14:schemeClr w14:val="tx1"/>
            </w14:solidFill>
          </w14:textFill>
        </w:rPr>
        <w:t>其</w:t>
      </w:r>
      <w:r>
        <w:rPr>
          <w:rFonts w:hint="eastAsia"/>
          <w:color w:val="000000" w:themeColor="text1"/>
          <w:kern w:val="2"/>
          <w:sz w:val="24"/>
          <w:szCs w:val="24"/>
          <w14:textFill>
            <w14:solidFill>
              <w14:schemeClr w14:val="tx1"/>
            </w14:solidFill>
          </w14:textFill>
        </w:rPr>
        <w:t>锚固长度的修正系数</w:t>
      </w:r>
      <w:r>
        <w:rPr>
          <w:rFonts w:hint="eastAsia"/>
          <w:bCs/>
          <w:color w:val="000000" w:themeColor="text1"/>
          <w:kern w:val="2"/>
          <w:sz w:val="24"/>
          <w:szCs w:val="24"/>
          <w14:textFill>
            <w14:solidFill>
              <w14:schemeClr w14:val="tx1"/>
            </w14:solidFill>
          </w14:textFill>
        </w:rPr>
        <w:t>应按照本</w:t>
      </w:r>
      <w:r>
        <w:rPr>
          <w:rFonts w:hint="eastAsia"/>
          <w:bCs/>
          <w:color w:val="000000" w:themeColor="text1"/>
          <w:kern w:val="2"/>
          <w:sz w:val="24"/>
          <w:szCs w:val="24"/>
          <w:lang w:val="en-US" w:eastAsia="zh-CN"/>
          <w14:textFill>
            <w14:solidFill>
              <w14:schemeClr w14:val="tx1"/>
            </w14:solidFill>
          </w14:textFill>
        </w:rPr>
        <w:t>规程第4.2.11条确定</w:t>
      </w:r>
      <w:r>
        <w:rPr>
          <w:rFonts w:hint="eastAsia"/>
          <w:bCs/>
          <w:color w:val="000000" w:themeColor="text1"/>
          <w:kern w:val="2"/>
          <w:sz w:val="24"/>
          <w:szCs w:val="24"/>
          <w14:textFill>
            <w14:solidFill>
              <w14:schemeClr w14:val="tx1"/>
            </w14:solidFill>
          </w14:textFill>
        </w:rPr>
        <w:t>，若该因素与混凝土潮湿孔壁条件下安装同时发生，应取较大值作为锚固长度修正系数。</w:t>
      </w:r>
    </w:p>
    <w:p>
      <w:pPr>
        <w:tabs>
          <w:tab w:val="left" w:pos="567"/>
        </w:tabs>
        <w:adjustRightInd w:val="0"/>
        <w:snapToGrid w:val="0"/>
        <w:spacing w:after="0" w:line="400" w:lineRule="atLeast"/>
        <w:rPr>
          <w:color w:val="auto"/>
          <w:sz w:val="24"/>
          <w:szCs w:val="24"/>
        </w:rPr>
      </w:pPr>
      <w:r>
        <w:rPr>
          <w:rFonts w:hint="eastAsia"/>
          <w:b/>
          <w:color w:val="000000" w:themeColor="text1"/>
          <w:kern w:val="2"/>
          <w:sz w:val="24"/>
          <w:szCs w:val="24"/>
          <w14:textFill>
            <w14:solidFill>
              <w14:schemeClr w14:val="tx1"/>
            </w14:solidFill>
          </w14:textFill>
        </w:rPr>
        <w:t>4</w:t>
      </w:r>
      <w:r>
        <w:rPr>
          <w:b/>
          <w:color w:val="000000" w:themeColor="text1"/>
          <w:kern w:val="2"/>
          <w:sz w:val="24"/>
          <w:szCs w:val="24"/>
          <w14:textFill>
            <w14:solidFill>
              <w14:schemeClr w14:val="tx1"/>
            </w14:solidFill>
          </w14:textFill>
        </w:rPr>
        <w:t>.2.6</w:t>
      </w:r>
      <w:r>
        <w:rPr>
          <w:bCs/>
          <w:color w:val="000000" w:themeColor="text1"/>
          <w:kern w:val="2"/>
          <w:sz w:val="24"/>
          <w:szCs w:val="24"/>
          <w14:textFill>
            <w14:solidFill>
              <w14:schemeClr w14:val="tx1"/>
            </w14:solidFill>
          </w14:textFill>
        </w:rPr>
        <w:t xml:space="preserve"> </w:t>
      </w:r>
      <w:r>
        <w:rPr>
          <w:rFonts w:hint="eastAsia"/>
          <w:bCs/>
          <w:color w:val="000000" w:themeColor="text1"/>
          <w:kern w:val="2"/>
          <w:sz w:val="24"/>
          <w:szCs w:val="24"/>
          <w14:textFill>
            <w14:solidFill>
              <w14:schemeClr w14:val="tx1"/>
            </w14:solidFill>
          </w14:textFill>
        </w:rPr>
        <w:t>当植筋系统采用水平方向钻孔或垂直向上钻孔时，应考虑安装方向对植筋系统承载力的影响，</w:t>
      </w:r>
      <w:r>
        <w:rPr>
          <w:rFonts w:hint="eastAsia"/>
          <w:bCs/>
          <w:color w:val="000000" w:themeColor="text1"/>
          <w:kern w:val="2"/>
          <w:sz w:val="24"/>
          <w:szCs w:val="24"/>
          <w:lang w:val="en-US" w:eastAsia="zh-CN"/>
          <w14:textFill>
            <w14:solidFill>
              <w14:schemeClr w14:val="tx1"/>
            </w14:solidFill>
          </w14:textFill>
        </w:rPr>
        <w:t>其</w:t>
      </w:r>
      <w:r>
        <w:rPr>
          <w:rFonts w:hint="eastAsia"/>
          <w:color w:val="000000" w:themeColor="text1"/>
          <w:kern w:val="2"/>
          <w:sz w:val="24"/>
          <w:szCs w:val="24"/>
          <w14:textFill>
            <w14:solidFill>
              <w14:schemeClr w14:val="tx1"/>
            </w14:solidFill>
          </w14:textFill>
        </w:rPr>
        <w:t>锚固长度的修正系数</w:t>
      </w:r>
      <w:r>
        <w:rPr>
          <w:rFonts w:hint="eastAsia"/>
          <w:bCs/>
          <w:color w:val="000000" w:themeColor="text1"/>
          <w:kern w:val="2"/>
          <w:sz w:val="24"/>
          <w:szCs w:val="24"/>
          <w14:textFill>
            <w14:solidFill>
              <w14:schemeClr w14:val="tx1"/>
            </w14:solidFill>
          </w14:textFill>
        </w:rPr>
        <w:t>应按照本</w:t>
      </w:r>
      <w:r>
        <w:rPr>
          <w:rFonts w:hint="eastAsia"/>
          <w:bCs/>
          <w:color w:val="000000" w:themeColor="text1"/>
          <w:kern w:val="2"/>
          <w:sz w:val="24"/>
          <w:szCs w:val="24"/>
          <w:lang w:val="en-US" w:eastAsia="zh-CN"/>
          <w14:textFill>
            <w14:solidFill>
              <w14:schemeClr w14:val="tx1"/>
            </w14:solidFill>
          </w14:textFill>
        </w:rPr>
        <w:t>规程第4.2.11条确定</w:t>
      </w:r>
      <w:r>
        <w:rPr>
          <w:rFonts w:hint="eastAsia"/>
          <w:bCs/>
          <w:color w:val="000000" w:themeColor="text1"/>
          <w:kern w:val="2"/>
          <w:sz w:val="24"/>
          <w:szCs w:val="24"/>
          <w14:textFill>
            <w14:solidFill>
              <w14:schemeClr w14:val="tx1"/>
            </w14:solidFill>
          </w14:textFill>
        </w:rPr>
        <w:t>，若该因素与混凝土潮湿孔壁条件下安装同时发生，应取较大值作为锚固长度修正系数；若与4</w:t>
      </w:r>
      <w:r>
        <w:rPr>
          <w:bCs/>
          <w:color w:val="000000" w:themeColor="text1"/>
          <w:kern w:val="2"/>
          <w:sz w:val="24"/>
          <w:szCs w:val="24"/>
          <w14:textFill>
            <w14:solidFill>
              <w14:schemeClr w14:val="tx1"/>
            </w14:solidFill>
          </w14:textFill>
        </w:rPr>
        <w:t>.2.5</w:t>
      </w:r>
      <w:r>
        <w:rPr>
          <w:rFonts w:hint="eastAsia"/>
          <w:bCs/>
          <w:color w:val="000000" w:themeColor="text1"/>
          <w:kern w:val="2"/>
          <w:sz w:val="24"/>
          <w:szCs w:val="24"/>
          <w14:textFill>
            <w14:solidFill>
              <w14:schemeClr w14:val="tx1"/>
            </w14:solidFill>
          </w14:textFill>
        </w:rPr>
        <w:t>条规定的条件同时发生，也应取较大值作为锚固长度修正系数。</w:t>
      </w:r>
      <w:r>
        <w:rPr>
          <w:rFonts w:hint="eastAsia"/>
          <w:b/>
          <w:color w:val="000000" w:themeColor="text1"/>
          <w:kern w:val="2"/>
          <w:sz w:val="24"/>
          <w:szCs w:val="24"/>
          <w14:textFill>
            <w14:solidFill>
              <w14:schemeClr w14:val="tx1"/>
            </w14:solidFill>
          </w14:textFill>
        </w:rPr>
        <w:t>4.2.</w:t>
      </w:r>
      <w:r>
        <w:rPr>
          <w:b/>
          <w:color w:val="000000" w:themeColor="text1"/>
          <w:kern w:val="2"/>
          <w:sz w:val="24"/>
          <w:szCs w:val="24"/>
          <w14:textFill>
            <w14:solidFill>
              <w14:schemeClr w14:val="tx1"/>
            </w14:solidFill>
          </w14:textFill>
        </w:rPr>
        <w:t>7</w:t>
      </w:r>
      <w:r>
        <w:rPr>
          <w:color w:val="000000" w:themeColor="text1"/>
          <w:kern w:val="2"/>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在植筋锚固长度长度范围内横向钢筋间距</w:t>
      </w:r>
      <w:r>
        <w:rPr>
          <w:rFonts w:hint="eastAsia"/>
          <w:i/>
          <w:iCs/>
          <w:color w:val="000000" w:themeColor="text1"/>
          <w:sz w:val="24"/>
          <w:szCs w:val="24"/>
          <w14:textFill>
            <w14:solidFill>
              <w14:schemeClr w14:val="tx1"/>
            </w14:solidFill>
          </w14:textFill>
        </w:rPr>
        <w:t>s</w:t>
      </w:r>
      <w:r>
        <w:rPr>
          <w:rFonts w:hint="eastAsia"/>
          <w:color w:val="000000" w:themeColor="text1"/>
          <w:sz w:val="24"/>
          <w:szCs w:val="24"/>
          <w14:textFill>
            <w14:solidFill>
              <w14:schemeClr w14:val="tx1"/>
            </w14:solidFill>
          </w14:textFill>
        </w:rPr>
        <w:t>大于</w:t>
      </w:r>
      <w:r>
        <w:rPr>
          <w:color w:val="000000" w:themeColor="text1"/>
          <w:sz w:val="24"/>
          <w:szCs w:val="24"/>
          <w14:textFill>
            <w14:solidFill>
              <w14:schemeClr w14:val="tx1"/>
            </w14:solidFill>
          </w14:textFill>
        </w:rPr>
        <w:t>100</w:t>
      </w:r>
      <m:oMath>
        <m:r>
          <m:rPr>
            <m:sty m:val="p"/>
          </m:rPr>
          <w:rPr>
            <w:rFonts w:ascii="Cambria Math" w:hAnsi="Cambria Math"/>
            <w:color w:val="000000" w:themeColor="text1"/>
            <w:sz w:val="24"/>
            <w:szCs w:val="24"/>
            <w14:textFill>
              <w14:solidFill>
                <w14:schemeClr w14:val="tx1"/>
              </w14:solidFill>
            </w14:textFill>
          </w:rPr>
          <m:t xml:space="preserve"> mm</m:t>
        </m:r>
      </m:oMath>
      <w:r>
        <w:rPr>
          <w:rFonts w:hint="eastAsia"/>
          <w:color w:val="000000" w:themeColor="text1"/>
          <w:sz w:val="24"/>
          <w:szCs w:val="24"/>
          <w14:textFill>
            <w14:solidFill>
              <w14:schemeClr w14:val="tx1"/>
            </w14:solidFill>
          </w14:textFill>
        </w:rPr>
        <w:t>时，应进行加固，加固</w:t>
      </w:r>
      <w:r>
        <w:rPr>
          <w:rFonts w:hint="eastAsia"/>
          <w:color w:val="auto"/>
          <w:sz w:val="24"/>
          <w:szCs w:val="24"/>
        </w:rPr>
        <w:t>要求应符合现行国家标准《混凝土结构加固设计规范》GB50367的相关规定。</w:t>
      </w:r>
    </w:p>
    <w:p>
      <w:pPr>
        <w:widowControl/>
        <w:autoSpaceDE w:val="0"/>
        <w:autoSpaceDN w:val="0"/>
        <w:adjustRightInd w:val="0"/>
        <w:spacing w:after="0" w:line="360" w:lineRule="auto"/>
        <w:jc w:val="center"/>
        <w:rPr>
          <w:rFonts w:ascii="宋体" w:hAnsi="宋体"/>
          <w:b/>
          <w:bCs/>
          <w:color w:val="auto"/>
          <w:sz w:val="24"/>
          <w:szCs w:val="24"/>
        </w:rPr>
      </w:pPr>
      <w:r>
        <w:rPr>
          <w:rFonts w:hint="eastAsia" w:ascii="宋体" w:hAnsi="宋体"/>
          <w:b/>
          <w:bCs/>
          <w:color w:val="auto"/>
          <w:sz w:val="24"/>
          <w:szCs w:val="24"/>
        </w:rPr>
        <w:fldChar w:fldCharType="begin"/>
      </w:r>
      <w:r>
        <w:rPr>
          <w:rFonts w:hint="eastAsia" w:ascii="宋体" w:hAnsi="宋体"/>
          <w:b/>
          <w:bCs/>
          <w:color w:val="auto"/>
          <w:sz w:val="24"/>
          <w:szCs w:val="24"/>
        </w:rPr>
        <w:instrText xml:space="preserve"> = 2 \* ROMAN \* MERGEFORMAT </w:instrText>
      </w:r>
      <w:r>
        <w:rPr>
          <w:rFonts w:hint="eastAsia" w:ascii="宋体" w:hAnsi="宋体"/>
          <w:b/>
          <w:bCs/>
          <w:color w:val="auto"/>
          <w:sz w:val="24"/>
          <w:szCs w:val="24"/>
        </w:rPr>
        <w:fldChar w:fldCharType="separate"/>
      </w:r>
      <w:r>
        <w:rPr>
          <w:b/>
          <w:bCs/>
          <w:color w:val="auto"/>
          <w:sz w:val="24"/>
          <w:szCs w:val="24"/>
        </w:rPr>
        <w:t>II</w:t>
      </w:r>
      <w:r>
        <w:rPr>
          <w:rFonts w:hint="eastAsia" w:ascii="宋体" w:hAnsi="宋体"/>
          <w:b/>
          <w:bCs/>
          <w:color w:val="auto"/>
          <w:sz w:val="24"/>
          <w:szCs w:val="24"/>
        </w:rPr>
        <w:fldChar w:fldCharType="end"/>
      </w:r>
      <w:r>
        <w:rPr>
          <w:rFonts w:hint="eastAsia" w:ascii="宋体" w:hAnsi="宋体"/>
          <w:b/>
          <w:bCs/>
          <w:color w:val="auto"/>
          <w:sz w:val="24"/>
          <w:szCs w:val="24"/>
        </w:rPr>
        <w:t xml:space="preserve"> 有认证报告时的锚固长度计算</w:t>
      </w:r>
    </w:p>
    <w:p>
      <w:pPr>
        <w:tabs>
          <w:tab w:val="left" w:pos="567"/>
        </w:tabs>
        <w:spacing w:after="0" w:line="400" w:lineRule="atLeast"/>
        <w:rPr>
          <w:color w:val="auto"/>
          <w:kern w:val="2"/>
          <w:sz w:val="24"/>
          <w:szCs w:val="24"/>
        </w:rPr>
      </w:pPr>
      <w:r>
        <w:rPr>
          <w:rFonts w:hint="eastAsia"/>
          <w:b/>
          <w:color w:val="auto"/>
          <w:kern w:val="2"/>
          <w:sz w:val="24"/>
          <w:szCs w:val="24"/>
        </w:rPr>
        <w:t>4</w:t>
      </w:r>
      <w:r>
        <w:rPr>
          <w:b/>
          <w:color w:val="auto"/>
          <w:kern w:val="2"/>
          <w:sz w:val="24"/>
          <w:szCs w:val="24"/>
        </w:rPr>
        <w:t>.</w:t>
      </w:r>
      <w:r>
        <w:rPr>
          <w:rFonts w:hint="eastAsia"/>
          <w:b/>
          <w:color w:val="auto"/>
          <w:kern w:val="2"/>
          <w:sz w:val="24"/>
          <w:szCs w:val="24"/>
        </w:rPr>
        <w:t>2</w:t>
      </w:r>
      <w:r>
        <w:rPr>
          <w:b/>
          <w:color w:val="auto"/>
          <w:kern w:val="2"/>
          <w:sz w:val="24"/>
          <w:szCs w:val="24"/>
        </w:rPr>
        <w:t>.</w:t>
      </w:r>
      <w:r>
        <w:rPr>
          <w:rFonts w:hint="eastAsia"/>
          <w:b/>
          <w:color w:val="auto"/>
          <w:kern w:val="2"/>
          <w:sz w:val="24"/>
          <w:szCs w:val="24"/>
          <w:lang w:val="en-US" w:eastAsia="zh-CN"/>
        </w:rPr>
        <w:t>8</w:t>
      </w:r>
      <w:r>
        <w:rPr>
          <w:color w:val="auto"/>
          <w:kern w:val="2"/>
          <w:sz w:val="24"/>
          <w:szCs w:val="24"/>
        </w:rPr>
        <w:t xml:space="preserve"> </w:t>
      </w:r>
      <w:r>
        <w:rPr>
          <w:color w:val="auto"/>
          <w:sz w:val="24"/>
          <w:szCs w:val="24"/>
        </w:rPr>
        <w:t>受拉锚固植筋</w:t>
      </w:r>
      <w:r>
        <w:rPr>
          <w:rFonts w:hint="eastAsia"/>
          <w:color w:val="auto"/>
          <w:sz w:val="24"/>
          <w:szCs w:val="24"/>
        </w:rPr>
        <w:t>，</w:t>
      </w:r>
      <w:r>
        <w:rPr>
          <w:rFonts w:hint="eastAsia"/>
          <w:color w:val="auto"/>
          <w:kern w:val="2"/>
          <w:sz w:val="24"/>
          <w:szCs w:val="24"/>
        </w:rPr>
        <w:t>单根植筋锚固的锚固长度设计值和受拉承载力设计值应符合下列规定：</w:t>
      </w:r>
    </w:p>
    <w:p>
      <w:pPr>
        <w:spacing w:after="0" w:line="300" w:lineRule="auto"/>
        <w:jc w:val="right"/>
        <w:rPr>
          <w:color w:val="auto"/>
          <w:sz w:val="24"/>
          <w:szCs w:val="24"/>
        </w:rPr>
      </w:pPr>
      <m:oMath>
        <m:sSubSup>
          <m:sSubSupPr>
            <m:ctrlPr>
              <w:rPr>
                <w:rFonts w:ascii="Cambria Math" w:hAnsi="Cambria Math"/>
                <w:i/>
                <w:color w:val="auto"/>
                <w:sz w:val="24"/>
                <w:szCs w:val="24"/>
              </w:rPr>
            </m:ctrlPr>
          </m:sSubSupPr>
          <m:e>
            <m:r>
              <m:rPr/>
              <w:rPr>
                <w:rFonts w:hint="eastAsia"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t</m:t>
            </m:r>
            <m:ctrlPr>
              <w:rPr>
                <w:rFonts w:ascii="Cambria Math" w:hAnsi="Cambria Math"/>
                <w:i/>
                <w:color w:val="auto"/>
                <w:sz w:val="24"/>
                <w:szCs w:val="24"/>
              </w:rPr>
            </m:ctrlPr>
          </m:sub>
          <m:sup>
            <m:r>
              <m:rPr/>
              <w:rPr>
                <w:rFonts w:ascii="Cambria Math" w:hAnsi="Cambria Math"/>
                <w:color w:val="auto"/>
                <w:sz w:val="24"/>
                <w:szCs w:val="24"/>
              </w:rPr>
              <m:t>b</m:t>
            </m:r>
            <m:ctrlPr>
              <w:rPr>
                <w:rFonts w:ascii="Cambria Math" w:hAnsi="Cambria Math"/>
                <w:i/>
                <w:color w:val="auto"/>
                <w:sz w:val="24"/>
                <w:szCs w:val="24"/>
              </w:rPr>
            </m:ctrlPr>
          </m:sup>
        </m:sSubSup>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r>
          <w:rPr>
            <w:color w:val="auto"/>
            <w:sz w:val="24"/>
            <w:szCs w:val="24"/>
          </w:rPr>
          <w:tab/>
        </m:r>
        <m:r>
          <w:rPr>
            <w:color w:val="auto"/>
            <w:sz w:val="24"/>
            <w:szCs w:val="24"/>
          </w:rPr>
          <w:tab/>
        </m:r>
      </m:oMath>
      <w:r>
        <w:rPr>
          <w:i/>
          <w:iCs/>
          <w:color w:val="auto"/>
          <w:sz w:val="24"/>
          <w:szCs w:val="24"/>
        </w:rPr>
        <w:tab/>
      </w:r>
      <w:r>
        <w:rPr>
          <w:i/>
          <w:iCs/>
          <w:color w:val="auto"/>
          <w:sz w:val="24"/>
          <w:szCs w:val="24"/>
        </w:rPr>
        <w:tab/>
      </w:r>
      <w:r>
        <w:rPr>
          <w:i/>
          <w:iCs/>
          <w:color w:val="auto"/>
          <w:sz w:val="24"/>
          <w:szCs w:val="24"/>
        </w:rPr>
        <w:tab/>
      </w:r>
      <w:r>
        <w:rPr>
          <w:i/>
          <w:iCs/>
          <w:color w:val="auto"/>
          <w:sz w:val="24"/>
          <w:szCs w:val="24"/>
        </w:rPr>
        <w:tab/>
      </w:r>
      <w:r>
        <w:rPr>
          <w:i/>
          <w:iCs/>
          <w:color w:val="auto"/>
          <w:sz w:val="24"/>
          <w:szCs w:val="24"/>
        </w:rPr>
        <w:tab/>
      </w:r>
      <w:r>
        <w:rPr>
          <w:rFonts w:hint="eastAsia"/>
          <w:color w:val="auto"/>
          <w:sz w:val="24"/>
          <w:szCs w:val="24"/>
        </w:rPr>
        <w:t>(4</w:t>
      </w:r>
      <w:r>
        <w:rPr>
          <w:color w:val="auto"/>
          <w:sz w:val="24"/>
          <w:szCs w:val="24"/>
        </w:rPr>
        <w:t>.</w:t>
      </w:r>
      <w:r>
        <w:rPr>
          <w:rFonts w:hint="eastAsia"/>
          <w:color w:val="auto"/>
          <w:sz w:val="24"/>
          <w:szCs w:val="24"/>
        </w:rPr>
        <w:t>2</w:t>
      </w:r>
      <w:r>
        <w:rPr>
          <w:color w:val="auto"/>
          <w:sz w:val="24"/>
          <w:szCs w:val="24"/>
        </w:rPr>
        <w:t>.</w:t>
      </w:r>
      <w:r>
        <w:rPr>
          <w:rFonts w:hint="eastAsia"/>
          <w:color w:val="auto"/>
          <w:sz w:val="24"/>
          <w:szCs w:val="24"/>
          <w:lang w:val="en-US" w:eastAsia="zh-CN"/>
        </w:rPr>
        <w:t>8</w:t>
      </w:r>
      <w:r>
        <w:rPr>
          <w:color w:val="auto"/>
          <w:sz w:val="24"/>
          <w:szCs w:val="24"/>
        </w:rPr>
        <w:t>-1</w:t>
      </w:r>
      <w:r>
        <w:rPr>
          <w:rFonts w:hint="eastAsia"/>
          <w:color w:val="auto"/>
          <w:sz w:val="24"/>
          <w:szCs w:val="24"/>
        </w:rPr>
        <w:t>)</w:t>
      </w:r>
    </w:p>
    <w:p>
      <w:pPr>
        <w:autoSpaceDE w:val="0"/>
        <w:autoSpaceDN w:val="0"/>
        <w:adjustRightInd w:val="0"/>
        <w:spacing w:after="0" w:line="300" w:lineRule="auto"/>
        <w:jc w:val="right"/>
        <w:rPr>
          <w:rFonts w:ascii="宋体" w:cs="宋体"/>
          <w:color w:val="auto"/>
          <w:sz w:val="24"/>
          <w:szCs w:val="24"/>
        </w:rPr>
      </w:pPr>
      <w:r>
        <w:rPr>
          <w:i/>
          <w:iCs/>
          <w:color w:val="auto"/>
          <w:sz w:val="24"/>
          <w:szCs w:val="24"/>
        </w:rPr>
        <w:t xml:space="preserve">  </w:t>
      </w:r>
      <m:oMath>
        <m:sSub>
          <m:sSubPr>
            <m:ctrlPr>
              <w:rPr>
                <w:rFonts w:ascii="Cambria Math" w:hAnsi="Cambria Math"/>
                <w:i/>
                <w:iCs/>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d</m:t>
            </m:r>
            <m:ctrlPr>
              <w:rPr>
                <w:rFonts w:ascii="Cambria Math" w:hAnsi="Cambria Math"/>
                <w:i/>
                <w:iCs/>
                <w:color w:val="auto"/>
                <w:sz w:val="24"/>
                <w:szCs w:val="24"/>
              </w:rPr>
            </m:ctrlPr>
          </m:sub>
        </m:sSub>
        <m:r>
          <m:rPr/>
          <w:rPr>
            <w:rFonts w:ascii="Cambria Math" w:hAnsi="Cambria Math"/>
            <w:color w:val="auto"/>
            <w:sz w:val="24"/>
            <w:szCs w:val="24"/>
          </w:rPr>
          <m:t>=</m:t>
        </m:r>
        <m:sSub>
          <m:sSubPr>
            <m:ctrlPr>
              <w:rPr>
                <w:rFonts w:ascii="Cambria Math" w:hAnsi="Cambria Math"/>
                <w:i/>
                <w:iCs/>
                <w:color w:val="auto"/>
                <w:sz w:val="24"/>
                <w:szCs w:val="24"/>
              </w:rPr>
            </m:ctrlPr>
          </m:sSubPr>
          <m:e>
            <m:sSub>
              <m:sSubPr>
                <m:ctrlPr>
                  <w:rPr>
                    <w:rFonts w:ascii="Cambria Math" w:hAnsi="Cambria Math"/>
                    <w:i/>
                    <w:color w:val="auto"/>
                    <w:sz w:val="24"/>
                    <w:szCs w:val="24"/>
                  </w:rPr>
                </m:ctrlPr>
              </m:sSubPr>
              <m:e>
                <m:r>
                  <m:rPr/>
                  <w:rPr>
                    <w:rFonts w:ascii="Cambria Math" w:hAnsi="Cambria Math"/>
                    <w:color w:val="auto"/>
                    <w:sz w:val="24"/>
                    <w:szCs w:val="24"/>
                  </w:rPr>
                  <m:t>ψ</m:t>
                </m:r>
                <m:ctrlPr>
                  <w:rPr>
                    <w:rFonts w:ascii="Cambria Math" w:hAnsi="Cambria Math"/>
                    <w:i/>
                    <w:iCs/>
                    <w:color w:val="auto"/>
                    <w:sz w:val="24"/>
                    <w:szCs w:val="24"/>
                  </w:rPr>
                </m:ctrlPr>
              </m:e>
              <m:sub>
                <m:r>
                  <m:rPr/>
                  <w:rPr>
                    <w:rFonts w:ascii="Cambria Math" w:hAnsi="Cambria Math"/>
                    <w:color w:val="auto"/>
                    <w:sz w:val="24"/>
                    <w:szCs w:val="24"/>
                  </w:rPr>
                  <m:t>N</m:t>
                </m:r>
                <m:ctrlPr>
                  <w:rPr>
                    <w:rFonts w:ascii="Cambria Math" w:hAnsi="Cambria Math"/>
                    <w:i/>
                    <w:color w:val="auto"/>
                    <w:sz w:val="24"/>
                    <w:szCs w:val="24"/>
                  </w:rPr>
                </m:ctrlPr>
              </m:sub>
            </m:sSub>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iCs/>
                <w:color w:val="auto"/>
                <w:sz w:val="24"/>
                <w:szCs w:val="24"/>
              </w:rPr>
            </m:ctrlPr>
          </m:sub>
        </m:sSub>
      </m:oMath>
      <w:r>
        <w:rPr>
          <w:i/>
          <w:iCs/>
          <w:color w:val="auto"/>
          <w:sz w:val="24"/>
          <w:szCs w:val="24"/>
        </w:rPr>
        <w:t xml:space="preserve"> </w:t>
      </w:r>
      <w:r>
        <w:rPr>
          <w:i/>
          <w:iCs/>
          <w:color w:val="auto"/>
          <w:sz w:val="24"/>
          <w:szCs w:val="24"/>
        </w:rPr>
        <w:tab/>
      </w:r>
      <w:r>
        <w:rPr>
          <w:i/>
          <w:iCs/>
          <w:color w:val="auto"/>
          <w:sz w:val="24"/>
          <w:szCs w:val="24"/>
        </w:rPr>
        <w:tab/>
      </w:r>
      <w:r>
        <w:rPr>
          <w:i/>
          <w:iCs/>
          <w:color w:val="auto"/>
          <w:sz w:val="24"/>
          <w:szCs w:val="24"/>
        </w:rPr>
        <w:tab/>
      </w:r>
      <w:r>
        <w:rPr>
          <w:i/>
          <w:iCs/>
          <w:color w:val="auto"/>
          <w:sz w:val="24"/>
          <w:szCs w:val="24"/>
        </w:rPr>
        <w:tab/>
      </w:r>
      <w:r>
        <w:rPr>
          <w:i/>
          <w:iCs/>
          <w:color w:val="auto"/>
          <w:sz w:val="24"/>
          <w:szCs w:val="24"/>
        </w:rPr>
        <w:tab/>
      </w:r>
      <w:r>
        <w:rPr>
          <w:i/>
          <w:iCs/>
          <w:color w:val="auto"/>
          <w:sz w:val="24"/>
          <w:szCs w:val="24"/>
        </w:rPr>
        <w:tab/>
      </w:r>
      <w:r>
        <w:rPr>
          <w:color w:val="auto"/>
          <w:sz w:val="24"/>
          <w:szCs w:val="24"/>
        </w:rPr>
        <w:t>(4.2.</w:t>
      </w:r>
      <w:r>
        <w:rPr>
          <w:rFonts w:hint="eastAsia"/>
          <w:color w:val="auto"/>
          <w:sz w:val="24"/>
          <w:szCs w:val="24"/>
          <w:lang w:val="en-US" w:eastAsia="zh-CN"/>
        </w:rPr>
        <w:t>8</w:t>
      </w:r>
      <w:r>
        <w:rPr>
          <w:color w:val="auto"/>
          <w:sz w:val="24"/>
          <w:szCs w:val="24"/>
        </w:rPr>
        <w:t>-2</w:t>
      </w:r>
      <w:r>
        <w:rPr>
          <w:rFonts w:hint="eastAsia" w:ascii="宋体" w:cs="宋体"/>
          <w:color w:val="auto"/>
          <w:sz w:val="24"/>
          <w:szCs w:val="24"/>
        </w:rPr>
        <w:t>)</w:t>
      </w:r>
    </w:p>
    <w:p>
      <w:pPr>
        <w:spacing w:after="0" w:line="360" w:lineRule="auto"/>
        <w:jc w:val="right"/>
        <w:rPr>
          <w:rFonts w:ascii="宋体" w:cs="宋体"/>
          <w:color w:val="auto"/>
          <w:sz w:val="24"/>
          <w:szCs w:val="24"/>
        </w:rPr>
      </w:pPr>
      <w:r>
        <w:rPr>
          <w:rFonts w:hint="eastAsia" w:ascii="Cambria Math" w:hAnsi="Cambria Math"/>
          <w:color w:val="auto"/>
          <w:sz w:val="24"/>
          <w:szCs w:val="24"/>
        </w:rPr>
        <w:t xml:space="preserve">   </w:t>
      </w:r>
      <m:oMath>
        <m:f>
          <m:fPr>
            <m:type m:val="lin"/>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ψ</m:t>
                </m:r>
                <m:ctrlPr>
                  <w:rPr>
                    <w:rFonts w:ascii="Cambria Math" w:hAnsi="Cambria Math"/>
                    <w:i/>
                    <w:color w:val="auto"/>
                    <w:sz w:val="24"/>
                    <w:szCs w:val="24"/>
                  </w:rPr>
                </m:ctrlPr>
              </m:e>
              <m:sub>
                <m:r>
                  <m:rPr/>
                  <w:rPr>
                    <w:rFonts w:ascii="Cambria Math" w:hAnsi="Cambria Math"/>
                    <w:color w:val="auto"/>
                    <w:sz w:val="24"/>
                    <w:szCs w:val="24"/>
                  </w:rPr>
                  <m:t>N</m:t>
                </m:r>
                <m:ctrlPr>
                  <w:rPr>
                    <w:rFonts w:ascii="Cambria Math" w:hAnsi="Cambria Math"/>
                    <w:i/>
                    <w:color w:val="auto"/>
                    <w:sz w:val="24"/>
                    <w:szCs w:val="24"/>
                  </w:rPr>
                </m:ctrlPr>
              </m:sub>
            </m:sSub>
            <m:r>
              <m:rPr/>
              <w:rPr>
                <w:rFonts w:ascii="Cambria Math" w:hAnsi="Cambria Math"/>
                <w:color w:val="auto"/>
                <w:sz w:val="24"/>
                <w:szCs w:val="24"/>
              </w:rPr>
              <m:t>=1</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i/>
                    <w:color w:val="auto"/>
                    <w:sz w:val="24"/>
                    <w:szCs w:val="24"/>
                  </w:rPr>
                </m:ctrlPr>
              </m:e>
              <m:sub>
                <m:r>
                  <m:rPr/>
                  <w:rPr>
                    <w:rFonts w:ascii="Cambria Math" w:hAnsi="Cambria Math"/>
                    <w:color w:val="auto"/>
                    <w:sz w:val="24"/>
                    <w:szCs w:val="24"/>
                  </w:rPr>
                  <m:t>b</m:t>
                </m:r>
                <m:ctrlPr>
                  <w:rPr>
                    <w:rFonts w:ascii="Cambria Math" w:hAnsi="Cambria Math"/>
                    <w:i/>
                    <w:color w:val="auto"/>
                    <w:sz w:val="24"/>
                    <w:szCs w:val="24"/>
                  </w:rPr>
                </m:ctrlPr>
              </m:sub>
            </m:sSub>
            <m:ctrlPr>
              <w:rPr>
                <w:rFonts w:ascii="Cambria Math" w:hAnsi="Cambria Math"/>
                <w:i/>
                <w:color w:val="auto"/>
                <w:sz w:val="24"/>
                <w:szCs w:val="24"/>
              </w:rPr>
            </m:ctrlPr>
          </m:den>
        </m:f>
      </m:oMath>
      <w:r>
        <w:rPr>
          <w:i/>
          <w:iCs/>
          <w:color w:val="auto"/>
          <w:sz w:val="24"/>
          <w:szCs w:val="24"/>
        </w:rPr>
        <w:tab/>
      </w:r>
      <w:r>
        <w:rPr>
          <w:i/>
          <w:iCs/>
          <w:color w:val="auto"/>
          <w:sz w:val="24"/>
          <w:szCs w:val="24"/>
        </w:rPr>
        <w:tab/>
      </w:r>
      <w:r>
        <w:rPr>
          <w:i/>
          <w:iCs/>
          <w:color w:val="auto"/>
          <w:sz w:val="24"/>
          <w:szCs w:val="24"/>
        </w:rPr>
        <w:tab/>
      </w:r>
      <w:r>
        <w:rPr>
          <w:rFonts w:hint="eastAsia"/>
          <w:i/>
          <w:iCs/>
          <w:color w:val="auto"/>
          <w:sz w:val="24"/>
          <w:szCs w:val="24"/>
          <w:lang w:val="en-US" w:eastAsia="zh-CN"/>
        </w:rPr>
        <w:t xml:space="preserve">       </w:t>
      </w:r>
      <w:r>
        <w:rPr>
          <w:i/>
          <w:iCs/>
          <w:color w:val="auto"/>
          <w:sz w:val="24"/>
          <w:szCs w:val="24"/>
        </w:rPr>
        <w:tab/>
      </w:r>
      <w:r>
        <w:rPr>
          <w:i/>
          <w:iCs/>
          <w:color w:val="auto"/>
          <w:sz w:val="24"/>
          <w:szCs w:val="24"/>
        </w:rPr>
        <w:tab/>
      </w:r>
      <w:r>
        <w:rPr>
          <w:i/>
          <w:iCs/>
          <w:color w:val="auto"/>
          <w:sz w:val="24"/>
          <w:szCs w:val="24"/>
        </w:rPr>
        <w:tab/>
      </w:r>
      <w:r>
        <w:rPr>
          <w:rFonts w:hint="eastAsia" w:ascii="宋体" w:cs="宋体"/>
          <w:color w:val="auto"/>
          <w:sz w:val="24"/>
          <w:szCs w:val="24"/>
        </w:rPr>
        <w:t>(</w:t>
      </w:r>
      <w:r>
        <w:rPr>
          <w:rFonts w:hint="eastAsia"/>
          <w:color w:val="auto"/>
          <w:sz w:val="24"/>
          <w:szCs w:val="24"/>
        </w:rPr>
        <w:t>4</w:t>
      </w:r>
      <w:r>
        <w:rPr>
          <w:color w:val="auto"/>
          <w:sz w:val="24"/>
          <w:szCs w:val="24"/>
        </w:rPr>
        <w:t>.</w:t>
      </w:r>
      <w:r>
        <w:rPr>
          <w:rFonts w:hint="eastAsia"/>
          <w:color w:val="auto"/>
          <w:sz w:val="24"/>
          <w:szCs w:val="24"/>
        </w:rPr>
        <w:t>2</w:t>
      </w:r>
      <w:r>
        <w:rPr>
          <w:color w:val="auto"/>
          <w:sz w:val="24"/>
          <w:szCs w:val="24"/>
        </w:rPr>
        <w:t>.</w:t>
      </w:r>
      <w:r>
        <w:rPr>
          <w:rFonts w:hint="eastAsia"/>
          <w:color w:val="auto"/>
          <w:sz w:val="24"/>
          <w:szCs w:val="24"/>
          <w:lang w:val="en-US" w:eastAsia="zh-CN"/>
        </w:rPr>
        <w:t>8</w:t>
      </w:r>
      <w:r>
        <w:rPr>
          <w:color w:val="auto"/>
          <w:sz w:val="24"/>
          <w:szCs w:val="24"/>
        </w:rPr>
        <w:t>-</w:t>
      </w:r>
      <w:r>
        <w:rPr>
          <w:rFonts w:hint="eastAsia"/>
          <w:color w:val="auto"/>
          <w:sz w:val="24"/>
          <w:szCs w:val="24"/>
        </w:rPr>
        <w:t>3</w:t>
      </w:r>
      <w:r>
        <w:rPr>
          <w:rFonts w:hint="eastAsia" w:ascii="宋体" w:cs="宋体"/>
          <w:color w:val="auto"/>
          <w:sz w:val="24"/>
          <w:szCs w:val="24"/>
        </w:rPr>
        <w:t>)</w:t>
      </w:r>
    </w:p>
    <w:tbl>
      <w:tblPr>
        <w:tblStyle w:val="28"/>
        <w:tblW w:w="839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0"/>
        <w:gridCol w:w="665"/>
        <w:gridCol w:w="456"/>
        <w:gridCol w:w="6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0" w:type="dxa"/>
            <w:tcMar>
              <w:left w:w="43" w:type="dxa"/>
              <w:right w:w="43" w:type="dxa"/>
            </w:tcMar>
          </w:tcPr>
          <w:p>
            <w:pPr>
              <w:autoSpaceDE w:val="0"/>
              <w:autoSpaceDN w:val="0"/>
              <w:adjustRightInd w:val="0"/>
              <w:spacing w:after="0" w:line="360" w:lineRule="auto"/>
              <w:jc w:val="left"/>
              <w:rPr>
                <w:rFonts w:ascii="宋体" w:cs="宋体"/>
                <w:color w:val="auto"/>
                <w:sz w:val="24"/>
                <w:szCs w:val="24"/>
              </w:rPr>
            </w:pPr>
            <w:r>
              <w:rPr>
                <w:rFonts w:hint="eastAsia" w:ascii="宋体" w:cs="宋体"/>
                <w:color w:val="auto"/>
                <w:sz w:val="24"/>
                <w:szCs w:val="24"/>
              </w:rPr>
              <w:t>式中：</w:t>
            </w:r>
          </w:p>
          <w:p>
            <w:pPr>
              <w:spacing w:after="0" w:line="360" w:lineRule="auto"/>
              <w:rPr>
                <w:iCs/>
                <w:color w:val="auto"/>
                <w:sz w:val="24"/>
                <w:szCs w:val="24"/>
              </w:rPr>
            </w:pPr>
          </w:p>
        </w:tc>
        <w:tc>
          <w:tcPr>
            <w:tcW w:w="665" w:type="dxa"/>
          </w:tcPr>
          <w:p>
            <w:pPr>
              <w:spacing w:after="0" w:line="360" w:lineRule="auto"/>
              <w:jc w:val="right"/>
              <w:rPr>
                <w:iCs/>
                <w:color w:val="auto"/>
                <w:sz w:val="24"/>
                <w:szCs w:val="24"/>
              </w:rPr>
            </w:pPr>
            <w:r>
              <w:rPr>
                <w:color w:val="000000" w:themeColor="text1"/>
                <w:kern w:val="2"/>
                <w:position w:val="-10"/>
                <w:sz w:val="24"/>
                <w:szCs w:val="24"/>
                <w14:textFill>
                  <w14:solidFill>
                    <w14:schemeClr w14:val="tx1"/>
                  </w14:solidFill>
                </w14:textFill>
              </w:rPr>
              <w:object>
                <v:shape id="_x0000_i1059" o:spt="75" type="#_x0000_t75" style="height:16pt;width:16pt;" o:ole="t" filled="f" o:preferrelative="t" stroked="f" coordsize="21600,21600">
                  <v:path/>
                  <v:fill on="f" focussize="0,0"/>
                  <v:stroke on="f" joinstyle="miter"/>
                  <v:imagedata r:id="rId57" o:title=""/>
                  <o:lock v:ext="edit" aspectratio="t"/>
                  <w10:wrap type="none"/>
                  <w10:anchorlock/>
                </v:shape>
                <o:OLEObject Type="Embed" ProgID="Equation.DSMT4" ShapeID="_x0000_i1059" DrawAspect="Content" ObjectID="_1468075759" r:id="rId70">
                  <o:LockedField>false</o:LockedField>
                </o:OLEObject>
              </w:object>
            </w:r>
          </w:p>
        </w:tc>
        <w:tc>
          <w:tcPr>
            <w:tcW w:w="456" w:type="dxa"/>
            <w:vAlign w:val="top"/>
          </w:tcPr>
          <w:p>
            <w:pPr>
              <w:adjustRightInd w:val="0"/>
              <w:snapToGrid w:val="0"/>
              <w:spacing w:after="0" w:line="400" w:lineRule="atLeast"/>
              <w:jc w:val="right"/>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kern w:val="2"/>
                <w:sz w:val="24"/>
                <w:szCs w:val="24"/>
                <w14:textFill>
                  <w14:solidFill>
                    <w14:schemeClr w14:val="tx1"/>
                  </w14:solidFill>
                </w14:textFill>
              </w:rPr>
              <w:t>—</w:t>
            </w:r>
          </w:p>
        </w:tc>
        <w:tc>
          <w:tcPr>
            <w:tcW w:w="6392" w:type="dxa"/>
            <w:vAlign w:val="top"/>
          </w:tcPr>
          <w:p>
            <w:pPr>
              <w:adjustRightInd w:val="0"/>
              <w:snapToGrid w:val="0"/>
              <w:spacing w:after="0" w:line="400" w:lineRule="atLeast"/>
              <w:ind w:left="-107" w:leftChars="-51"/>
              <w:jc w:val="left"/>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kern w:val="2"/>
                <w:sz w:val="24"/>
                <w:szCs w:val="24"/>
                <w14:textFill>
                  <w14:solidFill>
                    <w14:schemeClr w14:val="tx1"/>
                  </w14:solidFill>
                </w14:textFill>
              </w:rPr>
              <w:t>考虑各种因素对植筋受拉承载力影响而需加大锚固长度的修正系数；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0" w:type="dxa"/>
            <w:tcMar>
              <w:left w:w="43" w:type="dxa"/>
              <w:right w:w="43" w:type="dxa"/>
            </w:tcMar>
          </w:tcPr>
          <w:p>
            <w:pPr>
              <w:spacing w:after="0" w:line="360" w:lineRule="auto"/>
              <w:rPr>
                <w:iCs/>
                <w:color w:val="auto"/>
                <w:sz w:val="24"/>
                <w:szCs w:val="24"/>
              </w:rPr>
            </w:pPr>
          </w:p>
        </w:tc>
        <w:tc>
          <w:tcPr>
            <w:tcW w:w="665" w:type="dxa"/>
            <w:vAlign w:val="top"/>
          </w:tcPr>
          <w:p>
            <w:pPr>
              <w:spacing w:after="0" w:line="360" w:lineRule="auto"/>
              <w:jc w:val="right"/>
              <w:rPr>
                <w:rFonts w:ascii="Times New Roman" w:hAnsi="Times New Roman" w:eastAsia="宋体" w:cs="Times New Roman"/>
                <w:iCs/>
                <w:color w:val="auto"/>
                <w:sz w:val="24"/>
                <w:szCs w:val="24"/>
                <w:lang w:val="en-US" w:eastAsia="zh-CN" w:bidi="ar-SA"/>
                <w:oMath/>
              </w:rPr>
            </w:pPr>
            <m:oMathPara>
              <m:oMath>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i/>
                        <w:color w:val="auto"/>
                        <w:sz w:val="24"/>
                        <w:szCs w:val="24"/>
                      </w:rPr>
                    </m:ctrlPr>
                  </m:e>
                  <m:sub>
                    <m:r>
                      <m:rPr/>
                      <w:rPr>
                        <w:rFonts w:ascii="Cambria Math" w:hAnsi="Cambria Math"/>
                        <w:color w:val="auto"/>
                        <w:sz w:val="24"/>
                        <w:szCs w:val="24"/>
                      </w:rPr>
                      <m:t>b</m:t>
                    </m:r>
                    <m:ctrlPr>
                      <w:rPr>
                        <w:rFonts w:ascii="Cambria Math" w:hAnsi="Cambria Math"/>
                        <w:i/>
                        <w:color w:val="auto"/>
                        <w:sz w:val="24"/>
                        <w:szCs w:val="24"/>
                      </w:rPr>
                    </m:ctrlPr>
                  </m:sub>
                </m:sSub>
              </m:oMath>
            </m:oMathPara>
          </w:p>
        </w:tc>
        <w:tc>
          <w:tcPr>
            <w:tcW w:w="456" w:type="dxa"/>
            <w:vAlign w:val="top"/>
          </w:tcPr>
          <w:p>
            <w:pPr>
              <w:spacing w:after="0" w:line="360" w:lineRule="auto"/>
              <w:rPr>
                <w:rFonts w:ascii="Times New Roman" w:hAnsi="Times New Roman" w:eastAsia="宋体" w:cs="Times New Roman"/>
                <w:iCs/>
                <w:color w:val="auto"/>
                <w:sz w:val="24"/>
                <w:szCs w:val="24"/>
                <w:lang w:val="en-US" w:eastAsia="zh-CN" w:bidi="ar-SA"/>
              </w:rPr>
            </w:pPr>
            <w:r>
              <w:rPr>
                <w:color w:val="auto"/>
                <w:sz w:val="24"/>
                <w:szCs w:val="24"/>
              </w:rPr>
              <w:t>—</w:t>
            </w:r>
          </w:p>
        </w:tc>
        <w:tc>
          <w:tcPr>
            <w:tcW w:w="6392" w:type="dxa"/>
            <w:vAlign w:val="top"/>
          </w:tcPr>
          <w:p>
            <w:pPr>
              <w:spacing w:after="0" w:line="360" w:lineRule="auto"/>
              <w:rPr>
                <w:rFonts w:hint="eastAsia" w:ascii="Times New Roman" w:hAnsi="Times New Roman" w:eastAsia="宋体" w:cs="Times New Roman"/>
                <w:iCs/>
                <w:color w:val="auto"/>
                <w:sz w:val="24"/>
                <w:szCs w:val="24"/>
                <w:lang w:val="en-US" w:eastAsia="zh-CN" w:bidi="ar-SA"/>
              </w:rPr>
            </w:pPr>
            <w:r>
              <w:rPr>
                <w:rFonts w:hint="eastAsia"/>
                <w:iCs/>
                <w:color w:val="auto"/>
                <w:sz w:val="24"/>
                <w:szCs w:val="24"/>
              </w:rPr>
              <w:t>考虑不同因素对植筋系统粘结强度的折减（影响）系数，应符合本规程4</w:t>
            </w:r>
            <w:r>
              <w:rPr>
                <w:iCs/>
                <w:color w:val="auto"/>
                <w:sz w:val="24"/>
                <w:szCs w:val="24"/>
              </w:rPr>
              <w:t>.2.</w:t>
            </w:r>
            <w:r>
              <w:rPr>
                <w:rFonts w:hint="eastAsia"/>
                <w:iCs/>
                <w:color w:val="auto"/>
                <w:sz w:val="24"/>
                <w:szCs w:val="24"/>
                <w:lang w:val="en-US" w:eastAsia="zh-CN"/>
              </w:rPr>
              <w:t>11</w:t>
            </w:r>
            <w:r>
              <w:rPr>
                <w:rFonts w:hint="eastAsia"/>
                <w:iCs/>
                <w:color w:val="auto"/>
                <w:sz w:val="24"/>
                <w:szCs w:val="24"/>
              </w:rPr>
              <w:t>条的规定。</w:t>
            </w:r>
          </w:p>
        </w:tc>
      </w:tr>
    </w:tbl>
    <w:p>
      <w:pPr>
        <w:autoSpaceDE w:val="0"/>
        <w:autoSpaceDN w:val="0"/>
        <w:adjustRightInd w:val="0"/>
        <w:spacing w:after="0" w:line="360" w:lineRule="auto"/>
        <w:rPr>
          <w:rFonts w:ascii="宋体" w:cs="宋体"/>
          <w:color w:val="auto"/>
          <w:sz w:val="24"/>
          <w:szCs w:val="24"/>
        </w:rPr>
      </w:pPr>
      <w:r>
        <w:rPr>
          <w:rFonts w:hint="eastAsia"/>
          <w:b/>
          <w:bCs/>
          <w:color w:val="auto"/>
          <w:sz w:val="24"/>
          <w:szCs w:val="24"/>
        </w:rPr>
        <w:t>4.2.</w:t>
      </w:r>
      <w:r>
        <w:rPr>
          <w:rFonts w:hint="eastAsia"/>
          <w:b/>
          <w:bCs/>
          <w:color w:val="auto"/>
          <w:sz w:val="24"/>
          <w:szCs w:val="24"/>
          <w:lang w:val="en-US" w:eastAsia="zh-CN"/>
        </w:rPr>
        <w:t>9</w:t>
      </w:r>
      <w:r>
        <w:rPr>
          <w:b/>
          <w:bCs/>
          <w:color w:val="auto"/>
          <w:sz w:val="24"/>
          <w:szCs w:val="24"/>
        </w:rPr>
        <w:t xml:space="preserve"> </w:t>
      </w:r>
      <w:r>
        <w:rPr>
          <w:rFonts w:hint="eastAsia"/>
          <w:color w:val="auto"/>
          <w:sz w:val="24"/>
          <w:szCs w:val="24"/>
        </w:rPr>
        <w:t>考虑混凝土保护层厚度</w:t>
      </w:r>
      <w:r>
        <w:rPr>
          <w:rFonts w:hint="eastAsia"/>
          <w:iCs/>
          <w:color w:val="auto"/>
          <w:sz w:val="24"/>
          <w:szCs w:val="24"/>
        </w:rPr>
        <w:t>（图4</w:t>
      </w:r>
      <w:r>
        <w:rPr>
          <w:iCs/>
          <w:color w:val="auto"/>
          <w:sz w:val="24"/>
          <w:szCs w:val="24"/>
        </w:rPr>
        <w:t>.2.</w:t>
      </w:r>
      <w:r>
        <w:rPr>
          <w:rFonts w:hint="eastAsia"/>
          <w:iCs/>
          <w:color w:val="auto"/>
          <w:sz w:val="24"/>
          <w:szCs w:val="24"/>
          <w:lang w:val="en-US" w:eastAsia="zh-CN"/>
        </w:rPr>
        <w:t>9</w:t>
      </w:r>
      <w:r>
        <w:rPr>
          <w:rFonts w:hint="eastAsia"/>
          <w:iCs/>
          <w:color w:val="auto"/>
          <w:sz w:val="24"/>
          <w:szCs w:val="24"/>
        </w:rPr>
        <w:t>）</w:t>
      </w:r>
      <w:r>
        <w:rPr>
          <w:rFonts w:hint="eastAsia"/>
          <w:color w:val="auto"/>
          <w:sz w:val="24"/>
          <w:szCs w:val="24"/>
        </w:rPr>
        <w:t>和横向钢筋影响的</w:t>
      </w:r>
      <w:r>
        <w:rPr>
          <w:rFonts w:hint="eastAsia" w:ascii="宋体" w:cs="宋体"/>
          <w:color w:val="auto"/>
          <w:sz w:val="24"/>
          <w:szCs w:val="24"/>
        </w:rPr>
        <w:t>植筋的基本锚固长度</w:t>
      </w:r>
      <w:r>
        <w:rPr>
          <w:color w:val="auto"/>
          <w:sz w:val="24"/>
          <w:szCs w:val="24"/>
        </w:rPr>
        <w:t xml:space="preserve"> </w:t>
      </w:r>
      <w:r>
        <w:rPr>
          <w:i/>
          <w:iCs/>
          <w:color w:val="auto"/>
          <w:sz w:val="24"/>
          <w:szCs w:val="24"/>
        </w:rPr>
        <w:t>l</w:t>
      </w:r>
      <w:r>
        <w:rPr>
          <w:i/>
          <w:iCs/>
          <w:color w:val="auto"/>
          <w:sz w:val="24"/>
          <w:szCs w:val="24"/>
          <w:vertAlign w:val="subscript"/>
        </w:rPr>
        <w:t>s</w:t>
      </w:r>
      <w:r>
        <w:rPr>
          <w:i/>
          <w:iCs/>
          <w:color w:val="auto"/>
          <w:sz w:val="24"/>
          <w:szCs w:val="24"/>
        </w:rPr>
        <w:t xml:space="preserve"> </w:t>
      </w:r>
      <w:r>
        <w:rPr>
          <w:rFonts w:hint="eastAsia" w:ascii="宋体" w:cs="宋体"/>
          <w:color w:val="auto"/>
          <w:sz w:val="24"/>
          <w:szCs w:val="24"/>
        </w:rPr>
        <w:t>应按下列公式计算：</w:t>
      </w:r>
    </w:p>
    <w:p>
      <w:pPr>
        <w:autoSpaceDE w:val="0"/>
        <w:autoSpaceDN w:val="0"/>
        <w:adjustRightInd w:val="0"/>
        <w:spacing w:after="0" w:line="300" w:lineRule="auto"/>
        <w:jc w:val="right"/>
        <w:rPr>
          <w:rFonts w:ascii="宋体" w:cs="宋体"/>
          <w:color w:val="auto"/>
          <w:sz w:val="24"/>
          <w:szCs w:val="24"/>
        </w:rPr>
      </w:pPr>
      <w:bookmarkStart w:id="29" w:name="_Hlk138681883"/>
      <w:r>
        <w:rPr>
          <w:rFonts w:ascii="宋体" w:cs="宋体"/>
          <w:color w:val="auto"/>
          <w:sz w:val="24"/>
          <w:szCs w:val="24"/>
        </w:rPr>
        <w:t xml:space="preserve"> </w:t>
      </w:r>
      <m:oMath>
        <m:sSub>
          <m:sSubPr>
            <m:ctrlPr>
              <w:rPr>
                <w:rFonts w:ascii="Cambria Math" w:hAnsi="Cambria Math" w:cs="宋体"/>
                <w:i/>
                <w:color w:val="auto"/>
                <w:sz w:val="24"/>
                <w:szCs w:val="24"/>
              </w:rPr>
            </m:ctrlPr>
          </m:sSubPr>
          <m:e>
            <m:r>
              <m:rPr/>
              <w:rPr>
                <w:rFonts w:ascii="Cambria Math" w:hAnsi="Cambria Math" w:cs="宋体"/>
                <w:color w:val="auto"/>
                <w:sz w:val="24"/>
                <w:szCs w:val="24"/>
              </w:rPr>
              <m:t>l</m:t>
            </m:r>
            <m:ctrlPr>
              <w:rPr>
                <w:rFonts w:ascii="Cambria Math" w:hAnsi="Cambria Math" w:cs="宋体"/>
                <w:i/>
                <w:color w:val="auto"/>
                <w:sz w:val="24"/>
                <w:szCs w:val="24"/>
              </w:rPr>
            </m:ctrlPr>
          </m:e>
          <m:sub>
            <m:r>
              <m:rPr/>
              <w:rPr>
                <w:rFonts w:ascii="Cambria Math" w:hAnsi="Cambria Math" w:cs="宋体"/>
                <w:color w:val="auto"/>
                <w:sz w:val="24"/>
                <w:szCs w:val="24"/>
              </w:rPr>
              <m:t>s</m:t>
            </m:r>
            <m:ctrlPr>
              <w:rPr>
                <w:rFonts w:ascii="Cambria Math" w:hAnsi="Cambria Math" w:cs="宋体"/>
                <w:i/>
                <w:color w:val="auto"/>
                <w:sz w:val="24"/>
                <w:szCs w:val="24"/>
              </w:rPr>
            </m:ctrlPr>
          </m:sub>
        </m:sSub>
        <m:r>
          <m:rPr/>
          <w:rPr>
            <w:rFonts w:ascii="Cambria Math" w:hAnsi="Cambria Math" w:cs="宋体"/>
            <w:color w:val="auto"/>
            <w:sz w:val="24"/>
            <w:szCs w:val="24"/>
          </w:rPr>
          <m:t>=</m:t>
        </m:r>
        <m:sSub>
          <m:sSubPr>
            <m:ctrlPr>
              <w:rPr>
                <w:rFonts w:ascii="Cambria Math" w:hAnsi="Cambria Math" w:cs="宋体"/>
                <w:i/>
                <w:color w:val="auto"/>
                <w:sz w:val="24"/>
                <w:szCs w:val="24"/>
              </w:rPr>
            </m:ctrlPr>
          </m:sSubPr>
          <m:e>
            <m:r>
              <m:rPr/>
              <w:rPr>
                <w:rFonts w:ascii="Cambria Math" w:hAnsi="Cambria Math" w:cs="宋体"/>
                <w:color w:val="auto"/>
                <w:sz w:val="24"/>
                <w:szCs w:val="24"/>
              </w:rPr>
              <m:t>α</m:t>
            </m:r>
            <m:ctrlPr>
              <w:rPr>
                <w:rFonts w:ascii="Cambria Math" w:hAnsi="Cambria Math" w:cs="宋体"/>
                <w:i/>
                <w:color w:val="auto"/>
                <w:sz w:val="24"/>
                <w:szCs w:val="24"/>
              </w:rPr>
            </m:ctrlPr>
          </m:e>
          <m:sub>
            <m:r>
              <m:rPr/>
              <w:rPr>
                <w:rFonts w:ascii="Cambria Math" w:hAnsi="Cambria Math" w:cs="宋体"/>
                <w:color w:val="auto"/>
                <w:sz w:val="24"/>
                <w:szCs w:val="24"/>
              </w:rPr>
              <m:t>cs</m:t>
            </m:r>
            <m:ctrlPr>
              <w:rPr>
                <w:rFonts w:ascii="Cambria Math" w:hAnsi="Cambria Math" w:cs="宋体"/>
                <w:i/>
                <w:color w:val="auto"/>
                <w:sz w:val="24"/>
                <w:szCs w:val="24"/>
              </w:rPr>
            </m:ctrlPr>
          </m:sub>
        </m:sSub>
        <m:r>
          <m:rPr/>
          <w:rPr>
            <w:rFonts w:ascii="Cambria Math" w:hAnsi="Cambria Math" w:cs="宋体"/>
            <w:color w:val="auto"/>
            <w:sz w:val="24"/>
            <w:szCs w:val="24"/>
          </w:rPr>
          <m:t>∙</m:t>
        </m:r>
        <m:sSub>
          <m:sSubPr>
            <m:ctrlPr>
              <w:rPr>
                <w:rFonts w:ascii="Cambria Math" w:hAnsi="Cambria Math" w:cs="宋体"/>
                <w:i/>
                <w:color w:val="auto"/>
                <w:sz w:val="24"/>
                <w:szCs w:val="24"/>
              </w:rPr>
            </m:ctrlPr>
          </m:sSubPr>
          <m:e>
            <m:r>
              <m:rPr/>
              <w:rPr>
                <w:rFonts w:ascii="Cambria Math" w:hAnsi="Cambria Math" w:cs="宋体"/>
                <w:color w:val="auto"/>
                <w:sz w:val="24"/>
                <w:szCs w:val="24"/>
              </w:rPr>
              <m:t>α</m:t>
            </m:r>
            <m:ctrlPr>
              <w:rPr>
                <w:rFonts w:ascii="Cambria Math" w:hAnsi="Cambria Math" w:cs="宋体"/>
                <w:i/>
                <w:color w:val="auto"/>
                <w:sz w:val="24"/>
                <w:szCs w:val="24"/>
              </w:rPr>
            </m:ctrlPr>
          </m:e>
          <m:sub>
            <m:r>
              <m:rPr/>
              <w:rPr>
                <w:rFonts w:ascii="Cambria Math" w:hAnsi="Cambria Math" w:cs="宋体"/>
                <w:color w:val="auto"/>
                <w:sz w:val="24"/>
                <w:szCs w:val="24"/>
              </w:rPr>
              <m:t>tr</m:t>
            </m:r>
            <m:ctrlPr>
              <w:rPr>
                <w:rFonts w:ascii="Cambria Math" w:hAnsi="Cambria Math" w:cs="宋体"/>
                <w:i/>
                <w:color w:val="auto"/>
                <w:sz w:val="24"/>
                <w:szCs w:val="24"/>
              </w:rPr>
            </m:ctrlPr>
          </m:sub>
        </m:sSub>
        <m:r>
          <m:rPr/>
          <w:rPr>
            <w:rFonts w:ascii="Cambria Math" w:hAnsi="Cambria Math" w:cs="宋体"/>
            <w:color w:val="auto"/>
            <w:sz w:val="24"/>
            <w:szCs w:val="24"/>
          </w:rPr>
          <m:t>∙</m:t>
        </m:r>
        <m:sSub>
          <m:sSubPr>
            <m:ctrlPr>
              <w:rPr>
                <w:rFonts w:ascii="Cambria Math" w:hAnsi="Cambria Math" w:cs="宋体"/>
                <w:i/>
                <w:color w:val="auto"/>
                <w:sz w:val="24"/>
                <w:szCs w:val="24"/>
              </w:rPr>
            </m:ctrlPr>
          </m:sSubPr>
          <m:e>
            <m:r>
              <m:rPr/>
              <w:rPr>
                <w:rFonts w:ascii="Cambria Math" w:hAnsi="Cambria Math" w:cs="宋体"/>
                <w:color w:val="auto"/>
                <w:sz w:val="24"/>
                <w:szCs w:val="24"/>
              </w:rPr>
              <m:t>l</m:t>
            </m:r>
            <m:ctrlPr>
              <w:rPr>
                <w:rFonts w:ascii="Cambria Math" w:hAnsi="Cambria Math" w:cs="宋体"/>
                <w:i/>
                <w:color w:val="auto"/>
                <w:sz w:val="24"/>
                <w:szCs w:val="24"/>
              </w:rPr>
            </m:ctrlPr>
          </m:e>
          <m:sub>
            <m:r>
              <m:rPr/>
              <w:rPr>
                <w:rFonts w:ascii="Cambria Math" w:hAnsi="Cambria Math" w:cs="宋体"/>
                <w:color w:val="auto"/>
                <w:sz w:val="24"/>
                <w:szCs w:val="24"/>
              </w:rPr>
              <m:t>b</m:t>
            </m:r>
            <m:ctrlPr>
              <w:rPr>
                <w:rFonts w:ascii="Cambria Math" w:hAnsi="Cambria Math" w:cs="宋体"/>
                <w:i/>
                <w:color w:val="auto"/>
                <w:sz w:val="24"/>
                <w:szCs w:val="24"/>
              </w:rPr>
            </m:ctrlPr>
          </m:sub>
        </m:sSub>
      </m:oMath>
      <w:r>
        <w:rPr>
          <w:rFonts w:ascii="宋体" w:cs="宋体"/>
          <w:color w:val="auto"/>
          <w:sz w:val="24"/>
          <w:szCs w:val="24"/>
        </w:rPr>
        <w:t xml:space="preserve"> </w:t>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(4</w:t>
      </w:r>
      <w:r>
        <w:rPr>
          <w:rFonts w:hint="eastAsia" w:ascii="宋体" w:cs="宋体"/>
          <w:color w:val="auto"/>
          <w:sz w:val="24"/>
          <w:szCs w:val="24"/>
        </w:rPr>
        <w:t>.</w:t>
      </w:r>
      <w:r>
        <w:rPr>
          <w:rFonts w:ascii="宋体" w:cs="宋体"/>
          <w:color w:val="auto"/>
          <w:sz w:val="24"/>
          <w:szCs w:val="24"/>
        </w:rPr>
        <w:t>2.</w:t>
      </w:r>
      <w:r>
        <w:rPr>
          <w:rFonts w:hint="eastAsia" w:ascii="宋体" w:cs="宋体"/>
          <w:color w:val="auto"/>
          <w:sz w:val="24"/>
          <w:szCs w:val="24"/>
          <w:lang w:val="en-US" w:eastAsia="zh-CN"/>
        </w:rPr>
        <w:t>9</w:t>
      </w:r>
      <w:r>
        <w:rPr>
          <w:rFonts w:hint="eastAsia" w:ascii="宋体" w:cs="宋体"/>
          <w:color w:val="auto"/>
          <w:sz w:val="24"/>
          <w:szCs w:val="24"/>
        </w:rPr>
        <w:t>-1</w:t>
      </w:r>
      <w:r>
        <w:rPr>
          <w:rFonts w:ascii="宋体" w:cs="宋体"/>
          <w:color w:val="auto"/>
          <w:sz w:val="24"/>
          <w:szCs w:val="24"/>
        </w:rPr>
        <w:t>)</w:t>
      </w:r>
    </w:p>
    <w:p>
      <w:pPr>
        <w:spacing w:after="0" w:line="300" w:lineRule="auto"/>
        <w:jc w:val="right"/>
        <w:rPr>
          <w:rFonts w:ascii="宋体" w:cs="宋体"/>
          <w:color w:val="auto"/>
          <w:sz w:val="24"/>
          <w:szCs w:val="24"/>
        </w:rPr>
      </w:pPr>
      <m:oMath>
        <m:r>
          <m:rPr/>
          <w:rPr>
            <w:rFonts w:ascii="Cambria Math" w:hAnsi="Cambria Math" w:cs="宋体"/>
            <w:color w:val="auto"/>
            <w:sz w:val="24"/>
            <w:szCs w:val="24"/>
          </w:rPr>
          <m:t xml:space="preserve">   </m:t>
        </m:r>
        <m:sSub>
          <m:sSubPr>
            <m:ctrlPr>
              <w:rPr>
                <w:rFonts w:ascii="Cambria Math" w:hAnsi="Cambria Math" w:cs="宋体"/>
                <w:i/>
                <w:color w:val="auto"/>
                <w:sz w:val="24"/>
                <w:szCs w:val="24"/>
              </w:rPr>
            </m:ctrlPr>
          </m:sSubPr>
          <m:e>
            <m:r>
              <m:rPr/>
              <w:rPr>
                <w:rFonts w:ascii="Cambria Math" w:hAnsi="Cambria Math" w:cs="宋体"/>
                <w:color w:val="auto"/>
                <w:sz w:val="24"/>
                <w:szCs w:val="24"/>
              </w:rPr>
              <m:t>α</m:t>
            </m:r>
            <m:ctrlPr>
              <w:rPr>
                <w:rFonts w:ascii="Cambria Math" w:hAnsi="Cambria Math" w:cs="宋体"/>
                <w:i/>
                <w:color w:val="auto"/>
                <w:sz w:val="24"/>
                <w:szCs w:val="24"/>
              </w:rPr>
            </m:ctrlPr>
          </m:e>
          <m:sub>
            <m:r>
              <m:rPr/>
              <w:rPr>
                <w:rFonts w:ascii="Cambria Math" w:hAnsi="Cambria Math" w:cs="宋体"/>
                <w:color w:val="auto"/>
                <w:sz w:val="24"/>
                <w:szCs w:val="24"/>
              </w:rPr>
              <m:t>cs</m:t>
            </m:r>
            <m:ctrlPr>
              <w:rPr>
                <w:rFonts w:ascii="Cambria Math" w:hAnsi="Cambria Math" w:cs="宋体"/>
                <w:i/>
                <w:color w:val="auto"/>
                <w:sz w:val="24"/>
                <w:szCs w:val="24"/>
              </w:rPr>
            </m:ctrlPr>
          </m:sub>
        </m:sSub>
        <m:r>
          <m:rPr/>
          <w:rPr>
            <w:rFonts w:ascii="Cambria Math" w:hAnsi="Cambria Math" w:cs="宋体"/>
            <w:color w:val="auto"/>
            <w:sz w:val="24"/>
            <w:szCs w:val="24"/>
          </w:rPr>
          <m:t>=1.0</m:t>
        </m:r>
        <m:r>
          <m:rPr/>
          <w:rPr>
            <w:rFonts w:ascii="Cambria Math" w:hAnsi="Cambria Math"/>
            <w:color w:val="auto"/>
            <w:sz w:val="24"/>
            <w:szCs w:val="24"/>
          </w:rPr>
          <m:t>−</m:t>
        </m:r>
        <m:r>
          <m:rPr/>
          <w:rPr>
            <w:rFonts w:ascii="Cambria Math" w:hAnsi="Cambria Math" w:cs="宋体"/>
            <w:color w:val="auto"/>
            <w:sz w:val="24"/>
            <w:szCs w:val="24"/>
          </w:rPr>
          <m:t>0.15</m:t>
        </m:r>
        <m:d>
          <m:dPr>
            <m:ctrlPr>
              <w:rPr>
                <w:rFonts w:ascii="Cambria Math" w:hAnsi="Cambria Math" w:cs="宋体"/>
                <w:i/>
                <w:color w:val="auto"/>
                <w:sz w:val="24"/>
                <w:szCs w:val="24"/>
              </w:rPr>
            </m:ctrlPr>
          </m:dPr>
          <m:e>
            <m:f>
              <m:fPr>
                <m:ctrlPr>
                  <w:rPr>
                    <w:rFonts w:ascii="Cambria Math" w:hAnsi="Cambria Math" w:cs="宋体"/>
                    <w:i/>
                    <w:color w:val="auto"/>
                    <w:sz w:val="24"/>
                    <w:szCs w:val="24"/>
                  </w:rPr>
                </m:ctrlPr>
              </m:fPr>
              <m:num>
                <m:sSub>
                  <m:sSubPr>
                    <m:ctrlPr>
                      <w:rPr>
                        <w:rFonts w:ascii="Cambria Math" w:hAnsi="Cambria Math" w:cs="宋体"/>
                        <w:i/>
                        <w:color w:val="auto"/>
                        <w:sz w:val="24"/>
                        <w:szCs w:val="24"/>
                      </w:rPr>
                    </m:ctrlPr>
                  </m:sSubPr>
                  <m:e>
                    <m:r>
                      <m:rPr/>
                      <w:rPr>
                        <w:rFonts w:ascii="Cambria Math" w:hAnsi="Cambria Math" w:cs="宋体"/>
                        <w:color w:val="auto"/>
                        <w:sz w:val="24"/>
                        <w:szCs w:val="24"/>
                      </w:rPr>
                      <m:t>c</m:t>
                    </m:r>
                    <m:ctrlPr>
                      <w:rPr>
                        <w:rFonts w:ascii="Cambria Math" w:hAnsi="Cambria Math" w:cs="宋体"/>
                        <w:i/>
                        <w:color w:val="auto"/>
                        <w:sz w:val="24"/>
                        <w:szCs w:val="24"/>
                      </w:rPr>
                    </m:ctrlPr>
                  </m:e>
                  <m:sub>
                    <m:r>
                      <m:rPr/>
                      <w:rPr>
                        <w:rFonts w:ascii="Cambria Math" w:hAnsi="Cambria Math" w:cs="宋体"/>
                        <w:color w:val="auto"/>
                        <w:sz w:val="24"/>
                        <w:szCs w:val="24"/>
                      </w:rPr>
                      <m:t>d</m:t>
                    </m:r>
                    <m:ctrlPr>
                      <w:rPr>
                        <w:rFonts w:ascii="Cambria Math" w:hAnsi="Cambria Math" w:cs="宋体"/>
                        <w:i/>
                        <w:color w:val="auto"/>
                        <w:sz w:val="24"/>
                        <w:szCs w:val="24"/>
                      </w:rPr>
                    </m:ctrlPr>
                  </m:sub>
                </m:sSub>
                <m:r>
                  <m:rPr/>
                  <w:rPr>
                    <w:rFonts w:ascii="Cambria Math" w:hAnsi="Cambria Math" w:cs="宋体"/>
                    <w:color w:val="auto"/>
                    <w:sz w:val="24"/>
                    <w:szCs w:val="24"/>
                  </w:rPr>
                  <m:t>−d</m:t>
                </m:r>
                <m:ctrlPr>
                  <w:rPr>
                    <w:rFonts w:ascii="Cambria Math" w:hAnsi="Cambria Math" w:cs="宋体"/>
                    <w:i/>
                    <w:color w:val="auto"/>
                    <w:sz w:val="24"/>
                    <w:szCs w:val="24"/>
                  </w:rPr>
                </m:ctrlPr>
              </m:num>
              <m:den>
                <m:r>
                  <m:rPr/>
                  <w:rPr>
                    <w:rFonts w:ascii="Cambria Math" w:hAnsi="Cambria Math" w:cs="宋体"/>
                    <w:color w:val="auto"/>
                    <w:sz w:val="24"/>
                    <w:szCs w:val="24"/>
                  </w:rPr>
                  <m:t>d</m:t>
                </m:r>
                <m:ctrlPr>
                  <w:rPr>
                    <w:rFonts w:ascii="Cambria Math" w:hAnsi="Cambria Math" w:cs="宋体"/>
                    <w:i/>
                    <w:color w:val="auto"/>
                    <w:sz w:val="24"/>
                    <w:szCs w:val="24"/>
                  </w:rPr>
                </m:ctrlPr>
              </m:den>
            </m:f>
            <m:ctrlPr>
              <w:rPr>
                <w:rFonts w:ascii="Cambria Math" w:hAnsi="Cambria Math" w:cs="宋体"/>
                <w:i/>
                <w:color w:val="auto"/>
                <w:sz w:val="24"/>
                <w:szCs w:val="24"/>
              </w:rPr>
            </m:ctrlPr>
          </m:e>
        </m:d>
      </m:oMath>
      <w:r>
        <w:rPr>
          <w:rFonts w:ascii="宋体" w:cs="宋体"/>
          <w:color w:val="auto"/>
          <w:sz w:val="24"/>
          <w:szCs w:val="24"/>
        </w:rPr>
        <w:tab/>
      </w:r>
      <w:r>
        <w:rPr>
          <w:rFonts w:ascii="宋体" w:cs="宋体"/>
          <w:color w:val="auto"/>
          <w:sz w:val="24"/>
          <w:szCs w:val="24"/>
        </w:rPr>
        <w:t xml:space="preserve">    </w:t>
      </w:r>
      <w:r>
        <w:rPr>
          <w:rFonts w:hint="eastAsia" w:ascii="宋体" w:cs="宋体"/>
          <w:color w:val="auto"/>
          <w:sz w:val="24"/>
          <w:szCs w:val="24"/>
          <w:lang w:val="en-US" w:eastAsia="zh-CN"/>
        </w:rPr>
        <w:t xml:space="preserve">   </w:t>
      </w:r>
      <w:r>
        <w:rPr>
          <w:rFonts w:ascii="宋体" w:cs="宋体"/>
          <w:color w:val="auto"/>
          <w:sz w:val="24"/>
          <w:szCs w:val="24"/>
        </w:rPr>
        <w:t xml:space="preserve">  </w:t>
      </w:r>
      <w:r>
        <w:rPr>
          <w:rFonts w:ascii="宋体" w:cs="宋体"/>
          <w:color w:val="auto"/>
          <w:sz w:val="24"/>
          <w:szCs w:val="24"/>
        </w:rPr>
        <w:tab/>
      </w:r>
      <w:r>
        <w:rPr>
          <w:rFonts w:ascii="宋体" w:cs="宋体"/>
          <w:color w:val="auto"/>
          <w:sz w:val="24"/>
          <w:szCs w:val="24"/>
        </w:rPr>
        <w:tab/>
      </w:r>
      <w:r>
        <w:rPr>
          <w:rFonts w:ascii="宋体" w:cs="宋体"/>
          <w:color w:val="auto"/>
          <w:sz w:val="24"/>
          <w:szCs w:val="24"/>
        </w:rPr>
        <w:t>(4.2.</w:t>
      </w:r>
      <w:r>
        <w:rPr>
          <w:rFonts w:hint="eastAsia" w:ascii="宋体" w:cs="宋体"/>
          <w:color w:val="auto"/>
          <w:sz w:val="24"/>
          <w:szCs w:val="24"/>
          <w:lang w:val="en-US" w:eastAsia="zh-CN"/>
        </w:rPr>
        <w:t>9</w:t>
      </w:r>
      <w:r>
        <w:rPr>
          <w:rFonts w:ascii="宋体" w:cs="宋体"/>
          <w:color w:val="auto"/>
          <w:sz w:val="24"/>
          <w:szCs w:val="24"/>
        </w:rPr>
        <w:t>-2)</w:t>
      </w:r>
    </w:p>
    <w:p>
      <w:pPr>
        <w:pStyle w:val="2"/>
        <w:spacing w:line="300" w:lineRule="auto"/>
        <w:ind w:firstLine="480"/>
        <w:jc w:val="right"/>
        <w:rPr>
          <w:rFonts w:ascii="宋体" w:cs="宋体"/>
          <w:color w:val="auto"/>
          <w:sz w:val="24"/>
          <w:szCs w:val="24"/>
        </w:rPr>
      </w:pPr>
      <m:oMath>
        <m:sSub>
          <m:sSubPr>
            <m:ctrlPr>
              <w:rPr>
                <w:rFonts w:ascii="Cambria Math" w:hAnsi="Cambria Math" w:cs="宋体"/>
                <w:i/>
                <w:color w:val="auto"/>
                <w:sz w:val="24"/>
                <w:szCs w:val="24"/>
              </w:rPr>
            </m:ctrlPr>
          </m:sSubPr>
          <m:e>
            <m:r>
              <m:rPr/>
              <w:rPr>
                <w:rFonts w:ascii="Cambria Math" w:hAnsi="Cambria Math" w:cs="宋体"/>
                <w:color w:val="auto"/>
                <w:sz w:val="24"/>
                <w:szCs w:val="24"/>
              </w:rPr>
              <m:t>c</m:t>
            </m:r>
            <m:ctrlPr>
              <w:rPr>
                <w:rFonts w:ascii="Cambria Math" w:hAnsi="Cambria Math" w:cs="宋体"/>
                <w:i/>
                <w:color w:val="auto"/>
                <w:sz w:val="24"/>
                <w:szCs w:val="24"/>
              </w:rPr>
            </m:ctrlPr>
          </m:e>
          <m:sub>
            <m:r>
              <m:rPr/>
              <w:rPr>
                <w:rFonts w:ascii="Cambria Math" w:hAnsi="Cambria Math" w:cs="宋体"/>
                <w:color w:val="auto"/>
                <w:sz w:val="24"/>
                <w:szCs w:val="24"/>
              </w:rPr>
              <m:t>d</m:t>
            </m:r>
            <m:ctrlPr>
              <w:rPr>
                <w:rFonts w:ascii="Cambria Math" w:hAnsi="Cambria Math" w:cs="宋体"/>
                <w:i/>
                <w:color w:val="auto"/>
                <w:sz w:val="24"/>
                <w:szCs w:val="24"/>
              </w:rPr>
            </m:ctrlPr>
          </m:sub>
        </m:sSub>
        <m:r>
          <m:rPr/>
          <w:rPr>
            <w:rFonts w:ascii="Cambria Math" w:hAnsi="Cambria Math" w:cs="宋体"/>
            <w:color w:val="auto"/>
            <w:sz w:val="24"/>
            <w:szCs w:val="24"/>
          </w:rPr>
          <m:t>=min.</m:t>
        </m:r>
        <m:d>
          <m:dPr>
            <m:begChr m:val="{"/>
            <m:endChr m:val="}"/>
            <m:ctrlPr>
              <w:rPr>
                <w:rFonts w:ascii="Cambria Math" w:hAnsi="Cambria Math" w:cs="宋体"/>
                <w:i/>
                <w:color w:val="auto"/>
                <w:sz w:val="24"/>
                <w:szCs w:val="24"/>
              </w:rPr>
            </m:ctrlPr>
          </m:dPr>
          <m:e>
            <m:r>
              <m:rPr/>
              <w:rPr>
                <w:rFonts w:ascii="Cambria Math" w:hAnsi="Cambria Math" w:cs="宋体"/>
                <w:color w:val="auto"/>
                <w:sz w:val="24"/>
                <w:szCs w:val="24"/>
              </w:rPr>
              <m:t>c;</m:t>
            </m:r>
            <m:sSub>
              <m:sSubPr>
                <m:ctrlPr>
                  <w:rPr>
                    <w:rFonts w:ascii="Cambria Math" w:hAnsi="Cambria Math" w:cs="宋体"/>
                    <w:i/>
                    <w:color w:val="auto"/>
                    <w:sz w:val="24"/>
                    <w:szCs w:val="24"/>
                  </w:rPr>
                </m:ctrlPr>
              </m:sSubPr>
              <m:e>
                <m:r>
                  <m:rPr/>
                  <w:rPr>
                    <w:rFonts w:ascii="Cambria Math" w:hAnsi="Cambria Math" w:cs="宋体"/>
                    <w:color w:val="auto"/>
                    <w:sz w:val="24"/>
                    <w:szCs w:val="24"/>
                  </w:rPr>
                  <m:t>c</m:t>
                </m:r>
                <m:ctrlPr>
                  <w:rPr>
                    <w:rFonts w:ascii="Cambria Math" w:hAnsi="Cambria Math" w:cs="宋体"/>
                    <w:i/>
                    <w:color w:val="auto"/>
                    <w:sz w:val="24"/>
                    <w:szCs w:val="24"/>
                  </w:rPr>
                </m:ctrlPr>
              </m:e>
              <m:sub>
                <m:r>
                  <m:rPr/>
                  <w:rPr>
                    <w:rFonts w:ascii="Cambria Math" w:hAnsi="Cambria Math" w:cs="宋体"/>
                    <w:color w:val="auto"/>
                    <w:sz w:val="24"/>
                    <w:szCs w:val="24"/>
                  </w:rPr>
                  <m:t>2</m:t>
                </m:r>
                <m:ctrlPr>
                  <w:rPr>
                    <w:rFonts w:ascii="Cambria Math" w:hAnsi="Cambria Math" w:cs="宋体"/>
                    <w:i/>
                    <w:color w:val="auto"/>
                    <w:sz w:val="24"/>
                    <w:szCs w:val="24"/>
                  </w:rPr>
                </m:ctrlPr>
              </m:sub>
            </m:sSub>
            <m:r>
              <m:rPr/>
              <w:rPr>
                <w:rFonts w:ascii="Cambria Math" w:hAnsi="Cambria Math" w:cs="宋体"/>
                <w:color w:val="auto"/>
                <w:sz w:val="24"/>
                <w:szCs w:val="24"/>
              </w:rPr>
              <m:t>;</m:t>
            </m:r>
            <m:d>
              <m:dPr>
                <m:ctrlPr>
                  <w:rPr>
                    <w:rFonts w:ascii="Cambria Math" w:hAnsi="Cambria Math" w:cs="宋体"/>
                    <w:i/>
                    <w:color w:val="auto"/>
                    <w:sz w:val="24"/>
                    <w:szCs w:val="24"/>
                  </w:rPr>
                </m:ctrlPr>
              </m:dPr>
              <m:e>
                <m:f>
                  <m:fPr>
                    <m:ctrlPr>
                      <w:rPr>
                        <w:rFonts w:ascii="Cambria Math" w:hAnsi="Cambria Math" w:cs="宋体"/>
                        <w:i/>
                        <w:color w:val="auto"/>
                        <w:sz w:val="24"/>
                        <w:szCs w:val="24"/>
                      </w:rPr>
                    </m:ctrlPr>
                  </m:fPr>
                  <m:num>
                    <m:r>
                      <m:rPr/>
                      <w:rPr>
                        <w:rFonts w:ascii="Cambria Math" w:hAnsi="Cambria Math" w:cs="宋体"/>
                        <w:color w:val="auto"/>
                        <w:sz w:val="24"/>
                        <w:szCs w:val="24"/>
                      </w:rPr>
                      <m:t>a</m:t>
                    </m:r>
                    <m:ctrlPr>
                      <w:rPr>
                        <w:rFonts w:ascii="Cambria Math" w:hAnsi="Cambria Math" w:cs="宋体"/>
                        <w:i/>
                        <w:color w:val="auto"/>
                        <w:sz w:val="24"/>
                        <w:szCs w:val="24"/>
                      </w:rPr>
                    </m:ctrlPr>
                  </m:num>
                  <m:den>
                    <m:r>
                      <m:rPr/>
                      <w:rPr>
                        <w:rFonts w:ascii="Cambria Math" w:hAnsi="Cambria Math" w:cs="宋体"/>
                        <w:color w:val="auto"/>
                        <w:sz w:val="24"/>
                        <w:szCs w:val="24"/>
                      </w:rPr>
                      <m:t>2</m:t>
                    </m:r>
                    <m:ctrlPr>
                      <w:rPr>
                        <w:rFonts w:ascii="Cambria Math" w:hAnsi="Cambria Math" w:cs="宋体"/>
                        <w:i/>
                        <w:color w:val="auto"/>
                        <w:sz w:val="24"/>
                        <w:szCs w:val="24"/>
                      </w:rPr>
                    </m:ctrlPr>
                  </m:den>
                </m:f>
                <m:ctrlPr>
                  <w:rPr>
                    <w:rFonts w:ascii="Cambria Math" w:hAnsi="Cambria Math" w:cs="宋体"/>
                    <w:i/>
                    <w:color w:val="auto"/>
                    <w:sz w:val="24"/>
                    <w:szCs w:val="24"/>
                  </w:rPr>
                </m:ctrlPr>
              </m:e>
            </m:d>
            <m:ctrlPr>
              <w:rPr>
                <w:rFonts w:ascii="Cambria Math" w:hAnsi="Cambria Math" w:cs="宋体"/>
                <w:i/>
                <w:color w:val="auto"/>
                <w:sz w:val="24"/>
                <w:szCs w:val="24"/>
              </w:rPr>
            </m:ctrlPr>
          </m:e>
        </m:d>
        <m:r>
          <m:rPr/>
          <w:rPr>
            <w:rFonts w:ascii="Cambria Math" w:hAnsi="Cambria Math" w:cs="宋体"/>
            <w:color w:val="auto"/>
            <w:sz w:val="24"/>
            <w:szCs w:val="24"/>
          </w:rPr>
          <m:t xml:space="preserve"> </m:t>
        </m:r>
      </m:oMath>
      <w:r>
        <w:rPr>
          <w:rFonts w:ascii="宋体" w:cs="宋体"/>
          <w:color w:val="auto"/>
          <w:sz w:val="24"/>
          <w:szCs w:val="24"/>
        </w:rPr>
        <w:tab/>
      </w:r>
      <w:r>
        <w:rPr>
          <w:rFonts w:ascii="宋体" w:cs="宋体"/>
          <w:color w:val="auto"/>
          <w:sz w:val="24"/>
          <w:szCs w:val="24"/>
        </w:rPr>
        <w:t xml:space="preserve">           </w:t>
      </w:r>
      <w:r>
        <w:rPr>
          <w:rFonts w:ascii="宋体" w:cs="宋体"/>
          <w:color w:val="auto"/>
          <w:sz w:val="24"/>
          <w:szCs w:val="24"/>
        </w:rPr>
        <w:tab/>
      </w:r>
      <w:r>
        <w:rPr>
          <w:rFonts w:ascii="宋体" w:cs="宋体"/>
          <w:color w:val="auto"/>
          <w:sz w:val="24"/>
          <w:szCs w:val="24"/>
        </w:rPr>
        <w:t>(4.2.</w:t>
      </w:r>
      <w:r>
        <w:rPr>
          <w:rFonts w:hint="eastAsia" w:ascii="宋体" w:cs="宋体"/>
          <w:color w:val="auto"/>
          <w:sz w:val="24"/>
          <w:szCs w:val="24"/>
          <w:lang w:val="en-US" w:eastAsia="zh-CN"/>
        </w:rPr>
        <w:t>9</w:t>
      </w:r>
      <w:r>
        <w:rPr>
          <w:rFonts w:ascii="宋体" w:cs="宋体"/>
          <w:color w:val="auto"/>
          <w:sz w:val="24"/>
          <w:szCs w:val="24"/>
        </w:rPr>
        <w:t>-3)</w:t>
      </w:r>
    </w:p>
    <w:p>
      <w:pPr>
        <w:autoSpaceDE w:val="0"/>
        <w:autoSpaceDN w:val="0"/>
        <w:adjustRightInd w:val="0"/>
        <w:spacing w:after="0" w:line="300" w:lineRule="auto"/>
        <w:jc w:val="right"/>
        <w:rPr>
          <w:rFonts w:ascii="宋体" w:cs="宋体"/>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tr</m:t>
            </m:r>
            <m:ctrlPr>
              <w:rPr>
                <w:rFonts w:ascii="Cambria Math" w:hAnsi="Cambria Math"/>
                <w:i/>
                <w:color w:val="auto"/>
                <w:sz w:val="24"/>
                <w:szCs w:val="24"/>
              </w:rPr>
            </m:ctrlPr>
          </m:sub>
        </m:sSub>
      </m:oMath>
      <w:r>
        <w:rPr>
          <w:iCs/>
          <w:color w:val="auto"/>
          <w:sz w:val="24"/>
          <w:szCs w:val="24"/>
        </w:rPr>
        <w:t>=1-0.05</w:t>
      </w:r>
      <m:oMath>
        <m:r>
          <m:rPr/>
          <w:rPr>
            <w:rFonts w:ascii="Cambria Math" w:hAnsi="Cambria Math" w:cs="宋体"/>
            <w:color w:val="auto"/>
            <w:sz w:val="24"/>
            <w:szCs w:val="24"/>
          </w:rPr>
          <m:t>∙</m:t>
        </m:r>
      </m:oMath>
      <w:r>
        <w:rPr>
          <w:rFonts w:hint="eastAsia" w:ascii="Symbol" w:hAnsi="Symbol"/>
          <w:i/>
          <w:color w:val="auto"/>
          <w:sz w:val="24"/>
          <w:szCs w:val="24"/>
        </w:rPr>
        <w:t>l</w:t>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i/>
          <w:iCs/>
          <w:color w:val="auto"/>
          <w:sz w:val="24"/>
          <w:szCs w:val="24"/>
        </w:rPr>
        <w:t xml:space="preserve">      </w:t>
      </w:r>
      <w:r>
        <w:rPr>
          <w:i/>
          <w:iCs/>
          <w:color w:val="auto"/>
          <w:sz w:val="24"/>
          <w:szCs w:val="24"/>
        </w:rPr>
        <w:tab/>
      </w:r>
      <w:r>
        <w:rPr>
          <w:rFonts w:ascii="宋体" w:cs="宋体"/>
          <w:color w:val="auto"/>
          <w:sz w:val="24"/>
          <w:szCs w:val="24"/>
        </w:rPr>
        <w:t>(4.2.</w:t>
      </w:r>
      <w:r>
        <w:rPr>
          <w:rFonts w:hint="eastAsia" w:ascii="宋体" w:cs="宋体"/>
          <w:color w:val="auto"/>
          <w:sz w:val="24"/>
          <w:szCs w:val="24"/>
          <w:lang w:val="en-US" w:eastAsia="zh-CN"/>
        </w:rPr>
        <w:t>9</w:t>
      </w:r>
      <w:r>
        <w:rPr>
          <w:rFonts w:ascii="宋体" w:cs="宋体"/>
          <w:color w:val="auto"/>
          <w:sz w:val="24"/>
          <w:szCs w:val="24"/>
        </w:rPr>
        <w:t>-4)</w:t>
      </w:r>
    </w:p>
    <w:p>
      <w:pPr>
        <w:pStyle w:val="2"/>
        <w:spacing w:line="300" w:lineRule="auto"/>
        <w:ind w:firstLine="480"/>
        <w:jc w:val="right"/>
        <w:rPr>
          <w:rFonts w:ascii="宋体" w:cs="宋体"/>
          <w:color w:val="auto"/>
          <w:sz w:val="24"/>
          <w:szCs w:val="24"/>
        </w:rPr>
      </w:pPr>
      <w:r>
        <w:rPr>
          <w:rFonts w:hint="eastAsia" w:ascii="Symbol" w:hAnsi="Symbol"/>
          <w:i/>
          <w:color w:val="auto"/>
          <w:sz w:val="24"/>
          <w:szCs w:val="24"/>
        </w:rPr>
        <w:t>l</w:t>
      </w:r>
      <w:r>
        <w:rPr>
          <w:iCs/>
          <w:color w:val="auto"/>
          <w:sz w:val="24"/>
          <w:szCs w:val="24"/>
        </w:rPr>
        <w:t>=</w:t>
      </w:r>
      <w:r>
        <w:rPr>
          <w:rFonts w:hint="eastAsia" w:ascii="Symbol" w:hAnsi="Symbol"/>
          <w:iCs/>
          <w:color w:val="auto"/>
          <w:sz w:val="24"/>
          <w:szCs w:val="24"/>
        </w:rPr>
        <w:t>S</w:t>
      </w:r>
      <w:r>
        <w:rPr>
          <w:i/>
          <w:color w:val="auto"/>
          <w:sz w:val="24"/>
          <w:szCs w:val="24"/>
        </w:rPr>
        <w:t>A</w:t>
      </w:r>
      <w:r>
        <w:rPr>
          <w:iCs/>
          <w:color w:val="auto"/>
          <w:sz w:val="24"/>
          <w:szCs w:val="24"/>
          <w:vertAlign w:val="subscript"/>
        </w:rPr>
        <w:t xml:space="preserve">st </w:t>
      </w:r>
      <w:r>
        <w:rPr>
          <w:iCs/>
          <w:color w:val="auto"/>
          <w:sz w:val="24"/>
          <w:szCs w:val="24"/>
        </w:rPr>
        <w:t>/</w:t>
      </w:r>
      <w:r>
        <w:rPr>
          <w:i/>
          <w:color w:val="auto"/>
          <w:sz w:val="24"/>
          <w:szCs w:val="24"/>
        </w:rPr>
        <w:t>A</w:t>
      </w:r>
      <w:r>
        <w:rPr>
          <w:iCs/>
          <w:color w:val="auto"/>
          <w:sz w:val="24"/>
          <w:szCs w:val="24"/>
          <w:vertAlign w:val="subscript"/>
        </w:rPr>
        <w:t>s</w:t>
      </w:r>
      <w:r>
        <w:rPr>
          <w:iCs/>
          <w:color w:val="auto"/>
          <w:sz w:val="24"/>
          <w:szCs w:val="24"/>
        </w:rPr>
        <w:t xml:space="preserve"> -</w:t>
      </w:r>
      <w:r>
        <w:rPr>
          <w:rFonts w:hint="eastAsia" w:ascii="Symbol" w:hAnsi="Symbol"/>
          <w:iCs/>
          <w:color w:val="auto"/>
          <w:sz w:val="24"/>
          <w:szCs w:val="24"/>
        </w:rPr>
        <w:t xml:space="preserve"> 0.25</w:t>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 xml:space="preserve">  </w:t>
      </w:r>
      <w:r>
        <w:rPr>
          <w:rFonts w:ascii="宋体" w:cs="宋体"/>
          <w:color w:val="auto"/>
          <w:sz w:val="24"/>
          <w:szCs w:val="24"/>
        </w:rPr>
        <w:tab/>
      </w:r>
      <w:r>
        <w:rPr>
          <w:rFonts w:ascii="宋体" w:cs="宋体"/>
          <w:color w:val="auto"/>
          <w:sz w:val="24"/>
          <w:szCs w:val="24"/>
        </w:rPr>
        <w:t>(4.2.</w:t>
      </w:r>
      <w:r>
        <w:rPr>
          <w:rFonts w:hint="eastAsia" w:ascii="宋体" w:cs="宋体"/>
          <w:color w:val="auto"/>
          <w:sz w:val="24"/>
          <w:szCs w:val="24"/>
          <w:lang w:val="en-US" w:eastAsia="zh-CN"/>
        </w:rPr>
        <w:t>9</w:t>
      </w:r>
      <w:r>
        <w:rPr>
          <w:rFonts w:ascii="宋体" w:cs="宋体"/>
          <w:color w:val="auto"/>
          <w:sz w:val="24"/>
          <w:szCs w:val="24"/>
        </w:rPr>
        <w:t>-5)</w:t>
      </w:r>
    </w:p>
    <w:bookmarkEnd w:id="29"/>
    <w:tbl>
      <w:tblPr>
        <w:tblStyle w:val="28"/>
        <w:tblW w:w="8354"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
        <w:gridCol w:w="624"/>
        <w:gridCol w:w="280"/>
        <w:gridCol w:w="66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1" w:type="dxa"/>
          </w:tcPr>
          <w:p>
            <w:pPr>
              <w:snapToGrid w:val="0"/>
              <w:spacing w:after="0" w:line="360" w:lineRule="auto"/>
              <w:rPr>
                <w:iCs/>
                <w:color w:val="auto"/>
                <w:sz w:val="24"/>
                <w:szCs w:val="24"/>
              </w:rPr>
            </w:pPr>
            <w:r>
              <w:rPr>
                <w:rFonts w:hint="eastAsia"/>
                <w:iCs/>
                <w:color w:val="auto"/>
                <w:sz w:val="24"/>
                <w:szCs w:val="24"/>
              </w:rPr>
              <w:t>式中</w:t>
            </w:r>
            <w:r>
              <w:rPr>
                <w:iCs/>
                <w:color w:val="auto"/>
                <w:sz w:val="24"/>
                <w:szCs w:val="24"/>
              </w:rPr>
              <w:t>:</w:t>
            </w:r>
          </w:p>
        </w:tc>
        <w:tc>
          <w:tcPr>
            <w:tcW w:w="624" w:type="dxa"/>
          </w:tcPr>
          <w:p>
            <w:pPr>
              <w:snapToGrid w:val="0"/>
              <w:spacing w:after="0" w:line="360" w:lineRule="auto"/>
              <w:jc w:val="right"/>
              <w:rPr>
                <w:iCs/>
                <w:color w:val="auto"/>
                <w:sz w:val="24"/>
                <w:szCs w:val="24"/>
              </w:rPr>
            </w:pPr>
            <w:r>
              <w:rPr>
                <w:i/>
                <w:iCs/>
                <w:color w:val="auto"/>
                <w:sz w:val="24"/>
                <w:szCs w:val="24"/>
              </w:rPr>
              <w:t>l</w:t>
            </w:r>
            <w:r>
              <w:rPr>
                <w:rFonts w:hint="eastAsia"/>
                <w:color w:val="auto"/>
                <w:sz w:val="24"/>
                <w:szCs w:val="24"/>
                <w:vertAlign w:val="subscript"/>
              </w:rPr>
              <w:t>b</w:t>
            </w:r>
          </w:p>
        </w:tc>
        <w:tc>
          <w:tcPr>
            <w:tcW w:w="280" w:type="dxa"/>
          </w:tcPr>
          <w:p>
            <w:pPr>
              <w:snapToGrid w:val="0"/>
              <w:spacing w:after="0" w:line="360" w:lineRule="auto"/>
              <w:jc w:val="right"/>
              <w:rPr>
                <w:iCs/>
                <w:color w:val="auto"/>
                <w:sz w:val="24"/>
                <w:szCs w:val="24"/>
              </w:rPr>
            </w:pPr>
            <w:r>
              <w:rPr>
                <w:rFonts w:hint="eastAsia"/>
                <w:color w:val="auto"/>
                <w:sz w:val="24"/>
                <w:szCs w:val="24"/>
              </w:rPr>
              <w:t>—</w:t>
            </w:r>
          </w:p>
        </w:tc>
        <w:tc>
          <w:tcPr>
            <w:tcW w:w="6639" w:type="dxa"/>
          </w:tcPr>
          <w:p>
            <w:pPr>
              <w:snapToGrid w:val="0"/>
              <w:spacing w:after="0" w:line="360" w:lineRule="auto"/>
              <w:rPr>
                <w:rFonts w:hint="eastAsia" w:eastAsia="宋体"/>
                <w:iCs/>
                <w:color w:val="auto"/>
                <w:sz w:val="24"/>
                <w:szCs w:val="24"/>
                <w:lang w:eastAsia="zh-CN"/>
              </w:rPr>
            </w:pPr>
            <w:r>
              <w:rPr>
                <w:rFonts w:hint="eastAsia"/>
                <w:color w:val="auto"/>
                <w:sz w:val="24"/>
                <w:szCs w:val="24"/>
              </w:rPr>
              <w:t>植筋的锚固长度基准值</w:t>
            </w:r>
            <w:r>
              <w:rPr>
                <w:rFonts w:hint="eastAsia"/>
                <w:color w:val="auto"/>
                <w:sz w:val="24"/>
                <w:szCs w:val="24"/>
                <w:lang w:eastAsia="zh-CN"/>
              </w:rPr>
              <w:t>，</w:t>
            </w:r>
            <w:r>
              <w:rPr>
                <w:rFonts w:hint="eastAsia"/>
                <w:color w:val="auto"/>
                <w:sz w:val="24"/>
                <w:szCs w:val="24"/>
                <w:lang w:val="en-US" w:eastAsia="zh-CN"/>
              </w:rPr>
              <w:t>应</w:t>
            </w:r>
            <w:r>
              <w:rPr>
                <w:rFonts w:hint="eastAsia"/>
                <w:iCs/>
                <w:color w:val="auto"/>
                <w:sz w:val="24"/>
                <w:szCs w:val="24"/>
                <w:lang w:val="en-US" w:eastAsia="zh-CN"/>
              </w:rPr>
              <w:t>按</w:t>
            </w:r>
            <w:r>
              <w:rPr>
                <w:rFonts w:hint="eastAsia"/>
                <w:iCs/>
                <w:color w:val="auto"/>
                <w:sz w:val="24"/>
                <w:szCs w:val="24"/>
              </w:rPr>
              <w:t>本规程4</w:t>
            </w:r>
            <w:r>
              <w:rPr>
                <w:iCs/>
                <w:color w:val="auto"/>
                <w:sz w:val="24"/>
                <w:szCs w:val="24"/>
              </w:rPr>
              <w:t>.2.1</w:t>
            </w:r>
            <w:r>
              <w:rPr>
                <w:rFonts w:hint="eastAsia"/>
                <w:iCs/>
                <w:color w:val="auto"/>
                <w:sz w:val="24"/>
                <w:szCs w:val="24"/>
                <w:lang w:val="en-US" w:eastAsia="zh-CN"/>
              </w:rPr>
              <w:t>0</w:t>
            </w:r>
            <w:r>
              <w:rPr>
                <w:rFonts w:hint="eastAsia"/>
                <w:iCs/>
                <w:color w:val="auto"/>
                <w:sz w:val="24"/>
                <w:szCs w:val="24"/>
              </w:rPr>
              <w:t>条</w:t>
            </w:r>
            <w:r>
              <w:rPr>
                <w:rFonts w:hint="eastAsia"/>
                <w:iCs/>
                <w:color w:val="auto"/>
                <w:sz w:val="24"/>
                <w:szCs w:val="24"/>
                <w:lang w:val="en-US" w:eastAsia="zh-CN"/>
              </w:rPr>
              <w:t>计算</w:t>
            </w:r>
            <w:r>
              <w:rPr>
                <w:rFonts w:hint="eastAsia"/>
                <w:color w:val="auto"/>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1" w:type="dxa"/>
          </w:tcPr>
          <w:p>
            <w:pPr>
              <w:snapToGrid w:val="0"/>
              <w:spacing w:after="0" w:line="360" w:lineRule="auto"/>
              <w:rPr>
                <w:rFonts w:hint="eastAsia"/>
                <w:iCs/>
                <w:color w:val="auto"/>
                <w:sz w:val="24"/>
                <w:szCs w:val="24"/>
              </w:rPr>
            </w:pPr>
          </w:p>
        </w:tc>
        <w:tc>
          <w:tcPr>
            <w:tcW w:w="624" w:type="dxa"/>
            <w:vAlign w:val="top"/>
          </w:tcPr>
          <w:p>
            <w:pPr>
              <w:snapToGrid w:val="0"/>
              <w:spacing w:after="0" w:line="360" w:lineRule="auto"/>
              <w:jc w:val="right"/>
              <w:rPr>
                <w:rFonts w:ascii="Times New Roman" w:hAnsi="Times New Roman" w:eastAsia="宋体" w:cs="Times New Roman"/>
                <w:iCs/>
                <w:color w:val="auto"/>
                <w:sz w:val="24"/>
                <w:szCs w:val="24"/>
                <w:lang w:val="en-US" w:eastAsia="zh-CN" w:bidi="ar-SA"/>
                <w:oMath/>
              </w:rPr>
            </w:pPr>
            <m:oMathPara>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cs</m:t>
                    </m:r>
                    <m:ctrlPr>
                      <w:rPr>
                        <w:rFonts w:ascii="Cambria Math" w:hAnsi="Cambria Math"/>
                        <w:i/>
                        <w:color w:val="auto"/>
                        <w:sz w:val="24"/>
                        <w:szCs w:val="24"/>
                      </w:rPr>
                    </m:ctrlPr>
                  </m:sub>
                </m:sSub>
              </m:oMath>
            </m:oMathPara>
          </w:p>
        </w:tc>
        <w:tc>
          <w:tcPr>
            <w:tcW w:w="280" w:type="dxa"/>
            <w:vAlign w:val="top"/>
          </w:tcPr>
          <w:p>
            <w:pPr>
              <w:snapToGrid w:val="0"/>
              <w:spacing w:after="0" w:line="360" w:lineRule="auto"/>
              <w:jc w:val="right"/>
              <w:rPr>
                <w:rFonts w:hint="eastAsia" w:ascii="Times New Roman" w:hAnsi="Times New Roman" w:eastAsia="宋体" w:cs="Times New Roman"/>
                <w:iCs/>
                <w:color w:val="auto"/>
                <w:sz w:val="24"/>
                <w:szCs w:val="24"/>
                <w:lang w:val="en-US" w:eastAsia="zh-CN" w:bidi="ar-SA"/>
              </w:rPr>
            </w:pPr>
            <w:r>
              <w:rPr>
                <w:rFonts w:hint="eastAsia"/>
                <w:color w:val="auto"/>
                <w:sz w:val="24"/>
                <w:szCs w:val="24"/>
              </w:rPr>
              <w:t>—</w:t>
            </w:r>
          </w:p>
        </w:tc>
        <w:tc>
          <w:tcPr>
            <w:tcW w:w="6639" w:type="dxa"/>
            <w:vAlign w:val="top"/>
          </w:tcPr>
          <w:p>
            <w:pPr>
              <w:snapToGrid w:val="0"/>
              <w:spacing w:after="0" w:line="360" w:lineRule="auto"/>
              <w:rPr>
                <w:rFonts w:hint="eastAsia" w:ascii="Times New Roman" w:hAnsi="Times New Roman" w:eastAsia="宋体" w:cs="Times New Roman"/>
                <w:iCs/>
                <w:color w:val="auto"/>
                <w:sz w:val="24"/>
                <w:szCs w:val="24"/>
                <w:lang w:val="en-US" w:eastAsia="zh-CN" w:bidi="ar-SA"/>
              </w:rPr>
            </w:pPr>
            <w:r>
              <w:rPr>
                <w:rFonts w:hint="eastAsia"/>
                <w:iCs/>
                <w:color w:val="auto"/>
                <w:sz w:val="24"/>
                <w:szCs w:val="24"/>
              </w:rPr>
              <w:t>考虑混凝土保护层厚度和间距对植筋系统锚固长度的修正系数</w:t>
            </w:r>
            <w:r>
              <w:rPr>
                <w:rStyle w:val="34"/>
                <w:rFonts w:hint="eastAsia"/>
                <w:color w:val="auto"/>
                <w:sz w:val="24"/>
                <w:szCs w:val="24"/>
              </w:rPr>
              <w:t>，当小于0.7时取0.7；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rPr>
                <w:iCs/>
                <w:color w:val="auto"/>
                <w:sz w:val="24"/>
                <w:szCs w:val="24"/>
              </w:rPr>
            </w:pPr>
            <w:bookmarkStart w:id="30" w:name="_Hlk138681921"/>
          </w:p>
        </w:tc>
        <w:tc>
          <w:tcPr>
            <w:tcW w:w="624" w:type="dxa"/>
          </w:tcPr>
          <w:p>
            <w:pPr>
              <w:snapToGrid w:val="0"/>
              <w:spacing w:after="0" w:line="360" w:lineRule="auto"/>
              <w:jc w:val="right"/>
              <w:rPr>
                <w:rFonts w:ascii="Cambria Math" w:hAnsi="Cambria Math"/>
                <w:color w:val="auto"/>
                <w:sz w:val="24"/>
                <w:szCs w:val="24"/>
                <w:oMath/>
              </w:rPr>
            </w:pPr>
            <w:r>
              <w:rPr>
                <w:iCs/>
                <w:color w:val="auto"/>
                <w:sz w:val="24"/>
                <w:szCs w:val="24"/>
              </w:rPr>
              <w:t>a</w:t>
            </w:r>
          </w:p>
        </w:tc>
        <w:tc>
          <w:tcPr>
            <w:tcW w:w="280" w:type="dxa"/>
          </w:tcPr>
          <w:p>
            <w:pPr>
              <w:snapToGrid w:val="0"/>
              <w:spacing w:after="0" w:line="360" w:lineRule="auto"/>
              <w:rPr>
                <w:color w:val="auto"/>
                <w:sz w:val="24"/>
                <w:szCs w:val="24"/>
              </w:rPr>
            </w:pPr>
            <w:r>
              <w:rPr>
                <w:rFonts w:hint="eastAsia"/>
                <w:color w:val="auto"/>
                <w:sz w:val="24"/>
                <w:szCs w:val="24"/>
              </w:rPr>
              <w:t>—</w:t>
            </w:r>
          </w:p>
        </w:tc>
        <w:tc>
          <w:tcPr>
            <w:tcW w:w="6639" w:type="dxa"/>
          </w:tcPr>
          <w:p>
            <w:pPr>
              <w:snapToGrid w:val="0"/>
              <w:spacing w:after="0" w:line="360" w:lineRule="auto"/>
              <w:rPr>
                <w:color w:val="auto"/>
                <w:sz w:val="24"/>
                <w:szCs w:val="24"/>
              </w:rPr>
            </w:pPr>
            <w:r>
              <w:rPr>
                <w:rFonts w:hint="eastAsia"/>
                <w:iCs/>
                <w:color w:val="auto"/>
                <w:sz w:val="24"/>
                <w:szCs w:val="24"/>
              </w:rPr>
              <w:t>植筋净距；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rPr>
                <w:iCs/>
                <w:color w:val="auto"/>
                <w:sz w:val="24"/>
                <w:szCs w:val="24"/>
              </w:rPr>
            </w:pPr>
          </w:p>
        </w:tc>
        <w:tc>
          <w:tcPr>
            <w:tcW w:w="624" w:type="dxa"/>
          </w:tcPr>
          <w:p>
            <w:pPr>
              <w:snapToGrid w:val="0"/>
              <w:spacing w:after="0" w:line="360" w:lineRule="auto"/>
              <w:jc w:val="right"/>
              <w:rPr>
                <w:rFonts w:ascii="Cambria Math" w:hAnsi="Cambria Math"/>
                <w:color w:val="auto"/>
                <w:sz w:val="24"/>
                <w:szCs w:val="24"/>
                <w:oMath/>
              </w:rPr>
            </w:pPr>
            <w:r>
              <w:rPr>
                <w:i/>
                <w:color w:val="auto"/>
                <w:sz w:val="24"/>
                <w:szCs w:val="24"/>
              </w:rPr>
              <w:t>c</w:t>
            </w:r>
          </w:p>
        </w:tc>
        <w:tc>
          <w:tcPr>
            <w:tcW w:w="280" w:type="dxa"/>
          </w:tcPr>
          <w:p>
            <w:pPr>
              <w:snapToGrid w:val="0"/>
              <w:spacing w:after="0" w:line="360" w:lineRule="auto"/>
              <w:rPr>
                <w:color w:val="auto"/>
                <w:sz w:val="24"/>
                <w:szCs w:val="24"/>
              </w:rPr>
            </w:pPr>
            <w:r>
              <w:rPr>
                <w:rFonts w:hint="eastAsia"/>
                <w:color w:val="auto"/>
                <w:sz w:val="24"/>
                <w:szCs w:val="24"/>
              </w:rPr>
              <w:t>—</w:t>
            </w:r>
          </w:p>
        </w:tc>
        <w:tc>
          <w:tcPr>
            <w:tcW w:w="6639" w:type="dxa"/>
          </w:tcPr>
          <w:p>
            <w:pPr>
              <w:snapToGrid w:val="0"/>
              <w:spacing w:after="0" w:line="360" w:lineRule="auto"/>
              <w:rPr>
                <w:color w:val="auto"/>
                <w:sz w:val="24"/>
                <w:szCs w:val="24"/>
              </w:rPr>
            </w:pPr>
            <w:r>
              <w:rPr>
                <w:rFonts w:hint="eastAsia"/>
                <w:iCs/>
                <w:color w:val="auto"/>
                <w:sz w:val="24"/>
                <w:szCs w:val="24"/>
              </w:rPr>
              <w:t>植筋共有的保护层厚度；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rPr>
                <w:iCs/>
                <w:color w:val="auto"/>
                <w:sz w:val="24"/>
                <w:szCs w:val="24"/>
              </w:rPr>
            </w:pPr>
          </w:p>
        </w:tc>
        <w:tc>
          <w:tcPr>
            <w:tcW w:w="624" w:type="dxa"/>
          </w:tcPr>
          <w:p>
            <w:pPr>
              <w:snapToGrid w:val="0"/>
              <w:spacing w:after="0" w:line="360" w:lineRule="auto"/>
              <w:jc w:val="right"/>
              <w:rPr>
                <w:rFonts w:ascii="Cambria Math" w:hAnsi="Cambria Math"/>
                <w:color w:val="auto"/>
                <w:sz w:val="24"/>
                <w:szCs w:val="24"/>
                <w:oMath/>
              </w:rPr>
            </w:pPr>
            <w:r>
              <w:rPr>
                <w:i/>
                <w:color w:val="auto"/>
                <w:sz w:val="24"/>
                <w:szCs w:val="24"/>
              </w:rPr>
              <w:t>c</w:t>
            </w:r>
            <w:r>
              <w:rPr>
                <w:iCs/>
                <w:color w:val="auto"/>
                <w:sz w:val="24"/>
                <w:szCs w:val="24"/>
                <w:vertAlign w:val="subscript"/>
              </w:rPr>
              <w:t>2</w:t>
            </w:r>
          </w:p>
        </w:tc>
        <w:tc>
          <w:tcPr>
            <w:tcW w:w="280" w:type="dxa"/>
          </w:tcPr>
          <w:p>
            <w:pPr>
              <w:snapToGrid w:val="0"/>
              <w:spacing w:after="0" w:line="360" w:lineRule="auto"/>
              <w:rPr>
                <w:color w:val="auto"/>
                <w:sz w:val="24"/>
                <w:szCs w:val="24"/>
              </w:rPr>
            </w:pPr>
            <w:r>
              <w:rPr>
                <w:rFonts w:hint="eastAsia"/>
                <w:color w:val="auto"/>
                <w:sz w:val="24"/>
                <w:szCs w:val="24"/>
              </w:rPr>
              <w:t>—</w:t>
            </w:r>
          </w:p>
        </w:tc>
        <w:tc>
          <w:tcPr>
            <w:tcW w:w="6639" w:type="dxa"/>
          </w:tcPr>
          <w:p>
            <w:pPr>
              <w:snapToGrid w:val="0"/>
              <w:spacing w:after="0" w:line="360" w:lineRule="auto"/>
              <w:rPr>
                <w:color w:val="auto"/>
                <w:sz w:val="24"/>
                <w:szCs w:val="24"/>
              </w:rPr>
            </w:pPr>
            <w:r>
              <w:rPr>
                <w:rFonts w:hint="eastAsia"/>
                <w:iCs/>
                <w:color w:val="auto"/>
                <w:sz w:val="24"/>
                <w:szCs w:val="24"/>
              </w:rPr>
              <w:t>角部植筋在相临边的保护层厚度；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rPr>
                <w:iCs/>
                <w:color w:val="auto"/>
                <w:sz w:val="24"/>
                <w:szCs w:val="24"/>
              </w:rPr>
            </w:pPr>
          </w:p>
        </w:tc>
        <w:tc>
          <w:tcPr>
            <w:tcW w:w="624" w:type="dxa"/>
          </w:tcPr>
          <w:p>
            <w:pPr>
              <w:snapToGrid w:val="0"/>
              <w:spacing w:after="0" w:line="360" w:lineRule="auto"/>
              <w:jc w:val="right"/>
              <w:rPr>
                <w:rFonts w:ascii="Cambria Math" w:hAnsi="Cambria Math"/>
                <w:color w:val="auto"/>
                <w:sz w:val="24"/>
                <w:szCs w:val="24"/>
                <w:oMath/>
              </w:rPr>
            </w:pPr>
            <w:r>
              <w:rPr>
                <w:i/>
                <w:color w:val="auto"/>
                <w:sz w:val="24"/>
                <w:szCs w:val="24"/>
              </w:rPr>
              <w:t>c</w:t>
            </w:r>
            <w:r>
              <w:rPr>
                <w:rFonts w:hint="eastAsia"/>
                <w:iCs/>
                <w:color w:val="auto"/>
                <w:sz w:val="24"/>
                <w:szCs w:val="24"/>
                <w:vertAlign w:val="subscript"/>
              </w:rPr>
              <w:t>d</w:t>
            </w:r>
          </w:p>
        </w:tc>
        <w:tc>
          <w:tcPr>
            <w:tcW w:w="280" w:type="dxa"/>
          </w:tcPr>
          <w:p>
            <w:pPr>
              <w:snapToGrid w:val="0"/>
              <w:spacing w:after="0" w:line="360" w:lineRule="auto"/>
              <w:jc w:val="right"/>
              <w:rPr>
                <w:color w:val="auto"/>
                <w:sz w:val="24"/>
                <w:szCs w:val="24"/>
              </w:rPr>
            </w:pPr>
            <w:r>
              <w:rPr>
                <w:rFonts w:hint="eastAsia"/>
                <w:color w:val="auto"/>
                <w:sz w:val="24"/>
                <w:szCs w:val="24"/>
              </w:rPr>
              <w:t>—</w:t>
            </w:r>
          </w:p>
        </w:tc>
        <w:tc>
          <w:tcPr>
            <w:tcW w:w="6639" w:type="dxa"/>
          </w:tcPr>
          <w:p>
            <w:pPr>
              <w:snapToGrid w:val="0"/>
              <w:spacing w:after="0" w:line="360" w:lineRule="auto"/>
              <w:rPr>
                <w:color w:val="auto"/>
                <w:sz w:val="24"/>
                <w:szCs w:val="24"/>
              </w:rPr>
            </w:pPr>
            <w:r>
              <w:rPr>
                <w:rFonts w:hint="eastAsia"/>
                <w:iCs/>
                <w:color w:val="auto"/>
                <w:sz w:val="24"/>
                <w:szCs w:val="24"/>
              </w:rPr>
              <w:t>等效保护层厚度；</w:t>
            </w:r>
          </w:p>
        </w:tc>
      </w:tr>
      <w:bookmarkEnd w:id="3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rPr>
                <w:iCs/>
                <w:color w:val="auto"/>
                <w:sz w:val="24"/>
                <w:szCs w:val="24"/>
              </w:rPr>
            </w:pPr>
          </w:p>
        </w:tc>
        <w:tc>
          <w:tcPr>
            <w:tcW w:w="624" w:type="dxa"/>
          </w:tcPr>
          <w:p>
            <w:pPr>
              <w:snapToGrid w:val="0"/>
              <w:spacing w:after="0" w:line="360" w:lineRule="auto"/>
              <w:jc w:val="left"/>
              <w:rPr>
                <w:color w:val="auto"/>
                <w:sz w:val="24"/>
                <w:szCs w:val="24"/>
              </w:rPr>
            </w:pPr>
            <w:bookmarkStart w:id="31" w:name="_Hlk138682284"/>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tr</m:t>
                    </m:r>
                    <w:bookmarkEnd w:id="31"/>
                    <m:ctrlPr>
                      <w:rPr>
                        <w:rFonts w:ascii="Cambria Math" w:hAnsi="Cambria Math"/>
                        <w:i/>
                        <w:color w:val="auto"/>
                        <w:sz w:val="24"/>
                        <w:szCs w:val="24"/>
                      </w:rPr>
                    </m:ctrlPr>
                  </m:sub>
                </m:sSub>
              </m:oMath>
            </m:oMathPara>
          </w:p>
        </w:tc>
        <w:tc>
          <w:tcPr>
            <w:tcW w:w="280" w:type="dxa"/>
          </w:tcPr>
          <w:p>
            <w:pPr>
              <w:snapToGrid w:val="0"/>
              <w:spacing w:after="0" w:line="360" w:lineRule="auto"/>
              <w:rPr>
                <w:iCs/>
                <w:color w:val="auto"/>
                <w:sz w:val="24"/>
                <w:szCs w:val="24"/>
              </w:rPr>
            </w:pPr>
            <w:r>
              <w:rPr>
                <w:rFonts w:hint="eastAsia"/>
                <w:color w:val="auto"/>
                <w:sz w:val="24"/>
                <w:szCs w:val="24"/>
              </w:rPr>
              <w:t>—</w:t>
            </w:r>
          </w:p>
        </w:tc>
        <w:tc>
          <w:tcPr>
            <w:tcW w:w="6639" w:type="dxa"/>
          </w:tcPr>
          <w:p>
            <w:pPr>
              <w:snapToGrid w:val="0"/>
              <w:spacing w:after="0" w:line="360" w:lineRule="auto"/>
              <w:rPr>
                <w:iCs/>
                <w:color w:val="auto"/>
                <w:sz w:val="24"/>
                <w:szCs w:val="24"/>
              </w:rPr>
            </w:pPr>
            <w:r>
              <w:rPr>
                <w:rFonts w:hint="eastAsia"/>
                <w:iCs/>
                <w:color w:val="auto"/>
                <w:sz w:val="24"/>
                <w:szCs w:val="24"/>
              </w:rPr>
              <w:t>混凝土基材内位于植筋锚固长度范围内的横向钢筋对植筋系统锚固长度的修正系数，对于带有箍筋的梁、柱轴向构件接长，</w:t>
            </w:r>
            <w:r>
              <w:rPr>
                <w:rStyle w:val="34"/>
                <w:rFonts w:hint="eastAsia"/>
                <w:color w:val="auto"/>
                <w:sz w:val="24"/>
                <w:szCs w:val="24"/>
              </w:rPr>
              <w:t>当小于0.7时取0.7，</w:t>
            </w:r>
            <w:r>
              <w:rPr>
                <w:rFonts w:hint="eastAsia"/>
                <w:iCs/>
                <w:color w:val="auto"/>
                <w:sz w:val="24"/>
                <w:szCs w:val="24"/>
              </w:rPr>
              <w:t>对于在板面或垂直于既有结构主筋方向的植筋，可</w:t>
            </w:r>
            <w:r>
              <w:rPr>
                <w:rFonts w:hint="eastAsia" w:ascii="Symbol" w:hAnsi="Symbol"/>
                <w:iCs/>
                <w:color w:val="auto"/>
                <w:sz w:val="24"/>
                <w:szCs w:val="24"/>
              </w:rPr>
              <w:t>取1.0</w:t>
            </w:r>
            <w:r>
              <w:rPr>
                <w:rFonts w:hint="eastAsia"/>
                <w:iCs/>
                <w:color w:val="auto"/>
                <w:sz w:val="24"/>
                <w:szCs w:val="24"/>
              </w:rPr>
              <w:t>；</w:t>
            </w:r>
            <w:bookmarkStart w:id="32" w:name="_Hlk138682500"/>
            <w:r>
              <w:rPr>
                <w:i/>
                <w:color w:val="auto"/>
                <w:sz w:val="24"/>
                <w:szCs w:val="24"/>
              </w:rPr>
              <w:t xml:space="preserve">          </w:t>
            </w:r>
            <w:bookmarkEnd w:id="3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jc w:val="right"/>
              <w:rPr>
                <w:iCs/>
                <w:color w:val="auto"/>
                <w:sz w:val="24"/>
                <w:szCs w:val="24"/>
              </w:rPr>
            </w:pPr>
          </w:p>
        </w:tc>
        <w:tc>
          <w:tcPr>
            <w:tcW w:w="624" w:type="dxa"/>
          </w:tcPr>
          <w:p>
            <w:pPr>
              <w:snapToGrid w:val="0"/>
              <w:spacing w:after="0" w:line="360" w:lineRule="auto"/>
              <w:jc w:val="right"/>
              <w:rPr>
                <w:color w:val="auto"/>
                <w:sz w:val="24"/>
                <w:szCs w:val="24"/>
              </w:rPr>
            </w:pPr>
            <w:bookmarkStart w:id="33" w:name="_Hlk138682531"/>
            <w:r>
              <w:rPr>
                <w:rFonts w:hint="eastAsia" w:ascii="Symbol" w:hAnsi="Symbol"/>
                <w:iCs/>
                <w:color w:val="auto"/>
                <w:sz w:val="24"/>
                <w:szCs w:val="24"/>
              </w:rPr>
              <w:t>S</w:t>
            </w:r>
            <w:r>
              <w:rPr>
                <w:i/>
                <w:color w:val="auto"/>
                <w:sz w:val="24"/>
                <w:szCs w:val="24"/>
              </w:rPr>
              <w:t>A</w:t>
            </w:r>
            <w:r>
              <w:rPr>
                <w:iCs/>
                <w:color w:val="auto"/>
                <w:sz w:val="24"/>
                <w:szCs w:val="24"/>
                <w:vertAlign w:val="subscript"/>
              </w:rPr>
              <w:t>st</w:t>
            </w:r>
            <w:bookmarkEnd w:id="33"/>
          </w:p>
        </w:tc>
        <w:tc>
          <w:tcPr>
            <w:tcW w:w="280" w:type="dxa"/>
          </w:tcPr>
          <w:p>
            <w:pPr>
              <w:snapToGrid w:val="0"/>
              <w:spacing w:after="0" w:line="360" w:lineRule="auto"/>
              <w:rPr>
                <w:color w:val="auto"/>
                <w:sz w:val="24"/>
                <w:szCs w:val="24"/>
              </w:rPr>
            </w:pPr>
            <w:r>
              <w:rPr>
                <w:rFonts w:hint="eastAsia"/>
                <w:color w:val="auto"/>
                <w:sz w:val="24"/>
                <w:szCs w:val="24"/>
              </w:rPr>
              <w:t>—</w:t>
            </w:r>
          </w:p>
        </w:tc>
        <w:tc>
          <w:tcPr>
            <w:tcW w:w="6639" w:type="dxa"/>
          </w:tcPr>
          <w:p>
            <w:pPr>
              <w:snapToGrid w:val="0"/>
              <w:spacing w:after="0" w:line="360" w:lineRule="auto"/>
              <w:rPr>
                <w:iCs/>
                <w:color w:val="auto"/>
                <w:sz w:val="24"/>
                <w:szCs w:val="24"/>
              </w:rPr>
            </w:pPr>
            <w:r>
              <w:rPr>
                <w:rFonts w:hint="eastAsia"/>
                <w:iCs/>
                <w:color w:val="auto"/>
                <w:sz w:val="24"/>
                <w:szCs w:val="24"/>
              </w:rPr>
              <w:t>整个植筋锚固区域内横向约束钢筋（箍筋）截面面积之和</w:t>
            </w:r>
            <w:r>
              <w:rPr>
                <w:rFonts w:hint="eastAsia"/>
                <w:color w:val="auto"/>
                <w:sz w:val="24"/>
                <w:szCs w:val="24"/>
              </w:rPr>
              <w:t>（</w:t>
            </w:r>
            <w:r>
              <w:rPr>
                <w:color w:val="auto"/>
                <w:sz w:val="24"/>
                <w:szCs w:val="24"/>
              </w:rPr>
              <w:t>mm</w:t>
            </w:r>
            <w:r>
              <w:rPr>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jc w:val="right"/>
              <w:rPr>
                <w:iCs/>
                <w:color w:val="auto"/>
                <w:sz w:val="24"/>
                <w:szCs w:val="24"/>
              </w:rPr>
            </w:pPr>
          </w:p>
        </w:tc>
        <w:tc>
          <w:tcPr>
            <w:tcW w:w="624" w:type="dxa"/>
          </w:tcPr>
          <w:p>
            <w:pPr>
              <w:snapToGrid w:val="0"/>
              <w:spacing w:after="0" w:line="360" w:lineRule="auto"/>
              <w:jc w:val="right"/>
              <w:rPr>
                <w:color w:val="auto"/>
                <w:sz w:val="24"/>
                <w:szCs w:val="24"/>
              </w:rPr>
            </w:pPr>
            <w:r>
              <w:rPr>
                <w:i/>
                <w:iCs/>
                <w:color w:val="auto"/>
                <w:sz w:val="24"/>
                <w:szCs w:val="24"/>
              </w:rPr>
              <w:t>A</w:t>
            </w:r>
            <w:r>
              <w:rPr>
                <w:color w:val="auto"/>
                <w:sz w:val="24"/>
                <w:szCs w:val="24"/>
                <w:vertAlign w:val="subscript"/>
              </w:rPr>
              <w:t>s</w:t>
            </w:r>
          </w:p>
        </w:tc>
        <w:tc>
          <w:tcPr>
            <w:tcW w:w="280" w:type="dxa"/>
          </w:tcPr>
          <w:p>
            <w:pPr>
              <w:snapToGrid w:val="0"/>
              <w:spacing w:after="0" w:line="360" w:lineRule="auto"/>
              <w:rPr>
                <w:color w:val="auto"/>
                <w:sz w:val="24"/>
                <w:szCs w:val="24"/>
              </w:rPr>
            </w:pPr>
            <w:r>
              <w:rPr>
                <w:rFonts w:hint="eastAsia"/>
                <w:color w:val="auto"/>
                <w:sz w:val="24"/>
                <w:szCs w:val="24"/>
              </w:rPr>
              <w:t>—</w:t>
            </w:r>
          </w:p>
        </w:tc>
        <w:tc>
          <w:tcPr>
            <w:tcW w:w="6639" w:type="dxa"/>
          </w:tcPr>
          <w:p>
            <w:pPr>
              <w:snapToGrid w:val="0"/>
              <w:spacing w:after="0" w:line="360" w:lineRule="auto"/>
              <w:rPr>
                <w:iCs/>
                <w:color w:val="auto"/>
                <w:sz w:val="24"/>
                <w:szCs w:val="24"/>
              </w:rPr>
            </w:pPr>
            <w:r>
              <w:rPr>
                <w:rFonts w:hint="eastAsia"/>
                <w:color w:val="auto"/>
                <w:sz w:val="24"/>
                <w:szCs w:val="24"/>
              </w:rPr>
              <w:t>单根植筋钢筋的截面积，有不同直径的钢筋时取最大直径钢筋的截面积（</w:t>
            </w:r>
            <w:r>
              <w:rPr>
                <w:color w:val="auto"/>
                <w:sz w:val="24"/>
                <w:szCs w:val="24"/>
              </w:rPr>
              <w:t>mm</w:t>
            </w:r>
            <w:r>
              <w:rPr>
                <w:color w:val="auto"/>
                <w:sz w:val="24"/>
                <w:szCs w:val="24"/>
                <w:vertAlign w:val="superscript"/>
              </w:rPr>
              <w:t>2</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11" w:type="dxa"/>
          </w:tcPr>
          <w:p>
            <w:pPr>
              <w:snapToGrid w:val="0"/>
              <w:spacing w:after="0" w:line="360" w:lineRule="auto"/>
              <w:jc w:val="right"/>
              <w:rPr>
                <w:iCs/>
                <w:color w:val="auto"/>
                <w:sz w:val="24"/>
                <w:szCs w:val="24"/>
              </w:rPr>
            </w:pPr>
          </w:p>
        </w:tc>
        <w:tc>
          <w:tcPr>
            <w:tcW w:w="624" w:type="dxa"/>
          </w:tcPr>
          <w:p>
            <w:pPr>
              <w:snapToGrid w:val="0"/>
              <w:spacing w:after="0" w:line="360" w:lineRule="auto"/>
              <w:jc w:val="right"/>
              <w:rPr>
                <w:i/>
                <w:color w:val="auto"/>
                <w:sz w:val="24"/>
                <w:szCs w:val="24"/>
              </w:rPr>
            </w:pPr>
            <w:r>
              <w:rPr>
                <w:rFonts w:ascii="Symbol" w:hAnsi="Symbol"/>
                <w:i/>
                <w:color w:val="auto"/>
                <w:sz w:val="24"/>
                <w:szCs w:val="24"/>
              </w:rPr>
              <w:t>l</w:t>
            </w:r>
          </w:p>
        </w:tc>
        <w:tc>
          <w:tcPr>
            <w:tcW w:w="280" w:type="dxa"/>
          </w:tcPr>
          <w:p>
            <w:pPr>
              <w:snapToGrid w:val="0"/>
              <w:spacing w:after="0" w:line="360" w:lineRule="auto"/>
              <w:rPr>
                <w:color w:val="auto"/>
                <w:sz w:val="24"/>
                <w:szCs w:val="24"/>
              </w:rPr>
            </w:pPr>
            <w:r>
              <w:rPr>
                <w:rFonts w:hint="eastAsia"/>
                <w:color w:val="auto"/>
                <w:sz w:val="24"/>
                <w:szCs w:val="24"/>
              </w:rPr>
              <w:t>—</w:t>
            </w:r>
          </w:p>
        </w:tc>
        <w:tc>
          <w:tcPr>
            <w:tcW w:w="6639" w:type="dxa"/>
          </w:tcPr>
          <w:p>
            <w:pPr>
              <w:snapToGrid w:val="0"/>
              <w:spacing w:after="0" w:line="360" w:lineRule="auto"/>
              <w:rPr>
                <w:iCs/>
                <w:color w:val="auto"/>
                <w:sz w:val="24"/>
                <w:szCs w:val="24"/>
              </w:rPr>
            </w:pPr>
            <w:r>
              <w:rPr>
                <w:rFonts w:hint="eastAsia"/>
                <w:iCs/>
                <w:color w:val="auto"/>
                <w:sz w:val="24"/>
                <w:szCs w:val="24"/>
              </w:rPr>
              <w:t>考虑植筋锚固长度范围内的横向钢筋总截面面积与单根植筋截面积比的计算系数，当小于0时取0。</w:t>
            </w:r>
          </w:p>
        </w:tc>
      </w:tr>
    </w:tbl>
    <w:p>
      <w:pPr>
        <w:autoSpaceDE w:val="0"/>
        <w:autoSpaceDN w:val="0"/>
        <w:adjustRightInd w:val="0"/>
        <w:spacing w:after="0" w:line="360" w:lineRule="auto"/>
        <w:jc w:val="center"/>
      </w:pPr>
      <w:r>
        <mc:AlternateContent>
          <mc:Choice Requires="wpg">
            <w:drawing>
              <wp:inline distT="0" distB="0" distL="114300" distR="114300">
                <wp:extent cx="1486535" cy="1002665"/>
                <wp:effectExtent l="0" t="7620" r="19050" b="18415"/>
                <wp:docPr id="13" name="Group 21634"/>
                <wp:cNvGraphicFramePr/>
                <a:graphic xmlns:a="http://schemas.openxmlformats.org/drawingml/2006/main">
                  <a:graphicData uri="http://schemas.microsoft.com/office/word/2010/wordprocessingGroup">
                    <wpg:wgp>
                      <wpg:cNvGrpSpPr/>
                      <wpg:grpSpPr>
                        <a:xfrm>
                          <a:off x="0" y="0"/>
                          <a:ext cx="1486535" cy="1002665"/>
                          <a:chOff x="0" y="0"/>
                          <a:chExt cx="10093" cy="6266"/>
                        </a:xfrm>
                      </wpg:grpSpPr>
                      <wpg:grpSp>
                        <wpg:cNvPr id="14" name="Group 183"/>
                        <wpg:cNvGrpSpPr/>
                        <wpg:grpSpPr>
                          <a:xfrm>
                            <a:off x="684" y="0"/>
                            <a:ext cx="9409" cy="6266"/>
                            <a:chOff x="0" y="0"/>
                            <a:chExt cx="9409" cy="6266"/>
                          </a:xfrm>
                        </wpg:grpSpPr>
                        <wpg:grpSp>
                          <wpg:cNvPr id="19" name="Group 182"/>
                          <wpg:cNvGrpSpPr/>
                          <wpg:grpSpPr>
                            <a:xfrm>
                              <a:off x="0" y="0"/>
                              <a:ext cx="9409" cy="6266"/>
                              <a:chOff x="0" y="0"/>
                              <a:chExt cx="9409" cy="6266"/>
                            </a:xfrm>
                          </wpg:grpSpPr>
                          <wps:wsp>
                            <wps:cNvPr id="44" name="Straight Connector 23"/>
                            <wps:cNvCnPr/>
                            <wps:spPr>
                              <a:xfrm>
                                <a:off x="1965" y="88"/>
                                <a:ext cx="0" cy="5131"/>
                              </a:xfrm>
                              <a:prstGeom prst="line">
                                <a:avLst/>
                              </a:prstGeom>
                              <a:ln w="15875" cap="flat" cmpd="sng">
                                <a:solidFill>
                                  <a:srgbClr val="000000"/>
                                </a:solidFill>
                                <a:prstDash val="solid"/>
                                <a:miter/>
                                <a:headEnd type="none" w="med" len="med"/>
                                <a:tailEnd type="none" w="med" len="med"/>
                              </a:ln>
                            </wps:spPr>
                            <wps:bodyPr/>
                          </wps:wsp>
                          <wps:wsp>
                            <wps:cNvPr id="48" name="Straight Connector 24"/>
                            <wps:cNvCnPr/>
                            <wps:spPr>
                              <a:xfrm flipH="1" flipV="1">
                                <a:off x="1965" y="5146"/>
                                <a:ext cx="7386" cy="0"/>
                              </a:xfrm>
                              <a:prstGeom prst="line">
                                <a:avLst/>
                              </a:prstGeom>
                              <a:ln w="15875" cap="flat" cmpd="sng">
                                <a:solidFill>
                                  <a:srgbClr val="000000"/>
                                </a:solidFill>
                                <a:prstDash val="solid"/>
                                <a:miter/>
                                <a:headEnd type="none" w="med" len="med"/>
                                <a:tailEnd type="none" w="med" len="med"/>
                              </a:ln>
                            </wps:spPr>
                            <wps:bodyPr/>
                          </wps:wsp>
                          <wps:wsp>
                            <wps:cNvPr id="49" name="Straight Connector 26"/>
                            <wps:cNvCnPr/>
                            <wps:spPr>
                              <a:xfrm flipH="1">
                                <a:off x="1060" y="0"/>
                                <a:ext cx="8159" cy="70"/>
                              </a:xfrm>
                              <a:prstGeom prst="line">
                                <a:avLst/>
                              </a:prstGeom>
                              <a:ln w="15875" cap="flat" cmpd="sng">
                                <a:solidFill>
                                  <a:srgbClr val="000000"/>
                                </a:solidFill>
                                <a:prstDash val="dash"/>
                                <a:miter/>
                                <a:headEnd type="none" w="med" len="med"/>
                                <a:tailEnd type="none" w="med" len="med"/>
                              </a:ln>
                            </wps:spPr>
                            <wps:bodyPr/>
                          </wps:wsp>
                          <wps:wsp>
                            <wps:cNvPr id="50" name="Straight Connector 31"/>
                            <wps:cNvCnPr/>
                            <wps:spPr>
                              <a:xfrm>
                                <a:off x="9409" y="220"/>
                                <a:ext cx="0" cy="5838"/>
                              </a:xfrm>
                              <a:prstGeom prst="line">
                                <a:avLst/>
                              </a:prstGeom>
                              <a:ln w="15875" cap="flat" cmpd="sng">
                                <a:solidFill>
                                  <a:srgbClr val="000000"/>
                                </a:solidFill>
                                <a:prstDash val="dash"/>
                                <a:miter/>
                                <a:headEnd type="none" w="med" len="med"/>
                                <a:tailEnd type="none" w="med" len="med"/>
                              </a:ln>
                            </wps:spPr>
                            <wps:bodyPr/>
                          </wps:wsp>
                          <wps:wsp>
                            <wps:cNvPr id="51" name="Oval 32"/>
                            <wps:cNvSpPr/>
                            <wps:spPr>
                              <a:xfrm>
                                <a:off x="3401" y="3070"/>
                                <a:ext cx="914" cy="914"/>
                              </a:xfrm>
                              <a:prstGeom prst="ellipse">
                                <a:avLst/>
                              </a:prstGeom>
                              <a:solidFill>
                                <a:srgbClr val="000000"/>
                              </a:solidFill>
                              <a:ln w="12700" cap="flat" cmpd="sng">
                                <a:solidFill>
                                  <a:srgbClr val="000000"/>
                                </a:solidFill>
                                <a:prstDash val="solid"/>
                                <a:miter/>
                                <a:headEnd type="none" w="med" len="med"/>
                                <a:tailEnd type="none" w="med" len="med"/>
                              </a:ln>
                            </wps:spPr>
                            <wps:bodyPr wrap="square" anchor="ctr" anchorCtr="0" upright="1"/>
                          </wps:wsp>
                          <wps:wsp>
                            <wps:cNvPr id="52" name="Oval 165"/>
                            <wps:cNvSpPr/>
                            <wps:spPr>
                              <a:xfrm>
                                <a:off x="7134" y="3092"/>
                                <a:ext cx="914" cy="914"/>
                              </a:xfrm>
                              <a:prstGeom prst="ellipse">
                                <a:avLst/>
                              </a:prstGeom>
                              <a:solidFill>
                                <a:srgbClr val="000000"/>
                              </a:solidFill>
                              <a:ln w="12700" cap="flat" cmpd="sng">
                                <a:solidFill>
                                  <a:srgbClr val="000000"/>
                                </a:solidFill>
                                <a:prstDash val="solid"/>
                                <a:miter/>
                                <a:headEnd type="none" w="med" len="med"/>
                                <a:tailEnd type="none" w="med" len="med"/>
                              </a:ln>
                            </wps:spPr>
                            <wps:bodyPr wrap="square" anchor="ctr" anchorCtr="0" upright="1"/>
                          </wps:wsp>
                          <wps:wsp>
                            <wps:cNvPr id="54" name="Straight Connector 54"/>
                            <wps:cNvCnPr/>
                            <wps:spPr>
                              <a:xfrm>
                                <a:off x="3357" y="1524"/>
                                <a:ext cx="0" cy="1391"/>
                              </a:xfrm>
                              <a:prstGeom prst="line">
                                <a:avLst/>
                              </a:prstGeom>
                              <a:ln w="6350" cap="flat" cmpd="sng">
                                <a:solidFill>
                                  <a:srgbClr val="000000"/>
                                </a:solidFill>
                                <a:prstDash val="solid"/>
                                <a:miter/>
                                <a:headEnd type="none" w="med" len="med"/>
                                <a:tailEnd type="none" w="med" len="med"/>
                              </a:ln>
                            </wps:spPr>
                            <wps:bodyPr/>
                          </wps:wsp>
                          <wps:wsp>
                            <wps:cNvPr id="57" name="Straight Connector 57"/>
                            <wps:cNvCnPr/>
                            <wps:spPr>
                              <a:xfrm>
                                <a:off x="4373" y="1943"/>
                                <a:ext cx="0" cy="1391"/>
                              </a:xfrm>
                              <a:prstGeom prst="line">
                                <a:avLst/>
                              </a:prstGeom>
                              <a:ln w="6350" cap="flat" cmpd="sng">
                                <a:solidFill>
                                  <a:srgbClr val="000000"/>
                                </a:solidFill>
                                <a:prstDash val="solid"/>
                                <a:miter/>
                                <a:headEnd type="none" w="med" len="med"/>
                                <a:tailEnd type="none" w="med" len="med"/>
                              </a:ln>
                            </wps:spPr>
                            <wps:bodyPr/>
                          </wps:wsp>
                          <wps:wsp>
                            <wps:cNvPr id="58" name="Straight Connector 173"/>
                            <wps:cNvCnPr/>
                            <wps:spPr>
                              <a:xfrm flipH="1" flipV="1">
                                <a:off x="0" y="4064"/>
                                <a:ext cx="3594" cy="55"/>
                              </a:xfrm>
                              <a:prstGeom prst="line">
                                <a:avLst/>
                              </a:prstGeom>
                              <a:ln w="6350" cap="flat" cmpd="sng">
                                <a:solidFill>
                                  <a:srgbClr val="000000"/>
                                </a:solidFill>
                                <a:prstDash val="solid"/>
                                <a:miter/>
                                <a:headEnd type="none" w="med" len="med"/>
                                <a:tailEnd type="none" w="med" len="med"/>
                              </a:ln>
                            </wps:spPr>
                            <wps:bodyPr/>
                          </wps:wsp>
                          <wps:wsp>
                            <wps:cNvPr id="59" name="Straight Connector 174"/>
                            <wps:cNvCnPr/>
                            <wps:spPr>
                              <a:xfrm>
                                <a:off x="132" y="5146"/>
                                <a:ext cx="1562" cy="0"/>
                              </a:xfrm>
                              <a:prstGeom prst="line">
                                <a:avLst/>
                              </a:prstGeom>
                              <a:ln w="6350" cap="flat" cmpd="sng">
                                <a:solidFill>
                                  <a:srgbClr val="000000"/>
                                </a:solidFill>
                                <a:prstDash val="solid"/>
                                <a:miter/>
                                <a:headEnd type="none" w="med" len="med"/>
                                <a:tailEnd type="none" w="med" len="med"/>
                              </a:ln>
                            </wps:spPr>
                            <wps:bodyPr/>
                          </wps:wsp>
                          <wps:wsp>
                            <wps:cNvPr id="60" name="Straight Connector 175"/>
                            <wps:cNvCnPr/>
                            <wps:spPr>
                              <a:xfrm flipH="1">
                                <a:off x="828" y="2871"/>
                                <a:ext cx="0" cy="1136"/>
                              </a:xfrm>
                              <a:prstGeom prst="line">
                                <a:avLst/>
                              </a:prstGeom>
                              <a:ln w="6350" cap="flat" cmpd="sng">
                                <a:solidFill>
                                  <a:srgbClr val="000000"/>
                                </a:solidFill>
                                <a:prstDash val="solid"/>
                                <a:miter/>
                                <a:headEnd type="none" w="med" len="med"/>
                                <a:tailEnd type="triangle" w="med" len="med"/>
                              </a:ln>
                            </wps:spPr>
                            <wps:bodyPr/>
                          </wps:wsp>
                          <wps:wsp>
                            <wps:cNvPr id="61" name="Straight Connector 176"/>
                            <wps:cNvCnPr/>
                            <wps:spPr>
                              <a:xfrm flipH="1">
                                <a:off x="739" y="5129"/>
                                <a:ext cx="0" cy="1137"/>
                              </a:xfrm>
                              <a:prstGeom prst="line">
                                <a:avLst/>
                              </a:prstGeom>
                              <a:ln w="6350" cap="flat" cmpd="sng">
                                <a:solidFill>
                                  <a:srgbClr val="000000"/>
                                </a:solidFill>
                                <a:prstDash val="solid"/>
                                <a:miter/>
                                <a:headEnd type="triangle" w="med" len="med"/>
                                <a:tailEnd type="none" w="med" len="med"/>
                              </a:ln>
                            </wps:spPr>
                            <wps:bodyPr/>
                          </wps:wsp>
                          <wps:wsp>
                            <wps:cNvPr id="62" name="Straight Connector 177"/>
                            <wps:cNvCnPr/>
                            <wps:spPr>
                              <a:xfrm>
                                <a:off x="640" y="1844"/>
                                <a:ext cx="1214" cy="59"/>
                              </a:xfrm>
                              <a:prstGeom prst="line">
                                <a:avLst/>
                              </a:prstGeom>
                              <a:ln w="6350" cap="flat" cmpd="sng">
                                <a:solidFill>
                                  <a:srgbClr val="000000"/>
                                </a:solidFill>
                                <a:prstDash val="solid"/>
                                <a:miter/>
                                <a:headEnd type="none" w="med" len="med"/>
                                <a:tailEnd type="triangle" w="med" len="med"/>
                              </a:ln>
                            </wps:spPr>
                            <wps:bodyPr/>
                          </wps:wsp>
                          <wps:wsp>
                            <wps:cNvPr id="63" name="Straight Connector 178"/>
                            <wps:cNvCnPr/>
                            <wps:spPr>
                              <a:xfrm>
                                <a:off x="3384" y="1954"/>
                                <a:ext cx="1200" cy="0"/>
                              </a:xfrm>
                              <a:prstGeom prst="line">
                                <a:avLst/>
                              </a:prstGeom>
                              <a:ln w="6350" cap="flat" cmpd="sng">
                                <a:solidFill>
                                  <a:srgbClr val="000000"/>
                                </a:solidFill>
                                <a:prstDash val="solid"/>
                                <a:miter/>
                                <a:headEnd type="triangle" w="med" len="med"/>
                                <a:tailEnd type="none" w="med" len="med"/>
                              </a:ln>
                            </wps:spPr>
                            <wps:bodyPr/>
                          </wps:wsp>
                          <wps:wsp>
                            <wps:cNvPr id="128" name="Straight Connector 179"/>
                            <wps:cNvCnPr/>
                            <wps:spPr>
                              <a:xfrm>
                                <a:off x="4420" y="2615"/>
                                <a:ext cx="2625" cy="0"/>
                              </a:xfrm>
                              <a:prstGeom prst="line">
                                <a:avLst/>
                              </a:prstGeom>
                              <a:ln w="6350" cap="flat" cmpd="sng">
                                <a:solidFill>
                                  <a:srgbClr val="000000"/>
                                </a:solidFill>
                                <a:prstDash val="solid"/>
                                <a:miter/>
                                <a:headEnd type="triangle" w="med" len="med"/>
                                <a:tailEnd type="triangle" w="med" len="med"/>
                              </a:ln>
                            </wps:spPr>
                            <wps:bodyPr/>
                          </wps:wsp>
                        </wpg:grpSp>
                        <wps:wsp>
                          <wps:cNvPr id="129" name="Straight Connector 180"/>
                          <wps:cNvCnPr/>
                          <wps:spPr>
                            <a:xfrm>
                              <a:off x="7023" y="2032"/>
                              <a:ext cx="0" cy="1390"/>
                            </a:xfrm>
                            <a:prstGeom prst="line">
                              <a:avLst/>
                            </a:prstGeom>
                            <a:ln w="6350" cap="flat" cmpd="sng">
                              <a:solidFill>
                                <a:srgbClr val="000000"/>
                              </a:solidFill>
                              <a:prstDash val="solid"/>
                              <a:miter/>
                              <a:headEnd type="none" w="med" len="med"/>
                              <a:tailEnd type="none" w="med" len="med"/>
                            </a:ln>
                          </wps:spPr>
                          <wps:bodyPr/>
                        </wps:wsp>
                      </wpg:grpSp>
                      <wps:wsp>
                        <wps:cNvPr id="130" name="Text Box 184"/>
                        <wps:cNvSpPr txBox="1"/>
                        <wps:spPr>
                          <a:xfrm>
                            <a:off x="0" y="3335"/>
                            <a:ext cx="1413" cy="1889"/>
                          </a:xfrm>
                          <a:prstGeom prst="rect">
                            <a:avLst/>
                          </a:prstGeom>
                          <a:noFill/>
                          <a:ln w="6350">
                            <a:noFill/>
                          </a:ln>
                        </wps:spPr>
                        <wps:txbx>
                          <w:txbxContent>
                            <w:p>
                              <w:pPr>
                                <w:rPr>
                                  <w:color w:val="auto"/>
                                  <w:sz w:val="20"/>
                                  <w:szCs w:val="20"/>
                                </w:rPr>
                              </w:pPr>
                              <w:r>
                                <w:rPr>
                                  <w:i/>
                                  <w:iCs/>
                                  <w:color w:val="auto"/>
                                  <w:sz w:val="20"/>
                                  <w:szCs w:val="20"/>
                                </w:rPr>
                                <w:t>c</w:t>
                              </w:r>
                            </w:p>
                          </w:txbxContent>
                        </wps:txbx>
                        <wps:bodyPr wrap="square" lIns="0" tIns="0" rIns="0" bIns="0" anchor="t" anchorCtr="0" upright="1"/>
                      </wps:wsp>
                      <wps:wsp>
                        <wps:cNvPr id="131" name="Text Box 185"/>
                        <wps:cNvSpPr txBox="1"/>
                        <wps:spPr>
                          <a:xfrm>
                            <a:off x="2871" y="88"/>
                            <a:ext cx="1413" cy="1890"/>
                          </a:xfrm>
                          <a:prstGeom prst="rect">
                            <a:avLst/>
                          </a:prstGeom>
                          <a:noFill/>
                          <a:ln w="6350">
                            <a:noFill/>
                          </a:ln>
                        </wps:spPr>
                        <wps:txbx>
                          <w:txbxContent>
                            <w:p>
                              <w:pPr>
                                <w:rPr>
                                  <w:color w:val="auto"/>
                                  <w:sz w:val="20"/>
                                  <w:szCs w:val="20"/>
                                </w:rPr>
                              </w:pPr>
                              <w:r>
                                <w:rPr>
                                  <w:i/>
                                  <w:iCs/>
                                  <w:color w:val="auto"/>
                                  <w:sz w:val="20"/>
                                  <w:szCs w:val="20"/>
                                </w:rPr>
                                <w:t>c</w:t>
                              </w:r>
                              <w:r>
                                <w:rPr>
                                  <w:i/>
                                  <w:iCs/>
                                  <w:color w:val="auto"/>
                                  <w:sz w:val="20"/>
                                  <w:szCs w:val="20"/>
                                  <w:vertAlign w:val="subscript"/>
                                </w:rPr>
                                <w:t>2</w:t>
                              </w:r>
                            </w:p>
                          </w:txbxContent>
                        </wps:txbx>
                        <wps:bodyPr wrap="square" lIns="0" tIns="0" rIns="0" bIns="0" anchor="t" anchorCtr="0" upright="1"/>
                      </wps:wsp>
                      <wps:wsp>
                        <wps:cNvPr id="132" name="Text Box 186"/>
                        <wps:cNvSpPr txBox="1"/>
                        <wps:spPr>
                          <a:xfrm>
                            <a:off x="6181" y="1627"/>
                            <a:ext cx="1634" cy="1101"/>
                          </a:xfrm>
                          <a:prstGeom prst="rect">
                            <a:avLst/>
                          </a:prstGeom>
                          <a:noFill/>
                          <a:ln w="6350">
                            <a:noFill/>
                          </a:ln>
                        </wps:spPr>
                        <wps:txbx>
                          <w:txbxContent>
                            <w:p>
                              <w:pPr>
                                <w:rPr>
                                  <w:i/>
                                  <w:iCs/>
                                  <w:color w:val="auto"/>
                                  <w:sz w:val="20"/>
                                  <w:szCs w:val="20"/>
                                </w:rPr>
                              </w:pPr>
                              <w:r>
                                <w:rPr>
                                  <w:i/>
                                  <w:iCs/>
                                  <w:color w:val="auto"/>
                                  <w:sz w:val="20"/>
                                  <w:szCs w:val="20"/>
                                </w:rPr>
                                <w:t>a</w:t>
                              </w:r>
                            </w:p>
                          </w:txbxContent>
                        </wps:txbx>
                        <wps:bodyPr wrap="square" lIns="0" tIns="0" rIns="0" bIns="0" anchor="t" anchorCtr="0" upright="1"/>
                      </wps:wsp>
                    </wpg:wgp>
                  </a:graphicData>
                </a:graphic>
              </wp:inline>
            </w:drawing>
          </mc:Choice>
          <mc:Fallback>
            <w:pict>
              <v:group id="Group 21634" o:spid="_x0000_s1026" o:spt="203" style="height:78.95pt;width:117.05pt;" coordsize="10093,6266" o:gfxdata="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DXcivI1wAAAAUB&#10;AAAPAAAAAAAAAAEAIAAAACIAAABkcnMvZG93bnJldi54bWxQSwECFAAUAAAACACHTuJAS3TH1OUF&#10;AACaLAAADgAAAAAAAAABACAAAAAmAQAAZHJzL2Uyb0RvYy54bWxQSwUGAAAAAAYABgBZAQAAfQkA&#10;AAAA&#10;">
                <o:lock v:ext="edit" aspectratio="f"/>
                <v:group id="Group 183" o:spid="_x0000_s1026" o:spt="203" style="position:absolute;left:684;top:0;height:6266;width:9409;" coordsize="9409,626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Group 182" o:spid="_x0000_s1026" o:spt="203" style="position:absolute;left:0;top:0;height:6266;width:9409;" coordsize="9409,626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line id="Straight Connector 23" o:spid="_x0000_s1026" o:spt="20" style="position:absolute;left:1965;top:88;height:5131;width:0;" filled="f" stroked="t" coordsize="21600,21600" o:gfxdata="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4Tn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line>
                    <v:line id="Straight Connector 24" o:spid="_x0000_s1026" o:spt="20" style="position:absolute;left:1965;top:5146;flip:x y;height:0;width:7386;" filled="f" stroked="t" coordsize="21600,21600" o:gfxdata="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n70GugAAANsA&#10;AAAPAAAAAAAAAAEAIAAAACIAAABkcnMvZG93bnJldi54bWxQSwECFAAUAAAACACHTuJAMy8FnjsA&#10;AAA5AAAAEAAAAAAAAAABACAAAAAJAQAAZHJzL3NoYXBleG1sLnhtbFBLBQYAAAAABgAGAFsBAACz&#10;AwAAAAA=&#10;">
                      <v:fill on="f" focussize="0,0"/>
                      <v:stroke weight="1.25pt" color="#000000" joinstyle="miter"/>
                      <v:imagedata o:title=""/>
                      <o:lock v:ext="edit" aspectratio="f"/>
                    </v:line>
                    <v:line id="Straight Connector 26" o:spid="_x0000_s1026" o:spt="20" style="position:absolute;left:1060;top:0;flip:x;height:70;width:8159;" filled="f" stroked="t" coordsize="21600,21600" o:gfxdata="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WKoq8AAAA&#10;2wAAAA8AAAAAAAAAAQAgAAAAIgAAAGRycy9kb3ducmV2LnhtbFBLAQIUABQAAAAIAIdO4kAzLwWe&#10;OwAAADkAAAAQAAAAAAAAAAEAIAAAAAsBAABkcnMvc2hhcGV4bWwueG1sUEsFBgAAAAAGAAYAWwEA&#10;ALUDAAAAAA==&#10;">
                      <v:fill on="f" focussize="0,0"/>
                      <v:stroke weight="1.25pt" color="#000000" joinstyle="miter" dashstyle="dash"/>
                      <v:imagedata o:title=""/>
                      <o:lock v:ext="edit" aspectratio="f"/>
                    </v:line>
                    <v:line id="Straight Connector 31" o:spid="_x0000_s1026" o:spt="20" style="position:absolute;left:9409;top:220;height:5838;width:0;" filled="f" stroked="t" coordsize="21600,21600" o:gfxdata="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cb3q5AAAA2wAA&#10;AA8AAAAAAAAAAQAgAAAAIgAAAGRycy9kb3ducmV2LnhtbFBLAQIUABQAAAAIAIdO4kAzLwWeOwAA&#10;ADkAAAAQAAAAAAAAAAEAIAAAAAgBAABkcnMvc2hhcGV4bWwueG1sUEsFBgAAAAAGAAYAWwEAALID&#10;AAAAAA==&#10;">
                      <v:fill on="f" focussize="0,0"/>
                      <v:stroke weight="1.25pt" color="#000000" joinstyle="miter" dashstyle="dash"/>
                      <v:imagedata o:title=""/>
                      <o:lock v:ext="edit" aspectratio="f"/>
                    </v:line>
                    <v:shape id="Oval 32" o:spid="_x0000_s1026" o:spt="3" type="#_x0000_t3" style="position:absolute;left:3401;top:3070;height:914;width:914;v-text-anchor:middle;" fillcolor="#000000" filled="t" stroked="t" coordsize="21600,21600" o:gfxdata="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ozzr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v:shape id="Oval 165" o:spid="_x0000_s1026" o:spt="3" type="#_x0000_t3" style="position:absolute;left:7134;top:3092;height:914;width:914;v-text-anchor:middle;" fillcolor="#000000" filled="t" stroked="t" coordsize="21600,21600" o:gfxdata="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Irbm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shape>
                    <v:line id="Straight Connector 54" o:spid="_x0000_s1026" o:spt="20" style="position:absolute;left:3357;top:1524;height:1391;width:0;" filled="f" stroked="t" coordsize="21600,21600" o:gfxdata="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qVn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Straight Connector 57" o:spid="_x0000_s1026" o:spt="20" style="position:absolute;left:4373;top:1943;height:1391;width:0;" filled="f" stroked="t" coordsize="21600,21600" o:gfxdata="UEsDBAoAAAAAAIdO4kAAAAAAAAAAAAAAAAAEAAAAZHJzL1BLAwQUAAAACACHTuJA8jg7EL0AAADb&#10;AAAADwAAAGRycy9kb3ducmV2LnhtbEWPQWvCQBSE7wX/w/KE3upGoY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DsQ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Straight Connector 173" o:spid="_x0000_s1026" o:spt="20" style="position:absolute;left:0;top:4064;flip:x y;height:55;width:3594;" filled="f" stroked="t" coordsize="21600,21600" o:gfxdata="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j3JU7UAAADbAAAADwAA&#10;AAAAAAABACAAAAAiAAAAZHJzL2Rvd25yZXYueG1sUEsBAhQAFAAAAAgAh07iQDMvBZ47AAAAOQAA&#10;ABAAAAAAAAAAAQAgAAAABAEAAGRycy9zaGFwZXhtbC54bWxQSwUGAAAAAAYABgBbAQAArgMAAAAA&#10;">
                      <v:fill on="f" focussize="0,0"/>
                      <v:stroke weight="0.5pt" color="#000000" joinstyle="miter"/>
                      <v:imagedata o:title=""/>
                      <o:lock v:ext="edit" aspectratio="f"/>
                    </v:line>
                    <v:line id="Straight Connector 174" o:spid="_x0000_s1026" o:spt="20" style="position:absolute;left:132;top:5146;height:0;width:1562;" filled="f" stroked="t" coordsize="21600,21600" o:gfxdata="UEsDBAoAAAAAAIdO4kAAAAAAAAAAAAAAAAAEAAAAZHJzL1BLAwQUAAAACACHTuJA7OsK+b4AAADb&#10;AAAADwAAAGRycy9kb3ducmV2LnhtbEWPzWrDMBCE74G8g9hAb4mcQPP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sK+b4A&#10;AADb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Straight Connector 175" o:spid="_x0000_s1026" o:spt="20" style="position:absolute;left:828;top:2871;flip:x;height:1136;width:0;" filled="f" stroked="t" coordsize="21600,21600" o:gfxdata="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GEf+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line>
                    <v:line id="Straight Connector 176" o:spid="_x0000_s1026" o:spt="20" style="position:absolute;left:739;top:5129;flip:x;height:1137;width:0;" filled="f" stroked="t" coordsize="21600,21600" o:gfxdata="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sY/vQAA&#10;ANsAAAAPAAAAAAAAAAEAIAAAACIAAABkcnMvZG93bnJldi54bWxQSwECFAAUAAAACACHTuJAMy8F&#10;njsAAAA5AAAAEAAAAAAAAAABACAAAAAMAQAAZHJzL3NoYXBleG1sLnhtbFBLBQYAAAAABgAGAFsB&#10;AAC2AwAAAAA=&#10;">
                      <v:fill on="f" focussize="0,0"/>
                      <v:stroke weight="0.5pt" color="#000000" joinstyle="miter" startarrow="block"/>
                      <v:imagedata o:title=""/>
                      <o:lock v:ext="edit" aspectratio="f"/>
                    </v:line>
                    <v:line id="Straight Connector 177" o:spid="_x0000_s1026" o:spt="20" style="position:absolute;left:640;top:1844;height:59;width:1214;" filled="f" stroked="t" coordsize="21600,21600" o:gfxdata="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tVZ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line>
                    <v:line id="Straight Connector 178" o:spid="_x0000_s1026" o:spt="20" style="position:absolute;left:3384;top:1954;height:0;width:1200;" filled="f" stroked="t" coordsize="21600,21600" o:gfxdata="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oFBrsAAADb&#10;AAAADwAAAAAAAAABACAAAAAiAAAAZHJzL2Rvd25yZXYueG1sUEsBAhQAFAAAAAgAh07iQDMvBZ47&#10;AAAAOQAAABAAAAAAAAAAAQAgAAAACgEAAGRycy9zaGFwZXhtbC54bWxQSwUGAAAAAAYABgBbAQAA&#10;tAMAAAAA&#10;">
                      <v:fill on="f" focussize="0,0"/>
                      <v:stroke weight="0.5pt" color="#000000" joinstyle="miter" startarrow="block"/>
                      <v:imagedata o:title=""/>
                      <o:lock v:ext="edit" aspectratio="f"/>
                    </v:line>
                    <v:line id="Straight Connector 179" o:spid="_x0000_s1026" o:spt="20" style="position:absolute;left:4420;top:2615;height:0;width:2625;" filled="f" stroked="t" coordsize="21600,21600" o:gfxdata="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708O/&#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line>
                  </v:group>
                  <v:line id="Straight Connector 180" o:spid="_x0000_s1026" o:spt="20" style="position:absolute;left:7023;top:2032;height:1390;width:0;" filled="f" stroked="t" coordsize="21600,21600" o:gfxdata="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ayS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shape id="Text Box 184" o:spid="_x0000_s1026" o:spt="202" type="#_x0000_t202" style="position:absolute;left:0;top:3335;height:1889;width:1413;" filled="f" stroked="f" coordsize="21600,21600" o:gfxdata="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TABu/&#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color w:val="auto"/>
                            <w:sz w:val="20"/>
                            <w:szCs w:val="20"/>
                          </w:rPr>
                        </w:pPr>
                        <w:r>
                          <w:rPr>
                            <w:i/>
                            <w:iCs/>
                            <w:color w:val="auto"/>
                            <w:sz w:val="20"/>
                            <w:szCs w:val="20"/>
                          </w:rPr>
                          <w:t>c</w:t>
                        </w:r>
                      </w:p>
                    </w:txbxContent>
                  </v:textbox>
                </v:shape>
                <v:shape id="Text Box 185" o:spid="_x0000_s1026" o:spt="202" type="#_x0000_t202" style="position:absolute;left:2871;top:88;height:1890;width:1413;" filled="f" stroked="f" coordsize="21600,21600" o:gfxdata="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H6WA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color w:val="auto"/>
                            <w:sz w:val="20"/>
                            <w:szCs w:val="20"/>
                          </w:rPr>
                        </w:pPr>
                        <w:r>
                          <w:rPr>
                            <w:i/>
                            <w:iCs/>
                            <w:color w:val="auto"/>
                            <w:sz w:val="20"/>
                            <w:szCs w:val="20"/>
                          </w:rPr>
                          <w:t>c</w:t>
                        </w:r>
                        <w:r>
                          <w:rPr>
                            <w:i/>
                            <w:iCs/>
                            <w:color w:val="auto"/>
                            <w:sz w:val="20"/>
                            <w:szCs w:val="20"/>
                            <w:vertAlign w:val="subscript"/>
                          </w:rPr>
                          <w:t>2</w:t>
                        </w:r>
                      </w:p>
                    </w:txbxContent>
                  </v:textbox>
                </v:shape>
                <v:shape id="Text Box 186" o:spid="_x0000_s1026" o:spt="202" type="#_x0000_t202" style="position:absolute;left:6181;top:1627;height:1101;width:1634;" filled="f" stroked="f" coordsize="21600,21600" o:gfxdata="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zTv3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i/>
                            <w:iCs/>
                            <w:color w:val="auto"/>
                            <w:sz w:val="20"/>
                            <w:szCs w:val="20"/>
                          </w:rPr>
                        </w:pPr>
                        <w:r>
                          <w:rPr>
                            <w:i/>
                            <w:iCs/>
                            <w:color w:val="auto"/>
                            <w:sz w:val="20"/>
                            <w:szCs w:val="20"/>
                          </w:rPr>
                          <w:t>a</w:t>
                        </w:r>
                      </w:p>
                    </w:txbxContent>
                  </v:textbox>
                </v:shape>
                <w10:wrap type="none"/>
                <w10:anchorlock/>
              </v:group>
            </w:pict>
          </mc:Fallback>
        </mc:AlternateContent>
      </w:r>
    </w:p>
    <w:p>
      <w:pPr>
        <w:autoSpaceDE w:val="0"/>
        <w:autoSpaceDN w:val="0"/>
        <w:adjustRightInd w:val="0"/>
        <w:spacing w:after="0" w:line="360" w:lineRule="auto"/>
        <w:jc w:val="center"/>
        <w:rPr>
          <w:rFonts w:hint="eastAsia"/>
          <w:b/>
          <w:bCs/>
          <w:color w:val="0070C0"/>
          <w:sz w:val="21"/>
          <w:szCs w:val="21"/>
        </w:rPr>
      </w:pPr>
      <w:r>
        <w:rPr>
          <w:rFonts w:hint="eastAsia"/>
          <w:b/>
          <w:bCs/>
          <w:color w:val="auto"/>
          <w:sz w:val="21"/>
          <w:szCs w:val="21"/>
        </w:rPr>
        <w:t>图</w:t>
      </w:r>
      <w:r>
        <w:rPr>
          <w:b/>
          <w:bCs/>
          <w:color w:val="auto"/>
          <w:sz w:val="21"/>
          <w:szCs w:val="21"/>
        </w:rPr>
        <w:t>4.2</w:t>
      </w:r>
      <w:r>
        <w:rPr>
          <w:rFonts w:hint="eastAsia"/>
          <w:b/>
          <w:bCs/>
          <w:color w:val="auto"/>
          <w:sz w:val="21"/>
          <w:szCs w:val="21"/>
        </w:rPr>
        <w:t>.</w:t>
      </w:r>
      <w:r>
        <w:rPr>
          <w:rFonts w:hint="eastAsia"/>
          <w:b/>
          <w:bCs/>
          <w:color w:val="auto"/>
          <w:sz w:val="21"/>
          <w:szCs w:val="21"/>
          <w:lang w:val="en-US" w:eastAsia="zh-CN"/>
        </w:rPr>
        <w:t>9</w:t>
      </w:r>
      <w:r>
        <w:rPr>
          <w:b/>
          <w:bCs/>
          <w:color w:val="auto"/>
          <w:sz w:val="21"/>
          <w:szCs w:val="21"/>
        </w:rPr>
        <w:t xml:space="preserve"> </w:t>
      </w:r>
      <w:r>
        <w:rPr>
          <w:rFonts w:hint="eastAsia"/>
          <w:b/>
          <w:bCs/>
          <w:color w:val="auto"/>
          <w:sz w:val="21"/>
          <w:szCs w:val="21"/>
        </w:rPr>
        <w:t>植筋的净距、保护层厚度示意</w:t>
      </w:r>
    </w:p>
    <w:p>
      <w:pPr>
        <w:autoSpaceDE w:val="0"/>
        <w:autoSpaceDN w:val="0"/>
        <w:adjustRightInd w:val="0"/>
        <w:spacing w:after="0" w:line="360" w:lineRule="auto"/>
        <w:rPr>
          <w:rFonts w:ascii="宋体" w:cs="宋体" w:hAnsiTheme="minorHAnsi"/>
          <w:i/>
          <w:iCs/>
          <w:color w:val="0070C0"/>
          <w:sz w:val="24"/>
          <w:szCs w:val="24"/>
        </w:rPr>
      </w:pPr>
      <w:r>
        <w:rPr>
          <w:rFonts w:hint="eastAsia"/>
          <w:bCs/>
          <w:color w:val="0070C0"/>
          <w:sz w:val="24"/>
          <w:szCs w:val="24"/>
        </w:rPr>
        <w:t>【条文说明】</w:t>
      </w:r>
      <w:r>
        <w:rPr>
          <w:rFonts w:hint="eastAsia"/>
          <w:b/>
          <w:i/>
          <w:iCs/>
          <w:color w:val="0070C0"/>
          <w:sz w:val="24"/>
          <w:szCs w:val="24"/>
        </w:rPr>
        <w:t>4</w:t>
      </w:r>
      <w:r>
        <w:rPr>
          <w:b/>
          <w:i/>
          <w:iCs/>
          <w:color w:val="0070C0"/>
          <w:sz w:val="24"/>
          <w:szCs w:val="24"/>
        </w:rPr>
        <w:t>.2.</w:t>
      </w:r>
      <w:r>
        <w:rPr>
          <w:rFonts w:hint="eastAsia"/>
          <w:b/>
          <w:i/>
          <w:iCs/>
          <w:color w:val="0070C0"/>
          <w:sz w:val="24"/>
          <w:szCs w:val="24"/>
          <w:lang w:val="en-US" w:eastAsia="zh-CN"/>
        </w:rPr>
        <w:t>9</w:t>
      </w:r>
      <w:r>
        <w:rPr>
          <w:rFonts w:hint="eastAsia"/>
          <w:bCs/>
          <w:i/>
          <w:iCs/>
          <w:color w:val="0070C0"/>
          <w:sz w:val="24"/>
          <w:szCs w:val="24"/>
        </w:rPr>
        <w:t>关于</w:t>
      </w:r>
      <m:oMath>
        <m:sSub>
          <m:sSubPr>
            <m:ctrlPr>
              <w:rPr>
                <w:rFonts w:ascii="Cambria Math" w:hAnsi="Cambria Math"/>
                <w:i/>
                <w:color w:val="4472C4" w:themeColor="accent1"/>
                <w:sz w:val="24"/>
                <w:szCs w:val="24"/>
                <w14:textFill>
                  <w14:solidFill>
                    <w14:schemeClr w14:val="accent1"/>
                  </w14:solidFill>
                </w14:textFill>
              </w:rPr>
            </m:ctrlPr>
          </m:sSubPr>
          <m:e>
            <m:r>
              <m:rPr/>
              <w:rPr>
                <w:rFonts w:ascii="Cambria Math" w:hAnsi="Cambria Math"/>
                <w:color w:val="4472C4" w:themeColor="accent1"/>
                <w:sz w:val="24"/>
                <w:szCs w:val="24"/>
                <w14:textFill>
                  <w14:solidFill>
                    <w14:schemeClr w14:val="accent1"/>
                  </w14:solidFill>
                </w14:textFill>
              </w:rPr>
              <m:t>α</m:t>
            </m:r>
            <m:ctrlPr>
              <w:rPr>
                <w:rFonts w:ascii="Cambria Math" w:hAnsi="Cambria Math"/>
                <w:i/>
                <w:color w:val="4472C4" w:themeColor="accent1"/>
                <w:sz w:val="24"/>
                <w:szCs w:val="24"/>
                <w14:textFill>
                  <w14:solidFill>
                    <w14:schemeClr w14:val="accent1"/>
                  </w14:solidFill>
                </w14:textFill>
              </w:rPr>
            </m:ctrlPr>
          </m:e>
          <m:sub>
            <m:r>
              <m:rPr/>
              <w:rPr>
                <w:rFonts w:hint="eastAsia" w:ascii="Cambria Math" w:hAnsi="Cambria Math"/>
                <w:color w:val="4472C4" w:themeColor="accent1"/>
                <w:sz w:val="24"/>
                <w:szCs w:val="24"/>
                <w14:textFill>
                  <w14:solidFill>
                    <w14:schemeClr w14:val="accent1"/>
                  </w14:solidFill>
                </w14:textFill>
              </w:rPr>
              <m:t>cs</m:t>
            </m:r>
            <m:ctrlPr>
              <w:rPr>
                <w:rFonts w:ascii="Cambria Math" w:hAnsi="Cambria Math"/>
                <w:i/>
                <w:color w:val="4472C4" w:themeColor="accent1"/>
                <w:sz w:val="24"/>
                <w:szCs w:val="24"/>
                <w14:textFill>
                  <w14:solidFill>
                    <w14:schemeClr w14:val="accent1"/>
                  </w14:solidFill>
                </w14:textFill>
              </w:rPr>
            </m:ctrlPr>
          </m:sub>
        </m:sSub>
      </m:oMath>
      <w:r>
        <w:rPr>
          <w:rFonts w:hint="eastAsia"/>
          <w:bCs/>
          <w:i/>
          <w:iCs/>
          <w:color w:val="4472C4" w:themeColor="accent1"/>
          <w:sz w:val="24"/>
          <w:szCs w:val="24"/>
          <w14:textFill>
            <w14:solidFill>
              <w14:schemeClr w14:val="accent1"/>
            </w14:solidFill>
          </w14:textFill>
        </w:rPr>
        <w:t>和</w:t>
      </w:r>
      <m:oMath>
        <m:sSub>
          <m:sSubPr>
            <m:ctrlPr>
              <w:rPr>
                <w:rFonts w:ascii="Cambria Math" w:hAnsi="Cambria Math"/>
                <w:i/>
                <w:color w:val="4472C4" w:themeColor="accent1"/>
                <w:sz w:val="24"/>
                <w:szCs w:val="24"/>
                <w14:textFill>
                  <w14:solidFill>
                    <w14:schemeClr w14:val="accent1"/>
                  </w14:solidFill>
                </w14:textFill>
              </w:rPr>
            </m:ctrlPr>
          </m:sSubPr>
          <m:e>
            <m:r>
              <m:rPr/>
              <w:rPr>
                <w:rFonts w:ascii="Cambria Math" w:hAnsi="Cambria Math"/>
                <w:color w:val="4472C4" w:themeColor="accent1"/>
                <w:sz w:val="24"/>
                <w:szCs w:val="24"/>
                <w14:textFill>
                  <w14:solidFill>
                    <w14:schemeClr w14:val="accent1"/>
                  </w14:solidFill>
                </w14:textFill>
              </w:rPr>
              <m:t>α</m:t>
            </m:r>
            <m:ctrlPr>
              <w:rPr>
                <w:rFonts w:ascii="Cambria Math" w:hAnsi="Cambria Math"/>
                <w:i/>
                <w:color w:val="4472C4" w:themeColor="accent1"/>
                <w:sz w:val="24"/>
                <w:szCs w:val="24"/>
                <w14:textFill>
                  <w14:solidFill>
                    <w14:schemeClr w14:val="accent1"/>
                  </w14:solidFill>
                </w14:textFill>
              </w:rPr>
            </m:ctrlPr>
          </m:e>
          <m:sub>
            <m:r>
              <m:rPr/>
              <w:rPr>
                <w:rFonts w:ascii="Cambria Math" w:hAnsi="Cambria Math"/>
                <w:color w:val="4472C4" w:themeColor="accent1"/>
                <w:sz w:val="24"/>
                <w:szCs w:val="24"/>
                <w14:textFill>
                  <w14:solidFill>
                    <w14:schemeClr w14:val="accent1"/>
                  </w14:solidFill>
                </w14:textFill>
              </w:rPr>
              <m:t>t</m:t>
            </m:r>
            <m:r>
              <m:rPr/>
              <w:rPr>
                <w:rFonts w:hint="eastAsia" w:ascii="Cambria Math" w:hAnsi="Cambria Math"/>
                <w:color w:val="4472C4" w:themeColor="accent1"/>
                <w:sz w:val="24"/>
                <w:szCs w:val="24"/>
                <w14:textFill>
                  <w14:solidFill>
                    <w14:schemeClr w14:val="accent1"/>
                  </w14:solidFill>
                </w14:textFill>
              </w:rPr>
              <m:t>r</m:t>
            </m:r>
            <m:ctrlPr>
              <w:rPr>
                <w:rFonts w:ascii="Cambria Math" w:hAnsi="Cambria Math"/>
                <w:i/>
                <w:color w:val="4472C4" w:themeColor="accent1"/>
                <w:sz w:val="24"/>
                <w:szCs w:val="24"/>
                <w14:textFill>
                  <w14:solidFill>
                    <w14:schemeClr w14:val="accent1"/>
                  </w14:solidFill>
                </w14:textFill>
              </w:rPr>
            </m:ctrlPr>
          </m:sub>
        </m:sSub>
      </m:oMath>
      <w:r>
        <w:rPr>
          <w:rFonts w:hint="eastAsia" w:ascii="Cambria Math" w:hAnsi="Cambria Math"/>
          <w:i/>
          <w:color w:val="4472C4" w:themeColor="accent1"/>
          <w:sz w:val="24"/>
          <w:szCs w:val="24"/>
          <w14:textFill>
            <w14:solidFill>
              <w14:schemeClr w14:val="accent1"/>
            </w14:solidFill>
          </w14:textFill>
        </w:rPr>
        <w:t>的计算</w:t>
      </w:r>
      <w:r>
        <w:rPr>
          <w:rFonts w:hint="eastAsia"/>
          <w:bCs/>
          <w:i/>
          <w:iCs/>
          <w:color w:val="4472C4" w:themeColor="accent1"/>
          <w:sz w:val="24"/>
          <w:szCs w:val="24"/>
          <w14:textFill>
            <w14:solidFill>
              <w14:schemeClr w14:val="accent1"/>
            </w14:solidFill>
          </w14:textFill>
        </w:rPr>
        <w:t>参照了欧标</w:t>
      </w:r>
      <w:r>
        <w:rPr>
          <w:rFonts w:hint="eastAsia"/>
          <w:bCs/>
          <w:i/>
          <w:iCs/>
          <w:color w:val="0070C0"/>
          <w:sz w:val="24"/>
          <w:szCs w:val="24"/>
        </w:rPr>
        <w:t>EN</w:t>
      </w:r>
      <w:r>
        <w:rPr>
          <w:bCs/>
          <w:i/>
          <w:iCs/>
          <w:color w:val="0070C0"/>
          <w:sz w:val="24"/>
          <w:szCs w:val="24"/>
        </w:rPr>
        <w:t>1992-1</w:t>
      </w:r>
      <w:r>
        <w:rPr>
          <w:rFonts w:hint="eastAsia"/>
          <w:bCs/>
          <w:i/>
          <w:iCs/>
          <w:color w:val="0070C0"/>
          <w:sz w:val="24"/>
          <w:szCs w:val="24"/>
        </w:rPr>
        <w:t>中关于钢筋设计锚固长度计算公式中的系数</w:t>
      </w:r>
      <m:oMath>
        <m:sSub>
          <m:sSubPr>
            <m:ctrlPr>
              <w:rPr>
                <w:rFonts w:ascii="Cambria Math" w:hAnsi="Cambria Math"/>
                <w:i/>
                <w:iCs/>
                <w:color w:val="4472C4" w:themeColor="accent1"/>
                <w:sz w:val="24"/>
                <w:szCs w:val="24"/>
                <w14:textFill>
                  <w14:solidFill>
                    <w14:schemeClr w14:val="accent1"/>
                  </w14:solidFill>
                </w14:textFill>
              </w:rPr>
            </m:ctrlPr>
          </m:sSubPr>
          <m:e>
            <m:r>
              <m:rPr/>
              <w:rPr>
                <w:rFonts w:ascii="Cambria Math" w:hAnsi="Cambria Math"/>
                <w:color w:val="4472C4" w:themeColor="accent1"/>
                <w:sz w:val="24"/>
                <w:szCs w:val="24"/>
                <w14:textFill>
                  <w14:solidFill>
                    <w14:schemeClr w14:val="accent1"/>
                  </w14:solidFill>
                </w14:textFill>
              </w:rPr>
              <m:t>α</m:t>
            </m:r>
            <m:ctrlPr>
              <w:rPr>
                <w:rFonts w:ascii="Cambria Math" w:hAnsi="Cambria Math"/>
                <w:i/>
                <w:color w:val="4472C4" w:themeColor="accent1"/>
                <w:sz w:val="24"/>
                <w:szCs w:val="24"/>
                <w14:textFill>
                  <w14:solidFill>
                    <w14:schemeClr w14:val="accent1"/>
                  </w14:solidFill>
                </w14:textFill>
              </w:rPr>
            </m:ctrlPr>
          </m:e>
          <m:sub>
            <m:r>
              <m:rPr/>
              <w:rPr>
                <w:rFonts w:ascii="Cambria Math" w:hAnsi="Cambria Math"/>
                <w:color w:val="4472C4" w:themeColor="accent1"/>
                <w:sz w:val="24"/>
                <w:szCs w:val="24"/>
                <w14:textFill>
                  <w14:solidFill>
                    <w14:schemeClr w14:val="accent1"/>
                  </w14:solidFill>
                </w14:textFill>
              </w:rPr>
              <m:t>2</m:t>
            </m:r>
            <m:ctrlPr>
              <w:rPr>
                <w:rFonts w:ascii="Cambria Math" w:hAnsi="Cambria Math"/>
                <w:i/>
                <w:iCs/>
                <w:color w:val="4472C4" w:themeColor="accent1"/>
                <w:sz w:val="24"/>
                <w:szCs w:val="24"/>
                <w14:textFill>
                  <w14:solidFill>
                    <w14:schemeClr w14:val="accent1"/>
                  </w14:solidFill>
                </w14:textFill>
              </w:rPr>
            </m:ctrlPr>
          </m:sub>
        </m:sSub>
      </m:oMath>
      <w:r>
        <w:rPr>
          <w:rFonts w:hint="eastAsia"/>
          <w:bCs/>
          <w:i/>
          <w:iCs/>
          <w:color w:val="4472C4" w:themeColor="accent1"/>
          <w:sz w:val="24"/>
          <w:szCs w:val="24"/>
          <w14:textFill>
            <w14:solidFill>
              <w14:schemeClr w14:val="accent1"/>
            </w14:solidFill>
          </w14:textFill>
        </w:rPr>
        <w:t xml:space="preserve">和 </w:t>
      </w:r>
      <w:r>
        <w:rPr>
          <w:rFonts w:ascii="Symbol" w:hAnsi="Symbol"/>
          <w:bCs/>
          <w:color w:val="4472C4" w:themeColor="accent1"/>
          <w:sz w:val="24"/>
          <w:szCs w:val="24"/>
          <w14:textFill>
            <w14:solidFill>
              <w14:schemeClr w14:val="accent1"/>
            </w14:solidFill>
          </w14:textFill>
        </w:rPr>
        <w:t>a</w:t>
      </w:r>
      <w:r>
        <w:rPr>
          <w:rFonts w:hint="eastAsia"/>
          <w:bCs/>
          <w:color w:val="4472C4" w:themeColor="accent1"/>
          <w:sz w:val="24"/>
          <w:szCs w:val="24"/>
          <w:vertAlign w:val="subscript"/>
          <w14:textFill>
            <w14:solidFill>
              <w14:schemeClr w14:val="accent1"/>
            </w14:solidFill>
          </w14:textFill>
        </w:rPr>
        <w:t>3</w:t>
      </w:r>
      <w:r>
        <w:rPr>
          <w:rFonts w:hint="eastAsia"/>
          <w:bCs/>
          <w:i/>
          <w:iCs/>
          <w:color w:val="0070C0"/>
          <w:sz w:val="24"/>
          <w:szCs w:val="24"/>
        </w:rPr>
        <w:t>的计算方法。对于多根植筋在同一构件截面的同一区域锚固时，植筋的锚固长度设计值应根据最不利因素加以考虑。通常情况下，角部植筋为最不利条件，计算的锚固长度可能会比根据其它部位植筋条件计算出的锚固更长。这时应按照角部植筋条件计算植筋的锚固长度，相同受力区域的植筋</w:t>
      </w:r>
      <w:r>
        <w:rPr>
          <w:rFonts w:hint="eastAsia" w:ascii="宋体" w:cs="宋体" w:hAnsiTheme="minorHAnsi"/>
          <w:i/>
          <w:iCs/>
          <w:color w:val="0070C0"/>
          <w:sz w:val="24"/>
          <w:szCs w:val="24"/>
        </w:rPr>
        <w:t>宜按最大锚固长度统一取值，且同一截面的受拉钢筋应选择相同直径和强度的钢筋。</w:t>
      </w:r>
    </w:p>
    <w:p>
      <w:pPr>
        <w:autoSpaceDE w:val="0"/>
        <w:autoSpaceDN w:val="0"/>
        <w:adjustRightInd w:val="0"/>
        <w:spacing w:after="0" w:line="360" w:lineRule="auto"/>
        <w:rPr>
          <w:color w:val="auto"/>
          <w:sz w:val="24"/>
          <w:szCs w:val="24"/>
        </w:rPr>
      </w:pPr>
      <w:r>
        <w:rPr>
          <w:rFonts w:hint="eastAsia"/>
          <w:b/>
          <w:bCs/>
          <w:color w:val="auto"/>
          <w:sz w:val="24"/>
          <w:szCs w:val="24"/>
        </w:rPr>
        <w:t>4.2.1</w:t>
      </w:r>
      <w:r>
        <w:rPr>
          <w:rFonts w:hint="eastAsia"/>
          <w:b/>
          <w:bCs/>
          <w:color w:val="auto"/>
          <w:sz w:val="24"/>
          <w:szCs w:val="24"/>
          <w:lang w:val="en-US" w:eastAsia="zh-CN"/>
        </w:rPr>
        <w:t>0</w:t>
      </w:r>
      <w:r>
        <w:rPr>
          <w:b/>
          <w:bCs/>
          <w:color w:val="auto"/>
          <w:sz w:val="24"/>
          <w:szCs w:val="24"/>
        </w:rPr>
        <w:t xml:space="preserve"> </w:t>
      </w:r>
      <w:r>
        <w:rPr>
          <w:rFonts w:hint="eastAsia"/>
          <w:color w:val="auto"/>
          <w:sz w:val="24"/>
          <w:szCs w:val="24"/>
        </w:rPr>
        <w:t>植筋的锚固长度基准值</w:t>
      </w:r>
      <w:r>
        <w:rPr>
          <w:i/>
          <w:iCs/>
          <w:color w:val="auto"/>
          <w:sz w:val="24"/>
          <w:szCs w:val="24"/>
        </w:rPr>
        <w:t>l</w:t>
      </w:r>
      <w:r>
        <w:rPr>
          <w:rFonts w:hint="eastAsia"/>
          <w:color w:val="auto"/>
          <w:sz w:val="24"/>
          <w:szCs w:val="24"/>
          <w:vertAlign w:val="subscript"/>
        </w:rPr>
        <w:t>b</w:t>
      </w:r>
      <w:r>
        <w:rPr>
          <w:i/>
          <w:iCs/>
          <w:color w:val="auto"/>
          <w:sz w:val="24"/>
          <w:szCs w:val="24"/>
        </w:rPr>
        <w:t xml:space="preserve"> </w:t>
      </w:r>
      <w:r>
        <w:rPr>
          <w:rFonts w:hint="eastAsia" w:ascii="宋体" w:cs="宋体"/>
          <w:color w:val="auto"/>
          <w:sz w:val="24"/>
          <w:szCs w:val="24"/>
        </w:rPr>
        <w:t>应按下式计算。</w:t>
      </w:r>
    </w:p>
    <w:p>
      <w:pPr>
        <w:autoSpaceDE w:val="0"/>
        <w:autoSpaceDN w:val="0"/>
        <w:adjustRightInd w:val="0"/>
        <w:spacing w:after="0" w:line="360" w:lineRule="auto"/>
        <w:jc w:val="right"/>
        <w:rPr>
          <w:rFonts w:ascii="宋体" w:cs="宋体"/>
          <w:color w:val="auto"/>
          <w:sz w:val="24"/>
          <w:szCs w:val="24"/>
        </w:rPr>
      </w:pPr>
      <w:bookmarkStart w:id="34" w:name="_Hlk131512941"/>
      <w:bookmarkStart w:id="35" w:name="_Hlk138681453"/>
      <m:oMath>
        <m:sSub>
          <m:sSubPr>
            <m:ctrlPr>
              <w:rPr>
                <w:rFonts w:ascii="Cambria Math" w:hAnsi="Cambria Math" w:cs="宋体"/>
                <w:i/>
                <w:color w:val="auto"/>
                <w:sz w:val="24"/>
                <w:szCs w:val="24"/>
              </w:rPr>
            </m:ctrlPr>
          </m:sSubPr>
          <m:e>
            <m:r>
              <m:rPr/>
              <w:rPr>
                <w:rFonts w:ascii="Cambria Math" w:hAnsi="Cambria Math" w:cs="宋体"/>
                <w:color w:val="auto"/>
                <w:sz w:val="24"/>
                <w:szCs w:val="24"/>
              </w:rPr>
              <m:t>l</m:t>
            </m:r>
            <m:ctrlPr>
              <w:rPr>
                <w:rFonts w:ascii="Cambria Math" w:hAnsi="Cambria Math" w:cs="宋体"/>
                <w:i/>
                <w:color w:val="auto"/>
                <w:sz w:val="24"/>
                <w:szCs w:val="24"/>
              </w:rPr>
            </m:ctrlPr>
          </m:e>
          <m:sub>
            <m:r>
              <m:rPr/>
              <w:rPr>
                <w:rFonts w:ascii="Cambria Math" w:hAnsi="Cambria Math" w:cs="宋体"/>
                <w:color w:val="auto"/>
                <w:sz w:val="24"/>
                <w:szCs w:val="24"/>
              </w:rPr>
              <m:t>b</m:t>
            </m:r>
            <m:ctrlPr>
              <w:rPr>
                <w:rFonts w:ascii="Cambria Math" w:hAnsi="Cambria Math" w:cs="宋体"/>
                <w:i/>
                <w:color w:val="auto"/>
                <w:sz w:val="24"/>
                <w:szCs w:val="24"/>
              </w:rPr>
            </m:ctrlPr>
          </m:sub>
        </m:sSub>
        <m:r>
          <m:rPr/>
          <w:rPr>
            <w:rFonts w:ascii="Cambria Math" w:hAnsi="Cambria Math" w:cs="宋体"/>
            <w:color w:val="auto"/>
            <w:sz w:val="24"/>
            <w:szCs w:val="24"/>
          </w:rPr>
          <m:t>=0.25∙</m:t>
        </m:r>
        <m:r>
          <m:rPr/>
          <w:rPr>
            <w:rFonts w:hint="eastAsia" w:ascii="Cambria Math" w:hAnsi="Cambria Math" w:cs="宋体"/>
            <w:color w:val="auto"/>
            <w:sz w:val="24"/>
            <w:szCs w:val="24"/>
          </w:rPr>
          <m:t>d</m:t>
        </m:r>
        <m:r>
          <m:rPr/>
          <w:rPr>
            <w:rFonts w:ascii="Cambria Math" w:hAnsi="Cambria Math" w:cs="宋体"/>
            <w:color w:val="auto"/>
            <w:sz w:val="24"/>
            <w:szCs w:val="24"/>
          </w:rPr>
          <m:t>∙</m:t>
        </m:r>
        <m:f>
          <m:fPr>
            <m:type m:val="lin"/>
            <m:ctrlPr>
              <w:rPr>
                <w:rFonts w:ascii="Cambria Math" w:hAnsi="Cambria Math" w:cs="宋体"/>
                <w:i/>
                <w:color w:val="auto"/>
                <w:sz w:val="24"/>
                <w:szCs w:val="24"/>
              </w:rPr>
            </m:ctrlPr>
          </m:fPr>
          <m:num>
            <m:sSub>
              <m:sSubPr>
                <m:ctrlPr>
                  <w:rPr>
                    <w:rFonts w:ascii="Cambria Math" w:hAnsi="Cambria Math" w:cs="宋体"/>
                    <w:i/>
                    <w:color w:val="auto"/>
                    <w:sz w:val="24"/>
                    <w:szCs w:val="24"/>
                  </w:rPr>
                </m:ctrlPr>
              </m:sSubPr>
              <m:e>
                <m:r>
                  <m:rPr/>
                  <w:rPr>
                    <w:rFonts w:hint="eastAsia" w:ascii="Cambria Math" w:hAnsi="Cambria Math" w:cs="宋体"/>
                    <w:color w:val="auto"/>
                    <w:sz w:val="24"/>
                    <w:szCs w:val="24"/>
                  </w:rPr>
                  <m:t>f</m:t>
                </m:r>
                <m:ctrlPr>
                  <w:rPr>
                    <w:rFonts w:ascii="Cambria Math" w:hAnsi="Cambria Math" w:cs="宋体"/>
                    <w:i/>
                    <w:color w:val="auto"/>
                    <w:sz w:val="24"/>
                    <w:szCs w:val="24"/>
                  </w:rPr>
                </m:ctrlPr>
              </m:e>
              <m:sub>
                <m:r>
                  <m:rPr/>
                  <w:rPr>
                    <w:rFonts w:ascii="Cambria Math" w:hAnsi="Cambria Math" w:cs="宋体"/>
                    <w:color w:val="auto"/>
                    <w:sz w:val="24"/>
                    <w:szCs w:val="24"/>
                  </w:rPr>
                  <m:t>s</m:t>
                </m:r>
                <m:ctrlPr>
                  <w:rPr>
                    <w:rFonts w:ascii="Cambria Math" w:hAnsi="Cambria Math" w:cs="宋体"/>
                    <w:i/>
                    <w:color w:val="auto"/>
                    <w:sz w:val="24"/>
                    <w:szCs w:val="24"/>
                  </w:rPr>
                </m:ctrlPr>
              </m:sub>
            </m:sSub>
            <m:ctrlPr>
              <w:rPr>
                <w:rFonts w:ascii="Cambria Math" w:hAnsi="Cambria Math" w:cs="宋体"/>
                <w:i/>
                <w:color w:val="auto"/>
                <w:sz w:val="24"/>
                <w:szCs w:val="24"/>
              </w:rPr>
            </m:ctrlPr>
          </m:num>
          <m:den>
            <m:sSub>
              <m:sSubPr>
                <m:ctrlPr>
                  <w:rPr>
                    <w:rFonts w:ascii="Cambria Math" w:hAnsi="Cambria Math" w:cs="宋体"/>
                    <w:i/>
                    <w:color w:val="auto"/>
                    <w:sz w:val="24"/>
                    <w:szCs w:val="24"/>
                  </w:rPr>
                </m:ctrlPr>
              </m:sSubPr>
              <m:e>
                <m:r>
                  <m:rPr/>
                  <w:rPr>
                    <w:rFonts w:ascii="Cambria Math" w:hAnsi="Cambria Math" w:cs="宋体"/>
                    <w:color w:val="auto"/>
                    <w:sz w:val="24"/>
                    <w:szCs w:val="24"/>
                  </w:rPr>
                  <m:t>f</m:t>
                </m:r>
                <m:ctrlPr>
                  <w:rPr>
                    <w:rFonts w:ascii="Cambria Math" w:hAnsi="Cambria Math" w:cs="宋体"/>
                    <w:i/>
                    <w:color w:val="auto"/>
                    <w:sz w:val="24"/>
                    <w:szCs w:val="24"/>
                  </w:rPr>
                </m:ctrlPr>
              </m:e>
              <m:sub>
                <m:r>
                  <m:rPr/>
                  <w:rPr>
                    <w:rFonts w:ascii="Cambria Math" w:hAnsi="Cambria Math" w:cs="宋体"/>
                    <w:color w:val="auto"/>
                    <w:sz w:val="24"/>
                    <w:szCs w:val="24"/>
                  </w:rPr>
                  <m:t>bd,PIR,A</m:t>
                </m:r>
                <m:ctrlPr>
                  <w:rPr>
                    <w:rFonts w:ascii="Cambria Math" w:hAnsi="Cambria Math" w:cs="宋体"/>
                    <w:i/>
                    <w:color w:val="auto"/>
                    <w:sz w:val="24"/>
                    <w:szCs w:val="24"/>
                  </w:rPr>
                </m:ctrlPr>
              </m:sub>
            </m:sSub>
            <m:ctrlPr>
              <w:rPr>
                <w:rFonts w:ascii="Cambria Math" w:hAnsi="Cambria Math" w:cs="宋体"/>
                <w:i/>
                <w:color w:val="auto"/>
                <w:sz w:val="24"/>
                <w:szCs w:val="24"/>
              </w:rPr>
            </m:ctrlPr>
          </m:den>
        </m:f>
      </m:oMath>
      <w:r>
        <w:rPr>
          <w:rFonts w:ascii="宋体" w:cs="宋体"/>
          <w:color w:val="auto"/>
          <w:sz w:val="24"/>
          <w:szCs w:val="24"/>
        </w:rPr>
        <w:t xml:space="preserve"> </w:t>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ab/>
      </w:r>
      <w:r>
        <w:rPr>
          <w:rFonts w:ascii="宋体" w:cs="宋体"/>
          <w:color w:val="auto"/>
          <w:sz w:val="24"/>
          <w:szCs w:val="24"/>
        </w:rPr>
        <w:t>(</w:t>
      </w:r>
      <w:bookmarkEnd w:id="34"/>
      <w:r>
        <w:rPr>
          <w:rFonts w:hint="eastAsia" w:ascii="宋体" w:cs="宋体"/>
          <w:color w:val="auto"/>
          <w:sz w:val="24"/>
          <w:szCs w:val="24"/>
        </w:rPr>
        <w:t>4.2.</w:t>
      </w:r>
      <w:r>
        <w:rPr>
          <w:rFonts w:ascii="宋体" w:cs="宋体"/>
          <w:color w:val="auto"/>
          <w:sz w:val="24"/>
          <w:szCs w:val="24"/>
        </w:rPr>
        <w:t>1</w:t>
      </w:r>
      <w:r>
        <w:rPr>
          <w:rFonts w:hint="eastAsia" w:ascii="宋体" w:cs="宋体"/>
          <w:color w:val="auto"/>
          <w:sz w:val="24"/>
          <w:szCs w:val="24"/>
          <w:lang w:val="en-US" w:eastAsia="zh-CN"/>
        </w:rPr>
        <w:t>0</w:t>
      </w:r>
      <w:r>
        <w:rPr>
          <w:rFonts w:ascii="宋体" w:cs="宋体"/>
          <w:color w:val="auto"/>
          <w:sz w:val="24"/>
          <w:szCs w:val="24"/>
        </w:rPr>
        <w:t>)</w:t>
      </w:r>
    </w:p>
    <w:bookmarkEnd w:id="35"/>
    <w:tbl>
      <w:tblPr>
        <w:tblStyle w:val="28"/>
        <w:tblW w:w="8550"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8"/>
        <w:gridCol w:w="957"/>
        <w:gridCol w:w="364"/>
        <w:gridCol w:w="6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8" w:type="dxa"/>
          </w:tcPr>
          <w:p>
            <w:pPr>
              <w:spacing w:after="0" w:line="360" w:lineRule="auto"/>
              <w:rPr>
                <w:iCs/>
                <w:color w:val="auto"/>
                <w:sz w:val="24"/>
                <w:szCs w:val="24"/>
              </w:rPr>
            </w:pPr>
            <w:r>
              <w:rPr>
                <w:rFonts w:hint="eastAsia"/>
                <w:iCs/>
                <w:color w:val="auto"/>
                <w:sz w:val="24"/>
                <w:szCs w:val="24"/>
              </w:rPr>
              <w:t>式中</w:t>
            </w:r>
            <w:r>
              <w:rPr>
                <w:iCs/>
                <w:color w:val="auto"/>
                <w:sz w:val="24"/>
                <w:szCs w:val="24"/>
              </w:rPr>
              <w:t>:</w:t>
            </w:r>
          </w:p>
        </w:tc>
        <w:tc>
          <w:tcPr>
            <w:tcW w:w="957" w:type="dxa"/>
          </w:tcPr>
          <w:p>
            <w:pPr>
              <w:spacing w:after="0" w:line="360" w:lineRule="auto"/>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oMath>
            </m:oMathPara>
          </w:p>
        </w:tc>
        <w:tc>
          <w:tcPr>
            <w:tcW w:w="364" w:type="dxa"/>
          </w:tcPr>
          <w:p>
            <w:pPr>
              <w:spacing w:after="0" w:line="360" w:lineRule="auto"/>
              <w:rPr>
                <w:iCs/>
                <w:color w:val="auto"/>
                <w:sz w:val="24"/>
                <w:szCs w:val="24"/>
              </w:rPr>
            </w:pPr>
            <w:r>
              <w:rPr>
                <w:rFonts w:hint="eastAsia"/>
                <w:color w:val="auto"/>
                <w:sz w:val="24"/>
                <w:szCs w:val="24"/>
              </w:rPr>
              <w:t>—</w:t>
            </w:r>
          </w:p>
        </w:tc>
        <w:tc>
          <w:tcPr>
            <w:tcW w:w="6421" w:type="dxa"/>
          </w:tcPr>
          <w:p>
            <w:pPr>
              <w:autoSpaceDE w:val="0"/>
              <w:autoSpaceDN w:val="0"/>
              <w:adjustRightInd w:val="0"/>
              <w:spacing w:after="0" w:line="360" w:lineRule="auto"/>
              <w:jc w:val="left"/>
              <w:rPr>
                <w:sz w:val="24"/>
                <w:szCs w:val="24"/>
              </w:rPr>
            </w:pPr>
            <w:r>
              <w:rPr>
                <w:rFonts w:hint="eastAsia"/>
                <w:bCs/>
                <w:color w:val="auto"/>
                <w:sz w:val="24"/>
                <w:szCs w:val="24"/>
              </w:rPr>
              <w:t>植筋用钢筋的抗拉强度设计值，一般情况下</w:t>
            </w: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m:t>
                  </m:r>
                  <m:ctrlPr>
                    <w:rPr>
                      <w:rFonts w:ascii="Cambria Math" w:hAnsi="Cambria Math"/>
                      <w:i/>
                      <w:color w:val="auto"/>
                      <w:sz w:val="24"/>
                      <w:szCs w:val="24"/>
                    </w:rPr>
                  </m:ctrlPr>
                </m:sub>
              </m:sSub>
            </m:oMath>
            <w:r>
              <w:rPr>
                <w:bCs/>
                <w:color w:val="auto"/>
                <w:sz w:val="24"/>
                <w:szCs w:val="24"/>
              </w:rPr>
              <w:t xml:space="preserve">  (N/mm</w:t>
            </w:r>
            <w:r>
              <w:rPr>
                <w:bCs/>
                <w:color w:val="auto"/>
                <w:sz w:val="24"/>
                <w:szCs w:val="24"/>
                <w:vertAlign w:val="superscript"/>
              </w:rPr>
              <w:t>2</w:t>
            </w:r>
            <w:r>
              <w:rPr>
                <w:bCs/>
                <w:color w:val="auto"/>
                <w:sz w:val="24"/>
                <w:szCs w:val="24"/>
              </w:rPr>
              <w:t>)</w:t>
            </w:r>
            <w:r>
              <w:rPr>
                <w:rFonts w:hint="eastAsia"/>
                <w:b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8" w:type="dxa"/>
          </w:tcPr>
          <w:p>
            <w:pPr>
              <w:spacing w:after="0" w:line="360" w:lineRule="auto"/>
              <w:rPr>
                <w:rFonts w:hint="eastAsia"/>
                <w:iCs/>
                <w:color w:val="auto"/>
                <w:sz w:val="24"/>
                <w:szCs w:val="24"/>
              </w:rPr>
            </w:pPr>
          </w:p>
        </w:tc>
        <w:tc>
          <w:tcPr>
            <w:tcW w:w="957" w:type="dxa"/>
          </w:tcPr>
          <w:p>
            <w:pPr>
              <w:spacing w:after="0" w:line="360" w:lineRule="auto"/>
              <w:rPr>
                <w:rFonts w:ascii="Cambria Math" w:hAnsi="Cambria Math"/>
                <w:i/>
                <w:color w:val="auto"/>
                <w:sz w:val="24"/>
                <w:szCs w:val="24"/>
                <w:oMath/>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bd,PIR,A</m:t>
                    </m:r>
                    <m:ctrlPr>
                      <w:rPr>
                        <w:rFonts w:ascii="Cambria Math" w:hAnsi="Cambria Math"/>
                        <w:i/>
                        <w:color w:val="auto"/>
                        <w:sz w:val="24"/>
                        <w:szCs w:val="24"/>
                      </w:rPr>
                    </m:ctrlPr>
                  </m:sub>
                </m:sSub>
              </m:oMath>
            </m:oMathPara>
          </w:p>
        </w:tc>
        <w:tc>
          <w:tcPr>
            <w:tcW w:w="364" w:type="dxa"/>
          </w:tcPr>
          <w:p>
            <w:pPr>
              <w:spacing w:after="0" w:line="360" w:lineRule="auto"/>
              <w:rPr>
                <w:rFonts w:hint="eastAsia"/>
                <w:color w:val="auto"/>
                <w:sz w:val="24"/>
                <w:szCs w:val="24"/>
              </w:rPr>
            </w:pPr>
            <w:r>
              <w:rPr>
                <w:rFonts w:hint="eastAsia"/>
                <w:color w:val="auto"/>
                <w:sz w:val="24"/>
                <w:szCs w:val="24"/>
              </w:rPr>
              <w:t>—</w:t>
            </w:r>
          </w:p>
        </w:tc>
        <w:tc>
          <w:tcPr>
            <w:tcW w:w="6421" w:type="dxa"/>
          </w:tcPr>
          <w:p>
            <w:pPr>
              <w:autoSpaceDE w:val="0"/>
              <w:autoSpaceDN w:val="0"/>
              <w:adjustRightInd w:val="0"/>
              <w:spacing w:after="0" w:line="360" w:lineRule="auto"/>
              <w:jc w:val="left"/>
              <w:rPr>
                <w:rFonts w:hint="eastAsia" w:eastAsia="宋体"/>
                <w:bCs/>
                <w:color w:val="auto"/>
                <w:sz w:val="24"/>
                <w:szCs w:val="24"/>
                <w:lang w:eastAsia="zh-CN"/>
              </w:rPr>
            </w:pPr>
            <w:r>
              <w:rPr>
                <w:rFonts w:hint="eastAsia"/>
                <w:color w:val="auto"/>
                <w:kern w:val="2"/>
                <w:sz w:val="24"/>
                <w:szCs w:val="24"/>
              </w:rPr>
              <w:t>植筋用胶粘剂的粘结强度设计值</w:t>
            </w:r>
            <w:r>
              <w:rPr>
                <w:rFonts w:hint="eastAsia"/>
                <w:color w:val="auto"/>
                <w:kern w:val="2"/>
                <w:sz w:val="24"/>
                <w:szCs w:val="24"/>
                <w:lang w:eastAsia="zh-CN"/>
              </w:rPr>
              <w:t>，</w:t>
            </w:r>
            <w:r>
              <w:rPr>
                <w:rFonts w:hint="eastAsia"/>
                <w:color w:val="auto"/>
                <w:kern w:val="2"/>
                <w:sz w:val="24"/>
                <w:szCs w:val="24"/>
                <w:lang w:val="en-US" w:eastAsia="zh-CN"/>
              </w:rPr>
              <w:t>可按</w:t>
            </w:r>
            <w:r>
              <w:rPr>
                <w:rFonts w:hint="eastAsia"/>
                <w:bCs/>
                <w:color w:val="auto"/>
                <w:sz w:val="24"/>
                <w:szCs w:val="24"/>
              </w:rPr>
              <w:t>表4.2.1</w:t>
            </w:r>
            <w:r>
              <w:rPr>
                <w:bCs/>
                <w:color w:val="auto"/>
                <w:sz w:val="24"/>
                <w:szCs w:val="24"/>
              </w:rPr>
              <w:t>3</w:t>
            </w:r>
            <w:r>
              <w:rPr>
                <w:rFonts w:hint="eastAsia"/>
                <w:bCs/>
                <w:color w:val="auto"/>
                <w:sz w:val="24"/>
                <w:szCs w:val="24"/>
              </w:rPr>
              <w:t>取值</w:t>
            </w:r>
            <w:r>
              <w:rPr>
                <w:rFonts w:hint="eastAsia"/>
                <w:bCs/>
                <w:color w:val="auto"/>
                <w:sz w:val="24"/>
                <w:szCs w:val="24"/>
                <w:lang w:eastAsia="zh-CN"/>
              </w:rPr>
              <w:t>。</w:t>
            </w:r>
          </w:p>
        </w:tc>
      </w:tr>
    </w:tbl>
    <w:p>
      <w:pPr>
        <w:autoSpaceDE w:val="0"/>
        <w:autoSpaceDN w:val="0"/>
        <w:adjustRightInd w:val="0"/>
        <w:spacing w:after="0" w:line="360" w:lineRule="auto"/>
        <w:jc w:val="center"/>
        <w:rPr>
          <w:rFonts w:hint="eastAsia" w:ascii="宋体" w:hAnsi="宋体"/>
          <w:b/>
          <w:bCs/>
          <w:color w:val="auto"/>
          <w:sz w:val="21"/>
          <w:szCs w:val="21"/>
        </w:rPr>
      </w:pPr>
    </w:p>
    <w:p>
      <w:pPr>
        <w:autoSpaceDE w:val="0"/>
        <w:autoSpaceDN w:val="0"/>
        <w:adjustRightInd w:val="0"/>
        <w:spacing w:after="0" w:line="360" w:lineRule="auto"/>
        <w:jc w:val="center"/>
        <w:rPr>
          <w:rFonts w:ascii="宋体" w:hAnsi="宋体"/>
          <w:b/>
          <w:bCs/>
          <w:color w:val="auto"/>
          <w:sz w:val="21"/>
          <w:szCs w:val="21"/>
        </w:rPr>
      </w:pPr>
      <w:r>
        <w:rPr>
          <w:rFonts w:hint="eastAsia" w:ascii="宋体" w:hAnsi="宋体"/>
          <w:b/>
          <w:bCs/>
          <w:color w:val="auto"/>
          <w:sz w:val="21"/>
          <w:szCs w:val="21"/>
        </w:rPr>
        <w:t>表4.2.1</w:t>
      </w:r>
      <w:r>
        <w:rPr>
          <w:rFonts w:hint="eastAsia" w:ascii="宋体" w:hAnsi="宋体"/>
          <w:b/>
          <w:bCs/>
          <w:color w:val="auto"/>
          <w:sz w:val="21"/>
          <w:szCs w:val="21"/>
          <w:lang w:val="en-US" w:eastAsia="zh-CN"/>
        </w:rPr>
        <w:t>0</w:t>
      </w:r>
      <w:r>
        <w:rPr>
          <w:rFonts w:ascii="宋体" w:hAnsi="宋体"/>
          <w:b/>
          <w:bCs/>
          <w:color w:val="auto"/>
          <w:sz w:val="21"/>
          <w:szCs w:val="21"/>
        </w:rPr>
        <w:t xml:space="preserve"> </w:t>
      </w:r>
      <w:r>
        <w:rPr>
          <w:rFonts w:hint="eastAsia" w:ascii="宋体" w:hAnsi="宋体"/>
          <w:b/>
          <w:bCs/>
          <w:color w:val="auto"/>
          <w:sz w:val="21"/>
          <w:szCs w:val="21"/>
        </w:rPr>
        <w:t>有认证报告时</w:t>
      </w:r>
      <w:r>
        <w:rPr>
          <w:rFonts w:hint="eastAsia"/>
          <w:b/>
          <w:bCs/>
          <w:color w:val="auto"/>
          <w:sz w:val="21"/>
          <w:szCs w:val="21"/>
        </w:rPr>
        <w:t>植筋用胶粘剂的</w:t>
      </w:r>
      <w:r>
        <w:rPr>
          <w:rFonts w:hint="eastAsia" w:ascii="宋体" w:hAnsi="宋体"/>
          <w:b/>
          <w:bCs/>
          <w:color w:val="auto"/>
          <w:sz w:val="21"/>
          <w:szCs w:val="21"/>
        </w:rPr>
        <w:t>粘结强度设计值</w:t>
      </w:r>
      <w:bookmarkStart w:id="36" w:name="_Hlk145193787"/>
      <w:r>
        <w:rPr>
          <w:rFonts w:ascii="宋体" w:hAnsi="宋体"/>
          <w:b/>
          <w:bCs/>
          <w:i/>
          <w:iCs/>
          <w:color w:val="auto"/>
          <w:sz w:val="21"/>
          <w:szCs w:val="21"/>
        </w:rPr>
        <w:t>f</w:t>
      </w:r>
      <w:r>
        <w:rPr>
          <w:rFonts w:ascii="宋体" w:hAnsi="宋体"/>
          <w:b/>
          <w:bCs/>
          <w:color w:val="auto"/>
          <w:sz w:val="21"/>
          <w:szCs w:val="21"/>
          <w:vertAlign w:val="subscript"/>
        </w:rPr>
        <w:t xml:space="preserve">bd,PIR,A </w:t>
      </w:r>
      <w:bookmarkEnd w:id="36"/>
      <w:r>
        <w:rPr>
          <w:rFonts w:ascii="宋体" w:hAnsi="宋体"/>
          <w:b/>
          <w:bCs/>
          <w:color w:val="auto"/>
          <w:sz w:val="21"/>
          <w:szCs w:val="21"/>
        </w:rPr>
        <w:t>(N/mm</w:t>
      </w:r>
      <w:r>
        <w:rPr>
          <w:rFonts w:ascii="宋体" w:hAnsi="宋体"/>
          <w:b/>
          <w:bCs/>
          <w:color w:val="auto"/>
          <w:sz w:val="21"/>
          <w:szCs w:val="21"/>
          <w:vertAlign w:val="superscript"/>
        </w:rPr>
        <w:t>2</w:t>
      </w:r>
      <w:r>
        <w:rPr>
          <w:rFonts w:ascii="宋体" w:hAnsi="宋体"/>
          <w:b/>
          <w:bCs/>
          <w:color w:val="auto"/>
          <w:sz w:val="21"/>
          <w:szCs w:val="21"/>
        </w:rPr>
        <w:t>)</w:t>
      </w:r>
    </w:p>
    <w:tbl>
      <w:tblPr>
        <w:tblStyle w:val="28"/>
        <w:tblW w:w="8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810"/>
        <w:gridCol w:w="810"/>
        <w:gridCol w:w="810"/>
        <w:gridCol w:w="810"/>
        <w:gridCol w:w="720"/>
        <w:gridCol w:w="720"/>
        <w:gridCol w:w="720"/>
        <w:gridCol w:w="72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38" w:type="dxa"/>
          </w:tcPr>
          <w:p>
            <w:pPr>
              <w:spacing w:after="0" w:line="360" w:lineRule="auto"/>
              <w:rPr>
                <w:color w:val="auto"/>
                <w:sz w:val="21"/>
                <w:szCs w:val="21"/>
              </w:rPr>
            </w:pPr>
            <w:r>
              <w:rPr>
                <w:rFonts w:hint="eastAsia"/>
                <w:color w:val="auto"/>
                <w:sz w:val="21"/>
                <w:szCs w:val="21"/>
              </w:rPr>
              <w:t>混凝土强度</w:t>
            </w:r>
          </w:p>
        </w:tc>
        <w:tc>
          <w:tcPr>
            <w:tcW w:w="810" w:type="dxa"/>
          </w:tcPr>
          <w:p>
            <w:pPr>
              <w:spacing w:after="0" w:line="360" w:lineRule="auto"/>
              <w:jc w:val="center"/>
              <w:rPr>
                <w:color w:val="auto"/>
                <w:sz w:val="21"/>
                <w:szCs w:val="21"/>
              </w:rPr>
            </w:pPr>
            <w:r>
              <w:rPr>
                <w:rFonts w:hint="eastAsia"/>
                <w:color w:val="auto"/>
                <w:sz w:val="21"/>
                <w:szCs w:val="21"/>
              </w:rPr>
              <w:t>C20</w:t>
            </w:r>
          </w:p>
        </w:tc>
        <w:tc>
          <w:tcPr>
            <w:tcW w:w="810" w:type="dxa"/>
          </w:tcPr>
          <w:p>
            <w:pPr>
              <w:spacing w:after="0" w:line="360" w:lineRule="auto"/>
              <w:jc w:val="center"/>
              <w:rPr>
                <w:color w:val="auto"/>
                <w:sz w:val="21"/>
                <w:szCs w:val="21"/>
              </w:rPr>
            </w:pPr>
            <w:r>
              <w:rPr>
                <w:color w:val="auto"/>
                <w:sz w:val="21"/>
                <w:szCs w:val="21"/>
              </w:rPr>
              <w:t>C25</w:t>
            </w:r>
          </w:p>
        </w:tc>
        <w:tc>
          <w:tcPr>
            <w:tcW w:w="810" w:type="dxa"/>
          </w:tcPr>
          <w:p>
            <w:pPr>
              <w:spacing w:after="0" w:line="360" w:lineRule="auto"/>
              <w:jc w:val="center"/>
              <w:rPr>
                <w:color w:val="auto"/>
                <w:sz w:val="21"/>
                <w:szCs w:val="21"/>
              </w:rPr>
            </w:pPr>
            <w:r>
              <w:rPr>
                <w:color w:val="auto"/>
                <w:sz w:val="21"/>
                <w:szCs w:val="21"/>
              </w:rPr>
              <w:t>C30</w:t>
            </w:r>
          </w:p>
        </w:tc>
        <w:tc>
          <w:tcPr>
            <w:tcW w:w="810" w:type="dxa"/>
          </w:tcPr>
          <w:p>
            <w:pPr>
              <w:spacing w:after="0" w:line="360" w:lineRule="auto"/>
              <w:jc w:val="center"/>
              <w:rPr>
                <w:color w:val="auto"/>
                <w:sz w:val="21"/>
                <w:szCs w:val="21"/>
              </w:rPr>
            </w:pPr>
            <w:r>
              <w:rPr>
                <w:color w:val="auto"/>
                <w:sz w:val="21"/>
                <w:szCs w:val="21"/>
              </w:rPr>
              <w:t>C35</w:t>
            </w:r>
          </w:p>
        </w:tc>
        <w:tc>
          <w:tcPr>
            <w:tcW w:w="720" w:type="dxa"/>
          </w:tcPr>
          <w:p>
            <w:pPr>
              <w:spacing w:after="0" w:line="360" w:lineRule="auto"/>
              <w:jc w:val="center"/>
              <w:rPr>
                <w:color w:val="auto"/>
                <w:sz w:val="21"/>
                <w:szCs w:val="21"/>
              </w:rPr>
            </w:pPr>
            <w:r>
              <w:rPr>
                <w:rFonts w:hint="eastAsia"/>
                <w:color w:val="auto"/>
                <w:sz w:val="21"/>
                <w:szCs w:val="21"/>
              </w:rPr>
              <w:t>C40</w:t>
            </w:r>
          </w:p>
        </w:tc>
        <w:tc>
          <w:tcPr>
            <w:tcW w:w="720" w:type="dxa"/>
          </w:tcPr>
          <w:p>
            <w:pPr>
              <w:spacing w:after="0" w:line="360" w:lineRule="auto"/>
              <w:jc w:val="center"/>
              <w:rPr>
                <w:color w:val="auto"/>
                <w:sz w:val="21"/>
                <w:szCs w:val="21"/>
              </w:rPr>
            </w:pPr>
            <w:r>
              <w:rPr>
                <w:color w:val="auto"/>
                <w:sz w:val="21"/>
                <w:szCs w:val="21"/>
              </w:rPr>
              <w:t>C45</w:t>
            </w:r>
          </w:p>
        </w:tc>
        <w:tc>
          <w:tcPr>
            <w:tcW w:w="720" w:type="dxa"/>
          </w:tcPr>
          <w:p>
            <w:pPr>
              <w:spacing w:after="0" w:line="360" w:lineRule="auto"/>
              <w:jc w:val="center"/>
              <w:rPr>
                <w:color w:val="auto"/>
                <w:sz w:val="21"/>
                <w:szCs w:val="21"/>
              </w:rPr>
            </w:pPr>
            <w:r>
              <w:rPr>
                <w:color w:val="auto"/>
                <w:sz w:val="21"/>
                <w:szCs w:val="21"/>
              </w:rPr>
              <w:t>C50</w:t>
            </w:r>
          </w:p>
        </w:tc>
        <w:tc>
          <w:tcPr>
            <w:tcW w:w="720" w:type="dxa"/>
          </w:tcPr>
          <w:p>
            <w:pPr>
              <w:spacing w:after="0" w:line="360" w:lineRule="auto"/>
              <w:jc w:val="center"/>
              <w:rPr>
                <w:color w:val="auto"/>
                <w:sz w:val="21"/>
                <w:szCs w:val="21"/>
              </w:rPr>
            </w:pPr>
            <w:r>
              <w:rPr>
                <w:color w:val="auto"/>
                <w:sz w:val="21"/>
                <w:szCs w:val="21"/>
              </w:rPr>
              <w:t>C55</w:t>
            </w:r>
          </w:p>
        </w:tc>
        <w:tc>
          <w:tcPr>
            <w:tcW w:w="704" w:type="dxa"/>
          </w:tcPr>
          <w:p>
            <w:pPr>
              <w:spacing w:after="0" w:line="360" w:lineRule="auto"/>
              <w:jc w:val="center"/>
              <w:rPr>
                <w:color w:val="auto"/>
                <w:sz w:val="21"/>
                <w:szCs w:val="21"/>
              </w:rPr>
            </w:pPr>
            <w:r>
              <w:rPr>
                <w:color w:val="auto"/>
                <w:sz w:val="21"/>
                <w:szCs w:val="21"/>
              </w:rPr>
              <w:t>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38" w:type="dxa"/>
          </w:tcPr>
          <w:p>
            <w:pPr>
              <w:spacing w:after="0" w:line="360" w:lineRule="auto"/>
              <w:rPr>
                <w:color w:val="auto"/>
                <w:sz w:val="21"/>
                <w:szCs w:val="21"/>
              </w:rPr>
            </w:pPr>
            <w:r>
              <w:rPr>
                <w:rFonts w:ascii="宋体" w:hAnsi="宋体"/>
                <w:i/>
                <w:iCs/>
                <w:color w:val="auto"/>
                <w:sz w:val="21"/>
                <w:szCs w:val="21"/>
              </w:rPr>
              <w:t>f</w:t>
            </w:r>
            <w:r>
              <w:rPr>
                <w:rFonts w:ascii="宋体" w:hAnsi="宋体"/>
                <w:color w:val="auto"/>
                <w:sz w:val="21"/>
                <w:szCs w:val="21"/>
                <w:vertAlign w:val="subscript"/>
              </w:rPr>
              <w:t>bd,PIR,A</w:t>
            </w:r>
          </w:p>
        </w:tc>
        <w:tc>
          <w:tcPr>
            <w:tcW w:w="810" w:type="dxa"/>
          </w:tcPr>
          <w:p>
            <w:pPr>
              <w:spacing w:after="0" w:line="360" w:lineRule="auto"/>
              <w:jc w:val="center"/>
              <w:rPr>
                <w:color w:val="auto"/>
                <w:sz w:val="21"/>
                <w:szCs w:val="21"/>
              </w:rPr>
            </w:pPr>
            <w:r>
              <w:rPr>
                <w:color w:val="auto"/>
                <w:sz w:val="21"/>
                <w:szCs w:val="21"/>
              </w:rPr>
              <w:t>2.0</w:t>
            </w:r>
          </w:p>
        </w:tc>
        <w:tc>
          <w:tcPr>
            <w:tcW w:w="810" w:type="dxa"/>
          </w:tcPr>
          <w:p>
            <w:pPr>
              <w:spacing w:after="0" w:line="360" w:lineRule="auto"/>
              <w:jc w:val="center"/>
              <w:rPr>
                <w:color w:val="auto"/>
                <w:sz w:val="21"/>
                <w:szCs w:val="21"/>
              </w:rPr>
            </w:pPr>
            <w:r>
              <w:rPr>
                <w:color w:val="auto"/>
                <w:sz w:val="21"/>
                <w:szCs w:val="21"/>
              </w:rPr>
              <w:t>2.3</w:t>
            </w:r>
          </w:p>
        </w:tc>
        <w:tc>
          <w:tcPr>
            <w:tcW w:w="810" w:type="dxa"/>
          </w:tcPr>
          <w:p>
            <w:pPr>
              <w:spacing w:after="0" w:line="360" w:lineRule="auto"/>
              <w:jc w:val="center"/>
              <w:rPr>
                <w:color w:val="auto"/>
                <w:sz w:val="21"/>
                <w:szCs w:val="21"/>
              </w:rPr>
            </w:pPr>
            <w:r>
              <w:rPr>
                <w:color w:val="auto"/>
                <w:sz w:val="21"/>
                <w:szCs w:val="21"/>
              </w:rPr>
              <w:t>2.7</w:t>
            </w:r>
          </w:p>
        </w:tc>
        <w:tc>
          <w:tcPr>
            <w:tcW w:w="810" w:type="dxa"/>
          </w:tcPr>
          <w:p>
            <w:pPr>
              <w:spacing w:after="0" w:line="360" w:lineRule="auto"/>
              <w:jc w:val="center"/>
              <w:rPr>
                <w:color w:val="auto"/>
                <w:sz w:val="21"/>
                <w:szCs w:val="21"/>
              </w:rPr>
            </w:pPr>
            <w:r>
              <w:rPr>
                <w:color w:val="auto"/>
                <w:sz w:val="21"/>
                <w:szCs w:val="21"/>
              </w:rPr>
              <w:t>2.9</w:t>
            </w:r>
          </w:p>
        </w:tc>
        <w:tc>
          <w:tcPr>
            <w:tcW w:w="720" w:type="dxa"/>
          </w:tcPr>
          <w:p>
            <w:pPr>
              <w:spacing w:after="0" w:line="360" w:lineRule="auto"/>
              <w:jc w:val="center"/>
              <w:rPr>
                <w:color w:val="auto"/>
                <w:sz w:val="21"/>
                <w:szCs w:val="21"/>
              </w:rPr>
            </w:pPr>
            <w:r>
              <w:rPr>
                <w:color w:val="auto"/>
                <w:sz w:val="21"/>
                <w:szCs w:val="21"/>
              </w:rPr>
              <w:t>3.2</w:t>
            </w:r>
          </w:p>
        </w:tc>
        <w:tc>
          <w:tcPr>
            <w:tcW w:w="720" w:type="dxa"/>
          </w:tcPr>
          <w:p>
            <w:pPr>
              <w:spacing w:after="0" w:line="360" w:lineRule="auto"/>
              <w:jc w:val="center"/>
              <w:rPr>
                <w:color w:val="auto"/>
                <w:sz w:val="21"/>
                <w:szCs w:val="21"/>
              </w:rPr>
            </w:pPr>
            <w:r>
              <w:rPr>
                <w:color w:val="auto"/>
                <w:sz w:val="21"/>
                <w:szCs w:val="21"/>
              </w:rPr>
              <w:t>3.4</w:t>
            </w:r>
          </w:p>
        </w:tc>
        <w:tc>
          <w:tcPr>
            <w:tcW w:w="720" w:type="dxa"/>
          </w:tcPr>
          <w:p>
            <w:pPr>
              <w:spacing w:after="0" w:line="360" w:lineRule="auto"/>
              <w:jc w:val="center"/>
              <w:rPr>
                <w:color w:val="auto"/>
                <w:sz w:val="21"/>
                <w:szCs w:val="21"/>
              </w:rPr>
            </w:pPr>
            <w:r>
              <w:rPr>
                <w:color w:val="auto"/>
                <w:sz w:val="21"/>
                <w:szCs w:val="21"/>
              </w:rPr>
              <w:t>3.7</w:t>
            </w:r>
          </w:p>
        </w:tc>
        <w:tc>
          <w:tcPr>
            <w:tcW w:w="720" w:type="dxa"/>
          </w:tcPr>
          <w:p>
            <w:pPr>
              <w:spacing w:after="0" w:line="360" w:lineRule="auto"/>
              <w:jc w:val="center"/>
              <w:rPr>
                <w:color w:val="auto"/>
                <w:sz w:val="21"/>
                <w:szCs w:val="21"/>
              </w:rPr>
            </w:pPr>
            <w:r>
              <w:rPr>
                <w:color w:val="auto"/>
                <w:sz w:val="21"/>
                <w:szCs w:val="21"/>
              </w:rPr>
              <w:t>4.0</w:t>
            </w:r>
          </w:p>
        </w:tc>
        <w:tc>
          <w:tcPr>
            <w:tcW w:w="704" w:type="dxa"/>
          </w:tcPr>
          <w:p>
            <w:pPr>
              <w:spacing w:after="0" w:line="360" w:lineRule="auto"/>
              <w:jc w:val="center"/>
              <w:rPr>
                <w:color w:val="auto"/>
                <w:sz w:val="21"/>
                <w:szCs w:val="21"/>
              </w:rPr>
            </w:pPr>
            <w:r>
              <w:rPr>
                <w:color w:val="auto"/>
                <w:sz w:val="21"/>
                <w:szCs w:val="21"/>
              </w:rPr>
              <w:t>4.3</w:t>
            </w:r>
          </w:p>
        </w:tc>
      </w:tr>
    </w:tbl>
    <w:p>
      <w:pPr>
        <w:autoSpaceDE w:val="0"/>
        <w:autoSpaceDN w:val="0"/>
        <w:adjustRightInd w:val="0"/>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hint="eastAsia" w:ascii="宋体" w:hAnsi="宋体"/>
          <w:b/>
          <w:bCs/>
          <w:i/>
          <w:iCs/>
          <w:color w:val="0070C0"/>
          <w:sz w:val="24"/>
          <w:szCs w:val="24"/>
        </w:rPr>
        <w:t>4</w:t>
      </w:r>
      <w:r>
        <w:rPr>
          <w:rFonts w:ascii="宋体" w:hAnsi="宋体"/>
          <w:b/>
          <w:bCs/>
          <w:i/>
          <w:iCs/>
          <w:color w:val="0070C0"/>
          <w:sz w:val="24"/>
          <w:szCs w:val="24"/>
        </w:rPr>
        <w:t>.2.1</w:t>
      </w:r>
      <w:r>
        <w:rPr>
          <w:rFonts w:hint="eastAsia" w:ascii="宋体" w:hAnsi="宋体"/>
          <w:b/>
          <w:bCs/>
          <w:i/>
          <w:iCs/>
          <w:color w:val="0070C0"/>
          <w:sz w:val="24"/>
          <w:szCs w:val="24"/>
          <w:lang w:val="en-US" w:eastAsia="zh-CN"/>
        </w:rPr>
        <w:t>0</w:t>
      </w:r>
      <w:r>
        <w:rPr>
          <w:rFonts w:ascii="宋体" w:hAnsi="宋体"/>
          <w:i/>
          <w:iCs/>
          <w:color w:val="0070C0"/>
          <w:sz w:val="24"/>
          <w:szCs w:val="24"/>
        </w:rPr>
        <w:t xml:space="preserve"> </w:t>
      </w:r>
      <w:r>
        <w:rPr>
          <w:rFonts w:hint="eastAsia" w:ascii="宋体" w:hAnsi="宋体"/>
          <w:i/>
          <w:iCs/>
          <w:color w:val="0070C0"/>
          <w:sz w:val="24"/>
          <w:szCs w:val="24"/>
        </w:rPr>
        <w:t>本公式参考的是现行欧洲标准EN</w:t>
      </w:r>
      <w:r>
        <w:rPr>
          <w:rFonts w:ascii="宋体" w:hAnsi="宋体"/>
          <w:i/>
          <w:iCs/>
          <w:color w:val="0070C0"/>
          <w:sz w:val="24"/>
          <w:szCs w:val="24"/>
        </w:rPr>
        <w:t>1992</w:t>
      </w:r>
      <w:r>
        <w:rPr>
          <w:rFonts w:hint="eastAsia" w:ascii="宋体" w:hAnsi="宋体"/>
          <w:i/>
          <w:iCs/>
          <w:color w:val="0070C0"/>
          <w:sz w:val="24"/>
          <w:szCs w:val="24"/>
        </w:rPr>
        <w:t>-</w:t>
      </w:r>
      <w:r>
        <w:rPr>
          <w:rFonts w:ascii="宋体" w:hAnsi="宋体"/>
          <w:i/>
          <w:iCs/>
          <w:color w:val="0070C0"/>
          <w:sz w:val="24"/>
          <w:szCs w:val="24"/>
        </w:rPr>
        <w:t>1</w:t>
      </w:r>
      <w:r>
        <w:rPr>
          <w:rFonts w:hint="eastAsia" w:ascii="宋体" w:hAnsi="宋体"/>
          <w:i/>
          <w:iCs/>
          <w:color w:val="0070C0"/>
          <w:sz w:val="24"/>
          <w:szCs w:val="24"/>
        </w:rPr>
        <w:t>中预埋钢筋的锚固长度的计算公式，欧洲的植筋设计与预埋钢筋的设计方法相似，考虑钢筋处于最小保护层厚度1</w:t>
      </w:r>
      <w:r>
        <w:rPr>
          <w:rFonts w:ascii="宋体" w:hAnsi="宋体"/>
          <w:i/>
          <w:iCs/>
          <w:color w:val="0070C0"/>
          <w:sz w:val="24"/>
          <w:szCs w:val="24"/>
        </w:rPr>
        <w:t>d</w:t>
      </w:r>
      <w:r>
        <w:rPr>
          <w:rFonts w:hint="eastAsia" w:ascii="宋体" w:hAnsi="宋体"/>
          <w:i/>
          <w:iCs/>
          <w:color w:val="0070C0"/>
          <w:sz w:val="24"/>
          <w:szCs w:val="24"/>
        </w:rPr>
        <w:t>时对应的粘结强度。基于公式（4.2.</w:t>
      </w:r>
      <w:r>
        <w:rPr>
          <w:rFonts w:ascii="宋体" w:hAnsi="宋体"/>
          <w:i/>
          <w:iCs/>
          <w:color w:val="0070C0"/>
          <w:sz w:val="24"/>
          <w:szCs w:val="24"/>
        </w:rPr>
        <w:t>1</w:t>
      </w:r>
      <w:r>
        <w:rPr>
          <w:rFonts w:hint="eastAsia" w:ascii="宋体" w:hAnsi="宋体"/>
          <w:i/>
          <w:iCs/>
          <w:color w:val="0070C0"/>
          <w:sz w:val="24"/>
          <w:szCs w:val="24"/>
          <w:lang w:val="en-US" w:eastAsia="zh-CN"/>
        </w:rPr>
        <w:t>0</w:t>
      </w:r>
      <w:r>
        <w:rPr>
          <w:rFonts w:hint="eastAsia" w:ascii="宋体" w:hAnsi="宋体"/>
          <w:i/>
          <w:iCs/>
          <w:color w:val="0070C0"/>
          <w:sz w:val="24"/>
          <w:szCs w:val="24"/>
        </w:rPr>
        <w:t>）计算得到的植筋长度为不考虑外部因素和横向约束钢筋及保护层厚度等对钢筋劈裂的影响条件下的植筋锚固长度，是一个相对保守的植筋锚固长度。植筋的保护层厚度和横向钢筋对植筋粘结强度及劈裂的影响，可通过第4.2.</w:t>
      </w:r>
      <w:r>
        <w:rPr>
          <w:rFonts w:hint="eastAsia" w:ascii="宋体" w:hAnsi="宋体"/>
          <w:i/>
          <w:iCs/>
          <w:color w:val="0070C0"/>
          <w:sz w:val="24"/>
          <w:szCs w:val="24"/>
          <w:lang w:val="en-US" w:eastAsia="zh-CN"/>
        </w:rPr>
        <w:t>9</w:t>
      </w:r>
      <w:r>
        <w:rPr>
          <w:rFonts w:hint="eastAsia" w:ascii="宋体" w:hAnsi="宋体"/>
          <w:i/>
          <w:iCs/>
          <w:color w:val="0070C0"/>
          <w:sz w:val="24"/>
          <w:szCs w:val="24"/>
        </w:rPr>
        <w:t>条的中基本锚固长度计算公式中的长度修正系数得以体现。本表给出的粘结强度对应钢筋直径不大于</w:t>
      </w:r>
      <w:r>
        <w:rPr>
          <w:rFonts w:ascii="宋体" w:hAnsi="宋体"/>
          <w:i/>
          <w:iCs/>
          <w:color w:val="0070C0"/>
          <w:sz w:val="24"/>
          <w:szCs w:val="24"/>
        </w:rPr>
        <w:t>25</w:t>
      </w:r>
      <w:r>
        <w:rPr>
          <w:rFonts w:hint="eastAsia" w:ascii="宋体" w:hAnsi="宋体"/>
          <w:i/>
          <w:iCs/>
          <w:color w:val="0070C0"/>
          <w:sz w:val="24"/>
          <w:szCs w:val="24"/>
        </w:rPr>
        <w:t>mm。</w:t>
      </w:r>
    </w:p>
    <w:p>
      <w:pPr>
        <w:pStyle w:val="2"/>
        <w:spacing w:after="0" w:line="360" w:lineRule="auto"/>
        <w:ind w:left="0" w:leftChars="0" w:firstLine="0" w:firstLineChars="0"/>
        <w:rPr>
          <w:iCs/>
          <w:color w:val="auto"/>
          <w:sz w:val="24"/>
          <w:szCs w:val="24"/>
          <w:highlight w:val="none"/>
        </w:rPr>
      </w:pPr>
      <w:r>
        <w:rPr>
          <w:rFonts w:hint="eastAsia"/>
          <w:b/>
          <w:color w:val="auto"/>
          <w:kern w:val="2"/>
          <w:sz w:val="24"/>
          <w:szCs w:val="24"/>
          <w:highlight w:val="none"/>
        </w:rPr>
        <w:t>4</w:t>
      </w:r>
      <w:r>
        <w:rPr>
          <w:b/>
          <w:color w:val="auto"/>
          <w:kern w:val="2"/>
          <w:sz w:val="24"/>
          <w:szCs w:val="24"/>
          <w:highlight w:val="none"/>
        </w:rPr>
        <w:t>.</w:t>
      </w:r>
      <w:r>
        <w:rPr>
          <w:rFonts w:hint="eastAsia"/>
          <w:b/>
          <w:color w:val="auto"/>
          <w:kern w:val="2"/>
          <w:sz w:val="24"/>
          <w:szCs w:val="24"/>
          <w:highlight w:val="none"/>
        </w:rPr>
        <w:t>2</w:t>
      </w:r>
      <w:r>
        <w:rPr>
          <w:b/>
          <w:color w:val="auto"/>
          <w:kern w:val="2"/>
          <w:sz w:val="24"/>
          <w:szCs w:val="24"/>
          <w:highlight w:val="none"/>
        </w:rPr>
        <w:t>.1</w:t>
      </w:r>
      <w:r>
        <w:rPr>
          <w:rFonts w:hint="eastAsia"/>
          <w:b/>
          <w:color w:val="auto"/>
          <w:kern w:val="2"/>
          <w:sz w:val="24"/>
          <w:szCs w:val="24"/>
          <w:highlight w:val="none"/>
          <w:lang w:val="en-US" w:eastAsia="zh-CN"/>
        </w:rPr>
        <w:t>1</w:t>
      </w:r>
      <w:r>
        <w:rPr>
          <w:b/>
          <w:color w:val="auto"/>
          <w:kern w:val="2"/>
          <w:sz w:val="24"/>
          <w:szCs w:val="24"/>
          <w:highlight w:val="none"/>
        </w:rPr>
        <w:t xml:space="preserve"> </w:t>
      </w:r>
      <w:r>
        <w:rPr>
          <w:rFonts w:hint="eastAsia"/>
          <w:iCs/>
          <w:color w:val="auto"/>
          <w:sz w:val="24"/>
          <w:szCs w:val="24"/>
          <w:highlight w:val="none"/>
        </w:rPr>
        <w:t>植筋系统粘结强度的折减（影响）系数</w:t>
      </w:r>
      <w:r>
        <w:rPr>
          <w:rFonts w:hint="eastAsia"/>
          <w:i/>
          <w:color w:val="auto"/>
          <w:sz w:val="24"/>
          <w:szCs w:val="24"/>
          <w:highlight w:val="none"/>
        </w:rPr>
        <w:t>k</w:t>
      </w:r>
      <w:r>
        <w:rPr>
          <w:iCs/>
          <w:color w:val="auto"/>
          <w:sz w:val="24"/>
          <w:szCs w:val="24"/>
          <w:highlight w:val="none"/>
          <w:vertAlign w:val="subscript"/>
        </w:rPr>
        <w:t>b</w:t>
      </w:r>
      <w:r>
        <w:rPr>
          <w:rFonts w:hint="eastAsia"/>
          <w:iCs/>
          <w:color w:val="auto"/>
          <w:sz w:val="24"/>
          <w:szCs w:val="24"/>
          <w:highlight w:val="none"/>
        </w:rPr>
        <w:t>可根据产品的认证报告确定，也可按照附录C到附录</w:t>
      </w:r>
      <w:r>
        <w:rPr>
          <w:iCs/>
          <w:color w:val="auto"/>
          <w:sz w:val="24"/>
          <w:szCs w:val="24"/>
          <w:highlight w:val="none"/>
        </w:rPr>
        <w:t>K</w:t>
      </w:r>
      <w:r>
        <w:rPr>
          <w:rFonts w:hint="eastAsia"/>
          <w:iCs/>
          <w:color w:val="auto"/>
          <w:sz w:val="24"/>
          <w:szCs w:val="24"/>
          <w:highlight w:val="none"/>
        </w:rPr>
        <w:t>的试验结果按下列规定取值：</w:t>
      </w:r>
    </w:p>
    <w:p>
      <w:pPr>
        <w:pStyle w:val="2"/>
        <w:spacing w:after="0" w:line="360" w:lineRule="auto"/>
        <w:ind w:left="0" w:leftChars="0" w:firstLineChars="0"/>
        <w:rPr>
          <w:iCs/>
          <w:color w:val="auto"/>
          <w:sz w:val="24"/>
          <w:szCs w:val="24"/>
          <w:highlight w:val="none"/>
        </w:rPr>
      </w:pPr>
      <w:r>
        <w:rPr>
          <w:rFonts w:hint="eastAsia"/>
          <w:iCs/>
          <w:color w:val="auto"/>
          <w:sz w:val="24"/>
          <w:szCs w:val="24"/>
          <w:highlight w:val="none"/>
        </w:rPr>
        <w:t>1</w:t>
      </w:r>
      <w:r>
        <w:rPr>
          <w:iCs/>
          <w:color w:val="auto"/>
          <w:sz w:val="24"/>
          <w:szCs w:val="24"/>
          <w:highlight w:val="none"/>
        </w:rPr>
        <w:t xml:space="preserve"> </w:t>
      </w:r>
      <w:r>
        <w:rPr>
          <w:rFonts w:hint="eastAsia"/>
          <w:iCs/>
          <w:color w:val="auto"/>
          <w:sz w:val="24"/>
          <w:szCs w:val="24"/>
          <w:highlight w:val="none"/>
        </w:rPr>
        <w:t>当考虑附录C到附录</w:t>
      </w:r>
      <w:r>
        <w:rPr>
          <w:iCs/>
          <w:color w:val="auto"/>
          <w:sz w:val="24"/>
          <w:szCs w:val="24"/>
          <w:highlight w:val="none"/>
        </w:rPr>
        <w:t>H</w:t>
      </w:r>
      <w:r>
        <w:rPr>
          <w:rFonts w:hint="eastAsia"/>
          <w:iCs/>
          <w:color w:val="auto"/>
          <w:sz w:val="24"/>
          <w:szCs w:val="24"/>
          <w:highlight w:val="none"/>
        </w:rPr>
        <w:t>和附录K的一项或多项施工条件、长期应力和高环境温度影响时，应按下式计算：</w:t>
      </w:r>
    </w:p>
    <w:p>
      <w:pPr>
        <w:pStyle w:val="2"/>
        <w:spacing w:after="0" w:line="360" w:lineRule="auto"/>
        <w:ind w:left="0" w:leftChars="0" w:firstLine="0" w:firstLineChars="0"/>
        <w:jc w:val="right"/>
        <w:rPr>
          <w:iCs/>
          <w:color w:val="auto"/>
          <w:sz w:val="24"/>
          <w:szCs w:val="24"/>
          <w:highlight w:val="none"/>
        </w:rPr>
      </w:pPr>
      <w:r>
        <w:rPr>
          <w:rFonts w:hint="eastAsia"/>
          <w:i/>
          <w:color w:val="auto"/>
          <w:sz w:val="24"/>
          <w:szCs w:val="24"/>
          <w:highlight w:val="none"/>
        </w:rPr>
        <w:t>k</w:t>
      </w:r>
      <w:r>
        <w:rPr>
          <w:iCs/>
          <w:color w:val="auto"/>
          <w:sz w:val="24"/>
          <w:szCs w:val="24"/>
          <w:highlight w:val="none"/>
          <w:vertAlign w:val="subscript"/>
        </w:rPr>
        <w:t>b</w:t>
      </w:r>
      <w:r>
        <w:rPr>
          <w:iCs/>
          <w:color w:val="auto"/>
          <w:sz w:val="24"/>
          <w:szCs w:val="24"/>
          <w:highlight w:val="none"/>
        </w:rPr>
        <w:t>=min</w:t>
      </w:r>
      <w:r>
        <w:rPr>
          <w:rFonts w:ascii="Symbol" w:hAnsi="Symbol"/>
          <w:i/>
          <w:color w:val="auto"/>
          <w:sz w:val="24"/>
          <w:szCs w:val="24"/>
          <w:highlight w:val="none"/>
        </w:rPr>
        <w:t>b</w:t>
      </w:r>
      <w:r>
        <w:rPr>
          <w:iCs/>
          <w:color w:val="auto"/>
          <w:sz w:val="24"/>
          <w:szCs w:val="24"/>
          <w:highlight w:val="none"/>
          <w:vertAlign w:val="subscript"/>
        </w:rPr>
        <w:t>cv</w:t>
      </w:r>
      <w:r>
        <w:rPr>
          <w:iCs/>
          <w:color w:val="auto"/>
          <w:sz w:val="24"/>
          <w:szCs w:val="24"/>
          <w:highlight w:val="none"/>
        </w:rPr>
        <w:t>∙min</w:t>
      </w:r>
      <w:r>
        <w:rPr>
          <w:rFonts w:ascii="Symbol" w:hAnsi="Symbol"/>
          <w:i/>
          <w:color w:val="auto"/>
          <w:sz w:val="24"/>
          <w:szCs w:val="24"/>
          <w:highlight w:val="none"/>
        </w:rPr>
        <w:t xml:space="preserve">a                  </w:t>
      </w:r>
      <w:r>
        <w:rPr>
          <w:rFonts w:ascii="Symbol" w:hAnsi="Symbol"/>
          <w:i/>
          <w:color w:val="auto"/>
          <w:sz w:val="24"/>
          <w:szCs w:val="24"/>
          <w:highlight w:val="none"/>
        </w:rPr>
        <w:tab/>
      </w:r>
      <w:r>
        <w:rPr>
          <w:rFonts w:ascii="Symbol" w:hAnsi="Symbol"/>
          <w:i/>
          <w:color w:val="auto"/>
          <w:sz w:val="24"/>
          <w:szCs w:val="24"/>
          <w:highlight w:val="none"/>
        </w:rPr>
        <w:tab/>
      </w:r>
      <w:r>
        <w:rPr>
          <w:rFonts w:ascii="Symbol" w:hAnsi="Symbol"/>
          <w:i/>
          <w:color w:val="auto"/>
          <w:sz w:val="24"/>
          <w:szCs w:val="24"/>
          <w:highlight w:val="none"/>
        </w:rPr>
        <w:t xml:space="preserve">    </w:t>
      </w:r>
      <w:r>
        <w:rPr>
          <w:rFonts w:hint="eastAsia" w:ascii="Symbol" w:hAnsi="Symbol"/>
          <w:iCs/>
          <w:color w:val="auto"/>
          <w:sz w:val="24"/>
          <w:szCs w:val="24"/>
          <w:highlight w:val="none"/>
        </w:rPr>
        <w:t>（4</w:t>
      </w:r>
      <w:r>
        <w:rPr>
          <w:rFonts w:ascii="Symbol" w:hAnsi="Symbol"/>
          <w:iCs/>
          <w:color w:val="auto"/>
          <w:sz w:val="24"/>
          <w:szCs w:val="24"/>
          <w:highlight w:val="none"/>
        </w:rPr>
        <w:t>.2.1</w:t>
      </w:r>
      <w:r>
        <w:rPr>
          <w:rFonts w:hint="eastAsia" w:ascii="Symbol" w:hAnsi="Symbol"/>
          <w:iCs/>
          <w:color w:val="auto"/>
          <w:sz w:val="24"/>
          <w:szCs w:val="24"/>
          <w:highlight w:val="none"/>
          <w:lang w:val="en-US" w:eastAsia="zh-CN"/>
        </w:rPr>
        <w:t>1</w:t>
      </w:r>
      <w:r>
        <w:rPr>
          <w:rFonts w:ascii="Symbol" w:hAnsi="Symbol"/>
          <w:iCs/>
          <w:color w:val="auto"/>
          <w:sz w:val="24"/>
          <w:szCs w:val="24"/>
          <w:highlight w:val="none"/>
        </w:rPr>
        <w:t>-</w:t>
      </w:r>
      <w:r>
        <w:rPr>
          <w:rFonts w:hint="eastAsia" w:ascii="Symbol" w:hAnsi="Symbol"/>
          <w:iCs/>
          <w:color w:val="auto"/>
          <w:sz w:val="24"/>
          <w:szCs w:val="24"/>
          <w:highlight w:val="none"/>
          <w:lang w:val="en-US" w:eastAsia="zh-CN"/>
        </w:rPr>
        <w:t>1</w:t>
      </w:r>
      <w:r>
        <w:rPr>
          <w:rFonts w:hint="eastAsia" w:ascii="Symbol" w:hAnsi="Symbol"/>
          <w:iCs/>
          <w:color w:val="auto"/>
          <w:sz w:val="24"/>
          <w:szCs w:val="24"/>
          <w:highlight w:val="none"/>
        </w:rPr>
        <w:t>）</w:t>
      </w:r>
    </w:p>
    <w:tbl>
      <w:tblPr>
        <w:tblStyle w:val="28"/>
        <w:tblW w:w="839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9"/>
        <w:gridCol w:w="868"/>
        <w:gridCol w:w="456"/>
        <w:gridCol w:w="6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880" w:type="dxa"/>
            <w:tcMar>
              <w:left w:w="43" w:type="dxa"/>
              <w:right w:w="43" w:type="dxa"/>
            </w:tcMar>
          </w:tcPr>
          <w:p>
            <w:pPr>
              <w:autoSpaceDE w:val="0"/>
              <w:autoSpaceDN w:val="0"/>
              <w:adjustRightInd w:val="0"/>
              <w:spacing w:after="0" w:line="360" w:lineRule="auto"/>
              <w:jc w:val="left"/>
              <w:rPr>
                <w:iCs/>
                <w:color w:val="auto"/>
                <w:sz w:val="24"/>
                <w:szCs w:val="24"/>
                <w:highlight w:val="none"/>
              </w:rPr>
            </w:pPr>
            <w:r>
              <w:rPr>
                <w:rFonts w:hint="eastAsia" w:ascii="宋体" w:cs="宋体"/>
                <w:color w:val="auto"/>
                <w:sz w:val="24"/>
                <w:szCs w:val="24"/>
                <w:highlight w:val="none"/>
              </w:rPr>
              <w:t>式中：</w:t>
            </w:r>
          </w:p>
        </w:tc>
        <w:tc>
          <w:tcPr>
            <w:tcW w:w="665" w:type="dxa"/>
          </w:tcPr>
          <w:p>
            <w:pPr>
              <w:spacing w:after="0" w:line="360" w:lineRule="auto"/>
              <w:jc w:val="right"/>
              <w:rPr>
                <w:iCs/>
                <w:color w:val="auto"/>
                <w:sz w:val="24"/>
                <w:szCs w:val="24"/>
                <w:highlight w:val="none"/>
              </w:rPr>
            </w:pPr>
            <w:r>
              <w:rPr>
                <w:color w:val="auto"/>
                <w:sz w:val="24"/>
                <w:szCs w:val="24"/>
                <w:highlight w:val="none"/>
              </w:rPr>
              <w:t>min</w:t>
            </w:r>
            <w:r>
              <w:rPr>
                <w:rFonts w:ascii="Symbol" w:hAnsi="Symbol"/>
                <w:i/>
                <w:iCs/>
                <w:color w:val="auto"/>
                <w:sz w:val="24"/>
                <w:szCs w:val="24"/>
                <w:highlight w:val="none"/>
              </w:rPr>
              <w:t>b</w:t>
            </w:r>
            <w:r>
              <w:rPr>
                <w:color w:val="auto"/>
                <w:sz w:val="24"/>
                <w:szCs w:val="24"/>
                <w:highlight w:val="none"/>
                <w:vertAlign w:val="subscript"/>
              </w:rPr>
              <w:t>cv</w:t>
            </w:r>
            <w:r>
              <w:rPr>
                <w:rFonts w:hint="eastAsia"/>
                <w:color w:val="auto"/>
                <w:sz w:val="24"/>
                <w:szCs w:val="24"/>
                <w:highlight w:val="none"/>
              </w:rPr>
              <w:t xml:space="preserve"> </w:t>
            </w:r>
          </w:p>
        </w:tc>
        <w:tc>
          <w:tcPr>
            <w:tcW w:w="456" w:type="dxa"/>
          </w:tcPr>
          <w:p>
            <w:pPr>
              <w:spacing w:after="0" w:line="360" w:lineRule="auto"/>
              <w:rPr>
                <w:iCs/>
                <w:color w:val="auto"/>
                <w:sz w:val="24"/>
                <w:szCs w:val="24"/>
                <w:highlight w:val="none"/>
              </w:rPr>
            </w:pPr>
            <w:r>
              <w:rPr>
                <w:color w:val="auto"/>
                <w:sz w:val="24"/>
                <w:szCs w:val="24"/>
                <w:highlight w:val="none"/>
              </w:rPr>
              <w:t>—</w:t>
            </w:r>
          </w:p>
        </w:tc>
        <w:tc>
          <w:tcPr>
            <w:tcW w:w="6392" w:type="dxa"/>
          </w:tcPr>
          <w:p>
            <w:pPr>
              <w:spacing w:after="0" w:line="360" w:lineRule="auto"/>
              <w:rPr>
                <w:iCs/>
                <w:color w:val="auto"/>
                <w:sz w:val="24"/>
                <w:szCs w:val="24"/>
                <w:highlight w:val="none"/>
              </w:rPr>
            </w:pPr>
            <w:r>
              <w:rPr>
                <w:rFonts w:hint="eastAsia"/>
                <w:color w:val="auto"/>
                <w:sz w:val="24"/>
                <w:szCs w:val="24"/>
                <w:highlight w:val="none"/>
              </w:rPr>
              <w:t>所考虑因素对应附录C到附录H和附录K中各单项</w:t>
            </w:r>
            <w:r>
              <w:rPr>
                <w:rFonts w:hint="eastAsia"/>
                <w:bCs/>
                <w:color w:val="000000" w:themeColor="text1"/>
                <w:sz w:val="24"/>
                <w:szCs w:val="24"/>
                <w:highlight w:val="none"/>
                <w14:textFill>
                  <w14:solidFill>
                    <w14:schemeClr w14:val="tx1"/>
                  </w14:solidFill>
                </w14:textFill>
              </w:rPr>
              <w:t>试验结果变异系数对应的折减系数的最小值；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0" w:type="dxa"/>
            <w:tcMar>
              <w:left w:w="43" w:type="dxa"/>
              <w:right w:w="43" w:type="dxa"/>
            </w:tcMar>
          </w:tcPr>
          <w:p>
            <w:pPr>
              <w:autoSpaceDE w:val="0"/>
              <w:autoSpaceDN w:val="0"/>
              <w:adjustRightInd w:val="0"/>
              <w:spacing w:after="0" w:line="360" w:lineRule="auto"/>
              <w:jc w:val="left"/>
              <w:rPr>
                <w:rFonts w:ascii="宋体" w:cs="宋体"/>
                <w:color w:val="auto"/>
                <w:sz w:val="24"/>
                <w:szCs w:val="24"/>
                <w:highlight w:val="none"/>
              </w:rPr>
            </w:pPr>
          </w:p>
        </w:tc>
        <w:tc>
          <w:tcPr>
            <w:tcW w:w="665" w:type="dxa"/>
          </w:tcPr>
          <w:p>
            <w:pPr>
              <w:spacing w:after="0" w:line="360" w:lineRule="auto"/>
              <w:jc w:val="right"/>
              <w:rPr>
                <w:color w:val="auto"/>
                <w:sz w:val="24"/>
                <w:szCs w:val="24"/>
                <w:highlight w:val="none"/>
              </w:rPr>
            </w:pPr>
            <w:r>
              <w:rPr>
                <w:bCs/>
                <w:color w:val="000000" w:themeColor="text1"/>
                <w:sz w:val="24"/>
                <w:szCs w:val="24"/>
                <w:highlight w:val="none"/>
                <w14:textFill>
                  <w14:solidFill>
                    <w14:schemeClr w14:val="tx1"/>
                  </w14:solidFill>
                </w14:textFill>
              </w:rPr>
              <w:t>min</w:t>
            </w:r>
            <w:r>
              <w:rPr>
                <w:rFonts w:ascii="Symbol" w:hAnsi="Symbol"/>
                <w:bCs/>
                <w:i/>
                <w:iCs/>
                <w:color w:val="000000" w:themeColor="text1"/>
                <w:sz w:val="24"/>
                <w:szCs w:val="24"/>
                <w:highlight w:val="none"/>
                <w14:textFill>
                  <w14:solidFill>
                    <w14:schemeClr w14:val="tx1"/>
                  </w14:solidFill>
                </w14:textFill>
              </w:rPr>
              <w:t>a</w:t>
            </w:r>
          </w:p>
        </w:tc>
        <w:tc>
          <w:tcPr>
            <w:tcW w:w="456" w:type="dxa"/>
          </w:tcPr>
          <w:p>
            <w:pPr>
              <w:spacing w:after="0" w:line="360" w:lineRule="auto"/>
              <w:rPr>
                <w:color w:val="auto"/>
                <w:sz w:val="24"/>
                <w:szCs w:val="24"/>
                <w:highlight w:val="none"/>
              </w:rPr>
            </w:pPr>
            <w:r>
              <w:rPr>
                <w:color w:val="auto"/>
                <w:sz w:val="24"/>
                <w:szCs w:val="24"/>
                <w:highlight w:val="none"/>
              </w:rPr>
              <w:t>—</w:t>
            </w:r>
          </w:p>
        </w:tc>
        <w:tc>
          <w:tcPr>
            <w:tcW w:w="6392" w:type="dxa"/>
          </w:tcPr>
          <w:p>
            <w:pPr>
              <w:pStyle w:val="2"/>
              <w:spacing w:after="0" w:line="360" w:lineRule="auto"/>
              <w:ind w:left="0" w:leftChars="0" w:firstLine="0" w:firstLineChars="0"/>
              <w:rPr>
                <w:bCs/>
                <w:color w:val="000000" w:themeColor="text1"/>
                <w:sz w:val="24"/>
                <w:szCs w:val="24"/>
                <w:highlight w:val="none"/>
                <w14:textFill>
                  <w14:solidFill>
                    <w14:schemeClr w14:val="tx1"/>
                  </w14:solidFill>
                </w14:textFill>
              </w:rPr>
            </w:pPr>
            <w:r>
              <w:rPr>
                <w:rFonts w:hint="eastAsia"/>
                <w:color w:val="auto"/>
                <w:sz w:val="24"/>
                <w:szCs w:val="24"/>
                <w:highlight w:val="none"/>
              </w:rPr>
              <w:t>所考虑因素对应附录C到附录H和附录K中</w:t>
            </w:r>
            <w:r>
              <w:rPr>
                <w:rFonts w:hint="eastAsia"/>
                <w:bCs/>
                <w:color w:val="000000" w:themeColor="text1"/>
                <w:sz w:val="24"/>
                <w:szCs w:val="24"/>
                <w:highlight w:val="none"/>
                <w14:textFill>
                  <w14:solidFill>
                    <w14:schemeClr w14:val="tx1"/>
                  </w14:solidFill>
                </w14:textFill>
              </w:rPr>
              <w:t>各单项试验承载力折减系数的最小值。</w:t>
            </w:r>
          </w:p>
        </w:tc>
      </w:tr>
    </w:tbl>
    <w:p>
      <w:pPr>
        <w:pStyle w:val="2"/>
        <w:spacing w:after="0" w:line="360" w:lineRule="auto"/>
        <w:ind w:left="0" w:leftChars="0" w:firstLineChars="0"/>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当同时考虑地震作用时，应按下式计算：</w:t>
      </w:r>
    </w:p>
    <w:p>
      <w:pPr>
        <w:autoSpaceDE w:val="0"/>
        <w:autoSpaceDN w:val="0"/>
        <w:adjustRightInd w:val="0"/>
        <w:spacing w:after="0" w:line="360" w:lineRule="auto"/>
        <w:jc w:val="right"/>
        <w:rPr>
          <w:rFonts w:hint="eastAsia" w:ascii="Symbol" w:hAnsi="Symbol"/>
          <w:iCs/>
          <w:color w:val="auto"/>
          <w:sz w:val="24"/>
          <w:szCs w:val="24"/>
        </w:rPr>
      </w:pPr>
      <w:r>
        <w:rPr>
          <w:rFonts w:hint="eastAsia"/>
          <w:i/>
          <w:color w:val="auto"/>
          <w:sz w:val="24"/>
          <w:szCs w:val="24"/>
        </w:rPr>
        <w:t>k</w:t>
      </w:r>
      <w:r>
        <w:rPr>
          <w:iCs/>
          <w:color w:val="auto"/>
          <w:sz w:val="24"/>
          <w:szCs w:val="24"/>
          <w:vertAlign w:val="subscript"/>
        </w:rPr>
        <w:t>b</w:t>
      </w:r>
      <w:r>
        <w:rPr>
          <w:rFonts w:hint="eastAsia"/>
          <w:iCs/>
          <w:color w:val="auto"/>
          <w:sz w:val="24"/>
          <w:szCs w:val="24"/>
          <w:vertAlign w:val="subscript"/>
        </w:rPr>
        <w:t xml:space="preserve"> </w:t>
      </w:r>
      <w:r>
        <w:rPr>
          <w:iCs/>
          <w:color w:val="auto"/>
          <w:sz w:val="24"/>
          <w:szCs w:val="24"/>
        </w:rPr>
        <w:t>=</w:t>
      </w:r>
      <w:r>
        <w:rPr>
          <w:rFonts w:ascii="Symbol" w:hAnsi="Symbol"/>
          <w:i/>
          <w:color w:val="auto"/>
          <w:sz w:val="24"/>
          <w:szCs w:val="24"/>
        </w:rPr>
        <w:t xml:space="preserve"> </w:t>
      </w:r>
      <w:r>
        <w:rPr>
          <w:rFonts w:hint="eastAsia"/>
          <w:i/>
          <w:color w:val="auto"/>
          <w:sz w:val="24"/>
          <w:szCs w:val="24"/>
        </w:rPr>
        <w:t>k</w:t>
      </w:r>
      <w:r>
        <w:rPr>
          <w:iCs/>
          <w:color w:val="auto"/>
          <w:sz w:val="24"/>
          <w:szCs w:val="24"/>
          <w:vertAlign w:val="subscript"/>
        </w:rPr>
        <w:t>b</w:t>
      </w:r>
      <w:r>
        <w:rPr>
          <w:rFonts w:hint="eastAsia"/>
          <w:iCs/>
          <w:color w:val="auto"/>
          <w:sz w:val="24"/>
          <w:szCs w:val="24"/>
          <w:vertAlign w:val="subscript"/>
        </w:rPr>
        <w:t>,</w:t>
      </w:r>
      <w:r>
        <w:rPr>
          <w:iCs/>
          <w:color w:val="auto"/>
          <w:sz w:val="24"/>
          <w:szCs w:val="24"/>
          <w:vertAlign w:val="subscript"/>
        </w:rPr>
        <w:t>seis</w:t>
      </w:r>
      <w:r>
        <w:rPr>
          <w:iCs/>
          <w:color w:val="auto"/>
          <w:sz w:val="24"/>
          <w:szCs w:val="24"/>
        </w:rPr>
        <w:t>∙min</w:t>
      </w:r>
      <w:r>
        <w:rPr>
          <w:rFonts w:ascii="Symbol" w:hAnsi="Symbol"/>
          <w:i/>
          <w:color w:val="auto"/>
          <w:sz w:val="24"/>
          <w:szCs w:val="24"/>
        </w:rPr>
        <w:t>b</w:t>
      </w:r>
      <w:r>
        <w:rPr>
          <w:iCs/>
          <w:color w:val="auto"/>
          <w:sz w:val="24"/>
          <w:szCs w:val="24"/>
          <w:vertAlign w:val="subscript"/>
        </w:rPr>
        <w:t>cv</w:t>
      </w:r>
      <w:r>
        <w:rPr>
          <w:iCs/>
          <w:color w:val="auto"/>
          <w:sz w:val="24"/>
          <w:szCs w:val="24"/>
        </w:rPr>
        <w:t>∙min</w:t>
      </w:r>
      <w:r>
        <w:rPr>
          <w:rFonts w:ascii="Symbol" w:hAnsi="Symbol"/>
          <w:i/>
          <w:color w:val="auto"/>
          <w:sz w:val="24"/>
          <w:szCs w:val="24"/>
        </w:rPr>
        <w:t xml:space="preserve">a     </w:t>
      </w:r>
      <w:r>
        <w:rPr>
          <w:rFonts w:ascii="Symbol" w:hAnsi="Symbol"/>
          <w:i/>
          <w:color w:val="auto"/>
          <w:sz w:val="24"/>
          <w:szCs w:val="24"/>
        </w:rPr>
        <w:tab/>
      </w:r>
      <w:r>
        <w:rPr>
          <w:rFonts w:ascii="Symbol" w:hAnsi="Symbol"/>
          <w:i/>
          <w:color w:val="auto"/>
          <w:sz w:val="24"/>
          <w:szCs w:val="24"/>
        </w:rPr>
        <w:tab/>
      </w:r>
      <w:r>
        <w:rPr>
          <w:rFonts w:ascii="Symbol" w:hAnsi="Symbol"/>
          <w:i/>
          <w:color w:val="auto"/>
          <w:sz w:val="24"/>
          <w:szCs w:val="24"/>
        </w:rPr>
        <w:tab/>
      </w:r>
      <w:r>
        <w:rPr>
          <w:rFonts w:ascii="Symbol" w:hAnsi="Symbol"/>
          <w:i/>
          <w:color w:val="auto"/>
          <w:sz w:val="24"/>
          <w:szCs w:val="24"/>
        </w:rPr>
        <w:t xml:space="preserve">  </w:t>
      </w:r>
      <w:r>
        <w:rPr>
          <w:rFonts w:hint="eastAsia" w:ascii="Symbol" w:hAnsi="Symbol"/>
          <w:iCs/>
          <w:color w:val="auto"/>
          <w:sz w:val="24"/>
          <w:szCs w:val="24"/>
        </w:rPr>
        <w:t>（4</w:t>
      </w:r>
      <w:r>
        <w:rPr>
          <w:rFonts w:ascii="Symbol" w:hAnsi="Symbol"/>
          <w:iCs/>
          <w:color w:val="auto"/>
          <w:sz w:val="24"/>
          <w:szCs w:val="24"/>
        </w:rPr>
        <w:t>.2.1</w:t>
      </w:r>
      <w:r>
        <w:rPr>
          <w:rFonts w:hint="eastAsia" w:ascii="Symbol" w:hAnsi="Symbol"/>
          <w:iCs/>
          <w:color w:val="auto"/>
          <w:sz w:val="24"/>
          <w:szCs w:val="24"/>
          <w:lang w:val="en-US" w:eastAsia="zh-CN"/>
        </w:rPr>
        <w:t>1</w:t>
      </w:r>
      <w:r>
        <w:rPr>
          <w:rFonts w:ascii="Symbol" w:hAnsi="Symbol"/>
          <w:iCs/>
          <w:color w:val="auto"/>
          <w:sz w:val="24"/>
          <w:szCs w:val="24"/>
        </w:rPr>
        <w:t>-</w:t>
      </w:r>
      <w:r>
        <w:rPr>
          <w:rFonts w:hint="eastAsia" w:ascii="Symbol" w:hAnsi="Symbol"/>
          <w:iCs/>
          <w:color w:val="auto"/>
          <w:sz w:val="24"/>
          <w:szCs w:val="24"/>
          <w:lang w:val="en-US" w:eastAsia="zh-CN"/>
        </w:rPr>
        <w:t>2</w:t>
      </w:r>
      <w:r>
        <w:rPr>
          <w:rFonts w:hint="eastAsia" w:ascii="Symbol" w:hAnsi="Symbol"/>
          <w:iCs/>
          <w:color w:val="auto"/>
          <w:sz w:val="24"/>
          <w:szCs w:val="24"/>
        </w:rPr>
        <w:t>）</w:t>
      </w:r>
    </w:p>
    <w:p>
      <w:pPr>
        <w:pStyle w:val="2"/>
        <w:ind w:firstLine="480"/>
        <w:jc w:val="right"/>
      </w:pPr>
      <w:r>
        <w:rPr>
          <w:rFonts w:hint="eastAsia"/>
          <w:i/>
          <w:color w:val="auto"/>
          <w:sz w:val="24"/>
          <w:szCs w:val="24"/>
        </w:rPr>
        <w:t>k</w:t>
      </w:r>
      <w:r>
        <w:rPr>
          <w:iCs/>
          <w:color w:val="auto"/>
          <w:sz w:val="24"/>
          <w:szCs w:val="24"/>
          <w:vertAlign w:val="subscript"/>
        </w:rPr>
        <w:t>b</w:t>
      </w:r>
      <w:r>
        <w:rPr>
          <w:rFonts w:hint="eastAsia"/>
          <w:iCs/>
          <w:color w:val="auto"/>
          <w:sz w:val="24"/>
          <w:szCs w:val="24"/>
          <w:vertAlign w:val="subscript"/>
        </w:rPr>
        <w:t>,</w:t>
      </w:r>
      <w:r>
        <w:rPr>
          <w:iCs/>
          <w:color w:val="auto"/>
          <w:sz w:val="24"/>
          <w:szCs w:val="24"/>
          <w:vertAlign w:val="subscript"/>
        </w:rPr>
        <w:t>seis</w:t>
      </w:r>
      <w:r>
        <w:rPr>
          <w:iCs/>
          <w:color w:val="auto"/>
          <w:sz w:val="24"/>
          <w:szCs w:val="24"/>
        </w:rPr>
        <w:t>=</w:t>
      </w:r>
      <w:r>
        <w:rPr>
          <w:rFonts w:ascii="Symbol" w:hAnsi="Symbol"/>
          <w:i/>
          <w:color w:val="auto"/>
          <w:sz w:val="24"/>
          <w:szCs w:val="24"/>
        </w:rPr>
        <w:t xml:space="preserve"> b</w:t>
      </w:r>
      <w:r>
        <w:rPr>
          <w:iCs/>
          <w:color w:val="auto"/>
          <w:sz w:val="24"/>
          <w:szCs w:val="24"/>
          <w:vertAlign w:val="subscript"/>
        </w:rPr>
        <w:t>cv,seis</w:t>
      </w:r>
      <w:r>
        <w:rPr>
          <w:iCs/>
          <w:color w:val="auto"/>
          <w:sz w:val="24"/>
          <w:szCs w:val="24"/>
        </w:rPr>
        <w:t>∙</w:t>
      </w:r>
      <w:r>
        <w:rPr>
          <w:rFonts w:ascii="Symbol" w:hAnsi="Symbol"/>
          <w:i/>
          <w:color w:val="auto"/>
          <w:sz w:val="24"/>
          <w:szCs w:val="24"/>
        </w:rPr>
        <w:t>a</w:t>
      </w:r>
      <w:r>
        <w:rPr>
          <w:iCs/>
          <w:color w:val="auto"/>
          <w:sz w:val="24"/>
          <w:szCs w:val="24"/>
          <w:vertAlign w:val="subscript"/>
        </w:rPr>
        <w:t>seis</w:t>
      </w:r>
      <w:r>
        <w:rPr>
          <w:iCs/>
          <w:color w:val="auto"/>
          <w:sz w:val="24"/>
          <w:szCs w:val="24"/>
        </w:rPr>
        <w:tab/>
      </w:r>
      <w:r>
        <w:rPr>
          <w:rFonts w:ascii="Symbol" w:hAnsi="Symbol"/>
          <w:i/>
          <w:color w:val="auto"/>
          <w:sz w:val="24"/>
          <w:szCs w:val="24"/>
        </w:rPr>
        <w:t xml:space="preserve">    </w:t>
      </w:r>
      <w:r>
        <w:rPr>
          <w:rFonts w:ascii="Symbol" w:hAnsi="Symbol"/>
          <w:i/>
          <w:color w:val="auto"/>
          <w:sz w:val="24"/>
          <w:szCs w:val="24"/>
        </w:rPr>
        <w:tab/>
      </w:r>
      <w:r>
        <w:rPr>
          <w:rFonts w:ascii="Symbol" w:hAnsi="Symbol"/>
          <w:i/>
          <w:color w:val="auto"/>
          <w:sz w:val="24"/>
          <w:szCs w:val="24"/>
        </w:rPr>
        <w:tab/>
      </w:r>
      <w:r>
        <w:rPr>
          <w:rFonts w:ascii="Symbol" w:hAnsi="Symbol"/>
          <w:i/>
          <w:color w:val="auto"/>
          <w:sz w:val="24"/>
          <w:szCs w:val="24"/>
        </w:rPr>
        <w:tab/>
      </w:r>
      <w:r>
        <w:rPr>
          <w:rFonts w:ascii="Symbol" w:hAnsi="Symbol"/>
          <w:i/>
          <w:color w:val="auto"/>
          <w:sz w:val="24"/>
          <w:szCs w:val="24"/>
        </w:rPr>
        <w:t xml:space="preserve">  </w:t>
      </w:r>
      <w:r>
        <w:rPr>
          <w:rFonts w:hint="eastAsia" w:ascii="Symbol" w:hAnsi="Symbol"/>
          <w:iCs/>
          <w:color w:val="auto"/>
          <w:sz w:val="24"/>
          <w:szCs w:val="24"/>
        </w:rPr>
        <w:t>（4</w:t>
      </w:r>
      <w:r>
        <w:rPr>
          <w:rFonts w:ascii="Symbol" w:hAnsi="Symbol"/>
          <w:iCs/>
          <w:color w:val="auto"/>
          <w:sz w:val="24"/>
          <w:szCs w:val="24"/>
        </w:rPr>
        <w:t>.2.1</w:t>
      </w:r>
      <w:r>
        <w:rPr>
          <w:rFonts w:hint="eastAsia" w:ascii="Symbol" w:hAnsi="Symbol"/>
          <w:iCs/>
          <w:color w:val="auto"/>
          <w:sz w:val="24"/>
          <w:szCs w:val="24"/>
          <w:lang w:val="en-US" w:eastAsia="zh-CN"/>
        </w:rPr>
        <w:t>1</w:t>
      </w:r>
      <w:r>
        <w:rPr>
          <w:rFonts w:ascii="Symbol" w:hAnsi="Symbol"/>
          <w:iCs/>
          <w:color w:val="auto"/>
          <w:sz w:val="24"/>
          <w:szCs w:val="24"/>
        </w:rPr>
        <w:t>-</w:t>
      </w:r>
      <w:r>
        <w:rPr>
          <w:rFonts w:hint="eastAsia" w:ascii="Symbol" w:hAnsi="Symbol"/>
          <w:iCs/>
          <w:color w:val="auto"/>
          <w:sz w:val="24"/>
          <w:szCs w:val="24"/>
          <w:lang w:val="en-US" w:eastAsia="zh-CN"/>
        </w:rPr>
        <w:t>3</w:t>
      </w:r>
      <w:r>
        <w:rPr>
          <w:rFonts w:hint="eastAsia" w:ascii="Symbol" w:hAnsi="Symbol"/>
          <w:iCs/>
          <w:color w:val="auto"/>
          <w:sz w:val="24"/>
          <w:szCs w:val="24"/>
        </w:rPr>
        <w:t>）</w:t>
      </w:r>
    </w:p>
    <w:tbl>
      <w:tblPr>
        <w:tblStyle w:val="28"/>
        <w:tblW w:w="839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1"/>
        <w:gridCol w:w="839"/>
        <w:gridCol w:w="456"/>
        <w:gridCol w:w="62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871" w:type="dxa"/>
            <w:tcMar>
              <w:left w:w="43" w:type="dxa"/>
              <w:right w:w="43" w:type="dxa"/>
            </w:tcMar>
          </w:tcPr>
          <w:p>
            <w:pPr>
              <w:autoSpaceDE w:val="0"/>
              <w:autoSpaceDN w:val="0"/>
              <w:adjustRightInd w:val="0"/>
              <w:spacing w:after="0" w:line="360" w:lineRule="auto"/>
              <w:jc w:val="left"/>
              <w:rPr>
                <w:iCs/>
                <w:color w:val="auto"/>
                <w:sz w:val="24"/>
                <w:szCs w:val="24"/>
              </w:rPr>
            </w:pPr>
            <w:r>
              <w:rPr>
                <w:rFonts w:hint="eastAsia" w:ascii="宋体" w:cs="宋体"/>
                <w:color w:val="auto"/>
                <w:sz w:val="24"/>
                <w:szCs w:val="24"/>
              </w:rPr>
              <w:t>式中：</w:t>
            </w:r>
          </w:p>
        </w:tc>
        <w:tc>
          <w:tcPr>
            <w:tcW w:w="839" w:type="dxa"/>
          </w:tcPr>
          <w:p>
            <w:pPr>
              <w:spacing w:after="0" w:line="360" w:lineRule="auto"/>
              <w:jc w:val="right"/>
              <w:rPr>
                <w:iCs/>
                <w:color w:val="auto"/>
                <w:sz w:val="24"/>
                <w:szCs w:val="24"/>
              </w:rPr>
            </w:pPr>
            <w:r>
              <w:rPr>
                <w:rFonts w:hint="eastAsia"/>
                <w:i/>
                <w:color w:val="auto"/>
                <w:sz w:val="24"/>
                <w:szCs w:val="24"/>
              </w:rPr>
              <w:t>k</w:t>
            </w:r>
            <w:r>
              <w:rPr>
                <w:iCs/>
                <w:color w:val="auto"/>
                <w:sz w:val="24"/>
                <w:szCs w:val="24"/>
                <w:vertAlign w:val="subscript"/>
              </w:rPr>
              <w:t>b</w:t>
            </w:r>
            <w:r>
              <w:rPr>
                <w:rFonts w:hint="eastAsia"/>
                <w:iCs/>
                <w:color w:val="auto"/>
                <w:sz w:val="24"/>
                <w:szCs w:val="24"/>
                <w:vertAlign w:val="subscript"/>
              </w:rPr>
              <w:t>,</w:t>
            </w:r>
            <w:r>
              <w:rPr>
                <w:iCs/>
                <w:color w:val="auto"/>
                <w:sz w:val="24"/>
                <w:szCs w:val="24"/>
                <w:vertAlign w:val="subscript"/>
              </w:rPr>
              <w:t>seis</w:t>
            </w:r>
          </w:p>
        </w:tc>
        <w:tc>
          <w:tcPr>
            <w:tcW w:w="456" w:type="dxa"/>
          </w:tcPr>
          <w:p>
            <w:pPr>
              <w:spacing w:after="0" w:line="360" w:lineRule="auto"/>
              <w:rPr>
                <w:iCs/>
                <w:color w:val="auto"/>
                <w:sz w:val="24"/>
                <w:szCs w:val="24"/>
              </w:rPr>
            </w:pPr>
            <w:r>
              <w:rPr>
                <w:color w:val="auto"/>
                <w:sz w:val="24"/>
                <w:szCs w:val="24"/>
              </w:rPr>
              <w:t>—</w:t>
            </w:r>
          </w:p>
        </w:tc>
        <w:tc>
          <w:tcPr>
            <w:tcW w:w="6227" w:type="dxa"/>
          </w:tcPr>
          <w:p>
            <w:pPr>
              <w:spacing w:after="0" w:line="360" w:lineRule="auto"/>
              <w:rPr>
                <w:iCs/>
                <w:color w:val="auto"/>
                <w:sz w:val="24"/>
                <w:szCs w:val="24"/>
              </w:rPr>
            </w:pPr>
            <w:r>
              <w:rPr>
                <w:rFonts w:hint="eastAsia"/>
                <w:color w:val="auto"/>
                <w:sz w:val="24"/>
                <w:szCs w:val="24"/>
              </w:rPr>
              <w:t>仅考虑地震作用时植筋系统粘结强度的折减系数</w:t>
            </w:r>
            <w:r>
              <w:rPr>
                <w:rFonts w:hint="eastAsia"/>
                <w:bCs/>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1" w:type="dxa"/>
            <w:tcMar>
              <w:left w:w="43" w:type="dxa"/>
              <w:right w:w="43" w:type="dxa"/>
            </w:tcMar>
          </w:tcPr>
          <w:p>
            <w:pPr>
              <w:autoSpaceDE w:val="0"/>
              <w:autoSpaceDN w:val="0"/>
              <w:adjustRightInd w:val="0"/>
              <w:spacing w:after="0" w:line="360" w:lineRule="auto"/>
              <w:jc w:val="left"/>
              <w:rPr>
                <w:rFonts w:ascii="宋体" w:cs="宋体"/>
                <w:color w:val="auto"/>
                <w:sz w:val="24"/>
                <w:szCs w:val="24"/>
              </w:rPr>
            </w:pPr>
          </w:p>
        </w:tc>
        <w:tc>
          <w:tcPr>
            <w:tcW w:w="839" w:type="dxa"/>
          </w:tcPr>
          <w:p>
            <w:pPr>
              <w:spacing w:after="0" w:line="360" w:lineRule="auto"/>
              <w:jc w:val="right"/>
              <w:rPr>
                <w:color w:val="auto"/>
                <w:sz w:val="24"/>
                <w:szCs w:val="24"/>
              </w:rPr>
            </w:pPr>
            <w:r>
              <w:rPr>
                <w:rFonts w:ascii="Symbol" w:hAnsi="Symbol"/>
                <w:i/>
                <w:color w:val="auto"/>
                <w:sz w:val="24"/>
                <w:szCs w:val="24"/>
              </w:rPr>
              <w:t xml:space="preserve"> b</w:t>
            </w:r>
            <w:r>
              <w:rPr>
                <w:iCs/>
                <w:color w:val="auto"/>
                <w:sz w:val="24"/>
                <w:szCs w:val="24"/>
                <w:vertAlign w:val="subscript"/>
              </w:rPr>
              <w:t>cv,seis</w:t>
            </w:r>
          </w:p>
        </w:tc>
        <w:tc>
          <w:tcPr>
            <w:tcW w:w="456" w:type="dxa"/>
          </w:tcPr>
          <w:p>
            <w:pPr>
              <w:spacing w:after="0" w:line="360" w:lineRule="auto"/>
              <w:rPr>
                <w:color w:val="auto"/>
                <w:sz w:val="24"/>
                <w:szCs w:val="24"/>
              </w:rPr>
            </w:pPr>
            <w:r>
              <w:rPr>
                <w:color w:val="auto"/>
                <w:sz w:val="24"/>
                <w:szCs w:val="24"/>
              </w:rPr>
              <w:t>—</w:t>
            </w:r>
          </w:p>
        </w:tc>
        <w:tc>
          <w:tcPr>
            <w:tcW w:w="6227" w:type="dxa"/>
          </w:tcPr>
          <w:p>
            <w:pPr>
              <w:pStyle w:val="2"/>
              <w:spacing w:after="0" w:line="360" w:lineRule="auto"/>
              <w:ind w:left="0" w:leftChars="0" w:firstLine="0" w:firstLineChars="0"/>
              <w:rPr>
                <w:bCs/>
                <w:color w:val="000000" w:themeColor="text1"/>
                <w:sz w:val="24"/>
                <w:szCs w:val="24"/>
                <w:highlight w:val="none"/>
                <w14:textFill>
                  <w14:solidFill>
                    <w14:schemeClr w14:val="tx1"/>
                  </w14:solidFill>
                </w14:textFill>
              </w:rPr>
            </w:pPr>
            <w:r>
              <w:rPr>
                <w:rFonts w:hint="eastAsia"/>
                <w:color w:val="auto"/>
                <w:sz w:val="24"/>
                <w:szCs w:val="24"/>
                <w:highlight w:val="none"/>
              </w:rPr>
              <w:t>附录J抗震性能</w:t>
            </w:r>
            <w:r>
              <w:rPr>
                <w:rFonts w:hint="eastAsia"/>
                <w:bCs/>
                <w:color w:val="000000" w:themeColor="text1"/>
                <w:sz w:val="24"/>
                <w:szCs w:val="24"/>
                <w:highlight w:val="none"/>
                <w14:textFill>
                  <w14:solidFill>
                    <w14:schemeClr w14:val="tx1"/>
                  </w14:solidFill>
                </w14:textFill>
              </w:rPr>
              <w:t>试验中变异系数对应的折减系数的最小值；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1" w:type="dxa"/>
            <w:tcMar>
              <w:left w:w="43" w:type="dxa"/>
              <w:right w:w="43" w:type="dxa"/>
            </w:tcMar>
          </w:tcPr>
          <w:p>
            <w:pPr>
              <w:autoSpaceDE w:val="0"/>
              <w:autoSpaceDN w:val="0"/>
              <w:adjustRightInd w:val="0"/>
              <w:spacing w:after="0" w:line="360" w:lineRule="auto"/>
              <w:jc w:val="left"/>
              <w:rPr>
                <w:rFonts w:ascii="宋体" w:cs="宋体"/>
                <w:color w:val="auto"/>
                <w:sz w:val="24"/>
                <w:szCs w:val="24"/>
              </w:rPr>
            </w:pPr>
          </w:p>
        </w:tc>
        <w:tc>
          <w:tcPr>
            <w:tcW w:w="839" w:type="dxa"/>
          </w:tcPr>
          <w:p>
            <w:pPr>
              <w:spacing w:after="0" w:line="360" w:lineRule="auto"/>
              <w:jc w:val="right"/>
              <w:rPr>
                <w:rFonts w:hint="eastAsia" w:ascii="Symbol" w:hAnsi="Symbol"/>
                <w:i/>
                <w:color w:val="auto"/>
                <w:sz w:val="24"/>
                <w:szCs w:val="24"/>
              </w:rPr>
            </w:pPr>
            <w:r>
              <w:rPr>
                <w:rFonts w:ascii="Symbol" w:hAnsi="Symbol"/>
                <w:i/>
                <w:color w:val="auto"/>
                <w:sz w:val="24"/>
                <w:szCs w:val="24"/>
              </w:rPr>
              <w:t>a</w:t>
            </w:r>
            <w:r>
              <w:rPr>
                <w:iCs/>
                <w:color w:val="auto"/>
                <w:sz w:val="24"/>
                <w:szCs w:val="24"/>
                <w:vertAlign w:val="subscript"/>
              </w:rPr>
              <w:t>seis</w:t>
            </w:r>
          </w:p>
        </w:tc>
        <w:tc>
          <w:tcPr>
            <w:tcW w:w="456" w:type="dxa"/>
          </w:tcPr>
          <w:p>
            <w:pPr>
              <w:spacing w:after="0" w:line="360" w:lineRule="auto"/>
              <w:rPr>
                <w:color w:val="auto"/>
                <w:sz w:val="24"/>
                <w:szCs w:val="24"/>
              </w:rPr>
            </w:pPr>
            <w:r>
              <w:rPr>
                <w:color w:val="auto"/>
                <w:sz w:val="24"/>
                <w:szCs w:val="24"/>
              </w:rPr>
              <w:t>—</w:t>
            </w:r>
          </w:p>
        </w:tc>
        <w:tc>
          <w:tcPr>
            <w:tcW w:w="6227" w:type="dxa"/>
          </w:tcPr>
          <w:p>
            <w:pPr>
              <w:pStyle w:val="2"/>
              <w:spacing w:after="0" w:line="360" w:lineRule="auto"/>
              <w:ind w:left="0" w:leftChars="0" w:firstLine="0" w:firstLineChars="0"/>
              <w:rPr>
                <w:color w:val="auto"/>
                <w:sz w:val="24"/>
                <w:szCs w:val="24"/>
                <w:highlight w:val="none"/>
              </w:rPr>
            </w:pPr>
            <w:r>
              <w:rPr>
                <w:rFonts w:hint="eastAsia"/>
                <w:color w:val="auto"/>
                <w:sz w:val="24"/>
                <w:szCs w:val="24"/>
                <w:highlight w:val="none"/>
              </w:rPr>
              <w:t>附录</w:t>
            </w:r>
            <w:r>
              <w:rPr>
                <w:color w:val="auto"/>
                <w:sz w:val="24"/>
                <w:szCs w:val="24"/>
                <w:highlight w:val="none"/>
              </w:rPr>
              <w:t>J</w:t>
            </w:r>
            <w:r>
              <w:rPr>
                <w:rFonts w:hint="eastAsia"/>
                <w:color w:val="auto"/>
                <w:sz w:val="24"/>
                <w:szCs w:val="24"/>
                <w:highlight w:val="none"/>
              </w:rPr>
              <w:t>抗震性能</w:t>
            </w:r>
            <w:r>
              <w:rPr>
                <w:rFonts w:hint="eastAsia"/>
                <w:bCs/>
                <w:color w:val="000000" w:themeColor="text1"/>
                <w:sz w:val="24"/>
                <w:szCs w:val="24"/>
                <w:highlight w:val="none"/>
                <w14:textFill>
                  <w14:solidFill>
                    <w14:schemeClr w14:val="tx1"/>
                  </w14:solidFill>
                </w14:textFill>
              </w:rPr>
              <w:t>试验中承载力折减系数的最小值。</w:t>
            </w:r>
          </w:p>
        </w:tc>
      </w:tr>
    </w:tbl>
    <w:p>
      <w:pPr>
        <w:pStyle w:val="2"/>
        <w:spacing w:after="0" w:line="360" w:lineRule="auto"/>
        <w:ind w:left="0" w:leftChars="0" w:firstLine="0" w:firstLineChars="0"/>
        <w:rPr>
          <w:rFonts w:ascii="宋体" w:hAnsi="宋体"/>
          <w:i/>
          <w:iCs/>
          <w:color w:val="0070C0"/>
          <w:sz w:val="24"/>
          <w:szCs w:val="24"/>
        </w:rPr>
      </w:pPr>
      <w:r>
        <w:rPr>
          <w:rFonts w:hint="eastAsia" w:ascii="宋体" w:hAnsi="宋体"/>
          <w:i/>
          <w:iCs/>
          <w:color w:val="0070C0"/>
          <w:sz w:val="24"/>
          <w:szCs w:val="24"/>
        </w:rPr>
        <w:t>【条文说明】</w:t>
      </w:r>
      <w:r>
        <w:rPr>
          <w:rFonts w:hint="eastAsia" w:ascii="宋体" w:hAnsi="宋体"/>
          <w:b/>
          <w:bCs/>
          <w:i/>
          <w:iCs/>
          <w:color w:val="0070C0"/>
          <w:sz w:val="24"/>
          <w:szCs w:val="24"/>
        </w:rPr>
        <w:t>4</w:t>
      </w:r>
      <w:r>
        <w:rPr>
          <w:rFonts w:ascii="宋体" w:hAnsi="宋体"/>
          <w:b/>
          <w:bCs/>
          <w:i/>
          <w:iCs/>
          <w:color w:val="0070C0"/>
          <w:sz w:val="24"/>
          <w:szCs w:val="24"/>
        </w:rPr>
        <w:t>.2.1</w:t>
      </w:r>
      <w:r>
        <w:rPr>
          <w:rFonts w:hint="eastAsia" w:ascii="宋体" w:hAnsi="宋体"/>
          <w:b/>
          <w:bCs/>
          <w:i/>
          <w:iCs/>
          <w:color w:val="0070C0"/>
          <w:sz w:val="24"/>
          <w:szCs w:val="24"/>
          <w:lang w:val="en-US" w:eastAsia="zh-CN"/>
        </w:rPr>
        <w:t>1</w:t>
      </w:r>
      <w:r>
        <w:rPr>
          <w:rFonts w:ascii="宋体" w:hAnsi="宋体"/>
          <w:b/>
          <w:bCs/>
          <w:i/>
          <w:iCs/>
          <w:color w:val="0070C0"/>
          <w:sz w:val="24"/>
          <w:szCs w:val="24"/>
        </w:rPr>
        <w:t xml:space="preserve"> </w:t>
      </w:r>
      <w:r>
        <w:rPr>
          <w:rFonts w:hint="eastAsia" w:ascii="宋体" w:hAnsi="宋体"/>
          <w:i/>
          <w:iCs/>
          <w:color w:val="0070C0"/>
          <w:sz w:val="24"/>
          <w:szCs w:val="24"/>
        </w:rPr>
        <w:t>除混凝土强度影响外，当采用不同的钻孔方式、或在设计过程中考虑不同的使用年限、抗震等工况时，应根据认证报告中相应条件下提供的粘结强度影响系数k</w:t>
      </w:r>
      <w:r>
        <w:rPr>
          <w:rFonts w:ascii="宋体" w:hAnsi="宋体"/>
          <w:i/>
          <w:iCs/>
          <w:color w:val="0070C0"/>
          <w:sz w:val="24"/>
          <w:szCs w:val="24"/>
          <w:vertAlign w:val="subscript"/>
        </w:rPr>
        <w:t>b</w:t>
      </w:r>
      <w:r>
        <w:rPr>
          <w:rFonts w:hint="eastAsia" w:ascii="宋体" w:hAnsi="宋体"/>
          <w:i/>
          <w:iCs/>
          <w:color w:val="0070C0"/>
          <w:sz w:val="24"/>
          <w:szCs w:val="24"/>
        </w:rPr>
        <w:t>对植筋的锚固长度进行调整。</w:t>
      </w:r>
    </w:p>
    <w:p>
      <w:pPr>
        <w:widowControl/>
        <w:autoSpaceDE w:val="0"/>
        <w:autoSpaceDN w:val="0"/>
        <w:adjustRightInd w:val="0"/>
        <w:spacing w:after="0" w:line="360" w:lineRule="auto"/>
        <w:jc w:val="center"/>
        <w:rPr>
          <w:rFonts w:hint="default" w:ascii="宋体" w:hAnsi="宋体" w:eastAsia="宋体"/>
          <w:b/>
          <w:bCs/>
          <w:color w:val="auto"/>
          <w:sz w:val="24"/>
          <w:szCs w:val="24"/>
          <w:lang w:val="en-US" w:eastAsia="zh-CN"/>
        </w:rPr>
      </w:pPr>
      <w:r>
        <w:rPr>
          <w:rFonts w:hint="eastAsia" w:ascii="宋体" w:hAnsi="宋体"/>
          <w:b/>
          <w:bCs/>
          <w:color w:val="auto"/>
          <w:sz w:val="24"/>
          <w:szCs w:val="24"/>
        </w:rPr>
        <w:fldChar w:fldCharType="begin"/>
      </w:r>
      <w:r>
        <w:rPr>
          <w:rFonts w:hint="eastAsia" w:ascii="宋体" w:hAnsi="宋体"/>
          <w:b/>
          <w:bCs/>
          <w:color w:val="auto"/>
          <w:sz w:val="24"/>
          <w:szCs w:val="24"/>
        </w:rPr>
        <w:instrText xml:space="preserve"> = 3 \* ROMAN \* MERGEFORMAT </w:instrText>
      </w:r>
      <w:r>
        <w:rPr>
          <w:rFonts w:hint="eastAsia" w:ascii="宋体" w:hAnsi="宋体"/>
          <w:b/>
          <w:bCs/>
          <w:color w:val="auto"/>
          <w:sz w:val="24"/>
          <w:szCs w:val="24"/>
        </w:rPr>
        <w:fldChar w:fldCharType="separate"/>
      </w:r>
      <w:r>
        <w:rPr>
          <w:rFonts w:hint="eastAsia" w:ascii="宋体" w:hAnsi="宋体"/>
          <w:b/>
          <w:bCs/>
          <w:color w:val="auto"/>
          <w:sz w:val="24"/>
          <w:szCs w:val="24"/>
        </w:rPr>
        <w:t>III</w:t>
      </w:r>
      <w:r>
        <w:rPr>
          <w:rFonts w:hint="eastAsia" w:ascii="宋体" w:hAnsi="宋体"/>
          <w:b/>
          <w:bCs/>
          <w:color w:val="auto"/>
          <w:sz w:val="24"/>
          <w:szCs w:val="24"/>
        </w:rPr>
        <w:fldChar w:fldCharType="end"/>
      </w:r>
      <w:r>
        <w:rPr>
          <w:rFonts w:hint="eastAsia" w:ascii="宋体" w:hAnsi="宋体"/>
          <w:b/>
          <w:bCs/>
          <w:color w:val="auto"/>
          <w:sz w:val="24"/>
          <w:szCs w:val="24"/>
        </w:rPr>
        <w:t xml:space="preserve"> </w:t>
      </w:r>
      <w:r>
        <w:rPr>
          <w:rFonts w:hint="eastAsia" w:ascii="宋体" w:hAnsi="宋体"/>
          <w:b/>
          <w:bCs/>
          <w:color w:val="auto"/>
          <w:sz w:val="24"/>
          <w:szCs w:val="24"/>
          <w:lang w:val="en-US" w:eastAsia="zh-CN"/>
        </w:rPr>
        <w:t>构造要求</w:t>
      </w:r>
    </w:p>
    <w:p>
      <w:pPr>
        <w:spacing w:after="0" w:line="360" w:lineRule="auto"/>
        <w:rPr>
          <w:rFonts w:hint="eastAsia" w:ascii="宋体" w:hAnsi="宋体"/>
          <w:color w:val="auto"/>
          <w:sz w:val="24"/>
          <w:szCs w:val="24"/>
        </w:rPr>
      </w:pPr>
      <w:r>
        <w:rPr>
          <w:b/>
          <w:bCs/>
          <w:color w:val="auto"/>
          <w:sz w:val="24"/>
          <w:szCs w:val="24"/>
        </w:rPr>
        <w:t>4.</w:t>
      </w:r>
      <w:r>
        <w:rPr>
          <w:rFonts w:hint="eastAsia"/>
          <w:b/>
          <w:bCs/>
          <w:color w:val="auto"/>
          <w:sz w:val="24"/>
          <w:szCs w:val="24"/>
        </w:rPr>
        <w:t>2.</w:t>
      </w:r>
      <w:r>
        <w:rPr>
          <w:rFonts w:hint="eastAsia"/>
          <w:b/>
          <w:bCs/>
          <w:color w:val="auto"/>
          <w:sz w:val="24"/>
          <w:szCs w:val="24"/>
          <w:lang w:val="en-US" w:eastAsia="zh-CN"/>
        </w:rPr>
        <w:t xml:space="preserve">12 </w:t>
      </w:r>
      <w:r>
        <w:rPr>
          <w:rFonts w:hint="eastAsia" w:ascii="宋体" w:hAnsi="宋体"/>
          <w:color w:val="auto"/>
          <w:sz w:val="24"/>
          <w:szCs w:val="24"/>
          <w:lang w:val="en-US" w:eastAsia="zh-CN"/>
        </w:rPr>
        <w:t>受拉植筋</w:t>
      </w:r>
      <w:r>
        <w:rPr>
          <w:rFonts w:hint="eastAsia"/>
          <w:color w:val="auto"/>
          <w:sz w:val="24"/>
          <w:szCs w:val="24"/>
        </w:rPr>
        <w:t>锚固</w:t>
      </w:r>
      <w:r>
        <w:rPr>
          <w:rFonts w:hint="eastAsia" w:ascii="宋体" w:hAnsi="宋体"/>
          <w:color w:val="auto"/>
          <w:sz w:val="24"/>
          <w:szCs w:val="24"/>
        </w:rPr>
        <w:t>应控制为植筋钢材受拉延性破坏，钢筋强度等级不宜超过HRB4</w:t>
      </w:r>
      <w:r>
        <w:rPr>
          <w:rFonts w:ascii="宋体" w:hAnsi="宋体"/>
          <w:color w:val="auto"/>
          <w:sz w:val="24"/>
          <w:szCs w:val="24"/>
        </w:rPr>
        <w:t>00</w:t>
      </w:r>
      <w:r>
        <w:rPr>
          <w:rFonts w:hint="eastAsia" w:ascii="宋体" w:hAnsi="宋体"/>
          <w:color w:val="auto"/>
          <w:sz w:val="24"/>
          <w:szCs w:val="24"/>
          <w:lang w:eastAsia="zh-CN"/>
        </w:rPr>
        <w:t>，</w:t>
      </w:r>
      <w:r>
        <w:rPr>
          <w:rFonts w:hint="eastAsia" w:ascii="宋体" w:hAnsi="宋体"/>
          <w:color w:val="auto"/>
          <w:sz w:val="24"/>
          <w:szCs w:val="24"/>
        </w:rPr>
        <w:t>应</w:t>
      </w:r>
      <w:r>
        <w:rPr>
          <w:rFonts w:hint="eastAsia" w:ascii="宋体" w:hAnsi="宋体"/>
          <w:color w:val="auto"/>
          <w:sz w:val="24"/>
          <w:szCs w:val="24"/>
          <w:lang w:val="en-US" w:eastAsia="zh-CN"/>
        </w:rPr>
        <w:t>满足下式要求</w:t>
      </w:r>
      <w:r>
        <w:rPr>
          <w:rFonts w:hint="eastAsia" w:ascii="宋体" w:hAnsi="宋体"/>
          <w:color w:val="auto"/>
          <w:sz w:val="24"/>
          <w:szCs w:val="24"/>
        </w:rPr>
        <w:t>：</w:t>
      </w:r>
    </w:p>
    <w:p>
      <w:pPr>
        <w:spacing w:after="0" w:line="360" w:lineRule="auto"/>
        <w:ind w:left="2520" w:firstLine="420"/>
        <w:jc w:val="right"/>
        <w:rPr>
          <w:rFonts w:ascii="宋体" w:hAnsi="宋体"/>
          <w:color w:val="auto"/>
          <w:sz w:val="24"/>
          <w:szCs w:val="24"/>
        </w:rPr>
      </w:pPr>
      <m:oMath>
        <m:r>
          <m:rPr/>
          <w:rPr>
            <w:rFonts w:ascii="Cambria Math" w:hAnsi="Cambria Math"/>
            <w:color w:val="auto"/>
            <w:sz w:val="24"/>
            <w:szCs w:val="24"/>
          </w:rPr>
          <m:t>1.2∙</m:t>
        </m:r>
        <m:nary>
          <m:naryPr>
            <m:chr m:val="∑"/>
            <m:limLoc m:val="undOvr"/>
            <m:subHide m:val="1"/>
            <m:supHide m:val="1"/>
            <m:ctrlPr>
              <w:rPr>
                <w:rFonts w:ascii="Cambria Math" w:hAnsi="Cambria Math"/>
                <w:i/>
                <w:color w:val="auto"/>
                <w:sz w:val="24"/>
                <w:szCs w:val="24"/>
              </w:rPr>
            </m:ctrlPr>
          </m:naryPr>
          <m:sub>
            <m:ctrlPr>
              <w:rPr>
                <w:rFonts w:ascii="Cambria Math" w:hAnsi="Cambria Math"/>
                <w:i/>
                <w:color w:val="auto"/>
                <w:sz w:val="24"/>
                <w:szCs w:val="24"/>
              </w:rPr>
            </m:ctrlPr>
          </m:sub>
          <m:sup>
            <m:ctrlPr>
              <w:rPr>
                <w:rFonts w:ascii="Cambria Math" w:hAnsi="Cambria Math"/>
                <w:i/>
                <w:color w:val="auto"/>
                <w:sz w:val="24"/>
                <w:szCs w:val="24"/>
              </w:rPr>
            </m:ctrlPr>
          </m:sup>
          <m:e>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ctrlPr>
              <w:rPr>
                <w:rFonts w:ascii="Cambria Math" w:hAnsi="Cambria Math"/>
                <w:i/>
                <w:color w:val="auto"/>
                <w:sz w:val="24"/>
                <w:szCs w:val="24"/>
              </w:rPr>
            </m:ctrlPr>
          </m:e>
        </m:nary>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yk</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m:t>
            </m:r>
            <m:r>
              <m:rPr/>
              <w:rPr>
                <w:rFonts w:hint="eastAsia" w:ascii="Cambria Math" w:hAnsi="Cambria Math"/>
                <w:color w:val="auto"/>
                <w:sz w:val="24"/>
                <w:szCs w:val="24"/>
              </w:rPr>
              <m:t>k</m:t>
            </m:r>
            <m:r>
              <m:rPr/>
              <w:rPr>
                <w:rFonts w:ascii="Cambria Math" w:hAnsi="Cambria Math"/>
                <w:color w:val="auto"/>
                <w:sz w:val="24"/>
                <w:szCs w:val="24"/>
              </w:rPr>
              <m:t>,c</m:t>
            </m:r>
            <m:ctrlPr>
              <w:rPr>
                <w:rFonts w:ascii="Cambria Math" w:hAnsi="Cambria Math"/>
                <w:i/>
                <w:color w:val="auto"/>
                <w:sz w:val="24"/>
                <w:szCs w:val="24"/>
              </w:rPr>
            </m:ctrlPr>
          </m:sub>
        </m:sSub>
      </m:oMath>
      <w:r>
        <w:rPr>
          <w:rFonts w:ascii="宋体" w:hAnsi="宋体"/>
          <w:color w:val="auto"/>
          <w:sz w:val="24"/>
          <w:szCs w:val="24"/>
        </w:rPr>
        <w:tab/>
      </w:r>
      <w:r>
        <w:rPr>
          <w:rFonts w:hint="eastAsia" w:ascii="宋体" w:hAnsi="宋体"/>
          <w:color w:val="auto"/>
          <w:sz w:val="24"/>
          <w:szCs w:val="24"/>
          <w:lang w:val="en-US" w:eastAsia="zh-CN"/>
        </w:rPr>
        <w:t xml:space="preserve">        </w:t>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(4.</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lang w:val="en-US" w:eastAsia="zh-CN"/>
        </w:rPr>
        <w:t>12</w:t>
      </w:r>
      <w:r>
        <w:rPr>
          <w:rFonts w:ascii="宋体" w:hAnsi="宋体"/>
          <w:color w:val="auto"/>
          <w:sz w:val="24"/>
          <w:szCs w:val="24"/>
        </w:rPr>
        <w:t>)</w:t>
      </w:r>
    </w:p>
    <w:tbl>
      <w:tblPr>
        <w:tblStyle w:val="28"/>
        <w:tblW w:w="8296"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0"/>
        <w:gridCol w:w="975"/>
        <w:gridCol w:w="630"/>
        <w:gridCol w:w="5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right"/>
        </w:trPr>
        <w:tc>
          <w:tcPr>
            <w:tcW w:w="820" w:type="dxa"/>
            <w:tcMar>
              <w:left w:w="43" w:type="dxa"/>
              <w:right w:w="43" w:type="dxa"/>
            </w:tcMar>
          </w:tcPr>
          <w:p>
            <w:pPr>
              <w:spacing w:after="0" w:line="360" w:lineRule="auto"/>
              <w:rPr>
                <w:rFonts w:ascii="宋体" w:hAnsi="宋体"/>
                <w:color w:val="auto"/>
                <w:sz w:val="24"/>
                <w:szCs w:val="24"/>
              </w:rPr>
            </w:pPr>
            <w:r>
              <w:rPr>
                <w:rFonts w:hint="eastAsia" w:ascii="宋体" w:hAnsi="宋体"/>
                <w:color w:val="auto"/>
                <w:sz w:val="24"/>
                <w:szCs w:val="24"/>
              </w:rPr>
              <w:t>式中：</w:t>
            </w:r>
          </w:p>
          <w:p>
            <w:pPr>
              <w:spacing w:after="0" w:line="360" w:lineRule="auto"/>
              <w:rPr>
                <w:rFonts w:eastAsia="黑体"/>
                <w:i/>
                <w:color w:val="auto"/>
                <w:sz w:val="24"/>
                <w:szCs w:val="24"/>
              </w:rPr>
            </w:pPr>
          </w:p>
        </w:tc>
        <w:tc>
          <w:tcPr>
            <w:tcW w:w="975" w:type="dxa"/>
          </w:tcPr>
          <w:p>
            <w:pPr>
              <w:spacing w:after="0" w:line="360" w:lineRule="auto"/>
              <w:jc w:val="right"/>
              <w:rPr>
                <w:rFonts w:ascii="宋体" w:hAnsi="宋体"/>
                <w:color w:val="auto"/>
                <w:sz w:val="24"/>
                <w:szCs w:val="24"/>
              </w:rPr>
            </w:pPr>
            <m:oMathPara>
              <m:oMathParaPr>
                <m:jc m:val="right"/>
              </m:oMathParaPr>
              <m:oMath>
                <m:nary>
                  <m:naryPr>
                    <m:chr m:val="∑"/>
                    <m:limLoc m:val="undOvr"/>
                    <m:subHide m:val="1"/>
                    <m:supHide m:val="1"/>
                    <m:ctrlPr>
                      <w:rPr>
                        <w:rFonts w:ascii="Cambria Math" w:hAnsi="Cambria Math"/>
                        <w:i/>
                        <w:color w:val="auto"/>
                        <w:sz w:val="24"/>
                        <w:szCs w:val="24"/>
                      </w:rPr>
                    </m:ctrlPr>
                  </m:naryPr>
                  <m:sub>
                    <m:ctrlPr>
                      <w:rPr>
                        <w:rFonts w:ascii="Cambria Math" w:hAnsi="Cambria Math"/>
                        <w:i/>
                        <w:color w:val="auto"/>
                        <w:sz w:val="24"/>
                        <w:szCs w:val="24"/>
                      </w:rPr>
                    </m:ctrlPr>
                  </m:sub>
                  <m:sup>
                    <m:ctrlPr>
                      <w:rPr>
                        <w:rFonts w:ascii="Cambria Math" w:hAnsi="Cambria Math"/>
                        <w:i/>
                        <w:color w:val="auto"/>
                        <w:sz w:val="24"/>
                        <w:szCs w:val="24"/>
                      </w:rPr>
                    </m:ctrlPr>
                  </m:sup>
                  <m:e>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ctrlPr>
                      <w:rPr>
                        <w:rFonts w:ascii="Cambria Math" w:hAnsi="Cambria Math"/>
                        <w:i/>
                        <w:color w:val="auto"/>
                        <w:sz w:val="24"/>
                        <w:szCs w:val="24"/>
                      </w:rPr>
                    </m:ctrlPr>
                  </m:e>
                </m:nary>
              </m:oMath>
            </m:oMathPara>
          </w:p>
        </w:tc>
        <w:tc>
          <w:tcPr>
            <w:tcW w:w="630" w:type="dxa"/>
          </w:tcPr>
          <w:p>
            <w:pPr>
              <w:spacing w:after="0" w:line="360" w:lineRule="auto"/>
              <w:rPr>
                <w:rFonts w:ascii="宋体" w:hAnsi="宋体"/>
                <w:color w:val="auto"/>
                <w:sz w:val="24"/>
                <w:szCs w:val="24"/>
              </w:rPr>
            </w:pPr>
            <w:r>
              <w:rPr>
                <w:color w:val="000000" w:themeColor="text1"/>
                <w:kern w:val="2"/>
                <w:sz w:val="24"/>
                <w:szCs w:val="24"/>
                <w14:textFill>
                  <w14:solidFill>
                    <w14:schemeClr w14:val="tx1"/>
                  </w14:solidFill>
                </w14:textFill>
              </w:rPr>
              <w:t>—</w:t>
            </w:r>
          </w:p>
        </w:tc>
        <w:tc>
          <w:tcPr>
            <w:tcW w:w="5871" w:type="dxa"/>
          </w:tcPr>
          <w:p>
            <w:pPr>
              <w:spacing w:after="0" w:line="360" w:lineRule="auto"/>
              <w:rPr>
                <w:rFonts w:ascii="宋体" w:hAnsi="宋体"/>
                <w:color w:val="auto"/>
                <w:sz w:val="24"/>
                <w:szCs w:val="24"/>
              </w:rPr>
            </w:pPr>
            <w:r>
              <w:rPr>
                <w:rFonts w:hint="eastAsia" w:ascii="宋体" w:hAnsi="宋体"/>
                <w:color w:val="auto"/>
                <w:sz w:val="24"/>
                <w:szCs w:val="24"/>
              </w:rPr>
              <w:t>植筋系统中受拉钢筋总截面面积（mm</w:t>
            </w:r>
            <w:r>
              <w:rPr>
                <w:rFonts w:ascii="宋体" w:hAnsi="宋体"/>
                <w:color w:val="auto"/>
                <w:sz w:val="24"/>
                <w:szCs w:val="24"/>
                <w:vertAlign w:val="superscript"/>
              </w:rPr>
              <w:t>2</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20" w:type="dxa"/>
            <w:tcMar>
              <w:left w:w="43" w:type="dxa"/>
              <w:right w:w="43" w:type="dxa"/>
            </w:tcMar>
          </w:tcPr>
          <w:p>
            <w:pPr>
              <w:spacing w:after="0" w:line="360" w:lineRule="auto"/>
              <w:rPr>
                <w:rFonts w:ascii="宋体" w:hAnsi="宋体"/>
                <w:color w:val="auto"/>
                <w:sz w:val="24"/>
                <w:szCs w:val="24"/>
              </w:rPr>
            </w:pPr>
          </w:p>
        </w:tc>
        <w:tc>
          <w:tcPr>
            <w:tcW w:w="975" w:type="dxa"/>
          </w:tcPr>
          <w:p>
            <w:pPr>
              <w:spacing w:after="0" w:line="360" w:lineRule="auto"/>
              <w:jc w:val="right"/>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m:t>
                    </m:r>
                    <m:r>
                      <m:rPr/>
                      <w:rPr>
                        <w:rFonts w:hint="eastAsia" w:ascii="Cambria Math" w:hAnsi="Cambria Math"/>
                        <w:color w:val="auto"/>
                        <w:sz w:val="24"/>
                        <w:szCs w:val="24"/>
                      </w:rPr>
                      <m:t>k</m:t>
                    </m:r>
                    <m:r>
                      <m:rPr/>
                      <w:rPr>
                        <w:rFonts w:ascii="Cambria Math" w:hAnsi="Cambria Math"/>
                        <w:color w:val="auto"/>
                        <w:sz w:val="24"/>
                        <w:szCs w:val="24"/>
                      </w:rPr>
                      <m:t>,c</m:t>
                    </m:r>
                    <m:ctrlPr>
                      <w:rPr>
                        <w:rFonts w:ascii="Cambria Math" w:hAnsi="Cambria Math"/>
                        <w:i/>
                        <w:color w:val="auto"/>
                        <w:sz w:val="24"/>
                        <w:szCs w:val="24"/>
                      </w:rPr>
                    </m:ctrlPr>
                  </m:sub>
                </m:sSub>
              </m:oMath>
            </m:oMathPara>
          </w:p>
        </w:tc>
        <w:tc>
          <w:tcPr>
            <w:tcW w:w="630" w:type="dxa"/>
          </w:tcPr>
          <w:p>
            <w:pPr>
              <w:spacing w:after="0" w:line="360" w:lineRule="auto"/>
              <w:rPr>
                <w:rFonts w:ascii="宋体" w:hAnsi="宋体"/>
                <w:color w:val="auto"/>
                <w:sz w:val="24"/>
                <w:szCs w:val="24"/>
              </w:rPr>
            </w:pPr>
            <w:r>
              <w:rPr>
                <w:color w:val="000000" w:themeColor="text1"/>
                <w:kern w:val="2"/>
                <w:sz w:val="24"/>
                <w:szCs w:val="24"/>
                <w14:textFill>
                  <w14:solidFill>
                    <w14:schemeClr w14:val="tx1"/>
                  </w14:solidFill>
                </w14:textFill>
              </w:rPr>
              <w:t>—</w:t>
            </w:r>
          </w:p>
        </w:tc>
        <w:tc>
          <w:tcPr>
            <w:tcW w:w="5871" w:type="dxa"/>
          </w:tcPr>
          <w:p>
            <w:pPr>
              <w:spacing w:after="0" w:line="360" w:lineRule="auto"/>
              <w:rPr>
                <w:rFonts w:hint="eastAsia" w:ascii="宋体" w:hAnsi="宋体" w:eastAsia="宋体"/>
                <w:color w:val="auto"/>
                <w:sz w:val="24"/>
                <w:szCs w:val="24"/>
                <w:lang w:eastAsia="zh-CN"/>
              </w:rPr>
            </w:pPr>
            <w:r>
              <w:rPr>
                <w:rFonts w:hint="eastAsia" w:ascii="宋体" w:hAnsi="宋体"/>
                <w:color w:val="auto"/>
                <w:sz w:val="24"/>
                <w:szCs w:val="24"/>
              </w:rPr>
              <w:t>植筋系统的混凝土锥体破坏承载力标准值（</w:t>
            </w:r>
            <w:r>
              <w:rPr>
                <w:rFonts w:ascii="宋体" w:hAnsi="宋体"/>
                <w:color w:val="auto"/>
                <w:sz w:val="24"/>
                <w:szCs w:val="24"/>
              </w:rPr>
              <w:t>kN</w:t>
            </w:r>
            <w:r>
              <w:rPr>
                <w:rFonts w:hint="eastAsia" w:ascii="宋体" w:hAnsi="宋体"/>
                <w:color w:val="auto"/>
                <w:sz w:val="24"/>
                <w:szCs w:val="24"/>
              </w:rPr>
              <w:t>）</w:t>
            </w:r>
            <w:r>
              <w:rPr>
                <w:rFonts w:hint="eastAsia" w:ascii="宋体" w:hAnsi="宋体"/>
                <w:color w:val="auto"/>
                <w:sz w:val="24"/>
                <w:szCs w:val="24"/>
                <w:lang w:eastAsia="zh-CN"/>
              </w:rPr>
              <w:t>。</w:t>
            </w:r>
          </w:p>
        </w:tc>
      </w:tr>
    </w:tbl>
    <w:p>
      <w:pPr>
        <w:pStyle w:val="2"/>
        <w:spacing w:after="0" w:line="360" w:lineRule="auto"/>
        <w:ind w:left="0" w:leftChars="0" w:firstLine="0" w:firstLineChars="0"/>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4.</w:t>
      </w:r>
      <w:r>
        <w:rPr>
          <w:rFonts w:hint="eastAsia" w:ascii="宋体" w:hAnsi="宋体"/>
          <w:b/>
          <w:bCs/>
          <w:i/>
          <w:iCs/>
          <w:color w:val="0070C0"/>
          <w:sz w:val="24"/>
          <w:szCs w:val="24"/>
        </w:rPr>
        <w:t>2</w:t>
      </w:r>
      <w:r>
        <w:rPr>
          <w:rFonts w:ascii="宋体" w:hAnsi="宋体"/>
          <w:b/>
          <w:bCs/>
          <w:i/>
          <w:iCs/>
          <w:color w:val="0070C0"/>
          <w:sz w:val="24"/>
          <w:szCs w:val="24"/>
        </w:rPr>
        <w:t>.</w:t>
      </w:r>
      <w:r>
        <w:rPr>
          <w:rFonts w:hint="eastAsia" w:ascii="宋体" w:hAnsi="宋体"/>
          <w:b/>
          <w:bCs/>
          <w:i/>
          <w:iCs/>
          <w:color w:val="0070C0"/>
          <w:sz w:val="24"/>
          <w:szCs w:val="24"/>
          <w:lang w:val="en-US" w:eastAsia="zh-CN"/>
        </w:rPr>
        <w:t>12</w:t>
      </w:r>
      <w:r>
        <w:rPr>
          <w:rFonts w:ascii="宋体" w:hAnsi="宋体"/>
          <w:i/>
          <w:iCs/>
          <w:color w:val="0070C0"/>
          <w:sz w:val="24"/>
          <w:szCs w:val="24"/>
        </w:rPr>
        <w:t xml:space="preserve"> </w:t>
      </w:r>
      <w:r>
        <w:rPr>
          <w:rFonts w:hint="eastAsia" w:ascii="宋体" w:hAnsi="宋体"/>
          <w:i/>
          <w:iCs/>
          <w:color w:val="0070C0"/>
          <w:sz w:val="24"/>
          <w:szCs w:val="24"/>
          <w:lang w:val="en-US" w:eastAsia="zh-CN"/>
        </w:rPr>
        <w:t>受拉植筋</w:t>
      </w:r>
      <w:r>
        <w:rPr>
          <w:rFonts w:hint="eastAsia" w:ascii="宋体" w:hAnsi="宋体"/>
          <w:i/>
          <w:iCs/>
          <w:color w:val="0070C0"/>
          <w:sz w:val="24"/>
          <w:szCs w:val="24"/>
        </w:rPr>
        <w:t>锚固</w:t>
      </w:r>
      <w:r>
        <w:rPr>
          <w:rFonts w:hint="eastAsia" w:ascii="宋体" w:hAnsi="宋体"/>
          <w:i/>
          <w:iCs/>
          <w:color w:val="0070C0"/>
          <w:sz w:val="24"/>
          <w:szCs w:val="24"/>
          <w:lang w:val="en-US" w:eastAsia="zh-CN"/>
        </w:rPr>
        <w:t>时，由于不是搭接，植筋锚固有可能发生锥体破坏，尤其是植筋数量较大且边间距较小时，应进行限制，以保证</w:t>
      </w:r>
      <w:r>
        <w:rPr>
          <w:rFonts w:hint="eastAsia" w:ascii="宋体" w:hAnsi="宋体"/>
          <w:i/>
          <w:iCs/>
          <w:color w:val="0070C0"/>
          <w:sz w:val="24"/>
          <w:szCs w:val="24"/>
        </w:rPr>
        <w:t>植筋钢材受拉延性破坏。本规范的规定与现行行业标准JGJ</w:t>
      </w:r>
      <w:r>
        <w:rPr>
          <w:rFonts w:ascii="宋体" w:hAnsi="宋体"/>
          <w:i/>
          <w:iCs/>
          <w:color w:val="0070C0"/>
          <w:sz w:val="24"/>
          <w:szCs w:val="24"/>
        </w:rPr>
        <w:t>145</w:t>
      </w:r>
      <w:r>
        <w:rPr>
          <w:rFonts w:hint="eastAsia" w:ascii="宋体" w:hAnsi="宋体"/>
          <w:i/>
          <w:iCs/>
          <w:color w:val="0070C0"/>
          <w:sz w:val="24"/>
          <w:szCs w:val="24"/>
        </w:rPr>
        <w:t>中锚栓抗震设计中控制锚栓钢材受拉延性破坏的要求一致。</w:t>
      </w:r>
    </w:p>
    <w:p>
      <w:pPr>
        <w:rPr>
          <w:rFonts w:ascii="宋体" w:hAnsi="宋体"/>
          <w:i/>
          <w:iCs/>
          <w:color w:val="auto"/>
          <w:sz w:val="24"/>
          <w:szCs w:val="24"/>
        </w:rPr>
      </w:pPr>
      <w:r>
        <w:rPr>
          <w:b/>
          <w:bCs/>
          <w:color w:val="auto"/>
          <w:sz w:val="24"/>
          <w:szCs w:val="24"/>
        </w:rPr>
        <w:t>4.</w:t>
      </w:r>
      <w:r>
        <w:rPr>
          <w:rFonts w:hint="eastAsia"/>
          <w:b/>
          <w:bCs/>
          <w:color w:val="auto"/>
          <w:sz w:val="24"/>
          <w:szCs w:val="24"/>
        </w:rPr>
        <w:t>2</w:t>
      </w:r>
      <w:r>
        <w:rPr>
          <w:b/>
          <w:bCs/>
          <w:color w:val="auto"/>
          <w:sz w:val="24"/>
          <w:szCs w:val="24"/>
        </w:rPr>
        <w:t>.</w:t>
      </w:r>
      <w:r>
        <w:rPr>
          <w:rFonts w:hint="eastAsia"/>
          <w:b/>
          <w:bCs/>
          <w:color w:val="auto"/>
          <w:sz w:val="24"/>
          <w:szCs w:val="24"/>
          <w:lang w:val="en-US" w:eastAsia="zh-CN"/>
        </w:rPr>
        <w:t>13</w:t>
      </w:r>
      <w:r>
        <w:rPr>
          <w:rFonts w:ascii="宋体" w:hAnsi="宋体"/>
          <w:color w:val="auto"/>
          <w:sz w:val="24"/>
          <w:szCs w:val="24"/>
        </w:rPr>
        <w:t xml:space="preserve"> </w:t>
      </w:r>
      <w:r>
        <w:rPr>
          <w:rFonts w:hint="eastAsia" w:ascii="宋体" w:hAnsi="宋体"/>
          <w:color w:val="auto"/>
          <w:sz w:val="24"/>
          <w:szCs w:val="24"/>
        </w:rPr>
        <w:t>混凝土锥体破坏承载力标准值</w:t>
      </w: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Rk,c</m:t>
            </m:r>
            <m:ctrlPr>
              <w:rPr>
                <w:rFonts w:ascii="Cambria Math" w:hAnsi="Cambria Math"/>
                <w:i/>
                <w:color w:val="auto"/>
                <w:sz w:val="24"/>
                <w:szCs w:val="24"/>
              </w:rPr>
            </m:ctrlPr>
          </m:sub>
        </m:sSub>
      </m:oMath>
      <w:r>
        <w:rPr>
          <w:rFonts w:hint="eastAsia" w:ascii="宋体" w:hAnsi="宋体"/>
          <w:color w:val="auto"/>
          <w:sz w:val="24"/>
          <w:szCs w:val="24"/>
        </w:rPr>
        <w:t>应按下列公式计算</w:t>
      </w:r>
      <w:r>
        <w:rPr>
          <w:rFonts w:hint="eastAsia" w:hAnsi="宋体"/>
          <w:color w:val="auto"/>
          <w:sz w:val="24"/>
          <w:szCs w:val="24"/>
        </w:rPr>
        <w:t xml:space="preserve"> ，当植筋锚固长度超过2</w:t>
      </w:r>
      <w:r>
        <w:rPr>
          <w:rFonts w:hAnsi="宋体"/>
          <w:color w:val="auto"/>
          <w:sz w:val="24"/>
          <w:szCs w:val="24"/>
        </w:rPr>
        <w:t>0</w:t>
      </w:r>
      <w:r>
        <w:rPr>
          <w:rFonts w:hint="eastAsia" w:hAnsi="宋体"/>
          <w:i/>
          <w:iCs/>
          <w:color w:val="auto"/>
          <w:sz w:val="24"/>
          <w:szCs w:val="24"/>
        </w:rPr>
        <w:t>d</w:t>
      </w:r>
      <w:r>
        <w:rPr>
          <w:rFonts w:hint="eastAsia" w:hAnsi="宋体"/>
          <w:color w:val="auto"/>
          <w:sz w:val="24"/>
          <w:szCs w:val="24"/>
        </w:rPr>
        <w:t>时，计算有效锚固长度取2</w:t>
      </w:r>
      <w:r>
        <w:rPr>
          <w:rFonts w:hAnsi="宋体"/>
          <w:color w:val="auto"/>
          <w:sz w:val="24"/>
          <w:szCs w:val="24"/>
        </w:rPr>
        <w:t>0</w:t>
      </w:r>
      <w:r>
        <w:rPr>
          <w:rFonts w:hAnsi="宋体"/>
          <w:i/>
          <w:iCs/>
          <w:color w:val="auto"/>
          <w:sz w:val="24"/>
          <w:szCs w:val="24"/>
        </w:rPr>
        <w:t>d</w:t>
      </w:r>
      <w:r>
        <w:rPr>
          <w:rFonts w:hint="eastAsia" w:ascii="宋体" w:hAnsi="宋体"/>
          <w:color w:val="auto"/>
          <w:sz w:val="24"/>
          <w:szCs w:val="24"/>
        </w:rPr>
        <w:t>：</w:t>
      </w:r>
    </w:p>
    <w:p>
      <w:pPr>
        <w:spacing w:after="0" w:line="360" w:lineRule="auto"/>
        <w:jc w:val="right"/>
        <w:rPr>
          <w:rFonts w:ascii="宋体" w:hAnsi="宋体"/>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Rk,c</m:t>
            </m:r>
            <m:ctrlPr>
              <w:rPr>
                <w:rFonts w:ascii="Cambria Math" w:hAnsi="Cambria Math"/>
                <w:i/>
                <w:color w:val="auto"/>
                <w:sz w:val="24"/>
                <w:szCs w:val="24"/>
              </w:rPr>
            </m:ctrlPr>
          </m:sub>
        </m:sSub>
        <m:r>
          <m:rPr/>
          <w:rPr>
            <w:rFonts w:ascii="Cambria Math" w:hAnsi="Cambria Math"/>
            <w:color w:val="auto"/>
            <w:sz w:val="24"/>
            <w:szCs w:val="24"/>
          </w:rPr>
          <m:t>=</m:t>
        </m:r>
        <m:sSubSup>
          <m:sSubSupPr>
            <m:ctrlPr>
              <w:rPr>
                <w:rFonts w:ascii="Cambria Math" w:hAnsi="Cambria Math"/>
                <w:i/>
                <w:color w:val="auto"/>
                <w:sz w:val="24"/>
                <w:szCs w:val="24"/>
              </w:rPr>
            </m:ctrlPr>
          </m:sSubSup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Rk,c</m:t>
            </m:r>
            <m:ctrlPr>
              <w:rPr>
                <w:rFonts w:ascii="Cambria Math" w:hAnsi="Cambria Math"/>
                <w:i/>
                <w:color w:val="auto"/>
                <w:sz w:val="24"/>
                <w:szCs w:val="24"/>
              </w:rPr>
            </m:ctrlPr>
          </m:sub>
          <m:sup>
            <m:r>
              <m:rPr/>
              <w:rPr>
                <w:rFonts w:ascii="Cambria Math" w:hAnsi="Cambria Math"/>
                <w:color w:val="auto"/>
                <w:sz w:val="24"/>
                <w:szCs w:val="24"/>
              </w:rPr>
              <m:t>0</m:t>
            </m:r>
            <m:ctrlPr>
              <w:rPr>
                <w:rFonts w:ascii="Cambria Math" w:hAnsi="Cambria Math"/>
                <w:i/>
                <w:color w:val="auto"/>
                <w:sz w:val="24"/>
                <w:szCs w:val="24"/>
              </w:rPr>
            </m:ctrlPr>
          </m:sup>
        </m:sSubSup>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c,N</m:t>
                </m:r>
                <m:ctrlPr>
                  <w:rPr>
                    <w:rFonts w:ascii="Cambria Math" w:hAnsi="Cambria Math"/>
                    <w:i/>
                    <w:color w:val="auto"/>
                    <w:sz w:val="24"/>
                    <w:szCs w:val="24"/>
                  </w:rPr>
                </m:ctrlPr>
              </m:sub>
            </m:sSub>
            <m:ctrlPr>
              <w:rPr>
                <w:rFonts w:ascii="Cambria Math" w:hAnsi="Cambria Math"/>
                <w:i/>
                <w:color w:val="auto"/>
                <w:sz w:val="24"/>
                <w:szCs w:val="24"/>
              </w:rPr>
            </m:ctrlPr>
          </m:num>
          <m:den>
            <m:sSubSup>
              <m:sSubSupPr>
                <m:ctrlPr>
                  <w:rPr>
                    <w:rFonts w:ascii="Cambria Math" w:hAnsi="Cambria Math"/>
                    <w:i/>
                    <w:color w:val="auto"/>
                    <w:sz w:val="24"/>
                    <w:szCs w:val="24"/>
                  </w:rPr>
                </m:ctrlPr>
              </m:sSubSup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c.N</m:t>
                </m:r>
                <m:ctrlPr>
                  <w:rPr>
                    <w:rFonts w:ascii="Cambria Math" w:hAnsi="Cambria Math"/>
                    <w:i/>
                    <w:color w:val="auto"/>
                    <w:sz w:val="24"/>
                    <w:szCs w:val="24"/>
                  </w:rPr>
                </m:ctrlPr>
              </m:sub>
              <m:sup>
                <m:r>
                  <m:rPr/>
                  <w:rPr>
                    <w:rFonts w:ascii="Cambria Math" w:hAnsi="Cambria Math"/>
                    <w:color w:val="auto"/>
                    <w:sz w:val="24"/>
                    <w:szCs w:val="24"/>
                  </w:rPr>
                  <m:t>0</m:t>
                </m:r>
                <m:ctrlPr>
                  <w:rPr>
                    <w:rFonts w:ascii="Cambria Math" w:hAnsi="Cambria Math"/>
                    <w:i/>
                    <w:color w:val="auto"/>
                    <w:sz w:val="24"/>
                    <w:szCs w:val="24"/>
                  </w:rPr>
                </m:ctrlPr>
              </m:sup>
            </m:sSubSup>
            <m:ctrlPr>
              <w:rPr>
                <w:rFonts w:ascii="Cambria Math" w:hAnsi="Cambria Math"/>
                <w:i/>
                <w:color w:val="auto"/>
                <w:sz w:val="24"/>
                <w:szCs w:val="24"/>
              </w:rPr>
            </m:ctrlPr>
          </m:den>
        </m:f>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ψ</m:t>
            </m:r>
            <m:ctrlPr>
              <w:rPr>
                <w:rFonts w:ascii="Cambria Math" w:hAnsi="Cambria Math"/>
                <w:i/>
                <w:color w:val="auto"/>
                <w:sz w:val="24"/>
                <w:szCs w:val="24"/>
              </w:rPr>
            </m:ctrlPr>
          </m:e>
          <m:sub>
            <m:r>
              <m:rPr/>
              <w:rPr>
                <w:rFonts w:ascii="Cambria Math" w:hAnsi="Cambria Math"/>
                <w:color w:val="auto"/>
                <w:sz w:val="24"/>
                <w:szCs w:val="24"/>
              </w:rPr>
              <m:t>s,N</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ψ</m:t>
            </m:r>
            <m:ctrlPr>
              <w:rPr>
                <w:rFonts w:ascii="Cambria Math" w:hAnsi="Cambria Math"/>
                <w:i/>
                <w:color w:val="auto"/>
                <w:sz w:val="24"/>
                <w:szCs w:val="24"/>
              </w:rPr>
            </m:ctrlPr>
          </m:e>
          <m:sub>
            <m:r>
              <m:rPr/>
              <w:rPr>
                <w:rFonts w:ascii="Cambria Math" w:hAnsi="Cambria Math"/>
                <w:color w:val="auto"/>
                <w:sz w:val="24"/>
                <w:szCs w:val="24"/>
              </w:rPr>
              <m:t>ec,N</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ψ</m:t>
            </m:r>
            <m:ctrlPr>
              <w:rPr>
                <w:rFonts w:ascii="Cambria Math" w:hAnsi="Cambria Math"/>
                <w:i/>
                <w:color w:val="auto"/>
                <w:sz w:val="24"/>
                <w:szCs w:val="24"/>
              </w:rPr>
            </m:ctrlPr>
          </m:e>
          <m:sub>
            <m:r>
              <m:rPr/>
              <w:rPr>
                <w:rFonts w:ascii="Cambria Math" w:hAnsi="Cambria Math"/>
                <w:color w:val="auto"/>
                <w:sz w:val="24"/>
                <w:szCs w:val="24"/>
              </w:rPr>
              <m:t>re,N</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ψ</m:t>
            </m:r>
            <m:ctrlPr>
              <w:rPr>
                <w:rFonts w:ascii="Cambria Math" w:hAnsi="Cambria Math"/>
                <w:i/>
                <w:color w:val="auto"/>
                <w:sz w:val="24"/>
                <w:szCs w:val="24"/>
              </w:rPr>
            </m:ctrlPr>
          </m:e>
          <m:sub>
            <m:r>
              <m:rPr/>
              <w:rPr>
                <w:rFonts w:ascii="Cambria Math" w:hAnsi="Cambria Math"/>
                <w:color w:val="auto"/>
                <w:sz w:val="24"/>
                <w:szCs w:val="24"/>
              </w:rPr>
              <m:t>M,N</m:t>
            </m:r>
            <m:ctrlPr>
              <w:rPr>
                <w:rFonts w:ascii="Cambria Math" w:hAnsi="Cambria Math"/>
                <w:i/>
                <w:color w:val="auto"/>
                <w:sz w:val="24"/>
                <w:szCs w:val="24"/>
              </w:rPr>
            </m:ctrlPr>
          </m:sub>
        </m:sSub>
      </m:oMath>
      <w:r>
        <w:rPr>
          <w:rFonts w:ascii="宋体" w:hAnsi="宋体"/>
          <w:color w:val="auto"/>
          <w:sz w:val="24"/>
          <w:szCs w:val="24"/>
        </w:rPr>
        <w:tab/>
      </w:r>
      <w:r>
        <w:rPr>
          <w:rFonts w:hint="eastAsia" w:ascii="宋体" w:hAnsi="宋体"/>
          <w:color w:val="auto"/>
          <w:sz w:val="24"/>
          <w:szCs w:val="24"/>
        </w:rPr>
        <w:t xml:space="preserve">       </w:t>
      </w:r>
      <w:r>
        <w:rPr>
          <w:rFonts w:ascii="宋体" w:hAnsi="宋体"/>
          <w:color w:val="auto"/>
          <w:sz w:val="24"/>
          <w:szCs w:val="24"/>
        </w:rPr>
        <w:tab/>
      </w:r>
      <w:r>
        <w:rPr>
          <w:rFonts w:ascii="宋体" w:hAnsi="宋体"/>
          <w:color w:val="auto"/>
          <w:sz w:val="24"/>
          <w:szCs w:val="24"/>
        </w:rPr>
        <w:t>(4.</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lang w:val="en-US" w:eastAsia="zh-CN"/>
        </w:rPr>
        <w:t>13</w:t>
      </w:r>
      <w:r>
        <w:rPr>
          <w:rFonts w:hint="eastAsia" w:ascii="宋体" w:hAnsi="宋体"/>
          <w:color w:val="auto"/>
          <w:sz w:val="24"/>
          <w:szCs w:val="24"/>
        </w:rPr>
        <w:t>-1</w:t>
      </w:r>
      <w:r>
        <w:rPr>
          <w:rFonts w:ascii="宋体" w:hAnsi="宋体"/>
          <w:color w:val="auto"/>
          <w:sz w:val="24"/>
          <w:szCs w:val="24"/>
        </w:rPr>
        <w:t>)</w:t>
      </w:r>
    </w:p>
    <w:p>
      <w:pPr>
        <w:spacing w:after="0" w:line="360" w:lineRule="auto"/>
        <w:jc w:val="right"/>
        <w:rPr>
          <w:rFonts w:ascii="宋体" w:hAnsi="宋体"/>
          <w:color w:val="auto"/>
          <w:sz w:val="24"/>
          <w:szCs w:val="24"/>
        </w:rPr>
      </w:pPr>
      <w:r>
        <w:rPr>
          <w:rFonts w:hint="eastAsia"/>
          <w:color w:val="000000" w:themeColor="text1"/>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ψ</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M</m:t>
            </m:r>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=2.0−</m:t>
        </m:r>
        <m:f>
          <m:fPr>
            <m:ctrlPr>
              <w:rPr>
                <w:rFonts w:ascii="Cambria Math" w:hAnsi="Cambria Math"/>
                <w:i/>
                <w:color w:val="000000" w:themeColor="text1"/>
                <w:sz w:val="24"/>
                <w:szCs w:val="24"/>
                <w14:textFill>
                  <w14:solidFill>
                    <w14:schemeClr w14:val="tx1"/>
                  </w14:solidFill>
                </w14:textFill>
              </w:rPr>
            </m:ctrlPr>
          </m:fPr>
          <m:num>
            <m:r>
              <m:rPr/>
              <w:rPr>
                <w:rFonts w:hint="eastAsia" w:ascii="Cambria Math" w:hAnsi="Cambria Math"/>
                <w:color w:val="000000" w:themeColor="text1"/>
                <w:sz w:val="24"/>
                <w:szCs w:val="24"/>
                <w14:textFill>
                  <w14:solidFill>
                    <w14:schemeClr w14:val="tx1"/>
                  </w14:solidFill>
                </w14:textFill>
              </w:rPr>
              <m:t>Z</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1.5∙</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l</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d</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w:rPr>
            <w:color w:val="000000" w:themeColor="text1"/>
            <w14:textFill>
              <w14:solidFill>
                <w14:schemeClr w14:val="tx1"/>
              </w14:solidFill>
            </w14:textFill>
          </w:rPr>
          <w:tab/>
        </m:r>
      </m:oMath>
      <w:r>
        <w:rPr>
          <w:rFonts w:hint="eastAsia"/>
          <w:i w:val="0"/>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 xml:space="preserve"> </w:t>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2</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13</w:t>
      </w:r>
      <w:r>
        <w:rPr>
          <w:rFonts w:hint="eastAsia" w:ascii="宋体" w:hAnsi="宋体"/>
          <w:color w:val="000000" w:themeColor="text1"/>
          <w:sz w:val="24"/>
          <w:szCs w:val="24"/>
          <w14:textFill>
            <w14:solidFill>
              <w14:schemeClr w14:val="tx1"/>
            </w14:solidFill>
          </w14:textFill>
        </w:rPr>
        <w:t>-2</w:t>
      </w:r>
      <w:r>
        <w:rPr>
          <w:rFonts w:ascii="宋体" w:hAnsi="宋体"/>
          <w:color w:val="000000" w:themeColor="text1"/>
          <w:sz w:val="24"/>
          <w:szCs w:val="24"/>
          <w14:textFill>
            <w14:solidFill>
              <w14:schemeClr w14:val="tx1"/>
            </w14:solidFill>
          </w14:textFill>
        </w:rPr>
        <w:t>)</w:t>
      </w:r>
    </w:p>
    <w:tbl>
      <w:tblPr>
        <w:tblStyle w:val="28"/>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1"/>
        <w:gridCol w:w="728"/>
        <w:gridCol w:w="456"/>
        <w:gridCol w:w="6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Mar>
              <w:left w:w="29" w:type="dxa"/>
              <w:right w:w="29" w:type="dxa"/>
            </w:tcMar>
          </w:tcPr>
          <w:p>
            <w:pPr>
              <w:spacing w:after="0" w:line="360" w:lineRule="auto"/>
              <w:rPr>
                <w:rFonts w:ascii="宋体" w:hAnsi="宋体"/>
                <w:color w:val="auto"/>
                <w:sz w:val="24"/>
                <w:szCs w:val="24"/>
              </w:rPr>
            </w:pPr>
            <w:r>
              <w:rPr>
                <w:rFonts w:hint="eastAsia" w:ascii="宋体" w:hAnsi="宋体"/>
                <w:color w:val="auto"/>
                <w:sz w:val="24"/>
                <w:szCs w:val="24"/>
              </w:rPr>
              <w:t>式中：</w:t>
            </w:r>
          </w:p>
          <w:p>
            <w:pPr>
              <w:spacing w:after="0" w:line="240" w:lineRule="auto"/>
              <w:jc w:val="right"/>
              <w:rPr>
                <w:rFonts w:ascii="宋体" w:hAnsi="宋体"/>
                <w:i/>
                <w:iCs/>
                <w:color w:val="auto"/>
                <w:sz w:val="24"/>
                <w:szCs w:val="24"/>
              </w:rPr>
            </w:pPr>
          </w:p>
        </w:tc>
        <w:tc>
          <w:tcPr>
            <w:tcW w:w="728" w:type="dxa"/>
          </w:tcPr>
          <w:p>
            <w:pPr>
              <w:spacing w:after="0" w:line="240" w:lineRule="auto"/>
              <w:jc w:val="right"/>
              <w:rPr>
                <w:rFonts w:ascii="宋体" w:hAnsi="宋体"/>
                <w:i/>
                <w:iCs/>
                <w:color w:val="auto"/>
                <w:sz w:val="24"/>
                <w:szCs w:val="24"/>
              </w:rPr>
            </w:pPr>
            <m:oMathPara>
              <m:oMath>
                <m:sSubSup>
                  <m:sSubSupPr>
                    <m:ctrlPr>
                      <w:rPr>
                        <w:rFonts w:ascii="Cambria Math" w:hAnsi="Cambria Math"/>
                        <w:i/>
                        <w:color w:val="auto"/>
                        <w:sz w:val="24"/>
                        <w:szCs w:val="24"/>
                      </w:rPr>
                    </m:ctrlPr>
                  </m:sSubSupPr>
                  <m:e>
                    <m:r>
                      <m:rPr/>
                      <w:rPr>
                        <w:rFonts w:hint="eastAsia" w:ascii="Cambria Math" w:hAnsi="Cambria Math"/>
                        <w:color w:val="auto"/>
                        <w:sz w:val="24"/>
                        <w:szCs w:val="24"/>
                      </w:rPr>
                      <m:t>N</m:t>
                    </m:r>
                    <m:ctrlPr>
                      <w:rPr>
                        <w:rFonts w:hint="eastAsia" w:ascii="Cambria Math" w:hAnsi="Cambria Math"/>
                        <w:i/>
                        <w:color w:val="auto"/>
                        <w:sz w:val="24"/>
                        <w:szCs w:val="24"/>
                      </w:rPr>
                    </m:ctrlPr>
                  </m:e>
                  <m:sub>
                    <m:r>
                      <m:rPr/>
                      <w:rPr>
                        <w:rFonts w:hint="eastAsia" w:ascii="Cambria Math" w:hAnsi="Cambria Math"/>
                        <w:color w:val="auto"/>
                        <w:sz w:val="24"/>
                        <w:szCs w:val="24"/>
                      </w:rPr>
                      <m:t>R</m:t>
                    </m:r>
                    <m:r>
                      <m:rPr/>
                      <w:rPr>
                        <w:rFonts w:ascii="Cambria Math" w:hAnsi="Cambria Math"/>
                        <w:color w:val="auto"/>
                        <w:sz w:val="24"/>
                        <w:szCs w:val="24"/>
                      </w:rPr>
                      <m:t>k,c</m:t>
                    </m:r>
                    <m:ctrlPr>
                      <w:rPr>
                        <w:rFonts w:ascii="Cambria Math" w:hAnsi="Cambria Math"/>
                        <w:i/>
                        <w:color w:val="auto"/>
                        <w:sz w:val="24"/>
                        <w:szCs w:val="24"/>
                      </w:rPr>
                    </m:ctrlPr>
                  </m:sub>
                  <m:sup>
                    <m:r>
                      <m:rPr/>
                      <w:rPr>
                        <w:rFonts w:ascii="Cambria Math" w:hAnsi="Cambria Math"/>
                        <w:color w:val="auto"/>
                        <w:sz w:val="24"/>
                        <w:szCs w:val="24"/>
                      </w:rPr>
                      <m:t>0</m:t>
                    </m:r>
                    <m:ctrlPr>
                      <w:rPr>
                        <w:rFonts w:ascii="Cambria Math" w:hAnsi="Cambria Math"/>
                        <w:i/>
                        <w:color w:val="auto"/>
                        <w:sz w:val="24"/>
                        <w:szCs w:val="24"/>
                      </w:rPr>
                    </m:ctrlPr>
                  </m:sup>
                </m:sSubSup>
              </m:oMath>
            </m:oMathPara>
          </w:p>
        </w:tc>
        <w:tc>
          <w:tcPr>
            <w:tcW w:w="456" w:type="dxa"/>
          </w:tcPr>
          <w:p>
            <w:pPr>
              <w:spacing w:after="0" w:line="240" w:lineRule="auto"/>
              <w:rPr>
                <w:rFonts w:ascii="宋体" w:hAnsi="宋体"/>
                <w:color w:val="auto"/>
                <w:sz w:val="24"/>
                <w:szCs w:val="24"/>
              </w:rPr>
            </w:pPr>
            <w:r>
              <w:rPr>
                <w:color w:val="auto"/>
                <w:sz w:val="24"/>
                <w:szCs w:val="24"/>
              </w:rPr>
              <w:t>—</w:t>
            </w:r>
          </w:p>
        </w:tc>
        <w:tc>
          <w:tcPr>
            <w:tcW w:w="6311" w:type="dxa"/>
          </w:tcPr>
          <w:p>
            <w:pPr>
              <w:spacing w:after="0" w:line="360" w:lineRule="auto"/>
              <w:rPr>
                <w:rFonts w:ascii="宋体" w:hAnsi="宋体"/>
                <w:color w:val="auto"/>
                <w:sz w:val="24"/>
                <w:szCs w:val="24"/>
              </w:rPr>
            </w:pPr>
            <w:r>
              <w:rPr>
                <w:rFonts w:hint="eastAsia" w:ascii="宋体" w:hAnsi="宋体"/>
                <w:color w:val="auto"/>
                <w:sz w:val="24"/>
                <w:szCs w:val="24"/>
              </w:rPr>
              <w:t>单根植筋理想混凝土锥体破坏标准值，应按现行行业标准《混凝土结构后锚固技术规程》JGJ</w:t>
            </w:r>
            <w:r>
              <w:rPr>
                <w:rFonts w:ascii="宋体" w:hAnsi="宋体"/>
                <w:color w:val="auto"/>
                <w:sz w:val="24"/>
                <w:szCs w:val="24"/>
              </w:rPr>
              <w:t>145</w:t>
            </w:r>
            <w:r>
              <w:rPr>
                <w:rFonts w:hint="eastAsia" w:ascii="宋体" w:hAnsi="宋体"/>
                <w:color w:val="auto"/>
                <w:sz w:val="24"/>
                <w:szCs w:val="24"/>
              </w:rPr>
              <w:t>的规定计算；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color w:val="auto"/>
                <w:sz w:val="24"/>
                <w:szCs w:val="24"/>
              </w:rPr>
            </w:pPr>
          </w:p>
        </w:tc>
        <w:tc>
          <w:tcPr>
            <w:tcW w:w="728" w:type="dxa"/>
          </w:tcPr>
          <w:p>
            <w:pPr>
              <w:spacing w:after="0" w:line="240" w:lineRule="auto"/>
              <w:rPr>
                <w:rFonts w:ascii="Cambria Math" w:hAnsi="Cambria Math"/>
                <w:color w:val="auto"/>
                <w:sz w:val="24"/>
                <w:szCs w:val="24"/>
                <w:oMath/>
              </w:rPr>
            </w:pPr>
            <m:oMathPara>
              <m:oMathParaPr>
                <m:jc m:val="right"/>
              </m:oMathParaPr>
              <m:oMath>
                <m:sSubSup>
                  <m:sSubSupPr>
                    <m:ctrlPr>
                      <w:rPr>
                        <w:rFonts w:ascii="Cambria Math" w:hAnsi="Cambria Math"/>
                        <w:i/>
                        <w:color w:val="auto"/>
                        <w:sz w:val="24"/>
                        <w:szCs w:val="24"/>
                      </w:rPr>
                    </m:ctrlPr>
                  </m:sSubSupPr>
                  <m:e>
                    <m:r>
                      <m:rPr/>
                      <w:rPr>
                        <w:rFonts w:hint="eastAsia" w:ascii="Cambria Math" w:hAnsi="Cambria Math"/>
                        <w:color w:val="auto"/>
                        <w:sz w:val="24"/>
                        <w:szCs w:val="24"/>
                      </w:rPr>
                      <m:t>A</m:t>
                    </m:r>
                    <m:ctrlPr>
                      <w:rPr>
                        <w:rFonts w:hint="eastAsia" w:ascii="Cambria Math" w:hAnsi="Cambria Math"/>
                        <w:i/>
                        <w:color w:val="auto"/>
                        <w:sz w:val="24"/>
                        <w:szCs w:val="24"/>
                      </w:rPr>
                    </m:ctrlPr>
                  </m:e>
                  <m:sub>
                    <m:r>
                      <m:rPr/>
                      <w:rPr>
                        <w:rFonts w:ascii="Cambria Math" w:hAnsi="Cambria Math"/>
                        <w:color w:val="auto"/>
                        <w:sz w:val="24"/>
                        <w:szCs w:val="24"/>
                      </w:rPr>
                      <m:t>c,N</m:t>
                    </m:r>
                    <m:ctrlPr>
                      <w:rPr>
                        <w:rFonts w:ascii="Cambria Math" w:hAnsi="Cambria Math"/>
                        <w:i/>
                        <w:color w:val="auto"/>
                        <w:sz w:val="24"/>
                        <w:szCs w:val="24"/>
                      </w:rPr>
                    </m:ctrlPr>
                  </m:sub>
                  <m:sup>
                    <m:r>
                      <m:rPr/>
                      <w:rPr>
                        <w:rFonts w:ascii="Cambria Math" w:hAnsi="Cambria Math"/>
                        <w:color w:val="auto"/>
                        <w:sz w:val="24"/>
                        <w:szCs w:val="24"/>
                      </w:rPr>
                      <m:t>0</m:t>
                    </m:r>
                    <m:ctrlPr>
                      <w:rPr>
                        <w:rFonts w:ascii="Cambria Math" w:hAnsi="Cambria Math"/>
                        <w:i/>
                        <w:color w:val="auto"/>
                        <w:sz w:val="24"/>
                        <w:szCs w:val="24"/>
                      </w:rPr>
                    </m:ctrlPr>
                  </m:sup>
                </m:sSubSup>
              </m:oMath>
            </m:oMathPara>
          </w:p>
        </w:tc>
        <w:tc>
          <w:tcPr>
            <w:tcW w:w="456" w:type="dxa"/>
          </w:tcPr>
          <w:p>
            <w:pPr>
              <w:spacing w:after="0" w:line="240" w:lineRule="auto"/>
              <w:rPr>
                <w:color w:val="auto"/>
                <w:sz w:val="24"/>
                <w:szCs w:val="24"/>
                <w:shd w:val="pct10" w:color="auto" w:fill="FFFFFF"/>
              </w:rPr>
            </w:pPr>
            <w:r>
              <w:rPr>
                <w:color w:val="auto"/>
                <w:sz w:val="24"/>
                <w:szCs w:val="24"/>
              </w:rPr>
              <w:t>—</w:t>
            </w:r>
          </w:p>
        </w:tc>
        <w:tc>
          <w:tcPr>
            <w:tcW w:w="6311" w:type="dxa"/>
          </w:tcPr>
          <w:p>
            <w:pPr>
              <w:adjustRightInd w:val="0"/>
              <w:snapToGrid w:val="0"/>
              <w:spacing w:after="0" w:line="400" w:lineRule="atLeast"/>
              <w:ind w:left="-107" w:leftChars="-51"/>
              <w:rPr>
                <w:color w:val="auto"/>
                <w:sz w:val="24"/>
                <w:szCs w:val="24"/>
              </w:rPr>
            </w:pPr>
            <w:r>
              <w:rPr>
                <w:rFonts w:hAnsi="宋体"/>
                <w:color w:val="auto"/>
                <w:sz w:val="24"/>
                <w:szCs w:val="24"/>
              </w:rPr>
              <w:t>单根锚栓受拉且</w:t>
            </w:r>
            <w:r>
              <w:rPr>
                <w:rFonts w:hint="eastAsia" w:hAnsi="宋体"/>
                <w:color w:val="auto"/>
                <w:sz w:val="24"/>
                <w:szCs w:val="24"/>
              </w:rPr>
              <w:t>无</w:t>
            </w:r>
            <w:r>
              <w:rPr>
                <w:rFonts w:hAnsi="宋体"/>
                <w:color w:val="auto"/>
                <w:sz w:val="24"/>
                <w:szCs w:val="24"/>
              </w:rPr>
              <w:t>间距、边距</w:t>
            </w:r>
            <w:r>
              <w:rPr>
                <w:rFonts w:hint="eastAsia" w:hAnsi="宋体"/>
                <w:color w:val="auto"/>
                <w:sz w:val="24"/>
                <w:szCs w:val="24"/>
              </w:rPr>
              <w:t>影响</w:t>
            </w:r>
            <w:r>
              <w:rPr>
                <w:rFonts w:hAnsi="宋体"/>
                <w:color w:val="auto"/>
                <w:sz w:val="24"/>
                <w:szCs w:val="24"/>
              </w:rPr>
              <w:t>时，混凝土理想锥体破坏投影面面积</w:t>
            </w:r>
            <w:r>
              <w:rPr>
                <w:rFonts w:hint="eastAsia"/>
                <w:color w:val="auto"/>
                <w:sz w:val="24"/>
                <w:szCs w:val="24"/>
              </w:rPr>
              <w:t>（mm</w:t>
            </w:r>
            <w:r>
              <w:rPr>
                <w:rFonts w:hint="eastAsia"/>
                <w:color w:val="auto"/>
                <w:sz w:val="24"/>
                <w:szCs w:val="24"/>
                <w:vertAlign w:val="superscript"/>
              </w:rPr>
              <w:t>2</w:t>
            </w:r>
            <w:r>
              <w:rPr>
                <w:rFonts w:hint="eastAsia"/>
                <w:color w:val="auto"/>
                <w:sz w:val="24"/>
                <w:szCs w:val="24"/>
              </w:rPr>
              <w:t>）</w:t>
            </w:r>
            <w:r>
              <w:rPr>
                <w:rFonts w:hAnsi="宋体"/>
                <w:color w:val="auto"/>
                <w:sz w:val="24"/>
                <w:szCs w:val="24"/>
              </w:rPr>
              <w:t>，</w:t>
            </w:r>
            <w:r>
              <w:rPr>
                <w:rFonts w:hint="eastAsia" w:hAnsi="宋体"/>
                <w:color w:val="auto"/>
                <w:sz w:val="24"/>
                <w:szCs w:val="24"/>
              </w:rPr>
              <w:t>应按现行行业标准《混凝土结构后锚固技术规程》JGJ145的规定计算；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sz w:val="24"/>
                <w:szCs w:val="24"/>
              </w:rPr>
            </w:pPr>
          </w:p>
        </w:tc>
        <w:tc>
          <w:tcPr>
            <w:tcW w:w="728" w:type="dxa"/>
          </w:tcPr>
          <w:p>
            <w:pPr>
              <w:spacing w:after="0" w:line="240" w:lineRule="auto"/>
              <w:rPr>
                <w:rFonts w:ascii="Cambria Math" w:hAnsi="Cambria Math"/>
                <w:color w:val="auto"/>
                <w:sz w:val="24"/>
                <w:szCs w:val="24"/>
                <w:oMath/>
              </w:rPr>
            </w:pPr>
            <w:r>
              <w:rPr>
                <w:position w:val="-12"/>
                <w:sz w:val="24"/>
                <w:szCs w:val="24"/>
              </w:rPr>
              <w:object>
                <v:shape id="_x0000_i1060" o:spt="75" type="#_x0000_t75" style="height:21pt;width:21pt;" o:ole="t" filled="f" o:preferrelative="t" stroked="f" coordsize="21600,21600">
                  <v:path/>
                  <v:fill on="f" focussize="0,0"/>
                  <v:stroke on="f" joinstyle="miter"/>
                  <v:imagedata r:id="rId11" o:title=""/>
                  <o:lock v:ext="edit" aspectratio="t"/>
                  <w10:wrap type="none"/>
                  <w10:anchorlock/>
                </v:shape>
                <o:OLEObject Type="Embed" ProgID="AutoCAD.Drawing.17" ShapeID="_x0000_i1060" DrawAspect="Content" ObjectID="_1468075760" r:id="rId71">
                  <o:LockedField>false</o:LockedField>
                </o:OLEObject>
              </w:object>
            </w:r>
          </w:p>
        </w:tc>
        <w:tc>
          <w:tcPr>
            <w:tcW w:w="456" w:type="dxa"/>
          </w:tcPr>
          <w:p>
            <w:pPr>
              <w:spacing w:after="0" w:line="240" w:lineRule="auto"/>
              <w:rPr>
                <w:color w:val="auto"/>
                <w:sz w:val="24"/>
                <w:szCs w:val="24"/>
                <w:shd w:val="pct10" w:color="auto" w:fill="FFFFFF"/>
              </w:rPr>
            </w:pPr>
            <w:r>
              <w:rPr>
                <w:color w:val="auto"/>
                <w:sz w:val="24"/>
                <w:szCs w:val="24"/>
              </w:rPr>
              <w:t>—</w:t>
            </w:r>
          </w:p>
        </w:tc>
        <w:tc>
          <w:tcPr>
            <w:tcW w:w="6311" w:type="dxa"/>
          </w:tcPr>
          <w:p>
            <w:pPr>
              <w:adjustRightInd w:val="0"/>
              <w:snapToGrid w:val="0"/>
              <w:spacing w:after="0" w:line="400" w:lineRule="atLeast"/>
              <w:ind w:left="-107" w:leftChars="-51"/>
              <w:rPr>
                <w:color w:val="auto"/>
                <w:sz w:val="24"/>
                <w:szCs w:val="24"/>
              </w:rPr>
            </w:pPr>
            <w:r>
              <w:rPr>
                <w:rFonts w:hAnsi="宋体"/>
                <w:color w:val="auto"/>
                <w:sz w:val="24"/>
                <w:szCs w:val="24"/>
              </w:rPr>
              <w:t>单根锚栓或群锚受拉时，混凝土实际锥体破坏投影面面积</w:t>
            </w:r>
            <w:r>
              <w:rPr>
                <w:rFonts w:hint="eastAsia"/>
                <w:color w:val="auto"/>
                <w:sz w:val="24"/>
                <w:szCs w:val="24"/>
              </w:rPr>
              <w:t>（mm</w:t>
            </w:r>
            <w:r>
              <w:rPr>
                <w:rFonts w:hint="eastAsia"/>
                <w:color w:val="auto"/>
                <w:sz w:val="24"/>
                <w:szCs w:val="24"/>
                <w:vertAlign w:val="superscript"/>
              </w:rPr>
              <w:t>2</w:t>
            </w:r>
            <w:r>
              <w:rPr>
                <w:rFonts w:hint="eastAsia"/>
                <w:color w:val="auto"/>
                <w:sz w:val="24"/>
                <w:szCs w:val="24"/>
              </w:rPr>
              <w:t>）</w:t>
            </w:r>
            <w:r>
              <w:rPr>
                <w:rFonts w:hAnsi="宋体"/>
                <w:color w:val="auto"/>
                <w:sz w:val="24"/>
                <w:szCs w:val="24"/>
              </w:rPr>
              <w:t>，</w:t>
            </w:r>
            <w:r>
              <w:rPr>
                <w:rFonts w:hint="eastAsia" w:hAnsi="宋体"/>
                <w:color w:val="auto"/>
                <w:sz w:val="24"/>
                <w:szCs w:val="24"/>
              </w:rPr>
              <w:t>应按现行行业标准《混凝土结构后锚固技术规程》JGJ145的规定计算；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rFonts w:hint="eastAsia" w:ascii="Symbol" w:hAnsi="Symbol" w:cs="宋体"/>
                <w:i/>
                <w:iCs/>
                <w:color w:val="auto"/>
                <w:sz w:val="24"/>
                <w:szCs w:val="24"/>
              </w:rPr>
            </w:pPr>
          </w:p>
        </w:tc>
        <w:tc>
          <w:tcPr>
            <w:tcW w:w="728" w:type="dxa"/>
          </w:tcPr>
          <w:p>
            <w:pPr>
              <w:spacing w:after="0" w:line="240" w:lineRule="auto"/>
              <w:jc w:val="right"/>
              <w:rPr>
                <w:color w:val="auto"/>
                <w:sz w:val="24"/>
                <w:szCs w:val="24"/>
              </w:rPr>
            </w:pPr>
            <w:r>
              <w:rPr>
                <w:rFonts w:ascii="Symbol" w:hAnsi="Symbol" w:cs="宋体"/>
                <w:i/>
                <w:iCs/>
                <w:color w:val="auto"/>
                <w:sz w:val="24"/>
                <w:szCs w:val="24"/>
              </w:rPr>
              <w:t>y</w:t>
            </w:r>
            <w:r>
              <w:rPr>
                <w:rFonts w:ascii="宋体" w:cs="宋体" w:hAnsiTheme="minorHAnsi"/>
                <w:color w:val="auto"/>
                <w:sz w:val="24"/>
                <w:szCs w:val="24"/>
                <w:vertAlign w:val="subscript"/>
              </w:rPr>
              <w:t>s</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456" w:type="dxa"/>
          </w:tcPr>
          <w:p>
            <w:pPr>
              <w:spacing w:after="0" w:line="240" w:lineRule="auto"/>
              <w:rPr>
                <w:rFonts w:ascii="宋体" w:cs="宋体" w:hAnsiTheme="minorHAnsi"/>
                <w:color w:val="auto"/>
                <w:sz w:val="24"/>
                <w:szCs w:val="24"/>
              </w:rPr>
            </w:pPr>
            <w:r>
              <w:rPr>
                <w:color w:val="auto"/>
                <w:sz w:val="24"/>
                <w:szCs w:val="24"/>
              </w:rPr>
              <w:t>—</w:t>
            </w:r>
          </w:p>
        </w:tc>
        <w:tc>
          <w:tcPr>
            <w:tcW w:w="6311" w:type="dxa"/>
          </w:tcPr>
          <w:p>
            <w:pPr>
              <w:spacing w:after="0" w:line="360" w:lineRule="auto"/>
              <w:rPr>
                <w:rFonts w:ascii="宋体" w:hAnsi="宋体"/>
                <w:color w:val="auto"/>
                <w:sz w:val="24"/>
                <w:szCs w:val="24"/>
              </w:rPr>
            </w:pPr>
            <w:r>
              <w:rPr>
                <w:rFonts w:hint="eastAsia" w:ascii="宋体" w:cs="宋体" w:hAnsiTheme="minorHAnsi"/>
                <w:color w:val="auto"/>
                <w:sz w:val="24"/>
                <w:szCs w:val="24"/>
              </w:rPr>
              <w:t>边距</w:t>
            </w:r>
            <w:r>
              <w:rPr>
                <w:rFonts w:hAnsi="宋体"/>
                <w:i/>
                <w:iCs/>
                <w:color w:val="auto"/>
                <w:sz w:val="24"/>
                <w:szCs w:val="24"/>
              </w:rPr>
              <w:t>c</w:t>
            </w:r>
            <w:r>
              <w:rPr>
                <w:rFonts w:hint="eastAsia" w:ascii="宋体" w:cs="宋体" w:hAnsiTheme="minorHAnsi"/>
                <w:color w:val="auto"/>
                <w:sz w:val="24"/>
                <w:szCs w:val="24"/>
              </w:rPr>
              <w:t>对受拉承载力的影响系数，</w:t>
            </w:r>
            <w:r>
              <w:rPr>
                <w:rFonts w:hint="eastAsia" w:ascii="宋体" w:hAnsi="宋体"/>
                <w:color w:val="auto"/>
                <w:sz w:val="24"/>
                <w:szCs w:val="24"/>
              </w:rPr>
              <w:t>应按现行行业标准《混凝土结构后锚固技术规程》JGJ</w:t>
            </w:r>
            <w:r>
              <w:rPr>
                <w:rFonts w:ascii="宋体" w:hAnsi="宋体"/>
                <w:color w:val="auto"/>
                <w:sz w:val="24"/>
                <w:szCs w:val="24"/>
              </w:rPr>
              <w:t>145</w:t>
            </w:r>
            <w:r>
              <w:rPr>
                <w:rFonts w:hint="eastAsia" w:ascii="宋体" w:hAnsi="宋体"/>
                <w:color w:val="auto"/>
                <w:sz w:val="24"/>
                <w:szCs w:val="24"/>
              </w:rPr>
              <w:t>的规定计算；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rFonts w:hint="eastAsia" w:ascii="Symbol" w:hAnsi="Symbol" w:cs="宋体"/>
                <w:i/>
                <w:iCs/>
                <w:color w:val="auto"/>
                <w:sz w:val="24"/>
                <w:szCs w:val="24"/>
              </w:rPr>
            </w:pPr>
          </w:p>
        </w:tc>
        <w:tc>
          <w:tcPr>
            <w:tcW w:w="728" w:type="dxa"/>
          </w:tcPr>
          <w:p>
            <w:pPr>
              <w:spacing w:after="0" w:line="240" w:lineRule="auto"/>
              <w:jc w:val="right"/>
              <w:rPr>
                <w:color w:val="auto"/>
                <w:sz w:val="24"/>
                <w:szCs w:val="24"/>
              </w:rPr>
            </w:pPr>
            <w:r>
              <w:rPr>
                <w:rFonts w:ascii="Symbol" w:hAnsi="Symbol" w:cs="宋体"/>
                <w:i/>
                <w:iCs/>
                <w:color w:val="auto"/>
                <w:sz w:val="24"/>
                <w:szCs w:val="24"/>
              </w:rPr>
              <w:t>y</w:t>
            </w:r>
            <w:r>
              <w:rPr>
                <w:rFonts w:ascii="宋体" w:cs="宋体" w:hAnsiTheme="minorHAnsi"/>
                <w:color w:val="auto"/>
                <w:sz w:val="24"/>
                <w:szCs w:val="24"/>
                <w:vertAlign w:val="subscript"/>
              </w:rPr>
              <w:t>ec</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456" w:type="dxa"/>
          </w:tcPr>
          <w:p>
            <w:pPr>
              <w:spacing w:after="0" w:line="240" w:lineRule="auto"/>
              <w:rPr>
                <w:rFonts w:ascii="宋体" w:cs="宋体" w:hAnsiTheme="minorHAnsi"/>
                <w:color w:val="auto"/>
                <w:sz w:val="24"/>
                <w:szCs w:val="24"/>
              </w:rPr>
            </w:pPr>
            <w:r>
              <w:rPr>
                <w:color w:val="auto"/>
                <w:sz w:val="24"/>
                <w:szCs w:val="24"/>
              </w:rPr>
              <w:t>—</w:t>
            </w:r>
          </w:p>
        </w:tc>
        <w:tc>
          <w:tcPr>
            <w:tcW w:w="6311" w:type="dxa"/>
          </w:tcPr>
          <w:p>
            <w:pPr>
              <w:spacing w:after="0" w:line="360" w:lineRule="auto"/>
              <w:rPr>
                <w:rFonts w:ascii="宋体" w:hAnsi="宋体"/>
                <w:color w:val="auto"/>
                <w:sz w:val="24"/>
                <w:szCs w:val="24"/>
              </w:rPr>
            </w:pPr>
            <w:r>
              <w:rPr>
                <w:rFonts w:hint="eastAsia" w:ascii="宋体" w:cs="宋体" w:hAnsiTheme="minorHAnsi"/>
                <w:color w:val="auto"/>
                <w:sz w:val="24"/>
                <w:szCs w:val="24"/>
              </w:rPr>
              <w:t>荷载偏</w:t>
            </w:r>
            <w:r>
              <w:rPr>
                <w:rFonts w:hint="eastAsia" w:hAnsi="宋体"/>
                <w:i/>
                <w:iCs/>
                <w:color w:val="auto"/>
                <w:sz w:val="24"/>
                <w:szCs w:val="24"/>
              </w:rPr>
              <w:t xml:space="preserve"> e</w:t>
            </w:r>
            <w:r>
              <w:rPr>
                <w:rFonts w:hint="eastAsia" w:ascii="宋体" w:cs="宋体" w:hAnsiTheme="minorHAnsi"/>
                <w:color w:val="auto"/>
                <w:sz w:val="24"/>
                <w:szCs w:val="24"/>
              </w:rPr>
              <w:t>对受拉承载力的影响系数，</w:t>
            </w:r>
            <w:r>
              <w:rPr>
                <w:rFonts w:hint="eastAsia" w:ascii="宋体" w:hAnsi="宋体"/>
                <w:color w:val="auto"/>
                <w:sz w:val="24"/>
                <w:szCs w:val="24"/>
              </w:rPr>
              <w:t>应按现行行业标准《混凝土结构后锚固技术规程》JGJ</w:t>
            </w:r>
            <w:r>
              <w:rPr>
                <w:rFonts w:ascii="宋体" w:hAnsi="宋体"/>
                <w:color w:val="auto"/>
                <w:sz w:val="24"/>
                <w:szCs w:val="24"/>
              </w:rPr>
              <w:t>145</w:t>
            </w:r>
            <w:r>
              <w:rPr>
                <w:rFonts w:hint="eastAsia" w:ascii="宋体" w:hAnsi="宋体"/>
                <w:color w:val="auto"/>
                <w:sz w:val="24"/>
                <w:szCs w:val="24"/>
              </w:rPr>
              <w:t>的规定计算；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rFonts w:hint="eastAsia" w:ascii="Symbol" w:hAnsi="Symbol" w:cs="宋体"/>
                <w:i/>
                <w:iCs/>
                <w:color w:val="auto"/>
                <w:sz w:val="24"/>
                <w:szCs w:val="24"/>
              </w:rPr>
            </w:pPr>
          </w:p>
        </w:tc>
        <w:tc>
          <w:tcPr>
            <w:tcW w:w="728" w:type="dxa"/>
          </w:tcPr>
          <w:p>
            <w:pPr>
              <w:spacing w:after="0" w:line="240" w:lineRule="auto"/>
              <w:jc w:val="right"/>
              <w:rPr>
                <w:color w:val="auto"/>
                <w:sz w:val="24"/>
                <w:szCs w:val="24"/>
              </w:rPr>
            </w:pPr>
            <w:r>
              <w:rPr>
                <w:rFonts w:ascii="Symbol" w:hAnsi="Symbol" w:cs="宋体"/>
                <w:i/>
                <w:iCs/>
                <w:color w:val="auto"/>
                <w:sz w:val="24"/>
                <w:szCs w:val="24"/>
              </w:rPr>
              <w:t>y</w:t>
            </w:r>
            <w:r>
              <w:rPr>
                <w:rFonts w:ascii="宋体" w:cs="宋体" w:hAnsiTheme="minorHAnsi"/>
                <w:color w:val="auto"/>
                <w:sz w:val="24"/>
                <w:szCs w:val="24"/>
                <w:vertAlign w:val="subscript"/>
              </w:rPr>
              <w:t>re</w:t>
            </w:r>
            <w:r>
              <w:rPr>
                <w:rFonts w:hint="eastAsia" w:ascii="宋体" w:cs="宋体" w:hAnsiTheme="minorHAnsi"/>
                <w:color w:val="auto"/>
                <w:sz w:val="24"/>
                <w:szCs w:val="24"/>
                <w:vertAlign w:val="subscript"/>
              </w:rPr>
              <w:t>,</w:t>
            </w:r>
            <w:r>
              <w:rPr>
                <w:rFonts w:ascii="宋体" w:cs="宋体" w:hAnsiTheme="minorHAnsi"/>
                <w:color w:val="auto"/>
                <w:sz w:val="24"/>
                <w:szCs w:val="24"/>
                <w:vertAlign w:val="subscript"/>
              </w:rPr>
              <w:t>N</w:t>
            </w:r>
          </w:p>
        </w:tc>
        <w:tc>
          <w:tcPr>
            <w:tcW w:w="456" w:type="dxa"/>
          </w:tcPr>
          <w:p>
            <w:pPr>
              <w:spacing w:after="0" w:line="240" w:lineRule="auto"/>
              <w:rPr>
                <w:rFonts w:ascii="宋体" w:cs="宋体" w:hAnsiTheme="minorHAnsi"/>
                <w:color w:val="auto"/>
                <w:sz w:val="24"/>
                <w:szCs w:val="24"/>
              </w:rPr>
            </w:pPr>
            <w:r>
              <w:rPr>
                <w:color w:val="auto"/>
                <w:sz w:val="24"/>
                <w:szCs w:val="24"/>
              </w:rPr>
              <w:t>—</w:t>
            </w:r>
          </w:p>
        </w:tc>
        <w:tc>
          <w:tcPr>
            <w:tcW w:w="6311" w:type="dxa"/>
          </w:tcPr>
          <w:p>
            <w:pPr>
              <w:spacing w:after="0" w:line="360" w:lineRule="auto"/>
              <w:rPr>
                <w:rFonts w:ascii="宋体" w:hAnsi="宋体"/>
                <w:color w:val="auto"/>
                <w:sz w:val="24"/>
                <w:szCs w:val="24"/>
              </w:rPr>
            </w:pPr>
            <w:r>
              <w:rPr>
                <w:rFonts w:hint="eastAsia" w:ascii="宋体" w:cs="宋体" w:hAnsiTheme="minorHAnsi"/>
                <w:color w:val="auto"/>
                <w:sz w:val="24"/>
                <w:szCs w:val="24"/>
              </w:rPr>
              <w:t>表层混凝土因密集配筋的剥离作用对受拉承载力的影响系数，</w:t>
            </w:r>
            <w:r>
              <w:rPr>
                <w:rFonts w:hint="eastAsia" w:ascii="宋体" w:hAnsi="宋体"/>
                <w:color w:val="auto"/>
                <w:sz w:val="24"/>
                <w:szCs w:val="24"/>
              </w:rPr>
              <w:t>应按现行行业标准《混凝土结构后锚固技术规程》JGJ</w:t>
            </w:r>
            <w:r>
              <w:rPr>
                <w:rFonts w:ascii="宋体" w:hAnsi="宋体"/>
                <w:color w:val="auto"/>
                <w:sz w:val="24"/>
                <w:szCs w:val="24"/>
              </w:rPr>
              <w:t>145</w:t>
            </w:r>
            <w:r>
              <w:rPr>
                <w:rFonts w:hint="eastAsia" w:ascii="宋体" w:hAnsi="宋体"/>
                <w:color w:val="auto"/>
                <w:sz w:val="24"/>
                <w:szCs w:val="24"/>
              </w:rPr>
              <w:t>的规定计算；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rFonts w:hint="eastAsia" w:ascii="Symbol" w:hAnsi="Symbol" w:cs="宋体"/>
                <w:i/>
                <w:iCs/>
                <w:color w:val="auto"/>
                <w:sz w:val="24"/>
                <w:szCs w:val="24"/>
              </w:rPr>
            </w:pPr>
          </w:p>
        </w:tc>
        <w:tc>
          <w:tcPr>
            <w:tcW w:w="728" w:type="dxa"/>
          </w:tcPr>
          <w:p>
            <w:pPr>
              <w:spacing w:after="0" w:line="240" w:lineRule="auto"/>
              <w:jc w:val="right"/>
              <w:rPr>
                <w:color w:val="auto"/>
                <w:sz w:val="24"/>
                <w:szCs w:val="24"/>
              </w:rPr>
            </w:pPr>
            <w:r>
              <w:rPr>
                <w:rFonts w:ascii="Symbol" w:hAnsi="Symbol" w:cs="宋体"/>
                <w:i/>
                <w:iCs/>
                <w:color w:val="auto"/>
                <w:sz w:val="24"/>
                <w:szCs w:val="24"/>
              </w:rPr>
              <w:t>y</w:t>
            </w:r>
            <w:r>
              <w:rPr>
                <w:rFonts w:hint="eastAsia" w:ascii="宋体" w:cs="宋体" w:hAnsiTheme="minorHAnsi"/>
                <w:color w:val="auto"/>
                <w:sz w:val="24"/>
                <w:szCs w:val="24"/>
                <w:vertAlign w:val="subscript"/>
              </w:rPr>
              <w:t>M,</w:t>
            </w:r>
            <w:r>
              <w:rPr>
                <w:rFonts w:ascii="宋体" w:cs="宋体" w:hAnsiTheme="minorHAnsi"/>
                <w:color w:val="auto"/>
                <w:sz w:val="24"/>
                <w:szCs w:val="24"/>
                <w:vertAlign w:val="subscript"/>
              </w:rPr>
              <w:t>N</w:t>
            </w:r>
          </w:p>
        </w:tc>
        <w:tc>
          <w:tcPr>
            <w:tcW w:w="456" w:type="dxa"/>
          </w:tcPr>
          <w:p>
            <w:pPr>
              <w:spacing w:after="0" w:line="240" w:lineRule="auto"/>
              <w:rPr>
                <w:rFonts w:ascii="宋体" w:cs="宋体" w:hAnsiTheme="minorHAnsi"/>
                <w:color w:val="auto"/>
                <w:sz w:val="24"/>
                <w:szCs w:val="24"/>
              </w:rPr>
            </w:pPr>
            <w:r>
              <w:rPr>
                <w:color w:val="auto"/>
                <w:sz w:val="24"/>
                <w:szCs w:val="24"/>
              </w:rPr>
              <w:t>—</w:t>
            </w:r>
          </w:p>
        </w:tc>
        <w:tc>
          <w:tcPr>
            <w:tcW w:w="6311" w:type="dxa"/>
          </w:tcPr>
          <w:p>
            <w:pPr>
              <w:spacing w:after="0" w:line="360" w:lineRule="auto"/>
            </w:pPr>
            <w:r>
              <w:rPr>
                <w:rFonts w:hint="eastAsia" w:ascii="宋体" w:cs="宋体" w:hAnsiTheme="minorHAnsi"/>
                <w:color w:val="auto"/>
                <w:sz w:val="24"/>
                <w:szCs w:val="24"/>
              </w:rPr>
              <w:t>考虑弯矩作用对结构构件截面产生压力区约束作用对受拉承载力的影响系数</w:t>
            </w:r>
            <w:r>
              <w:rPr>
                <w:rFonts w:hint="eastAsia" w:ascii="宋体" w:cs="宋体" w:hAnsiTheme="minorHAnsi"/>
                <w:color w:val="auto"/>
                <w:sz w:val="24"/>
                <w:szCs w:val="24"/>
                <w:lang w:eastAsia="zh-CN"/>
              </w:rPr>
              <w:t>，</w:t>
            </w:r>
            <w:r>
              <w:rPr>
                <w:rFonts w:hint="eastAsia" w:ascii="宋体" w:cs="宋体" w:hAnsiTheme="minorHAnsi"/>
                <w:color w:val="auto"/>
                <w:sz w:val="24"/>
                <w:szCs w:val="24"/>
                <w:lang w:val="en-US" w:eastAsia="zh-CN"/>
              </w:rPr>
              <w:t>不应小于1.0；</w:t>
            </w:r>
            <w:r>
              <w:rPr>
                <w:rFonts w:hint="eastAsia" w:ascii="宋体" w:cs="宋体" w:hAnsiTheme="minorHAnsi"/>
                <w:color w:val="auto"/>
                <w:sz w:val="24"/>
                <w:szCs w:val="24"/>
              </w:rPr>
              <w:t>当任一植筋的边距</w:t>
            </w:r>
            <w:r>
              <w:rPr>
                <w:rFonts w:hint="eastAsia" w:hAnsi="宋体"/>
                <w:i/>
                <w:iCs/>
                <w:color w:val="auto"/>
                <w:sz w:val="24"/>
                <w:szCs w:val="24"/>
              </w:rPr>
              <w:t>c</w:t>
            </w:r>
            <w:r>
              <w:rPr>
                <w:rFonts w:hint="eastAsia" w:ascii="宋体" w:cs="宋体" w:hAnsiTheme="minorHAnsi"/>
                <w:color w:val="auto"/>
                <w:sz w:val="24"/>
                <w:szCs w:val="24"/>
              </w:rPr>
              <w:t>小于</w:t>
            </w:r>
            <w:r>
              <w:rPr>
                <w:rFonts w:ascii="宋体" w:cs="宋体" w:hAnsiTheme="minorHAnsi"/>
                <w:color w:val="auto"/>
                <w:sz w:val="24"/>
                <w:szCs w:val="24"/>
              </w:rPr>
              <w:t>1.</w:t>
            </w:r>
            <w:r>
              <w:rPr>
                <w:rFonts w:hAnsi="宋体"/>
                <w:i/>
                <w:iCs/>
                <w:color w:val="auto"/>
                <w:sz w:val="24"/>
                <w:szCs w:val="24"/>
              </w:rPr>
              <w:t>5</w:t>
            </w:r>
            <w:r>
              <w:rPr>
                <w:rFonts w:hint="eastAsia" w:hAnsi="宋体"/>
                <w:i/>
                <w:iCs/>
                <w:color w:val="auto"/>
                <w:sz w:val="24"/>
                <w:szCs w:val="24"/>
              </w:rPr>
              <w:t>l</w:t>
            </w:r>
            <w:r>
              <w:rPr>
                <w:rFonts w:hAnsi="宋体"/>
                <w:i/>
                <w:iCs/>
                <w:color w:val="auto"/>
                <w:sz w:val="24"/>
                <w:szCs w:val="24"/>
                <w:vertAlign w:val="subscript"/>
              </w:rPr>
              <w:t>d</w:t>
            </w:r>
            <w:r>
              <w:rPr>
                <w:rFonts w:hint="eastAsia" w:ascii="宋体" w:cs="宋体" w:hAnsiTheme="minorHAnsi"/>
                <w:color w:val="auto"/>
                <w:sz w:val="24"/>
                <w:szCs w:val="24"/>
              </w:rPr>
              <w:t>时或当植筋边距</w:t>
            </w:r>
            <w:r>
              <w:rPr>
                <w:rFonts w:hAnsi="宋体"/>
                <w:i/>
                <w:iCs/>
                <w:color w:val="auto"/>
                <w:sz w:val="24"/>
                <w:szCs w:val="24"/>
              </w:rPr>
              <w:t>c</w:t>
            </w:r>
            <w:r>
              <w:rPr>
                <w:rFonts w:hint="eastAsia" w:ascii="宋体" w:cs="宋体" w:hAnsiTheme="minorHAnsi"/>
                <w:i w:val="0"/>
                <w:iCs w:val="0"/>
                <w:color w:val="auto"/>
                <w:sz w:val="24"/>
                <w:szCs w:val="24"/>
              </w:rPr>
              <w:t>不小于</w:t>
            </w:r>
            <w:r>
              <w:rPr>
                <w:rFonts w:hint="eastAsia" w:ascii="宋体" w:cs="宋体" w:hAnsiTheme="minorHAnsi"/>
                <w:color w:val="auto"/>
                <w:sz w:val="24"/>
                <w:szCs w:val="24"/>
              </w:rPr>
              <w:t>1</w:t>
            </w:r>
            <w:r>
              <w:rPr>
                <w:rFonts w:ascii="宋体" w:cs="宋体" w:hAnsiTheme="minorHAnsi"/>
                <w:color w:val="auto"/>
                <w:sz w:val="24"/>
                <w:szCs w:val="24"/>
              </w:rPr>
              <w:t>.5</w:t>
            </w:r>
            <w:r>
              <w:rPr>
                <w:rFonts w:hint="eastAsia" w:hAnsi="宋体"/>
                <w:i/>
                <w:iCs/>
                <w:color w:val="auto"/>
                <w:sz w:val="24"/>
                <w:szCs w:val="24"/>
              </w:rPr>
              <w:t>l</w:t>
            </w:r>
            <w:r>
              <w:rPr>
                <w:rFonts w:hAnsi="宋体"/>
                <w:i/>
                <w:iCs/>
                <w:color w:val="auto"/>
                <w:sz w:val="24"/>
                <w:szCs w:val="24"/>
                <w:vertAlign w:val="subscript"/>
              </w:rPr>
              <w:t>d</w:t>
            </w:r>
            <w:r>
              <w:rPr>
                <w:rFonts w:hint="eastAsia" w:ascii="宋体" w:cs="宋体" w:hAnsiTheme="minorHAnsi"/>
                <w:color w:val="auto"/>
                <w:sz w:val="24"/>
                <w:szCs w:val="24"/>
              </w:rPr>
              <w:t>且</w:t>
            </w:r>
            <w:r>
              <w:rPr>
                <w:rFonts w:hint="eastAsia" w:hAnsi="宋体"/>
                <w:i/>
                <w:iCs/>
                <w:color w:val="auto"/>
                <w:sz w:val="24"/>
                <w:szCs w:val="24"/>
              </w:rPr>
              <w:t>N</w:t>
            </w:r>
            <w:r>
              <w:rPr>
                <w:rFonts w:hint="eastAsia" w:ascii="宋体" w:cs="宋体" w:hAnsiTheme="minorHAnsi"/>
                <w:color w:val="auto"/>
                <w:sz w:val="24"/>
                <w:szCs w:val="24"/>
              </w:rPr>
              <w:t>大于</w:t>
            </w:r>
            <w:r>
              <w:rPr>
                <w:rFonts w:ascii="宋体" w:cs="宋体" w:hAnsiTheme="minorHAnsi"/>
                <w:color w:val="auto"/>
                <w:sz w:val="24"/>
                <w:szCs w:val="24"/>
              </w:rPr>
              <w:t>0.22</w:t>
            </w:r>
            <w:r>
              <w:rPr>
                <w:rFonts w:hint="eastAsia" w:hAnsi="宋体"/>
                <w:i/>
                <w:iCs/>
                <w:color w:val="auto"/>
                <w:sz w:val="24"/>
                <w:szCs w:val="24"/>
              </w:rPr>
              <w:t>M</w:t>
            </w:r>
            <w:r>
              <w:rPr>
                <w:rFonts w:hAnsi="宋体"/>
                <w:i/>
                <w:iCs/>
                <w:color w:val="auto"/>
                <w:sz w:val="24"/>
                <w:szCs w:val="24"/>
              </w:rPr>
              <w:t>/</w:t>
            </w:r>
            <w:r>
              <w:rPr>
                <w:rFonts w:hint="eastAsia" w:hAnsi="宋体"/>
                <w:i/>
                <w:iCs/>
                <w:color w:val="auto"/>
                <w:sz w:val="24"/>
                <w:szCs w:val="24"/>
              </w:rPr>
              <w:t>z</w:t>
            </w:r>
            <w:r>
              <w:rPr>
                <w:rFonts w:hint="eastAsia" w:ascii="宋体" w:cs="宋体" w:hAnsiTheme="minorHAnsi"/>
                <w:color w:val="auto"/>
                <w:sz w:val="24"/>
                <w:szCs w:val="24"/>
              </w:rPr>
              <w:t>时，可取为1</w:t>
            </w:r>
            <w:r>
              <w:rPr>
                <w:rFonts w:ascii="宋体" w:cs="宋体" w:hAnsiTheme="minorHAnsi"/>
                <w:color w:val="auto"/>
                <w:sz w:val="24"/>
                <w:szCs w:val="24"/>
              </w:rPr>
              <w:t>.0</w:t>
            </w:r>
            <w:r>
              <w:rPr>
                <w:rFonts w:hint="eastAsia" w:ascii="宋体" w:cs="宋体" w:hAnsiTheme="minorHAnsi"/>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spacing w:after="0" w:line="240" w:lineRule="auto"/>
              <w:rPr>
                <w:rFonts w:ascii="宋体" w:cs="宋体" w:hAnsiTheme="minorHAnsi"/>
                <w:i/>
                <w:iCs/>
                <w:color w:val="auto"/>
                <w:sz w:val="24"/>
                <w:szCs w:val="24"/>
              </w:rPr>
            </w:pPr>
          </w:p>
        </w:tc>
        <w:tc>
          <w:tcPr>
            <w:tcW w:w="728" w:type="dxa"/>
          </w:tcPr>
          <w:p>
            <w:pPr>
              <w:spacing w:after="0" w:line="240" w:lineRule="auto"/>
              <w:jc w:val="right"/>
              <w:rPr>
                <w:rFonts w:hint="eastAsia" w:ascii="Symbol" w:hAnsi="Symbol" w:cs="宋体"/>
                <w:i/>
                <w:iCs/>
                <w:color w:val="auto"/>
                <w:sz w:val="24"/>
                <w:szCs w:val="24"/>
              </w:rPr>
            </w:pPr>
            <w:r>
              <w:rPr>
                <w:rFonts w:hAnsi="宋体"/>
                <w:i/>
                <w:iCs/>
                <w:color w:val="auto"/>
                <w:sz w:val="24"/>
                <w:szCs w:val="24"/>
              </w:rPr>
              <w:t>z</w:t>
            </w:r>
          </w:p>
        </w:tc>
        <w:tc>
          <w:tcPr>
            <w:tcW w:w="456" w:type="dxa"/>
          </w:tcPr>
          <w:p>
            <w:pPr>
              <w:spacing w:after="0" w:line="240" w:lineRule="auto"/>
              <w:rPr>
                <w:color w:val="auto"/>
                <w:sz w:val="24"/>
                <w:szCs w:val="24"/>
                <w:shd w:val="pct10" w:color="auto" w:fill="FFFFFF"/>
              </w:rPr>
            </w:pPr>
            <w:r>
              <w:rPr>
                <w:color w:val="auto"/>
                <w:sz w:val="24"/>
                <w:szCs w:val="24"/>
              </w:rPr>
              <w:t>—</w:t>
            </w:r>
          </w:p>
        </w:tc>
        <w:tc>
          <w:tcPr>
            <w:tcW w:w="6311" w:type="dxa"/>
          </w:tcPr>
          <w:p>
            <w:pPr>
              <w:spacing w:after="0" w:line="360" w:lineRule="auto"/>
              <w:rPr>
                <w:rFonts w:ascii="宋体" w:cs="宋体" w:hAnsiTheme="minorHAnsi"/>
                <w:color w:val="auto"/>
                <w:sz w:val="24"/>
                <w:szCs w:val="24"/>
              </w:rPr>
            </w:pPr>
            <w:r>
              <w:rPr>
                <w:rFonts w:hint="eastAsia" w:ascii="宋体" w:cs="宋体" w:hAnsiTheme="minorHAnsi"/>
                <w:color w:val="auto"/>
                <w:sz w:val="24"/>
                <w:szCs w:val="24"/>
              </w:rPr>
              <w:t>节点外弯矩</w:t>
            </w:r>
            <w:r>
              <w:rPr>
                <w:rFonts w:hint="eastAsia" w:hAnsi="宋体"/>
                <w:i/>
                <w:iCs/>
                <w:color w:val="auto"/>
                <w:sz w:val="24"/>
                <w:szCs w:val="24"/>
              </w:rPr>
              <w:t>M</w:t>
            </w:r>
            <w:r>
              <w:rPr>
                <w:rFonts w:hint="eastAsia" w:ascii="宋体" w:cs="宋体" w:hAnsiTheme="minorHAnsi"/>
                <w:color w:val="auto"/>
                <w:sz w:val="24"/>
                <w:szCs w:val="24"/>
              </w:rPr>
              <w:t>产生的拉力合力作用点与压力合力作用点之间的距离。</w:t>
            </w:r>
          </w:p>
        </w:tc>
      </w:tr>
    </w:tbl>
    <w:p>
      <w:pPr>
        <w:pStyle w:val="2"/>
        <w:spacing w:after="0" w:line="360" w:lineRule="auto"/>
        <w:ind w:left="0" w:leftChars="0" w:firstLine="0" w:firstLineChars="0"/>
        <w:rPr>
          <w:rFonts w:ascii="宋体" w:cs="宋体" w:hAnsiTheme="minorHAnsi"/>
          <w:i/>
          <w:iCs/>
          <w:color w:val="4472C4" w:themeColor="accent1"/>
          <w:sz w:val="24"/>
          <w:szCs w:val="24"/>
          <w14:textFill>
            <w14:solidFill>
              <w14:schemeClr w14:val="accent1"/>
            </w14:solidFill>
          </w14:textFill>
        </w:rPr>
      </w:pPr>
      <w:r>
        <w:rPr>
          <w:rFonts w:hint="eastAsia"/>
          <w:i/>
          <w:iCs/>
          <w:color w:val="4472C4" w:themeColor="accent1"/>
          <w:sz w:val="24"/>
          <w:szCs w:val="24"/>
          <w14:textFill>
            <w14:solidFill>
              <w14:schemeClr w14:val="accent1"/>
            </w14:solidFill>
          </w14:textFill>
        </w:rPr>
        <w:t>【条文说明】</w:t>
      </w:r>
      <w:r>
        <w:rPr>
          <w:rFonts w:hint="eastAsia"/>
          <w:b/>
          <w:bCs/>
          <w:i/>
          <w:iCs/>
          <w:color w:val="4472C4" w:themeColor="accent1"/>
          <w:sz w:val="24"/>
          <w:szCs w:val="24"/>
          <w14:textFill>
            <w14:solidFill>
              <w14:schemeClr w14:val="accent1"/>
            </w14:solidFill>
          </w14:textFill>
        </w:rPr>
        <w:t>4</w:t>
      </w:r>
      <w:r>
        <w:rPr>
          <w:b/>
          <w:bCs/>
          <w:i/>
          <w:iCs/>
          <w:color w:val="4472C4" w:themeColor="accent1"/>
          <w:sz w:val="24"/>
          <w:szCs w:val="24"/>
          <w14:textFill>
            <w14:solidFill>
              <w14:schemeClr w14:val="accent1"/>
            </w14:solidFill>
          </w14:textFill>
        </w:rPr>
        <w:t>.2.</w:t>
      </w:r>
      <w:r>
        <w:rPr>
          <w:rFonts w:hint="eastAsia"/>
          <w:b/>
          <w:bCs/>
          <w:i/>
          <w:iCs/>
          <w:color w:val="4472C4" w:themeColor="accent1"/>
          <w:sz w:val="24"/>
          <w:szCs w:val="24"/>
          <w:lang w:val="en-US" w:eastAsia="zh-CN"/>
          <w14:textFill>
            <w14:solidFill>
              <w14:schemeClr w14:val="accent1"/>
            </w14:solidFill>
          </w14:textFill>
        </w:rPr>
        <w:t>13</w:t>
      </w:r>
      <w:r>
        <w:rPr>
          <w:b/>
          <w:bCs/>
          <w:i/>
          <w:iCs/>
          <w:color w:val="4472C4" w:themeColor="accent1"/>
          <w:sz w:val="24"/>
          <w:szCs w:val="24"/>
          <w14:textFill>
            <w14:solidFill>
              <w14:schemeClr w14:val="accent1"/>
            </w14:solidFill>
          </w14:textFill>
        </w:rPr>
        <w:t xml:space="preserve"> </w:t>
      </w:r>
      <w:r>
        <w:rPr>
          <w:rFonts w:hint="eastAsia"/>
          <w:i/>
          <w:iCs/>
          <w:color w:val="4472C4" w:themeColor="accent1"/>
          <w:sz w:val="24"/>
          <w:szCs w:val="24"/>
          <w:lang w:val="en-US" w:eastAsia="zh-CN"/>
          <w14:textFill>
            <w14:solidFill>
              <w14:schemeClr w14:val="accent1"/>
            </w14:solidFill>
          </w14:textFill>
        </w:rPr>
        <w:t>参考</w:t>
      </w:r>
      <w:r>
        <w:rPr>
          <w:rFonts w:hint="eastAsia"/>
          <w:i/>
          <w:iCs/>
          <w:color w:val="4472C4" w:themeColor="accent1"/>
          <w:sz w:val="24"/>
          <w:szCs w:val="24"/>
          <w14:textFill>
            <w14:solidFill>
              <w14:schemeClr w14:val="accent1"/>
            </w14:solidFill>
          </w14:textFill>
        </w:rPr>
        <w:t>欧洲标准TR</w:t>
      </w:r>
      <w:r>
        <w:rPr>
          <w:i/>
          <w:iCs/>
          <w:color w:val="4472C4" w:themeColor="accent1"/>
          <w:sz w:val="24"/>
          <w:szCs w:val="24"/>
          <w14:textFill>
            <w14:solidFill>
              <w14:schemeClr w14:val="accent1"/>
            </w14:solidFill>
          </w14:textFill>
        </w:rPr>
        <w:t>069</w:t>
      </w:r>
      <w:r>
        <w:rPr>
          <w:rFonts w:hint="eastAsia"/>
          <w:i/>
          <w:iCs/>
          <w:color w:val="4472C4" w:themeColor="accent1"/>
          <w:sz w:val="24"/>
          <w:szCs w:val="24"/>
          <w14:textFill>
            <w14:solidFill>
              <w14:schemeClr w14:val="accent1"/>
            </w14:solidFill>
          </w14:textFill>
        </w:rPr>
        <w:t>和EN</w:t>
      </w:r>
      <w:r>
        <w:rPr>
          <w:i/>
          <w:iCs/>
          <w:color w:val="4472C4" w:themeColor="accent1"/>
          <w:sz w:val="24"/>
          <w:szCs w:val="24"/>
          <w14:textFill>
            <w14:solidFill>
              <w14:schemeClr w14:val="accent1"/>
            </w14:solidFill>
          </w14:textFill>
        </w:rPr>
        <w:t>1992-4:2018</w:t>
      </w:r>
      <w:r>
        <w:rPr>
          <w:rFonts w:hint="eastAsia"/>
          <w:i/>
          <w:iCs/>
          <w:color w:val="4472C4" w:themeColor="accent1"/>
          <w:sz w:val="24"/>
          <w:szCs w:val="24"/>
          <w14:textFill>
            <w14:solidFill>
              <w14:schemeClr w14:val="accent1"/>
            </w14:solidFill>
          </w14:textFill>
        </w:rPr>
        <w:t>中</w:t>
      </w:r>
      <w:r>
        <w:rPr>
          <w:i/>
          <w:iCs/>
          <w:color w:val="4472C4" w:themeColor="accent1"/>
          <w:sz w:val="24"/>
          <w:szCs w:val="24"/>
          <w14:textFill>
            <w14:solidFill>
              <w14:schemeClr w14:val="accent1"/>
            </w14:solidFill>
          </w14:textFill>
        </w:rPr>
        <w:t>的</w:t>
      </w:r>
      <w:r>
        <w:rPr>
          <w:rFonts w:hint="eastAsia"/>
          <w:i/>
          <w:iCs/>
          <w:color w:val="4472C4" w:themeColor="accent1"/>
          <w:sz w:val="24"/>
          <w:szCs w:val="24"/>
          <w14:textFill>
            <w14:solidFill>
              <w14:schemeClr w14:val="accent1"/>
            </w14:solidFill>
          </w14:textFill>
        </w:rPr>
        <w:t>规定</w:t>
      </w:r>
      <w:r>
        <w:rPr>
          <w:rFonts w:hint="eastAsia"/>
          <w:i/>
          <w:iCs/>
          <w:color w:val="4472C4" w:themeColor="accent1"/>
          <w:sz w:val="24"/>
          <w:szCs w:val="24"/>
          <w:lang w:eastAsia="zh-CN"/>
          <w14:textFill>
            <w14:solidFill>
              <w14:schemeClr w14:val="accent1"/>
            </w14:solidFill>
          </w14:textFill>
        </w:rPr>
        <w:t>，</w:t>
      </w:r>
      <w:r>
        <w:rPr>
          <w:rFonts w:hint="eastAsia"/>
          <w:i/>
          <w:iCs/>
          <w:color w:val="4472C4" w:themeColor="accent1"/>
          <w:sz w:val="24"/>
          <w:szCs w:val="24"/>
          <w:lang w:val="en-US" w:eastAsia="zh-CN"/>
          <w14:textFill>
            <w14:solidFill>
              <w14:schemeClr w14:val="accent1"/>
            </w14:solidFill>
          </w14:textFill>
        </w:rPr>
        <w:t>考虑了</w:t>
      </w:r>
      <w:r>
        <w:rPr>
          <w:rFonts w:hint="eastAsia"/>
          <w:i/>
          <w:iCs/>
          <w:color w:val="4472C4" w:themeColor="accent1"/>
          <w:sz w:val="24"/>
          <w:szCs w:val="24"/>
          <w14:textFill>
            <w14:solidFill>
              <w14:schemeClr w14:val="accent1"/>
            </w14:solidFill>
          </w14:textFill>
        </w:rPr>
        <w:t>弯矩</w:t>
      </w:r>
      <w:r>
        <w:rPr>
          <w:rFonts w:hint="eastAsia"/>
          <w:i/>
          <w:iCs/>
          <w:color w:val="4472C4" w:themeColor="accent1"/>
          <w:sz w:val="24"/>
          <w:szCs w:val="24"/>
          <w:lang w:val="en-US" w:eastAsia="zh-CN"/>
          <w14:textFill>
            <w14:solidFill>
              <w14:schemeClr w14:val="accent1"/>
            </w14:solidFill>
          </w14:textFill>
        </w:rPr>
        <w:t>作用下</w:t>
      </w:r>
      <w:r>
        <w:rPr>
          <w:rFonts w:hint="eastAsia"/>
          <w:i/>
          <w:iCs/>
          <w:color w:val="4472C4" w:themeColor="accent1"/>
          <w:sz w:val="24"/>
          <w:szCs w:val="24"/>
          <w14:textFill>
            <w14:solidFill>
              <w14:schemeClr w14:val="accent1"/>
            </w14:solidFill>
          </w14:textFill>
        </w:rPr>
        <w:t>受压区</w:t>
      </w:r>
      <w:r>
        <w:rPr>
          <w:rFonts w:hint="eastAsia"/>
          <w:i/>
          <w:iCs/>
          <w:color w:val="4472C4" w:themeColor="accent1"/>
          <w:sz w:val="24"/>
          <w:szCs w:val="24"/>
          <w:lang w:val="en-US" w:eastAsia="zh-CN"/>
          <w14:textFill>
            <w14:solidFill>
              <w14:schemeClr w14:val="accent1"/>
            </w14:solidFill>
          </w14:textFill>
        </w:rPr>
        <w:t>对锥体破坏承载力的</w:t>
      </w:r>
      <w:r>
        <w:rPr>
          <w:rFonts w:hint="eastAsia"/>
          <w:i/>
          <w:iCs/>
          <w:color w:val="4472C4" w:themeColor="accent1"/>
          <w:sz w:val="24"/>
          <w:szCs w:val="24"/>
          <w14:textFill>
            <w14:solidFill>
              <w14:schemeClr w14:val="accent1"/>
            </w14:solidFill>
          </w14:textFill>
        </w:rPr>
        <w:t>贡献。</w:t>
      </w:r>
    </w:p>
    <w:p>
      <w:pPr>
        <w:pStyle w:val="2"/>
        <w:spacing w:after="0" w:line="360" w:lineRule="auto"/>
        <w:ind w:left="0" w:leftChars="0" w:firstLine="0" w:firstLineChars="0"/>
        <w:rPr>
          <w:rFonts w:hint="eastAsia"/>
          <w:b/>
          <w:color w:val="auto"/>
          <w:kern w:val="2"/>
          <w:sz w:val="24"/>
          <w:szCs w:val="24"/>
          <w:highlight w:val="none"/>
        </w:rPr>
      </w:pPr>
    </w:p>
    <w:p>
      <w:pPr>
        <w:pStyle w:val="5"/>
      </w:pPr>
      <w:bookmarkStart w:id="37" w:name="_Toc25482"/>
      <w:r>
        <w:t>4</w:t>
      </w:r>
      <w:r>
        <w:rPr>
          <w:rFonts w:hint="eastAsia"/>
        </w:rPr>
        <w:t>.3 搭接植筋长度计算</w:t>
      </w:r>
      <w:bookmarkEnd w:id="37"/>
    </w:p>
    <w:p>
      <w:pPr>
        <w:keepNext w:val="0"/>
        <w:keepLines w:val="0"/>
        <w:pageBreakBefore w:val="0"/>
        <w:widowControl w:val="0"/>
        <w:kinsoku/>
        <w:wordWrap/>
        <w:overflowPunct/>
        <w:topLinePunct w:val="0"/>
        <w:autoSpaceDE/>
        <w:autoSpaceDN/>
        <w:bidi w:val="0"/>
        <w:adjustRightInd/>
        <w:snapToGrid/>
        <w:spacing w:after="0" w:line="360" w:lineRule="auto"/>
        <w:textAlignment w:val="auto"/>
        <w:rPr>
          <w:b/>
          <w:bCs/>
          <w:color w:val="auto"/>
          <w:sz w:val="24"/>
          <w:szCs w:val="24"/>
          <w:shd w:val="pct10" w:color="auto" w:fill="FFFFFF"/>
        </w:rPr>
      </w:pPr>
      <w:r>
        <w:rPr>
          <w:b/>
          <w:bCs/>
          <w:color w:val="auto"/>
          <w:sz w:val="24"/>
          <w:szCs w:val="24"/>
        </w:rPr>
        <w:t>4.</w:t>
      </w:r>
      <w:r>
        <w:rPr>
          <w:rFonts w:hint="eastAsia"/>
          <w:b/>
          <w:bCs/>
          <w:color w:val="auto"/>
          <w:sz w:val="24"/>
          <w:szCs w:val="24"/>
        </w:rPr>
        <w:t>3</w:t>
      </w:r>
      <w:r>
        <w:rPr>
          <w:b/>
          <w:bCs/>
          <w:color w:val="auto"/>
          <w:sz w:val="24"/>
          <w:szCs w:val="24"/>
        </w:rPr>
        <w:t>.</w:t>
      </w:r>
      <w:r>
        <w:rPr>
          <w:rFonts w:hint="eastAsia"/>
          <w:b/>
          <w:bCs/>
          <w:color w:val="auto"/>
          <w:sz w:val="24"/>
          <w:szCs w:val="24"/>
        </w:rPr>
        <w:t>1</w:t>
      </w:r>
      <w:r>
        <w:rPr>
          <w:rFonts w:hint="eastAsia"/>
          <w:color w:val="auto"/>
          <w:sz w:val="24"/>
          <w:szCs w:val="24"/>
        </w:rPr>
        <w:t>当植筋与纵向受拉钢筋搭接时 ，其搭接接头应相互错开，且不宜布置在受拉力较大的区域。结构构件同一截面的同一层植筋应尽可能对称布置。纵向钢筋受拉搭接长度，应根据位于同一连接区段内的钢筋搭接接头面积百分率，按下式计算：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jc w:val="right"/>
        <w:textAlignment w:val="auto"/>
        <w:rPr>
          <w:color w:val="auto"/>
          <w:sz w:val="24"/>
          <w:szCs w:val="24"/>
        </w:rPr>
      </w:pPr>
      <w:r>
        <w:rPr>
          <w:rFonts w:hint="eastAsia"/>
          <w:color w:val="auto"/>
          <w:sz w:val="24"/>
          <w:szCs w:val="24"/>
        </w:rPr>
        <w:t xml:space="preserve">                    </w:t>
      </w:r>
      <m:oMath>
        <m:sSub>
          <m:sSubPr>
            <m:ctrlPr>
              <w:rPr>
                <w:rFonts w:ascii="Cambria Math" w:hAnsi="Cambria Math"/>
                <w:i/>
                <w:color w:val="auto"/>
                <w:sz w:val="24"/>
                <w:szCs w:val="24"/>
              </w:rPr>
            </m:ctrlPr>
          </m:sSubPr>
          <m:e>
            <m:r>
              <m:rPr/>
              <w:rPr>
                <w:rFonts w:hint="eastAsia"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l</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ζ</m:t>
            </m:r>
            <m:ctrlPr>
              <w:rPr>
                <w:rFonts w:ascii="Cambria Math" w:hAnsi="Cambria Math"/>
                <w:i/>
                <w:color w:val="auto"/>
                <w:sz w:val="24"/>
                <w:szCs w:val="24"/>
              </w:rPr>
            </m:ctrlPr>
          </m:e>
          <m:sub>
            <m:r>
              <m:rPr/>
              <w:rPr>
                <w:rFonts w:ascii="Cambria Math" w:hAnsi="Cambria Math"/>
                <w:color w:val="auto"/>
                <w:sz w:val="24"/>
                <w:szCs w:val="24"/>
              </w:rPr>
              <m:t>l</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d</m:t>
            </m:r>
            <m:ctrlPr>
              <w:rPr>
                <w:rFonts w:ascii="Cambria Math" w:hAnsi="Cambria Math"/>
                <w:i/>
                <w:color w:val="auto"/>
                <w:sz w:val="24"/>
                <w:szCs w:val="24"/>
              </w:rPr>
            </m:ctrlPr>
          </m:sub>
        </m:sSub>
      </m:oMath>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ab/>
      </w:r>
      <w:r>
        <w:rPr>
          <w:rFonts w:hint="eastAsia"/>
          <w:color w:val="auto"/>
          <w:sz w:val="24"/>
          <w:szCs w:val="24"/>
        </w:rPr>
        <w:tab/>
      </w:r>
      <w:r>
        <w:rPr>
          <w:rFonts w:hint="eastAsia"/>
          <w:color w:val="auto"/>
          <w:sz w:val="24"/>
          <w:szCs w:val="24"/>
        </w:rPr>
        <w:tab/>
      </w:r>
      <w:r>
        <w:rPr>
          <w:rFonts w:hint="eastAsia"/>
          <w:color w:val="auto"/>
          <w:sz w:val="24"/>
          <w:szCs w:val="24"/>
        </w:rPr>
        <w:tab/>
      </w:r>
      <w:r>
        <w:rPr>
          <w:rFonts w:hint="eastAsia"/>
          <w:color w:val="auto"/>
          <w:sz w:val="24"/>
          <w:szCs w:val="24"/>
        </w:rPr>
        <w:tab/>
      </w:r>
      <w:r>
        <w:rPr>
          <w:rFonts w:hint="eastAsia"/>
          <w:color w:val="auto"/>
          <w:sz w:val="24"/>
          <w:szCs w:val="24"/>
        </w:rPr>
        <w:t xml:space="preserve">      （4.3.1）</w:t>
      </w:r>
    </w:p>
    <w:tbl>
      <w:tblPr>
        <w:tblStyle w:val="28"/>
        <w:tblW w:w="839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2"/>
        <w:gridCol w:w="775"/>
        <w:gridCol w:w="456"/>
        <w:gridCol w:w="6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92" w:type="dxa"/>
            <w:tcMar>
              <w:left w:w="72" w:type="dxa"/>
              <w:right w:w="72" w:type="dxa"/>
            </w:tcMar>
          </w:tcPr>
          <w:p>
            <w:pPr>
              <w:autoSpaceDE w:val="0"/>
              <w:autoSpaceDN w:val="0"/>
              <w:adjustRightInd w:val="0"/>
              <w:spacing w:after="0" w:line="360" w:lineRule="auto"/>
              <w:jc w:val="left"/>
              <w:rPr>
                <w:rFonts w:ascii="宋体" w:cs="宋体"/>
                <w:color w:val="auto"/>
                <w:sz w:val="24"/>
                <w:szCs w:val="24"/>
              </w:rPr>
            </w:pPr>
            <w:r>
              <w:rPr>
                <w:rFonts w:hint="eastAsia" w:ascii="宋体" w:cs="宋体"/>
                <w:color w:val="auto"/>
                <w:sz w:val="24"/>
                <w:szCs w:val="24"/>
              </w:rPr>
              <w:t>式中：</w:t>
            </w:r>
          </w:p>
        </w:tc>
        <w:tc>
          <w:tcPr>
            <w:tcW w:w="775" w:type="dxa"/>
          </w:tcPr>
          <w:p>
            <w:pPr>
              <w:spacing w:after="0" w:line="360" w:lineRule="auto"/>
              <w:jc w:val="center"/>
              <w:rPr>
                <w:color w:val="auto"/>
                <w:sz w:val="24"/>
                <w:szCs w:val="24"/>
              </w:rPr>
            </w:pPr>
            <m:oMathPara>
              <m:oMath>
                <m:sSub>
                  <m:sSubPr>
                    <m:ctrlPr>
                      <w:rPr>
                        <w:rFonts w:ascii="Cambria Math" w:hAnsi="Cambria Math" w:cs="Arial"/>
                        <w:i/>
                        <w:color w:val="auto"/>
                        <w:sz w:val="24"/>
                        <w:szCs w:val="24"/>
                      </w:rPr>
                    </m:ctrlPr>
                  </m:sSubPr>
                  <m:e>
                    <m:r>
                      <m:rPr/>
                      <w:rPr>
                        <w:rFonts w:hint="eastAsia" w:ascii="Cambria Math" w:hAnsi="Cambria Math" w:cs="Arial"/>
                        <w:color w:val="auto"/>
                        <w:sz w:val="24"/>
                        <w:szCs w:val="24"/>
                      </w:rPr>
                      <m:t>l</m:t>
                    </m:r>
                    <m:ctrlPr>
                      <w:rPr>
                        <w:rFonts w:ascii="Cambria Math" w:hAnsi="Cambria Math" w:cs="Arial"/>
                        <w:i/>
                        <w:color w:val="auto"/>
                        <w:sz w:val="24"/>
                        <w:szCs w:val="24"/>
                      </w:rPr>
                    </m:ctrlPr>
                  </m:e>
                  <m:sub>
                    <m:r>
                      <m:rPr/>
                      <w:rPr>
                        <w:rFonts w:ascii="Cambria Math" w:hAnsi="Cambria Math" w:cs="Arial"/>
                        <w:color w:val="auto"/>
                        <w:sz w:val="24"/>
                        <w:szCs w:val="24"/>
                      </w:rPr>
                      <m:t>l</m:t>
                    </m:r>
                    <m:ctrlPr>
                      <w:rPr>
                        <w:rFonts w:ascii="Cambria Math" w:hAnsi="Cambria Math" w:cs="Arial"/>
                        <w:i/>
                        <w:color w:val="auto"/>
                        <w:sz w:val="24"/>
                        <w:szCs w:val="24"/>
                      </w:rPr>
                    </m:ctrlPr>
                  </m:sub>
                </m:sSub>
              </m:oMath>
            </m:oMathPara>
          </w:p>
        </w:tc>
        <w:tc>
          <w:tcPr>
            <w:tcW w:w="456" w:type="dxa"/>
          </w:tcPr>
          <w:p>
            <w:pPr>
              <w:spacing w:after="0" w:line="360" w:lineRule="auto"/>
              <w:rPr>
                <w:iCs/>
                <w:color w:val="auto"/>
                <w:sz w:val="24"/>
                <w:szCs w:val="24"/>
              </w:rPr>
            </w:pPr>
            <w:r>
              <w:rPr>
                <w:color w:val="auto"/>
                <w:sz w:val="24"/>
                <w:szCs w:val="24"/>
              </w:rPr>
              <w:t>—</w:t>
            </w:r>
          </w:p>
        </w:tc>
        <w:tc>
          <w:tcPr>
            <w:tcW w:w="6270" w:type="dxa"/>
          </w:tcPr>
          <w:p>
            <w:pPr>
              <w:spacing w:after="0" w:line="360" w:lineRule="auto"/>
              <w:rPr>
                <w:iCs/>
                <w:color w:val="auto"/>
                <w:sz w:val="24"/>
                <w:szCs w:val="24"/>
              </w:rPr>
            </w:pPr>
            <w:r>
              <w:rPr>
                <w:rFonts w:hint="eastAsia"/>
                <w:iCs/>
                <w:color w:val="auto"/>
                <w:sz w:val="24"/>
                <w:szCs w:val="24"/>
              </w:rPr>
              <w:t>锚固钢筋的搭接长度；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92" w:type="dxa"/>
          </w:tcPr>
          <w:p>
            <w:pPr>
              <w:spacing w:after="0" w:line="360" w:lineRule="auto"/>
              <w:rPr>
                <w:iCs/>
                <w:color w:val="auto"/>
                <w:sz w:val="24"/>
                <w:szCs w:val="24"/>
              </w:rPr>
            </w:pPr>
          </w:p>
        </w:tc>
        <w:tc>
          <w:tcPr>
            <w:tcW w:w="775" w:type="dxa"/>
          </w:tcPr>
          <w:p>
            <w:pPr>
              <w:spacing w:after="0" w:line="360" w:lineRule="auto"/>
              <w:jc w:val="center"/>
              <w:rPr>
                <w:color w:val="auto"/>
                <w:sz w:val="24"/>
                <w:szCs w:val="24"/>
              </w:rPr>
            </w:pPr>
            <m:oMathPara>
              <m:oMath>
                <m:sSub>
                  <m:sSubPr>
                    <m:ctrlPr>
                      <w:rPr>
                        <w:rFonts w:ascii="Cambria Math" w:hAnsi="Cambria Math"/>
                        <w:i/>
                        <w:iCs/>
                        <w:color w:val="auto"/>
                        <w:sz w:val="24"/>
                        <w:szCs w:val="24"/>
                      </w:rPr>
                    </m:ctrlPr>
                  </m:sSubPr>
                  <m:e>
                    <m:r>
                      <m:rPr/>
                      <w:rPr>
                        <w:rFonts w:ascii="Cambria Math" w:hAnsi="Cambria Math"/>
                        <w:color w:val="auto"/>
                        <w:sz w:val="24"/>
                        <w:szCs w:val="24"/>
                      </w:rPr>
                      <m:t>ζ</m:t>
                    </m:r>
                    <m:ctrlPr>
                      <w:rPr>
                        <w:rFonts w:ascii="Cambria Math" w:hAnsi="Cambria Math"/>
                        <w:i/>
                        <w:iCs/>
                        <w:color w:val="auto"/>
                        <w:sz w:val="24"/>
                        <w:szCs w:val="24"/>
                      </w:rPr>
                    </m:ctrlPr>
                  </m:e>
                  <m:sub>
                    <m:r>
                      <m:rPr/>
                      <w:rPr>
                        <w:rFonts w:hint="eastAsia" w:ascii="Cambria Math" w:hAnsi="Cambria Math"/>
                        <w:color w:val="auto"/>
                        <w:sz w:val="24"/>
                        <w:szCs w:val="24"/>
                      </w:rPr>
                      <m:t>l</m:t>
                    </m:r>
                    <m:ctrlPr>
                      <w:rPr>
                        <w:rFonts w:ascii="Cambria Math" w:hAnsi="Cambria Math"/>
                        <w:i/>
                        <w:iCs/>
                        <w:color w:val="auto"/>
                        <w:sz w:val="24"/>
                        <w:szCs w:val="24"/>
                      </w:rPr>
                    </m:ctrlPr>
                  </m:sub>
                </m:sSub>
              </m:oMath>
            </m:oMathPara>
          </w:p>
        </w:tc>
        <w:tc>
          <w:tcPr>
            <w:tcW w:w="456" w:type="dxa"/>
          </w:tcPr>
          <w:p>
            <w:pPr>
              <w:spacing w:after="0" w:line="360" w:lineRule="auto"/>
              <w:rPr>
                <w:color w:val="auto"/>
                <w:sz w:val="24"/>
                <w:szCs w:val="24"/>
              </w:rPr>
            </w:pPr>
            <w:r>
              <w:rPr>
                <w:color w:val="auto"/>
                <w:sz w:val="24"/>
                <w:szCs w:val="24"/>
              </w:rPr>
              <w:t>—</w:t>
            </w:r>
          </w:p>
        </w:tc>
        <w:tc>
          <w:tcPr>
            <w:tcW w:w="6270" w:type="dxa"/>
          </w:tcPr>
          <w:p>
            <w:pPr>
              <w:spacing w:after="0" w:line="360" w:lineRule="auto"/>
              <w:rPr>
                <w:iCs/>
                <w:color w:val="auto"/>
                <w:sz w:val="24"/>
                <w:szCs w:val="24"/>
              </w:rPr>
            </w:pPr>
            <w:r>
              <w:rPr>
                <w:rFonts w:hint="eastAsia"/>
                <w:color w:val="auto"/>
                <w:sz w:val="24"/>
                <w:szCs w:val="24"/>
              </w:rPr>
              <w:t>纵向受拉钢筋搭接长度修正系数，可按表4.3.1取值。</w:t>
            </w:r>
            <w:r>
              <w:rPr>
                <w:iCs/>
                <w:color w:val="auto"/>
                <w:sz w:val="24"/>
                <w:szCs w:val="24"/>
              </w:rPr>
              <w:t xml:space="preserve"> </w:t>
            </w:r>
          </w:p>
        </w:tc>
      </w:tr>
    </w:tbl>
    <w:p>
      <w:pPr>
        <w:spacing w:after="156" w:afterLines="50" w:line="240" w:lineRule="auto"/>
        <w:jc w:val="center"/>
        <w:rPr>
          <w:color w:val="auto"/>
          <w:sz w:val="24"/>
          <w:szCs w:val="24"/>
          <w:shd w:val="pct10" w:color="auto" w:fill="FFFFFF"/>
        </w:rPr>
      </w:pPr>
      <w:r>
        <w:rPr>
          <w:rFonts w:hint="eastAsia"/>
          <w:color w:val="auto"/>
          <w:sz w:val="24"/>
          <w:szCs w:val="24"/>
        </w:rPr>
        <w:t>表4</w:t>
      </w:r>
      <w:r>
        <w:rPr>
          <w:color w:val="auto"/>
          <w:sz w:val="24"/>
          <w:szCs w:val="24"/>
        </w:rPr>
        <w:t>.</w:t>
      </w:r>
      <w:r>
        <w:rPr>
          <w:rFonts w:hint="eastAsia"/>
          <w:color w:val="auto"/>
          <w:sz w:val="24"/>
          <w:szCs w:val="24"/>
        </w:rPr>
        <w:t>3</w:t>
      </w:r>
      <w:r>
        <w:rPr>
          <w:color w:val="auto"/>
          <w:sz w:val="24"/>
          <w:szCs w:val="24"/>
        </w:rPr>
        <w:t>.</w:t>
      </w:r>
      <w:r>
        <w:rPr>
          <w:rFonts w:hint="eastAsia"/>
          <w:color w:val="auto"/>
          <w:sz w:val="24"/>
          <w:szCs w:val="24"/>
        </w:rPr>
        <w:t>1</w:t>
      </w:r>
      <w:r>
        <w:rPr>
          <w:color w:val="auto"/>
          <w:sz w:val="24"/>
          <w:szCs w:val="24"/>
        </w:rPr>
        <w:t xml:space="preserve">  </w:t>
      </w:r>
      <w:r>
        <w:rPr>
          <w:rFonts w:hint="eastAsia"/>
          <w:color w:val="auto"/>
          <w:sz w:val="24"/>
          <w:szCs w:val="24"/>
        </w:rPr>
        <w:t>纵向受拉钢筋搭接长度修正系数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1459"/>
        <w:gridCol w:w="136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25" w:type="dxa"/>
            <w:vAlign w:val="center"/>
          </w:tcPr>
          <w:p>
            <w:pPr>
              <w:spacing w:after="0" w:line="240" w:lineRule="auto"/>
              <w:jc w:val="center"/>
              <w:rPr>
                <w:color w:val="auto"/>
                <w:sz w:val="24"/>
                <w:szCs w:val="24"/>
                <w:shd w:val="pct10" w:color="auto" w:fill="FFFFFF"/>
              </w:rPr>
            </w:pPr>
            <w:r>
              <w:rPr>
                <w:rFonts w:hint="eastAsia"/>
                <w:color w:val="auto"/>
                <w:sz w:val="24"/>
                <w:szCs w:val="24"/>
              </w:rPr>
              <w:t>纵向受拉钢筋搭接接头面积百分率，</w:t>
            </w:r>
            <w:r>
              <w:rPr>
                <w:rFonts w:hint="eastAsia" w:ascii="Symbol" w:hAnsi="Symbol"/>
                <w:i/>
                <w:iCs/>
                <w:color w:val="auto"/>
                <w:sz w:val="24"/>
                <w:szCs w:val="24"/>
                <w:shd w:val="pct10" w:color="auto" w:fill="FFFFFF"/>
              </w:rPr>
              <w:t>r</w:t>
            </w:r>
            <w:r>
              <w:rPr>
                <w:color w:val="auto"/>
                <w:sz w:val="24"/>
                <w:szCs w:val="24"/>
                <w:shd w:val="pct10" w:color="auto" w:fill="FFFFFF"/>
                <w:vertAlign w:val="subscript"/>
              </w:rPr>
              <w:t>t</w:t>
            </w:r>
            <w:r>
              <w:rPr>
                <w:color w:val="auto"/>
                <w:sz w:val="24"/>
                <w:szCs w:val="24"/>
                <w:shd w:val="pct10" w:color="auto" w:fill="FFFFFF"/>
              </w:rPr>
              <w:t xml:space="preserve"> (%)</w:t>
            </w:r>
          </w:p>
        </w:tc>
        <w:tc>
          <w:tcPr>
            <w:tcW w:w="1459" w:type="dxa"/>
            <w:vAlign w:val="center"/>
          </w:tcPr>
          <w:p>
            <w:pPr>
              <w:spacing w:after="0" w:line="240" w:lineRule="auto"/>
              <w:jc w:val="center"/>
              <w:rPr>
                <w:color w:val="auto"/>
                <w:sz w:val="24"/>
                <w:szCs w:val="24"/>
              </w:rPr>
            </w:pPr>
            <w:r>
              <w:rPr>
                <w:rFonts w:hint="eastAsia"/>
                <w:color w:val="auto"/>
                <w:sz w:val="24"/>
                <w:szCs w:val="24"/>
              </w:rPr>
              <w:t>≤</w:t>
            </w:r>
            <w:r>
              <w:rPr>
                <w:color w:val="auto"/>
                <w:sz w:val="24"/>
                <w:szCs w:val="24"/>
              </w:rPr>
              <w:t>25’</w:t>
            </w:r>
          </w:p>
        </w:tc>
        <w:tc>
          <w:tcPr>
            <w:tcW w:w="1365" w:type="dxa"/>
            <w:vAlign w:val="center"/>
          </w:tcPr>
          <w:p>
            <w:pPr>
              <w:spacing w:after="0" w:line="240" w:lineRule="auto"/>
              <w:jc w:val="center"/>
              <w:rPr>
                <w:color w:val="auto"/>
                <w:sz w:val="24"/>
                <w:szCs w:val="24"/>
              </w:rPr>
            </w:pPr>
            <w:r>
              <w:rPr>
                <w:color w:val="auto"/>
                <w:sz w:val="24"/>
                <w:szCs w:val="24"/>
              </w:rPr>
              <w:t>50</w:t>
            </w:r>
          </w:p>
        </w:tc>
        <w:tc>
          <w:tcPr>
            <w:tcW w:w="1365" w:type="dxa"/>
            <w:vAlign w:val="center"/>
          </w:tcPr>
          <w:p>
            <w:pPr>
              <w:spacing w:after="0" w:line="240" w:lineRule="auto"/>
              <w:jc w:val="center"/>
              <w:rPr>
                <w:color w:val="auto"/>
                <w:sz w:val="24"/>
                <w:szCs w:val="24"/>
              </w:rPr>
            </w:pPr>
            <w:r>
              <w:rPr>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25" w:type="dxa"/>
            <w:vAlign w:val="center"/>
          </w:tcPr>
          <w:p>
            <w:pPr>
              <w:spacing w:after="0" w:line="240" w:lineRule="auto"/>
              <w:jc w:val="center"/>
              <w:rPr>
                <w:color w:val="auto"/>
                <w:sz w:val="24"/>
                <w:szCs w:val="24"/>
                <w:shd w:val="pct10" w:color="auto" w:fill="FFFFFF"/>
              </w:rPr>
            </w:pPr>
            <m:oMathPara>
              <m:oMath>
                <m:sSub>
                  <m:sSubPr>
                    <m:ctrlPr>
                      <w:rPr>
                        <w:rFonts w:ascii="Cambria Math" w:hAnsi="Cambria Math"/>
                        <w:i/>
                        <w:iCs/>
                        <w:color w:val="auto"/>
                        <w:sz w:val="24"/>
                        <w:szCs w:val="24"/>
                      </w:rPr>
                    </m:ctrlPr>
                  </m:sSubPr>
                  <m:e>
                    <m:r>
                      <m:rPr/>
                      <w:rPr>
                        <w:rFonts w:ascii="Cambria Math" w:hAnsi="Cambria Math"/>
                        <w:color w:val="auto"/>
                        <w:sz w:val="24"/>
                        <w:szCs w:val="24"/>
                      </w:rPr>
                      <m:t>ζ</m:t>
                    </m:r>
                    <m:ctrlPr>
                      <w:rPr>
                        <w:rFonts w:ascii="Cambria Math" w:hAnsi="Cambria Math"/>
                        <w:i/>
                        <w:iCs/>
                        <w:color w:val="auto"/>
                        <w:sz w:val="24"/>
                        <w:szCs w:val="24"/>
                      </w:rPr>
                    </m:ctrlPr>
                  </m:e>
                  <m:sub>
                    <m:r>
                      <m:rPr/>
                      <w:rPr>
                        <w:rFonts w:hint="eastAsia" w:ascii="Cambria Math" w:hAnsi="Cambria Math"/>
                        <w:color w:val="auto"/>
                        <w:sz w:val="24"/>
                        <w:szCs w:val="24"/>
                      </w:rPr>
                      <m:t>l</m:t>
                    </m:r>
                    <m:ctrlPr>
                      <w:rPr>
                        <w:rFonts w:ascii="Cambria Math" w:hAnsi="Cambria Math"/>
                        <w:i/>
                        <w:iCs/>
                        <w:color w:val="auto"/>
                        <w:sz w:val="24"/>
                        <w:szCs w:val="24"/>
                      </w:rPr>
                    </m:ctrlPr>
                  </m:sub>
                </m:sSub>
              </m:oMath>
            </m:oMathPara>
          </w:p>
        </w:tc>
        <w:tc>
          <w:tcPr>
            <w:tcW w:w="1459" w:type="dxa"/>
            <w:vAlign w:val="center"/>
          </w:tcPr>
          <w:p>
            <w:pPr>
              <w:spacing w:after="0" w:line="240" w:lineRule="auto"/>
              <w:jc w:val="center"/>
              <w:rPr>
                <w:color w:val="auto"/>
                <w:sz w:val="24"/>
                <w:szCs w:val="24"/>
              </w:rPr>
            </w:pPr>
            <w:r>
              <w:rPr>
                <w:color w:val="auto"/>
                <w:sz w:val="24"/>
                <w:szCs w:val="24"/>
              </w:rPr>
              <w:t>1.2</w:t>
            </w:r>
          </w:p>
        </w:tc>
        <w:tc>
          <w:tcPr>
            <w:tcW w:w="1365" w:type="dxa"/>
            <w:vAlign w:val="center"/>
          </w:tcPr>
          <w:p>
            <w:pPr>
              <w:spacing w:after="0" w:line="240" w:lineRule="auto"/>
              <w:jc w:val="center"/>
              <w:rPr>
                <w:color w:val="auto"/>
                <w:sz w:val="24"/>
                <w:szCs w:val="24"/>
              </w:rPr>
            </w:pPr>
            <w:r>
              <w:rPr>
                <w:color w:val="auto"/>
                <w:sz w:val="24"/>
                <w:szCs w:val="24"/>
              </w:rPr>
              <w:t>1.4</w:t>
            </w:r>
          </w:p>
        </w:tc>
        <w:tc>
          <w:tcPr>
            <w:tcW w:w="1365" w:type="dxa"/>
            <w:vAlign w:val="center"/>
          </w:tcPr>
          <w:p>
            <w:pPr>
              <w:spacing w:after="0" w:line="240" w:lineRule="auto"/>
              <w:jc w:val="center"/>
              <w:rPr>
                <w:color w:val="auto"/>
                <w:sz w:val="24"/>
                <w:szCs w:val="24"/>
              </w:rPr>
            </w:pPr>
            <w:r>
              <w:rPr>
                <w:color w:val="auto"/>
                <w:sz w:val="24"/>
                <w:szCs w:val="24"/>
              </w:rPr>
              <w:t>1.6</w:t>
            </w:r>
          </w:p>
        </w:tc>
      </w:tr>
    </w:tbl>
    <w:p>
      <w:pPr>
        <w:keepNext w:val="0"/>
        <w:keepLines w:val="0"/>
        <w:pageBreakBefore w:val="0"/>
        <w:widowControl w:val="0"/>
        <w:kinsoku/>
        <w:wordWrap/>
        <w:overflowPunct/>
        <w:topLinePunct w:val="0"/>
        <w:autoSpaceDE/>
        <w:autoSpaceDN/>
        <w:bidi w:val="0"/>
        <w:adjustRightInd/>
        <w:snapToGrid/>
        <w:spacing w:after="0" w:line="240" w:lineRule="auto"/>
        <w:textAlignment w:val="auto"/>
        <w:rPr>
          <w:b/>
          <w:bCs/>
          <w:color w:val="auto"/>
          <w:sz w:val="21"/>
          <w:szCs w:val="21"/>
        </w:rPr>
      </w:pPr>
      <w:r>
        <w:rPr>
          <w:rFonts w:hint="eastAsia"/>
          <w:b/>
          <w:bCs/>
          <w:color w:val="auto"/>
          <w:sz w:val="21"/>
          <w:szCs w:val="21"/>
        </w:rPr>
        <w:t>注：</w:t>
      </w:r>
      <w:r>
        <w:rPr>
          <w:b/>
          <w:bCs/>
          <w:color w:val="auto"/>
          <w:sz w:val="21"/>
          <w:szCs w:val="21"/>
        </w:rPr>
        <w:t xml:space="preserve">1 </w:t>
      </w:r>
      <w:r>
        <w:rPr>
          <w:rFonts w:hint="eastAsia"/>
          <w:b/>
          <w:bCs/>
          <w:color w:val="auto"/>
          <w:sz w:val="21"/>
          <w:szCs w:val="21"/>
        </w:rPr>
        <w:t>当实际搭接接头面积百分率介于表列数值之间时，按线性内插法确定</w:t>
      </w:r>
      <m:oMath>
        <m:sSub>
          <m:sSubPr>
            <m:ctrlPr>
              <w:rPr>
                <w:rFonts w:ascii="Cambria Math" w:hAnsi="Cambria Math"/>
                <w:b/>
                <w:bCs/>
                <w:i/>
                <w:iCs/>
                <w:color w:val="auto"/>
                <w:sz w:val="21"/>
                <w:szCs w:val="21"/>
              </w:rPr>
            </m:ctrlPr>
          </m:sSubPr>
          <m:e>
            <m:r>
              <m:rPr>
                <m:sty m:val="bi"/>
              </m:rPr>
              <w:rPr>
                <w:rFonts w:ascii="Cambria Math" w:hAnsi="Cambria Math"/>
                <w:color w:val="auto"/>
                <w:sz w:val="21"/>
                <w:szCs w:val="21"/>
              </w:rPr>
              <m:t>ζ</m:t>
            </m:r>
            <m:ctrlPr>
              <w:rPr>
                <w:rFonts w:ascii="Cambria Math" w:hAnsi="Cambria Math"/>
                <w:b/>
                <w:bCs/>
                <w:i/>
                <w:iCs/>
                <w:color w:val="auto"/>
                <w:sz w:val="21"/>
                <w:szCs w:val="21"/>
              </w:rPr>
            </m:ctrlPr>
          </m:e>
          <m:sub>
            <m:r>
              <m:rPr>
                <m:sty m:val="bi"/>
              </m:rPr>
              <w:rPr>
                <w:rFonts w:hint="eastAsia" w:ascii="Cambria Math" w:hAnsi="Cambria Math"/>
                <w:color w:val="auto"/>
                <w:sz w:val="21"/>
                <w:szCs w:val="21"/>
              </w:rPr>
              <m:t>l</m:t>
            </m:r>
            <m:ctrlPr>
              <w:rPr>
                <w:rFonts w:ascii="Cambria Math" w:hAnsi="Cambria Math"/>
                <w:b/>
                <w:bCs/>
                <w:i/>
                <w:iCs/>
                <w:color w:val="auto"/>
                <w:sz w:val="21"/>
                <w:szCs w:val="21"/>
              </w:rPr>
            </m:ctrlPr>
          </m:sub>
        </m:sSub>
      </m:oMath>
      <w:r>
        <w:rPr>
          <w:rFonts w:hint="eastAsia"/>
          <w:b/>
          <w:bCs/>
          <w:color w:val="auto"/>
          <w:sz w:val="21"/>
          <w:szCs w:val="21"/>
        </w:rPr>
        <w:t>值；</w:t>
      </w:r>
    </w:p>
    <w:p>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textAlignment w:val="auto"/>
        <w:rPr>
          <w:b/>
          <w:bCs/>
          <w:color w:val="auto"/>
          <w:sz w:val="21"/>
          <w:szCs w:val="21"/>
        </w:rPr>
      </w:pPr>
      <w:r>
        <w:rPr>
          <w:b/>
          <w:bCs/>
          <w:color w:val="auto"/>
          <w:sz w:val="21"/>
          <w:szCs w:val="21"/>
        </w:rPr>
        <w:t xml:space="preserve">2 </w:t>
      </w:r>
      <w:r>
        <w:rPr>
          <w:rFonts w:hint="eastAsia"/>
          <w:b/>
          <w:bCs/>
          <w:color w:val="auto"/>
          <w:sz w:val="21"/>
          <w:szCs w:val="21"/>
        </w:rPr>
        <w:t>对梁类构件，纵向受拉钢筋搭接接头面积百分率不宜超过</w:t>
      </w:r>
      <w:r>
        <w:rPr>
          <w:b/>
          <w:bCs/>
          <w:color w:val="auto"/>
          <w:sz w:val="21"/>
          <w:szCs w:val="21"/>
        </w:rPr>
        <w:t>50%</w:t>
      </w:r>
      <w:r>
        <w:rPr>
          <w:rFonts w:hint="eastAsia"/>
          <w:b/>
          <w:bCs/>
          <w:color w:val="auto"/>
          <w:sz w:val="21"/>
          <w:szCs w:val="21"/>
        </w:rPr>
        <w:t>。</w:t>
      </w:r>
    </w:p>
    <w:p>
      <w:pPr>
        <w:pStyle w:val="2"/>
        <w:spacing w:after="0" w:line="360" w:lineRule="auto"/>
        <w:ind w:left="0" w:leftChars="0" w:firstLine="0" w:firstLineChars="0"/>
        <w:rPr>
          <w:i/>
          <w:iCs/>
          <w:color w:val="4472C4" w:themeColor="accent1"/>
          <w:sz w:val="24"/>
          <w:szCs w:val="24"/>
          <w14:textFill>
            <w14:solidFill>
              <w14:schemeClr w14:val="accent1"/>
            </w14:solidFill>
          </w14:textFill>
        </w:rPr>
      </w:pPr>
      <w:r>
        <w:rPr>
          <w:rFonts w:hint="eastAsia" w:ascii="宋体" w:hAnsi="宋体"/>
          <w:i/>
          <w:iCs/>
          <w:color w:val="4472C4" w:themeColor="accent1"/>
          <w:sz w:val="24"/>
          <w:szCs w:val="24"/>
          <w14:textFill>
            <w14:solidFill>
              <w14:schemeClr w14:val="accent1"/>
            </w14:solidFill>
          </w14:textFill>
        </w:rPr>
        <w:t>【条文说明】</w:t>
      </w:r>
      <w:r>
        <w:rPr>
          <w:rFonts w:ascii="宋体" w:hAnsi="宋体"/>
          <w:b/>
          <w:bCs/>
          <w:i/>
          <w:iCs/>
          <w:color w:val="4472C4" w:themeColor="accent1"/>
          <w:sz w:val="24"/>
          <w:szCs w:val="24"/>
          <w14:textFill>
            <w14:solidFill>
              <w14:schemeClr w14:val="accent1"/>
            </w14:solidFill>
          </w14:textFill>
        </w:rPr>
        <w:t>4.3.1</w:t>
      </w:r>
      <w:r>
        <w:rPr>
          <w:rFonts w:ascii="宋体" w:hAnsi="宋体"/>
          <w:i/>
          <w:iCs/>
          <w:color w:val="4472C4" w:themeColor="accent1"/>
          <w:sz w:val="24"/>
          <w:szCs w:val="24"/>
          <w14:textFill>
            <w14:solidFill>
              <w14:schemeClr w14:val="accent1"/>
            </w14:solidFill>
          </w14:textFill>
        </w:rPr>
        <w:t xml:space="preserve"> </w:t>
      </w:r>
      <w:r>
        <w:rPr>
          <w:rFonts w:hint="eastAsia"/>
          <w:i/>
          <w:iCs/>
          <w:color w:val="4472C4" w:themeColor="accent1"/>
          <w:sz w:val="24"/>
          <w:szCs w:val="24"/>
          <w14:textFill>
            <w14:solidFill>
              <w14:schemeClr w14:val="accent1"/>
            </w14:solidFill>
          </w14:textFill>
        </w:rPr>
        <w:t>当植筋与纵向受拉钢筋搭接时，不宜布置在受拉力较大的区域如弯矩作用较大的受拉区（塑性铰区）。</w:t>
      </w:r>
    </w:p>
    <w:p>
      <w:pPr>
        <w:pStyle w:val="2"/>
        <w:spacing w:after="0" w:line="360" w:lineRule="auto"/>
        <w:ind w:left="0" w:leftChars="0" w:firstLine="0" w:firstLineChars="0"/>
        <w:rPr>
          <w:i/>
          <w:iCs/>
          <w:color w:val="4472C4" w:themeColor="accent1"/>
          <w:sz w:val="24"/>
          <w:szCs w:val="24"/>
          <w14:textFill>
            <w14:solidFill>
              <w14:schemeClr w14:val="accent1"/>
            </w14:solidFill>
          </w14:textFill>
        </w:rPr>
      </w:pPr>
      <w:r>
        <w:rPr>
          <w:rFonts w:hint="eastAsia"/>
          <w:i/>
          <w:iCs/>
          <w:color w:val="4472C4" w:themeColor="accent1"/>
          <w:sz w:val="24"/>
          <w:szCs w:val="24"/>
          <w14:textFill>
            <w14:solidFill>
              <w14:schemeClr w14:val="accent1"/>
            </w14:solidFill>
          </w14:textFill>
        </w:rPr>
        <w:t>同一连接区段内纵向受力钢筋搭接接头面积百分率，为该区段内有搭接接头的纵向受力钢筋占全部纵向受力钢筋截面面积的百分比。当直径不同的钢筋搭接时，按直径较小的钢筋计算。</w:t>
      </w:r>
    </w:p>
    <w:p>
      <w:pPr>
        <w:spacing w:line="460" w:lineRule="exact"/>
        <w:rPr>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rPr>
        <w:t>3</w:t>
      </w:r>
      <w:r>
        <w:rPr>
          <w:b/>
          <w:bCs/>
          <w:color w:val="auto"/>
          <w:sz w:val="24"/>
          <w:szCs w:val="24"/>
        </w:rPr>
        <w:t>.</w:t>
      </w:r>
      <w:r>
        <w:rPr>
          <w:rFonts w:hint="eastAsia"/>
          <w:b/>
          <w:bCs/>
          <w:color w:val="auto"/>
          <w:sz w:val="24"/>
          <w:szCs w:val="24"/>
        </w:rPr>
        <w:t>2</w:t>
      </w:r>
      <w:r>
        <w:rPr>
          <w:b/>
          <w:bCs/>
          <w:color w:val="auto"/>
          <w:sz w:val="24"/>
          <w:szCs w:val="24"/>
        </w:rPr>
        <w:t xml:space="preserve"> </w:t>
      </w:r>
      <w:r>
        <w:rPr>
          <w:rFonts w:hint="eastAsia"/>
          <w:color w:val="auto"/>
          <w:sz w:val="24"/>
          <w:szCs w:val="24"/>
        </w:rPr>
        <w:t xml:space="preserve">  植筋与纵向受拉钢筋在搭接部位的净间距，不应大于4</w:t>
      </w:r>
      <w:r>
        <w:rPr>
          <w:rFonts w:hint="eastAsia"/>
          <w:i/>
          <w:iCs/>
          <w:color w:val="auto"/>
          <w:sz w:val="24"/>
          <w:szCs w:val="24"/>
        </w:rPr>
        <w:t>d</w:t>
      </w:r>
      <w:r>
        <w:rPr>
          <w:rFonts w:hint="eastAsia"/>
          <w:color w:val="auto"/>
          <w:sz w:val="24"/>
          <w:szCs w:val="24"/>
        </w:rPr>
        <w:t>和5</w:t>
      </w:r>
      <w:r>
        <w:rPr>
          <w:color w:val="auto"/>
          <w:sz w:val="24"/>
          <w:szCs w:val="24"/>
        </w:rPr>
        <w:t>0</w:t>
      </w:r>
      <w:r>
        <w:rPr>
          <w:rFonts w:hint="eastAsia"/>
          <w:color w:val="auto"/>
          <w:sz w:val="24"/>
          <w:szCs w:val="24"/>
        </w:rPr>
        <w:t>mm。若净间距超过4</w:t>
      </w:r>
      <w:r>
        <w:rPr>
          <w:rFonts w:hint="eastAsia"/>
          <w:i/>
          <w:iCs/>
          <w:color w:val="auto"/>
          <w:sz w:val="24"/>
          <w:szCs w:val="24"/>
        </w:rPr>
        <w:t>d</w:t>
      </w:r>
      <w:r>
        <w:rPr>
          <w:rFonts w:hint="eastAsia"/>
          <w:color w:val="auto"/>
          <w:sz w:val="24"/>
          <w:szCs w:val="24"/>
        </w:rPr>
        <w:t>或5</w:t>
      </w:r>
      <w:r>
        <w:rPr>
          <w:color w:val="auto"/>
          <w:sz w:val="24"/>
          <w:szCs w:val="24"/>
        </w:rPr>
        <w:t>0</w:t>
      </w:r>
      <w:r>
        <w:rPr>
          <w:rFonts w:hint="eastAsia"/>
          <w:color w:val="auto"/>
          <w:sz w:val="24"/>
          <w:szCs w:val="24"/>
        </w:rPr>
        <w:t>mm，则搭接长度</w:t>
      </w:r>
      <w:r>
        <w:rPr>
          <w:rFonts w:hint="eastAsia"/>
          <w:i/>
          <w:iCs/>
          <w:color w:val="auto"/>
          <w:sz w:val="24"/>
          <w:szCs w:val="24"/>
        </w:rPr>
        <w:t>l</w:t>
      </w:r>
      <w:r>
        <w:rPr>
          <w:rFonts w:hint="eastAsia"/>
          <w:iCs/>
          <w:color w:val="auto"/>
          <w:sz w:val="24"/>
          <w:szCs w:val="24"/>
          <w:vertAlign w:val="subscript"/>
        </w:rPr>
        <w:t>l</w:t>
      </w:r>
      <w:r>
        <w:rPr>
          <w:rFonts w:hint="eastAsia"/>
          <w:color w:val="auto"/>
          <w:sz w:val="24"/>
          <w:szCs w:val="24"/>
        </w:rPr>
        <w:t>应增加间距超出的同样长度且不小于2</w:t>
      </w:r>
      <w:r>
        <w:rPr>
          <w:rFonts w:hint="eastAsia"/>
          <w:i/>
          <w:iCs/>
          <w:color w:val="auto"/>
          <w:sz w:val="24"/>
          <w:szCs w:val="24"/>
        </w:rPr>
        <w:t>d</w:t>
      </w:r>
      <w:r>
        <w:rPr>
          <w:rFonts w:hint="eastAsia"/>
          <w:color w:val="auto"/>
          <w:sz w:val="24"/>
          <w:szCs w:val="24"/>
        </w:rPr>
        <w:t>。</w:t>
      </w:r>
    </w:p>
    <w:p>
      <w:pPr>
        <w:pStyle w:val="5"/>
      </w:pPr>
      <w:bookmarkStart w:id="38" w:name="_Toc145273813"/>
      <w:bookmarkStart w:id="39" w:name="_Toc28367"/>
      <w:r>
        <w:t>4</w:t>
      </w:r>
      <w:r>
        <w:rPr>
          <w:rFonts w:hint="eastAsia"/>
        </w:rPr>
        <w:t>.4 拉结植筋锚固承载力计算</w:t>
      </w:r>
      <w:bookmarkEnd w:id="38"/>
      <w:bookmarkEnd w:id="39"/>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sz w:val="24"/>
          <w:szCs w:val="24"/>
        </w:rPr>
      </w:pPr>
      <w:r>
        <w:rPr>
          <w:rFonts w:hint="eastAsia"/>
          <w:b/>
          <w:bCs/>
          <w:color w:val="auto"/>
          <w:sz w:val="24"/>
          <w:szCs w:val="24"/>
        </w:rPr>
        <w:t>4.4.1</w:t>
      </w:r>
      <w:r>
        <w:rPr>
          <w:b/>
          <w:bCs/>
          <w:color w:val="auto"/>
          <w:sz w:val="24"/>
          <w:szCs w:val="24"/>
        </w:rPr>
        <w:t xml:space="preserve"> </w:t>
      </w:r>
      <w:r>
        <w:rPr>
          <w:rFonts w:hint="eastAsia"/>
          <w:color w:val="auto"/>
          <w:sz w:val="24"/>
          <w:szCs w:val="24"/>
        </w:rPr>
        <w:t>新、旧混凝土连接前，原混凝土表面应进行修整及打毛处理，应满足现行国家标准《建筑工程加固工程施工质量验收规范》GB 50550的要求。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宋体" w:hAnsi="宋体"/>
          <w:i/>
          <w:iCs/>
          <w:color w:val="4472C4" w:themeColor="accent1"/>
          <w:sz w:val="24"/>
          <w:szCs w:val="24"/>
          <w14:textFill>
            <w14:solidFill>
              <w14:schemeClr w14:val="accent1"/>
            </w14:solidFill>
          </w14:textFill>
        </w:rPr>
      </w:pPr>
      <w:r>
        <w:rPr>
          <w:rFonts w:hint="eastAsia" w:ascii="宋体" w:hAnsi="宋体"/>
          <w:i/>
          <w:iCs/>
          <w:color w:val="4472C4" w:themeColor="accent1"/>
          <w:sz w:val="24"/>
          <w:szCs w:val="24"/>
          <w14:textFill>
            <w14:solidFill>
              <w14:schemeClr w14:val="accent1"/>
            </w14:solidFill>
          </w14:textFill>
        </w:rPr>
        <w:t>【条文说明】</w:t>
      </w:r>
      <w:r>
        <w:rPr>
          <w:rFonts w:ascii="宋体" w:hAnsi="宋体"/>
          <w:b/>
          <w:bCs/>
          <w:i/>
          <w:iCs/>
          <w:color w:val="4472C4" w:themeColor="accent1"/>
          <w:sz w:val="24"/>
          <w:szCs w:val="24"/>
          <w14:textFill>
            <w14:solidFill>
              <w14:schemeClr w14:val="accent1"/>
            </w14:solidFill>
          </w14:textFill>
        </w:rPr>
        <w:t>4.</w:t>
      </w:r>
      <w:r>
        <w:rPr>
          <w:rFonts w:hint="eastAsia" w:ascii="宋体" w:hAnsi="宋体"/>
          <w:b/>
          <w:bCs/>
          <w:i/>
          <w:iCs/>
          <w:color w:val="4472C4" w:themeColor="accent1"/>
          <w:sz w:val="24"/>
          <w:szCs w:val="24"/>
          <w14:textFill>
            <w14:solidFill>
              <w14:schemeClr w14:val="accent1"/>
            </w14:solidFill>
          </w14:textFill>
        </w:rPr>
        <w:t>4</w:t>
      </w:r>
      <w:r>
        <w:rPr>
          <w:rFonts w:ascii="宋体" w:hAnsi="宋体"/>
          <w:b/>
          <w:bCs/>
          <w:i/>
          <w:iCs/>
          <w:color w:val="4472C4" w:themeColor="accent1"/>
          <w:sz w:val="24"/>
          <w:szCs w:val="24"/>
          <w14:textFill>
            <w14:solidFill>
              <w14:schemeClr w14:val="accent1"/>
            </w14:solidFill>
          </w14:textFill>
        </w:rPr>
        <w:t>.</w:t>
      </w:r>
      <w:r>
        <w:rPr>
          <w:rFonts w:hint="eastAsia" w:ascii="宋体" w:hAnsi="宋体"/>
          <w:b/>
          <w:bCs/>
          <w:i/>
          <w:iCs/>
          <w:color w:val="4472C4" w:themeColor="accent1"/>
          <w:sz w:val="24"/>
          <w:szCs w:val="24"/>
          <w14:textFill>
            <w14:solidFill>
              <w14:schemeClr w14:val="accent1"/>
            </w14:solidFill>
          </w14:textFill>
        </w:rPr>
        <w:t>1</w:t>
      </w:r>
      <w:r>
        <w:rPr>
          <w:rFonts w:ascii="宋体" w:hAnsi="宋体"/>
          <w:i/>
          <w:iCs/>
          <w:color w:val="4472C4" w:themeColor="accent1"/>
          <w:sz w:val="24"/>
          <w:szCs w:val="24"/>
          <w14:textFill>
            <w14:solidFill>
              <w14:schemeClr w14:val="accent1"/>
            </w14:solidFill>
          </w14:textFill>
        </w:rPr>
        <w:t xml:space="preserve"> </w:t>
      </w:r>
      <w:r>
        <w:rPr>
          <w:rFonts w:hint="eastAsia" w:ascii="宋体" w:hAnsi="宋体"/>
          <w:i/>
          <w:iCs/>
          <w:color w:val="4472C4" w:themeColor="accent1"/>
          <w:sz w:val="24"/>
          <w:szCs w:val="24"/>
          <w14:textFill>
            <w14:solidFill>
              <w14:schemeClr w14:val="accent1"/>
            </w14:solidFill>
          </w14:textFill>
        </w:rPr>
        <w:t>新、旧混凝土连接前，应先对旧混凝土界面进行凿毛处理，凿毛的粗糙度应能满足可通过界面有效传递剪力的功能，并根据需要设置拉结钢筋。</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r>
        <w:rPr>
          <w:rFonts w:hint="eastAsia"/>
          <w:b/>
          <w:bCs/>
          <w:color w:val="auto"/>
          <w:sz w:val="24"/>
          <w:szCs w:val="24"/>
        </w:rPr>
        <w:t xml:space="preserve">4.4.2 </w:t>
      </w:r>
      <w:r>
        <w:rPr>
          <w:rFonts w:hint="eastAsia"/>
          <w:color w:val="auto"/>
          <w:sz w:val="24"/>
          <w:szCs w:val="24"/>
        </w:rPr>
        <w:t>新、旧</w:t>
      </w:r>
      <w:r>
        <w:rPr>
          <w:rFonts w:hint="eastAsia" w:ascii="宋体" w:hAnsi="宋体"/>
          <w:color w:val="auto"/>
          <w:sz w:val="24"/>
          <w:szCs w:val="24"/>
        </w:rPr>
        <w:t>混凝土界面不宜直接承受拉力荷载，为保证新旧混凝土共同工作而增设的拉结植筋应符合下式规定：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jc w:val="right"/>
        <w:textAlignment w:val="auto"/>
        <w:rPr>
          <w:rFonts w:ascii="宋体" w:hAnsi="宋体"/>
          <w:color w:val="auto"/>
          <w:sz w:val="24"/>
          <w:szCs w:val="24"/>
        </w:rPr>
      </w:pPr>
      <w:r>
        <w:rPr>
          <w:rFonts w:ascii="Symbol" w:hAnsi="Symbol"/>
          <w:i/>
          <w:iCs/>
          <w:color w:val="auto"/>
          <w:sz w:val="24"/>
          <w:szCs w:val="24"/>
        </w:rPr>
        <w:t>t</w:t>
      </w:r>
      <w:r>
        <w:rPr>
          <w:rFonts w:ascii="宋体" w:hAnsi="宋体"/>
          <w:color w:val="auto"/>
          <w:sz w:val="24"/>
          <w:szCs w:val="24"/>
          <w:vertAlign w:val="subscript"/>
        </w:rPr>
        <w:t>Ed</w:t>
      </w:r>
      <w:r>
        <w:rPr>
          <w:rFonts w:hint="eastAsia" w:ascii="宋体" w:hAnsi="宋体"/>
          <w:color w:val="auto"/>
          <w:sz w:val="24"/>
          <w:szCs w:val="24"/>
        </w:rPr>
        <w:t>≤</w:t>
      </w:r>
      <w:r>
        <w:rPr>
          <w:rFonts w:ascii="Symbol" w:hAnsi="Symbol"/>
          <w:i/>
          <w:iCs/>
          <w:color w:val="auto"/>
          <w:sz w:val="24"/>
          <w:szCs w:val="24"/>
        </w:rPr>
        <w:t>t</w:t>
      </w:r>
      <w:r>
        <w:rPr>
          <w:rFonts w:ascii="宋体" w:hAnsi="宋体"/>
          <w:color w:val="auto"/>
          <w:sz w:val="24"/>
          <w:szCs w:val="24"/>
          <w:vertAlign w:val="subscript"/>
        </w:rPr>
        <w:t>Rd</w:t>
      </w:r>
      <w:r>
        <w:rPr>
          <w:rFonts w:ascii="宋体" w:hAnsi="宋体"/>
          <w:color w:val="auto"/>
          <w:sz w:val="24"/>
          <w:szCs w:val="24"/>
        </w:rPr>
        <w:tab/>
      </w:r>
      <w:r>
        <w:rPr>
          <w:rFonts w:hint="eastAsia" w:ascii="宋体" w:hAnsi="宋体"/>
          <w:color w:val="auto"/>
          <w:sz w:val="24"/>
          <w:szCs w:val="24"/>
        </w:rPr>
        <w:t xml:space="preserve">            </w:t>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ab/>
      </w:r>
      <w:r>
        <w:rPr>
          <w:rFonts w:hint="eastAsia" w:ascii="宋体" w:hAnsi="宋体"/>
          <w:color w:val="auto"/>
          <w:sz w:val="24"/>
          <w:szCs w:val="24"/>
        </w:rPr>
        <w:t>（4.4.2）</w:t>
      </w:r>
    </w:p>
    <w:tbl>
      <w:tblPr>
        <w:tblStyle w:val="28"/>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1"/>
        <w:gridCol w:w="728"/>
        <w:gridCol w:w="456"/>
        <w:gridCol w:w="6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Mar>
              <w:left w:w="29" w:type="dxa"/>
              <w:right w:w="29" w:type="dxa"/>
            </w:tcMa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r>
              <w:rPr>
                <w:rFonts w:hint="eastAsia" w:ascii="宋体" w:hAnsi="宋体"/>
                <w:color w:val="auto"/>
                <w:sz w:val="24"/>
                <w:szCs w:val="24"/>
              </w:rPr>
              <w:t>式中：</w:t>
            </w:r>
          </w:p>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ascii="宋体" w:hAnsi="宋体"/>
                <w:i/>
                <w:iCs/>
                <w:color w:val="auto"/>
                <w:sz w:val="24"/>
                <w:szCs w:val="24"/>
              </w:rPr>
            </w:pPr>
          </w:p>
        </w:tc>
        <w:tc>
          <w:tcPr>
            <w:tcW w:w="728" w:type="dxa"/>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ascii="宋体" w:hAnsi="宋体"/>
                <w:i/>
                <w:iCs/>
                <w:color w:val="auto"/>
                <w:sz w:val="24"/>
                <w:szCs w:val="24"/>
              </w:rPr>
            </w:pPr>
            <w:r>
              <w:rPr>
                <w:rFonts w:ascii="Symbol" w:hAnsi="Symbol"/>
                <w:i/>
                <w:iCs/>
                <w:color w:val="auto"/>
                <w:sz w:val="24"/>
                <w:szCs w:val="24"/>
              </w:rPr>
              <w:t>t</w:t>
            </w:r>
            <w:r>
              <w:rPr>
                <w:rFonts w:ascii="宋体" w:hAnsi="宋体"/>
                <w:color w:val="auto"/>
                <w:sz w:val="24"/>
                <w:szCs w:val="24"/>
                <w:vertAlign w:val="subscript"/>
              </w:rPr>
              <w:t>Ed</w:t>
            </w:r>
          </w:p>
        </w:tc>
        <w:tc>
          <w:tcPr>
            <w:tcW w:w="456"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r>
              <w:rPr>
                <w:color w:val="auto"/>
                <w:sz w:val="24"/>
                <w:szCs w:val="24"/>
              </w:rPr>
              <w:t>—</w:t>
            </w:r>
          </w:p>
        </w:tc>
        <w:tc>
          <w:tcPr>
            <w:tcW w:w="631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r>
              <w:rPr>
                <w:rFonts w:hint="eastAsia" w:ascii="宋体" w:hAnsi="宋体"/>
                <w:color w:val="auto"/>
                <w:sz w:val="24"/>
                <w:szCs w:val="24"/>
              </w:rPr>
              <w:t>由外荷载产生新旧混凝土层间剪应力设计值（MPa</w:t>
            </w:r>
            <w:r>
              <w:rPr>
                <w:rFonts w:ascii="宋体" w:hAnsi="宋体"/>
                <w:color w:val="auto"/>
                <w:sz w:val="24"/>
                <w:szCs w:val="24"/>
              </w:rPr>
              <w:t>）</w:t>
            </w:r>
            <w:r>
              <w:rPr>
                <w:rFonts w:hint="eastAsia" w:ascii="Symbol" w:hAnsi="Symbol"/>
                <w:color w:val="auto"/>
                <w:sz w:val="24"/>
                <w:szCs w:val="24"/>
              </w:rPr>
              <w:t>，</w:t>
            </w:r>
            <w:r>
              <w:rPr>
                <w:rFonts w:hint="eastAsia" w:ascii="宋体" w:hAnsi="宋体"/>
                <w:color w:val="auto"/>
                <w:sz w:val="24"/>
                <w:szCs w:val="24"/>
              </w:rPr>
              <w:t>应按本规程第4.4.3条计算；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0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p>
        </w:tc>
        <w:tc>
          <w:tcPr>
            <w:tcW w:w="728" w:type="dxa"/>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hint="eastAsia" w:ascii="Symbol" w:hAnsi="Symbol"/>
                <w:i/>
                <w:iCs/>
                <w:color w:val="auto"/>
                <w:sz w:val="24"/>
                <w:szCs w:val="24"/>
              </w:rPr>
            </w:pPr>
            <w:r>
              <w:rPr>
                <w:rFonts w:ascii="Symbol" w:hAnsi="Symbol"/>
                <w:i/>
                <w:iCs/>
                <w:color w:val="auto"/>
                <w:sz w:val="24"/>
                <w:szCs w:val="24"/>
              </w:rPr>
              <w:t>t</w:t>
            </w:r>
            <w:r>
              <w:rPr>
                <w:rFonts w:hint="eastAsia" w:ascii="宋体" w:hAnsi="宋体"/>
                <w:color w:val="auto"/>
                <w:sz w:val="24"/>
                <w:szCs w:val="24"/>
                <w:vertAlign w:val="subscript"/>
              </w:rPr>
              <w:t>R</w:t>
            </w:r>
            <w:r>
              <w:rPr>
                <w:rFonts w:ascii="宋体" w:hAnsi="宋体"/>
                <w:color w:val="auto"/>
                <w:sz w:val="24"/>
                <w:szCs w:val="24"/>
                <w:vertAlign w:val="subscript"/>
              </w:rPr>
              <w:t>d</w:t>
            </w:r>
          </w:p>
        </w:tc>
        <w:tc>
          <w:tcPr>
            <w:tcW w:w="456"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宋体" w:hAnsi="宋体"/>
                <w:color w:val="auto"/>
                <w:sz w:val="24"/>
                <w:szCs w:val="24"/>
              </w:rPr>
            </w:pPr>
            <w:r>
              <w:rPr>
                <w:color w:val="auto"/>
                <w:sz w:val="24"/>
                <w:szCs w:val="24"/>
              </w:rPr>
              <w:t>—</w:t>
            </w:r>
          </w:p>
        </w:tc>
        <w:tc>
          <w:tcPr>
            <w:tcW w:w="6311" w:type="dxa"/>
          </w:tcPr>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ascii="宋体" w:hAnsi="宋体"/>
                <w:color w:val="auto"/>
                <w:sz w:val="24"/>
                <w:szCs w:val="24"/>
              </w:rPr>
            </w:pPr>
            <w:r>
              <w:rPr>
                <w:color w:val="auto"/>
                <w:sz w:val="24"/>
                <w:szCs w:val="24"/>
              </w:rPr>
              <w:t>带有拉结</w:t>
            </w:r>
            <w:r>
              <w:rPr>
                <w:rFonts w:hint="eastAsia"/>
                <w:color w:val="auto"/>
                <w:sz w:val="24"/>
                <w:szCs w:val="24"/>
              </w:rPr>
              <w:t>抗剪功能的植筋在新旧混凝土界面的抗剪强度设计值</w:t>
            </w:r>
            <w:r>
              <w:rPr>
                <w:rFonts w:hint="eastAsia" w:ascii="宋体" w:hAnsi="宋体"/>
                <w:color w:val="auto"/>
                <w:sz w:val="24"/>
                <w:szCs w:val="24"/>
              </w:rPr>
              <w:t>（MPa</w:t>
            </w:r>
            <w:r>
              <w:rPr>
                <w:rFonts w:ascii="宋体" w:hAnsi="宋体"/>
                <w:color w:val="auto"/>
                <w:sz w:val="24"/>
                <w:szCs w:val="24"/>
              </w:rPr>
              <w:t>）</w:t>
            </w:r>
            <w:r>
              <w:rPr>
                <w:rFonts w:hint="eastAsia" w:ascii="宋体" w:hAnsi="宋体"/>
                <w:color w:val="auto"/>
                <w:sz w:val="24"/>
                <w:szCs w:val="24"/>
              </w:rPr>
              <w:t>，应按本规程第4.4.4条计算。</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宋体" w:hAnsi="宋体"/>
          <w:i/>
          <w:iCs/>
          <w:color w:val="0070C0"/>
          <w:sz w:val="24"/>
          <w:szCs w:val="24"/>
        </w:rPr>
      </w:pPr>
      <w:r>
        <w:rPr>
          <w:rFonts w:hint="eastAsia" w:ascii="宋体" w:hAnsi="宋体"/>
          <w:i/>
          <w:iCs/>
          <w:color w:val="0070C0"/>
          <w:sz w:val="24"/>
          <w:szCs w:val="24"/>
        </w:rPr>
        <w:t>【条文说明】</w:t>
      </w:r>
      <w:r>
        <w:rPr>
          <w:rFonts w:hint="eastAsia" w:ascii="宋体" w:hAnsi="宋体"/>
          <w:b/>
          <w:bCs/>
          <w:i/>
          <w:iCs/>
          <w:color w:val="0070C0"/>
          <w:sz w:val="24"/>
          <w:szCs w:val="24"/>
        </w:rPr>
        <w:t>4.4.2</w:t>
      </w:r>
      <w:r>
        <w:rPr>
          <w:rFonts w:hint="eastAsia" w:ascii="宋体" w:hAnsi="宋体"/>
          <w:i/>
          <w:iCs/>
          <w:color w:val="0070C0"/>
          <w:sz w:val="24"/>
          <w:szCs w:val="24"/>
        </w:rPr>
        <w:t>增大截面中的拉结抗剪植筋的承载力应不小于因外荷载产生的新旧截面剪力，应保证组合结构在发生允许变形的时候新旧界面之间不会发生剥离。计算中，采用剪应力计算。新旧混凝土之间承受的拉应力不超过0</w:t>
      </w:r>
      <w:r>
        <w:rPr>
          <w:rFonts w:ascii="宋体" w:hAnsi="宋体"/>
          <w:i/>
          <w:iCs/>
          <w:color w:val="0070C0"/>
          <w:sz w:val="24"/>
          <w:szCs w:val="24"/>
        </w:rPr>
        <w:t>.05MPa</w:t>
      </w:r>
      <w:r>
        <w:rPr>
          <w:rFonts w:hint="eastAsia" w:ascii="宋体" w:hAnsi="宋体"/>
          <w:i/>
          <w:iCs/>
          <w:color w:val="0070C0"/>
          <w:sz w:val="24"/>
          <w:szCs w:val="24"/>
        </w:rPr>
        <w:t>时可不考虑拉力作用影响。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Symbol" w:hAnsi="Symbol"/>
          <w:sz w:val="24"/>
        </w:rPr>
      </w:pPr>
      <w:r>
        <w:rPr>
          <w:rFonts w:hint="eastAsia"/>
          <w:b/>
          <w:bCs/>
          <w:color w:val="auto"/>
          <w:sz w:val="24"/>
          <w:szCs w:val="24"/>
        </w:rPr>
        <w:t>4.4.3</w:t>
      </w:r>
      <w:r>
        <w:rPr>
          <w:b/>
          <w:bCs/>
          <w:color w:val="auto"/>
          <w:sz w:val="24"/>
          <w:szCs w:val="24"/>
        </w:rPr>
        <w:t xml:space="preserve"> </w:t>
      </w:r>
      <w:r>
        <w:rPr>
          <w:rFonts w:hint="eastAsia" w:ascii="Symbol" w:hAnsi="Symbol"/>
          <w:color w:val="auto"/>
          <w:sz w:val="24"/>
          <w:szCs w:val="24"/>
        </w:rPr>
        <w:t>由</w:t>
      </w:r>
      <w:r>
        <w:rPr>
          <w:rFonts w:hint="eastAsia" w:ascii="宋体" w:hAnsi="宋体"/>
          <w:color w:val="auto"/>
          <w:sz w:val="24"/>
          <w:szCs w:val="24"/>
        </w:rPr>
        <w:t>外荷载产生的新旧混凝土界面层间剪应力</w:t>
      </w:r>
      <w:r>
        <w:rPr>
          <w:rFonts w:ascii="Symbol" w:hAnsi="Symbol"/>
          <w:i/>
          <w:iCs/>
          <w:color w:val="auto"/>
          <w:sz w:val="24"/>
          <w:szCs w:val="24"/>
        </w:rPr>
        <w:t>t</w:t>
      </w:r>
      <w:r>
        <w:rPr>
          <w:rFonts w:ascii="宋体" w:hAnsi="宋体"/>
          <w:color w:val="auto"/>
          <w:sz w:val="24"/>
          <w:szCs w:val="24"/>
          <w:vertAlign w:val="subscript"/>
        </w:rPr>
        <w:t>Ed,</w:t>
      </w:r>
      <w:r>
        <w:rPr>
          <w:rFonts w:hint="eastAsia" w:ascii="宋体" w:hAnsi="宋体"/>
          <w:i/>
          <w:iCs/>
          <w:color w:val="auto"/>
          <w:sz w:val="24"/>
          <w:szCs w:val="24"/>
          <w:vertAlign w:val="subscript"/>
        </w:rPr>
        <w:t>i</w:t>
      </w:r>
      <w:r>
        <w:rPr>
          <w:rFonts w:hint="eastAsia" w:ascii="宋体" w:hAnsi="宋体"/>
          <w:color w:val="auto"/>
          <w:sz w:val="24"/>
          <w:szCs w:val="24"/>
        </w:rPr>
        <w:t>可依据结构构件内力分析计算</w:t>
      </w:r>
      <w:r>
        <w:rPr>
          <w:rFonts w:hint="eastAsia" w:ascii="宋体" w:hAnsi="宋体"/>
          <w:color w:val="auto"/>
          <w:sz w:val="24"/>
          <w:szCs w:val="24"/>
          <w:lang w:eastAsia="zh-CN"/>
        </w:rPr>
        <w:t>（</w:t>
      </w:r>
      <w:r>
        <w:rPr>
          <w:rFonts w:hint="eastAsia" w:ascii="宋体" w:hAnsi="宋体"/>
          <w:color w:val="auto"/>
          <w:sz w:val="24"/>
          <w:szCs w:val="24"/>
          <w:lang w:val="en-US" w:eastAsia="zh-CN"/>
        </w:rPr>
        <w:t>图4.4.3</w:t>
      </w:r>
      <w:r>
        <w:rPr>
          <w:rFonts w:hint="eastAsia" w:ascii="宋体" w:hAnsi="宋体"/>
          <w:color w:val="auto"/>
          <w:sz w:val="24"/>
          <w:szCs w:val="24"/>
          <w:lang w:eastAsia="zh-CN"/>
        </w:rPr>
        <w:t>）</w:t>
      </w:r>
      <w:r>
        <w:rPr>
          <w:rFonts w:hint="eastAsia" w:ascii="宋体" w:hAnsi="宋体"/>
          <w:color w:val="auto"/>
          <w:sz w:val="24"/>
          <w:szCs w:val="24"/>
        </w:rPr>
        <w:t>，对于下部增大截面，可按下列公式计算。</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right"/>
        <w:textAlignment w:val="auto"/>
        <w:rPr>
          <w:rFonts w:ascii="宋体" w:hAnsi="宋体"/>
          <w:sz w:val="24"/>
        </w:rPr>
      </w:pPr>
      <w:r>
        <w:rPr>
          <w:position w:val="-32"/>
        </w:rPr>
        <w:object>
          <v:shape id="_x0000_i1061" o:spt="75" type="#_x0000_t75" style="height:36pt;width:67pt;" o:ole="t" filled="f" o:preferrelative="t" stroked="f" coordsize="21600,21600">
            <v:path/>
            <v:fill on="f" focussize="0,0"/>
            <v:stroke on="f" joinstyle="miter"/>
            <v:imagedata r:id="rId73" o:title=""/>
            <o:lock v:ext="edit" aspectratio="t"/>
            <w10:wrap type="none"/>
            <w10:anchorlock/>
          </v:shape>
          <o:OLEObject Type="Embed" ProgID="Equation.3" ShapeID="_x0000_i1061" DrawAspect="Content" ObjectID="_1468075761" r:id="rId72">
            <o:LockedField>false</o:LockedField>
          </o:OLEObject>
        </w:object>
      </w:r>
      <w:r>
        <w:rPr>
          <w:rFonts w:hint="eastAsia"/>
          <w:position w:val="-30"/>
        </w:rPr>
        <w:t xml:space="preserve">      </w:t>
      </w:r>
      <w:r>
        <w:tab/>
      </w:r>
      <w:r>
        <w:tab/>
      </w:r>
      <w:r>
        <w:rPr>
          <w:rFonts w:hint="eastAsia"/>
          <w:lang w:val="en-US" w:eastAsia="zh-CN"/>
        </w:rPr>
        <w:t xml:space="preserve">         </w:t>
      </w:r>
      <w:r>
        <w:tab/>
      </w:r>
      <w:r>
        <w:tab/>
      </w:r>
      <w:r>
        <w:tab/>
      </w:r>
      <w:r>
        <w:rPr>
          <w:rFonts w:hint="eastAsia" w:ascii="宋体" w:hAnsi="宋体"/>
          <w:color w:val="auto"/>
          <w:sz w:val="24"/>
          <w:szCs w:val="24"/>
        </w:rPr>
        <w:t>（4.4.3-1）</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right"/>
        <w:textAlignment w:val="auto"/>
        <w:rPr>
          <w:rFonts w:hint="eastAsia" w:ascii="宋体" w:hAnsi="宋体"/>
          <w:color w:val="auto"/>
          <w:sz w:val="24"/>
          <w:szCs w:val="24"/>
        </w:rPr>
      </w:pPr>
      <w:r>
        <w:rPr>
          <w:rFonts w:hint="eastAsia" w:ascii="宋体" w:hAnsi="宋体"/>
          <w:color w:val="auto"/>
          <w:sz w:val="24"/>
          <w:szCs w:val="24"/>
        </w:rPr>
        <w:t xml:space="preserve">    </w:t>
      </w:r>
      <w:r>
        <w:rPr>
          <w:position w:val="-32"/>
        </w:rPr>
        <w:object>
          <v:shape id="_x0000_i1062" o:spt="75" type="#_x0000_t75" style="height:36pt;width:277.5pt;" o:ole="t" filled="f" o:preferrelative="t" stroked="f" coordsize="21600,21600">
            <v:path/>
            <v:fill on="f" focussize="0,0"/>
            <v:stroke on="f"/>
            <v:imagedata r:id="rId75" o:title=""/>
            <o:lock v:ext="edit" aspectratio="t"/>
            <w10:wrap type="none"/>
            <w10:anchorlock/>
          </v:shape>
          <o:OLEObject Type="Embed" ProgID="Equation.3" ShapeID="_x0000_i1062" DrawAspect="Content" ObjectID="_1468075762" r:id="rId74">
            <o:LockedField>false</o:LockedField>
          </o:OLEObject>
        </w:object>
      </w:r>
      <w:r>
        <w:rPr>
          <w:rFonts w:hint="eastAsia" w:ascii="宋体" w:hAnsi="宋体"/>
          <w:color w:val="auto"/>
          <w:sz w:val="24"/>
          <w:szCs w:val="24"/>
        </w:rPr>
        <w:t xml:space="preserve">    </w:t>
      </w:r>
      <w:r>
        <w:rPr>
          <w:rFonts w:hint="eastAsia"/>
          <w:position w:val="-30"/>
        </w:rPr>
        <w:t xml:space="preserve">        </w:t>
      </w:r>
      <w:r>
        <w:rPr>
          <w:rFonts w:hint="eastAsia" w:ascii="宋体" w:hAnsi="宋体"/>
          <w:color w:val="auto"/>
          <w:sz w:val="24"/>
          <w:szCs w:val="24"/>
        </w:rPr>
        <w:t>（4.4.3-2）</w:t>
      </w:r>
    </w:p>
    <w:tbl>
      <w:tblPr>
        <w:tblStyle w:val="28"/>
        <w:tblW w:w="8598"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790"/>
        <w:gridCol w:w="456"/>
        <w:gridCol w:w="6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Mar>
              <w:left w:w="29" w:type="dxa"/>
              <w:right w:w="29" w:type="dxa"/>
            </w:tcMar>
          </w:tcPr>
          <w:p>
            <w:pPr>
              <w:spacing w:after="0" w:line="360" w:lineRule="auto"/>
              <w:rPr>
                <w:rFonts w:ascii="宋体" w:hAnsi="宋体"/>
                <w:color w:val="auto"/>
                <w:sz w:val="24"/>
                <w:szCs w:val="24"/>
              </w:rPr>
            </w:pPr>
            <w:r>
              <w:rPr>
                <w:rFonts w:hint="eastAsia" w:ascii="宋体" w:hAnsi="宋体"/>
                <w:color w:val="auto"/>
                <w:sz w:val="24"/>
                <w:szCs w:val="24"/>
              </w:rPr>
              <w:t>式中：</w:t>
            </w:r>
          </w:p>
          <w:p>
            <w:pPr>
              <w:spacing w:after="0" w:line="240" w:lineRule="auto"/>
              <w:jc w:val="right"/>
              <w:rPr>
                <w:rFonts w:ascii="宋体" w:hAnsi="宋体"/>
                <w:i/>
                <w:iCs/>
                <w:color w:val="auto"/>
                <w:sz w:val="24"/>
                <w:szCs w:val="24"/>
              </w:rPr>
            </w:pPr>
          </w:p>
        </w:tc>
        <w:tc>
          <w:tcPr>
            <w:tcW w:w="790" w:type="dxa"/>
          </w:tcPr>
          <w:p>
            <w:pPr>
              <w:spacing w:after="0" w:line="240" w:lineRule="auto"/>
              <w:jc w:val="right"/>
              <w:rPr>
                <w:rFonts w:ascii="宋体" w:hAnsi="宋体"/>
                <w:i/>
                <w:iCs/>
                <w:color w:val="auto"/>
                <w:sz w:val="24"/>
                <w:szCs w:val="24"/>
              </w:rPr>
            </w:pPr>
            <w:r>
              <w:rPr>
                <w:rFonts w:ascii="Symbol" w:hAnsi="Symbol"/>
                <w:i/>
                <w:iCs/>
                <w:color w:val="auto"/>
              </w:rPr>
              <w:t>b</w:t>
            </w:r>
          </w:p>
        </w:tc>
        <w:tc>
          <w:tcPr>
            <w:tcW w:w="456" w:type="dxa"/>
          </w:tcPr>
          <w:p>
            <w:pPr>
              <w:spacing w:after="0" w:line="240" w:lineRule="auto"/>
              <w:rPr>
                <w:rFonts w:ascii="宋体" w:hAnsi="宋体"/>
                <w:color w:val="auto"/>
                <w:sz w:val="24"/>
                <w:szCs w:val="24"/>
              </w:rPr>
            </w:pPr>
            <w:r>
              <w:rPr>
                <w:color w:val="auto"/>
                <w:sz w:val="24"/>
                <w:szCs w:val="24"/>
              </w:rPr>
              <w:t>—</w:t>
            </w:r>
          </w:p>
        </w:tc>
        <w:tc>
          <w:tcPr>
            <w:tcW w:w="6501" w:type="dxa"/>
          </w:tcPr>
          <w:p>
            <w:pPr>
              <w:spacing w:after="0" w:line="360" w:lineRule="auto"/>
              <w:rPr>
                <w:rFonts w:ascii="宋体" w:hAnsi="宋体"/>
                <w:color w:val="auto"/>
                <w:sz w:val="24"/>
                <w:szCs w:val="24"/>
              </w:rPr>
            </w:pPr>
            <w:r>
              <w:rPr>
                <w:rFonts w:hint="eastAsia" w:ascii="宋体" w:hAnsi="宋体"/>
                <w:color w:val="auto"/>
                <w:sz w:val="24"/>
                <w:szCs w:val="24"/>
              </w:rPr>
              <w:t>受拉或受压区新混凝土上受到的拉力或压力与全截面混凝土受拉或受压区受到的总拉力或压力的比值，取开裂前混凝受力及开裂后钢筋受力的较大值；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rFonts w:hint="eastAsia" w:ascii="Symbol" w:hAnsi="Symbol"/>
                <w:i/>
                <w:iCs/>
                <w:color w:val="auto"/>
                <w:sz w:val="24"/>
                <w:szCs w:val="24"/>
              </w:rPr>
            </w:pPr>
            <w:r>
              <w:rPr>
                <w:rFonts w:hint="eastAsia"/>
                <w:i/>
                <w:iCs/>
                <w:color w:val="auto"/>
              </w:rPr>
              <w:t>V</w:t>
            </w:r>
            <w:r>
              <w:rPr>
                <w:color w:val="auto"/>
                <w:vertAlign w:val="subscript"/>
              </w:rPr>
              <w:t>Ed,</w:t>
            </w:r>
            <w:r>
              <w:rPr>
                <w:rFonts w:hint="eastAsia"/>
                <w:i/>
                <w:iCs/>
                <w:color w:val="auto"/>
                <w:vertAlign w:val="subscript"/>
              </w:rPr>
              <w:t>i</w:t>
            </w:r>
          </w:p>
        </w:tc>
        <w:tc>
          <w:tcPr>
            <w:tcW w:w="456" w:type="dxa"/>
          </w:tcPr>
          <w:p>
            <w:pPr>
              <w:spacing w:after="0" w:line="240" w:lineRule="auto"/>
              <w:rPr>
                <w:rFonts w:ascii="宋体" w:hAnsi="宋体"/>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截面受到的总剪力设计值（N），取相应区段剪力的最大值；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i/>
                <w:iCs/>
                <w:color w:val="auto"/>
              </w:rPr>
            </w:pPr>
            <w:r>
              <w:rPr>
                <w:i/>
                <w:iCs/>
                <w:color w:val="auto"/>
              </w:rPr>
              <w:t>z</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混凝土内力臂（mm</w:t>
            </w:r>
            <w:r>
              <w:rPr>
                <w:rFonts w:ascii="宋体" w:hAnsi="宋体"/>
                <w:color w:val="auto"/>
                <w:sz w:val="24"/>
                <w:szCs w:val="24"/>
              </w:rPr>
              <w:t>）</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i/>
                <w:iCs/>
                <w:color w:val="auto"/>
              </w:rPr>
            </w:pPr>
            <w:r>
              <w:rPr>
                <w:rFonts w:hint="eastAsia"/>
                <w:i/>
                <w:iCs/>
                <w:color w:val="auto"/>
              </w:rPr>
              <w:t>b</w:t>
            </w:r>
            <w:r>
              <w:rPr>
                <w:rFonts w:hint="eastAsia"/>
                <w:color w:val="auto"/>
                <w:vertAlign w:val="subscript"/>
              </w:rPr>
              <w:t>j</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构件截面的计算宽度，对于板、墙等可取1</w:t>
            </w:r>
            <w:r>
              <w:rPr>
                <w:rFonts w:ascii="宋体" w:hAnsi="宋体"/>
                <w:color w:val="auto"/>
                <w:sz w:val="24"/>
                <w:szCs w:val="24"/>
              </w:rPr>
              <w:t>.0</w:t>
            </w:r>
            <w:r>
              <w:rPr>
                <w:rFonts w:hint="eastAsia" w:ascii="宋体" w:hAnsi="宋体"/>
                <w:color w:val="auto"/>
                <w:sz w:val="24"/>
                <w:szCs w:val="24"/>
              </w:rPr>
              <w:t>m单位宽度，对于梁、柱等可取构件实际宽度（mm）；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i/>
                <w:iCs/>
                <w:color w:val="auto"/>
              </w:rPr>
            </w:pPr>
            <w:r>
              <w:rPr>
                <w:rFonts w:hint="eastAsia"/>
                <w:i/>
                <w:iCs/>
                <w:color w:val="auto"/>
              </w:rPr>
              <w:t>A</w:t>
            </w:r>
            <w:r>
              <w:rPr>
                <w:rFonts w:hint="eastAsia"/>
                <w:color w:val="auto"/>
                <w:vertAlign w:val="subscript"/>
              </w:rPr>
              <w:t>t,new</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新增截面受拉区混凝土面积（mm</w:t>
            </w:r>
            <w:r>
              <w:rPr>
                <w:rFonts w:hint="eastAsia" w:ascii="宋体" w:hAnsi="宋体"/>
                <w:color w:val="auto"/>
                <w:sz w:val="24"/>
                <w:szCs w:val="24"/>
                <w:vertAlign w:val="superscript"/>
              </w:rPr>
              <w:t>2</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i/>
                <w:iCs/>
                <w:color w:val="auto"/>
              </w:rPr>
            </w:pPr>
            <w:r>
              <w:rPr>
                <w:rFonts w:hint="eastAsia" w:ascii="宋体" w:hAnsi="宋体"/>
                <w:i/>
                <w:iCs/>
                <w:color w:val="auto"/>
                <w:sz w:val="24"/>
                <w:szCs w:val="24"/>
              </w:rPr>
              <w:t>Z</w:t>
            </w:r>
            <w:r>
              <w:rPr>
                <w:rFonts w:hint="eastAsia" w:ascii="宋体" w:hAnsi="宋体"/>
                <w:color w:val="auto"/>
                <w:sz w:val="24"/>
                <w:szCs w:val="24"/>
                <w:vertAlign w:val="subscript"/>
              </w:rPr>
              <w:t>new</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新增截面受拉区到混凝土受压区合力点的距离（mm）；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i/>
                <w:iCs/>
                <w:color w:val="auto"/>
              </w:rPr>
            </w:pPr>
            <w:r>
              <w:rPr>
                <w:rFonts w:hint="eastAsia"/>
                <w:i/>
                <w:iCs/>
                <w:color w:val="auto"/>
              </w:rPr>
              <w:t>A</w:t>
            </w:r>
            <w:r>
              <w:rPr>
                <w:rFonts w:hint="eastAsia"/>
                <w:color w:val="auto"/>
                <w:vertAlign w:val="subscript"/>
              </w:rPr>
              <w:t>t,old</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原截面混凝土受拉区截面面积（mm</w:t>
            </w:r>
            <w:r>
              <w:rPr>
                <w:rFonts w:hint="eastAsia" w:ascii="宋体" w:hAnsi="宋体"/>
                <w:color w:val="auto"/>
                <w:sz w:val="24"/>
                <w:szCs w:val="24"/>
                <w:vertAlign w:val="superscript"/>
              </w:rPr>
              <w:t>2</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i/>
                <w:iCs/>
                <w:color w:val="auto"/>
              </w:rPr>
            </w:pPr>
            <w:r>
              <w:rPr>
                <w:rFonts w:hint="eastAsia" w:ascii="宋体" w:hAnsi="宋体"/>
                <w:i/>
                <w:iCs/>
                <w:color w:val="auto"/>
                <w:sz w:val="24"/>
                <w:szCs w:val="24"/>
              </w:rPr>
              <w:t>Z</w:t>
            </w:r>
            <w:r>
              <w:rPr>
                <w:rFonts w:hint="eastAsia" w:ascii="宋体" w:hAnsi="宋体"/>
                <w:color w:val="auto"/>
                <w:sz w:val="24"/>
                <w:szCs w:val="24"/>
                <w:vertAlign w:val="subscript"/>
              </w:rPr>
              <w:t>old</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原截面混凝土受拉区到混凝土受压区合力点的距离（mm）；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rFonts w:ascii="宋体" w:hAnsi="宋体"/>
                <w:i/>
                <w:iCs/>
                <w:color w:val="auto"/>
                <w:sz w:val="24"/>
                <w:szCs w:val="24"/>
              </w:rPr>
            </w:pPr>
            <w:r>
              <w:rPr>
                <w:rFonts w:hint="eastAsia"/>
                <w:i/>
                <w:iCs/>
                <w:color w:val="auto"/>
              </w:rPr>
              <w:t>A</w:t>
            </w:r>
            <w:r>
              <w:rPr>
                <w:rFonts w:hint="eastAsia"/>
                <w:color w:val="auto"/>
                <w:vertAlign w:val="subscript"/>
              </w:rPr>
              <w:t>s,new</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新增截面受拉钢筋截面面积（mm</w:t>
            </w:r>
            <w:r>
              <w:rPr>
                <w:rFonts w:hint="eastAsia" w:ascii="宋体" w:hAnsi="宋体"/>
                <w:color w:val="auto"/>
                <w:sz w:val="24"/>
                <w:szCs w:val="24"/>
                <w:vertAlign w:val="superscript"/>
              </w:rPr>
              <w:t>2</w:t>
            </w:r>
            <w:r>
              <w:rPr>
                <w:rFonts w:hint="eastAsia" w:ascii="宋体" w:hAnsi="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851" w:type="dxa"/>
          </w:tcPr>
          <w:p>
            <w:pPr>
              <w:spacing w:after="0" w:line="240" w:lineRule="auto"/>
              <w:rPr>
                <w:rFonts w:ascii="宋体" w:hAnsi="宋体"/>
                <w:color w:val="auto"/>
                <w:sz w:val="24"/>
                <w:szCs w:val="24"/>
              </w:rPr>
            </w:pPr>
          </w:p>
        </w:tc>
        <w:tc>
          <w:tcPr>
            <w:tcW w:w="790" w:type="dxa"/>
          </w:tcPr>
          <w:p>
            <w:pPr>
              <w:spacing w:after="0" w:line="240" w:lineRule="auto"/>
              <w:jc w:val="right"/>
              <w:rPr>
                <w:rFonts w:ascii="宋体" w:hAnsi="宋体"/>
                <w:i/>
                <w:iCs/>
                <w:color w:val="auto"/>
                <w:sz w:val="24"/>
                <w:szCs w:val="24"/>
              </w:rPr>
            </w:pPr>
            <w:r>
              <w:rPr>
                <w:rFonts w:hint="eastAsia"/>
                <w:i/>
                <w:iCs/>
                <w:color w:val="auto"/>
              </w:rPr>
              <w:t>A</w:t>
            </w:r>
            <w:r>
              <w:rPr>
                <w:rFonts w:hint="eastAsia"/>
                <w:color w:val="auto"/>
                <w:vertAlign w:val="subscript"/>
              </w:rPr>
              <w:t>s,old</w:t>
            </w:r>
          </w:p>
        </w:tc>
        <w:tc>
          <w:tcPr>
            <w:tcW w:w="456" w:type="dxa"/>
          </w:tcPr>
          <w:p>
            <w:pPr>
              <w:spacing w:after="0" w:line="240" w:lineRule="auto"/>
              <w:rPr>
                <w:color w:val="auto"/>
                <w:sz w:val="24"/>
                <w:szCs w:val="24"/>
              </w:rPr>
            </w:pPr>
            <w:r>
              <w:rPr>
                <w:color w:val="auto"/>
                <w:sz w:val="24"/>
                <w:szCs w:val="24"/>
              </w:rPr>
              <w:t>—</w:t>
            </w:r>
          </w:p>
        </w:tc>
        <w:tc>
          <w:tcPr>
            <w:tcW w:w="6501" w:type="dxa"/>
          </w:tcPr>
          <w:p>
            <w:pPr>
              <w:spacing w:after="0" w:line="360" w:lineRule="auto"/>
              <w:jc w:val="left"/>
              <w:rPr>
                <w:rFonts w:ascii="宋体" w:hAnsi="宋体"/>
                <w:color w:val="auto"/>
                <w:sz w:val="24"/>
                <w:szCs w:val="24"/>
              </w:rPr>
            </w:pPr>
            <w:r>
              <w:rPr>
                <w:rFonts w:hint="eastAsia" w:ascii="宋体" w:hAnsi="宋体"/>
                <w:color w:val="auto"/>
                <w:sz w:val="24"/>
                <w:szCs w:val="24"/>
              </w:rPr>
              <w:t>原截面受拉钢筋截面面积（mm</w:t>
            </w:r>
            <w:r>
              <w:rPr>
                <w:rFonts w:hint="eastAsia" w:ascii="宋体" w:hAnsi="宋体"/>
                <w:color w:val="auto"/>
                <w:sz w:val="24"/>
                <w:szCs w:val="24"/>
                <w:vertAlign w:val="superscript"/>
              </w:rPr>
              <w:t>2</w:t>
            </w:r>
            <w:r>
              <w:rPr>
                <w:rFonts w:hint="eastAsia" w:ascii="宋体" w:hAnsi="宋体"/>
                <w:color w:val="auto"/>
                <w:sz w:val="24"/>
                <w:szCs w:val="24"/>
              </w:rPr>
              <w:t>）；</w:t>
            </w:r>
          </w:p>
        </w:tc>
      </w:tr>
    </w:tbl>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rPr>
      </w:pPr>
      <w:r>
        <w:rPr>
          <w:rFonts w:hint="eastAsia"/>
        </w:rPr>
        <w:drawing>
          <wp:inline distT="0" distB="0" distL="0" distR="0">
            <wp:extent cx="5329555" cy="791845"/>
            <wp:effectExtent l="0" t="0" r="444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76">
                      <a:extLst>
                        <a:ext uri="{28A0092B-C50C-407E-A947-70E740481C1C}">
                          <a14:useLocalDpi xmlns:a14="http://schemas.microsoft.com/office/drawing/2010/main" val="0"/>
                        </a:ext>
                      </a:extLst>
                    </a:blip>
                    <a:srcRect l="4033" t="4057" r="3979" b="80779"/>
                    <a:stretch>
                      <a:fillRect/>
                    </a:stretch>
                  </pic:blipFill>
                  <pic:spPr>
                    <a:xfrm>
                      <a:off x="0" y="0"/>
                      <a:ext cx="5329555" cy="79184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jc w:val="center"/>
        <w:textAlignment w:val="auto"/>
        <w:rPr>
          <w:rFonts w:hint="default" w:eastAsia="宋体"/>
          <w:b/>
          <w:bCs/>
          <w:color w:val="auto"/>
          <w:lang w:val="en-US" w:eastAsia="zh-CN"/>
        </w:rPr>
      </w:pPr>
      <w:r>
        <w:rPr>
          <w:b/>
          <w:bCs/>
          <w:color w:val="auto"/>
        </w:rPr>
        <mc:AlternateContent>
          <mc:Choice Requires="wps">
            <w:drawing>
              <wp:anchor distT="0" distB="0" distL="114300" distR="114300" simplePos="0" relativeHeight="251666432" behindDoc="0" locked="0" layoutInCell="1" allowOverlap="1">
                <wp:simplePos x="0" y="0"/>
                <wp:positionH relativeFrom="column">
                  <wp:posOffset>415925</wp:posOffset>
                </wp:positionH>
                <wp:positionV relativeFrom="paragraph">
                  <wp:posOffset>134620</wp:posOffset>
                </wp:positionV>
                <wp:extent cx="645795" cy="285115"/>
                <wp:effectExtent l="0" t="0" r="1905" b="635"/>
                <wp:wrapNone/>
                <wp:docPr id="23" name="文本框 4"/>
                <wp:cNvGraphicFramePr/>
                <a:graphic xmlns:a="http://schemas.openxmlformats.org/drawingml/2006/main">
                  <a:graphicData uri="http://schemas.microsoft.com/office/word/2010/wordprocessingShape">
                    <wps:wsp>
                      <wps:cNvSpPr txBox="1"/>
                      <wps:spPr>
                        <a:xfrm>
                          <a:off x="1506855" y="4739640"/>
                          <a:ext cx="645795"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auto"/>
                                <w:sz w:val="18"/>
                                <w:szCs w:val="18"/>
                              </w:rPr>
                            </w:pPr>
                            <w:r>
                              <w:rPr>
                                <w:rFonts w:hint="eastAsia"/>
                                <w:color w:val="auto"/>
                                <w:sz w:val="18"/>
                                <w:szCs w:val="18"/>
                              </w:rPr>
                              <w:t>剪应力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2.75pt;margin-top:10.6pt;height:22.45pt;width:50.85pt;z-index:251666432;mso-width-relative:page;mso-height-relative:page;" fillcolor="#FFFFFF [3201]" filled="t" stroked="f" coordsize="21600,21600" o:gfxdata="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JaoqdMAAAAI&#10;AQAADwAAAAAAAAABACAAAAAiAAAAZHJzL2Rvd25yZXYueG1sUEsBAhQAFAAAAAgAh07iQBpJr7xa&#10;AgAAmwQAAA4AAAAAAAAAAQAgAAAAIgEAAGRycy9lMm9Eb2MueG1sUEsFBgAAAAAGAAYAWQEAAO4F&#10;AAAAAA==&#10;">
                <v:fill on="t" focussize="0,0"/>
                <v:stroke on="f" weight="0.5pt"/>
                <v:imagedata o:title=""/>
                <o:lock v:ext="edit" aspectratio="f"/>
                <v:textbox>
                  <w:txbxContent>
                    <w:p>
                      <w:pPr>
                        <w:rPr>
                          <w:color w:val="auto"/>
                          <w:sz w:val="18"/>
                          <w:szCs w:val="18"/>
                        </w:rPr>
                      </w:pPr>
                      <w:r>
                        <w:rPr>
                          <w:rFonts w:hint="eastAsia"/>
                          <w:color w:val="auto"/>
                          <w:sz w:val="18"/>
                          <w:szCs w:val="18"/>
                        </w:rPr>
                        <w:t>剪应力</w:t>
                      </w:r>
                    </w:p>
                  </w:txbxContent>
                </v:textbox>
              </v:shape>
            </w:pict>
          </mc:Fallback>
        </mc:AlternateContent>
      </w:r>
      <w:r>
        <w:rPr>
          <w:rFonts w:hint="eastAsia"/>
          <w:b/>
          <w:bCs/>
          <w:color w:val="auto"/>
          <w:lang w:val="en-US" w:eastAsia="zh-CN"/>
        </w:rPr>
        <w:t>（a）简支梁受均布荷载</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rPr>
      </w:pPr>
      <w:r>
        <mc:AlternateContent>
          <mc:Choice Requires="wps">
            <w:drawing>
              <wp:anchor distT="0" distB="0" distL="114300" distR="114300" simplePos="0" relativeHeight="251672576" behindDoc="0" locked="0" layoutInCell="1" allowOverlap="1">
                <wp:simplePos x="0" y="0"/>
                <wp:positionH relativeFrom="column">
                  <wp:posOffset>1259205</wp:posOffset>
                </wp:positionH>
                <wp:positionV relativeFrom="paragraph">
                  <wp:posOffset>398145</wp:posOffset>
                </wp:positionV>
                <wp:extent cx="401320" cy="205740"/>
                <wp:effectExtent l="0" t="0" r="17780" b="3810"/>
                <wp:wrapNone/>
                <wp:docPr id="24" name="文本框 15"/>
                <wp:cNvGraphicFramePr/>
                <a:graphic xmlns:a="http://schemas.openxmlformats.org/drawingml/2006/main">
                  <a:graphicData uri="http://schemas.microsoft.com/office/word/2010/wordprocessingShape">
                    <wps:wsp>
                      <wps:cNvSpPr txBox="1"/>
                      <wps:spPr>
                        <a:xfrm>
                          <a:off x="0" y="0"/>
                          <a:ext cx="401320" cy="205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i/>
                                <w:iCs/>
                                <w:color w:val="auto"/>
                              </w:rPr>
                              <w:t>V</w:t>
                            </w:r>
                            <w:r>
                              <w:rPr>
                                <w:color w:val="auto"/>
                                <w:vertAlign w:val="subscript"/>
                              </w:rPr>
                              <w:t>Ed,</w:t>
                            </w:r>
                            <w:r>
                              <w:rPr>
                                <w:rFonts w:hint="eastAsia"/>
                                <w:i/>
                                <w:iCs/>
                                <w:color w:val="auto"/>
                                <w:vertAlign w:val="subscript"/>
                              </w:rPr>
                              <w:t>i</w:t>
                            </w:r>
                            <w:r>
                              <w:rPr>
                                <w:rFonts w:hint="eastAsia"/>
                                <w:color w:val="auto"/>
                                <w:vertAlign w:val="subscript"/>
                              </w:rPr>
                              <w:t>+1</w:t>
                            </w:r>
                            <w:r>
                              <w:rPr>
                                <w:color w:val="auto"/>
                                <w:vertAlign w:val="subscript"/>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5" o:spid="_x0000_s1026" o:spt="202" type="#_x0000_t202" style="position:absolute;left:0pt;margin-left:99.15pt;margin-top:31.35pt;height:16.2pt;width:31.6pt;z-index:251672576;mso-width-relative:page;mso-height-relative:page;" fillcolor="#FFFFFF [3201]" filled="t" stroked="f" coordsize="21600,21600" o:gfxdata="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3oBF3WAAAACQEAAA8AAAAAAAAAAQAg&#10;AAAAIgAAAGRycy9kb3ducmV2LnhtbFBLAQIUABQAAAAIAIdO4kAr53+jSQIAAIAEAAAOAAAAAAAA&#10;AAEAIAAAACUBAABkcnMvZTJvRG9jLnhtbFBLBQYAAAAABgAGAFkBAADgBQAAAAA=&#10;">
                <v:fill on="t" focussize="0,0"/>
                <v:stroke on="f" weight="0.5pt"/>
                <v:imagedata o:title=""/>
                <o:lock v:ext="edit" aspectratio="f"/>
                <v:textbox inset="0mm,0mm,0mm,0mm">
                  <w:txbxContent>
                    <w:p>
                      <w:r>
                        <w:rPr>
                          <w:rFonts w:hint="eastAsia"/>
                          <w:i/>
                          <w:iCs/>
                          <w:color w:val="auto"/>
                        </w:rPr>
                        <w:t>V</w:t>
                      </w:r>
                      <w:r>
                        <w:rPr>
                          <w:color w:val="auto"/>
                          <w:vertAlign w:val="subscript"/>
                        </w:rPr>
                        <w:t>Ed,</w:t>
                      </w:r>
                      <w:r>
                        <w:rPr>
                          <w:rFonts w:hint="eastAsia"/>
                          <w:i/>
                          <w:iCs/>
                          <w:color w:val="auto"/>
                          <w:vertAlign w:val="subscript"/>
                        </w:rPr>
                        <w:t>i</w:t>
                      </w:r>
                      <w:r>
                        <w:rPr>
                          <w:rFonts w:hint="eastAsia"/>
                          <w:color w:val="auto"/>
                          <w:vertAlign w:val="subscript"/>
                        </w:rPr>
                        <w:t>+1</w:t>
                      </w:r>
                      <w:r>
                        <w:rPr>
                          <w:color w:val="auto"/>
                          <w:vertAlign w:val="subscript"/>
                        </w:rPr>
                        <w:t xml:space="preserve"> </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-11430</wp:posOffset>
                </wp:positionH>
                <wp:positionV relativeFrom="paragraph">
                  <wp:posOffset>371475</wp:posOffset>
                </wp:positionV>
                <wp:extent cx="318770" cy="274955"/>
                <wp:effectExtent l="0" t="0" r="5080" b="10795"/>
                <wp:wrapNone/>
                <wp:docPr id="25" name="文本框 13"/>
                <wp:cNvGraphicFramePr/>
                <a:graphic xmlns:a="http://schemas.openxmlformats.org/drawingml/2006/main">
                  <a:graphicData uri="http://schemas.microsoft.com/office/word/2010/wordprocessingShape">
                    <wps:wsp>
                      <wps:cNvSpPr txBox="1"/>
                      <wps:spPr>
                        <a:xfrm>
                          <a:off x="0" y="0"/>
                          <a:ext cx="318770"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i/>
                                <w:iCs/>
                                <w:color w:val="auto"/>
                              </w:rPr>
                              <w:t>V</w:t>
                            </w:r>
                            <w:r>
                              <w:rPr>
                                <w:color w:val="auto"/>
                                <w:vertAlign w:val="subscript"/>
                              </w:rPr>
                              <w:t>Ed,</w:t>
                            </w:r>
                            <w:r>
                              <w:rPr>
                                <w:rFonts w:hint="eastAsia"/>
                                <w:i/>
                                <w:iCs/>
                                <w:color w:val="auto"/>
                                <w:vertAlign w:val="subscript"/>
                              </w:rPr>
                              <w:t>i</w:t>
                            </w:r>
                            <w:r>
                              <w:rPr>
                                <w:color w:val="auto"/>
                                <w:vertAlign w:val="subscript"/>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3" o:spid="_x0000_s1026" o:spt="202" type="#_x0000_t202" style="position:absolute;left:0pt;margin-left:-0.9pt;margin-top:29.25pt;height:21.65pt;width:25.1pt;z-index:251671552;mso-width-relative:page;mso-height-relative:page;" fillcolor="#FFFFFF [3201]" filled="t" stroked="f" coordsize="21600,21600" o:gfxdata="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sbHhdQAAAAIAQAADwAAAAAAAAABACAAAAAi&#10;AAAAZHJzL2Rvd25yZXYueG1sUEsBAhQAFAAAAAgAh07iQOAIPENHAgAAgAQAAA4AAAAAAAAAAQAg&#10;AAAAIwEAAGRycy9lMm9Eb2MueG1sUEsFBgAAAAAGAAYAWQEAANwFAAAAAA==&#10;">
                <v:fill on="t" focussize="0,0"/>
                <v:stroke on="f" weight="0.5pt"/>
                <v:imagedata o:title=""/>
                <o:lock v:ext="edit" aspectratio="f"/>
                <v:textbox inset="0mm,0mm,0mm,0mm">
                  <w:txbxContent>
                    <w:p>
                      <w:r>
                        <w:rPr>
                          <w:rFonts w:hint="eastAsia"/>
                          <w:i/>
                          <w:iCs/>
                          <w:color w:val="auto"/>
                        </w:rPr>
                        <w:t>V</w:t>
                      </w:r>
                      <w:r>
                        <w:rPr>
                          <w:color w:val="auto"/>
                          <w:vertAlign w:val="subscript"/>
                        </w:rPr>
                        <w:t>Ed,</w:t>
                      </w:r>
                      <w:r>
                        <w:rPr>
                          <w:rFonts w:hint="eastAsia"/>
                          <w:i/>
                          <w:iCs/>
                          <w:color w:val="auto"/>
                          <w:vertAlign w:val="subscript"/>
                        </w:rPr>
                        <w:t>i</w:t>
                      </w:r>
                      <w:r>
                        <w:rPr>
                          <w:color w:val="auto"/>
                          <w:vertAlign w:val="subscript"/>
                        </w:rPr>
                        <w:t xml:space="preserve"> </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5219700</wp:posOffset>
                </wp:positionH>
                <wp:positionV relativeFrom="paragraph">
                  <wp:posOffset>334010</wp:posOffset>
                </wp:positionV>
                <wp:extent cx="0" cy="793750"/>
                <wp:effectExtent l="53975" t="0" r="60325" b="6350"/>
                <wp:wrapNone/>
                <wp:docPr id="27" name="直接箭头连接符 11"/>
                <wp:cNvGraphicFramePr/>
                <a:graphic xmlns:a="http://schemas.openxmlformats.org/drawingml/2006/main">
                  <a:graphicData uri="http://schemas.microsoft.com/office/word/2010/wordprocessingShape">
                    <wps:wsp>
                      <wps:cNvCnPr/>
                      <wps:spPr>
                        <a:xfrm flipV="1">
                          <a:off x="6555105" y="6298565"/>
                          <a:ext cx="0" cy="7937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11" o:spid="_x0000_s1026" o:spt="32" type="#_x0000_t32" style="position:absolute;left:0pt;flip:y;margin-left:411pt;margin-top:26.3pt;height:62.5pt;width:0pt;z-index:251669504;mso-width-relative:page;mso-height-relative:page;" filled="f" stroked="t" coordsize="21600,21600" o:gfxdata="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lKF2AAAAAoBAAAPAAAAAAAAAAEAIAAAACIAAABkcnMvZG93bnJldi54bWxQSwECFAAUAAAACACH&#10;TuJAMVvz2iQCAAAIBAAADgAAAAAAAAABACAAAAAnAQAAZHJzL2Uyb0RvYy54bWxQSwUGAAAAAAYA&#10;BgBZAQAAvQUAAAAA&#10;">
                <v:fill on="f" focussize="0,0"/>
                <v:stroke weight="1.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4636135</wp:posOffset>
                </wp:positionH>
                <wp:positionV relativeFrom="paragraph">
                  <wp:posOffset>431165</wp:posOffset>
                </wp:positionV>
                <wp:extent cx="501650" cy="274955"/>
                <wp:effectExtent l="0" t="0" r="12700" b="10795"/>
                <wp:wrapNone/>
                <wp:docPr id="26" name="文本框 12"/>
                <wp:cNvGraphicFramePr/>
                <a:graphic xmlns:a="http://schemas.openxmlformats.org/drawingml/2006/main">
                  <a:graphicData uri="http://schemas.microsoft.com/office/word/2010/wordprocessingShape">
                    <wps:wsp>
                      <wps:cNvSpPr txBox="1"/>
                      <wps:spPr>
                        <a:xfrm>
                          <a:off x="6104255" y="6290310"/>
                          <a:ext cx="501650"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olor w:val="auto"/>
                              </w:rPr>
                              <w:t>剪力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365.05pt;margin-top:33.95pt;height:21.65pt;width:39.5pt;z-index:251670528;mso-width-relative:page;mso-height-relative:page;" fillcolor="#FFFFFF [3201]" filled="t" stroked="f" coordsize="21600,21600" o:gfxdata="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AhGuLUAAAA&#10;CgEAAA8AAAAAAAAAAQAgAAAAIgAAAGRycy9kb3ducmV2LnhtbFBLAQIUABQAAAAIAIdO4kBHc78I&#10;WgIAAJwEAAAOAAAAAAAAAAEAIAAAACMBAABkcnMvZTJvRG9jLnhtbFBLBQYAAAAABgAGAFkBAADv&#10;BQAAAAA=&#10;">
                <v:fill on="t" focussize="0,0"/>
                <v:stroke on="f" weight="0.5pt"/>
                <v:imagedata o:title=""/>
                <o:lock v:ext="edit" aspectratio="f"/>
                <v:textbox>
                  <w:txbxContent>
                    <w:p>
                      <w:r>
                        <w:rPr>
                          <w:rFonts w:hint="eastAsia"/>
                          <w:color w:val="auto"/>
                        </w:rPr>
                        <w:t>剪力</w:t>
                      </w:r>
                    </w:p>
                  </w:txbxContent>
                </v:textbox>
              </v:shape>
            </w:pict>
          </mc:Fallback>
        </mc:AlternateContent>
      </w:r>
      <w:r>
        <w:rPr>
          <w:rFonts w:hint="eastAsia"/>
        </w:rPr>
        <w:drawing>
          <wp:inline distT="0" distB="0" distL="0" distR="0">
            <wp:extent cx="5346065" cy="1564640"/>
            <wp:effectExtent l="0" t="0" r="698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76">
                      <a:extLst>
                        <a:ext uri="{28A0092B-C50C-407E-A947-70E740481C1C}">
                          <a14:useLocalDpi xmlns:a14="http://schemas.microsoft.com/office/drawing/2010/main" val="0"/>
                        </a:ext>
                      </a:extLst>
                    </a:blip>
                    <a:srcRect t="28091" r="4247" b="40826"/>
                    <a:stretch>
                      <a:fillRect/>
                    </a:stretch>
                  </pic:blipFill>
                  <pic:spPr>
                    <a:xfrm>
                      <a:off x="0" y="0"/>
                      <a:ext cx="5346065" cy="156464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jc w:val="center"/>
        <w:textAlignment w:val="auto"/>
        <w:rPr>
          <w:rFonts w:hint="default" w:eastAsia="宋体"/>
          <w:b/>
          <w:bCs/>
          <w:color w:val="auto"/>
          <w:lang w:val="en-US" w:eastAsia="zh-CN"/>
        </w:rPr>
      </w:pPr>
      <w:r>
        <w:rPr>
          <w:rFonts w:hint="eastAsia"/>
          <w:b/>
          <w:bCs/>
          <w:color w:val="auto"/>
          <w:lang w:val="en-US" w:eastAsia="zh-CN"/>
        </w:rPr>
        <w:t>（b）剪力及剪应力分布</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jc w:val="left"/>
        <w:textAlignment w:val="auto"/>
        <w:rPr>
          <w:rFonts w:hint="eastAsia"/>
          <w:b/>
          <w:bCs/>
          <w:color w:val="auto"/>
          <w:lang w:val="en-US" w:eastAsia="zh-CN"/>
        </w:rPr>
      </w:pPr>
      <w:r>
        <w:rPr>
          <w:rFonts w:hint="eastAsia"/>
          <w:b/>
          <w:bCs/>
          <w:color w:val="auto"/>
          <w:lang w:val="en-US" w:eastAsia="zh-CN"/>
        </w:rPr>
        <w:t xml:space="preserve">   </w:t>
      </w:r>
      <w:r>
        <w:rPr>
          <w:rFonts w:hint="eastAsia"/>
          <w:b/>
          <w:bCs/>
          <w:color w:val="auto"/>
          <w:lang w:val="en-US" w:eastAsia="zh-CN"/>
        </w:rPr>
        <w:object>
          <v:shape id="_x0000_i1063" o:spt="75" type="#_x0000_t75" style="height:71.2pt;width:403.55pt;" o:ole="t" filled="f" o:preferrelative="t" stroked="f" coordsize="21600,21600">
            <v:path/>
            <v:fill on="f" focussize="0,0"/>
            <v:stroke on="f"/>
            <v:imagedata r:id="rId78" cropleft="3725f" croptop="11539f" cropright="11838f" cropbottom="32595f" o:title=""/>
            <o:lock v:ext="edit" aspectratio="f"/>
            <w10:wrap type="none"/>
            <w10:anchorlock/>
          </v:shape>
          <o:OLEObject Type="Embed" ProgID="AutoCAD.Drawing.19" ShapeID="_x0000_i1063" DrawAspect="Content" ObjectID="_1468075763" r:id="rId77">
            <o:LockedField>false</o:LockedField>
          </o:OLEObject>
        </w:objec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jc w:val="center"/>
        <w:textAlignment w:val="auto"/>
        <w:rPr>
          <w:rFonts w:hint="default" w:eastAsia="宋体"/>
          <w:b/>
          <w:bCs/>
          <w:color w:val="auto"/>
          <w:lang w:val="en-US" w:eastAsia="zh-CN"/>
        </w:rPr>
      </w:pPr>
      <w:r>
        <w:rPr>
          <w:rFonts w:hint="eastAsia"/>
          <w:b/>
          <w:bCs/>
          <w:color w:val="auto"/>
          <w:lang w:val="en-US" w:eastAsia="zh-CN"/>
        </w:rPr>
        <w:t>（c）底面加固示意</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pPr>
      <w:r>
        <w:object>
          <v:shape id="_x0000_i1064" o:spt="75" type="#_x0000_t75" style="height:102pt;width:399.35pt;" o:ole="t" filled="f" o:preferrelative="t" stroked="f" coordsize="21600,21600">
            <v:path/>
            <v:fill on="f" focussize="0,0"/>
            <v:stroke on="f"/>
            <v:imagedata r:id="rId80" cropleft="18909f" croptop="13219f" cropright="-2131f" cropbottom="26461f" o:title=""/>
            <o:lock v:ext="edit" aspectratio="f"/>
            <w10:wrap type="none"/>
            <w10:anchorlock/>
          </v:shape>
          <o:OLEObject Type="Embed" ProgID="AutoCAD.Drawing.19" ShapeID="_x0000_i1064" DrawAspect="Content" ObjectID="_1468075764" r:id="rId79">
            <o:LockedField>false</o:LockedField>
          </o:OLEObject>
        </w:object>
      </w:r>
    </w:p>
    <w:p>
      <w:pPr>
        <w:keepNext w:val="0"/>
        <w:keepLines w:val="0"/>
        <w:pageBreakBefore w:val="0"/>
        <w:widowControl w:val="0"/>
        <w:kinsoku/>
        <w:wordWrap/>
        <w:overflowPunct/>
        <w:topLinePunct w:val="0"/>
        <w:autoSpaceDE/>
        <w:autoSpaceDN/>
        <w:bidi w:val="0"/>
        <w:adjustRightInd/>
        <w:snapToGrid/>
        <w:spacing w:after="0" w:line="240" w:lineRule="auto"/>
        <w:ind w:firstLine="1265" w:firstLineChars="600"/>
        <w:jc w:val="left"/>
        <w:textAlignment w:val="auto"/>
        <w:rPr>
          <w:rFonts w:hint="eastAsia" w:eastAsia="宋体"/>
          <w:b/>
          <w:bCs/>
          <w:color w:val="auto"/>
          <w:lang w:eastAsia="zh-CN"/>
        </w:rPr>
      </w:pPr>
      <w:r>
        <w:rPr>
          <w:rFonts w:hint="eastAsia"/>
          <w:b/>
          <w:bCs/>
          <w:color w:val="auto"/>
        </w:rPr>
        <w:t xml:space="preserve">截面      </w:t>
      </w:r>
      <w:r>
        <w:rPr>
          <w:rFonts w:hint="eastAsia"/>
          <w:b/>
          <w:bCs/>
          <w:color w:val="auto"/>
          <w:lang w:val="en-US" w:eastAsia="zh-CN"/>
        </w:rPr>
        <w:t xml:space="preserve">         </w:t>
      </w:r>
      <w:r>
        <w:rPr>
          <w:rFonts w:hint="eastAsia"/>
          <w:b/>
          <w:bCs/>
          <w:color w:val="auto"/>
        </w:rPr>
        <w:t xml:space="preserve">           开裂前</w:t>
      </w:r>
      <w:r>
        <w:rPr>
          <w:rFonts w:hint="eastAsia"/>
          <w:b/>
          <w:bCs/>
          <w:color w:val="auto"/>
          <w:lang w:val="en-US" w:eastAsia="zh-CN"/>
        </w:rPr>
        <w:t>内力</w:t>
      </w:r>
      <w:r>
        <w:rPr>
          <w:rFonts w:hint="eastAsia"/>
          <w:b/>
          <w:bCs/>
          <w:color w:val="auto"/>
        </w:rPr>
        <w:t xml:space="preserve">       </w:t>
      </w:r>
      <w:r>
        <w:rPr>
          <w:rFonts w:hint="eastAsia"/>
          <w:b/>
          <w:bCs/>
          <w:color w:val="auto"/>
          <w:lang w:val="en-US" w:eastAsia="zh-CN"/>
        </w:rPr>
        <w:t xml:space="preserve">                     </w:t>
      </w:r>
      <w:r>
        <w:rPr>
          <w:rFonts w:hint="eastAsia"/>
          <w:b/>
          <w:bCs/>
          <w:color w:val="auto"/>
        </w:rPr>
        <w:t xml:space="preserve">     开裂后</w:t>
      </w:r>
      <w:r>
        <w:rPr>
          <w:rFonts w:hint="eastAsia"/>
          <w:b/>
          <w:bCs/>
          <w:color w:val="auto"/>
          <w:lang w:val="en-US" w:eastAsia="zh-CN"/>
        </w:rPr>
        <w:t>内力</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jc w:val="center"/>
        <w:textAlignment w:val="auto"/>
        <w:rPr>
          <w:rFonts w:hint="default" w:eastAsia="宋体"/>
          <w:b/>
          <w:bCs/>
          <w:color w:val="auto"/>
          <w:lang w:val="en-US" w:eastAsia="zh-CN"/>
        </w:rPr>
      </w:pPr>
      <w:r>
        <w:rPr>
          <w:rFonts w:hint="eastAsia"/>
          <w:b/>
          <w:bCs/>
          <w:color w:val="auto"/>
          <w:lang w:val="en-US" w:eastAsia="zh-CN"/>
        </w:rPr>
        <w:t>（d） 截面内力示意图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jc w:val="center"/>
        <w:textAlignment w:val="auto"/>
        <w:rPr>
          <w:rFonts w:hint="default" w:eastAsia="宋体"/>
          <w:b/>
          <w:bCs/>
          <w:color w:val="auto"/>
          <w:lang w:val="en-US" w:eastAsia="zh-CN"/>
        </w:rPr>
      </w:pPr>
      <w:r>
        <w:rPr>
          <w:rFonts w:hint="eastAsia"/>
          <w:b/>
          <w:bCs/>
          <w:color w:val="auto"/>
          <w:lang w:val="en-US" w:eastAsia="zh-CN"/>
        </w:rPr>
        <w:t>图4.4.3  剪应力计算示意图</w:t>
      </w:r>
    </w:p>
    <w:p>
      <w:pPr>
        <w:pStyle w:val="2"/>
        <w:spacing w:before="120" w:line="360" w:lineRule="auto"/>
        <w:ind w:left="0" w:leftChars="0" w:firstLine="0" w:firstLineChars="0"/>
        <w:rPr>
          <w:color w:val="auto"/>
          <w:sz w:val="24"/>
          <w:szCs w:val="24"/>
        </w:rPr>
      </w:pPr>
      <w:r>
        <w:rPr>
          <w:rFonts w:hint="eastAsia"/>
          <w:b/>
          <w:bCs/>
          <w:color w:val="auto"/>
          <w:sz w:val="24"/>
          <w:szCs w:val="24"/>
        </w:rPr>
        <w:t>4.4.4</w:t>
      </w:r>
      <w:r>
        <w:rPr>
          <w:color w:val="auto"/>
          <w:sz w:val="24"/>
          <w:szCs w:val="24"/>
        </w:rPr>
        <w:t xml:space="preserve">  带有拉结</w:t>
      </w:r>
      <w:r>
        <w:rPr>
          <w:rFonts w:hint="eastAsia"/>
          <w:color w:val="auto"/>
          <w:sz w:val="24"/>
          <w:szCs w:val="24"/>
        </w:rPr>
        <w:t>抗剪功能的植筋在新旧混凝土界面的抗剪强度设计值</w:t>
      </w: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hint="eastAsia" w:ascii="Cambria Math" w:hAnsi="Cambria Math"/>
                <w:color w:val="auto"/>
                <w:sz w:val="24"/>
                <w:szCs w:val="24"/>
              </w:rPr>
              <m:t>Rd</m:t>
            </m:r>
            <m:ctrlPr>
              <w:rPr>
                <w:rFonts w:ascii="Cambria Math" w:hAnsi="Cambria Math"/>
                <w:i/>
                <w:color w:val="auto"/>
                <w:sz w:val="24"/>
                <w:szCs w:val="24"/>
              </w:rPr>
            </m:ctrlPr>
          </m:sub>
        </m:sSub>
      </m:oMath>
      <w:r>
        <w:rPr>
          <w:rFonts w:hint="eastAsia"/>
          <w:color w:val="auto"/>
          <w:sz w:val="24"/>
          <w:szCs w:val="24"/>
        </w:rPr>
        <w:t>应按下式计算：</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hint="eastAsia" w:ascii="Cambria Math" w:hAnsi="Cambria Math"/>
                <w:color w:val="auto"/>
                <w:sz w:val="24"/>
                <w:szCs w:val="24"/>
              </w:rPr>
              <m:t>Rd</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Rd,i</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Rd,f</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Rd,d</m:t>
            </m:r>
            <m:ctrlPr>
              <w:rPr>
                <w:rFonts w:ascii="Cambria Math" w:hAnsi="Cambria Math"/>
                <w:i/>
                <w:color w:val="auto"/>
                <w:sz w:val="24"/>
                <w:szCs w:val="24"/>
              </w:rPr>
            </m:ctrlPr>
          </m:sub>
        </m:sSub>
      </m:oMath>
      <w:r>
        <w:rPr>
          <w:rFonts w:ascii="宋体" w:hAnsi="宋体"/>
          <w:color w:val="auto"/>
          <w:sz w:val="24"/>
          <w:szCs w:val="24"/>
        </w:rPr>
        <w:tab/>
      </w:r>
      <w:r>
        <w:rPr>
          <w:rFonts w:hint="eastAsia" w:ascii="宋体" w:hAnsi="宋体"/>
          <w:color w:val="auto"/>
          <w:sz w:val="24"/>
          <w:szCs w:val="24"/>
          <w:lang w:val="en-US" w:eastAsia="zh-CN"/>
        </w:rPr>
        <w:t xml:space="preserve">           </w:t>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w:t>
      </w:r>
      <w:r>
        <w:rPr>
          <w:rFonts w:hint="eastAsia" w:ascii="宋体" w:hAnsi="宋体"/>
          <w:color w:val="auto"/>
          <w:sz w:val="24"/>
          <w:szCs w:val="24"/>
        </w:rPr>
        <w:t>4.4.4-1</w:t>
      </w:r>
      <w:r>
        <w:rPr>
          <w:rFonts w:ascii="宋体" w:hAnsi="宋体"/>
          <w:color w:val="auto"/>
          <w:sz w:val="24"/>
          <w:szCs w:val="24"/>
        </w:rPr>
        <w:t>)</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rFonts w:ascii="宋体" w:hAnsi="宋体"/>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Rd,i</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0.92∙</m:t>
            </m:r>
            <m:r>
              <m:rPr/>
              <w:rPr>
                <w:rFonts w:hint="eastAsia" w:ascii="Cambria Math" w:hAnsi="Cambria Math"/>
                <w:color w:val="auto"/>
                <w:sz w:val="24"/>
                <w:szCs w:val="24"/>
              </w:rPr>
              <m:t>c</m:t>
            </m:r>
            <m:ctrlPr>
              <w:rPr>
                <w:rFonts w:ascii="Cambria Math" w:hAnsi="Cambria Math"/>
                <w:i/>
                <w:color w:val="auto"/>
                <w:sz w:val="24"/>
                <w:szCs w:val="24"/>
              </w:rPr>
            </m:ctrlPr>
          </m:e>
          <m:sub>
            <m:r>
              <m:rPr/>
              <w:rPr>
                <w:rFonts w:ascii="Cambria Math" w:hAnsi="Cambria Math"/>
                <w:color w:val="auto"/>
                <w:sz w:val="24"/>
                <w:szCs w:val="24"/>
              </w:rPr>
              <m:t>r</m:t>
            </m:r>
            <m:ctrlPr>
              <w:rPr>
                <w:rFonts w:ascii="Cambria Math" w:hAnsi="Cambria Math"/>
                <w:i/>
                <w:color w:val="auto"/>
                <w:sz w:val="24"/>
                <w:szCs w:val="24"/>
              </w:rPr>
            </m:ctrlPr>
          </m:sub>
        </m:sSub>
        <m:r>
          <m:rPr/>
          <w:rPr>
            <w:rFonts w:ascii="Cambria Math" w:hAnsi="Cambria Math"/>
            <w:color w:val="auto"/>
            <w:sz w:val="24"/>
            <w:szCs w:val="24"/>
          </w:rPr>
          <m:t>∙</m:t>
        </m:r>
        <m:sSubSup>
          <m:sSubSupPr>
            <m:ctrlPr>
              <w:rPr>
                <w:rFonts w:ascii="Cambria Math" w:hAnsi="Cambria Math"/>
                <w:i/>
                <w:color w:val="auto"/>
                <w:sz w:val="24"/>
                <w:szCs w:val="24"/>
              </w:rPr>
            </m:ctrlPr>
          </m:sSubSup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up>
            <m:f>
              <m:fPr>
                <m:ctrlPr>
                  <w:rPr>
                    <w:rFonts w:ascii="Cambria Math" w:hAnsi="Cambria Math"/>
                    <w:i/>
                    <w:color w:val="auto"/>
                    <w:sz w:val="24"/>
                    <w:szCs w:val="24"/>
                  </w:rPr>
                </m:ctrlPr>
              </m:fPr>
              <m:num>
                <m:r>
                  <m:rPr/>
                  <w:rPr>
                    <w:rFonts w:ascii="Cambria Math" w:hAnsi="Cambria Math"/>
                    <w:color w:val="auto"/>
                    <w:sz w:val="24"/>
                    <w:szCs w:val="24"/>
                  </w:rPr>
                  <m:t>1</m:t>
                </m:r>
                <m:ctrlPr>
                  <w:rPr>
                    <w:rFonts w:ascii="Cambria Math" w:hAnsi="Cambria Math"/>
                    <w:i/>
                    <w:color w:val="auto"/>
                    <w:sz w:val="24"/>
                    <w:szCs w:val="24"/>
                  </w:rPr>
                </m:ctrlPr>
              </m:num>
              <m:den>
                <m:r>
                  <m:rPr/>
                  <w:rPr>
                    <w:rFonts w:ascii="Cambria Math" w:hAnsi="Cambria Math"/>
                    <w:color w:val="auto"/>
                    <w:sz w:val="24"/>
                    <w:szCs w:val="24"/>
                  </w:rPr>
                  <m:t>3</m:t>
                </m:r>
                <m:ctrlPr>
                  <w:rPr>
                    <w:rFonts w:ascii="Cambria Math" w:hAnsi="Cambria Math"/>
                    <w:i/>
                    <w:color w:val="auto"/>
                    <w:sz w:val="24"/>
                    <w:szCs w:val="24"/>
                  </w:rPr>
                </m:ctrlPr>
              </m:den>
            </m:f>
            <m:ctrlPr>
              <w:rPr>
                <w:rFonts w:ascii="Cambria Math" w:hAnsi="Cambria Math"/>
                <w:i/>
                <w:color w:val="auto"/>
                <w:sz w:val="24"/>
                <w:szCs w:val="24"/>
              </w:rPr>
            </m:ctrlPr>
          </m:sup>
        </m:sSubSup>
      </m:oMath>
      <w:r>
        <w:rPr>
          <w:color w:val="auto"/>
          <w:sz w:val="24"/>
          <w:szCs w:val="24"/>
        </w:rPr>
        <w:tab/>
      </w:r>
      <w:r>
        <w:rPr>
          <w:color w:val="auto"/>
          <w:sz w:val="24"/>
          <w:szCs w:val="24"/>
        </w:rPr>
        <w:tab/>
      </w:r>
      <w:r>
        <w:rPr>
          <w:color w:val="auto"/>
          <w:sz w:val="24"/>
          <w:szCs w:val="24"/>
        </w:rPr>
        <w:tab/>
      </w:r>
      <w:r>
        <w:rPr>
          <w:rFonts w:hint="eastAsia"/>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rFonts w:hint="eastAsia" w:ascii="宋体" w:hAnsi="宋体"/>
          <w:color w:val="auto"/>
          <w:sz w:val="24"/>
          <w:szCs w:val="24"/>
        </w:rPr>
        <w:t>(4.4.4-2</w:t>
      </w:r>
      <w:r>
        <w:rPr>
          <w:rFonts w:ascii="宋体" w:hAnsi="宋体"/>
          <w:color w:val="auto"/>
          <w:sz w:val="24"/>
          <w:szCs w:val="24"/>
        </w:rPr>
        <w:t>)</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rFonts w:ascii="宋体" w:hAnsi="宋体"/>
          <w:color w:val="auto"/>
          <w:sz w:val="24"/>
          <w:szCs w:val="24"/>
        </w:rPr>
      </w:pPr>
      <w:r>
        <w:rPr>
          <w:color w:val="auto"/>
          <w:sz w:val="24"/>
          <w:szCs w:val="24"/>
        </w:rPr>
        <w:tab/>
      </w: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f</m:t>
            </m:r>
            <m:ctrlPr>
              <w:rPr>
                <w:rFonts w:ascii="Cambria Math" w:hAnsi="Cambria Math"/>
                <w:i/>
                <w:color w:val="auto"/>
                <w:sz w:val="24"/>
                <w:szCs w:val="24"/>
              </w:rPr>
            </m:ctrlPr>
          </m:sub>
        </m:sSub>
        <m:r>
          <m:rPr/>
          <w:rPr>
            <w:rFonts w:ascii="Cambria Math" w:hAnsi="Cambria Math"/>
            <w:color w:val="auto"/>
            <w:sz w:val="24"/>
            <w:szCs w:val="24"/>
          </w:rPr>
          <m:t>=0.35∙</m:t>
        </m:r>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κ1</m:t>
            </m:r>
            <m:ctrlPr>
              <w:rPr>
                <w:rFonts w:ascii="Cambria Math" w:hAnsi="Cambria Math"/>
                <w:i/>
                <w:color w:val="auto"/>
                <w:sz w:val="24"/>
                <w:szCs w:val="24"/>
              </w:rPr>
            </m:ctrlPr>
          </m:sub>
        </m:sSub>
        <m:r>
          <m:rPr/>
          <w:rPr>
            <w:rFonts w:ascii="Cambria Math" w:hAnsi="Cambria Math"/>
            <w:color w:val="auto"/>
            <w:sz w:val="24"/>
            <w:szCs w:val="24"/>
          </w:rPr>
          <m:t>∙ρ∙</m:t>
        </m:r>
        <m:sSub>
          <m:sSubPr>
            <m:ctrlPr>
              <w:rPr>
                <w:rFonts w:ascii="Cambria Math" w:hAnsi="Cambria Math"/>
                <w:i/>
                <w:color w:val="auto"/>
                <w:sz w:val="24"/>
                <w:szCs w:val="24"/>
              </w:rPr>
            </m:ctrlPr>
          </m:sSubPr>
          <m:e>
            <m:r>
              <m:rPr/>
              <w:rPr>
                <w:rFonts w:ascii="Cambria Math" w:hAnsi="Cambria Math"/>
                <w:color w:val="auto"/>
                <w:sz w:val="24"/>
                <w:szCs w:val="24"/>
              </w:rPr>
              <m:t>σ</m:t>
            </m:r>
            <m:ctrlPr>
              <w:rPr>
                <w:rFonts w:ascii="Cambria Math" w:hAnsi="Cambria Math"/>
                <w:i/>
                <w:color w:val="auto"/>
                <w:sz w:val="24"/>
                <w:szCs w:val="24"/>
              </w:rPr>
            </m:ctrlPr>
          </m:e>
          <m:sub>
            <m:r>
              <m:rPr/>
              <w:rPr>
                <w:rFonts w:hint="eastAsia" w:ascii="Cambria Math" w:hAnsi="Cambria Math"/>
                <w:color w:val="auto"/>
                <w:sz w:val="24"/>
                <w:szCs w:val="24"/>
              </w:rPr>
              <m:t>s</m:t>
            </m:r>
            <m:ctrlPr>
              <w:rPr>
                <w:rFonts w:ascii="Cambria Math" w:hAnsi="Cambria Math"/>
                <w:i/>
                <w:color w:val="auto"/>
                <w:sz w:val="24"/>
                <w:szCs w:val="24"/>
              </w:rPr>
            </m:ctrlPr>
          </m:sub>
        </m:sSub>
      </m:oMath>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 xml:space="preserve">       </w:t>
      </w:r>
      <w:r>
        <w:rPr>
          <w:color w:val="auto"/>
          <w:sz w:val="24"/>
          <w:szCs w:val="24"/>
        </w:rPr>
        <w:tab/>
      </w:r>
      <w:r>
        <w:rPr>
          <w:color w:val="auto"/>
          <w:sz w:val="24"/>
          <w:szCs w:val="24"/>
        </w:rPr>
        <w:tab/>
      </w:r>
      <w:r>
        <w:rPr>
          <w:rFonts w:ascii="宋体" w:hAnsi="宋体"/>
          <w:color w:val="auto"/>
          <w:sz w:val="24"/>
          <w:szCs w:val="24"/>
        </w:rPr>
        <w:t>(</w:t>
      </w:r>
      <w:r>
        <w:rPr>
          <w:rFonts w:hint="eastAsia" w:ascii="宋体" w:hAnsi="宋体"/>
          <w:color w:val="auto"/>
          <w:sz w:val="24"/>
          <w:szCs w:val="24"/>
        </w:rPr>
        <w:t>4.4.4-3</w:t>
      </w:r>
      <w:r>
        <w:rPr>
          <w:rFonts w:ascii="宋体" w:hAnsi="宋体"/>
          <w:color w:val="auto"/>
          <w:sz w:val="24"/>
          <w:szCs w:val="24"/>
        </w:rPr>
        <w:t>)</w:t>
      </w:r>
    </w:p>
    <w:p>
      <w:pPr>
        <w:pStyle w:val="2"/>
        <w:keepNext w:val="0"/>
        <w:keepLines w:val="0"/>
        <w:pageBreakBefore w:val="0"/>
        <w:widowControl w:val="0"/>
        <w:kinsoku/>
        <w:wordWrap/>
        <w:overflowPunct/>
        <w:topLinePunct w:val="0"/>
        <w:autoSpaceDE/>
        <w:autoSpaceDN/>
        <w:bidi w:val="0"/>
        <w:adjustRightInd/>
        <w:snapToGrid/>
        <w:spacing w:after="0"/>
        <w:ind w:left="0" w:leftChars="0" w:firstLineChars="0"/>
        <w:jc w:val="right"/>
        <w:textAlignment w:val="auto"/>
        <w:rPr>
          <w:rFonts w:ascii="宋体" w:hAnsi="宋体"/>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σ</m:t>
            </m:r>
            <m:ctrlPr>
              <w:rPr>
                <w:rFonts w:ascii="Cambria Math" w:hAnsi="Cambria Math"/>
                <w:i/>
                <w:color w:val="auto"/>
                <w:sz w:val="24"/>
                <w:szCs w:val="24"/>
              </w:rPr>
            </m:ctrlPr>
          </m:e>
          <m:sub>
            <m:r>
              <m:rPr/>
              <w:rPr>
                <w:rFonts w:hint="eastAsia" w:ascii="Cambria Math" w:hAnsi="Cambria Math"/>
                <w:color w:val="auto"/>
                <w:sz w:val="24"/>
                <w:szCs w:val="24"/>
              </w:rPr>
              <m:t>s</m:t>
            </m:r>
            <m:r>
              <m:rPr/>
              <w:rPr>
                <w:rFonts w:ascii="Cambria Math" w:hAnsi="Cambria Math"/>
                <w:color w:val="auto"/>
                <w:sz w:val="24"/>
                <w:szCs w:val="24"/>
              </w:rPr>
              <m:t>,t</m:t>
            </m:r>
            <m:ctrlPr>
              <w:rPr>
                <w:rFonts w:ascii="Cambria Math" w:hAnsi="Cambria Math"/>
                <w:i/>
                <w:color w:val="auto"/>
                <w:sz w:val="24"/>
                <w:szCs w:val="24"/>
              </w:rPr>
            </m:ctrlPr>
          </m:sub>
        </m:sSub>
        <m:r>
          <m:rPr/>
          <w:rPr>
            <w:rFonts w:ascii="Cambria Math" w:hAnsi="Cambria Math"/>
            <w:color w:val="auto"/>
            <w:sz w:val="24"/>
            <w:szCs w:val="24"/>
          </w:rPr>
          <m:t>=</m:t>
        </m:r>
        <m:f>
          <m:fPr>
            <m:type m:val="lin"/>
            <m:ctrlPr>
              <w:rPr>
                <w:rFonts w:ascii="Cambria Math" w:hAnsi="Cambria Math"/>
                <w:color w:val="auto"/>
                <w:sz w:val="24"/>
                <w:szCs w:val="24"/>
              </w:rPr>
            </m:ctrlPr>
          </m:fPr>
          <m:num>
            <m:func>
              <m:funcPr>
                <m:ctrlPr>
                  <w:rPr>
                    <w:rFonts w:ascii="Cambria Math" w:hAnsi="Cambria Math"/>
                    <w:color w:val="auto"/>
                    <w:sz w:val="24"/>
                    <w:szCs w:val="24"/>
                  </w:rPr>
                </m:ctrlPr>
              </m:funcPr>
              <m:fName>
                <m:r>
                  <m:rPr>
                    <m:sty m:val="p"/>
                  </m:rPr>
                  <w:rPr>
                    <w:rFonts w:ascii="Cambria Math" w:hAnsi="Cambria Math"/>
                    <w:color w:val="auto"/>
                    <w:sz w:val="24"/>
                    <w:szCs w:val="24"/>
                  </w:rPr>
                  <m:t>min</m:t>
                </m:r>
                <m:ctrlPr>
                  <w:rPr>
                    <w:rFonts w:ascii="Cambria Math" w:hAnsi="Cambria Math"/>
                    <w:i/>
                    <w:color w:val="auto"/>
                    <w:sz w:val="24"/>
                    <w:szCs w:val="24"/>
                  </w:rPr>
                </m:ctrlPr>
              </m:fName>
              <m:e>
                <m:d>
                  <m:dPr>
                    <m:ctrlPr>
                      <w:rPr>
                        <w:rFonts w:ascii="Cambria Math" w:hAnsi="Cambria Math"/>
                        <w:i/>
                        <w:color w:val="auto"/>
                        <w:sz w:val="24"/>
                        <w:szCs w:val="24"/>
                      </w:rPr>
                    </m:ctrlPr>
                  </m:dPr>
                  <m:e>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Rd,s,t</m:t>
                        </m:r>
                        <m:ctrlPr>
                          <w:rPr>
                            <w:rFonts w:ascii="Cambria Math" w:hAnsi="Cambria Math"/>
                            <w:i/>
                            <w:color w:val="auto"/>
                            <w:sz w:val="24"/>
                            <w:szCs w:val="24"/>
                          </w:rPr>
                        </m:ctrlPr>
                      </m:sub>
                    </m:sSub>
                    <m:r>
                      <m:rPr/>
                      <w:rPr>
                        <w:rFonts w:hint="eastAsia"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Rd,c,t</m:t>
                        </m:r>
                        <m:ctrlPr>
                          <w:rPr>
                            <w:rFonts w:ascii="Cambria Math" w:hAnsi="Cambria Math"/>
                            <w:i/>
                            <w:color w:val="auto"/>
                            <w:sz w:val="24"/>
                            <w:szCs w:val="24"/>
                          </w:rPr>
                        </m:ctrlPr>
                      </m:sub>
                    </m:sSub>
                    <m:r>
                      <m:rPr/>
                      <w:rPr>
                        <w:rFonts w:hint="eastAsia"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Rd,p,t</m:t>
                        </m:r>
                        <m:ctrlPr>
                          <w:rPr>
                            <w:rFonts w:ascii="Cambria Math" w:hAnsi="Cambria Math"/>
                            <w:i/>
                            <w:color w:val="auto"/>
                            <w:sz w:val="24"/>
                            <w:szCs w:val="24"/>
                          </w:rPr>
                        </m:ctrlPr>
                      </m:sub>
                    </m:sSub>
                    <m:ctrlPr>
                      <w:rPr>
                        <w:rFonts w:ascii="Cambria Math" w:hAnsi="Cambria Math"/>
                        <w:i/>
                        <w:color w:val="auto"/>
                        <w:sz w:val="24"/>
                        <w:szCs w:val="24"/>
                      </w:rPr>
                    </m:ctrlPr>
                  </m:e>
                </m:d>
                <m:ctrlPr>
                  <w:rPr>
                    <w:rFonts w:ascii="Cambria Math" w:hAnsi="Cambria Math"/>
                    <w:color w:val="auto"/>
                    <w:sz w:val="24"/>
                    <w:szCs w:val="24"/>
                  </w:rPr>
                </m:ctrlPr>
              </m:e>
            </m:func>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ctrlPr>
              <w:rPr>
                <w:rFonts w:ascii="Cambria Math" w:hAnsi="Cambria Math"/>
                <w:color w:val="auto"/>
                <w:sz w:val="24"/>
                <w:szCs w:val="24"/>
              </w:rPr>
            </m:ctrlPr>
          </m:den>
        </m:f>
      </m:oMath>
      <w:r>
        <w:rPr>
          <w:i/>
          <w:color w:val="auto"/>
          <w:sz w:val="24"/>
          <w:szCs w:val="24"/>
        </w:rPr>
        <w:tab/>
      </w:r>
      <w:r>
        <w:rPr>
          <w:rFonts w:hint="eastAsia"/>
          <w:i/>
          <w:color w:val="auto"/>
          <w:sz w:val="24"/>
          <w:szCs w:val="24"/>
          <w:lang w:val="en-US" w:eastAsia="zh-CN"/>
        </w:rPr>
        <w:t xml:space="preserve">        </w:t>
      </w:r>
      <w:r>
        <w:rPr>
          <w:i/>
          <w:color w:val="auto"/>
          <w:sz w:val="24"/>
          <w:szCs w:val="24"/>
        </w:rPr>
        <w:tab/>
      </w:r>
      <w:r>
        <w:rPr>
          <w:i/>
          <w:color w:val="auto"/>
          <w:sz w:val="24"/>
          <w:szCs w:val="24"/>
        </w:rPr>
        <w:tab/>
      </w:r>
      <w:r>
        <w:rPr>
          <w:rFonts w:ascii="宋体" w:hAnsi="宋体"/>
          <w:color w:val="auto"/>
          <w:sz w:val="24"/>
          <w:szCs w:val="24"/>
        </w:rPr>
        <w:t>(</w:t>
      </w:r>
      <w:r>
        <w:rPr>
          <w:rFonts w:hint="eastAsia" w:ascii="宋体" w:hAnsi="宋体"/>
          <w:color w:val="auto"/>
          <w:sz w:val="24"/>
          <w:szCs w:val="24"/>
        </w:rPr>
        <w:t>4.4.4-4</w:t>
      </w:r>
      <w:r>
        <w:rPr>
          <w:rFonts w:ascii="宋体" w:hAnsi="宋体"/>
          <w:color w:val="auto"/>
          <w:sz w:val="24"/>
          <w:szCs w:val="24"/>
        </w:rPr>
        <w:t>)</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rFonts w:ascii="宋体" w:hAnsi="宋体"/>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Rd,d</m:t>
            </m:r>
            <m:ctrlPr>
              <w:rPr>
                <w:rFonts w:ascii="Cambria Math" w:hAnsi="Cambria Math"/>
                <w:i/>
                <w:color w:val="auto"/>
                <w:sz w:val="24"/>
                <w:szCs w:val="24"/>
              </w:rPr>
            </m:ctrlPr>
          </m:sub>
        </m:sSub>
        <m:r>
          <m:rPr/>
          <w:rPr>
            <w:rFonts w:ascii="Cambria Math" w:hAnsi="Cambria Math"/>
            <w:color w:val="auto"/>
            <w:sz w:val="24"/>
            <w:szCs w:val="24"/>
          </w:rPr>
          <m:t>=0.56∙ρ∙</m:t>
        </m:r>
        <m:rad>
          <m:radPr>
            <m:degHide m:val="1"/>
            <m:ctrlPr>
              <w:rPr>
                <w:rFonts w:ascii="Cambria Math" w:hAnsi="Cambria Math"/>
                <w:i/>
                <w:color w:val="auto"/>
                <w:sz w:val="24"/>
                <w:szCs w:val="24"/>
              </w:rPr>
            </m:ctrlPr>
          </m:radPr>
          <m:deg>
            <m:ctrlPr>
              <w:rPr>
                <w:rFonts w:ascii="Cambria Math" w:hAnsi="Cambria Math"/>
                <w:i/>
                <w:color w:val="auto"/>
                <w:sz w:val="24"/>
                <w:szCs w:val="24"/>
              </w:rPr>
            </m:ctrlPr>
          </m:deg>
          <m:e>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yk</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Sub>
            <m:ctrlPr>
              <w:rPr>
                <w:rFonts w:ascii="Cambria Math" w:hAnsi="Cambria Math"/>
                <w:i/>
                <w:color w:val="auto"/>
                <w:sz w:val="24"/>
                <w:szCs w:val="24"/>
              </w:rPr>
            </m:ctrlPr>
          </m:e>
        </m:rad>
      </m:oMath>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rFonts w:ascii="宋体" w:hAnsi="宋体"/>
          <w:color w:val="auto"/>
          <w:sz w:val="24"/>
          <w:szCs w:val="24"/>
        </w:rPr>
        <w:t>(</w:t>
      </w:r>
      <w:r>
        <w:rPr>
          <w:rFonts w:hint="eastAsia" w:ascii="宋体" w:hAnsi="宋体"/>
          <w:color w:val="auto"/>
          <w:sz w:val="24"/>
          <w:szCs w:val="24"/>
        </w:rPr>
        <w:t>4.4.4-5</w:t>
      </w:r>
      <w:r>
        <w:rPr>
          <w:rFonts w:ascii="宋体" w:hAnsi="宋体"/>
          <w:color w:val="auto"/>
          <w:sz w:val="24"/>
          <w:szCs w:val="24"/>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0"/>
        <w:gridCol w:w="1008"/>
        <w:gridCol w:w="456"/>
        <w:gridCol w:w="60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Mar>
              <w:left w:w="29" w:type="dxa"/>
              <w:right w:w="43" w:type="dxa"/>
            </w:tcMar>
          </w:tcPr>
          <w:p>
            <w:pPr>
              <w:pStyle w:val="2"/>
              <w:ind w:left="0" w:leftChars="0" w:firstLine="0" w:firstLineChars="0"/>
              <w:rPr>
                <w:rFonts w:ascii="宋体" w:hAnsi="宋体"/>
                <w:color w:val="auto"/>
                <w:sz w:val="24"/>
                <w:szCs w:val="24"/>
              </w:rPr>
            </w:pPr>
            <w:r>
              <w:rPr>
                <w:rFonts w:ascii="宋体" w:hAnsi="宋体"/>
                <w:color w:val="auto"/>
                <w:sz w:val="24"/>
                <w:szCs w:val="24"/>
              </w:rPr>
              <w:t>式中</w:t>
            </w:r>
            <w:r>
              <w:rPr>
                <w:rFonts w:hint="eastAsia" w:ascii="宋体" w:hAnsi="宋体"/>
                <w:color w:val="auto"/>
                <w:sz w:val="24"/>
                <w:szCs w:val="24"/>
              </w:rPr>
              <w:t>：</w:t>
            </w: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Rd,i</m:t>
                    </m:r>
                    <m:ctrlPr>
                      <w:rPr>
                        <w:rFonts w:ascii="Cambria Math" w:hAnsi="Cambria Math"/>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新、旧混凝土骨料咬合作用产生的粘结抗剪强度设计值（MPa）</w:t>
            </w:r>
            <w:r>
              <w:rPr>
                <w:rFonts w:hint="eastAsia"/>
                <w:color w:val="auto"/>
                <w:sz w:val="24"/>
                <w:szCs w:val="24"/>
                <w:lang w:eastAsia="zh-CN"/>
              </w:rPr>
              <w:t>，</w:t>
            </w:r>
            <w:r>
              <w:rPr>
                <w:rFonts w:hint="eastAsia"/>
                <w:color w:val="auto"/>
                <w:sz w:val="24"/>
                <w:szCs w:val="24"/>
              </w:rPr>
              <w:t>不</w:t>
            </w:r>
            <w:r>
              <w:rPr>
                <w:rFonts w:hint="eastAsia"/>
                <w:color w:val="auto"/>
                <w:sz w:val="24"/>
                <w:szCs w:val="24"/>
                <w:lang w:val="en-US" w:eastAsia="zh-CN"/>
              </w:rPr>
              <w:t>应</w:t>
            </w:r>
            <w:r>
              <w:rPr>
                <w:rFonts w:hint="eastAsia"/>
                <w:color w:val="auto"/>
                <w:sz w:val="24"/>
                <w:szCs w:val="24"/>
              </w:rPr>
              <w:t>大于</w:t>
            </w:r>
            <m:oMath>
              <m:r>
                <m:rPr/>
                <w:rPr>
                  <w:rFonts w:ascii="Cambria Math" w:hAnsi="Cambria Math"/>
                  <w:color w:val="auto"/>
                  <w:sz w:val="24"/>
                  <w:szCs w:val="24"/>
                </w:rPr>
                <m:t>0.43</m:t>
              </m:r>
              <m:sSubSup>
                <m:sSubSupPr>
                  <m:ctrlPr>
                    <w:rPr>
                      <w:rFonts w:ascii="Cambria Math" w:hAnsi="Cambria Math"/>
                      <w:i/>
                      <w:color w:val="auto"/>
                      <w:sz w:val="24"/>
                      <w:szCs w:val="24"/>
                    </w:rPr>
                  </m:ctrlPr>
                </m:sSubSupPr>
                <m:e>
                  <m:r>
                    <m:rPr/>
                    <w:rPr>
                      <w:rFonts w:hint="eastAsia"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up>
                  <m:f>
                    <m:fPr>
                      <m:type m:val="lin"/>
                      <m:ctrlPr>
                        <w:rPr>
                          <w:rFonts w:ascii="Cambria Math" w:hAnsi="Cambria Math"/>
                          <w:i/>
                          <w:color w:val="auto"/>
                          <w:sz w:val="24"/>
                          <w:szCs w:val="24"/>
                        </w:rPr>
                      </m:ctrlPr>
                    </m:fPr>
                    <m:num>
                      <m:r>
                        <m:rPr/>
                        <w:rPr>
                          <w:rFonts w:ascii="Cambria Math" w:hAnsi="Cambria Math"/>
                          <w:color w:val="auto"/>
                          <w:sz w:val="24"/>
                          <w:szCs w:val="24"/>
                        </w:rPr>
                        <m:t>2</m:t>
                      </m:r>
                      <m:ctrlPr>
                        <w:rPr>
                          <w:rFonts w:ascii="Cambria Math" w:hAnsi="Cambria Math"/>
                          <w:i/>
                          <w:color w:val="auto"/>
                          <w:sz w:val="24"/>
                          <w:szCs w:val="24"/>
                        </w:rPr>
                      </m:ctrlPr>
                    </m:num>
                    <m:den>
                      <m:r>
                        <m:rPr/>
                        <w:rPr>
                          <w:rFonts w:ascii="Cambria Math" w:hAnsi="Cambria Math"/>
                          <w:color w:val="auto"/>
                          <w:sz w:val="24"/>
                          <w:szCs w:val="24"/>
                        </w:rPr>
                        <m:t>3</m:t>
                      </m:r>
                      <m:ctrlPr>
                        <w:rPr>
                          <w:rFonts w:ascii="Cambria Math" w:hAnsi="Cambria Math"/>
                          <w:i/>
                          <w:color w:val="auto"/>
                          <w:sz w:val="24"/>
                          <w:szCs w:val="24"/>
                        </w:rPr>
                      </m:ctrlPr>
                    </m:den>
                  </m:f>
                  <m:ctrlPr>
                    <w:rPr>
                      <w:rFonts w:ascii="Cambria Math" w:hAnsi="Cambria Math"/>
                      <w:i/>
                      <w:color w:val="auto"/>
                      <w:sz w:val="24"/>
                      <w:szCs w:val="24"/>
                    </w:rPr>
                  </m:ctrlPr>
                </m:sup>
              </m:sSubSup>
            </m:oMath>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f</m:t>
                    </m:r>
                    <m:ctrlPr>
                      <w:rPr>
                        <w:rFonts w:ascii="Cambria Math" w:hAnsi="Cambria Math"/>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剪切摩擦提供的抗剪强度设计值（MPa）；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τ</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d</m:t>
                    </m:r>
                    <m:ctrlPr>
                      <w:rPr>
                        <w:rFonts w:ascii="Cambria Math" w:hAnsi="Cambria Math"/>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拉结钢筋销栓作用的抗剪强度设计值（MPa）；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jc w:val="right"/>
              <w:rPr>
                <w:rFonts w:ascii="宋体" w:hAnsi="宋体"/>
                <w:color w:val="auto"/>
                <w:sz w:val="24"/>
                <w:szCs w:val="24"/>
              </w:rPr>
            </w:pPr>
            <w:r>
              <w:rPr>
                <w:rFonts w:hint="eastAsia"/>
                <w:i/>
                <w:iCs/>
                <w:color w:val="auto"/>
                <w:sz w:val="24"/>
                <w:szCs w:val="24"/>
              </w:rPr>
              <w:t>c</w:t>
            </w:r>
            <w:r>
              <w:rPr>
                <w:color w:val="auto"/>
                <w:sz w:val="24"/>
                <w:szCs w:val="24"/>
                <w:vertAlign w:val="subscript"/>
              </w:rPr>
              <w:t>r</w:t>
            </w:r>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界面混凝土粗糙度影响系数，当外荷载对界面产生拉力或新旧界面光滑时，取</w:t>
            </w:r>
            <w:r>
              <w:rPr>
                <w:color w:val="auto"/>
                <w:sz w:val="24"/>
                <w:szCs w:val="24"/>
              </w:rPr>
              <w:t>0</w:t>
            </w:r>
            <w:r>
              <w:rPr>
                <w:rFonts w:hint="eastAsia"/>
                <w:color w:val="auto"/>
                <w:sz w:val="24"/>
                <w:szCs w:val="24"/>
              </w:rPr>
              <w:t>；当界面打毛处理且外荷载对界面不产生拉力时，取</w:t>
            </w:r>
            <w:r>
              <w:rPr>
                <w:color w:val="auto"/>
                <w:sz w:val="24"/>
                <w:szCs w:val="24"/>
              </w:rPr>
              <w:t>0.1</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κ1</m:t>
                    </m:r>
                    <m:ctrlPr>
                      <w:rPr>
                        <w:rFonts w:ascii="Cambria Math" w:hAnsi="Cambria Math"/>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植筋延性影响系数，对于</w:t>
            </w:r>
            <w:r>
              <w:rPr>
                <w:rFonts w:hint="eastAsia"/>
                <w:color w:val="auto"/>
                <w:sz w:val="24"/>
                <w:szCs w:val="24"/>
                <w:lang w:val="en-US" w:eastAsia="zh-CN"/>
              </w:rPr>
              <w:t>钢筋</w:t>
            </w:r>
            <w:r>
              <w:rPr>
                <w:rFonts w:hint="eastAsia"/>
                <w:color w:val="auto"/>
                <w:sz w:val="24"/>
                <w:szCs w:val="24"/>
              </w:rPr>
              <w:t>，取1</w:t>
            </w:r>
            <w:r>
              <w:rPr>
                <w:color w:val="auto"/>
                <w:sz w:val="24"/>
                <w:szCs w:val="24"/>
              </w:rPr>
              <w:t>.0</w:t>
            </w:r>
            <w:r>
              <w:rPr>
                <w:rFonts w:hint="eastAsia"/>
                <w:color w:val="auto"/>
                <w:sz w:val="24"/>
                <w:szCs w:val="24"/>
              </w:rPr>
              <w:t>，当采用螺杆时，取0</w:t>
            </w:r>
            <w:r>
              <w:rPr>
                <w:color w:val="auto"/>
                <w:sz w:val="24"/>
                <w:szCs w:val="24"/>
              </w:rPr>
              <w:t>.8</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jc w:val="right"/>
              <w:rPr>
                <w:rFonts w:ascii="宋体" w:hAnsi="宋体"/>
                <w:color w:val="auto"/>
                <w:sz w:val="24"/>
                <w:szCs w:val="24"/>
              </w:rPr>
            </w:pPr>
            <w:r>
              <w:rPr>
                <w:rFonts w:ascii="Symbol" w:hAnsi="Symbol"/>
                <w:i/>
                <w:iCs/>
                <w:color w:val="auto"/>
                <w:sz w:val="24"/>
                <w:szCs w:val="24"/>
              </w:rPr>
              <w:t>r</w:t>
            </w:r>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拉结钢筋的配筋率；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σ</m:t>
                    </m:r>
                    <m:ctrlPr>
                      <w:rPr>
                        <w:rFonts w:ascii="Cambria Math" w:hAnsi="Cambria Math"/>
                        <w:i/>
                        <w:color w:val="auto"/>
                        <w:sz w:val="24"/>
                        <w:szCs w:val="24"/>
                      </w:rPr>
                    </m:ctrlPr>
                  </m:e>
                  <m:sub>
                    <m:r>
                      <m:rPr/>
                      <w:rPr>
                        <w:rFonts w:ascii="Cambria Math" w:hAnsi="Cambria Math"/>
                        <w:color w:val="auto"/>
                        <w:sz w:val="24"/>
                        <w:szCs w:val="24"/>
                      </w:rPr>
                      <m:t>s,t</m:t>
                    </m:r>
                    <m:ctrlPr>
                      <w:rPr>
                        <w:rFonts w:ascii="Cambria Math" w:hAnsi="Cambria Math"/>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拉结钢筋的破坏应力设计值，不</w:t>
            </w:r>
            <w:r>
              <w:rPr>
                <w:rFonts w:hint="eastAsia"/>
                <w:color w:val="auto"/>
                <w:sz w:val="24"/>
                <w:szCs w:val="24"/>
                <w:lang w:val="en-US" w:eastAsia="zh-CN"/>
              </w:rPr>
              <w:t>应</w:t>
            </w:r>
            <w:r>
              <w:rPr>
                <w:rFonts w:hint="eastAsia"/>
                <w:color w:val="auto"/>
                <w:sz w:val="24"/>
                <w:szCs w:val="24"/>
              </w:rPr>
              <w:t>大于0.87倍钢材</w:t>
            </w:r>
            <w:r>
              <w:rPr>
                <w:rFonts w:hint="eastAsia"/>
                <w:color w:val="auto"/>
                <w:sz w:val="24"/>
                <w:szCs w:val="24"/>
                <w:lang w:val="en-US" w:eastAsia="zh-CN"/>
              </w:rPr>
              <w:t>屈服</w:t>
            </w:r>
            <w:r>
              <w:rPr>
                <w:rFonts w:hint="eastAsia"/>
                <w:color w:val="auto"/>
                <w:sz w:val="24"/>
                <w:szCs w:val="24"/>
              </w:rPr>
              <w:t>强度标准值（MPa）；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Rd,s,t</m:t>
                    </m:r>
                    <m:ctrlPr>
                      <w:rPr>
                        <w:rFonts w:ascii="Cambria Math" w:hAnsi="Cambria Math"/>
                        <w:i/>
                        <w:color w:val="auto"/>
                        <w:sz w:val="24"/>
                        <w:szCs w:val="24"/>
                      </w:rPr>
                    </m:ctrlPr>
                  </m:sub>
                </m:sSub>
              </m:oMath>
            </m:oMathPara>
          </w:p>
        </w:tc>
        <w:tc>
          <w:tcPr>
            <w:tcW w:w="456" w:type="dxa"/>
          </w:tcPr>
          <w:p>
            <w:pPr>
              <w:pStyle w:val="2"/>
              <w:ind w:left="0" w:leftChars="0" w:firstLine="0" w:firstLineChars="0"/>
              <w:rPr>
                <w:color w:val="auto"/>
                <w:sz w:val="24"/>
                <w:szCs w:val="24"/>
              </w:rPr>
            </w:pPr>
            <w:r>
              <w:rPr>
                <w:color w:val="auto"/>
                <w:sz w:val="24"/>
                <w:szCs w:val="24"/>
              </w:rPr>
              <w:t>—</w:t>
            </w:r>
          </w:p>
        </w:tc>
        <w:tc>
          <w:tcPr>
            <w:tcW w:w="6032" w:type="dxa"/>
          </w:tcPr>
          <w:p>
            <w:pPr>
              <w:pStyle w:val="2"/>
              <w:ind w:left="0" w:leftChars="0" w:firstLine="0" w:firstLineChars="0"/>
              <w:rPr>
                <w:color w:val="auto"/>
                <w:sz w:val="24"/>
                <w:szCs w:val="24"/>
              </w:rPr>
            </w:pPr>
            <w:r>
              <w:rPr>
                <w:rFonts w:hint="eastAsia"/>
                <w:color w:val="auto"/>
                <w:sz w:val="24"/>
                <w:szCs w:val="24"/>
              </w:rPr>
              <w:t>拉结植筋发生钢材破坏的承载力设计值（kN）；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m:t>
                    </m:r>
                    <m:r>
                      <m:rPr/>
                      <w:rPr>
                        <w:rFonts w:hint="eastAsia" w:ascii="Cambria Math" w:hAnsi="Cambria Math"/>
                        <w:color w:val="auto"/>
                        <w:sz w:val="24"/>
                        <w:szCs w:val="24"/>
                      </w:rPr>
                      <m:t>c</m:t>
                    </m:r>
                    <m:r>
                      <m:rPr/>
                      <w:rPr>
                        <w:rFonts w:ascii="Cambria Math" w:hAnsi="Cambria Math"/>
                        <w:color w:val="auto"/>
                        <w:sz w:val="24"/>
                        <w:szCs w:val="24"/>
                      </w:rPr>
                      <m:t>,t</m:t>
                    </m:r>
                    <m:ctrlPr>
                      <w:rPr>
                        <w:rFonts w:ascii="Cambria Math" w:hAnsi="Cambria Math"/>
                        <w:i/>
                        <w:color w:val="auto"/>
                        <w:sz w:val="24"/>
                        <w:szCs w:val="24"/>
                      </w:rPr>
                    </m:ctrlPr>
                  </m:sub>
                </m:sSub>
              </m:oMath>
            </m:oMathPara>
          </w:p>
        </w:tc>
        <w:tc>
          <w:tcPr>
            <w:tcW w:w="456" w:type="dxa"/>
          </w:tcPr>
          <w:p>
            <w:pPr>
              <w:pStyle w:val="2"/>
              <w:ind w:left="0" w:leftChars="0" w:firstLine="0" w:firstLineChars="0"/>
              <w:rPr>
                <w:color w:val="auto"/>
                <w:sz w:val="24"/>
                <w:szCs w:val="24"/>
              </w:rPr>
            </w:pPr>
            <w:r>
              <w:rPr>
                <w:color w:val="auto"/>
                <w:sz w:val="24"/>
                <w:szCs w:val="24"/>
              </w:rPr>
              <w:t>—</w:t>
            </w:r>
          </w:p>
        </w:tc>
        <w:tc>
          <w:tcPr>
            <w:tcW w:w="6032" w:type="dxa"/>
          </w:tcPr>
          <w:p>
            <w:pPr>
              <w:pStyle w:val="2"/>
              <w:ind w:left="0" w:leftChars="0" w:firstLine="0" w:firstLineChars="0"/>
              <w:rPr>
                <w:color w:val="auto"/>
                <w:sz w:val="24"/>
                <w:szCs w:val="24"/>
              </w:rPr>
            </w:pPr>
            <w:r>
              <w:rPr>
                <w:rFonts w:hint="eastAsia"/>
                <w:color w:val="auto"/>
                <w:sz w:val="24"/>
                <w:szCs w:val="24"/>
              </w:rPr>
              <w:t>单根拉结植筋发生混凝土锥体破坏的承载力设计值（kN）；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Pr>
          <w:p>
            <w:pPr>
              <w:pStyle w:val="2"/>
              <w:ind w:left="0" w:leftChars="0" w:firstLine="0" w:firstLineChars="0"/>
              <w:rPr>
                <w:rFonts w:ascii="宋体" w:hAnsi="宋体"/>
                <w:color w:val="auto"/>
                <w:sz w:val="24"/>
                <w:szCs w:val="24"/>
              </w:rPr>
            </w:pP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Rd,p,t</m:t>
                    </m:r>
                    <m:ctrlPr>
                      <w:rPr>
                        <w:rFonts w:ascii="Cambria Math" w:hAnsi="Cambria Math"/>
                        <w:i/>
                        <w:color w:val="auto"/>
                        <w:sz w:val="24"/>
                        <w:szCs w:val="24"/>
                      </w:rPr>
                    </m:ctrlPr>
                  </m:sub>
                </m:sSub>
              </m:oMath>
            </m:oMathPara>
          </w:p>
        </w:tc>
        <w:tc>
          <w:tcPr>
            <w:tcW w:w="456" w:type="dxa"/>
          </w:tcPr>
          <w:p>
            <w:pPr>
              <w:pStyle w:val="2"/>
              <w:ind w:left="0" w:leftChars="0" w:firstLine="0" w:firstLineChars="0"/>
              <w:rPr>
                <w:color w:val="auto"/>
                <w:sz w:val="24"/>
                <w:szCs w:val="24"/>
              </w:rPr>
            </w:pPr>
            <w:r>
              <w:rPr>
                <w:color w:val="auto"/>
                <w:sz w:val="24"/>
                <w:szCs w:val="24"/>
              </w:rPr>
              <w:t>—</w:t>
            </w:r>
          </w:p>
        </w:tc>
        <w:tc>
          <w:tcPr>
            <w:tcW w:w="6032" w:type="dxa"/>
          </w:tcPr>
          <w:p>
            <w:pPr>
              <w:pStyle w:val="2"/>
              <w:ind w:left="0" w:leftChars="0" w:firstLine="0" w:firstLineChars="0"/>
              <w:rPr>
                <w:color w:val="auto"/>
                <w:sz w:val="24"/>
                <w:szCs w:val="24"/>
              </w:rPr>
            </w:pPr>
            <w:r>
              <w:rPr>
                <w:rFonts w:hint="eastAsia"/>
                <w:color w:val="auto"/>
                <w:sz w:val="24"/>
                <w:szCs w:val="24"/>
              </w:rPr>
              <w:t>拉结植筋发生粘结破坏的承载力设计值（kN）。</w:t>
            </w:r>
          </w:p>
        </w:tc>
      </w:tr>
    </w:tbl>
    <w:p>
      <w:pPr>
        <w:pStyle w:val="2"/>
        <w:spacing w:after="0" w:line="360" w:lineRule="auto"/>
        <w:ind w:left="0" w:leftChars="0" w:firstLine="0" w:firstLineChars="0"/>
        <w:jc w:val="left"/>
        <w:rPr>
          <w:color w:val="auto"/>
          <w:sz w:val="24"/>
          <w:szCs w:val="24"/>
        </w:rPr>
      </w:pPr>
      <w:r>
        <w:rPr>
          <w:rFonts w:hint="eastAsia"/>
          <w:b/>
          <w:bCs/>
          <w:color w:val="auto"/>
          <w:sz w:val="24"/>
          <w:szCs w:val="24"/>
        </w:rPr>
        <w:t>4.4.5</w:t>
      </w:r>
      <w:r>
        <w:rPr>
          <w:color w:val="auto"/>
          <w:sz w:val="24"/>
          <w:szCs w:val="24"/>
        </w:rPr>
        <w:t xml:space="preserve">  </w:t>
      </w:r>
      <w:r>
        <w:rPr>
          <w:rFonts w:hint="eastAsia"/>
          <w:color w:val="auto"/>
          <w:sz w:val="24"/>
          <w:szCs w:val="24"/>
        </w:rPr>
        <w:t>在既有混凝土内植筋的抗拉承载力计算公式如下：</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color w:val="000000" w:themeColor="text1"/>
          <w:sz w:val="24"/>
          <w:szCs w:val="24"/>
          <w14:textFill>
            <w14:solidFill>
              <w14:schemeClr w14:val="tx1"/>
            </w14:solidFill>
          </w14:textFill>
        </w:rPr>
      </w:p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Rd,s,t</m:t>
            </m:r>
            <m:ctrlPr>
              <w:rPr>
                <w:rFonts w:ascii="Cambria Math" w:hAnsi="Cambria Math"/>
                <w:i/>
                <w:color w:val="auto"/>
                <w:sz w:val="24"/>
                <w:szCs w:val="24"/>
              </w:rPr>
            </m:ctrlPr>
          </m:sub>
        </m:sSub>
        <m:r>
          <m:rPr/>
          <w:rPr>
            <w:rFonts w:ascii="Cambria Math" w:hAnsi="Cambria Math"/>
            <w:color w:val="auto"/>
            <w:sz w:val="24"/>
            <w:szCs w:val="24"/>
          </w:rPr>
          <m:t>=</m:t>
        </m:r>
        <m:f>
          <m:fPr>
            <m:type m:val="lin"/>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hint="eastAsia" w:ascii="Cambria Math" w:hAnsi="Cambria Math"/>
                    <w:color w:val="auto"/>
                    <w:sz w:val="24"/>
                    <w:szCs w:val="24"/>
                  </w:rPr>
                  <m:t>y</m:t>
                </m:r>
                <m:r>
                  <m:rPr/>
                  <w:rPr>
                    <w:rFonts w:ascii="Cambria Math" w:hAnsi="Cambria Math"/>
                    <w:color w:val="auto"/>
                    <w:sz w:val="24"/>
                    <w:szCs w:val="24"/>
                  </w:rPr>
                  <m:t>k</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s</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1.2</m:t>
            </m:r>
            <m:ctrlPr>
              <w:rPr>
                <w:rFonts w:ascii="Cambria Math" w:hAnsi="Cambria Math"/>
                <w:i/>
                <w:color w:val="auto"/>
                <w:sz w:val="24"/>
                <w:szCs w:val="24"/>
              </w:rPr>
            </m:ctrlPr>
          </m:den>
        </m:f>
      </m:oMath>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4.4.5-1）</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color w:val="000000" w:themeColor="text1"/>
          <w:sz w:val="24"/>
          <w:szCs w:val="24"/>
          <w14:textFill>
            <w14:solidFill>
              <w14:schemeClr w14:val="tx1"/>
            </w14:solidFill>
          </w14:textFill>
        </w:rPr>
      </w:pPr>
      <m:oMath>
        <m:sSub>
          <m:sSubPr>
            <m:ctrlPr>
              <w:rPr>
                <w:rFonts w:ascii="Cambria Math" w:hAnsi="Cambria Math" w:cs="Arial"/>
                <w:i/>
                <w:color w:val="auto"/>
                <w:sz w:val="24"/>
                <w:szCs w:val="24"/>
              </w:rPr>
            </m:ctrlPr>
          </m:sSubPr>
          <m:e>
            <m:r>
              <m:rPr/>
              <w:rPr>
                <w:rFonts w:ascii="Cambria Math" w:hAnsi="Cambria Math" w:cs="Arial"/>
                <w:color w:val="auto"/>
                <w:sz w:val="24"/>
                <w:szCs w:val="24"/>
              </w:rPr>
              <m:t>N</m:t>
            </m:r>
            <m:ctrlPr>
              <w:rPr>
                <w:rFonts w:ascii="Cambria Math" w:hAnsi="Cambria Math" w:cs="Arial"/>
                <w:i/>
                <w:color w:val="auto"/>
                <w:sz w:val="24"/>
                <w:szCs w:val="24"/>
              </w:rPr>
            </m:ctrlPr>
          </m:e>
          <m:sub>
            <m:r>
              <m:rPr/>
              <w:rPr>
                <w:rFonts w:ascii="Cambria Math" w:hAnsi="Cambria Math" w:cs="Arial"/>
                <w:color w:val="auto"/>
                <w:sz w:val="24"/>
                <w:szCs w:val="24"/>
              </w:rPr>
              <m:t>Rd,c,t</m:t>
            </m:r>
            <m:ctrlPr>
              <w:rPr>
                <w:rFonts w:ascii="Cambria Math" w:hAnsi="Cambria Math" w:cs="Arial"/>
                <w:i/>
                <w:color w:val="auto"/>
                <w:sz w:val="24"/>
                <w:szCs w:val="24"/>
              </w:rPr>
            </m:ctrlPr>
          </m:sub>
        </m:sSub>
        <m:r>
          <m:rPr/>
          <w:rPr>
            <w:rFonts w:ascii="Cambria Math" w:hAnsi="Cambria Math" w:cs="Arial"/>
            <w:color w:val="auto"/>
            <w:sz w:val="24"/>
            <w:szCs w:val="24"/>
          </w:rPr>
          <m:t>=5.4</m:t>
        </m:r>
        <m:rad>
          <m:radPr>
            <m:degHide m:val="1"/>
            <m:ctrlPr>
              <w:rPr>
                <w:rFonts w:ascii="Cambria Math" w:hAnsi="Cambria Math" w:cs="Arial"/>
                <w:i/>
                <w:color w:val="auto"/>
                <w:sz w:val="24"/>
                <w:szCs w:val="24"/>
              </w:rPr>
            </m:ctrlPr>
          </m:radPr>
          <m:deg>
            <m:ctrlPr>
              <w:rPr>
                <w:rFonts w:ascii="Cambria Math" w:hAnsi="Cambria Math" w:cs="Arial"/>
                <w:i/>
                <w:color w:val="auto"/>
                <w:sz w:val="24"/>
                <w:szCs w:val="24"/>
              </w:rPr>
            </m:ctrlPr>
          </m:deg>
          <m:e>
            <m:sSub>
              <m:sSubPr>
                <m:ctrlPr>
                  <w:rPr>
                    <w:rFonts w:ascii="Cambria Math" w:hAnsi="Cambria Math" w:cs="Arial"/>
                    <w:i/>
                    <w:color w:val="auto"/>
                    <w:sz w:val="24"/>
                    <w:szCs w:val="24"/>
                  </w:rPr>
                </m:ctrlPr>
              </m:sSubPr>
              <m:e>
                <m:r>
                  <m:rPr/>
                  <w:rPr>
                    <w:rFonts w:ascii="Cambria Math" w:hAnsi="Cambria Math" w:cs="Arial"/>
                    <w:color w:val="auto"/>
                    <w:sz w:val="24"/>
                    <w:szCs w:val="24"/>
                  </w:rPr>
                  <m:t>f</m:t>
                </m:r>
                <m:ctrlPr>
                  <w:rPr>
                    <w:rFonts w:ascii="Cambria Math" w:hAnsi="Cambria Math" w:cs="Arial"/>
                    <w:i/>
                    <w:color w:val="auto"/>
                    <w:sz w:val="24"/>
                    <w:szCs w:val="24"/>
                  </w:rPr>
                </m:ctrlPr>
              </m:e>
              <m:sub>
                <m:r>
                  <m:rPr/>
                  <w:rPr>
                    <w:rFonts w:ascii="Cambria Math" w:hAnsi="Cambria Math" w:cs="Arial"/>
                    <w:color w:val="auto"/>
                    <w:sz w:val="24"/>
                    <w:szCs w:val="24"/>
                  </w:rPr>
                  <m:t>cu,k</m:t>
                </m:r>
                <m:ctrlPr>
                  <w:rPr>
                    <w:rFonts w:ascii="Cambria Math" w:hAnsi="Cambria Math" w:cs="Arial"/>
                    <w:i/>
                    <w:color w:val="auto"/>
                    <w:sz w:val="24"/>
                    <w:szCs w:val="24"/>
                  </w:rPr>
                </m:ctrlPr>
              </m:sub>
            </m:sSub>
            <m:ctrlPr>
              <w:rPr>
                <w:rFonts w:ascii="Cambria Math" w:hAnsi="Cambria Math" w:cs="Arial"/>
                <w:i/>
                <w:color w:val="auto"/>
                <w:sz w:val="24"/>
                <w:szCs w:val="24"/>
              </w:rPr>
            </m:ctrlPr>
          </m:e>
        </m:rad>
        <m:sSubSup>
          <m:sSubSupPr>
            <m:ctrlPr>
              <w:rPr>
                <w:rFonts w:ascii="Cambria Math" w:hAnsi="Cambria Math" w:cs="Arial"/>
                <w:i/>
                <w:color w:val="auto"/>
                <w:sz w:val="24"/>
                <w:szCs w:val="24"/>
              </w:rPr>
            </m:ctrlPr>
          </m:sSubSupPr>
          <m:e>
            <m:r>
              <m:rPr/>
              <w:rPr>
                <w:rFonts w:ascii="Cambria Math" w:hAnsi="Cambria Math" w:cs="Arial"/>
                <w:color w:val="auto"/>
                <w:sz w:val="24"/>
                <w:szCs w:val="24"/>
              </w:rPr>
              <m:t>l</m:t>
            </m:r>
            <m:ctrlPr>
              <w:rPr>
                <w:rFonts w:ascii="Cambria Math" w:hAnsi="Cambria Math" w:cs="Arial"/>
                <w:i/>
                <w:color w:val="auto"/>
                <w:sz w:val="24"/>
                <w:szCs w:val="24"/>
              </w:rPr>
            </m:ctrlPr>
          </m:e>
          <m:sub>
            <m:r>
              <m:rPr/>
              <w:rPr>
                <w:rFonts w:ascii="Cambria Math" w:hAnsi="Cambria Math" w:cs="Arial"/>
                <w:color w:val="auto"/>
                <w:sz w:val="24"/>
                <w:szCs w:val="24"/>
              </w:rPr>
              <m:t>d</m:t>
            </m:r>
            <m:ctrlPr>
              <w:rPr>
                <w:rFonts w:ascii="Cambria Math" w:hAnsi="Cambria Math" w:cs="Arial"/>
                <w:i/>
                <w:color w:val="auto"/>
                <w:sz w:val="24"/>
                <w:szCs w:val="24"/>
              </w:rPr>
            </m:ctrlPr>
          </m:sub>
          <m:sup>
            <m:r>
              <m:rPr/>
              <w:rPr>
                <w:rFonts w:ascii="Cambria Math" w:hAnsi="Cambria Math" w:cs="Arial"/>
                <w:color w:val="auto"/>
                <w:sz w:val="24"/>
                <w:szCs w:val="24"/>
              </w:rPr>
              <m:t>1.5</m:t>
            </m:r>
            <m:ctrlPr>
              <w:rPr>
                <w:rFonts w:ascii="Cambria Math" w:hAnsi="Cambria Math" w:cs="Arial"/>
                <w:i/>
                <w:color w:val="auto"/>
                <w:sz w:val="24"/>
                <w:szCs w:val="24"/>
              </w:rPr>
            </m:ctrlPr>
          </m:sup>
        </m:sSubSup>
      </m:oMath>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4.4.5-2）</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color w:val="000000" w:themeColor="text1"/>
          <w:sz w:val="24"/>
          <w:szCs w:val="24"/>
          <w14:textFill>
            <w14:solidFill>
              <w14:schemeClr w14:val="tx1"/>
            </w14:solidFill>
          </w14:textFill>
        </w:rPr>
      </w:pPr>
      <m:oMath>
        <m:sSub>
          <m:sSubPr>
            <m:ctrlPr>
              <w:rPr>
                <w:rFonts w:ascii="Cambria Math" w:hAnsi="Cambria Math" w:cs="Arial"/>
                <w:i/>
                <w:color w:val="auto"/>
                <w:sz w:val="22"/>
                <w:szCs w:val="22"/>
              </w:rPr>
            </m:ctrlPr>
          </m:sSubPr>
          <m:e>
            <m:r>
              <m:rPr/>
              <w:rPr>
                <w:rFonts w:ascii="Cambria Math" w:hAnsi="Cambria Math" w:cs="Arial"/>
                <w:color w:val="auto"/>
                <w:sz w:val="22"/>
                <w:szCs w:val="22"/>
              </w:rPr>
              <m:t>N</m:t>
            </m:r>
            <m:ctrlPr>
              <w:rPr>
                <w:rFonts w:ascii="Cambria Math" w:hAnsi="Cambria Math" w:cs="Arial"/>
                <w:i/>
                <w:color w:val="auto"/>
                <w:sz w:val="22"/>
                <w:szCs w:val="22"/>
              </w:rPr>
            </m:ctrlPr>
          </m:e>
          <m:sub>
            <m:r>
              <m:rPr/>
              <w:rPr>
                <w:rFonts w:ascii="Cambria Math" w:hAnsi="Cambria Math" w:cs="Arial"/>
                <w:color w:val="auto"/>
                <w:sz w:val="22"/>
                <w:szCs w:val="22"/>
              </w:rPr>
              <m:t>Rd,p,t</m:t>
            </m:r>
            <m:ctrlPr>
              <w:rPr>
                <w:rFonts w:ascii="Cambria Math" w:hAnsi="Cambria Math" w:cs="Arial"/>
                <w:i/>
                <w:color w:val="auto"/>
                <w:sz w:val="22"/>
                <w:szCs w:val="22"/>
              </w:rPr>
            </m:ctrlPr>
          </m:sub>
        </m:sSub>
        <m:r>
          <m:rPr/>
          <w:rPr>
            <w:rFonts w:ascii="Cambria Math" w:hAnsi="Cambria Math" w:cs="Arial"/>
            <w:color w:val="auto"/>
            <w:sz w:val="22"/>
            <w:szCs w:val="22"/>
          </w:rPr>
          <m:t>=3.3π∙d∙</m:t>
        </m:r>
        <m:sSub>
          <m:sSubPr>
            <m:ctrlPr>
              <w:rPr>
                <w:rFonts w:ascii="Cambria Math" w:hAnsi="Cambria Math" w:cs="Arial"/>
                <w:i/>
                <w:iCs/>
                <w:color w:val="auto"/>
                <w:sz w:val="22"/>
                <w:szCs w:val="22"/>
              </w:rPr>
            </m:ctrlPr>
          </m:sSubPr>
          <m:e>
            <m:r>
              <m:rPr/>
              <w:rPr>
                <w:rFonts w:ascii="Cambria Math" w:hAnsi="Cambria Math" w:cs="Arial"/>
                <w:color w:val="auto"/>
                <w:sz w:val="22"/>
                <w:szCs w:val="22"/>
              </w:rPr>
              <m:t>l</m:t>
            </m:r>
            <m:ctrlPr>
              <w:rPr>
                <w:rFonts w:ascii="Cambria Math" w:hAnsi="Cambria Math" w:cs="Arial"/>
                <w:i/>
                <w:iCs/>
                <w:color w:val="auto"/>
                <w:sz w:val="22"/>
                <w:szCs w:val="22"/>
              </w:rPr>
            </m:ctrlPr>
          </m:e>
          <m:sub>
            <m:r>
              <m:rPr/>
              <w:rPr>
                <w:rFonts w:ascii="Cambria Math" w:hAnsi="Cambria Math" w:cs="Arial"/>
                <w:color w:val="auto"/>
                <w:sz w:val="22"/>
                <w:szCs w:val="22"/>
              </w:rPr>
              <m:t>d</m:t>
            </m:r>
            <m:ctrlPr>
              <w:rPr>
                <w:rFonts w:ascii="Cambria Math" w:hAnsi="Cambria Math" w:cs="Arial"/>
                <w:i/>
                <w:iCs/>
                <w:color w:val="auto"/>
                <w:sz w:val="22"/>
                <w:szCs w:val="22"/>
              </w:rPr>
            </m:ctrlPr>
          </m:sub>
        </m:sSub>
      </m:oMath>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rFonts w:hint="eastAsia"/>
          <w:i/>
          <w:iCs/>
          <w:color w:val="000000" w:themeColor="text1"/>
          <w:sz w:val="24"/>
          <w:szCs w:val="24"/>
          <w:lang w:val="en-US" w:eastAsia="zh-CN"/>
          <w14:textFill>
            <w14:solidFill>
              <w14:schemeClr w14:val="tx1"/>
            </w14:solidFill>
          </w14:textFill>
        </w:rPr>
        <w:t xml:space="preserve">              </w:t>
      </w:r>
      <w:r>
        <w:rPr>
          <w:i/>
          <w:iCs/>
          <w:color w:val="000000" w:themeColor="text1"/>
          <w:sz w:val="24"/>
          <w:szCs w:val="24"/>
          <w14:textFill>
            <w14:solidFill>
              <w14:schemeClr w14:val="tx1"/>
            </w14:solidFill>
          </w14:textFill>
        </w:rPr>
        <w:tab/>
      </w:r>
      <w:r>
        <w:rPr>
          <w:i/>
          <w:iCs/>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4.4.5-3）</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0"/>
        <w:gridCol w:w="1008"/>
        <w:gridCol w:w="456"/>
        <w:gridCol w:w="60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0" w:type="dxa"/>
            <w:tcMar>
              <w:left w:w="29" w:type="dxa"/>
              <w:right w:w="43" w:type="dxa"/>
            </w:tcMar>
          </w:tcPr>
          <w:p>
            <w:pPr>
              <w:pStyle w:val="2"/>
              <w:ind w:left="0" w:leftChars="0" w:firstLine="0" w:firstLineChars="0"/>
              <w:rPr>
                <w:rFonts w:ascii="宋体" w:hAnsi="宋体"/>
                <w:color w:val="auto"/>
                <w:sz w:val="24"/>
                <w:szCs w:val="24"/>
              </w:rPr>
            </w:pPr>
            <w:r>
              <w:rPr>
                <w:rFonts w:ascii="宋体" w:hAnsi="宋体"/>
                <w:color w:val="auto"/>
                <w:sz w:val="24"/>
                <w:szCs w:val="24"/>
              </w:rPr>
              <w:t>式中</w:t>
            </w:r>
            <w:r>
              <w:rPr>
                <w:rFonts w:hint="eastAsia" w:ascii="宋体" w:hAnsi="宋体"/>
                <w:color w:val="auto"/>
                <w:sz w:val="24"/>
                <w:szCs w:val="24"/>
              </w:rPr>
              <w:t>：</w:t>
            </w:r>
          </w:p>
        </w:tc>
        <w:tc>
          <w:tcPr>
            <w:tcW w:w="1008"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cs="Arial"/>
                        <w:i/>
                        <w:color w:val="auto"/>
                        <w:sz w:val="24"/>
                        <w:szCs w:val="24"/>
                      </w:rPr>
                    </m:ctrlPr>
                  </m:sSubPr>
                  <m:e>
                    <m:r>
                      <m:rPr/>
                      <w:rPr>
                        <w:rFonts w:ascii="Cambria Math" w:hAnsi="Cambria Math" w:cs="Arial"/>
                        <w:color w:val="auto"/>
                        <w:sz w:val="24"/>
                        <w:szCs w:val="24"/>
                      </w:rPr>
                      <m:t>f</m:t>
                    </m:r>
                    <m:ctrlPr>
                      <w:rPr>
                        <w:rFonts w:ascii="Cambria Math" w:hAnsi="Cambria Math" w:cs="Arial"/>
                        <w:i/>
                        <w:color w:val="auto"/>
                        <w:sz w:val="24"/>
                        <w:szCs w:val="24"/>
                      </w:rPr>
                    </m:ctrlPr>
                  </m:e>
                  <m:sub>
                    <m:r>
                      <m:rPr/>
                      <w:rPr>
                        <w:rFonts w:ascii="Cambria Math" w:hAnsi="Cambria Math" w:cs="Arial"/>
                        <w:color w:val="auto"/>
                        <w:sz w:val="24"/>
                        <w:szCs w:val="24"/>
                      </w:rPr>
                      <m:t>cu,k</m:t>
                    </m:r>
                    <m:ctrlPr>
                      <w:rPr>
                        <w:rFonts w:ascii="Cambria Math" w:hAnsi="Cambria Math" w:cs="Arial"/>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32" w:type="dxa"/>
          </w:tcPr>
          <w:p>
            <w:pPr>
              <w:pStyle w:val="2"/>
              <w:ind w:left="0" w:leftChars="0" w:firstLine="0" w:firstLineChars="0"/>
              <w:rPr>
                <w:rFonts w:ascii="宋体" w:hAnsi="宋体"/>
                <w:color w:val="auto"/>
                <w:sz w:val="24"/>
                <w:szCs w:val="24"/>
              </w:rPr>
            </w:pPr>
            <w:r>
              <w:rPr>
                <w:rFonts w:hint="eastAsia"/>
                <w:color w:val="auto"/>
                <w:sz w:val="24"/>
                <w:szCs w:val="24"/>
              </w:rPr>
              <w:t>混凝土立方体抗压强度标准值（MPa）；</w:t>
            </w:r>
          </w:p>
        </w:tc>
      </w:tr>
    </w:tbl>
    <w:p>
      <w:pPr>
        <w:pStyle w:val="2"/>
        <w:spacing w:before="120" w:line="360" w:lineRule="auto"/>
        <w:ind w:left="0" w:leftChars="0" w:firstLine="0" w:firstLineChars="0"/>
        <w:rPr>
          <w:rFonts w:ascii="宋体" w:hAnsi="宋体"/>
          <w:i/>
          <w:iCs/>
          <w:color w:val="4472C4" w:themeColor="accent1"/>
          <w:sz w:val="24"/>
          <w:szCs w:val="24"/>
          <w14:textFill>
            <w14:solidFill>
              <w14:schemeClr w14:val="accent1"/>
            </w14:solidFill>
          </w14:textFill>
        </w:rPr>
      </w:pPr>
      <w:r>
        <w:rPr>
          <w:rFonts w:hint="eastAsia" w:ascii="宋体" w:hAnsi="宋体"/>
          <w:i/>
          <w:iCs/>
          <w:color w:val="4472C4" w:themeColor="accent1"/>
          <w:sz w:val="24"/>
          <w:szCs w:val="24"/>
          <w14:textFill>
            <w14:solidFill>
              <w14:schemeClr w14:val="accent1"/>
            </w14:solidFill>
          </w14:textFill>
        </w:rPr>
        <w:t>【条文说明】</w:t>
      </w:r>
      <w:r>
        <w:rPr>
          <w:rFonts w:hint="eastAsia" w:ascii="宋体" w:hAnsi="宋体"/>
          <w:b/>
          <w:bCs/>
          <w:i/>
          <w:iCs/>
          <w:color w:val="4472C4" w:themeColor="accent1"/>
          <w:sz w:val="24"/>
          <w:szCs w:val="24"/>
          <w14:textFill>
            <w14:solidFill>
              <w14:schemeClr w14:val="accent1"/>
            </w14:solidFill>
          </w14:textFill>
        </w:rPr>
        <w:t>4</w:t>
      </w:r>
      <w:r>
        <w:rPr>
          <w:rFonts w:ascii="宋体" w:hAnsi="宋体"/>
          <w:b/>
          <w:bCs/>
          <w:i/>
          <w:iCs/>
          <w:color w:val="4472C4" w:themeColor="accent1"/>
          <w:sz w:val="24"/>
          <w:szCs w:val="24"/>
          <w14:textFill>
            <w14:solidFill>
              <w14:schemeClr w14:val="accent1"/>
            </w14:solidFill>
          </w14:textFill>
        </w:rPr>
        <w:t>.4.5</w:t>
      </w:r>
      <w:r>
        <w:rPr>
          <w:rFonts w:ascii="宋体" w:hAnsi="宋体"/>
          <w:i/>
          <w:iCs/>
          <w:color w:val="4472C4" w:themeColor="accent1"/>
          <w:sz w:val="24"/>
          <w:szCs w:val="24"/>
          <w14:textFill>
            <w14:solidFill>
              <w14:schemeClr w14:val="accent1"/>
            </w14:solidFill>
          </w14:textFill>
        </w:rPr>
        <w:t xml:space="preserve"> </w:t>
      </w:r>
      <w:r>
        <w:rPr>
          <w:rFonts w:hint="eastAsia" w:ascii="宋体" w:hAnsi="宋体"/>
          <w:i/>
          <w:iCs/>
          <w:color w:val="4472C4" w:themeColor="accent1"/>
          <w:sz w:val="24"/>
          <w:szCs w:val="24"/>
          <w14:textFill>
            <w14:solidFill>
              <w14:schemeClr w14:val="accent1"/>
            </w14:solidFill>
          </w14:textFill>
        </w:rPr>
        <w:t>考虑到拉结植筋间距通常超过3倍有效锚固长度，且不会存在附加弯矩、边距等的影响，故对混凝土锥体破坏的承载力计算在基于锚栓混凝土锥体破坏承载力计算公式基础上进行了简化；粘结破坏的粘结强度采用现行行业标准《混凝土结构后锚固计术规程》JGJ</w:t>
      </w:r>
      <w:r>
        <w:rPr>
          <w:rFonts w:ascii="宋体" w:hAnsi="宋体"/>
          <w:i/>
          <w:iCs/>
          <w:color w:val="4472C4" w:themeColor="accent1"/>
          <w:sz w:val="24"/>
          <w:szCs w:val="24"/>
          <w14:textFill>
            <w14:solidFill>
              <w14:schemeClr w14:val="accent1"/>
            </w14:solidFill>
          </w14:textFill>
        </w:rPr>
        <w:t>145</w:t>
      </w:r>
      <w:r>
        <w:rPr>
          <w:rFonts w:hint="eastAsia" w:ascii="宋体" w:hAnsi="宋体"/>
          <w:i/>
          <w:iCs/>
          <w:color w:val="4472C4" w:themeColor="accent1"/>
          <w:sz w:val="24"/>
          <w:szCs w:val="24"/>
          <w14:textFill>
            <w14:solidFill>
              <w14:schemeClr w14:val="accent1"/>
            </w14:solidFill>
          </w14:textFill>
        </w:rPr>
        <w:t>中关于室内非开裂混凝土化学锚栓的粘结强度值；同时考虑拉结筋为非结构受力连接，钢材破坏的承载力分项系数别取1</w:t>
      </w:r>
      <w:r>
        <w:rPr>
          <w:rFonts w:ascii="宋体" w:hAnsi="宋体"/>
          <w:i/>
          <w:iCs/>
          <w:color w:val="4472C4" w:themeColor="accent1"/>
          <w:sz w:val="24"/>
          <w:szCs w:val="24"/>
          <w14:textFill>
            <w14:solidFill>
              <w14:schemeClr w14:val="accent1"/>
            </w14:solidFill>
          </w14:textFill>
        </w:rPr>
        <w:t>.2</w:t>
      </w:r>
      <w:r>
        <w:rPr>
          <w:rFonts w:hint="eastAsia" w:ascii="宋体" w:hAnsi="宋体"/>
          <w:i/>
          <w:iCs/>
          <w:color w:val="4472C4" w:themeColor="accent1"/>
          <w:sz w:val="24"/>
          <w:szCs w:val="24"/>
          <w14:textFill>
            <w14:solidFill>
              <w14:schemeClr w14:val="accent1"/>
            </w14:solidFill>
          </w14:textFill>
        </w:rPr>
        <w:t>，混凝土破坏和粘结破坏的承载力分项系数取1.8。</w:t>
      </w:r>
    </w:p>
    <w:p>
      <w:pPr>
        <w:pStyle w:val="2"/>
        <w:spacing w:before="120" w:line="360" w:lineRule="auto"/>
        <w:ind w:left="0" w:leftChars="0" w:firstLine="0" w:firstLineChars="0"/>
        <w:rPr>
          <w:color w:val="auto"/>
          <w:sz w:val="24"/>
          <w:szCs w:val="24"/>
        </w:rPr>
      </w:pPr>
      <w:r>
        <w:rPr>
          <w:rFonts w:hint="eastAsia"/>
          <w:b/>
          <w:bCs/>
          <w:color w:val="auto"/>
          <w:sz w:val="24"/>
          <w:szCs w:val="24"/>
        </w:rPr>
        <w:t>4.4</w:t>
      </w:r>
      <w:r>
        <w:rPr>
          <w:b/>
          <w:bCs/>
          <w:color w:val="auto"/>
          <w:sz w:val="24"/>
          <w:szCs w:val="24"/>
        </w:rPr>
        <w:t>.6</w:t>
      </w:r>
      <w:r>
        <w:rPr>
          <w:sz w:val="24"/>
          <w:szCs w:val="24"/>
        </w:rPr>
        <w:t xml:space="preserve"> </w:t>
      </w:r>
      <w:r>
        <w:rPr>
          <w:rFonts w:hint="eastAsia"/>
          <w:color w:val="auto"/>
          <w:sz w:val="24"/>
          <w:szCs w:val="24"/>
        </w:rPr>
        <w:t>新浇混凝土中的拉结钢筋的锚固长度</w:t>
      </w:r>
      <w:r>
        <w:rPr>
          <w:rFonts w:hint="eastAsia"/>
          <w:color w:val="auto"/>
          <w:sz w:val="24"/>
          <w:szCs w:val="24"/>
          <w:lang w:val="en-US" w:eastAsia="zh-CN"/>
        </w:rPr>
        <w:t>宜</w:t>
      </w:r>
      <w:r>
        <w:rPr>
          <w:rFonts w:hint="eastAsia"/>
          <w:color w:val="auto"/>
          <w:sz w:val="24"/>
          <w:szCs w:val="24"/>
        </w:rPr>
        <w:t>满足现行国家标准《混凝土结构设计规范》的有关要求。</w:t>
      </w:r>
    </w:p>
    <w:p>
      <w:pPr>
        <w:pStyle w:val="2"/>
        <w:spacing w:before="120" w:line="360" w:lineRule="auto"/>
        <w:ind w:left="0" w:leftChars="0" w:firstLine="0" w:firstLineChars="0"/>
        <w:rPr>
          <w:color w:val="auto"/>
          <w:sz w:val="24"/>
          <w:szCs w:val="24"/>
        </w:rPr>
      </w:pPr>
      <w:r>
        <w:rPr>
          <w:b/>
          <w:bCs/>
          <w:color w:val="auto"/>
          <w:sz w:val="24"/>
          <w:szCs w:val="24"/>
        </w:rPr>
        <w:t>4.4.7</w:t>
      </w:r>
      <w:r>
        <w:rPr>
          <w:color w:val="auto"/>
          <w:sz w:val="24"/>
          <w:szCs w:val="24"/>
        </w:rPr>
        <w:t xml:space="preserve"> </w:t>
      </w:r>
      <w:r>
        <w:rPr>
          <w:rFonts w:hint="eastAsia"/>
          <w:color w:val="auto"/>
          <w:sz w:val="24"/>
          <w:szCs w:val="24"/>
        </w:rPr>
        <w:t>拉结植筋的最低配筋率应满足</w:t>
      </w:r>
      <w:r>
        <w:rPr>
          <w:rFonts w:hint="eastAsia"/>
          <w:color w:val="auto"/>
          <w:sz w:val="24"/>
          <w:szCs w:val="24"/>
          <w:lang w:val="en-US" w:eastAsia="zh-CN"/>
        </w:rPr>
        <w:t>下列</w:t>
      </w:r>
      <w:r>
        <w:rPr>
          <w:rFonts w:hint="eastAsia"/>
          <w:color w:val="auto"/>
          <w:sz w:val="24"/>
          <w:szCs w:val="24"/>
        </w:rPr>
        <w:t>规定：</w:t>
      </w:r>
    </w:p>
    <w:p>
      <w:pPr>
        <w:pStyle w:val="2"/>
        <w:spacing w:before="120" w:line="360" w:lineRule="auto"/>
        <w:ind w:left="0" w:leftChars="0" w:firstLine="0" w:firstLineChars="0"/>
        <w:jc w:val="right"/>
        <w:rPr>
          <w:color w:val="auto"/>
          <w:sz w:val="24"/>
          <w:szCs w:val="24"/>
        </w:rPr>
      </w:pPr>
      <w:r>
        <w:rPr>
          <w:rFonts w:hint="eastAsia"/>
          <w:color w:val="auto"/>
          <w:sz w:val="24"/>
          <w:szCs w:val="24"/>
        </w:rPr>
        <w:t>通常情况，</w:t>
      </w:r>
      <w:r>
        <w:rPr>
          <w:color w:val="auto"/>
          <w:sz w:val="24"/>
          <w:szCs w:val="24"/>
        </w:rPr>
        <w:tab/>
      </w:r>
      <w:r>
        <w:rPr>
          <w:color w:val="auto"/>
          <w:sz w:val="24"/>
          <w:szCs w:val="24"/>
        </w:rPr>
        <w:tab/>
      </w:r>
      <w:r>
        <w:rPr>
          <w:color w:val="auto"/>
          <w:sz w:val="24"/>
          <w:szCs w:val="24"/>
        </w:rPr>
        <w:tab/>
      </w:r>
      <w:r>
        <w:rPr>
          <w:color w:val="auto"/>
          <w:sz w:val="24"/>
          <w:szCs w:val="24"/>
        </w:rPr>
        <w:tab/>
      </w:r>
      <m:oMath>
        <m:sSub>
          <m:sSubPr>
            <m:ctrlPr>
              <w:rPr>
                <w:rFonts w:ascii="Cambria Math" w:hAnsi="Cambria Math"/>
                <w:i/>
                <w:color w:val="auto"/>
                <w:sz w:val="24"/>
                <w:szCs w:val="24"/>
              </w:rPr>
            </m:ctrlPr>
          </m:sSubPr>
          <m:e>
            <m:r>
              <m:rPr/>
              <w:rPr>
                <w:rFonts w:ascii="Cambria Math" w:hAnsi="Cambria Math"/>
                <w:color w:val="auto"/>
                <w:sz w:val="24"/>
                <w:szCs w:val="24"/>
              </w:rPr>
              <m:t>ρ</m:t>
            </m:r>
            <m:ctrlPr>
              <w:rPr>
                <w:rFonts w:ascii="Cambria Math" w:hAnsi="Cambria Math"/>
                <w:i/>
                <w:color w:val="auto"/>
                <w:sz w:val="24"/>
                <w:szCs w:val="24"/>
              </w:rPr>
            </m:ctrlPr>
          </m:e>
          <m:sub>
            <m:r>
              <m:rPr/>
              <w:rPr>
                <w:rFonts w:ascii="Cambria Math" w:hAnsi="Cambria Math"/>
                <w:color w:val="auto"/>
                <w:sz w:val="24"/>
                <w:szCs w:val="24"/>
              </w:rPr>
              <m:t>min</m:t>
            </m:r>
            <m:ctrlPr>
              <w:rPr>
                <w:rFonts w:ascii="Cambria Math" w:hAnsi="Cambria Math"/>
                <w:i/>
                <w:color w:val="auto"/>
                <w:sz w:val="24"/>
                <w:szCs w:val="24"/>
              </w:rPr>
            </m:ctrlPr>
          </m:sub>
        </m:sSub>
        <m:r>
          <m:rPr/>
          <w:rPr>
            <w:rFonts w:ascii="Cambria Math" w:hAnsi="Cambria Math"/>
            <w:color w:val="auto"/>
            <w:sz w:val="24"/>
            <w:szCs w:val="24"/>
          </w:rPr>
          <m:t>=</m:t>
        </m:r>
        <m:func>
          <m:funcPr>
            <m:ctrlPr>
              <w:rPr>
                <w:rFonts w:ascii="Cambria Math" w:hAnsi="Cambria Math"/>
                <w:color w:val="auto"/>
                <w:sz w:val="24"/>
                <w:szCs w:val="24"/>
              </w:rPr>
            </m:ctrlPr>
          </m:funcPr>
          <m:fName>
            <m:r>
              <m:rPr>
                <m:sty m:val="p"/>
              </m:rPr>
              <w:rPr>
                <w:rFonts w:ascii="Cambria Math" w:hAnsi="Cambria Math"/>
                <w:color w:val="auto"/>
                <w:sz w:val="24"/>
                <w:szCs w:val="24"/>
              </w:rPr>
              <m:t>max</m:t>
            </m:r>
            <m:ctrlPr>
              <w:rPr>
                <w:rFonts w:ascii="Cambria Math" w:hAnsi="Cambria Math"/>
                <w:i/>
                <w:color w:val="auto"/>
                <w:sz w:val="24"/>
                <w:szCs w:val="24"/>
              </w:rPr>
            </m:ctrlPr>
          </m:fName>
          <m:e>
            <m:d>
              <m:dPr>
                <m:ctrlPr>
                  <w:rPr>
                    <w:rFonts w:ascii="Cambria Math" w:hAnsi="Cambria Math"/>
                    <w:i/>
                    <w:color w:val="auto"/>
                    <w:sz w:val="24"/>
                    <w:szCs w:val="24"/>
                  </w:rPr>
                </m:ctrlPr>
              </m:dPr>
              <m:e>
                <m:r>
                  <m:rPr/>
                  <w:rPr>
                    <w:rFonts w:ascii="Cambria Math" w:hAnsi="Cambria Math"/>
                    <w:color w:val="auto"/>
                    <w:sz w:val="24"/>
                    <w:szCs w:val="24"/>
                  </w:rPr>
                  <m:t>0.20∙</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ctm</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yk</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,0.001</m:t>
                </m:r>
                <m:ctrlPr>
                  <w:rPr>
                    <w:rFonts w:ascii="Cambria Math" w:hAnsi="Cambria Math"/>
                    <w:i/>
                    <w:color w:val="auto"/>
                    <w:sz w:val="24"/>
                    <w:szCs w:val="24"/>
                  </w:rPr>
                </m:ctrlPr>
              </m:e>
            </m:d>
            <m:ctrlPr>
              <w:rPr>
                <w:rFonts w:ascii="Cambria Math" w:hAnsi="Cambria Math"/>
                <w:color w:val="auto"/>
                <w:sz w:val="24"/>
                <w:szCs w:val="24"/>
              </w:rPr>
            </m:ctrlPr>
          </m:e>
        </m:func>
      </m:oMath>
      <w:r>
        <w:rPr>
          <w:color w:val="auto"/>
          <w:sz w:val="24"/>
          <w:szCs w:val="24"/>
        </w:rPr>
        <w:tab/>
      </w:r>
      <w:r>
        <w:rPr>
          <w:color w:val="auto"/>
          <w:sz w:val="24"/>
          <w:szCs w:val="24"/>
        </w:rPr>
        <w:tab/>
      </w:r>
      <w:r>
        <w:rPr>
          <w:color w:val="auto"/>
          <w:sz w:val="24"/>
          <w:szCs w:val="24"/>
        </w:rPr>
        <w:tab/>
      </w:r>
      <w:r>
        <w:rPr>
          <w:rFonts w:hint="eastAsia"/>
          <w:color w:val="auto"/>
          <w:sz w:val="24"/>
          <w:szCs w:val="24"/>
        </w:rPr>
        <w:t>（4</w:t>
      </w:r>
      <w:r>
        <w:rPr>
          <w:color w:val="auto"/>
          <w:sz w:val="24"/>
          <w:szCs w:val="24"/>
        </w:rPr>
        <w:t>.4.7-1</w:t>
      </w:r>
      <w:r>
        <w:rPr>
          <w:rFonts w:hint="eastAsia"/>
          <w:color w:val="auto"/>
          <w:sz w:val="24"/>
          <w:szCs w:val="24"/>
        </w:rPr>
        <w:t>）</w:t>
      </w:r>
    </w:p>
    <w:p>
      <w:pPr>
        <w:pStyle w:val="2"/>
        <w:spacing w:before="120" w:line="360" w:lineRule="auto"/>
        <w:ind w:left="0" w:leftChars="0" w:firstLineChars="0"/>
        <w:rPr>
          <w:color w:val="auto"/>
          <w:sz w:val="24"/>
          <w:szCs w:val="24"/>
        </w:rPr>
      </w:pPr>
      <w:r>
        <w:rPr>
          <w:rFonts w:hint="eastAsia"/>
          <w:color w:val="auto"/>
          <w:sz w:val="24"/>
          <w:szCs w:val="24"/>
        </w:rPr>
        <w:t>板或墙，</w:t>
      </w:r>
      <w:r>
        <w:rPr>
          <w:color w:val="auto"/>
          <w:sz w:val="24"/>
          <w:szCs w:val="24"/>
        </w:rPr>
        <w:tab/>
      </w:r>
      <w:r>
        <w:rPr>
          <w:color w:val="auto"/>
          <w:sz w:val="24"/>
          <w:szCs w:val="24"/>
        </w:rPr>
        <w:tab/>
      </w:r>
      <w:r>
        <w:rPr>
          <w:color w:val="auto"/>
          <w:sz w:val="24"/>
          <w:szCs w:val="24"/>
        </w:rPr>
        <w:tab/>
      </w:r>
      <w:r>
        <w:rPr>
          <w:color w:val="auto"/>
          <w:sz w:val="24"/>
          <w:szCs w:val="24"/>
        </w:rPr>
        <w:tab/>
      </w:r>
      <m:oMath>
        <m:sSub>
          <m:sSubPr>
            <m:ctrlPr>
              <w:rPr>
                <w:rFonts w:ascii="Cambria Math" w:hAnsi="Cambria Math"/>
                <w:i/>
                <w:color w:val="auto"/>
                <w:sz w:val="24"/>
                <w:szCs w:val="24"/>
              </w:rPr>
            </m:ctrlPr>
          </m:sSubPr>
          <m:e>
            <m:r>
              <m:rPr/>
              <w:rPr>
                <w:rFonts w:ascii="Cambria Math" w:hAnsi="Cambria Math"/>
                <w:color w:val="auto"/>
                <w:sz w:val="24"/>
                <w:szCs w:val="24"/>
              </w:rPr>
              <m:t>ρ</m:t>
            </m:r>
            <m:ctrlPr>
              <w:rPr>
                <w:rFonts w:ascii="Cambria Math" w:hAnsi="Cambria Math"/>
                <w:i/>
                <w:color w:val="auto"/>
                <w:sz w:val="24"/>
                <w:szCs w:val="24"/>
              </w:rPr>
            </m:ctrlPr>
          </m:e>
          <m:sub>
            <m:r>
              <m:rPr/>
              <w:rPr>
                <w:rFonts w:ascii="Cambria Math" w:hAnsi="Cambria Math"/>
                <w:color w:val="auto"/>
                <w:sz w:val="24"/>
                <w:szCs w:val="24"/>
              </w:rPr>
              <m:t>min</m:t>
            </m:r>
            <m:ctrlPr>
              <w:rPr>
                <w:rFonts w:ascii="Cambria Math" w:hAnsi="Cambria Math"/>
                <w:i/>
                <w:color w:val="auto"/>
                <w:sz w:val="24"/>
                <w:szCs w:val="24"/>
              </w:rPr>
            </m:ctrlPr>
          </m:sub>
        </m:sSub>
        <m:r>
          <m:rPr/>
          <w:rPr>
            <w:rFonts w:ascii="Cambria Math" w:hAnsi="Cambria Math"/>
            <w:color w:val="auto"/>
            <w:sz w:val="24"/>
            <w:szCs w:val="24"/>
          </w:rPr>
          <m:t>=</m:t>
        </m:r>
        <m:func>
          <m:funcPr>
            <m:ctrlPr>
              <w:rPr>
                <w:rFonts w:ascii="Cambria Math" w:hAnsi="Cambria Math"/>
                <w:color w:val="auto"/>
                <w:sz w:val="24"/>
                <w:szCs w:val="24"/>
              </w:rPr>
            </m:ctrlPr>
          </m:funcPr>
          <m:fName>
            <m:r>
              <m:rPr>
                <m:sty m:val="p"/>
              </m:rPr>
              <w:rPr>
                <w:rFonts w:ascii="Cambria Math" w:hAnsi="Cambria Math"/>
                <w:color w:val="auto"/>
                <w:sz w:val="24"/>
                <w:szCs w:val="24"/>
              </w:rPr>
              <m:t>max</m:t>
            </m:r>
            <m:ctrlPr>
              <w:rPr>
                <w:rFonts w:ascii="Cambria Math" w:hAnsi="Cambria Math"/>
                <w:i/>
                <w:color w:val="auto"/>
                <w:sz w:val="24"/>
                <w:szCs w:val="24"/>
              </w:rPr>
            </m:ctrlPr>
          </m:fName>
          <m:e>
            <m:d>
              <m:dPr>
                <m:ctrlPr>
                  <w:rPr>
                    <w:rFonts w:ascii="Cambria Math" w:hAnsi="Cambria Math"/>
                    <w:i/>
                    <w:color w:val="auto"/>
                    <w:sz w:val="24"/>
                    <w:szCs w:val="24"/>
                  </w:rPr>
                </m:ctrlPr>
              </m:dPr>
              <m:e>
                <m:r>
                  <m:rPr/>
                  <w:rPr>
                    <w:rFonts w:ascii="Cambria Math" w:hAnsi="Cambria Math"/>
                    <w:color w:val="auto"/>
                    <w:sz w:val="24"/>
                    <w:szCs w:val="24"/>
                  </w:rPr>
                  <m:t>0.12∙</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ctm</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yk</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,0.0005</m:t>
                </m:r>
                <m:ctrlPr>
                  <w:rPr>
                    <w:rFonts w:ascii="Cambria Math" w:hAnsi="Cambria Math"/>
                    <w:i/>
                    <w:color w:val="auto"/>
                    <w:sz w:val="24"/>
                    <w:szCs w:val="24"/>
                  </w:rPr>
                </m:ctrlPr>
              </m:e>
            </m:d>
            <m:ctrlPr>
              <w:rPr>
                <w:rFonts w:ascii="Cambria Math" w:hAnsi="Cambria Math"/>
                <w:color w:val="auto"/>
                <w:sz w:val="24"/>
                <w:szCs w:val="24"/>
              </w:rPr>
            </m:ctrlPr>
          </m:e>
        </m:func>
      </m:oMath>
      <w:r>
        <w:rPr>
          <w:color w:val="auto"/>
          <w:sz w:val="24"/>
          <w:szCs w:val="24"/>
        </w:rPr>
        <w:tab/>
      </w:r>
      <w:r>
        <w:rPr>
          <w:color w:val="auto"/>
          <w:sz w:val="24"/>
          <w:szCs w:val="24"/>
        </w:rPr>
        <w:tab/>
      </w:r>
      <w:r>
        <w:rPr>
          <w:color w:val="auto"/>
          <w:sz w:val="24"/>
          <w:szCs w:val="24"/>
        </w:rPr>
        <w:tab/>
      </w:r>
      <w:r>
        <w:rPr>
          <w:rFonts w:hint="eastAsia"/>
          <w:color w:val="auto"/>
          <w:sz w:val="24"/>
          <w:szCs w:val="24"/>
        </w:rPr>
        <w:t>（4</w:t>
      </w:r>
      <w:r>
        <w:rPr>
          <w:color w:val="auto"/>
          <w:sz w:val="24"/>
          <w:szCs w:val="24"/>
        </w:rPr>
        <w:t>.4.7-2</w:t>
      </w:r>
      <w:r>
        <w:rPr>
          <w:rFonts w:hint="eastAsia"/>
          <w:color w:val="auto"/>
          <w:sz w:val="24"/>
          <w:szCs w:val="24"/>
        </w:rPr>
        <w:t>）</w:t>
      </w:r>
    </w:p>
    <w:p>
      <w:pPr>
        <w:pStyle w:val="2"/>
        <w:spacing w:before="120" w:line="360" w:lineRule="auto"/>
        <w:ind w:left="0" w:leftChars="0" w:firstLineChars="0"/>
        <w:jc w:val="right"/>
        <w:rPr>
          <w:color w:val="auto"/>
          <w:sz w:val="24"/>
          <w:szCs w:val="24"/>
        </w:rPr>
      </w:pP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m:oMath>
        <m:sSub>
          <m:sSubPr>
            <m:ctrlPr>
              <w:rPr>
                <w:rFonts w:ascii="Cambria Math" w:hAnsi="Cambria Math"/>
                <w:i/>
                <w:color w:val="auto"/>
                <w:sz w:val="24"/>
                <w:szCs w:val="24"/>
              </w:rPr>
            </m:ctrlPr>
          </m:sSubPr>
          <m:e>
            <m:r>
              <m:rPr/>
              <w:rPr>
                <w:rFonts w:ascii="Cambria Math" w:hAnsi="Cambria Math"/>
                <w:color w:val="auto"/>
                <w:sz w:val="24"/>
                <w:szCs w:val="24"/>
              </w:rPr>
              <m:t>ρ</m:t>
            </m:r>
            <m:ctrlPr>
              <w:rPr>
                <w:rFonts w:ascii="Cambria Math" w:hAnsi="Cambria Math"/>
                <w:i/>
                <w:color w:val="auto"/>
                <w:sz w:val="24"/>
                <w:szCs w:val="24"/>
              </w:rPr>
            </m:ctrlPr>
          </m:e>
          <m:sub>
            <m:r>
              <m:rPr/>
              <w:rPr>
                <w:rFonts w:ascii="Cambria Math" w:hAnsi="Cambria Math"/>
                <w:color w:val="auto"/>
                <w:sz w:val="24"/>
                <w:szCs w:val="24"/>
              </w:rPr>
              <m:t>min</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hint="eastAsia" w:ascii="Cambria Math" w:hAnsi="Cambria Math"/>
                    <w:color w:val="auto"/>
                    <w:sz w:val="24"/>
                    <w:szCs w:val="24"/>
                  </w:rPr>
                  <m:t>A</m:t>
                </m:r>
                <m:ctrlPr>
                  <w:rPr>
                    <w:rFonts w:ascii="Cambria Math" w:hAnsi="Cambria Math"/>
                    <w:i/>
                    <w:color w:val="auto"/>
                    <w:sz w:val="24"/>
                    <w:szCs w:val="24"/>
                  </w:rPr>
                </m:ctrlPr>
              </m:e>
              <m:sub>
                <m:r>
                  <m:rPr/>
                  <w:rPr>
                    <w:rFonts w:hint="eastAsia" w:ascii="Cambria Math" w:hAnsi="Cambria Math"/>
                    <w:color w:val="auto"/>
                    <w:sz w:val="24"/>
                    <w:szCs w:val="24"/>
                  </w:rPr>
                  <m:t>s</m:t>
                </m:r>
                <m:r>
                  <m:rPr/>
                  <w:rPr>
                    <w:rFonts w:ascii="Cambria Math" w:hAnsi="Cambria Math"/>
                    <w:color w:val="auto"/>
                    <w:sz w:val="24"/>
                    <w:szCs w:val="24"/>
                  </w:rPr>
                  <m:t>,min</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Sub>
            <m:ctrlPr>
              <w:rPr>
                <w:rFonts w:ascii="Cambria Math" w:hAnsi="Cambria Math"/>
                <w:i/>
                <w:color w:val="auto"/>
                <w:sz w:val="24"/>
                <w:szCs w:val="24"/>
              </w:rPr>
            </m:ctrlPr>
          </m:den>
        </m:f>
      </m:oMath>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w:t>
      </w:r>
      <w:r>
        <w:rPr>
          <w:color w:val="auto"/>
          <w:sz w:val="24"/>
          <w:szCs w:val="24"/>
        </w:rPr>
        <w:t>.4.7-3</w:t>
      </w:r>
      <w:r>
        <w:rPr>
          <w:rFonts w:hint="eastAsia"/>
          <w:color w:val="auto"/>
          <w:sz w:val="24"/>
          <w:szCs w:val="24"/>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5"/>
        <w:gridCol w:w="920"/>
        <w:gridCol w:w="456"/>
        <w:gridCol w:w="6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5" w:type="dxa"/>
            <w:tcMar>
              <w:left w:w="29" w:type="dxa"/>
              <w:right w:w="43" w:type="dxa"/>
            </w:tcMar>
          </w:tcPr>
          <w:p>
            <w:pPr>
              <w:pStyle w:val="2"/>
              <w:ind w:left="0" w:leftChars="0" w:firstLine="0" w:firstLineChars="0"/>
              <w:rPr>
                <w:rFonts w:ascii="宋体" w:hAnsi="宋体"/>
                <w:color w:val="auto"/>
                <w:sz w:val="24"/>
                <w:szCs w:val="24"/>
              </w:rPr>
            </w:pPr>
            <w:r>
              <w:rPr>
                <w:rFonts w:ascii="宋体" w:hAnsi="宋体"/>
                <w:color w:val="auto"/>
                <w:sz w:val="24"/>
                <w:szCs w:val="24"/>
              </w:rPr>
              <w:t>式中</w:t>
            </w:r>
            <w:r>
              <w:rPr>
                <w:rFonts w:hint="eastAsia" w:ascii="宋体" w:hAnsi="宋体"/>
                <w:color w:val="auto"/>
                <w:sz w:val="24"/>
                <w:szCs w:val="24"/>
              </w:rPr>
              <w:t>：</w:t>
            </w:r>
          </w:p>
        </w:tc>
        <w:tc>
          <w:tcPr>
            <w:tcW w:w="920"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ρ</m:t>
                    </m:r>
                    <m:ctrlPr>
                      <w:rPr>
                        <w:rFonts w:ascii="Cambria Math" w:hAnsi="Cambria Math"/>
                        <w:i/>
                        <w:color w:val="auto"/>
                        <w:sz w:val="24"/>
                        <w:szCs w:val="24"/>
                      </w:rPr>
                    </m:ctrlPr>
                  </m:e>
                  <m:sub>
                    <m:r>
                      <m:rPr/>
                      <w:rPr>
                        <w:rFonts w:ascii="Cambria Math" w:hAnsi="Cambria Math"/>
                        <w:color w:val="auto"/>
                        <w:sz w:val="24"/>
                        <w:szCs w:val="24"/>
                      </w:rPr>
                      <m:t>min</m:t>
                    </m:r>
                    <m:ctrlPr>
                      <w:rPr>
                        <w:rFonts w:ascii="Cambria Math" w:hAnsi="Cambria Math"/>
                        <w:i/>
                        <w:color w:val="auto"/>
                        <w:sz w:val="24"/>
                        <w:szCs w:val="24"/>
                      </w:rPr>
                    </m:ctrlPr>
                  </m:sub>
                </m:sSub>
              </m:oMath>
            </m:oMathPara>
          </w:p>
        </w:tc>
        <w:tc>
          <w:tcPr>
            <w:tcW w:w="456" w:type="dxa"/>
          </w:tcPr>
          <w:p>
            <w:pPr>
              <w:pStyle w:val="2"/>
              <w:ind w:left="0" w:leftChars="0" w:firstLine="0" w:firstLineChars="0"/>
              <w:rPr>
                <w:rFonts w:ascii="宋体" w:hAnsi="宋体"/>
                <w:color w:val="auto"/>
                <w:sz w:val="24"/>
                <w:szCs w:val="24"/>
              </w:rPr>
            </w:pPr>
            <w:r>
              <w:rPr>
                <w:color w:val="auto"/>
                <w:sz w:val="24"/>
                <w:szCs w:val="24"/>
              </w:rPr>
              <w:t>—</w:t>
            </w:r>
          </w:p>
        </w:tc>
        <w:tc>
          <w:tcPr>
            <w:tcW w:w="6025" w:type="dxa"/>
          </w:tcPr>
          <w:p>
            <w:pPr>
              <w:pStyle w:val="2"/>
              <w:ind w:left="0" w:leftChars="0" w:firstLine="0" w:firstLineChars="0"/>
              <w:rPr>
                <w:rFonts w:ascii="宋体" w:hAnsi="宋体"/>
                <w:color w:val="auto"/>
                <w:sz w:val="24"/>
                <w:szCs w:val="24"/>
              </w:rPr>
            </w:pPr>
            <w:r>
              <w:rPr>
                <w:rFonts w:hint="eastAsia" w:ascii="宋体" w:hAnsi="宋体"/>
                <w:color w:val="auto"/>
                <w:sz w:val="24"/>
                <w:szCs w:val="24"/>
              </w:rPr>
              <w:t>拉结钢筋的最低配筋率；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5" w:type="dxa"/>
            <w:tcMar>
              <w:left w:w="29" w:type="dxa"/>
              <w:right w:w="43" w:type="dxa"/>
            </w:tcMar>
          </w:tcPr>
          <w:p>
            <w:pPr>
              <w:pStyle w:val="2"/>
              <w:ind w:left="0" w:leftChars="0" w:firstLine="0" w:firstLineChars="0"/>
              <w:rPr>
                <w:rFonts w:ascii="宋体" w:hAnsi="宋体"/>
                <w:color w:val="auto"/>
                <w:sz w:val="24"/>
                <w:szCs w:val="24"/>
              </w:rPr>
            </w:pPr>
          </w:p>
        </w:tc>
        <w:tc>
          <w:tcPr>
            <w:tcW w:w="920"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cs="Arial"/>
                        <w:i/>
                        <w:color w:val="auto"/>
                        <w:sz w:val="24"/>
                        <w:szCs w:val="24"/>
                      </w:rPr>
                    </m:ctrlPr>
                  </m:sSubPr>
                  <m:e>
                    <m:r>
                      <m:rPr/>
                      <w:rPr>
                        <w:rFonts w:ascii="Cambria Math" w:hAnsi="Cambria Math" w:cs="Arial"/>
                        <w:color w:val="auto"/>
                        <w:sz w:val="24"/>
                        <w:szCs w:val="24"/>
                      </w:rPr>
                      <m:t>f</m:t>
                    </m:r>
                    <m:ctrlPr>
                      <w:rPr>
                        <w:rFonts w:ascii="Cambria Math" w:hAnsi="Cambria Math" w:cs="Arial"/>
                        <w:i/>
                        <w:color w:val="auto"/>
                        <w:sz w:val="24"/>
                        <w:szCs w:val="24"/>
                      </w:rPr>
                    </m:ctrlPr>
                  </m:e>
                  <m:sub>
                    <m:r>
                      <m:rPr/>
                      <w:rPr>
                        <w:rFonts w:ascii="Cambria Math" w:hAnsi="Cambria Math" w:cs="Arial"/>
                        <w:color w:val="auto"/>
                        <w:sz w:val="24"/>
                        <w:szCs w:val="24"/>
                      </w:rPr>
                      <m:t>ctm</m:t>
                    </m:r>
                    <m:ctrlPr>
                      <w:rPr>
                        <w:rFonts w:ascii="Cambria Math" w:hAnsi="Cambria Math" w:cs="Arial"/>
                        <w:i/>
                        <w:color w:val="auto"/>
                        <w:sz w:val="24"/>
                        <w:szCs w:val="24"/>
                      </w:rPr>
                    </m:ctrlPr>
                  </m:sub>
                </m:sSub>
              </m:oMath>
            </m:oMathPara>
          </w:p>
        </w:tc>
        <w:tc>
          <w:tcPr>
            <w:tcW w:w="456" w:type="dxa"/>
          </w:tcPr>
          <w:p>
            <w:pPr>
              <w:pStyle w:val="2"/>
              <w:ind w:left="0" w:leftChars="0" w:firstLine="0" w:firstLineChars="0"/>
              <w:rPr>
                <w:color w:val="auto"/>
                <w:sz w:val="24"/>
                <w:szCs w:val="24"/>
              </w:rPr>
            </w:pPr>
            <w:r>
              <w:rPr>
                <w:color w:val="auto"/>
                <w:sz w:val="24"/>
                <w:szCs w:val="24"/>
              </w:rPr>
              <w:t>—</w:t>
            </w:r>
          </w:p>
        </w:tc>
        <w:tc>
          <w:tcPr>
            <w:tcW w:w="6025" w:type="dxa"/>
          </w:tcPr>
          <w:p>
            <w:pPr>
              <w:pStyle w:val="2"/>
              <w:ind w:left="0" w:leftChars="0" w:firstLine="0" w:firstLineChars="0"/>
              <w:rPr>
                <w:color w:val="auto"/>
                <w:sz w:val="24"/>
                <w:szCs w:val="24"/>
              </w:rPr>
            </w:pPr>
            <w:r>
              <w:rPr>
                <w:rFonts w:hint="eastAsia"/>
                <w:color w:val="auto"/>
                <w:sz w:val="24"/>
                <w:szCs w:val="24"/>
              </w:rPr>
              <w:t>混凝土抗拉强度平均值（MPa）；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5" w:type="dxa"/>
            <w:tcMar>
              <w:left w:w="29" w:type="dxa"/>
              <w:right w:w="43" w:type="dxa"/>
            </w:tcMar>
          </w:tcPr>
          <w:p>
            <w:pPr>
              <w:pStyle w:val="2"/>
              <w:ind w:left="0" w:leftChars="0" w:firstLine="0" w:firstLineChars="0"/>
              <w:rPr>
                <w:rFonts w:ascii="宋体" w:hAnsi="宋体"/>
                <w:color w:val="auto"/>
                <w:sz w:val="24"/>
                <w:szCs w:val="24"/>
              </w:rPr>
            </w:pPr>
          </w:p>
        </w:tc>
        <w:tc>
          <w:tcPr>
            <w:tcW w:w="920"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hint="eastAsia" w:ascii="Cambria Math" w:hAnsi="Cambria Math"/>
                        <w:color w:val="auto"/>
                        <w:sz w:val="24"/>
                        <w:szCs w:val="24"/>
                      </w:rPr>
                      <m:t>A</m:t>
                    </m:r>
                    <m:ctrlPr>
                      <w:rPr>
                        <w:rFonts w:ascii="Cambria Math" w:hAnsi="Cambria Math"/>
                        <w:i/>
                        <w:color w:val="auto"/>
                        <w:sz w:val="24"/>
                        <w:szCs w:val="24"/>
                      </w:rPr>
                    </m:ctrlPr>
                  </m:e>
                  <m:sub>
                    <m:r>
                      <m:rPr/>
                      <w:rPr>
                        <w:rFonts w:hint="eastAsia" w:ascii="Cambria Math" w:hAnsi="Cambria Math"/>
                        <w:color w:val="auto"/>
                        <w:sz w:val="24"/>
                        <w:szCs w:val="24"/>
                      </w:rPr>
                      <m:t>s</m:t>
                    </m:r>
                    <m:r>
                      <m:rPr/>
                      <w:rPr>
                        <w:rFonts w:ascii="Cambria Math" w:hAnsi="Cambria Math"/>
                        <w:color w:val="auto"/>
                        <w:sz w:val="24"/>
                        <w:szCs w:val="24"/>
                      </w:rPr>
                      <m:t>,min</m:t>
                    </m:r>
                    <m:ctrlPr>
                      <w:rPr>
                        <w:rFonts w:ascii="Cambria Math" w:hAnsi="Cambria Math"/>
                        <w:i/>
                        <w:color w:val="auto"/>
                        <w:sz w:val="24"/>
                        <w:szCs w:val="24"/>
                      </w:rPr>
                    </m:ctrlPr>
                  </m:sub>
                </m:sSub>
              </m:oMath>
            </m:oMathPara>
          </w:p>
        </w:tc>
        <w:tc>
          <w:tcPr>
            <w:tcW w:w="456" w:type="dxa"/>
          </w:tcPr>
          <w:p>
            <w:pPr>
              <w:pStyle w:val="2"/>
              <w:ind w:left="0" w:leftChars="0" w:firstLine="0" w:firstLineChars="0"/>
              <w:rPr>
                <w:color w:val="auto"/>
                <w:sz w:val="24"/>
                <w:szCs w:val="24"/>
              </w:rPr>
            </w:pPr>
            <w:r>
              <w:rPr>
                <w:color w:val="auto"/>
                <w:sz w:val="24"/>
                <w:szCs w:val="24"/>
              </w:rPr>
              <w:t>—</w:t>
            </w:r>
          </w:p>
        </w:tc>
        <w:tc>
          <w:tcPr>
            <w:tcW w:w="6025" w:type="dxa"/>
          </w:tcPr>
          <w:p>
            <w:pPr>
              <w:pStyle w:val="2"/>
              <w:ind w:left="0" w:leftChars="0" w:firstLine="0" w:firstLineChars="0"/>
              <w:rPr>
                <w:color w:val="auto"/>
                <w:sz w:val="24"/>
                <w:szCs w:val="24"/>
              </w:rPr>
            </w:pPr>
            <w:r>
              <w:rPr>
                <w:rFonts w:hint="eastAsia"/>
                <w:color w:val="auto"/>
                <w:sz w:val="24"/>
                <w:szCs w:val="24"/>
              </w:rPr>
              <w:t>新、旧混凝土单位界面上的最小拉结筋截面积（mm</w:t>
            </w:r>
            <w:r>
              <w:rPr>
                <w:color w:val="auto"/>
                <w:sz w:val="24"/>
                <w:szCs w:val="24"/>
                <w:vertAlign w:val="superscript"/>
              </w:rPr>
              <w:t>2</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5" w:type="dxa"/>
            <w:tcMar>
              <w:left w:w="29" w:type="dxa"/>
              <w:right w:w="43" w:type="dxa"/>
            </w:tcMar>
          </w:tcPr>
          <w:p>
            <w:pPr>
              <w:pStyle w:val="2"/>
              <w:ind w:left="0" w:leftChars="0" w:firstLine="0" w:firstLineChars="0"/>
              <w:rPr>
                <w:rFonts w:ascii="宋体" w:hAnsi="宋体"/>
                <w:color w:val="auto"/>
                <w:sz w:val="24"/>
                <w:szCs w:val="24"/>
              </w:rPr>
            </w:pPr>
          </w:p>
        </w:tc>
        <w:tc>
          <w:tcPr>
            <w:tcW w:w="920" w:type="dxa"/>
          </w:tcPr>
          <w:p>
            <w:pPr>
              <w:pStyle w:val="2"/>
              <w:ind w:left="0" w:leftChars="0" w:firstLine="0" w:firstLineChars="0"/>
              <w:rPr>
                <w:rFonts w:ascii="宋体" w:hAnsi="宋体"/>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A</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Sub>
              </m:oMath>
            </m:oMathPara>
          </w:p>
        </w:tc>
        <w:tc>
          <w:tcPr>
            <w:tcW w:w="456" w:type="dxa"/>
          </w:tcPr>
          <w:p>
            <w:pPr>
              <w:pStyle w:val="2"/>
              <w:ind w:left="0" w:leftChars="0" w:firstLine="0" w:firstLineChars="0"/>
              <w:rPr>
                <w:color w:val="auto"/>
                <w:sz w:val="24"/>
                <w:szCs w:val="24"/>
              </w:rPr>
            </w:pPr>
            <w:r>
              <w:rPr>
                <w:color w:val="auto"/>
                <w:sz w:val="24"/>
                <w:szCs w:val="24"/>
              </w:rPr>
              <w:t>—</w:t>
            </w:r>
          </w:p>
        </w:tc>
        <w:tc>
          <w:tcPr>
            <w:tcW w:w="6025" w:type="dxa"/>
          </w:tcPr>
          <w:p>
            <w:pPr>
              <w:pStyle w:val="2"/>
              <w:ind w:left="0" w:leftChars="0" w:firstLine="0" w:firstLineChars="0"/>
              <w:rPr>
                <w:color w:val="auto"/>
                <w:sz w:val="24"/>
                <w:szCs w:val="24"/>
              </w:rPr>
            </w:pPr>
            <w:r>
              <w:rPr>
                <w:rFonts w:hint="eastAsia"/>
                <w:color w:val="auto"/>
                <w:sz w:val="24"/>
                <w:szCs w:val="24"/>
              </w:rPr>
              <w:t>新、旧混凝土单位界面面积（mm</w:t>
            </w:r>
            <w:r>
              <w:rPr>
                <w:color w:val="auto"/>
                <w:sz w:val="24"/>
                <w:szCs w:val="24"/>
                <w:vertAlign w:val="superscript"/>
              </w:rPr>
              <w:t>2</w:t>
            </w:r>
            <w:r>
              <w:rPr>
                <w:rFonts w:hint="eastAsia"/>
                <w:color w:val="auto"/>
                <w:sz w:val="24"/>
                <w:szCs w:val="24"/>
              </w:rPr>
              <w:t>）。</w:t>
            </w:r>
          </w:p>
        </w:tc>
      </w:tr>
    </w:tbl>
    <w:p>
      <w:pPr>
        <w:pStyle w:val="2"/>
        <w:spacing w:before="120" w:line="360" w:lineRule="auto"/>
        <w:ind w:left="0" w:leftChars="0" w:firstLine="0" w:firstLineChars="0"/>
        <w:rPr>
          <w:i/>
          <w:iCs/>
          <w:color w:val="4472C4" w:themeColor="accent1"/>
          <w:sz w:val="24"/>
          <w:szCs w:val="24"/>
          <w14:textFill>
            <w14:solidFill>
              <w14:schemeClr w14:val="accent1"/>
            </w14:solidFill>
          </w14:textFill>
        </w:rPr>
      </w:pPr>
      <w:r>
        <w:rPr>
          <w:rFonts w:hint="eastAsia"/>
          <w:b/>
          <w:bCs/>
          <w:i/>
          <w:iCs/>
          <w:color w:val="4472C4" w:themeColor="accent1"/>
          <w:sz w:val="24"/>
          <w:szCs w:val="24"/>
          <w14:textFill>
            <w14:solidFill>
              <w14:schemeClr w14:val="accent1"/>
            </w14:solidFill>
          </w14:textFill>
        </w:rPr>
        <w:t>【条文说明】4</w:t>
      </w:r>
      <w:r>
        <w:rPr>
          <w:b/>
          <w:bCs/>
          <w:i/>
          <w:iCs/>
          <w:color w:val="4472C4" w:themeColor="accent1"/>
          <w:sz w:val="24"/>
          <w:szCs w:val="24"/>
          <w14:textFill>
            <w14:solidFill>
              <w14:schemeClr w14:val="accent1"/>
            </w14:solidFill>
          </w14:textFill>
        </w:rPr>
        <w:t>.4.7</w:t>
      </w:r>
      <w:r>
        <w:rPr>
          <w:i/>
          <w:iCs/>
          <w:color w:val="4472C4" w:themeColor="accent1"/>
          <w:sz w:val="24"/>
          <w:szCs w:val="24"/>
          <w14:textFill>
            <w14:solidFill>
              <w14:schemeClr w14:val="accent1"/>
            </w14:solidFill>
          </w14:textFill>
        </w:rPr>
        <w:t xml:space="preserve"> </w:t>
      </w:r>
      <w:r>
        <w:rPr>
          <w:rFonts w:hint="eastAsia"/>
          <w:i/>
          <w:iCs/>
          <w:color w:val="4472C4" w:themeColor="accent1"/>
          <w:sz w:val="24"/>
          <w:szCs w:val="24"/>
          <w14:textFill>
            <w14:solidFill>
              <w14:schemeClr w14:val="accent1"/>
            </w14:solidFill>
          </w14:textFill>
        </w:rPr>
        <w:t>对于板、墙等双向受力构件一般不</w:t>
      </w:r>
      <w:r>
        <w:rPr>
          <w:rFonts w:hint="eastAsia"/>
          <w:i/>
          <w:iCs/>
          <w:color w:val="4472C4" w:themeColor="accent1"/>
          <w:sz w:val="24"/>
          <w:szCs w:val="24"/>
          <w:lang w:val="en-US" w:eastAsia="zh-CN"/>
          <w14:textFill>
            <w14:solidFill>
              <w14:schemeClr w14:val="accent1"/>
            </w14:solidFill>
          </w14:textFill>
        </w:rPr>
        <w:t>易</w:t>
      </w:r>
      <w:r>
        <w:rPr>
          <w:rFonts w:hint="eastAsia"/>
          <w:i/>
          <w:iCs/>
          <w:color w:val="4472C4" w:themeColor="accent1"/>
          <w:sz w:val="24"/>
          <w:szCs w:val="24"/>
          <w14:textFill>
            <w14:solidFill>
              <w14:schemeClr w14:val="accent1"/>
            </w14:solidFill>
          </w14:textFill>
        </w:rPr>
        <w:t>发生粘结</w:t>
      </w:r>
      <w:r>
        <w:rPr>
          <w:rFonts w:hint="eastAsia"/>
          <w:i/>
          <w:iCs/>
          <w:color w:val="4472C4" w:themeColor="accent1"/>
          <w:sz w:val="24"/>
          <w:szCs w:val="24"/>
          <w:lang w:val="en-US" w:eastAsia="zh-CN"/>
          <w14:textFill>
            <w14:solidFill>
              <w14:schemeClr w14:val="accent1"/>
            </w14:solidFill>
          </w14:textFill>
        </w:rPr>
        <w:t>失效</w:t>
      </w:r>
      <w:r>
        <w:rPr>
          <w:rFonts w:hint="eastAsia"/>
          <w:i/>
          <w:iCs/>
          <w:color w:val="4472C4" w:themeColor="accent1"/>
          <w:sz w:val="24"/>
          <w:szCs w:val="24"/>
          <w14:textFill>
            <w14:solidFill>
              <w14:schemeClr w14:val="accent1"/>
            </w14:solidFill>
          </w14:textFill>
        </w:rPr>
        <w:t>。因此，相对于梁、柱等线性构件，最低配筋率可以减半。</w:t>
      </w:r>
    </w:p>
    <w:p>
      <w:pPr>
        <w:pStyle w:val="2"/>
        <w:spacing w:before="120" w:line="360" w:lineRule="auto"/>
        <w:ind w:left="0" w:leftChars="0" w:firstLine="0" w:firstLineChars="0"/>
        <w:rPr>
          <w:color w:val="auto"/>
          <w:sz w:val="24"/>
          <w:szCs w:val="24"/>
        </w:rPr>
      </w:pPr>
      <w:r>
        <w:rPr>
          <w:b/>
          <w:bCs/>
          <w:color w:val="auto"/>
          <w:sz w:val="24"/>
          <w:szCs w:val="24"/>
        </w:rPr>
        <w:t>4.4.8</w:t>
      </w:r>
      <w:r>
        <w:rPr>
          <w:color w:val="auto"/>
          <w:sz w:val="24"/>
          <w:szCs w:val="24"/>
        </w:rPr>
        <w:t xml:space="preserve"> </w:t>
      </w:r>
      <w:r>
        <w:rPr>
          <w:rFonts w:hint="eastAsia"/>
          <w:color w:val="auto"/>
          <w:sz w:val="24"/>
          <w:szCs w:val="24"/>
        </w:rPr>
        <w:t>拉结植筋最小保护层厚度和净间距不应小于5</w:t>
      </w:r>
      <w:r>
        <w:rPr>
          <w:rFonts w:hint="eastAsia"/>
          <w:i/>
          <w:iCs/>
          <w:color w:val="auto"/>
          <w:sz w:val="24"/>
          <w:szCs w:val="24"/>
        </w:rPr>
        <w:t>d</w:t>
      </w:r>
      <w:r>
        <w:rPr>
          <w:rFonts w:hint="eastAsia"/>
          <w:color w:val="auto"/>
          <w:sz w:val="24"/>
          <w:szCs w:val="24"/>
        </w:rPr>
        <w:t>。</w:t>
      </w:r>
    </w:p>
    <w:p>
      <w:pPr>
        <w:pStyle w:val="2"/>
        <w:spacing w:before="120" w:line="360" w:lineRule="auto"/>
        <w:ind w:left="0" w:leftChars="0" w:firstLine="0" w:firstLineChars="0"/>
        <w:rPr>
          <w:color w:val="auto"/>
          <w:sz w:val="24"/>
          <w:szCs w:val="24"/>
        </w:rPr>
      </w:pPr>
      <w:r>
        <w:rPr>
          <w:rFonts w:hint="eastAsia"/>
          <w:b/>
          <w:bCs/>
          <w:i/>
          <w:iCs/>
          <w:color w:val="4472C4" w:themeColor="accent1"/>
          <w:sz w:val="24"/>
          <w:szCs w:val="24"/>
          <w14:textFill>
            <w14:solidFill>
              <w14:schemeClr w14:val="accent1"/>
            </w14:solidFill>
          </w14:textFill>
        </w:rPr>
        <w:t>【条文说明】4</w:t>
      </w:r>
      <w:r>
        <w:rPr>
          <w:b/>
          <w:bCs/>
          <w:i/>
          <w:iCs/>
          <w:color w:val="4472C4" w:themeColor="accent1"/>
          <w:sz w:val="24"/>
          <w:szCs w:val="24"/>
          <w14:textFill>
            <w14:solidFill>
              <w14:schemeClr w14:val="accent1"/>
            </w14:solidFill>
          </w14:textFill>
        </w:rPr>
        <w:t>.4.8</w:t>
      </w:r>
      <w:r>
        <w:rPr>
          <w:i/>
          <w:iCs/>
          <w:color w:val="4472C4" w:themeColor="accent1"/>
          <w:sz w:val="24"/>
          <w:szCs w:val="24"/>
          <w14:textFill>
            <w14:solidFill>
              <w14:schemeClr w14:val="accent1"/>
            </w14:solidFill>
          </w14:textFill>
        </w:rPr>
        <w:t xml:space="preserve"> </w:t>
      </w:r>
      <w:r>
        <w:rPr>
          <w:rFonts w:hint="eastAsia"/>
          <w:i/>
          <w:iCs/>
          <w:color w:val="4472C4" w:themeColor="accent1"/>
          <w:sz w:val="24"/>
          <w:szCs w:val="24"/>
          <w14:textFill>
            <w14:solidFill>
              <w14:schemeClr w14:val="accent1"/>
            </w14:solidFill>
          </w14:textFill>
        </w:rPr>
        <w:t>本规定为避免拉结筋过密或离边缘太近而导致基材混凝土发生劈裂破坏。</w:t>
      </w:r>
    </w:p>
    <w:p>
      <w:pPr>
        <w:pStyle w:val="5"/>
      </w:pPr>
      <w:bookmarkStart w:id="40" w:name="_Toc10511"/>
      <w:bookmarkStart w:id="41" w:name="_Toc145273814"/>
      <w:r>
        <w:t>4</w:t>
      </w:r>
      <w:r>
        <w:rPr>
          <w:rFonts w:hint="eastAsia"/>
        </w:rPr>
        <w:t>.5 火灾下的植筋锚固计算</w:t>
      </w:r>
      <w:bookmarkEnd w:id="40"/>
      <w:bookmarkEnd w:id="41"/>
      <w:r>
        <w:rPr>
          <w:rFonts w:hint="eastAsia"/>
        </w:rPr>
        <w:t xml:space="preserve"> </w:t>
      </w:r>
    </w:p>
    <w:p>
      <w:pPr>
        <w:spacing w:before="120" w:after="0" w:line="360" w:lineRule="auto"/>
        <w:rPr>
          <w:color w:val="auto"/>
          <w:sz w:val="24"/>
          <w:szCs w:val="24"/>
        </w:rPr>
      </w:pPr>
      <w:r>
        <w:rPr>
          <w:rFonts w:hint="eastAsia"/>
          <w:b/>
          <w:bCs/>
          <w:color w:val="auto"/>
          <w:sz w:val="24"/>
          <w:szCs w:val="24"/>
        </w:rPr>
        <w:t>4.5.</w:t>
      </w:r>
      <w:r>
        <w:rPr>
          <w:b/>
          <w:bCs/>
          <w:color w:val="auto"/>
          <w:sz w:val="24"/>
          <w:szCs w:val="24"/>
        </w:rPr>
        <w:t>1</w:t>
      </w:r>
      <w:r>
        <w:rPr>
          <w:color w:val="auto"/>
          <w:sz w:val="24"/>
          <w:szCs w:val="24"/>
        </w:rPr>
        <w:t xml:space="preserve"> </w:t>
      </w:r>
      <w:r>
        <w:rPr>
          <w:rFonts w:hint="eastAsia"/>
          <w:color w:val="auto"/>
          <w:sz w:val="24"/>
          <w:szCs w:val="24"/>
        </w:rPr>
        <w:t>火灾下植筋的锚固计算应符合下列规定：</w:t>
      </w:r>
    </w:p>
    <w:p>
      <w:pPr>
        <w:spacing w:before="120" w:after="0" w:line="360" w:lineRule="auto"/>
        <w:ind w:left="0" w:leftChars="0" w:firstLine="420" w:firstLineChars="175"/>
        <w:rPr>
          <w:color w:val="auto"/>
          <w:sz w:val="24"/>
          <w:szCs w:val="24"/>
        </w:rPr>
      </w:pPr>
      <w:r>
        <w:rPr>
          <w:rFonts w:hint="eastAsia"/>
          <w:color w:val="auto"/>
          <w:sz w:val="24"/>
          <w:szCs w:val="24"/>
        </w:rPr>
        <w:t>1</w:t>
      </w:r>
      <w:r>
        <w:rPr>
          <w:rFonts w:hint="eastAsia"/>
          <w:color w:val="auto"/>
          <w:sz w:val="24"/>
          <w:szCs w:val="24"/>
          <w:lang w:val="en-US" w:eastAsia="zh-CN"/>
        </w:rPr>
        <w:t xml:space="preserve"> </w:t>
      </w:r>
      <w:r>
        <w:rPr>
          <w:rFonts w:hint="eastAsia"/>
          <w:color w:val="auto"/>
          <w:sz w:val="24"/>
          <w:szCs w:val="24"/>
        </w:rPr>
        <w:t>应根据植筋的锚固情况和锚固部位的受火情况计算植筋锚固范围内的温度场分布；</w:t>
      </w:r>
    </w:p>
    <w:p>
      <w:pPr>
        <w:spacing w:before="120" w:after="0" w:line="360" w:lineRule="auto"/>
        <w:ind w:left="0" w:leftChars="0" w:firstLine="420" w:firstLineChars="175"/>
        <w:rPr>
          <w:color w:val="auto"/>
          <w:sz w:val="24"/>
          <w:szCs w:val="24"/>
        </w:rPr>
      </w:pPr>
      <w:r>
        <w:rPr>
          <w:color w:val="auto"/>
          <w:sz w:val="24"/>
          <w:szCs w:val="24"/>
        </w:rPr>
        <w:t>2</w:t>
      </w:r>
      <w:r>
        <w:rPr>
          <w:rFonts w:hint="eastAsia"/>
          <w:color w:val="auto"/>
          <w:sz w:val="24"/>
          <w:szCs w:val="24"/>
          <w:lang w:val="en-US" w:eastAsia="zh-CN"/>
        </w:rPr>
        <w:t xml:space="preserve">  </w:t>
      </w:r>
      <w:r>
        <w:rPr>
          <w:rFonts w:hint="eastAsia"/>
          <w:color w:val="auto"/>
          <w:sz w:val="24"/>
          <w:szCs w:val="24"/>
        </w:rPr>
        <w:t>可跟</w:t>
      </w:r>
      <w:r>
        <w:rPr>
          <w:color w:val="auto"/>
          <w:sz w:val="24"/>
          <w:szCs w:val="24"/>
        </w:rPr>
        <w:t>据</w:t>
      </w:r>
      <w:r>
        <w:rPr>
          <w:rFonts w:hint="eastAsia"/>
          <w:color w:val="auto"/>
          <w:sz w:val="24"/>
          <w:szCs w:val="24"/>
        </w:rPr>
        <w:t>混凝土构件内植筋所处位置的最高温度</w:t>
      </w:r>
      <w:r>
        <w:rPr>
          <w:rFonts w:hint="eastAsia"/>
          <w:color w:val="auto"/>
          <w:sz w:val="24"/>
          <w:szCs w:val="24"/>
          <w:lang w:val="en-US" w:eastAsia="zh-CN"/>
        </w:rPr>
        <w:t>计算</w:t>
      </w:r>
      <w:r>
        <w:rPr>
          <w:rFonts w:hint="eastAsia"/>
          <w:color w:val="auto"/>
          <w:sz w:val="24"/>
          <w:szCs w:val="24"/>
        </w:rPr>
        <w:t>火灾下钢材</w:t>
      </w:r>
      <w:r>
        <w:rPr>
          <w:rFonts w:hint="eastAsia"/>
          <w:color w:val="auto"/>
          <w:sz w:val="24"/>
          <w:szCs w:val="24"/>
          <w:lang w:val="en-US" w:eastAsia="zh-CN"/>
        </w:rPr>
        <w:t>破坏</w:t>
      </w:r>
      <w:r>
        <w:rPr>
          <w:rFonts w:hint="eastAsia"/>
          <w:color w:val="auto"/>
          <w:sz w:val="24"/>
          <w:szCs w:val="24"/>
        </w:rPr>
        <w:t>的承载力；</w:t>
      </w:r>
    </w:p>
    <w:p>
      <w:pPr>
        <w:pStyle w:val="2"/>
        <w:spacing w:line="360" w:lineRule="auto"/>
        <w:ind w:left="0" w:leftChars="0" w:firstLine="420" w:firstLineChars="175"/>
        <w:rPr>
          <w:color w:val="auto"/>
          <w:sz w:val="24"/>
          <w:szCs w:val="24"/>
        </w:rPr>
      </w:pPr>
      <w:r>
        <w:rPr>
          <w:color w:val="auto"/>
          <w:sz w:val="24"/>
          <w:szCs w:val="24"/>
        </w:rPr>
        <w:t>3</w:t>
      </w:r>
      <w:r>
        <w:rPr>
          <w:rFonts w:hint="eastAsia"/>
          <w:color w:val="auto"/>
          <w:sz w:val="24"/>
          <w:szCs w:val="24"/>
          <w:lang w:val="en-US" w:eastAsia="zh-CN"/>
        </w:rPr>
        <w:t xml:space="preserve"> </w:t>
      </w:r>
      <w:r>
        <w:rPr>
          <w:rFonts w:hint="eastAsia"/>
          <w:color w:val="auto"/>
          <w:sz w:val="24"/>
          <w:szCs w:val="24"/>
        </w:rPr>
        <w:t>可跟</w:t>
      </w:r>
      <w:r>
        <w:rPr>
          <w:color w:val="auto"/>
          <w:sz w:val="24"/>
          <w:szCs w:val="24"/>
        </w:rPr>
        <w:t>据</w:t>
      </w:r>
      <w:r>
        <w:rPr>
          <w:rFonts w:hint="eastAsia"/>
          <w:color w:val="auto"/>
          <w:sz w:val="24"/>
          <w:szCs w:val="24"/>
        </w:rPr>
        <w:t>植筋锚固范围内的温度场分布及温度对应的植筋粘结强度，进行植筋系统在火灾下的粘结破坏承载力计算。</w:t>
      </w:r>
    </w:p>
    <w:p>
      <w:pPr>
        <w:spacing w:before="120" w:after="0" w:line="360" w:lineRule="auto"/>
        <w:rPr>
          <w:color w:val="auto"/>
          <w:sz w:val="24"/>
          <w:szCs w:val="24"/>
        </w:rPr>
      </w:pPr>
      <w:r>
        <w:rPr>
          <w:rFonts w:hint="eastAsia"/>
          <w:b/>
          <w:bCs/>
          <w:color w:val="auto"/>
          <w:sz w:val="24"/>
          <w:szCs w:val="24"/>
        </w:rPr>
        <w:t>4.5.</w:t>
      </w:r>
      <w:r>
        <w:rPr>
          <w:b/>
          <w:bCs/>
          <w:color w:val="auto"/>
          <w:sz w:val="24"/>
          <w:szCs w:val="24"/>
        </w:rPr>
        <w:t>2</w:t>
      </w:r>
      <w:r>
        <w:rPr>
          <w:color w:val="auto"/>
          <w:sz w:val="24"/>
          <w:szCs w:val="24"/>
        </w:rPr>
        <w:t xml:space="preserve"> </w:t>
      </w:r>
      <w:r>
        <w:rPr>
          <w:rFonts w:hint="eastAsia"/>
          <w:color w:val="auto"/>
          <w:sz w:val="24"/>
          <w:szCs w:val="24"/>
        </w:rPr>
        <w:t>植筋在火灾下的承载力应</w:t>
      </w:r>
      <w:r>
        <w:rPr>
          <w:rFonts w:hint="eastAsia"/>
          <w:color w:val="auto"/>
          <w:sz w:val="24"/>
          <w:szCs w:val="24"/>
          <w:lang w:val="en-US" w:eastAsia="zh-CN"/>
        </w:rPr>
        <w:t>按下列公式计算</w:t>
      </w:r>
      <w:r>
        <w:rPr>
          <w:rFonts w:hint="eastAsia"/>
          <w:color w:val="auto"/>
          <w:sz w:val="24"/>
          <w:szCs w:val="24"/>
        </w:rPr>
        <w:t>：</w:t>
      </w:r>
    </w:p>
    <w:p>
      <w:pPr>
        <w:pStyle w:val="2"/>
        <w:ind w:left="0" w:leftChars="0" w:firstLine="0" w:firstLineChars="0"/>
        <w:jc w:val="right"/>
        <w:rPr>
          <w:color w:val="auto"/>
          <w:sz w:val="24"/>
          <w:szCs w:val="24"/>
        </w:rPr>
      </w:pPr>
      <m:oMath>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d,fi</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d,fi</m:t>
            </m:r>
            <m:ctrlPr>
              <w:rPr>
                <w:rFonts w:ascii="Cambria Math" w:hAnsi="Cambria Math"/>
                <w:i/>
                <w:color w:val="auto"/>
              </w:rPr>
            </m:ctrlPr>
          </m:sub>
        </m:sSub>
      </m:oMath>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rFonts w:hint="eastAsia"/>
          <w:color w:val="auto"/>
          <w:sz w:val="24"/>
          <w:szCs w:val="24"/>
        </w:rPr>
        <w:t>（4.5.</w:t>
      </w:r>
      <w:r>
        <w:rPr>
          <w:color w:val="auto"/>
          <w:sz w:val="24"/>
          <w:szCs w:val="24"/>
        </w:rPr>
        <w:t>2-1</w:t>
      </w:r>
      <w:r>
        <w:rPr>
          <w:rFonts w:hint="eastAsia"/>
          <w:color w:val="auto"/>
          <w:sz w:val="24"/>
          <w:szCs w:val="24"/>
        </w:rPr>
        <w:t>）</w:t>
      </w:r>
    </w:p>
    <w:p>
      <w:pPr>
        <w:pStyle w:val="2"/>
        <w:ind w:left="0" w:leftChars="0" w:firstLine="0" w:firstLineChars="0"/>
        <w:jc w:val="right"/>
        <w:rPr>
          <w:color w:val="auto"/>
          <w:sz w:val="24"/>
          <w:szCs w:val="24"/>
        </w:rPr>
      </w:pPr>
      <m:oMath>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d,fi</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F,fi</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k,fi</m:t>
            </m:r>
            <m:ctrlPr>
              <w:rPr>
                <w:rFonts w:ascii="Cambria Math" w:hAnsi="Cambria Math"/>
                <w:i/>
                <w:color w:val="auto"/>
              </w:rPr>
            </m:ctrlPr>
          </m:sub>
        </m:sSub>
      </m:oMath>
      <w:r>
        <w:rPr>
          <w:color w:val="auto"/>
        </w:rPr>
        <w:tab/>
      </w:r>
      <w:r>
        <w:rPr>
          <w:color w:val="auto"/>
        </w:rPr>
        <w:tab/>
      </w:r>
      <w:r>
        <w:rPr>
          <w:color w:val="auto"/>
        </w:rPr>
        <w:tab/>
      </w:r>
      <w:r>
        <w:rPr>
          <w:color w:val="auto"/>
        </w:rPr>
        <w:tab/>
      </w:r>
      <w:r>
        <w:rPr>
          <w:color w:val="auto"/>
        </w:rPr>
        <w:tab/>
      </w:r>
      <w:r>
        <w:rPr>
          <w:color w:val="auto"/>
        </w:rPr>
        <w:tab/>
      </w:r>
      <w:r>
        <w:rPr>
          <w:color w:val="auto"/>
        </w:rPr>
        <w:tab/>
      </w:r>
      <w:r>
        <w:rPr>
          <w:rFonts w:hint="eastAsia"/>
          <w:color w:val="auto"/>
          <w:sz w:val="24"/>
          <w:szCs w:val="24"/>
        </w:rPr>
        <w:t>（4.5.</w:t>
      </w:r>
      <w:r>
        <w:rPr>
          <w:color w:val="auto"/>
          <w:sz w:val="24"/>
          <w:szCs w:val="24"/>
        </w:rPr>
        <w:t>2-2</w:t>
      </w:r>
      <w:r>
        <w:rPr>
          <w:rFonts w:hint="eastAsia"/>
          <w:color w:val="auto"/>
          <w:sz w:val="24"/>
          <w:szCs w:val="24"/>
        </w:rPr>
        <w:t>）</w:t>
      </w:r>
    </w:p>
    <w:p>
      <w:pPr>
        <w:pStyle w:val="2"/>
        <w:ind w:left="0" w:leftChars="0" w:firstLine="0" w:firstLineChars="0"/>
        <w:jc w:val="right"/>
      </w:pPr>
      <m:oMath>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d,fi</m:t>
            </m:r>
            <m:ctrlPr>
              <w:rPr>
                <w:rFonts w:ascii="Cambria Math" w:hAnsi="Cambria Math"/>
                <w:i/>
                <w:color w:val="auto"/>
              </w:rPr>
            </m:ctrlPr>
          </m:sub>
        </m:sSub>
        <m:r>
          <m:rPr/>
          <w:rPr>
            <w:rFonts w:ascii="Cambria Math" w:hAnsi="Cambria Math"/>
            <w:color w:val="auto"/>
          </w:rPr>
          <m:t>=</m:t>
        </m:r>
        <m:func>
          <m:funcPr>
            <m:ctrlPr>
              <w:rPr>
                <w:rFonts w:ascii="Cambria Math" w:hAnsi="Cambria Math"/>
                <w:color w:val="auto"/>
              </w:rPr>
            </m:ctrlPr>
          </m:funcPr>
          <m:fName>
            <m:r>
              <m:rPr>
                <m:sty m:val="p"/>
              </m:rPr>
              <w:rPr>
                <w:rFonts w:ascii="Cambria Math" w:hAnsi="Cambria Math"/>
                <w:color w:val="auto"/>
              </w:rPr>
              <m:t>min</m:t>
            </m:r>
            <m:ctrlPr>
              <w:rPr>
                <w:rFonts w:ascii="Cambria Math" w:hAnsi="Cambria Math"/>
                <w:i/>
                <w:color w:val="auto"/>
              </w:rPr>
            </m:ctrlPr>
          </m:fName>
          <m:e>
            <m:d>
              <m:dPr>
                <m:ctrlPr>
                  <w:rPr>
                    <w:rFonts w:ascii="Cambria Math" w:hAnsi="Cambria Math"/>
                    <w:i/>
                    <w:color w:val="auto"/>
                  </w:rPr>
                </m:ctrlPr>
              </m:dPr>
              <m:e>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d,s,fi</m:t>
                    </m:r>
                    <m:ctrlPr>
                      <w:rPr>
                        <w:rFonts w:ascii="Cambria Math" w:hAnsi="Cambria Math"/>
                        <w:i/>
                        <w:color w:val="auto"/>
                      </w:rPr>
                    </m:ctrlPr>
                  </m:sub>
                </m:sSub>
                <m:r>
                  <m:rPr/>
                  <w:rPr>
                    <w:rFonts w:ascii="Cambria Math" w:hAnsi="Cambria Math"/>
                    <w:color w:val="auto"/>
                  </w:rPr>
                  <m:t xml:space="preserve">,   </m:t>
                </m:r>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d,adℎ,fi</m:t>
                    </m:r>
                    <m:ctrlPr>
                      <w:rPr>
                        <w:rFonts w:ascii="Cambria Math" w:hAnsi="Cambria Math"/>
                        <w:i/>
                        <w:color w:val="auto"/>
                      </w:rPr>
                    </m:ctrlPr>
                  </m:sub>
                </m:sSub>
                <m:ctrlPr>
                  <w:rPr>
                    <w:rFonts w:ascii="Cambria Math" w:hAnsi="Cambria Math"/>
                    <w:i/>
                    <w:color w:val="auto"/>
                  </w:rPr>
                </m:ctrlPr>
              </m:e>
            </m:d>
            <m:ctrlPr>
              <w:rPr>
                <w:rFonts w:ascii="Cambria Math" w:hAnsi="Cambria Math"/>
                <w:color w:val="auto"/>
              </w:rPr>
            </m:ctrlPr>
          </m:e>
        </m:func>
      </m:oMath>
      <w:r>
        <w:rPr>
          <w:color w:val="auto"/>
        </w:rPr>
        <w:tab/>
      </w:r>
      <w:r>
        <w:rPr>
          <w:rFonts w:hint="eastAsia"/>
          <w:color w:val="auto"/>
          <w:lang w:val="en-US" w:eastAsia="zh-CN"/>
        </w:rPr>
        <w:t xml:space="preserve">            </w:t>
      </w:r>
      <w:r>
        <w:rPr>
          <w:rFonts w:hint="eastAsia"/>
          <w:color w:val="auto"/>
        </w:rPr>
        <w:t xml:space="preserve">                 </w:t>
      </w:r>
      <w:r>
        <w:rPr>
          <w:rFonts w:hint="eastAsia"/>
          <w:color w:val="auto"/>
          <w:sz w:val="24"/>
          <w:szCs w:val="24"/>
        </w:rPr>
        <w:t>（4.5.</w:t>
      </w:r>
      <w:r>
        <w:rPr>
          <w:color w:val="auto"/>
          <w:sz w:val="24"/>
          <w:szCs w:val="24"/>
        </w:rPr>
        <w:t>2-3</w:t>
      </w:r>
      <w:r>
        <w:rPr>
          <w:rFonts w:hint="eastAsia"/>
          <w:color w:val="auto"/>
          <w:sz w:val="24"/>
          <w:szCs w:val="24"/>
        </w:rPr>
        <w:t>）</w:t>
      </w:r>
    </w:p>
    <w:tbl>
      <w:tblPr>
        <w:tblStyle w:val="28"/>
        <w:tblW w:w="839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
        <w:gridCol w:w="643"/>
        <w:gridCol w:w="456"/>
        <w:gridCol w:w="6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4" w:type="dxa"/>
            <w:tcMar>
              <w:left w:w="29" w:type="dxa"/>
              <w:right w:w="29" w:type="dxa"/>
            </w:tcMar>
          </w:tcPr>
          <w:p>
            <w:pPr>
              <w:spacing w:after="0" w:line="360" w:lineRule="auto"/>
              <w:rPr>
                <w:iCs/>
                <w:color w:val="auto"/>
                <w:sz w:val="24"/>
                <w:szCs w:val="24"/>
              </w:rPr>
            </w:pPr>
            <w:r>
              <w:rPr>
                <w:rFonts w:hint="eastAsia" w:ascii="宋体" w:cs="宋体"/>
                <w:color w:val="auto"/>
                <w:sz w:val="24"/>
                <w:szCs w:val="24"/>
              </w:rPr>
              <w:t>式中：</w:t>
            </w:r>
          </w:p>
        </w:tc>
        <w:tc>
          <w:tcPr>
            <w:tcW w:w="643" w:type="dxa"/>
          </w:tcPr>
          <w:p>
            <w:pPr>
              <w:spacing w:after="0" w:line="360" w:lineRule="auto"/>
              <w:jc w:val="center"/>
              <w:rPr>
                <w:iCs/>
                <w:color w:val="auto"/>
                <w:sz w:val="24"/>
                <w:szCs w:val="24"/>
              </w:rPr>
            </w:pPr>
            <w:r>
              <w:rPr>
                <w:rFonts w:hint="eastAsia"/>
                <w:i/>
                <w:iCs/>
                <w:color w:val="auto"/>
                <w:sz w:val="24"/>
                <w:szCs w:val="24"/>
              </w:rPr>
              <w:t>S</w:t>
            </w:r>
            <w:r>
              <w:rPr>
                <w:i/>
                <w:iCs/>
                <w:color w:val="auto"/>
                <w:sz w:val="24"/>
                <w:szCs w:val="24"/>
                <w:vertAlign w:val="subscript"/>
              </w:rPr>
              <w:t>d,fi</w:t>
            </w:r>
          </w:p>
        </w:tc>
        <w:tc>
          <w:tcPr>
            <w:tcW w:w="456" w:type="dxa"/>
          </w:tcPr>
          <w:p>
            <w:pPr>
              <w:spacing w:after="0" w:line="360" w:lineRule="auto"/>
              <w:rPr>
                <w:iCs/>
                <w:color w:val="auto"/>
                <w:sz w:val="24"/>
                <w:szCs w:val="24"/>
              </w:rPr>
            </w:pPr>
            <w:r>
              <w:rPr>
                <w:color w:val="auto"/>
                <w:sz w:val="24"/>
                <w:szCs w:val="24"/>
              </w:rPr>
              <w:t>—</w:t>
            </w:r>
          </w:p>
        </w:tc>
        <w:tc>
          <w:tcPr>
            <w:tcW w:w="6450" w:type="dxa"/>
          </w:tcPr>
          <w:p>
            <w:pPr>
              <w:spacing w:after="0" w:line="360" w:lineRule="auto"/>
              <w:rPr>
                <w:iCs/>
                <w:color w:val="auto"/>
                <w:sz w:val="24"/>
                <w:szCs w:val="24"/>
              </w:rPr>
            </w:pPr>
            <w:r>
              <w:rPr>
                <w:rFonts w:hint="eastAsia"/>
                <w:color w:val="auto"/>
                <w:sz w:val="24"/>
                <w:szCs w:val="24"/>
              </w:rPr>
              <w:t>火灾条件下的荷载设计值（k</w:t>
            </w:r>
            <w:r>
              <w:rPr>
                <w:color w:val="auto"/>
                <w:sz w:val="24"/>
                <w:szCs w:val="24"/>
              </w:rPr>
              <w:t>N</w:t>
            </w:r>
            <w:r>
              <w:rPr>
                <w:rFonts w:hint="eastAsia"/>
                <w:color w:val="auto"/>
                <w:sz w:val="24"/>
                <w:szCs w:val="24"/>
              </w:rPr>
              <w:t>）</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44" w:type="dxa"/>
          </w:tcPr>
          <w:p>
            <w:pPr>
              <w:spacing w:after="0" w:line="360" w:lineRule="auto"/>
              <w:rPr>
                <w:iCs/>
                <w:color w:val="auto"/>
                <w:sz w:val="24"/>
                <w:szCs w:val="24"/>
              </w:rPr>
            </w:pPr>
          </w:p>
        </w:tc>
        <w:tc>
          <w:tcPr>
            <w:tcW w:w="643" w:type="dxa"/>
          </w:tcPr>
          <w:p>
            <w:pPr>
              <w:spacing w:after="0" w:line="360" w:lineRule="auto"/>
              <w:jc w:val="center"/>
              <w:rPr>
                <w:iCs/>
                <w:color w:val="auto"/>
                <w:sz w:val="24"/>
                <w:szCs w:val="24"/>
              </w:rPr>
            </w:pPr>
            <w:r>
              <w:rPr>
                <w:i/>
                <w:iCs/>
                <w:color w:val="auto"/>
                <w:sz w:val="24"/>
                <w:szCs w:val="24"/>
              </w:rPr>
              <w:t>R</w:t>
            </w:r>
            <w:r>
              <w:rPr>
                <w:rFonts w:hint="eastAsia"/>
                <w:color w:val="auto"/>
                <w:sz w:val="24"/>
                <w:szCs w:val="24"/>
                <w:vertAlign w:val="subscript"/>
              </w:rPr>
              <w:t>d</w:t>
            </w:r>
            <w:r>
              <w:rPr>
                <w:color w:val="auto"/>
                <w:sz w:val="24"/>
                <w:szCs w:val="24"/>
                <w:vertAlign w:val="subscript"/>
              </w:rPr>
              <w:t>,fi</w:t>
            </w:r>
          </w:p>
        </w:tc>
        <w:tc>
          <w:tcPr>
            <w:tcW w:w="456" w:type="dxa"/>
          </w:tcPr>
          <w:p>
            <w:pPr>
              <w:spacing w:after="0" w:line="360" w:lineRule="auto"/>
              <w:rPr>
                <w:iCs/>
                <w:color w:val="auto"/>
                <w:sz w:val="24"/>
                <w:szCs w:val="24"/>
              </w:rPr>
            </w:pPr>
            <w:r>
              <w:rPr>
                <w:color w:val="auto"/>
                <w:sz w:val="24"/>
                <w:szCs w:val="24"/>
              </w:rPr>
              <w:t>—</w:t>
            </w:r>
          </w:p>
        </w:tc>
        <w:tc>
          <w:tcPr>
            <w:tcW w:w="6450" w:type="dxa"/>
          </w:tcPr>
          <w:p>
            <w:pPr>
              <w:pStyle w:val="2"/>
              <w:spacing w:after="0" w:line="360" w:lineRule="auto"/>
              <w:ind w:left="0" w:leftChars="0" w:firstLine="0" w:firstLineChars="0"/>
              <w:rPr>
                <w:color w:val="auto"/>
                <w:sz w:val="24"/>
                <w:szCs w:val="24"/>
              </w:rPr>
            </w:pPr>
            <w:r>
              <w:rPr>
                <w:rFonts w:hint="eastAsia"/>
                <w:color w:val="auto"/>
                <w:sz w:val="24"/>
                <w:szCs w:val="24"/>
              </w:rPr>
              <w:t>火灾条件下植筋的承载力设计值，取火灾条件下钢筋钢材破坏的承载力设计值</w:t>
            </w:r>
            <m:oMath>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d,s,fi</m:t>
                  </m:r>
                  <m:ctrlPr>
                    <w:rPr>
                      <w:rFonts w:ascii="Cambria Math" w:hAnsi="Cambria Math"/>
                      <w:i/>
                      <w:color w:val="auto"/>
                    </w:rPr>
                  </m:ctrlPr>
                </m:sub>
              </m:sSub>
            </m:oMath>
            <w:r>
              <w:rPr>
                <w:rFonts w:hint="eastAsia"/>
                <w:color w:val="auto"/>
                <w:sz w:val="24"/>
                <w:szCs w:val="24"/>
              </w:rPr>
              <w:t>和火灾条件下粘结破坏的承载力设计值</w:t>
            </w:r>
            <m:oMath>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d,adℎ,fi</m:t>
                  </m:r>
                  <m:ctrlPr>
                    <w:rPr>
                      <w:rFonts w:ascii="Cambria Math" w:hAnsi="Cambria Math"/>
                      <w:i/>
                      <w:color w:val="auto"/>
                    </w:rPr>
                  </m:ctrlPr>
                </m:sub>
              </m:sSub>
            </m:oMath>
            <w:r>
              <w:rPr>
                <w:rFonts w:hint="eastAsia"/>
                <w:color w:val="auto"/>
                <w:sz w:val="24"/>
                <w:szCs w:val="24"/>
              </w:rPr>
              <w:t>中的较小值（k</w:t>
            </w:r>
            <w:r>
              <w:rPr>
                <w:color w:val="auto"/>
                <w:sz w:val="24"/>
                <w:szCs w:val="24"/>
              </w:rPr>
              <w:t>N</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44" w:type="dxa"/>
          </w:tcPr>
          <w:p>
            <w:pPr>
              <w:spacing w:after="0" w:line="360" w:lineRule="auto"/>
              <w:rPr>
                <w:iCs/>
                <w:color w:val="auto"/>
                <w:sz w:val="24"/>
                <w:szCs w:val="24"/>
              </w:rPr>
            </w:pPr>
          </w:p>
        </w:tc>
        <w:tc>
          <w:tcPr>
            <w:tcW w:w="643" w:type="dxa"/>
          </w:tcPr>
          <w:p>
            <w:pPr>
              <w:spacing w:after="0" w:line="360" w:lineRule="auto"/>
              <w:jc w:val="center"/>
              <w:rPr>
                <w:i/>
                <w:iCs/>
                <w:color w:val="auto"/>
                <w:sz w:val="24"/>
                <w:szCs w:val="24"/>
              </w:rPr>
            </w:pPr>
            <m:oMathPara>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F,fi</m:t>
                    </m:r>
                    <m:ctrlPr>
                      <w:rPr>
                        <w:rFonts w:ascii="Cambria Math" w:hAnsi="Cambria Math"/>
                        <w:i/>
                        <w:color w:val="auto"/>
                      </w:rPr>
                    </m:ctrlPr>
                  </m:sub>
                </m:sSub>
              </m:oMath>
            </m:oMathPara>
          </w:p>
        </w:tc>
        <w:tc>
          <w:tcPr>
            <w:tcW w:w="456" w:type="dxa"/>
          </w:tcPr>
          <w:p>
            <w:pPr>
              <w:spacing w:after="0" w:line="360" w:lineRule="auto"/>
              <w:rPr>
                <w:color w:val="auto"/>
                <w:sz w:val="24"/>
                <w:szCs w:val="24"/>
              </w:rPr>
            </w:pPr>
            <w:r>
              <w:rPr>
                <w:color w:val="auto"/>
                <w:sz w:val="24"/>
                <w:szCs w:val="24"/>
              </w:rPr>
              <w:t>—</w:t>
            </w:r>
          </w:p>
        </w:tc>
        <w:tc>
          <w:tcPr>
            <w:tcW w:w="6450" w:type="dxa"/>
          </w:tcPr>
          <w:p>
            <w:pPr>
              <w:pStyle w:val="2"/>
              <w:spacing w:after="0" w:line="360" w:lineRule="auto"/>
              <w:ind w:left="0" w:leftChars="0" w:firstLine="0" w:firstLineChars="0"/>
              <w:rPr>
                <w:color w:val="auto"/>
                <w:sz w:val="24"/>
                <w:szCs w:val="24"/>
              </w:rPr>
            </w:pPr>
            <w:r>
              <w:rPr>
                <w:rFonts w:hint="eastAsia"/>
                <w:color w:val="auto"/>
                <w:sz w:val="24"/>
                <w:szCs w:val="24"/>
              </w:rPr>
              <w:t>火灾条件下的荷载分项系数，可取</w:t>
            </w:r>
            <w:r>
              <w:rPr>
                <w:rFonts w:hint="eastAsia"/>
                <w:color w:val="auto"/>
              </w:rPr>
              <w:t xml:space="preserve"> </w:t>
            </w:r>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F,fi</m:t>
                  </m:r>
                  <m:ctrlPr>
                    <w:rPr>
                      <w:rFonts w:ascii="Cambria Math" w:hAnsi="Cambria Math"/>
                      <w:i/>
                      <w:color w:val="auto"/>
                    </w:rPr>
                  </m:ctrlPr>
                </m:sub>
              </m:sSub>
            </m:oMath>
            <w:r>
              <w:rPr>
                <w:color w:val="auto"/>
                <w:sz w:val="24"/>
                <w:szCs w:val="24"/>
              </w:rPr>
              <w:t>=1</w:t>
            </w:r>
            <w:r>
              <w:rPr>
                <w:rFonts w:hint="eastAsia"/>
                <w:color w:val="auto"/>
                <w:sz w:val="24"/>
                <w:szCs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44" w:type="dxa"/>
          </w:tcPr>
          <w:p>
            <w:pPr>
              <w:spacing w:after="0" w:line="360" w:lineRule="auto"/>
              <w:rPr>
                <w:iCs/>
                <w:color w:val="auto"/>
                <w:sz w:val="24"/>
                <w:szCs w:val="24"/>
              </w:rPr>
            </w:pPr>
          </w:p>
        </w:tc>
        <w:tc>
          <w:tcPr>
            <w:tcW w:w="643" w:type="dxa"/>
          </w:tcPr>
          <w:p>
            <w:pPr>
              <w:spacing w:after="0" w:line="360" w:lineRule="auto"/>
              <w:jc w:val="center"/>
              <w:rPr>
                <w:i/>
                <w:iCs/>
                <w:color w:val="auto"/>
                <w:sz w:val="24"/>
                <w:szCs w:val="24"/>
              </w:rPr>
            </w:pPr>
            <m:oMathPara>
              <m:oMath>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k,fi</m:t>
                    </m:r>
                    <m:ctrlPr>
                      <w:rPr>
                        <w:rFonts w:ascii="Cambria Math" w:hAnsi="Cambria Math"/>
                        <w:i/>
                        <w:color w:val="auto"/>
                      </w:rPr>
                    </m:ctrlPr>
                  </m:sub>
                </m:sSub>
              </m:oMath>
            </m:oMathPara>
          </w:p>
        </w:tc>
        <w:tc>
          <w:tcPr>
            <w:tcW w:w="456" w:type="dxa"/>
          </w:tcPr>
          <w:p>
            <w:pPr>
              <w:spacing w:after="0" w:line="360" w:lineRule="auto"/>
              <w:rPr>
                <w:color w:val="auto"/>
                <w:sz w:val="24"/>
                <w:szCs w:val="24"/>
              </w:rPr>
            </w:pPr>
            <w:r>
              <w:rPr>
                <w:color w:val="auto"/>
                <w:sz w:val="24"/>
                <w:szCs w:val="24"/>
              </w:rPr>
              <w:t>—</w:t>
            </w:r>
          </w:p>
        </w:tc>
        <w:tc>
          <w:tcPr>
            <w:tcW w:w="6450" w:type="dxa"/>
          </w:tcPr>
          <w:p>
            <w:pPr>
              <w:pStyle w:val="2"/>
              <w:spacing w:after="0" w:line="360" w:lineRule="auto"/>
              <w:ind w:left="0" w:leftChars="0" w:firstLine="0" w:firstLineChars="0"/>
              <w:rPr>
                <w:color w:val="auto"/>
                <w:sz w:val="24"/>
                <w:szCs w:val="24"/>
              </w:rPr>
            </w:pPr>
            <w:r>
              <w:rPr>
                <w:rFonts w:hint="eastAsia"/>
                <w:color w:val="auto"/>
                <w:sz w:val="24"/>
                <w:szCs w:val="24"/>
              </w:rPr>
              <w:t>火灾条件下的荷载特征值（k</w:t>
            </w:r>
            <w:r>
              <w:rPr>
                <w:color w:val="auto"/>
                <w:sz w:val="24"/>
                <w:szCs w:val="24"/>
              </w:rPr>
              <w:t>N</w:t>
            </w:r>
            <w:r>
              <w:rPr>
                <w:rFonts w:hint="eastAsia"/>
                <w:color w:val="auto"/>
                <w:sz w:val="24"/>
                <w:szCs w:val="24"/>
              </w:rPr>
              <w:t>）；</w:t>
            </w:r>
          </w:p>
        </w:tc>
      </w:tr>
    </w:tbl>
    <w:p>
      <w:pPr>
        <w:spacing w:before="120" w:after="0" w:line="360" w:lineRule="auto"/>
        <w:rPr>
          <w:color w:val="auto"/>
          <w:sz w:val="24"/>
          <w:szCs w:val="24"/>
        </w:rPr>
      </w:pPr>
      <w:r>
        <w:rPr>
          <w:rFonts w:hint="eastAsia"/>
          <w:b/>
          <w:bCs/>
          <w:color w:val="auto"/>
          <w:sz w:val="24"/>
          <w:szCs w:val="24"/>
        </w:rPr>
        <w:t>4.5.</w:t>
      </w:r>
      <w:r>
        <w:rPr>
          <w:b/>
          <w:bCs/>
          <w:color w:val="auto"/>
          <w:sz w:val="24"/>
          <w:szCs w:val="24"/>
        </w:rPr>
        <w:t>3</w:t>
      </w:r>
      <w:r>
        <w:rPr>
          <w:color w:val="auto"/>
          <w:sz w:val="24"/>
          <w:szCs w:val="24"/>
        </w:rPr>
        <w:t xml:space="preserve"> </w:t>
      </w:r>
      <w:r>
        <w:rPr>
          <w:rFonts w:hint="eastAsia"/>
          <w:color w:val="auto"/>
          <w:sz w:val="24"/>
          <w:szCs w:val="24"/>
        </w:rPr>
        <w:t>植筋在火灾下钢筋钢材的承载力设计值应按下式计算：</w:t>
      </w:r>
    </w:p>
    <w:p>
      <w:pPr>
        <w:pStyle w:val="2"/>
        <w:ind w:firstLine="480"/>
        <w:jc w:val="right"/>
        <w:rPr>
          <w:color w:val="auto"/>
          <w:sz w:val="24"/>
          <w:szCs w:val="24"/>
          <w:vertAlign w:val="subscript"/>
        </w:rPr>
      </w:pPr>
      <w:r>
        <w:rPr>
          <w:i/>
          <w:iCs/>
          <w:color w:val="auto"/>
          <w:sz w:val="24"/>
          <w:szCs w:val="24"/>
        </w:rPr>
        <w:t>R</w:t>
      </w:r>
      <w:r>
        <w:rPr>
          <w:color w:val="auto"/>
          <w:sz w:val="24"/>
          <w:szCs w:val="24"/>
          <w:vertAlign w:val="subscript"/>
        </w:rPr>
        <w:t>d</w:t>
      </w:r>
      <w:r>
        <w:rPr>
          <w:rFonts w:hint="eastAsia"/>
          <w:color w:val="auto"/>
          <w:sz w:val="24"/>
          <w:szCs w:val="24"/>
          <w:vertAlign w:val="subscript"/>
        </w:rPr>
        <w:t>,</w:t>
      </w:r>
      <w:r>
        <w:rPr>
          <w:color w:val="auto"/>
          <w:sz w:val="24"/>
          <w:szCs w:val="24"/>
          <w:vertAlign w:val="subscript"/>
        </w:rPr>
        <w:t>s,fi</w:t>
      </w:r>
      <w:r>
        <w:rPr>
          <w:color w:val="auto"/>
          <w:sz w:val="24"/>
          <w:szCs w:val="24"/>
        </w:rPr>
        <w:t xml:space="preserve">= </w:t>
      </w:r>
      <w:r>
        <w:rPr>
          <w:rFonts w:hint="eastAsia"/>
          <w:i/>
          <w:iCs/>
          <w:color w:val="auto"/>
          <w:sz w:val="24"/>
          <w:szCs w:val="24"/>
        </w:rPr>
        <w:t>N</w:t>
      </w:r>
      <w:r>
        <w:rPr>
          <w:color w:val="auto"/>
          <w:sz w:val="24"/>
          <w:szCs w:val="24"/>
          <w:vertAlign w:val="subscript"/>
        </w:rPr>
        <w:t>Rk,s,fi</w:t>
      </w:r>
      <w:r>
        <w:rPr>
          <w:color w:val="auto"/>
          <w:sz w:val="24"/>
          <w:szCs w:val="24"/>
        </w:rPr>
        <w:t>(</w:t>
      </w:r>
      <w:r>
        <w:rPr>
          <w:rFonts w:ascii="Symbol" w:hAnsi="Symbol"/>
          <w:color w:val="auto"/>
          <w:sz w:val="24"/>
          <w:szCs w:val="24"/>
        </w:rPr>
        <w:t>q</w:t>
      </w:r>
      <w:r>
        <w:rPr>
          <w:color w:val="auto"/>
          <w:sz w:val="24"/>
          <w:szCs w:val="24"/>
        </w:rPr>
        <w:t>) /</w:t>
      </w:r>
      <w:r>
        <w:rPr>
          <w:rFonts w:ascii="Symbol" w:hAnsi="Symbol"/>
          <w:color w:val="auto"/>
          <w:sz w:val="24"/>
          <w:szCs w:val="24"/>
        </w:rPr>
        <w:t>g</w:t>
      </w:r>
      <w:r>
        <w:rPr>
          <w:color w:val="auto"/>
          <w:sz w:val="24"/>
          <w:szCs w:val="24"/>
          <w:vertAlign w:val="subscript"/>
        </w:rPr>
        <w:t>M</w:t>
      </w:r>
      <w:r>
        <w:rPr>
          <w:rFonts w:hint="eastAsia"/>
          <w:color w:val="auto"/>
          <w:sz w:val="24"/>
          <w:szCs w:val="24"/>
          <w:vertAlign w:val="subscript"/>
        </w:rPr>
        <w:t>s</w:t>
      </w:r>
      <w:r>
        <w:rPr>
          <w:color w:val="auto"/>
          <w:sz w:val="24"/>
          <w:szCs w:val="24"/>
          <w:vertAlign w:val="subscript"/>
        </w:rPr>
        <w:t>,fi</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（4.5.</w:t>
      </w:r>
      <w:r>
        <w:rPr>
          <w:color w:val="auto"/>
          <w:sz w:val="24"/>
          <w:szCs w:val="24"/>
        </w:rPr>
        <w:t>3-1</w:t>
      </w:r>
      <w:r>
        <w:rPr>
          <w:rFonts w:hint="eastAsia"/>
          <w:color w:val="auto"/>
          <w:sz w:val="24"/>
          <w:szCs w:val="24"/>
        </w:rPr>
        <w:t>）</w:t>
      </w:r>
    </w:p>
    <w:p>
      <w:pPr>
        <w:pStyle w:val="2"/>
        <w:ind w:firstLine="480"/>
        <w:jc w:val="right"/>
        <w:rPr>
          <w:color w:val="auto"/>
          <w:sz w:val="24"/>
          <w:szCs w:val="24"/>
          <w:vertAlign w:val="subscript"/>
        </w:rPr>
      </w:pPr>
      <w:r>
        <w:rPr>
          <w:rFonts w:hint="eastAsia"/>
          <w:i/>
          <w:iCs/>
          <w:color w:val="auto"/>
          <w:sz w:val="24"/>
          <w:szCs w:val="24"/>
        </w:rPr>
        <w:t>N</w:t>
      </w:r>
      <w:r>
        <w:rPr>
          <w:color w:val="auto"/>
          <w:sz w:val="24"/>
          <w:szCs w:val="24"/>
          <w:vertAlign w:val="subscript"/>
        </w:rPr>
        <w:t>Rk,s,fi</w:t>
      </w:r>
      <w:r>
        <w:rPr>
          <w:color w:val="auto"/>
          <w:sz w:val="24"/>
          <w:szCs w:val="24"/>
        </w:rPr>
        <w:t>(</w:t>
      </w:r>
      <w:r>
        <w:rPr>
          <w:rFonts w:ascii="Symbol" w:hAnsi="Symbol"/>
          <w:color w:val="auto"/>
          <w:sz w:val="24"/>
          <w:szCs w:val="24"/>
        </w:rPr>
        <w:t>q</w:t>
      </w:r>
      <w:r>
        <w:rPr>
          <w:color w:val="auto"/>
          <w:sz w:val="24"/>
          <w:szCs w:val="24"/>
        </w:rPr>
        <w:t xml:space="preserve">) = </w:t>
      </w:r>
      <w:r>
        <w:rPr>
          <w:i/>
          <w:iCs/>
          <w:color w:val="auto"/>
          <w:sz w:val="24"/>
          <w:szCs w:val="24"/>
        </w:rPr>
        <w:t>A</w:t>
      </w:r>
      <w:r>
        <w:rPr>
          <w:color w:val="auto"/>
          <w:sz w:val="24"/>
          <w:szCs w:val="24"/>
          <w:vertAlign w:val="subscript"/>
        </w:rPr>
        <w:t>s</w:t>
      </w:r>
      <w:r>
        <w:rPr>
          <w:color w:val="auto"/>
          <w:sz w:val="24"/>
          <w:szCs w:val="24"/>
        </w:rPr>
        <w:t>∙</w:t>
      </w:r>
      <w:r>
        <w:rPr>
          <w:i/>
          <w:iCs/>
          <w:color w:val="auto"/>
          <w:sz w:val="24"/>
          <w:szCs w:val="24"/>
        </w:rPr>
        <w:t>f</w:t>
      </w:r>
      <w:r>
        <w:rPr>
          <w:color w:val="auto"/>
          <w:sz w:val="24"/>
          <w:szCs w:val="24"/>
          <w:vertAlign w:val="subscript"/>
        </w:rPr>
        <w:t>yk,fi</w:t>
      </w:r>
      <w:r>
        <w:rPr>
          <w:color w:val="auto"/>
          <w:sz w:val="24"/>
          <w:szCs w:val="24"/>
        </w:rPr>
        <w:t>(</w:t>
      </w:r>
      <w:r>
        <w:rPr>
          <w:rFonts w:ascii="Symbol" w:hAnsi="Symbol"/>
          <w:color w:val="auto"/>
          <w:sz w:val="24"/>
          <w:szCs w:val="24"/>
        </w:rPr>
        <w:t>q</w:t>
      </w:r>
      <w:r>
        <w:rPr>
          <w:color w:val="auto"/>
          <w:sz w:val="24"/>
          <w:szCs w:val="24"/>
        </w:rPr>
        <w:t>)</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（4.5.</w:t>
      </w:r>
      <w:r>
        <w:rPr>
          <w:color w:val="auto"/>
          <w:sz w:val="24"/>
          <w:szCs w:val="24"/>
        </w:rPr>
        <w:t>3-2</w:t>
      </w:r>
      <w:r>
        <w:rPr>
          <w:rFonts w:hint="eastAsia"/>
          <w:color w:val="auto"/>
          <w:sz w:val="24"/>
          <w:szCs w:val="24"/>
        </w:rPr>
        <w:t>）</w:t>
      </w:r>
    </w:p>
    <w:p>
      <w:pPr>
        <w:pStyle w:val="2"/>
        <w:ind w:firstLine="480"/>
        <w:jc w:val="right"/>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yk,fi</m:t>
            </m:r>
            <m:ctrlPr>
              <w:rPr>
                <w:rFonts w:ascii="Cambria Math" w:hAnsi="Cambria Math"/>
                <w:i/>
                <w:color w:val="auto"/>
                <w:sz w:val="24"/>
                <w:szCs w:val="24"/>
              </w:rPr>
            </m:ctrlPr>
          </m:sub>
        </m:sSub>
        <m:d>
          <m:dPr>
            <m:ctrlPr>
              <w:rPr>
                <w:rFonts w:ascii="Cambria Math" w:hAnsi="Cambria Math"/>
                <w:color w:val="auto"/>
                <w:sz w:val="24"/>
                <w:szCs w:val="24"/>
              </w:rPr>
            </m:ctrlPr>
          </m:dPr>
          <m:e>
            <m:r>
              <m:rPr/>
              <w:rPr>
                <w:rFonts w:ascii="Cambria Math" w:hAnsi="Cambria Math"/>
                <w:color w:val="auto"/>
                <w:sz w:val="24"/>
                <w:szCs w:val="24"/>
              </w:rPr>
              <m:t>θ</m:t>
            </m:r>
            <m:ctrlPr>
              <w:rPr>
                <w:rFonts w:ascii="Cambria Math" w:hAnsi="Cambria Math"/>
                <w:color w:val="auto"/>
                <w:sz w:val="24"/>
                <w:szCs w:val="24"/>
              </w:rPr>
            </m:ctrlPr>
          </m:e>
        </m:d>
        <m:r>
          <m:rPr>
            <m:sty m:val="p"/>
          </m:rPr>
          <w:rPr>
            <w:rFonts w:asci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color w:val="auto"/>
                <w:sz w:val="24"/>
                <w:szCs w:val="24"/>
              </w:rPr>
            </m:ctrlPr>
          </m:e>
          <m:sub>
            <m:r>
              <m:rPr/>
              <w:rPr>
                <w:rFonts w:ascii="Cambria Math" w:hAnsi="Cambria Math"/>
                <w:color w:val="auto"/>
                <w:sz w:val="24"/>
                <w:szCs w:val="24"/>
              </w:rPr>
              <m:t>s,fi</m:t>
            </m:r>
            <m:ctrlPr>
              <w:rPr>
                <w:rFonts w:ascii="Cambria Math" w:hAnsi="Cambria Math"/>
                <w:i/>
                <w:color w:val="auto"/>
                <w:sz w:val="24"/>
                <w:szCs w:val="24"/>
              </w:rPr>
            </m:ctrlPr>
          </m:sub>
        </m:sSub>
        <m:d>
          <m:dPr>
            <m:ctrlPr>
              <w:rPr>
                <w:rFonts w:ascii="Cambria Math" w:hAnsi="Cambria Math"/>
                <w:i/>
                <w:color w:val="auto"/>
                <w:sz w:val="24"/>
                <w:szCs w:val="24"/>
              </w:rPr>
            </m:ctrlPr>
          </m:dPr>
          <m:e>
            <m:r>
              <m:rPr>
                <m:sty m:val="p"/>
              </m:rPr>
              <w:rPr>
                <w:rFonts w:ascii="Cambria Math" w:hAnsi="Cambria Math"/>
                <w:color w:val="auto"/>
                <w:sz w:val="24"/>
                <w:szCs w:val="24"/>
              </w:rPr>
              <m:t>θ</m:t>
            </m:r>
            <m:ctrlPr>
              <w:rPr>
                <w:rFonts w:ascii="Cambria Math" w:hAnsi="Cambria Math"/>
                <w:i/>
                <w:color w:val="auto"/>
                <w:sz w:val="24"/>
                <w:szCs w:val="24"/>
              </w:rPr>
            </m:ctrlPr>
          </m:e>
        </m:d>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yk</m:t>
            </m:r>
            <m:ctrlPr>
              <w:rPr>
                <w:rFonts w:ascii="Cambria Math" w:hAnsi="Cambria Math"/>
                <w:i/>
                <w:color w:val="auto"/>
                <w:sz w:val="24"/>
                <w:szCs w:val="24"/>
              </w:rPr>
            </m:ctrlPr>
          </m:sub>
        </m:sSub>
      </m:oMath>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（4.5.</w:t>
      </w:r>
      <w:r>
        <w:rPr>
          <w:color w:val="auto"/>
          <w:sz w:val="24"/>
          <w:szCs w:val="24"/>
        </w:rPr>
        <w:t>3-3</w:t>
      </w:r>
      <w:r>
        <w:rPr>
          <w:rFonts w:hint="eastAsia"/>
          <w:color w:val="auto"/>
          <w:sz w:val="24"/>
          <w:szCs w:val="24"/>
        </w:rPr>
        <w:t>）</w:t>
      </w:r>
    </w:p>
    <w:tbl>
      <w:tblPr>
        <w:tblStyle w:val="28"/>
        <w:tblW w:w="8345" w:type="dxa"/>
        <w:tblInd w:w="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0"/>
        <w:gridCol w:w="2022"/>
        <w:gridCol w:w="360"/>
        <w:gridCol w:w="5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 w:type="dxa"/>
            <w:tcMar>
              <w:left w:w="43" w:type="dxa"/>
              <w:right w:w="43" w:type="dxa"/>
            </w:tcMar>
          </w:tcPr>
          <w:p>
            <w:pPr>
              <w:keepNext w:val="0"/>
              <w:keepLines w:val="0"/>
              <w:pageBreakBefore w:val="0"/>
              <w:widowControl w:val="0"/>
              <w:kinsoku/>
              <w:wordWrap/>
              <w:overflowPunct/>
              <w:topLinePunct w:val="0"/>
              <w:autoSpaceDE w:val="0"/>
              <w:autoSpaceDN w:val="0"/>
              <w:bidi w:val="0"/>
              <w:adjustRightInd w:val="0"/>
              <w:snapToGrid/>
              <w:spacing w:after="0" w:line="360" w:lineRule="auto"/>
              <w:jc w:val="left"/>
              <w:textAlignment w:val="auto"/>
              <w:rPr>
                <w:rFonts w:ascii="宋体" w:cs="宋体"/>
                <w:color w:val="auto"/>
                <w:sz w:val="24"/>
                <w:szCs w:val="24"/>
              </w:rPr>
            </w:pPr>
            <w:r>
              <w:rPr>
                <w:rFonts w:hint="eastAsia" w:ascii="宋体" w:cs="宋体"/>
                <w:color w:val="auto"/>
                <w:sz w:val="24"/>
                <w:szCs w:val="24"/>
              </w:rPr>
              <w:t>式中：</w:t>
            </w:r>
          </w:p>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p>
        </w:tc>
        <w:tc>
          <w:tcPr>
            <w:tcW w:w="2022" w:type="dxa"/>
            <w:tcMar>
              <w:left w:w="29" w:type="dxa"/>
              <w:right w:w="0" w:type="dxa"/>
            </w:tcMar>
          </w:tcPr>
          <w:p>
            <w:pPr>
              <w:keepNext w:val="0"/>
              <w:keepLines w:val="0"/>
              <w:pageBreakBefore w:val="0"/>
              <w:widowControl w:val="0"/>
              <w:kinsoku/>
              <w:wordWrap/>
              <w:overflowPunct/>
              <w:topLinePunct w:val="0"/>
              <w:bidi w:val="0"/>
              <w:snapToGrid/>
              <w:spacing w:after="0" w:line="360" w:lineRule="auto"/>
              <w:jc w:val="right"/>
              <w:textAlignment w:val="auto"/>
              <w:rPr>
                <w:iCs/>
                <w:color w:val="auto"/>
                <w:sz w:val="24"/>
                <w:szCs w:val="24"/>
              </w:rPr>
            </w:pPr>
            <w:r>
              <w:rPr>
                <w:i/>
                <w:iCs/>
                <w:color w:val="auto"/>
                <w:sz w:val="24"/>
                <w:szCs w:val="24"/>
              </w:rPr>
              <w:t>N</w:t>
            </w:r>
            <w:r>
              <w:rPr>
                <w:color w:val="auto"/>
                <w:sz w:val="24"/>
                <w:szCs w:val="24"/>
                <w:vertAlign w:val="subscript"/>
              </w:rPr>
              <w:t>Rk,s,fi</w:t>
            </w:r>
            <w:r>
              <w:rPr>
                <w:color w:val="auto"/>
                <w:sz w:val="24"/>
                <w:szCs w:val="24"/>
              </w:rPr>
              <w:t>(</w:t>
            </w:r>
            <w:r>
              <w:rPr>
                <w:rFonts w:ascii="Symbol" w:hAnsi="Symbol"/>
                <w:color w:val="auto"/>
                <w:sz w:val="24"/>
                <w:szCs w:val="24"/>
              </w:rPr>
              <w:t>q</w:t>
            </w:r>
            <w:r>
              <w:rPr>
                <w:color w:val="auto"/>
                <w:sz w:val="24"/>
                <w:szCs w:val="24"/>
              </w:rPr>
              <w:t>)</w:t>
            </w:r>
          </w:p>
        </w:tc>
        <w:tc>
          <w:tcPr>
            <w:tcW w:w="360" w:type="dxa"/>
          </w:tcPr>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r>
              <w:rPr>
                <w:color w:val="auto"/>
                <w:sz w:val="24"/>
                <w:szCs w:val="24"/>
              </w:rPr>
              <w:t>—</w:t>
            </w:r>
          </w:p>
        </w:tc>
        <w:tc>
          <w:tcPr>
            <w:tcW w:w="5153"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color w:val="auto"/>
                <w:sz w:val="24"/>
                <w:szCs w:val="24"/>
              </w:rPr>
              <w:t>在温度（</w:t>
            </w:r>
            <w:r>
              <w:rPr>
                <w:rFonts w:ascii="Symbol" w:hAnsi="Symbol"/>
                <w:color w:val="auto"/>
                <w:sz w:val="24"/>
                <w:szCs w:val="24"/>
              </w:rPr>
              <w:t>q</w:t>
            </w:r>
            <w:r>
              <w:rPr>
                <w:rFonts w:hint="eastAsia" w:ascii="Symbol" w:hAnsi="Symbol"/>
                <w:color w:val="auto"/>
                <w:sz w:val="24"/>
                <w:szCs w:val="24"/>
              </w:rPr>
              <w:t>）条件</w:t>
            </w:r>
            <w:r>
              <w:rPr>
                <w:rFonts w:hint="eastAsia"/>
                <w:color w:val="auto"/>
                <w:sz w:val="24"/>
                <w:szCs w:val="24"/>
              </w:rPr>
              <w:t>下钢材</w:t>
            </w:r>
            <w:r>
              <w:rPr>
                <w:rFonts w:hint="eastAsia"/>
                <w:color w:val="auto"/>
                <w:sz w:val="24"/>
                <w:szCs w:val="24"/>
                <w:lang w:val="en-US" w:eastAsia="zh-CN"/>
              </w:rPr>
              <w:t>破坏承载力</w:t>
            </w:r>
            <w:r>
              <w:rPr>
                <w:rFonts w:hint="eastAsia"/>
                <w:color w:val="auto"/>
                <w:sz w:val="24"/>
                <w:szCs w:val="24"/>
              </w:rPr>
              <w:t>标准值（k</w:t>
            </w:r>
            <w:r>
              <w:rPr>
                <w:color w:val="auto"/>
                <w:sz w:val="24"/>
                <w:szCs w:val="24"/>
              </w:rPr>
              <w:t>N</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0" w:type="dxa"/>
          </w:tcPr>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p>
        </w:tc>
        <w:tc>
          <w:tcPr>
            <w:tcW w:w="2022" w:type="dxa"/>
          </w:tcPr>
          <w:p>
            <w:pPr>
              <w:keepNext w:val="0"/>
              <w:keepLines w:val="0"/>
              <w:pageBreakBefore w:val="0"/>
              <w:widowControl w:val="0"/>
              <w:kinsoku/>
              <w:wordWrap/>
              <w:overflowPunct/>
              <w:topLinePunct w:val="0"/>
              <w:bidi w:val="0"/>
              <w:snapToGrid/>
              <w:spacing w:after="0" w:line="360" w:lineRule="auto"/>
              <w:jc w:val="right"/>
              <w:textAlignment w:val="auto"/>
              <w:rPr>
                <w:iCs/>
                <w:color w:val="auto"/>
                <w:sz w:val="24"/>
                <w:szCs w:val="24"/>
              </w:rPr>
            </w:pPr>
            <w:r>
              <w:rPr>
                <w:rFonts w:ascii="Symbol" w:hAnsi="Symbol"/>
                <w:color w:val="auto"/>
                <w:sz w:val="24"/>
                <w:szCs w:val="24"/>
              </w:rPr>
              <w:t>g</w:t>
            </w:r>
            <w:r>
              <w:rPr>
                <w:color w:val="auto"/>
                <w:sz w:val="24"/>
                <w:szCs w:val="24"/>
                <w:vertAlign w:val="subscript"/>
              </w:rPr>
              <w:t>M</w:t>
            </w:r>
            <w:r>
              <w:rPr>
                <w:rFonts w:hint="eastAsia"/>
                <w:color w:val="auto"/>
                <w:sz w:val="24"/>
                <w:szCs w:val="24"/>
                <w:vertAlign w:val="subscript"/>
              </w:rPr>
              <w:t>s</w:t>
            </w:r>
            <w:r>
              <w:rPr>
                <w:color w:val="auto"/>
                <w:sz w:val="24"/>
                <w:szCs w:val="24"/>
                <w:vertAlign w:val="subscript"/>
              </w:rPr>
              <w:t xml:space="preserve">,fi </w:t>
            </w:r>
          </w:p>
        </w:tc>
        <w:tc>
          <w:tcPr>
            <w:tcW w:w="360" w:type="dxa"/>
          </w:tcPr>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r>
              <w:rPr>
                <w:color w:val="auto"/>
                <w:sz w:val="24"/>
                <w:szCs w:val="24"/>
              </w:rPr>
              <w:t>—</w:t>
            </w:r>
          </w:p>
        </w:tc>
        <w:tc>
          <w:tcPr>
            <w:tcW w:w="5153" w:type="dxa"/>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eastAsia="宋体"/>
                <w:sz w:val="24"/>
                <w:szCs w:val="24"/>
                <w:lang w:eastAsia="zh-CN"/>
              </w:rPr>
            </w:pPr>
            <w:r>
              <w:rPr>
                <w:rFonts w:hint="eastAsia"/>
                <w:color w:val="auto"/>
                <w:sz w:val="24"/>
                <w:szCs w:val="24"/>
              </w:rPr>
              <w:t>火灾下钢材的分项系数，</w:t>
            </w:r>
            <w:r>
              <w:rPr>
                <w:rFonts w:hint="eastAsia" w:ascii="Symbol" w:hAnsi="Symbol"/>
                <w:color w:val="auto"/>
                <w:sz w:val="24"/>
                <w:szCs w:val="24"/>
                <w:lang w:val="en-US" w:eastAsia="zh-CN"/>
              </w:rPr>
              <w:t>可取</w:t>
            </w:r>
            <w:r>
              <w:rPr>
                <w:color w:val="auto"/>
                <w:sz w:val="24"/>
                <w:szCs w:val="24"/>
              </w:rPr>
              <w:t>1.0</w:t>
            </w:r>
            <w:r>
              <w:rPr>
                <w:rFonts w:hint="eastAsia"/>
                <w:color w:val="auto"/>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0" w:type="dxa"/>
          </w:tcPr>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p>
        </w:tc>
        <w:tc>
          <w:tcPr>
            <w:tcW w:w="2022" w:type="dxa"/>
          </w:tcPr>
          <w:p>
            <w:pPr>
              <w:keepNext w:val="0"/>
              <w:keepLines w:val="0"/>
              <w:pageBreakBefore w:val="0"/>
              <w:widowControl w:val="0"/>
              <w:kinsoku/>
              <w:wordWrap/>
              <w:overflowPunct/>
              <w:topLinePunct w:val="0"/>
              <w:bidi w:val="0"/>
              <w:snapToGrid/>
              <w:spacing w:after="0" w:line="360" w:lineRule="auto"/>
              <w:jc w:val="right"/>
              <w:textAlignment w:val="auto"/>
              <w:rPr>
                <w:i/>
                <w:iCs/>
                <w:color w:val="auto"/>
                <w:sz w:val="24"/>
                <w:szCs w:val="24"/>
              </w:rPr>
            </w:pPr>
            <w:r>
              <w:rPr>
                <w:rFonts w:hint="eastAsia"/>
                <w:color w:val="auto"/>
                <w:sz w:val="24"/>
                <w:szCs w:val="24"/>
              </w:rPr>
              <w:t>（</w:t>
            </w:r>
            <w:r>
              <w:rPr>
                <w:rFonts w:ascii="Symbol" w:hAnsi="Symbol"/>
                <w:color w:val="auto"/>
                <w:sz w:val="24"/>
                <w:szCs w:val="24"/>
              </w:rPr>
              <w:t>q</w:t>
            </w:r>
            <w:r>
              <w:rPr>
                <w:rFonts w:hint="eastAsia" w:ascii="Symbol" w:hAnsi="Symbol"/>
                <w:color w:val="auto"/>
                <w:sz w:val="24"/>
                <w:szCs w:val="24"/>
              </w:rPr>
              <w:t>）</w:t>
            </w:r>
          </w:p>
        </w:tc>
        <w:tc>
          <w:tcPr>
            <w:tcW w:w="360" w:type="dxa"/>
          </w:tcPr>
          <w:p>
            <w:pPr>
              <w:keepNext w:val="0"/>
              <w:keepLines w:val="0"/>
              <w:pageBreakBefore w:val="0"/>
              <w:widowControl w:val="0"/>
              <w:kinsoku/>
              <w:wordWrap/>
              <w:overflowPunct/>
              <w:topLinePunct w:val="0"/>
              <w:bidi w:val="0"/>
              <w:snapToGrid/>
              <w:spacing w:after="0" w:line="360" w:lineRule="auto"/>
              <w:textAlignment w:val="auto"/>
              <w:rPr>
                <w:color w:val="auto"/>
                <w:sz w:val="24"/>
                <w:szCs w:val="24"/>
              </w:rPr>
            </w:pPr>
            <w:r>
              <w:rPr>
                <w:color w:val="auto"/>
                <w:sz w:val="24"/>
                <w:szCs w:val="24"/>
              </w:rPr>
              <w:t>—</w:t>
            </w:r>
          </w:p>
        </w:tc>
        <w:tc>
          <w:tcPr>
            <w:tcW w:w="5153" w:type="dxa"/>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sz w:val="24"/>
                <w:szCs w:val="24"/>
              </w:rPr>
            </w:pPr>
            <w:r>
              <w:rPr>
                <w:rFonts w:hint="eastAsia"/>
                <w:color w:val="auto"/>
                <w:sz w:val="24"/>
                <w:szCs w:val="24"/>
              </w:rPr>
              <w:t>混凝土构件内植筋所处位置的最高温度（</w:t>
            </w:r>
            <w:r>
              <w:rPr>
                <w:rFonts w:hint="eastAsia"/>
                <w:color w:val="auto"/>
                <w:sz w:val="24"/>
                <w:szCs w:val="24"/>
              </w:rPr>
              <w:sym w:font="Symbol" w:char="F0B0"/>
            </w:r>
            <w:r>
              <w:rPr>
                <w:rFonts w:hint="eastAsia"/>
                <w:color w:val="auto"/>
                <w:sz w:val="24"/>
                <w:szCs w:val="24"/>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0" w:type="dxa"/>
          </w:tcPr>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p>
        </w:tc>
        <w:tc>
          <w:tcPr>
            <w:tcW w:w="2022" w:type="dxa"/>
          </w:tcPr>
          <w:p>
            <w:pPr>
              <w:keepNext w:val="0"/>
              <w:keepLines w:val="0"/>
              <w:pageBreakBefore w:val="0"/>
              <w:widowControl w:val="0"/>
              <w:kinsoku/>
              <w:wordWrap/>
              <w:overflowPunct/>
              <w:topLinePunct w:val="0"/>
              <w:bidi w:val="0"/>
              <w:snapToGrid/>
              <w:spacing w:after="0" w:line="360" w:lineRule="auto"/>
              <w:jc w:val="right"/>
              <w:textAlignment w:val="auto"/>
              <w:rPr>
                <w:i/>
                <w:iCs/>
                <w:color w:val="auto"/>
                <w:sz w:val="24"/>
                <w:szCs w:val="24"/>
              </w:rPr>
            </w:pPr>
            <w:r>
              <w:rPr>
                <w:i/>
                <w:iCs/>
                <w:color w:val="auto"/>
                <w:sz w:val="24"/>
                <w:szCs w:val="24"/>
              </w:rPr>
              <w:t>f</w:t>
            </w:r>
            <w:r>
              <w:rPr>
                <w:color w:val="auto"/>
                <w:sz w:val="24"/>
                <w:szCs w:val="24"/>
                <w:vertAlign w:val="subscript"/>
              </w:rPr>
              <w:t>yk,fi</w:t>
            </w:r>
            <w:r>
              <w:rPr>
                <w:color w:val="auto"/>
                <w:sz w:val="24"/>
                <w:szCs w:val="24"/>
              </w:rPr>
              <w:t xml:space="preserve"> (</w:t>
            </w:r>
            <w:r>
              <w:rPr>
                <w:rFonts w:ascii="Symbol" w:hAnsi="Symbol"/>
                <w:color w:val="auto"/>
                <w:sz w:val="24"/>
                <w:szCs w:val="24"/>
              </w:rPr>
              <w:t>q</w:t>
            </w:r>
            <w:r>
              <w:rPr>
                <w:color w:val="auto"/>
                <w:sz w:val="24"/>
                <w:szCs w:val="24"/>
              </w:rPr>
              <w:t>)</w:t>
            </w:r>
          </w:p>
        </w:tc>
        <w:tc>
          <w:tcPr>
            <w:tcW w:w="360" w:type="dxa"/>
          </w:tcPr>
          <w:p>
            <w:pPr>
              <w:keepNext w:val="0"/>
              <w:keepLines w:val="0"/>
              <w:pageBreakBefore w:val="0"/>
              <w:widowControl w:val="0"/>
              <w:kinsoku/>
              <w:wordWrap/>
              <w:overflowPunct/>
              <w:topLinePunct w:val="0"/>
              <w:bidi w:val="0"/>
              <w:snapToGrid/>
              <w:spacing w:after="0" w:line="360" w:lineRule="auto"/>
              <w:textAlignment w:val="auto"/>
              <w:rPr>
                <w:color w:val="auto"/>
                <w:sz w:val="24"/>
                <w:szCs w:val="24"/>
              </w:rPr>
            </w:pPr>
            <w:r>
              <w:rPr>
                <w:color w:val="auto"/>
                <w:sz w:val="24"/>
                <w:szCs w:val="24"/>
              </w:rPr>
              <w:t>—</w:t>
            </w:r>
          </w:p>
        </w:tc>
        <w:tc>
          <w:tcPr>
            <w:tcW w:w="5153" w:type="dxa"/>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sz w:val="24"/>
                <w:szCs w:val="24"/>
              </w:rPr>
            </w:pPr>
            <w:r>
              <w:rPr>
                <w:rFonts w:hint="eastAsia"/>
                <w:color w:val="auto"/>
                <w:sz w:val="24"/>
                <w:szCs w:val="24"/>
              </w:rPr>
              <w:t>钢材在指定火灾温度（</w:t>
            </w:r>
            <m:oMath>
              <m:r>
                <m:rPr/>
                <w:rPr>
                  <w:rFonts w:ascii="Cambria Math" w:hAnsi="Cambria Math"/>
                  <w:color w:val="auto"/>
                  <w:sz w:val="24"/>
                  <w:szCs w:val="24"/>
                </w:rPr>
                <m:t>θ</m:t>
              </m:r>
            </m:oMath>
            <w:r>
              <w:rPr>
                <w:rFonts w:hint="eastAsia"/>
                <w:color w:val="auto"/>
                <w:sz w:val="24"/>
                <w:szCs w:val="24"/>
              </w:rPr>
              <w:t>）下的屈服强度（MPa）；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0" w:type="dxa"/>
          </w:tcPr>
          <w:p>
            <w:pPr>
              <w:keepNext w:val="0"/>
              <w:keepLines w:val="0"/>
              <w:pageBreakBefore w:val="0"/>
              <w:widowControl w:val="0"/>
              <w:kinsoku/>
              <w:wordWrap/>
              <w:overflowPunct/>
              <w:topLinePunct w:val="0"/>
              <w:bidi w:val="0"/>
              <w:snapToGrid/>
              <w:spacing w:after="0" w:line="360" w:lineRule="auto"/>
              <w:textAlignment w:val="auto"/>
              <w:rPr>
                <w:iCs/>
                <w:color w:val="auto"/>
                <w:sz w:val="24"/>
                <w:szCs w:val="24"/>
              </w:rPr>
            </w:pPr>
          </w:p>
        </w:tc>
        <w:tc>
          <w:tcPr>
            <w:tcW w:w="2022" w:type="dxa"/>
          </w:tcPr>
          <w:p>
            <w:pPr>
              <w:keepNext w:val="0"/>
              <w:keepLines w:val="0"/>
              <w:pageBreakBefore w:val="0"/>
              <w:widowControl w:val="0"/>
              <w:kinsoku/>
              <w:wordWrap/>
              <w:overflowPunct/>
              <w:topLinePunct w:val="0"/>
              <w:bidi w:val="0"/>
              <w:snapToGrid/>
              <w:spacing w:after="0" w:line="360" w:lineRule="auto"/>
              <w:jc w:val="right"/>
              <w:textAlignment w:val="auto"/>
              <w:rPr>
                <w:i/>
                <w:iCs/>
                <w:color w:val="auto"/>
                <w:sz w:val="24"/>
                <w:szCs w:val="24"/>
              </w:rPr>
            </w:pPr>
            <w:r>
              <w:rPr>
                <w:rFonts w:hint="eastAsia"/>
                <w:i/>
                <w:iCs/>
                <w:color w:val="auto"/>
                <w:sz w:val="24"/>
                <w:szCs w:val="24"/>
              </w:rPr>
              <w:t>k</w:t>
            </w:r>
            <w:r>
              <w:rPr>
                <w:color w:val="auto"/>
                <w:sz w:val="24"/>
                <w:szCs w:val="24"/>
                <w:vertAlign w:val="subscript"/>
              </w:rPr>
              <w:t xml:space="preserve">s,fi </w:t>
            </w:r>
            <w:r>
              <w:rPr>
                <w:color w:val="auto"/>
                <w:sz w:val="24"/>
                <w:szCs w:val="24"/>
              </w:rPr>
              <w:t>(</w:t>
            </w:r>
            <w:r>
              <w:rPr>
                <w:rFonts w:ascii="Symbol" w:hAnsi="Symbol"/>
                <w:color w:val="auto"/>
                <w:sz w:val="24"/>
                <w:szCs w:val="24"/>
              </w:rPr>
              <w:t>q</w:t>
            </w:r>
            <w:r>
              <w:rPr>
                <w:color w:val="auto"/>
                <w:sz w:val="24"/>
                <w:szCs w:val="24"/>
              </w:rPr>
              <w:t>)</w:t>
            </w:r>
          </w:p>
        </w:tc>
        <w:tc>
          <w:tcPr>
            <w:tcW w:w="360" w:type="dxa"/>
          </w:tcPr>
          <w:p>
            <w:pPr>
              <w:keepNext w:val="0"/>
              <w:keepLines w:val="0"/>
              <w:pageBreakBefore w:val="0"/>
              <w:widowControl w:val="0"/>
              <w:kinsoku/>
              <w:wordWrap/>
              <w:overflowPunct/>
              <w:topLinePunct w:val="0"/>
              <w:bidi w:val="0"/>
              <w:snapToGrid/>
              <w:spacing w:after="0" w:line="360" w:lineRule="auto"/>
              <w:textAlignment w:val="auto"/>
              <w:rPr>
                <w:color w:val="auto"/>
                <w:sz w:val="24"/>
                <w:szCs w:val="24"/>
              </w:rPr>
            </w:pPr>
            <w:r>
              <w:rPr>
                <w:color w:val="auto"/>
                <w:sz w:val="24"/>
                <w:szCs w:val="24"/>
              </w:rPr>
              <w:t>—</w:t>
            </w:r>
          </w:p>
        </w:tc>
        <w:tc>
          <w:tcPr>
            <w:tcW w:w="5153" w:type="dxa"/>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sz w:val="24"/>
                <w:szCs w:val="24"/>
              </w:rPr>
            </w:pPr>
            <w:r>
              <w:rPr>
                <w:rFonts w:hint="eastAsia"/>
                <w:color w:val="auto"/>
                <w:sz w:val="24"/>
                <w:szCs w:val="24"/>
              </w:rPr>
              <w:t>热轧带肋钢筋高温（</w:t>
            </w:r>
            <m:oMath>
              <m:r>
                <m:rPr/>
                <w:rPr>
                  <w:rFonts w:ascii="Cambria Math" w:hAnsi="Cambria Math"/>
                  <w:color w:val="auto"/>
                  <w:sz w:val="24"/>
                  <w:szCs w:val="24"/>
                </w:rPr>
                <m:t>θ</m:t>
              </m:r>
            </m:oMath>
            <w:r>
              <w:rPr>
                <w:rFonts w:hint="eastAsia"/>
                <w:color w:val="auto"/>
                <w:sz w:val="24"/>
                <w:szCs w:val="24"/>
              </w:rPr>
              <w:t>）环境下的强度折减系数，可按表4.5.</w:t>
            </w:r>
            <w:r>
              <w:rPr>
                <w:color w:val="auto"/>
                <w:sz w:val="24"/>
                <w:szCs w:val="24"/>
              </w:rPr>
              <w:t>4取值</w:t>
            </w:r>
            <w:r>
              <w:rPr>
                <w:rFonts w:hint="eastAsia"/>
                <w:color w:val="auto"/>
                <w:sz w:val="24"/>
                <w:szCs w:val="24"/>
              </w:rPr>
              <w:t>。</w:t>
            </w:r>
          </w:p>
        </w:tc>
      </w:tr>
    </w:tbl>
    <w:p>
      <w:pPr>
        <w:spacing w:after="0" w:line="360" w:lineRule="auto"/>
        <w:rPr>
          <w:rFonts w:hint="eastAsia" w:eastAsia="宋体"/>
          <w:color w:val="auto"/>
          <w:sz w:val="24"/>
          <w:szCs w:val="24"/>
          <w:lang w:eastAsia="zh-CN"/>
        </w:rPr>
      </w:pPr>
      <w:r>
        <w:rPr>
          <w:rFonts w:hint="eastAsia"/>
          <w:b/>
          <w:bCs/>
          <w:color w:val="auto"/>
          <w:sz w:val="24"/>
          <w:szCs w:val="24"/>
        </w:rPr>
        <w:t>4.5.</w:t>
      </w:r>
      <w:r>
        <w:rPr>
          <w:b/>
          <w:bCs/>
          <w:color w:val="auto"/>
          <w:sz w:val="24"/>
          <w:szCs w:val="24"/>
        </w:rPr>
        <w:t>4</w:t>
      </w:r>
      <w:r>
        <w:rPr>
          <w:color w:val="auto"/>
          <w:sz w:val="24"/>
          <w:szCs w:val="24"/>
        </w:rPr>
        <w:t xml:space="preserve"> </w:t>
      </w:r>
      <w:r>
        <w:rPr>
          <w:rFonts w:hint="eastAsia"/>
          <w:color w:val="auto"/>
          <w:sz w:val="24"/>
          <w:szCs w:val="24"/>
        </w:rPr>
        <w:t>热轧带肋钢筋在不同温度下的强度折减系数可按表4.5.</w:t>
      </w:r>
      <w:r>
        <w:rPr>
          <w:color w:val="auto"/>
          <w:sz w:val="24"/>
          <w:szCs w:val="24"/>
        </w:rPr>
        <w:t>4选取</w:t>
      </w:r>
      <w:r>
        <w:rPr>
          <w:rFonts w:hint="eastAsia"/>
          <w:color w:val="auto"/>
          <w:sz w:val="24"/>
          <w:szCs w:val="24"/>
          <w:lang w:eastAsia="zh-CN"/>
        </w:rPr>
        <w:t>。</w:t>
      </w:r>
    </w:p>
    <w:p>
      <w:pPr>
        <w:spacing w:after="0" w:line="360" w:lineRule="auto"/>
        <w:jc w:val="center"/>
        <w:rPr>
          <w:b/>
          <w:bCs/>
          <w:color w:val="auto"/>
          <w:sz w:val="21"/>
          <w:szCs w:val="21"/>
        </w:rPr>
      </w:pPr>
      <w:r>
        <w:rPr>
          <w:rFonts w:hint="eastAsia"/>
          <w:b/>
          <w:bCs/>
          <w:color w:val="auto"/>
          <w:sz w:val="21"/>
          <w:szCs w:val="21"/>
        </w:rPr>
        <w:t>表4.5.</w:t>
      </w:r>
      <w:r>
        <w:rPr>
          <w:b/>
          <w:bCs/>
          <w:color w:val="auto"/>
          <w:sz w:val="21"/>
          <w:szCs w:val="21"/>
        </w:rPr>
        <w:t>4</w:t>
      </w:r>
      <w:r>
        <w:rPr>
          <w:rFonts w:hint="eastAsia"/>
          <w:b/>
          <w:bCs/>
          <w:color w:val="auto"/>
          <w:sz w:val="21"/>
          <w:szCs w:val="21"/>
        </w:rPr>
        <w:t>不同温度下热轧带肋钢筋强度折减系数</w:t>
      </w:r>
      <w:r>
        <w:rPr>
          <w:rFonts w:hint="eastAsia"/>
          <w:b/>
          <w:bCs/>
          <w:i/>
          <w:iCs/>
          <w:color w:val="auto"/>
          <w:sz w:val="21"/>
          <w:szCs w:val="21"/>
        </w:rPr>
        <w:t>k</w:t>
      </w:r>
      <w:r>
        <w:rPr>
          <w:b/>
          <w:bCs/>
          <w:color w:val="auto"/>
          <w:sz w:val="21"/>
          <w:szCs w:val="21"/>
          <w:vertAlign w:val="subscript"/>
        </w:rPr>
        <w:t>s,fi</w:t>
      </w:r>
    </w:p>
    <w:tbl>
      <w:tblPr>
        <w:tblStyle w:val="28"/>
        <w:tblW w:w="8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763"/>
        <w:gridCol w:w="642"/>
        <w:gridCol w:w="767"/>
        <w:gridCol w:w="767"/>
        <w:gridCol w:w="767"/>
        <w:gridCol w:w="767"/>
        <w:gridCol w:w="767"/>
        <w:gridCol w:w="767"/>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1594" w:type="dxa"/>
            <w:tcMar>
              <w:left w:w="58" w:type="dxa"/>
              <w:right w:w="58" w:type="dxa"/>
            </w:tcMar>
          </w:tcPr>
          <w:p>
            <w:pPr>
              <w:spacing w:before="120" w:after="0" w:line="360" w:lineRule="auto"/>
              <w:jc w:val="center"/>
              <w:rPr>
                <w:color w:val="auto"/>
                <w:sz w:val="21"/>
                <w:szCs w:val="21"/>
              </w:rPr>
            </w:pPr>
            <w:r>
              <w:rPr>
                <w:rFonts w:hint="eastAsia"/>
                <w:color w:val="auto"/>
                <w:sz w:val="21"/>
                <w:szCs w:val="21"/>
              </w:rPr>
              <w:t>温度（</w:t>
            </w:r>
            <w:r>
              <w:rPr>
                <w:rFonts w:ascii="Symbol" w:hAnsi="Symbol"/>
                <w:color w:val="auto"/>
                <w:sz w:val="21"/>
                <w:szCs w:val="21"/>
              </w:rPr>
              <w:t>q</w:t>
            </w:r>
            <w:r>
              <w:rPr>
                <w:rFonts w:hint="eastAsia"/>
                <w:color w:val="auto"/>
                <w:sz w:val="21"/>
                <w:szCs w:val="21"/>
              </w:rPr>
              <w:t>）</w:t>
            </w:r>
            <w:r>
              <w:rPr>
                <w:color w:val="auto"/>
                <w:sz w:val="21"/>
                <w:szCs w:val="21"/>
              </w:rPr>
              <w:t xml:space="preserve"> (</w:t>
            </w:r>
            <w:r>
              <w:rPr>
                <w:rFonts w:hint="eastAsia"/>
                <w:color w:val="auto"/>
                <w:sz w:val="21"/>
                <w:szCs w:val="21"/>
              </w:rPr>
              <w:sym w:font="Symbol" w:char="F0B0"/>
            </w:r>
            <w:r>
              <w:rPr>
                <w:rFonts w:hint="eastAsia"/>
                <w:color w:val="auto"/>
                <w:sz w:val="21"/>
                <w:szCs w:val="21"/>
              </w:rPr>
              <w:t>C</w:t>
            </w:r>
            <w:r>
              <w:rPr>
                <w:color w:val="auto"/>
                <w:sz w:val="21"/>
                <w:szCs w:val="21"/>
              </w:rPr>
              <w:t>)</w:t>
            </w:r>
          </w:p>
        </w:tc>
        <w:tc>
          <w:tcPr>
            <w:tcW w:w="763" w:type="dxa"/>
          </w:tcPr>
          <w:p>
            <w:pPr>
              <w:spacing w:before="120" w:after="0" w:line="360" w:lineRule="auto"/>
              <w:jc w:val="center"/>
              <w:rPr>
                <w:color w:val="auto"/>
                <w:sz w:val="21"/>
                <w:szCs w:val="21"/>
              </w:rPr>
            </w:pPr>
            <w:r>
              <w:rPr>
                <w:color w:val="auto"/>
                <w:sz w:val="21"/>
                <w:szCs w:val="21"/>
              </w:rPr>
              <w:t>≤400</w:t>
            </w:r>
          </w:p>
        </w:tc>
        <w:tc>
          <w:tcPr>
            <w:tcW w:w="642" w:type="dxa"/>
          </w:tcPr>
          <w:p>
            <w:pPr>
              <w:spacing w:before="120" w:after="0" w:line="360" w:lineRule="auto"/>
              <w:jc w:val="center"/>
              <w:rPr>
                <w:color w:val="auto"/>
                <w:sz w:val="21"/>
                <w:szCs w:val="21"/>
              </w:rPr>
            </w:pPr>
            <w:r>
              <w:rPr>
                <w:color w:val="auto"/>
                <w:sz w:val="21"/>
                <w:szCs w:val="21"/>
              </w:rPr>
              <w:t>500</w:t>
            </w:r>
          </w:p>
        </w:tc>
        <w:tc>
          <w:tcPr>
            <w:tcW w:w="767" w:type="dxa"/>
          </w:tcPr>
          <w:p>
            <w:pPr>
              <w:spacing w:before="120" w:after="0" w:line="360" w:lineRule="auto"/>
              <w:jc w:val="center"/>
              <w:rPr>
                <w:color w:val="auto"/>
                <w:sz w:val="21"/>
                <w:szCs w:val="21"/>
              </w:rPr>
            </w:pPr>
            <w:r>
              <w:rPr>
                <w:color w:val="auto"/>
                <w:sz w:val="21"/>
                <w:szCs w:val="21"/>
              </w:rPr>
              <w:t>600</w:t>
            </w:r>
          </w:p>
        </w:tc>
        <w:tc>
          <w:tcPr>
            <w:tcW w:w="767" w:type="dxa"/>
          </w:tcPr>
          <w:p>
            <w:pPr>
              <w:spacing w:before="120" w:after="0" w:line="360" w:lineRule="auto"/>
              <w:jc w:val="center"/>
              <w:rPr>
                <w:color w:val="auto"/>
                <w:sz w:val="21"/>
                <w:szCs w:val="21"/>
              </w:rPr>
            </w:pPr>
            <w:r>
              <w:rPr>
                <w:color w:val="auto"/>
                <w:sz w:val="21"/>
                <w:szCs w:val="21"/>
              </w:rPr>
              <w:t>700</w:t>
            </w:r>
          </w:p>
        </w:tc>
        <w:tc>
          <w:tcPr>
            <w:tcW w:w="767" w:type="dxa"/>
          </w:tcPr>
          <w:p>
            <w:pPr>
              <w:spacing w:before="120" w:after="0" w:line="360" w:lineRule="auto"/>
              <w:jc w:val="center"/>
              <w:rPr>
                <w:color w:val="auto"/>
                <w:sz w:val="21"/>
                <w:szCs w:val="21"/>
              </w:rPr>
            </w:pPr>
            <w:r>
              <w:rPr>
                <w:color w:val="auto"/>
                <w:sz w:val="21"/>
                <w:szCs w:val="21"/>
              </w:rPr>
              <w:t>800</w:t>
            </w:r>
          </w:p>
        </w:tc>
        <w:tc>
          <w:tcPr>
            <w:tcW w:w="767" w:type="dxa"/>
          </w:tcPr>
          <w:p>
            <w:pPr>
              <w:spacing w:before="120" w:after="0" w:line="360" w:lineRule="auto"/>
              <w:jc w:val="center"/>
              <w:rPr>
                <w:color w:val="auto"/>
                <w:sz w:val="21"/>
                <w:szCs w:val="21"/>
              </w:rPr>
            </w:pPr>
            <w:r>
              <w:rPr>
                <w:color w:val="auto"/>
                <w:sz w:val="21"/>
                <w:szCs w:val="21"/>
              </w:rPr>
              <w:t>900</w:t>
            </w:r>
          </w:p>
        </w:tc>
        <w:tc>
          <w:tcPr>
            <w:tcW w:w="767" w:type="dxa"/>
          </w:tcPr>
          <w:p>
            <w:pPr>
              <w:spacing w:before="120" w:after="0" w:line="360" w:lineRule="auto"/>
              <w:jc w:val="center"/>
              <w:rPr>
                <w:color w:val="auto"/>
                <w:sz w:val="21"/>
                <w:szCs w:val="21"/>
              </w:rPr>
            </w:pPr>
            <w:r>
              <w:rPr>
                <w:color w:val="auto"/>
                <w:sz w:val="21"/>
                <w:szCs w:val="21"/>
              </w:rPr>
              <w:t>1000</w:t>
            </w:r>
          </w:p>
        </w:tc>
        <w:tc>
          <w:tcPr>
            <w:tcW w:w="767" w:type="dxa"/>
          </w:tcPr>
          <w:p>
            <w:pPr>
              <w:spacing w:before="120" w:after="0" w:line="360" w:lineRule="auto"/>
              <w:jc w:val="center"/>
              <w:rPr>
                <w:color w:val="auto"/>
                <w:sz w:val="21"/>
                <w:szCs w:val="21"/>
              </w:rPr>
            </w:pPr>
            <w:r>
              <w:rPr>
                <w:color w:val="auto"/>
                <w:sz w:val="21"/>
                <w:szCs w:val="21"/>
              </w:rPr>
              <w:t>1100</w:t>
            </w:r>
          </w:p>
        </w:tc>
        <w:tc>
          <w:tcPr>
            <w:tcW w:w="767" w:type="dxa"/>
          </w:tcPr>
          <w:p>
            <w:pPr>
              <w:spacing w:before="120" w:after="0" w:line="360" w:lineRule="auto"/>
              <w:jc w:val="center"/>
              <w:rPr>
                <w:color w:val="auto"/>
                <w:sz w:val="21"/>
                <w:szCs w:val="21"/>
              </w:rPr>
            </w:pPr>
            <w:r>
              <w:rPr>
                <w:color w:val="auto"/>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94" w:type="dxa"/>
          </w:tcPr>
          <w:p>
            <w:pPr>
              <w:spacing w:before="120" w:after="0" w:line="360" w:lineRule="auto"/>
              <w:jc w:val="center"/>
              <w:rPr>
                <w:color w:val="auto"/>
                <w:sz w:val="21"/>
                <w:szCs w:val="21"/>
              </w:rPr>
            </w:pPr>
            <w:r>
              <w:rPr>
                <w:rFonts w:hint="eastAsia"/>
                <w:i/>
                <w:iCs/>
                <w:color w:val="auto"/>
                <w:sz w:val="21"/>
                <w:szCs w:val="21"/>
              </w:rPr>
              <w:t>k</w:t>
            </w:r>
            <w:r>
              <w:rPr>
                <w:color w:val="auto"/>
                <w:sz w:val="21"/>
                <w:szCs w:val="21"/>
                <w:vertAlign w:val="subscript"/>
              </w:rPr>
              <w:t>s,fi</w:t>
            </w:r>
          </w:p>
        </w:tc>
        <w:tc>
          <w:tcPr>
            <w:tcW w:w="763" w:type="dxa"/>
          </w:tcPr>
          <w:p>
            <w:pPr>
              <w:spacing w:before="120" w:after="0" w:line="360" w:lineRule="auto"/>
              <w:jc w:val="center"/>
              <w:rPr>
                <w:color w:val="auto"/>
                <w:sz w:val="21"/>
                <w:szCs w:val="21"/>
              </w:rPr>
            </w:pPr>
            <w:r>
              <w:rPr>
                <w:color w:val="auto"/>
                <w:sz w:val="21"/>
                <w:szCs w:val="21"/>
              </w:rPr>
              <w:t>1.00</w:t>
            </w:r>
          </w:p>
        </w:tc>
        <w:tc>
          <w:tcPr>
            <w:tcW w:w="642" w:type="dxa"/>
          </w:tcPr>
          <w:p>
            <w:pPr>
              <w:spacing w:before="120" w:after="0" w:line="360" w:lineRule="auto"/>
              <w:jc w:val="center"/>
              <w:rPr>
                <w:color w:val="auto"/>
                <w:sz w:val="21"/>
                <w:szCs w:val="21"/>
              </w:rPr>
            </w:pPr>
            <w:r>
              <w:rPr>
                <w:color w:val="auto"/>
                <w:sz w:val="21"/>
                <w:szCs w:val="21"/>
              </w:rPr>
              <w:t>0.78</w:t>
            </w:r>
          </w:p>
        </w:tc>
        <w:tc>
          <w:tcPr>
            <w:tcW w:w="767" w:type="dxa"/>
          </w:tcPr>
          <w:p>
            <w:pPr>
              <w:spacing w:before="120" w:after="0" w:line="360" w:lineRule="auto"/>
              <w:jc w:val="center"/>
              <w:rPr>
                <w:color w:val="auto"/>
                <w:sz w:val="21"/>
                <w:szCs w:val="21"/>
              </w:rPr>
            </w:pPr>
            <w:r>
              <w:rPr>
                <w:color w:val="auto"/>
                <w:sz w:val="21"/>
                <w:szCs w:val="21"/>
              </w:rPr>
              <w:t>0.47</w:t>
            </w:r>
          </w:p>
        </w:tc>
        <w:tc>
          <w:tcPr>
            <w:tcW w:w="767" w:type="dxa"/>
          </w:tcPr>
          <w:p>
            <w:pPr>
              <w:spacing w:before="120" w:after="0" w:line="360" w:lineRule="auto"/>
              <w:jc w:val="center"/>
              <w:rPr>
                <w:color w:val="auto"/>
                <w:sz w:val="21"/>
                <w:szCs w:val="21"/>
              </w:rPr>
            </w:pPr>
            <w:r>
              <w:rPr>
                <w:color w:val="auto"/>
                <w:sz w:val="21"/>
                <w:szCs w:val="21"/>
              </w:rPr>
              <w:t>0.23</w:t>
            </w:r>
          </w:p>
        </w:tc>
        <w:tc>
          <w:tcPr>
            <w:tcW w:w="767" w:type="dxa"/>
          </w:tcPr>
          <w:p>
            <w:pPr>
              <w:spacing w:before="120" w:after="0" w:line="360" w:lineRule="auto"/>
              <w:jc w:val="center"/>
              <w:rPr>
                <w:color w:val="auto"/>
                <w:sz w:val="21"/>
                <w:szCs w:val="21"/>
              </w:rPr>
            </w:pPr>
            <w:r>
              <w:rPr>
                <w:color w:val="auto"/>
                <w:sz w:val="21"/>
                <w:szCs w:val="21"/>
              </w:rPr>
              <w:t>0.11</w:t>
            </w:r>
          </w:p>
        </w:tc>
        <w:tc>
          <w:tcPr>
            <w:tcW w:w="767" w:type="dxa"/>
          </w:tcPr>
          <w:p>
            <w:pPr>
              <w:spacing w:before="120" w:after="0" w:line="360" w:lineRule="auto"/>
              <w:jc w:val="center"/>
              <w:rPr>
                <w:color w:val="auto"/>
                <w:sz w:val="21"/>
                <w:szCs w:val="21"/>
              </w:rPr>
            </w:pPr>
            <w:r>
              <w:rPr>
                <w:color w:val="auto"/>
                <w:sz w:val="21"/>
                <w:szCs w:val="21"/>
              </w:rPr>
              <w:t>0.06</w:t>
            </w:r>
          </w:p>
        </w:tc>
        <w:tc>
          <w:tcPr>
            <w:tcW w:w="767" w:type="dxa"/>
          </w:tcPr>
          <w:p>
            <w:pPr>
              <w:spacing w:before="120" w:after="0" w:line="360" w:lineRule="auto"/>
              <w:jc w:val="center"/>
              <w:rPr>
                <w:color w:val="auto"/>
                <w:sz w:val="21"/>
                <w:szCs w:val="21"/>
              </w:rPr>
            </w:pPr>
            <w:r>
              <w:rPr>
                <w:color w:val="auto"/>
                <w:sz w:val="21"/>
                <w:szCs w:val="21"/>
              </w:rPr>
              <w:t>0.04</w:t>
            </w:r>
          </w:p>
        </w:tc>
        <w:tc>
          <w:tcPr>
            <w:tcW w:w="767" w:type="dxa"/>
          </w:tcPr>
          <w:p>
            <w:pPr>
              <w:spacing w:before="120" w:after="0" w:line="360" w:lineRule="auto"/>
              <w:jc w:val="center"/>
              <w:rPr>
                <w:color w:val="auto"/>
                <w:sz w:val="21"/>
                <w:szCs w:val="21"/>
              </w:rPr>
            </w:pPr>
            <w:r>
              <w:rPr>
                <w:color w:val="auto"/>
                <w:sz w:val="21"/>
                <w:szCs w:val="21"/>
              </w:rPr>
              <w:t>0.02</w:t>
            </w:r>
          </w:p>
        </w:tc>
        <w:tc>
          <w:tcPr>
            <w:tcW w:w="767" w:type="dxa"/>
          </w:tcPr>
          <w:p>
            <w:pPr>
              <w:spacing w:before="120" w:after="0" w:line="360" w:lineRule="auto"/>
              <w:jc w:val="center"/>
              <w:rPr>
                <w:color w:val="auto"/>
                <w:sz w:val="21"/>
                <w:szCs w:val="21"/>
              </w:rPr>
            </w:pPr>
            <w:r>
              <w:rPr>
                <w:color w:val="auto"/>
                <w:sz w:val="21"/>
                <w:szCs w:val="21"/>
              </w:rPr>
              <w:t>0.00</w:t>
            </w:r>
          </w:p>
        </w:tc>
      </w:tr>
    </w:tbl>
    <w:p>
      <w:pPr>
        <w:spacing w:before="120" w:after="0" w:line="360" w:lineRule="auto"/>
        <w:rPr>
          <w:i/>
          <w:iCs/>
          <w:color w:val="4472C4" w:themeColor="accent1"/>
          <w:sz w:val="24"/>
          <w:szCs w:val="24"/>
          <w14:textFill>
            <w14:solidFill>
              <w14:schemeClr w14:val="accent1"/>
            </w14:solidFill>
          </w14:textFill>
        </w:rPr>
      </w:pPr>
      <w:r>
        <w:rPr>
          <w:rFonts w:hint="eastAsia"/>
          <w:b/>
          <w:bCs/>
          <w:i/>
          <w:iCs/>
          <w:color w:val="4472C4" w:themeColor="accent1"/>
          <w:sz w:val="24"/>
          <w:szCs w:val="24"/>
          <w14:textFill>
            <w14:solidFill>
              <w14:schemeClr w14:val="accent1"/>
            </w14:solidFill>
          </w14:textFill>
        </w:rPr>
        <w:t>【条文说明】 4.5.</w:t>
      </w:r>
      <w:r>
        <w:rPr>
          <w:b/>
          <w:bCs/>
          <w:i/>
          <w:iCs/>
          <w:color w:val="4472C4" w:themeColor="accent1"/>
          <w:sz w:val="24"/>
          <w:szCs w:val="24"/>
          <w14:textFill>
            <w14:solidFill>
              <w14:schemeClr w14:val="accent1"/>
            </w14:solidFill>
          </w14:textFill>
        </w:rPr>
        <w:t>4</w:t>
      </w:r>
      <w:r>
        <w:rPr>
          <w:i/>
          <w:iCs/>
          <w:color w:val="4472C4" w:themeColor="accent1"/>
          <w:sz w:val="24"/>
          <w:szCs w:val="24"/>
          <w14:textFill>
            <w14:solidFill>
              <w14:schemeClr w14:val="accent1"/>
            </w14:solidFill>
          </w14:textFill>
        </w:rPr>
        <w:t xml:space="preserve"> </w:t>
      </w:r>
      <w:r>
        <w:rPr>
          <w:rFonts w:hint="eastAsia"/>
          <w:i/>
          <w:iCs/>
          <w:color w:val="4472C4" w:themeColor="accent1"/>
          <w:sz w:val="24"/>
          <w:szCs w:val="24"/>
          <w14:textFill>
            <w14:solidFill>
              <w14:schemeClr w14:val="accent1"/>
            </w14:solidFill>
          </w14:textFill>
        </w:rPr>
        <w:t>本表格所采用的折减系数参考了欧盟标准EC</w:t>
      </w:r>
      <w:r>
        <w:rPr>
          <w:i/>
          <w:iCs/>
          <w:color w:val="4472C4" w:themeColor="accent1"/>
          <w:sz w:val="24"/>
          <w:szCs w:val="24"/>
          <w14:textFill>
            <w14:solidFill>
              <w14:schemeClr w14:val="accent1"/>
            </w14:solidFill>
          </w14:textFill>
        </w:rPr>
        <w:t>2</w:t>
      </w:r>
      <w:r>
        <w:rPr>
          <w:rFonts w:hint="eastAsia"/>
          <w:i/>
          <w:iCs/>
          <w:color w:val="4472C4" w:themeColor="accent1"/>
          <w:sz w:val="24"/>
          <w:szCs w:val="24"/>
          <w14:textFill>
            <w14:solidFill>
              <w14:schemeClr w14:val="accent1"/>
            </w14:solidFill>
          </w14:textFill>
        </w:rPr>
        <w:t>第二部分《结构耐火设计》中对极限强度不超过</w:t>
      </w:r>
      <w:r>
        <w:rPr>
          <w:i/>
          <w:iCs/>
          <w:color w:val="4472C4" w:themeColor="accent1"/>
          <w:sz w:val="24"/>
          <w:szCs w:val="24"/>
          <w14:textFill>
            <w14:solidFill>
              <w14:schemeClr w14:val="accent1"/>
            </w14:solidFill>
          </w14:textFill>
        </w:rPr>
        <w:t>500</w:t>
      </w:r>
      <w:r>
        <w:rPr>
          <w:rFonts w:hint="eastAsia"/>
          <w:i/>
          <w:iCs/>
          <w:color w:val="4472C4" w:themeColor="accent1"/>
          <w:sz w:val="24"/>
          <w:szCs w:val="24"/>
          <w14:textFill>
            <w14:solidFill>
              <w14:schemeClr w14:val="accent1"/>
            </w14:solidFill>
          </w14:textFill>
        </w:rPr>
        <w:t>MPa直径1</w:t>
      </w:r>
      <w:r>
        <w:rPr>
          <w:i/>
          <w:iCs/>
          <w:color w:val="4472C4" w:themeColor="accent1"/>
          <w:sz w:val="24"/>
          <w:szCs w:val="24"/>
          <w14:textFill>
            <w14:solidFill>
              <w14:schemeClr w14:val="accent1"/>
            </w14:solidFill>
          </w14:textFill>
        </w:rPr>
        <w:t>0</w:t>
      </w:r>
      <w:r>
        <w:rPr>
          <w:rFonts w:hint="eastAsia"/>
          <w:i/>
          <w:iCs/>
          <w:color w:val="4472C4" w:themeColor="accent1"/>
          <w:sz w:val="24"/>
          <w:szCs w:val="24"/>
          <w14:textFill>
            <w14:solidFill>
              <w14:schemeClr w14:val="accent1"/>
            </w14:solidFill>
          </w14:textFill>
        </w:rPr>
        <w:t>mm</w:t>
      </w:r>
      <w:r>
        <w:rPr>
          <w:i/>
          <w:iCs/>
          <w:color w:val="4472C4" w:themeColor="accent1"/>
          <w:sz w:val="24"/>
          <w:szCs w:val="24"/>
          <w14:textFill>
            <w14:solidFill>
              <w14:schemeClr w14:val="accent1"/>
            </w14:solidFill>
          </w14:textFill>
        </w:rPr>
        <w:t>~40mm</w:t>
      </w:r>
      <w:r>
        <w:rPr>
          <w:rFonts w:hint="eastAsia"/>
          <w:i/>
          <w:iCs/>
          <w:color w:val="4472C4" w:themeColor="accent1"/>
          <w:sz w:val="24"/>
          <w:szCs w:val="24"/>
          <w14:textFill>
            <w14:solidFill>
              <w14:schemeClr w14:val="accent1"/>
            </w14:solidFill>
          </w14:textFill>
        </w:rPr>
        <w:t>范围内的正常延性热轧带肋钢筋的有关参数。</w:t>
      </w:r>
    </w:p>
    <w:p>
      <w:pPr>
        <w:spacing w:before="120" w:after="0" w:line="360" w:lineRule="auto"/>
        <w:rPr>
          <w:color w:val="auto"/>
          <w:sz w:val="24"/>
          <w:szCs w:val="24"/>
        </w:rPr>
      </w:pPr>
      <w:r>
        <w:rPr>
          <w:rFonts w:hint="eastAsia"/>
          <w:b/>
          <w:bCs/>
          <w:color w:val="auto"/>
          <w:sz w:val="24"/>
          <w:szCs w:val="24"/>
        </w:rPr>
        <w:t>4.5.</w:t>
      </w:r>
      <w:r>
        <w:rPr>
          <w:b/>
          <w:bCs/>
          <w:color w:val="auto"/>
          <w:sz w:val="24"/>
          <w:szCs w:val="24"/>
        </w:rPr>
        <w:t>5</w:t>
      </w:r>
      <w:r>
        <w:rPr>
          <w:color w:val="auto"/>
          <w:sz w:val="24"/>
          <w:szCs w:val="24"/>
        </w:rPr>
        <w:t xml:space="preserve"> </w:t>
      </w:r>
      <w:r>
        <w:rPr>
          <w:rFonts w:hint="eastAsia"/>
          <w:color w:val="auto"/>
          <w:sz w:val="24"/>
          <w:szCs w:val="24"/>
        </w:rPr>
        <w:t>锚固胶粘剂在高温下的粘结承载力设计值应按下</w:t>
      </w:r>
      <w:r>
        <w:rPr>
          <w:rFonts w:hint="eastAsia"/>
          <w:color w:val="auto"/>
          <w:sz w:val="24"/>
          <w:szCs w:val="24"/>
          <w:lang w:val="en-US" w:eastAsia="zh-CN"/>
        </w:rPr>
        <w:t>列公</w:t>
      </w:r>
      <w:r>
        <w:rPr>
          <w:rFonts w:hint="eastAsia"/>
          <w:color w:val="auto"/>
          <w:sz w:val="24"/>
          <w:szCs w:val="24"/>
        </w:rPr>
        <w:t>式计算：</w:t>
      </w:r>
    </w:p>
    <w:p>
      <w:pPr>
        <w:pStyle w:val="2"/>
        <w:ind w:firstLine="480"/>
        <w:jc w:val="right"/>
        <w:rPr>
          <w:color w:val="auto"/>
          <w:sz w:val="24"/>
          <w:szCs w:val="24"/>
          <w:vertAlign w:val="subscript"/>
        </w:rPr>
      </w:pPr>
      <w:r>
        <w:rPr>
          <w:i/>
          <w:iCs/>
          <w:color w:val="auto"/>
          <w:sz w:val="24"/>
          <w:szCs w:val="24"/>
        </w:rPr>
        <w:t>R</w:t>
      </w:r>
      <w:r>
        <w:rPr>
          <w:color w:val="auto"/>
          <w:sz w:val="24"/>
          <w:szCs w:val="24"/>
          <w:vertAlign w:val="subscript"/>
        </w:rPr>
        <w:t>d</w:t>
      </w:r>
      <w:r>
        <w:rPr>
          <w:rFonts w:hint="eastAsia"/>
          <w:color w:val="auto"/>
          <w:sz w:val="24"/>
          <w:szCs w:val="24"/>
          <w:vertAlign w:val="subscript"/>
        </w:rPr>
        <w:t>,</w:t>
      </w:r>
      <w:r>
        <w:rPr>
          <w:color w:val="auto"/>
          <w:sz w:val="24"/>
          <w:szCs w:val="24"/>
          <w:vertAlign w:val="subscript"/>
        </w:rPr>
        <w:t>adh,fi</w:t>
      </w:r>
      <m:oMath>
        <m:r>
          <m:rPr/>
          <w:rPr>
            <w:rFonts w:ascii="Cambria Math" w:hAnsi="Cambria Math"/>
            <w:color w:val="auto"/>
            <w:sz w:val="24"/>
            <w:szCs w:val="24"/>
          </w:rPr>
          <m:t>(θ)</m:t>
        </m:r>
      </m:oMath>
      <w:r>
        <w:rPr>
          <w:color w:val="auto"/>
          <w:sz w:val="24"/>
          <w:szCs w:val="24"/>
        </w:rPr>
        <w:t xml:space="preserve">= </w:t>
      </w:r>
      <w:r>
        <w:rPr>
          <w:rFonts w:hint="eastAsia"/>
          <w:i/>
          <w:iCs/>
          <w:color w:val="auto"/>
          <w:sz w:val="24"/>
          <w:szCs w:val="24"/>
        </w:rPr>
        <w:t>N</w:t>
      </w:r>
      <w:r>
        <w:rPr>
          <w:color w:val="auto"/>
          <w:sz w:val="24"/>
          <w:szCs w:val="24"/>
          <w:vertAlign w:val="subscript"/>
        </w:rPr>
        <w:t>Rk,adh,fi</w:t>
      </w:r>
      <m:oMath>
        <m:r>
          <m:rPr/>
          <w:rPr>
            <w:rFonts w:ascii="Cambria Math" w:hAnsi="Cambria Math"/>
            <w:color w:val="auto"/>
            <w:sz w:val="24"/>
            <w:szCs w:val="24"/>
          </w:rPr>
          <m:t>(θ)</m:t>
        </m:r>
      </m:oMath>
      <w:r>
        <w:rPr>
          <w:color w:val="auto"/>
          <w:sz w:val="24"/>
          <w:szCs w:val="24"/>
          <w:vertAlign w:val="subscript"/>
        </w:rPr>
        <w:t xml:space="preserve"> </w:t>
      </w:r>
      <w:r>
        <w:rPr>
          <w:color w:val="auto"/>
          <w:sz w:val="24"/>
          <w:szCs w:val="24"/>
        </w:rPr>
        <w:t>/</w:t>
      </w:r>
      <w:r>
        <w:rPr>
          <w:rFonts w:ascii="Symbol" w:hAnsi="Symbol"/>
          <w:color w:val="auto"/>
          <w:sz w:val="24"/>
          <w:szCs w:val="24"/>
        </w:rPr>
        <w:t>g</w:t>
      </w:r>
      <w:r>
        <w:rPr>
          <w:color w:val="auto"/>
          <w:sz w:val="24"/>
          <w:szCs w:val="24"/>
          <w:vertAlign w:val="subscript"/>
        </w:rPr>
        <w:t>Madh,fi</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（4.5.</w:t>
      </w:r>
      <w:r>
        <w:rPr>
          <w:color w:val="auto"/>
          <w:sz w:val="24"/>
          <w:szCs w:val="24"/>
        </w:rPr>
        <w:t>5-1</w:t>
      </w:r>
      <w:r>
        <w:rPr>
          <w:rFonts w:hint="eastAsia"/>
          <w:color w:val="auto"/>
          <w:sz w:val="24"/>
          <w:szCs w:val="24"/>
        </w:rPr>
        <w:t>）</w:t>
      </w:r>
    </w:p>
    <w:p>
      <w:pPr>
        <w:pStyle w:val="2"/>
        <w:ind w:firstLine="480"/>
        <w:jc w:val="right"/>
        <w:rPr>
          <w:color w:val="auto"/>
          <w:sz w:val="24"/>
          <w:szCs w:val="24"/>
        </w:rPr>
      </w:pPr>
      <m:oMath>
        <m:sSub>
          <m:sSubPr>
            <m:ctrlPr>
              <w:rPr>
                <w:rFonts w:ascii="Cambria Math" w:hAnsi="Cambria Math"/>
                <w:i/>
                <w:iCs/>
                <w:color w:val="auto"/>
                <w:sz w:val="24"/>
                <w:szCs w:val="24"/>
              </w:rPr>
            </m:ctrlPr>
          </m:sSubPr>
          <m:e>
            <m:r>
              <m:rPr/>
              <w:rPr>
                <w:rFonts w:ascii="Cambria Math" w:hAnsi="Cambria Math"/>
                <w:color w:val="auto"/>
                <w:sz w:val="24"/>
                <w:szCs w:val="24"/>
              </w:rPr>
              <m:t>N</m:t>
            </m:r>
            <m:ctrlPr>
              <w:rPr>
                <w:rFonts w:ascii="Cambria Math" w:hAnsi="Cambria Math"/>
                <w:i/>
                <w:iCs/>
                <w:color w:val="auto"/>
                <w:sz w:val="24"/>
                <w:szCs w:val="24"/>
              </w:rPr>
            </m:ctrlPr>
          </m:e>
          <m:sub>
            <m:r>
              <m:rPr/>
              <w:rPr>
                <w:rFonts w:ascii="Cambria Math" w:hAnsi="Cambria Math"/>
                <w:color w:val="auto"/>
                <w:sz w:val="24"/>
                <w:szCs w:val="24"/>
              </w:rPr>
              <m:t>Rk,adℎ,fi</m:t>
            </m:r>
            <m:ctrlPr>
              <w:rPr>
                <w:rFonts w:ascii="Cambria Math" w:hAnsi="Cambria Math"/>
                <w:i/>
                <w:iCs/>
                <w:color w:val="auto"/>
                <w:sz w:val="24"/>
                <w:szCs w:val="24"/>
              </w:rPr>
            </m:ctrlPr>
          </m:sub>
        </m:sSub>
        <m:r>
          <m:rPr/>
          <w:rPr>
            <w:rFonts w:ascii="Cambria Math" w:hAnsi="Cambria Math"/>
            <w:color w:val="auto"/>
            <w:sz w:val="24"/>
            <w:szCs w:val="24"/>
          </w:rPr>
          <m:t xml:space="preserve">(θ)= </m:t>
        </m:r>
        <m:nary>
          <m:naryPr>
            <m:chr m:val="∑"/>
            <m:limLoc m:val="undOvr"/>
            <m:subHide m:val="1"/>
            <m:supHide m:val="1"/>
            <m:ctrlPr>
              <w:rPr>
                <w:rFonts w:ascii="Cambria Math" w:hAnsi="Cambria Math"/>
                <w:i/>
                <w:iCs/>
                <w:color w:val="auto"/>
                <w:sz w:val="24"/>
                <w:szCs w:val="24"/>
              </w:rPr>
            </m:ctrlPr>
          </m:naryPr>
          <m:sub>
            <m:ctrlPr>
              <w:rPr>
                <w:rFonts w:ascii="Cambria Math" w:hAnsi="Cambria Math"/>
                <w:i/>
                <w:iCs/>
                <w:color w:val="auto"/>
                <w:sz w:val="24"/>
                <w:szCs w:val="24"/>
              </w:rPr>
            </m:ctrlPr>
          </m:sub>
          <m:sup>
            <m:ctrlPr>
              <w:rPr>
                <w:rFonts w:ascii="Cambria Math" w:hAnsi="Cambria Math"/>
                <w:i/>
                <w:iCs/>
                <w:color w:val="auto"/>
                <w:sz w:val="24"/>
                <w:szCs w:val="24"/>
              </w:rPr>
            </m:ctrlPr>
          </m:sup>
          <m:e>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hint="eastAsia" w:ascii="Cambria Math" w:hAnsi="Cambria Math"/>
                    <w:color w:val="auto"/>
                    <w:sz w:val="24"/>
                    <w:szCs w:val="24"/>
                  </w:rPr>
                  <m:t>bd</m:t>
                </m:r>
                <m:r>
                  <m:rPr/>
                  <w:rPr>
                    <w:rFonts w:ascii="Cambria Math" w:hAnsi="Cambria Math"/>
                    <w:color w:val="auto"/>
                    <w:sz w:val="24"/>
                    <w:szCs w:val="24"/>
                  </w:rPr>
                  <m:t>,fi,i</m:t>
                </m:r>
                <m:ctrlPr>
                  <w:rPr>
                    <w:rFonts w:ascii="Cambria Math" w:hAnsi="Cambria Math"/>
                    <w:i/>
                    <w:color w:val="auto"/>
                    <w:sz w:val="24"/>
                    <w:szCs w:val="24"/>
                  </w:rPr>
                </m:ctrlPr>
              </m:sub>
            </m:sSub>
            <m:r>
              <m:rPr/>
              <w:rPr>
                <w:rFonts w:ascii="Cambria Math" w:hAnsi="Cambria Math"/>
                <w:color w:val="auto"/>
                <w:sz w:val="24"/>
                <w:szCs w:val="24"/>
              </w:rPr>
              <m:t>(θ)∙π∙d∙</m:t>
            </m:r>
            <m:sSub>
              <m:sSubPr>
                <m:ctrlPr>
                  <w:rPr>
                    <w:rFonts w:ascii="Cambria Math" w:hAnsi="Cambria Math"/>
                    <w:i/>
                    <w:iCs/>
                    <w:color w:val="auto"/>
                    <w:sz w:val="24"/>
                    <w:szCs w:val="24"/>
                  </w:rPr>
                </m:ctrlPr>
              </m:sSubPr>
              <m:e>
                <m:r>
                  <m:rPr/>
                  <w:rPr>
                    <w:rFonts w:ascii="Cambria Math" w:hAnsi="Cambria Math"/>
                    <w:color w:val="auto"/>
                    <w:sz w:val="24"/>
                    <w:szCs w:val="24"/>
                  </w:rPr>
                  <m:t>l</m:t>
                </m:r>
                <m:ctrlPr>
                  <w:rPr>
                    <w:rFonts w:ascii="Cambria Math" w:hAnsi="Cambria Math"/>
                    <w:i/>
                    <w:iCs/>
                    <w:color w:val="auto"/>
                    <w:sz w:val="24"/>
                    <w:szCs w:val="24"/>
                  </w:rPr>
                </m:ctrlPr>
              </m:e>
              <m:sub>
                <m:r>
                  <m:rPr/>
                  <w:rPr>
                    <w:rFonts w:ascii="Cambria Math" w:hAnsi="Cambria Math"/>
                    <w:color w:val="auto"/>
                    <w:sz w:val="24"/>
                    <w:szCs w:val="24"/>
                  </w:rPr>
                  <m:t>i</m:t>
                </m:r>
                <m:ctrlPr>
                  <w:rPr>
                    <w:rFonts w:ascii="Cambria Math" w:hAnsi="Cambria Math"/>
                    <w:i/>
                    <w:iCs/>
                    <w:color w:val="auto"/>
                    <w:sz w:val="24"/>
                    <w:szCs w:val="24"/>
                  </w:rPr>
                </m:ctrlPr>
              </m:sub>
            </m:sSub>
            <m:ctrlPr>
              <w:rPr>
                <w:rFonts w:ascii="Cambria Math" w:hAnsi="Cambria Math"/>
                <w:i/>
                <w:iCs/>
                <w:color w:val="auto"/>
                <w:sz w:val="24"/>
                <w:szCs w:val="24"/>
              </w:rPr>
            </m:ctrlPr>
          </m:e>
        </m:nary>
      </m:oMath>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（4.5.</w:t>
      </w:r>
      <w:r>
        <w:rPr>
          <w:color w:val="auto"/>
          <w:sz w:val="24"/>
          <w:szCs w:val="24"/>
        </w:rPr>
        <w:t>5-2</w:t>
      </w:r>
      <w:r>
        <w:rPr>
          <w:rFonts w:hint="eastAsia"/>
          <w:color w:val="auto"/>
          <w:sz w:val="24"/>
          <w:szCs w:val="24"/>
        </w:rPr>
        <w:t>）</w:t>
      </w:r>
    </w:p>
    <w:p>
      <w:pPr>
        <w:jc w:val="right"/>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hint="eastAsia" w:ascii="Cambria Math" w:hAnsi="Cambria Math"/>
                <w:color w:val="auto"/>
                <w:sz w:val="24"/>
                <w:szCs w:val="24"/>
              </w:rPr>
              <m:t>bd</m:t>
            </m:r>
            <m:r>
              <m:rPr/>
              <w:rPr>
                <w:rFonts w:ascii="Cambria Math" w:hAnsi="Cambria Math"/>
                <w:color w:val="auto"/>
                <w:sz w:val="24"/>
                <w:szCs w:val="24"/>
              </w:rPr>
              <m:t>,fi,i</m:t>
            </m:r>
            <m:ctrlPr>
              <w:rPr>
                <w:rFonts w:ascii="Cambria Math" w:hAnsi="Cambria Math"/>
                <w:i/>
                <w:color w:val="auto"/>
                <w:sz w:val="24"/>
                <w:szCs w:val="24"/>
              </w:rPr>
            </m:ctrlPr>
          </m:sub>
        </m:sSub>
        <m:r>
          <m:rPr/>
          <w:rPr>
            <w:rFonts w:ascii="Cambria Math" w:hAnsi="Cambria Math"/>
            <w:color w:val="auto"/>
            <w:sz w:val="24"/>
            <w:szCs w:val="24"/>
          </w:rPr>
          <m:t>(θ)=</m:t>
        </m:r>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i/>
                <w:color w:val="auto"/>
                <w:sz w:val="24"/>
                <w:szCs w:val="24"/>
              </w:rPr>
            </m:ctrlPr>
          </m:e>
          <m:sub>
            <m:r>
              <m:rPr/>
              <w:rPr>
                <w:rFonts w:ascii="Cambria Math" w:hAnsi="Cambria Math"/>
                <w:color w:val="auto"/>
                <w:sz w:val="24"/>
                <w:szCs w:val="24"/>
              </w:rPr>
              <m:t>b,fi</m:t>
            </m:r>
            <m:ctrlPr>
              <w:rPr>
                <w:rFonts w:ascii="Cambria Math" w:hAnsi="Cambria Math"/>
                <w:i/>
                <w:color w:val="auto"/>
                <w:sz w:val="24"/>
                <w:szCs w:val="24"/>
              </w:rPr>
            </m:ctrlPr>
          </m:sub>
        </m:sSub>
        <m:d>
          <m:dPr>
            <m:ctrlPr>
              <w:rPr>
                <w:rFonts w:ascii="Cambria Math" w:hAnsi="Cambria Math"/>
                <w:i/>
                <w:color w:val="auto"/>
                <w:sz w:val="24"/>
                <w:szCs w:val="24"/>
              </w:rPr>
            </m:ctrlPr>
          </m:dPr>
          <m:e>
            <m:r>
              <m:rPr/>
              <w:rPr>
                <w:rFonts w:ascii="Cambria Math" w:hAnsi="Cambria Math"/>
                <w:color w:val="auto"/>
                <w:sz w:val="24"/>
                <w:szCs w:val="24"/>
              </w:rPr>
              <m:t>θ</m:t>
            </m:r>
            <m:ctrlPr>
              <w:rPr>
                <w:rFonts w:ascii="Cambria Math" w:hAnsi="Cambria Math"/>
                <w:i/>
                <w:color w:val="auto"/>
                <w:sz w:val="24"/>
                <w:szCs w:val="24"/>
              </w:rPr>
            </m:ctrlPr>
          </m:e>
        </m:d>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bd,PIR</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γ</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γ</m:t>
                </m:r>
                <m:ctrlPr>
                  <w:rPr>
                    <w:rFonts w:ascii="Cambria Math" w:hAnsi="Cambria Math"/>
                    <w:i/>
                    <w:color w:val="auto"/>
                    <w:sz w:val="24"/>
                    <w:szCs w:val="24"/>
                  </w:rPr>
                </m:ctrlPr>
              </m:e>
              <m:sub>
                <m:r>
                  <m:rPr/>
                  <w:rPr>
                    <w:rFonts w:ascii="Cambria Math" w:hAnsi="Cambria Math"/>
                    <w:color w:val="auto"/>
                    <w:sz w:val="24"/>
                    <w:szCs w:val="24"/>
                  </w:rPr>
                  <m:t>c,fi</m:t>
                </m:r>
                <m:ctrlPr>
                  <w:rPr>
                    <w:rFonts w:ascii="Cambria Math" w:hAnsi="Cambria Math"/>
                    <w:i/>
                    <w:color w:val="auto"/>
                    <w:sz w:val="24"/>
                    <w:szCs w:val="24"/>
                  </w:rPr>
                </m:ctrlPr>
              </m:sub>
            </m:sSub>
            <m:ctrlPr>
              <w:rPr>
                <w:rFonts w:ascii="Cambria Math" w:hAnsi="Cambria Math"/>
                <w:i/>
                <w:color w:val="auto"/>
                <w:sz w:val="24"/>
                <w:szCs w:val="24"/>
              </w:rPr>
            </m:ctrlPr>
          </m:den>
        </m:f>
      </m:oMath>
      <w:r>
        <w:rPr>
          <w:color w:val="auto"/>
          <w:sz w:val="24"/>
          <w:szCs w:val="24"/>
        </w:rPr>
        <w:tab/>
      </w:r>
      <w:r>
        <w:rPr>
          <w:color w:val="auto"/>
          <w:sz w:val="24"/>
          <w:szCs w:val="24"/>
        </w:rPr>
        <w:tab/>
      </w:r>
      <w:r>
        <w:rPr>
          <w:color w:val="auto"/>
          <w:sz w:val="24"/>
          <w:szCs w:val="24"/>
        </w:rPr>
        <w:tab/>
      </w:r>
      <w:r>
        <w:rPr>
          <w:color w:val="auto"/>
          <w:sz w:val="24"/>
          <w:szCs w:val="24"/>
        </w:rPr>
        <w:tab/>
      </w:r>
      <w:r>
        <w:rPr>
          <w:rFonts w:hint="eastAsia"/>
          <w:color w:val="auto"/>
          <w:sz w:val="24"/>
          <w:szCs w:val="24"/>
        </w:rPr>
        <w:t>（4.5.</w:t>
      </w:r>
      <w:r>
        <w:rPr>
          <w:color w:val="auto"/>
          <w:sz w:val="24"/>
          <w:szCs w:val="24"/>
        </w:rPr>
        <w:t>5-3</w:t>
      </w:r>
      <w:r>
        <w:rPr>
          <w:rFonts w:hint="eastAsia"/>
          <w:color w:val="auto"/>
          <w:sz w:val="24"/>
          <w:szCs w:val="24"/>
        </w:rPr>
        <w:t>）</w:t>
      </w:r>
    </w:p>
    <w:tbl>
      <w:tblPr>
        <w:tblStyle w:val="28"/>
        <w:tblW w:w="8239" w:type="dxa"/>
        <w:tblInd w:w="1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9"/>
        <w:gridCol w:w="1440"/>
        <w:gridCol w:w="540"/>
        <w:gridCol w:w="5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9" w:type="dxa"/>
            <w:tcMar>
              <w:left w:w="72" w:type="dxa"/>
              <w:right w:w="72" w:type="dxa"/>
            </w:tcMar>
          </w:tcPr>
          <w:p>
            <w:pPr>
              <w:pStyle w:val="2"/>
              <w:spacing w:after="0" w:line="360" w:lineRule="auto"/>
              <w:ind w:left="0" w:leftChars="0" w:firstLine="0" w:firstLineChars="0"/>
              <w:rPr>
                <w:color w:val="auto"/>
                <w:sz w:val="24"/>
                <w:szCs w:val="24"/>
              </w:rPr>
            </w:pPr>
            <w:r>
              <w:rPr>
                <w:rFonts w:hint="eastAsia"/>
                <w:color w:val="auto"/>
                <w:sz w:val="24"/>
                <w:szCs w:val="24"/>
              </w:rPr>
              <w:t>式中：</w:t>
            </w:r>
          </w:p>
          <w:p>
            <w:pPr>
              <w:pStyle w:val="2"/>
              <w:spacing w:after="0" w:line="360" w:lineRule="auto"/>
              <w:ind w:left="0" w:leftChars="0" w:firstLine="0" w:firstLineChars="0"/>
              <w:rPr>
                <w:i/>
                <w:iCs/>
                <w:color w:val="auto"/>
                <w:sz w:val="24"/>
                <w:szCs w:val="24"/>
              </w:rPr>
            </w:pPr>
          </w:p>
        </w:tc>
        <w:tc>
          <w:tcPr>
            <w:tcW w:w="1440" w:type="dxa"/>
            <w:vAlign w:val="top"/>
          </w:tcPr>
          <w:p>
            <w:pPr>
              <w:pStyle w:val="2"/>
              <w:spacing w:after="0" w:line="360" w:lineRule="auto"/>
              <w:ind w:left="0" w:leftChars="0" w:firstLine="0" w:firstLineChars="0"/>
              <w:jc w:val="right"/>
              <w:rPr>
                <w:rFonts w:ascii="Times New Roman" w:hAnsi="Times New Roman" w:eastAsia="宋体" w:cs="Times New Roman"/>
                <w:i/>
                <w:iCs/>
                <w:color w:val="auto"/>
                <w:sz w:val="24"/>
                <w:szCs w:val="24"/>
                <w:lang w:val="en-US" w:eastAsia="zh-CN" w:bidi="ar-SA"/>
              </w:rPr>
            </w:pPr>
            <m:oMathPara>
              <m:oMath>
                <m:sSub>
                  <m:sSubPr>
                    <m:ctrlPr>
                      <w:rPr>
                        <w:rFonts w:ascii="Cambria Math" w:hAnsi="Cambria Math"/>
                        <w:i/>
                        <w:iCs/>
                        <w:color w:val="auto"/>
                        <w:sz w:val="24"/>
                        <w:szCs w:val="24"/>
                      </w:rPr>
                    </m:ctrlPr>
                  </m:sSubPr>
                  <m:e>
                    <m:r>
                      <m:rPr/>
                      <w:rPr>
                        <w:rFonts w:ascii="Cambria Math" w:hAnsi="Cambria Math"/>
                        <w:color w:val="auto"/>
                        <w:sz w:val="24"/>
                        <w:szCs w:val="24"/>
                      </w:rPr>
                      <m:t>N</m:t>
                    </m:r>
                    <m:ctrlPr>
                      <w:rPr>
                        <w:rFonts w:ascii="Cambria Math" w:hAnsi="Cambria Math"/>
                        <w:i/>
                        <w:iCs/>
                        <w:color w:val="auto"/>
                        <w:sz w:val="24"/>
                        <w:szCs w:val="24"/>
                      </w:rPr>
                    </m:ctrlPr>
                  </m:e>
                  <m:sub>
                    <m:r>
                      <m:rPr/>
                      <w:rPr>
                        <w:rFonts w:ascii="Cambria Math" w:hAnsi="Cambria Math"/>
                        <w:color w:val="auto"/>
                        <w:sz w:val="24"/>
                        <w:szCs w:val="24"/>
                      </w:rPr>
                      <m:t>Rk,adℎ,fi</m:t>
                    </m:r>
                    <m:ctrlPr>
                      <w:rPr>
                        <w:rFonts w:ascii="Cambria Math" w:hAnsi="Cambria Math"/>
                        <w:i/>
                        <w:iCs/>
                        <w:color w:val="auto"/>
                        <w:sz w:val="24"/>
                        <w:szCs w:val="24"/>
                      </w:rPr>
                    </m:ctrlPr>
                  </m:sub>
                </m:sSub>
                <m:r>
                  <m:rPr/>
                  <w:rPr>
                    <w:rFonts w:ascii="Cambria Math" w:hAnsi="Cambria Math"/>
                    <w:color w:val="auto"/>
                    <w:sz w:val="24"/>
                    <w:szCs w:val="24"/>
                  </w:rPr>
                  <m:t>(θ)</m:t>
                </m:r>
              </m:oMath>
            </m:oMathPara>
          </w:p>
        </w:tc>
        <w:tc>
          <w:tcPr>
            <w:tcW w:w="54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color w:val="auto"/>
                <w:sz w:val="24"/>
                <w:szCs w:val="24"/>
              </w:rPr>
              <w:t>—</w:t>
            </w:r>
          </w:p>
        </w:tc>
        <w:tc>
          <w:tcPr>
            <w:tcW w:w="539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rFonts w:hint="eastAsia"/>
                <w:color w:val="auto"/>
                <w:sz w:val="24"/>
                <w:szCs w:val="24"/>
              </w:rPr>
              <w:t>在温度（</w:t>
            </w:r>
            <w:r>
              <w:rPr>
                <w:rFonts w:ascii="Symbol" w:hAnsi="Symbol"/>
                <w:color w:val="auto"/>
                <w:sz w:val="24"/>
                <w:szCs w:val="24"/>
              </w:rPr>
              <w:t>q</w:t>
            </w:r>
            <w:r>
              <w:rPr>
                <w:rFonts w:hint="eastAsia"/>
                <w:color w:val="auto"/>
                <w:sz w:val="24"/>
                <w:szCs w:val="24"/>
              </w:rPr>
              <w:t>）条件下锚固胶粘剂的粘结承载力标准值（</w:t>
            </w:r>
            <w:r>
              <w:rPr>
                <w:color w:val="auto"/>
                <w:sz w:val="24"/>
                <w:szCs w:val="24"/>
              </w:rPr>
              <w:t>kN</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9" w:type="dxa"/>
            <w:tcMar>
              <w:left w:w="72" w:type="dxa"/>
              <w:right w:w="72" w:type="dxa"/>
            </w:tcMar>
          </w:tcPr>
          <w:p>
            <w:pPr>
              <w:pStyle w:val="2"/>
              <w:spacing w:after="0" w:line="360" w:lineRule="auto"/>
              <w:ind w:left="0" w:leftChars="0" w:firstLine="0" w:firstLineChars="0"/>
              <w:rPr>
                <w:color w:val="auto"/>
                <w:sz w:val="24"/>
                <w:szCs w:val="24"/>
              </w:rPr>
            </w:pPr>
          </w:p>
        </w:tc>
        <w:tc>
          <w:tcPr>
            <w:tcW w:w="1440" w:type="dxa"/>
            <w:vAlign w:val="top"/>
          </w:tcPr>
          <w:p>
            <w:pPr>
              <w:pStyle w:val="2"/>
              <w:spacing w:after="0" w:line="360" w:lineRule="auto"/>
              <w:ind w:left="0" w:leftChars="0" w:firstLine="0" w:firstLineChars="0"/>
              <w:jc w:val="right"/>
              <w:rPr>
                <w:rFonts w:ascii="Times New Roman" w:hAnsi="Times New Roman" w:eastAsia="宋体" w:cs="Times New Roman"/>
                <w:color w:val="auto"/>
                <w:sz w:val="24"/>
                <w:szCs w:val="24"/>
                <w:lang w:val="en-US" w:eastAsia="zh-CN" w:bidi="ar-SA"/>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hint="eastAsia" w:ascii="Cambria Math" w:hAnsi="Cambria Math"/>
                        <w:color w:val="auto"/>
                        <w:sz w:val="24"/>
                        <w:szCs w:val="24"/>
                      </w:rPr>
                      <m:t>bd</m:t>
                    </m:r>
                    <m:r>
                      <m:rPr/>
                      <w:rPr>
                        <w:rFonts w:ascii="Cambria Math" w:hAnsi="Cambria Math"/>
                        <w:color w:val="auto"/>
                        <w:sz w:val="24"/>
                        <w:szCs w:val="24"/>
                      </w:rPr>
                      <m:t>,fi,i</m:t>
                    </m:r>
                    <m:ctrlPr>
                      <w:rPr>
                        <w:rFonts w:ascii="Cambria Math" w:hAnsi="Cambria Math"/>
                        <w:i/>
                        <w:color w:val="auto"/>
                        <w:sz w:val="24"/>
                        <w:szCs w:val="24"/>
                      </w:rPr>
                    </m:ctrlPr>
                  </m:sub>
                </m:sSub>
                <m:r>
                  <m:rPr/>
                  <w:rPr>
                    <w:rFonts w:ascii="Cambria Math" w:hAnsi="Cambria Math"/>
                    <w:color w:val="auto"/>
                    <w:sz w:val="24"/>
                    <w:szCs w:val="24"/>
                  </w:rPr>
                  <m:t>(θ)</m:t>
                </m:r>
              </m:oMath>
            </m:oMathPara>
          </w:p>
        </w:tc>
        <w:tc>
          <w:tcPr>
            <w:tcW w:w="54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color w:val="auto"/>
                <w:sz w:val="24"/>
                <w:szCs w:val="24"/>
              </w:rPr>
              <w:t>—</w:t>
            </w:r>
          </w:p>
        </w:tc>
        <w:tc>
          <w:tcPr>
            <w:tcW w:w="539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rFonts w:hint="eastAsia"/>
                <w:color w:val="auto"/>
                <w:sz w:val="24"/>
                <w:szCs w:val="24"/>
              </w:rPr>
              <w:t>第i段植筋长度在温度（</w:t>
            </w:r>
            <w:r>
              <w:rPr>
                <w:rFonts w:ascii="Symbol" w:hAnsi="Symbol"/>
                <w:color w:val="auto"/>
                <w:sz w:val="24"/>
                <w:szCs w:val="24"/>
              </w:rPr>
              <w:t>q</w:t>
            </w:r>
            <w:r>
              <w:rPr>
                <w:rFonts w:hint="eastAsia" w:ascii="Symbol" w:hAnsi="Symbol"/>
                <w:color w:val="auto"/>
                <w:sz w:val="24"/>
                <w:szCs w:val="24"/>
              </w:rPr>
              <w:t>）条件</w:t>
            </w:r>
            <w:r>
              <w:rPr>
                <w:rFonts w:hint="eastAsia"/>
                <w:color w:val="auto"/>
                <w:sz w:val="24"/>
                <w:szCs w:val="24"/>
              </w:rPr>
              <w:t>下的粘结强度设计值（MPa）；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9" w:type="dxa"/>
          </w:tcPr>
          <w:p>
            <w:pPr>
              <w:pStyle w:val="2"/>
              <w:spacing w:after="0" w:line="360" w:lineRule="auto"/>
              <w:ind w:left="0" w:leftChars="0" w:firstLine="0" w:firstLineChars="0"/>
              <w:rPr>
                <w:i/>
                <w:iCs/>
                <w:color w:val="auto"/>
                <w:sz w:val="24"/>
                <w:szCs w:val="24"/>
              </w:rPr>
            </w:pPr>
          </w:p>
        </w:tc>
        <w:tc>
          <w:tcPr>
            <w:tcW w:w="1440" w:type="dxa"/>
            <w:vAlign w:val="top"/>
          </w:tcPr>
          <w:p>
            <w:pPr>
              <w:pStyle w:val="2"/>
              <w:spacing w:after="0" w:line="360" w:lineRule="auto"/>
              <w:ind w:left="0" w:leftChars="0" w:firstLine="0" w:firstLineChars="0"/>
              <w:jc w:val="right"/>
              <w:rPr>
                <w:rFonts w:ascii="Times New Roman" w:hAnsi="Times New Roman" w:eastAsia="宋体" w:cs="Times New Roman"/>
                <w:i/>
                <w:iCs/>
                <w:color w:val="auto"/>
                <w:sz w:val="24"/>
                <w:szCs w:val="24"/>
                <w:lang w:val="en-US" w:eastAsia="zh-CN" w:bidi="ar-SA"/>
              </w:rPr>
            </w:pPr>
            <m:oMathPara>
              <m:oMath>
                <m:sSub>
                  <m:sSubPr>
                    <m:ctrlPr>
                      <w:rPr>
                        <w:rFonts w:ascii="Cambria Math" w:hAnsi="Cambria Math"/>
                        <w:i/>
                        <w:iCs/>
                        <w:color w:val="auto"/>
                        <w:sz w:val="24"/>
                        <w:szCs w:val="24"/>
                      </w:rPr>
                    </m:ctrlPr>
                  </m:sSubPr>
                  <m:e>
                    <m:r>
                      <m:rPr/>
                      <w:rPr>
                        <w:rFonts w:ascii="Cambria Math" w:hAnsi="Cambria Math"/>
                        <w:color w:val="auto"/>
                        <w:sz w:val="24"/>
                        <w:szCs w:val="24"/>
                      </w:rPr>
                      <m:t>l</m:t>
                    </m:r>
                    <m:ctrlPr>
                      <w:rPr>
                        <w:rFonts w:ascii="Cambria Math" w:hAnsi="Cambria Math"/>
                        <w:i/>
                        <w:iCs/>
                        <w:color w:val="auto"/>
                        <w:sz w:val="24"/>
                        <w:szCs w:val="24"/>
                      </w:rPr>
                    </m:ctrlPr>
                  </m:e>
                  <m:sub>
                    <m:r>
                      <m:rPr/>
                      <w:rPr>
                        <w:rFonts w:ascii="Cambria Math" w:hAnsi="Cambria Math"/>
                        <w:color w:val="auto"/>
                        <w:sz w:val="24"/>
                        <w:szCs w:val="24"/>
                      </w:rPr>
                      <m:t>i</m:t>
                    </m:r>
                    <m:ctrlPr>
                      <w:rPr>
                        <w:rFonts w:ascii="Cambria Math" w:hAnsi="Cambria Math"/>
                        <w:i/>
                        <w:iCs/>
                        <w:color w:val="auto"/>
                        <w:sz w:val="24"/>
                        <w:szCs w:val="24"/>
                      </w:rPr>
                    </m:ctrlPr>
                  </m:sub>
                </m:sSub>
              </m:oMath>
            </m:oMathPara>
          </w:p>
        </w:tc>
        <w:tc>
          <w:tcPr>
            <w:tcW w:w="54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color w:val="auto"/>
                <w:sz w:val="24"/>
                <w:szCs w:val="24"/>
              </w:rPr>
              <w:t>—</w:t>
            </w:r>
          </w:p>
        </w:tc>
        <w:tc>
          <w:tcPr>
            <w:tcW w:w="539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rFonts w:hint="eastAsia"/>
                <w:color w:val="auto"/>
                <w:sz w:val="24"/>
                <w:szCs w:val="24"/>
              </w:rPr>
              <w:t>第i段植筋长度（m</w:t>
            </w:r>
            <w:r>
              <w:rPr>
                <w:color w:val="auto"/>
                <w:sz w:val="24"/>
                <w:szCs w:val="24"/>
              </w:rPr>
              <w:t>m</w:t>
            </w:r>
            <w:r>
              <w:rPr>
                <w:rFonts w:hint="eastAsia"/>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9" w:type="dxa"/>
          </w:tcPr>
          <w:p>
            <w:pPr>
              <w:pStyle w:val="2"/>
              <w:spacing w:after="0" w:line="360" w:lineRule="auto"/>
              <w:ind w:left="0" w:leftChars="0" w:firstLine="0" w:firstLineChars="0"/>
              <w:rPr>
                <w:i/>
                <w:iCs/>
                <w:color w:val="auto"/>
                <w:sz w:val="24"/>
                <w:szCs w:val="24"/>
              </w:rPr>
            </w:pPr>
          </w:p>
        </w:tc>
        <w:tc>
          <w:tcPr>
            <w:tcW w:w="1440" w:type="dxa"/>
            <w:vAlign w:val="top"/>
          </w:tcPr>
          <w:p>
            <w:pPr>
              <w:pStyle w:val="2"/>
              <w:spacing w:after="0" w:line="360" w:lineRule="auto"/>
              <w:ind w:left="0" w:leftChars="0" w:firstLine="0" w:firstLineChars="0"/>
              <w:jc w:val="right"/>
              <w:rPr>
                <w:rFonts w:ascii="Times New Roman" w:hAnsi="Times New Roman" w:eastAsia="宋体" w:cs="Times New Roman"/>
                <w:color w:val="auto"/>
                <w:sz w:val="24"/>
                <w:szCs w:val="24"/>
                <w:lang w:val="en-US" w:eastAsia="zh-CN" w:bidi="ar-SA"/>
              </w:rPr>
            </w:pPr>
            <w:r>
              <w:rPr>
                <w:rFonts w:hint="eastAsia"/>
                <w:color w:val="auto"/>
                <w:sz w:val="24"/>
                <w:szCs w:val="24"/>
              </w:rPr>
              <w:t>(</w:t>
            </w:r>
            <w:r>
              <w:rPr>
                <w:rFonts w:ascii="Symbol" w:hAnsi="Symbol"/>
                <w:color w:val="auto"/>
                <w:sz w:val="24"/>
                <w:szCs w:val="24"/>
              </w:rPr>
              <w:t>q</w:t>
            </w:r>
            <w:r>
              <w:rPr>
                <w:rFonts w:hint="eastAsia" w:ascii="Symbol" w:hAnsi="Symbol"/>
                <w:color w:val="auto"/>
                <w:sz w:val="24"/>
                <w:szCs w:val="24"/>
              </w:rPr>
              <w:t>)</w:t>
            </w:r>
          </w:p>
        </w:tc>
        <w:tc>
          <w:tcPr>
            <w:tcW w:w="54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color w:val="auto"/>
                <w:sz w:val="24"/>
                <w:szCs w:val="24"/>
              </w:rPr>
              <w:t>—</w:t>
            </w:r>
          </w:p>
        </w:tc>
        <w:tc>
          <w:tcPr>
            <w:tcW w:w="539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rFonts w:hint="eastAsia"/>
                <w:color w:val="auto"/>
                <w:sz w:val="24"/>
                <w:szCs w:val="24"/>
              </w:rPr>
              <w:t>混凝土构件内植筋段所处位置的温度最大值（</w:t>
            </w:r>
            <w:r>
              <w:rPr>
                <w:rFonts w:hint="eastAsia"/>
                <w:color w:val="auto"/>
                <w:sz w:val="24"/>
                <w:szCs w:val="24"/>
              </w:rPr>
              <w:sym w:font="Symbol" w:char="F0B0"/>
            </w:r>
            <w:r>
              <w:rPr>
                <w:rFonts w:hint="eastAsia"/>
                <w:color w:val="auto"/>
                <w:sz w:val="24"/>
                <w:szCs w:val="24"/>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9" w:type="dxa"/>
          </w:tcPr>
          <w:p>
            <w:pPr>
              <w:pStyle w:val="2"/>
              <w:spacing w:after="0" w:line="360" w:lineRule="auto"/>
              <w:ind w:left="0" w:leftChars="0" w:firstLine="0" w:firstLineChars="0"/>
              <w:rPr>
                <w:color w:val="auto"/>
                <w:sz w:val="24"/>
                <w:szCs w:val="24"/>
              </w:rPr>
            </w:pPr>
          </w:p>
        </w:tc>
        <w:tc>
          <w:tcPr>
            <w:tcW w:w="1440" w:type="dxa"/>
            <w:vAlign w:val="top"/>
          </w:tcPr>
          <w:p>
            <w:pPr>
              <w:pStyle w:val="2"/>
              <w:spacing w:after="0" w:line="360" w:lineRule="auto"/>
              <w:ind w:left="0" w:leftChars="0" w:firstLine="0" w:firstLineChars="0"/>
              <w:jc w:val="right"/>
              <w:rPr>
                <w:rFonts w:ascii="Times New Roman" w:hAnsi="Times New Roman" w:eastAsia="宋体" w:cs="Times New Roman"/>
                <w:color w:val="auto"/>
                <w:sz w:val="24"/>
                <w:szCs w:val="24"/>
                <w:lang w:val="en-US" w:eastAsia="zh-CN" w:bidi="ar-SA"/>
              </w:rPr>
            </w:pPr>
            <m:oMathPara>
              <m:oMath>
                <m:sSub>
                  <m:sSubPr>
                    <m:ctrlPr>
                      <w:rPr>
                        <w:rFonts w:ascii="Cambria Math" w:hAnsi="Cambria Math"/>
                        <w:i/>
                        <w:color w:val="auto"/>
                        <w:sz w:val="24"/>
                        <w:szCs w:val="24"/>
                      </w:rPr>
                    </m:ctrlPr>
                  </m:sSubPr>
                  <m:e>
                    <m:r>
                      <m:rPr/>
                      <w:rPr>
                        <w:rFonts w:ascii="Cambria Math" w:hAnsi="Cambria Math"/>
                        <w:color w:val="auto"/>
                        <w:sz w:val="24"/>
                        <w:szCs w:val="24"/>
                      </w:rPr>
                      <m:t>k</m:t>
                    </m:r>
                    <m:ctrlPr>
                      <w:rPr>
                        <w:rFonts w:ascii="Cambria Math" w:hAnsi="Cambria Math"/>
                        <w:i/>
                        <w:color w:val="auto"/>
                        <w:sz w:val="24"/>
                        <w:szCs w:val="24"/>
                      </w:rPr>
                    </m:ctrlPr>
                  </m:e>
                  <m:sub>
                    <m:r>
                      <m:rPr/>
                      <w:rPr>
                        <w:rFonts w:ascii="Cambria Math" w:hAnsi="Cambria Math"/>
                        <w:color w:val="auto"/>
                        <w:sz w:val="24"/>
                        <w:szCs w:val="24"/>
                      </w:rPr>
                      <m:t>b,fi</m:t>
                    </m:r>
                    <m:ctrlPr>
                      <w:rPr>
                        <w:rFonts w:ascii="Cambria Math" w:hAnsi="Cambria Math"/>
                        <w:i/>
                        <w:color w:val="auto"/>
                        <w:sz w:val="24"/>
                        <w:szCs w:val="24"/>
                      </w:rPr>
                    </m:ctrlPr>
                  </m:sub>
                </m:sSub>
                <m:d>
                  <m:dPr>
                    <m:ctrlPr>
                      <w:rPr>
                        <w:rFonts w:ascii="Cambria Math" w:hAnsi="Cambria Math"/>
                        <w:i/>
                        <w:color w:val="auto"/>
                        <w:sz w:val="24"/>
                        <w:szCs w:val="24"/>
                      </w:rPr>
                    </m:ctrlPr>
                  </m:dPr>
                  <m:e>
                    <m:r>
                      <m:rPr/>
                      <w:rPr>
                        <w:rFonts w:ascii="Cambria Math" w:hAnsi="Cambria Math"/>
                        <w:color w:val="auto"/>
                        <w:sz w:val="24"/>
                        <w:szCs w:val="24"/>
                      </w:rPr>
                      <m:t>θ</m:t>
                    </m:r>
                    <m:ctrlPr>
                      <w:rPr>
                        <w:rFonts w:ascii="Cambria Math" w:hAnsi="Cambria Math"/>
                        <w:i/>
                        <w:color w:val="auto"/>
                        <w:sz w:val="24"/>
                        <w:szCs w:val="24"/>
                      </w:rPr>
                    </m:ctrlPr>
                  </m:e>
                </m:d>
              </m:oMath>
            </m:oMathPara>
          </w:p>
        </w:tc>
        <w:tc>
          <w:tcPr>
            <w:tcW w:w="54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color w:val="auto"/>
                <w:sz w:val="24"/>
                <w:szCs w:val="24"/>
              </w:rPr>
              <w:t>—</w:t>
            </w:r>
          </w:p>
        </w:tc>
        <w:tc>
          <w:tcPr>
            <w:tcW w:w="539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rFonts w:hint="eastAsia"/>
                <w:color w:val="auto"/>
                <w:sz w:val="24"/>
                <w:szCs w:val="24"/>
              </w:rPr>
              <w:t>考虑火灾高温（</w:t>
            </w:r>
            <m:oMath>
              <m:r>
                <m:rPr/>
                <w:rPr>
                  <w:rFonts w:ascii="Cambria Math" w:hAnsi="Cambria Math"/>
                  <w:color w:val="auto"/>
                  <w:sz w:val="24"/>
                  <w:szCs w:val="24"/>
                </w:rPr>
                <m:t>θ</m:t>
              </m:r>
            </m:oMath>
            <w:r>
              <w:rPr>
                <w:rFonts w:hint="eastAsia"/>
                <w:color w:val="auto"/>
                <w:sz w:val="24"/>
                <w:szCs w:val="24"/>
              </w:rPr>
              <w:t>）影响的植筋粘结强度折减系数，</w:t>
            </w:r>
            <w:r>
              <w:rPr>
                <w:rFonts w:hint="eastAsia" w:ascii="Cambria Math" w:hAnsi="Cambria Math"/>
                <w:iCs/>
                <w:color w:val="auto"/>
                <w:sz w:val="24"/>
                <w:szCs w:val="24"/>
              </w:rPr>
              <w:t>可根据植筋产品的认证报告确定；无认证报告时，可按表4.5.</w:t>
            </w:r>
            <w:r>
              <w:rPr>
                <w:rFonts w:ascii="Cambria Math" w:hAnsi="Cambria Math"/>
                <w:iCs/>
                <w:color w:val="auto"/>
                <w:sz w:val="24"/>
                <w:szCs w:val="24"/>
              </w:rPr>
              <w:t>5</w:t>
            </w:r>
            <w:r>
              <w:rPr>
                <w:rFonts w:hint="eastAsia" w:ascii="Cambria Math" w:hAnsi="Cambria Math"/>
                <w:iCs/>
                <w:color w:val="auto"/>
                <w:sz w:val="24"/>
                <w:szCs w:val="24"/>
              </w:rPr>
              <w:t>取用；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9" w:type="dxa"/>
          </w:tcPr>
          <w:p>
            <w:pPr>
              <w:pStyle w:val="2"/>
              <w:spacing w:after="0" w:line="360" w:lineRule="auto"/>
              <w:ind w:left="0" w:leftChars="0" w:firstLine="0" w:firstLineChars="0"/>
              <w:rPr>
                <w:color w:val="auto"/>
                <w:sz w:val="24"/>
                <w:szCs w:val="24"/>
              </w:rPr>
            </w:pPr>
          </w:p>
        </w:tc>
        <w:tc>
          <w:tcPr>
            <w:tcW w:w="1440" w:type="dxa"/>
            <w:tcMar>
              <w:left w:w="0" w:type="dxa"/>
              <w:right w:w="0" w:type="dxa"/>
            </w:tcMar>
            <w:vAlign w:val="top"/>
          </w:tcPr>
          <w:p>
            <w:pPr>
              <w:pStyle w:val="2"/>
              <w:spacing w:after="0" w:line="360" w:lineRule="auto"/>
              <w:ind w:left="0" w:leftChars="0" w:firstLine="0" w:firstLineChars="0"/>
              <w:jc w:val="right"/>
              <w:rPr>
                <w:rFonts w:ascii="Times New Roman" w:hAnsi="Times New Roman" w:eastAsia="宋体" w:cs="Times New Roman"/>
                <w:color w:val="auto"/>
                <w:sz w:val="24"/>
                <w:szCs w:val="24"/>
                <w:lang w:val="en-US" w:eastAsia="zh-CN" w:bidi="ar-SA"/>
              </w:rPr>
            </w:pPr>
            <m:oMath>
              <m:sSub>
                <m:sSubPr>
                  <m:ctrlPr>
                    <w:rPr>
                      <w:rFonts w:ascii="Cambria Math" w:hAnsi="Cambria Math"/>
                      <w:i/>
                      <w:color w:val="auto"/>
                      <w:sz w:val="24"/>
                      <w:szCs w:val="24"/>
                    </w:rPr>
                  </m:ctrlPr>
                </m:sSubPr>
                <m:e>
                  <m:r>
                    <m:rPr/>
                    <w:rPr>
                      <w:rFonts w:ascii="Cambria Math" w:hAnsi="Cambria Math"/>
                      <w:color w:val="auto"/>
                      <w:sz w:val="24"/>
                      <w:szCs w:val="24"/>
                    </w:rPr>
                    <m:t>γ</m:t>
                  </m:r>
                  <m:ctrlPr>
                    <w:rPr>
                      <w:rFonts w:ascii="Cambria Math" w:hAnsi="Cambria Math"/>
                      <w:i/>
                      <w:color w:val="auto"/>
                      <w:sz w:val="24"/>
                      <w:szCs w:val="24"/>
                    </w:rPr>
                  </m:ctrlPr>
                </m:e>
                <m:sub>
                  <m:r>
                    <m:rPr/>
                    <w:rPr>
                      <w:rFonts w:ascii="Cambria Math" w:hAnsi="Cambria Math"/>
                      <w:color w:val="auto"/>
                      <w:sz w:val="24"/>
                      <w:szCs w:val="24"/>
                    </w:rPr>
                    <m:t>c</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γ</m:t>
                  </m:r>
                  <m:ctrlPr>
                    <w:rPr>
                      <w:rFonts w:ascii="Cambria Math" w:hAnsi="Cambria Math"/>
                      <w:i/>
                      <w:color w:val="auto"/>
                      <w:sz w:val="24"/>
                      <w:szCs w:val="24"/>
                    </w:rPr>
                  </m:ctrlPr>
                </m:e>
                <m:sub>
                  <m:r>
                    <m:rPr/>
                    <w:rPr>
                      <w:rFonts w:ascii="Cambria Math" w:hAnsi="Cambria Math"/>
                      <w:color w:val="auto"/>
                      <w:sz w:val="24"/>
                      <w:szCs w:val="24"/>
                    </w:rPr>
                    <m:t>c,fi</m:t>
                  </m:r>
                  <m:ctrlPr>
                    <w:rPr>
                      <w:rFonts w:ascii="Cambria Math" w:hAnsi="Cambria Math"/>
                      <w:i/>
                      <w:color w:val="auto"/>
                      <w:sz w:val="24"/>
                      <w:szCs w:val="24"/>
                    </w:rPr>
                  </m:ctrlPr>
                </m:sub>
              </m:sSub>
            </m:oMath>
          </w:p>
        </w:tc>
        <w:tc>
          <w:tcPr>
            <w:tcW w:w="54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color w:val="auto"/>
                <w:sz w:val="24"/>
                <w:szCs w:val="24"/>
              </w:rPr>
              <w:t>—</w:t>
            </w:r>
          </w:p>
        </w:tc>
        <w:tc>
          <w:tcPr>
            <w:tcW w:w="5390" w:type="dxa"/>
            <w:vAlign w:val="top"/>
          </w:tcPr>
          <w:p>
            <w:pPr>
              <w:pStyle w:val="2"/>
              <w:spacing w:after="0" w:line="360" w:lineRule="auto"/>
              <w:ind w:left="0" w:leftChars="0" w:firstLine="0" w:firstLineChars="0"/>
              <w:rPr>
                <w:rFonts w:ascii="Times New Roman" w:hAnsi="Times New Roman" w:eastAsia="宋体" w:cs="Times New Roman"/>
                <w:color w:val="auto"/>
                <w:sz w:val="24"/>
                <w:szCs w:val="24"/>
                <w:lang w:val="en-US" w:eastAsia="zh-CN" w:bidi="ar-SA"/>
              </w:rPr>
            </w:pPr>
            <w:r>
              <w:rPr>
                <w:rFonts w:hint="eastAsia"/>
                <w:color w:val="auto"/>
                <w:sz w:val="24"/>
                <w:szCs w:val="24"/>
              </w:rPr>
              <w:t>常温下和火灾下的材料分项系数，可</w:t>
            </w:r>
            <w:r>
              <w:rPr>
                <w:rFonts w:hint="eastAsia"/>
                <w:color w:val="auto"/>
                <w:sz w:val="24"/>
                <w:szCs w:val="24"/>
                <w:lang w:val="en-US" w:eastAsia="zh-CN"/>
              </w:rPr>
              <w:t>分别</w:t>
            </w:r>
            <w:r>
              <w:rPr>
                <w:rFonts w:hint="eastAsia"/>
                <w:color w:val="auto"/>
                <w:sz w:val="24"/>
                <w:szCs w:val="24"/>
              </w:rPr>
              <w:t>取</w:t>
            </w:r>
            <w:r>
              <w:rPr>
                <w:rFonts w:hint="eastAsia"/>
                <w:color w:val="auto"/>
                <w:sz w:val="24"/>
                <w:szCs w:val="24"/>
                <w:lang w:val="en-US" w:eastAsia="zh-CN"/>
              </w:rPr>
              <w:t>为</w:t>
            </w:r>
            <w:r>
              <w:rPr>
                <w:color w:val="auto"/>
                <w:sz w:val="24"/>
                <w:szCs w:val="24"/>
              </w:rPr>
              <w:t>1.5</w:t>
            </w:r>
            <w:r>
              <w:rPr>
                <w:rFonts w:hint="eastAsia"/>
                <w:color w:val="auto"/>
                <w:sz w:val="24"/>
                <w:szCs w:val="24"/>
              </w:rPr>
              <w:t>。</w:t>
            </w:r>
          </w:p>
        </w:tc>
      </w:tr>
    </w:tbl>
    <w:p>
      <w:pPr>
        <w:spacing w:before="120" w:after="0" w:line="360" w:lineRule="auto"/>
        <w:jc w:val="center"/>
        <w:rPr>
          <w:b/>
          <w:bCs/>
          <w:color w:val="auto"/>
          <w:sz w:val="21"/>
          <w:szCs w:val="21"/>
        </w:rPr>
      </w:pPr>
      <w:r>
        <w:rPr>
          <w:rFonts w:hint="eastAsia"/>
          <w:b/>
          <w:bCs/>
          <w:color w:val="auto"/>
          <w:sz w:val="21"/>
          <w:szCs w:val="21"/>
        </w:rPr>
        <w:t>表4.5.</w:t>
      </w:r>
      <w:r>
        <w:rPr>
          <w:b/>
          <w:bCs/>
          <w:color w:val="auto"/>
          <w:sz w:val="21"/>
          <w:szCs w:val="21"/>
        </w:rPr>
        <w:t xml:space="preserve">5 </w:t>
      </w:r>
      <w:r>
        <w:rPr>
          <w:rFonts w:hint="eastAsia"/>
          <w:b/>
          <w:bCs/>
          <w:color w:val="auto"/>
          <w:sz w:val="21"/>
          <w:szCs w:val="21"/>
        </w:rPr>
        <w:t>不同温度下植筋粘结强度折减系数</w:t>
      </w:r>
      <w:r>
        <w:rPr>
          <w:rFonts w:hint="eastAsia"/>
          <w:b/>
          <w:bCs/>
          <w:i/>
          <w:iCs/>
          <w:color w:val="auto"/>
          <w:sz w:val="21"/>
          <w:szCs w:val="21"/>
        </w:rPr>
        <w:t>k</w:t>
      </w:r>
      <w:r>
        <w:rPr>
          <w:rFonts w:hint="eastAsia"/>
          <w:b/>
          <w:bCs/>
          <w:color w:val="auto"/>
          <w:sz w:val="21"/>
          <w:szCs w:val="21"/>
          <w:vertAlign w:val="subscript"/>
        </w:rPr>
        <w:t>b</w:t>
      </w:r>
      <w:r>
        <w:rPr>
          <w:b/>
          <w:bCs/>
          <w:color w:val="auto"/>
          <w:sz w:val="21"/>
          <w:szCs w:val="21"/>
          <w:vertAlign w:val="subscript"/>
        </w:rPr>
        <w:t>,fi</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857"/>
        <w:gridCol w:w="857"/>
        <w:gridCol w:w="857"/>
        <w:gridCol w:w="857"/>
        <w:gridCol w:w="857"/>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434" w:type="dxa"/>
            <w:tcMar>
              <w:left w:w="58" w:type="dxa"/>
              <w:right w:w="58" w:type="dxa"/>
            </w:tcMar>
          </w:tcPr>
          <w:p>
            <w:pPr>
              <w:spacing w:before="120" w:after="0" w:line="360" w:lineRule="auto"/>
              <w:jc w:val="center"/>
              <w:rPr>
                <w:color w:val="auto"/>
                <w:sz w:val="21"/>
                <w:szCs w:val="21"/>
              </w:rPr>
            </w:pPr>
            <w:r>
              <w:rPr>
                <w:rFonts w:hint="eastAsia"/>
                <w:color w:val="auto"/>
                <w:sz w:val="21"/>
                <w:szCs w:val="21"/>
              </w:rPr>
              <w:t>温度s</w:t>
            </w:r>
            <w:r>
              <w:rPr>
                <w:color w:val="auto"/>
                <w:sz w:val="21"/>
                <w:szCs w:val="21"/>
              </w:rPr>
              <w:t xml:space="preserve"> (</w:t>
            </w:r>
            <w:r>
              <w:rPr>
                <w:rFonts w:hint="eastAsia"/>
                <w:color w:val="auto"/>
                <w:sz w:val="21"/>
                <w:szCs w:val="21"/>
              </w:rPr>
              <w:sym w:font="Symbol" w:char="F0B0"/>
            </w:r>
            <w:r>
              <w:rPr>
                <w:rFonts w:hint="eastAsia"/>
                <w:color w:val="auto"/>
                <w:sz w:val="21"/>
                <w:szCs w:val="21"/>
              </w:rPr>
              <w:t>C</w:t>
            </w:r>
            <w:r>
              <w:rPr>
                <w:color w:val="auto"/>
                <w:sz w:val="21"/>
                <w:szCs w:val="21"/>
              </w:rPr>
              <w:t>)</w:t>
            </w:r>
          </w:p>
        </w:tc>
        <w:tc>
          <w:tcPr>
            <w:tcW w:w="857" w:type="dxa"/>
          </w:tcPr>
          <w:p>
            <w:pPr>
              <w:spacing w:before="120" w:after="0" w:line="360" w:lineRule="auto"/>
              <w:jc w:val="center"/>
              <w:rPr>
                <w:color w:val="auto"/>
                <w:sz w:val="21"/>
                <w:szCs w:val="21"/>
              </w:rPr>
            </w:pPr>
            <w:r>
              <w:rPr>
                <w:color w:val="auto"/>
                <w:sz w:val="21"/>
                <w:szCs w:val="21"/>
              </w:rPr>
              <w:t>≤40</w:t>
            </w:r>
          </w:p>
        </w:tc>
        <w:tc>
          <w:tcPr>
            <w:tcW w:w="857" w:type="dxa"/>
          </w:tcPr>
          <w:p>
            <w:pPr>
              <w:spacing w:before="120" w:after="0" w:line="360" w:lineRule="auto"/>
              <w:jc w:val="center"/>
              <w:rPr>
                <w:color w:val="auto"/>
                <w:sz w:val="21"/>
                <w:szCs w:val="21"/>
              </w:rPr>
            </w:pPr>
            <w:r>
              <w:rPr>
                <w:color w:val="auto"/>
                <w:sz w:val="21"/>
                <w:szCs w:val="21"/>
              </w:rPr>
              <w:t>50</w:t>
            </w:r>
          </w:p>
        </w:tc>
        <w:tc>
          <w:tcPr>
            <w:tcW w:w="857" w:type="dxa"/>
          </w:tcPr>
          <w:p>
            <w:pPr>
              <w:spacing w:before="120" w:after="0" w:line="360" w:lineRule="auto"/>
              <w:jc w:val="center"/>
              <w:rPr>
                <w:color w:val="auto"/>
                <w:sz w:val="21"/>
                <w:szCs w:val="21"/>
              </w:rPr>
            </w:pPr>
            <w:r>
              <w:rPr>
                <w:color w:val="auto"/>
                <w:sz w:val="21"/>
                <w:szCs w:val="21"/>
              </w:rPr>
              <w:t>75</w:t>
            </w:r>
          </w:p>
        </w:tc>
        <w:tc>
          <w:tcPr>
            <w:tcW w:w="857" w:type="dxa"/>
          </w:tcPr>
          <w:p>
            <w:pPr>
              <w:spacing w:before="120" w:after="0" w:line="360" w:lineRule="auto"/>
              <w:jc w:val="center"/>
              <w:rPr>
                <w:color w:val="auto"/>
                <w:sz w:val="21"/>
                <w:szCs w:val="21"/>
              </w:rPr>
            </w:pPr>
            <w:r>
              <w:rPr>
                <w:color w:val="auto"/>
                <w:sz w:val="21"/>
                <w:szCs w:val="21"/>
              </w:rPr>
              <w:t>100</w:t>
            </w:r>
          </w:p>
        </w:tc>
        <w:tc>
          <w:tcPr>
            <w:tcW w:w="857" w:type="dxa"/>
          </w:tcPr>
          <w:p>
            <w:pPr>
              <w:spacing w:before="120" w:after="0" w:line="360" w:lineRule="auto"/>
              <w:jc w:val="center"/>
              <w:rPr>
                <w:color w:val="auto"/>
                <w:sz w:val="21"/>
                <w:szCs w:val="21"/>
              </w:rPr>
            </w:pPr>
            <w:r>
              <w:rPr>
                <w:color w:val="auto"/>
                <w:sz w:val="21"/>
                <w:szCs w:val="21"/>
              </w:rPr>
              <w:t>150</w:t>
            </w:r>
          </w:p>
        </w:tc>
        <w:tc>
          <w:tcPr>
            <w:tcW w:w="857" w:type="dxa"/>
          </w:tcPr>
          <w:p>
            <w:pPr>
              <w:spacing w:before="120" w:after="0" w:line="360" w:lineRule="auto"/>
              <w:jc w:val="center"/>
              <w:rPr>
                <w:color w:val="auto"/>
                <w:sz w:val="21"/>
                <w:szCs w:val="21"/>
              </w:rPr>
            </w:pPr>
            <w:r>
              <w:rPr>
                <w:rFonts w:hint="eastAsia"/>
                <w:color w:val="auto"/>
                <w:sz w:val="21"/>
                <w:szCs w:val="21"/>
                <w:lang w:val="en-US" w:eastAsia="zh-CN"/>
              </w:rPr>
              <w:t>＞</w:t>
            </w:r>
            <w:r>
              <w:rPr>
                <w:color w:val="auto"/>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34" w:type="dxa"/>
          </w:tcPr>
          <w:p>
            <w:pPr>
              <w:spacing w:before="120" w:after="0" w:line="360" w:lineRule="auto"/>
              <w:jc w:val="center"/>
              <w:rPr>
                <w:color w:val="auto"/>
                <w:sz w:val="21"/>
                <w:szCs w:val="21"/>
              </w:rPr>
            </w:pPr>
            <w:r>
              <w:rPr>
                <w:rFonts w:hint="eastAsia"/>
                <w:i/>
                <w:iCs/>
                <w:color w:val="auto"/>
                <w:sz w:val="21"/>
                <w:szCs w:val="21"/>
              </w:rPr>
              <w:t>k</w:t>
            </w:r>
            <w:r>
              <w:rPr>
                <w:color w:val="auto"/>
                <w:sz w:val="21"/>
                <w:szCs w:val="21"/>
                <w:vertAlign w:val="subscript"/>
              </w:rPr>
              <w:t>b,fi</w:t>
            </w:r>
          </w:p>
        </w:tc>
        <w:tc>
          <w:tcPr>
            <w:tcW w:w="857" w:type="dxa"/>
          </w:tcPr>
          <w:p>
            <w:pPr>
              <w:spacing w:before="120" w:after="0" w:line="360" w:lineRule="auto"/>
              <w:jc w:val="center"/>
              <w:rPr>
                <w:color w:val="auto"/>
                <w:sz w:val="21"/>
                <w:szCs w:val="21"/>
              </w:rPr>
            </w:pPr>
            <w:r>
              <w:rPr>
                <w:color w:val="auto"/>
                <w:sz w:val="21"/>
                <w:szCs w:val="21"/>
              </w:rPr>
              <w:t>1.00</w:t>
            </w:r>
          </w:p>
        </w:tc>
        <w:tc>
          <w:tcPr>
            <w:tcW w:w="857" w:type="dxa"/>
          </w:tcPr>
          <w:p>
            <w:pPr>
              <w:spacing w:before="120" w:after="0" w:line="360" w:lineRule="auto"/>
              <w:jc w:val="center"/>
              <w:rPr>
                <w:color w:val="auto"/>
                <w:sz w:val="21"/>
                <w:szCs w:val="21"/>
              </w:rPr>
            </w:pPr>
            <w:r>
              <w:rPr>
                <w:color w:val="auto"/>
                <w:sz w:val="21"/>
                <w:szCs w:val="21"/>
              </w:rPr>
              <w:t>0.70</w:t>
            </w:r>
          </w:p>
        </w:tc>
        <w:tc>
          <w:tcPr>
            <w:tcW w:w="857" w:type="dxa"/>
          </w:tcPr>
          <w:p>
            <w:pPr>
              <w:spacing w:before="120" w:after="0" w:line="360" w:lineRule="auto"/>
              <w:jc w:val="center"/>
              <w:rPr>
                <w:color w:val="auto"/>
                <w:sz w:val="21"/>
                <w:szCs w:val="21"/>
              </w:rPr>
            </w:pPr>
            <w:r>
              <w:rPr>
                <w:color w:val="auto"/>
                <w:sz w:val="21"/>
                <w:szCs w:val="21"/>
              </w:rPr>
              <w:t>0.40</w:t>
            </w:r>
          </w:p>
        </w:tc>
        <w:tc>
          <w:tcPr>
            <w:tcW w:w="857" w:type="dxa"/>
          </w:tcPr>
          <w:p>
            <w:pPr>
              <w:spacing w:before="120" w:after="0" w:line="360" w:lineRule="auto"/>
              <w:jc w:val="center"/>
              <w:rPr>
                <w:color w:val="auto"/>
                <w:sz w:val="21"/>
                <w:szCs w:val="21"/>
              </w:rPr>
            </w:pPr>
            <w:r>
              <w:rPr>
                <w:color w:val="auto"/>
                <w:sz w:val="21"/>
                <w:szCs w:val="21"/>
              </w:rPr>
              <w:t>0.30</w:t>
            </w:r>
          </w:p>
        </w:tc>
        <w:tc>
          <w:tcPr>
            <w:tcW w:w="857" w:type="dxa"/>
          </w:tcPr>
          <w:p>
            <w:pPr>
              <w:spacing w:before="120" w:after="0" w:line="360" w:lineRule="auto"/>
              <w:jc w:val="center"/>
              <w:rPr>
                <w:color w:val="auto"/>
                <w:sz w:val="21"/>
                <w:szCs w:val="21"/>
              </w:rPr>
            </w:pPr>
            <w:r>
              <w:rPr>
                <w:color w:val="auto"/>
                <w:sz w:val="21"/>
                <w:szCs w:val="21"/>
              </w:rPr>
              <w:t>0.18</w:t>
            </w:r>
          </w:p>
        </w:tc>
        <w:tc>
          <w:tcPr>
            <w:tcW w:w="857" w:type="dxa"/>
          </w:tcPr>
          <w:p>
            <w:pPr>
              <w:spacing w:before="120" w:after="0" w:line="360" w:lineRule="auto"/>
              <w:jc w:val="center"/>
              <w:rPr>
                <w:color w:val="auto"/>
                <w:sz w:val="21"/>
                <w:szCs w:val="21"/>
              </w:rPr>
            </w:pPr>
            <w:r>
              <w:rPr>
                <w:color w:val="auto"/>
                <w:sz w:val="21"/>
                <w:szCs w:val="21"/>
              </w:rPr>
              <w:t>0.00</w:t>
            </w:r>
          </w:p>
        </w:tc>
      </w:tr>
    </w:tbl>
    <w:p>
      <w:pPr>
        <w:rPr>
          <w:rFonts w:ascii="宋体" w:hAnsi="宋体" w:eastAsia="宋体" w:cs="宋体"/>
        </w:rPr>
      </w:pPr>
      <w:bookmarkStart w:id="42" w:name="_Toc145273815"/>
      <w:r>
        <w:rPr>
          <w:rFonts w:ascii="宋体" w:hAnsi="宋体" w:eastAsia="宋体" w:cs="宋体"/>
        </w:rPr>
        <w:br w:type="page"/>
      </w:r>
    </w:p>
    <w:p>
      <w:pPr>
        <w:pStyle w:val="4"/>
        <w:rPr>
          <w:rFonts w:ascii="宋体" w:hAnsi="宋体" w:eastAsia="宋体" w:cs="宋体"/>
        </w:rPr>
      </w:pPr>
      <w:bookmarkStart w:id="43" w:name="_Toc17749"/>
      <w:r>
        <w:rPr>
          <w:rFonts w:ascii="宋体" w:hAnsi="宋体" w:eastAsia="宋体" w:cs="宋体"/>
        </w:rPr>
        <w:t>5</w:t>
      </w:r>
      <w:r>
        <w:rPr>
          <w:rFonts w:hint="eastAsia" w:ascii="宋体" w:hAnsi="宋体" w:eastAsia="宋体" w:cs="宋体"/>
        </w:rPr>
        <w:t xml:space="preserve">  构造措施</w:t>
      </w:r>
      <w:bookmarkEnd w:id="42"/>
      <w:bookmarkEnd w:id="43"/>
    </w:p>
    <w:p>
      <w:pPr>
        <w:pStyle w:val="2"/>
        <w:spacing w:after="0" w:line="360" w:lineRule="auto"/>
        <w:ind w:left="0" w:leftChars="0" w:firstLine="0" w:firstLineChars="0"/>
      </w:pPr>
      <w:r>
        <w:rPr>
          <w:rFonts w:ascii="宋体" w:hAnsi="宋体"/>
          <w:b/>
          <w:bCs/>
          <w:color w:val="auto"/>
          <w:sz w:val="24"/>
        </w:rPr>
        <w:t>5.0.1</w:t>
      </w:r>
      <w:r>
        <w:rPr>
          <w:rFonts w:ascii="宋体" w:hAnsi="宋体"/>
          <w:color w:val="auto"/>
          <w:sz w:val="24"/>
          <w:szCs w:val="24"/>
        </w:rPr>
        <w:t xml:space="preserve"> </w:t>
      </w:r>
      <w:r>
        <w:rPr>
          <w:rFonts w:hint="eastAsia" w:ascii="宋体" w:cs="宋体"/>
          <w:color w:val="auto"/>
          <w:sz w:val="24"/>
          <w:szCs w:val="24"/>
        </w:rPr>
        <w:t>植筋的最小基本锚固长度</w:t>
      </w:r>
      <w:r>
        <w:rPr>
          <w:rFonts w:hint="eastAsia" w:ascii="宋体" w:hAnsi="宋体"/>
          <w:i/>
          <w:iCs/>
          <w:color w:val="auto"/>
          <w:sz w:val="24"/>
          <w:szCs w:val="24"/>
        </w:rPr>
        <w:t>l</w:t>
      </w:r>
      <w:r>
        <w:rPr>
          <w:rFonts w:ascii="宋体" w:hAnsi="宋体"/>
          <w:i/>
          <w:iCs/>
          <w:color w:val="auto"/>
          <w:sz w:val="24"/>
          <w:szCs w:val="24"/>
          <w:vertAlign w:val="subscript"/>
        </w:rPr>
        <w:t>min</w:t>
      </w:r>
      <w:r>
        <w:rPr>
          <w:rFonts w:hint="eastAsia" w:ascii="宋体" w:hAnsi="宋体"/>
          <w:i/>
          <w:iCs/>
          <w:color w:val="auto"/>
          <w:sz w:val="24"/>
          <w:szCs w:val="24"/>
          <w:vertAlign w:val="subscript"/>
        </w:rPr>
        <w:t>,</w:t>
      </w:r>
      <w:r>
        <w:rPr>
          <w:rFonts w:ascii="宋体" w:hAnsi="宋体"/>
          <w:i/>
          <w:iCs/>
          <w:color w:val="auto"/>
          <w:sz w:val="24"/>
          <w:szCs w:val="24"/>
          <w:vertAlign w:val="subscript"/>
        </w:rPr>
        <w:t>b</w:t>
      </w:r>
      <w:r>
        <w:rPr>
          <w:rFonts w:hint="eastAsia" w:ascii="宋体" w:cs="宋体"/>
          <w:color w:val="auto"/>
          <w:sz w:val="24"/>
          <w:szCs w:val="24"/>
        </w:rPr>
        <w:t>，对受拉钢筋，应取0.3</w:t>
      </w:r>
      <w:r>
        <w:rPr>
          <w:rFonts w:hint="eastAsia" w:ascii="宋体" w:cs="宋体"/>
          <w:i/>
          <w:iCs/>
          <w:color w:val="auto"/>
          <w:sz w:val="24"/>
          <w:szCs w:val="24"/>
        </w:rPr>
        <w:t>l</w:t>
      </w:r>
      <w:r>
        <w:rPr>
          <w:rFonts w:hint="eastAsia" w:ascii="宋体" w:cs="宋体"/>
          <w:color w:val="auto"/>
          <w:sz w:val="24"/>
          <w:szCs w:val="24"/>
          <w:vertAlign w:val="subscript"/>
        </w:rPr>
        <w:t>s</w:t>
      </w:r>
      <w:r>
        <w:rPr>
          <w:rFonts w:hint="eastAsia" w:ascii="宋体" w:cs="宋体"/>
          <w:color w:val="auto"/>
          <w:sz w:val="24"/>
          <w:szCs w:val="24"/>
        </w:rPr>
        <w:t>、10d 和100mm 三者之间的最大值；对受压钢筋，应取0.6</w:t>
      </w:r>
      <w:r>
        <w:rPr>
          <w:rFonts w:hint="eastAsia" w:ascii="宋体" w:cs="宋体"/>
          <w:i/>
          <w:iCs/>
          <w:color w:val="auto"/>
          <w:sz w:val="24"/>
          <w:szCs w:val="24"/>
        </w:rPr>
        <w:t>l</w:t>
      </w:r>
      <w:r>
        <w:rPr>
          <w:rFonts w:hint="eastAsia" w:ascii="宋体" w:cs="宋体"/>
          <w:color w:val="auto"/>
          <w:sz w:val="24"/>
          <w:szCs w:val="24"/>
          <w:vertAlign w:val="subscript"/>
        </w:rPr>
        <w:t>s</w:t>
      </w:r>
      <w:r>
        <w:rPr>
          <w:rFonts w:hint="eastAsia" w:ascii="宋体" w:cs="宋体"/>
          <w:color w:val="auto"/>
          <w:sz w:val="24"/>
          <w:szCs w:val="24"/>
        </w:rPr>
        <w:t>、10d 和100mm 三者之间的最大值；对拉结钢筋，应取5</w:t>
      </w:r>
      <w:r>
        <w:rPr>
          <w:rFonts w:hint="eastAsia" w:ascii="宋体" w:cs="宋体"/>
          <w:i/>
          <w:iCs/>
          <w:color w:val="auto"/>
          <w:sz w:val="24"/>
          <w:szCs w:val="24"/>
        </w:rPr>
        <w:t>d</w:t>
      </w:r>
      <w:r>
        <w:rPr>
          <w:rFonts w:hint="eastAsia" w:ascii="宋体" w:cs="宋体"/>
          <w:color w:val="auto"/>
          <w:sz w:val="24"/>
          <w:szCs w:val="24"/>
        </w:rPr>
        <w:t>和6</w:t>
      </w:r>
      <w:r>
        <w:rPr>
          <w:rFonts w:ascii="宋体" w:cs="宋体"/>
          <w:color w:val="auto"/>
          <w:sz w:val="24"/>
          <w:szCs w:val="24"/>
        </w:rPr>
        <w:t>0</w:t>
      </w:r>
      <w:r>
        <w:rPr>
          <w:rFonts w:hint="eastAsia" w:ascii="宋体" w:cs="宋体"/>
          <w:color w:val="auto"/>
          <w:sz w:val="24"/>
          <w:szCs w:val="24"/>
        </w:rPr>
        <w:t>mm二者之间的较大值。</w:t>
      </w:r>
    </w:p>
    <w:p>
      <w:pPr>
        <w:spacing w:after="0" w:line="360" w:lineRule="auto"/>
        <w:rPr>
          <w:rFonts w:ascii="宋体" w:hAnsi="宋体"/>
          <w:color w:val="auto"/>
          <w:sz w:val="24"/>
          <w:szCs w:val="24"/>
        </w:rPr>
      </w:pPr>
      <w:r>
        <w:rPr>
          <w:rFonts w:ascii="宋体" w:hAnsi="宋体"/>
          <w:b/>
          <w:bCs/>
          <w:color w:val="auto"/>
          <w:sz w:val="24"/>
        </w:rPr>
        <w:t>5</w:t>
      </w:r>
      <w:r>
        <w:rPr>
          <w:rFonts w:hint="eastAsia" w:ascii="宋体" w:hAnsi="宋体"/>
          <w:b/>
          <w:bCs/>
          <w:color w:val="auto"/>
          <w:sz w:val="24"/>
        </w:rPr>
        <w:t>.</w:t>
      </w:r>
      <w:r>
        <w:rPr>
          <w:rFonts w:ascii="宋体" w:hAnsi="宋体"/>
          <w:b/>
          <w:bCs/>
          <w:color w:val="auto"/>
          <w:sz w:val="24"/>
        </w:rPr>
        <w:t>0.</w:t>
      </w:r>
      <w:r>
        <w:rPr>
          <w:rFonts w:hint="eastAsia" w:ascii="宋体" w:hAnsi="宋体"/>
          <w:b/>
          <w:bCs/>
          <w:color w:val="auto"/>
          <w:sz w:val="24"/>
        </w:rPr>
        <w:t>2</w:t>
      </w:r>
      <w:r>
        <w:rPr>
          <w:rFonts w:hint="eastAsia" w:ascii="宋体" w:hAnsi="宋体"/>
          <w:color w:val="auto"/>
          <w:sz w:val="24"/>
          <w:szCs w:val="24"/>
        </w:rPr>
        <w:t xml:space="preserve"> 基材在植筋方向的最小厚度</w:t>
      </w:r>
      <w:r>
        <w:rPr>
          <w:rFonts w:hint="eastAsia" w:ascii="宋体" w:hAnsi="宋体"/>
          <w:i/>
          <w:iCs/>
          <w:color w:val="auto"/>
          <w:sz w:val="24"/>
          <w:szCs w:val="24"/>
        </w:rPr>
        <w:t>h</w:t>
      </w:r>
      <w:r>
        <w:rPr>
          <w:rFonts w:hint="eastAsia" w:ascii="宋体" w:hAnsi="宋体"/>
          <w:i/>
          <w:iCs/>
          <w:color w:val="auto"/>
          <w:sz w:val="24"/>
          <w:szCs w:val="24"/>
          <w:vertAlign w:val="subscript"/>
        </w:rPr>
        <w:t>min</w:t>
      </w:r>
      <w:r>
        <w:rPr>
          <w:rFonts w:hint="eastAsia" w:ascii="宋体" w:hAnsi="宋体"/>
          <w:color w:val="auto"/>
          <w:sz w:val="24"/>
          <w:szCs w:val="24"/>
        </w:rPr>
        <w:t>应满足下式的要求：</w:t>
      </w:r>
    </w:p>
    <w:p>
      <w:pPr>
        <w:spacing w:after="0" w:line="360" w:lineRule="auto"/>
        <w:jc w:val="right"/>
        <w:rPr>
          <w:rFonts w:ascii="宋体" w:hAnsi="宋体"/>
          <w:color w:val="auto"/>
          <w:sz w:val="24"/>
          <w:szCs w:val="24"/>
        </w:rPr>
      </w:pPr>
      <w:r>
        <w:rPr>
          <w:rFonts w:hint="eastAsia" w:ascii="宋体" w:hAnsi="宋体"/>
          <w:i/>
          <w:iCs/>
          <w:color w:val="auto"/>
          <w:sz w:val="24"/>
          <w:szCs w:val="24"/>
        </w:rPr>
        <w:t>h</w:t>
      </w:r>
      <w:r>
        <w:rPr>
          <w:rFonts w:hint="eastAsia" w:ascii="宋体" w:hAnsi="宋体"/>
          <w:i/>
          <w:iCs/>
          <w:color w:val="auto"/>
          <w:sz w:val="24"/>
          <w:szCs w:val="24"/>
          <w:vertAlign w:val="subscript"/>
        </w:rPr>
        <w:t>min</w:t>
      </w:r>
      <w:r>
        <w:rPr>
          <w:rFonts w:ascii="宋体" w:hAnsi="宋体"/>
          <w:color w:val="auto"/>
          <w:sz w:val="24"/>
          <w:szCs w:val="24"/>
        </w:rPr>
        <w:t xml:space="preserve"> </w:t>
      </w:r>
      <w:r>
        <w:rPr>
          <w:rFonts w:hint="eastAsia" w:ascii="宋体" w:hAnsi="宋体"/>
          <w:color w:val="auto"/>
          <w:sz w:val="24"/>
          <w:szCs w:val="24"/>
        </w:rPr>
        <w:t xml:space="preserve">≥ </w:t>
      </w:r>
      <w:r>
        <w:rPr>
          <w:rFonts w:hint="eastAsia" w:ascii="宋体" w:hAnsi="宋体"/>
          <w:i/>
          <w:iCs/>
          <w:color w:val="auto"/>
          <w:sz w:val="24"/>
          <w:szCs w:val="24"/>
          <w:highlight w:val="none"/>
        </w:rPr>
        <w:t>l</w:t>
      </w:r>
      <w:r>
        <w:rPr>
          <w:rFonts w:hint="eastAsia" w:ascii="宋体" w:hAnsi="宋体"/>
          <w:i/>
          <w:iCs/>
          <w:color w:val="auto"/>
          <w:sz w:val="24"/>
          <w:szCs w:val="24"/>
          <w:highlight w:val="none"/>
          <w:vertAlign w:val="subscript"/>
        </w:rPr>
        <w:t>d</w:t>
      </w:r>
      <w:r>
        <w:rPr>
          <w:rFonts w:hint="eastAsia" w:ascii="宋体" w:hAnsi="宋体"/>
          <w:color w:val="auto"/>
          <w:sz w:val="24"/>
          <w:szCs w:val="24"/>
        </w:rPr>
        <w:t xml:space="preserve"> 十2D </w:t>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ab/>
      </w:r>
      <w:r>
        <w:rPr>
          <w:rFonts w:ascii="宋体" w:hAnsi="宋体"/>
          <w:color w:val="auto"/>
          <w:sz w:val="24"/>
          <w:szCs w:val="24"/>
        </w:rPr>
        <w:tab/>
      </w:r>
      <w:r>
        <w:rPr>
          <w:rFonts w:hint="eastAsia" w:ascii="宋体" w:hAnsi="宋体"/>
          <w:color w:val="auto"/>
          <w:sz w:val="24"/>
          <w:szCs w:val="24"/>
        </w:rPr>
        <w:t>(</w:t>
      </w:r>
      <w:r>
        <w:rPr>
          <w:rFonts w:ascii="宋体" w:hAnsi="宋体"/>
          <w:color w:val="auto"/>
          <w:sz w:val="24"/>
          <w:szCs w:val="24"/>
        </w:rPr>
        <w:t>5</w:t>
      </w:r>
      <w:r>
        <w:rPr>
          <w:rFonts w:hint="eastAsia" w:ascii="宋体" w:hAnsi="宋体"/>
          <w:color w:val="auto"/>
          <w:sz w:val="24"/>
          <w:szCs w:val="24"/>
        </w:rPr>
        <w:t>.</w:t>
      </w:r>
      <w:r>
        <w:rPr>
          <w:rFonts w:ascii="宋体" w:hAnsi="宋体"/>
          <w:color w:val="auto"/>
          <w:sz w:val="24"/>
          <w:szCs w:val="24"/>
        </w:rPr>
        <w:t>0</w:t>
      </w:r>
      <w:r>
        <w:rPr>
          <w:rFonts w:hint="eastAsia" w:ascii="宋体" w:hAnsi="宋体"/>
          <w:color w:val="auto"/>
          <w:sz w:val="24"/>
          <w:szCs w:val="24"/>
        </w:rPr>
        <w:t>.2)</w:t>
      </w:r>
      <w:r>
        <w:rPr>
          <w:rFonts w:ascii="宋体" w:hAnsi="宋体"/>
          <w:color w:val="auto"/>
          <w:sz w:val="24"/>
          <w:szCs w:val="24"/>
        </w:rPr>
        <w:tab/>
      </w:r>
    </w:p>
    <w:p>
      <w:pPr>
        <w:spacing w:after="0" w:line="360" w:lineRule="auto"/>
        <w:rPr>
          <w:rFonts w:ascii="宋体" w:hAnsi="宋体"/>
          <w:color w:val="auto"/>
          <w:sz w:val="24"/>
          <w:szCs w:val="24"/>
        </w:rPr>
      </w:pPr>
      <w:r>
        <w:rPr>
          <w:rFonts w:hint="eastAsia" w:ascii="宋体" w:hAnsi="宋体"/>
          <w:color w:val="auto"/>
          <w:sz w:val="24"/>
          <w:szCs w:val="24"/>
        </w:rPr>
        <w:t>式中：D</w:t>
      </w:r>
      <w:r>
        <w:rPr>
          <w:rFonts w:ascii="宋体" w:hAnsi="宋体"/>
          <w:color w:val="auto"/>
          <w:sz w:val="24"/>
          <w:szCs w:val="24"/>
        </w:rPr>
        <w:t xml:space="preserve"> </w:t>
      </w:r>
      <w:r>
        <w:rPr>
          <w:rFonts w:hint="eastAsia" w:ascii="宋体" w:hAnsi="宋体"/>
          <w:color w:val="auto"/>
          <w:sz w:val="24"/>
          <w:szCs w:val="24"/>
          <w:lang w:eastAsia="zh-CN"/>
        </w:rPr>
        <w:t>—</w:t>
      </w:r>
      <w:r>
        <w:rPr>
          <w:rFonts w:hint="eastAsia" w:ascii="宋体" w:hAnsi="宋体"/>
          <w:color w:val="auto"/>
          <w:sz w:val="24"/>
          <w:szCs w:val="24"/>
        </w:rPr>
        <w:t>钻孔直径，宜按表</w:t>
      </w:r>
      <w:r>
        <w:rPr>
          <w:rFonts w:ascii="宋体" w:hAnsi="宋体"/>
          <w:color w:val="auto"/>
          <w:sz w:val="24"/>
          <w:szCs w:val="24"/>
        </w:rPr>
        <w:t>5.0.</w:t>
      </w:r>
      <w:r>
        <w:rPr>
          <w:rFonts w:hint="eastAsia" w:ascii="宋体" w:hAnsi="宋体"/>
          <w:color w:val="auto"/>
          <w:sz w:val="24"/>
          <w:szCs w:val="24"/>
          <w:lang w:val="en-US" w:eastAsia="zh-CN"/>
        </w:rPr>
        <w:t>2</w:t>
      </w:r>
      <w:r>
        <w:rPr>
          <w:rFonts w:hint="eastAsia" w:ascii="宋体" w:hAnsi="宋体"/>
          <w:color w:val="auto"/>
          <w:sz w:val="24"/>
          <w:szCs w:val="24"/>
        </w:rPr>
        <w:t>的规定取用。</w:t>
      </w:r>
    </w:p>
    <w:p>
      <w:pPr>
        <w:spacing w:after="0" w:line="360" w:lineRule="auto"/>
        <w:jc w:val="center"/>
        <w:rPr>
          <w:rFonts w:ascii="宋体" w:hAnsi="宋体"/>
          <w:b/>
          <w:bCs/>
          <w:color w:val="auto"/>
          <w:sz w:val="21"/>
          <w:szCs w:val="21"/>
        </w:rPr>
      </w:pPr>
      <w:r>
        <w:rPr>
          <w:rFonts w:hint="eastAsia" w:ascii="宋体" w:hAnsi="宋体"/>
          <w:b/>
          <w:bCs/>
          <w:color w:val="auto"/>
          <w:sz w:val="21"/>
          <w:szCs w:val="21"/>
        </w:rPr>
        <w:t>表</w:t>
      </w:r>
      <w:r>
        <w:rPr>
          <w:rFonts w:ascii="宋体" w:hAnsi="宋体"/>
          <w:b/>
          <w:bCs/>
          <w:color w:val="auto"/>
          <w:sz w:val="21"/>
          <w:szCs w:val="21"/>
        </w:rPr>
        <w:t xml:space="preserve">5.0.2 </w:t>
      </w:r>
      <w:r>
        <w:rPr>
          <w:rFonts w:hint="eastAsia" w:ascii="宋体" w:hAnsi="宋体"/>
          <w:b/>
          <w:bCs/>
          <w:color w:val="auto"/>
          <w:sz w:val="21"/>
          <w:szCs w:val="21"/>
        </w:rPr>
        <w:t>钢筋和螺杆直径与对应的钻孔直径</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2299"/>
        <w:gridCol w:w="2184"/>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hint="eastAsia" w:ascii="宋体" w:cs="宋体"/>
                <w:color w:val="auto"/>
              </w:rPr>
              <w:t>钢筋直径</w:t>
            </w:r>
            <w:r>
              <w:rPr>
                <w:rFonts w:ascii="宋体" w:cs="宋体"/>
                <w:color w:val="auto"/>
              </w:rPr>
              <w:t>(mm</w:t>
            </w:r>
            <w:r>
              <w:rPr>
                <w:rFonts w:hint="eastAsia" w:ascii="宋体" w:cs="宋体"/>
                <w:color w:val="auto"/>
              </w:rPr>
              <w:t>)</w:t>
            </w:r>
          </w:p>
        </w:tc>
        <w:tc>
          <w:tcPr>
            <w:tcW w:w="2299" w:type="dxa"/>
          </w:tcPr>
          <w:p>
            <w:pPr>
              <w:autoSpaceDE w:val="0"/>
              <w:autoSpaceDN w:val="0"/>
              <w:adjustRightInd w:val="0"/>
              <w:spacing w:before="60" w:after="60" w:line="240" w:lineRule="auto"/>
              <w:jc w:val="center"/>
              <w:rPr>
                <w:rFonts w:ascii="宋体" w:cs="宋体"/>
                <w:color w:val="auto"/>
              </w:rPr>
            </w:pPr>
            <w:r>
              <w:rPr>
                <w:rFonts w:hint="eastAsia" w:ascii="宋体" w:cs="宋体"/>
                <w:color w:val="auto"/>
              </w:rPr>
              <w:t>钻孔直径D</w:t>
            </w:r>
            <w:r>
              <w:rPr>
                <w:rFonts w:ascii="宋体" w:cs="宋体"/>
                <w:color w:val="auto"/>
              </w:rPr>
              <w:t xml:space="preserve"> (</w:t>
            </w:r>
            <w:r>
              <w:rPr>
                <w:rFonts w:hint="eastAsia" w:ascii="宋体" w:cs="宋体"/>
                <w:color w:val="auto"/>
              </w:rPr>
              <w:t>mm</w:t>
            </w:r>
            <w:r>
              <w:rPr>
                <w:rFonts w:ascii="宋体" w:cs="宋体"/>
                <w:color w:val="auto"/>
              </w:rPr>
              <w:t>)</w:t>
            </w:r>
          </w:p>
        </w:tc>
        <w:tc>
          <w:tcPr>
            <w:tcW w:w="2184" w:type="dxa"/>
          </w:tcPr>
          <w:p>
            <w:pPr>
              <w:autoSpaceDE w:val="0"/>
              <w:autoSpaceDN w:val="0"/>
              <w:adjustRightInd w:val="0"/>
              <w:spacing w:before="60" w:after="60" w:line="240" w:lineRule="auto"/>
              <w:jc w:val="center"/>
              <w:rPr>
                <w:rFonts w:ascii="宋体" w:cs="宋体"/>
                <w:color w:val="auto"/>
              </w:rPr>
            </w:pPr>
            <w:r>
              <w:rPr>
                <w:rFonts w:hint="eastAsia" w:ascii="宋体" w:cs="宋体"/>
                <w:color w:val="auto"/>
              </w:rPr>
              <w:t>螺杆直径</w:t>
            </w:r>
            <w:r>
              <w:rPr>
                <w:rFonts w:ascii="宋体" w:cs="宋体"/>
                <w:color w:val="auto"/>
              </w:rPr>
              <w:t>(mm</w:t>
            </w:r>
            <w:r>
              <w:rPr>
                <w:rFonts w:hint="eastAsia" w:ascii="宋体" w:cs="宋体"/>
                <w:color w:val="auto"/>
              </w:rPr>
              <w:t>)</w:t>
            </w:r>
          </w:p>
        </w:tc>
        <w:tc>
          <w:tcPr>
            <w:tcW w:w="2184" w:type="dxa"/>
          </w:tcPr>
          <w:p>
            <w:pPr>
              <w:autoSpaceDE w:val="0"/>
              <w:autoSpaceDN w:val="0"/>
              <w:adjustRightInd w:val="0"/>
              <w:spacing w:before="60" w:after="60" w:line="240" w:lineRule="auto"/>
              <w:jc w:val="center"/>
              <w:rPr>
                <w:rFonts w:ascii="宋体" w:cs="宋体"/>
                <w:color w:val="auto"/>
              </w:rPr>
            </w:pPr>
            <w:r>
              <w:rPr>
                <w:rFonts w:hint="eastAsia" w:ascii="宋体" w:cs="宋体"/>
                <w:color w:val="auto"/>
              </w:rPr>
              <w:t>钻孔直径D</w:t>
            </w:r>
            <w:r>
              <w:rPr>
                <w:rFonts w:ascii="宋体" w:cs="宋体"/>
                <w:color w:val="auto"/>
              </w:rPr>
              <w:t xml:space="preserve"> (</w:t>
            </w:r>
            <w:r>
              <w:rPr>
                <w:rFonts w:hint="eastAsia" w:ascii="宋体" w:cs="宋体"/>
                <w:color w:val="auto"/>
              </w:rPr>
              <w:t>mm</w:t>
            </w:r>
            <w:r>
              <w:rPr>
                <w:rFonts w:ascii="宋体"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8</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12</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M8</w:t>
            </w:r>
          </w:p>
        </w:tc>
        <w:tc>
          <w:tcPr>
            <w:tcW w:w="2184" w:type="dxa"/>
          </w:tcPr>
          <w:p>
            <w:pPr>
              <w:autoSpaceDE w:val="0"/>
              <w:autoSpaceDN w:val="0"/>
              <w:adjustRightInd w:val="0"/>
              <w:spacing w:before="60" w:after="60" w:line="240" w:lineRule="auto"/>
              <w:jc w:val="center"/>
              <w:rPr>
                <w:rFonts w:hint="default" w:ascii="宋体" w:cs="宋体"/>
                <w:color w:val="auto"/>
                <w:lang w:val="en-US" w:eastAsia="zh-CN"/>
              </w:rPr>
            </w:pPr>
            <w:r>
              <w:rPr>
                <w:rFonts w:hint="eastAsia" w:ascii="宋体" w:cs="宋体"/>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10</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14</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M10</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1</w:t>
            </w:r>
            <w:r>
              <w:rPr>
                <w:rFonts w:hint="eastAsia" w:ascii="宋体" w:cs="宋体"/>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12</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16</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M12</w:t>
            </w:r>
          </w:p>
        </w:tc>
        <w:tc>
          <w:tcPr>
            <w:tcW w:w="2184" w:type="dxa"/>
          </w:tcPr>
          <w:p>
            <w:pPr>
              <w:autoSpaceDE w:val="0"/>
              <w:autoSpaceDN w:val="0"/>
              <w:adjustRightInd w:val="0"/>
              <w:spacing w:before="60" w:after="60" w:line="240" w:lineRule="auto"/>
              <w:jc w:val="center"/>
              <w:rPr>
                <w:rFonts w:hint="eastAsia" w:ascii="宋体" w:cs="宋体"/>
                <w:color w:val="auto"/>
                <w:lang w:eastAsia="zh-CN"/>
              </w:rPr>
            </w:pPr>
            <w:r>
              <w:rPr>
                <w:rFonts w:ascii="宋体" w:cs="宋体"/>
                <w:color w:val="auto"/>
              </w:rPr>
              <w:t>1</w:t>
            </w:r>
            <w:r>
              <w:rPr>
                <w:rFonts w:hint="eastAsia" w:ascii="宋体" w:cs="宋体"/>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14</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18</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M16</w:t>
            </w:r>
          </w:p>
        </w:tc>
        <w:tc>
          <w:tcPr>
            <w:tcW w:w="2184" w:type="dxa"/>
          </w:tcPr>
          <w:p>
            <w:pPr>
              <w:autoSpaceDE w:val="0"/>
              <w:autoSpaceDN w:val="0"/>
              <w:adjustRightInd w:val="0"/>
              <w:spacing w:before="60" w:after="60" w:line="240" w:lineRule="auto"/>
              <w:jc w:val="center"/>
              <w:rPr>
                <w:rFonts w:hint="default" w:ascii="宋体" w:cs="宋体"/>
                <w:color w:val="auto"/>
                <w:lang w:val="en-US" w:eastAsia="zh-CN"/>
              </w:rPr>
            </w:pPr>
            <w:r>
              <w:rPr>
                <w:rFonts w:hint="eastAsia" w:ascii="宋体" w:cs="宋体"/>
                <w:color w:val="auto"/>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16</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20</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M20</w:t>
            </w:r>
          </w:p>
        </w:tc>
        <w:tc>
          <w:tcPr>
            <w:tcW w:w="2184" w:type="dxa"/>
          </w:tcPr>
          <w:p>
            <w:pPr>
              <w:autoSpaceDE w:val="0"/>
              <w:autoSpaceDN w:val="0"/>
              <w:adjustRightInd w:val="0"/>
              <w:spacing w:before="60" w:after="60" w:line="240" w:lineRule="auto"/>
              <w:jc w:val="center"/>
              <w:rPr>
                <w:rFonts w:hint="default" w:ascii="宋体" w:cs="宋体"/>
                <w:color w:val="auto"/>
                <w:lang w:val="en-US" w:eastAsia="zh-CN"/>
              </w:rPr>
            </w:pPr>
            <w:r>
              <w:rPr>
                <w:rFonts w:hint="eastAsia" w:ascii="宋体" w:cs="宋体"/>
                <w:color w:val="auto"/>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18</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22</w:t>
            </w:r>
          </w:p>
        </w:tc>
        <w:tc>
          <w:tcPr>
            <w:tcW w:w="2184" w:type="dxa"/>
          </w:tcPr>
          <w:p>
            <w:pPr>
              <w:autoSpaceDE w:val="0"/>
              <w:autoSpaceDN w:val="0"/>
              <w:adjustRightInd w:val="0"/>
              <w:spacing w:before="60" w:after="60" w:line="240" w:lineRule="auto"/>
              <w:jc w:val="center"/>
              <w:rPr>
                <w:rFonts w:ascii="宋体" w:cs="宋体"/>
                <w:color w:val="auto"/>
              </w:rPr>
            </w:pPr>
            <w:r>
              <w:rPr>
                <w:rFonts w:ascii="宋体" w:cs="宋体"/>
                <w:color w:val="auto"/>
              </w:rPr>
              <w:t>M24</w:t>
            </w:r>
          </w:p>
        </w:tc>
        <w:tc>
          <w:tcPr>
            <w:tcW w:w="2184" w:type="dxa"/>
          </w:tcPr>
          <w:p>
            <w:pPr>
              <w:autoSpaceDE w:val="0"/>
              <w:autoSpaceDN w:val="0"/>
              <w:adjustRightInd w:val="0"/>
              <w:spacing w:before="60" w:after="60" w:line="240" w:lineRule="auto"/>
              <w:jc w:val="center"/>
              <w:rPr>
                <w:rFonts w:hint="default" w:ascii="宋体" w:cs="宋体"/>
                <w:color w:val="auto"/>
                <w:lang w:val="en-US" w:eastAsia="zh-CN"/>
              </w:rPr>
            </w:pPr>
            <w:r>
              <w:rPr>
                <w:rFonts w:hint="eastAsia" w:ascii="宋体" w:cs="宋体"/>
                <w:color w:val="auto"/>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20</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25</w:t>
            </w:r>
          </w:p>
        </w:tc>
        <w:tc>
          <w:tcPr>
            <w:tcW w:w="2184" w:type="dxa"/>
          </w:tcPr>
          <w:p>
            <w:pPr>
              <w:autoSpaceDE w:val="0"/>
              <w:autoSpaceDN w:val="0"/>
              <w:adjustRightInd w:val="0"/>
              <w:spacing w:before="60" w:after="60" w:line="240" w:lineRule="auto"/>
              <w:jc w:val="center"/>
              <w:rPr>
                <w:rFonts w:ascii="宋体" w:cs="宋体"/>
                <w:color w:val="auto"/>
              </w:rPr>
            </w:pPr>
          </w:p>
        </w:tc>
        <w:tc>
          <w:tcPr>
            <w:tcW w:w="2184" w:type="dxa"/>
          </w:tcPr>
          <w:p>
            <w:pPr>
              <w:autoSpaceDE w:val="0"/>
              <w:autoSpaceDN w:val="0"/>
              <w:adjustRightInd w:val="0"/>
              <w:spacing w:before="60" w:after="60" w:line="240" w:lineRule="auto"/>
              <w:jc w:val="center"/>
              <w:rPr>
                <w:rFonts w:asci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22</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28</w:t>
            </w:r>
          </w:p>
        </w:tc>
        <w:tc>
          <w:tcPr>
            <w:tcW w:w="2184" w:type="dxa"/>
          </w:tcPr>
          <w:p>
            <w:pPr>
              <w:autoSpaceDE w:val="0"/>
              <w:autoSpaceDN w:val="0"/>
              <w:adjustRightInd w:val="0"/>
              <w:spacing w:before="60" w:after="60" w:line="240" w:lineRule="auto"/>
              <w:jc w:val="center"/>
              <w:rPr>
                <w:rFonts w:ascii="宋体" w:cs="宋体"/>
                <w:color w:val="auto"/>
              </w:rPr>
            </w:pPr>
          </w:p>
        </w:tc>
        <w:tc>
          <w:tcPr>
            <w:tcW w:w="2184" w:type="dxa"/>
          </w:tcPr>
          <w:p>
            <w:pPr>
              <w:autoSpaceDE w:val="0"/>
              <w:autoSpaceDN w:val="0"/>
              <w:adjustRightInd w:val="0"/>
              <w:spacing w:before="60" w:after="60" w:line="240" w:lineRule="auto"/>
              <w:jc w:val="center"/>
              <w:rPr>
                <w:rFonts w:asci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tcPr>
          <w:p>
            <w:pPr>
              <w:autoSpaceDE w:val="0"/>
              <w:autoSpaceDN w:val="0"/>
              <w:adjustRightInd w:val="0"/>
              <w:spacing w:before="60" w:after="60" w:line="240" w:lineRule="auto"/>
              <w:jc w:val="center"/>
              <w:rPr>
                <w:rFonts w:ascii="宋体" w:cs="宋体"/>
                <w:color w:val="auto"/>
              </w:rPr>
            </w:pPr>
            <w:r>
              <w:rPr>
                <w:rFonts w:ascii="宋体" w:cs="宋体"/>
                <w:color w:val="auto"/>
              </w:rPr>
              <w:t>25</w:t>
            </w:r>
          </w:p>
        </w:tc>
        <w:tc>
          <w:tcPr>
            <w:tcW w:w="2299" w:type="dxa"/>
          </w:tcPr>
          <w:p>
            <w:pPr>
              <w:autoSpaceDE w:val="0"/>
              <w:autoSpaceDN w:val="0"/>
              <w:adjustRightInd w:val="0"/>
              <w:spacing w:before="60" w:after="60" w:line="240" w:lineRule="auto"/>
              <w:jc w:val="center"/>
              <w:rPr>
                <w:rFonts w:ascii="宋体" w:cs="宋体"/>
                <w:color w:val="auto"/>
              </w:rPr>
            </w:pPr>
            <w:r>
              <w:rPr>
                <w:rFonts w:ascii="宋体" w:cs="宋体"/>
                <w:color w:val="auto"/>
              </w:rPr>
              <w:t>32</w:t>
            </w:r>
          </w:p>
        </w:tc>
        <w:tc>
          <w:tcPr>
            <w:tcW w:w="2184" w:type="dxa"/>
          </w:tcPr>
          <w:p>
            <w:pPr>
              <w:autoSpaceDE w:val="0"/>
              <w:autoSpaceDN w:val="0"/>
              <w:adjustRightInd w:val="0"/>
              <w:spacing w:before="60" w:after="60" w:line="240" w:lineRule="auto"/>
              <w:jc w:val="center"/>
              <w:rPr>
                <w:rFonts w:ascii="宋体" w:cs="宋体"/>
                <w:color w:val="auto"/>
              </w:rPr>
            </w:pPr>
          </w:p>
        </w:tc>
        <w:tc>
          <w:tcPr>
            <w:tcW w:w="2184" w:type="dxa"/>
          </w:tcPr>
          <w:p>
            <w:pPr>
              <w:autoSpaceDE w:val="0"/>
              <w:autoSpaceDN w:val="0"/>
              <w:adjustRightInd w:val="0"/>
              <w:spacing w:before="60" w:after="60" w:line="240" w:lineRule="auto"/>
              <w:jc w:val="center"/>
              <w:rPr>
                <w:rFonts w:ascii="宋体" w:cs="宋体"/>
                <w:color w:val="auto"/>
              </w:rPr>
            </w:pPr>
          </w:p>
        </w:tc>
      </w:tr>
    </w:tbl>
    <w:p>
      <w:pPr>
        <w:spacing w:after="0" w:line="360" w:lineRule="auto"/>
        <w:rPr>
          <w:rFonts w:hint="eastAsia" w:ascii="宋体" w:hAnsi="宋体"/>
          <w:color w:val="auto"/>
          <w:sz w:val="24"/>
        </w:rPr>
      </w:pPr>
      <w:r>
        <w:rPr>
          <w:rFonts w:ascii="宋体" w:hAnsi="宋体"/>
          <w:b/>
          <w:bCs/>
          <w:color w:val="auto"/>
          <w:sz w:val="24"/>
        </w:rPr>
        <w:t>5.0.3</w:t>
      </w:r>
      <w:r>
        <w:rPr>
          <w:rFonts w:ascii="宋体" w:hAnsi="宋体"/>
          <w:color w:val="auto"/>
          <w:sz w:val="24"/>
        </w:rPr>
        <w:t>用于</w:t>
      </w:r>
      <w:r>
        <w:rPr>
          <w:rFonts w:hint="eastAsia" w:ascii="宋体" w:hAnsi="宋体"/>
          <w:color w:val="auto"/>
          <w:sz w:val="24"/>
        </w:rPr>
        <w:t>植筋系统锚固的混凝土结构构件基材的植筋保护层厚度不应低于现行国家标准《混凝土结构设计规范》GB 50010 的规定</w:t>
      </w:r>
      <w:r>
        <w:rPr>
          <w:rFonts w:hint="eastAsia" w:ascii="宋体" w:hAnsi="宋体"/>
          <w:color w:val="auto"/>
          <w:sz w:val="24"/>
          <w:lang w:eastAsia="zh-CN"/>
        </w:rPr>
        <w:t>，</w:t>
      </w:r>
      <w:r>
        <w:rPr>
          <w:rFonts w:hint="eastAsia" w:ascii="宋体" w:hAnsi="宋体"/>
          <w:color w:val="auto"/>
          <w:sz w:val="24"/>
        </w:rPr>
        <w:t>且植筋与混凝土边缘之间的距离</w:t>
      </w:r>
      <w:r>
        <w:rPr>
          <w:rFonts w:ascii="宋体" w:hAnsi="宋体" w:cs="Times New Roman"/>
          <w:color w:val="auto"/>
          <w:sz w:val="24"/>
          <w:szCs w:val="21"/>
        </w:rPr>
        <w:fldChar w:fldCharType="begin"/>
      </w:r>
      <w:r>
        <w:rPr>
          <w:rFonts w:ascii="宋体" w:hAnsi="宋体" w:cs="Times New Roman"/>
          <w:color w:val="auto"/>
          <w:sz w:val="24"/>
          <w:szCs w:val="21"/>
        </w:rPr>
        <w:instrText xml:space="preserve">HYPERLINK "</w:instrText>
      </w:r>
      <w:r>
        <w:rPr>
          <w:rFonts w:hint="eastAsia" w:ascii="宋体" w:hAnsi="宋体" w:cs="Times New Roman"/>
          <w:color w:val="auto"/>
          <w:sz w:val="24"/>
          <w:szCs w:val="21"/>
        </w:rPr>
        <w:instrText xml:space="preserve">不宜小于</w:instrText>
      </w:r>
      <w:r>
        <w:rPr>
          <w:rFonts w:ascii="宋体" w:hAnsi="宋体" w:cs="Times New Roman"/>
          <w:color w:val="auto"/>
          <w:sz w:val="24"/>
          <w:szCs w:val="21"/>
        </w:rPr>
        <w:instrText xml:space="preserve">5d</w:instrText>
      </w:r>
      <w:r>
        <w:rPr>
          <w:rFonts w:hint="eastAsia" w:ascii="宋体" w:hAnsi="宋体" w:cs="Times New Roman"/>
          <w:color w:val="auto"/>
          <w:sz w:val="24"/>
          <w:szCs w:val="21"/>
        </w:rPr>
        <w:instrText xml:space="preserve">及</w:instrText>
      </w:r>
      <w:r>
        <w:rPr>
          <w:rFonts w:ascii="宋体" w:hAnsi="宋体" w:cs="Times New Roman"/>
          <w:color w:val="auto"/>
          <w:sz w:val="24"/>
          <w:szCs w:val="21"/>
        </w:rPr>
        <w:instrText xml:space="preserve">100mm</w:instrText>
      </w:r>
      <w:r>
        <w:rPr>
          <w:rFonts w:hint="eastAsia" w:ascii="宋体" w:hAnsi="宋体" w:cs="Times New Roman"/>
          <w:color w:val="auto"/>
          <w:sz w:val="24"/>
          <w:szCs w:val="21"/>
        </w:rPr>
        <w:instrText xml:space="preserve">。当植筋与混凝土边缘之间有垂直于植筋方向的横向约束钢筋，且横向约束钢筋的配筋量不小于</w:instrText>
      </w:r>
      <w:r>
        <w:rPr>
          <w:rFonts w:ascii="宋体" w:hAnsi="宋体" w:cs="Times New Roman"/>
          <w:color w:val="auto"/>
          <w:sz w:val="24"/>
          <w:szCs w:val="21"/>
        </w:rPr>
        <w:instrText xml:space="preserve">f8@100</w:instrText>
      </w:r>
      <w:r>
        <w:rPr>
          <w:rFonts w:hint="eastAsia" w:ascii="宋体" w:hAnsi="宋体" w:cs="Times New Roman"/>
          <w:color w:val="auto"/>
          <w:sz w:val="24"/>
          <w:szCs w:val="21"/>
        </w:rPr>
        <w:instrText xml:space="preserve">或其等量截面积，植筋锚固深度范围内横向约束钢筋不少于</w:instrText>
      </w:r>
      <w:r>
        <w:rPr>
          <w:rFonts w:ascii="宋体" w:hAnsi="宋体" w:cs="Times New Roman"/>
          <w:color w:val="auto"/>
          <w:sz w:val="24"/>
          <w:szCs w:val="21"/>
        </w:rPr>
        <w:instrText xml:space="preserve">2</w:instrText>
      </w:r>
      <w:r>
        <w:rPr>
          <w:rFonts w:hint="eastAsia" w:ascii="宋体" w:hAnsi="宋体" w:cs="Times New Roman"/>
          <w:color w:val="auto"/>
          <w:sz w:val="24"/>
          <w:szCs w:val="21"/>
        </w:rPr>
        <w:instrText xml:space="preserve">根时，植筋与边缘的最小距离可适当减少，但不应小于</w:instrText>
      </w:r>
      <w:r>
        <w:rPr>
          <w:rFonts w:ascii="宋体" w:hAnsi="宋体" w:cs="Times New Roman"/>
          <w:color w:val="auto"/>
          <w:sz w:val="24"/>
          <w:szCs w:val="21"/>
        </w:rPr>
        <w:instrText xml:space="preserve">2.5d</w:instrText>
      </w:r>
      <w:r>
        <w:rPr>
          <w:rFonts w:hint="eastAsia" w:ascii="宋体" w:hAnsi="宋体" w:cs="Times New Roman"/>
          <w:color w:val="auto"/>
          <w:sz w:val="24"/>
          <w:szCs w:val="21"/>
        </w:rPr>
        <w:instrText xml:space="preserve">及</w:instrText>
      </w:r>
      <w:r>
        <w:rPr>
          <w:rFonts w:ascii="宋体" w:hAnsi="宋体" w:cs="Times New Roman"/>
          <w:color w:val="auto"/>
          <w:sz w:val="24"/>
          <w:szCs w:val="21"/>
        </w:rPr>
        <w:instrText xml:space="preserve">50mm"</w:instrText>
      </w:r>
      <w:r>
        <w:rPr>
          <w:rFonts w:ascii="宋体" w:hAnsi="宋体" w:cs="Times New Roman"/>
          <w:color w:val="auto"/>
          <w:sz w:val="24"/>
          <w:szCs w:val="21"/>
        </w:rPr>
        <w:fldChar w:fldCharType="separate"/>
      </w:r>
      <w:r>
        <w:rPr>
          <w:rFonts w:ascii="宋体" w:hAnsi="宋体" w:cs="Times New Roman"/>
          <w:color w:val="auto"/>
          <w:sz w:val="24"/>
          <w:szCs w:val="21"/>
          <w:u w:val="none"/>
        </w:rPr>
        <w:t>不宜小于5</w:t>
      </w:r>
      <w:r>
        <w:rPr>
          <w:rFonts w:ascii="宋体" w:hAnsi="宋体" w:cs="Times New Roman"/>
          <w:i/>
          <w:iCs/>
          <w:color w:val="auto"/>
          <w:sz w:val="24"/>
          <w:szCs w:val="21"/>
          <w:u w:val="none"/>
        </w:rPr>
        <w:t>d</w:t>
      </w:r>
      <w:r>
        <w:rPr>
          <w:rFonts w:ascii="宋体" w:hAnsi="宋体" w:cs="Times New Roman"/>
          <w:color w:val="auto"/>
          <w:sz w:val="24"/>
          <w:szCs w:val="21"/>
          <w:u w:val="none"/>
        </w:rPr>
        <w:t>及100mm。当植筋与混凝土边缘之间有垂直于植筋方向的横向约束钢筋，且横向约束钢筋的配筋量不小于</w:t>
      </w:r>
      <w:r>
        <w:rPr>
          <w:rFonts w:ascii="Symbol" w:hAnsi="Symbol" w:cs="Times New Roman"/>
          <w:i/>
          <w:iCs/>
          <w:color w:val="auto"/>
          <w:sz w:val="24"/>
          <w:szCs w:val="21"/>
          <w:u w:val="none"/>
        </w:rPr>
        <w:t>f</w:t>
      </w:r>
      <w:r>
        <w:rPr>
          <w:rFonts w:ascii="宋体" w:hAnsi="宋体" w:cs="Times New Roman"/>
          <w:color w:val="auto"/>
          <w:sz w:val="24"/>
          <w:szCs w:val="21"/>
          <w:u w:val="none"/>
        </w:rPr>
        <w:t>8@100或其等量截面积，植筋锚固深度范围内横向约束钢筋不少于2根时，植筋与边缘的最小距离可适当减少，但不应小于2.5</w:t>
      </w:r>
      <w:r>
        <w:rPr>
          <w:rFonts w:ascii="宋体" w:hAnsi="宋体" w:cs="Times New Roman"/>
          <w:i/>
          <w:iCs/>
          <w:color w:val="auto"/>
          <w:sz w:val="24"/>
          <w:szCs w:val="21"/>
          <w:u w:val="none"/>
        </w:rPr>
        <w:t>d</w:t>
      </w:r>
      <w:r>
        <w:rPr>
          <w:rFonts w:ascii="宋体" w:hAnsi="宋体" w:cs="Times New Roman"/>
          <w:color w:val="auto"/>
          <w:sz w:val="24"/>
          <w:szCs w:val="21"/>
          <w:u w:val="none"/>
        </w:rPr>
        <w:t>及50mm</w:t>
      </w:r>
      <w:r>
        <w:rPr>
          <w:rFonts w:ascii="宋体" w:hAnsi="宋体" w:cs="Times New Roman"/>
          <w:color w:val="auto"/>
          <w:sz w:val="24"/>
          <w:szCs w:val="21"/>
        </w:rPr>
        <w:fldChar w:fldCharType="end"/>
      </w:r>
      <w:r>
        <w:rPr>
          <w:rFonts w:hint="eastAsia" w:ascii="宋体" w:hAnsi="宋体"/>
          <w:color w:val="auto"/>
          <w:sz w:val="24"/>
        </w:rPr>
        <w:t>。</w:t>
      </w:r>
    </w:p>
    <w:p>
      <w:pPr>
        <w:spacing w:after="0" w:line="360" w:lineRule="auto"/>
        <w:rPr>
          <w:rFonts w:ascii="宋体" w:hAnsi="宋体"/>
          <w:b w:val="0"/>
          <w:bCs w:val="0"/>
          <w:color w:val="auto"/>
          <w:sz w:val="24"/>
        </w:rPr>
      </w:pPr>
      <w:r>
        <w:rPr>
          <w:rFonts w:ascii="宋体" w:hAnsi="宋体"/>
          <w:b/>
          <w:bCs/>
          <w:color w:val="auto"/>
          <w:sz w:val="24"/>
        </w:rPr>
        <w:t>5.0.</w:t>
      </w:r>
      <w:r>
        <w:rPr>
          <w:rFonts w:hint="eastAsia" w:ascii="宋体" w:hAnsi="宋体"/>
          <w:b/>
          <w:bCs/>
          <w:color w:val="auto"/>
          <w:sz w:val="24"/>
          <w:lang w:val="en-US" w:eastAsia="zh-CN"/>
        </w:rPr>
        <w:t xml:space="preserve">4 </w:t>
      </w:r>
      <w:r>
        <w:rPr>
          <w:rFonts w:hint="eastAsia" w:ascii="宋体" w:hAnsi="宋体"/>
          <w:b w:val="0"/>
          <w:bCs w:val="0"/>
          <w:color w:val="auto"/>
          <w:sz w:val="24"/>
        </w:rPr>
        <w:t>当植筋系统要承担地震作用时，植筋到基材混凝土结构构件边缘的距离应满足</w:t>
      </w:r>
      <w:r>
        <w:rPr>
          <w:rFonts w:hint="eastAsia" w:ascii="宋体" w:hAnsi="宋体"/>
          <w:b w:val="0"/>
          <w:bCs w:val="0"/>
          <w:color w:val="auto"/>
          <w:sz w:val="24"/>
          <w:lang w:val="en-US" w:eastAsia="zh-CN"/>
        </w:rPr>
        <w:t>下列</w:t>
      </w:r>
      <w:r>
        <w:rPr>
          <w:rFonts w:hint="eastAsia" w:ascii="宋体" w:hAnsi="宋体"/>
          <w:b w:val="0"/>
          <w:bCs w:val="0"/>
          <w:color w:val="auto"/>
          <w:sz w:val="24"/>
        </w:rPr>
        <w:t>要求：</w:t>
      </w:r>
    </w:p>
    <w:p>
      <w:pPr>
        <w:spacing w:after="0" w:line="360" w:lineRule="auto"/>
        <w:ind w:firstLine="420" w:firstLineChars="0"/>
        <w:rPr>
          <w:rFonts w:hint="eastAsia" w:ascii="宋体" w:hAnsi="宋体"/>
          <w:b w:val="0"/>
          <w:bCs w:val="0"/>
          <w:color w:val="auto"/>
          <w:sz w:val="24"/>
        </w:rPr>
      </w:pPr>
      <w:r>
        <w:rPr>
          <w:rFonts w:hint="eastAsia" w:ascii="宋体" w:hAnsi="宋体"/>
          <w:b w:val="0"/>
          <w:bCs w:val="0"/>
          <w:color w:val="auto"/>
          <w:sz w:val="24"/>
          <w:lang w:val="en-US" w:eastAsia="zh-CN"/>
        </w:rPr>
        <w:t xml:space="preserve">1 </w:t>
      </w:r>
      <w:r>
        <w:rPr>
          <w:rFonts w:hint="eastAsia" w:ascii="宋体" w:hAnsi="宋体"/>
          <w:b w:val="0"/>
          <w:bCs w:val="0"/>
          <w:color w:val="auto"/>
          <w:sz w:val="24"/>
        </w:rPr>
        <w:t>角部植筋</w:t>
      </w:r>
      <w:r>
        <w:rPr>
          <w:rFonts w:hint="eastAsia" w:ascii="宋体" w:hAnsi="宋体"/>
          <w:b w:val="0"/>
          <w:bCs w:val="0"/>
          <w:color w:val="auto"/>
          <w:sz w:val="24"/>
          <w:lang w:eastAsia="zh-CN"/>
        </w:rPr>
        <w:t>，</w:t>
      </w:r>
      <w:r>
        <w:rPr>
          <w:rFonts w:hint="eastAsia" w:ascii="宋体" w:hAnsi="宋体"/>
          <w:b w:val="0"/>
          <w:bCs w:val="0"/>
          <w:color w:val="auto"/>
          <w:sz w:val="24"/>
        </w:rPr>
        <w:t>距离两个相邻混凝土边缘的距离</w:t>
      </w:r>
      <w:r>
        <w:rPr>
          <w:rFonts w:hint="eastAsia" w:ascii="宋体" w:hAnsi="宋体"/>
          <w:b w:val="0"/>
          <w:bCs w:val="0"/>
          <w:color w:val="auto"/>
          <w:sz w:val="24"/>
          <w:lang w:val="en-US" w:eastAsia="zh-CN"/>
        </w:rPr>
        <w:t>不应小于</w:t>
      </w:r>
      <w:r>
        <w:rPr>
          <w:rFonts w:hint="eastAsia" w:ascii="宋体" w:hAnsi="宋体"/>
          <w:b w:val="0"/>
          <w:bCs w:val="0"/>
          <w:color w:val="auto"/>
          <w:sz w:val="24"/>
        </w:rPr>
        <w:t>6</w:t>
      </w:r>
      <w:r>
        <w:rPr>
          <w:rFonts w:hint="eastAsia" w:ascii="宋体" w:hAnsi="宋体"/>
          <w:b w:val="0"/>
          <w:bCs w:val="0"/>
          <w:i/>
          <w:iCs/>
          <w:color w:val="auto"/>
          <w:sz w:val="24"/>
        </w:rPr>
        <w:t>d</w:t>
      </w:r>
      <w:r>
        <w:rPr>
          <w:rFonts w:hint="eastAsia" w:ascii="宋体" w:hAnsi="宋体"/>
          <w:b w:val="0"/>
          <w:bCs w:val="0"/>
          <w:color w:val="auto"/>
          <w:sz w:val="24"/>
        </w:rPr>
        <w:t>；</w:t>
      </w:r>
    </w:p>
    <w:p>
      <w:pPr>
        <w:spacing w:after="0" w:line="360" w:lineRule="auto"/>
        <w:ind w:firstLine="420" w:firstLineChars="0"/>
        <w:rPr>
          <w:rFonts w:hint="eastAsia" w:ascii="宋体" w:hAnsi="宋体" w:eastAsia="宋体"/>
          <w:b w:val="0"/>
          <w:bCs w:val="0"/>
          <w:color w:val="auto"/>
          <w:sz w:val="24"/>
          <w:lang w:eastAsia="zh-CN"/>
        </w:rPr>
      </w:pPr>
      <w:r>
        <w:rPr>
          <w:rFonts w:hint="eastAsia" w:ascii="宋体" w:hAnsi="宋体"/>
          <w:b w:val="0"/>
          <w:bCs w:val="0"/>
          <w:color w:val="auto"/>
          <w:sz w:val="24"/>
          <w:lang w:val="en-US" w:eastAsia="zh-CN"/>
        </w:rPr>
        <w:t xml:space="preserve">2 </w:t>
      </w:r>
      <w:r>
        <w:rPr>
          <w:rFonts w:hint="eastAsia" w:ascii="宋体" w:hAnsi="宋体"/>
          <w:b w:val="0"/>
          <w:bCs w:val="0"/>
          <w:color w:val="auto"/>
          <w:sz w:val="24"/>
        </w:rPr>
        <w:t>非角部植筋</w:t>
      </w:r>
      <w:r>
        <w:rPr>
          <w:rFonts w:hint="eastAsia" w:ascii="宋体" w:hAnsi="宋体"/>
          <w:b w:val="0"/>
          <w:bCs w:val="0"/>
          <w:color w:val="auto"/>
          <w:sz w:val="24"/>
          <w:lang w:eastAsia="zh-CN"/>
        </w:rPr>
        <w:t>，</w:t>
      </w:r>
      <w:r>
        <w:rPr>
          <w:rFonts w:hint="eastAsia" w:ascii="宋体" w:hAnsi="宋体"/>
          <w:b w:val="0"/>
          <w:bCs w:val="0"/>
          <w:color w:val="auto"/>
          <w:sz w:val="24"/>
        </w:rPr>
        <w:t>距离最近混凝土边缘距离</w:t>
      </w:r>
      <w:r>
        <w:rPr>
          <w:rFonts w:hint="eastAsia" w:ascii="宋体" w:hAnsi="宋体"/>
          <w:b w:val="0"/>
          <w:bCs w:val="0"/>
          <w:color w:val="auto"/>
          <w:sz w:val="24"/>
          <w:lang w:val="en-US" w:eastAsia="zh-CN"/>
        </w:rPr>
        <w:t>不应小于</w:t>
      </w:r>
      <w:r>
        <w:rPr>
          <w:rFonts w:ascii="宋体" w:hAnsi="宋体"/>
          <w:b w:val="0"/>
          <w:bCs w:val="0"/>
          <w:color w:val="auto"/>
          <w:sz w:val="24"/>
        </w:rPr>
        <w:t>4</w:t>
      </w:r>
      <w:r>
        <w:rPr>
          <w:rFonts w:hint="eastAsia" w:ascii="宋体" w:hAnsi="宋体"/>
          <w:b w:val="0"/>
          <w:bCs w:val="0"/>
          <w:i/>
          <w:iCs/>
          <w:color w:val="auto"/>
          <w:sz w:val="24"/>
        </w:rPr>
        <w:t>d</w:t>
      </w:r>
      <w:r>
        <w:rPr>
          <w:rFonts w:hint="eastAsia" w:ascii="宋体" w:hAnsi="宋体"/>
          <w:b w:val="0"/>
          <w:bCs w:val="0"/>
          <w:color w:val="auto"/>
          <w:sz w:val="24"/>
          <w:lang w:eastAsia="zh-CN"/>
        </w:rPr>
        <w:t>，</w:t>
      </w:r>
      <w:r>
        <w:rPr>
          <w:rFonts w:hint="eastAsia" w:ascii="宋体" w:hAnsi="宋体"/>
          <w:b w:val="0"/>
          <w:bCs w:val="0"/>
          <w:color w:val="auto"/>
          <w:sz w:val="24"/>
        </w:rPr>
        <w:t>且距离其它混凝土边缘距离</w:t>
      </w:r>
      <w:r>
        <w:rPr>
          <w:rFonts w:hint="eastAsia" w:ascii="宋体" w:hAnsi="宋体"/>
          <w:b w:val="0"/>
          <w:bCs w:val="0"/>
          <w:color w:val="auto"/>
          <w:sz w:val="24"/>
          <w:lang w:val="en-US" w:eastAsia="zh-CN"/>
        </w:rPr>
        <w:t>不应小于</w:t>
      </w:r>
      <w:r>
        <w:rPr>
          <w:rFonts w:ascii="宋体" w:hAnsi="宋体"/>
          <w:b w:val="0"/>
          <w:bCs w:val="0"/>
          <w:color w:val="auto"/>
          <w:sz w:val="24"/>
        </w:rPr>
        <w:t>8</w:t>
      </w:r>
      <w:r>
        <w:rPr>
          <w:rFonts w:hint="eastAsia" w:ascii="宋体" w:hAnsi="宋体"/>
          <w:b w:val="0"/>
          <w:bCs w:val="0"/>
          <w:i/>
          <w:iCs/>
          <w:color w:val="auto"/>
          <w:sz w:val="24"/>
        </w:rPr>
        <w:t>d</w:t>
      </w:r>
      <w:r>
        <w:rPr>
          <w:rFonts w:hint="eastAsia" w:ascii="宋体" w:hAnsi="宋体"/>
          <w:b w:val="0"/>
          <w:bCs w:val="0"/>
          <w:color w:val="auto"/>
          <w:sz w:val="24"/>
          <w:lang w:eastAsia="zh-CN"/>
        </w:rPr>
        <w:t>。</w:t>
      </w:r>
    </w:p>
    <w:p>
      <w:pPr>
        <w:spacing w:after="0" w:line="360" w:lineRule="auto"/>
        <w:rPr>
          <w:rFonts w:ascii="宋体" w:hAnsi="宋体"/>
          <w:i/>
          <w:iCs/>
          <w:color w:val="0070C0"/>
          <w:sz w:val="24"/>
        </w:rPr>
      </w:pPr>
      <w:r>
        <w:rPr>
          <w:rFonts w:hint="eastAsia" w:ascii="宋体" w:hAnsi="宋体"/>
          <w:i/>
          <w:iCs/>
          <w:color w:val="0070C0"/>
          <w:sz w:val="24"/>
        </w:rPr>
        <w:t>参考欧洲技术文件EAD</w:t>
      </w:r>
      <w:r>
        <w:rPr>
          <w:rFonts w:ascii="宋体" w:hAnsi="宋体"/>
          <w:i/>
          <w:iCs/>
          <w:color w:val="0070C0"/>
          <w:sz w:val="24"/>
        </w:rPr>
        <w:t>330087</w:t>
      </w:r>
      <w:r>
        <w:rPr>
          <w:rFonts w:hint="eastAsia" w:ascii="宋体" w:hAnsi="宋体"/>
          <w:i/>
          <w:iCs/>
          <w:color w:val="0070C0"/>
          <w:sz w:val="24"/>
        </w:rPr>
        <w:t>的有关规定。对于不同使用要求的植筋的构造措施进行研究，提出植筋锚固连接的抗震构造措施。</w:t>
      </w:r>
    </w:p>
    <w:p>
      <w:pPr>
        <w:spacing w:line="360" w:lineRule="auto"/>
        <w:rPr>
          <w:rFonts w:ascii="宋体" w:hAnsi="宋体"/>
          <w:color w:val="auto"/>
          <w:sz w:val="24"/>
        </w:rPr>
      </w:pPr>
      <w:r>
        <w:rPr>
          <w:rFonts w:ascii="宋体" w:hAnsi="宋体"/>
          <w:b/>
          <w:bCs/>
          <w:color w:val="auto"/>
          <w:sz w:val="24"/>
        </w:rPr>
        <w:t>5.0.</w:t>
      </w:r>
      <w:r>
        <w:rPr>
          <w:rFonts w:hint="eastAsia" w:ascii="宋体" w:hAnsi="宋体"/>
          <w:b/>
          <w:bCs/>
          <w:color w:val="auto"/>
          <w:sz w:val="24"/>
          <w:lang w:val="en-US" w:eastAsia="zh-CN"/>
        </w:rPr>
        <w:t>5</w:t>
      </w:r>
      <w:r>
        <w:rPr>
          <w:rFonts w:ascii="宋体" w:hAnsi="宋体"/>
          <w:color w:val="auto"/>
          <w:sz w:val="24"/>
        </w:rPr>
        <w:t xml:space="preserve"> </w:t>
      </w:r>
      <w:r>
        <w:rPr>
          <w:rFonts w:hint="eastAsia" w:ascii="宋体" w:hAnsi="宋体"/>
          <w:color w:val="auto"/>
          <w:sz w:val="24"/>
        </w:rPr>
        <w:t>作为结构受力钢筋的植筋间距不应小于5</w:t>
      </w:r>
      <w:r>
        <w:rPr>
          <w:rFonts w:hint="eastAsia" w:ascii="宋体" w:hAnsi="宋体"/>
          <w:i/>
          <w:iCs/>
          <w:color w:val="auto"/>
          <w:sz w:val="24"/>
        </w:rPr>
        <w:t>d</w:t>
      </w:r>
      <w:r>
        <w:rPr>
          <w:rFonts w:hint="eastAsia" w:ascii="宋体" w:hAnsi="宋体"/>
          <w:color w:val="auto"/>
          <w:sz w:val="24"/>
        </w:rPr>
        <w:t>。</w:t>
      </w:r>
    </w:p>
    <w:p>
      <w:pPr>
        <w:spacing w:line="360" w:lineRule="auto"/>
        <w:rPr>
          <w:rFonts w:ascii="宋体" w:hAnsi="宋体"/>
          <w:sz w:val="24"/>
        </w:rPr>
      </w:pPr>
      <w:r>
        <w:rPr>
          <w:rFonts w:ascii="宋体" w:hAnsi="宋体"/>
          <w:b/>
          <w:bCs/>
          <w:color w:val="auto"/>
          <w:sz w:val="24"/>
        </w:rPr>
        <w:t>5.0.</w:t>
      </w:r>
      <w:r>
        <w:rPr>
          <w:rFonts w:hint="eastAsia" w:ascii="宋体" w:hAnsi="宋体"/>
          <w:b/>
          <w:bCs/>
          <w:color w:val="auto"/>
          <w:sz w:val="24"/>
          <w:lang w:val="en-US" w:eastAsia="zh-CN"/>
        </w:rPr>
        <w:t xml:space="preserve">6 </w:t>
      </w:r>
      <w:r>
        <w:rPr>
          <w:rFonts w:hint="eastAsia" w:ascii="宋体" w:hAnsi="宋体"/>
          <w:color w:val="auto"/>
          <w:sz w:val="24"/>
        </w:rPr>
        <w:t>拉结钢筋的间距不宜小于</w:t>
      </w:r>
      <w:r>
        <w:rPr>
          <w:rFonts w:ascii="宋体" w:hAnsi="宋体"/>
          <w:color w:val="auto"/>
          <w:sz w:val="24"/>
        </w:rPr>
        <w:t>100</w:t>
      </w:r>
      <w:r>
        <w:rPr>
          <w:rFonts w:hint="eastAsia" w:ascii="宋体" w:hAnsi="宋体"/>
          <w:color w:val="auto"/>
          <w:sz w:val="24"/>
        </w:rPr>
        <w:t>mm且不宜</w:t>
      </w:r>
      <w:r>
        <w:rPr>
          <w:rFonts w:hint="eastAsia" w:ascii="宋体" w:hAnsi="宋体"/>
          <w:color w:val="auto"/>
          <w:sz w:val="24"/>
          <w:lang w:val="en-US" w:eastAsia="zh-CN"/>
        </w:rPr>
        <w:t>大于</w:t>
      </w:r>
      <w:r>
        <w:rPr>
          <w:rFonts w:ascii="宋体" w:hAnsi="宋体"/>
          <w:color w:val="auto"/>
          <w:sz w:val="24"/>
        </w:rPr>
        <w:t>400</w:t>
      </w:r>
      <w:r>
        <w:rPr>
          <w:rFonts w:hint="eastAsia" w:ascii="宋体" w:hAnsi="宋体"/>
          <w:color w:val="auto"/>
          <w:sz w:val="24"/>
        </w:rPr>
        <w:t>mm。</w:t>
      </w:r>
    </w:p>
    <w:p>
      <w:pPr>
        <w:widowControl/>
        <w:jc w:val="left"/>
        <w:rPr>
          <w:rFonts w:ascii="FangSong_GB2312" w:eastAsia="FangSong_GB2312"/>
          <w:sz w:val="24"/>
          <w:szCs w:val="24"/>
        </w:rPr>
      </w:pPr>
      <w:r>
        <w:rPr>
          <w:rFonts w:ascii="FangSong_GB2312" w:eastAsia="FangSong_GB2312"/>
          <w:sz w:val="24"/>
          <w:szCs w:val="24"/>
        </w:rPr>
        <w:br w:type="page"/>
      </w:r>
    </w:p>
    <w:p>
      <w:pPr>
        <w:pStyle w:val="4"/>
        <w:rPr>
          <w:rFonts w:ascii="宋体" w:hAnsi="宋体" w:eastAsia="宋体" w:cs="宋体"/>
        </w:rPr>
      </w:pPr>
      <w:bookmarkStart w:id="44" w:name="_Toc12769"/>
      <w:bookmarkStart w:id="45" w:name="_Toc145273816"/>
      <w:r>
        <w:rPr>
          <w:rFonts w:ascii="宋体" w:hAnsi="宋体" w:eastAsia="宋体" w:cs="宋体"/>
        </w:rPr>
        <w:t>6</w:t>
      </w:r>
      <w:r>
        <w:rPr>
          <w:rFonts w:hint="eastAsia" w:ascii="宋体" w:hAnsi="宋体" w:eastAsia="宋体" w:cs="宋体"/>
        </w:rPr>
        <w:t xml:space="preserve">  施工要求与质量验收</w:t>
      </w:r>
      <w:bookmarkEnd w:id="44"/>
      <w:bookmarkEnd w:id="45"/>
    </w:p>
    <w:p>
      <w:pPr>
        <w:pStyle w:val="5"/>
      </w:pPr>
      <w:bookmarkStart w:id="46" w:name="_Toc209"/>
      <w:bookmarkStart w:id="47" w:name="_Toc145273817"/>
      <w:r>
        <w:t>6</w:t>
      </w:r>
      <w:r>
        <w:rPr>
          <w:rFonts w:hint="eastAsia"/>
        </w:rPr>
        <w:t>.1 一般规定</w:t>
      </w:r>
      <w:bookmarkEnd w:id="46"/>
      <w:bookmarkEnd w:id="47"/>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.1.</w:t>
      </w:r>
      <w:r>
        <w:rPr>
          <w:rFonts w:hint="eastAsia" w:ascii="宋体" w:hAnsi="宋体"/>
          <w:b/>
          <w:bCs/>
          <w:color w:val="auto"/>
          <w:sz w:val="24"/>
          <w:szCs w:val="24"/>
          <w:lang w:val="en-US" w:eastAsia="zh-CN"/>
        </w:rPr>
        <w:t>1</w:t>
      </w:r>
      <w:r>
        <w:rPr>
          <w:rFonts w:hint="eastAsia" w:ascii="宋体" w:hAnsi="宋体"/>
          <w:color w:val="auto"/>
          <w:sz w:val="24"/>
          <w:szCs w:val="24"/>
        </w:rPr>
        <w:t xml:space="preserve"> 植筋产品进场时，应按合同核对植筋胶粘剂及钢筋的类别、规格和数量等。植筋用锚固胶粘剂应出具由产品生产商提供的产品合格证书、使用说明书、国家认可的检测机构的检验报告或认证报告。对于特殊使用环境要求的植筋用锚固胶粘剂，检测报告或认证报告中应能体现相应的专项检测结果。应保证胶粘剂保质期限能够覆盖植筋工程工期。</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6.1.</w:t>
      </w:r>
      <w:r>
        <w:rPr>
          <w:rFonts w:hint="eastAsia" w:ascii="宋体" w:hAnsi="宋体"/>
          <w:b/>
          <w:bCs/>
          <w:i/>
          <w:iCs/>
          <w:color w:val="0070C0"/>
          <w:sz w:val="24"/>
          <w:szCs w:val="24"/>
          <w:lang w:val="en-US" w:eastAsia="zh-CN"/>
        </w:rPr>
        <w:t>1</w:t>
      </w:r>
      <w:r>
        <w:rPr>
          <w:rFonts w:ascii="宋体" w:hAnsi="宋体"/>
          <w:i/>
          <w:iCs/>
          <w:color w:val="0070C0"/>
          <w:sz w:val="24"/>
          <w:szCs w:val="24"/>
        </w:rPr>
        <w:t xml:space="preserve"> </w:t>
      </w:r>
      <w:r>
        <w:rPr>
          <w:rFonts w:hint="eastAsia" w:ascii="宋体" w:hAnsi="宋体"/>
          <w:i/>
          <w:iCs/>
          <w:color w:val="0070C0"/>
          <w:sz w:val="24"/>
          <w:szCs w:val="24"/>
        </w:rPr>
        <w:t>目前市场上有不同品牌的植筋胶粘剂产品可供选择，生产厂家的产品质量参差不齐，但施工所用的产品质量应符合相应产品质量检验标准，现行的和植筋相关的规范主要有《混凝土结构加固设计规范》GB 50367、《建筑结构加固工程施工质量验收规范》GB 50550、《混凝土结构工程用锚固胶》GB/T 3</w:t>
      </w:r>
      <w:r>
        <w:rPr>
          <w:rFonts w:ascii="宋体" w:hAnsi="宋体"/>
          <w:i/>
          <w:iCs/>
          <w:color w:val="0070C0"/>
          <w:sz w:val="24"/>
          <w:szCs w:val="24"/>
        </w:rPr>
        <w:t>7127</w:t>
      </w:r>
      <w:r>
        <w:rPr>
          <w:rFonts w:hint="eastAsia" w:ascii="宋体" w:hAnsi="宋体"/>
          <w:i/>
          <w:iCs/>
          <w:color w:val="0070C0"/>
          <w:sz w:val="24"/>
          <w:szCs w:val="24"/>
        </w:rPr>
        <w:t>等。植筋钢筋的质量亦应符合相应国家现行规范的要求。</w:t>
      </w:r>
    </w:p>
    <w:p>
      <w:pPr>
        <w:spacing w:after="0" w:line="360" w:lineRule="auto"/>
        <w:rPr>
          <w:rFonts w:ascii="宋体" w:hAnsi="宋体"/>
          <w:i/>
          <w:iCs/>
          <w:color w:val="0070C0"/>
          <w:sz w:val="24"/>
          <w:szCs w:val="24"/>
        </w:rPr>
      </w:pPr>
      <w:r>
        <w:rPr>
          <w:rFonts w:hint="eastAsia" w:ascii="宋体" w:hAnsi="宋体"/>
          <w:i/>
          <w:iCs/>
          <w:color w:val="0070C0"/>
          <w:sz w:val="24"/>
          <w:szCs w:val="24"/>
        </w:rPr>
        <w:t>施工前应检查锚固胶粘剂是否在保质期内，对于工期较长的工程，可以考虑胶粘剂材料分阶段进场，但每次都应按进场要求进行检验。</w:t>
      </w:r>
    </w:p>
    <w:p>
      <w:pPr>
        <w:spacing w:after="0" w:line="360" w:lineRule="auto"/>
        <w:rPr>
          <w:rFonts w:ascii="宋体" w:hAnsi="宋体"/>
          <w:color w:val="auto"/>
          <w:sz w:val="24"/>
          <w:szCs w:val="24"/>
        </w:rPr>
      </w:pPr>
      <w:r>
        <w:rPr>
          <w:rFonts w:ascii="宋体" w:hAnsi="宋体"/>
          <w:b/>
          <w:bCs/>
          <w:color w:val="auto"/>
          <w:sz w:val="24"/>
          <w:szCs w:val="24"/>
        </w:rPr>
        <w:t>6.1.</w:t>
      </w:r>
      <w:r>
        <w:rPr>
          <w:rFonts w:hint="eastAsia" w:ascii="宋体" w:hAnsi="宋体"/>
          <w:b/>
          <w:bCs/>
          <w:color w:val="auto"/>
          <w:sz w:val="24"/>
          <w:szCs w:val="24"/>
          <w:lang w:val="en-US" w:eastAsia="zh-CN"/>
        </w:rPr>
        <w:t>2</w:t>
      </w:r>
      <w:r>
        <w:rPr>
          <w:rFonts w:ascii="宋体" w:hAnsi="宋体"/>
          <w:color w:val="auto"/>
          <w:sz w:val="24"/>
          <w:szCs w:val="24"/>
        </w:rPr>
        <w:t xml:space="preserve"> </w:t>
      </w:r>
      <w:r>
        <w:rPr>
          <w:rFonts w:hint="eastAsia" w:ascii="宋体" w:hAnsi="宋体"/>
          <w:color w:val="auto"/>
          <w:sz w:val="24"/>
          <w:szCs w:val="24"/>
        </w:rPr>
        <w:t>植筋用锚固胶粘剂进场后，应按</w:t>
      </w:r>
      <w:r>
        <w:rPr>
          <w:rFonts w:hint="eastAsia" w:ascii="宋体" w:hAnsi="宋体"/>
          <w:color w:val="auto"/>
          <w:sz w:val="24"/>
          <w:szCs w:val="24"/>
          <w:lang w:val="en-US" w:eastAsia="zh-CN"/>
        </w:rPr>
        <w:t>下列</w:t>
      </w:r>
      <w:r>
        <w:rPr>
          <w:rFonts w:hint="eastAsia" w:ascii="宋体" w:hAnsi="宋体"/>
          <w:color w:val="auto"/>
          <w:sz w:val="24"/>
          <w:szCs w:val="24"/>
        </w:rPr>
        <w:t>规定进行进场检验：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1</w:t>
      </w:r>
      <w:r>
        <w:rPr>
          <w:rFonts w:ascii="宋体" w:hAnsi="宋体"/>
          <w:color w:val="auto"/>
          <w:sz w:val="24"/>
          <w:szCs w:val="24"/>
        </w:rPr>
        <w:t xml:space="preserve"> </w:t>
      </w:r>
      <w:r>
        <w:rPr>
          <w:rFonts w:hint="eastAsia" w:ascii="宋体" w:hAnsi="宋体"/>
          <w:color w:val="auto"/>
          <w:sz w:val="24"/>
          <w:szCs w:val="24"/>
        </w:rPr>
        <w:t>外观检查 胶粘剂外包装</w:t>
      </w:r>
      <w:r>
        <w:rPr>
          <w:rFonts w:hint="eastAsia" w:ascii="宋体" w:hAnsi="宋体"/>
          <w:color w:val="auto"/>
          <w:sz w:val="24"/>
          <w:szCs w:val="24"/>
          <w:lang w:val="en-US" w:eastAsia="zh-CN"/>
        </w:rPr>
        <w:t>应</w:t>
      </w:r>
      <w:r>
        <w:rPr>
          <w:rFonts w:hint="eastAsia" w:ascii="宋体" w:hAnsi="宋体"/>
          <w:color w:val="auto"/>
          <w:sz w:val="24"/>
          <w:szCs w:val="24"/>
        </w:rPr>
        <w:t>无破损、泄露</w:t>
      </w:r>
      <w:r>
        <w:rPr>
          <w:rFonts w:hint="eastAsia" w:ascii="宋体" w:hAnsi="宋体"/>
          <w:color w:val="auto"/>
          <w:sz w:val="24"/>
          <w:szCs w:val="24"/>
          <w:lang w:eastAsia="zh-CN"/>
        </w:rPr>
        <w:t>，</w:t>
      </w:r>
      <w:r>
        <w:rPr>
          <w:rFonts w:hint="eastAsia" w:ascii="宋体" w:hAnsi="宋体"/>
          <w:color w:val="auto"/>
          <w:sz w:val="24"/>
          <w:szCs w:val="24"/>
        </w:rPr>
        <w:t>胶粘剂应无结块、分层或沉淀。胶粘剂应全数检查，合格者方可进入后续检验。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2</w:t>
      </w:r>
      <w:r>
        <w:rPr>
          <w:rFonts w:ascii="宋体" w:hAnsi="宋体"/>
          <w:color w:val="auto"/>
          <w:sz w:val="24"/>
          <w:szCs w:val="24"/>
        </w:rPr>
        <w:t xml:space="preserve"> </w:t>
      </w:r>
      <w:r>
        <w:rPr>
          <w:rFonts w:hint="eastAsia" w:ascii="宋体" w:hAnsi="宋体"/>
          <w:color w:val="auto"/>
          <w:sz w:val="24"/>
          <w:szCs w:val="24"/>
        </w:rPr>
        <w:t>材料力学性能试验 胶粘剂应进行C</w:t>
      </w:r>
      <w:r>
        <w:rPr>
          <w:rFonts w:ascii="宋体" w:hAnsi="宋体"/>
          <w:color w:val="auto"/>
          <w:sz w:val="24"/>
          <w:szCs w:val="24"/>
        </w:rPr>
        <w:t>30</w:t>
      </w:r>
      <w:r>
        <w:rPr>
          <w:rFonts w:hint="eastAsia" w:ascii="宋体" w:hAnsi="宋体"/>
          <w:color w:val="auto"/>
          <w:sz w:val="24"/>
          <w:szCs w:val="24"/>
        </w:rPr>
        <w:t>混凝土的约束拉拔条件下带肋钢筋与混凝土的粘结强度试验。试验时，每种钢筋直径的植筋应抽样一组，并按照现行国家标准《混凝土结构工程用锚固胶》GB/T</w:t>
      </w:r>
      <w:r>
        <w:rPr>
          <w:rFonts w:ascii="宋体" w:hAnsi="宋体"/>
          <w:color w:val="auto"/>
          <w:sz w:val="24"/>
          <w:szCs w:val="24"/>
        </w:rPr>
        <w:t>37127</w:t>
      </w:r>
      <w:r>
        <w:rPr>
          <w:rFonts w:hint="eastAsia" w:ascii="宋体" w:hAnsi="宋体"/>
          <w:color w:val="auto"/>
          <w:sz w:val="24"/>
          <w:szCs w:val="24"/>
        </w:rPr>
        <w:t>的有关要求进行试验。改性环氧树脂类胶粘剂的粘结强度平均值不应低于1</w:t>
      </w:r>
      <w:r>
        <w:rPr>
          <w:rFonts w:ascii="宋体" w:hAnsi="宋体"/>
          <w:color w:val="auto"/>
          <w:sz w:val="24"/>
          <w:szCs w:val="24"/>
        </w:rPr>
        <w:t>1</w:t>
      </w:r>
      <w:r>
        <w:rPr>
          <w:rFonts w:hint="eastAsia" w:ascii="宋体" w:hAnsi="宋体"/>
          <w:color w:val="auto"/>
          <w:sz w:val="24"/>
          <w:szCs w:val="24"/>
        </w:rPr>
        <w:t>MPa，改性乙烯基酯类胶粘剂的粘结强度平均值不应低于1</w:t>
      </w:r>
      <w:r>
        <w:rPr>
          <w:rFonts w:ascii="宋体" w:hAnsi="宋体"/>
          <w:color w:val="auto"/>
          <w:sz w:val="24"/>
          <w:szCs w:val="24"/>
        </w:rPr>
        <w:t>2</w:t>
      </w:r>
      <w:r>
        <w:rPr>
          <w:rFonts w:hint="eastAsia" w:ascii="宋体" w:hAnsi="宋体"/>
          <w:color w:val="auto"/>
          <w:sz w:val="24"/>
          <w:szCs w:val="24"/>
        </w:rPr>
        <w:t>MPa。</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6.1.</w:t>
      </w:r>
      <w:r>
        <w:rPr>
          <w:rFonts w:hint="eastAsia" w:ascii="宋体" w:hAnsi="宋体"/>
          <w:b/>
          <w:bCs/>
          <w:i/>
          <w:iCs/>
          <w:color w:val="0070C0"/>
          <w:sz w:val="24"/>
          <w:szCs w:val="24"/>
          <w:lang w:val="en-US" w:eastAsia="zh-CN"/>
        </w:rPr>
        <w:t>2</w:t>
      </w:r>
      <w:r>
        <w:rPr>
          <w:rFonts w:ascii="宋体" w:hAnsi="宋体"/>
          <w:i/>
          <w:iCs/>
          <w:color w:val="0070C0"/>
          <w:sz w:val="24"/>
          <w:szCs w:val="24"/>
        </w:rPr>
        <w:t xml:space="preserve"> </w:t>
      </w:r>
      <w:r>
        <w:rPr>
          <w:rFonts w:hint="eastAsia" w:ascii="宋体" w:hAnsi="宋体"/>
          <w:i/>
          <w:iCs/>
          <w:color w:val="0070C0"/>
          <w:sz w:val="24"/>
          <w:szCs w:val="24"/>
        </w:rPr>
        <w:t>对材料的进场验收作出了明确的规定。由于相关产品已经进行了试验验证或认证，在出厂前又进行了有关实测检验，因此在进场验收时，以简化进场验收手续，同时又能确保产品质量为原则确定产品抽样数量及试验项目。</w:t>
      </w:r>
    </w:p>
    <w:p>
      <w:pPr>
        <w:spacing w:after="0" w:line="360" w:lineRule="auto"/>
        <w:rPr>
          <w:rFonts w:ascii="宋体" w:hAnsi="宋体"/>
          <w:color w:val="auto"/>
          <w:sz w:val="24"/>
          <w:szCs w:val="24"/>
        </w:rPr>
      </w:pPr>
      <w:r>
        <w:rPr>
          <w:rFonts w:ascii="宋体" w:hAnsi="宋体"/>
          <w:b/>
          <w:bCs/>
          <w:color w:val="auto"/>
          <w:sz w:val="24"/>
          <w:szCs w:val="24"/>
        </w:rPr>
        <w:t>6.1.</w:t>
      </w:r>
      <w:r>
        <w:rPr>
          <w:rFonts w:hint="eastAsia" w:ascii="宋体" w:hAnsi="宋体"/>
          <w:b/>
          <w:bCs/>
          <w:color w:val="auto"/>
          <w:sz w:val="24"/>
          <w:szCs w:val="24"/>
          <w:lang w:val="en-US" w:eastAsia="zh-CN"/>
        </w:rPr>
        <w:t>3</w:t>
      </w:r>
      <w:r>
        <w:rPr>
          <w:rFonts w:ascii="宋体" w:hAnsi="宋体"/>
          <w:color w:val="auto"/>
          <w:sz w:val="24"/>
          <w:szCs w:val="24"/>
        </w:rPr>
        <w:t xml:space="preserve"> </w:t>
      </w:r>
      <w:r>
        <w:rPr>
          <w:rFonts w:hint="eastAsia" w:ascii="宋体" w:hAnsi="宋体"/>
          <w:color w:val="auto"/>
          <w:sz w:val="24"/>
          <w:szCs w:val="24"/>
        </w:rPr>
        <w:t>植筋系统的安装工艺及工具应符合产品说明书的要求，对于有特殊工具或工艺要求的植筋施工，操作人员应经过专门的技能培训和安全技术交底。</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6.1.</w:t>
      </w:r>
      <w:r>
        <w:rPr>
          <w:rFonts w:hint="eastAsia" w:ascii="宋体" w:hAnsi="宋体"/>
          <w:b/>
          <w:bCs/>
          <w:i/>
          <w:iCs/>
          <w:color w:val="0070C0"/>
          <w:sz w:val="24"/>
          <w:szCs w:val="24"/>
          <w:lang w:val="en-US" w:eastAsia="zh-CN"/>
        </w:rPr>
        <w:t>3</w:t>
      </w:r>
      <w:r>
        <w:rPr>
          <w:rFonts w:ascii="宋体" w:hAnsi="宋体"/>
          <w:i/>
          <w:iCs/>
          <w:color w:val="0070C0"/>
          <w:sz w:val="24"/>
          <w:szCs w:val="24"/>
        </w:rPr>
        <w:t xml:space="preserve"> </w:t>
      </w:r>
      <w:r>
        <w:rPr>
          <w:rFonts w:hint="eastAsia" w:ascii="宋体" w:hAnsi="宋体"/>
          <w:i/>
          <w:iCs/>
          <w:color w:val="0070C0"/>
          <w:sz w:val="24"/>
          <w:szCs w:val="24"/>
        </w:rPr>
        <w:t>不同厂家的植筋系统及产品对钻孔方式、注胶工艺、安装方法会有所不同，如水钻钻孔、真空吸尘钻孔、潮湿环境钻孔、顶面钻孔和注胶、超长钻孔和注胶等会有不同的要求，只有按照各自产品安装说明书，使用配套的专用工具才能正确的完成植筋系统的施工。本条规定是为了确保植筋系统的安装质量，达到锚固的要求。</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.1.</w:t>
      </w:r>
      <w:r>
        <w:rPr>
          <w:rFonts w:hint="eastAsia" w:ascii="宋体" w:hAnsi="宋体"/>
          <w:b/>
          <w:bCs/>
          <w:color w:val="auto"/>
          <w:sz w:val="24"/>
          <w:szCs w:val="24"/>
          <w:lang w:val="en-US" w:eastAsia="zh-CN"/>
        </w:rPr>
        <w:t>4</w:t>
      </w:r>
      <w:r>
        <w:rPr>
          <w:rFonts w:hint="eastAsia" w:ascii="宋体" w:hAnsi="宋体"/>
          <w:color w:val="auto"/>
          <w:sz w:val="24"/>
          <w:szCs w:val="24"/>
        </w:rPr>
        <w:t xml:space="preserve"> 植筋工程的施工环境应符合下列规定：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1 基材温度应符合胶粘剂使用说明书要求；当未标明温度要求时，应按不低于15℃进行控制；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2 基材孔内表层含水率应符合胶粘剂产品说明书的规定。当基材孔内表层含水率无法降低至胶粘剂使用说明书的要求时，应改用高潮湿面专用的胶粘剂；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3 严禁在大风、雨雪天气进行露天作业。</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6.1.</w:t>
      </w:r>
      <w:r>
        <w:rPr>
          <w:rFonts w:hint="eastAsia" w:ascii="宋体" w:hAnsi="宋体"/>
          <w:b/>
          <w:bCs/>
          <w:i/>
          <w:iCs/>
          <w:color w:val="0070C0"/>
          <w:sz w:val="24"/>
          <w:szCs w:val="24"/>
          <w:lang w:val="en-US" w:eastAsia="zh-CN"/>
        </w:rPr>
        <w:t>4</w:t>
      </w:r>
      <w:r>
        <w:rPr>
          <w:rFonts w:ascii="宋体" w:hAnsi="宋体"/>
          <w:i/>
          <w:iCs/>
          <w:color w:val="0070C0"/>
          <w:sz w:val="24"/>
          <w:szCs w:val="24"/>
        </w:rPr>
        <w:t xml:space="preserve"> </w:t>
      </w:r>
      <w:r>
        <w:rPr>
          <w:rFonts w:hint="eastAsia" w:ascii="宋体" w:hAnsi="宋体"/>
          <w:i/>
          <w:iCs/>
          <w:color w:val="0070C0"/>
          <w:sz w:val="24"/>
          <w:szCs w:val="24"/>
        </w:rPr>
        <w:t>规定了植筋系统施工对施工环境的要求。</w:t>
      </w:r>
    </w:p>
    <w:p>
      <w:pPr>
        <w:spacing w:after="0" w:line="360" w:lineRule="auto"/>
        <w:rPr>
          <w:rFonts w:ascii="宋体" w:hAnsi="宋体"/>
          <w:color w:val="auto"/>
          <w:sz w:val="24"/>
          <w:szCs w:val="24"/>
        </w:rPr>
      </w:pPr>
      <w:r>
        <w:rPr>
          <w:rFonts w:ascii="宋体" w:hAnsi="宋体"/>
          <w:b/>
          <w:bCs/>
          <w:color w:val="auto"/>
          <w:sz w:val="24"/>
          <w:szCs w:val="24"/>
        </w:rPr>
        <w:t>6.1.</w:t>
      </w:r>
      <w:r>
        <w:rPr>
          <w:rFonts w:hint="eastAsia" w:ascii="宋体" w:hAnsi="宋体"/>
          <w:b/>
          <w:bCs/>
          <w:color w:val="auto"/>
          <w:sz w:val="24"/>
          <w:szCs w:val="24"/>
          <w:lang w:val="en-US" w:eastAsia="zh-CN"/>
        </w:rPr>
        <w:t xml:space="preserve">5 </w:t>
      </w:r>
      <w:r>
        <w:rPr>
          <w:rFonts w:hint="eastAsia" w:ascii="宋体" w:hAnsi="宋体"/>
          <w:color w:val="auto"/>
          <w:sz w:val="24"/>
          <w:szCs w:val="24"/>
        </w:rPr>
        <w:t>施工单位应按产品说明书的要求对植筋材料的运输、储存与使用进行专门管理。</w:t>
      </w:r>
    </w:p>
    <w:p>
      <w:pPr>
        <w:spacing w:after="0" w:line="360" w:lineRule="auto"/>
        <w:rPr>
          <w:rFonts w:ascii="宋体" w:hAnsi="宋体"/>
          <w:color w:val="auto"/>
          <w:sz w:val="24"/>
          <w:szCs w:val="24"/>
        </w:rPr>
      </w:pPr>
      <w:r>
        <w:rPr>
          <w:rFonts w:ascii="宋体" w:hAnsi="宋体"/>
          <w:b/>
          <w:bCs/>
          <w:color w:val="auto"/>
          <w:sz w:val="24"/>
          <w:szCs w:val="24"/>
        </w:rPr>
        <w:t>6.1.</w:t>
      </w:r>
      <w:r>
        <w:rPr>
          <w:rFonts w:hint="eastAsia" w:ascii="宋体" w:hAnsi="宋体"/>
          <w:b/>
          <w:bCs/>
          <w:color w:val="auto"/>
          <w:sz w:val="24"/>
          <w:szCs w:val="24"/>
          <w:lang w:val="en-US" w:eastAsia="zh-CN"/>
        </w:rPr>
        <w:t>6</w:t>
      </w:r>
      <w:r>
        <w:rPr>
          <w:rFonts w:ascii="宋体" w:hAnsi="宋体"/>
          <w:color w:val="auto"/>
          <w:sz w:val="24"/>
          <w:szCs w:val="24"/>
        </w:rPr>
        <w:t xml:space="preserve"> </w:t>
      </w:r>
      <w:r>
        <w:rPr>
          <w:rFonts w:hint="eastAsia" w:ascii="宋体" w:hAnsi="宋体"/>
          <w:color w:val="auto"/>
          <w:sz w:val="24"/>
          <w:szCs w:val="24"/>
        </w:rPr>
        <w:t>施工人员应加强劳动保护，配备安全帽、工作服、胶皮</w:t>
      </w:r>
      <w:r>
        <w:rPr>
          <w:rFonts w:hint="eastAsia" w:ascii="宋体" w:hAnsi="宋体"/>
          <w:color w:val="auto"/>
          <w:sz w:val="24"/>
          <w:szCs w:val="24"/>
          <w:lang w:val="en-US" w:eastAsia="zh-CN"/>
        </w:rPr>
        <w:t>手</w:t>
      </w:r>
      <w:r>
        <w:rPr>
          <w:rFonts w:hint="eastAsia" w:ascii="宋体" w:hAnsi="宋体"/>
          <w:color w:val="auto"/>
          <w:sz w:val="24"/>
          <w:szCs w:val="24"/>
        </w:rPr>
        <w:t>套、护目镜、口罩等劳保用品。</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6.1.</w:t>
      </w:r>
      <w:r>
        <w:rPr>
          <w:rFonts w:hint="eastAsia" w:ascii="宋体" w:hAnsi="宋体"/>
          <w:b/>
          <w:bCs/>
          <w:i/>
          <w:iCs/>
          <w:color w:val="0070C0"/>
          <w:sz w:val="24"/>
          <w:szCs w:val="24"/>
          <w:lang w:val="en-US" w:eastAsia="zh-CN"/>
        </w:rPr>
        <w:t>6</w:t>
      </w:r>
      <w:r>
        <w:rPr>
          <w:rFonts w:hint="eastAsia" w:ascii="宋体" w:hAnsi="宋体"/>
          <w:i/>
          <w:iCs/>
          <w:color w:val="0070C0"/>
          <w:sz w:val="24"/>
          <w:szCs w:val="24"/>
        </w:rPr>
        <w:t>为保证后锚固施工人员的安全，对施工应配备的劳动保护用具作具体的说明。</w:t>
      </w:r>
    </w:p>
    <w:p>
      <w:pPr>
        <w:spacing w:after="0" w:line="360" w:lineRule="auto"/>
        <w:rPr>
          <w:rFonts w:ascii="宋体" w:hAnsi="宋体"/>
          <w:color w:val="auto"/>
          <w:sz w:val="24"/>
          <w:szCs w:val="24"/>
        </w:rPr>
      </w:pPr>
      <w:r>
        <w:rPr>
          <w:rFonts w:ascii="宋体" w:hAnsi="宋体"/>
          <w:b/>
          <w:bCs/>
          <w:color w:val="auto"/>
          <w:sz w:val="24"/>
          <w:szCs w:val="24"/>
        </w:rPr>
        <w:t>6.1.</w:t>
      </w:r>
      <w:r>
        <w:rPr>
          <w:rFonts w:hint="eastAsia" w:ascii="宋体" w:hAnsi="宋体"/>
          <w:b/>
          <w:bCs/>
          <w:color w:val="auto"/>
          <w:sz w:val="24"/>
          <w:szCs w:val="24"/>
          <w:lang w:val="en-US" w:eastAsia="zh-CN"/>
        </w:rPr>
        <w:t>7</w:t>
      </w:r>
      <w:r>
        <w:rPr>
          <w:rFonts w:ascii="宋体" w:hAnsi="宋体"/>
          <w:color w:val="auto"/>
          <w:sz w:val="24"/>
          <w:szCs w:val="24"/>
        </w:rPr>
        <w:t xml:space="preserve"> </w:t>
      </w:r>
      <w:r>
        <w:rPr>
          <w:rFonts w:hint="eastAsia" w:ascii="宋体" w:hAnsi="宋体"/>
          <w:color w:val="auto"/>
          <w:sz w:val="24"/>
          <w:szCs w:val="24"/>
        </w:rPr>
        <w:t>植筋工程应对下列项目按隐蔽工程的要求进行验收：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1  植筋钻孔的位置、孔径、长度和垂直度；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2  植筋用钢筋或螺杆的除锈处理效果；</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3  植筋钻孔的清孔质量；</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4  植筋孔壁完整性和干燥度；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hint="eastAsia" w:ascii="宋体" w:hAnsi="宋体"/>
          <w:color w:val="auto"/>
          <w:sz w:val="24"/>
          <w:szCs w:val="24"/>
        </w:rPr>
        <w:t>5  注胶质量及注胶量。</w:t>
      </w:r>
    </w:p>
    <w:p>
      <w:pPr>
        <w:pStyle w:val="5"/>
      </w:pPr>
      <w:bookmarkStart w:id="48" w:name="_Toc145273818"/>
      <w:bookmarkStart w:id="49" w:name="_Toc3123"/>
      <w:r>
        <w:t>6</w:t>
      </w:r>
      <w:r>
        <w:rPr>
          <w:rFonts w:hint="eastAsia"/>
        </w:rPr>
        <w:t>.2 施工要求</w:t>
      </w:r>
      <w:bookmarkEnd w:id="48"/>
      <w:bookmarkEnd w:id="49"/>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.2</w:t>
      </w:r>
      <w:r>
        <w:rPr>
          <w:rFonts w:ascii="宋体" w:hAnsi="宋体"/>
          <w:b/>
          <w:bCs/>
          <w:color w:val="auto"/>
          <w:sz w:val="24"/>
          <w:szCs w:val="24"/>
        </w:rPr>
        <w:t>.1</w:t>
      </w:r>
      <w:r>
        <w:rPr>
          <w:rFonts w:hint="eastAsia" w:ascii="宋体" w:hAnsi="宋体"/>
          <w:color w:val="auto"/>
          <w:sz w:val="24"/>
          <w:szCs w:val="24"/>
        </w:rPr>
        <w:t xml:space="preserve"> 植筋工程的施工，应按图</w:t>
      </w:r>
      <w:r>
        <w:rPr>
          <w:rFonts w:hint="eastAsia" w:ascii="宋体" w:hAnsi="宋体"/>
          <w:color w:val="auto"/>
          <w:sz w:val="24"/>
          <w:szCs w:val="24"/>
          <w:lang w:val="en-US" w:eastAsia="zh-CN"/>
        </w:rPr>
        <w:t>6.2</w:t>
      </w:r>
      <w:r>
        <w:rPr>
          <w:rFonts w:ascii="宋体" w:hAnsi="宋体"/>
          <w:color w:val="auto"/>
          <w:sz w:val="24"/>
          <w:szCs w:val="24"/>
        </w:rPr>
        <w:t>.1所示</w:t>
      </w:r>
      <w:r>
        <w:rPr>
          <w:rFonts w:hint="eastAsia" w:ascii="宋体" w:hAnsi="宋体"/>
          <w:color w:val="auto"/>
          <w:sz w:val="24"/>
          <w:szCs w:val="24"/>
        </w:rPr>
        <w:t>流程进行，</w:t>
      </w:r>
      <w:r>
        <w:rPr>
          <w:rFonts w:hint="eastAsia" w:ascii="宋体" w:hAnsi="宋体"/>
          <w:color w:val="auto"/>
          <w:sz w:val="24"/>
          <w:szCs w:val="24"/>
          <w:lang w:val="en-US" w:eastAsia="zh-CN"/>
        </w:rPr>
        <w:t>应</w:t>
      </w:r>
      <w:r>
        <w:rPr>
          <w:rFonts w:hint="eastAsia" w:ascii="宋体" w:hAnsi="宋体"/>
          <w:color w:val="auto"/>
          <w:sz w:val="24"/>
          <w:szCs w:val="24"/>
        </w:rPr>
        <w:t>包括下列主要步骤：</w:t>
      </w:r>
    </w:p>
    <w:p>
      <w:pPr>
        <w:spacing w:after="0" w:line="360" w:lineRule="auto"/>
        <w:ind w:firstLine="420"/>
        <w:rPr>
          <w:rFonts w:ascii="宋体" w:hAnsi="宋体"/>
          <w:color w:val="auto"/>
          <w:sz w:val="24"/>
          <w:szCs w:val="24"/>
        </w:rPr>
      </w:pPr>
      <w:r>
        <w:rPr>
          <w:rFonts w:hint="eastAsia" w:ascii="宋体" w:hAnsi="宋体"/>
          <w:color w:val="auto"/>
          <w:sz w:val="24"/>
          <w:szCs w:val="24"/>
        </w:rPr>
        <w:t>1 清理、修整原结构、构件以及新旧混凝土</w:t>
      </w:r>
      <w:r>
        <w:rPr>
          <w:rFonts w:ascii="宋体" w:hAnsi="宋体"/>
          <w:color w:val="auto"/>
          <w:sz w:val="24"/>
          <w:szCs w:val="24"/>
        </w:rPr>
        <w:t>接触面</w:t>
      </w:r>
      <w:r>
        <w:rPr>
          <w:rFonts w:hint="eastAsia" w:ascii="宋体" w:hAnsi="宋体"/>
          <w:color w:val="auto"/>
          <w:sz w:val="24"/>
          <w:szCs w:val="24"/>
        </w:rPr>
        <w:t>的凿毛；</w:t>
      </w:r>
    </w:p>
    <w:p>
      <w:pPr>
        <w:spacing w:after="0" w:line="360" w:lineRule="auto"/>
        <w:ind w:firstLine="420"/>
        <w:rPr>
          <w:rFonts w:ascii="宋体" w:hAnsi="宋体"/>
          <w:color w:val="auto"/>
          <w:sz w:val="24"/>
          <w:szCs w:val="24"/>
        </w:rPr>
      </w:pPr>
      <w:r>
        <w:rPr>
          <w:rFonts w:hint="eastAsia" w:ascii="宋体" w:hAnsi="宋体"/>
          <w:color w:val="auto"/>
          <w:sz w:val="24"/>
          <w:szCs w:val="24"/>
        </w:rPr>
        <w:t xml:space="preserve">2 </w:t>
      </w:r>
      <w:r>
        <w:rPr>
          <w:rFonts w:ascii="宋体" w:hAnsi="宋体"/>
          <w:color w:val="auto"/>
          <w:sz w:val="24"/>
          <w:szCs w:val="24"/>
        </w:rPr>
        <w:t>测量</w:t>
      </w:r>
      <w:r>
        <w:rPr>
          <w:rFonts w:hint="eastAsia" w:ascii="宋体" w:hAnsi="宋体"/>
          <w:color w:val="auto"/>
          <w:sz w:val="24"/>
          <w:szCs w:val="24"/>
        </w:rPr>
        <w:t>既有混凝土内钢筋位置、标定植筋孔位及制孔；</w:t>
      </w:r>
    </w:p>
    <w:p>
      <w:pPr>
        <w:spacing w:after="0" w:line="360" w:lineRule="auto"/>
        <w:ind w:firstLine="420"/>
        <w:rPr>
          <w:rFonts w:ascii="宋体" w:hAnsi="宋体"/>
          <w:color w:val="auto"/>
          <w:sz w:val="24"/>
          <w:szCs w:val="24"/>
        </w:rPr>
      </w:pPr>
      <w:r>
        <w:rPr>
          <w:rFonts w:hint="eastAsia" w:ascii="宋体" w:hAnsi="宋体"/>
          <w:color w:val="auto"/>
          <w:sz w:val="24"/>
          <w:szCs w:val="24"/>
        </w:rPr>
        <w:t>3 植筋胶粘剂的制备；</w:t>
      </w:r>
    </w:p>
    <w:p>
      <w:pPr>
        <w:spacing w:after="0" w:line="360" w:lineRule="auto"/>
        <w:ind w:firstLine="420"/>
        <w:rPr>
          <w:rFonts w:ascii="宋体" w:hAnsi="宋体"/>
          <w:color w:val="auto"/>
          <w:sz w:val="24"/>
          <w:szCs w:val="24"/>
        </w:rPr>
      </w:pPr>
      <w:r>
        <w:rPr>
          <w:rFonts w:hint="eastAsia" w:ascii="宋体" w:hAnsi="宋体"/>
          <w:color w:val="auto"/>
          <w:sz w:val="24"/>
          <w:szCs w:val="24"/>
        </w:rPr>
        <w:t>4 植筋安装及固化养护；</w:t>
      </w:r>
    </w:p>
    <w:p>
      <w:pPr>
        <w:spacing w:after="0" w:line="360" w:lineRule="auto"/>
        <w:ind w:firstLine="420"/>
        <w:rPr>
          <w:rFonts w:ascii="宋体" w:hAnsi="宋体"/>
          <w:color w:val="auto"/>
          <w:sz w:val="24"/>
          <w:szCs w:val="24"/>
        </w:rPr>
      </w:pPr>
      <w:r>
        <w:rPr>
          <w:rFonts w:hint="eastAsia" w:ascii="宋体" w:hAnsi="宋体"/>
          <w:color w:val="auto"/>
          <w:sz w:val="24"/>
          <w:szCs w:val="24"/>
        </w:rPr>
        <w:t>5 施工质量检查。</w:t>
      </w:r>
    </w:p>
    <w:p>
      <w:pPr>
        <w:spacing w:after="0" w:line="360" w:lineRule="auto"/>
        <w:rPr>
          <w:rFonts w:ascii="宋体" w:hAnsi="宋体"/>
          <w:i/>
          <w:iCs/>
          <w:color w:val="0070C0"/>
          <w:sz w:val="24"/>
          <w:szCs w:val="24"/>
        </w:rPr>
      </w:pPr>
      <w:r>
        <mc:AlternateContent>
          <mc:Choice Requires="wps">
            <w:drawing>
              <wp:anchor distT="0" distB="0" distL="114300" distR="114300" simplePos="0" relativeHeight="251668480" behindDoc="0" locked="0" layoutInCell="1" allowOverlap="1">
                <wp:simplePos x="0" y="0"/>
                <wp:positionH relativeFrom="column">
                  <wp:posOffset>2749550</wp:posOffset>
                </wp:positionH>
                <wp:positionV relativeFrom="paragraph">
                  <wp:posOffset>250190</wp:posOffset>
                </wp:positionV>
                <wp:extent cx="819150" cy="647700"/>
                <wp:effectExtent l="0" t="0" r="76200" b="57150"/>
                <wp:wrapNone/>
                <wp:docPr id="9" name="Connector: Elbow 9"/>
                <wp:cNvGraphicFramePr/>
                <a:graphic xmlns:a="http://schemas.openxmlformats.org/drawingml/2006/main">
                  <a:graphicData uri="http://schemas.microsoft.com/office/word/2010/wordprocessingShape">
                    <wps:wsp>
                      <wps:cNvCnPr/>
                      <wps:spPr>
                        <a:xfrm>
                          <a:off x="0" y="0"/>
                          <a:ext cx="819150" cy="647700"/>
                        </a:xfrm>
                        <a:prstGeom prst="bentConnector3">
                          <a:avLst>
                            <a:gd name="adj1" fmla="val 99612"/>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or: Elbow 9" o:spid="_x0000_s1026" o:spt="34" type="#_x0000_t34" style="position:absolute;left:0pt;margin-left:216.5pt;margin-top:19.7pt;height:51pt;width:64.5pt;z-index:251668480;mso-width-relative:page;mso-height-relative:page;" filled="f" stroked="t" coordsize="21600,21600" o:gfxdata="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Yz17bAAAACgEAAA8AAAAAAAAAAQAgAAAAIgAAAGRy&#10;cy9kb3ducmV2LnhtbFBLAQIUABQAAAAIAIdO4kBioK1NAgIAAAkEAAAOAAAAAAAAAAEAIAAAACoB&#10;AABkcnMvZTJvRG9jLnhtbFBLBQYAAAAABgAGAFkBAACeBQAAAAA=&#10;" adj="21516">
                <v:fill on="f" focussize="0,0"/>
                <v:stroke color="#000000 [3200]" miterlimit="8" joinstyle="miter" endarrow="block"/>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2832100</wp:posOffset>
                </wp:positionH>
                <wp:positionV relativeFrom="paragraph">
                  <wp:posOffset>46990</wp:posOffset>
                </wp:positionV>
                <wp:extent cx="1905000" cy="577850"/>
                <wp:effectExtent l="0" t="0" r="0" b="0"/>
                <wp:wrapNone/>
                <wp:docPr id="2" name="Rectangle 2"/>
                <wp:cNvGraphicFramePr/>
                <a:graphic xmlns:a="http://schemas.openxmlformats.org/drawingml/2006/main">
                  <a:graphicData uri="http://schemas.microsoft.com/office/word/2010/wordprocessingShape">
                    <wps:wsp>
                      <wps:cNvSpPr/>
                      <wps:spPr>
                        <a:xfrm>
                          <a:off x="0" y="0"/>
                          <a:ext cx="1905000" cy="577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223pt;margin-top:3.7pt;height:45.5pt;width:150pt;z-index:251667456;v-text-anchor:middle;mso-width-relative:page;mso-height-relative:page;" fillcolor="#FFFFFF [3212]" filled="t" stroked="f" coordsize="21600,21600" o:gfxdata="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nbgzXAAAACAEAAA8AAAAAAAAAAQAgAAAAIgAAAGRycy9kb3ducmV2LnhtbFBLAQIUABQAAAAI&#10;AIdO4kBTqz8ZYAIAAM4EAAAOAAAAAAAAAAEAIAAAACYBAABkcnMvZTJvRG9jLnhtbFBLBQYAAAAA&#10;BgAGAFkBAAD4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698500</wp:posOffset>
                </wp:positionH>
                <wp:positionV relativeFrom="paragraph">
                  <wp:posOffset>609600</wp:posOffset>
                </wp:positionV>
                <wp:extent cx="273050" cy="1117600"/>
                <wp:effectExtent l="4445" t="4445" r="8255" b="20955"/>
                <wp:wrapNone/>
                <wp:docPr id="16" name="Text Box 30"/>
                <wp:cNvGraphicFramePr/>
                <a:graphic xmlns:a="http://schemas.openxmlformats.org/drawingml/2006/main">
                  <a:graphicData uri="http://schemas.microsoft.com/office/word/2010/wordprocessingShape">
                    <wps:wsp>
                      <wps:cNvSpPr txBox="1"/>
                      <wps:spPr>
                        <a:xfrm>
                          <a:off x="0" y="0"/>
                          <a:ext cx="273050" cy="1117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color w:val="auto"/>
                              </w:rPr>
                            </w:pPr>
                            <w:r>
                              <w:rPr>
                                <w:color w:val="auto"/>
                              </w:rPr>
                              <w:t>原</w:t>
                            </w:r>
                            <w:r>
                              <w:rPr>
                                <w:rFonts w:hint="eastAsia"/>
                                <w:color w:val="auto"/>
                              </w:rPr>
                              <w:t>结构修整和表面凿毛</w:t>
                            </w:r>
                          </w:p>
                        </w:txbxContent>
                      </wps:txbx>
                      <wps:bodyPr wrap="square" lIns="0" tIns="45720" rIns="0" bIns="45720" anchor="t" anchorCtr="0" upright="1"/>
                    </wps:wsp>
                  </a:graphicData>
                </a:graphic>
              </wp:anchor>
            </w:drawing>
          </mc:Choice>
          <mc:Fallback>
            <w:pict>
              <v:shape id="Text Box 30" o:spid="_x0000_s1026" o:spt="202" type="#_x0000_t202" style="position:absolute;left:0pt;margin-left:55pt;margin-top:48pt;height:88pt;width:21.5pt;z-index:251663360;mso-width-relative:page;mso-height-relative:page;" fillcolor="#FFFFFF" filled="t" stroked="t" coordsize="21600,21600" o:gfxdata="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k8SG1wAAAAoBAAAPAAAAAAAAAAEAIAAAACIAAABkcnMvZG93bnJldi54bWxQSwECFAAUAAAACACH&#10;TuJAov+P1CUCAACKBAAADgAAAAAAAAABACAAAAAmAQAAZHJzL2Uyb0RvYy54bWxQSwUGAAAAAAYA&#10;BgBZAQAAvQUAAAAA&#10;">
                <v:fill on="t" focussize="0,0"/>
                <v:stroke weight="0.5pt" color="#000000" joinstyle="miter"/>
                <v:imagedata o:title=""/>
                <o:lock v:ext="edit" aspectratio="f"/>
                <v:textbox inset="0mm,1.27mm,0mm,1.27mm">
                  <w:txbxContent>
                    <w:p>
                      <w:pPr>
                        <w:rPr>
                          <w:color w:val="auto"/>
                        </w:rPr>
                      </w:pPr>
                      <w:r>
                        <w:rPr>
                          <w:color w:val="auto"/>
                        </w:rPr>
                        <w:t>原</w:t>
                      </w:r>
                      <w:r>
                        <w:rPr>
                          <w:rFonts w:hint="eastAsia"/>
                          <w:color w:val="auto"/>
                        </w:rPr>
                        <w:t>结构修整和表面凿毛</w:t>
                      </w:r>
                    </w:p>
                  </w:txbxContent>
                </v:textbox>
              </v:shape>
            </w:pict>
          </mc:Fallback>
        </mc:AlternateContent>
      </w:r>
      <w:r>
        <w:rPr>
          <w:rFonts w:ascii="宋体" w:hAnsi="宋体"/>
          <w:i/>
          <w:iCs/>
          <w:color w:val="0070C0"/>
          <w:sz w:val="24"/>
          <w:szCs w:val="24"/>
        </w:rPr>
        <w:drawing>
          <wp:inline distT="0" distB="0" distL="0" distR="0">
            <wp:extent cx="5264150" cy="2273300"/>
            <wp:effectExtent l="0" t="0" r="0" b="0"/>
            <wp:docPr id="20" name="Picture 20" descr="C:\Users\Administrator\Documents\Tencent Files\419446213\Image\C2C\GYO4R@WVRB$N{OF$EV}$2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dministrator\Documents\Tencent Files\419446213\Image\C2C\GYO4R@WVRB$N{OF$EV}$25I.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64150" cy="2273300"/>
                    </a:xfrm>
                    <a:prstGeom prst="rect">
                      <a:avLst/>
                    </a:prstGeom>
                    <a:noFill/>
                    <a:ln>
                      <a:noFill/>
                    </a:ln>
                  </pic:spPr>
                </pic:pic>
              </a:graphicData>
            </a:graphic>
          </wp:inline>
        </w:drawing>
      </w:r>
    </w:p>
    <w:p>
      <w:pPr>
        <w:spacing w:after="0" w:line="360" w:lineRule="auto"/>
        <w:jc w:val="center"/>
        <w:rPr>
          <w:rFonts w:ascii="宋体" w:hAnsi="宋体"/>
          <w:b/>
          <w:bCs/>
          <w:color w:val="auto"/>
          <w:sz w:val="21"/>
          <w:szCs w:val="21"/>
        </w:rPr>
      </w:pPr>
      <w:r>
        <w:rPr>
          <w:rFonts w:hint="eastAsia" w:ascii="宋体" w:hAnsi="宋体"/>
          <w:b/>
          <w:bCs/>
          <w:color w:val="auto"/>
          <w:sz w:val="21"/>
          <w:szCs w:val="21"/>
        </w:rPr>
        <w:t>图</w:t>
      </w:r>
      <w:r>
        <w:rPr>
          <w:rFonts w:ascii="宋体" w:hAnsi="宋体"/>
          <w:b/>
          <w:bCs/>
          <w:color w:val="auto"/>
          <w:sz w:val="21"/>
          <w:szCs w:val="21"/>
        </w:rPr>
        <w:t xml:space="preserve">6.2.1 </w:t>
      </w:r>
      <w:r>
        <w:rPr>
          <w:rFonts w:hint="eastAsia" w:ascii="宋体" w:hAnsi="宋体"/>
          <w:b/>
          <w:bCs/>
          <w:color w:val="auto"/>
          <w:sz w:val="21"/>
          <w:szCs w:val="21"/>
        </w:rPr>
        <w:t>植筋施工工序</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 xml:space="preserve">6.2.1 </w:t>
      </w:r>
      <w:r>
        <w:rPr>
          <w:rFonts w:hint="eastAsia" w:ascii="宋体" w:hAnsi="宋体"/>
          <w:i/>
          <w:iCs/>
          <w:color w:val="0070C0"/>
          <w:sz w:val="24"/>
          <w:szCs w:val="24"/>
        </w:rPr>
        <w:t>植筋施工程序正确与否对施工质量影响很大。因此，必须加以明确并按照图6</w:t>
      </w:r>
      <w:r>
        <w:rPr>
          <w:rFonts w:ascii="宋体" w:hAnsi="宋体"/>
          <w:i/>
          <w:iCs/>
          <w:color w:val="0070C0"/>
          <w:sz w:val="24"/>
          <w:szCs w:val="24"/>
        </w:rPr>
        <w:t>.2.1</w:t>
      </w:r>
      <w:r>
        <w:rPr>
          <w:rFonts w:hint="eastAsia" w:ascii="宋体" w:hAnsi="宋体"/>
          <w:i/>
          <w:iCs/>
          <w:color w:val="0070C0"/>
          <w:sz w:val="24"/>
          <w:szCs w:val="24"/>
        </w:rPr>
        <w:t>规定的工序执行。与现行《混凝土后锚固技术规程》JGJ</w:t>
      </w:r>
      <w:r>
        <w:rPr>
          <w:rFonts w:ascii="宋体" w:hAnsi="宋体"/>
          <w:i/>
          <w:iCs/>
          <w:color w:val="0070C0"/>
          <w:sz w:val="24"/>
          <w:szCs w:val="24"/>
        </w:rPr>
        <w:t>145-2013</w:t>
      </w:r>
      <w:r>
        <w:rPr>
          <w:rFonts w:hint="eastAsia" w:ascii="宋体" w:hAnsi="宋体"/>
          <w:i/>
          <w:iCs/>
          <w:color w:val="0070C0"/>
          <w:sz w:val="24"/>
          <w:szCs w:val="24"/>
        </w:rPr>
        <w:t>和《建筑结构加固工程施工质量验收规范》GB</w:t>
      </w:r>
      <w:r>
        <w:rPr>
          <w:rFonts w:ascii="宋体" w:hAnsi="宋体"/>
          <w:i/>
          <w:iCs/>
          <w:color w:val="0070C0"/>
          <w:sz w:val="24"/>
          <w:szCs w:val="24"/>
        </w:rPr>
        <w:t>50550-2010</w:t>
      </w:r>
      <w:r>
        <w:rPr>
          <w:rFonts w:hint="eastAsia" w:ascii="宋体" w:hAnsi="宋体"/>
          <w:i/>
          <w:iCs/>
          <w:color w:val="0070C0"/>
          <w:sz w:val="24"/>
          <w:szCs w:val="24"/>
        </w:rPr>
        <w:t>不同，本规程不再建议使用散装锚固胶粘剂，故也未涉及其施工工序。</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color w:val="auto"/>
          <w:sz w:val="24"/>
          <w:szCs w:val="24"/>
        </w:rPr>
        <w:t xml:space="preserve"> 植筋系统施工前应先对基材进行清理和修整，植筋前锚固区基材应符合下列规定：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ascii="宋体" w:hAnsi="宋体"/>
          <w:color w:val="auto"/>
          <w:sz w:val="24"/>
          <w:szCs w:val="24"/>
        </w:rPr>
        <w:t xml:space="preserve">1 </w:t>
      </w:r>
      <w:r>
        <w:rPr>
          <w:rFonts w:hint="eastAsia" w:ascii="宋体" w:hAnsi="宋体"/>
          <w:color w:val="auto"/>
          <w:sz w:val="24"/>
          <w:szCs w:val="24"/>
        </w:rPr>
        <w:t>基材上的抹灰层、装饰层、附着物、油污应清除干净；</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color w:val="auto"/>
          <w:sz w:val="24"/>
          <w:szCs w:val="24"/>
        </w:rPr>
      </w:pPr>
      <w:r>
        <w:rPr>
          <w:rFonts w:ascii="宋体" w:hAnsi="宋体"/>
          <w:color w:val="auto"/>
          <w:sz w:val="24"/>
          <w:szCs w:val="24"/>
        </w:rPr>
        <w:t xml:space="preserve">2 </w:t>
      </w:r>
      <w:r>
        <w:rPr>
          <w:rFonts w:hint="eastAsia" w:ascii="宋体" w:hAnsi="宋体"/>
          <w:color w:val="auto"/>
          <w:sz w:val="24"/>
          <w:szCs w:val="24"/>
        </w:rPr>
        <w:t>基材表面应坚实且无局部缺陷，连接新混凝土构件的基材构件界面区域应凿毛并清除表面浮浆和灰尘。</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6.2.2</w:t>
      </w:r>
      <w:r>
        <w:rPr>
          <w:rFonts w:ascii="宋体" w:hAnsi="宋体"/>
          <w:i/>
          <w:iCs/>
          <w:color w:val="0070C0"/>
          <w:sz w:val="24"/>
          <w:szCs w:val="24"/>
        </w:rPr>
        <w:t xml:space="preserve"> </w:t>
      </w:r>
      <w:r>
        <w:rPr>
          <w:rFonts w:hint="eastAsia" w:ascii="宋体" w:hAnsi="宋体"/>
          <w:i/>
          <w:iCs/>
          <w:color w:val="0070C0"/>
          <w:sz w:val="24"/>
          <w:szCs w:val="24"/>
        </w:rPr>
        <w:t>锚固基材强度和本身的质量直接关系锚固强度及锚固安全性，如</w:t>
      </w:r>
      <w:r>
        <w:rPr>
          <w:rFonts w:hint="eastAsia" w:ascii="宋体" w:hAnsi="宋体"/>
          <w:i/>
          <w:iCs/>
          <w:color w:val="0070C0"/>
          <w:sz w:val="24"/>
          <w:szCs w:val="24"/>
          <w:lang w:val="en-US" w:eastAsia="zh-CN"/>
        </w:rPr>
        <w:t>混</w:t>
      </w:r>
      <w:r>
        <w:rPr>
          <w:rFonts w:hint="eastAsia" w:ascii="宋体" w:hAnsi="宋体"/>
          <w:i/>
          <w:iCs/>
          <w:color w:val="0070C0"/>
          <w:sz w:val="24"/>
          <w:szCs w:val="24"/>
        </w:rPr>
        <w:t>凝土施工质量、锚固区</w:t>
      </w:r>
      <w:r>
        <w:rPr>
          <w:rFonts w:hint="eastAsia" w:ascii="宋体" w:hAnsi="宋体"/>
          <w:i/>
          <w:iCs/>
          <w:color w:val="0070C0"/>
          <w:sz w:val="24"/>
          <w:szCs w:val="24"/>
          <w:lang w:val="en-US" w:eastAsia="zh-CN"/>
        </w:rPr>
        <w:t>潮湿</w:t>
      </w:r>
      <w:r>
        <w:rPr>
          <w:rFonts w:hint="eastAsia" w:ascii="宋体" w:hAnsi="宋体"/>
          <w:i/>
          <w:iCs/>
          <w:color w:val="0070C0"/>
          <w:sz w:val="24"/>
          <w:szCs w:val="24"/>
        </w:rPr>
        <w:t>、基体开裂都在不同程度上影响</w:t>
      </w:r>
      <w:r>
        <w:rPr>
          <w:rFonts w:hint="eastAsia" w:ascii="宋体" w:hAnsi="宋体"/>
          <w:i/>
          <w:iCs/>
          <w:color w:val="0070C0"/>
          <w:sz w:val="24"/>
          <w:szCs w:val="24"/>
          <w:lang w:val="en-US" w:eastAsia="zh-CN"/>
        </w:rPr>
        <w:t>锚固</w:t>
      </w:r>
      <w:r>
        <w:rPr>
          <w:rFonts w:hint="eastAsia" w:ascii="宋体" w:hAnsi="宋体"/>
          <w:i/>
          <w:iCs/>
          <w:color w:val="0070C0"/>
          <w:sz w:val="24"/>
          <w:szCs w:val="24"/>
        </w:rPr>
        <w:t>强度，降低使用的安全性，故对锚固区基材作出规定。</w:t>
      </w:r>
    </w:p>
    <w:p>
      <w:pPr>
        <w:pStyle w:val="2"/>
        <w:spacing w:after="0" w:line="360" w:lineRule="auto"/>
        <w:ind w:left="0" w:leftChars="0" w:firstLine="0" w:firstLineChars="0"/>
        <w:rPr>
          <w:rFonts w:ascii="宋体" w:hAnsi="宋体"/>
          <w:color w:val="auto"/>
          <w:sz w:val="24"/>
          <w:szCs w:val="24"/>
        </w:rPr>
      </w:pPr>
      <w:r>
        <w:rPr>
          <w:rFonts w:ascii="宋体" w:hAnsi="宋体"/>
          <w:b/>
          <w:bCs/>
          <w:color w:val="auto"/>
          <w:sz w:val="24"/>
          <w:szCs w:val="24"/>
        </w:rPr>
        <w:t>6.2.3</w:t>
      </w:r>
      <w:r>
        <w:rPr>
          <w:rFonts w:hint="eastAsia" w:ascii="宋体" w:hAnsi="宋体"/>
          <w:b/>
          <w:bCs/>
          <w:color w:val="auto"/>
          <w:sz w:val="24"/>
          <w:szCs w:val="24"/>
          <w:lang w:val="en-US" w:eastAsia="zh-CN"/>
        </w:rPr>
        <w:t xml:space="preserve"> </w:t>
      </w:r>
      <w:r>
        <w:rPr>
          <w:rFonts w:hint="eastAsia" w:ascii="宋体" w:hAnsi="宋体"/>
          <w:color w:val="auto"/>
          <w:sz w:val="24"/>
          <w:szCs w:val="24"/>
        </w:rPr>
        <w:t>混凝土基材与新混凝土界面间的凿毛处理应在钻孔前进行，可采用高压水冲刷、人工混凝土凿毛法、钻孔法、抛丸、喷砂、压痕等方式完成。</w:t>
      </w:r>
    </w:p>
    <w:p>
      <w:pPr>
        <w:spacing w:after="0" w:line="360" w:lineRule="auto"/>
        <w:rPr>
          <w:rFonts w:ascii="宋体" w:hAnsi="宋体"/>
          <w:b/>
          <w:bCs/>
          <w:color w:val="auto"/>
          <w:sz w:val="24"/>
          <w:szCs w:val="24"/>
        </w:rPr>
      </w:pPr>
      <w:r>
        <w:rPr>
          <w:rFonts w:hint="eastAsia" w:ascii="宋体" w:hAnsi="宋体"/>
          <w:i/>
          <w:iCs/>
          <w:color w:val="0070C0"/>
          <w:sz w:val="24"/>
          <w:szCs w:val="24"/>
        </w:rPr>
        <w:t>【条文说明】</w:t>
      </w:r>
      <w:r>
        <w:rPr>
          <w:rFonts w:ascii="宋体" w:hAnsi="宋体"/>
          <w:b/>
          <w:bCs/>
          <w:i/>
          <w:iCs/>
          <w:color w:val="0070C0"/>
          <w:sz w:val="24"/>
          <w:szCs w:val="24"/>
        </w:rPr>
        <w:t>6.2.3</w:t>
      </w:r>
      <w:r>
        <w:rPr>
          <w:rFonts w:hint="eastAsia" w:ascii="宋体" w:hAnsi="宋体"/>
          <w:i/>
          <w:iCs/>
          <w:color w:val="0070C0"/>
          <w:sz w:val="24"/>
          <w:szCs w:val="24"/>
        </w:rPr>
        <w:t>既有老混凝土基材界面的粗糙程度即混凝土界面凿毛质量，对新老混凝土粘结补强工程质量具有重要意义。凿毛主要是为了凿除混凝土表面的浮浆，使新老结合处的混凝土结合牢固形成整体。所以凿毛后的混凝土表面不但要去除浮浆还要形成凹凸麻面，而不是平整的毛面。</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.2</w:t>
      </w:r>
      <w:r>
        <w:rPr>
          <w:rFonts w:ascii="宋体" w:hAnsi="宋体"/>
          <w:b/>
          <w:bCs/>
          <w:color w:val="auto"/>
          <w:sz w:val="24"/>
          <w:szCs w:val="24"/>
        </w:rPr>
        <w:t>.4</w:t>
      </w:r>
      <w:r>
        <w:rPr>
          <w:rFonts w:hint="eastAsia" w:ascii="宋体" w:hAnsi="宋体"/>
          <w:b/>
          <w:bCs/>
          <w:color w:val="auto"/>
          <w:sz w:val="24"/>
          <w:szCs w:val="24"/>
          <w:lang w:val="en-US" w:eastAsia="zh-CN"/>
        </w:rPr>
        <w:t xml:space="preserve"> </w:t>
      </w:r>
      <w:r>
        <w:rPr>
          <w:rFonts w:hint="eastAsia" w:ascii="宋体" w:hAnsi="宋体"/>
          <w:color w:val="auto"/>
          <w:sz w:val="24"/>
          <w:szCs w:val="24"/>
        </w:rPr>
        <w:t>植筋位置应先放线并探测既有混凝土内的钢筋位置后再标定植筋孔位。钻孔不得损伤原有钢筋。当植筋孔位受原钢筋干扰，应通知设计单位变更植筋位置，并应出具变更设计通知书。</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6.2.4</w:t>
      </w:r>
      <w:r>
        <w:rPr>
          <w:rFonts w:ascii="宋体" w:hAnsi="宋体"/>
          <w:i/>
          <w:iCs/>
          <w:color w:val="0070C0"/>
          <w:sz w:val="24"/>
          <w:szCs w:val="24"/>
        </w:rPr>
        <w:t xml:space="preserve"> </w:t>
      </w:r>
      <w:r>
        <w:rPr>
          <w:rFonts w:hint="eastAsia" w:ascii="宋体" w:hAnsi="宋体"/>
          <w:i/>
          <w:iCs/>
          <w:color w:val="0070C0"/>
          <w:sz w:val="24"/>
          <w:szCs w:val="24"/>
        </w:rPr>
        <w:t>检测钢筋的位置是为了在钻孔时避开钢筋，以免影响锚固基材的原有强度及安全性。如果原构件内钢筋位置不明确，应在钻孔前利用专业的钢筋探测仪检测钢筋位置，以便在钻孔时避开既有钢筋。对于较密集配筋的塑性铰区如果无法准确探明钢筋位置，也可采用剔除表明混凝土保护层直接暴露既有钢筋的方法判断植筋孔位是否合适。如果钻孔过程中（特别是采用水钻时）对部分既有钢筋造成损伤，应及时通知设计单位评估潜在危害，采用合适的加固补救措施。</w:t>
      </w:r>
    </w:p>
    <w:p>
      <w:pPr>
        <w:spacing w:after="0" w:line="360" w:lineRule="auto"/>
        <w:rPr>
          <w:rFonts w:ascii="宋体" w:hAnsi="宋体"/>
          <w:color w:val="auto"/>
          <w:sz w:val="24"/>
          <w:szCs w:val="24"/>
        </w:rPr>
      </w:pPr>
      <w:r>
        <w:rPr>
          <w:rFonts w:ascii="宋体" w:hAnsi="宋体"/>
          <w:b/>
          <w:bCs/>
          <w:color w:val="auto"/>
          <w:sz w:val="24"/>
          <w:szCs w:val="24"/>
        </w:rPr>
        <w:t>6.2.5</w:t>
      </w:r>
      <w:r>
        <w:rPr>
          <w:rFonts w:hint="eastAsia" w:ascii="宋体" w:hAnsi="宋体"/>
          <w:b/>
          <w:bCs/>
          <w:color w:val="auto"/>
          <w:sz w:val="24"/>
          <w:szCs w:val="24"/>
          <w:lang w:val="en-US" w:eastAsia="zh-CN"/>
        </w:rPr>
        <w:t xml:space="preserve"> </w:t>
      </w:r>
      <w:r>
        <w:rPr>
          <w:rFonts w:hint="eastAsia" w:ascii="宋体" w:hAnsi="宋体"/>
          <w:color w:val="auto"/>
          <w:sz w:val="24"/>
          <w:szCs w:val="24"/>
        </w:rPr>
        <w:t>在混凝土面上的植筋孔位除应满足本规程</w:t>
      </w:r>
      <w:r>
        <w:rPr>
          <w:rFonts w:hint="eastAsia" w:ascii="宋体" w:hAnsi="宋体"/>
          <w:color w:val="auto"/>
          <w:sz w:val="24"/>
          <w:szCs w:val="24"/>
          <w:lang w:val="en-US" w:eastAsia="zh-CN"/>
        </w:rPr>
        <w:t>第</w:t>
      </w:r>
      <w:r>
        <w:rPr>
          <w:rFonts w:ascii="宋体" w:hAnsi="宋体"/>
          <w:color w:val="auto"/>
          <w:sz w:val="24"/>
          <w:szCs w:val="24"/>
        </w:rPr>
        <w:t>5.0.</w:t>
      </w:r>
      <w:r>
        <w:rPr>
          <w:rFonts w:hint="eastAsia" w:ascii="宋体" w:hAnsi="宋体"/>
          <w:color w:val="auto"/>
          <w:sz w:val="24"/>
          <w:szCs w:val="24"/>
          <w:lang w:val="en-US" w:eastAsia="zh-CN"/>
        </w:rPr>
        <w:t>3条</w:t>
      </w:r>
      <w:r>
        <w:rPr>
          <w:rFonts w:hint="eastAsia" w:ascii="宋体" w:hAnsi="宋体"/>
          <w:color w:val="auto"/>
          <w:sz w:val="24"/>
          <w:szCs w:val="24"/>
        </w:rPr>
        <w:t>的规定外，尚应考虑钻孔方式和钻孔长度对可能存在的植筋偏差的影响。应保证相邻植筋之间的间</w:t>
      </w:r>
      <w:r>
        <w:rPr>
          <w:rFonts w:ascii="宋体" w:hAnsi="宋体"/>
          <w:color w:val="auto"/>
          <w:sz w:val="24"/>
          <w:szCs w:val="24"/>
        </w:rPr>
        <w:t>距不小于5</w:t>
      </w:r>
      <w:r>
        <w:rPr>
          <w:rFonts w:ascii="宋体" w:hAnsi="宋体"/>
          <w:i/>
          <w:iCs/>
          <w:color w:val="auto"/>
          <w:sz w:val="24"/>
          <w:szCs w:val="24"/>
        </w:rPr>
        <w:t>d</w:t>
      </w:r>
      <w:r>
        <w:rPr>
          <w:rFonts w:hint="eastAsia" w:ascii="宋体" w:hAnsi="宋体"/>
          <w:color w:val="auto"/>
          <w:sz w:val="24"/>
          <w:szCs w:val="24"/>
        </w:rPr>
        <w:t>；基材表面的钻孔中心点到平行植筋轴线方向的最近混凝土表面之间的距离不应小于</w:t>
      </w:r>
      <w:r>
        <w:rPr>
          <w:rFonts w:ascii="宋体" w:hAnsi="宋体"/>
          <w:i/>
          <w:iCs/>
          <w:color w:val="auto"/>
          <w:sz w:val="24"/>
          <w:szCs w:val="24"/>
        </w:rPr>
        <w:t>c</w:t>
      </w:r>
      <w:r>
        <w:rPr>
          <w:rFonts w:ascii="宋体" w:hAnsi="宋体"/>
          <w:color w:val="auto"/>
          <w:sz w:val="24"/>
          <w:szCs w:val="24"/>
          <w:vertAlign w:val="subscript"/>
        </w:rPr>
        <w:t>min</w:t>
      </w:r>
      <w:r>
        <w:rPr>
          <w:rFonts w:ascii="宋体" w:hAnsi="宋体"/>
          <w:color w:val="auto"/>
          <w:sz w:val="24"/>
          <w:szCs w:val="24"/>
        </w:rPr>
        <w:t>+</w:t>
      </w:r>
      <w:r>
        <w:rPr>
          <w:rFonts w:ascii="宋体" w:hAnsi="宋体"/>
          <w:i/>
          <w:iCs/>
          <w:color w:val="auto"/>
          <w:sz w:val="24"/>
          <w:szCs w:val="24"/>
        </w:rPr>
        <w:t>d</w:t>
      </w:r>
      <w:r>
        <w:rPr>
          <w:rFonts w:ascii="宋体" w:hAnsi="宋体"/>
          <w:color w:val="auto"/>
          <w:sz w:val="24"/>
          <w:szCs w:val="24"/>
        </w:rPr>
        <w:t>/2</w:t>
      </w:r>
      <w:r>
        <w:rPr>
          <w:rFonts w:hint="eastAsia" w:ascii="宋体" w:hAnsi="宋体"/>
          <w:color w:val="auto"/>
          <w:sz w:val="24"/>
          <w:szCs w:val="24"/>
        </w:rPr>
        <w:t>，</w:t>
      </w:r>
      <w:r>
        <w:rPr>
          <w:rFonts w:ascii="宋体" w:hAnsi="宋体"/>
          <w:i/>
          <w:iCs/>
          <w:color w:val="auto"/>
          <w:sz w:val="24"/>
          <w:szCs w:val="24"/>
        </w:rPr>
        <w:t>c</w:t>
      </w:r>
      <w:r>
        <w:rPr>
          <w:rFonts w:ascii="宋体" w:hAnsi="宋体"/>
          <w:color w:val="auto"/>
          <w:sz w:val="24"/>
          <w:szCs w:val="24"/>
          <w:vertAlign w:val="subscript"/>
        </w:rPr>
        <w:t>min</w:t>
      </w:r>
      <w:r>
        <w:rPr>
          <w:rFonts w:hint="eastAsia" w:ascii="宋体" w:hAnsi="宋体"/>
          <w:color w:val="auto"/>
          <w:sz w:val="24"/>
          <w:szCs w:val="24"/>
        </w:rPr>
        <w:t>为植筋到最近的混凝土边缘的最小允许保护层厚度，应满足表</w:t>
      </w:r>
      <w:r>
        <w:rPr>
          <w:rFonts w:ascii="宋体" w:hAnsi="宋体"/>
          <w:color w:val="auto"/>
          <w:sz w:val="24"/>
          <w:szCs w:val="24"/>
        </w:rPr>
        <w:t>6.2.5</w:t>
      </w:r>
      <w:r>
        <w:rPr>
          <w:rFonts w:hint="eastAsia" w:ascii="宋体" w:hAnsi="宋体"/>
          <w:color w:val="auto"/>
          <w:sz w:val="24"/>
          <w:szCs w:val="24"/>
        </w:rPr>
        <w:t>的规定。</w:t>
      </w:r>
    </w:p>
    <w:p>
      <w:pPr>
        <w:spacing w:after="0" w:line="360" w:lineRule="auto"/>
        <w:jc w:val="center"/>
        <w:rPr>
          <w:rFonts w:ascii="宋体" w:cs="宋体" w:hAnsiTheme="minorHAnsi"/>
          <w:b/>
          <w:bCs/>
          <w:color w:val="auto"/>
          <w:sz w:val="21"/>
          <w:szCs w:val="21"/>
        </w:rPr>
      </w:pPr>
      <w:r>
        <w:rPr>
          <w:rFonts w:hint="eastAsia" w:ascii="宋体" w:cs="宋体" w:hAnsiTheme="minorHAnsi"/>
          <w:b/>
          <w:bCs/>
          <w:color w:val="auto"/>
          <w:sz w:val="21"/>
          <w:szCs w:val="21"/>
        </w:rPr>
        <w:t>表</w:t>
      </w:r>
      <w:r>
        <w:rPr>
          <w:rFonts w:ascii="宋体" w:cs="宋体" w:hAnsiTheme="minorHAnsi"/>
          <w:b/>
          <w:bCs/>
          <w:color w:val="auto"/>
          <w:sz w:val="21"/>
          <w:szCs w:val="21"/>
        </w:rPr>
        <w:t>6.2.5</w:t>
      </w:r>
      <w:r>
        <w:rPr>
          <w:rFonts w:hint="eastAsia" w:ascii="宋体" w:cs="宋体" w:hAnsiTheme="minorHAnsi"/>
          <w:b/>
          <w:bCs/>
          <w:color w:val="auto"/>
          <w:sz w:val="21"/>
          <w:szCs w:val="21"/>
        </w:rPr>
        <w:t>植筋钻孔时的最小允许保护层厚度</w:t>
      </w:r>
      <w:r>
        <w:rPr>
          <w:rFonts w:ascii="宋体" w:cs="宋体" w:hAnsiTheme="minorHAnsi"/>
          <w:b/>
          <w:bCs/>
          <w:i/>
          <w:iCs/>
          <w:color w:val="auto"/>
          <w:sz w:val="21"/>
          <w:szCs w:val="21"/>
        </w:rPr>
        <w:t>c</w:t>
      </w:r>
      <w:r>
        <w:rPr>
          <w:rFonts w:ascii="宋体" w:cs="宋体" w:hAnsiTheme="minorHAnsi"/>
          <w:b/>
          <w:bCs/>
          <w:color w:val="auto"/>
          <w:sz w:val="21"/>
          <w:szCs w:val="21"/>
          <w:vertAlign w:val="subscript"/>
        </w:rPr>
        <w:t>min</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1092"/>
        <w:gridCol w:w="3000"/>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tcPr>
          <w:p>
            <w:pPr>
              <w:spacing w:after="0" w:line="360" w:lineRule="auto"/>
              <w:rPr>
                <w:rFonts w:ascii="宋体" w:cs="宋体" w:hAnsiTheme="minorHAnsi"/>
                <w:color w:val="auto"/>
                <w:sz w:val="21"/>
                <w:szCs w:val="21"/>
              </w:rPr>
            </w:pPr>
            <w:r>
              <w:rPr>
                <w:rFonts w:hint="eastAsia" w:ascii="宋体" w:cs="宋体" w:hAnsiTheme="minorHAnsi"/>
                <w:color w:val="auto"/>
                <w:sz w:val="21"/>
                <w:szCs w:val="21"/>
              </w:rPr>
              <w:t>钻孔方式</w:t>
            </w:r>
          </w:p>
        </w:tc>
        <w:tc>
          <w:tcPr>
            <w:tcW w:w="1092" w:type="dxa"/>
            <w:vMerge w:val="restart"/>
          </w:tcPr>
          <w:p>
            <w:pPr>
              <w:spacing w:after="0" w:line="360" w:lineRule="auto"/>
              <w:jc w:val="center"/>
              <w:rPr>
                <w:rFonts w:ascii="宋体" w:cs="宋体" w:hAnsiTheme="minorHAnsi"/>
                <w:color w:val="auto"/>
                <w:sz w:val="21"/>
                <w:szCs w:val="21"/>
              </w:rPr>
            </w:pPr>
            <w:r>
              <w:rPr>
                <w:rFonts w:hint="eastAsia" w:ascii="宋体" w:cs="宋体" w:hAnsiTheme="minorHAnsi"/>
                <w:color w:val="auto"/>
                <w:sz w:val="21"/>
                <w:szCs w:val="21"/>
              </w:rPr>
              <w:t>钢筋直径</w:t>
            </w:r>
          </w:p>
        </w:tc>
        <w:tc>
          <w:tcPr>
            <w:tcW w:w="5863" w:type="dxa"/>
            <w:gridSpan w:val="2"/>
          </w:tcPr>
          <w:p>
            <w:pPr>
              <w:spacing w:after="0" w:line="360" w:lineRule="auto"/>
              <w:jc w:val="center"/>
              <w:rPr>
                <w:rFonts w:ascii="宋体" w:cs="宋体" w:hAnsiTheme="minorHAnsi"/>
                <w:color w:val="auto"/>
                <w:sz w:val="21"/>
                <w:szCs w:val="21"/>
              </w:rPr>
            </w:pPr>
            <w:r>
              <w:rPr>
                <w:rFonts w:hint="eastAsia" w:ascii="宋体" w:cs="宋体" w:hAnsiTheme="minorHAnsi"/>
                <w:color w:val="auto"/>
                <w:sz w:val="21"/>
                <w:szCs w:val="21"/>
              </w:rPr>
              <w:t>最小保护层厚度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tcPr>
          <w:p>
            <w:pPr>
              <w:spacing w:after="0" w:line="360" w:lineRule="auto"/>
              <w:rPr>
                <w:rFonts w:ascii="宋体" w:cs="宋体" w:hAnsiTheme="minorHAnsi"/>
                <w:color w:val="auto"/>
                <w:sz w:val="21"/>
                <w:szCs w:val="21"/>
              </w:rPr>
            </w:pPr>
          </w:p>
        </w:tc>
        <w:tc>
          <w:tcPr>
            <w:tcW w:w="1092" w:type="dxa"/>
            <w:vMerge w:val="continue"/>
          </w:tcPr>
          <w:p>
            <w:pPr>
              <w:spacing w:after="0" w:line="360" w:lineRule="auto"/>
              <w:jc w:val="center"/>
              <w:rPr>
                <w:rFonts w:ascii="宋体" w:cs="宋体" w:hAnsiTheme="minorHAnsi"/>
                <w:color w:val="auto"/>
                <w:sz w:val="21"/>
                <w:szCs w:val="21"/>
              </w:rPr>
            </w:pPr>
          </w:p>
        </w:tc>
        <w:tc>
          <w:tcPr>
            <w:tcW w:w="3000" w:type="dxa"/>
          </w:tcPr>
          <w:p>
            <w:pPr>
              <w:spacing w:after="0" w:line="360" w:lineRule="auto"/>
              <w:jc w:val="center"/>
              <w:rPr>
                <w:rFonts w:ascii="宋体" w:cs="宋体" w:hAnsiTheme="minorHAnsi"/>
                <w:color w:val="auto"/>
                <w:sz w:val="21"/>
                <w:szCs w:val="21"/>
              </w:rPr>
            </w:pPr>
            <w:r>
              <w:rPr>
                <w:rFonts w:hint="eastAsia" w:ascii="宋体" w:cs="宋体" w:hAnsiTheme="minorHAnsi"/>
                <w:color w:val="auto"/>
                <w:sz w:val="21"/>
                <w:szCs w:val="21"/>
              </w:rPr>
              <w:t>无钻头导向辅助</w:t>
            </w:r>
          </w:p>
        </w:tc>
        <w:tc>
          <w:tcPr>
            <w:tcW w:w="2863" w:type="dxa"/>
          </w:tcPr>
          <w:p>
            <w:pPr>
              <w:spacing w:after="0" w:line="360" w:lineRule="auto"/>
              <w:jc w:val="center"/>
              <w:rPr>
                <w:rFonts w:ascii="宋体" w:cs="宋体" w:hAnsiTheme="minorHAnsi"/>
                <w:color w:val="auto"/>
                <w:sz w:val="21"/>
                <w:szCs w:val="21"/>
              </w:rPr>
            </w:pPr>
            <w:r>
              <w:rPr>
                <w:rFonts w:hint="eastAsia" w:ascii="宋体" w:cs="宋体" w:hAnsiTheme="minorHAnsi"/>
                <w:color w:val="auto"/>
                <w:sz w:val="21"/>
                <w:szCs w:val="21"/>
              </w:rPr>
              <w:t>带钻头导向辅助（图6.2.5）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tcPr>
          <w:p>
            <w:pPr>
              <w:spacing w:after="0" w:line="360" w:lineRule="auto"/>
              <w:rPr>
                <w:rFonts w:ascii="宋体" w:cs="宋体" w:hAnsiTheme="minorHAnsi"/>
                <w:color w:val="auto"/>
                <w:sz w:val="21"/>
                <w:szCs w:val="21"/>
              </w:rPr>
            </w:pPr>
            <w:r>
              <w:rPr>
                <w:rFonts w:hint="eastAsia" w:ascii="宋体" w:cs="宋体" w:hAnsiTheme="minorHAnsi"/>
                <w:color w:val="auto"/>
                <w:sz w:val="21"/>
                <w:szCs w:val="21"/>
              </w:rPr>
              <w:t>电锤锤击钻或钻石钻孔</w:t>
            </w:r>
          </w:p>
        </w:tc>
        <w:tc>
          <w:tcPr>
            <w:tcW w:w="1092" w:type="dxa"/>
          </w:tcPr>
          <w:p>
            <w:pPr>
              <w:spacing w:after="0" w:line="360" w:lineRule="auto"/>
              <w:jc w:val="center"/>
              <w:rPr>
                <w:rFonts w:ascii="宋体" w:cs="宋体" w:hAnsiTheme="minorHAnsi"/>
                <w:color w:val="auto"/>
                <w:sz w:val="21"/>
                <w:szCs w:val="21"/>
              </w:rPr>
            </w:pPr>
            <w:r>
              <w:rPr>
                <w:rFonts w:hint="eastAsia" w:eastAsia="等线"/>
                <w:color w:val="auto"/>
                <w:sz w:val="21"/>
                <w:szCs w:val="21"/>
              </w:rPr>
              <w:t>&lt;2</w:t>
            </w:r>
            <w:r>
              <w:rPr>
                <w:rFonts w:eastAsia="等线"/>
                <w:color w:val="auto"/>
                <w:sz w:val="21"/>
                <w:szCs w:val="21"/>
              </w:rPr>
              <w:t>5</w:t>
            </w:r>
            <w:r>
              <w:rPr>
                <w:rFonts w:hint="eastAsia" w:eastAsia="等线"/>
                <w:color w:val="auto"/>
                <w:sz w:val="21"/>
                <w:szCs w:val="21"/>
              </w:rPr>
              <w:t>mm</w:t>
            </w:r>
          </w:p>
        </w:tc>
        <w:tc>
          <w:tcPr>
            <w:tcW w:w="3000" w:type="dxa"/>
          </w:tcPr>
          <w:p>
            <w:pPr>
              <w:spacing w:after="0" w:line="360" w:lineRule="auto"/>
              <w:jc w:val="center"/>
              <w:rPr>
                <w:rFonts w:ascii="宋体" w:cs="宋体" w:hAnsiTheme="minorHAnsi"/>
                <w:color w:val="auto"/>
                <w:sz w:val="21"/>
                <w:szCs w:val="21"/>
              </w:rPr>
            </w:pPr>
            <w:r>
              <w:rPr>
                <w:rFonts w:ascii="宋体" w:cs="宋体" w:hAnsiTheme="minorHAnsi"/>
                <w:color w:val="auto"/>
                <w:sz w:val="21"/>
                <w:szCs w:val="21"/>
              </w:rPr>
              <w:t>30</w:t>
            </w:r>
            <w:r>
              <w:rPr>
                <w:rFonts w:eastAsia="等线"/>
                <w:color w:val="auto"/>
                <w:sz w:val="21"/>
                <w:szCs w:val="21"/>
              </w:rPr>
              <w:t>mm</w:t>
            </w:r>
            <w:r>
              <w:rPr>
                <w:rFonts w:ascii="宋体" w:cs="宋体" w:hAnsiTheme="minorHAnsi"/>
                <w:color w:val="auto"/>
                <w:sz w:val="21"/>
                <w:szCs w:val="21"/>
              </w:rPr>
              <w:t xml:space="preserve"> +0.06</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w:t>
            </w:r>
            <w:r>
              <w:rPr>
                <w:rFonts w:eastAsia="等线"/>
                <w:color w:val="auto"/>
                <w:sz w:val="21"/>
                <w:szCs w:val="21"/>
              </w:rPr>
              <w:t>max</w:t>
            </w:r>
            <w:r>
              <w:rPr>
                <w:rFonts w:ascii="等线" w:hAnsi="等线" w:eastAsia="等线" w:cs="宋体"/>
                <w:color w:val="auto"/>
                <w:sz w:val="21"/>
                <w:szCs w:val="21"/>
              </w:rPr>
              <w:t>(</w:t>
            </w:r>
            <w:r>
              <w:rPr>
                <w:rFonts w:hint="eastAsia" w:ascii="等线" w:hAnsi="等线" w:eastAsia="等线" w:cs="宋体"/>
                <w:color w:val="auto"/>
                <w:sz w:val="21"/>
                <w:szCs w:val="21"/>
              </w:rPr>
              <w:t>2</w:t>
            </w:r>
            <w:r>
              <w:rPr>
                <w:rFonts w:eastAsia="等线"/>
                <w:i/>
                <w:iCs/>
                <w:color w:val="auto"/>
                <w:sz w:val="21"/>
                <w:szCs w:val="21"/>
              </w:rPr>
              <w:t>d</w:t>
            </w:r>
            <w:r>
              <w:rPr>
                <w:rFonts w:hint="eastAsia" w:ascii="宋体" w:hAnsi="宋体"/>
                <w:color w:val="auto"/>
                <w:sz w:val="21"/>
                <w:szCs w:val="21"/>
              </w:rPr>
              <w:t>，</w:t>
            </w:r>
            <w:r>
              <w:rPr>
                <w:rFonts w:eastAsia="等线"/>
                <w:color w:val="auto"/>
                <w:sz w:val="21"/>
                <w:szCs w:val="21"/>
              </w:rPr>
              <w:t>50mm)</w:t>
            </w:r>
          </w:p>
        </w:tc>
        <w:tc>
          <w:tcPr>
            <w:tcW w:w="2863" w:type="dxa"/>
          </w:tcPr>
          <w:p>
            <w:pPr>
              <w:spacing w:after="0" w:line="360" w:lineRule="auto"/>
              <w:jc w:val="center"/>
              <w:rPr>
                <w:rFonts w:ascii="宋体" w:cs="宋体" w:hAnsiTheme="minorHAnsi"/>
                <w:color w:val="auto"/>
                <w:sz w:val="21"/>
                <w:szCs w:val="21"/>
              </w:rPr>
            </w:pPr>
            <w:r>
              <w:rPr>
                <w:rFonts w:ascii="宋体" w:cs="宋体" w:hAnsiTheme="minorHAnsi"/>
                <w:color w:val="auto"/>
                <w:sz w:val="21"/>
                <w:szCs w:val="21"/>
              </w:rPr>
              <w:t>30</w:t>
            </w:r>
            <w:r>
              <w:rPr>
                <w:rFonts w:hint="eastAsia" w:ascii="宋体" w:cs="宋体" w:hAnsiTheme="minorHAnsi"/>
                <w:color w:val="auto"/>
                <w:sz w:val="21"/>
                <w:szCs w:val="21"/>
              </w:rPr>
              <w:t>mm</w:t>
            </w:r>
            <w:r>
              <w:rPr>
                <w:rFonts w:ascii="宋体" w:cs="宋体" w:hAnsiTheme="minorHAnsi"/>
                <w:color w:val="auto"/>
                <w:sz w:val="21"/>
                <w:szCs w:val="21"/>
              </w:rPr>
              <w:t>+0.02</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w:t>
            </w:r>
            <w:r>
              <w:rPr>
                <w:rFonts w:eastAsia="等线"/>
                <w:color w:val="auto"/>
                <w:sz w:val="21"/>
                <w:szCs w:val="21"/>
              </w:rPr>
              <w:t>max</w:t>
            </w:r>
            <w:r>
              <w:rPr>
                <w:rFonts w:ascii="等线" w:hAnsi="等线" w:eastAsia="等线" w:cs="宋体"/>
                <w:color w:val="auto"/>
                <w:sz w:val="21"/>
                <w:szCs w:val="21"/>
              </w:rPr>
              <w:t>(</w:t>
            </w:r>
            <w:r>
              <w:rPr>
                <w:rFonts w:hint="eastAsia" w:ascii="等线" w:hAnsi="等线" w:eastAsia="等线" w:cs="宋体"/>
                <w:color w:val="auto"/>
                <w:sz w:val="21"/>
                <w:szCs w:val="21"/>
              </w:rPr>
              <w:t>2</w:t>
            </w:r>
            <w:r>
              <w:rPr>
                <w:rFonts w:eastAsia="等线"/>
                <w:i/>
                <w:iCs/>
                <w:color w:val="auto"/>
                <w:sz w:val="21"/>
                <w:szCs w:val="21"/>
              </w:rPr>
              <w:t>d</w:t>
            </w:r>
            <w:r>
              <w:rPr>
                <w:rFonts w:hint="eastAsia" w:ascii="宋体" w:hAnsi="宋体"/>
                <w:color w:val="auto"/>
                <w:sz w:val="21"/>
                <w:szCs w:val="21"/>
              </w:rPr>
              <w:t>，</w:t>
            </w:r>
            <w:r>
              <w:rPr>
                <w:rFonts w:eastAsia="等线"/>
                <w:color w:val="auto"/>
                <w:sz w:val="21"/>
                <w:szCs w:val="21"/>
              </w:rPr>
              <w:t>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tcPr>
          <w:p>
            <w:pPr>
              <w:spacing w:after="0" w:line="360" w:lineRule="auto"/>
              <w:rPr>
                <w:rFonts w:ascii="宋体" w:cs="宋体" w:hAnsiTheme="minorHAnsi"/>
                <w:color w:val="auto"/>
                <w:sz w:val="21"/>
                <w:szCs w:val="21"/>
              </w:rPr>
            </w:pPr>
          </w:p>
        </w:tc>
        <w:tc>
          <w:tcPr>
            <w:tcW w:w="1092" w:type="dxa"/>
          </w:tcPr>
          <w:p>
            <w:pPr>
              <w:spacing w:after="0" w:line="360" w:lineRule="auto"/>
              <w:jc w:val="center"/>
              <w:rPr>
                <w:rFonts w:eastAsia="等线"/>
                <w:color w:val="auto"/>
                <w:sz w:val="21"/>
                <w:szCs w:val="21"/>
              </w:rPr>
            </w:pPr>
            <w:r>
              <w:rPr>
                <w:rFonts w:hint="eastAsia" w:eastAsia="等线"/>
                <w:color w:val="auto"/>
                <w:sz w:val="21"/>
                <w:szCs w:val="21"/>
              </w:rPr>
              <w:t>≥</w:t>
            </w:r>
            <w:r>
              <w:rPr>
                <w:rFonts w:eastAsia="等线"/>
                <w:color w:val="auto"/>
                <w:sz w:val="21"/>
                <w:szCs w:val="21"/>
              </w:rPr>
              <w:t>25mm</w:t>
            </w:r>
          </w:p>
        </w:tc>
        <w:tc>
          <w:tcPr>
            <w:tcW w:w="3000" w:type="dxa"/>
          </w:tcPr>
          <w:p>
            <w:pPr>
              <w:spacing w:after="0" w:line="360" w:lineRule="auto"/>
              <w:jc w:val="center"/>
              <w:rPr>
                <w:rFonts w:ascii="宋体" w:cs="宋体" w:hAnsiTheme="minorHAnsi"/>
                <w:color w:val="auto"/>
                <w:sz w:val="21"/>
                <w:szCs w:val="21"/>
              </w:rPr>
            </w:pPr>
            <w:r>
              <w:rPr>
                <w:rFonts w:ascii="宋体" w:cs="宋体" w:hAnsiTheme="minorHAnsi"/>
                <w:color w:val="auto"/>
                <w:sz w:val="21"/>
                <w:szCs w:val="21"/>
              </w:rPr>
              <w:t>40</w:t>
            </w:r>
            <w:r>
              <w:rPr>
                <w:rFonts w:eastAsia="等线"/>
                <w:color w:val="auto"/>
                <w:sz w:val="21"/>
                <w:szCs w:val="21"/>
              </w:rPr>
              <w:t>mm</w:t>
            </w:r>
            <w:r>
              <w:rPr>
                <w:rFonts w:ascii="宋体" w:cs="宋体" w:hAnsiTheme="minorHAnsi"/>
                <w:color w:val="auto"/>
                <w:sz w:val="21"/>
                <w:szCs w:val="21"/>
              </w:rPr>
              <w:t>+0.06</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≥2</w:t>
            </w:r>
            <w:r>
              <w:rPr>
                <w:rFonts w:eastAsia="等线"/>
                <w:i/>
                <w:iCs/>
                <w:color w:val="auto"/>
                <w:sz w:val="21"/>
                <w:szCs w:val="21"/>
              </w:rPr>
              <w:t>d</w:t>
            </w:r>
          </w:p>
        </w:tc>
        <w:tc>
          <w:tcPr>
            <w:tcW w:w="2863" w:type="dxa"/>
          </w:tcPr>
          <w:p>
            <w:pPr>
              <w:spacing w:after="0" w:line="360" w:lineRule="auto"/>
              <w:jc w:val="center"/>
              <w:rPr>
                <w:rFonts w:ascii="宋体" w:cs="宋体" w:hAnsiTheme="minorHAnsi"/>
                <w:color w:val="auto"/>
                <w:sz w:val="21"/>
                <w:szCs w:val="21"/>
              </w:rPr>
            </w:pPr>
            <w:r>
              <w:rPr>
                <w:rFonts w:eastAsia="等线"/>
                <w:color w:val="auto"/>
                <w:sz w:val="21"/>
                <w:szCs w:val="21"/>
              </w:rPr>
              <w:t>40mm</w:t>
            </w:r>
            <w:r>
              <w:rPr>
                <w:rFonts w:ascii="宋体" w:cs="宋体" w:hAnsiTheme="minorHAnsi"/>
                <w:color w:val="auto"/>
                <w:sz w:val="21"/>
                <w:szCs w:val="21"/>
              </w:rPr>
              <w:t>+0.02</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≥2</w:t>
            </w:r>
            <w:r>
              <w:rPr>
                <w:rFonts w:eastAsia="等线"/>
                <w:i/>
                <w:iCs/>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tcPr>
          <w:p>
            <w:pPr>
              <w:spacing w:after="0" w:line="360" w:lineRule="auto"/>
              <w:rPr>
                <w:rFonts w:ascii="宋体" w:cs="宋体" w:hAnsiTheme="minorHAnsi"/>
                <w:color w:val="auto"/>
                <w:sz w:val="21"/>
                <w:szCs w:val="21"/>
              </w:rPr>
            </w:pPr>
            <w:r>
              <w:rPr>
                <w:rFonts w:hint="eastAsia" w:ascii="宋体" w:cs="宋体" w:hAnsiTheme="minorHAnsi"/>
                <w:color w:val="auto"/>
                <w:sz w:val="21"/>
                <w:szCs w:val="21"/>
              </w:rPr>
              <w:t>气动锤击钻</w:t>
            </w:r>
          </w:p>
        </w:tc>
        <w:tc>
          <w:tcPr>
            <w:tcW w:w="1092" w:type="dxa"/>
          </w:tcPr>
          <w:p>
            <w:pPr>
              <w:spacing w:after="0" w:line="360" w:lineRule="auto"/>
              <w:jc w:val="center"/>
              <w:rPr>
                <w:rFonts w:eastAsia="等线"/>
                <w:color w:val="auto"/>
                <w:sz w:val="21"/>
                <w:szCs w:val="21"/>
              </w:rPr>
            </w:pPr>
            <w:r>
              <w:rPr>
                <w:rFonts w:hint="eastAsia" w:eastAsia="等线"/>
                <w:color w:val="auto"/>
                <w:sz w:val="21"/>
                <w:szCs w:val="21"/>
              </w:rPr>
              <w:t>&lt;2</w:t>
            </w:r>
            <w:r>
              <w:rPr>
                <w:rFonts w:eastAsia="等线"/>
                <w:color w:val="auto"/>
                <w:sz w:val="21"/>
                <w:szCs w:val="21"/>
              </w:rPr>
              <w:t>5</w:t>
            </w:r>
            <w:r>
              <w:rPr>
                <w:rFonts w:hint="eastAsia" w:eastAsia="等线"/>
                <w:color w:val="auto"/>
                <w:sz w:val="21"/>
                <w:szCs w:val="21"/>
              </w:rPr>
              <w:t>mm</w:t>
            </w:r>
          </w:p>
        </w:tc>
        <w:tc>
          <w:tcPr>
            <w:tcW w:w="3000" w:type="dxa"/>
          </w:tcPr>
          <w:p>
            <w:pPr>
              <w:spacing w:after="0" w:line="360" w:lineRule="auto"/>
              <w:jc w:val="center"/>
              <w:rPr>
                <w:rFonts w:ascii="宋体" w:cs="宋体" w:hAnsiTheme="minorHAnsi"/>
                <w:color w:val="auto"/>
                <w:sz w:val="21"/>
                <w:szCs w:val="21"/>
              </w:rPr>
            </w:pPr>
            <w:r>
              <w:rPr>
                <w:rFonts w:ascii="宋体" w:cs="宋体" w:hAnsiTheme="minorHAnsi"/>
                <w:color w:val="auto"/>
                <w:sz w:val="21"/>
                <w:szCs w:val="21"/>
              </w:rPr>
              <w:t>50</w:t>
            </w:r>
            <w:r>
              <w:rPr>
                <w:rFonts w:eastAsia="等线"/>
                <w:color w:val="auto"/>
                <w:sz w:val="21"/>
                <w:szCs w:val="21"/>
              </w:rPr>
              <w:t>mm</w:t>
            </w:r>
            <w:r>
              <w:rPr>
                <w:rFonts w:ascii="宋体" w:cs="宋体" w:hAnsiTheme="minorHAnsi"/>
                <w:color w:val="auto"/>
                <w:sz w:val="21"/>
                <w:szCs w:val="21"/>
              </w:rPr>
              <w:t>+0.08</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≥2</w:t>
            </w:r>
            <w:r>
              <w:rPr>
                <w:rFonts w:eastAsia="等线"/>
                <w:i/>
                <w:iCs/>
                <w:color w:val="auto"/>
                <w:sz w:val="21"/>
                <w:szCs w:val="21"/>
              </w:rPr>
              <w:t>d</w:t>
            </w:r>
          </w:p>
        </w:tc>
        <w:tc>
          <w:tcPr>
            <w:tcW w:w="2863" w:type="dxa"/>
          </w:tcPr>
          <w:p>
            <w:pPr>
              <w:spacing w:after="0" w:line="360" w:lineRule="auto"/>
              <w:jc w:val="center"/>
              <w:rPr>
                <w:rFonts w:ascii="宋体" w:cs="宋体" w:hAnsiTheme="minorHAnsi"/>
                <w:color w:val="auto"/>
                <w:sz w:val="21"/>
                <w:szCs w:val="21"/>
              </w:rPr>
            </w:pPr>
            <w:r>
              <w:rPr>
                <w:rFonts w:eastAsia="等线"/>
                <w:color w:val="auto"/>
                <w:sz w:val="21"/>
                <w:szCs w:val="21"/>
              </w:rPr>
              <w:t>50mm</w:t>
            </w:r>
            <w:r>
              <w:rPr>
                <w:rFonts w:ascii="宋体" w:cs="宋体" w:hAnsiTheme="minorHAnsi"/>
                <w:color w:val="auto"/>
                <w:sz w:val="21"/>
                <w:szCs w:val="21"/>
              </w:rPr>
              <w:t>+0.02</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≥2</w:t>
            </w:r>
            <w:r>
              <w:rPr>
                <w:rFonts w:eastAsia="等线"/>
                <w:i/>
                <w:iCs/>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tcPr>
          <w:p>
            <w:pPr>
              <w:spacing w:after="0" w:line="360" w:lineRule="auto"/>
              <w:rPr>
                <w:rFonts w:ascii="宋体" w:cs="宋体" w:hAnsiTheme="minorHAnsi"/>
                <w:color w:val="auto"/>
                <w:sz w:val="21"/>
                <w:szCs w:val="21"/>
              </w:rPr>
            </w:pPr>
          </w:p>
        </w:tc>
        <w:tc>
          <w:tcPr>
            <w:tcW w:w="1092" w:type="dxa"/>
          </w:tcPr>
          <w:p>
            <w:pPr>
              <w:spacing w:after="0" w:line="360" w:lineRule="auto"/>
              <w:jc w:val="center"/>
              <w:rPr>
                <w:rFonts w:eastAsia="等线"/>
                <w:color w:val="auto"/>
                <w:sz w:val="21"/>
                <w:szCs w:val="21"/>
              </w:rPr>
            </w:pPr>
            <w:r>
              <w:rPr>
                <w:rFonts w:hint="eastAsia" w:eastAsia="等线"/>
                <w:color w:val="auto"/>
                <w:sz w:val="21"/>
                <w:szCs w:val="21"/>
              </w:rPr>
              <w:t>≥</w:t>
            </w:r>
            <w:r>
              <w:rPr>
                <w:rFonts w:eastAsia="等线"/>
                <w:color w:val="auto"/>
                <w:sz w:val="21"/>
                <w:szCs w:val="21"/>
              </w:rPr>
              <w:t>25mm</w:t>
            </w:r>
          </w:p>
        </w:tc>
        <w:tc>
          <w:tcPr>
            <w:tcW w:w="3000" w:type="dxa"/>
          </w:tcPr>
          <w:p>
            <w:pPr>
              <w:spacing w:after="0" w:line="360" w:lineRule="auto"/>
              <w:jc w:val="center"/>
              <w:rPr>
                <w:rFonts w:ascii="宋体" w:cs="宋体" w:hAnsiTheme="minorHAnsi"/>
                <w:color w:val="auto"/>
                <w:sz w:val="21"/>
                <w:szCs w:val="21"/>
              </w:rPr>
            </w:pPr>
            <w:r>
              <w:rPr>
                <w:rFonts w:ascii="宋体" w:cs="宋体" w:hAnsiTheme="minorHAnsi"/>
                <w:color w:val="auto"/>
                <w:sz w:val="21"/>
                <w:szCs w:val="21"/>
              </w:rPr>
              <w:t>60</w:t>
            </w:r>
            <w:r>
              <w:rPr>
                <w:rFonts w:eastAsia="等线"/>
                <w:color w:val="auto"/>
                <w:sz w:val="21"/>
                <w:szCs w:val="21"/>
              </w:rPr>
              <w:t>mm</w:t>
            </w:r>
            <w:r>
              <w:rPr>
                <w:rFonts w:ascii="宋体" w:cs="宋体" w:hAnsiTheme="minorHAnsi"/>
                <w:color w:val="auto"/>
                <w:sz w:val="21"/>
                <w:szCs w:val="21"/>
              </w:rPr>
              <w:t>+0.08</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≥2</w:t>
            </w:r>
            <w:r>
              <w:rPr>
                <w:rFonts w:eastAsia="等线"/>
                <w:i/>
                <w:iCs/>
                <w:color w:val="auto"/>
                <w:sz w:val="21"/>
                <w:szCs w:val="21"/>
              </w:rPr>
              <w:t>d</w:t>
            </w:r>
          </w:p>
        </w:tc>
        <w:tc>
          <w:tcPr>
            <w:tcW w:w="2863" w:type="dxa"/>
          </w:tcPr>
          <w:p>
            <w:pPr>
              <w:spacing w:after="0" w:line="360" w:lineRule="auto"/>
              <w:jc w:val="center"/>
              <w:rPr>
                <w:rFonts w:ascii="宋体" w:cs="宋体" w:hAnsiTheme="minorHAnsi"/>
                <w:color w:val="auto"/>
                <w:sz w:val="21"/>
                <w:szCs w:val="21"/>
              </w:rPr>
            </w:pPr>
            <w:r>
              <w:rPr>
                <w:rFonts w:eastAsia="等线"/>
                <w:color w:val="auto"/>
                <w:sz w:val="21"/>
                <w:szCs w:val="21"/>
              </w:rPr>
              <w:t>60mm</w:t>
            </w:r>
            <w:r>
              <w:rPr>
                <w:rFonts w:ascii="宋体" w:cs="宋体" w:hAnsiTheme="minorHAnsi"/>
                <w:color w:val="auto"/>
                <w:sz w:val="21"/>
                <w:szCs w:val="21"/>
              </w:rPr>
              <w:t>+0.02</w:t>
            </w:r>
            <w:r>
              <w:rPr>
                <w:rFonts w:ascii="宋体" w:cs="宋体" w:hAnsiTheme="minorHAnsi"/>
                <w:i/>
                <w:iCs/>
                <w:color w:val="auto"/>
                <w:sz w:val="21"/>
                <w:szCs w:val="21"/>
              </w:rPr>
              <w:t>l</w:t>
            </w:r>
            <w:r>
              <w:rPr>
                <w:rFonts w:ascii="宋体" w:cs="宋体" w:hAnsiTheme="minorHAnsi"/>
                <w:i/>
                <w:iCs/>
                <w:color w:val="auto"/>
                <w:sz w:val="21"/>
                <w:szCs w:val="21"/>
                <w:vertAlign w:val="subscript"/>
              </w:rPr>
              <w:t>v</w:t>
            </w:r>
            <w:r>
              <w:rPr>
                <w:rFonts w:hint="eastAsia" w:ascii="等线" w:hAnsi="等线" w:eastAsia="等线" w:cs="宋体"/>
                <w:color w:val="auto"/>
                <w:sz w:val="21"/>
                <w:szCs w:val="21"/>
              </w:rPr>
              <w:t>≥2</w:t>
            </w:r>
            <w:r>
              <w:rPr>
                <w:rFonts w:eastAsia="等线"/>
                <w:i/>
                <w:iCs/>
                <w:color w:val="auto"/>
                <w:sz w:val="21"/>
                <w:szCs w:val="21"/>
              </w:rPr>
              <w:t>d</w:t>
            </w:r>
          </w:p>
        </w:tc>
      </w:tr>
    </w:tbl>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6.2.5</w:t>
      </w:r>
      <w:r>
        <w:rPr>
          <w:rFonts w:ascii="宋体" w:hAnsi="宋体"/>
          <w:i/>
          <w:iCs/>
          <w:color w:val="0070C0"/>
          <w:sz w:val="24"/>
          <w:szCs w:val="24"/>
        </w:rPr>
        <w:t xml:space="preserve"> </w:t>
      </w:r>
      <w:r>
        <w:rPr>
          <w:rFonts w:hint="eastAsia" w:ascii="宋体" w:hAnsi="宋体"/>
          <w:i/>
          <w:iCs/>
          <w:color w:val="0070C0"/>
          <w:sz w:val="24"/>
          <w:szCs w:val="24"/>
        </w:rPr>
        <w:t>植筋与混凝土边缘的净距离除考虑胶粘劈裂承载力以外，还应考虑施工偏差的影响。故提出与钻孔方式和植筋长度有关的最小钻孔位置的要求。当采用钻头导向辅助装置时，可以减小钻孔偏差，故要求略有防松。本规定参考了EAD</w:t>
      </w:r>
      <w:r>
        <w:rPr>
          <w:rFonts w:ascii="宋体" w:hAnsi="宋体"/>
          <w:i/>
          <w:iCs/>
          <w:color w:val="0070C0"/>
          <w:sz w:val="24"/>
          <w:szCs w:val="24"/>
        </w:rPr>
        <w:t>33086</w:t>
      </w:r>
      <w:r>
        <w:rPr>
          <w:rFonts w:hint="eastAsia" w:ascii="宋体" w:hAnsi="宋体"/>
          <w:i/>
          <w:iCs/>
          <w:color w:val="0070C0"/>
          <w:sz w:val="24"/>
          <w:szCs w:val="24"/>
        </w:rPr>
        <w:t>和TR</w:t>
      </w:r>
      <w:r>
        <w:rPr>
          <w:rFonts w:ascii="宋体" w:hAnsi="宋体"/>
          <w:i/>
          <w:iCs/>
          <w:color w:val="0070C0"/>
          <w:sz w:val="24"/>
          <w:szCs w:val="24"/>
        </w:rPr>
        <w:t>069</w:t>
      </w:r>
      <w:r>
        <w:rPr>
          <w:rFonts w:hint="eastAsia" w:ascii="宋体" w:hAnsi="宋体"/>
          <w:i/>
          <w:iCs/>
          <w:color w:val="0070C0"/>
          <w:sz w:val="24"/>
          <w:szCs w:val="24"/>
        </w:rPr>
        <w:t>的相关规定。</w:t>
      </w:r>
    </w:p>
    <w:p>
      <w:pPr>
        <w:spacing w:after="0" w:line="360" w:lineRule="auto"/>
        <w:rPr>
          <w:rFonts w:ascii="宋体" w:hAnsi="宋体"/>
          <w:i/>
          <w:iCs/>
          <w:color w:val="0070C0"/>
          <w:sz w:val="24"/>
          <w:szCs w:val="24"/>
        </w:rPr>
      </w:pPr>
      <w:r>
        <w:rPr>
          <w:rFonts w:hint="eastAsia" w:ascii="宋体" w:hAnsi="宋体"/>
          <w:i/>
          <w:iCs/>
          <w:color w:val="0070C0"/>
          <w:sz w:val="24"/>
          <w:szCs w:val="24"/>
        </w:rPr>
        <w:t>植筋钻孔时，特别是较长锚固长度的植筋钻孔时，为保证钻孔垂直度，宜采用带钻头导向辅助装置的钻机（图</w:t>
      </w:r>
      <w:r>
        <w:rPr>
          <w:rFonts w:ascii="宋体" w:hAnsi="宋体"/>
          <w:i/>
          <w:iCs/>
          <w:color w:val="0070C0"/>
          <w:sz w:val="24"/>
          <w:szCs w:val="24"/>
        </w:rPr>
        <w:t>6.2</w:t>
      </w:r>
      <w:r>
        <w:rPr>
          <w:rFonts w:hint="eastAsia" w:ascii="宋体" w:hAnsi="宋体"/>
          <w:i/>
          <w:iCs/>
          <w:color w:val="0070C0"/>
          <w:sz w:val="24"/>
          <w:szCs w:val="24"/>
        </w:rPr>
        <w:t>.5）。</w:t>
      </w:r>
    </w:p>
    <w:p>
      <w:pPr>
        <w:spacing w:after="0" w:line="360" w:lineRule="auto"/>
        <w:jc w:val="center"/>
        <w:rPr>
          <w:rFonts w:ascii="宋体" w:hAnsi="宋体"/>
          <w:i/>
          <w:iCs/>
          <w:color w:val="0070C0"/>
          <w:sz w:val="24"/>
          <w:szCs w:val="24"/>
        </w:rPr>
      </w:pPr>
      <w:r>
        <w:rPr>
          <w:rFonts w:hint="eastAsia"/>
          <w:sz w:val="24"/>
          <w:szCs w:val="24"/>
        </w:rPr>
        <w:drawing>
          <wp:inline distT="0" distB="0" distL="0" distR="0">
            <wp:extent cx="4133850" cy="1454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133850" cy="1454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88" w:lineRule="auto"/>
        <w:ind w:left="840" w:leftChars="400" w:firstLine="641" w:firstLineChars="304"/>
        <w:jc w:val="left"/>
        <w:textAlignment w:val="auto"/>
        <w:rPr>
          <w:rFonts w:ascii="宋体" w:hAnsi="宋体"/>
          <w:b/>
          <w:bCs/>
          <w:i w:val="0"/>
          <w:iCs w:val="0"/>
          <w:color w:val="auto"/>
          <w:sz w:val="21"/>
          <w:szCs w:val="21"/>
        </w:rPr>
      </w:pPr>
      <w:r>
        <w:rPr>
          <w:rFonts w:hint="eastAsia" w:ascii="宋体" w:hAnsi="宋体"/>
          <w:b/>
          <w:bCs/>
          <w:i w:val="0"/>
          <w:iCs w:val="0"/>
          <w:color w:val="auto"/>
          <w:sz w:val="21"/>
          <w:szCs w:val="21"/>
        </w:rPr>
        <w:t xml:space="preserve">（a）定位 </w:t>
      </w:r>
      <w:r>
        <w:rPr>
          <w:rFonts w:ascii="宋体" w:hAnsi="宋体"/>
          <w:b/>
          <w:bCs/>
          <w:i w:val="0"/>
          <w:iCs w:val="0"/>
          <w:color w:val="auto"/>
          <w:sz w:val="21"/>
          <w:szCs w:val="21"/>
        </w:rPr>
        <w:tab/>
      </w:r>
      <w:r>
        <w:rPr>
          <w:rFonts w:ascii="宋体" w:hAnsi="宋体"/>
          <w:b/>
          <w:bCs/>
          <w:i w:val="0"/>
          <w:iCs w:val="0"/>
          <w:color w:val="auto"/>
          <w:sz w:val="21"/>
          <w:szCs w:val="21"/>
        </w:rPr>
        <w:tab/>
      </w:r>
      <w:r>
        <w:rPr>
          <w:rFonts w:hint="eastAsia" w:ascii="宋体" w:hAnsi="宋体"/>
          <w:b/>
          <w:bCs/>
          <w:i w:val="0"/>
          <w:iCs w:val="0"/>
          <w:color w:val="auto"/>
          <w:sz w:val="21"/>
          <w:szCs w:val="21"/>
          <w:lang w:val="en-US" w:eastAsia="zh-CN"/>
        </w:rPr>
        <w:t xml:space="preserve">        </w:t>
      </w:r>
      <w:r>
        <w:rPr>
          <w:rFonts w:ascii="宋体" w:hAnsi="宋体"/>
          <w:b/>
          <w:bCs/>
          <w:i w:val="0"/>
          <w:iCs w:val="0"/>
          <w:color w:val="auto"/>
          <w:sz w:val="21"/>
          <w:szCs w:val="21"/>
        </w:rPr>
        <w:tab/>
      </w:r>
      <w:r>
        <w:rPr>
          <w:rFonts w:ascii="宋体" w:hAnsi="宋体"/>
          <w:b/>
          <w:bCs/>
          <w:i w:val="0"/>
          <w:iCs w:val="0"/>
          <w:color w:val="auto"/>
          <w:sz w:val="21"/>
          <w:szCs w:val="21"/>
        </w:rPr>
        <w:tab/>
      </w:r>
      <w:r>
        <w:rPr>
          <w:rFonts w:hint="eastAsia" w:ascii="宋体" w:hAnsi="宋体"/>
          <w:b/>
          <w:bCs/>
          <w:i w:val="0"/>
          <w:iCs w:val="0"/>
          <w:color w:val="auto"/>
          <w:sz w:val="21"/>
          <w:szCs w:val="21"/>
        </w:rPr>
        <w:t>（b）钻孔</w:t>
      </w:r>
    </w:p>
    <w:p>
      <w:pPr>
        <w:keepNext w:val="0"/>
        <w:keepLines w:val="0"/>
        <w:pageBreakBefore w:val="0"/>
        <w:widowControl w:val="0"/>
        <w:kinsoku/>
        <w:wordWrap/>
        <w:overflowPunct/>
        <w:topLinePunct w:val="0"/>
        <w:autoSpaceDE/>
        <w:autoSpaceDN/>
        <w:bidi w:val="0"/>
        <w:adjustRightInd/>
        <w:snapToGrid/>
        <w:spacing w:after="0" w:line="288" w:lineRule="auto"/>
        <w:ind w:left="843" w:leftChars="0" w:hanging="843" w:hangingChars="400"/>
        <w:jc w:val="center"/>
        <w:textAlignment w:val="auto"/>
        <w:rPr>
          <w:rFonts w:ascii="宋体" w:hAnsi="宋体"/>
          <w:b/>
          <w:bCs/>
          <w:i w:val="0"/>
          <w:iCs w:val="0"/>
          <w:color w:val="auto"/>
          <w:sz w:val="21"/>
          <w:szCs w:val="21"/>
        </w:rPr>
      </w:pPr>
      <w:r>
        <w:rPr>
          <w:rFonts w:hint="eastAsia" w:ascii="宋体" w:hAnsi="宋体"/>
          <w:b/>
          <w:bCs/>
          <w:i w:val="0"/>
          <w:iCs w:val="0"/>
          <w:color w:val="auto"/>
          <w:sz w:val="21"/>
          <w:szCs w:val="21"/>
        </w:rPr>
        <w:t>图</w:t>
      </w:r>
      <w:r>
        <w:rPr>
          <w:rFonts w:ascii="宋体" w:hAnsi="宋体"/>
          <w:b/>
          <w:bCs/>
          <w:i w:val="0"/>
          <w:iCs w:val="0"/>
          <w:color w:val="auto"/>
          <w:sz w:val="21"/>
          <w:szCs w:val="21"/>
        </w:rPr>
        <w:t>6.2</w:t>
      </w:r>
      <w:r>
        <w:rPr>
          <w:rFonts w:hint="eastAsia" w:ascii="宋体" w:hAnsi="宋体"/>
          <w:b/>
          <w:bCs/>
          <w:i w:val="0"/>
          <w:iCs w:val="0"/>
          <w:color w:val="auto"/>
          <w:sz w:val="21"/>
          <w:szCs w:val="21"/>
        </w:rPr>
        <w:t>.5 钻头导向辅助装置示意图</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.2.</w:t>
      </w:r>
      <w:r>
        <w:rPr>
          <w:rFonts w:ascii="宋体" w:hAnsi="宋体"/>
          <w:b/>
          <w:bCs/>
          <w:color w:val="auto"/>
          <w:sz w:val="24"/>
          <w:szCs w:val="24"/>
        </w:rPr>
        <w:t>6</w:t>
      </w:r>
      <w:r>
        <w:rPr>
          <w:rFonts w:hint="eastAsia" w:ascii="宋体" w:hAnsi="宋体"/>
          <w:color w:val="auto"/>
          <w:sz w:val="24"/>
          <w:szCs w:val="24"/>
        </w:rPr>
        <w:t xml:space="preserve"> 植筋钻孔完成后，应进行清孔。清孔应根据产品说明书的规定选用下列方式：</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宋体" w:hAnsi="宋体"/>
          <w:color w:val="auto"/>
          <w:sz w:val="24"/>
          <w:szCs w:val="24"/>
        </w:rPr>
      </w:pPr>
      <w:r>
        <w:rPr>
          <w:rFonts w:hint="eastAsia" w:ascii="宋体" w:hAnsi="宋体"/>
          <w:color w:val="auto"/>
          <w:sz w:val="24"/>
          <w:szCs w:val="24"/>
        </w:rPr>
        <w:t>1 手动气泵清孔宜用于钻孔直径不超过20</w:t>
      </w:r>
      <w:r>
        <w:rPr>
          <w:rFonts w:eastAsia="等线"/>
          <w:color w:val="auto"/>
          <w:sz w:val="24"/>
          <w:szCs w:val="24"/>
        </w:rPr>
        <w:t>mm</w:t>
      </w:r>
      <w:r>
        <w:rPr>
          <w:rFonts w:hint="eastAsia" w:ascii="宋体" w:hAnsi="宋体"/>
          <w:color w:val="auto"/>
          <w:sz w:val="24"/>
          <w:szCs w:val="24"/>
        </w:rPr>
        <w:t>、钻孔深度不超过20 倍植筋直径或不超过250</w:t>
      </w:r>
      <w:r>
        <w:rPr>
          <w:rFonts w:eastAsia="等线"/>
          <w:color w:val="auto"/>
          <w:sz w:val="24"/>
          <w:szCs w:val="24"/>
        </w:rPr>
        <w:t>mm</w:t>
      </w:r>
      <w:r>
        <w:rPr>
          <w:rFonts w:hint="eastAsia" w:ascii="宋体" w:hAnsi="宋体"/>
          <w:color w:val="auto"/>
          <w:sz w:val="24"/>
          <w:szCs w:val="24"/>
        </w:rPr>
        <w:t xml:space="preserve"> 时的电锤钻孔。清孔程序应为吹-刷-吹。应使用洁净无油的手动吹气筒清除孔内粉尘，并应用配套钢刷清洁孔壁。每个步骤的次数应符合产品说明书的安装要求，且不应少于4 次。吹气筒出气管长度和钢刷长度应能保证吹气嘴和钢刷端部达到钻孔底部；钢刷应略大于孔洞。</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宋体" w:hAnsi="宋体"/>
          <w:color w:val="auto"/>
          <w:sz w:val="24"/>
          <w:szCs w:val="24"/>
        </w:rPr>
      </w:pPr>
      <w:r>
        <w:rPr>
          <w:rFonts w:hint="eastAsia" w:ascii="宋体" w:hAnsi="宋体"/>
          <w:color w:val="auto"/>
          <w:sz w:val="24"/>
          <w:szCs w:val="24"/>
        </w:rPr>
        <w:t>2 电动气泵清孔宜用于任何孔径和深度的电锤钻孔，清孔程序为吹-刷-吹。应使用洁净无油的电动气泵清除孔内粉尘，并应用配套钢刷清洁孔壁。每个步骤的次数应符合产品说明书的安装要求</w:t>
      </w:r>
      <w:r>
        <w:rPr>
          <w:rFonts w:hint="eastAsia" w:ascii="宋体" w:hAnsi="宋体"/>
          <w:color w:val="auto"/>
          <w:sz w:val="24"/>
          <w:szCs w:val="24"/>
          <w:lang w:eastAsia="zh-CN"/>
        </w:rPr>
        <w:t>，</w:t>
      </w:r>
      <w:r>
        <w:rPr>
          <w:rFonts w:hint="eastAsia" w:ascii="宋体" w:hAnsi="宋体"/>
          <w:color w:val="auto"/>
          <w:sz w:val="24"/>
          <w:szCs w:val="24"/>
        </w:rPr>
        <w:t>且不应少于2 次。最小气压应为6 bar，</w:t>
      </w:r>
      <w:r>
        <w:rPr>
          <w:rFonts w:hint="eastAsia" w:ascii="宋体" w:hAnsi="宋体"/>
          <w:color w:val="auto"/>
          <w:sz w:val="24"/>
          <w:szCs w:val="24"/>
          <w:highlight w:val="none"/>
        </w:rPr>
        <w:t>出气量不应低于6m</w:t>
      </w:r>
      <w:r>
        <w:rPr>
          <w:rFonts w:hint="eastAsia" w:ascii="宋体" w:hAnsi="宋体"/>
          <w:color w:val="auto"/>
          <w:sz w:val="24"/>
          <w:szCs w:val="24"/>
          <w:highlight w:val="none"/>
          <w:vertAlign w:val="superscript"/>
        </w:rPr>
        <w:t>3</w:t>
      </w:r>
      <w:r>
        <w:rPr>
          <w:rFonts w:hint="eastAsia" w:ascii="宋体" w:hAnsi="宋体"/>
          <w:color w:val="auto"/>
          <w:sz w:val="24"/>
          <w:szCs w:val="24"/>
          <w:highlight w:val="none"/>
        </w:rPr>
        <w:t>/h</w:t>
      </w:r>
      <w:r>
        <w:rPr>
          <w:rFonts w:hint="eastAsia" w:ascii="宋体" w:hAnsi="宋体"/>
          <w:color w:val="auto"/>
          <w:sz w:val="24"/>
          <w:szCs w:val="24"/>
        </w:rPr>
        <w:t>。应采用延长杆使得吹、刷工具能达到钻孔底部，刷杆应能与电机连接，对孔底进行有效清刷。</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宋体" w:hAnsi="宋体"/>
          <w:color w:val="auto"/>
          <w:sz w:val="24"/>
          <w:szCs w:val="24"/>
        </w:rPr>
      </w:pPr>
      <w:r>
        <w:rPr>
          <w:rFonts w:hint="eastAsia" w:ascii="宋体" w:hAnsi="宋体"/>
          <w:color w:val="auto"/>
          <w:sz w:val="24"/>
          <w:szCs w:val="24"/>
        </w:rPr>
        <w:t>3 采</w:t>
      </w:r>
      <w:r>
        <w:rPr>
          <w:rFonts w:hint="eastAsia" w:ascii="宋体" w:hAnsi="宋体"/>
          <w:color w:val="auto"/>
          <w:sz w:val="24"/>
          <w:szCs w:val="24"/>
          <w:highlight w:val="none"/>
        </w:rPr>
        <w:t>用水钻钻孔</w:t>
      </w:r>
      <w:r>
        <w:rPr>
          <w:rFonts w:hint="eastAsia" w:ascii="宋体" w:hAnsi="宋体"/>
          <w:color w:val="auto"/>
          <w:sz w:val="24"/>
          <w:szCs w:val="24"/>
        </w:rPr>
        <w:t>清孔时，清孔程序应为水冲-刷-水冲-气吹-刷-气吹。应先用高压水枪清除潮湿孔洞内的粉尘和灰浆，然后用配套钢刷清洁孔壁；再次用高压水枪清除孔内残渣，并用电动气泵清除孔内积水，再次用钢刷清洁孔壁。每个步骤的次数应符合产品说明书的安装要求，且不应少于2 次。最小气压应为6bar，</w:t>
      </w:r>
      <w:r>
        <w:rPr>
          <w:rFonts w:hint="eastAsia" w:ascii="宋体" w:hAnsi="宋体"/>
          <w:color w:val="auto"/>
          <w:sz w:val="24"/>
          <w:szCs w:val="24"/>
          <w:highlight w:val="none"/>
        </w:rPr>
        <w:t>出气量不应低于6</w:t>
      </w:r>
      <w:r>
        <w:rPr>
          <w:rFonts w:hint="eastAsia" w:eastAsia="等线"/>
          <w:color w:val="auto"/>
          <w:sz w:val="24"/>
          <w:szCs w:val="24"/>
          <w:highlight w:val="none"/>
        </w:rPr>
        <w:t>m</w:t>
      </w:r>
      <w:r>
        <w:rPr>
          <w:rFonts w:hint="eastAsia" w:ascii="宋体" w:hAnsi="宋体"/>
          <w:color w:val="auto"/>
          <w:sz w:val="24"/>
          <w:szCs w:val="24"/>
          <w:highlight w:val="none"/>
          <w:vertAlign w:val="superscript"/>
        </w:rPr>
        <w:t>3</w:t>
      </w:r>
      <w:r>
        <w:rPr>
          <w:rFonts w:hint="eastAsia" w:ascii="宋体" w:hAnsi="宋体"/>
          <w:color w:val="auto"/>
          <w:sz w:val="24"/>
          <w:szCs w:val="24"/>
          <w:highlight w:val="none"/>
        </w:rPr>
        <w:t>/</w:t>
      </w:r>
      <w:r>
        <w:rPr>
          <w:rFonts w:hint="eastAsia" w:eastAsia="等线"/>
          <w:color w:val="auto"/>
          <w:sz w:val="24"/>
          <w:szCs w:val="24"/>
          <w:highlight w:val="none"/>
        </w:rPr>
        <w:t>h</w:t>
      </w:r>
      <w:r>
        <w:rPr>
          <w:rFonts w:hint="eastAsia" w:ascii="宋体" w:hAnsi="宋体"/>
          <w:color w:val="auto"/>
          <w:sz w:val="24"/>
          <w:szCs w:val="24"/>
          <w:highlight w:val="none"/>
        </w:rPr>
        <w:t>。</w:t>
      </w:r>
      <w:r>
        <w:rPr>
          <w:rFonts w:hint="eastAsia" w:ascii="宋体" w:hAnsi="宋体"/>
          <w:color w:val="auto"/>
          <w:sz w:val="24"/>
          <w:szCs w:val="24"/>
        </w:rPr>
        <w:t>吹气筒出气管长度和钢刷长度应保证吹气嘴和钢刷端部能达到钻孔底部；钢刷应略大于孔洞。</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ascii="宋体" w:hAnsi="宋体"/>
          <w:color w:val="auto"/>
          <w:sz w:val="24"/>
          <w:szCs w:val="24"/>
        </w:rPr>
      </w:pPr>
      <w:r>
        <w:rPr>
          <w:rFonts w:hint="eastAsia" w:ascii="宋体" w:hAnsi="宋体"/>
          <w:color w:val="auto"/>
          <w:sz w:val="24"/>
          <w:szCs w:val="24"/>
        </w:rPr>
        <w:t>4 采用真空吸尘钻孔时，应采用产品说明书指定的配套真空吸尘钻头及工具</w:t>
      </w:r>
      <w:r>
        <w:rPr>
          <w:rFonts w:hint="eastAsia" w:ascii="宋体" w:hAnsi="宋体"/>
          <w:color w:val="auto"/>
          <w:sz w:val="24"/>
          <w:szCs w:val="24"/>
          <w:lang w:eastAsia="zh-CN"/>
        </w:rPr>
        <w:t>，</w:t>
      </w:r>
      <w:r>
        <w:rPr>
          <w:rFonts w:hint="eastAsia" w:ascii="宋体" w:hAnsi="宋体"/>
          <w:color w:val="auto"/>
          <w:sz w:val="24"/>
          <w:szCs w:val="24"/>
        </w:rPr>
        <w:t>并应符合相对应的施工步骤。</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6.2.6</w:t>
      </w:r>
      <w:r>
        <w:rPr>
          <w:rFonts w:ascii="宋体" w:hAnsi="宋体"/>
          <w:i/>
          <w:iCs/>
          <w:color w:val="0070C0"/>
          <w:sz w:val="24"/>
          <w:szCs w:val="24"/>
        </w:rPr>
        <w:t xml:space="preserve"> </w:t>
      </w:r>
      <w:r>
        <w:rPr>
          <w:rFonts w:hint="eastAsia" w:ascii="宋体" w:hAnsi="宋体"/>
          <w:i/>
          <w:iCs/>
          <w:color w:val="0070C0"/>
          <w:sz w:val="24"/>
          <w:szCs w:val="24"/>
        </w:rPr>
        <w:t>对植筋胶而言，钻孔孔壁上的积灰和孔内积水会对植筋胶的粘结力产生很大影响，因此清孔作业是植筋工程中一道必不可少的工序。</w:t>
      </w:r>
    </w:p>
    <w:p>
      <w:pPr>
        <w:spacing w:after="0" w:line="360" w:lineRule="auto"/>
        <w:rPr>
          <w:rFonts w:ascii="宋体" w:hAnsi="宋体"/>
          <w:i/>
          <w:iCs/>
          <w:color w:val="0070C0"/>
          <w:sz w:val="24"/>
          <w:szCs w:val="24"/>
        </w:rPr>
      </w:pPr>
      <w:r>
        <w:rPr>
          <w:rFonts w:ascii="宋体" w:hAnsi="宋体"/>
          <w:i/>
          <w:iCs/>
          <w:color w:val="0070C0"/>
          <w:sz w:val="24"/>
          <w:szCs w:val="24"/>
        </w:rPr>
        <w:t xml:space="preserve">    </w:t>
      </w:r>
      <w:r>
        <w:rPr>
          <w:rFonts w:hint="eastAsia" w:ascii="宋体" w:hAnsi="宋体"/>
          <w:i/>
          <w:iCs/>
          <w:color w:val="0070C0"/>
          <w:sz w:val="24"/>
          <w:szCs w:val="24"/>
        </w:rPr>
        <w:t>当采用电锤钻孔时由于钻头的挤压作用有一部分粉尘会随钻头带出来，另一部分会被挤压到钻孔壁上，单纯依靠吹孔的方式不能完全清理干净，必须使用产品使用说明书中规定的配套的钢质毛刷刷孔，不可使用尼龙或其它软质毛刷。另外，植筋的锚固长度可达</w:t>
      </w:r>
      <w:r>
        <w:rPr>
          <w:rFonts w:ascii="宋体" w:hAnsi="宋体"/>
          <w:i/>
          <w:iCs/>
          <w:color w:val="0070C0"/>
          <w:sz w:val="24"/>
          <w:szCs w:val="24"/>
        </w:rPr>
        <w:t>35</w:t>
      </w:r>
      <w:r>
        <w:rPr>
          <w:rFonts w:hint="eastAsia" w:ascii="宋体" w:hAnsi="宋体"/>
          <w:i/>
          <w:iCs/>
          <w:color w:val="0070C0"/>
          <w:sz w:val="24"/>
          <w:szCs w:val="24"/>
        </w:rPr>
        <w:t>～</w:t>
      </w:r>
      <w:r>
        <w:rPr>
          <w:rFonts w:ascii="宋体" w:hAnsi="宋体"/>
          <w:i/>
          <w:iCs/>
          <w:color w:val="0070C0"/>
          <w:sz w:val="24"/>
          <w:szCs w:val="24"/>
        </w:rPr>
        <w:t>60</w:t>
      </w:r>
      <w:r>
        <w:rPr>
          <w:rFonts w:hint="eastAsia" w:ascii="宋体" w:hAnsi="宋体"/>
          <w:i/>
          <w:iCs/>
          <w:color w:val="0070C0"/>
          <w:sz w:val="24"/>
          <w:szCs w:val="24"/>
        </w:rPr>
        <w:t>倍的植筋直径，当配套钢刷和吹气嘴长度无法抵达钻孔底部不能有效清除孔壁时，应采用延长管实现有效清洁。钢刷直径通常略大于钻孔直径，如果钢刷小于孔洞，则需要依靠外力提供对侧壁的压力，清洁效果不好。</w:t>
      </w:r>
    </w:p>
    <w:p>
      <w:pPr>
        <w:spacing w:after="0" w:line="360" w:lineRule="auto"/>
        <w:rPr>
          <w:rFonts w:ascii="宋体" w:hAnsi="宋体"/>
          <w:i/>
          <w:iCs/>
          <w:color w:val="0070C0"/>
          <w:sz w:val="24"/>
          <w:szCs w:val="24"/>
        </w:rPr>
      </w:pPr>
      <w:r>
        <w:rPr>
          <w:rFonts w:ascii="宋体" w:hAnsi="宋体"/>
          <w:i/>
          <w:iCs/>
          <w:color w:val="0070C0"/>
          <w:sz w:val="24"/>
          <w:szCs w:val="24"/>
        </w:rPr>
        <w:t xml:space="preserve">    </w:t>
      </w:r>
      <w:r>
        <w:rPr>
          <w:rFonts w:hint="eastAsia" w:ascii="宋体" w:hAnsi="宋体"/>
          <w:i/>
          <w:iCs/>
          <w:color w:val="0070C0"/>
          <w:sz w:val="24"/>
          <w:szCs w:val="24"/>
        </w:rPr>
        <w:t>目前常用的清孔无论是手动还是电动吹孔的方式，但其缺点是会造成粉尘在空气中弥漫，对环境造成污染和影响施工操作人员的健康。因此可采用吸尘的方式，在吸尘管端部连接细长吸嘴深入孔内进行除尘清孔。目前较先进的钻孔技术是采用真空吸尘钻孔。它由端部带有吸尘孔的中空钻头和吸尘器组成，钻孔的同时完成吸尘清孔工序。虽然单从钻孔速度上比较未必有传统电锤钻孔或水钻钻孔快，但免去了清孔工序，整体效率更高且不会对环境造成污染。需要注意的是目前国际上真空吸尘钻虽然种类繁多，但真空吸尘钻孔的除尘效果却因产品而异。故宜在试用前通过完整的植筋作业与传统钻孔清孔的植筋做对比，以检验真空吸尘钻孔后植筋承载力。</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.2.</w:t>
      </w:r>
      <w:r>
        <w:rPr>
          <w:rFonts w:ascii="宋体" w:hAnsi="宋体"/>
          <w:b/>
          <w:bCs/>
          <w:color w:val="auto"/>
          <w:sz w:val="24"/>
          <w:szCs w:val="24"/>
        </w:rPr>
        <w:t>7</w:t>
      </w:r>
      <w:r>
        <w:rPr>
          <w:rFonts w:hint="eastAsia" w:ascii="宋体" w:hAnsi="宋体"/>
          <w:color w:val="auto"/>
          <w:sz w:val="24"/>
          <w:szCs w:val="24"/>
        </w:rPr>
        <w:t xml:space="preserve"> 植筋孔壁应完整，不得有裂缝和其他局部损伤。清孔完成后，当未立即植筋时，应暂时封闭孔口，防止尘土、碎屑、油污和水分落入孔内影响植筋质量。废弃的钻孔应采用结构胶填充密实。</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6.2.7</w:t>
      </w:r>
      <w:r>
        <w:rPr>
          <w:rFonts w:ascii="宋体" w:hAnsi="宋体"/>
          <w:i/>
          <w:iCs/>
          <w:color w:val="0070C0"/>
          <w:sz w:val="24"/>
          <w:szCs w:val="24"/>
        </w:rPr>
        <w:t xml:space="preserve"> </w:t>
      </w:r>
      <w:r>
        <w:rPr>
          <w:rFonts w:hint="eastAsia" w:ascii="宋体" w:hAnsi="宋体"/>
          <w:i/>
          <w:iCs/>
          <w:color w:val="0070C0"/>
          <w:sz w:val="24"/>
          <w:szCs w:val="24"/>
        </w:rPr>
        <w:t>锚固胶粘剂的粘结强度不同程度地会受到尘土、油污和水分的影响。所以，本条对清孔后的钻孔保护提出了要求。</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.2.</w:t>
      </w:r>
      <w:r>
        <w:rPr>
          <w:rFonts w:ascii="宋体" w:hAnsi="宋体"/>
          <w:b/>
          <w:bCs/>
          <w:color w:val="auto"/>
          <w:sz w:val="24"/>
          <w:szCs w:val="24"/>
        </w:rPr>
        <w:t>8</w:t>
      </w:r>
      <w:r>
        <w:rPr>
          <w:rFonts w:hint="eastAsia" w:ascii="宋体" w:hAnsi="宋体"/>
          <w:color w:val="auto"/>
          <w:sz w:val="24"/>
          <w:szCs w:val="24"/>
        </w:rPr>
        <w:t xml:space="preserve"> 植筋钻孔的孔径、孔深应符合设计文件要求，对孔径、孔深、垂直度进行测量，允许偏差应符合本规程</w:t>
      </w:r>
      <w:r>
        <w:rPr>
          <w:rFonts w:ascii="宋体" w:hAnsi="宋体"/>
          <w:color w:val="auto"/>
          <w:sz w:val="24"/>
          <w:szCs w:val="24"/>
        </w:rPr>
        <w:t>6.3.8</w:t>
      </w:r>
      <w:r>
        <w:rPr>
          <w:rFonts w:hint="eastAsia" w:ascii="宋体" w:hAnsi="宋体"/>
          <w:color w:val="auto"/>
          <w:sz w:val="24"/>
          <w:szCs w:val="24"/>
        </w:rPr>
        <w:t>的规定。当钻孔垂直度偏差超过表</w:t>
      </w:r>
      <w:r>
        <w:rPr>
          <w:rFonts w:ascii="宋体" w:hAnsi="宋体"/>
          <w:color w:val="auto"/>
          <w:sz w:val="24"/>
          <w:szCs w:val="24"/>
        </w:rPr>
        <w:t>6.3.8-2</w:t>
      </w:r>
      <w:r>
        <w:rPr>
          <w:rFonts w:hint="eastAsia" w:ascii="宋体" w:hAnsi="宋体"/>
          <w:color w:val="auto"/>
          <w:sz w:val="24"/>
          <w:szCs w:val="24"/>
        </w:rPr>
        <w:t>的允许值时，应由设计单位确认该孔洞是否可用；返工时，应由施工单位提出技术处理方案，经设计单位认可后实施。对经处理的孔洞，应重新检查验收。临近锚固区的废弃锚孔应采用高强度无收缩砂浆填充密实。</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9</w:t>
      </w:r>
      <w:r>
        <w:rPr>
          <w:rFonts w:hint="eastAsia" w:ascii="宋体" w:hAnsi="宋体"/>
          <w:color w:val="auto"/>
          <w:sz w:val="24"/>
          <w:szCs w:val="24"/>
        </w:rPr>
        <w:t xml:space="preserve"> 植筋系统注胶前，应检查其孔壁的干燥程度，并宜用混凝土含水率测定仪检测。基材表面温度和孔内表层含水率应符合设计和胶粘剂使用说明书要求</w:t>
      </w:r>
      <w:r>
        <w:rPr>
          <w:rFonts w:hint="eastAsia" w:ascii="宋体" w:hAnsi="宋体"/>
          <w:color w:val="auto"/>
          <w:sz w:val="24"/>
          <w:szCs w:val="24"/>
          <w:lang w:eastAsia="zh-CN"/>
        </w:rPr>
        <w:t>，</w:t>
      </w:r>
      <w:r>
        <w:rPr>
          <w:rFonts w:hint="eastAsia" w:ascii="宋体" w:hAnsi="宋体"/>
          <w:color w:val="auto"/>
          <w:sz w:val="24"/>
          <w:szCs w:val="24"/>
        </w:rPr>
        <w:t>无明确要求时，基材表面温度不应低于1</w:t>
      </w:r>
      <w:r>
        <w:rPr>
          <w:rFonts w:ascii="宋体" w:hAnsi="宋体"/>
          <w:color w:val="auto"/>
          <w:sz w:val="24"/>
          <w:szCs w:val="24"/>
        </w:rPr>
        <w:t>5</w:t>
      </w:r>
      <w:r>
        <w:rPr>
          <w:rFonts w:hint="eastAsia" w:ascii="宋体" w:hAnsi="宋体"/>
          <w:color w:val="auto"/>
          <w:sz w:val="24"/>
          <w:szCs w:val="24"/>
        </w:rPr>
        <w:t>°C；植筋施工严禁在大风、雨雪天气露天环境下进行。对于钻孔内存在潮湿或明水环境的施工，如不能有效进行钻孔干燥处理，应采用适用于潮湿环境的植筋胶粘剂。</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6.2.9</w:t>
      </w:r>
      <w:r>
        <w:rPr>
          <w:rFonts w:ascii="宋体" w:hAnsi="宋体"/>
          <w:i/>
          <w:iCs/>
          <w:color w:val="0070C0"/>
          <w:sz w:val="24"/>
          <w:szCs w:val="24"/>
        </w:rPr>
        <w:t xml:space="preserve"> </w:t>
      </w:r>
      <w:r>
        <w:rPr>
          <w:rFonts w:hint="eastAsia" w:ascii="宋体" w:hAnsi="宋体"/>
          <w:i/>
          <w:iCs/>
          <w:color w:val="0070C0"/>
          <w:sz w:val="24"/>
          <w:szCs w:val="24"/>
        </w:rPr>
        <w:t>规定了植筋工艺对施工环境的要求。</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10</w:t>
      </w:r>
      <w:r>
        <w:rPr>
          <w:rFonts w:hint="eastAsia" w:ascii="宋体" w:hAnsi="宋体"/>
          <w:b/>
          <w:bCs/>
          <w:color w:val="auto"/>
          <w:sz w:val="24"/>
          <w:szCs w:val="24"/>
          <w:lang w:val="en-US" w:eastAsia="zh-CN"/>
        </w:rPr>
        <w:t xml:space="preserve"> </w:t>
      </w:r>
      <w:r>
        <w:rPr>
          <w:rFonts w:hint="eastAsia" w:ascii="宋体" w:hAnsi="宋体"/>
          <w:color w:val="auto"/>
          <w:sz w:val="24"/>
          <w:szCs w:val="24"/>
        </w:rPr>
        <w:t>应按植筋胶产品说明书要求配备完整的注胶工具和相关配件，采用与植筋胶配套的自动混合注射筒，自动混合器应能保证胶粘剂混合均匀。在使用过程中，应防止灰尘、油、水等杂质混入，并应按规定的可操作时间完成植筋作业。</w:t>
      </w:r>
    </w:p>
    <w:p>
      <w:pPr>
        <w:spacing w:after="0" w:line="360" w:lineRule="auto"/>
        <w:rPr>
          <w:rFonts w:ascii="宋体" w:hAnsi="宋体"/>
          <w:color w:val="auto"/>
          <w:sz w:val="24"/>
          <w:szCs w:val="24"/>
        </w:rPr>
      </w:pPr>
      <w:r>
        <w:rPr>
          <w:rFonts w:hint="eastAsia" w:ascii="宋体" w:hAnsi="宋体"/>
          <w:i/>
          <w:iCs/>
          <w:color w:val="0070C0"/>
          <w:sz w:val="24"/>
          <w:szCs w:val="24"/>
        </w:rPr>
        <w:t>【条文说明】</w:t>
      </w:r>
      <w:r>
        <w:rPr>
          <w:rFonts w:ascii="宋体" w:hAnsi="宋体"/>
          <w:b/>
          <w:bCs/>
          <w:i/>
          <w:iCs/>
          <w:color w:val="0070C0"/>
          <w:sz w:val="24"/>
          <w:szCs w:val="24"/>
        </w:rPr>
        <w:t>6.2.10</w:t>
      </w:r>
      <w:r>
        <w:rPr>
          <w:rFonts w:ascii="宋体" w:hAnsi="宋体"/>
          <w:i/>
          <w:iCs/>
          <w:color w:val="0070C0"/>
          <w:sz w:val="24"/>
          <w:szCs w:val="24"/>
        </w:rPr>
        <w:t xml:space="preserve"> </w:t>
      </w:r>
      <w:r>
        <w:rPr>
          <w:rFonts w:hint="eastAsia" w:ascii="宋体" w:hAnsi="宋体"/>
          <w:i/>
          <w:iCs/>
          <w:color w:val="0070C0"/>
          <w:sz w:val="24"/>
          <w:szCs w:val="24"/>
        </w:rPr>
        <w:t>注胶时采用厂家配套的植筋胶混合与注射的专用工具，并按照安装说明书进行操作，注胶嘴应在注胶过程中略低于胶液表面，边注胶边退出，这样可以避免注胶过程中产生气泡，影响粘接质量。当孔深大于等于150</w:t>
      </w:r>
      <w:r>
        <w:rPr>
          <w:rFonts w:eastAsia="等线"/>
          <w:i/>
          <w:iCs/>
          <w:color w:val="auto"/>
          <w:sz w:val="24"/>
          <w:szCs w:val="24"/>
        </w:rPr>
        <w:t>mm</w:t>
      </w:r>
      <w:r>
        <w:rPr>
          <w:rFonts w:hint="eastAsia" w:ascii="宋体" w:hAnsi="宋体"/>
          <w:i/>
          <w:iCs/>
          <w:color w:val="0070C0"/>
          <w:sz w:val="24"/>
          <w:szCs w:val="24"/>
        </w:rPr>
        <w:t xml:space="preserve"> 时，注胶导管应采用接长装置，并应在导管上标注注胶结束位置，自孔底向外缓慢均匀注胶。才能保证种植应有的效果。</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11</w:t>
      </w:r>
      <w:r>
        <w:rPr>
          <w:rFonts w:hint="eastAsia" w:ascii="宋体" w:hAnsi="宋体"/>
          <w:color w:val="auto"/>
          <w:sz w:val="24"/>
          <w:szCs w:val="24"/>
        </w:rPr>
        <w:t xml:space="preserve"> 注入胶粘剂的灌注方式应不妨碍孔中的空气排出，灌注量应按产品使用说明书确定，植入钢筋后应有少许胶液溢出。在任何工程中，均不得采用钢筋从胶桶中粘胶后插进孔洞的施工方法。</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6.2.11</w:t>
      </w:r>
      <w:r>
        <w:rPr>
          <w:rFonts w:ascii="宋体" w:hAnsi="宋体"/>
          <w:i/>
          <w:iCs/>
          <w:color w:val="0070C0"/>
          <w:sz w:val="24"/>
          <w:szCs w:val="24"/>
        </w:rPr>
        <w:t xml:space="preserve"> </w:t>
      </w:r>
      <w:r>
        <w:rPr>
          <w:rFonts w:hint="eastAsia" w:ascii="宋体" w:hAnsi="宋体"/>
          <w:i/>
          <w:iCs/>
          <w:color w:val="0070C0"/>
          <w:sz w:val="24"/>
          <w:szCs w:val="24"/>
        </w:rPr>
        <w:t>注胶过程中一旦产生气泡。可能会减少胶体与植筋或胶体与孔壁的接触面积，减少粘结力。同时，注胶中产生的气泡也可能会导致植筋安装过程中将胶液挤出钻孔。另外，气泡还会对植筋锈蚀带来不利影响。目前有些现场采用钢筋从胶桶中蘸胶后插入孔中的做法必定不会有效地排空钻孔内空气，也无法保证孔洞内胶粘剂的密实度，势必会严重影响植筋的承载力。故禁止在施工中采用。</w:t>
      </w:r>
    </w:p>
    <w:p>
      <w:pPr>
        <w:spacing w:after="0" w:line="360" w:lineRule="auto"/>
        <w:rPr>
          <w:rFonts w:ascii="宋体" w:hAnsi="宋体"/>
          <w:strike/>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12</w:t>
      </w:r>
      <w:r>
        <w:rPr>
          <w:rFonts w:hint="eastAsia" w:ascii="宋体" w:hAnsi="宋体"/>
          <w:b/>
          <w:bCs/>
          <w:color w:val="auto"/>
          <w:sz w:val="24"/>
          <w:szCs w:val="24"/>
        </w:rPr>
        <w:t xml:space="preserve"> </w:t>
      </w:r>
      <w:r>
        <w:rPr>
          <w:rFonts w:hint="eastAsia" w:ascii="宋体" w:hAnsi="宋体"/>
          <w:color w:val="auto"/>
          <w:sz w:val="24"/>
          <w:szCs w:val="24"/>
        </w:rPr>
        <w:t>注入胶粘剂后，应立即插入钢筋，并沿单一方向边转边插，直至达到规定的深度。从胶粘剂开始混合至钢筋安装到位所需的时间，应在产品使用说明书规定的可操作时间之内。</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6.2.12</w:t>
      </w:r>
      <w:r>
        <w:rPr>
          <w:rFonts w:ascii="宋体" w:hAnsi="宋体"/>
          <w:i/>
          <w:iCs/>
          <w:color w:val="0070C0"/>
          <w:sz w:val="24"/>
          <w:szCs w:val="24"/>
        </w:rPr>
        <w:t xml:space="preserve"> </w:t>
      </w:r>
      <w:r>
        <w:rPr>
          <w:rFonts w:hint="eastAsia" w:ascii="宋体" w:hAnsi="宋体"/>
          <w:i/>
          <w:iCs/>
          <w:color w:val="0070C0"/>
          <w:sz w:val="24"/>
          <w:szCs w:val="24"/>
        </w:rPr>
        <w:t>钢筋的插入方式为边单向旋转边插入，其目的是为了避免在插入钢筋的过程中带入气泡。</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13</w:t>
      </w:r>
      <w:r>
        <w:rPr>
          <w:rFonts w:hint="eastAsia" w:ascii="宋体" w:hAnsi="宋体"/>
          <w:color w:val="auto"/>
          <w:sz w:val="24"/>
          <w:szCs w:val="24"/>
        </w:rPr>
        <w:t xml:space="preserve"> 植入的钢筋必须立即校正方向，使植入的钢筋与孔壁间的间隙均匀。胶粘剂未达到产品使用说明书规定的固化时间前，应静置养护，不应扰动植筋。</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14</w:t>
      </w:r>
      <w:r>
        <w:rPr>
          <w:rFonts w:hint="eastAsia" w:ascii="宋体" w:hAnsi="宋体"/>
          <w:color w:val="auto"/>
          <w:sz w:val="24"/>
          <w:szCs w:val="24"/>
        </w:rPr>
        <w:t xml:space="preserve"> 需要垂直向上安装的植筋系统其胶粘剂应能满足本规程附录E</w:t>
      </w:r>
      <w:r>
        <w:rPr>
          <w:rFonts w:ascii="宋体" w:hAnsi="宋体"/>
          <w:color w:val="auto"/>
          <w:sz w:val="24"/>
          <w:szCs w:val="24"/>
        </w:rPr>
        <w:t>关于</w:t>
      </w:r>
      <w:r>
        <w:rPr>
          <w:rFonts w:hint="eastAsia" w:ascii="宋体" w:hAnsi="宋体"/>
          <w:color w:val="auto"/>
          <w:sz w:val="24"/>
          <w:szCs w:val="24"/>
        </w:rPr>
        <w:t>植筋垂直向上安装的性能要求，且在注胶时应采用专门装置，防止胶粘剂垂流；钢筋插入后应采取临时固定措施，防止钢筋从植筋孔中掉落。</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6.2.14</w:t>
      </w:r>
      <w:r>
        <w:rPr>
          <w:rFonts w:hint="eastAsia" w:ascii="宋体" w:hAnsi="宋体"/>
          <w:i/>
          <w:iCs/>
          <w:color w:val="0070C0"/>
          <w:sz w:val="24"/>
          <w:szCs w:val="24"/>
        </w:rPr>
        <w:t xml:space="preserve"> 仰面施工时，一方面要防止由于胶液下垂造成植筋孔内缺胶，另一方面，要注意避免胶粘剂滴落在施工人员身上或地面。另外在胶粘剂固化前应对植筋进行临时固定，避免植筋因重力作用下滑甚至掉落影响植筋长度和植筋效果。</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b/>
          <w:bCs/>
          <w:color w:val="auto"/>
          <w:sz w:val="24"/>
          <w:szCs w:val="24"/>
        </w:rPr>
        <w:t>.</w:t>
      </w:r>
      <w:r>
        <w:rPr>
          <w:rFonts w:ascii="宋体" w:hAnsi="宋体"/>
          <w:b/>
          <w:bCs/>
          <w:color w:val="auto"/>
          <w:sz w:val="24"/>
          <w:szCs w:val="24"/>
        </w:rPr>
        <w:t>15</w:t>
      </w:r>
      <w:r>
        <w:rPr>
          <w:rFonts w:hint="eastAsia" w:ascii="宋体" w:hAnsi="宋体"/>
          <w:color w:val="auto"/>
          <w:sz w:val="24"/>
          <w:szCs w:val="24"/>
        </w:rPr>
        <w:t xml:space="preserve"> 植筋系统与外接新建混凝土构件内的钢筋连接时，宜采用搭接连接或机械连接接头，也可采用焊接连接。采用焊接接头时，应符合下列规定：</w:t>
      </w:r>
    </w:p>
    <w:p>
      <w:pPr>
        <w:spacing w:after="0" w:line="360" w:lineRule="auto"/>
        <w:ind w:firstLine="42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焊接宜在注胶前进行，</w:t>
      </w:r>
      <w:r>
        <w:rPr>
          <w:rFonts w:hint="eastAsia" w:ascii="宋体" w:hAnsi="宋体"/>
          <w:color w:val="auto"/>
          <w:sz w:val="24"/>
          <w:szCs w:val="24"/>
          <w:lang w:val="en-US" w:eastAsia="zh-CN"/>
        </w:rPr>
        <w:t>如确需</w:t>
      </w:r>
      <w:r>
        <w:rPr>
          <w:rFonts w:hint="eastAsia" w:ascii="宋体" w:hAnsi="宋体"/>
          <w:color w:val="auto"/>
          <w:sz w:val="24"/>
          <w:szCs w:val="24"/>
        </w:rPr>
        <w:t>后焊接时，应对焊接植筋进行等条件现场破坏性检验</w:t>
      </w:r>
      <w:r>
        <w:rPr>
          <w:rFonts w:hint="eastAsia" w:ascii="宋体" w:hAnsi="宋体"/>
          <w:color w:val="auto"/>
          <w:sz w:val="24"/>
          <w:szCs w:val="24"/>
          <w:lang w:eastAsia="zh-CN"/>
        </w:rPr>
        <w:t>，</w:t>
      </w:r>
      <w:r>
        <w:rPr>
          <w:rFonts w:hint="eastAsia" w:ascii="宋体" w:hAnsi="宋体"/>
          <w:color w:val="auto"/>
          <w:sz w:val="24"/>
          <w:szCs w:val="24"/>
          <w:lang w:val="en-US" w:eastAsia="zh-CN"/>
        </w:rPr>
        <w:t>检验应符合</w:t>
      </w:r>
      <w:r>
        <w:rPr>
          <w:rFonts w:hint="eastAsia" w:ascii="宋体" w:hAnsi="宋体"/>
          <w:color w:val="auto"/>
          <w:sz w:val="24"/>
          <w:szCs w:val="24"/>
        </w:rPr>
        <w:t>现行行业标准《混凝土结构后锚固技术规程》JGJ</w:t>
      </w:r>
      <w:r>
        <w:rPr>
          <w:rFonts w:ascii="宋体" w:hAnsi="宋体"/>
          <w:color w:val="auto"/>
          <w:sz w:val="24"/>
          <w:szCs w:val="24"/>
        </w:rPr>
        <w:t>145</w:t>
      </w:r>
      <w:r>
        <w:rPr>
          <w:rFonts w:hint="eastAsia" w:ascii="宋体" w:hAnsi="宋体"/>
          <w:color w:val="auto"/>
          <w:sz w:val="24"/>
          <w:szCs w:val="24"/>
        </w:rPr>
        <w:t>的规定。</w:t>
      </w:r>
    </w:p>
    <w:p>
      <w:pPr>
        <w:spacing w:after="0" w:line="360" w:lineRule="auto"/>
        <w:ind w:firstLine="420"/>
        <w:rPr>
          <w:rFonts w:hint="eastAsia" w:ascii="宋体" w:hAnsi="宋体" w:eastAsia="宋体"/>
          <w:color w:val="auto"/>
          <w:sz w:val="24"/>
          <w:szCs w:val="24"/>
          <w:lang w:eastAsia="zh-CN"/>
        </w:rPr>
      </w:pPr>
      <w:r>
        <w:rPr>
          <w:rFonts w:ascii="宋体" w:hAnsi="宋体"/>
          <w:color w:val="auto"/>
          <w:sz w:val="24"/>
          <w:szCs w:val="24"/>
        </w:rPr>
        <w:t xml:space="preserve">2 </w:t>
      </w:r>
      <w:r>
        <w:rPr>
          <w:rFonts w:hint="eastAsia" w:ascii="宋体" w:hAnsi="宋体"/>
          <w:color w:val="auto"/>
          <w:sz w:val="24"/>
          <w:szCs w:val="24"/>
        </w:rPr>
        <w:t>当个别钢筋确需后焊时，除应采取断续施焊的降温措施外，尚应要求施焊部位距注胶孔顶面的距离不应小于钢筋直径的15 倍，且不应小于200</w:t>
      </w:r>
      <w:r>
        <w:rPr>
          <w:rFonts w:eastAsia="等线"/>
          <w:color w:val="auto"/>
          <w:sz w:val="24"/>
          <w:szCs w:val="24"/>
        </w:rPr>
        <w:t>mm</w:t>
      </w:r>
      <w:r>
        <w:rPr>
          <w:rFonts w:hint="eastAsia" w:ascii="宋体" w:hAnsi="宋体"/>
          <w:color w:val="auto"/>
          <w:sz w:val="24"/>
          <w:szCs w:val="24"/>
        </w:rPr>
        <w:t>；且必须用冰水浸渍的多层湿巾包裹钢筋外露的根部，施焊过程中钢筋根部的温度不应超过胶粘剂产品说明书规定的最高短期温度</w:t>
      </w:r>
      <w:r>
        <w:rPr>
          <w:rFonts w:hint="eastAsia" w:ascii="宋体" w:hAnsi="宋体"/>
          <w:color w:val="auto"/>
          <w:sz w:val="24"/>
          <w:szCs w:val="24"/>
          <w:lang w:eastAsia="zh-CN"/>
        </w:rPr>
        <w:t>。</w:t>
      </w:r>
    </w:p>
    <w:p>
      <w:pPr>
        <w:spacing w:after="0" w:line="360" w:lineRule="auto"/>
        <w:ind w:firstLine="420"/>
        <w:rPr>
          <w:rFonts w:ascii="宋体" w:hAnsi="宋体"/>
          <w:color w:val="auto"/>
          <w:sz w:val="24"/>
          <w:szCs w:val="24"/>
        </w:rPr>
      </w:pPr>
      <w:r>
        <w:rPr>
          <w:rFonts w:hint="eastAsia" w:ascii="宋体" w:hAnsi="宋体"/>
          <w:color w:val="auto"/>
          <w:sz w:val="24"/>
          <w:szCs w:val="24"/>
        </w:rPr>
        <w:t>3</w:t>
      </w:r>
      <w:r>
        <w:rPr>
          <w:rFonts w:ascii="宋体" w:hAnsi="宋体"/>
          <w:color w:val="auto"/>
          <w:sz w:val="24"/>
          <w:szCs w:val="24"/>
        </w:rPr>
        <w:t xml:space="preserve"> </w:t>
      </w:r>
      <w:r>
        <w:rPr>
          <w:rFonts w:hint="eastAsia" w:ascii="宋体" w:hAnsi="宋体"/>
          <w:color w:val="auto"/>
          <w:sz w:val="24"/>
          <w:szCs w:val="24"/>
        </w:rPr>
        <w:t>焊接时，不应将焊接的接地线连接到施焊植筋的根部。</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6.2.15</w:t>
      </w:r>
      <w:r>
        <w:rPr>
          <w:rFonts w:ascii="宋体" w:hAnsi="宋体"/>
          <w:i/>
          <w:iCs/>
          <w:color w:val="0070C0"/>
          <w:sz w:val="24"/>
          <w:szCs w:val="24"/>
        </w:rPr>
        <w:t xml:space="preserve"> </w:t>
      </w:r>
      <w:r>
        <w:rPr>
          <w:rFonts w:hint="eastAsia" w:ascii="宋体" w:hAnsi="宋体"/>
          <w:i/>
          <w:iCs/>
          <w:color w:val="0070C0"/>
          <w:sz w:val="24"/>
          <w:szCs w:val="24"/>
        </w:rPr>
        <w:t>对植筋系统钢筋的连接接头的处理进行了详细的规定：</w:t>
      </w:r>
    </w:p>
    <w:p>
      <w:pPr>
        <w:spacing w:after="0" w:line="360" w:lineRule="auto"/>
        <w:ind w:firstLine="420"/>
        <w:rPr>
          <w:rFonts w:ascii="宋体" w:hAnsi="宋体"/>
          <w:i/>
          <w:iCs/>
          <w:color w:val="0070C0"/>
          <w:sz w:val="24"/>
          <w:szCs w:val="24"/>
        </w:rPr>
      </w:pPr>
      <w:r>
        <w:rPr>
          <w:rFonts w:ascii="宋体" w:hAnsi="宋体"/>
          <w:i/>
          <w:iCs/>
          <w:color w:val="0070C0"/>
          <w:sz w:val="24"/>
          <w:szCs w:val="24"/>
        </w:rPr>
        <w:t xml:space="preserve">1 </w:t>
      </w:r>
      <w:r>
        <w:rPr>
          <w:rFonts w:hint="eastAsia" w:ascii="宋体" w:hAnsi="宋体"/>
          <w:i/>
          <w:iCs/>
          <w:color w:val="0070C0"/>
          <w:sz w:val="24"/>
          <w:szCs w:val="24"/>
        </w:rPr>
        <w:t>若采用机械连接接头，可以在植筋以后进行。</w:t>
      </w:r>
    </w:p>
    <w:p>
      <w:pPr>
        <w:spacing w:after="0" w:line="360" w:lineRule="auto"/>
        <w:ind w:firstLine="420"/>
        <w:rPr>
          <w:rFonts w:ascii="宋体" w:hAnsi="宋体"/>
          <w:i/>
          <w:iCs/>
          <w:color w:val="0070C0"/>
          <w:sz w:val="24"/>
          <w:szCs w:val="24"/>
        </w:rPr>
      </w:pPr>
      <w:r>
        <w:rPr>
          <w:rFonts w:hint="eastAsia" w:ascii="宋体" w:hAnsi="宋体"/>
          <w:i/>
          <w:iCs/>
          <w:color w:val="0070C0"/>
          <w:sz w:val="24"/>
          <w:szCs w:val="24"/>
        </w:rPr>
        <w:t>2</w:t>
      </w:r>
      <w:r>
        <w:rPr>
          <w:rFonts w:ascii="宋体" w:hAnsi="宋体"/>
          <w:i/>
          <w:iCs/>
          <w:color w:val="0070C0"/>
          <w:sz w:val="24"/>
          <w:szCs w:val="24"/>
        </w:rPr>
        <w:t xml:space="preserve"> </w:t>
      </w:r>
      <w:r>
        <w:rPr>
          <w:rFonts w:hint="eastAsia" w:ascii="宋体" w:hAnsi="宋体"/>
          <w:i/>
          <w:iCs/>
          <w:color w:val="0070C0"/>
          <w:sz w:val="24"/>
          <w:szCs w:val="24"/>
        </w:rPr>
        <w:t>当采用焊接接头时，不管是采用电渣压力焊还是电弧焊，都或多或少地会引起钢筋温度的升高，直接影响到胶粘剂的粘结强度和耐久性。倘若采取了有效的降温措施，虽然仍可对个别植筋进行补焊，但总归存在着一定风险。故在实际工程中，对成批的植筋仍应坚持先焊接后植筋的原则，以确保胶层不致因受高温作用而受损。</w:t>
      </w:r>
    </w:p>
    <w:p>
      <w:pPr>
        <w:spacing w:after="0" w:line="360" w:lineRule="auto"/>
        <w:ind w:firstLine="420"/>
        <w:rPr>
          <w:rFonts w:ascii="宋体" w:hAnsi="宋体"/>
          <w:i/>
          <w:iCs/>
          <w:color w:val="0070C0"/>
          <w:sz w:val="24"/>
          <w:szCs w:val="24"/>
        </w:rPr>
      </w:pPr>
      <w:r>
        <w:rPr>
          <w:rFonts w:ascii="宋体" w:hAnsi="宋体"/>
          <w:i/>
          <w:iCs/>
          <w:color w:val="0070C0"/>
          <w:sz w:val="24"/>
          <w:szCs w:val="24"/>
        </w:rPr>
        <w:t xml:space="preserve">3 </w:t>
      </w:r>
      <w:r>
        <w:rPr>
          <w:rFonts w:hint="eastAsia" w:ascii="宋体" w:hAnsi="宋体"/>
          <w:i/>
          <w:iCs/>
          <w:color w:val="0070C0"/>
          <w:sz w:val="24"/>
          <w:szCs w:val="24"/>
        </w:rPr>
        <w:t>植筋系统的钢筋连接采用后焊接时，将电焊机的接地线放到植筋钢筋的根部，容易引起胶粘剂局部温度升高、碳化，影响其粘结强度，施工时应避免。</w:t>
      </w:r>
    </w:p>
    <w:p>
      <w:pPr>
        <w:spacing w:after="0" w:line="360" w:lineRule="auto"/>
        <w:rPr>
          <w:rFonts w:ascii="宋体" w:hAnsi="宋体"/>
          <w:color w:val="auto"/>
          <w:sz w:val="24"/>
          <w:szCs w:val="24"/>
        </w:rPr>
      </w:pPr>
      <w:r>
        <w:rPr>
          <w:rFonts w:ascii="宋体" w:hAnsi="宋体"/>
          <w:b/>
          <w:bCs/>
          <w:color w:val="auto"/>
          <w:sz w:val="24"/>
          <w:szCs w:val="24"/>
        </w:rPr>
        <w:t>6.2.16</w:t>
      </w:r>
      <w:r>
        <w:rPr>
          <w:rFonts w:ascii="宋体" w:hAnsi="宋体"/>
          <w:color w:val="auto"/>
          <w:sz w:val="24"/>
          <w:szCs w:val="24"/>
        </w:rPr>
        <w:t xml:space="preserve"> </w:t>
      </w:r>
      <w:r>
        <w:rPr>
          <w:rFonts w:hint="eastAsia" w:ascii="宋体" w:hAnsi="宋体"/>
          <w:color w:val="auto"/>
          <w:sz w:val="24"/>
          <w:szCs w:val="24"/>
        </w:rPr>
        <w:t>新增构件的安装、钢筋笼绑扎与混凝土浇筑应在植筋胶粘剂固化时间不少于产品使用说明规定的最短固化时间之后进行。</w:t>
      </w:r>
    </w:p>
    <w:p>
      <w:pPr>
        <w:pStyle w:val="5"/>
      </w:pPr>
      <w:bookmarkStart w:id="50" w:name="_Toc8104"/>
      <w:bookmarkStart w:id="51" w:name="_Toc145273819"/>
      <w:r>
        <w:t>6</w:t>
      </w:r>
      <w:r>
        <w:rPr>
          <w:rFonts w:hint="eastAsia"/>
        </w:rPr>
        <w:t>.3 施工质量验收</w:t>
      </w:r>
      <w:bookmarkEnd w:id="50"/>
      <w:bookmarkEnd w:id="51"/>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3</w:t>
      </w:r>
      <w:r>
        <w:rPr>
          <w:rFonts w:hint="eastAsia" w:ascii="宋体" w:hAnsi="宋体"/>
          <w:b/>
          <w:bCs/>
          <w:color w:val="auto"/>
          <w:sz w:val="24"/>
          <w:szCs w:val="24"/>
        </w:rPr>
        <w:t>.1</w:t>
      </w:r>
      <w:r>
        <w:rPr>
          <w:rFonts w:hint="eastAsia" w:ascii="宋体" w:hAnsi="宋体"/>
          <w:color w:val="auto"/>
          <w:sz w:val="24"/>
          <w:szCs w:val="24"/>
        </w:rPr>
        <w:t xml:space="preserve"> 植筋系统施工时，</w:t>
      </w:r>
      <w:r>
        <w:rPr>
          <w:rFonts w:hint="eastAsia" w:ascii="宋体" w:hAnsi="宋体"/>
          <w:color w:val="auto"/>
          <w:sz w:val="24"/>
          <w:szCs w:val="24"/>
          <w:lang w:val="en-US" w:eastAsia="zh-CN"/>
        </w:rPr>
        <w:t>下列</w:t>
      </w:r>
      <w:r>
        <w:rPr>
          <w:rFonts w:hint="eastAsia" w:ascii="宋体" w:hAnsi="宋体"/>
          <w:color w:val="auto"/>
          <w:sz w:val="24"/>
          <w:szCs w:val="24"/>
        </w:rPr>
        <w:t>工序完成后，应按隐蔽工程的要求进行检查，全部合格后，方可进入下一工序：</w:t>
      </w:r>
    </w:p>
    <w:p>
      <w:pPr>
        <w:spacing w:after="0" w:line="360" w:lineRule="auto"/>
        <w:ind w:firstLine="420"/>
        <w:rPr>
          <w:rFonts w:ascii="宋体" w:hAnsi="宋体"/>
          <w:color w:val="auto"/>
          <w:sz w:val="24"/>
          <w:szCs w:val="24"/>
        </w:rPr>
      </w:pPr>
      <w:r>
        <w:rPr>
          <w:rFonts w:hint="eastAsia" w:ascii="宋体" w:hAnsi="宋体"/>
          <w:color w:val="auto"/>
          <w:sz w:val="24"/>
          <w:szCs w:val="24"/>
        </w:rPr>
        <w:t>1 植筋钻孔位置、孔径及垂直度；</w:t>
      </w:r>
    </w:p>
    <w:p>
      <w:pPr>
        <w:spacing w:after="0" w:line="360" w:lineRule="auto"/>
        <w:ind w:firstLine="420"/>
        <w:rPr>
          <w:rFonts w:ascii="宋体" w:hAnsi="宋体"/>
          <w:color w:val="auto"/>
          <w:sz w:val="24"/>
          <w:szCs w:val="24"/>
        </w:rPr>
      </w:pPr>
      <w:r>
        <w:rPr>
          <w:rFonts w:hint="eastAsia" w:ascii="宋体" w:hAnsi="宋体"/>
          <w:color w:val="auto"/>
          <w:sz w:val="24"/>
          <w:szCs w:val="24"/>
        </w:rPr>
        <w:t>2 植筋用钢筋或螺杆的除锈处理效果；</w:t>
      </w:r>
    </w:p>
    <w:p>
      <w:pPr>
        <w:spacing w:after="0" w:line="360" w:lineRule="auto"/>
        <w:ind w:firstLine="420"/>
        <w:rPr>
          <w:rFonts w:ascii="宋体" w:hAnsi="宋体"/>
          <w:color w:val="auto"/>
          <w:sz w:val="24"/>
          <w:szCs w:val="24"/>
        </w:rPr>
      </w:pPr>
      <w:r>
        <w:rPr>
          <w:rFonts w:hint="eastAsia" w:ascii="宋体" w:hAnsi="宋体"/>
          <w:color w:val="auto"/>
          <w:sz w:val="24"/>
          <w:szCs w:val="24"/>
        </w:rPr>
        <w:t>3 植筋钻孔的清孔质量；</w:t>
      </w:r>
    </w:p>
    <w:p>
      <w:pPr>
        <w:spacing w:after="0" w:line="360" w:lineRule="auto"/>
        <w:ind w:firstLine="420"/>
        <w:rPr>
          <w:rFonts w:ascii="宋体" w:hAnsi="宋体"/>
          <w:color w:val="auto"/>
          <w:sz w:val="24"/>
          <w:szCs w:val="24"/>
        </w:rPr>
      </w:pPr>
      <w:r>
        <w:rPr>
          <w:rFonts w:hint="eastAsia" w:ascii="宋体" w:hAnsi="宋体"/>
          <w:color w:val="auto"/>
          <w:sz w:val="24"/>
          <w:szCs w:val="24"/>
        </w:rPr>
        <w:t>4 植筋孔壁完整性和干燥度；</w:t>
      </w:r>
    </w:p>
    <w:p>
      <w:pPr>
        <w:spacing w:after="0" w:line="360" w:lineRule="auto"/>
        <w:ind w:firstLine="420"/>
        <w:rPr>
          <w:rFonts w:ascii="宋体" w:hAnsi="宋体"/>
          <w:color w:val="auto"/>
          <w:sz w:val="24"/>
          <w:szCs w:val="24"/>
        </w:rPr>
      </w:pPr>
      <w:r>
        <w:rPr>
          <w:rFonts w:hint="eastAsia" w:ascii="宋体" w:hAnsi="宋体"/>
          <w:color w:val="auto"/>
          <w:sz w:val="24"/>
          <w:szCs w:val="24"/>
        </w:rPr>
        <w:t>5 注胶操作及注胶量。</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w:t>
      </w:r>
      <w:r>
        <w:rPr>
          <w:rFonts w:ascii="宋体" w:hAnsi="宋体"/>
          <w:b/>
          <w:bCs/>
          <w:color w:val="auto"/>
          <w:sz w:val="24"/>
          <w:szCs w:val="24"/>
        </w:rPr>
        <w:t>3</w:t>
      </w:r>
      <w:r>
        <w:rPr>
          <w:rFonts w:hint="eastAsia" w:ascii="宋体" w:hAnsi="宋体"/>
          <w:b/>
          <w:bCs/>
          <w:color w:val="auto"/>
          <w:sz w:val="24"/>
          <w:szCs w:val="24"/>
        </w:rPr>
        <w:t>.</w:t>
      </w:r>
      <w:r>
        <w:rPr>
          <w:rFonts w:ascii="宋体" w:hAnsi="宋体"/>
          <w:b/>
          <w:bCs/>
          <w:color w:val="auto"/>
          <w:sz w:val="24"/>
          <w:szCs w:val="24"/>
        </w:rPr>
        <w:t>2</w:t>
      </w:r>
      <w:r>
        <w:rPr>
          <w:rFonts w:hint="eastAsia" w:ascii="宋体" w:hAnsi="宋体"/>
          <w:color w:val="auto"/>
          <w:sz w:val="24"/>
          <w:szCs w:val="24"/>
        </w:rPr>
        <w:t xml:space="preserve"> 在对需要进行植筋工程的原结构、构件完成清理和修整后应检验基材表面的清洁度和完整性。基材表面不应有油污、缺陷和裂缝。</w:t>
      </w:r>
    </w:p>
    <w:p>
      <w:pPr>
        <w:spacing w:after="0" w:line="360" w:lineRule="auto"/>
        <w:ind w:firstLine="440"/>
        <w:rPr>
          <w:rFonts w:ascii="宋体" w:hAnsi="宋体"/>
          <w:color w:val="auto"/>
          <w:sz w:val="24"/>
          <w:szCs w:val="24"/>
        </w:rPr>
      </w:pPr>
      <w:r>
        <w:rPr>
          <w:rFonts w:hint="eastAsia" w:ascii="宋体" w:hAnsi="宋体"/>
          <w:color w:val="auto"/>
          <w:sz w:val="24"/>
          <w:szCs w:val="24"/>
        </w:rPr>
        <w:t>检查数量：全数检查。</w:t>
      </w:r>
    </w:p>
    <w:p>
      <w:pPr>
        <w:spacing w:after="0" w:line="360" w:lineRule="auto"/>
        <w:ind w:firstLine="440"/>
        <w:rPr>
          <w:rFonts w:ascii="宋体" w:hAnsi="宋体"/>
          <w:color w:val="auto"/>
          <w:sz w:val="24"/>
          <w:szCs w:val="24"/>
        </w:rPr>
      </w:pPr>
      <w:r>
        <w:rPr>
          <w:rFonts w:hint="eastAsia" w:ascii="宋体" w:hAnsi="宋体"/>
          <w:color w:val="auto"/>
          <w:sz w:val="24"/>
          <w:szCs w:val="24"/>
        </w:rPr>
        <w:t>检验方法：肉眼观察。</w:t>
      </w:r>
    </w:p>
    <w:p>
      <w:pPr>
        <w:spacing w:after="0" w:line="360" w:lineRule="auto"/>
        <w:rPr>
          <w:rFonts w:ascii="宋体" w:hAnsi="宋体"/>
          <w:color w:val="auto"/>
          <w:sz w:val="24"/>
          <w:szCs w:val="24"/>
        </w:rPr>
      </w:pPr>
      <w:r>
        <w:rPr>
          <w:rFonts w:ascii="宋体" w:hAnsi="宋体"/>
          <w:b/>
          <w:bCs/>
          <w:color w:val="auto"/>
          <w:sz w:val="24"/>
          <w:szCs w:val="24"/>
        </w:rPr>
        <w:t>6.3.3</w:t>
      </w:r>
      <w:r>
        <w:rPr>
          <w:rFonts w:hint="eastAsia" w:ascii="宋体" w:hAnsi="宋体"/>
          <w:color w:val="auto"/>
          <w:sz w:val="24"/>
          <w:szCs w:val="24"/>
        </w:rPr>
        <w:t xml:space="preserve"> 植筋用钢筋在植入前应复查有无</w:t>
      </w:r>
      <w:r>
        <w:rPr>
          <w:rFonts w:hint="eastAsia" w:ascii="宋体" w:hAnsi="宋体"/>
          <w:color w:val="auto"/>
          <w:sz w:val="24"/>
          <w:szCs w:val="24"/>
          <w:lang w:val="en-US" w:eastAsia="zh-CN"/>
        </w:rPr>
        <w:t>未</w:t>
      </w:r>
      <w:r>
        <w:rPr>
          <w:rFonts w:hint="eastAsia" w:ascii="宋体" w:hAnsi="宋体"/>
          <w:color w:val="auto"/>
          <w:sz w:val="24"/>
          <w:szCs w:val="24"/>
        </w:rPr>
        <w:t>打磨干净的新旧锈斑。</w:t>
      </w:r>
    </w:p>
    <w:p>
      <w:pPr>
        <w:spacing w:after="0" w:line="360" w:lineRule="auto"/>
        <w:rPr>
          <w:rFonts w:ascii="宋体" w:hAnsi="宋体"/>
          <w:color w:val="auto"/>
          <w:sz w:val="24"/>
          <w:szCs w:val="24"/>
        </w:rPr>
      </w:pPr>
      <w:r>
        <w:rPr>
          <w:rFonts w:hint="eastAsia" w:ascii="宋体" w:hAnsi="宋体"/>
          <w:color w:val="auto"/>
          <w:sz w:val="24"/>
          <w:szCs w:val="24"/>
        </w:rPr>
        <w:t xml:space="preserve">    检查数量：全数检查。</w:t>
      </w:r>
    </w:p>
    <w:p>
      <w:pPr>
        <w:spacing w:after="0" w:line="360" w:lineRule="auto"/>
        <w:rPr>
          <w:rFonts w:ascii="宋体" w:hAnsi="宋体"/>
          <w:color w:val="auto"/>
          <w:sz w:val="24"/>
          <w:szCs w:val="24"/>
        </w:rPr>
      </w:pPr>
      <w:r>
        <w:rPr>
          <w:rFonts w:hint="eastAsia" w:ascii="宋体" w:hAnsi="宋体"/>
          <w:color w:val="auto"/>
          <w:sz w:val="24"/>
          <w:szCs w:val="24"/>
        </w:rPr>
        <w:t xml:space="preserve">    检验方法：观察。</w:t>
      </w:r>
    </w:p>
    <w:p>
      <w:pPr>
        <w:spacing w:after="0" w:line="360" w:lineRule="auto"/>
        <w:rPr>
          <w:rFonts w:ascii="宋体" w:hAnsi="宋体"/>
          <w:color w:val="auto"/>
          <w:sz w:val="24"/>
          <w:szCs w:val="24"/>
        </w:rPr>
      </w:pPr>
      <w:r>
        <w:rPr>
          <w:rFonts w:ascii="宋体" w:hAnsi="宋体"/>
          <w:b/>
          <w:bCs/>
          <w:color w:val="auto"/>
          <w:sz w:val="24"/>
          <w:szCs w:val="24"/>
        </w:rPr>
        <w:t>6.</w:t>
      </w:r>
      <w:r>
        <w:rPr>
          <w:rFonts w:hint="eastAsia" w:ascii="宋体" w:hAnsi="宋体"/>
          <w:b/>
          <w:bCs/>
          <w:color w:val="auto"/>
          <w:sz w:val="24"/>
          <w:szCs w:val="24"/>
        </w:rPr>
        <w:t>3</w:t>
      </w:r>
      <w:r>
        <w:rPr>
          <w:rFonts w:ascii="宋体" w:hAnsi="宋体"/>
          <w:b/>
          <w:bCs/>
          <w:color w:val="auto"/>
          <w:sz w:val="24"/>
          <w:szCs w:val="24"/>
        </w:rPr>
        <w:t>.</w:t>
      </w:r>
      <w:r>
        <w:rPr>
          <w:rFonts w:hint="eastAsia" w:ascii="宋体" w:hAnsi="宋体"/>
          <w:b/>
          <w:bCs/>
          <w:color w:val="auto"/>
          <w:sz w:val="24"/>
          <w:szCs w:val="24"/>
        </w:rPr>
        <w:t>4</w:t>
      </w:r>
      <w:r>
        <w:rPr>
          <w:rFonts w:hint="eastAsia" w:ascii="宋体" w:hAnsi="宋体"/>
          <w:color w:val="auto"/>
          <w:sz w:val="24"/>
          <w:szCs w:val="24"/>
        </w:rPr>
        <w:t>植筋钻孔位置和偏差应满足设计要求并符合表</w:t>
      </w:r>
      <w:r>
        <w:rPr>
          <w:rFonts w:ascii="宋体" w:hAnsi="宋体"/>
          <w:color w:val="auto"/>
          <w:sz w:val="24"/>
          <w:szCs w:val="24"/>
        </w:rPr>
        <w:t>6.3.8</w:t>
      </w:r>
      <w:r>
        <w:rPr>
          <w:rFonts w:hint="eastAsia" w:ascii="宋体" w:hAnsi="宋体"/>
          <w:color w:val="auto"/>
          <w:sz w:val="24"/>
          <w:szCs w:val="24"/>
        </w:rPr>
        <w:t>的规定。</w:t>
      </w:r>
    </w:p>
    <w:p>
      <w:pPr>
        <w:spacing w:after="0" w:line="360" w:lineRule="auto"/>
        <w:rPr>
          <w:rFonts w:ascii="宋体" w:hAnsi="宋体"/>
          <w:color w:val="auto"/>
          <w:sz w:val="24"/>
          <w:szCs w:val="24"/>
        </w:rPr>
      </w:pPr>
      <w:r>
        <w:rPr>
          <w:rFonts w:hint="eastAsia" w:ascii="宋体" w:hAnsi="宋体"/>
          <w:color w:val="auto"/>
          <w:sz w:val="24"/>
          <w:szCs w:val="24"/>
        </w:rPr>
        <w:t xml:space="preserve">    检查数量：全数检查。</w:t>
      </w:r>
    </w:p>
    <w:p>
      <w:pPr>
        <w:spacing w:after="0" w:line="360" w:lineRule="auto"/>
        <w:rPr>
          <w:rFonts w:ascii="宋体" w:hAnsi="宋体"/>
          <w:color w:val="auto"/>
          <w:sz w:val="24"/>
          <w:szCs w:val="24"/>
        </w:rPr>
      </w:pPr>
      <w:r>
        <w:rPr>
          <w:rFonts w:hint="eastAsia" w:ascii="宋体" w:hAnsi="宋体"/>
          <w:color w:val="auto"/>
          <w:sz w:val="24"/>
          <w:szCs w:val="24"/>
        </w:rPr>
        <w:t xml:space="preserve">    检验方法：钢尺量测，并检查施工记录。</w:t>
      </w:r>
    </w:p>
    <w:p>
      <w:pPr>
        <w:spacing w:after="0" w:line="360" w:lineRule="auto"/>
        <w:rPr>
          <w:rFonts w:ascii="宋体" w:hAnsi="宋体"/>
          <w:color w:val="auto"/>
          <w:sz w:val="24"/>
          <w:szCs w:val="24"/>
        </w:rPr>
      </w:pPr>
      <w:r>
        <w:rPr>
          <w:rFonts w:ascii="宋体" w:hAnsi="宋体"/>
          <w:b/>
          <w:bCs/>
          <w:color w:val="auto"/>
          <w:sz w:val="24"/>
          <w:szCs w:val="24"/>
        </w:rPr>
        <w:t>6.3.5</w:t>
      </w:r>
      <w:r>
        <w:rPr>
          <w:rFonts w:hint="eastAsia" w:ascii="宋体" w:hAnsi="宋体"/>
          <w:color w:val="auto"/>
          <w:sz w:val="24"/>
          <w:szCs w:val="24"/>
        </w:rPr>
        <w:t xml:space="preserve"> 完成钻孔和清孔后，应检查钻孔的清洁度，孔壁应无油污，无粉尘和碎屑残留。</w:t>
      </w:r>
    </w:p>
    <w:p>
      <w:pPr>
        <w:spacing w:after="0" w:line="360" w:lineRule="auto"/>
        <w:rPr>
          <w:rFonts w:ascii="宋体" w:hAnsi="宋体"/>
          <w:color w:val="auto"/>
          <w:sz w:val="24"/>
          <w:szCs w:val="24"/>
        </w:rPr>
      </w:pPr>
      <w:r>
        <w:rPr>
          <w:rFonts w:hint="eastAsia" w:ascii="宋体" w:hAnsi="宋体"/>
          <w:color w:val="auto"/>
          <w:sz w:val="24"/>
          <w:szCs w:val="24"/>
        </w:rPr>
        <w:t xml:space="preserve">    检查数量：全数检查。</w:t>
      </w:r>
    </w:p>
    <w:p>
      <w:pPr>
        <w:spacing w:after="0" w:line="360" w:lineRule="auto"/>
        <w:rPr>
          <w:rFonts w:ascii="宋体" w:hAnsi="宋体"/>
          <w:color w:val="auto"/>
          <w:sz w:val="24"/>
          <w:szCs w:val="24"/>
        </w:rPr>
      </w:pPr>
      <w:r>
        <w:rPr>
          <w:rFonts w:hint="eastAsia" w:ascii="宋体" w:hAnsi="宋体"/>
          <w:color w:val="auto"/>
          <w:sz w:val="24"/>
          <w:szCs w:val="24"/>
        </w:rPr>
        <w:t xml:space="preserve">    检验方法：观察、触摸孔壁。</w:t>
      </w:r>
    </w:p>
    <w:p>
      <w:pPr>
        <w:spacing w:after="0" w:line="360" w:lineRule="auto"/>
        <w:rPr>
          <w:rFonts w:ascii="宋体" w:hAnsi="宋体"/>
          <w:color w:val="auto"/>
          <w:sz w:val="24"/>
          <w:szCs w:val="24"/>
        </w:rPr>
      </w:pPr>
      <w:r>
        <w:rPr>
          <w:rFonts w:ascii="宋体" w:hAnsi="宋体"/>
          <w:b/>
          <w:bCs/>
          <w:color w:val="auto"/>
          <w:sz w:val="24"/>
          <w:szCs w:val="24"/>
        </w:rPr>
        <w:t>6.3.6</w:t>
      </w:r>
      <w:r>
        <w:rPr>
          <w:rFonts w:hint="eastAsia" w:ascii="宋体" w:hAnsi="宋体"/>
          <w:color w:val="auto"/>
          <w:sz w:val="24"/>
          <w:szCs w:val="24"/>
        </w:rPr>
        <w:t xml:space="preserve"> 植筋前，应检查孔壁的</w:t>
      </w:r>
      <w:r>
        <w:rPr>
          <w:rFonts w:hint="eastAsia" w:ascii="宋体" w:hAnsi="宋体"/>
          <w:color w:val="auto"/>
          <w:sz w:val="24"/>
          <w:szCs w:val="24"/>
          <w:lang w:val="en-US" w:eastAsia="zh-CN"/>
        </w:rPr>
        <w:t>干</w:t>
      </w:r>
      <w:r>
        <w:rPr>
          <w:rFonts w:hint="eastAsia" w:ascii="宋体" w:hAnsi="宋体"/>
          <w:color w:val="auto"/>
          <w:sz w:val="24"/>
          <w:szCs w:val="24"/>
        </w:rPr>
        <w:t>燥程度，含水率不得超过设计规定或所采用的植筋胶产品规定的最高含水率的要求。</w:t>
      </w:r>
    </w:p>
    <w:p>
      <w:pPr>
        <w:spacing w:after="0" w:line="360" w:lineRule="auto"/>
        <w:rPr>
          <w:rFonts w:ascii="宋体" w:hAnsi="宋体"/>
          <w:color w:val="auto"/>
          <w:sz w:val="24"/>
          <w:szCs w:val="24"/>
        </w:rPr>
      </w:pPr>
      <w:r>
        <w:rPr>
          <w:rFonts w:hint="eastAsia" w:ascii="宋体" w:hAnsi="宋体"/>
          <w:color w:val="auto"/>
          <w:sz w:val="24"/>
          <w:szCs w:val="24"/>
        </w:rPr>
        <w:t xml:space="preserve">    检查数量：全数检查。</w:t>
      </w:r>
    </w:p>
    <w:p>
      <w:pPr>
        <w:spacing w:after="0" w:line="360" w:lineRule="auto"/>
        <w:rPr>
          <w:rFonts w:ascii="宋体" w:hAnsi="宋体"/>
          <w:color w:val="auto"/>
          <w:sz w:val="24"/>
          <w:szCs w:val="24"/>
        </w:rPr>
      </w:pPr>
      <w:r>
        <w:rPr>
          <w:rFonts w:hint="eastAsia" w:ascii="宋体" w:hAnsi="宋体"/>
          <w:color w:val="auto"/>
          <w:sz w:val="24"/>
          <w:szCs w:val="24"/>
        </w:rPr>
        <w:t xml:space="preserve">    检验方法：混凝土用含水率测定仪检测。</w:t>
      </w:r>
    </w:p>
    <w:p>
      <w:pPr>
        <w:spacing w:after="0" w:line="360" w:lineRule="auto"/>
        <w:rPr>
          <w:rFonts w:ascii="宋体" w:hAnsi="宋体"/>
          <w:color w:val="auto"/>
          <w:sz w:val="24"/>
          <w:szCs w:val="24"/>
        </w:rPr>
      </w:pPr>
      <w:r>
        <w:rPr>
          <w:rFonts w:ascii="宋体" w:hAnsi="宋体"/>
          <w:b/>
          <w:bCs/>
          <w:color w:val="auto"/>
          <w:sz w:val="24"/>
          <w:szCs w:val="24"/>
        </w:rPr>
        <w:t>6.3.7</w:t>
      </w:r>
      <w:r>
        <w:rPr>
          <w:rFonts w:hint="eastAsia" w:ascii="宋体" w:hAnsi="宋体"/>
          <w:color w:val="auto"/>
          <w:sz w:val="24"/>
          <w:szCs w:val="24"/>
        </w:rPr>
        <w:t xml:space="preserve"> 植筋孔壁应完整，不得有裂缝和其它局部损伤。</w:t>
      </w:r>
    </w:p>
    <w:p>
      <w:pPr>
        <w:spacing w:after="0" w:line="360" w:lineRule="auto"/>
        <w:rPr>
          <w:rFonts w:ascii="宋体" w:hAnsi="宋体"/>
          <w:color w:val="auto"/>
          <w:sz w:val="24"/>
          <w:szCs w:val="24"/>
        </w:rPr>
      </w:pPr>
      <w:r>
        <w:rPr>
          <w:rFonts w:hint="eastAsia" w:ascii="宋体" w:hAnsi="宋体"/>
          <w:color w:val="auto"/>
          <w:sz w:val="24"/>
          <w:szCs w:val="24"/>
        </w:rPr>
        <w:t xml:space="preserve">    检查数量：全数检查。</w:t>
      </w:r>
    </w:p>
    <w:p>
      <w:pPr>
        <w:spacing w:after="0" w:line="360" w:lineRule="auto"/>
        <w:rPr>
          <w:rFonts w:ascii="宋体" w:hAnsi="宋体"/>
          <w:color w:val="auto"/>
          <w:sz w:val="24"/>
          <w:szCs w:val="24"/>
        </w:rPr>
      </w:pPr>
      <w:r>
        <w:rPr>
          <w:rFonts w:hint="eastAsia" w:ascii="宋体" w:hAnsi="宋体"/>
          <w:color w:val="auto"/>
          <w:sz w:val="24"/>
          <w:szCs w:val="24"/>
        </w:rPr>
        <w:t xml:space="preserve">    检验方法：在有照明条件下观察，并检查施工记录。</w:t>
      </w:r>
    </w:p>
    <w:p>
      <w:pPr>
        <w:spacing w:after="0" w:line="360" w:lineRule="auto"/>
        <w:rPr>
          <w:rFonts w:ascii="宋体" w:hAnsi="宋体"/>
          <w:color w:val="auto"/>
          <w:sz w:val="24"/>
          <w:szCs w:val="24"/>
        </w:rPr>
      </w:pPr>
      <w:r>
        <w:rPr>
          <w:rFonts w:ascii="宋体" w:hAnsi="宋体"/>
          <w:b/>
          <w:bCs/>
          <w:color w:val="auto"/>
          <w:sz w:val="24"/>
          <w:szCs w:val="24"/>
        </w:rPr>
        <w:t>6.3.8</w:t>
      </w:r>
      <w:r>
        <w:rPr>
          <w:rFonts w:hint="eastAsia" w:ascii="宋体" w:hAnsi="宋体"/>
          <w:color w:val="auto"/>
          <w:sz w:val="24"/>
          <w:szCs w:val="24"/>
        </w:rPr>
        <w:t xml:space="preserve"> 植筋钻孔孔径允许偏差应满足表</w:t>
      </w:r>
      <w:r>
        <w:rPr>
          <w:rFonts w:ascii="宋体" w:hAnsi="宋体"/>
          <w:color w:val="auto"/>
          <w:sz w:val="24"/>
          <w:szCs w:val="24"/>
        </w:rPr>
        <w:t>6.3.8-1</w:t>
      </w:r>
      <w:r>
        <w:rPr>
          <w:rFonts w:hint="eastAsia" w:ascii="宋体" w:hAnsi="宋体"/>
          <w:color w:val="auto"/>
          <w:sz w:val="24"/>
          <w:szCs w:val="24"/>
        </w:rPr>
        <w:t>的要求；钻孔深度、垂直度和位置允许偏差应满足表</w:t>
      </w:r>
      <w:r>
        <w:rPr>
          <w:rFonts w:ascii="宋体" w:hAnsi="宋体"/>
          <w:color w:val="auto"/>
          <w:sz w:val="24"/>
          <w:szCs w:val="24"/>
        </w:rPr>
        <w:t>6.3.8-2</w:t>
      </w:r>
      <w:r>
        <w:rPr>
          <w:rFonts w:hint="eastAsia" w:ascii="宋体" w:hAnsi="宋体"/>
          <w:color w:val="auto"/>
          <w:sz w:val="24"/>
          <w:szCs w:val="24"/>
        </w:rPr>
        <w:t>的要求。</w:t>
      </w:r>
    </w:p>
    <w:p>
      <w:pPr>
        <w:spacing w:after="0" w:line="360" w:lineRule="auto"/>
        <w:ind w:firstLine="420"/>
        <w:rPr>
          <w:rFonts w:ascii="宋体" w:hAnsi="宋体"/>
          <w:color w:val="auto"/>
          <w:sz w:val="24"/>
          <w:szCs w:val="24"/>
        </w:rPr>
      </w:pPr>
      <w:r>
        <w:rPr>
          <w:rFonts w:hint="eastAsia" w:ascii="宋体" w:hAnsi="宋体"/>
          <w:color w:val="auto"/>
          <w:sz w:val="24"/>
          <w:szCs w:val="24"/>
        </w:rPr>
        <w:t>检查数量：每种规格植筋随机抽查5%，且不少于5根。</w:t>
      </w:r>
    </w:p>
    <w:p>
      <w:pPr>
        <w:spacing w:after="0" w:line="360" w:lineRule="auto"/>
        <w:ind w:firstLine="420"/>
        <w:rPr>
          <w:rFonts w:ascii="宋体" w:hAnsi="宋体"/>
          <w:color w:val="auto"/>
          <w:sz w:val="24"/>
          <w:szCs w:val="24"/>
        </w:rPr>
      </w:pPr>
      <w:r>
        <w:rPr>
          <w:rFonts w:hint="eastAsia" w:ascii="宋体" w:hAnsi="宋体"/>
          <w:color w:val="auto"/>
          <w:sz w:val="24"/>
          <w:szCs w:val="24"/>
        </w:rPr>
        <w:t>检验方法：量角规、靠尺、钢尺量测；重新钻孔时，尚应检查技术处理方案。</w:t>
      </w:r>
    </w:p>
    <w:p>
      <w:pPr>
        <w:spacing w:after="0" w:line="360" w:lineRule="auto"/>
        <w:jc w:val="center"/>
        <w:rPr>
          <w:b/>
          <w:bCs/>
          <w:color w:val="auto"/>
          <w:sz w:val="21"/>
          <w:szCs w:val="21"/>
        </w:rPr>
      </w:pPr>
      <w:r>
        <w:rPr>
          <w:rFonts w:hint="eastAsia"/>
          <w:b/>
          <w:bCs/>
          <w:color w:val="auto"/>
          <w:sz w:val="21"/>
          <w:szCs w:val="21"/>
        </w:rPr>
        <w:t>表</w:t>
      </w:r>
      <w:r>
        <w:rPr>
          <w:b/>
          <w:bCs/>
          <w:color w:val="auto"/>
          <w:sz w:val="21"/>
          <w:szCs w:val="21"/>
        </w:rPr>
        <w:t>6.3.8</w:t>
      </w:r>
      <w:r>
        <w:rPr>
          <w:rFonts w:hint="eastAsia"/>
          <w:b/>
          <w:bCs/>
          <w:color w:val="auto"/>
          <w:sz w:val="21"/>
          <w:szCs w:val="21"/>
        </w:rPr>
        <w:t>-1 植筋钻孔孔径允许偏差（</w:t>
      </w:r>
      <w:r>
        <w:rPr>
          <w:b/>
          <w:bCs/>
          <w:color w:val="auto"/>
          <w:sz w:val="21"/>
          <w:szCs w:val="21"/>
        </w:rPr>
        <w:t>mm</w:t>
      </w:r>
      <w:r>
        <w:rPr>
          <w:rFonts w:hint="eastAsia"/>
          <w:b/>
          <w:bCs/>
          <w:color w:val="auto"/>
          <w:sz w:val="21"/>
          <w:szCs w:val="21"/>
        </w:rPr>
        <w:t>）</w:t>
      </w:r>
    </w:p>
    <w:tbl>
      <w:tblPr>
        <w:tblStyle w:val="27"/>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7"/>
        <w:gridCol w:w="4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967"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rFonts w:hint="eastAsia"/>
                <w:color w:val="auto"/>
                <w:sz w:val="21"/>
                <w:szCs w:val="21"/>
              </w:rPr>
              <w:t>钻孔直径（mm）</w:t>
            </w:r>
          </w:p>
        </w:tc>
        <w:tc>
          <w:tcPr>
            <w:tcW w:w="459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rFonts w:hint="eastAsia"/>
                <w:color w:val="auto"/>
                <w:sz w:val="21"/>
                <w:szCs w:val="21"/>
              </w:rPr>
              <w:t>孔径允许偏差（mm）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967"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rFonts w:hint="eastAsia"/>
                <w:color w:val="auto"/>
                <w:sz w:val="21"/>
                <w:szCs w:val="21"/>
              </w:rPr>
              <w:t>&lt;14</w:t>
            </w:r>
          </w:p>
        </w:tc>
        <w:tc>
          <w:tcPr>
            <w:tcW w:w="459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color w:val="auto"/>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967"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rFonts w:hint="eastAsia"/>
                <w:color w:val="auto"/>
                <w:sz w:val="21"/>
                <w:szCs w:val="21"/>
              </w:rPr>
              <w:t>14~20</w:t>
            </w:r>
          </w:p>
        </w:tc>
        <w:tc>
          <w:tcPr>
            <w:tcW w:w="459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color w:val="auto"/>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967"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rFonts w:hint="eastAsia"/>
                <w:color w:val="auto"/>
                <w:sz w:val="21"/>
                <w:szCs w:val="21"/>
              </w:rPr>
              <w:t>22</w:t>
            </w:r>
            <w:r>
              <w:rPr>
                <w:color w:val="auto"/>
                <w:sz w:val="21"/>
                <w:szCs w:val="21"/>
              </w:rPr>
              <w:t>~</w:t>
            </w:r>
            <w:r>
              <w:rPr>
                <w:rFonts w:hint="eastAsia"/>
                <w:color w:val="auto"/>
                <w:sz w:val="21"/>
                <w:szCs w:val="21"/>
              </w:rPr>
              <w:t>32</w:t>
            </w:r>
          </w:p>
        </w:tc>
        <w:tc>
          <w:tcPr>
            <w:tcW w:w="459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sz w:val="21"/>
                <w:szCs w:val="21"/>
              </w:rPr>
            </w:pPr>
            <w:r>
              <w:rPr>
                <w:color w:val="auto"/>
                <w:sz w:val="21"/>
                <w:szCs w:val="21"/>
              </w:rPr>
              <w:t>0~+2.0</w:t>
            </w:r>
          </w:p>
        </w:tc>
      </w:tr>
    </w:tbl>
    <w:p>
      <w:pPr>
        <w:spacing w:after="0" w:line="360" w:lineRule="auto"/>
        <w:jc w:val="center"/>
        <w:rPr>
          <w:b/>
          <w:bCs/>
          <w:color w:val="auto"/>
          <w:sz w:val="21"/>
          <w:szCs w:val="21"/>
        </w:rPr>
      </w:pPr>
      <w:r>
        <w:rPr>
          <w:rFonts w:hint="eastAsia"/>
          <w:b/>
          <w:bCs/>
          <w:color w:val="auto"/>
          <w:sz w:val="21"/>
          <w:szCs w:val="21"/>
        </w:rPr>
        <w:t>表</w:t>
      </w:r>
      <w:r>
        <w:rPr>
          <w:b/>
          <w:bCs/>
          <w:color w:val="auto"/>
          <w:sz w:val="21"/>
          <w:szCs w:val="21"/>
        </w:rPr>
        <w:t>6</w:t>
      </w:r>
      <w:r>
        <w:rPr>
          <w:rFonts w:hint="eastAsia"/>
          <w:b/>
          <w:bCs/>
          <w:color w:val="auto"/>
          <w:sz w:val="21"/>
          <w:szCs w:val="21"/>
        </w:rPr>
        <w:t>.</w:t>
      </w:r>
      <w:r>
        <w:rPr>
          <w:b/>
          <w:bCs/>
          <w:color w:val="auto"/>
          <w:sz w:val="21"/>
          <w:szCs w:val="21"/>
        </w:rPr>
        <w:t>3.8</w:t>
      </w:r>
      <w:r>
        <w:rPr>
          <w:rFonts w:hint="eastAsia"/>
          <w:b/>
          <w:bCs/>
          <w:color w:val="auto"/>
          <w:sz w:val="21"/>
          <w:szCs w:val="21"/>
        </w:rPr>
        <w:t>-2 植筋钻孔深度、垂直度和位置的允许偏差（mm）</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2250"/>
        <w:gridCol w:w="238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5" w:type="dxa"/>
            <w:vAlign w:val="center"/>
          </w:tcPr>
          <w:p>
            <w:pPr>
              <w:spacing w:after="0" w:line="240" w:lineRule="auto"/>
              <w:jc w:val="left"/>
              <w:rPr>
                <w:color w:val="auto"/>
                <w:sz w:val="21"/>
                <w:szCs w:val="21"/>
              </w:rPr>
            </w:pPr>
            <w:r>
              <w:rPr>
                <w:rFonts w:hint="eastAsia"/>
                <w:color w:val="auto"/>
                <w:sz w:val="21"/>
                <w:szCs w:val="21"/>
              </w:rPr>
              <w:t>植筋部位</w:t>
            </w:r>
          </w:p>
        </w:tc>
        <w:tc>
          <w:tcPr>
            <w:tcW w:w="2250" w:type="dxa"/>
            <w:vAlign w:val="center"/>
          </w:tcPr>
          <w:p>
            <w:pPr>
              <w:spacing w:after="0" w:line="240" w:lineRule="auto"/>
              <w:jc w:val="center"/>
              <w:rPr>
                <w:color w:val="auto"/>
                <w:sz w:val="21"/>
                <w:szCs w:val="21"/>
              </w:rPr>
            </w:pPr>
            <w:r>
              <w:rPr>
                <w:rFonts w:hint="eastAsia"/>
                <w:color w:val="auto"/>
                <w:sz w:val="21"/>
                <w:szCs w:val="21"/>
              </w:rPr>
              <w:t>钻孔深度允许偏差</w:t>
            </w:r>
          </w:p>
          <w:p>
            <w:pPr>
              <w:spacing w:after="0" w:line="240" w:lineRule="auto"/>
              <w:jc w:val="center"/>
              <w:rPr>
                <w:color w:val="auto"/>
                <w:sz w:val="21"/>
                <w:szCs w:val="21"/>
              </w:rPr>
            </w:pPr>
            <w:r>
              <w:rPr>
                <w:rFonts w:hint="eastAsia"/>
                <w:color w:val="auto"/>
                <w:sz w:val="21"/>
                <w:szCs w:val="21"/>
              </w:rPr>
              <w:t>（mm）</w:t>
            </w:r>
          </w:p>
        </w:tc>
        <w:tc>
          <w:tcPr>
            <w:tcW w:w="2389" w:type="dxa"/>
            <w:vAlign w:val="center"/>
          </w:tcPr>
          <w:p>
            <w:pPr>
              <w:spacing w:after="0" w:line="240" w:lineRule="auto"/>
              <w:jc w:val="center"/>
              <w:rPr>
                <w:color w:val="auto"/>
                <w:sz w:val="21"/>
                <w:szCs w:val="21"/>
              </w:rPr>
            </w:pPr>
            <w:r>
              <w:rPr>
                <w:rFonts w:hint="eastAsia"/>
                <w:color w:val="auto"/>
                <w:sz w:val="21"/>
                <w:szCs w:val="21"/>
              </w:rPr>
              <w:t>钻孔垂直度允许偏差</w:t>
            </w:r>
          </w:p>
          <w:p>
            <w:pPr>
              <w:spacing w:after="0" w:line="240" w:lineRule="auto"/>
              <w:jc w:val="center"/>
              <w:rPr>
                <w:color w:val="auto"/>
                <w:sz w:val="21"/>
                <w:szCs w:val="21"/>
              </w:rPr>
            </w:pPr>
            <w:r>
              <w:rPr>
                <w:rFonts w:hint="eastAsia"/>
                <w:color w:val="auto"/>
                <w:sz w:val="21"/>
                <w:szCs w:val="21"/>
              </w:rPr>
              <w:t>（mm/m）</w:t>
            </w:r>
          </w:p>
        </w:tc>
        <w:tc>
          <w:tcPr>
            <w:tcW w:w="2222" w:type="dxa"/>
            <w:vAlign w:val="center"/>
          </w:tcPr>
          <w:p>
            <w:pPr>
              <w:spacing w:after="0" w:line="240" w:lineRule="auto"/>
              <w:jc w:val="center"/>
              <w:rPr>
                <w:color w:val="auto"/>
                <w:sz w:val="21"/>
                <w:szCs w:val="21"/>
              </w:rPr>
            </w:pPr>
            <w:r>
              <w:rPr>
                <w:rFonts w:hint="eastAsia"/>
                <w:color w:val="auto"/>
                <w:sz w:val="21"/>
                <w:szCs w:val="21"/>
              </w:rPr>
              <w:t>位置允许偏差</w:t>
            </w:r>
          </w:p>
          <w:p>
            <w:pPr>
              <w:spacing w:after="0" w:line="240" w:lineRule="auto"/>
              <w:jc w:val="center"/>
              <w:rPr>
                <w:color w:val="auto"/>
                <w:sz w:val="21"/>
                <w:szCs w:val="21"/>
              </w:rPr>
            </w:pPr>
            <w:r>
              <w:rPr>
                <w:rFonts w:hint="eastAsia"/>
                <w:color w:val="auto"/>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5" w:type="dxa"/>
            <w:vAlign w:val="center"/>
          </w:tcPr>
          <w:p>
            <w:pPr>
              <w:spacing w:after="0" w:line="240" w:lineRule="auto"/>
              <w:rPr>
                <w:color w:val="auto"/>
                <w:sz w:val="21"/>
                <w:szCs w:val="21"/>
              </w:rPr>
            </w:pPr>
            <w:r>
              <w:rPr>
                <w:rFonts w:hint="eastAsia"/>
                <w:color w:val="auto"/>
                <w:sz w:val="21"/>
                <w:szCs w:val="21"/>
              </w:rPr>
              <w:t>基  础</w:t>
            </w:r>
          </w:p>
        </w:tc>
        <w:tc>
          <w:tcPr>
            <w:tcW w:w="2250" w:type="dxa"/>
            <w:vAlign w:val="center"/>
          </w:tcPr>
          <w:p>
            <w:pPr>
              <w:spacing w:after="0" w:line="240" w:lineRule="auto"/>
              <w:jc w:val="center"/>
              <w:rPr>
                <w:color w:val="auto"/>
                <w:sz w:val="21"/>
                <w:szCs w:val="21"/>
              </w:rPr>
            </w:pPr>
            <w:r>
              <w:rPr>
                <w:color w:val="auto"/>
                <w:sz w:val="21"/>
                <w:szCs w:val="21"/>
              </w:rPr>
              <w:t>0~+20</w:t>
            </w:r>
          </w:p>
        </w:tc>
        <w:tc>
          <w:tcPr>
            <w:tcW w:w="2389" w:type="dxa"/>
            <w:vAlign w:val="center"/>
          </w:tcPr>
          <w:p>
            <w:pPr>
              <w:spacing w:after="0" w:line="240" w:lineRule="auto"/>
              <w:jc w:val="center"/>
              <w:rPr>
                <w:color w:val="auto"/>
                <w:sz w:val="21"/>
                <w:szCs w:val="21"/>
              </w:rPr>
            </w:pPr>
            <w:r>
              <w:rPr>
                <w:rFonts w:hint="eastAsia"/>
                <w:color w:val="auto"/>
                <w:sz w:val="21"/>
                <w:szCs w:val="21"/>
              </w:rPr>
              <w:t>50</w:t>
            </w:r>
          </w:p>
        </w:tc>
        <w:tc>
          <w:tcPr>
            <w:tcW w:w="2222" w:type="dxa"/>
            <w:vAlign w:val="center"/>
          </w:tcPr>
          <w:p>
            <w:pPr>
              <w:spacing w:after="0" w:line="240" w:lineRule="auto"/>
              <w:jc w:val="center"/>
              <w:rPr>
                <w:color w:val="auto"/>
                <w:sz w:val="21"/>
                <w:szCs w:val="21"/>
              </w:rPr>
            </w:pPr>
            <w:r>
              <w:rPr>
                <w:rFonts w:hint="eastAsia"/>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5" w:type="dxa"/>
            <w:vAlign w:val="center"/>
          </w:tcPr>
          <w:p>
            <w:pPr>
              <w:spacing w:after="0" w:line="240" w:lineRule="auto"/>
              <w:rPr>
                <w:color w:val="auto"/>
                <w:sz w:val="21"/>
                <w:szCs w:val="21"/>
              </w:rPr>
            </w:pPr>
            <w:r>
              <w:rPr>
                <w:rFonts w:hint="eastAsia"/>
                <w:color w:val="auto"/>
                <w:sz w:val="21"/>
                <w:szCs w:val="21"/>
              </w:rPr>
              <w:t>上部构件</w:t>
            </w:r>
          </w:p>
        </w:tc>
        <w:tc>
          <w:tcPr>
            <w:tcW w:w="2250" w:type="dxa"/>
            <w:vAlign w:val="center"/>
          </w:tcPr>
          <w:p>
            <w:pPr>
              <w:spacing w:after="0" w:line="240" w:lineRule="auto"/>
              <w:jc w:val="center"/>
              <w:rPr>
                <w:color w:val="auto"/>
                <w:sz w:val="21"/>
                <w:szCs w:val="21"/>
              </w:rPr>
            </w:pPr>
            <w:r>
              <w:rPr>
                <w:color w:val="auto"/>
                <w:sz w:val="21"/>
                <w:szCs w:val="21"/>
              </w:rPr>
              <w:t>0~+10</w:t>
            </w:r>
          </w:p>
        </w:tc>
        <w:tc>
          <w:tcPr>
            <w:tcW w:w="2389" w:type="dxa"/>
            <w:vAlign w:val="center"/>
          </w:tcPr>
          <w:p>
            <w:pPr>
              <w:spacing w:after="0" w:line="240" w:lineRule="auto"/>
              <w:jc w:val="center"/>
              <w:rPr>
                <w:color w:val="auto"/>
                <w:sz w:val="21"/>
                <w:szCs w:val="21"/>
              </w:rPr>
            </w:pPr>
            <w:r>
              <w:rPr>
                <w:rFonts w:hint="eastAsia"/>
                <w:color w:val="auto"/>
                <w:sz w:val="21"/>
                <w:szCs w:val="21"/>
              </w:rPr>
              <w:t>30</w:t>
            </w:r>
          </w:p>
        </w:tc>
        <w:tc>
          <w:tcPr>
            <w:tcW w:w="2222" w:type="dxa"/>
            <w:vAlign w:val="center"/>
          </w:tcPr>
          <w:p>
            <w:pPr>
              <w:spacing w:after="0" w:line="240" w:lineRule="auto"/>
              <w:jc w:val="center"/>
              <w:rPr>
                <w:color w:val="auto"/>
                <w:sz w:val="21"/>
                <w:szCs w:val="21"/>
              </w:rPr>
            </w:pPr>
            <w:r>
              <w:rPr>
                <w:rFonts w:hint="eastAsia"/>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5" w:type="dxa"/>
            <w:vAlign w:val="center"/>
          </w:tcPr>
          <w:p>
            <w:pPr>
              <w:spacing w:after="0" w:line="240" w:lineRule="auto"/>
              <w:rPr>
                <w:color w:val="auto"/>
                <w:sz w:val="21"/>
                <w:szCs w:val="21"/>
              </w:rPr>
            </w:pPr>
            <w:r>
              <w:rPr>
                <w:rFonts w:hint="eastAsia"/>
                <w:color w:val="auto"/>
                <w:sz w:val="21"/>
                <w:szCs w:val="21"/>
              </w:rPr>
              <w:t>连接节点</w:t>
            </w:r>
          </w:p>
        </w:tc>
        <w:tc>
          <w:tcPr>
            <w:tcW w:w="2250" w:type="dxa"/>
            <w:vAlign w:val="center"/>
          </w:tcPr>
          <w:p>
            <w:pPr>
              <w:spacing w:after="0" w:line="240" w:lineRule="auto"/>
              <w:jc w:val="center"/>
              <w:rPr>
                <w:color w:val="auto"/>
                <w:sz w:val="21"/>
                <w:szCs w:val="21"/>
              </w:rPr>
            </w:pPr>
            <w:r>
              <w:rPr>
                <w:color w:val="auto"/>
                <w:sz w:val="21"/>
                <w:szCs w:val="21"/>
              </w:rPr>
              <w:t>0~+5</w:t>
            </w:r>
          </w:p>
        </w:tc>
        <w:tc>
          <w:tcPr>
            <w:tcW w:w="2389" w:type="dxa"/>
            <w:vAlign w:val="center"/>
          </w:tcPr>
          <w:p>
            <w:pPr>
              <w:spacing w:after="0" w:line="240" w:lineRule="auto"/>
              <w:jc w:val="center"/>
              <w:rPr>
                <w:color w:val="auto"/>
                <w:sz w:val="21"/>
                <w:szCs w:val="21"/>
              </w:rPr>
            </w:pPr>
            <w:r>
              <w:rPr>
                <w:rFonts w:hint="eastAsia"/>
                <w:color w:val="auto"/>
                <w:sz w:val="21"/>
                <w:szCs w:val="21"/>
              </w:rPr>
              <w:t>10</w:t>
            </w:r>
          </w:p>
        </w:tc>
        <w:tc>
          <w:tcPr>
            <w:tcW w:w="2222" w:type="dxa"/>
            <w:vAlign w:val="center"/>
          </w:tcPr>
          <w:p>
            <w:pPr>
              <w:spacing w:after="0" w:line="240" w:lineRule="auto"/>
              <w:jc w:val="center"/>
              <w:rPr>
                <w:color w:val="auto"/>
                <w:sz w:val="21"/>
                <w:szCs w:val="21"/>
              </w:rPr>
            </w:pPr>
            <w:r>
              <w:rPr>
                <w:rFonts w:hint="eastAsia"/>
                <w:color w:val="auto"/>
                <w:sz w:val="21"/>
                <w:szCs w:val="21"/>
              </w:rPr>
              <w:t>5</w:t>
            </w:r>
          </w:p>
        </w:tc>
      </w:tr>
    </w:tbl>
    <w:p>
      <w:pPr>
        <w:spacing w:line="360" w:lineRule="auto"/>
        <w:rPr>
          <w:rFonts w:ascii="宋体" w:hAnsi="宋体"/>
          <w:color w:val="auto"/>
        </w:rPr>
      </w:pPr>
      <w:r>
        <w:rPr>
          <w:rFonts w:hint="eastAsia" w:ascii="宋体" w:hAnsi="宋体"/>
          <w:color w:val="auto"/>
        </w:rPr>
        <w:t>注：当钻孔垂直度偏差超过允许值时，应由设计单位确认该孔洞是否可用；若需返工，应由施工单位提出技术处理方案，经设计单位认可后实施。对经处理孔洞，应重新检查验收。</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6.3.8</w:t>
      </w:r>
      <w:r>
        <w:rPr>
          <w:rFonts w:ascii="宋体" w:hAnsi="宋体"/>
          <w:i/>
          <w:iCs/>
          <w:color w:val="0070C0"/>
          <w:sz w:val="24"/>
          <w:szCs w:val="24"/>
        </w:rPr>
        <w:t xml:space="preserve"> </w:t>
      </w:r>
      <w:r>
        <w:rPr>
          <w:rFonts w:hint="eastAsia" w:ascii="宋体" w:hAnsi="宋体"/>
          <w:i/>
          <w:iCs/>
          <w:color w:val="0070C0"/>
          <w:sz w:val="24"/>
          <w:szCs w:val="24"/>
        </w:rPr>
        <w:t>本条规定的植筋钻孔的孔径允许偏差，及钻孔深度、垂直的和位置允许偏差，时参照《建筑结构加固工程施工质量验收规范》GB</w:t>
      </w:r>
      <w:r>
        <w:rPr>
          <w:rFonts w:ascii="宋体" w:hAnsi="宋体"/>
          <w:i/>
          <w:iCs/>
          <w:color w:val="0070C0"/>
          <w:sz w:val="24"/>
          <w:szCs w:val="24"/>
        </w:rPr>
        <w:t>50550</w:t>
      </w:r>
      <w:r>
        <w:rPr>
          <w:rFonts w:hint="eastAsia" w:ascii="宋体" w:hAnsi="宋体"/>
          <w:i/>
          <w:iCs/>
          <w:color w:val="0070C0"/>
          <w:sz w:val="24"/>
          <w:szCs w:val="24"/>
        </w:rPr>
        <w:t>的有关规定制定。钻孔偏差以钻孔前或钻孔过程中使用的新钻头最大直径和钻孔后钻头为依据确定的。因为该直径对制定允许偏差较有参照价值，也便于复核设计的有关参数。同时，工程实践也表明，只要使用质量合格的钻头，一般孔径偏差均能控制在允许范围内。</w:t>
      </w:r>
    </w:p>
    <w:p>
      <w:pPr>
        <w:spacing w:after="0" w:line="360" w:lineRule="auto"/>
        <w:rPr>
          <w:rFonts w:ascii="宋体" w:hAnsi="宋体"/>
          <w:i/>
          <w:iCs/>
          <w:color w:val="0070C0"/>
          <w:sz w:val="24"/>
          <w:szCs w:val="24"/>
        </w:rPr>
      </w:pPr>
      <w:r>
        <w:rPr>
          <w:rFonts w:hint="eastAsia" w:ascii="宋体" w:hAnsi="宋体"/>
          <w:i/>
          <w:iCs/>
          <w:color w:val="0070C0"/>
          <w:sz w:val="24"/>
          <w:szCs w:val="24"/>
        </w:rPr>
        <w:t>另外，应指出的是，本标准对钻孔垂直度允许偏差的规定，系参照国内外施工经验制定的。以上部结构构件的钻孔为例，基本上是取倾斜角的为1.8º进行控制的。这对一般长度的钢筋是合适的，但在某些情况下可能偏严。为此，加上一注：当钻孔垂直度偏差较大时，该孔洞是否可用，应由设计单位进行确认。这也就意味着该允许偏差值可根据工程实际要求的控制程度进行调整</w:t>
      </w:r>
    </w:p>
    <w:p>
      <w:pPr>
        <w:spacing w:after="0" w:line="360" w:lineRule="auto"/>
        <w:rPr>
          <w:rFonts w:ascii="宋体" w:hAnsi="宋体"/>
          <w:color w:val="auto"/>
          <w:sz w:val="24"/>
          <w:szCs w:val="24"/>
          <w:highlight w:val="none"/>
        </w:rPr>
      </w:pPr>
      <w:r>
        <w:rPr>
          <w:rFonts w:ascii="宋体" w:hAnsi="宋体"/>
          <w:b/>
          <w:bCs/>
          <w:color w:val="auto"/>
          <w:sz w:val="24"/>
          <w:szCs w:val="24"/>
        </w:rPr>
        <w:t>6.3.9</w:t>
      </w:r>
      <w:r>
        <w:rPr>
          <w:rFonts w:ascii="宋体" w:hAnsi="宋体"/>
          <w:color w:val="auto"/>
          <w:sz w:val="24"/>
          <w:szCs w:val="24"/>
        </w:rPr>
        <w:t xml:space="preserve"> </w:t>
      </w:r>
      <w:r>
        <w:rPr>
          <w:rFonts w:hint="eastAsia" w:ascii="宋体" w:hAnsi="宋体"/>
          <w:color w:val="auto"/>
          <w:sz w:val="24"/>
          <w:szCs w:val="24"/>
        </w:rPr>
        <w:t>植筋胶粘剂固化养护达到7d 的当日，</w:t>
      </w:r>
      <w:r>
        <w:rPr>
          <w:rFonts w:hint="eastAsia" w:ascii="宋体" w:hAnsi="宋体"/>
          <w:color w:val="auto"/>
          <w:sz w:val="24"/>
          <w:szCs w:val="24"/>
          <w:highlight w:val="none"/>
        </w:rPr>
        <w:t>应抽样进行现场锚固承载力检验。其检验方法及质量合格评定标准</w:t>
      </w:r>
      <w:r>
        <w:rPr>
          <w:rFonts w:hint="eastAsia" w:ascii="宋体" w:hAnsi="宋体"/>
          <w:color w:val="auto"/>
          <w:sz w:val="24"/>
          <w:szCs w:val="24"/>
          <w:highlight w:val="none"/>
          <w:lang w:val="en-US" w:eastAsia="zh-CN"/>
        </w:rPr>
        <w:t>应</w:t>
      </w:r>
      <w:r>
        <w:rPr>
          <w:rFonts w:hint="eastAsia" w:ascii="宋体" w:hAnsi="宋体"/>
          <w:color w:val="auto"/>
          <w:sz w:val="24"/>
          <w:szCs w:val="24"/>
          <w:highlight w:val="none"/>
        </w:rPr>
        <w:t>符合现行行业标准《混凝土结构后锚固技术规程》JGJ</w:t>
      </w:r>
      <w:r>
        <w:rPr>
          <w:rFonts w:ascii="宋体" w:hAnsi="宋体"/>
          <w:color w:val="auto"/>
          <w:sz w:val="24"/>
          <w:szCs w:val="24"/>
          <w:highlight w:val="none"/>
        </w:rPr>
        <w:t>145</w:t>
      </w:r>
      <w:r>
        <w:rPr>
          <w:rFonts w:hint="eastAsia" w:ascii="宋体" w:hAnsi="宋体"/>
          <w:color w:val="auto"/>
          <w:sz w:val="24"/>
          <w:szCs w:val="24"/>
          <w:highlight w:val="none"/>
        </w:rPr>
        <w:t>的规定。</w:t>
      </w:r>
    </w:p>
    <w:p>
      <w:pPr>
        <w:spacing w:after="0" w:line="360" w:lineRule="auto"/>
        <w:rPr>
          <w:rFonts w:ascii="宋体" w:hAnsi="宋体"/>
          <w:i/>
          <w:iCs/>
          <w:color w:val="0070C0"/>
          <w:sz w:val="24"/>
          <w:szCs w:val="24"/>
        </w:rPr>
      </w:pPr>
      <w:r>
        <w:rPr>
          <w:rFonts w:hint="eastAsia" w:ascii="宋体" w:hAnsi="宋体"/>
          <w:i/>
          <w:iCs/>
          <w:color w:val="0070C0"/>
          <w:sz w:val="24"/>
          <w:szCs w:val="24"/>
        </w:rPr>
        <w:t>【条文说明】</w:t>
      </w:r>
      <w:r>
        <w:rPr>
          <w:rFonts w:ascii="宋体" w:hAnsi="宋体"/>
          <w:b/>
          <w:bCs/>
          <w:i/>
          <w:iCs/>
          <w:color w:val="0070C0"/>
          <w:sz w:val="24"/>
          <w:szCs w:val="24"/>
        </w:rPr>
        <w:t>6.3.</w:t>
      </w:r>
      <w:r>
        <w:rPr>
          <w:rFonts w:hint="eastAsia" w:ascii="宋体" w:hAnsi="宋体"/>
          <w:b/>
          <w:bCs/>
          <w:i/>
          <w:iCs/>
          <w:color w:val="0070C0"/>
          <w:sz w:val="24"/>
          <w:szCs w:val="24"/>
          <w:lang w:val="en-US" w:eastAsia="zh-CN"/>
        </w:rPr>
        <w:t>9</w:t>
      </w:r>
      <w:r>
        <w:rPr>
          <w:rFonts w:ascii="宋体" w:hAnsi="宋体"/>
          <w:i/>
          <w:iCs/>
          <w:color w:val="0070C0"/>
          <w:sz w:val="24"/>
          <w:szCs w:val="24"/>
        </w:rPr>
        <w:t xml:space="preserve"> </w:t>
      </w:r>
      <w:r>
        <w:rPr>
          <w:rFonts w:hint="eastAsia" w:ascii="宋体" w:hAnsi="宋体"/>
          <w:i/>
          <w:iCs/>
          <w:color w:val="0070C0"/>
          <w:sz w:val="24"/>
          <w:szCs w:val="24"/>
        </w:rPr>
        <w:t>对现场拉拔检验不合格的植筋工程，若现场考察认为与胶粘剂质量有关，</w:t>
      </w:r>
      <w:r>
        <w:rPr>
          <w:rFonts w:hint="eastAsia" w:ascii="宋体" w:hAnsi="宋体"/>
          <w:i/>
          <w:iCs/>
          <w:color w:val="0070C0"/>
          <w:sz w:val="24"/>
          <w:szCs w:val="24"/>
          <w:lang w:val="en-US" w:eastAsia="zh-CN"/>
        </w:rPr>
        <w:t>可</w:t>
      </w:r>
      <w:r>
        <w:rPr>
          <w:rFonts w:hint="eastAsia" w:ascii="宋体" w:hAnsi="宋体"/>
          <w:i/>
          <w:iCs/>
          <w:color w:val="0070C0"/>
          <w:sz w:val="24"/>
          <w:szCs w:val="24"/>
        </w:rPr>
        <w:t>委托当地具备检测资质的独立检测机构对锚固胶粘剂进行基本力学性能和施工性能的试验室检验与评定。其检验项目指标应符合现行国家标准《混凝土结构工程用锚固胶》GB/T 37127的有关规定。检查数量：每一检验项目的试件数量应按常规检验加倍。检验方法：按现行国家标准《混凝土结构工程用锚固胶》GB/T 37127和本规程规定的试验方法进行。若怀疑使用了劣质胶粘剂，尚应取样进行化学分析。一般情况下，宜在使用剩余的乙组分（固化剂）包装中取样，较为容易得到化验结果；只有在不得已的情况下，才</w:t>
      </w:r>
      <w:r>
        <w:rPr>
          <w:rFonts w:ascii="宋体" w:hAnsi="宋体"/>
          <w:i/>
          <w:iCs/>
          <w:color w:val="0070C0"/>
          <w:sz w:val="24"/>
          <w:szCs w:val="24"/>
        </w:rPr>
        <w:t>对</w:t>
      </w:r>
      <w:r>
        <w:rPr>
          <w:rFonts w:hint="eastAsia" w:ascii="宋体" w:hAnsi="宋体"/>
          <w:i/>
          <w:iCs/>
          <w:color w:val="0070C0"/>
          <w:sz w:val="24"/>
          <w:szCs w:val="24"/>
        </w:rPr>
        <w:t>已固化的植筋进行抽样化验。</w:t>
      </w:r>
    </w:p>
    <w:p>
      <w:pPr>
        <w:rPr>
          <w:rFonts w:ascii="黑体" w:hAnsi="黑体" w:eastAsia="黑体" w:cs="黑体"/>
          <w:color w:val="auto"/>
          <w:sz w:val="32"/>
        </w:rPr>
      </w:pPr>
      <w:bookmarkStart w:id="52" w:name="_Hlk102848230"/>
      <w:bookmarkEnd w:id="52"/>
      <w:r>
        <w:rPr>
          <w:rFonts w:ascii="黑体" w:hAnsi="黑体" w:eastAsia="黑体" w:cs="黑体"/>
          <w:color w:val="auto"/>
          <w:sz w:val="32"/>
        </w:rPr>
        <w:br w:type="page"/>
      </w:r>
    </w:p>
    <w:p>
      <w:pPr>
        <w:pStyle w:val="4"/>
        <w:rPr>
          <w:rFonts w:ascii="黑体" w:hAnsi="黑体" w:eastAsia="黑体" w:cs="黑体"/>
          <w:color w:val="auto"/>
          <w:sz w:val="32"/>
        </w:rPr>
      </w:pPr>
      <w:bookmarkStart w:id="53" w:name="_Toc10731"/>
      <w:bookmarkStart w:id="54" w:name="_Toc145273820"/>
      <w:r>
        <w:rPr>
          <w:rFonts w:hint="eastAsia" w:ascii="黑体" w:hAnsi="黑体" w:eastAsia="黑体" w:cs="黑体"/>
          <w:color w:val="auto"/>
          <w:sz w:val="32"/>
        </w:rPr>
        <w:t>附录A  植筋系统试验通用要求</w:t>
      </w:r>
      <w:bookmarkEnd w:id="53"/>
    </w:p>
    <w:p>
      <w:pPr>
        <w:pStyle w:val="5"/>
      </w:pPr>
      <w:bookmarkStart w:id="55" w:name="_Toc22702"/>
      <w:bookmarkStart w:id="56" w:name="_Toc819"/>
      <w:bookmarkStart w:id="57" w:name="_Toc19698"/>
      <w:r>
        <w:rPr>
          <w:rFonts w:hint="eastAsia"/>
        </w:rPr>
        <w:t>A.1 试验用混凝土试件和钢筋</w:t>
      </w:r>
      <w:bookmarkEnd w:id="55"/>
      <w:bookmarkEnd w:id="56"/>
      <w:bookmarkEnd w:id="57"/>
    </w:p>
    <w:p>
      <w:pPr>
        <w:spacing w:after="0" w:line="360" w:lineRule="auto"/>
        <w:rPr>
          <w:color w:val="auto"/>
          <w:sz w:val="24"/>
          <w:szCs w:val="24"/>
        </w:rPr>
      </w:pPr>
      <w:r>
        <w:rPr>
          <w:rFonts w:hint="eastAsia"/>
          <w:b/>
          <w:bCs/>
          <w:color w:val="auto"/>
          <w:sz w:val="24"/>
          <w:szCs w:val="24"/>
        </w:rPr>
        <w:t>A</w:t>
      </w:r>
      <w:r>
        <w:rPr>
          <w:b/>
          <w:bCs/>
          <w:color w:val="auto"/>
          <w:sz w:val="24"/>
          <w:szCs w:val="24"/>
        </w:rPr>
        <w:t xml:space="preserve">.1.1 </w:t>
      </w:r>
      <w:r>
        <w:rPr>
          <w:rFonts w:hint="eastAsia"/>
          <w:color w:val="auto"/>
          <w:sz w:val="24"/>
          <w:szCs w:val="24"/>
        </w:rPr>
        <w:t>试验用</w:t>
      </w:r>
      <w:r>
        <w:rPr>
          <w:color w:val="auto"/>
          <w:sz w:val="24"/>
          <w:szCs w:val="24"/>
        </w:rPr>
        <w:t>混凝土原材料应符合</w:t>
      </w:r>
      <w:r>
        <w:rPr>
          <w:rFonts w:hint="eastAsia"/>
          <w:color w:val="auto"/>
          <w:sz w:val="24"/>
          <w:szCs w:val="24"/>
        </w:rPr>
        <w:t>现行行业标准</w:t>
      </w:r>
      <w:r>
        <w:rPr>
          <w:rFonts w:hint="eastAsia"/>
          <w:color w:val="auto"/>
          <w:sz w:val="24"/>
          <w:szCs w:val="24"/>
          <w:lang w:eastAsia="zh-CN"/>
        </w:rPr>
        <w:t>《</w:t>
      </w:r>
      <w:r>
        <w:rPr>
          <w:rFonts w:hint="eastAsia"/>
          <w:color w:val="auto"/>
          <w:sz w:val="24"/>
          <w:szCs w:val="24"/>
        </w:rPr>
        <w:t>混凝土用机械锚栓</w:t>
      </w:r>
      <w:r>
        <w:rPr>
          <w:rFonts w:hint="eastAsia"/>
          <w:color w:val="auto"/>
          <w:sz w:val="24"/>
          <w:szCs w:val="24"/>
          <w:lang w:eastAsia="zh-CN"/>
        </w:rPr>
        <w:t>》</w:t>
      </w:r>
      <w:r>
        <w:rPr>
          <w:color w:val="auto"/>
          <w:sz w:val="24"/>
          <w:szCs w:val="24"/>
        </w:rPr>
        <w:t>JG/T 160的</w:t>
      </w:r>
      <w:r>
        <w:rPr>
          <w:rFonts w:hint="eastAsia"/>
          <w:color w:val="auto"/>
          <w:sz w:val="24"/>
          <w:szCs w:val="24"/>
          <w:lang w:val="en-US" w:eastAsia="zh-CN"/>
        </w:rPr>
        <w:t>有关</w:t>
      </w:r>
      <w:r>
        <w:rPr>
          <w:color w:val="auto"/>
          <w:sz w:val="24"/>
          <w:szCs w:val="24"/>
        </w:rPr>
        <w:t>规定。</w:t>
      </w:r>
    </w:p>
    <w:p>
      <w:pPr>
        <w:spacing w:after="0" w:line="360" w:lineRule="auto"/>
        <w:rPr>
          <w:color w:val="auto"/>
          <w:sz w:val="24"/>
          <w:szCs w:val="24"/>
        </w:rPr>
      </w:pPr>
      <w:r>
        <w:rPr>
          <w:rFonts w:hint="eastAsia"/>
          <w:b/>
          <w:bCs/>
          <w:color w:val="auto"/>
          <w:sz w:val="24"/>
          <w:szCs w:val="24"/>
        </w:rPr>
        <w:t xml:space="preserve">A.1.2 </w:t>
      </w:r>
      <w:r>
        <w:rPr>
          <w:color w:val="auto"/>
          <w:sz w:val="24"/>
          <w:szCs w:val="24"/>
        </w:rPr>
        <w:t>混凝土试件的强度</w:t>
      </w:r>
      <w:r>
        <w:rPr>
          <w:rFonts w:hint="eastAsia"/>
          <w:color w:val="auto"/>
          <w:sz w:val="24"/>
          <w:szCs w:val="24"/>
        </w:rPr>
        <w:t>应分为</w:t>
      </w:r>
      <w:r>
        <w:rPr>
          <w:color w:val="auto"/>
          <w:sz w:val="24"/>
          <w:szCs w:val="24"/>
        </w:rPr>
        <w:t>两种：抗压强度为30MPa±5MPa</w:t>
      </w:r>
      <w:r>
        <w:rPr>
          <w:rFonts w:hint="eastAsia"/>
          <w:color w:val="auto"/>
          <w:sz w:val="24"/>
          <w:szCs w:val="24"/>
          <w:lang w:val="en-US" w:eastAsia="zh-CN"/>
        </w:rPr>
        <w:t>的</w:t>
      </w:r>
      <w:r>
        <w:rPr>
          <w:color w:val="auto"/>
          <w:sz w:val="24"/>
          <w:szCs w:val="24"/>
        </w:rPr>
        <w:t>低强度混凝土；抗压强度为60MPa±5MPa</w:t>
      </w:r>
      <w:r>
        <w:rPr>
          <w:rFonts w:hint="eastAsia"/>
          <w:color w:val="auto"/>
          <w:sz w:val="24"/>
          <w:szCs w:val="24"/>
          <w:lang w:val="en-US" w:eastAsia="zh-CN"/>
        </w:rPr>
        <w:t>的</w:t>
      </w:r>
      <w:r>
        <w:rPr>
          <w:color w:val="auto"/>
          <w:sz w:val="24"/>
          <w:szCs w:val="24"/>
        </w:rPr>
        <w:t>高强度混凝土</w:t>
      </w:r>
      <w:r>
        <w:rPr>
          <w:rFonts w:hint="eastAsia"/>
          <w:color w:val="auto"/>
          <w:sz w:val="24"/>
          <w:szCs w:val="24"/>
        </w:rPr>
        <w:t>。</w:t>
      </w:r>
    </w:p>
    <w:p>
      <w:pPr>
        <w:spacing w:after="0" w:line="360" w:lineRule="auto"/>
        <w:rPr>
          <w:color w:val="auto"/>
          <w:sz w:val="24"/>
          <w:szCs w:val="24"/>
        </w:rPr>
      </w:pPr>
      <w:r>
        <w:rPr>
          <w:rFonts w:hint="eastAsia"/>
          <w:b/>
          <w:bCs/>
          <w:color w:val="auto"/>
          <w:sz w:val="24"/>
          <w:szCs w:val="24"/>
        </w:rPr>
        <w:t xml:space="preserve">A.1.3 </w:t>
      </w:r>
      <w:r>
        <w:rPr>
          <w:rFonts w:hint="eastAsia"/>
          <w:color w:val="auto"/>
          <w:sz w:val="24"/>
          <w:szCs w:val="24"/>
        </w:rPr>
        <w:t>试件混凝土强度应符合下列规定：</w:t>
      </w:r>
    </w:p>
    <w:p>
      <w:pPr>
        <w:spacing w:after="0" w:line="360" w:lineRule="auto"/>
        <w:ind w:firstLine="480" w:firstLineChars="200"/>
        <w:rPr>
          <w:color w:val="auto"/>
          <w:sz w:val="24"/>
          <w:szCs w:val="24"/>
        </w:rPr>
      </w:pPr>
      <w:r>
        <w:rPr>
          <w:color w:val="auto"/>
          <w:sz w:val="24"/>
          <w:szCs w:val="24"/>
        </w:rPr>
        <w:t>1</w:t>
      </w:r>
      <w:r>
        <w:rPr>
          <w:rFonts w:hint="eastAsia"/>
          <w:color w:val="auto"/>
          <w:sz w:val="24"/>
          <w:szCs w:val="24"/>
        </w:rPr>
        <w:t xml:space="preserve"> 试件混凝土抗压强度应依据同条件养护的混凝土立方体试块确定，混凝土的龄期不宜少于2</w:t>
      </w:r>
      <w:r>
        <w:rPr>
          <w:color w:val="auto"/>
          <w:sz w:val="24"/>
          <w:szCs w:val="24"/>
        </w:rPr>
        <w:t>1d</w:t>
      </w:r>
      <w:r>
        <w:rPr>
          <w:rFonts w:hint="eastAsia"/>
          <w:color w:val="auto"/>
          <w:sz w:val="24"/>
          <w:szCs w:val="24"/>
        </w:rPr>
        <w:t>。</w:t>
      </w:r>
    </w:p>
    <w:p>
      <w:pPr>
        <w:spacing w:after="0" w:line="360" w:lineRule="auto"/>
        <w:ind w:firstLine="480" w:firstLineChars="200"/>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应在植筋试验的同时试压试块强度，同一龄期的试块数量不应少于3个，取3个试件混凝土实测强度的平均值作为试件的实测强度值，精确到0</w:t>
      </w:r>
      <w:r>
        <w:rPr>
          <w:color w:val="auto"/>
          <w:sz w:val="24"/>
          <w:szCs w:val="24"/>
        </w:rPr>
        <w:t>.1</w:t>
      </w:r>
      <w:r>
        <w:rPr>
          <w:rFonts w:hint="eastAsia"/>
          <w:iCs/>
          <w:color w:val="auto"/>
          <w:sz w:val="24"/>
          <w:szCs w:val="24"/>
        </w:rPr>
        <w:t xml:space="preserve"> N</w:t>
      </w:r>
      <w:r>
        <w:rPr>
          <w:iCs/>
          <w:color w:val="auto"/>
          <w:sz w:val="24"/>
          <w:szCs w:val="24"/>
        </w:rPr>
        <w:t>/mm</w:t>
      </w:r>
      <w:r>
        <w:rPr>
          <w:iCs/>
          <w:color w:val="auto"/>
          <w:sz w:val="24"/>
          <w:szCs w:val="24"/>
          <w:vertAlign w:val="superscript"/>
        </w:rPr>
        <w:t>2</w:t>
      </w:r>
      <w:r>
        <w:rPr>
          <w:rFonts w:hint="eastAsia"/>
          <w:iCs/>
          <w:color w:val="auto"/>
          <w:sz w:val="24"/>
          <w:szCs w:val="24"/>
        </w:rPr>
        <w:t>。</w:t>
      </w:r>
    </w:p>
    <w:p>
      <w:pPr>
        <w:spacing w:after="0" w:line="360" w:lineRule="auto"/>
        <w:ind w:firstLine="480" w:firstLineChars="200"/>
        <w:rPr>
          <w:color w:val="auto"/>
          <w:sz w:val="24"/>
          <w:szCs w:val="24"/>
        </w:rPr>
      </w:pPr>
      <w:r>
        <w:rPr>
          <w:rFonts w:hint="eastAsia"/>
          <w:color w:val="auto"/>
          <w:sz w:val="24"/>
          <w:szCs w:val="24"/>
        </w:rPr>
        <w:t>3</w:t>
      </w:r>
      <w:r>
        <w:rPr>
          <w:rFonts w:hint="eastAsia"/>
          <w:color w:val="auto"/>
          <w:sz w:val="24"/>
          <w:szCs w:val="24"/>
          <w:lang w:val="en-US" w:eastAsia="zh-CN"/>
        </w:rPr>
        <w:t>当</w:t>
      </w:r>
      <w:r>
        <w:rPr>
          <w:rFonts w:hint="eastAsia"/>
          <w:color w:val="auto"/>
          <w:sz w:val="24"/>
          <w:szCs w:val="24"/>
        </w:rPr>
        <w:t>试验持续时间较长</w:t>
      </w:r>
      <w:r>
        <w:rPr>
          <w:rFonts w:hint="eastAsia"/>
          <w:color w:val="auto"/>
          <w:sz w:val="24"/>
          <w:szCs w:val="24"/>
          <w:lang w:val="en-US" w:eastAsia="zh-CN"/>
        </w:rPr>
        <w:t>时</w:t>
      </w:r>
      <w:r>
        <w:rPr>
          <w:rFonts w:hint="eastAsia"/>
          <w:color w:val="auto"/>
          <w:sz w:val="24"/>
          <w:szCs w:val="24"/>
        </w:rPr>
        <w:t>，应在试验的开始、过程中和结束时分别试压试块强度。当连续两次试压试块的强度差不超过5MPa，可取强度的平均值作为试件混凝土抗压强度。</w:t>
      </w:r>
    </w:p>
    <w:p>
      <w:pPr>
        <w:spacing w:after="0" w:line="360" w:lineRule="auto"/>
        <w:ind w:firstLine="480" w:firstLineChars="200"/>
        <w:rPr>
          <w:color w:val="auto"/>
          <w:sz w:val="24"/>
          <w:szCs w:val="24"/>
        </w:rPr>
      </w:pPr>
      <w:r>
        <w:rPr>
          <w:rFonts w:hint="eastAsia"/>
          <w:color w:val="auto"/>
          <w:sz w:val="24"/>
          <w:szCs w:val="24"/>
        </w:rPr>
        <w:t xml:space="preserve">4 </w:t>
      </w:r>
      <w:r>
        <w:rPr>
          <w:rFonts w:hint="eastAsia"/>
          <w:color w:val="auto"/>
          <w:sz w:val="24"/>
          <w:szCs w:val="24"/>
          <w:lang w:val="en-US" w:eastAsia="zh-CN"/>
        </w:rPr>
        <w:t>当对</w:t>
      </w:r>
      <w:r>
        <w:rPr>
          <w:rFonts w:hint="eastAsia"/>
          <w:color w:val="auto"/>
          <w:sz w:val="24"/>
          <w:szCs w:val="24"/>
        </w:rPr>
        <w:t>预留试块强度的代表性</w:t>
      </w:r>
      <w:r>
        <w:rPr>
          <w:rFonts w:hint="eastAsia"/>
          <w:color w:val="auto"/>
          <w:sz w:val="24"/>
          <w:szCs w:val="24"/>
          <w:lang w:val="en-US" w:eastAsia="zh-CN"/>
        </w:rPr>
        <w:t>存疑时</w:t>
      </w:r>
      <w:r>
        <w:rPr>
          <w:rFonts w:hint="eastAsia"/>
          <w:color w:val="auto"/>
          <w:sz w:val="24"/>
          <w:szCs w:val="24"/>
        </w:rPr>
        <w:t>，应在混凝土试件上钻取芯样检测推定试件混凝土强度。</w:t>
      </w:r>
    </w:p>
    <w:p>
      <w:pPr>
        <w:spacing w:after="0" w:line="360" w:lineRule="auto"/>
        <w:ind w:firstLine="480" w:firstLineChars="200"/>
        <w:rPr>
          <w:color w:val="auto"/>
          <w:sz w:val="24"/>
          <w:szCs w:val="24"/>
        </w:rPr>
      </w:pPr>
      <w:r>
        <w:rPr>
          <w:rFonts w:hint="eastAsia"/>
          <w:color w:val="auto"/>
          <w:sz w:val="24"/>
          <w:szCs w:val="24"/>
        </w:rPr>
        <w:t>5 对试样进行约束拉拔后，均应根据相关要求对测试结果换算为指定混凝土强度对应的值。</w:t>
      </w:r>
    </w:p>
    <w:p>
      <w:pPr>
        <w:spacing w:after="0" w:line="360" w:lineRule="auto"/>
        <w:rPr>
          <w:i/>
          <w:iCs/>
          <w:color w:val="4472C4" w:themeColor="accent1"/>
          <w:sz w:val="24"/>
          <w:szCs w:val="24"/>
          <w14:textFill>
            <w14:solidFill>
              <w14:schemeClr w14:val="accent1"/>
            </w14:solidFill>
          </w14:textFill>
        </w:rPr>
      </w:pPr>
      <w:r>
        <w:rPr>
          <w:rFonts w:hint="eastAsia"/>
          <w:i/>
          <w:iCs/>
          <w:color w:val="4472C4" w:themeColor="accent1"/>
          <w:sz w:val="24"/>
          <w:szCs w:val="24"/>
          <w14:textFill>
            <w14:solidFill>
              <w14:schemeClr w14:val="accent1"/>
            </w14:solidFill>
          </w14:textFill>
        </w:rPr>
        <w:t>【条文说明】以上要求是参照G</w:t>
      </w:r>
      <w:r>
        <w:rPr>
          <w:i/>
          <w:iCs/>
          <w:color w:val="4472C4" w:themeColor="accent1"/>
          <w:sz w:val="24"/>
          <w:szCs w:val="24"/>
          <w14:textFill>
            <w14:solidFill>
              <w14:schemeClr w14:val="accent1"/>
            </w14:solidFill>
          </w14:textFill>
        </w:rPr>
        <w:t xml:space="preserve">B/T 50107 </w:t>
      </w:r>
      <w:r>
        <w:rPr>
          <w:rFonts w:hint="eastAsia"/>
          <w:i/>
          <w:iCs/>
          <w:color w:val="4472C4" w:themeColor="accent1"/>
          <w:sz w:val="24"/>
          <w:szCs w:val="24"/>
          <w14:textFill>
            <w14:solidFill>
              <w14:schemeClr w14:val="accent1"/>
            </w14:solidFill>
          </w14:textFill>
        </w:rPr>
        <w:t>《混凝土强度检验评定标准》5</w:t>
      </w:r>
      <w:r>
        <w:rPr>
          <w:i/>
          <w:iCs/>
          <w:color w:val="4472C4" w:themeColor="accent1"/>
          <w:sz w:val="24"/>
          <w:szCs w:val="24"/>
          <w14:textFill>
            <w14:solidFill>
              <w14:schemeClr w14:val="accent1"/>
            </w14:solidFill>
          </w14:textFill>
        </w:rPr>
        <w:t>.2</w:t>
      </w:r>
      <w:r>
        <w:rPr>
          <w:rFonts w:hint="eastAsia"/>
          <w:i/>
          <w:iCs/>
          <w:color w:val="4472C4" w:themeColor="accent1"/>
          <w:sz w:val="24"/>
          <w:szCs w:val="24"/>
          <w14:textFill>
            <w14:solidFill>
              <w14:schemeClr w14:val="accent1"/>
            </w14:solidFill>
          </w14:textFill>
        </w:rPr>
        <w:t>的相关规定。结合《混凝土用机械锚栓》JGJ/T</w:t>
      </w:r>
      <w:r>
        <w:rPr>
          <w:i/>
          <w:iCs/>
          <w:color w:val="4472C4" w:themeColor="accent1"/>
          <w:sz w:val="24"/>
          <w:szCs w:val="24"/>
          <w14:textFill>
            <w14:solidFill>
              <w14:schemeClr w14:val="accent1"/>
            </w14:solidFill>
          </w14:textFill>
        </w:rPr>
        <w:t>160</w:t>
      </w:r>
      <w:r>
        <w:rPr>
          <w:rFonts w:hint="eastAsia"/>
          <w:i/>
          <w:iCs/>
          <w:color w:val="4472C4" w:themeColor="accent1"/>
          <w:sz w:val="24"/>
          <w:szCs w:val="24"/>
          <w14:textFill>
            <w14:solidFill>
              <w14:schemeClr w14:val="accent1"/>
            </w14:solidFill>
          </w14:textFill>
        </w:rPr>
        <w:t>附录G和欧洲认证标准《混凝土后锚固植筋》E</w:t>
      </w:r>
      <w:r>
        <w:rPr>
          <w:i/>
          <w:iCs/>
          <w:color w:val="4472C4" w:themeColor="accent1"/>
          <w:sz w:val="24"/>
          <w:szCs w:val="24"/>
          <w14:textFill>
            <w14:solidFill>
              <w14:schemeClr w14:val="accent1"/>
            </w14:solidFill>
          </w14:textFill>
        </w:rPr>
        <w:t>AD 330087</w:t>
      </w:r>
      <w:r>
        <w:rPr>
          <w:rFonts w:hint="eastAsia"/>
          <w:i/>
          <w:iCs/>
          <w:color w:val="4472C4" w:themeColor="accent1"/>
          <w:sz w:val="24"/>
          <w:szCs w:val="24"/>
          <w14:textFill>
            <w14:solidFill>
              <w14:schemeClr w14:val="accent1"/>
            </w14:solidFill>
          </w14:textFill>
        </w:rPr>
        <w:t>附录B的有关规定。</w:t>
      </w:r>
    </w:p>
    <w:p>
      <w:pPr>
        <w:spacing w:after="0" w:line="360" w:lineRule="auto"/>
        <w:rPr>
          <w:b/>
          <w:bCs/>
          <w:color w:val="auto"/>
          <w:sz w:val="24"/>
          <w:szCs w:val="24"/>
        </w:rPr>
      </w:pPr>
      <w:r>
        <w:rPr>
          <w:rFonts w:hint="eastAsia"/>
          <w:b/>
          <w:bCs/>
          <w:color w:val="auto"/>
          <w:sz w:val="24"/>
          <w:szCs w:val="24"/>
        </w:rPr>
        <w:t>A.1.4</w:t>
      </w:r>
      <w:r>
        <w:rPr>
          <w:b/>
          <w:bCs/>
          <w:color w:val="auto"/>
          <w:sz w:val="24"/>
          <w:szCs w:val="24"/>
        </w:rPr>
        <w:t xml:space="preserve"> </w:t>
      </w:r>
      <w:r>
        <w:rPr>
          <w:color w:val="auto"/>
          <w:sz w:val="24"/>
          <w:szCs w:val="24"/>
        </w:rPr>
        <w:t>混凝土试件</w:t>
      </w:r>
      <w:r>
        <w:rPr>
          <w:rFonts w:hint="eastAsia"/>
          <w:color w:val="auto"/>
          <w:sz w:val="24"/>
          <w:szCs w:val="24"/>
        </w:rPr>
        <w:t>应</w:t>
      </w:r>
      <w:r>
        <w:rPr>
          <w:color w:val="auto"/>
          <w:sz w:val="24"/>
          <w:szCs w:val="24"/>
        </w:rPr>
        <w:t>无裂缝</w:t>
      </w:r>
      <w:r>
        <w:rPr>
          <w:rFonts w:hint="eastAsia"/>
          <w:color w:val="auto"/>
          <w:sz w:val="24"/>
          <w:szCs w:val="24"/>
        </w:rPr>
        <w:t>，且应符合下列规定：</w:t>
      </w:r>
    </w:p>
    <w:p>
      <w:pPr>
        <w:spacing w:after="0" w:line="360" w:lineRule="auto"/>
        <w:ind w:firstLine="480" w:firstLineChars="200"/>
        <w:rPr>
          <w:color w:val="auto"/>
          <w:sz w:val="24"/>
          <w:szCs w:val="24"/>
        </w:rPr>
      </w:pPr>
      <w:r>
        <w:rPr>
          <w:rFonts w:hint="eastAsia"/>
          <w:color w:val="auto"/>
          <w:sz w:val="24"/>
          <w:szCs w:val="24"/>
        </w:rPr>
        <w:t xml:space="preserve">1 </w:t>
      </w:r>
      <w:r>
        <w:rPr>
          <w:color w:val="auto"/>
          <w:sz w:val="24"/>
          <w:szCs w:val="24"/>
        </w:rPr>
        <w:t>混凝土试件宜为素混凝土，可适当配置构造钢筋，</w:t>
      </w:r>
      <w:r>
        <w:rPr>
          <w:rFonts w:hint="eastAsia"/>
          <w:color w:val="auto"/>
          <w:sz w:val="24"/>
          <w:szCs w:val="24"/>
        </w:rPr>
        <w:t>植筋的混凝土锥体顶点角120°范围内</w:t>
      </w:r>
      <w:r>
        <w:rPr>
          <w:rFonts w:hint="eastAsia"/>
          <w:color w:val="auto"/>
          <w:sz w:val="24"/>
          <w:szCs w:val="24"/>
          <w:lang w:val="en-US" w:eastAsia="zh-CN"/>
        </w:rPr>
        <w:t>不</w:t>
      </w:r>
      <w:r>
        <w:rPr>
          <w:rFonts w:hint="eastAsia"/>
          <w:color w:val="auto"/>
          <w:sz w:val="24"/>
          <w:szCs w:val="24"/>
        </w:rPr>
        <w:t>宜</w:t>
      </w:r>
      <w:r>
        <w:rPr>
          <w:rFonts w:hint="eastAsia"/>
          <w:color w:val="auto"/>
          <w:sz w:val="24"/>
          <w:szCs w:val="24"/>
          <w:lang w:val="en-US" w:eastAsia="zh-CN"/>
        </w:rPr>
        <w:t>布置</w:t>
      </w:r>
      <w:r>
        <w:rPr>
          <w:rFonts w:hint="eastAsia"/>
          <w:color w:val="auto"/>
          <w:sz w:val="24"/>
          <w:szCs w:val="24"/>
        </w:rPr>
        <w:t>钢筋</w:t>
      </w:r>
      <w:r>
        <w:rPr>
          <w:color w:val="auto"/>
          <w:sz w:val="24"/>
          <w:szCs w:val="24"/>
        </w:rPr>
        <w:t>。</w:t>
      </w:r>
    </w:p>
    <w:p>
      <w:pPr>
        <w:spacing w:after="0" w:line="360" w:lineRule="auto"/>
        <w:ind w:firstLine="480" w:firstLineChars="200"/>
        <w:rPr>
          <w:color w:val="auto"/>
          <w:sz w:val="24"/>
          <w:szCs w:val="24"/>
        </w:rPr>
      </w:pPr>
      <w:r>
        <w:rPr>
          <w:rFonts w:hint="eastAsia"/>
          <w:color w:val="auto"/>
          <w:sz w:val="24"/>
          <w:szCs w:val="24"/>
        </w:rPr>
        <w:t>2 混凝土试件宜水平浇筑，</w:t>
      </w:r>
      <w:r>
        <w:rPr>
          <w:rFonts w:hint="eastAsia"/>
          <w:color w:val="auto"/>
          <w:sz w:val="24"/>
          <w:szCs w:val="24"/>
          <w:lang w:val="en-US" w:eastAsia="zh-CN"/>
        </w:rPr>
        <w:t>若</w:t>
      </w:r>
      <w:r>
        <w:rPr>
          <w:rFonts w:hint="eastAsia"/>
          <w:color w:val="auto"/>
          <w:sz w:val="24"/>
          <w:szCs w:val="24"/>
        </w:rPr>
        <w:t>垂直浇筑，浇筑的最大高度不应大于1.5m，且应均匀致密。</w:t>
      </w:r>
    </w:p>
    <w:p>
      <w:pPr>
        <w:spacing w:after="0" w:line="360" w:lineRule="auto"/>
        <w:ind w:firstLine="480" w:firstLineChars="200"/>
        <w:rPr>
          <w:rFonts w:hint="eastAsia" w:eastAsia="宋体"/>
          <w:color w:val="auto"/>
          <w:sz w:val="24"/>
          <w:szCs w:val="24"/>
          <w:lang w:eastAsia="zh-CN"/>
        </w:rPr>
      </w:pPr>
      <w:r>
        <w:rPr>
          <w:rFonts w:hint="eastAsia"/>
          <w:color w:val="auto"/>
          <w:sz w:val="24"/>
          <w:szCs w:val="24"/>
        </w:rPr>
        <w:t>3 混凝土试件尺寸应满足下列要求</w:t>
      </w:r>
      <w:r>
        <w:rPr>
          <w:rFonts w:hint="eastAsia"/>
          <w:color w:val="auto"/>
          <w:sz w:val="24"/>
          <w:szCs w:val="24"/>
          <w:lang w:eastAsia="zh-CN"/>
        </w:rPr>
        <w:t>：</w:t>
      </w:r>
    </w:p>
    <w:p>
      <w:pPr>
        <w:ind w:firstLine="618"/>
        <w:rPr>
          <w:color w:val="auto"/>
          <w:sz w:val="24"/>
          <w:szCs w:val="24"/>
        </w:rPr>
      </w:pPr>
      <w:r>
        <w:rPr>
          <w:color w:val="auto"/>
          <w:sz w:val="24"/>
          <w:szCs w:val="24"/>
        </w:rPr>
        <w:t>1）混凝土试件最小厚度</w:t>
      </w:r>
      <w:r>
        <w:rPr>
          <w:i/>
          <w:iCs/>
          <w:color w:val="auto"/>
          <w:sz w:val="24"/>
          <w:szCs w:val="24"/>
        </w:rPr>
        <w:t>h</w:t>
      </w:r>
      <w:r>
        <w:rPr>
          <w:color w:val="auto"/>
          <w:sz w:val="24"/>
          <w:szCs w:val="24"/>
          <w:vertAlign w:val="subscript"/>
        </w:rPr>
        <w:t>min</w:t>
      </w:r>
      <w:r>
        <w:rPr>
          <w:color w:val="auto"/>
          <w:sz w:val="24"/>
          <w:szCs w:val="24"/>
        </w:rPr>
        <w:t>应满足下式要求：</w:t>
      </w:r>
    </w:p>
    <w:p>
      <w:pPr>
        <w:ind w:firstLine="200"/>
        <w:jc w:val="right"/>
        <w:rPr>
          <w:color w:val="auto"/>
          <w:sz w:val="24"/>
          <w:szCs w:val="24"/>
        </w:rPr>
      </w:pPr>
      <w:r>
        <w:rPr>
          <w:i/>
          <w:iCs/>
          <w:color w:val="auto"/>
          <w:sz w:val="24"/>
          <w:szCs w:val="24"/>
        </w:rPr>
        <w:t>h</w:t>
      </w:r>
      <w:r>
        <w:rPr>
          <w:color w:val="auto"/>
          <w:sz w:val="24"/>
          <w:szCs w:val="24"/>
          <w:vertAlign w:val="subscript"/>
        </w:rPr>
        <w:t xml:space="preserve">min </w:t>
      </w:r>
      <w:r>
        <w:rPr>
          <w:color w:val="auto"/>
          <w:sz w:val="24"/>
          <w:szCs w:val="24"/>
        </w:rPr>
        <w:t>≥</w:t>
      </w:r>
      <w:r>
        <w:rPr>
          <w:i/>
          <w:iCs/>
          <w:color w:val="auto"/>
          <w:sz w:val="24"/>
          <w:szCs w:val="24"/>
        </w:rPr>
        <w:t>l</w:t>
      </w:r>
      <w:r>
        <w:rPr>
          <w:color w:val="auto"/>
          <w:sz w:val="24"/>
          <w:szCs w:val="24"/>
          <w:vertAlign w:val="subscript"/>
        </w:rPr>
        <w:t>v</w:t>
      </w:r>
      <w:r>
        <w:rPr>
          <w:color w:val="auto"/>
          <w:sz w:val="24"/>
          <w:szCs w:val="24"/>
        </w:rPr>
        <w:t>+2</w:t>
      </w:r>
      <w:r>
        <w:rPr>
          <w:i/>
          <w:iCs/>
          <w:color w:val="auto"/>
          <w:sz w:val="24"/>
          <w:szCs w:val="24"/>
        </w:rPr>
        <w:t>D</w:t>
      </w:r>
      <w:r>
        <w:rPr>
          <w:color w:val="auto"/>
          <w:sz w:val="24"/>
          <w:szCs w:val="24"/>
        </w:rPr>
        <w:t xml:space="preserve">       </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w:t>
      </w:r>
      <w:r>
        <w:rPr>
          <w:rFonts w:hint="eastAsia"/>
          <w:color w:val="auto"/>
          <w:sz w:val="24"/>
          <w:szCs w:val="24"/>
        </w:rPr>
        <w:t>A.1.4</w:t>
      </w:r>
      <w:r>
        <w:rPr>
          <w:color w:val="auto"/>
          <w:sz w:val="24"/>
          <w:szCs w:val="24"/>
        </w:rPr>
        <w:t>)</w:t>
      </w:r>
    </w:p>
    <w:tbl>
      <w:tblPr>
        <w:tblStyle w:val="28"/>
        <w:tblW w:w="0" w:type="auto"/>
        <w:tblInd w:w="4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
        <w:gridCol w:w="697"/>
        <w:gridCol w:w="456"/>
        <w:gridCol w:w="5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2"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式中:</w:t>
            </w:r>
          </w:p>
        </w:tc>
        <w:tc>
          <w:tcPr>
            <w:tcW w:w="697" w:type="dxa"/>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ℎ</m:t>
                    </m:r>
                    <m:ctrlPr>
                      <w:rPr>
                        <w:rFonts w:ascii="Cambria Math" w:hAnsi="Cambria Math"/>
                        <w:i/>
                        <w:color w:val="auto"/>
                        <w:sz w:val="24"/>
                        <w:szCs w:val="24"/>
                      </w:rPr>
                    </m:ctrlPr>
                  </m:e>
                  <m:sub>
                    <m:r>
                      <m:rPr>
                        <m:sty m:val="p"/>
                      </m:rPr>
                      <w:rPr>
                        <w:rFonts w:hint="default" w:ascii="Cambria Math" w:hAnsi="Cambria Math"/>
                        <w:color w:val="auto"/>
                        <w:sz w:val="24"/>
                        <w:szCs w:val="24"/>
                      </w:rPr>
                      <m:t>min</m:t>
                    </m:r>
                    <m:ctrlPr>
                      <w:rPr>
                        <w:rFonts w:ascii="Cambria Math" w:hAnsi="Cambria Math"/>
                        <w:i/>
                        <w:color w:val="auto"/>
                        <w:sz w:val="24"/>
                        <w:szCs w:val="24"/>
                      </w:rPr>
                    </m:ctrlPr>
                  </m:sub>
                </m:sSub>
              </m:oMath>
            </m:oMathPara>
          </w:p>
        </w:tc>
        <w:tc>
          <w:tcPr>
            <w:tcW w:w="456"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color w:val="000000" w:themeColor="text1"/>
                <w:kern w:val="2"/>
                <w:sz w:val="24"/>
                <w:szCs w:val="24"/>
                <w14:textFill>
                  <w14:solidFill>
                    <w14:schemeClr w14:val="tx1"/>
                  </w14:solidFill>
                </w14:textFill>
              </w:rPr>
              <w:t>—</w:t>
            </w:r>
          </w:p>
        </w:tc>
        <w:tc>
          <w:tcPr>
            <w:tcW w:w="5915"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试件混凝土最小厚度（</w:t>
            </w:r>
            <w:r>
              <w:rPr>
                <w:iCs/>
                <w:color w:val="auto"/>
                <w:sz w:val="24"/>
                <w:szCs w:val="24"/>
              </w:rPr>
              <w:t>mm</w:t>
            </w:r>
            <w:r>
              <w:rPr>
                <w:rFonts w:hint="eastAsia"/>
                <w:iCs/>
                <w:color w:val="auto"/>
                <w:sz w:val="24"/>
                <w:szCs w:val="24"/>
              </w:rPr>
              <w:t>）</w:t>
            </w:r>
            <w:r>
              <w:rPr>
                <w:rFonts w:hint="eastAsia"/>
                <w:iCs/>
                <w:color w:val="auto"/>
                <w:sz w:val="24"/>
                <w:szCs w:val="24"/>
                <w:lang w:eastAsia="zh-CN"/>
              </w:rPr>
              <w:t>，</w:t>
            </w:r>
            <w:r>
              <w:rPr>
                <w:rFonts w:hint="eastAsia"/>
                <w:iCs/>
                <w:color w:val="auto"/>
                <w:sz w:val="24"/>
                <w:szCs w:val="24"/>
                <w:lang w:val="en-US" w:eastAsia="zh-CN"/>
              </w:rPr>
              <w:t>取</w:t>
            </w:r>
            <w:r>
              <w:rPr>
                <w:color w:val="auto"/>
                <w:sz w:val="24"/>
                <w:szCs w:val="24"/>
              </w:rPr>
              <w:t>植筋方向的最小尺寸</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2"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p>
        </w:tc>
        <w:tc>
          <w:tcPr>
            <w:tcW w:w="697" w:type="dxa"/>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m:sty m:val="p"/>
                      </m:rPr>
                      <w:rPr>
                        <w:rFonts w:hint="default" w:ascii="Cambria Math" w:hAnsi="Cambria Math"/>
                        <w:color w:val="auto"/>
                        <w:sz w:val="24"/>
                        <w:szCs w:val="24"/>
                      </w:rPr>
                      <m:t>v</m:t>
                    </m:r>
                    <m:ctrlPr>
                      <w:rPr>
                        <w:rFonts w:ascii="Cambria Math" w:hAnsi="Cambria Math"/>
                        <w:i/>
                        <w:color w:val="auto"/>
                        <w:sz w:val="24"/>
                        <w:szCs w:val="24"/>
                      </w:rPr>
                    </m:ctrlPr>
                  </m:sub>
                </m:sSub>
              </m:oMath>
            </m:oMathPara>
          </w:p>
        </w:tc>
        <w:tc>
          <w:tcPr>
            <w:tcW w:w="456"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color w:val="000000" w:themeColor="text1"/>
                <w:kern w:val="2"/>
                <w:sz w:val="24"/>
                <w:szCs w:val="24"/>
                <w14:textFill>
                  <w14:solidFill>
                    <w14:schemeClr w14:val="tx1"/>
                  </w14:solidFill>
                </w14:textFill>
              </w:rPr>
              <w:t>—</w:t>
            </w:r>
          </w:p>
        </w:tc>
        <w:tc>
          <w:tcPr>
            <w:tcW w:w="5915"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用于植筋性能测试的植筋锚固长度（</w:t>
            </w:r>
            <w:r>
              <w:rPr>
                <w:iCs/>
                <w:color w:val="auto"/>
                <w:sz w:val="24"/>
                <w:szCs w:val="24"/>
              </w:rPr>
              <w:t>mm</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2"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p>
        </w:tc>
        <w:tc>
          <w:tcPr>
            <w:tcW w:w="697" w:type="dxa"/>
          </w:tcPr>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iCs/>
                <w:color w:val="auto"/>
                <w:sz w:val="24"/>
                <w:szCs w:val="24"/>
              </w:rPr>
            </w:pPr>
            <m:oMathPara>
              <m:oMath>
                <m:r>
                  <m:rPr/>
                  <w:rPr>
                    <w:rFonts w:ascii="Cambria Math" w:hAnsi="Cambria Math"/>
                    <w:color w:val="auto"/>
                    <w:sz w:val="24"/>
                    <w:szCs w:val="24"/>
                  </w:rPr>
                  <m:t>D</m:t>
                </m:r>
              </m:oMath>
            </m:oMathPara>
          </w:p>
        </w:tc>
        <w:tc>
          <w:tcPr>
            <w:tcW w:w="456"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color w:val="000000" w:themeColor="text1"/>
                <w:kern w:val="2"/>
                <w:sz w:val="24"/>
                <w:szCs w:val="24"/>
                <w14:textFill>
                  <w14:solidFill>
                    <w14:schemeClr w14:val="tx1"/>
                  </w14:solidFill>
                </w14:textFill>
              </w:rPr>
              <w:t>—</w:t>
            </w:r>
          </w:p>
        </w:tc>
        <w:tc>
          <w:tcPr>
            <w:tcW w:w="5915"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钻孔直径（</w:t>
            </w:r>
            <w:r>
              <w:rPr>
                <w:iCs/>
                <w:color w:val="auto"/>
                <w:sz w:val="24"/>
                <w:szCs w:val="24"/>
              </w:rPr>
              <w:t>mm</w:t>
            </w:r>
            <w:r>
              <w:rPr>
                <w:rFonts w:hint="eastAsia"/>
                <w:iCs/>
                <w:color w:val="auto"/>
                <w:sz w:val="24"/>
                <w:szCs w:val="24"/>
              </w:rPr>
              <w:t>）。</w:t>
            </w:r>
          </w:p>
        </w:tc>
      </w:tr>
    </w:tbl>
    <w:p>
      <w:pPr>
        <w:spacing w:after="0" w:line="360" w:lineRule="auto"/>
        <w:ind w:firstLine="420"/>
        <w:rPr>
          <w:color w:val="auto"/>
          <w:sz w:val="24"/>
          <w:szCs w:val="24"/>
        </w:rPr>
      </w:pPr>
      <w:r>
        <w:rPr>
          <w:rFonts w:hint="eastAsia"/>
          <w:color w:val="auto"/>
          <w:sz w:val="24"/>
          <w:szCs w:val="24"/>
        </w:rPr>
        <w:t>2）</w:t>
      </w:r>
      <w:r>
        <w:rPr>
          <w:rFonts w:hint="eastAsia"/>
          <w:color w:val="auto"/>
          <w:sz w:val="24"/>
          <w:szCs w:val="24"/>
          <w:lang w:val="en-US" w:eastAsia="zh-CN"/>
        </w:rPr>
        <w:t>若</w:t>
      </w:r>
      <w:r>
        <w:rPr>
          <w:rFonts w:hint="eastAsia"/>
          <w:color w:val="auto"/>
          <w:sz w:val="24"/>
          <w:szCs w:val="24"/>
        </w:rPr>
        <w:t>混凝土试件是用来植入单一测试钢筋，则试件尺寸应保证植筋距试件边缘距离不宜小于</w:t>
      </w:r>
      <w:r>
        <w:rPr>
          <w:i/>
          <w:iCs/>
          <w:color w:val="auto"/>
          <w:sz w:val="24"/>
          <w:szCs w:val="24"/>
        </w:rPr>
        <w:t>l</w:t>
      </w:r>
      <w:r>
        <w:rPr>
          <w:color w:val="auto"/>
          <w:sz w:val="24"/>
          <w:szCs w:val="24"/>
          <w:vertAlign w:val="subscript"/>
        </w:rPr>
        <w:t>v</w:t>
      </w:r>
      <w:r>
        <w:rPr>
          <w:rFonts w:hint="eastAsia"/>
          <w:color w:val="auto"/>
          <w:sz w:val="24"/>
          <w:szCs w:val="24"/>
        </w:rPr>
        <w:t>且不应小于1</w:t>
      </w:r>
      <w:r>
        <w:rPr>
          <w:color w:val="auto"/>
          <w:sz w:val="24"/>
          <w:szCs w:val="24"/>
        </w:rPr>
        <w:t>00</w:t>
      </w:r>
      <w:r>
        <w:rPr>
          <w:rFonts w:hint="eastAsia"/>
          <w:color w:val="auto"/>
          <w:sz w:val="24"/>
          <w:szCs w:val="24"/>
        </w:rPr>
        <w:t>m</w:t>
      </w:r>
      <w:r>
        <w:rPr>
          <w:color w:val="auto"/>
          <w:sz w:val="24"/>
          <w:szCs w:val="24"/>
        </w:rPr>
        <w:t>m</w:t>
      </w:r>
      <w:r>
        <w:rPr>
          <w:rFonts w:hint="eastAsia"/>
          <w:color w:val="auto"/>
          <w:sz w:val="24"/>
          <w:szCs w:val="24"/>
        </w:rPr>
        <w:t>。</w:t>
      </w:r>
      <w:r>
        <w:rPr>
          <w:rFonts w:hint="eastAsia"/>
          <w:color w:val="auto"/>
          <w:sz w:val="24"/>
          <w:szCs w:val="24"/>
          <w:lang w:val="en-US" w:eastAsia="zh-CN"/>
        </w:rPr>
        <w:t>若</w:t>
      </w:r>
      <w:r>
        <w:rPr>
          <w:rFonts w:hint="eastAsia"/>
          <w:color w:val="auto"/>
          <w:sz w:val="24"/>
          <w:szCs w:val="24"/>
        </w:rPr>
        <w:t>混凝土试件中配置了构造钢筋，应保证钢筋不影响测试结果。</w:t>
      </w:r>
    </w:p>
    <w:p>
      <w:pPr>
        <w:spacing w:after="0" w:line="360" w:lineRule="auto"/>
        <w:ind w:firstLine="420"/>
        <w:rPr>
          <w:color w:val="auto"/>
          <w:sz w:val="24"/>
          <w:szCs w:val="24"/>
        </w:rPr>
      </w:pPr>
      <w:r>
        <w:rPr>
          <w:rFonts w:hint="eastAsia"/>
          <w:color w:val="auto"/>
          <w:sz w:val="24"/>
          <w:szCs w:val="24"/>
        </w:rPr>
        <w:t>3）</w:t>
      </w:r>
      <w:r>
        <w:rPr>
          <w:rFonts w:hint="eastAsia"/>
          <w:color w:val="auto"/>
          <w:sz w:val="24"/>
          <w:szCs w:val="24"/>
          <w:lang w:val="en-US" w:eastAsia="zh-CN"/>
        </w:rPr>
        <w:t>若</w:t>
      </w:r>
      <w:r>
        <w:rPr>
          <w:rFonts w:hint="eastAsia"/>
          <w:color w:val="auto"/>
          <w:sz w:val="24"/>
          <w:szCs w:val="24"/>
        </w:rPr>
        <w:t>混凝土试件是用来植入多根测试用钢筋，则试件尺寸除了符合上述要求外，还应保证任何相邻植筋的钢筋间距不应小于</w:t>
      </w:r>
      <w:r>
        <w:rPr>
          <w:color w:val="auto"/>
          <w:sz w:val="24"/>
          <w:szCs w:val="24"/>
        </w:rPr>
        <w:t>3.5</w:t>
      </w:r>
      <w:r>
        <w:rPr>
          <w:rFonts w:hint="eastAsia"/>
          <w:i/>
          <w:iCs/>
          <w:color w:val="auto"/>
          <w:sz w:val="24"/>
          <w:szCs w:val="24"/>
        </w:rPr>
        <w:t>l</w:t>
      </w:r>
      <w:r>
        <w:rPr>
          <w:rFonts w:hint="eastAsia"/>
          <w:color w:val="auto"/>
          <w:sz w:val="24"/>
          <w:szCs w:val="24"/>
          <w:vertAlign w:val="subscript"/>
        </w:rPr>
        <w:t>v</w:t>
      </w:r>
      <w:r>
        <w:rPr>
          <w:rFonts w:hint="eastAsia"/>
          <w:color w:val="auto"/>
          <w:sz w:val="24"/>
          <w:szCs w:val="24"/>
        </w:rPr>
        <w:t>。</w:t>
      </w:r>
      <w:r>
        <w:rPr>
          <w:rFonts w:hint="eastAsia"/>
          <w:color w:val="auto"/>
          <w:sz w:val="24"/>
          <w:szCs w:val="24"/>
          <w:lang w:val="en-US" w:eastAsia="zh-CN"/>
        </w:rPr>
        <w:t>若</w:t>
      </w:r>
      <w:r>
        <w:rPr>
          <w:rFonts w:hint="eastAsia"/>
          <w:color w:val="auto"/>
          <w:sz w:val="24"/>
          <w:szCs w:val="24"/>
        </w:rPr>
        <w:t>混凝土试件中配置了构造钢筋，还应保证构造钢筋不影响测试结果。</w:t>
      </w:r>
    </w:p>
    <w:p>
      <w:pPr>
        <w:spacing w:after="0" w:line="360" w:lineRule="auto"/>
        <w:rPr>
          <w:color w:val="auto"/>
          <w:kern w:val="2"/>
          <w:sz w:val="24"/>
          <w:szCs w:val="24"/>
        </w:rPr>
      </w:pPr>
      <w:r>
        <w:rPr>
          <w:rFonts w:hint="eastAsia"/>
          <w:b/>
          <w:bCs/>
          <w:color w:val="auto"/>
          <w:sz w:val="24"/>
          <w:szCs w:val="24"/>
        </w:rPr>
        <w:t>A.1.5</w:t>
      </w:r>
      <w:r>
        <w:rPr>
          <w:b/>
          <w:bCs/>
          <w:color w:val="auto"/>
          <w:sz w:val="24"/>
          <w:szCs w:val="24"/>
        </w:rPr>
        <w:t xml:space="preserve"> </w:t>
      </w:r>
      <w:r>
        <w:rPr>
          <w:rFonts w:hint="eastAsia"/>
          <w:color w:val="auto"/>
          <w:sz w:val="24"/>
          <w:szCs w:val="24"/>
        </w:rPr>
        <w:t>测试用钢筋宜采用H</w:t>
      </w:r>
      <w:r>
        <w:rPr>
          <w:color w:val="auto"/>
          <w:sz w:val="24"/>
          <w:szCs w:val="24"/>
        </w:rPr>
        <w:t>RB600</w:t>
      </w:r>
      <w:r>
        <w:rPr>
          <w:rFonts w:hint="eastAsia"/>
          <w:color w:val="auto"/>
          <w:sz w:val="24"/>
          <w:szCs w:val="24"/>
        </w:rPr>
        <w:t>，</w:t>
      </w:r>
      <w:r>
        <w:rPr>
          <w:rFonts w:hint="eastAsia"/>
          <w:color w:val="auto"/>
          <w:kern w:val="2"/>
          <w:sz w:val="24"/>
          <w:szCs w:val="24"/>
        </w:rPr>
        <w:t>钢筋相对肋面积</w:t>
      </w:r>
      <w:r>
        <w:rPr>
          <w:rFonts w:hint="eastAsia"/>
          <w:i/>
          <w:iCs/>
          <w:color w:val="auto"/>
          <w:kern w:val="2"/>
          <w:sz w:val="24"/>
          <w:szCs w:val="24"/>
        </w:rPr>
        <w:t>f</w:t>
      </w:r>
      <w:r>
        <w:rPr>
          <w:rFonts w:hint="eastAsia"/>
          <w:color w:val="auto"/>
          <w:kern w:val="2"/>
          <w:sz w:val="24"/>
          <w:szCs w:val="24"/>
          <w:vertAlign w:val="subscript"/>
        </w:rPr>
        <w:t>R</w:t>
      </w:r>
      <w:r>
        <w:rPr>
          <w:rFonts w:hint="eastAsia"/>
          <w:color w:val="auto"/>
          <w:kern w:val="2"/>
          <w:sz w:val="24"/>
          <w:szCs w:val="24"/>
        </w:rPr>
        <w:t>应在0.05~0.10之间；</w:t>
      </w:r>
      <w:r>
        <w:rPr>
          <w:rFonts w:hint="eastAsia"/>
          <w:color w:val="auto"/>
          <w:sz w:val="24"/>
          <w:szCs w:val="24"/>
        </w:rPr>
        <w:t>测试用钢筋也可采用H</w:t>
      </w:r>
      <w:r>
        <w:rPr>
          <w:color w:val="auto"/>
          <w:sz w:val="24"/>
          <w:szCs w:val="24"/>
        </w:rPr>
        <w:t>RB500</w:t>
      </w:r>
      <w:r>
        <w:rPr>
          <w:rFonts w:hint="eastAsia"/>
          <w:color w:val="auto"/>
          <w:sz w:val="24"/>
          <w:szCs w:val="24"/>
        </w:rPr>
        <w:t>，应保证该牌号钢筋的</w:t>
      </w:r>
      <w:r>
        <w:rPr>
          <w:rFonts w:hint="eastAsia"/>
          <w:color w:val="auto"/>
          <w:kern w:val="2"/>
          <w:sz w:val="24"/>
          <w:szCs w:val="24"/>
        </w:rPr>
        <w:t>钢筋相对肋面积</w:t>
      </w:r>
      <w:r>
        <w:rPr>
          <w:rFonts w:hint="eastAsia"/>
          <w:i/>
          <w:iCs/>
          <w:color w:val="auto"/>
          <w:kern w:val="2"/>
          <w:sz w:val="24"/>
          <w:szCs w:val="24"/>
        </w:rPr>
        <w:t>f</w:t>
      </w:r>
      <w:r>
        <w:rPr>
          <w:rFonts w:hint="eastAsia"/>
          <w:color w:val="auto"/>
          <w:kern w:val="2"/>
          <w:sz w:val="24"/>
          <w:szCs w:val="24"/>
          <w:vertAlign w:val="subscript"/>
        </w:rPr>
        <w:t>R</w:t>
      </w:r>
      <w:r>
        <w:rPr>
          <w:rFonts w:hint="eastAsia"/>
          <w:color w:val="auto"/>
          <w:kern w:val="2"/>
          <w:sz w:val="24"/>
          <w:szCs w:val="24"/>
        </w:rPr>
        <w:t>与H</w:t>
      </w:r>
      <w:r>
        <w:rPr>
          <w:color w:val="auto"/>
          <w:kern w:val="2"/>
          <w:sz w:val="24"/>
          <w:szCs w:val="24"/>
        </w:rPr>
        <w:t>RB600</w:t>
      </w:r>
      <w:r>
        <w:rPr>
          <w:rFonts w:hint="eastAsia"/>
          <w:color w:val="auto"/>
          <w:kern w:val="2"/>
          <w:sz w:val="24"/>
          <w:szCs w:val="24"/>
        </w:rPr>
        <w:t>相同。</w:t>
      </w:r>
    </w:p>
    <w:p>
      <w:pPr>
        <w:pStyle w:val="5"/>
      </w:pPr>
      <w:bookmarkStart w:id="58" w:name="_Toc24558"/>
      <w:bookmarkStart w:id="59" w:name="_Toc12126"/>
      <w:bookmarkStart w:id="60" w:name="_Toc23252"/>
      <w:r>
        <w:rPr>
          <w:rFonts w:hint="eastAsia"/>
        </w:rPr>
        <w:t>A.2 钻头和钻孔</w:t>
      </w:r>
      <w:bookmarkEnd w:id="58"/>
      <w:bookmarkEnd w:id="59"/>
      <w:bookmarkEnd w:id="60"/>
    </w:p>
    <w:p>
      <w:pPr>
        <w:spacing w:after="0" w:line="360" w:lineRule="auto"/>
        <w:rPr>
          <w:color w:val="auto"/>
          <w:sz w:val="24"/>
          <w:szCs w:val="24"/>
        </w:rPr>
      </w:pPr>
      <w:r>
        <w:rPr>
          <w:rFonts w:hint="eastAsia"/>
          <w:b/>
          <w:bCs/>
          <w:color w:val="auto"/>
          <w:sz w:val="24"/>
          <w:szCs w:val="24"/>
        </w:rPr>
        <w:t>A.2.</w:t>
      </w:r>
      <w:r>
        <w:rPr>
          <w:b/>
          <w:bCs/>
          <w:color w:val="auto"/>
          <w:sz w:val="24"/>
          <w:szCs w:val="24"/>
        </w:rPr>
        <w:t xml:space="preserve">1 </w:t>
      </w:r>
      <w:r>
        <w:rPr>
          <w:color w:val="auto"/>
          <w:sz w:val="24"/>
          <w:szCs w:val="24"/>
        </w:rPr>
        <w:t>试验用钻头应使用生产商产品说明书规定的钻头；当未规定钻头时, 可选用符合现行行业标准</w:t>
      </w:r>
      <w:r>
        <w:rPr>
          <w:rFonts w:hint="eastAsia"/>
          <w:color w:val="auto"/>
          <w:sz w:val="24"/>
          <w:szCs w:val="24"/>
          <w:lang w:eastAsia="zh-CN"/>
        </w:rPr>
        <w:t>《</w:t>
      </w:r>
      <w:r>
        <w:rPr>
          <w:rFonts w:hint="eastAsia"/>
          <w:color w:val="auto"/>
          <w:sz w:val="24"/>
          <w:szCs w:val="24"/>
        </w:rPr>
        <w:t>混凝土用机械锚栓</w:t>
      </w:r>
      <w:r>
        <w:rPr>
          <w:rFonts w:hint="eastAsia"/>
          <w:color w:val="auto"/>
          <w:sz w:val="24"/>
          <w:szCs w:val="24"/>
          <w:lang w:eastAsia="zh-CN"/>
        </w:rPr>
        <w:t>》</w:t>
      </w:r>
      <w:r>
        <w:rPr>
          <w:rFonts w:hint="eastAsia"/>
          <w:color w:val="auto"/>
          <w:sz w:val="24"/>
          <w:szCs w:val="24"/>
        </w:rPr>
        <w:t>J</w:t>
      </w:r>
      <w:r>
        <w:rPr>
          <w:color w:val="auto"/>
          <w:sz w:val="24"/>
          <w:szCs w:val="24"/>
        </w:rPr>
        <w:t>G/T</w:t>
      </w:r>
      <w:r>
        <w:rPr>
          <w:rFonts w:hint="eastAsia"/>
          <w:color w:val="auto"/>
          <w:sz w:val="24"/>
          <w:szCs w:val="24"/>
          <w:lang w:val="en-US" w:eastAsia="zh-CN"/>
        </w:rPr>
        <w:t xml:space="preserve"> </w:t>
      </w:r>
      <w:r>
        <w:rPr>
          <w:color w:val="auto"/>
          <w:sz w:val="24"/>
          <w:szCs w:val="24"/>
        </w:rPr>
        <w:t>160中规定的</w:t>
      </w:r>
      <w:r>
        <w:rPr>
          <w:i/>
          <w:iCs/>
          <w:color w:val="auto"/>
          <w:sz w:val="24"/>
          <w:szCs w:val="24"/>
        </w:rPr>
        <w:t>d</w:t>
      </w:r>
      <w:r>
        <w:rPr>
          <w:color w:val="auto"/>
          <w:sz w:val="24"/>
          <w:szCs w:val="24"/>
          <w:vertAlign w:val="subscript"/>
        </w:rPr>
        <w:t>m</w:t>
      </w:r>
      <w:r>
        <w:rPr>
          <w:color w:val="auto"/>
          <w:sz w:val="24"/>
          <w:szCs w:val="24"/>
        </w:rPr>
        <w:t>直径范围内的通用钻头；对于使用水钻钻孔的产品，应根据生产商的产品说明书钻孔，并按照试验要求进行干燥或湿润处理。</w:t>
      </w:r>
    </w:p>
    <w:p>
      <w:pPr>
        <w:spacing w:after="0" w:line="360" w:lineRule="auto"/>
        <w:rPr>
          <w:color w:val="auto"/>
          <w:sz w:val="24"/>
          <w:szCs w:val="24"/>
        </w:rPr>
      </w:pPr>
      <w:r>
        <w:rPr>
          <w:rFonts w:hint="eastAsia"/>
          <w:b/>
          <w:bCs/>
          <w:color w:val="auto"/>
          <w:sz w:val="24"/>
          <w:szCs w:val="24"/>
        </w:rPr>
        <w:t>A.2.</w:t>
      </w:r>
      <w:r>
        <w:rPr>
          <w:b/>
          <w:bCs/>
          <w:color w:val="auto"/>
          <w:sz w:val="24"/>
          <w:szCs w:val="24"/>
        </w:rPr>
        <w:t>2</w:t>
      </w:r>
      <w:r>
        <w:rPr>
          <w:rFonts w:hint="eastAsia"/>
          <w:color w:val="auto"/>
          <w:sz w:val="24"/>
          <w:szCs w:val="24"/>
        </w:rPr>
        <w:t xml:space="preserve"> 钻孔直径</w:t>
      </w:r>
      <w:r>
        <w:rPr>
          <w:rFonts w:hint="eastAsia"/>
          <w:color w:val="auto"/>
          <w:sz w:val="24"/>
          <w:szCs w:val="24"/>
          <w:highlight w:val="none"/>
        </w:rPr>
        <w:t>宜</w:t>
      </w:r>
      <w:r>
        <w:rPr>
          <w:rFonts w:hint="eastAsia"/>
          <w:color w:val="auto"/>
          <w:sz w:val="24"/>
          <w:szCs w:val="24"/>
        </w:rPr>
        <w:t>根据对应的钢筋或螺杆直径，应按本规程5</w:t>
      </w:r>
      <w:r>
        <w:rPr>
          <w:color w:val="auto"/>
          <w:sz w:val="24"/>
          <w:szCs w:val="24"/>
        </w:rPr>
        <w:t>.0.2</w:t>
      </w:r>
      <w:r>
        <w:rPr>
          <w:rFonts w:hint="eastAsia"/>
          <w:color w:val="auto"/>
          <w:sz w:val="24"/>
          <w:szCs w:val="24"/>
        </w:rPr>
        <w:t>的规定取用。</w:t>
      </w:r>
    </w:p>
    <w:p>
      <w:pPr>
        <w:spacing w:after="0" w:line="360" w:lineRule="auto"/>
        <w:rPr>
          <w:rFonts w:ascii="宋体" w:hAnsi="宋体"/>
          <w:color w:val="auto"/>
          <w:sz w:val="22"/>
          <w:szCs w:val="22"/>
        </w:rPr>
      </w:pPr>
      <w:r>
        <w:rPr>
          <w:rFonts w:hint="eastAsia"/>
          <w:b/>
          <w:bCs/>
          <w:color w:val="auto"/>
          <w:sz w:val="24"/>
          <w:szCs w:val="24"/>
        </w:rPr>
        <w:t>A.2.</w:t>
      </w:r>
      <w:r>
        <w:rPr>
          <w:b/>
          <w:bCs/>
          <w:color w:val="auto"/>
          <w:sz w:val="24"/>
          <w:szCs w:val="24"/>
        </w:rPr>
        <w:t>3</w:t>
      </w:r>
      <w:r>
        <w:rPr>
          <w:rFonts w:hint="eastAsia"/>
          <w:color w:val="auto"/>
          <w:sz w:val="24"/>
          <w:szCs w:val="24"/>
        </w:rPr>
        <w:t xml:space="preserve"> </w:t>
      </w:r>
      <w:r>
        <w:rPr>
          <w:rFonts w:hint="eastAsia" w:ascii="宋体" w:hAnsi="宋体"/>
          <w:color w:val="auto"/>
          <w:sz w:val="24"/>
          <w:szCs w:val="24"/>
        </w:rPr>
        <w:t>植筋钻孔孔径允许偏差、钻孔深度、垂直度和位置允许偏差应</w:t>
      </w:r>
      <w:r>
        <w:rPr>
          <w:rFonts w:hint="eastAsia" w:ascii="宋体" w:hAnsi="宋体"/>
          <w:color w:val="auto"/>
          <w:sz w:val="24"/>
          <w:szCs w:val="24"/>
          <w:lang w:val="en-US" w:eastAsia="zh-CN"/>
        </w:rPr>
        <w:t>符合</w:t>
      </w:r>
      <w:r>
        <w:rPr>
          <w:rFonts w:hint="eastAsia" w:ascii="宋体" w:hAnsi="宋体"/>
          <w:color w:val="auto"/>
          <w:sz w:val="24"/>
          <w:szCs w:val="24"/>
        </w:rPr>
        <w:t>本规程</w:t>
      </w:r>
      <w:r>
        <w:rPr>
          <w:rFonts w:hint="eastAsia" w:ascii="宋体" w:hAnsi="宋体"/>
          <w:color w:val="auto"/>
          <w:sz w:val="24"/>
          <w:szCs w:val="24"/>
          <w:lang w:val="en-US" w:eastAsia="zh-CN"/>
        </w:rPr>
        <w:t>第</w:t>
      </w:r>
      <w:r>
        <w:rPr>
          <w:rFonts w:hint="eastAsia" w:ascii="宋体" w:hAnsi="宋体"/>
          <w:color w:val="auto"/>
          <w:sz w:val="24"/>
          <w:szCs w:val="24"/>
        </w:rPr>
        <w:t>6</w:t>
      </w:r>
      <w:r>
        <w:rPr>
          <w:rFonts w:ascii="宋体" w:hAnsi="宋体"/>
          <w:color w:val="auto"/>
          <w:sz w:val="24"/>
          <w:szCs w:val="24"/>
        </w:rPr>
        <w:t>.3.8</w:t>
      </w:r>
      <w:r>
        <w:rPr>
          <w:rFonts w:hint="eastAsia" w:ascii="宋体" w:hAnsi="宋体"/>
          <w:color w:val="auto"/>
          <w:sz w:val="24"/>
          <w:szCs w:val="24"/>
          <w:lang w:val="en-US" w:eastAsia="zh-CN"/>
        </w:rPr>
        <w:t>条</w:t>
      </w:r>
      <w:r>
        <w:rPr>
          <w:rFonts w:hint="eastAsia" w:ascii="宋体" w:hAnsi="宋体"/>
          <w:color w:val="auto"/>
          <w:sz w:val="24"/>
          <w:szCs w:val="24"/>
        </w:rPr>
        <w:t>的规定。</w:t>
      </w:r>
    </w:p>
    <w:p>
      <w:pPr>
        <w:rPr>
          <w:rFonts w:ascii="宋体" w:hAnsi="宋体"/>
          <w:color w:val="auto"/>
          <w:sz w:val="22"/>
          <w:szCs w:val="22"/>
        </w:rPr>
      </w:pPr>
      <w:r>
        <w:rPr>
          <w:rFonts w:ascii="宋体" w:hAnsi="宋体"/>
          <w:color w:val="auto"/>
          <w:sz w:val="22"/>
          <w:szCs w:val="22"/>
        </w:rPr>
        <w:br w:type="page"/>
      </w:r>
    </w:p>
    <w:p>
      <w:pPr>
        <w:pStyle w:val="5"/>
      </w:pPr>
      <w:bookmarkStart w:id="61" w:name="_Toc5684"/>
      <w:bookmarkStart w:id="62" w:name="_Toc5094"/>
      <w:bookmarkStart w:id="63" w:name="_Toc12996"/>
      <w:r>
        <w:rPr>
          <w:rFonts w:hint="eastAsia"/>
        </w:rPr>
        <w:t>A.3 试验用仪器设备</w:t>
      </w:r>
      <w:bookmarkEnd w:id="61"/>
      <w:bookmarkEnd w:id="62"/>
      <w:bookmarkEnd w:id="63"/>
    </w:p>
    <w:p>
      <w:pPr>
        <w:spacing w:after="0" w:line="360" w:lineRule="auto"/>
        <w:rPr>
          <w:color w:val="auto"/>
          <w:sz w:val="24"/>
          <w:szCs w:val="24"/>
        </w:rPr>
      </w:pPr>
      <w:r>
        <w:rPr>
          <w:rFonts w:hint="eastAsia"/>
          <w:b/>
          <w:bCs/>
          <w:color w:val="auto"/>
          <w:sz w:val="24"/>
          <w:szCs w:val="24"/>
        </w:rPr>
        <w:t>A.3.1</w:t>
      </w:r>
      <w:r>
        <w:rPr>
          <w:color w:val="auto"/>
          <w:sz w:val="24"/>
          <w:szCs w:val="24"/>
        </w:rPr>
        <w:t xml:space="preserve"> </w:t>
      </w:r>
      <w:r>
        <w:rPr>
          <w:rFonts w:hint="eastAsia"/>
          <w:color w:val="auto"/>
          <w:sz w:val="24"/>
          <w:szCs w:val="24"/>
        </w:rPr>
        <w:t>植筋</w:t>
      </w:r>
      <w:r>
        <w:rPr>
          <w:color w:val="auto"/>
          <w:sz w:val="24"/>
          <w:szCs w:val="24"/>
        </w:rPr>
        <w:t>抗拉锚固性能试验</w:t>
      </w:r>
      <w:r>
        <w:rPr>
          <w:rFonts w:hint="eastAsia"/>
          <w:color w:val="auto"/>
          <w:sz w:val="24"/>
          <w:szCs w:val="24"/>
        </w:rPr>
        <w:t>应</w:t>
      </w:r>
      <w:r>
        <w:rPr>
          <w:color w:val="auto"/>
          <w:sz w:val="24"/>
          <w:szCs w:val="24"/>
        </w:rPr>
        <w:t>采用约束抗拉试验。</w:t>
      </w:r>
      <w:r>
        <w:rPr>
          <w:rFonts w:hint="eastAsia"/>
          <w:color w:val="auto"/>
          <w:sz w:val="24"/>
          <w:szCs w:val="24"/>
        </w:rPr>
        <w:t>可采用图A.3.1的试验装置。</w:t>
      </w:r>
    </w:p>
    <w:p>
      <w:pPr>
        <w:adjustRightInd w:val="0"/>
        <w:snapToGrid w:val="0"/>
        <w:spacing w:line="400" w:lineRule="atLeast"/>
        <w:ind w:firstLine="484" w:firstLineChars="202"/>
        <w:jc w:val="center"/>
        <w:rPr>
          <w:rFonts w:ascii="宋体" w:hAnsi="宋体"/>
          <w:color w:val="auto"/>
          <w:sz w:val="24"/>
          <w:szCs w:val="24"/>
        </w:rPr>
      </w:pPr>
      <w:r>
        <w:rPr>
          <w:rFonts w:ascii="宋体" w:hAnsi="宋体"/>
          <w:color w:val="auto"/>
          <w:sz w:val="24"/>
          <w:szCs w:val="24"/>
        </w:rPr>
        <w:object>
          <v:shape id="_x0000_i1065" o:spt="75" type="#_x0000_t75" style="height:300.4pt;width:336.4pt;" o:ole="t" filled="f" o:preferrelative="t" stroked="f" coordsize="21600,21600">
            <v:path/>
            <v:fill on="f" focussize="0,0"/>
            <v:stroke on="f"/>
            <v:imagedata r:id="rId84" cropleft="22745f" croptop="3787f" cropright="23155f" cropbottom="23663f" o:title=""/>
            <o:lock v:ext="edit" aspectratio="f"/>
            <w10:wrap type="none"/>
            <w10:anchorlock/>
          </v:shape>
          <o:OLEObject Type="Embed" ProgID="AutoCAD.Drawing.19" ShapeID="_x0000_i1065" DrawAspect="Content" ObjectID="_1468075765" r:id="rId83">
            <o:LockedField>false</o:LockedField>
          </o:OLEObject>
        </w:object>
      </w:r>
    </w:p>
    <w:p>
      <w:pPr>
        <w:spacing w:after="40" w:line="260" w:lineRule="auto"/>
        <w:jc w:val="center"/>
        <w:rPr>
          <w:rFonts w:ascii="宋体" w:hAnsi="宋体"/>
          <w:b/>
          <w:bCs/>
          <w:color w:val="auto"/>
          <w:sz w:val="21"/>
          <w:szCs w:val="21"/>
          <w:highlight w:val="none"/>
        </w:rPr>
      </w:pPr>
      <w:r>
        <w:rPr>
          <w:rFonts w:hint="eastAsia" w:ascii="宋体" w:hAnsi="宋体"/>
          <w:b/>
          <w:bCs/>
          <w:color w:val="auto"/>
          <w:sz w:val="21"/>
          <w:szCs w:val="21"/>
          <w:highlight w:val="none"/>
          <w:lang w:val="en-US" w:eastAsia="zh-CN"/>
        </w:rPr>
        <w:t>1</w:t>
      </w:r>
      <w:r>
        <w:rPr>
          <w:rFonts w:hint="eastAsia" w:ascii="宋体" w:hAnsi="宋体"/>
          <w:b/>
          <w:bCs/>
          <w:color w:val="auto"/>
          <w:sz w:val="21"/>
          <w:szCs w:val="21"/>
          <w:highlight w:val="none"/>
        </w:rPr>
        <w:t>—球铰</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hint="eastAsia" w:ascii="宋体" w:hAnsi="宋体"/>
          <w:b/>
          <w:bCs/>
          <w:color w:val="auto"/>
          <w:sz w:val="21"/>
          <w:szCs w:val="21"/>
          <w:highlight w:val="none"/>
        </w:rPr>
        <w:t>—压力传感器；</w:t>
      </w:r>
      <w:r>
        <w:rPr>
          <w:rFonts w:hint="eastAsia" w:ascii="宋体" w:hAnsi="宋体"/>
          <w:b/>
          <w:bCs/>
          <w:color w:val="auto"/>
          <w:sz w:val="21"/>
          <w:szCs w:val="21"/>
          <w:highlight w:val="none"/>
          <w:lang w:val="en-US" w:eastAsia="zh-CN"/>
        </w:rPr>
        <w:t>3</w:t>
      </w:r>
      <w:r>
        <w:rPr>
          <w:rFonts w:hint="eastAsia" w:ascii="宋体" w:hAnsi="宋体"/>
          <w:b/>
          <w:bCs/>
          <w:color w:val="auto"/>
          <w:sz w:val="21"/>
          <w:szCs w:val="21"/>
          <w:highlight w:val="none"/>
        </w:rPr>
        <w:t>—千斤顶；</w:t>
      </w:r>
      <w:r>
        <w:rPr>
          <w:rFonts w:hint="eastAsia" w:ascii="宋体" w:hAnsi="宋体"/>
          <w:b/>
          <w:bCs/>
          <w:color w:val="auto"/>
          <w:sz w:val="21"/>
          <w:szCs w:val="21"/>
          <w:highlight w:val="none"/>
          <w:lang w:val="en-US" w:eastAsia="zh-CN"/>
        </w:rPr>
        <w:t>4</w:t>
      </w:r>
      <w:r>
        <w:rPr>
          <w:rFonts w:hint="eastAsia" w:ascii="宋体" w:hAnsi="宋体"/>
          <w:b/>
          <w:bCs/>
          <w:color w:val="auto"/>
          <w:sz w:val="21"/>
          <w:szCs w:val="21"/>
          <w:highlight w:val="none"/>
        </w:rPr>
        <w:t>—位移传感器；</w:t>
      </w:r>
      <w:r>
        <w:rPr>
          <w:rFonts w:hint="eastAsia" w:ascii="宋体" w:hAnsi="宋体"/>
          <w:b/>
          <w:bCs/>
          <w:color w:val="auto"/>
          <w:sz w:val="21"/>
          <w:szCs w:val="21"/>
          <w:highlight w:val="none"/>
          <w:lang w:val="en-US" w:eastAsia="zh-CN"/>
        </w:rPr>
        <w:t>5</w:t>
      </w:r>
      <w:r>
        <w:rPr>
          <w:rFonts w:hint="eastAsia" w:ascii="宋体" w:hAnsi="宋体"/>
          <w:b/>
          <w:bCs/>
          <w:color w:val="auto"/>
          <w:sz w:val="21"/>
          <w:szCs w:val="21"/>
          <w:highlight w:val="none"/>
        </w:rPr>
        <w:t>—支撑；</w:t>
      </w:r>
      <w:r>
        <w:rPr>
          <w:rFonts w:hint="eastAsia" w:ascii="宋体" w:hAnsi="宋体"/>
          <w:b/>
          <w:bCs/>
          <w:color w:val="auto"/>
          <w:sz w:val="21"/>
          <w:szCs w:val="21"/>
          <w:highlight w:val="none"/>
          <w:lang w:val="en-US" w:eastAsia="zh-CN"/>
        </w:rPr>
        <w:t>6</w:t>
      </w:r>
      <w:r>
        <w:rPr>
          <w:rFonts w:hint="eastAsia" w:ascii="宋体" w:hAnsi="宋体"/>
          <w:b/>
          <w:bCs/>
          <w:color w:val="auto"/>
          <w:sz w:val="21"/>
          <w:szCs w:val="21"/>
          <w:highlight w:val="none"/>
        </w:rPr>
        <w:t>—转接头；</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—约束钢板；</w:t>
      </w:r>
      <w:r>
        <w:rPr>
          <w:rFonts w:hint="eastAsia" w:ascii="宋体" w:hAnsi="宋体"/>
          <w:b/>
          <w:bCs/>
          <w:color w:val="auto"/>
          <w:sz w:val="21"/>
          <w:szCs w:val="21"/>
          <w:highlight w:val="none"/>
          <w:lang w:val="en-US" w:eastAsia="zh-CN"/>
        </w:rPr>
        <w:t>8</w:t>
      </w:r>
      <w:r>
        <w:rPr>
          <w:rFonts w:hint="eastAsia" w:ascii="宋体" w:hAnsi="宋体"/>
          <w:b/>
          <w:bCs/>
          <w:color w:val="auto"/>
          <w:sz w:val="21"/>
          <w:szCs w:val="21"/>
          <w:highlight w:val="none"/>
        </w:rPr>
        <w:t>—混凝土试件；</w:t>
      </w:r>
      <w:r>
        <w:rPr>
          <w:rFonts w:hint="eastAsia" w:ascii="宋体" w:hAnsi="宋体"/>
          <w:b/>
          <w:bCs/>
          <w:color w:val="auto"/>
          <w:sz w:val="21"/>
          <w:szCs w:val="21"/>
          <w:highlight w:val="none"/>
          <w:lang w:val="en-US" w:eastAsia="zh-CN"/>
        </w:rPr>
        <w:t>9</w:t>
      </w:r>
      <w:r>
        <w:rPr>
          <w:rFonts w:hint="eastAsia" w:ascii="宋体" w:hAnsi="宋体"/>
          <w:b/>
          <w:bCs/>
          <w:color w:val="auto"/>
          <w:sz w:val="21"/>
          <w:szCs w:val="21"/>
          <w:highlight w:val="none"/>
        </w:rPr>
        <w:t>—植筋杆件；</w:t>
      </w:r>
    </w:p>
    <w:p>
      <w:pPr>
        <w:spacing w:after="40" w:line="2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图A.3.1 抗拉试验装置示意</w:t>
      </w:r>
    </w:p>
    <w:p>
      <w:pPr>
        <w:spacing w:after="0" w:line="360" w:lineRule="auto"/>
        <w:rPr>
          <w:color w:val="auto"/>
          <w:sz w:val="24"/>
          <w:szCs w:val="24"/>
        </w:rPr>
      </w:pPr>
      <w:r>
        <w:rPr>
          <w:rFonts w:hint="eastAsia"/>
          <w:b/>
          <w:bCs/>
          <w:color w:val="auto"/>
          <w:sz w:val="24"/>
          <w:szCs w:val="24"/>
        </w:rPr>
        <w:t>A.3.2</w:t>
      </w:r>
      <w:r>
        <w:rPr>
          <w:color w:val="auto"/>
          <w:sz w:val="24"/>
          <w:szCs w:val="24"/>
        </w:rPr>
        <w:t xml:space="preserve"> 非约束抗拉试验应符合下列规定：</w:t>
      </w:r>
    </w:p>
    <w:p>
      <w:pPr>
        <w:spacing w:after="0" w:line="360" w:lineRule="auto"/>
        <w:ind w:firstLine="420"/>
        <w:rPr>
          <w:color w:val="auto"/>
          <w:sz w:val="24"/>
          <w:szCs w:val="24"/>
        </w:rPr>
      </w:pPr>
      <w:r>
        <w:rPr>
          <w:rFonts w:hint="eastAsia"/>
          <w:color w:val="auto"/>
          <w:sz w:val="24"/>
          <w:szCs w:val="24"/>
        </w:rPr>
        <w:t>1 植筋与加载设备支撑点净距不应小于</w:t>
      </w:r>
      <w:r>
        <w:rPr>
          <w:color w:val="auto"/>
          <w:sz w:val="24"/>
          <w:szCs w:val="24"/>
        </w:rPr>
        <w:t>2</w:t>
      </w:r>
      <w:r>
        <w:rPr>
          <w:i/>
          <w:iCs/>
          <w:color w:val="auto"/>
          <w:sz w:val="24"/>
          <w:szCs w:val="24"/>
        </w:rPr>
        <w:t>h</w:t>
      </w:r>
      <w:r>
        <w:rPr>
          <w:color w:val="auto"/>
          <w:sz w:val="24"/>
          <w:szCs w:val="24"/>
          <w:vertAlign w:val="subscript"/>
        </w:rPr>
        <w:t>ef</w:t>
      </w:r>
      <w:r>
        <w:rPr>
          <w:rFonts w:hint="eastAsia"/>
          <w:color w:val="auto"/>
          <w:sz w:val="24"/>
          <w:szCs w:val="24"/>
        </w:rPr>
        <w:t>。</w:t>
      </w:r>
    </w:p>
    <w:p>
      <w:pPr>
        <w:spacing w:after="0" w:line="360" w:lineRule="auto"/>
        <w:ind w:firstLine="420"/>
        <w:rPr>
          <w:color w:val="auto"/>
          <w:sz w:val="24"/>
          <w:szCs w:val="24"/>
        </w:rPr>
      </w:pPr>
      <w:r>
        <w:rPr>
          <w:rFonts w:hint="eastAsia"/>
          <w:color w:val="auto"/>
          <w:sz w:val="24"/>
          <w:szCs w:val="24"/>
        </w:rPr>
        <w:t>2 位移测量参考点与植筋净距不应小于</w:t>
      </w:r>
      <w:r>
        <w:rPr>
          <w:color w:val="auto"/>
          <w:sz w:val="24"/>
          <w:szCs w:val="24"/>
        </w:rPr>
        <w:t>1.5</w:t>
      </w:r>
      <w:r>
        <w:rPr>
          <w:i/>
          <w:iCs/>
          <w:color w:val="auto"/>
          <w:sz w:val="24"/>
          <w:szCs w:val="24"/>
        </w:rPr>
        <w:t>h</w:t>
      </w:r>
      <w:r>
        <w:rPr>
          <w:color w:val="auto"/>
          <w:sz w:val="24"/>
          <w:szCs w:val="24"/>
          <w:vertAlign w:val="subscript"/>
        </w:rPr>
        <w:t>ef</w:t>
      </w:r>
      <w:r>
        <w:rPr>
          <w:rFonts w:hint="eastAsia"/>
          <w:color w:val="auto"/>
          <w:sz w:val="24"/>
          <w:szCs w:val="24"/>
        </w:rPr>
        <w:t>。</w:t>
      </w:r>
    </w:p>
    <w:p>
      <w:pPr>
        <w:spacing w:after="0" w:line="360" w:lineRule="auto"/>
        <w:ind w:firstLine="420"/>
        <w:rPr>
          <w:color w:val="auto"/>
          <w:sz w:val="24"/>
          <w:szCs w:val="24"/>
        </w:rPr>
      </w:pPr>
      <w:r>
        <w:rPr>
          <w:rFonts w:hint="eastAsia"/>
          <w:color w:val="auto"/>
          <w:sz w:val="24"/>
          <w:szCs w:val="24"/>
        </w:rPr>
        <w:t>3 荷载应通过铰接传递给植筋杆件。</w:t>
      </w:r>
    </w:p>
    <w:p>
      <w:pPr>
        <w:spacing w:after="0" w:line="360" w:lineRule="auto"/>
        <w:ind w:firstLine="420"/>
        <w:rPr>
          <w:color w:val="auto"/>
          <w:sz w:val="24"/>
          <w:szCs w:val="24"/>
        </w:rPr>
      </w:pPr>
      <w:r>
        <w:rPr>
          <w:rFonts w:hint="eastAsia"/>
          <w:color w:val="auto"/>
          <w:sz w:val="24"/>
          <w:szCs w:val="24"/>
        </w:rPr>
        <w:t xml:space="preserve">4 </w:t>
      </w:r>
      <w:r>
        <w:rPr>
          <w:color w:val="auto"/>
          <w:sz w:val="24"/>
          <w:szCs w:val="24"/>
        </w:rPr>
        <w:t>在不受边距和间距影响的单钢筋试验中，中心距和中心到自由边缘的距离应足够大，以允许在混凝土中形成顶角为 120° 的不受限制的破坏锥体。</w:t>
      </w:r>
    </w:p>
    <w:p>
      <w:pPr>
        <w:spacing w:after="0" w:line="360" w:lineRule="auto"/>
        <w:rPr>
          <w:color w:val="auto"/>
          <w:sz w:val="24"/>
          <w:szCs w:val="24"/>
        </w:rPr>
      </w:pPr>
      <w:r>
        <w:rPr>
          <w:rFonts w:hint="eastAsia"/>
          <w:b/>
          <w:bCs/>
          <w:color w:val="auto"/>
          <w:sz w:val="24"/>
          <w:szCs w:val="24"/>
        </w:rPr>
        <w:t>A.3.3</w:t>
      </w:r>
      <w:r>
        <w:rPr>
          <w:color w:val="auto"/>
          <w:sz w:val="24"/>
          <w:szCs w:val="24"/>
        </w:rPr>
        <w:t xml:space="preserve"> 约束抗拉试验应符合下列规定：</w:t>
      </w:r>
    </w:p>
    <w:p>
      <w:pPr>
        <w:spacing w:after="0" w:line="360" w:lineRule="auto"/>
        <w:ind w:firstLine="420"/>
        <w:rPr>
          <w:color w:val="auto"/>
          <w:sz w:val="24"/>
          <w:szCs w:val="24"/>
        </w:rPr>
      </w:pPr>
      <w:r>
        <w:rPr>
          <w:rFonts w:hint="eastAsia"/>
          <w:color w:val="auto"/>
          <w:sz w:val="24"/>
          <w:szCs w:val="24"/>
        </w:rPr>
        <w:t>1 应在反力架支撑脚下设置约束钢板，约束钢板应具有足够的刚度；</w:t>
      </w:r>
    </w:p>
    <w:p>
      <w:pPr>
        <w:spacing w:after="0" w:line="360" w:lineRule="auto"/>
        <w:ind w:firstLine="420"/>
        <w:rPr>
          <w:color w:val="auto"/>
          <w:sz w:val="24"/>
          <w:szCs w:val="24"/>
        </w:rPr>
      </w:pPr>
      <w:r>
        <w:rPr>
          <w:rFonts w:hint="eastAsia"/>
          <w:color w:val="auto"/>
          <w:sz w:val="24"/>
          <w:szCs w:val="24"/>
        </w:rPr>
        <w:t>2 约束钢板中心孔直径应为植筋杆件直径的1.5倍~ 2.0 倍；</w:t>
      </w:r>
    </w:p>
    <w:p>
      <w:pPr>
        <w:spacing w:after="0" w:line="360" w:lineRule="auto"/>
        <w:ind w:firstLine="420"/>
        <w:rPr>
          <w:color w:val="auto"/>
          <w:sz w:val="24"/>
          <w:szCs w:val="24"/>
        </w:rPr>
      </w:pPr>
      <w:r>
        <w:rPr>
          <w:rFonts w:hint="eastAsia"/>
          <w:color w:val="auto"/>
          <w:sz w:val="24"/>
          <w:szCs w:val="24"/>
        </w:rPr>
        <w:t>3 钢板下的混凝土压应力应小于混凝土抗压强度的0.7倍。</w:t>
      </w:r>
    </w:p>
    <w:p>
      <w:pPr>
        <w:spacing w:after="0" w:line="360" w:lineRule="auto"/>
        <w:ind w:firstLine="420"/>
        <w:rPr>
          <w:color w:val="auto"/>
          <w:sz w:val="24"/>
          <w:szCs w:val="24"/>
        </w:rPr>
      </w:pPr>
      <w:r>
        <w:rPr>
          <w:rFonts w:hint="eastAsia"/>
          <w:color w:val="auto"/>
          <w:sz w:val="24"/>
          <w:szCs w:val="24"/>
        </w:rPr>
        <w:t>4 荷载应通过铰接传递给植筋杆件。</w:t>
      </w:r>
    </w:p>
    <w:p>
      <w:pPr>
        <w:spacing w:after="0" w:line="360" w:lineRule="auto"/>
        <w:rPr>
          <w:color w:val="auto"/>
          <w:sz w:val="24"/>
          <w:szCs w:val="24"/>
        </w:rPr>
      </w:pPr>
      <w:r>
        <w:rPr>
          <w:rFonts w:hint="eastAsia"/>
          <w:b/>
          <w:bCs/>
          <w:color w:val="auto"/>
          <w:sz w:val="24"/>
          <w:szCs w:val="24"/>
        </w:rPr>
        <w:t>A.3.4</w:t>
      </w:r>
      <w:r>
        <w:rPr>
          <w:b/>
          <w:bCs/>
          <w:color w:val="auto"/>
          <w:sz w:val="24"/>
          <w:szCs w:val="24"/>
        </w:rPr>
        <w:t xml:space="preserve"> </w:t>
      </w:r>
      <w:r>
        <w:rPr>
          <w:rFonts w:hint="eastAsia"/>
          <w:color w:val="auto"/>
          <w:sz w:val="24"/>
          <w:szCs w:val="24"/>
        </w:rPr>
        <w:t>试验装置及设备应能连续平稳加载，加载速度可控，荷载施加设备应避免荷载突然增加。</w:t>
      </w:r>
    </w:p>
    <w:p>
      <w:pPr>
        <w:spacing w:after="0" w:line="360" w:lineRule="auto"/>
        <w:rPr>
          <w:color w:val="auto"/>
          <w:sz w:val="24"/>
          <w:szCs w:val="24"/>
        </w:rPr>
      </w:pPr>
      <w:r>
        <w:rPr>
          <w:rFonts w:hint="eastAsia"/>
          <w:b/>
          <w:bCs/>
          <w:color w:val="auto"/>
          <w:sz w:val="24"/>
          <w:szCs w:val="24"/>
        </w:rPr>
        <w:t>A.3.5</w:t>
      </w:r>
      <w:r>
        <w:rPr>
          <w:color w:val="auto"/>
          <w:sz w:val="24"/>
          <w:szCs w:val="24"/>
        </w:rPr>
        <w:t xml:space="preserve"> </w:t>
      </w:r>
      <w:r>
        <w:rPr>
          <w:rFonts w:hint="eastAsia"/>
          <w:color w:val="auto"/>
          <w:sz w:val="24"/>
          <w:szCs w:val="24"/>
        </w:rPr>
        <w:t>抗震性能等专项试验宜采用电液伺服加载设备。</w:t>
      </w:r>
    </w:p>
    <w:p>
      <w:pPr>
        <w:snapToGrid w:val="0"/>
        <w:spacing w:line="288" w:lineRule="auto"/>
        <w:rPr>
          <w:sz w:val="24"/>
          <w:szCs w:val="24"/>
        </w:rPr>
      </w:pPr>
      <w:r>
        <w:rPr>
          <w:rFonts w:hint="eastAsia"/>
          <w:b/>
          <w:bCs/>
          <w:color w:val="auto"/>
          <w:sz w:val="24"/>
          <w:szCs w:val="24"/>
        </w:rPr>
        <w:t>A.3.</w:t>
      </w:r>
      <w:r>
        <w:rPr>
          <w:b/>
          <w:bCs/>
          <w:color w:val="auto"/>
          <w:sz w:val="24"/>
          <w:szCs w:val="24"/>
        </w:rPr>
        <w:t xml:space="preserve">6 </w:t>
      </w:r>
      <w:r>
        <w:rPr>
          <w:color w:val="auto"/>
          <w:sz w:val="24"/>
          <w:szCs w:val="24"/>
        </w:rPr>
        <w:t>力值测量设备的系统误差不</w:t>
      </w:r>
      <w:r>
        <w:rPr>
          <w:rFonts w:hint="eastAsia"/>
          <w:color w:val="auto"/>
          <w:sz w:val="24"/>
          <w:szCs w:val="24"/>
        </w:rPr>
        <w:t>应</w:t>
      </w:r>
      <w:r>
        <w:rPr>
          <w:color w:val="auto"/>
          <w:sz w:val="24"/>
          <w:szCs w:val="24"/>
        </w:rPr>
        <w:t>大于±1.0%F.S，分辨率</w:t>
      </w:r>
      <w:r>
        <w:rPr>
          <w:rFonts w:hint="eastAsia"/>
          <w:color w:val="auto"/>
          <w:sz w:val="24"/>
          <w:szCs w:val="24"/>
        </w:rPr>
        <w:t>宜为</w:t>
      </w:r>
      <w:r>
        <w:rPr>
          <w:color w:val="auto"/>
          <w:sz w:val="24"/>
          <w:szCs w:val="24"/>
        </w:rPr>
        <w:t>0.1kN。</w:t>
      </w:r>
    </w:p>
    <w:p>
      <w:pPr>
        <w:snapToGrid w:val="0"/>
        <w:spacing w:after="0" w:line="288" w:lineRule="auto"/>
        <w:rPr>
          <w:sz w:val="24"/>
          <w:szCs w:val="24"/>
        </w:rPr>
      </w:pPr>
      <w:r>
        <w:rPr>
          <w:rFonts w:hint="eastAsia"/>
          <w:b/>
          <w:bCs/>
          <w:color w:val="auto"/>
          <w:sz w:val="24"/>
          <w:szCs w:val="24"/>
        </w:rPr>
        <w:t>A.3.7</w:t>
      </w:r>
      <w:r>
        <w:rPr>
          <w:b/>
          <w:bCs/>
          <w:color w:val="auto"/>
          <w:sz w:val="24"/>
          <w:szCs w:val="24"/>
        </w:rPr>
        <w:t xml:space="preserve"> </w:t>
      </w:r>
      <w:r>
        <w:rPr>
          <w:rFonts w:hint="eastAsia"/>
          <w:color w:val="auto"/>
          <w:sz w:val="24"/>
          <w:szCs w:val="24"/>
        </w:rPr>
        <w:t>位移应连续记录，位移测量设备的系统误差不应大于±</w:t>
      </w:r>
      <w:r>
        <w:rPr>
          <w:color w:val="auto"/>
          <w:sz w:val="24"/>
          <w:szCs w:val="24"/>
        </w:rPr>
        <w:t>0.5%F.S</w:t>
      </w:r>
      <w:r>
        <w:rPr>
          <w:rFonts w:hint="eastAsia"/>
          <w:color w:val="auto"/>
          <w:sz w:val="24"/>
          <w:szCs w:val="24"/>
        </w:rPr>
        <w:t>，分辨率宜为</w:t>
      </w:r>
      <w:r>
        <w:rPr>
          <w:color w:val="auto"/>
          <w:sz w:val="24"/>
          <w:szCs w:val="24"/>
        </w:rPr>
        <w:t>0.02mm</w:t>
      </w:r>
      <w:r>
        <w:rPr>
          <w:rFonts w:hint="eastAsia"/>
          <w:color w:val="auto"/>
          <w:sz w:val="24"/>
          <w:szCs w:val="24"/>
        </w:rPr>
        <w:t>。</w:t>
      </w:r>
    </w:p>
    <w:p>
      <w:pPr>
        <w:spacing w:after="0" w:line="360" w:lineRule="auto"/>
        <w:rPr>
          <w:color w:val="auto"/>
          <w:sz w:val="24"/>
          <w:szCs w:val="24"/>
        </w:rPr>
      </w:pPr>
      <w:r>
        <w:rPr>
          <w:rFonts w:hint="eastAsia"/>
          <w:b/>
          <w:bCs/>
          <w:color w:val="auto"/>
          <w:sz w:val="24"/>
          <w:szCs w:val="24"/>
        </w:rPr>
        <w:t>A.3.8</w:t>
      </w:r>
      <w:r>
        <w:rPr>
          <w:b/>
          <w:bCs/>
          <w:color w:val="auto"/>
          <w:sz w:val="24"/>
          <w:szCs w:val="24"/>
        </w:rPr>
        <w:t xml:space="preserve"> </w:t>
      </w:r>
      <w:r>
        <w:rPr>
          <w:rFonts w:hint="eastAsia"/>
          <w:color w:val="auto"/>
          <w:sz w:val="24"/>
          <w:szCs w:val="24"/>
        </w:rPr>
        <w:t>扭矩扳手的准确度宜优于±5%F.S。</w:t>
      </w:r>
    </w:p>
    <w:p>
      <w:pPr>
        <w:pStyle w:val="5"/>
      </w:pPr>
      <w:bookmarkStart w:id="64" w:name="_Toc16055"/>
      <w:bookmarkStart w:id="65" w:name="_Toc12237"/>
      <w:bookmarkStart w:id="66" w:name="_Toc16641"/>
      <w:r>
        <w:rPr>
          <w:rFonts w:hint="eastAsia"/>
        </w:rPr>
        <w:t>A.4 植筋安装</w:t>
      </w:r>
      <w:bookmarkEnd w:id="64"/>
      <w:bookmarkEnd w:id="65"/>
      <w:bookmarkEnd w:id="66"/>
    </w:p>
    <w:p>
      <w:pPr>
        <w:spacing w:after="0" w:line="360" w:lineRule="auto"/>
        <w:rPr>
          <w:color w:val="auto"/>
          <w:sz w:val="24"/>
          <w:szCs w:val="24"/>
        </w:rPr>
      </w:pPr>
      <w:r>
        <w:rPr>
          <w:rFonts w:hint="eastAsia"/>
          <w:b/>
          <w:bCs/>
          <w:color w:val="auto"/>
          <w:sz w:val="24"/>
          <w:szCs w:val="24"/>
        </w:rPr>
        <w:t>A.4.</w:t>
      </w:r>
      <w:r>
        <w:rPr>
          <w:b/>
          <w:bCs/>
          <w:color w:val="auto"/>
          <w:sz w:val="24"/>
          <w:szCs w:val="24"/>
        </w:rPr>
        <w:t xml:space="preserve">1 </w:t>
      </w:r>
      <w:r>
        <w:rPr>
          <w:color w:val="auto"/>
          <w:sz w:val="24"/>
          <w:szCs w:val="24"/>
        </w:rPr>
        <w:t>植筋应安装在混凝土试件的</w:t>
      </w:r>
      <w:r>
        <w:rPr>
          <w:rFonts w:hint="eastAsia"/>
          <w:color w:val="auto"/>
          <w:sz w:val="24"/>
          <w:szCs w:val="24"/>
        </w:rPr>
        <w:t>模板支撑</w:t>
      </w:r>
      <w:r>
        <w:rPr>
          <w:color w:val="auto"/>
          <w:sz w:val="24"/>
          <w:szCs w:val="24"/>
        </w:rPr>
        <w:t>，</w:t>
      </w:r>
      <w:r>
        <w:rPr>
          <w:rFonts w:hint="eastAsia"/>
          <w:color w:val="auto"/>
          <w:sz w:val="24"/>
          <w:szCs w:val="24"/>
        </w:rPr>
        <w:t>保证混凝土试件测试面平整光洁。</w:t>
      </w:r>
    </w:p>
    <w:p>
      <w:pPr>
        <w:spacing w:after="0" w:line="360" w:lineRule="auto"/>
        <w:rPr>
          <w:color w:val="auto"/>
          <w:sz w:val="24"/>
          <w:szCs w:val="24"/>
        </w:rPr>
      </w:pPr>
      <w:r>
        <w:rPr>
          <w:rFonts w:hint="eastAsia"/>
          <w:b/>
          <w:bCs/>
          <w:color w:val="auto"/>
          <w:sz w:val="24"/>
          <w:szCs w:val="24"/>
        </w:rPr>
        <w:t xml:space="preserve">A.4.2 </w:t>
      </w:r>
      <w:r>
        <w:rPr>
          <w:color w:val="auto"/>
          <w:sz w:val="24"/>
          <w:szCs w:val="24"/>
        </w:rPr>
        <w:t>除有特殊要求的试验外，应采用植筋产品生产商产品说明书规定的安装工具，</w:t>
      </w:r>
      <w:r>
        <w:rPr>
          <w:rFonts w:hint="eastAsia"/>
          <w:color w:val="auto"/>
          <w:sz w:val="24"/>
          <w:szCs w:val="24"/>
        </w:rPr>
        <w:t>应</w:t>
      </w:r>
      <w:r>
        <w:rPr>
          <w:color w:val="auto"/>
          <w:sz w:val="24"/>
          <w:szCs w:val="24"/>
        </w:rPr>
        <w:t>按生产商产品说明书规定的方法对混凝土试件进行钻孔、清</w:t>
      </w:r>
      <w:r>
        <w:rPr>
          <w:rFonts w:hint="eastAsia"/>
          <w:color w:val="auto"/>
          <w:sz w:val="24"/>
          <w:szCs w:val="24"/>
        </w:rPr>
        <w:t>孔</w:t>
      </w:r>
      <w:r>
        <w:rPr>
          <w:color w:val="auto"/>
          <w:sz w:val="24"/>
          <w:szCs w:val="24"/>
        </w:rPr>
        <w:t>、注入胶粘材料，并</w:t>
      </w:r>
      <w:r>
        <w:rPr>
          <w:rFonts w:hint="eastAsia"/>
          <w:color w:val="auto"/>
          <w:sz w:val="24"/>
          <w:szCs w:val="24"/>
        </w:rPr>
        <w:t>应</w:t>
      </w:r>
      <w:r>
        <w:rPr>
          <w:color w:val="auto"/>
          <w:sz w:val="24"/>
          <w:szCs w:val="24"/>
        </w:rPr>
        <w:t>在允许安装温度对应的允许操作时间内植入钢筋。当生产商产品说明书未规定安装操作时间时，应在5min内植入钢筋。</w:t>
      </w:r>
    </w:p>
    <w:p>
      <w:pPr>
        <w:spacing w:after="0" w:line="360" w:lineRule="auto"/>
        <w:rPr>
          <w:color w:val="auto"/>
          <w:sz w:val="24"/>
          <w:szCs w:val="24"/>
        </w:rPr>
      </w:pPr>
      <w:r>
        <w:rPr>
          <w:rFonts w:hint="eastAsia"/>
          <w:b/>
          <w:bCs/>
          <w:color w:val="auto"/>
          <w:sz w:val="24"/>
          <w:szCs w:val="24"/>
        </w:rPr>
        <w:t xml:space="preserve">A.4.3 </w:t>
      </w:r>
      <w:r>
        <w:rPr>
          <w:color w:val="auto"/>
          <w:sz w:val="24"/>
          <w:szCs w:val="24"/>
        </w:rPr>
        <w:t>混凝土上钻孔应垂直于混凝土试件表面，孔壁应整齐，孔径应准确。</w:t>
      </w:r>
    </w:p>
    <w:p>
      <w:pPr>
        <w:spacing w:after="0" w:line="360" w:lineRule="auto"/>
        <w:rPr>
          <w:color w:val="auto"/>
          <w:sz w:val="24"/>
          <w:szCs w:val="24"/>
        </w:rPr>
      </w:pPr>
      <w:r>
        <w:rPr>
          <w:rFonts w:hint="eastAsia"/>
          <w:b/>
          <w:bCs/>
          <w:color w:val="auto"/>
          <w:sz w:val="24"/>
          <w:szCs w:val="24"/>
        </w:rPr>
        <w:t xml:space="preserve">A.4.4 </w:t>
      </w:r>
      <w:r>
        <w:rPr>
          <w:color w:val="auto"/>
          <w:sz w:val="24"/>
          <w:szCs w:val="24"/>
        </w:rPr>
        <w:t>试验用</w:t>
      </w:r>
      <w:r>
        <w:rPr>
          <w:rFonts w:hint="eastAsia"/>
          <w:color w:val="auto"/>
          <w:sz w:val="24"/>
          <w:szCs w:val="24"/>
        </w:rPr>
        <w:t>锤击钻</w:t>
      </w:r>
      <w:r>
        <w:rPr>
          <w:color w:val="auto"/>
          <w:sz w:val="24"/>
          <w:szCs w:val="24"/>
        </w:rPr>
        <w:t>钻头</w:t>
      </w:r>
      <w:r>
        <w:rPr>
          <w:rFonts w:hint="eastAsia"/>
          <w:color w:val="auto"/>
          <w:sz w:val="24"/>
          <w:szCs w:val="24"/>
        </w:rPr>
        <w:t>钻孔时的钻头</w:t>
      </w:r>
      <w:r>
        <w:rPr>
          <w:color w:val="auto"/>
          <w:sz w:val="24"/>
          <w:szCs w:val="24"/>
        </w:rPr>
        <w:t>直径应符合</w:t>
      </w:r>
      <w:r>
        <w:rPr>
          <w:rFonts w:hint="eastAsia"/>
          <w:color w:val="auto"/>
          <w:sz w:val="24"/>
          <w:szCs w:val="24"/>
        </w:rPr>
        <w:t>表A.4.4试验用钻头中等直径</w:t>
      </w:r>
      <w:r>
        <w:rPr>
          <w:rFonts w:hint="eastAsia"/>
          <w:i/>
          <w:iCs/>
          <w:color w:val="auto"/>
          <w:sz w:val="24"/>
          <w:szCs w:val="24"/>
        </w:rPr>
        <w:t>d</w:t>
      </w:r>
      <w:r>
        <w:rPr>
          <w:color w:val="auto"/>
          <w:sz w:val="24"/>
          <w:szCs w:val="24"/>
          <w:vertAlign w:val="subscript"/>
        </w:rPr>
        <w:t>m</w:t>
      </w:r>
      <w:r>
        <w:rPr>
          <w:rFonts w:hint="eastAsia"/>
          <w:color w:val="auto"/>
          <w:sz w:val="24"/>
          <w:szCs w:val="24"/>
        </w:rPr>
        <w:t>的</w:t>
      </w:r>
      <w:r>
        <w:rPr>
          <w:color w:val="auto"/>
          <w:sz w:val="24"/>
          <w:szCs w:val="24"/>
        </w:rPr>
        <w:t>相关要求，每完成10个钻孔应检查钻头直径是否符合要求，不符合时应更换钻头。</w:t>
      </w:r>
    </w:p>
    <w:p>
      <w:pPr>
        <w:widowControl/>
        <w:snapToGrid w:val="0"/>
        <w:spacing w:after="0" w:line="360" w:lineRule="auto"/>
        <w:jc w:val="center"/>
        <w:rPr>
          <w:rFonts w:ascii="宋体" w:hAnsi="宋体"/>
          <w:b/>
          <w:bCs/>
          <w:color w:val="auto"/>
          <w:sz w:val="21"/>
          <w:szCs w:val="21"/>
        </w:rPr>
      </w:pPr>
      <w:r>
        <w:rPr>
          <w:b/>
          <w:bCs/>
          <w:color w:val="auto"/>
          <w:sz w:val="21"/>
          <w:szCs w:val="21"/>
        </w:rPr>
        <w:t xml:space="preserve">表 </w:t>
      </w:r>
      <w:r>
        <w:rPr>
          <w:rFonts w:hint="eastAsia"/>
          <w:b/>
          <w:bCs/>
          <w:color w:val="auto"/>
          <w:sz w:val="21"/>
          <w:szCs w:val="21"/>
        </w:rPr>
        <w:t>A.4.</w:t>
      </w:r>
      <w:r>
        <w:rPr>
          <w:b/>
          <w:bCs/>
          <w:color w:val="auto"/>
          <w:sz w:val="21"/>
          <w:szCs w:val="21"/>
        </w:rPr>
        <w:t xml:space="preserve">  试验用钻头直径、偏差范围 </w:t>
      </w:r>
    </w:p>
    <w:tbl>
      <w:tblPr>
        <w:tblStyle w:val="27"/>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28" w:type="dxa"/>
          <w:bottom w:w="0" w:type="dxa"/>
          <w:right w:w="28" w:type="dxa"/>
        </w:tblCellMar>
      </w:tblPr>
      <w:tblGrid>
        <w:gridCol w:w="1680"/>
        <w:gridCol w:w="376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1680" w:type="dxa"/>
            <w:tcBorders>
              <w:top w:val="single" w:color="000000" w:sz="8" w:space="0"/>
              <w:bottom w:val="single" w:color="000000" w:sz="4" w:space="0"/>
            </w:tcBorders>
            <w:vAlign w:val="center"/>
          </w:tcPr>
          <w:p>
            <w:pPr>
              <w:widowControl/>
              <w:snapToGrid w:val="0"/>
              <w:spacing w:after="0" w:line="360" w:lineRule="auto"/>
              <w:jc w:val="center"/>
              <w:rPr>
                <w:color w:val="auto"/>
                <w:sz w:val="21"/>
                <w:szCs w:val="21"/>
              </w:rPr>
            </w:pPr>
            <w:r>
              <w:rPr>
                <w:rFonts w:hint="eastAsia"/>
                <w:color w:val="auto"/>
                <w:sz w:val="21"/>
                <w:szCs w:val="21"/>
              </w:rPr>
              <w:t>钻头</w:t>
            </w:r>
            <w:r>
              <w:rPr>
                <w:color w:val="auto"/>
                <w:sz w:val="21"/>
                <w:szCs w:val="21"/>
              </w:rPr>
              <w:t>公称直径</w:t>
            </w:r>
          </w:p>
        </w:tc>
        <w:tc>
          <w:tcPr>
            <w:tcW w:w="3764" w:type="dxa"/>
            <w:tcBorders>
              <w:top w:val="single" w:color="000000" w:sz="8" w:space="0"/>
            </w:tcBorders>
          </w:tcPr>
          <w:p>
            <w:pPr>
              <w:widowControl/>
              <w:snapToGrid w:val="0"/>
              <w:spacing w:after="0" w:line="360" w:lineRule="auto"/>
              <w:jc w:val="center"/>
              <w:rPr>
                <w:color w:val="auto"/>
                <w:sz w:val="21"/>
                <w:szCs w:val="21"/>
              </w:rPr>
            </w:pPr>
            <w:r>
              <w:rPr>
                <w:rFonts w:hint="eastAsia"/>
                <w:color w:val="auto"/>
                <w:sz w:val="21"/>
                <w:szCs w:val="21"/>
              </w:rPr>
              <w:t>偏  差  范  围</w:t>
            </w:r>
            <w:r>
              <w:rPr>
                <w:i/>
                <w:color w:val="auto"/>
                <w:sz w:val="21"/>
                <w:szCs w:val="21"/>
              </w:rPr>
              <w:t>d</w:t>
            </w:r>
            <w:r>
              <w:rPr>
                <w:color w:val="auto"/>
                <w:sz w:val="21"/>
                <w:szCs w:val="21"/>
                <w:vertAlign w:val="subscript"/>
              </w:rPr>
              <w:t xml:space="preserve">m </w:t>
            </w:r>
            <w:r>
              <w:rPr>
                <w:color w:val="auto"/>
                <w:sz w:val="21"/>
                <w:szCs w:val="21"/>
              </w:rPr>
              <w:t>(mm)</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10</w:t>
            </w:r>
          </w:p>
        </w:tc>
        <w:tc>
          <w:tcPr>
            <w:tcW w:w="3764" w:type="dxa"/>
          </w:tcPr>
          <w:p>
            <w:pPr>
              <w:widowControl/>
              <w:snapToGrid w:val="0"/>
              <w:spacing w:after="0" w:line="360" w:lineRule="auto"/>
              <w:jc w:val="center"/>
              <w:rPr>
                <w:color w:val="auto"/>
                <w:sz w:val="21"/>
                <w:szCs w:val="21"/>
              </w:rPr>
            </w:pPr>
            <w:r>
              <w:rPr>
                <w:color w:val="auto"/>
                <w:sz w:val="21"/>
                <w:szCs w:val="21"/>
              </w:rPr>
              <w:t>10.25～10.35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12</w:t>
            </w:r>
          </w:p>
        </w:tc>
        <w:tc>
          <w:tcPr>
            <w:tcW w:w="3764" w:type="dxa"/>
          </w:tcPr>
          <w:p>
            <w:pPr>
              <w:widowControl/>
              <w:snapToGrid w:val="0"/>
              <w:spacing w:after="0" w:line="360" w:lineRule="auto"/>
              <w:jc w:val="center"/>
              <w:rPr>
                <w:color w:val="auto"/>
                <w:sz w:val="21"/>
                <w:szCs w:val="21"/>
              </w:rPr>
            </w:pPr>
            <w:r>
              <w:rPr>
                <w:color w:val="auto"/>
                <w:sz w:val="21"/>
                <w:szCs w:val="21"/>
              </w:rPr>
              <w:t>12.25～12.35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14</w:t>
            </w:r>
          </w:p>
        </w:tc>
        <w:tc>
          <w:tcPr>
            <w:tcW w:w="3764" w:type="dxa"/>
          </w:tcPr>
          <w:p>
            <w:pPr>
              <w:widowControl/>
              <w:snapToGrid w:val="0"/>
              <w:spacing w:after="0" w:line="360" w:lineRule="auto"/>
              <w:jc w:val="center"/>
              <w:rPr>
                <w:color w:val="auto"/>
                <w:sz w:val="21"/>
                <w:szCs w:val="21"/>
              </w:rPr>
            </w:pPr>
            <w:r>
              <w:rPr>
                <w:color w:val="auto"/>
                <w:sz w:val="21"/>
                <w:szCs w:val="21"/>
              </w:rPr>
              <w:t>14.25～14.35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16</w:t>
            </w:r>
          </w:p>
        </w:tc>
        <w:tc>
          <w:tcPr>
            <w:tcW w:w="3764" w:type="dxa"/>
          </w:tcPr>
          <w:p>
            <w:pPr>
              <w:widowControl/>
              <w:snapToGrid w:val="0"/>
              <w:spacing w:after="0" w:line="360" w:lineRule="auto"/>
              <w:jc w:val="center"/>
              <w:rPr>
                <w:color w:val="auto"/>
                <w:sz w:val="21"/>
                <w:szCs w:val="21"/>
              </w:rPr>
            </w:pPr>
            <w:r>
              <w:rPr>
                <w:color w:val="auto"/>
                <w:sz w:val="21"/>
                <w:szCs w:val="21"/>
              </w:rPr>
              <w:t>16.25～16.35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18</w:t>
            </w:r>
          </w:p>
        </w:tc>
        <w:tc>
          <w:tcPr>
            <w:tcW w:w="3764" w:type="dxa"/>
          </w:tcPr>
          <w:p>
            <w:pPr>
              <w:widowControl/>
              <w:snapToGrid w:val="0"/>
              <w:spacing w:after="0" w:line="360" w:lineRule="auto"/>
              <w:jc w:val="center"/>
              <w:rPr>
                <w:color w:val="auto"/>
                <w:sz w:val="21"/>
                <w:szCs w:val="21"/>
              </w:rPr>
            </w:pPr>
            <w:r>
              <w:rPr>
                <w:color w:val="auto"/>
                <w:sz w:val="21"/>
                <w:szCs w:val="21"/>
              </w:rPr>
              <w:t>18.25～18.35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20</w:t>
            </w:r>
          </w:p>
        </w:tc>
        <w:tc>
          <w:tcPr>
            <w:tcW w:w="3764" w:type="dxa"/>
          </w:tcPr>
          <w:p>
            <w:pPr>
              <w:widowControl/>
              <w:snapToGrid w:val="0"/>
              <w:spacing w:after="0" w:line="360" w:lineRule="auto"/>
              <w:jc w:val="center"/>
              <w:rPr>
                <w:color w:val="auto"/>
                <w:sz w:val="21"/>
                <w:szCs w:val="21"/>
              </w:rPr>
            </w:pPr>
            <w:r>
              <w:rPr>
                <w:color w:val="auto"/>
                <w:sz w:val="21"/>
                <w:szCs w:val="21"/>
              </w:rPr>
              <w:t>20.30～20.40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22</w:t>
            </w:r>
          </w:p>
        </w:tc>
        <w:tc>
          <w:tcPr>
            <w:tcW w:w="3764" w:type="dxa"/>
          </w:tcPr>
          <w:p>
            <w:pPr>
              <w:widowControl/>
              <w:snapToGrid w:val="0"/>
              <w:spacing w:after="0" w:line="360" w:lineRule="auto"/>
              <w:jc w:val="center"/>
              <w:rPr>
                <w:color w:val="auto"/>
                <w:sz w:val="21"/>
                <w:szCs w:val="21"/>
              </w:rPr>
            </w:pPr>
            <w:r>
              <w:rPr>
                <w:color w:val="auto"/>
                <w:sz w:val="21"/>
                <w:szCs w:val="21"/>
              </w:rPr>
              <w:t>22.30～22.40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24</w:t>
            </w:r>
          </w:p>
        </w:tc>
        <w:tc>
          <w:tcPr>
            <w:tcW w:w="3764" w:type="dxa"/>
          </w:tcPr>
          <w:p>
            <w:pPr>
              <w:widowControl/>
              <w:snapToGrid w:val="0"/>
              <w:spacing w:after="0" w:line="360" w:lineRule="auto"/>
              <w:jc w:val="center"/>
              <w:rPr>
                <w:color w:val="auto"/>
                <w:sz w:val="21"/>
                <w:szCs w:val="21"/>
              </w:rPr>
            </w:pPr>
            <w:r>
              <w:rPr>
                <w:color w:val="auto"/>
                <w:sz w:val="21"/>
                <w:szCs w:val="21"/>
              </w:rPr>
              <w:t>24.30～24.40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25</w:t>
            </w:r>
          </w:p>
        </w:tc>
        <w:tc>
          <w:tcPr>
            <w:tcW w:w="3764" w:type="dxa"/>
          </w:tcPr>
          <w:p>
            <w:pPr>
              <w:widowControl/>
              <w:snapToGrid w:val="0"/>
              <w:spacing w:after="0" w:line="360" w:lineRule="auto"/>
              <w:jc w:val="center"/>
              <w:rPr>
                <w:color w:val="auto"/>
                <w:sz w:val="21"/>
                <w:szCs w:val="21"/>
              </w:rPr>
            </w:pPr>
            <w:r>
              <w:rPr>
                <w:color w:val="auto"/>
                <w:sz w:val="21"/>
                <w:szCs w:val="21"/>
              </w:rPr>
              <w:t>25.30～25.40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28</w:t>
            </w:r>
          </w:p>
        </w:tc>
        <w:tc>
          <w:tcPr>
            <w:tcW w:w="3764" w:type="dxa"/>
          </w:tcPr>
          <w:p>
            <w:pPr>
              <w:widowControl/>
              <w:snapToGrid w:val="0"/>
              <w:spacing w:after="0" w:line="360" w:lineRule="auto"/>
              <w:jc w:val="center"/>
              <w:rPr>
                <w:color w:val="auto"/>
                <w:sz w:val="21"/>
                <w:szCs w:val="21"/>
              </w:rPr>
            </w:pPr>
            <w:r>
              <w:rPr>
                <w:color w:val="auto"/>
                <w:sz w:val="21"/>
                <w:szCs w:val="21"/>
              </w:rPr>
              <w:t>28.30～28.40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30</w:t>
            </w:r>
          </w:p>
        </w:tc>
        <w:tc>
          <w:tcPr>
            <w:tcW w:w="3764" w:type="dxa"/>
          </w:tcPr>
          <w:p>
            <w:pPr>
              <w:widowControl/>
              <w:snapToGrid w:val="0"/>
              <w:spacing w:after="0" w:line="360" w:lineRule="auto"/>
              <w:jc w:val="center"/>
              <w:rPr>
                <w:color w:val="auto"/>
                <w:sz w:val="21"/>
                <w:szCs w:val="21"/>
              </w:rPr>
            </w:pPr>
            <w:r>
              <w:rPr>
                <w:color w:val="auto"/>
                <w:sz w:val="21"/>
                <w:szCs w:val="21"/>
              </w:rPr>
              <w:t>30.30～30.40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jc w:val="center"/>
        </w:trPr>
        <w:tc>
          <w:tcPr>
            <w:tcW w:w="1680" w:type="dxa"/>
          </w:tcPr>
          <w:p>
            <w:pPr>
              <w:widowControl/>
              <w:snapToGrid w:val="0"/>
              <w:spacing w:after="0" w:line="360" w:lineRule="auto"/>
              <w:jc w:val="center"/>
              <w:rPr>
                <w:color w:val="auto"/>
                <w:sz w:val="21"/>
                <w:szCs w:val="21"/>
              </w:rPr>
            </w:pPr>
            <w:r>
              <w:rPr>
                <w:color w:val="auto"/>
                <w:sz w:val="21"/>
                <w:szCs w:val="21"/>
              </w:rPr>
              <w:t>32</w:t>
            </w:r>
          </w:p>
        </w:tc>
        <w:tc>
          <w:tcPr>
            <w:tcW w:w="3764" w:type="dxa"/>
          </w:tcPr>
          <w:p>
            <w:pPr>
              <w:widowControl/>
              <w:snapToGrid w:val="0"/>
              <w:spacing w:after="0" w:line="360" w:lineRule="auto"/>
              <w:jc w:val="center"/>
              <w:rPr>
                <w:color w:val="auto"/>
                <w:sz w:val="21"/>
                <w:szCs w:val="21"/>
              </w:rPr>
            </w:pPr>
            <w:r>
              <w:rPr>
                <w:color w:val="auto"/>
                <w:sz w:val="21"/>
                <w:szCs w:val="21"/>
              </w:rPr>
              <w:t>32.35～32.50</w:t>
            </w:r>
          </w:p>
        </w:tc>
      </w:tr>
    </w:tbl>
    <w:p>
      <w:pPr>
        <w:spacing w:after="0" w:line="360" w:lineRule="auto"/>
        <w:rPr>
          <w:i/>
          <w:iCs/>
          <w:color w:val="5B9BD5" w:themeColor="accent5"/>
          <w:sz w:val="24"/>
          <w:szCs w:val="24"/>
          <w14:textFill>
            <w14:solidFill>
              <w14:schemeClr w14:val="accent5"/>
            </w14:solidFill>
          </w14:textFill>
        </w:rPr>
      </w:pPr>
      <w:r>
        <w:rPr>
          <w:rFonts w:hint="eastAsia"/>
          <w:b/>
          <w:bCs/>
          <w:i/>
          <w:iCs/>
          <w:color w:val="5B9BD5" w:themeColor="accent5"/>
          <w:sz w:val="24"/>
          <w:szCs w:val="24"/>
          <w14:textFill>
            <w14:solidFill>
              <w14:schemeClr w14:val="accent5"/>
            </w14:solidFill>
          </w14:textFill>
        </w:rPr>
        <w:t>【条文说明】</w:t>
      </w:r>
      <w:r>
        <w:rPr>
          <w:b/>
          <w:bCs/>
          <w:i/>
          <w:iCs/>
          <w:color w:val="5B9BD5" w:themeColor="accent5"/>
          <w:sz w:val="24"/>
          <w:szCs w:val="24"/>
          <w14:textFill>
            <w14:solidFill>
              <w14:schemeClr w14:val="accent5"/>
            </w14:solidFill>
          </w14:textFill>
        </w:rPr>
        <w:t xml:space="preserve">A.4.4 </w:t>
      </w:r>
      <w:r>
        <w:rPr>
          <w:rFonts w:hint="eastAsia"/>
          <w:i/>
          <w:iCs/>
          <w:color w:val="5B9BD5" w:themeColor="accent5"/>
          <w:sz w:val="24"/>
          <w:szCs w:val="24"/>
          <w14:textFill>
            <w14:solidFill>
              <w14:schemeClr w14:val="accent5"/>
            </w14:solidFill>
          </w14:textFill>
        </w:rPr>
        <w:t>表5</w:t>
      </w:r>
      <w:r>
        <w:rPr>
          <w:i/>
          <w:iCs/>
          <w:color w:val="5B9BD5" w:themeColor="accent5"/>
          <w:sz w:val="24"/>
          <w:szCs w:val="24"/>
          <w14:textFill>
            <w14:solidFill>
              <w14:schemeClr w14:val="accent5"/>
            </w14:solidFill>
          </w14:textFill>
        </w:rPr>
        <w:t>.0.2</w:t>
      </w:r>
      <w:r>
        <w:rPr>
          <w:rFonts w:hint="eastAsia"/>
          <w:i/>
          <w:iCs/>
          <w:color w:val="5B9BD5" w:themeColor="accent5"/>
          <w:sz w:val="24"/>
          <w:szCs w:val="24"/>
          <w14:textFill>
            <w14:solidFill>
              <w14:schemeClr w14:val="accent5"/>
            </w14:solidFill>
          </w14:textFill>
        </w:rPr>
        <w:t>规定了植筋规格对应的钻孔直径。钻孔直径应通过采用相同直径的钻头实现。本条规定了钻头直径的允许偏差。</w:t>
      </w:r>
    </w:p>
    <w:p>
      <w:pPr>
        <w:spacing w:after="0" w:line="360" w:lineRule="auto"/>
        <w:rPr>
          <w:color w:val="auto"/>
          <w:sz w:val="24"/>
          <w:szCs w:val="24"/>
        </w:rPr>
      </w:pPr>
      <w:r>
        <w:rPr>
          <w:rFonts w:hint="eastAsia"/>
          <w:b/>
          <w:bCs/>
          <w:color w:val="auto"/>
          <w:sz w:val="24"/>
          <w:szCs w:val="24"/>
        </w:rPr>
        <w:t xml:space="preserve">A.4.5 </w:t>
      </w:r>
      <w:r>
        <w:rPr>
          <w:rFonts w:hint="eastAsia"/>
          <w:color w:val="auto"/>
          <w:sz w:val="24"/>
          <w:szCs w:val="24"/>
          <w:lang w:val="en-US" w:eastAsia="zh-CN"/>
        </w:rPr>
        <w:t>当</w:t>
      </w:r>
      <w:r>
        <w:rPr>
          <w:color w:val="auto"/>
          <w:sz w:val="24"/>
          <w:szCs w:val="24"/>
        </w:rPr>
        <w:t>植筋产品生产商在其产品说明书中同时允许采用电锤钻孔和水钻钻孔方式</w:t>
      </w:r>
      <w:r>
        <w:rPr>
          <w:rFonts w:hint="eastAsia"/>
          <w:color w:val="auto"/>
          <w:sz w:val="24"/>
          <w:szCs w:val="24"/>
        </w:rPr>
        <w:t>时</w:t>
      </w:r>
      <w:r>
        <w:rPr>
          <w:color w:val="auto"/>
          <w:sz w:val="24"/>
          <w:szCs w:val="24"/>
        </w:rPr>
        <w:t>，在试验时</w:t>
      </w:r>
      <w:r>
        <w:rPr>
          <w:rFonts w:hint="eastAsia"/>
          <w:color w:val="auto"/>
          <w:sz w:val="24"/>
          <w:szCs w:val="24"/>
        </w:rPr>
        <w:t>可只采用水钻钻孔或分别</w:t>
      </w:r>
      <w:r>
        <w:rPr>
          <w:color w:val="auto"/>
          <w:sz w:val="24"/>
          <w:szCs w:val="24"/>
        </w:rPr>
        <w:t>采用</w:t>
      </w:r>
      <w:r>
        <w:rPr>
          <w:rFonts w:hint="eastAsia"/>
          <w:color w:val="auto"/>
          <w:sz w:val="24"/>
          <w:szCs w:val="24"/>
        </w:rPr>
        <w:t>电锤钻孔和</w:t>
      </w:r>
      <w:r>
        <w:rPr>
          <w:color w:val="auto"/>
          <w:sz w:val="24"/>
          <w:szCs w:val="24"/>
        </w:rPr>
        <w:t>水钻钻孔方式，并</w:t>
      </w:r>
      <w:r>
        <w:rPr>
          <w:rFonts w:hint="eastAsia"/>
          <w:color w:val="auto"/>
          <w:sz w:val="24"/>
          <w:szCs w:val="24"/>
        </w:rPr>
        <w:t>应</w:t>
      </w:r>
      <w:r>
        <w:rPr>
          <w:color w:val="auto"/>
          <w:sz w:val="24"/>
          <w:szCs w:val="24"/>
        </w:rPr>
        <w:t>按照生产商说明书的要求进行孔洞干燥、打毛等处理。</w:t>
      </w:r>
    </w:p>
    <w:p>
      <w:pPr>
        <w:spacing w:after="0" w:line="360" w:lineRule="auto"/>
        <w:rPr>
          <w:color w:val="auto"/>
          <w:sz w:val="24"/>
          <w:szCs w:val="24"/>
        </w:rPr>
      </w:pPr>
      <w:r>
        <w:rPr>
          <w:rFonts w:hint="eastAsia"/>
          <w:b/>
          <w:bCs/>
          <w:color w:val="auto"/>
          <w:sz w:val="24"/>
          <w:szCs w:val="24"/>
        </w:rPr>
        <w:t xml:space="preserve">A.4.6 </w:t>
      </w:r>
      <w:r>
        <w:rPr>
          <w:color w:val="auto"/>
          <w:sz w:val="24"/>
          <w:szCs w:val="24"/>
        </w:rPr>
        <w:t>除对养护温度和时间有特殊要求的试验外，植筋安装后应在常温下养护。养护时间不</w:t>
      </w:r>
      <w:r>
        <w:rPr>
          <w:rFonts w:hint="eastAsia"/>
          <w:color w:val="auto"/>
          <w:sz w:val="24"/>
          <w:szCs w:val="24"/>
        </w:rPr>
        <w:t>应</w:t>
      </w:r>
      <w:r>
        <w:rPr>
          <w:color w:val="auto"/>
          <w:sz w:val="24"/>
          <w:szCs w:val="24"/>
        </w:rPr>
        <w:t>少于生产商产品说明书规定的对应养护温度下胶粘材料的最短固化时间。</w:t>
      </w:r>
    </w:p>
    <w:p>
      <w:pPr>
        <w:spacing w:after="0" w:line="360" w:lineRule="auto"/>
        <w:rPr>
          <w:color w:val="auto"/>
          <w:sz w:val="24"/>
          <w:szCs w:val="24"/>
        </w:rPr>
      </w:pPr>
      <w:r>
        <w:rPr>
          <w:rFonts w:hint="eastAsia"/>
          <w:b/>
          <w:bCs/>
          <w:color w:val="auto"/>
          <w:sz w:val="24"/>
          <w:szCs w:val="24"/>
        </w:rPr>
        <w:t xml:space="preserve">A.4.7 </w:t>
      </w:r>
      <w:r>
        <w:rPr>
          <w:color w:val="auto"/>
          <w:sz w:val="24"/>
          <w:szCs w:val="24"/>
        </w:rPr>
        <w:t>粘结材料在达到试验要求的固化时间前，应有防护措施保证植入的钢筋不受扰动。</w:t>
      </w:r>
    </w:p>
    <w:p>
      <w:pPr>
        <w:pStyle w:val="5"/>
      </w:pPr>
      <w:bookmarkStart w:id="67" w:name="_Toc14985"/>
      <w:bookmarkStart w:id="68" w:name="_Toc3143"/>
      <w:bookmarkStart w:id="69" w:name="_Toc17327"/>
      <w:r>
        <w:rPr>
          <w:rFonts w:hint="eastAsia"/>
        </w:rPr>
        <w:t>A.5 植筋系统试验内容</w:t>
      </w:r>
      <w:bookmarkEnd w:id="67"/>
      <w:bookmarkEnd w:id="68"/>
      <w:bookmarkEnd w:id="69"/>
    </w:p>
    <w:p>
      <w:pPr>
        <w:spacing w:after="0" w:line="360" w:lineRule="auto"/>
        <w:rPr>
          <w:color w:val="auto"/>
          <w:sz w:val="24"/>
          <w:szCs w:val="24"/>
        </w:rPr>
      </w:pPr>
      <w:r>
        <w:rPr>
          <w:rFonts w:hint="eastAsia"/>
          <w:b/>
          <w:bCs/>
          <w:color w:val="auto"/>
          <w:sz w:val="24"/>
          <w:szCs w:val="24"/>
        </w:rPr>
        <w:t>A.5.</w:t>
      </w:r>
      <w:r>
        <w:rPr>
          <w:b/>
          <w:bCs/>
          <w:color w:val="auto"/>
          <w:sz w:val="24"/>
          <w:szCs w:val="24"/>
        </w:rPr>
        <w:t xml:space="preserve">1 </w:t>
      </w:r>
      <w:r>
        <w:rPr>
          <w:rFonts w:hint="eastAsia"/>
          <w:color w:val="auto"/>
          <w:sz w:val="24"/>
          <w:szCs w:val="24"/>
        </w:rPr>
        <w:t>植筋系统试验应采用约束拉拔，约束钢板开孔直径宜为混凝土植筋孔洞直径的2倍。</w:t>
      </w:r>
    </w:p>
    <w:p>
      <w:pPr>
        <w:spacing w:after="0" w:line="360" w:lineRule="auto"/>
        <w:rPr>
          <w:color w:val="auto"/>
          <w:sz w:val="24"/>
          <w:szCs w:val="24"/>
        </w:rPr>
      </w:pPr>
      <w:r>
        <w:rPr>
          <w:rFonts w:hint="eastAsia"/>
          <w:b/>
          <w:bCs/>
          <w:color w:val="auto"/>
          <w:sz w:val="24"/>
          <w:szCs w:val="24"/>
        </w:rPr>
        <w:t>A.5.2</w:t>
      </w:r>
      <w:r>
        <w:rPr>
          <w:color w:val="auto"/>
          <w:sz w:val="24"/>
          <w:szCs w:val="24"/>
        </w:rPr>
        <w:t xml:space="preserve"> </w:t>
      </w:r>
      <w:r>
        <w:rPr>
          <w:rFonts w:hint="eastAsia"/>
          <w:color w:val="auto"/>
          <w:sz w:val="24"/>
          <w:szCs w:val="24"/>
        </w:rPr>
        <w:t>植筋基准试验项目应符合表A.5.2的规定。</w:t>
      </w:r>
    </w:p>
    <w:p>
      <w:pPr>
        <w:spacing w:after="0" w:line="360" w:lineRule="auto"/>
        <w:jc w:val="center"/>
        <w:rPr>
          <w:b/>
          <w:bCs/>
          <w:color w:val="auto"/>
          <w:sz w:val="21"/>
          <w:szCs w:val="21"/>
        </w:rPr>
      </w:pPr>
      <w:r>
        <w:rPr>
          <w:rFonts w:hint="eastAsia"/>
          <w:b/>
          <w:bCs/>
          <w:color w:val="auto"/>
          <w:sz w:val="21"/>
          <w:szCs w:val="21"/>
        </w:rPr>
        <w:t>表</w:t>
      </w:r>
      <w:r>
        <w:rPr>
          <w:b/>
          <w:bCs/>
          <w:color w:val="auto"/>
          <w:sz w:val="21"/>
          <w:szCs w:val="21"/>
        </w:rPr>
        <w:t xml:space="preserve">A.5.2 </w:t>
      </w:r>
      <w:r>
        <w:rPr>
          <w:rFonts w:hint="eastAsia"/>
          <w:b/>
          <w:bCs/>
          <w:color w:val="auto"/>
          <w:sz w:val="21"/>
          <w:szCs w:val="21"/>
        </w:rPr>
        <w:t>植筋基准试验项目</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3"/>
        <w:gridCol w:w="1461"/>
        <w:gridCol w:w="1462"/>
        <w:gridCol w:w="132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测试目的</w:t>
            </w:r>
          </w:p>
        </w:tc>
        <w:tc>
          <w:tcPr>
            <w:tcW w:w="146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强度等级</w:t>
            </w:r>
          </w:p>
        </w:tc>
        <w:tc>
          <w:tcPr>
            <w:tcW w:w="146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88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3153" w:type="dxa"/>
            <w:vMerge w:val="restart"/>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荷载-位移性能可作为其它相关测试的基准参数</w:t>
            </w:r>
          </w:p>
        </w:tc>
        <w:tc>
          <w:tcPr>
            <w:tcW w:w="146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C25</w:t>
            </w:r>
          </w:p>
        </w:tc>
        <w:tc>
          <w:tcPr>
            <w:tcW w:w="146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12</w:t>
            </w:r>
            <w:r>
              <w:rPr>
                <w:rFonts w:hint="eastAsia"/>
                <w:color w:val="auto"/>
                <w:sz w:val="21"/>
                <w:szCs w:val="21"/>
              </w:rPr>
              <w:t>、</w:t>
            </w:r>
            <w:r>
              <w:rPr>
                <w:color w:val="auto"/>
                <w:sz w:val="21"/>
                <w:szCs w:val="21"/>
              </w:rPr>
              <w:t>18</w:t>
            </w:r>
            <w:r>
              <w:rPr>
                <w:rFonts w:hint="eastAsia"/>
                <w:color w:val="auto"/>
                <w:sz w:val="21"/>
                <w:szCs w:val="21"/>
              </w:rPr>
              <w:t>、</w:t>
            </w:r>
            <w:r>
              <w:rPr>
                <w:color w:val="auto"/>
                <w:sz w:val="21"/>
                <w:szCs w:val="21"/>
              </w:rPr>
              <w:t>25</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10</w:t>
            </w:r>
            <w:r>
              <w:rPr>
                <w:i/>
                <w:iCs/>
                <w:color w:val="auto"/>
                <w:sz w:val="21"/>
                <w:szCs w:val="21"/>
              </w:rPr>
              <w:t>d</w:t>
            </w:r>
          </w:p>
        </w:tc>
        <w:tc>
          <w:tcPr>
            <w:tcW w:w="88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3153"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p>
        </w:tc>
        <w:tc>
          <w:tcPr>
            <w:tcW w:w="146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C60</w:t>
            </w:r>
          </w:p>
        </w:tc>
        <w:tc>
          <w:tcPr>
            <w:tcW w:w="146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25</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7</w:t>
            </w:r>
            <w:r>
              <w:rPr>
                <w:rFonts w:hint="eastAsia"/>
                <w:i/>
                <w:iCs/>
                <w:color w:val="auto"/>
                <w:sz w:val="21"/>
                <w:szCs w:val="21"/>
              </w:rPr>
              <w:t>d</w:t>
            </w:r>
          </w:p>
        </w:tc>
        <w:tc>
          <w:tcPr>
            <w:tcW w:w="88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5</w:t>
            </w:r>
          </w:p>
        </w:tc>
      </w:tr>
    </w:tbl>
    <w:p>
      <w:pPr>
        <w:rPr>
          <w:color w:val="auto"/>
          <w:sz w:val="24"/>
          <w:szCs w:val="24"/>
        </w:rPr>
      </w:pPr>
      <w:r>
        <w:rPr>
          <w:rFonts w:hint="eastAsia"/>
          <w:b/>
          <w:bCs/>
          <w:color w:val="auto"/>
          <w:sz w:val="24"/>
          <w:szCs w:val="24"/>
        </w:rPr>
        <w:t xml:space="preserve">A.5.3 </w:t>
      </w:r>
      <w:r>
        <w:rPr>
          <w:rFonts w:hint="eastAsia"/>
          <w:color w:val="auto"/>
          <w:sz w:val="24"/>
          <w:szCs w:val="24"/>
        </w:rPr>
        <w:t>干燥混凝土</w:t>
      </w:r>
      <w:r>
        <w:rPr>
          <w:color w:val="auto"/>
          <w:sz w:val="24"/>
          <w:szCs w:val="24"/>
        </w:rPr>
        <w:t>清孔敏感性试验</w:t>
      </w:r>
      <w:r>
        <w:rPr>
          <w:rFonts w:hint="eastAsia"/>
          <w:color w:val="auto"/>
          <w:sz w:val="24"/>
          <w:szCs w:val="24"/>
        </w:rPr>
        <w:t>项目应符合表A.5.3 的规定。</w:t>
      </w:r>
    </w:p>
    <w:p>
      <w:pPr>
        <w:spacing w:after="0" w:line="360" w:lineRule="auto"/>
        <w:jc w:val="center"/>
        <w:rPr>
          <w:rFonts w:hint="eastAsia"/>
          <w:b/>
          <w:bCs/>
          <w:color w:val="auto"/>
          <w:sz w:val="21"/>
          <w:szCs w:val="21"/>
        </w:rPr>
      </w:pPr>
      <w:r>
        <w:rPr>
          <w:rFonts w:hint="eastAsia"/>
          <w:b/>
          <w:bCs/>
          <w:color w:val="auto"/>
          <w:sz w:val="21"/>
          <w:szCs w:val="21"/>
        </w:rPr>
        <w:t>A.5. 3 植筋干燥混凝土清孔敏感性试验项目</w:t>
      </w:r>
    </w:p>
    <w:tbl>
      <w:tblPr>
        <w:tblStyle w:val="27"/>
        <w:tblW w:w="8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1232"/>
        <w:gridCol w:w="2055"/>
        <w:gridCol w:w="1335"/>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87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测试目的</w:t>
            </w:r>
          </w:p>
        </w:tc>
        <w:tc>
          <w:tcPr>
            <w:tcW w:w="123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强度等级</w:t>
            </w:r>
          </w:p>
        </w:tc>
        <w:tc>
          <w:tcPr>
            <w:tcW w:w="205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33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74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87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检验植筋系统在干燥混凝土条件下清孔质量对植筋系统承载力的影响</w:t>
            </w:r>
          </w:p>
        </w:tc>
        <w:tc>
          <w:tcPr>
            <w:tcW w:w="123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C25</w:t>
            </w:r>
          </w:p>
        </w:tc>
        <w:tc>
          <w:tcPr>
            <w:tcW w:w="205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12、</w:t>
            </w:r>
            <w:r>
              <w:rPr>
                <w:color w:val="auto"/>
                <w:sz w:val="21"/>
                <w:szCs w:val="21"/>
              </w:rPr>
              <w:t>18</w:t>
            </w:r>
            <w:r>
              <w:rPr>
                <w:rFonts w:hint="eastAsia"/>
                <w:color w:val="auto"/>
                <w:sz w:val="21"/>
                <w:szCs w:val="21"/>
              </w:rPr>
              <w:t>、</w:t>
            </w:r>
            <w:r>
              <w:rPr>
                <w:color w:val="auto"/>
                <w:sz w:val="21"/>
                <w:szCs w:val="21"/>
              </w:rPr>
              <w:t>25</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p>
        </w:tc>
        <w:tc>
          <w:tcPr>
            <w:tcW w:w="133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10</w:t>
            </w:r>
            <w:r>
              <w:rPr>
                <w:i/>
                <w:iCs/>
                <w:color w:val="auto"/>
                <w:sz w:val="21"/>
                <w:szCs w:val="21"/>
              </w:rPr>
              <w:t>d</w:t>
            </w:r>
          </w:p>
        </w:tc>
        <w:tc>
          <w:tcPr>
            <w:tcW w:w="74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5</w:t>
            </w:r>
          </w:p>
        </w:tc>
      </w:tr>
    </w:tbl>
    <w:p>
      <w:pPr>
        <w:spacing w:after="0" w:line="360" w:lineRule="auto"/>
        <w:rPr>
          <w:color w:val="auto"/>
          <w:sz w:val="24"/>
          <w:szCs w:val="24"/>
        </w:rPr>
      </w:pPr>
      <w:r>
        <w:rPr>
          <w:rFonts w:hint="eastAsia"/>
          <w:b/>
          <w:bCs/>
          <w:color w:val="auto"/>
          <w:sz w:val="24"/>
          <w:szCs w:val="24"/>
        </w:rPr>
        <w:t xml:space="preserve">A.5.4 </w:t>
      </w:r>
      <w:r>
        <w:rPr>
          <w:rFonts w:hint="eastAsia"/>
          <w:color w:val="000000" w:themeColor="text1"/>
          <w:sz w:val="24"/>
          <w:szCs w:val="24"/>
          <w14:textFill>
            <w14:solidFill>
              <w14:schemeClr w14:val="tx1"/>
            </w14:solidFill>
          </w14:textFill>
        </w:rPr>
        <w:t>潮湿混凝土清孔敏感性试验</w:t>
      </w:r>
      <w:r>
        <w:rPr>
          <w:rFonts w:hint="eastAsia"/>
          <w:color w:val="auto"/>
          <w:sz w:val="24"/>
          <w:szCs w:val="24"/>
        </w:rPr>
        <w:t>项目应符合表A.5.4 的规定。</w:t>
      </w:r>
    </w:p>
    <w:p>
      <w:pPr>
        <w:spacing w:after="0" w:line="360" w:lineRule="auto"/>
        <w:jc w:val="center"/>
        <w:rPr>
          <w:rFonts w:hint="eastAsia"/>
          <w:b/>
          <w:bCs/>
          <w:color w:val="auto"/>
          <w:sz w:val="21"/>
          <w:szCs w:val="21"/>
        </w:rPr>
      </w:pPr>
      <w:r>
        <w:rPr>
          <w:rFonts w:hint="eastAsia"/>
          <w:b/>
          <w:bCs/>
          <w:color w:val="auto"/>
          <w:sz w:val="21"/>
          <w:szCs w:val="21"/>
        </w:rPr>
        <w:t>表A.5.4   植筋潮湿混凝土清孔敏感性试验项目</w:t>
      </w:r>
    </w:p>
    <w:tbl>
      <w:tblPr>
        <w:tblStyle w:val="27"/>
        <w:tblW w:w="82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1235"/>
        <w:gridCol w:w="1611"/>
        <w:gridCol w:w="1787"/>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88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测试目的</w:t>
            </w:r>
          </w:p>
        </w:tc>
        <w:tc>
          <w:tcPr>
            <w:tcW w:w="123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强度等级</w:t>
            </w:r>
          </w:p>
        </w:tc>
        <w:tc>
          <w:tcPr>
            <w:tcW w:w="161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78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75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88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检验植筋系统在潮湿混凝土条件下清孔质量对植筋系统承载力的影响</w:t>
            </w:r>
          </w:p>
        </w:tc>
        <w:tc>
          <w:tcPr>
            <w:tcW w:w="123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C25</w:t>
            </w:r>
          </w:p>
        </w:tc>
        <w:tc>
          <w:tcPr>
            <w:tcW w:w="161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18</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25</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p>
        </w:tc>
        <w:tc>
          <w:tcPr>
            <w:tcW w:w="178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r>
              <w:rPr>
                <w:i/>
                <w:iCs/>
                <w:color w:val="auto"/>
                <w:sz w:val="21"/>
                <w:szCs w:val="21"/>
              </w:rPr>
              <w:t>d</w:t>
            </w:r>
          </w:p>
        </w:tc>
        <w:tc>
          <w:tcPr>
            <w:tcW w:w="75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r>
    </w:tbl>
    <w:p>
      <w:pPr>
        <w:spacing w:after="0" w:line="360" w:lineRule="auto"/>
        <w:rPr>
          <w:color w:val="auto"/>
          <w:sz w:val="24"/>
          <w:szCs w:val="24"/>
        </w:rPr>
      </w:pPr>
      <w:r>
        <w:rPr>
          <w:rFonts w:hint="eastAsia"/>
          <w:b/>
          <w:bCs/>
          <w:color w:val="auto"/>
          <w:sz w:val="24"/>
          <w:szCs w:val="24"/>
        </w:rPr>
        <w:t xml:space="preserve">A.5.5 </w:t>
      </w:r>
      <w:r>
        <w:rPr>
          <w:rFonts w:hint="eastAsia"/>
          <w:color w:val="000000" w:themeColor="text1"/>
          <w:sz w:val="24"/>
          <w:szCs w:val="24"/>
          <w14:textFill>
            <w14:solidFill>
              <w14:schemeClr w14:val="tx1"/>
            </w14:solidFill>
          </w14:textFill>
        </w:rPr>
        <w:t>垂直向上安装试验项目</w:t>
      </w:r>
      <w:r>
        <w:rPr>
          <w:rFonts w:hint="eastAsia"/>
          <w:color w:val="auto"/>
          <w:sz w:val="24"/>
          <w:szCs w:val="24"/>
        </w:rPr>
        <w:t>应符合表A.5.5的规定。</w:t>
      </w:r>
    </w:p>
    <w:p>
      <w:pPr>
        <w:spacing w:after="0" w:line="360" w:lineRule="auto"/>
        <w:jc w:val="center"/>
        <w:rPr>
          <w:rFonts w:hint="eastAsia"/>
          <w:b/>
          <w:bCs/>
          <w:color w:val="auto"/>
          <w:sz w:val="21"/>
          <w:szCs w:val="21"/>
        </w:rPr>
      </w:pPr>
      <w:r>
        <w:rPr>
          <w:rFonts w:hint="eastAsia"/>
          <w:b/>
          <w:bCs/>
          <w:color w:val="auto"/>
          <w:sz w:val="21"/>
          <w:szCs w:val="21"/>
        </w:rPr>
        <w:t>表A.5.5 植筋垂直向上安装试验项目</w:t>
      </w:r>
    </w:p>
    <w:tbl>
      <w:tblPr>
        <w:tblStyle w:val="27"/>
        <w:tblW w:w="8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1227"/>
        <w:gridCol w:w="1658"/>
        <w:gridCol w:w="1559"/>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866"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测试目的</w:t>
            </w:r>
          </w:p>
        </w:tc>
        <w:tc>
          <w:tcPr>
            <w:tcW w:w="122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强度等级</w:t>
            </w:r>
          </w:p>
        </w:tc>
        <w:tc>
          <w:tcPr>
            <w:tcW w:w="165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55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89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866"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检验垂直向上安装条件对植筋系统承载力的影响</w:t>
            </w:r>
          </w:p>
        </w:tc>
        <w:tc>
          <w:tcPr>
            <w:tcW w:w="122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C25</w:t>
            </w:r>
          </w:p>
        </w:tc>
        <w:tc>
          <w:tcPr>
            <w:tcW w:w="165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p>
        </w:tc>
        <w:tc>
          <w:tcPr>
            <w:tcW w:w="155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r>
              <w:rPr>
                <w:rFonts w:hint="eastAsia"/>
                <w:i/>
                <w:iCs/>
                <w:color w:val="000000" w:themeColor="text1"/>
                <w:sz w:val="21"/>
                <w:szCs w:val="21"/>
                <w14:textFill>
                  <w14:solidFill>
                    <w14:schemeClr w14:val="tx1"/>
                  </w14:solidFill>
                </w14:textFill>
              </w:rPr>
              <w:t>d</w:t>
            </w:r>
          </w:p>
        </w:tc>
        <w:tc>
          <w:tcPr>
            <w:tcW w:w="89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r>
    </w:tbl>
    <w:p>
      <w:pPr>
        <w:spacing w:after="0" w:line="360" w:lineRule="auto"/>
        <w:rPr>
          <w:color w:val="auto"/>
          <w:sz w:val="24"/>
          <w:szCs w:val="24"/>
        </w:rPr>
      </w:pPr>
      <w:r>
        <w:rPr>
          <w:rFonts w:hint="eastAsia"/>
          <w:b/>
          <w:bCs/>
          <w:color w:val="auto"/>
          <w:sz w:val="24"/>
          <w:szCs w:val="24"/>
        </w:rPr>
        <w:t xml:space="preserve">A.5.6 </w:t>
      </w:r>
      <w:r>
        <w:rPr>
          <w:color w:val="auto"/>
          <w:sz w:val="24"/>
          <w:szCs w:val="24"/>
        </w:rPr>
        <w:t>水平方向安装试验</w:t>
      </w:r>
      <w:r>
        <w:rPr>
          <w:rFonts w:hint="eastAsia"/>
          <w:color w:val="auto"/>
          <w:sz w:val="24"/>
          <w:szCs w:val="24"/>
        </w:rPr>
        <w:t>项目应符合表A.5.6的规定。</w:t>
      </w:r>
    </w:p>
    <w:p>
      <w:pPr>
        <w:spacing w:after="0" w:line="360" w:lineRule="auto"/>
        <w:jc w:val="center"/>
        <w:rPr>
          <w:rFonts w:hint="eastAsia"/>
          <w:b/>
          <w:bCs/>
          <w:color w:val="auto"/>
          <w:sz w:val="21"/>
          <w:szCs w:val="21"/>
        </w:rPr>
      </w:pPr>
      <w:r>
        <w:rPr>
          <w:rFonts w:hint="eastAsia"/>
          <w:b/>
          <w:bCs/>
          <w:color w:val="auto"/>
          <w:sz w:val="21"/>
          <w:szCs w:val="21"/>
        </w:rPr>
        <w:t>表A.5.6 水平方向安装试验项目</w:t>
      </w:r>
    </w:p>
    <w:tbl>
      <w:tblPr>
        <w:tblStyle w:val="27"/>
        <w:tblW w:w="8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1278"/>
        <w:gridCol w:w="1947"/>
        <w:gridCol w:w="1523"/>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65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测试目的</w:t>
            </w:r>
          </w:p>
        </w:tc>
        <w:tc>
          <w:tcPr>
            <w:tcW w:w="127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强度等级</w:t>
            </w:r>
          </w:p>
        </w:tc>
        <w:tc>
          <w:tcPr>
            <w:tcW w:w="194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52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846"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65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检验水平方向安装条件对植筋系统承载力的影响</w:t>
            </w:r>
          </w:p>
        </w:tc>
        <w:tc>
          <w:tcPr>
            <w:tcW w:w="127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C25</w:t>
            </w:r>
          </w:p>
        </w:tc>
        <w:tc>
          <w:tcPr>
            <w:tcW w:w="194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152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r>
              <w:rPr>
                <w:rFonts w:hint="eastAsia"/>
                <w:i/>
                <w:iCs/>
                <w:color w:val="000000" w:themeColor="text1"/>
                <w:sz w:val="21"/>
                <w:szCs w:val="21"/>
                <w14:textFill>
                  <w14:solidFill>
                    <w14:schemeClr w14:val="tx1"/>
                  </w14:solidFill>
                </w14:textFill>
              </w:rPr>
              <w:t>d</w:t>
            </w:r>
          </w:p>
        </w:tc>
        <w:tc>
          <w:tcPr>
            <w:tcW w:w="846"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r>
    </w:tbl>
    <w:p>
      <w:pPr>
        <w:spacing w:after="0" w:line="360" w:lineRule="auto"/>
        <w:rPr>
          <w:color w:val="auto"/>
          <w:sz w:val="24"/>
          <w:szCs w:val="24"/>
        </w:rPr>
      </w:pPr>
      <w:r>
        <w:rPr>
          <w:rFonts w:hint="eastAsia"/>
          <w:b/>
          <w:bCs/>
          <w:color w:val="auto"/>
          <w:sz w:val="24"/>
          <w:szCs w:val="24"/>
        </w:rPr>
        <w:t xml:space="preserve">A.5.7 </w:t>
      </w:r>
      <w:r>
        <w:rPr>
          <w:rFonts w:hint="eastAsia"/>
          <w:color w:val="auto"/>
          <w:sz w:val="24"/>
          <w:szCs w:val="24"/>
        </w:rPr>
        <w:t>常温下长期荷载性能试验项目应符合表A.5.7的规定。</w:t>
      </w:r>
    </w:p>
    <w:p>
      <w:pPr>
        <w:spacing w:after="0" w:line="360" w:lineRule="auto"/>
        <w:jc w:val="center"/>
        <w:rPr>
          <w:rFonts w:hint="eastAsia"/>
          <w:b/>
          <w:bCs/>
          <w:color w:val="auto"/>
          <w:sz w:val="21"/>
          <w:szCs w:val="21"/>
        </w:rPr>
      </w:pPr>
      <w:r>
        <w:rPr>
          <w:rFonts w:hint="eastAsia"/>
          <w:b/>
          <w:bCs/>
          <w:color w:val="auto"/>
          <w:sz w:val="21"/>
          <w:szCs w:val="21"/>
        </w:rPr>
        <w:t>表A.5.7 常温下长期荷载性能试验项目</w:t>
      </w:r>
    </w:p>
    <w:tbl>
      <w:tblPr>
        <w:tblStyle w:val="27"/>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1277"/>
        <w:gridCol w:w="1422"/>
        <w:gridCol w:w="1462"/>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3" w:hRule="atLeast"/>
        </w:trPr>
        <w:tc>
          <w:tcPr>
            <w:tcW w:w="332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测试目的</w:t>
            </w:r>
          </w:p>
        </w:tc>
        <w:tc>
          <w:tcPr>
            <w:tcW w:w="127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强度等级</w:t>
            </w:r>
          </w:p>
        </w:tc>
        <w:tc>
          <w:tcPr>
            <w:tcW w:w="142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46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84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32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检验</w:t>
            </w:r>
            <w:r>
              <w:rPr>
                <w:rFonts w:hint="eastAsia"/>
                <w:color w:val="auto"/>
                <w:sz w:val="21"/>
                <w:szCs w:val="21"/>
              </w:rPr>
              <w:t>植筋系统在常温条件下长期持续荷载下的徐变性能</w:t>
            </w:r>
          </w:p>
        </w:tc>
        <w:tc>
          <w:tcPr>
            <w:tcW w:w="127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C25</w:t>
            </w:r>
          </w:p>
        </w:tc>
        <w:tc>
          <w:tcPr>
            <w:tcW w:w="142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12</w:t>
            </w:r>
          </w:p>
        </w:tc>
        <w:tc>
          <w:tcPr>
            <w:tcW w:w="146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10</w:t>
            </w:r>
            <w:r>
              <w:rPr>
                <w:i/>
                <w:iCs/>
                <w:color w:val="auto"/>
                <w:sz w:val="21"/>
                <w:szCs w:val="21"/>
              </w:rPr>
              <w:t>d</w:t>
            </w:r>
          </w:p>
        </w:tc>
        <w:tc>
          <w:tcPr>
            <w:tcW w:w="84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5</w:t>
            </w:r>
          </w:p>
        </w:tc>
      </w:tr>
    </w:tbl>
    <w:p>
      <w:pPr>
        <w:spacing w:after="0" w:line="360" w:lineRule="auto"/>
        <w:rPr>
          <w:color w:val="auto"/>
          <w:sz w:val="24"/>
          <w:szCs w:val="24"/>
        </w:rPr>
      </w:pPr>
      <w:r>
        <w:rPr>
          <w:rFonts w:hint="eastAsia"/>
          <w:b/>
          <w:bCs/>
          <w:color w:val="auto"/>
          <w:sz w:val="24"/>
          <w:szCs w:val="24"/>
        </w:rPr>
        <w:t xml:space="preserve">A.5.8 </w:t>
      </w:r>
      <w:r>
        <w:rPr>
          <w:rFonts w:hint="eastAsia"/>
          <w:color w:val="auto"/>
          <w:sz w:val="24"/>
          <w:szCs w:val="24"/>
        </w:rPr>
        <w:t>最高长期使用温度下长期荷载性能试验项目应符合表A.5.8的规定。</w:t>
      </w:r>
    </w:p>
    <w:p>
      <w:pPr>
        <w:spacing w:after="0" w:line="360" w:lineRule="auto"/>
        <w:jc w:val="center"/>
        <w:rPr>
          <w:rFonts w:hint="eastAsia"/>
          <w:b/>
          <w:bCs/>
          <w:color w:val="auto"/>
          <w:sz w:val="21"/>
          <w:szCs w:val="21"/>
        </w:rPr>
      </w:pPr>
      <w:r>
        <w:rPr>
          <w:rFonts w:hint="eastAsia"/>
          <w:b/>
          <w:bCs/>
          <w:color w:val="auto"/>
          <w:sz w:val="21"/>
          <w:szCs w:val="21"/>
        </w:rPr>
        <w:t>表A.5.8 最高长期使用温度下长期荷载性能试验项目</w:t>
      </w:r>
    </w:p>
    <w:tbl>
      <w:tblPr>
        <w:tblStyle w:val="27"/>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1316"/>
        <w:gridCol w:w="1440"/>
        <w:gridCol w:w="1260"/>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3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测试目的</w:t>
            </w:r>
          </w:p>
        </w:tc>
        <w:tc>
          <w:tcPr>
            <w:tcW w:w="1316"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强度等级</w:t>
            </w:r>
          </w:p>
        </w:tc>
        <w:tc>
          <w:tcPr>
            <w:tcW w:w="144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80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53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检验</w:t>
            </w:r>
            <w:r>
              <w:rPr>
                <w:rFonts w:hint="eastAsia"/>
                <w:color w:val="auto"/>
                <w:sz w:val="21"/>
                <w:szCs w:val="21"/>
              </w:rPr>
              <w:t>植筋系统在最高长期使用温度条件下长期持续荷载下的徐变性能</w:t>
            </w:r>
          </w:p>
        </w:tc>
        <w:tc>
          <w:tcPr>
            <w:tcW w:w="1316"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C25</w:t>
            </w:r>
          </w:p>
        </w:tc>
        <w:tc>
          <w:tcPr>
            <w:tcW w:w="144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12</w:t>
            </w: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10</w:t>
            </w:r>
            <w:r>
              <w:rPr>
                <w:i/>
                <w:iCs/>
                <w:color w:val="auto"/>
                <w:sz w:val="21"/>
                <w:szCs w:val="21"/>
              </w:rPr>
              <w:t>d</w:t>
            </w:r>
          </w:p>
        </w:tc>
        <w:tc>
          <w:tcPr>
            <w:tcW w:w="80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5</w:t>
            </w:r>
          </w:p>
        </w:tc>
      </w:tr>
    </w:tbl>
    <w:p>
      <w:pPr>
        <w:spacing w:after="0" w:line="360" w:lineRule="auto"/>
        <w:rPr>
          <w:color w:val="auto"/>
          <w:sz w:val="24"/>
          <w:szCs w:val="24"/>
        </w:rPr>
      </w:pPr>
      <w:r>
        <w:rPr>
          <w:rFonts w:hint="eastAsia"/>
          <w:b/>
          <w:bCs/>
          <w:color w:val="auto"/>
          <w:sz w:val="24"/>
          <w:szCs w:val="24"/>
        </w:rPr>
        <w:t>A.5.9</w:t>
      </w:r>
      <w:r>
        <w:rPr>
          <w:color w:val="auto"/>
          <w:sz w:val="24"/>
          <w:szCs w:val="24"/>
        </w:rPr>
        <w:t xml:space="preserve"> </w:t>
      </w:r>
      <w:r>
        <w:rPr>
          <w:rFonts w:hint="eastAsia"/>
          <w:color w:val="auto"/>
          <w:sz w:val="24"/>
          <w:szCs w:val="24"/>
        </w:rPr>
        <w:t>植筋抗震性能试验项目应符合表A.5.9的规定。</w:t>
      </w:r>
    </w:p>
    <w:p>
      <w:pPr>
        <w:spacing w:after="0" w:line="360" w:lineRule="auto"/>
        <w:jc w:val="center"/>
        <w:rPr>
          <w:rFonts w:hint="eastAsia"/>
          <w:b/>
          <w:bCs/>
          <w:color w:val="auto"/>
          <w:sz w:val="21"/>
          <w:szCs w:val="21"/>
        </w:rPr>
      </w:pPr>
      <w:r>
        <w:rPr>
          <w:rFonts w:hint="eastAsia"/>
          <w:b/>
          <w:bCs/>
          <w:color w:val="auto"/>
          <w:sz w:val="21"/>
          <w:szCs w:val="21"/>
        </w:rPr>
        <w:t xml:space="preserve">表A.5.9 植筋抗震性能试验项目 </w:t>
      </w:r>
    </w:p>
    <w:tbl>
      <w:tblPr>
        <w:tblStyle w:val="27"/>
        <w:tblW w:w="8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1343"/>
        <w:gridCol w:w="1481"/>
        <w:gridCol w:w="1320"/>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3258"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rFonts w:hint="eastAsia"/>
                <w:color w:val="auto"/>
                <w:sz w:val="21"/>
                <w:szCs w:val="21"/>
              </w:rPr>
              <w:t>测试目的</w:t>
            </w:r>
          </w:p>
        </w:tc>
        <w:tc>
          <w:tcPr>
            <w:tcW w:w="13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rFonts w:hint="eastAsia"/>
                <w:color w:val="auto"/>
                <w:sz w:val="21"/>
                <w:szCs w:val="21"/>
              </w:rPr>
              <w:t>强度等级</w:t>
            </w:r>
          </w:p>
        </w:tc>
        <w:tc>
          <w:tcPr>
            <w:tcW w:w="148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32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9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258" w:type="dxa"/>
            <w:vMerge w:val="restart"/>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rFonts w:hint="eastAsia"/>
                <w:color w:val="auto"/>
                <w:kern w:val="2"/>
                <w:sz w:val="21"/>
                <w:szCs w:val="21"/>
              </w:rPr>
              <w:t>检验、评估植筋系统承受地震作用时的锚固性能</w:t>
            </w:r>
          </w:p>
        </w:tc>
        <w:tc>
          <w:tcPr>
            <w:tcW w:w="13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C20</w:t>
            </w:r>
          </w:p>
        </w:tc>
        <w:tc>
          <w:tcPr>
            <w:tcW w:w="1481" w:type="dxa"/>
            <w:vMerge w:val="restart"/>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12</w:t>
            </w:r>
            <w:r>
              <w:rPr>
                <w:rFonts w:hint="eastAsia"/>
                <w:color w:val="auto"/>
                <w:kern w:val="2"/>
                <w:sz w:val="21"/>
                <w:szCs w:val="21"/>
              </w:rPr>
              <w:t>、</w:t>
            </w:r>
            <w:r>
              <w:rPr>
                <w:color w:val="auto"/>
                <w:kern w:val="2"/>
                <w:sz w:val="21"/>
                <w:szCs w:val="21"/>
              </w:rPr>
              <w:t>18</w:t>
            </w:r>
            <w:r>
              <w:rPr>
                <w:rFonts w:hint="eastAsia"/>
                <w:color w:val="auto"/>
                <w:kern w:val="2"/>
                <w:sz w:val="21"/>
                <w:szCs w:val="21"/>
              </w:rPr>
              <w:t>、</w:t>
            </w:r>
            <w:r>
              <w:rPr>
                <w:color w:val="auto"/>
                <w:kern w:val="2"/>
                <w:sz w:val="21"/>
                <w:szCs w:val="21"/>
              </w:rPr>
              <w:t>25</w:t>
            </w:r>
          </w:p>
        </w:tc>
        <w:tc>
          <w:tcPr>
            <w:tcW w:w="132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7</w:t>
            </w:r>
            <w:r>
              <w:rPr>
                <w:i/>
                <w:iCs/>
                <w:color w:val="auto"/>
                <w:sz w:val="21"/>
                <w:szCs w:val="21"/>
              </w:rPr>
              <w:t>d</w:t>
            </w:r>
          </w:p>
        </w:tc>
        <w:tc>
          <w:tcPr>
            <w:tcW w:w="9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58"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p>
        </w:tc>
        <w:tc>
          <w:tcPr>
            <w:tcW w:w="13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C60</w:t>
            </w:r>
          </w:p>
        </w:tc>
        <w:tc>
          <w:tcPr>
            <w:tcW w:w="1481"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p>
        </w:tc>
        <w:tc>
          <w:tcPr>
            <w:tcW w:w="132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7</w:t>
            </w:r>
            <w:r>
              <w:rPr>
                <w:i/>
                <w:iCs/>
                <w:color w:val="auto"/>
                <w:sz w:val="21"/>
                <w:szCs w:val="21"/>
              </w:rPr>
              <w:t>d</w:t>
            </w:r>
          </w:p>
        </w:tc>
        <w:tc>
          <w:tcPr>
            <w:tcW w:w="9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kern w:val="2"/>
                <w:sz w:val="21"/>
                <w:szCs w:val="21"/>
              </w:rPr>
            </w:pPr>
            <w:r>
              <w:rPr>
                <w:color w:val="auto"/>
                <w:kern w:val="2"/>
                <w:sz w:val="21"/>
                <w:szCs w:val="21"/>
              </w:rPr>
              <w:t>5</w:t>
            </w:r>
          </w:p>
        </w:tc>
      </w:tr>
    </w:tbl>
    <w:p>
      <w:pPr>
        <w:spacing w:after="0" w:line="360" w:lineRule="auto"/>
        <w:rPr>
          <w:color w:val="auto"/>
          <w:sz w:val="24"/>
          <w:szCs w:val="24"/>
        </w:rPr>
      </w:pPr>
      <w:r>
        <w:rPr>
          <w:rFonts w:hint="eastAsia"/>
          <w:b/>
          <w:bCs/>
          <w:color w:val="auto"/>
          <w:sz w:val="24"/>
          <w:szCs w:val="24"/>
        </w:rPr>
        <w:t xml:space="preserve">A.5.10 </w:t>
      </w:r>
      <w:r>
        <w:rPr>
          <w:rFonts w:hint="eastAsia"/>
          <w:color w:val="auto"/>
          <w:sz w:val="24"/>
          <w:szCs w:val="24"/>
        </w:rPr>
        <w:t>最高使用温度试验项目应符合表A.5.10的规定。</w:t>
      </w:r>
    </w:p>
    <w:p>
      <w:pPr>
        <w:spacing w:after="0" w:line="360" w:lineRule="auto"/>
        <w:jc w:val="center"/>
        <w:rPr>
          <w:rFonts w:hint="eastAsia"/>
          <w:b/>
          <w:bCs/>
          <w:color w:val="auto"/>
          <w:sz w:val="21"/>
          <w:szCs w:val="21"/>
        </w:rPr>
      </w:pPr>
      <w:r>
        <w:rPr>
          <w:rFonts w:hint="eastAsia"/>
          <w:b/>
          <w:bCs/>
          <w:color w:val="auto"/>
          <w:sz w:val="21"/>
          <w:szCs w:val="21"/>
        </w:rPr>
        <w:t>表A.5.10 最高使用温度试验项目</w:t>
      </w:r>
    </w:p>
    <w:tbl>
      <w:tblPr>
        <w:tblStyle w:val="27"/>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7"/>
        <w:gridCol w:w="1234"/>
        <w:gridCol w:w="1440"/>
        <w:gridCol w:w="1543"/>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329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测试目的</w:t>
            </w:r>
          </w:p>
        </w:tc>
        <w:tc>
          <w:tcPr>
            <w:tcW w:w="123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混凝土</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强度等级</w:t>
            </w:r>
          </w:p>
        </w:tc>
        <w:tc>
          <w:tcPr>
            <w:tcW w:w="144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钢筋直径</w:t>
            </w:r>
            <w:r>
              <w:rPr>
                <w:rFonts w:hint="eastAsia"/>
                <w:i/>
                <w:iCs/>
                <w:color w:val="auto"/>
                <w:sz w:val="21"/>
                <w:szCs w:val="21"/>
              </w:rPr>
              <w:t>d</w:t>
            </w:r>
            <w:r>
              <w:rPr>
                <w:i/>
                <w:iCs/>
                <w:color w:val="auto"/>
                <w:sz w:val="21"/>
                <w:szCs w:val="21"/>
              </w:rPr>
              <w:t xml:space="preserve"> </w:t>
            </w:r>
            <w:r>
              <w:rPr>
                <w:rFonts w:hint="eastAsia"/>
                <w:color w:val="auto"/>
                <w:sz w:val="21"/>
                <w:szCs w:val="21"/>
              </w:rPr>
              <w:t>（</w:t>
            </w:r>
            <w:r>
              <w:rPr>
                <w:color w:val="auto"/>
                <w:sz w:val="21"/>
                <w:szCs w:val="21"/>
              </w:rPr>
              <w:t>mm</w:t>
            </w:r>
            <w:r>
              <w:rPr>
                <w:rFonts w:hint="eastAsia"/>
                <w:color w:val="auto"/>
                <w:sz w:val="21"/>
                <w:szCs w:val="21"/>
              </w:rPr>
              <w:t>）</w:t>
            </w:r>
          </w:p>
        </w:tc>
        <w:tc>
          <w:tcPr>
            <w:tcW w:w="15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 xml:space="preserve">植筋长度 </w:t>
            </w:r>
            <w:r>
              <w:rPr>
                <w:i/>
                <w:iCs/>
                <w:color w:val="auto"/>
                <w:sz w:val="21"/>
                <w:szCs w:val="21"/>
              </w:rPr>
              <w:t>l</w:t>
            </w:r>
            <w:r>
              <w:rPr>
                <w:color w:val="auto"/>
                <w:sz w:val="21"/>
                <w:szCs w:val="21"/>
                <w:vertAlign w:val="subscript"/>
              </w:rPr>
              <w:t>v</w:t>
            </w:r>
            <w:r>
              <w:rPr>
                <w:rFonts w:hint="eastAsia"/>
                <w:color w:val="auto"/>
                <w:sz w:val="21"/>
                <w:szCs w:val="21"/>
              </w:rPr>
              <w:t>（</w:t>
            </w:r>
            <w:r>
              <w:rPr>
                <w:color w:val="auto"/>
                <w:sz w:val="21"/>
                <w:szCs w:val="21"/>
              </w:rPr>
              <w:t>mm</w:t>
            </w:r>
            <w:r>
              <w:rPr>
                <w:rFonts w:hint="eastAsia"/>
                <w:color w:val="auto"/>
                <w:sz w:val="21"/>
                <w:szCs w:val="21"/>
              </w:rPr>
              <w:t>）</w:t>
            </w:r>
          </w:p>
        </w:tc>
        <w:tc>
          <w:tcPr>
            <w:tcW w:w="74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rFonts w:hint="eastAsia"/>
                <w:color w:val="auto"/>
                <w:sz w:val="21"/>
                <w:szCs w:val="21"/>
              </w:rPr>
              <w:t>测试数量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3297"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检验</w:t>
            </w:r>
            <w:r>
              <w:rPr>
                <w:rFonts w:hint="eastAsia"/>
                <w:color w:val="auto"/>
                <w:sz w:val="21"/>
                <w:szCs w:val="21"/>
              </w:rPr>
              <w:t>植筋系统生产商规定的使用环境温度条件对植筋系统抗拉承载力的影响</w:t>
            </w:r>
          </w:p>
        </w:tc>
        <w:tc>
          <w:tcPr>
            <w:tcW w:w="123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C25</w:t>
            </w:r>
          </w:p>
        </w:tc>
        <w:tc>
          <w:tcPr>
            <w:tcW w:w="144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12</w:t>
            </w:r>
          </w:p>
        </w:tc>
        <w:tc>
          <w:tcPr>
            <w:tcW w:w="1543"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10</w:t>
            </w:r>
            <w:r>
              <w:rPr>
                <w:i/>
                <w:iCs/>
                <w:color w:val="auto"/>
                <w:sz w:val="21"/>
                <w:szCs w:val="21"/>
              </w:rPr>
              <w:t>d</w:t>
            </w:r>
          </w:p>
        </w:tc>
        <w:tc>
          <w:tcPr>
            <w:tcW w:w="74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color w:val="auto"/>
                <w:sz w:val="21"/>
                <w:szCs w:val="21"/>
              </w:rPr>
            </w:pPr>
            <w:r>
              <w:rPr>
                <w:color w:val="auto"/>
                <w:sz w:val="21"/>
                <w:szCs w:val="21"/>
              </w:rPr>
              <w:t>5</w:t>
            </w:r>
          </w:p>
        </w:tc>
      </w:tr>
    </w:tbl>
    <w:p>
      <w:pPr>
        <w:spacing w:after="0" w:line="360" w:lineRule="auto"/>
        <w:rPr>
          <w:color w:val="auto"/>
          <w:sz w:val="24"/>
          <w:szCs w:val="24"/>
        </w:rPr>
      </w:pPr>
      <w:r>
        <w:rPr>
          <w:rFonts w:hint="eastAsia"/>
          <w:b/>
          <w:bCs/>
          <w:color w:val="auto"/>
          <w:sz w:val="24"/>
          <w:szCs w:val="24"/>
        </w:rPr>
        <w:t>A.5.11</w:t>
      </w:r>
      <w:r>
        <w:rPr>
          <w:color w:val="auto"/>
          <w:sz w:val="24"/>
          <w:szCs w:val="24"/>
        </w:rPr>
        <w:t xml:space="preserve"> </w:t>
      </w:r>
      <w:r>
        <w:rPr>
          <w:rFonts w:hint="eastAsia"/>
          <w:color w:val="auto"/>
          <w:sz w:val="24"/>
          <w:szCs w:val="24"/>
        </w:rPr>
        <w:t>植筋系统各项试验中，植筋长度可适当折减，以避免发生钢筋屈服或拉断破坏，但在每一项试验所有的测试中应采用统一的折减系数。</w:t>
      </w:r>
    </w:p>
    <w:p>
      <w:pPr>
        <w:spacing w:after="0" w:line="360" w:lineRule="auto"/>
        <w:rPr>
          <w:color w:val="auto"/>
          <w:sz w:val="24"/>
          <w:szCs w:val="24"/>
        </w:rPr>
      </w:pPr>
      <w:r>
        <w:rPr>
          <w:rFonts w:hint="eastAsia"/>
          <w:b/>
          <w:bCs/>
          <w:color w:val="auto"/>
          <w:sz w:val="24"/>
          <w:szCs w:val="24"/>
        </w:rPr>
        <w:t xml:space="preserve">A.5.12 </w:t>
      </w:r>
      <w:r>
        <w:rPr>
          <w:rFonts w:hint="eastAsia"/>
          <w:color w:val="auto"/>
          <w:sz w:val="24"/>
          <w:szCs w:val="24"/>
        </w:rPr>
        <w:t>植筋系统试验的养护条件应为空气温度（23±2）℃，相对湿度（50±5）%。</w:t>
      </w:r>
      <w:r>
        <w:rPr>
          <w:rFonts w:hint="eastAsia"/>
          <w:bCs/>
          <w:color w:val="auto"/>
          <w:sz w:val="24"/>
          <w:szCs w:val="24"/>
        </w:rPr>
        <w:t xml:space="preserve">  </w:t>
      </w:r>
      <w:r>
        <w:br w:type="page"/>
      </w:r>
    </w:p>
    <w:p>
      <w:pPr>
        <w:pStyle w:val="4"/>
        <w:rPr>
          <w:rFonts w:ascii="Times New Roman" w:hAnsi="Times New Roman"/>
        </w:rPr>
      </w:pPr>
      <w:bookmarkStart w:id="70" w:name="_Toc3938"/>
      <w:r>
        <w:rPr>
          <w:rFonts w:hint="eastAsia" w:ascii="Times New Roman" w:hAnsi="Times New Roman"/>
        </w:rPr>
        <w:t>附录B  植筋基准试验方法及评估</w:t>
      </w:r>
      <w:bookmarkEnd w:id="70"/>
    </w:p>
    <w:p>
      <w:pPr>
        <w:pStyle w:val="5"/>
      </w:pPr>
      <w:bookmarkStart w:id="71" w:name="_Toc13298"/>
      <w:bookmarkStart w:id="72" w:name="_Toc23875"/>
      <w:bookmarkStart w:id="73" w:name="_Toc3269"/>
      <w:r>
        <w:rPr>
          <w:rFonts w:hint="eastAsia"/>
        </w:rPr>
        <w:t>B.1 基准试验流程</w:t>
      </w:r>
      <w:bookmarkEnd w:id="71"/>
      <w:bookmarkEnd w:id="72"/>
      <w:bookmarkEnd w:id="73"/>
    </w:p>
    <w:p>
      <w:pPr>
        <w:spacing w:after="0" w:line="360" w:lineRule="auto"/>
        <w:rPr>
          <w:color w:val="auto"/>
          <w:sz w:val="24"/>
          <w:szCs w:val="24"/>
        </w:rPr>
      </w:pPr>
      <w:r>
        <w:rPr>
          <w:rFonts w:hint="eastAsia"/>
          <w:b/>
          <w:bCs/>
          <w:color w:val="auto"/>
          <w:sz w:val="24"/>
          <w:szCs w:val="24"/>
        </w:rPr>
        <w:t>B.1.</w:t>
      </w:r>
      <w:r>
        <w:rPr>
          <w:b/>
          <w:bCs/>
          <w:color w:val="auto"/>
          <w:sz w:val="24"/>
          <w:szCs w:val="24"/>
        </w:rPr>
        <w:t>1</w:t>
      </w:r>
      <w:r>
        <w:rPr>
          <w:rFonts w:hint="eastAsia"/>
          <w:b/>
          <w:bCs/>
          <w:color w:val="auto"/>
          <w:sz w:val="24"/>
          <w:szCs w:val="24"/>
        </w:rPr>
        <w:t xml:space="preserve"> </w:t>
      </w:r>
      <w:r>
        <w:rPr>
          <w:rFonts w:hint="eastAsia"/>
          <w:color w:val="auto"/>
          <w:sz w:val="24"/>
          <w:szCs w:val="24"/>
        </w:rPr>
        <w:t>基准试验试样混凝土在完成养护后，应按</w:t>
      </w:r>
      <w:r>
        <w:rPr>
          <w:rFonts w:hint="eastAsia"/>
          <w:color w:val="auto"/>
          <w:sz w:val="24"/>
          <w:szCs w:val="24"/>
          <w:lang w:val="en-US" w:eastAsia="zh-CN"/>
        </w:rPr>
        <w:t>本规程</w:t>
      </w:r>
      <w:r>
        <w:rPr>
          <w:rFonts w:hint="eastAsia"/>
          <w:color w:val="auto"/>
          <w:sz w:val="24"/>
          <w:szCs w:val="24"/>
        </w:rPr>
        <w:t>附录A进行植筋安装；</w:t>
      </w:r>
      <w:r>
        <w:rPr>
          <w:rFonts w:hint="eastAsia"/>
          <w:color w:val="auto"/>
          <w:sz w:val="24"/>
          <w:szCs w:val="24"/>
          <w:lang w:val="en-US" w:eastAsia="zh-CN"/>
        </w:rPr>
        <w:t>当</w:t>
      </w:r>
      <w:r>
        <w:rPr>
          <w:rFonts w:hint="eastAsia"/>
          <w:color w:val="auto"/>
          <w:sz w:val="24"/>
          <w:szCs w:val="24"/>
        </w:rPr>
        <w:t>生产商允许采用任意钻孔方式安装植筋，则可只进行水钻钻孔条件下的试验，可不另外采用其它方式钻孔安装。</w:t>
      </w:r>
    </w:p>
    <w:p>
      <w:pPr>
        <w:pStyle w:val="2"/>
        <w:spacing w:after="0" w:line="360" w:lineRule="auto"/>
        <w:ind w:left="0" w:leftChars="0" w:firstLine="0" w:firstLineChars="0"/>
        <w:rPr>
          <w:i/>
          <w:iCs/>
          <w:color w:val="4472C4" w:themeColor="accent1"/>
          <w:sz w:val="24"/>
          <w:szCs w:val="24"/>
          <w14:textFill>
            <w14:solidFill>
              <w14:schemeClr w14:val="accent1"/>
            </w14:solidFill>
          </w14:textFill>
        </w:rPr>
      </w:pPr>
      <w:r>
        <w:rPr>
          <w:rFonts w:hint="eastAsia"/>
          <w:i/>
          <w:iCs/>
          <w:color w:val="4472C4" w:themeColor="accent1"/>
          <w:sz w:val="24"/>
          <w:szCs w:val="24"/>
          <w14:textFill>
            <w14:solidFill>
              <w14:schemeClr w14:val="accent1"/>
            </w14:solidFill>
          </w14:textFill>
        </w:rPr>
        <w:t>【条文说明】</w:t>
      </w:r>
      <w:r>
        <w:rPr>
          <w:rFonts w:hint="eastAsia"/>
          <w:b/>
          <w:bCs/>
          <w:i/>
          <w:iCs/>
          <w:color w:val="4472C4" w:themeColor="accent1"/>
          <w:sz w:val="24"/>
          <w:szCs w:val="24"/>
          <w14:textFill>
            <w14:solidFill>
              <w14:schemeClr w14:val="accent1"/>
            </w14:solidFill>
          </w14:textFill>
        </w:rPr>
        <w:t>B</w:t>
      </w:r>
      <w:r>
        <w:rPr>
          <w:b/>
          <w:bCs/>
          <w:i/>
          <w:iCs/>
          <w:color w:val="4472C4" w:themeColor="accent1"/>
          <w:sz w:val="24"/>
          <w:szCs w:val="24"/>
          <w14:textFill>
            <w14:solidFill>
              <w14:schemeClr w14:val="accent1"/>
            </w14:solidFill>
          </w14:textFill>
        </w:rPr>
        <w:t>.1.1</w:t>
      </w:r>
      <w:r>
        <w:rPr>
          <w:i/>
          <w:iCs/>
          <w:color w:val="4472C4" w:themeColor="accent1"/>
          <w:sz w:val="24"/>
          <w:szCs w:val="24"/>
          <w14:textFill>
            <w14:solidFill>
              <w14:schemeClr w14:val="accent1"/>
            </w14:solidFill>
          </w14:textFill>
        </w:rPr>
        <w:t xml:space="preserve"> </w:t>
      </w:r>
      <w:r>
        <w:rPr>
          <w:rFonts w:hint="eastAsia"/>
          <w:i/>
          <w:iCs/>
          <w:color w:val="4472C4" w:themeColor="accent1"/>
          <w:sz w:val="24"/>
          <w:szCs w:val="24"/>
          <w14:textFill>
            <w14:solidFill>
              <w14:schemeClr w14:val="accent1"/>
            </w14:solidFill>
          </w14:textFill>
        </w:rPr>
        <w:t>本规程允许植筋钻孔采用不同的钻孔方式，对于直径较大的钻孔，相对深度也会较深，采用传统锤击钻钻孔效率较低，这时可以考虑水钻钻孔。但是水钻钻孔通常孔壁光滑，这可能会对植筋的粘结强度有影响。因此，当生产商允许使用水钻钻孔时，应对其进行匹配的承载力测试。水钻钻孔可以被认为是最不利钻孔方式因为其孔壁较其它方式钻孔孔壁更光滑。这时可以只进行水钻钻孔条件下的植筋粘结强度测试，当然也可以根据不同的钻孔方式分别评估植筋的粘结强度。</w:t>
      </w:r>
    </w:p>
    <w:p>
      <w:pPr>
        <w:spacing w:after="0" w:line="360" w:lineRule="auto"/>
        <w:rPr>
          <w:bCs/>
          <w:color w:val="auto"/>
          <w:sz w:val="24"/>
          <w:szCs w:val="24"/>
        </w:rPr>
      </w:pPr>
      <w:r>
        <w:rPr>
          <w:rFonts w:hint="eastAsia"/>
          <w:b/>
          <w:bCs/>
          <w:color w:val="auto"/>
          <w:sz w:val="24"/>
          <w:szCs w:val="24"/>
        </w:rPr>
        <w:t>B.1.</w:t>
      </w:r>
      <w:r>
        <w:rPr>
          <w:b/>
          <w:bCs/>
          <w:color w:val="auto"/>
          <w:sz w:val="24"/>
          <w:szCs w:val="24"/>
        </w:rPr>
        <w:t>2</w:t>
      </w:r>
      <w:r>
        <w:rPr>
          <w:rFonts w:hint="eastAsia"/>
          <w:b/>
          <w:bCs/>
          <w:color w:val="auto"/>
          <w:sz w:val="24"/>
          <w:szCs w:val="24"/>
        </w:rPr>
        <w:t xml:space="preserve"> </w:t>
      </w:r>
      <w:r>
        <w:rPr>
          <w:rFonts w:hint="eastAsia"/>
          <w:color w:val="auto"/>
          <w:sz w:val="24"/>
          <w:szCs w:val="24"/>
        </w:rPr>
        <w:t>基准植筋试样应进行</w:t>
      </w:r>
      <w:r>
        <w:rPr>
          <w:bCs/>
          <w:color w:val="auto"/>
          <w:sz w:val="24"/>
          <w:szCs w:val="24"/>
        </w:rPr>
        <w:t>约束</w:t>
      </w:r>
      <w:r>
        <w:rPr>
          <w:rFonts w:hint="eastAsia"/>
          <w:bCs/>
          <w:color w:val="auto"/>
          <w:sz w:val="24"/>
          <w:szCs w:val="24"/>
        </w:rPr>
        <w:t>拉拔试验，试验应符合下列规定：</w:t>
      </w:r>
    </w:p>
    <w:p>
      <w:pPr>
        <w:spacing w:after="0" w:line="360" w:lineRule="auto"/>
        <w:ind w:firstLine="200"/>
        <w:rPr>
          <w:bCs/>
          <w:color w:val="auto"/>
          <w:sz w:val="24"/>
          <w:szCs w:val="24"/>
        </w:rPr>
      </w:pPr>
      <w:r>
        <w:rPr>
          <w:rFonts w:hint="eastAsia"/>
          <w:bCs/>
          <w:color w:val="auto"/>
          <w:sz w:val="24"/>
          <w:szCs w:val="24"/>
        </w:rPr>
        <w:tab/>
      </w:r>
      <w:r>
        <w:rPr>
          <w:rFonts w:hint="eastAsia"/>
          <w:bCs/>
          <w:color w:val="auto"/>
          <w:sz w:val="24"/>
          <w:szCs w:val="24"/>
        </w:rPr>
        <w:t>1 约束拉拔的试验装置可</w:t>
      </w:r>
      <w:r>
        <w:rPr>
          <w:rFonts w:hint="eastAsia"/>
          <w:bCs/>
          <w:color w:val="auto"/>
          <w:sz w:val="24"/>
          <w:szCs w:val="24"/>
          <w:lang w:val="en-US" w:eastAsia="zh-CN"/>
        </w:rPr>
        <w:t>按本规程</w:t>
      </w:r>
      <w:r>
        <w:rPr>
          <w:rFonts w:hint="eastAsia"/>
          <w:bCs/>
          <w:color w:val="auto"/>
          <w:sz w:val="24"/>
          <w:szCs w:val="24"/>
        </w:rPr>
        <w:t>附录A</w:t>
      </w:r>
      <w:r>
        <w:rPr>
          <w:rFonts w:hint="eastAsia"/>
          <w:bCs/>
          <w:color w:val="auto"/>
          <w:sz w:val="24"/>
          <w:szCs w:val="24"/>
          <w:lang w:val="en-US" w:eastAsia="zh-CN"/>
        </w:rPr>
        <w:t>采用</w:t>
      </w:r>
      <w:r>
        <w:rPr>
          <w:rFonts w:hint="eastAsia"/>
          <w:bCs/>
          <w:color w:val="auto"/>
          <w:sz w:val="24"/>
          <w:szCs w:val="24"/>
        </w:rPr>
        <w:t>。</w:t>
      </w:r>
    </w:p>
    <w:p>
      <w:pPr>
        <w:spacing w:after="0" w:line="360" w:lineRule="auto"/>
        <w:ind w:firstLine="420"/>
        <w:rPr>
          <w:bCs/>
          <w:color w:val="auto"/>
          <w:sz w:val="24"/>
          <w:szCs w:val="24"/>
        </w:rPr>
      </w:pPr>
      <w:r>
        <w:rPr>
          <w:rFonts w:hint="eastAsia"/>
          <w:bCs/>
          <w:color w:val="auto"/>
          <w:sz w:val="24"/>
          <w:szCs w:val="24"/>
        </w:rPr>
        <w:t>2 荷载方向应与植筋保持同轴，加载应当连续平稳，加载时间（从开始加载至荷载到达最大值，直到破坏的时间）宜为1~</w:t>
      </w:r>
      <w:r>
        <w:rPr>
          <w:bCs/>
          <w:color w:val="auto"/>
          <w:sz w:val="24"/>
          <w:szCs w:val="24"/>
        </w:rPr>
        <w:t>3</w:t>
      </w:r>
      <w:r>
        <w:rPr>
          <w:rFonts w:hint="eastAsia"/>
          <w:bCs/>
          <w:color w:val="auto"/>
          <w:sz w:val="24"/>
          <w:szCs w:val="24"/>
        </w:rPr>
        <w:t>min。应连续记录荷载和位移，荷载和位移数据记录频率宜为3</w:t>
      </w:r>
      <w:r>
        <w:rPr>
          <w:bCs/>
          <w:color w:val="auto"/>
          <w:sz w:val="24"/>
          <w:szCs w:val="24"/>
        </w:rPr>
        <w:t>H</w:t>
      </w:r>
      <w:r>
        <w:rPr>
          <w:rFonts w:hint="eastAsia"/>
          <w:bCs/>
          <w:color w:val="auto"/>
          <w:sz w:val="24"/>
          <w:szCs w:val="24"/>
        </w:rPr>
        <w:t>z</w:t>
      </w:r>
      <w:r>
        <w:rPr>
          <w:bCs/>
          <w:color w:val="auto"/>
          <w:sz w:val="24"/>
          <w:szCs w:val="24"/>
        </w:rPr>
        <w:t>~5Hz</w:t>
      </w:r>
      <w:r>
        <w:rPr>
          <w:rFonts w:hint="eastAsia"/>
          <w:bCs/>
          <w:color w:val="auto"/>
          <w:sz w:val="24"/>
          <w:szCs w:val="24"/>
        </w:rPr>
        <w:t>。</w:t>
      </w:r>
    </w:p>
    <w:p>
      <w:pPr>
        <w:spacing w:after="0" w:line="360" w:lineRule="auto"/>
        <w:ind w:firstLine="420"/>
        <w:rPr>
          <w:bCs/>
          <w:color w:val="auto"/>
          <w:sz w:val="24"/>
          <w:szCs w:val="24"/>
        </w:rPr>
      </w:pPr>
      <w:r>
        <w:rPr>
          <w:rFonts w:hint="eastAsia"/>
          <w:bCs/>
          <w:color w:val="auto"/>
          <w:sz w:val="24"/>
          <w:szCs w:val="24"/>
        </w:rPr>
        <w:t>3 加载方式可采用位移控制或力值控制。采用位移控制方式时，在荷载到达最大值后，还应继续测试直到荷载-位移曲线至少达到最大荷载值的7</w:t>
      </w:r>
      <w:r>
        <w:rPr>
          <w:bCs/>
          <w:color w:val="auto"/>
          <w:sz w:val="24"/>
          <w:szCs w:val="24"/>
        </w:rPr>
        <w:t>5</w:t>
      </w:r>
      <w:r>
        <w:rPr>
          <w:rFonts w:hint="eastAsia"/>
          <w:bCs/>
          <w:color w:val="auto"/>
          <w:sz w:val="24"/>
          <w:szCs w:val="24"/>
        </w:rPr>
        <w:t>%。</w:t>
      </w:r>
    </w:p>
    <w:p>
      <w:pPr>
        <w:spacing w:after="0" w:line="360" w:lineRule="auto"/>
        <w:ind w:firstLine="420"/>
        <w:rPr>
          <w:bCs/>
          <w:color w:val="auto"/>
          <w:sz w:val="24"/>
          <w:szCs w:val="24"/>
        </w:rPr>
      </w:pPr>
      <w:r>
        <w:rPr>
          <w:rFonts w:hint="eastAsia"/>
          <w:bCs/>
          <w:color w:val="auto"/>
          <w:sz w:val="24"/>
          <w:szCs w:val="24"/>
        </w:rPr>
        <w:t>4 植筋相对于混凝土表面的位移可采用1个位移计来记录钢筋端部的位移，也可采用2个位移计，从钢筋两侧距离钢筋不小于1</w:t>
      </w:r>
      <w:r>
        <w:rPr>
          <w:bCs/>
          <w:color w:val="auto"/>
          <w:sz w:val="24"/>
          <w:szCs w:val="24"/>
        </w:rPr>
        <w:t>.5</w:t>
      </w:r>
      <w:r>
        <w:rPr>
          <w:bCs/>
          <w:i/>
          <w:iCs/>
          <w:color w:val="auto"/>
          <w:sz w:val="24"/>
          <w:szCs w:val="24"/>
        </w:rPr>
        <w:t>l</w:t>
      </w:r>
      <w:r>
        <w:rPr>
          <w:bCs/>
          <w:color w:val="auto"/>
          <w:sz w:val="24"/>
          <w:szCs w:val="24"/>
          <w:vertAlign w:val="subscript"/>
        </w:rPr>
        <w:t>v</w:t>
      </w:r>
      <w:r>
        <w:rPr>
          <w:rFonts w:hint="eastAsia"/>
          <w:bCs/>
          <w:color w:val="auto"/>
          <w:sz w:val="24"/>
          <w:szCs w:val="24"/>
        </w:rPr>
        <w:t>的地方同时记录钢筋位移，并以它们的平均值作为钢筋的位移代表值。</w:t>
      </w:r>
    </w:p>
    <w:p>
      <w:pPr>
        <w:spacing w:after="0" w:line="360" w:lineRule="auto"/>
        <w:ind w:firstLine="420"/>
        <w:rPr>
          <w:bCs/>
          <w:color w:val="auto"/>
          <w:sz w:val="24"/>
          <w:szCs w:val="24"/>
        </w:rPr>
      </w:pPr>
      <w:r>
        <w:rPr>
          <w:rFonts w:hint="eastAsia"/>
          <w:bCs/>
          <w:color w:val="auto"/>
          <w:sz w:val="24"/>
          <w:szCs w:val="24"/>
        </w:rPr>
        <w:t>5 约束拉拔测试结束以后，应绘制荷载-位移曲线，记录破坏形式、裂缝宽度等。</w:t>
      </w:r>
    </w:p>
    <w:p>
      <w:pPr>
        <w:pStyle w:val="5"/>
      </w:pPr>
      <w:bookmarkStart w:id="74" w:name="_Toc23982"/>
      <w:bookmarkStart w:id="75" w:name="_Toc7207"/>
      <w:bookmarkStart w:id="76" w:name="_Toc27749"/>
      <w:r>
        <w:rPr>
          <w:rFonts w:hint="eastAsia"/>
        </w:rPr>
        <w:t>B.2 试验数据处理与评估</w:t>
      </w:r>
      <w:bookmarkEnd w:id="74"/>
      <w:bookmarkEnd w:id="75"/>
      <w:bookmarkEnd w:id="76"/>
    </w:p>
    <w:p>
      <w:pPr>
        <w:jc w:val="center"/>
        <w:rPr>
          <w:b/>
          <w:bCs/>
          <w:sz w:val="24"/>
          <w:szCs w:val="24"/>
        </w:rPr>
      </w:pPr>
      <w:r>
        <w:rPr>
          <w:rFonts w:hint="eastAsia"/>
          <w:b/>
          <w:bCs/>
          <w:color w:val="auto"/>
          <w:sz w:val="24"/>
          <w:szCs w:val="24"/>
        </w:rPr>
        <w:t>Ⅰ</w:t>
      </w:r>
      <w:r>
        <w:rPr>
          <w:rFonts w:hint="eastAsia"/>
          <w:b/>
          <w:bCs/>
          <w:sz w:val="24"/>
          <w:szCs w:val="24"/>
        </w:rPr>
        <w:t xml:space="preserve"> </w:t>
      </w:r>
      <w:r>
        <w:rPr>
          <w:rFonts w:hint="eastAsia"/>
          <w:b/>
          <w:bCs/>
          <w:color w:val="000000"/>
          <w:sz w:val="24"/>
          <w:szCs w:val="24"/>
        </w:rPr>
        <w:t>基准试验变异系数对应的折减系数</w:t>
      </w:r>
    </w:p>
    <w:p>
      <w:pPr>
        <w:spacing w:after="0" w:line="360" w:lineRule="auto"/>
        <w:rPr>
          <w:rFonts w:hint="eastAsia" w:ascii="Cambria Math" w:hAnsi="Cambria Math" w:eastAsia="宋体"/>
          <w:color w:val="auto"/>
          <w:sz w:val="24"/>
          <w:szCs w:val="24"/>
          <w:lang w:eastAsia="zh-CN"/>
        </w:rPr>
      </w:pPr>
      <w:r>
        <w:rPr>
          <w:rFonts w:hint="eastAsia"/>
          <w:b/>
          <w:bCs/>
          <w:color w:val="auto"/>
          <w:sz w:val="24"/>
          <w:szCs w:val="24"/>
        </w:rPr>
        <w:t>B.2.</w:t>
      </w:r>
      <w:r>
        <w:rPr>
          <w:b/>
          <w:bCs/>
          <w:color w:val="auto"/>
          <w:sz w:val="24"/>
          <w:szCs w:val="24"/>
        </w:rPr>
        <w:t>1</w:t>
      </w:r>
      <w:r>
        <w:rPr>
          <w:rFonts w:hint="eastAsia"/>
          <w:b/>
          <w:bCs/>
          <w:color w:val="auto"/>
          <w:sz w:val="24"/>
          <w:szCs w:val="24"/>
        </w:rPr>
        <w:t xml:space="preserve"> </w:t>
      </w:r>
      <w:r>
        <w:rPr>
          <w:rFonts w:hint="eastAsia"/>
          <w:bCs/>
          <w:color w:val="auto"/>
          <w:sz w:val="24"/>
          <w:szCs w:val="24"/>
        </w:rPr>
        <w:t>基准试验变异系数对应折减系数的计算可</w:t>
      </w:r>
      <w:r>
        <w:rPr>
          <w:rFonts w:hint="eastAsia"/>
          <w:bCs/>
          <w:color w:val="auto"/>
          <w:sz w:val="24"/>
          <w:szCs w:val="24"/>
          <w:lang w:val="en-US" w:eastAsia="zh-CN"/>
        </w:rPr>
        <w:t>按</w:t>
      </w:r>
      <w:r>
        <w:rPr>
          <w:rFonts w:hint="eastAsia" w:ascii="Cambria Math" w:hAnsi="Cambria Math"/>
          <w:color w:val="auto"/>
          <w:sz w:val="24"/>
          <w:szCs w:val="24"/>
        </w:rPr>
        <w:t>表B.2.1</w:t>
      </w:r>
      <w:r>
        <w:rPr>
          <w:rFonts w:hint="eastAsia" w:ascii="Cambria Math" w:hAnsi="Cambria Math"/>
          <w:color w:val="auto"/>
          <w:sz w:val="24"/>
          <w:szCs w:val="24"/>
          <w:lang w:val="en-US" w:eastAsia="zh-CN"/>
        </w:rPr>
        <w:t>执行</w:t>
      </w:r>
      <w:r>
        <w:rPr>
          <w:rFonts w:hint="eastAsia" w:ascii="Cambria Math" w:hAnsi="Cambria Math"/>
          <w:color w:val="auto"/>
          <w:sz w:val="24"/>
          <w:szCs w:val="24"/>
          <w:lang w:eastAsia="zh-CN"/>
        </w:rPr>
        <w:t>，</w:t>
      </w:r>
      <w:r>
        <w:rPr>
          <w:rFonts w:hint="eastAsia" w:ascii="Cambria Math" w:hAnsi="Cambria Math"/>
          <w:color w:val="auto"/>
          <w:sz w:val="24"/>
          <w:szCs w:val="24"/>
        </w:rPr>
        <w:t>计算流程应符合下列规定：</w:t>
      </w:r>
    </w:p>
    <w:p>
      <w:pPr>
        <w:ind w:firstLine="480" w:firstLineChars="200"/>
        <w:rPr>
          <w:color w:val="auto"/>
          <w:sz w:val="24"/>
          <w:szCs w:val="24"/>
        </w:rPr>
      </w:pPr>
      <w:r>
        <w:rPr>
          <w:rFonts w:hint="eastAsia"/>
          <w:bCs/>
          <w:color w:val="auto"/>
          <w:sz w:val="24"/>
          <w:szCs w:val="24"/>
        </w:rPr>
        <w:t>1 根据C</w:t>
      </w:r>
      <w:r>
        <w:rPr>
          <w:bCs/>
          <w:color w:val="auto"/>
          <w:sz w:val="24"/>
          <w:szCs w:val="24"/>
        </w:rPr>
        <w:t>25</w:t>
      </w:r>
      <w:r>
        <w:rPr>
          <w:rFonts w:hint="eastAsia"/>
          <w:bCs/>
          <w:color w:val="auto"/>
          <w:sz w:val="24"/>
          <w:szCs w:val="24"/>
        </w:rPr>
        <w:t>、C</w:t>
      </w:r>
      <w:r>
        <w:rPr>
          <w:bCs/>
          <w:color w:val="auto"/>
          <w:sz w:val="24"/>
          <w:szCs w:val="24"/>
        </w:rPr>
        <w:t>60</w:t>
      </w:r>
      <w:r>
        <w:rPr>
          <w:rFonts w:hint="eastAsia"/>
          <w:bCs/>
          <w:color w:val="auto"/>
          <w:sz w:val="24"/>
          <w:szCs w:val="24"/>
        </w:rPr>
        <w:t>基准试验条件下的极限荷载测试值，分别计算其变异系数</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r,c25, d12</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r,c25,d18</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r,c25,d25</m:t>
            </m:r>
            <m:ctrlPr>
              <w:rPr>
                <w:rFonts w:ascii="Cambria Math" w:hAnsi="Cambria Math"/>
                <w:i/>
                <w:color w:val="auto"/>
                <w:sz w:val="24"/>
                <w:szCs w:val="24"/>
              </w:rPr>
            </m:ctrlPr>
          </m:sub>
        </m:sSub>
      </m:oMath>
      <w:r>
        <w:rPr>
          <w:rFonts w:hint="eastAsia"/>
          <w:color w:val="auto"/>
          <w:sz w:val="24"/>
          <w:szCs w:val="24"/>
        </w:rPr>
        <w:t>和</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r,c60,d25</m:t>
            </m:r>
            <m:ctrlPr>
              <w:rPr>
                <w:rFonts w:ascii="Cambria Math" w:hAnsi="Cambria Math"/>
                <w:i/>
                <w:color w:val="auto"/>
                <w:sz w:val="24"/>
                <w:szCs w:val="24"/>
              </w:rPr>
            </m:ctrlPr>
          </m:sub>
        </m:sSub>
      </m:oMath>
      <w:r>
        <w:rPr>
          <w:rFonts w:hint="eastAsia"/>
          <w:color w:val="auto"/>
          <w:sz w:val="24"/>
          <w:szCs w:val="24"/>
        </w:rPr>
        <w:t>；</w:t>
      </w:r>
    </w:p>
    <w:p>
      <w:pPr>
        <w:ind w:firstLine="480" w:firstLineChars="200"/>
        <w:rPr>
          <w:rFonts w:ascii="Cambria Math" w:hAnsi="Cambria Math"/>
          <w:color w:val="auto"/>
          <w:sz w:val="24"/>
          <w:szCs w:val="24"/>
        </w:rPr>
      </w:pPr>
      <w:r>
        <w:rPr>
          <w:rFonts w:hint="eastAsia"/>
          <w:color w:val="auto"/>
          <w:sz w:val="24"/>
          <w:szCs w:val="24"/>
        </w:rPr>
        <w:t>2 按本规程第B.2.</w:t>
      </w:r>
      <w:r>
        <w:rPr>
          <w:color w:val="auto"/>
          <w:sz w:val="24"/>
          <w:szCs w:val="24"/>
        </w:rPr>
        <w:t>2</w:t>
      </w:r>
      <w:r>
        <w:rPr>
          <w:rFonts w:hint="eastAsia"/>
          <w:color w:val="auto"/>
          <w:sz w:val="24"/>
          <w:szCs w:val="24"/>
        </w:rPr>
        <w:t>条计算每组基准试验变异系数对应的折减系数</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cv,r,c25,d12</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cv,r,c25,d18</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cv,r,c25,d25</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cv,r,c60,d25</m:t>
            </m:r>
            <m:ctrlPr>
              <w:rPr>
                <w:rFonts w:ascii="Cambria Math" w:hAnsi="Cambria Math"/>
                <w:i/>
                <w:color w:val="auto"/>
                <w:sz w:val="24"/>
                <w:szCs w:val="24"/>
              </w:rPr>
            </m:ctrlPr>
          </m:sub>
        </m:sSub>
      </m:oMath>
      <w:r>
        <w:rPr>
          <w:rFonts w:hint="eastAsia" w:ascii="Cambria Math" w:hAnsi="Cambria Math"/>
          <w:color w:val="auto"/>
          <w:sz w:val="24"/>
          <w:szCs w:val="24"/>
        </w:rPr>
        <w:t>；</w:t>
      </w:r>
    </w:p>
    <w:p>
      <w:pPr>
        <w:pStyle w:val="2"/>
        <w:ind w:left="0" w:leftChars="0" w:firstLineChars="0"/>
      </w:pPr>
      <w:r>
        <w:rPr>
          <w:rFonts w:hint="eastAsia" w:ascii="Cambria Math" w:hAnsi="Cambria Math"/>
          <w:color w:val="auto"/>
          <w:sz w:val="24"/>
          <w:szCs w:val="24"/>
        </w:rPr>
        <w:t xml:space="preserve">3 </w:t>
      </w:r>
      <w:r>
        <w:rPr>
          <w:rFonts w:hint="eastAsia"/>
          <w:color w:val="auto"/>
          <w:sz w:val="24"/>
          <w:szCs w:val="24"/>
        </w:rPr>
        <w:t>按本规程第B.2.3条计算</w:t>
      </w:r>
      <w:r>
        <w:rPr>
          <w:rFonts w:hint="eastAsia" w:ascii="宋体" w:hAnsi="宋体" w:cs="宋体"/>
          <w:color w:val="auto"/>
          <w:sz w:val="24"/>
          <w:szCs w:val="24"/>
        </w:rPr>
        <w:t>基准试验变异系数对应的折减系数</w:t>
      </w:r>
      <w:r>
        <w:rPr>
          <w:rFonts w:hint="eastAsia" w:ascii="宋体" w:hAnsi="宋体" w:cs="宋体"/>
          <w:i/>
          <w:iCs/>
          <w:color w:val="auto"/>
          <w:sz w:val="24"/>
          <w:szCs w:val="24"/>
        </w:rPr>
        <w:t>β</w:t>
      </w:r>
      <w:r>
        <w:rPr>
          <w:rFonts w:hint="eastAsia" w:ascii="宋体" w:hAnsi="宋体" w:cs="宋体"/>
          <w:color w:val="auto"/>
          <w:sz w:val="24"/>
          <w:szCs w:val="24"/>
          <w:vertAlign w:val="subscript"/>
        </w:rPr>
        <w:t>cv,r。</w:t>
      </w:r>
    </w:p>
    <w:p>
      <w:pPr>
        <w:spacing w:after="0" w:line="360" w:lineRule="auto"/>
        <w:jc w:val="center"/>
        <w:rPr>
          <w:rFonts w:hint="eastAsia" w:eastAsia="宋体"/>
          <w:b/>
          <w:bCs/>
          <w:color w:val="auto"/>
          <w:sz w:val="21"/>
          <w:szCs w:val="21"/>
          <w:lang w:val="en-US" w:eastAsia="zh-CN"/>
        </w:rPr>
      </w:pPr>
      <w:r>
        <w:rPr>
          <w:rFonts w:hint="eastAsia"/>
          <w:b/>
          <w:bCs/>
          <w:color w:val="auto"/>
          <w:sz w:val="21"/>
          <w:szCs w:val="21"/>
        </w:rPr>
        <w:t>表B.2.1 基准试验变异系数对应折减系数的计算</w:t>
      </w:r>
    </w:p>
    <w:tbl>
      <w:tblPr>
        <w:tblStyle w:val="27"/>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260"/>
        <w:gridCol w:w="1931"/>
        <w:gridCol w:w="1393"/>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9"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混凝土强度</w:t>
            </w: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 xml:space="preserve">钢筋直径 </w:t>
            </w:r>
            <w:r>
              <w:rPr>
                <w:rFonts w:hint="eastAsia"/>
                <w:i/>
                <w:iCs/>
                <w:color w:val="auto"/>
                <w:kern w:val="2"/>
                <w:sz w:val="21"/>
                <w:szCs w:val="21"/>
              </w:rPr>
              <w:t>d</w:t>
            </w:r>
            <w:r>
              <w:rPr>
                <w:rFonts w:hint="eastAsia"/>
                <w:color w:val="auto"/>
                <w:kern w:val="2"/>
                <w:sz w:val="21"/>
                <w:szCs w:val="21"/>
              </w:rPr>
              <w:t xml:space="preserve"> （mm）</w:t>
            </w:r>
          </w:p>
        </w:tc>
        <w:tc>
          <w:tcPr>
            <w:tcW w:w="1931"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极限荷载测试值</w:t>
            </w:r>
          </w:p>
        </w:tc>
        <w:tc>
          <w:tcPr>
            <w:tcW w:w="1393"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对应的变异系数</w:t>
            </w:r>
          </w:p>
        </w:tc>
        <w:tc>
          <w:tcPr>
            <w:tcW w:w="2451"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每组基准试验变异系数对应的折减系数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09" w:type="dxa"/>
            <w:vMerge w:val="restart"/>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p>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r>
              <w:rPr>
                <w:color w:val="auto"/>
                <w:kern w:val="2"/>
                <w:sz w:val="21"/>
                <w:szCs w:val="21"/>
              </w:rPr>
              <w:t>C25</w:t>
            </w: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r>
              <w:rPr>
                <w:color w:val="auto"/>
                <w:kern w:val="2"/>
                <w:sz w:val="21"/>
                <w:szCs w:val="21"/>
              </w:rPr>
              <w:t>12</w:t>
            </w:r>
          </w:p>
        </w:tc>
        <w:tc>
          <w:tcPr>
            <w:tcW w:w="1931"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r,test,c25,d12-1</w:t>
            </w:r>
            <w:r>
              <w:rPr>
                <w:rFonts w:hint="eastAsia"/>
                <w:color w:val="auto"/>
                <w:kern w:val="2"/>
                <w:sz w:val="21"/>
                <w:szCs w:val="21"/>
                <w:vertAlign w:val="subscript"/>
              </w:rPr>
              <w:t xml:space="preserve"> </w:t>
            </w: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r,test,c25,d12-5</w:t>
            </w:r>
          </w:p>
        </w:tc>
        <w:tc>
          <w:tcPr>
            <w:tcW w:w="1393"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ѵ</m:t>
                    </m:r>
                    <m:ctrlPr>
                      <w:rPr>
                        <w:rFonts w:ascii="Cambria Math" w:hAnsi="Cambria Math"/>
                        <w:i/>
                        <w:color w:val="auto"/>
                        <w:sz w:val="21"/>
                        <w:szCs w:val="21"/>
                      </w:rPr>
                    </m:ctrlPr>
                  </m:e>
                  <m:sub>
                    <m:r>
                      <m:rPr/>
                      <w:rPr>
                        <w:rFonts w:ascii="Cambria Math" w:hAnsi="Cambria Math"/>
                        <w:color w:val="auto"/>
                        <w:sz w:val="21"/>
                        <w:szCs w:val="21"/>
                      </w:rPr>
                      <m:t>r,c25, d12</m:t>
                    </m:r>
                    <m:ctrlPr>
                      <w:rPr>
                        <w:rFonts w:ascii="Cambria Math" w:hAnsi="Cambria Math"/>
                        <w:i/>
                        <w:color w:val="auto"/>
                        <w:sz w:val="21"/>
                        <w:szCs w:val="21"/>
                      </w:rPr>
                    </m:ctrlPr>
                  </m:sub>
                </m:sSub>
              </m:oMath>
            </m:oMathPara>
          </w:p>
        </w:tc>
        <w:tc>
          <w:tcPr>
            <w:tcW w:w="2451" w:type="dxa"/>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β</m:t>
                    </m:r>
                    <m:ctrlPr>
                      <w:rPr>
                        <w:rFonts w:ascii="Cambria Math" w:hAnsi="Cambria Math"/>
                        <w:i/>
                        <w:color w:val="auto"/>
                        <w:sz w:val="21"/>
                        <w:szCs w:val="21"/>
                      </w:rPr>
                    </m:ctrlPr>
                  </m:e>
                  <m:sub>
                    <m:r>
                      <m:rPr/>
                      <w:rPr>
                        <w:rFonts w:ascii="Cambria Math" w:hAnsi="Cambria Math"/>
                        <w:color w:val="auto"/>
                        <w:sz w:val="21"/>
                        <w:szCs w:val="21"/>
                      </w:rPr>
                      <m:t>cv,r,c25,d12</m:t>
                    </m:r>
                    <m:ctrlPr>
                      <w:rPr>
                        <w:rFonts w:ascii="Cambria Math" w:hAnsi="Cambria Math"/>
                        <w:i/>
                        <w:color w:val="auto"/>
                        <w:sz w:val="21"/>
                        <w:szCs w:val="21"/>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9" w:type="dxa"/>
            <w:vMerge w:val="continue"/>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r>
              <w:rPr>
                <w:color w:val="auto"/>
                <w:kern w:val="2"/>
                <w:sz w:val="21"/>
                <w:szCs w:val="21"/>
              </w:rPr>
              <w:t>18</w:t>
            </w:r>
          </w:p>
        </w:tc>
        <w:tc>
          <w:tcPr>
            <w:tcW w:w="1931"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 test,c25,d18</w:t>
            </w:r>
            <w:r>
              <w:rPr>
                <w:rFonts w:hint="eastAsia"/>
                <w:color w:val="auto"/>
                <w:kern w:val="2"/>
                <w:sz w:val="21"/>
                <w:szCs w:val="21"/>
                <w:vertAlign w:val="subscript"/>
              </w:rPr>
              <w:t>-</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color w:val="auto"/>
                <w:kern w:val="2"/>
                <w:sz w:val="21"/>
                <w:szCs w:val="21"/>
                <w:vertAlign w:val="subscript"/>
              </w:rPr>
              <w:t xml:space="preserve"> </w:t>
            </w: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r,test,c25,d18-5</w:t>
            </w:r>
          </w:p>
        </w:tc>
        <w:tc>
          <w:tcPr>
            <w:tcW w:w="1393"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ѵ</m:t>
                    </m:r>
                    <m:ctrlPr>
                      <w:rPr>
                        <w:rFonts w:ascii="Cambria Math" w:hAnsi="Cambria Math"/>
                        <w:i/>
                        <w:color w:val="auto"/>
                        <w:sz w:val="21"/>
                        <w:szCs w:val="21"/>
                      </w:rPr>
                    </m:ctrlPr>
                  </m:e>
                  <m:sub>
                    <m:r>
                      <m:rPr/>
                      <w:rPr>
                        <w:rFonts w:ascii="Cambria Math" w:hAnsi="Cambria Math"/>
                        <w:color w:val="auto"/>
                        <w:sz w:val="21"/>
                        <w:szCs w:val="21"/>
                      </w:rPr>
                      <m:t>r,c25, d18</m:t>
                    </m:r>
                    <m:ctrlPr>
                      <w:rPr>
                        <w:rFonts w:ascii="Cambria Math" w:hAnsi="Cambria Math"/>
                        <w:i/>
                        <w:color w:val="auto"/>
                        <w:sz w:val="21"/>
                        <w:szCs w:val="21"/>
                      </w:rPr>
                    </m:ctrlPr>
                  </m:sub>
                </m:sSub>
              </m:oMath>
            </m:oMathPara>
          </w:p>
        </w:tc>
        <w:tc>
          <w:tcPr>
            <w:tcW w:w="2451" w:type="dxa"/>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β</m:t>
                    </m:r>
                    <m:ctrlPr>
                      <w:rPr>
                        <w:rFonts w:ascii="Cambria Math" w:hAnsi="Cambria Math"/>
                        <w:i/>
                        <w:color w:val="auto"/>
                        <w:sz w:val="21"/>
                        <w:szCs w:val="21"/>
                      </w:rPr>
                    </m:ctrlPr>
                  </m:e>
                  <m:sub>
                    <m:r>
                      <m:rPr/>
                      <w:rPr>
                        <w:rFonts w:ascii="Cambria Math" w:hAnsi="Cambria Math"/>
                        <w:color w:val="auto"/>
                        <w:sz w:val="21"/>
                        <w:szCs w:val="21"/>
                      </w:rPr>
                      <m:t>cv,r,c25,d18</m:t>
                    </m:r>
                    <m:ctrlPr>
                      <w:rPr>
                        <w:rFonts w:ascii="Cambria Math" w:hAnsi="Cambria Math"/>
                        <w:i/>
                        <w:color w:val="auto"/>
                        <w:sz w:val="21"/>
                        <w:szCs w:val="21"/>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9" w:type="dxa"/>
            <w:vMerge w:val="continue"/>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r>
              <w:rPr>
                <w:color w:val="auto"/>
                <w:kern w:val="2"/>
                <w:sz w:val="21"/>
                <w:szCs w:val="21"/>
              </w:rPr>
              <w:t>25</w:t>
            </w:r>
          </w:p>
        </w:tc>
        <w:tc>
          <w:tcPr>
            <w:tcW w:w="1931"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 test,c25,d25-1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vertAlign w:val="subscript"/>
              </w:rPr>
              <w:t xml:space="preserve"> </w:t>
            </w: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r,test,c25,d25-5</w:t>
            </w:r>
          </w:p>
        </w:tc>
        <w:tc>
          <w:tcPr>
            <w:tcW w:w="1393"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ѵ</m:t>
                    </m:r>
                    <m:ctrlPr>
                      <w:rPr>
                        <w:rFonts w:ascii="Cambria Math" w:hAnsi="Cambria Math"/>
                        <w:i/>
                        <w:color w:val="auto"/>
                        <w:sz w:val="21"/>
                        <w:szCs w:val="21"/>
                      </w:rPr>
                    </m:ctrlPr>
                  </m:e>
                  <m:sub>
                    <m:r>
                      <m:rPr/>
                      <w:rPr>
                        <w:rFonts w:ascii="Cambria Math" w:hAnsi="Cambria Math"/>
                        <w:color w:val="auto"/>
                        <w:sz w:val="21"/>
                        <w:szCs w:val="21"/>
                      </w:rPr>
                      <m:t>r,c25, d25</m:t>
                    </m:r>
                    <m:ctrlPr>
                      <w:rPr>
                        <w:rFonts w:ascii="Cambria Math" w:hAnsi="Cambria Math"/>
                        <w:i/>
                        <w:color w:val="auto"/>
                        <w:sz w:val="21"/>
                        <w:szCs w:val="21"/>
                      </w:rPr>
                    </m:ctrlPr>
                  </m:sub>
                </m:sSub>
              </m:oMath>
            </m:oMathPara>
          </w:p>
        </w:tc>
        <w:tc>
          <w:tcPr>
            <w:tcW w:w="2451" w:type="dxa"/>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β</m:t>
                    </m:r>
                    <m:ctrlPr>
                      <w:rPr>
                        <w:rFonts w:ascii="Cambria Math" w:hAnsi="Cambria Math"/>
                        <w:i/>
                        <w:color w:val="auto"/>
                        <w:sz w:val="21"/>
                        <w:szCs w:val="21"/>
                      </w:rPr>
                    </m:ctrlPr>
                  </m:e>
                  <m:sub>
                    <m:r>
                      <m:rPr/>
                      <w:rPr>
                        <w:rFonts w:ascii="Cambria Math" w:hAnsi="Cambria Math"/>
                        <w:color w:val="auto"/>
                        <w:sz w:val="21"/>
                        <w:szCs w:val="21"/>
                      </w:rPr>
                      <m:t>cv,r,c25,d25</m:t>
                    </m:r>
                    <m:ctrlPr>
                      <w:rPr>
                        <w:rFonts w:ascii="Cambria Math" w:hAnsi="Cambria Math"/>
                        <w:i/>
                        <w:color w:val="auto"/>
                        <w:sz w:val="21"/>
                        <w:szCs w:val="21"/>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9"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r>
              <w:rPr>
                <w:rFonts w:hint="eastAsia"/>
                <w:color w:val="auto"/>
                <w:kern w:val="2"/>
                <w:sz w:val="21"/>
                <w:szCs w:val="21"/>
              </w:rPr>
              <w:t>C</w:t>
            </w:r>
            <w:r>
              <w:rPr>
                <w:color w:val="auto"/>
                <w:kern w:val="2"/>
                <w:sz w:val="21"/>
                <w:szCs w:val="21"/>
              </w:rPr>
              <w:t>60</w:t>
            </w:r>
          </w:p>
        </w:tc>
        <w:tc>
          <w:tcPr>
            <w:tcW w:w="1260"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w:r>
              <w:rPr>
                <w:color w:val="auto"/>
                <w:kern w:val="2"/>
                <w:sz w:val="21"/>
                <w:szCs w:val="21"/>
              </w:rPr>
              <w:t>25</w:t>
            </w:r>
          </w:p>
        </w:tc>
        <w:tc>
          <w:tcPr>
            <w:tcW w:w="1931"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r,test,c60,d25-1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r,test,c60,d25-5</w:t>
            </w:r>
          </w:p>
        </w:tc>
        <w:tc>
          <w:tcPr>
            <w:tcW w:w="1393" w:type="dxa"/>
            <w:shd w:val="clear" w:color="auto" w:fill="auto"/>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kern w:val="2"/>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ѵ</m:t>
                    </m:r>
                    <m:ctrlPr>
                      <w:rPr>
                        <w:rFonts w:ascii="Cambria Math" w:hAnsi="Cambria Math"/>
                        <w:i/>
                        <w:color w:val="auto"/>
                        <w:sz w:val="21"/>
                        <w:szCs w:val="21"/>
                      </w:rPr>
                    </m:ctrlPr>
                  </m:e>
                  <m:sub>
                    <m:r>
                      <m:rPr/>
                      <w:rPr>
                        <w:rFonts w:ascii="Cambria Math" w:hAnsi="Cambria Math"/>
                        <w:color w:val="auto"/>
                        <w:sz w:val="21"/>
                        <w:szCs w:val="21"/>
                      </w:rPr>
                      <m:t>r,c60, d25</m:t>
                    </m:r>
                    <m:ctrlPr>
                      <w:rPr>
                        <w:rFonts w:ascii="Cambria Math" w:hAnsi="Cambria Math"/>
                        <w:i/>
                        <w:color w:val="auto"/>
                        <w:sz w:val="21"/>
                        <w:szCs w:val="21"/>
                      </w:rPr>
                    </m:ctrlPr>
                  </m:sub>
                </m:sSub>
              </m:oMath>
            </m:oMathPara>
          </w:p>
        </w:tc>
        <w:tc>
          <w:tcPr>
            <w:tcW w:w="2451" w:type="dxa"/>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color w:val="auto"/>
                <w:sz w:val="21"/>
                <w:szCs w:val="21"/>
              </w:rPr>
            </w:pPr>
            <m:oMathPara>
              <m:oMath>
                <m:sSub>
                  <m:sSubPr>
                    <m:ctrlPr>
                      <w:rPr>
                        <w:rFonts w:ascii="Cambria Math" w:hAnsi="Cambria Math"/>
                        <w:i/>
                        <w:color w:val="auto"/>
                        <w:sz w:val="21"/>
                        <w:szCs w:val="21"/>
                      </w:rPr>
                    </m:ctrlPr>
                  </m:sSubPr>
                  <m:e>
                    <m:r>
                      <m:rPr/>
                      <w:rPr>
                        <w:rFonts w:ascii="Cambria Math" w:hAnsi="Cambria Math"/>
                        <w:color w:val="auto"/>
                        <w:sz w:val="21"/>
                        <w:szCs w:val="21"/>
                      </w:rPr>
                      <m:t>β</m:t>
                    </m:r>
                    <m:ctrlPr>
                      <w:rPr>
                        <w:rFonts w:ascii="Cambria Math" w:hAnsi="Cambria Math"/>
                        <w:i/>
                        <w:color w:val="auto"/>
                        <w:sz w:val="21"/>
                        <w:szCs w:val="21"/>
                      </w:rPr>
                    </m:ctrlPr>
                  </m:e>
                  <m:sub>
                    <m:r>
                      <m:rPr/>
                      <w:rPr>
                        <w:rFonts w:ascii="Cambria Math" w:hAnsi="Cambria Math"/>
                        <w:color w:val="auto"/>
                        <w:sz w:val="21"/>
                        <w:szCs w:val="21"/>
                      </w:rPr>
                      <m:t>cv,r,c60,d25</m:t>
                    </m:r>
                    <m:ctrlPr>
                      <w:rPr>
                        <w:rFonts w:ascii="Cambria Math" w:hAnsi="Cambria Math"/>
                        <w:i/>
                        <w:color w:val="auto"/>
                        <w:sz w:val="21"/>
                        <w:szCs w:val="21"/>
                      </w:rPr>
                    </m:ctrlPr>
                  </m:sub>
                </m:sSub>
              </m:oMath>
            </m:oMathPara>
          </w:p>
        </w:tc>
      </w:tr>
    </w:tbl>
    <w:p>
      <w:pPr>
        <w:rPr>
          <w:color w:val="auto"/>
          <w:sz w:val="24"/>
          <w:szCs w:val="24"/>
        </w:rPr>
      </w:pPr>
      <w:r>
        <w:rPr>
          <w:rFonts w:hint="eastAsia"/>
          <w:b/>
          <w:bCs/>
          <w:color w:val="auto"/>
          <w:sz w:val="24"/>
          <w:szCs w:val="24"/>
        </w:rPr>
        <w:t>B.2.</w:t>
      </w:r>
      <w:r>
        <w:rPr>
          <w:b/>
          <w:bCs/>
          <w:color w:val="auto"/>
          <w:sz w:val="24"/>
          <w:szCs w:val="24"/>
        </w:rPr>
        <w:t>2</w:t>
      </w:r>
      <w:r>
        <w:rPr>
          <w:color w:val="auto"/>
          <w:sz w:val="24"/>
          <w:szCs w:val="24"/>
        </w:rPr>
        <w:t xml:space="preserve"> </w:t>
      </w:r>
      <w:r>
        <w:rPr>
          <w:rFonts w:hint="eastAsia"/>
          <w:color w:val="auto"/>
          <w:sz w:val="24"/>
          <w:szCs w:val="24"/>
        </w:rPr>
        <w:t>变异系数对应的折减系数</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w:rPr>
                <w:rFonts w:ascii="Cambria Math" w:hAnsi="Cambria Math"/>
                <w:color w:val="auto"/>
                <w:sz w:val="24"/>
                <w:szCs w:val="24"/>
              </w:rPr>
              <m:t>cv,r,c25,d12</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w:rPr>
                <w:rFonts w:ascii="Cambria Math" w:hAnsi="Cambria Math"/>
                <w:color w:val="auto"/>
                <w:sz w:val="24"/>
                <w:szCs w:val="24"/>
              </w:rPr>
              <m:t>cv,r,c25,d18</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w:rPr>
                <w:rFonts w:ascii="Cambria Math" w:hAnsi="Cambria Math"/>
                <w:color w:val="auto"/>
                <w:sz w:val="24"/>
                <w:szCs w:val="24"/>
              </w:rPr>
              <m:t>cv,r,c25,d25</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w:rPr>
                <w:rFonts w:ascii="Cambria Math" w:hAnsi="Cambria Math"/>
                <w:color w:val="auto"/>
                <w:sz w:val="24"/>
                <w:szCs w:val="24"/>
              </w:rPr>
              <m:t>cv,r,c60,d25</m:t>
            </m:r>
            <m:ctrlPr>
              <w:rPr>
                <w:rFonts w:ascii="Cambria Math" w:hAnsi="Cambria Math"/>
                <w:i/>
                <w:color w:val="auto"/>
                <w:sz w:val="24"/>
                <w:szCs w:val="24"/>
              </w:rPr>
            </m:ctrlPr>
          </m:sub>
        </m:sSub>
      </m:oMath>
      <w:r>
        <w:rPr>
          <w:rFonts w:hint="eastAsia" w:ascii="Cambria Math" w:hAnsi="Cambria Math"/>
          <w:color w:val="auto"/>
          <w:sz w:val="24"/>
          <w:szCs w:val="24"/>
        </w:rPr>
        <w:t>，应符合下列规定</w:t>
      </w:r>
      <w:r>
        <w:rPr>
          <w:rFonts w:hint="eastAsia"/>
          <w:color w:val="auto"/>
          <w:sz w:val="24"/>
          <w:szCs w:val="24"/>
        </w:rPr>
        <w:t>。</w:t>
      </w:r>
    </w:p>
    <w:p>
      <w:pPr>
        <w:rPr>
          <w:color w:val="auto"/>
          <w:sz w:val="24"/>
          <w:szCs w:val="24"/>
        </w:rPr>
      </w:pPr>
      <w:r>
        <w:rPr>
          <w:color w:val="auto"/>
          <w:sz w:val="24"/>
          <w:szCs w:val="24"/>
        </w:rPr>
        <w:t xml:space="preserve">    1</w:t>
      </w:r>
      <w:r>
        <w:rPr>
          <w:rFonts w:hint="eastAsia"/>
          <w:color w:val="auto"/>
          <w:sz w:val="24"/>
          <w:szCs w:val="24"/>
        </w:rPr>
        <w:t xml:space="preserve"> </w:t>
      </w:r>
      <w:r>
        <w:rPr>
          <w:rFonts w:hint="eastAsia"/>
          <w:color w:val="auto"/>
          <w:sz w:val="24"/>
          <w:szCs w:val="24"/>
          <w:lang w:val="en-US" w:eastAsia="zh-CN"/>
        </w:rPr>
        <w:t>当</w:t>
      </w:r>
      <w:r>
        <w:rPr>
          <w:rFonts w:hint="eastAsia"/>
          <w:color w:val="auto"/>
          <w:sz w:val="24"/>
          <w:szCs w:val="24"/>
        </w:rPr>
        <w:t>变异系数</w:t>
      </w:r>
      <w:r>
        <w:rPr>
          <w:rFonts w:hint="eastAsia"/>
          <w:color w:val="auto"/>
          <w:sz w:val="24"/>
          <w:szCs w:val="24"/>
          <w:lang w:val="en-US" w:eastAsia="zh-CN"/>
        </w:rPr>
        <w:t>不大于</w:t>
      </w:r>
      <w:r>
        <w:rPr>
          <w:color w:val="auto"/>
          <w:sz w:val="24"/>
          <w:szCs w:val="24"/>
        </w:rPr>
        <w:t>15%</w:t>
      </w:r>
      <w:r>
        <w:rPr>
          <w:rFonts w:hint="eastAsia"/>
          <w:color w:val="auto"/>
          <w:sz w:val="24"/>
          <w:szCs w:val="24"/>
          <w:lang w:val="en-US" w:eastAsia="zh-CN"/>
        </w:rPr>
        <w:t>时</w:t>
      </w:r>
      <w:r>
        <w:rPr>
          <w:rFonts w:hint="eastAsia"/>
          <w:color w:val="auto"/>
          <w:sz w:val="24"/>
          <w:szCs w:val="24"/>
        </w:rPr>
        <w:t>，对应折减系数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m:t>
            </m:r>
            <m:r>
              <m:rPr/>
              <w:rPr>
                <w:rFonts w:hint="eastAsia" w:ascii="Cambria Math" w:hAnsi="Cambria Math"/>
                <w:color w:val="000000" w:themeColor="text1"/>
                <w:sz w:val="24"/>
                <w:szCs w:val="24"/>
                <w14:textFill>
                  <w14:solidFill>
                    <w14:schemeClr w14:val="tx1"/>
                  </w14:solidFill>
                </w14:textFill>
              </w:rPr>
              <m:t>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auto"/>
          <w:sz w:val="24"/>
          <w:szCs w:val="24"/>
        </w:rPr>
        <w:t>应</w:t>
      </w:r>
      <w:r>
        <w:rPr>
          <w:rFonts w:hint="eastAsia"/>
          <w:color w:val="auto"/>
          <w:sz w:val="24"/>
          <w:szCs w:val="24"/>
        </w:rPr>
        <w:t>取为1</w:t>
      </w:r>
      <w:r>
        <w:rPr>
          <w:color w:val="auto"/>
          <w:sz w:val="24"/>
          <w:szCs w:val="24"/>
        </w:rPr>
        <w:t>.0</w:t>
      </w:r>
      <w:r>
        <w:rPr>
          <w:rFonts w:hint="eastAsia"/>
          <w:color w:val="auto"/>
          <w:sz w:val="24"/>
          <w:szCs w:val="24"/>
        </w:rPr>
        <w:t>；</w:t>
      </w:r>
    </w:p>
    <w:p>
      <w:pPr>
        <w:ind w:firstLine="240" w:firstLineChars="100"/>
        <w:rPr>
          <w:color w:val="auto"/>
          <w:sz w:val="24"/>
          <w:szCs w:val="24"/>
        </w:rPr>
      </w:pPr>
      <w:r>
        <w:rPr>
          <w:color w:val="auto"/>
          <w:sz w:val="24"/>
          <w:szCs w:val="24"/>
        </w:rPr>
        <w:t>2</w:t>
      </w:r>
      <w:r>
        <w:rPr>
          <w:rFonts w:hint="eastAsia"/>
          <w:color w:val="auto"/>
          <w:sz w:val="24"/>
          <w:szCs w:val="24"/>
        </w:rPr>
        <w:t xml:space="preserve"> </w:t>
      </w:r>
      <w:r>
        <w:rPr>
          <w:rFonts w:hint="eastAsia"/>
          <w:color w:val="auto"/>
          <w:sz w:val="24"/>
          <w:szCs w:val="24"/>
          <w:lang w:val="en-US" w:eastAsia="zh-CN"/>
        </w:rPr>
        <w:t>当</w:t>
      </w:r>
      <w:r>
        <w:rPr>
          <w:rFonts w:hint="eastAsia"/>
          <w:color w:val="auto"/>
          <w:sz w:val="24"/>
          <w:szCs w:val="24"/>
        </w:rPr>
        <w:t>变异系数</w:t>
      </w:r>
      <w:r>
        <w:rPr>
          <w:rFonts w:hint="eastAsia"/>
          <w:color w:val="auto"/>
          <w:sz w:val="24"/>
          <w:szCs w:val="24"/>
          <w:lang w:val="en-US" w:eastAsia="zh-CN"/>
        </w:rPr>
        <w:t>大于</w:t>
      </w:r>
      <w:r>
        <w:rPr>
          <w:color w:val="auto"/>
          <w:sz w:val="24"/>
          <w:szCs w:val="24"/>
        </w:rPr>
        <w:t>15%</w:t>
      </w:r>
      <w:r>
        <w:rPr>
          <w:rFonts w:hint="eastAsia"/>
          <w:color w:val="auto"/>
          <w:sz w:val="24"/>
          <w:szCs w:val="24"/>
          <w:lang w:val="en-US" w:eastAsia="zh-CN"/>
        </w:rPr>
        <w:t>且不大于</w:t>
      </w:r>
      <w:r>
        <w:rPr>
          <w:color w:val="auto"/>
          <w:sz w:val="24"/>
          <w:szCs w:val="24"/>
        </w:rPr>
        <w:t>20%</w:t>
      </w:r>
      <w:r>
        <w:rPr>
          <w:rFonts w:hint="eastAsia"/>
          <w:color w:val="auto"/>
          <w:sz w:val="24"/>
          <w:szCs w:val="24"/>
        </w:rPr>
        <w:t>， 对应折减系数应按下式计算：</w:t>
      </w:r>
    </w:p>
    <w:p>
      <w:pPr>
        <w:jc w:val="right"/>
        <w:rPr>
          <w:color w:val="auto"/>
          <w:sz w:val="24"/>
          <w:szCs w:val="24"/>
        </w:rPr>
      </w:pPr>
      <w:r>
        <w:rPr>
          <w:color w:val="auto"/>
          <w:sz w:val="24"/>
          <w:szCs w:val="24"/>
        </w:rPr>
        <w:t xml:space="preserve">                 </w:t>
      </w:r>
      <m:oMath>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cv,r,ci,dj</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r>
              <m:rPr/>
              <w:rPr>
                <w:rFonts w:ascii="Cambria Math" w:hAnsi="Cambria Math"/>
                <w:color w:val="auto"/>
                <w:sz w:val="24"/>
                <w:szCs w:val="24"/>
              </w:rPr>
              <m:t>1</m:t>
            </m:r>
            <m:ctrlPr>
              <w:rPr>
                <w:rFonts w:ascii="Cambria Math" w:hAnsi="Cambria Math"/>
                <w:i/>
                <w:color w:val="auto"/>
                <w:sz w:val="24"/>
                <w:szCs w:val="24"/>
              </w:rPr>
            </m:ctrlPr>
          </m:num>
          <m:den>
            <m:r>
              <m:rPr/>
              <w:rPr>
                <w:rFonts w:ascii="Cambria Math" w:hAnsi="Cambria Math"/>
                <w:color w:val="auto"/>
                <w:sz w:val="24"/>
                <w:szCs w:val="24"/>
              </w:rPr>
              <m:t>1+0.03</m:t>
            </m:r>
            <m:d>
              <m:dPr>
                <m:ctrlPr>
                  <w:rPr>
                    <w:rFonts w:ascii="Cambria Math" w:hAnsi="Cambria Math"/>
                    <w:i/>
                    <w:color w:val="auto"/>
                    <w:sz w:val="24"/>
                    <w:szCs w:val="24"/>
                  </w:rPr>
                </m:ctrlPr>
              </m:dPr>
              <m:e>
                <m:r>
                  <m:rPr/>
                  <w:rPr>
                    <w:rFonts w:ascii="Cambria Math" w:hAnsi="Cambria Math"/>
                    <w:color w:val="auto"/>
                    <w:sz w:val="24"/>
                    <w:szCs w:val="24"/>
                  </w:rPr>
                  <m:t>cv−15</m:t>
                </m:r>
                <m:ctrlPr>
                  <w:rPr>
                    <w:rFonts w:ascii="Cambria Math" w:hAnsi="Cambria Math"/>
                    <w:i/>
                    <w:color w:val="auto"/>
                    <w:sz w:val="24"/>
                    <w:szCs w:val="24"/>
                  </w:rPr>
                </m:ctrlPr>
              </m:e>
            </m:d>
            <m:ctrlPr>
              <w:rPr>
                <w:rFonts w:ascii="Cambria Math" w:hAnsi="Cambria Math"/>
                <w:i/>
                <w:color w:val="auto"/>
                <w:sz w:val="24"/>
                <w:szCs w:val="24"/>
              </w:rPr>
            </m:ctrlPr>
          </m:den>
        </m:f>
        <m:r>
          <m:rPr/>
          <w:rPr>
            <w:rFonts w:ascii="Cambria Math" w:hAnsi="Cambria Math"/>
            <w:color w:val="auto"/>
            <w:sz w:val="24"/>
            <w:szCs w:val="24"/>
          </w:rPr>
          <m:t>≤1.0</m:t>
        </m:r>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B.2.</w:t>
      </w:r>
      <w:r>
        <w:rPr>
          <w:color w:val="auto"/>
          <w:sz w:val="24"/>
          <w:szCs w:val="24"/>
        </w:rPr>
        <w:t>2)</w:t>
      </w:r>
    </w:p>
    <w:p>
      <w:pPr>
        <w:ind w:firstLine="420"/>
        <w:rPr>
          <w:color w:val="auto"/>
          <w:sz w:val="24"/>
          <w:szCs w:val="24"/>
        </w:rPr>
      </w:pPr>
      <w:r>
        <w:rPr>
          <w:rFonts w:hint="eastAsia"/>
          <w:color w:val="auto"/>
          <w:sz w:val="24"/>
          <w:szCs w:val="24"/>
        </w:rPr>
        <w:t>式中：</w:t>
      </w:r>
      <w:r>
        <w:rPr>
          <w:i/>
          <w:iCs/>
          <w:color w:val="auto"/>
          <w:sz w:val="24"/>
          <w:szCs w:val="24"/>
        </w:rPr>
        <w:t>i</w:t>
      </w:r>
      <w:r>
        <w:rPr>
          <w:rFonts w:hint="eastAsia"/>
          <w:color w:val="auto"/>
          <w:sz w:val="24"/>
          <w:szCs w:val="24"/>
        </w:rPr>
        <w:t>—混凝土标号，分别为2</w:t>
      </w:r>
      <w:r>
        <w:rPr>
          <w:color w:val="auto"/>
          <w:sz w:val="24"/>
          <w:szCs w:val="24"/>
        </w:rPr>
        <w:t>5</w:t>
      </w:r>
      <w:r>
        <w:rPr>
          <w:rFonts w:hint="eastAsia"/>
          <w:color w:val="auto"/>
          <w:sz w:val="24"/>
          <w:szCs w:val="24"/>
        </w:rPr>
        <w:t>、</w:t>
      </w:r>
      <w:r>
        <w:rPr>
          <w:color w:val="auto"/>
          <w:sz w:val="24"/>
          <w:szCs w:val="24"/>
        </w:rPr>
        <w:t>60</w:t>
      </w:r>
      <w:r>
        <w:rPr>
          <w:rFonts w:hint="eastAsia"/>
          <w:color w:val="auto"/>
          <w:sz w:val="24"/>
          <w:szCs w:val="24"/>
        </w:rPr>
        <w:t>；</w:t>
      </w:r>
    </w:p>
    <w:p>
      <w:pPr>
        <w:ind w:firstLine="1200" w:firstLineChars="500"/>
        <w:rPr>
          <w:color w:val="auto"/>
          <w:sz w:val="24"/>
          <w:szCs w:val="24"/>
        </w:rPr>
      </w:pPr>
      <w:r>
        <w:rPr>
          <w:rFonts w:hint="eastAsia"/>
          <w:i/>
          <w:iCs/>
          <w:color w:val="auto"/>
          <w:sz w:val="24"/>
          <w:szCs w:val="24"/>
        </w:rPr>
        <w:t>j</w:t>
      </w:r>
      <w:r>
        <w:rPr>
          <w:rFonts w:hint="eastAsia"/>
          <w:color w:val="auto"/>
          <w:sz w:val="24"/>
          <w:szCs w:val="24"/>
        </w:rPr>
        <w:t>—钢筋直径，分别为1</w:t>
      </w:r>
      <w:r>
        <w:rPr>
          <w:color w:val="auto"/>
          <w:sz w:val="24"/>
          <w:szCs w:val="24"/>
        </w:rPr>
        <w:t>2mm</w:t>
      </w:r>
      <w:r>
        <w:rPr>
          <w:rFonts w:hint="eastAsia"/>
          <w:color w:val="auto"/>
          <w:sz w:val="24"/>
          <w:szCs w:val="24"/>
        </w:rPr>
        <w:t>、</w:t>
      </w:r>
      <w:r>
        <w:rPr>
          <w:color w:val="auto"/>
          <w:sz w:val="24"/>
          <w:szCs w:val="24"/>
        </w:rPr>
        <w:t>18mm</w:t>
      </w:r>
      <w:r>
        <w:rPr>
          <w:rFonts w:hint="eastAsia"/>
          <w:color w:val="auto"/>
          <w:sz w:val="24"/>
          <w:szCs w:val="24"/>
        </w:rPr>
        <w:t>、</w:t>
      </w:r>
      <w:r>
        <w:rPr>
          <w:color w:val="auto"/>
          <w:sz w:val="24"/>
          <w:szCs w:val="24"/>
        </w:rPr>
        <w:t>25mm</w:t>
      </w:r>
      <w:r>
        <w:rPr>
          <w:rFonts w:hint="eastAsia"/>
          <w:color w:val="auto"/>
          <w:sz w:val="24"/>
          <w:szCs w:val="24"/>
        </w:rPr>
        <w:t>。</w:t>
      </w:r>
    </w:p>
    <w:p>
      <w:pPr>
        <w:rPr>
          <w:rFonts w:ascii="宋体" w:hAnsi="宋体" w:cs="宋体"/>
          <w:color w:val="auto"/>
          <w:sz w:val="24"/>
          <w:szCs w:val="24"/>
        </w:rPr>
      </w:pPr>
      <w:r>
        <w:rPr>
          <w:rFonts w:hint="eastAsia"/>
          <w:b/>
          <w:bCs/>
          <w:color w:val="auto"/>
          <w:sz w:val="24"/>
          <w:szCs w:val="24"/>
        </w:rPr>
        <w:t>B.2.3</w:t>
      </w:r>
      <w:r>
        <w:rPr>
          <w:rFonts w:hint="eastAsia" w:ascii="宋体" w:hAnsi="宋体" w:cs="宋体"/>
          <w:color w:val="auto"/>
          <w:sz w:val="24"/>
          <w:szCs w:val="24"/>
        </w:rPr>
        <w:t xml:space="preserve"> 基准试验变异系数对应的折减系数</w:t>
      </w:r>
      <w:r>
        <w:rPr>
          <w:rFonts w:hint="eastAsia" w:ascii="宋体" w:hAnsi="宋体" w:cs="宋体"/>
          <w:i/>
          <w:iCs/>
          <w:color w:val="auto"/>
          <w:sz w:val="24"/>
          <w:szCs w:val="24"/>
        </w:rPr>
        <w:t>β</w:t>
      </w:r>
      <w:r>
        <w:rPr>
          <w:rFonts w:hint="eastAsia" w:ascii="宋体" w:hAnsi="宋体" w:cs="宋体"/>
          <w:color w:val="auto"/>
          <w:sz w:val="24"/>
          <w:szCs w:val="24"/>
          <w:vertAlign w:val="subscript"/>
        </w:rPr>
        <w:t>cv,r</w:t>
      </w:r>
      <w:r>
        <w:rPr>
          <w:rFonts w:hint="eastAsia" w:ascii="宋体" w:hAnsi="宋体" w:cs="宋体"/>
          <w:color w:val="auto"/>
          <w:sz w:val="24"/>
          <w:szCs w:val="24"/>
        </w:rPr>
        <w:t>应按下式计算：</w:t>
      </w:r>
    </w:p>
    <w:p>
      <w:pPr>
        <w:jc w:val="right"/>
        <w:rPr>
          <w:bCs/>
          <w:color w:val="auto"/>
          <w:sz w:val="24"/>
          <w:szCs w:val="24"/>
        </w:rPr>
      </w:pPr>
      <m:oMath>
        <m:sSub>
          <m:sSubPr>
            <m:ctrlPr>
              <w:rPr>
                <w:rFonts w:ascii="Cambria Math" w:hAnsi="Cambria Math"/>
                <w:bCs/>
                <w:i/>
                <w:color w:val="auto"/>
                <w:sz w:val="24"/>
                <w:szCs w:val="24"/>
              </w:rPr>
            </m:ctrlPr>
          </m:sSubPr>
          <m:e>
            <m:r>
              <m:rPr/>
              <w:rPr>
                <w:rFonts w:ascii="Cambria Math" w:hAnsi="Cambria Math"/>
                <w:color w:val="auto"/>
                <w:sz w:val="24"/>
                <w:szCs w:val="24"/>
              </w:rPr>
              <m:t>β</m:t>
            </m:r>
            <m:ctrlPr>
              <w:rPr>
                <w:rFonts w:ascii="Cambria Math" w:hAnsi="Cambria Math"/>
                <w:bCs/>
                <w:i/>
                <w:color w:val="auto"/>
                <w:sz w:val="24"/>
                <w:szCs w:val="24"/>
              </w:rPr>
            </m:ctrlPr>
          </m:e>
          <m:sub>
            <m:r>
              <m:rPr>
                <m:sty m:val="p"/>
              </m:rPr>
              <w:rPr>
                <w:rFonts w:hint="default" w:ascii="Cambria Math" w:hAnsi="Cambria Math"/>
                <w:color w:val="auto"/>
                <w:sz w:val="24"/>
                <w:szCs w:val="24"/>
              </w:rPr>
              <m:t>cv,r</m:t>
            </m:r>
            <m:ctrlPr>
              <w:rPr>
                <w:rFonts w:ascii="Cambria Math" w:hAnsi="Cambria Math"/>
                <w:bCs/>
                <w:i/>
                <w:color w:val="auto"/>
                <w:sz w:val="24"/>
                <w:szCs w:val="24"/>
              </w:rPr>
            </m:ctrlPr>
          </m:sub>
        </m:sSub>
        <m:r>
          <m:rPr/>
          <w:rPr>
            <w:rFonts w:ascii="Cambria Math" w:hAnsi="Cambria Math"/>
            <w:color w:val="auto"/>
            <w:sz w:val="24"/>
            <w:szCs w:val="24"/>
          </w:rPr>
          <m:t>=min.</m:t>
        </m:r>
        <m:d>
          <m:dPr>
            <m:begChr m:val="{"/>
            <m:endChr m:val="}"/>
            <m:ctrlPr>
              <w:rPr>
                <w:rFonts w:ascii="Cambria Math" w:hAnsi="Cambria Math"/>
                <w:bCs/>
                <w:i/>
                <w:color w:val="auto"/>
                <w:sz w:val="24"/>
                <w:szCs w:val="24"/>
              </w:rPr>
            </m:ctrlPr>
          </m:dPr>
          <m:e>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cv,r,c25,d12</m:t>
                </m:r>
                <m:ctrlPr>
                  <w:rPr>
                    <w:rFonts w:ascii="Cambria Math" w:hAnsi="Cambria Math"/>
                    <w:i/>
                    <w:color w:val="auto"/>
                    <w:sz w:val="24"/>
                    <w:szCs w:val="24"/>
                  </w:rPr>
                </m:ctrlPr>
              </m:sub>
            </m:sSub>
            <m:r>
              <m:rPr>
                <m:sty m:val="p"/>
              </m:rPr>
              <w:rPr>
                <w:rFonts w:hint="eastAsia"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cv,r,c25,d18</m:t>
                </m:r>
                <m:ctrlPr>
                  <w:rPr>
                    <w:rFonts w:ascii="Cambria Math" w:hAnsi="Cambria Math"/>
                    <w:i/>
                    <w:color w:val="auto"/>
                    <w:sz w:val="24"/>
                    <w:szCs w:val="24"/>
                  </w:rPr>
                </m:ctrlPr>
              </m:sub>
            </m:sSub>
            <m:r>
              <m:rPr>
                <m:sty m:val="p"/>
              </m:rPr>
              <w:rPr>
                <w:rFonts w:hint="eastAsia"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cv,r,c25,d25</m:t>
                </m:r>
                <m:ctrlPr>
                  <w:rPr>
                    <w:rFonts w:ascii="Cambria Math" w:hAnsi="Cambria Math"/>
                    <w:i/>
                    <w:color w:val="auto"/>
                    <w:sz w:val="24"/>
                    <w:szCs w:val="24"/>
                  </w:rPr>
                </m:ctrlPr>
              </m:sub>
            </m:sSub>
            <m:r>
              <m:rPr>
                <m:sty m:val="p"/>
              </m:rPr>
              <w:rPr>
                <w:rFonts w:hint="eastAsia"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β</m:t>
                </m:r>
                <m:ctrlPr>
                  <w:rPr>
                    <w:rFonts w:ascii="Cambria Math" w:hAnsi="Cambria Math"/>
                    <w:i/>
                    <w:color w:val="auto"/>
                    <w:sz w:val="24"/>
                    <w:szCs w:val="24"/>
                  </w:rPr>
                </m:ctrlPr>
              </m:e>
              <m:sub>
                <m:r>
                  <m:rPr>
                    <m:sty m:val="p"/>
                  </m:rPr>
                  <w:rPr>
                    <w:rFonts w:hint="default" w:ascii="Cambria Math" w:hAnsi="Cambria Math"/>
                    <w:color w:val="auto"/>
                    <w:sz w:val="24"/>
                    <w:szCs w:val="24"/>
                  </w:rPr>
                  <m:t>cv,r,c60,d25</m:t>
                </m:r>
                <m:ctrlPr>
                  <w:rPr>
                    <w:rFonts w:ascii="Cambria Math" w:hAnsi="Cambria Math"/>
                    <w:i/>
                    <w:color w:val="auto"/>
                    <w:sz w:val="24"/>
                    <w:szCs w:val="24"/>
                  </w:rPr>
                </m:ctrlPr>
              </m:sub>
            </m:sSub>
            <m:ctrlPr>
              <w:rPr>
                <w:rFonts w:ascii="Cambria Math" w:hAnsi="Cambria Math"/>
                <w:bCs/>
                <w:i/>
                <w:color w:val="auto"/>
                <w:sz w:val="24"/>
                <w:szCs w:val="24"/>
              </w:rPr>
            </m:ctrlPr>
          </m:e>
        </m:d>
      </m:oMath>
      <w:r>
        <w:rPr>
          <w:bCs/>
          <w:color w:val="auto"/>
          <w:sz w:val="24"/>
          <w:szCs w:val="24"/>
        </w:rPr>
        <w:t xml:space="preserve">   </w:t>
      </w:r>
      <w:r>
        <w:rPr>
          <w:bCs/>
          <w:color w:val="auto"/>
          <w:sz w:val="24"/>
          <w:szCs w:val="24"/>
        </w:rPr>
        <w:tab/>
      </w:r>
      <w:r>
        <w:rPr>
          <w:bCs/>
          <w:color w:val="auto"/>
          <w:sz w:val="24"/>
          <w:szCs w:val="24"/>
        </w:rPr>
        <w:t xml:space="preserve">  (</w:t>
      </w:r>
      <w:r>
        <w:rPr>
          <w:rFonts w:hint="eastAsia"/>
          <w:bCs/>
          <w:color w:val="auto"/>
          <w:sz w:val="24"/>
          <w:szCs w:val="24"/>
        </w:rPr>
        <w:t>B.2.</w:t>
      </w:r>
      <w:r>
        <w:rPr>
          <w:bCs/>
          <w:color w:val="auto"/>
          <w:sz w:val="24"/>
          <w:szCs w:val="24"/>
        </w:rPr>
        <w:t>3)</w:t>
      </w:r>
    </w:p>
    <w:p>
      <w:pPr>
        <w:jc w:val="center"/>
        <w:rPr>
          <w:b/>
          <w:bCs/>
          <w:color w:val="auto"/>
          <w:sz w:val="24"/>
          <w:szCs w:val="24"/>
        </w:rPr>
      </w:pPr>
      <w:r>
        <w:rPr>
          <w:rFonts w:hint="eastAsia"/>
          <w:b/>
          <w:bCs/>
          <w:color w:val="auto"/>
          <w:sz w:val="24"/>
          <w:szCs w:val="24"/>
        </w:rPr>
        <w:t>Ⅱ 基准测试极限粘结强度平均值</w:t>
      </w:r>
    </w:p>
    <w:p>
      <w:pPr>
        <w:spacing w:after="0" w:line="360" w:lineRule="auto"/>
        <w:rPr>
          <w:rFonts w:ascii="Cambria Math" w:hAnsi="Cambria Math"/>
          <w:color w:val="auto"/>
          <w:sz w:val="24"/>
          <w:szCs w:val="24"/>
        </w:rPr>
      </w:pPr>
      <w:r>
        <w:rPr>
          <w:rFonts w:hint="eastAsia"/>
          <w:b/>
          <w:color w:val="auto"/>
          <w:sz w:val="24"/>
          <w:szCs w:val="24"/>
        </w:rPr>
        <w:t>B.2.</w:t>
      </w:r>
      <w:r>
        <w:rPr>
          <w:b/>
          <w:color w:val="auto"/>
          <w:sz w:val="24"/>
          <w:szCs w:val="24"/>
        </w:rPr>
        <w:t>4</w:t>
      </w:r>
      <w:r>
        <w:rPr>
          <w:rFonts w:hint="eastAsia"/>
          <w:b/>
          <w:color w:val="auto"/>
          <w:sz w:val="24"/>
          <w:szCs w:val="24"/>
        </w:rPr>
        <w:t xml:space="preserve"> </w:t>
      </w:r>
      <w:r>
        <w:rPr>
          <w:rFonts w:hint="eastAsia"/>
          <w:bCs/>
          <w:color w:val="auto"/>
          <w:sz w:val="24"/>
          <w:szCs w:val="24"/>
        </w:rPr>
        <w:t>基准试验极限粘结强度平均值的计算可</w:t>
      </w:r>
      <w:r>
        <w:rPr>
          <w:rFonts w:hint="eastAsia"/>
          <w:bCs/>
          <w:color w:val="auto"/>
          <w:sz w:val="24"/>
          <w:szCs w:val="24"/>
          <w:lang w:val="en-US" w:eastAsia="zh-CN"/>
        </w:rPr>
        <w:t>按</w:t>
      </w:r>
      <w:r>
        <w:rPr>
          <w:rFonts w:hint="eastAsia" w:ascii="Cambria Math" w:hAnsi="Cambria Math"/>
          <w:color w:val="auto"/>
          <w:sz w:val="24"/>
          <w:szCs w:val="24"/>
        </w:rPr>
        <w:t>表B.2.4</w:t>
      </w:r>
      <w:r>
        <w:rPr>
          <w:rFonts w:hint="eastAsia" w:ascii="Cambria Math" w:hAnsi="Cambria Math"/>
          <w:color w:val="auto"/>
          <w:sz w:val="24"/>
          <w:szCs w:val="24"/>
          <w:lang w:val="en-US" w:eastAsia="zh-CN"/>
        </w:rPr>
        <w:t>执行，</w:t>
      </w:r>
      <w:r>
        <w:rPr>
          <w:rFonts w:hint="eastAsia" w:ascii="Cambria Math" w:hAnsi="Cambria Math"/>
          <w:color w:val="auto"/>
          <w:sz w:val="24"/>
          <w:szCs w:val="24"/>
        </w:rPr>
        <w:t>计算流程应符合下列规定：</w:t>
      </w:r>
    </w:p>
    <w:p>
      <w:pPr>
        <w:spacing w:after="0" w:line="360" w:lineRule="auto"/>
        <w:ind w:firstLine="480" w:firstLineChars="200"/>
        <w:rPr>
          <w:bCs/>
          <w:color w:val="auto"/>
          <w:sz w:val="24"/>
          <w:szCs w:val="24"/>
        </w:rPr>
      </w:pPr>
      <w:r>
        <w:rPr>
          <w:rFonts w:hint="eastAsia"/>
          <w:bCs/>
          <w:color w:val="auto"/>
          <w:sz w:val="24"/>
          <w:szCs w:val="24"/>
        </w:rPr>
        <w:t>1 根据C25、C60基准试验条件下的极限荷载测试值，可按照本规程第B.2.</w:t>
      </w:r>
      <w:r>
        <w:rPr>
          <w:bCs/>
          <w:color w:val="auto"/>
          <w:sz w:val="24"/>
          <w:szCs w:val="24"/>
        </w:rPr>
        <w:t>5</w:t>
      </w:r>
      <w:r>
        <w:rPr>
          <w:rFonts w:hint="eastAsia"/>
          <w:bCs/>
          <w:color w:val="auto"/>
          <w:sz w:val="24"/>
          <w:szCs w:val="24"/>
        </w:rPr>
        <w:t>条计算混凝土强度归一化处理后的极限荷载值，并计算各组的平均值；</w:t>
      </w:r>
    </w:p>
    <w:p>
      <w:pPr>
        <w:spacing w:after="0" w:line="360" w:lineRule="auto"/>
        <w:ind w:firstLine="480" w:firstLineChars="200"/>
        <w:rPr>
          <w:rFonts w:ascii="Cambria Math" w:hAnsi="Cambria Math"/>
          <w:color w:val="auto"/>
          <w:sz w:val="24"/>
          <w:szCs w:val="24"/>
        </w:rPr>
      </w:pPr>
      <w:r>
        <w:rPr>
          <w:rFonts w:hint="eastAsia"/>
          <w:color w:val="auto"/>
          <w:sz w:val="24"/>
          <w:szCs w:val="24"/>
        </w:rPr>
        <w:t xml:space="preserve">2 </w:t>
      </w:r>
      <w:r>
        <w:rPr>
          <w:rFonts w:hint="eastAsia"/>
          <w:bCs/>
          <w:color w:val="auto"/>
          <w:sz w:val="24"/>
          <w:szCs w:val="24"/>
        </w:rPr>
        <w:t>按本规程第B.2.</w:t>
      </w:r>
      <w:r>
        <w:rPr>
          <w:bCs/>
          <w:color w:val="auto"/>
          <w:sz w:val="24"/>
          <w:szCs w:val="24"/>
        </w:rPr>
        <w:t>6</w:t>
      </w:r>
      <w:r>
        <w:rPr>
          <w:rFonts w:hint="eastAsia"/>
          <w:bCs/>
          <w:color w:val="auto"/>
          <w:sz w:val="24"/>
          <w:szCs w:val="24"/>
        </w:rPr>
        <w:t>条计算各组按钢筋相对肋面积归一化处理后的极限粘结强度</w:t>
      </w:r>
      <w:r>
        <w:rPr>
          <w:rFonts w:hint="eastAsia" w:ascii="Cambria Math" w:hAnsi="Cambria Math"/>
          <w:color w:val="auto"/>
          <w:sz w:val="24"/>
          <w:szCs w:val="24"/>
        </w:rPr>
        <w:t>；</w:t>
      </w:r>
    </w:p>
    <w:p>
      <w:pPr>
        <w:spacing w:after="0" w:line="360" w:lineRule="auto"/>
        <w:ind w:firstLine="420"/>
        <w:rPr>
          <w:bCs/>
          <w:color w:val="auto"/>
          <w:sz w:val="24"/>
          <w:szCs w:val="24"/>
        </w:rPr>
      </w:pPr>
      <w:r>
        <w:rPr>
          <w:rFonts w:hint="eastAsia" w:ascii="Cambria Math" w:hAnsi="Cambria Math"/>
          <w:color w:val="auto"/>
          <w:sz w:val="24"/>
          <w:szCs w:val="24"/>
        </w:rPr>
        <w:t xml:space="preserve">3 </w:t>
      </w:r>
      <w:r>
        <w:rPr>
          <w:rFonts w:hint="eastAsia"/>
          <w:color w:val="auto"/>
          <w:sz w:val="24"/>
          <w:szCs w:val="24"/>
        </w:rPr>
        <w:t>按本规程第</w:t>
      </w:r>
      <w:r>
        <w:rPr>
          <w:rFonts w:hint="eastAsia"/>
          <w:bCs/>
          <w:color w:val="auto"/>
          <w:sz w:val="24"/>
          <w:szCs w:val="24"/>
        </w:rPr>
        <w:t>B.2.</w:t>
      </w:r>
      <w:r>
        <w:rPr>
          <w:bCs/>
          <w:color w:val="auto"/>
          <w:sz w:val="24"/>
          <w:szCs w:val="24"/>
        </w:rPr>
        <w:t>7</w:t>
      </w:r>
      <w:r>
        <w:rPr>
          <w:rFonts w:hint="eastAsia"/>
          <w:bCs/>
          <w:color w:val="auto"/>
          <w:sz w:val="24"/>
          <w:szCs w:val="24"/>
        </w:rPr>
        <w:t>条规定计算C</w:t>
      </w:r>
      <w:r>
        <w:rPr>
          <w:bCs/>
          <w:color w:val="auto"/>
          <w:sz w:val="24"/>
          <w:szCs w:val="24"/>
        </w:rPr>
        <w:t>25</w:t>
      </w:r>
      <w:r>
        <w:rPr>
          <w:rFonts w:hint="eastAsia"/>
          <w:bCs/>
          <w:color w:val="auto"/>
          <w:sz w:val="24"/>
          <w:szCs w:val="24"/>
        </w:rPr>
        <w:t>、C</w:t>
      </w:r>
      <w:r>
        <w:rPr>
          <w:bCs/>
          <w:color w:val="auto"/>
          <w:sz w:val="24"/>
          <w:szCs w:val="24"/>
        </w:rPr>
        <w:t>60</w:t>
      </w:r>
      <w:r>
        <w:rPr>
          <w:rFonts w:hint="eastAsia"/>
          <w:bCs/>
          <w:color w:val="auto"/>
          <w:sz w:val="24"/>
          <w:szCs w:val="24"/>
        </w:rPr>
        <w:t>条件下基准测试的极限粘结强度平均值。</w:t>
      </w:r>
    </w:p>
    <w:p>
      <w:pPr>
        <w:spacing w:after="0" w:line="360" w:lineRule="auto"/>
        <w:jc w:val="center"/>
        <w:rPr>
          <w:rFonts w:hint="eastAsia" w:eastAsia="宋体"/>
          <w:b/>
          <w:bCs/>
          <w:color w:val="auto"/>
          <w:sz w:val="21"/>
          <w:szCs w:val="21"/>
          <w:lang w:val="en-US" w:eastAsia="zh-CN"/>
        </w:rPr>
      </w:pPr>
      <w:r>
        <w:rPr>
          <w:rFonts w:hint="eastAsia"/>
          <w:b/>
          <w:bCs/>
          <w:color w:val="auto"/>
          <w:sz w:val="21"/>
          <w:szCs w:val="21"/>
        </w:rPr>
        <w:t>表B.2.4 基准试验极限粘结强度平均值计算</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650"/>
        <w:gridCol w:w="1516"/>
        <w:gridCol w:w="1547"/>
        <w:gridCol w:w="1149"/>
        <w:gridCol w:w="1478"/>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15"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混凝土强度</w:t>
            </w:r>
          </w:p>
        </w:tc>
        <w:tc>
          <w:tcPr>
            <w:tcW w:w="650" w:type="dxa"/>
            <w:shd w:val="clear" w:color="auto" w:fill="auto"/>
            <w:tcMar>
              <w:left w:w="72" w:type="dxa"/>
              <w:right w:w="72" w:type="dxa"/>
            </w:tcMa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钢筋直径</w:t>
            </w:r>
            <w:r>
              <w:rPr>
                <w:i/>
                <w:iCs/>
                <w:color w:val="auto"/>
                <w:kern w:val="2"/>
                <w:sz w:val="21"/>
                <w:szCs w:val="21"/>
              </w:rPr>
              <w:t xml:space="preserve">d </w:t>
            </w:r>
            <w:r>
              <w:rPr>
                <w:color w:val="auto"/>
                <w:kern w:val="2"/>
                <w:sz w:val="21"/>
                <w:szCs w:val="21"/>
              </w:rPr>
              <w:t>(</w:t>
            </w:r>
            <w:r>
              <w:rPr>
                <w:rFonts w:hint="eastAsia"/>
                <w:color w:val="auto"/>
                <w:kern w:val="2"/>
                <w:sz w:val="21"/>
                <w:szCs w:val="21"/>
              </w:rPr>
              <w:t>mm</w:t>
            </w:r>
            <w:r>
              <w:rPr>
                <w:color w:val="auto"/>
                <w:kern w:val="2"/>
                <w:sz w:val="21"/>
                <w:szCs w:val="21"/>
              </w:rPr>
              <w:t>)</w:t>
            </w:r>
          </w:p>
        </w:tc>
        <w:tc>
          <w:tcPr>
            <w:tcW w:w="1516"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极限荷载测试值</w:t>
            </w:r>
          </w:p>
        </w:tc>
        <w:tc>
          <w:tcPr>
            <w:tcW w:w="1547"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按混凝土强度归一化处理后的极限荷载值</w:t>
            </w:r>
          </w:p>
        </w:tc>
        <w:tc>
          <w:tcPr>
            <w:tcW w:w="1149"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左侧荷载的平均值</w:t>
            </w:r>
          </w:p>
        </w:tc>
        <w:tc>
          <w:tcPr>
            <w:tcW w:w="1478"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按钢筋相对肋面积归一化处理后的极限粘结强度</w:t>
            </w:r>
          </w:p>
        </w:tc>
        <w:tc>
          <w:tcPr>
            <w:tcW w:w="1193"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bCs/>
                <w:color w:val="auto"/>
                <w:sz w:val="21"/>
                <w:szCs w:val="21"/>
              </w:rPr>
            </w:pPr>
            <w:r>
              <w:rPr>
                <w:rFonts w:hint="eastAsia"/>
                <w:color w:val="auto"/>
                <w:kern w:val="2"/>
                <w:sz w:val="21"/>
                <w:szCs w:val="21"/>
              </w:rPr>
              <w:t>极限粘结强度平均值</w:t>
            </w:r>
            <w:r>
              <w:rPr>
                <w:rFonts w:hint="eastAsia"/>
                <w:bCs/>
                <w:i/>
                <w:iCs/>
                <w:color w:val="auto"/>
                <w:sz w:val="21"/>
                <w:szCs w:val="21"/>
              </w:rPr>
              <w:t>f</w:t>
            </w:r>
            <w:r>
              <w:rPr>
                <w:bCs/>
                <w:color w:val="auto"/>
                <w:sz w:val="21"/>
                <w:szCs w:val="21"/>
                <w:vertAlign w:val="subscript"/>
              </w:rPr>
              <w:t>bm,r,c25</w:t>
            </w:r>
            <w:r>
              <w:rPr>
                <w:rFonts w:hint="eastAsia"/>
                <w:color w:val="auto"/>
                <w:kern w:val="2"/>
                <w:sz w:val="21"/>
                <w:szCs w:val="21"/>
              </w:rPr>
              <w:t>或</w:t>
            </w:r>
            <w:r>
              <w:rPr>
                <w:rFonts w:hint="eastAsia"/>
                <w:bCs/>
                <w:i/>
                <w:iCs/>
                <w:color w:val="auto"/>
                <w:sz w:val="21"/>
                <w:szCs w:val="21"/>
              </w:rPr>
              <w:t>f</w:t>
            </w:r>
            <w:r>
              <w:rPr>
                <w:bCs/>
                <w:color w:val="auto"/>
                <w:sz w:val="21"/>
                <w:szCs w:val="21"/>
                <w:vertAlign w:val="subscript"/>
              </w:rPr>
              <w:t>bm,r,c60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color w:val="auto"/>
                <w:kern w:val="2"/>
                <w:sz w:val="21"/>
                <w:szCs w:val="21"/>
              </w:rPr>
              <w:t>C25</w:t>
            </w:r>
          </w:p>
        </w:tc>
        <w:tc>
          <w:tcPr>
            <w:tcW w:w="65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color w:val="auto"/>
                <w:kern w:val="2"/>
                <w:sz w:val="21"/>
                <w:szCs w:val="21"/>
              </w:rPr>
              <w:t>12</w:t>
            </w:r>
          </w:p>
        </w:tc>
        <w:tc>
          <w:tcPr>
            <w:tcW w:w="1516"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 test,c25,d12-1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 xml:space="preserve">~ </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r,test,c25,d12-5</w:t>
            </w:r>
          </w:p>
        </w:tc>
        <w:tc>
          <w:tcPr>
            <w:tcW w:w="1547"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r,c25,d12-1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r,c25,d12-5</w:t>
            </w:r>
          </w:p>
        </w:tc>
        <w:tc>
          <w:tcPr>
            <w:tcW w:w="1149"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r,c25,d12,m</w:t>
            </w:r>
          </w:p>
        </w:tc>
        <w:tc>
          <w:tcPr>
            <w:tcW w:w="1478"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i/>
                <w:iCs/>
                <w:color w:val="auto"/>
                <w:kern w:val="2"/>
                <w:sz w:val="21"/>
                <w:szCs w:val="21"/>
              </w:rPr>
              <w:t>f</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r,c25,d12</w:t>
            </w:r>
          </w:p>
        </w:tc>
        <w:tc>
          <w:tcPr>
            <w:tcW w:w="1193" w:type="dxa"/>
            <w:vMerge w:val="restart"/>
            <w:vAlign w:val="center"/>
          </w:tcPr>
          <w:p>
            <w:pPr>
              <w:pStyle w:val="2"/>
              <w:keepNext w:val="0"/>
              <w:keepLines w:val="0"/>
              <w:pageBreakBefore w:val="0"/>
              <w:widowControl w:val="0"/>
              <w:kinsoku/>
              <w:wordWrap/>
              <w:overflowPunct/>
              <w:topLinePunct w:val="0"/>
              <w:autoSpaceDE/>
              <w:autoSpaceDN/>
              <w:bidi w:val="0"/>
              <w:adjustRightInd/>
              <w:spacing w:after="0" w:line="288" w:lineRule="auto"/>
              <w:ind w:left="0" w:leftChars="0" w:firstLine="0" w:firstLineChars="0"/>
              <w:jc w:val="center"/>
              <w:textAlignment w:val="auto"/>
              <w:rPr>
                <w:color w:val="auto"/>
                <w:sz w:val="21"/>
                <w:szCs w:val="21"/>
              </w:rPr>
            </w:pPr>
            <w:r>
              <w:rPr>
                <w:rFonts w:hint="eastAsia"/>
                <w:bCs/>
                <w:i/>
                <w:iCs/>
                <w:color w:val="auto"/>
                <w:sz w:val="21"/>
                <w:szCs w:val="21"/>
              </w:rPr>
              <w:t>f</w:t>
            </w:r>
            <w:r>
              <w:rPr>
                <w:bCs/>
                <w:color w:val="auto"/>
                <w:sz w:val="21"/>
                <w:szCs w:val="21"/>
                <w:vertAlign w:val="subscript"/>
              </w:rPr>
              <w:t>bm,r,c25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tc>
        <w:tc>
          <w:tcPr>
            <w:tcW w:w="65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18</w:t>
            </w:r>
          </w:p>
        </w:tc>
        <w:tc>
          <w:tcPr>
            <w:tcW w:w="1516"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 test,c25,d</w:t>
            </w:r>
            <w:r>
              <w:rPr>
                <w:rFonts w:hint="eastAsia"/>
                <w:color w:val="auto"/>
                <w:kern w:val="2"/>
                <w:sz w:val="21"/>
                <w:szCs w:val="21"/>
                <w:vertAlign w:val="subscript"/>
              </w:rPr>
              <w:t>18</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r,test,c25,d</w:t>
            </w:r>
            <w:r>
              <w:rPr>
                <w:rFonts w:hint="eastAsia"/>
                <w:color w:val="auto"/>
                <w:kern w:val="2"/>
                <w:sz w:val="21"/>
                <w:szCs w:val="21"/>
                <w:vertAlign w:val="subscript"/>
              </w:rPr>
              <w:t>18</w:t>
            </w:r>
            <w:r>
              <w:rPr>
                <w:color w:val="auto"/>
                <w:kern w:val="2"/>
                <w:sz w:val="21"/>
                <w:szCs w:val="21"/>
                <w:vertAlign w:val="subscript"/>
              </w:rPr>
              <w:t>-5</w:t>
            </w:r>
          </w:p>
        </w:tc>
        <w:tc>
          <w:tcPr>
            <w:tcW w:w="1547"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w:t>
            </w:r>
            <w:r>
              <w:rPr>
                <w:rFonts w:hint="eastAsia"/>
                <w:color w:val="auto"/>
                <w:kern w:val="2"/>
                <w:sz w:val="21"/>
                <w:szCs w:val="21"/>
                <w:vertAlign w:val="subscript"/>
              </w:rPr>
              <w:t>18</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w:t>
            </w:r>
            <w:r>
              <w:rPr>
                <w:rFonts w:hint="eastAsia"/>
                <w:color w:val="auto"/>
                <w:kern w:val="2"/>
                <w:sz w:val="21"/>
                <w:szCs w:val="21"/>
                <w:vertAlign w:val="subscript"/>
              </w:rPr>
              <w:t>18</w:t>
            </w:r>
            <w:r>
              <w:rPr>
                <w:color w:val="auto"/>
                <w:kern w:val="2"/>
                <w:sz w:val="21"/>
                <w:szCs w:val="21"/>
                <w:vertAlign w:val="subscript"/>
              </w:rPr>
              <w:t>-5</w:t>
            </w:r>
          </w:p>
        </w:tc>
        <w:tc>
          <w:tcPr>
            <w:tcW w:w="1149"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w:t>
            </w:r>
            <w:r>
              <w:rPr>
                <w:rFonts w:hint="eastAsia"/>
                <w:color w:val="auto"/>
                <w:kern w:val="2"/>
                <w:sz w:val="21"/>
                <w:szCs w:val="21"/>
                <w:vertAlign w:val="subscript"/>
              </w:rPr>
              <w:t>18</w:t>
            </w:r>
            <w:r>
              <w:rPr>
                <w:color w:val="auto"/>
                <w:kern w:val="2"/>
                <w:sz w:val="21"/>
                <w:szCs w:val="21"/>
                <w:vertAlign w:val="subscript"/>
              </w:rPr>
              <w:t>,m</w:t>
            </w:r>
          </w:p>
        </w:tc>
        <w:tc>
          <w:tcPr>
            <w:tcW w:w="1478"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i/>
                <w:iCs/>
                <w:color w:val="auto"/>
                <w:kern w:val="2"/>
                <w:sz w:val="21"/>
                <w:szCs w:val="21"/>
              </w:rPr>
              <w:t>f</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r,c25,d</w:t>
            </w:r>
            <w:r>
              <w:rPr>
                <w:rFonts w:hint="eastAsia"/>
                <w:color w:val="auto"/>
                <w:kern w:val="2"/>
                <w:sz w:val="21"/>
                <w:szCs w:val="21"/>
                <w:vertAlign w:val="subscript"/>
              </w:rPr>
              <w:t>18</w:t>
            </w:r>
          </w:p>
        </w:tc>
        <w:tc>
          <w:tcPr>
            <w:tcW w:w="119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tc>
        <w:tc>
          <w:tcPr>
            <w:tcW w:w="65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25</w:t>
            </w:r>
          </w:p>
        </w:tc>
        <w:tc>
          <w:tcPr>
            <w:tcW w:w="1516"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 test,c25,</w:t>
            </w:r>
            <w:r>
              <w:rPr>
                <w:rFonts w:hint="eastAsia"/>
                <w:color w:val="auto"/>
                <w:kern w:val="2"/>
                <w:sz w:val="21"/>
                <w:szCs w:val="21"/>
                <w:vertAlign w:val="subscript"/>
              </w:rPr>
              <w:t>d25</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r,test,c25,</w:t>
            </w:r>
            <w:r>
              <w:rPr>
                <w:rFonts w:hint="eastAsia"/>
                <w:color w:val="auto"/>
                <w:kern w:val="2"/>
                <w:sz w:val="21"/>
                <w:szCs w:val="21"/>
                <w:vertAlign w:val="subscript"/>
              </w:rPr>
              <w:t>d25</w:t>
            </w:r>
            <w:r>
              <w:rPr>
                <w:color w:val="auto"/>
                <w:kern w:val="2"/>
                <w:sz w:val="21"/>
                <w:szCs w:val="21"/>
                <w:vertAlign w:val="subscript"/>
              </w:rPr>
              <w:t>-5</w:t>
            </w:r>
          </w:p>
        </w:tc>
        <w:tc>
          <w:tcPr>
            <w:tcW w:w="1547"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w:t>
            </w:r>
            <w:r>
              <w:rPr>
                <w:rFonts w:hint="eastAsia"/>
                <w:color w:val="auto"/>
                <w:kern w:val="2"/>
                <w:sz w:val="21"/>
                <w:szCs w:val="21"/>
                <w:vertAlign w:val="subscript"/>
              </w:rPr>
              <w:t>d25</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color w:val="auto"/>
                <w:kern w:val="2"/>
                <w:sz w:val="21"/>
                <w:szCs w:val="21"/>
              </w:rPr>
              <w:t xml:space="preserve"> </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w:t>
            </w:r>
            <w:r>
              <w:rPr>
                <w:rFonts w:hint="eastAsia"/>
                <w:color w:val="auto"/>
                <w:kern w:val="2"/>
                <w:sz w:val="21"/>
                <w:szCs w:val="21"/>
                <w:vertAlign w:val="subscript"/>
              </w:rPr>
              <w:t>d25</w:t>
            </w:r>
            <w:r>
              <w:rPr>
                <w:color w:val="auto"/>
                <w:kern w:val="2"/>
                <w:sz w:val="21"/>
                <w:szCs w:val="21"/>
                <w:vertAlign w:val="subscript"/>
              </w:rPr>
              <w:t>-5</w:t>
            </w:r>
          </w:p>
        </w:tc>
        <w:tc>
          <w:tcPr>
            <w:tcW w:w="1149"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w:t>
            </w:r>
            <w:r>
              <w:rPr>
                <w:rFonts w:hint="eastAsia"/>
                <w:color w:val="auto"/>
                <w:kern w:val="2"/>
                <w:sz w:val="21"/>
                <w:szCs w:val="21"/>
                <w:vertAlign w:val="subscript"/>
              </w:rPr>
              <w:t>d25</w:t>
            </w:r>
            <w:r>
              <w:rPr>
                <w:color w:val="auto"/>
                <w:kern w:val="2"/>
                <w:sz w:val="21"/>
                <w:szCs w:val="21"/>
                <w:vertAlign w:val="subscript"/>
              </w:rPr>
              <w:t>,m</w:t>
            </w:r>
          </w:p>
        </w:tc>
        <w:tc>
          <w:tcPr>
            <w:tcW w:w="1478"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i/>
                <w:iCs/>
                <w:color w:val="auto"/>
                <w:kern w:val="2"/>
                <w:sz w:val="21"/>
                <w:szCs w:val="21"/>
              </w:rPr>
              <w:t>f</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r,c25,</w:t>
            </w:r>
            <w:r>
              <w:rPr>
                <w:rFonts w:hint="eastAsia"/>
                <w:color w:val="auto"/>
                <w:kern w:val="2"/>
                <w:sz w:val="21"/>
                <w:szCs w:val="21"/>
                <w:vertAlign w:val="subscript"/>
              </w:rPr>
              <w:t>d25</w:t>
            </w:r>
          </w:p>
        </w:tc>
        <w:tc>
          <w:tcPr>
            <w:tcW w:w="119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C</w:t>
            </w:r>
            <w:r>
              <w:rPr>
                <w:color w:val="auto"/>
                <w:kern w:val="2"/>
                <w:sz w:val="21"/>
                <w:szCs w:val="21"/>
              </w:rPr>
              <w:t>60</w:t>
            </w:r>
          </w:p>
        </w:tc>
        <w:tc>
          <w:tcPr>
            <w:tcW w:w="65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25</w:t>
            </w:r>
          </w:p>
        </w:tc>
        <w:tc>
          <w:tcPr>
            <w:tcW w:w="1516"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 test,c60,</w:t>
            </w:r>
            <w:r>
              <w:rPr>
                <w:rFonts w:hint="eastAsia"/>
                <w:color w:val="auto"/>
                <w:kern w:val="2"/>
                <w:sz w:val="21"/>
                <w:szCs w:val="21"/>
                <w:vertAlign w:val="subscript"/>
              </w:rPr>
              <w:t>d25</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r,est,c60,</w:t>
            </w:r>
            <w:r>
              <w:rPr>
                <w:rFonts w:hint="eastAsia"/>
                <w:color w:val="auto"/>
                <w:kern w:val="2"/>
                <w:sz w:val="21"/>
                <w:szCs w:val="21"/>
                <w:vertAlign w:val="subscript"/>
              </w:rPr>
              <w:t>d25</w:t>
            </w:r>
            <w:r>
              <w:rPr>
                <w:color w:val="auto"/>
                <w:kern w:val="2"/>
                <w:sz w:val="21"/>
                <w:szCs w:val="21"/>
                <w:vertAlign w:val="subscript"/>
              </w:rPr>
              <w:t>-5</w:t>
            </w:r>
          </w:p>
        </w:tc>
        <w:tc>
          <w:tcPr>
            <w:tcW w:w="1547"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r,c60,</w:t>
            </w:r>
            <w:r>
              <w:rPr>
                <w:rFonts w:hint="eastAsia"/>
                <w:color w:val="auto"/>
                <w:kern w:val="2"/>
                <w:sz w:val="21"/>
                <w:szCs w:val="21"/>
                <w:vertAlign w:val="subscript"/>
              </w:rPr>
              <w:t>d25</w:t>
            </w:r>
            <w:r>
              <w:rPr>
                <w:color w:val="auto"/>
                <w:kern w:val="2"/>
                <w:sz w:val="21"/>
                <w:szCs w:val="21"/>
                <w:vertAlign w:val="subscript"/>
              </w:rPr>
              <w:t>-1</w:t>
            </w: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r,c60,</w:t>
            </w:r>
            <w:r>
              <w:rPr>
                <w:rFonts w:hint="eastAsia"/>
                <w:color w:val="auto"/>
                <w:kern w:val="2"/>
                <w:sz w:val="21"/>
                <w:szCs w:val="21"/>
                <w:vertAlign w:val="subscript"/>
              </w:rPr>
              <w:t>d25</w:t>
            </w:r>
            <w:r>
              <w:rPr>
                <w:color w:val="auto"/>
                <w:kern w:val="2"/>
                <w:sz w:val="21"/>
                <w:szCs w:val="21"/>
                <w:vertAlign w:val="subscript"/>
              </w:rPr>
              <w:t>-5</w:t>
            </w:r>
          </w:p>
        </w:tc>
        <w:tc>
          <w:tcPr>
            <w:tcW w:w="1149"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r,c60,</w:t>
            </w:r>
            <w:r>
              <w:rPr>
                <w:rFonts w:hint="eastAsia"/>
                <w:color w:val="auto"/>
                <w:kern w:val="2"/>
                <w:sz w:val="21"/>
                <w:szCs w:val="21"/>
                <w:vertAlign w:val="subscript"/>
              </w:rPr>
              <w:t>d25</w:t>
            </w:r>
            <w:r>
              <w:rPr>
                <w:color w:val="auto"/>
                <w:kern w:val="2"/>
                <w:sz w:val="21"/>
                <w:szCs w:val="21"/>
                <w:vertAlign w:val="subscript"/>
              </w:rPr>
              <w:t>,m</w:t>
            </w:r>
          </w:p>
        </w:tc>
        <w:tc>
          <w:tcPr>
            <w:tcW w:w="1478"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sz w:val="21"/>
                <w:szCs w:val="21"/>
              </w:rPr>
            </w:pPr>
            <w:r>
              <w:rPr>
                <w:i/>
                <w:iCs/>
                <w:color w:val="auto"/>
                <w:kern w:val="2"/>
                <w:sz w:val="21"/>
                <w:szCs w:val="21"/>
              </w:rPr>
              <w:t>f</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r,c60,</w:t>
            </w:r>
            <w:r>
              <w:rPr>
                <w:rFonts w:hint="eastAsia"/>
                <w:color w:val="auto"/>
                <w:kern w:val="2"/>
                <w:sz w:val="21"/>
                <w:szCs w:val="21"/>
                <w:vertAlign w:val="subscript"/>
              </w:rPr>
              <w:t>d25</w:t>
            </w:r>
          </w:p>
        </w:tc>
        <w:tc>
          <w:tcPr>
            <w:tcW w:w="1193" w:type="dxa"/>
            <w:vAlign w:val="center"/>
          </w:tcPr>
          <w:p>
            <w:pPr>
              <w:pStyle w:val="2"/>
              <w:keepNext w:val="0"/>
              <w:keepLines w:val="0"/>
              <w:pageBreakBefore w:val="0"/>
              <w:widowControl w:val="0"/>
              <w:kinsoku/>
              <w:wordWrap/>
              <w:overflowPunct/>
              <w:topLinePunct w:val="0"/>
              <w:autoSpaceDE/>
              <w:autoSpaceDN/>
              <w:bidi w:val="0"/>
              <w:adjustRightInd/>
              <w:spacing w:after="0" w:line="288" w:lineRule="auto"/>
              <w:ind w:left="0" w:leftChars="0" w:firstLine="0" w:firstLineChars="0"/>
              <w:jc w:val="center"/>
              <w:textAlignment w:val="auto"/>
              <w:rPr>
                <w:color w:val="auto"/>
                <w:sz w:val="21"/>
                <w:szCs w:val="21"/>
              </w:rPr>
            </w:pPr>
            <w:r>
              <w:rPr>
                <w:rFonts w:hint="eastAsia"/>
                <w:bCs/>
                <w:i/>
                <w:iCs/>
                <w:color w:val="auto"/>
                <w:sz w:val="21"/>
                <w:szCs w:val="21"/>
              </w:rPr>
              <w:t>f</w:t>
            </w:r>
            <w:r>
              <w:rPr>
                <w:bCs/>
                <w:color w:val="auto"/>
                <w:sz w:val="21"/>
                <w:szCs w:val="21"/>
                <w:vertAlign w:val="subscript"/>
              </w:rPr>
              <w:t>bm,r,c60</w:t>
            </w:r>
          </w:p>
        </w:tc>
      </w:tr>
    </w:tbl>
    <w:p>
      <w:pPr>
        <w:pStyle w:val="2"/>
        <w:spacing w:after="0" w:line="360" w:lineRule="auto"/>
        <w:ind w:left="0" w:leftChars="0" w:firstLine="0" w:firstLineChars="0"/>
        <w:rPr>
          <w:color w:val="auto"/>
          <w:sz w:val="24"/>
          <w:szCs w:val="24"/>
        </w:rPr>
      </w:pPr>
      <w:r>
        <w:rPr>
          <w:rFonts w:hint="eastAsia"/>
          <w:b/>
          <w:color w:val="auto"/>
          <w:sz w:val="24"/>
          <w:szCs w:val="24"/>
        </w:rPr>
        <w:t>B.2.</w:t>
      </w:r>
      <w:r>
        <w:rPr>
          <w:b/>
          <w:color w:val="auto"/>
          <w:sz w:val="24"/>
          <w:szCs w:val="24"/>
        </w:rPr>
        <w:t>5</w:t>
      </w:r>
      <w:r>
        <w:rPr>
          <w:rFonts w:hint="eastAsia"/>
          <w:b/>
          <w:color w:val="auto"/>
          <w:sz w:val="24"/>
          <w:szCs w:val="24"/>
        </w:rPr>
        <w:t xml:space="preserve"> </w:t>
      </w:r>
      <w:r>
        <w:rPr>
          <w:rFonts w:hint="eastAsia"/>
          <w:bCs/>
          <w:color w:val="auto"/>
          <w:sz w:val="24"/>
          <w:szCs w:val="24"/>
        </w:rPr>
        <w:t>根据基准试验</w:t>
      </w:r>
      <w:r>
        <w:rPr>
          <w:rFonts w:hint="eastAsia"/>
          <w:color w:val="auto"/>
          <w:sz w:val="24"/>
          <w:szCs w:val="24"/>
        </w:rPr>
        <w:t>的极限荷载测试值，可按下式计算混凝土强度归一化处理后的极限荷载值</w:t>
      </w:r>
      <w:r>
        <w:rPr>
          <w:i/>
          <w:iCs/>
          <w:color w:val="auto"/>
          <w:sz w:val="24"/>
          <w:szCs w:val="24"/>
        </w:rPr>
        <w:t>N</w:t>
      </w:r>
      <w:r>
        <w:rPr>
          <w:color w:val="auto"/>
          <w:sz w:val="24"/>
          <w:szCs w:val="24"/>
          <w:vertAlign w:val="subscript"/>
        </w:rPr>
        <w:t>u,r,c25,dj-k</w:t>
      </w:r>
      <w:r>
        <w:rPr>
          <w:rFonts w:hint="eastAsia"/>
          <w:color w:val="auto"/>
          <w:sz w:val="24"/>
          <w:szCs w:val="24"/>
        </w:rPr>
        <w:t>和</w:t>
      </w:r>
      <w:r>
        <w:rPr>
          <w:i/>
          <w:iCs/>
          <w:color w:val="auto"/>
          <w:sz w:val="24"/>
          <w:szCs w:val="24"/>
        </w:rPr>
        <w:t>N</w:t>
      </w:r>
      <w:r>
        <w:rPr>
          <w:color w:val="auto"/>
          <w:sz w:val="24"/>
          <w:szCs w:val="24"/>
          <w:vertAlign w:val="subscript"/>
        </w:rPr>
        <w:t>u,r,c60,</w:t>
      </w:r>
      <w:r>
        <w:rPr>
          <w:rFonts w:hint="eastAsia"/>
          <w:color w:val="auto"/>
          <w:sz w:val="24"/>
          <w:szCs w:val="24"/>
          <w:vertAlign w:val="subscript"/>
        </w:rPr>
        <w:t>d25</w:t>
      </w:r>
      <w:r>
        <w:rPr>
          <w:color w:val="auto"/>
          <w:sz w:val="24"/>
          <w:szCs w:val="24"/>
          <w:vertAlign w:val="subscript"/>
        </w:rPr>
        <w:t>-k</w:t>
      </w:r>
      <w:r>
        <w:rPr>
          <w:rFonts w:hint="eastAsia"/>
          <w:color w:val="auto"/>
          <w:sz w:val="24"/>
          <w:szCs w:val="24"/>
        </w:rPr>
        <w:t>：</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u,r,c25,dj−k</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u,r,test,c25,dj−k</m:t>
            </m:r>
            <m:ctrlPr>
              <w:rPr>
                <w:rFonts w:ascii="Cambria Math" w:hAnsi="Cambria Math"/>
                <w:i/>
                <w:color w:val="auto"/>
                <w:sz w:val="24"/>
                <w:szCs w:val="24"/>
              </w:rPr>
            </m:ctrlPr>
          </m:sub>
        </m:sSub>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cu,k,25</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cu,k,test,c25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0.3</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5-1）</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u,r,c60,d25−k</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u,r,test,c60,d25−k</m:t>
            </m:r>
            <m:ctrlPr>
              <w:rPr>
                <w:rFonts w:ascii="Cambria Math" w:hAnsi="Cambria Math"/>
                <w:i/>
                <w:color w:val="auto"/>
                <w:sz w:val="24"/>
                <w:szCs w:val="24"/>
              </w:rPr>
            </m:ctrlPr>
          </m:sub>
        </m:sSub>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cu,k,60</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cu,k,test,c60</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0.3</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5-2）</w:t>
      </w:r>
    </w:p>
    <w:tbl>
      <w:tblPr>
        <w:tblStyle w:val="28"/>
        <w:tblW w:w="831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8"/>
        <w:gridCol w:w="1879"/>
        <w:gridCol w:w="456"/>
        <w:gridCol w:w="5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598" w:type="dxa"/>
            <w:tcMar>
              <w:left w:w="0" w:type="dxa"/>
              <w:right w:w="0" w:type="dxa"/>
            </w:tcMar>
          </w:tcPr>
          <w:p>
            <w:pPr>
              <w:spacing w:after="0" w:line="360" w:lineRule="auto"/>
              <w:rPr>
                <w:iCs/>
                <w:color w:val="auto"/>
                <w:sz w:val="24"/>
                <w:szCs w:val="24"/>
              </w:rPr>
            </w:pPr>
            <w:r>
              <w:rPr>
                <w:rFonts w:hint="eastAsia"/>
                <w:iCs/>
                <w:color w:val="auto"/>
                <w:sz w:val="24"/>
                <w:szCs w:val="24"/>
              </w:rPr>
              <w:t>式中:</w:t>
            </w:r>
          </w:p>
        </w:tc>
        <w:tc>
          <w:tcPr>
            <w:tcW w:w="1879" w:type="dxa"/>
          </w:tcPr>
          <w:p>
            <w:pPr>
              <w:spacing w:after="0" w:line="360" w:lineRule="auto"/>
              <w:jc w:val="right"/>
              <w:rPr>
                <w:i/>
                <w:color w:val="auto"/>
                <w:sz w:val="24"/>
                <w:szCs w:val="24"/>
              </w:rPr>
            </w:pPr>
            <w:r>
              <w:rPr>
                <w:i/>
                <w:color w:val="auto"/>
                <w:sz w:val="24"/>
                <w:szCs w:val="24"/>
              </w:rPr>
              <w:t>k</w:t>
            </w:r>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极限荷载测试值编号1</w:t>
            </w:r>
            <w:r>
              <w:rPr>
                <w:iCs/>
                <w:color w:val="auto"/>
                <w:sz w:val="24"/>
                <w:szCs w:val="24"/>
              </w:rPr>
              <w:t>~5</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598" w:type="dxa"/>
          </w:tcPr>
          <w:p>
            <w:pPr>
              <w:spacing w:after="0" w:line="360" w:lineRule="auto"/>
              <w:rPr>
                <w:iCs/>
                <w:color w:val="auto"/>
                <w:sz w:val="24"/>
                <w:szCs w:val="24"/>
              </w:rPr>
            </w:pPr>
          </w:p>
        </w:tc>
        <w:tc>
          <w:tcPr>
            <w:tcW w:w="1879" w:type="dxa"/>
          </w:tcPr>
          <w:p>
            <w:pPr>
              <w:spacing w:after="0" w:line="360" w:lineRule="auto"/>
              <w:jc w:val="right"/>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u,r,c25,dj−k</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按混凝土强度归一化处理后的C</w:t>
            </w:r>
            <w:r>
              <w:rPr>
                <w:iCs/>
                <w:color w:val="auto"/>
                <w:sz w:val="24"/>
                <w:szCs w:val="24"/>
              </w:rPr>
              <w:t>25</w:t>
            </w:r>
            <w:r>
              <w:rPr>
                <w:rFonts w:hint="eastAsia"/>
                <w:iCs/>
                <w:color w:val="auto"/>
                <w:sz w:val="24"/>
                <w:szCs w:val="24"/>
              </w:rPr>
              <w:t>混凝土基准测试的极限荷载值（N）；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598" w:type="dxa"/>
          </w:tcPr>
          <w:p>
            <w:pPr>
              <w:spacing w:after="0" w:line="360" w:lineRule="auto"/>
              <w:rPr>
                <w:iCs/>
                <w:color w:val="auto"/>
                <w:sz w:val="24"/>
                <w:szCs w:val="24"/>
              </w:rPr>
            </w:pPr>
          </w:p>
        </w:tc>
        <w:tc>
          <w:tcPr>
            <w:tcW w:w="1879" w:type="dxa"/>
          </w:tcPr>
          <w:p>
            <w:pPr>
              <w:spacing w:after="0" w:line="360" w:lineRule="auto"/>
              <w:jc w:val="right"/>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u,r,c60,d25−k</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按混凝土强度归一化处理后的C</w:t>
            </w:r>
            <w:r>
              <w:rPr>
                <w:iCs/>
                <w:color w:val="auto"/>
                <w:sz w:val="24"/>
                <w:szCs w:val="24"/>
              </w:rPr>
              <w:t>60</w:t>
            </w:r>
            <w:r>
              <w:rPr>
                <w:rFonts w:hint="eastAsia"/>
                <w:iCs/>
                <w:color w:val="auto"/>
                <w:sz w:val="24"/>
                <w:szCs w:val="24"/>
              </w:rPr>
              <w:t>混凝土基准测试的极限荷载值（N）；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98" w:type="dxa"/>
          </w:tcPr>
          <w:p>
            <w:pPr>
              <w:spacing w:after="0" w:line="360" w:lineRule="auto"/>
              <w:rPr>
                <w:iCs/>
                <w:color w:val="auto"/>
                <w:sz w:val="24"/>
                <w:szCs w:val="24"/>
              </w:rPr>
            </w:pPr>
          </w:p>
        </w:tc>
        <w:tc>
          <w:tcPr>
            <w:tcW w:w="1879"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u,r,test,c25,dj−k</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C</w:t>
            </w:r>
            <w:r>
              <w:rPr>
                <w:iCs/>
                <w:color w:val="auto"/>
                <w:sz w:val="24"/>
                <w:szCs w:val="24"/>
              </w:rPr>
              <w:t>25</w:t>
            </w:r>
            <w:r>
              <w:rPr>
                <w:rFonts w:hint="eastAsia"/>
                <w:iCs/>
                <w:color w:val="auto"/>
                <w:sz w:val="24"/>
                <w:szCs w:val="24"/>
              </w:rPr>
              <w:t>混凝土基准测试的单个极限荷载测试值（N）；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98" w:type="dxa"/>
          </w:tcPr>
          <w:p>
            <w:pPr>
              <w:spacing w:after="0" w:line="360" w:lineRule="auto"/>
              <w:rPr>
                <w:iCs/>
                <w:color w:val="auto"/>
                <w:sz w:val="24"/>
                <w:szCs w:val="24"/>
              </w:rPr>
            </w:pPr>
          </w:p>
        </w:tc>
        <w:tc>
          <w:tcPr>
            <w:tcW w:w="1879" w:type="dxa"/>
          </w:tcPr>
          <w:p>
            <w:pPr>
              <w:spacing w:after="0" w:line="360" w:lineRule="auto"/>
              <w:jc w:val="right"/>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u,r,test,c60,d25−k</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C</w:t>
            </w:r>
            <w:r>
              <w:rPr>
                <w:iCs/>
                <w:color w:val="auto"/>
                <w:sz w:val="24"/>
                <w:szCs w:val="24"/>
              </w:rPr>
              <w:t>60</w:t>
            </w:r>
            <w:r>
              <w:rPr>
                <w:rFonts w:hint="eastAsia"/>
                <w:iCs/>
                <w:color w:val="auto"/>
                <w:sz w:val="24"/>
                <w:szCs w:val="24"/>
              </w:rPr>
              <w:t>混凝土基准测试的单个极限荷载测试值（N）；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598" w:type="dxa"/>
          </w:tcPr>
          <w:p>
            <w:pPr>
              <w:spacing w:after="0" w:line="360" w:lineRule="auto"/>
              <w:rPr>
                <w:iCs/>
                <w:color w:val="auto"/>
                <w:sz w:val="24"/>
                <w:szCs w:val="24"/>
              </w:rPr>
            </w:pPr>
          </w:p>
        </w:tc>
        <w:tc>
          <w:tcPr>
            <w:tcW w:w="1879"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cu,k,test,c25</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iCs/>
                <w:color w:val="auto"/>
                <w:sz w:val="24"/>
                <w:szCs w:val="24"/>
              </w:rPr>
            </w:pPr>
            <w:r>
              <w:rPr>
                <w:rFonts w:hint="eastAsia"/>
                <w:iCs/>
                <w:color w:val="auto"/>
                <w:sz w:val="24"/>
                <w:szCs w:val="24"/>
              </w:rPr>
              <w:t>本次测试批次C</w:t>
            </w:r>
            <w:r>
              <w:rPr>
                <w:iCs/>
                <w:color w:val="auto"/>
                <w:sz w:val="24"/>
                <w:szCs w:val="24"/>
              </w:rPr>
              <w:t>25</w:t>
            </w:r>
            <w:r>
              <w:rPr>
                <w:rFonts w:hint="eastAsia"/>
                <w:iCs/>
                <w:color w:val="auto"/>
                <w:sz w:val="24"/>
                <w:szCs w:val="24"/>
              </w:rPr>
              <w:t>混凝土样品的实测强度（N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598" w:type="dxa"/>
          </w:tcPr>
          <w:p>
            <w:pPr>
              <w:spacing w:after="0" w:line="360" w:lineRule="auto"/>
              <w:rPr>
                <w:iCs/>
                <w:color w:val="auto"/>
              </w:rPr>
            </w:pPr>
          </w:p>
        </w:tc>
        <w:tc>
          <w:tcPr>
            <w:tcW w:w="1879" w:type="dxa"/>
          </w:tcPr>
          <w:p>
            <w:pPr>
              <w:spacing w:after="0" w:line="360" w:lineRule="auto"/>
              <w:jc w:val="right"/>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cu,k,test,c60</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spacing w:after="0" w:line="360" w:lineRule="auto"/>
              <w:rPr>
                <w:iCs/>
                <w:color w:val="auto"/>
                <w:sz w:val="24"/>
                <w:szCs w:val="24"/>
              </w:rPr>
            </w:pPr>
            <w:r>
              <w:rPr>
                <w:rFonts w:hint="eastAsia"/>
                <w:iCs/>
                <w:color w:val="auto"/>
                <w:sz w:val="24"/>
                <w:szCs w:val="24"/>
              </w:rPr>
              <w:t>本次测试批次C</w:t>
            </w:r>
            <w:r>
              <w:rPr>
                <w:iCs/>
                <w:color w:val="auto"/>
                <w:sz w:val="24"/>
                <w:szCs w:val="24"/>
              </w:rPr>
              <w:t>60</w:t>
            </w:r>
            <w:r>
              <w:rPr>
                <w:rFonts w:hint="eastAsia"/>
                <w:iCs/>
                <w:color w:val="auto"/>
                <w:sz w:val="24"/>
                <w:szCs w:val="24"/>
              </w:rPr>
              <w:t>混凝土样品的实测强度（N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98" w:type="dxa"/>
          </w:tcPr>
          <w:p>
            <w:pPr>
              <w:spacing w:after="0" w:line="360" w:lineRule="auto"/>
              <w:rPr>
                <w:iCs/>
                <w:color w:val="auto"/>
              </w:rPr>
            </w:pPr>
          </w:p>
        </w:tc>
        <w:tc>
          <w:tcPr>
            <w:tcW w:w="1879"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cu,k,25</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spacing w:after="0" w:line="360" w:lineRule="auto"/>
              <w:rPr>
                <w:iCs/>
                <w:color w:val="auto"/>
                <w:sz w:val="24"/>
                <w:szCs w:val="24"/>
              </w:rPr>
            </w:pPr>
            <w:r>
              <w:rPr>
                <w:iCs/>
                <w:color w:val="auto"/>
                <w:sz w:val="24"/>
                <w:szCs w:val="24"/>
              </w:rPr>
              <w:t>C25</w:t>
            </w:r>
            <w:r>
              <w:rPr>
                <w:rFonts w:hint="eastAsia"/>
                <w:iCs/>
                <w:color w:val="auto"/>
                <w:sz w:val="24"/>
                <w:szCs w:val="24"/>
              </w:rPr>
              <w:t>混凝土的抗压强度标准值，取2</w:t>
            </w:r>
            <w:r>
              <w:rPr>
                <w:iCs/>
                <w:color w:val="auto"/>
                <w:sz w:val="24"/>
                <w:szCs w:val="24"/>
              </w:rPr>
              <w:t>5</w:t>
            </w:r>
            <w:r>
              <w:rPr>
                <w:rFonts w:hint="eastAsia"/>
                <w:iCs/>
                <w:color w:val="auto"/>
                <w:sz w:val="24"/>
                <w:szCs w:val="24"/>
              </w:rPr>
              <w:t>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98" w:type="dxa"/>
          </w:tcPr>
          <w:p>
            <w:pPr>
              <w:spacing w:after="0" w:line="360" w:lineRule="auto"/>
              <w:rPr>
                <w:iCs/>
                <w:color w:val="auto"/>
              </w:rPr>
            </w:pPr>
          </w:p>
        </w:tc>
        <w:tc>
          <w:tcPr>
            <w:tcW w:w="1879" w:type="dxa"/>
          </w:tcPr>
          <w:p>
            <w:pPr>
              <w:spacing w:after="0" w:line="360" w:lineRule="auto"/>
              <w:jc w:val="right"/>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cu,k,60</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381" w:type="dxa"/>
          </w:tcPr>
          <w:p>
            <w:pPr>
              <w:spacing w:after="0" w:line="360" w:lineRule="auto"/>
              <w:rPr>
                <w:iCs/>
                <w:color w:val="auto"/>
                <w:sz w:val="24"/>
                <w:szCs w:val="24"/>
              </w:rPr>
            </w:pPr>
            <w:r>
              <w:rPr>
                <w:iCs/>
                <w:color w:val="auto"/>
                <w:sz w:val="24"/>
                <w:szCs w:val="24"/>
              </w:rPr>
              <w:t>C60</w:t>
            </w:r>
            <w:r>
              <w:rPr>
                <w:rFonts w:hint="eastAsia"/>
                <w:iCs/>
                <w:color w:val="auto"/>
                <w:sz w:val="24"/>
                <w:szCs w:val="24"/>
              </w:rPr>
              <w:t>混凝土的抗压强度标准值，取</w:t>
            </w:r>
            <w:r>
              <w:rPr>
                <w:iCs/>
                <w:color w:val="auto"/>
                <w:sz w:val="24"/>
                <w:szCs w:val="24"/>
              </w:rPr>
              <w:t>60</w:t>
            </w:r>
            <w:r>
              <w:rPr>
                <w:rFonts w:hint="eastAsia"/>
                <w:iCs/>
                <w:color w:val="auto"/>
                <w:sz w:val="24"/>
                <w:szCs w:val="24"/>
              </w:rPr>
              <w:t>N</w:t>
            </w:r>
            <w:r>
              <w:rPr>
                <w:iCs/>
                <w:color w:val="auto"/>
                <w:sz w:val="24"/>
                <w:szCs w:val="24"/>
              </w:rPr>
              <w:t>/mm</w:t>
            </w:r>
            <w:r>
              <w:rPr>
                <w:iCs/>
                <w:color w:val="auto"/>
                <w:sz w:val="24"/>
                <w:szCs w:val="24"/>
                <w:vertAlign w:val="superscript"/>
              </w:rPr>
              <w:t>2</w:t>
            </w:r>
            <w:r>
              <w:rPr>
                <w:rFonts w:hint="eastAsia"/>
                <w:iCs/>
                <w:color w:val="auto"/>
                <w:sz w:val="24"/>
                <w:szCs w:val="24"/>
              </w:rPr>
              <w:t>；</w:t>
            </w:r>
          </w:p>
        </w:tc>
      </w:tr>
    </w:tbl>
    <w:p>
      <w:pPr>
        <w:spacing w:after="0" w:line="360" w:lineRule="auto"/>
        <w:rPr>
          <w:bCs/>
          <w:color w:val="auto"/>
          <w:sz w:val="24"/>
          <w:szCs w:val="24"/>
        </w:rPr>
      </w:pPr>
      <w:r>
        <w:rPr>
          <w:rFonts w:hint="eastAsia"/>
          <w:b/>
          <w:color w:val="auto"/>
          <w:sz w:val="24"/>
          <w:szCs w:val="24"/>
        </w:rPr>
        <w:t>B.2.</w:t>
      </w:r>
      <w:r>
        <w:rPr>
          <w:b/>
          <w:color w:val="auto"/>
          <w:sz w:val="24"/>
          <w:szCs w:val="24"/>
        </w:rPr>
        <w:t>6</w:t>
      </w:r>
      <w:r>
        <w:rPr>
          <w:bCs/>
          <w:color w:val="auto"/>
          <w:sz w:val="24"/>
          <w:szCs w:val="24"/>
        </w:rPr>
        <w:t xml:space="preserve"> </w:t>
      </w:r>
      <w:r>
        <w:rPr>
          <w:rFonts w:hint="eastAsia"/>
          <w:bCs/>
          <w:color w:val="auto"/>
          <w:sz w:val="24"/>
          <w:szCs w:val="24"/>
        </w:rPr>
        <w:t>根据按混凝土强度归一化处理后的各组极限荷载平均值，由三种植筋直径</w:t>
      </w:r>
      <w:r>
        <w:rPr>
          <w:bCs/>
          <w:color w:val="auto"/>
          <w:sz w:val="24"/>
          <w:szCs w:val="24"/>
        </w:rPr>
        <w:t>12</w:t>
      </w:r>
      <w:r>
        <w:rPr>
          <w:rFonts w:hint="eastAsia"/>
          <w:bCs/>
          <w:color w:val="auto"/>
          <w:sz w:val="24"/>
          <w:szCs w:val="24"/>
        </w:rPr>
        <w:t>，18，25的相对肋面积，可按下式计算对应的按钢筋相对肋面积归一化处理后的极限粘结强度值：</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u,r,c25,d12</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u,r,c25,d12,m</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π∙d∙</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v</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m:rPr/>
                      <w:rPr>
                        <w:rFonts w:ascii="Cambria Math" w:hAnsi="Cambria Math"/>
                        <w:color w:val="auto"/>
                        <w:sz w:val="24"/>
                        <w:szCs w:val="24"/>
                      </w:rPr>
                      <m:t>0.08</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R,d12</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0.4</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6-1）</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u,r,c25,d18</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u,r,c25,d18,m</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π∙d∙</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v</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m:rPr/>
                      <w:rPr>
                        <w:rFonts w:ascii="Cambria Math" w:hAnsi="Cambria Math"/>
                        <w:color w:val="auto"/>
                        <w:sz w:val="24"/>
                        <w:szCs w:val="24"/>
                      </w:rPr>
                      <m:t>0.08</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R,d18</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0.4</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6-2）</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u,r,c25,d25</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u,r,c25,d18,m</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π∙d∙</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v</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m:rPr/>
                      <w:rPr>
                        <w:rFonts w:ascii="Cambria Math" w:hAnsi="Cambria Math"/>
                        <w:color w:val="auto"/>
                        <w:sz w:val="24"/>
                        <w:szCs w:val="24"/>
                      </w:rPr>
                      <m:t>0.08</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R,d25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0.4</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6-3）</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u,r,c60,d25</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u,r,c60,d18,m</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π∙d∙</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v</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m:rPr/>
                      <w:rPr>
                        <w:rFonts w:ascii="Cambria Math" w:hAnsi="Cambria Math"/>
                        <w:color w:val="auto"/>
                        <w:sz w:val="24"/>
                        <w:szCs w:val="24"/>
                      </w:rPr>
                      <m:t>0.08</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R,d25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0.4</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6-4）</w:t>
      </w:r>
    </w:p>
    <w:tbl>
      <w:tblPr>
        <w:tblStyle w:val="28"/>
        <w:tblW w:w="0" w:type="auto"/>
        <w:tblInd w:w="-1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8"/>
        <w:gridCol w:w="1238"/>
        <w:gridCol w:w="523"/>
        <w:gridCol w:w="5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8" w:type="dxa"/>
          </w:tcPr>
          <w:p>
            <w:pPr>
              <w:spacing w:after="0" w:line="360" w:lineRule="auto"/>
              <w:rPr>
                <w:iCs/>
                <w:color w:val="auto"/>
                <w:sz w:val="24"/>
                <w:szCs w:val="24"/>
              </w:rPr>
            </w:pPr>
            <w:r>
              <w:rPr>
                <w:rFonts w:hint="eastAsia"/>
                <w:iCs/>
                <w:color w:val="auto"/>
                <w:sz w:val="24"/>
                <w:szCs w:val="24"/>
              </w:rPr>
              <w:t>式中:</w:t>
            </w:r>
          </w:p>
        </w:tc>
        <w:tc>
          <w:tcPr>
            <w:tcW w:w="1238"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u,r,ci.dj</m:t>
                    </m:r>
                    <m:ctrlPr>
                      <w:rPr>
                        <w:rFonts w:ascii="Cambria Math" w:hAnsi="Cambria Math"/>
                        <w:i/>
                        <w:color w:val="auto"/>
                        <w:sz w:val="24"/>
                        <w:szCs w:val="24"/>
                      </w:rPr>
                    </m:ctrlPr>
                  </m:sub>
                </m:sSub>
              </m:oMath>
            </m:oMathPara>
          </w:p>
        </w:tc>
        <w:tc>
          <w:tcPr>
            <w:tcW w:w="523"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920" w:type="dxa"/>
          </w:tcPr>
          <w:p>
            <w:pPr>
              <w:spacing w:after="0" w:line="360" w:lineRule="auto"/>
              <w:rPr>
                <w:iCs/>
                <w:color w:val="auto"/>
                <w:sz w:val="24"/>
                <w:szCs w:val="24"/>
              </w:rPr>
            </w:pPr>
            <w:r>
              <w:rPr>
                <w:rFonts w:hint="eastAsia"/>
                <w:iCs/>
                <w:color w:val="auto"/>
                <w:sz w:val="24"/>
                <w:szCs w:val="24"/>
              </w:rPr>
              <w:t>混凝土等级</w:t>
            </w:r>
            <w:r>
              <w:rPr>
                <w:iCs/>
                <w:color w:val="auto"/>
                <w:sz w:val="24"/>
                <w:szCs w:val="24"/>
              </w:rPr>
              <w:t>Ci</w:t>
            </w:r>
            <w:r>
              <w:rPr>
                <w:rFonts w:hint="eastAsia"/>
                <w:iCs/>
                <w:color w:val="auto"/>
                <w:sz w:val="24"/>
                <w:szCs w:val="24"/>
              </w:rPr>
              <w:t>及钢筋直径</w:t>
            </w:r>
            <w:r>
              <w:rPr>
                <w:rFonts w:hint="eastAsia"/>
                <w:i/>
                <w:color w:val="auto"/>
                <w:sz w:val="24"/>
                <w:szCs w:val="24"/>
              </w:rPr>
              <w:t>d</w:t>
            </w:r>
            <w:r>
              <w:rPr>
                <w:rFonts w:hint="eastAsia"/>
                <w:iCs/>
                <w:color w:val="auto"/>
                <w:sz w:val="24"/>
                <w:szCs w:val="24"/>
                <w:vertAlign w:val="subscript"/>
              </w:rPr>
              <w:t>j</w:t>
            </w:r>
            <w:r>
              <w:rPr>
                <w:rFonts w:hint="eastAsia"/>
                <w:iCs/>
                <w:color w:val="auto"/>
                <w:sz w:val="24"/>
                <w:szCs w:val="24"/>
              </w:rPr>
              <w:t>条件下，按钢筋相对肋面积归一化处理后的极限粘结强度值（N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8" w:type="dxa"/>
          </w:tcPr>
          <w:p>
            <w:pPr>
              <w:spacing w:after="0" w:line="360" w:lineRule="auto"/>
              <w:rPr>
                <w:iCs/>
                <w:color w:val="auto"/>
                <w:sz w:val="24"/>
                <w:szCs w:val="24"/>
              </w:rPr>
            </w:pPr>
          </w:p>
        </w:tc>
        <w:tc>
          <w:tcPr>
            <w:tcW w:w="1238" w:type="dxa"/>
          </w:tcPr>
          <w:p>
            <w:pPr>
              <w:spacing w:after="0" w:line="360" w:lineRule="auto"/>
              <w:rPr>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u,r,ci,dj,m</m:t>
                    </m:r>
                    <m:ctrlPr>
                      <w:rPr>
                        <w:rFonts w:ascii="Cambria Math" w:hAnsi="Cambria Math"/>
                        <w:i/>
                        <w:color w:val="auto"/>
                        <w:sz w:val="24"/>
                        <w:szCs w:val="24"/>
                      </w:rPr>
                    </m:ctrlPr>
                  </m:sub>
                </m:sSub>
              </m:oMath>
            </m:oMathPara>
          </w:p>
        </w:tc>
        <w:tc>
          <w:tcPr>
            <w:tcW w:w="523"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920" w:type="dxa"/>
          </w:tcPr>
          <w:p>
            <w:pPr>
              <w:spacing w:after="0" w:line="360" w:lineRule="auto"/>
              <w:rPr>
                <w:iCs/>
                <w:color w:val="auto"/>
                <w:sz w:val="24"/>
                <w:szCs w:val="24"/>
              </w:rPr>
            </w:pPr>
            <w:r>
              <w:rPr>
                <w:rFonts w:hint="eastAsia"/>
                <w:bCs/>
                <w:color w:val="auto"/>
                <w:sz w:val="24"/>
                <w:szCs w:val="24"/>
              </w:rPr>
              <w:t>混凝土等级Ci及钢筋直径</w:t>
            </w:r>
            <w:r>
              <w:rPr>
                <w:rFonts w:hint="eastAsia"/>
                <w:bCs/>
                <w:i/>
                <w:iCs/>
                <w:color w:val="auto"/>
                <w:sz w:val="24"/>
                <w:szCs w:val="24"/>
              </w:rPr>
              <w:t>d</w:t>
            </w:r>
            <w:r>
              <w:rPr>
                <w:rFonts w:hint="eastAsia"/>
                <w:bCs/>
                <w:color w:val="auto"/>
                <w:sz w:val="24"/>
                <w:szCs w:val="24"/>
                <w:vertAlign w:val="subscript"/>
              </w:rPr>
              <w:t>j</w:t>
            </w:r>
            <w:r>
              <w:rPr>
                <w:rFonts w:hint="eastAsia"/>
                <w:bCs/>
                <w:color w:val="auto"/>
                <w:sz w:val="24"/>
                <w:szCs w:val="24"/>
              </w:rPr>
              <w:t>条件下，按混凝土强度归一化处理后的极限荷载值的平均值</w:t>
            </w:r>
            <w:r>
              <w:rPr>
                <w:rFonts w:hint="eastAsia"/>
                <w:iCs/>
                <w:color w:val="auto"/>
                <w:sz w:val="24"/>
                <w:szCs w:val="24"/>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8" w:type="dxa"/>
          </w:tcPr>
          <w:p>
            <w:pPr>
              <w:spacing w:after="0" w:line="360" w:lineRule="auto"/>
              <w:rPr>
                <w:iCs/>
                <w:color w:val="auto"/>
                <w:sz w:val="24"/>
                <w:szCs w:val="24"/>
              </w:rPr>
            </w:pPr>
          </w:p>
        </w:tc>
        <w:tc>
          <w:tcPr>
            <w:tcW w:w="1238" w:type="dxa"/>
          </w:tcPr>
          <w:p>
            <w:pPr>
              <w:spacing w:after="0" w:line="360" w:lineRule="auto"/>
              <w:rPr>
                <w:rFonts w:ascii="Cambria Math" w:hAnsi="Cambria Math"/>
                <w:i/>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R,dj</m:t>
                    </m:r>
                    <m:ctrlPr>
                      <w:rPr>
                        <w:rFonts w:ascii="Cambria Math" w:hAnsi="Cambria Math"/>
                        <w:i/>
                        <w:color w:val="auto"/>
                        <w:sz w:val="24"/>
                        <w:szCs w:val="24"/>
                      </w:rPr>
                    </m:ctrlPr>
                  </m:sub>
                </m:sSub>
              </m:oMath>
            </m:oMathPara>
          </w:p>
        </w:tc>
        <w:tc>
          <w:tcPr>
            <w:tcW w:w="523"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920" w:type="dxa"/>
          </w:tcPr>
          <w:p>
            <w:pPr>
              <w:spacing w:after="0" w:line="360" w:lineRule="auto"/>
              <w:rPr>
                <w:iCs/>
                <w:color w:val="auto"/>
                <w:sz w:val="24"/>
                <w:szCs w:val="24"/>
              </w:rPr>
            </w:pPr>
            <w:r>
              <w:rPr>
                <w:rFonts w:hint="eastAsia"/>
                <w:iCs/>
                <w:color w:val="auto"/>
                <w:sz w:val="24"/>
                <w:szCs w:val="24"/>
              </w:rPr>
              <w:t>测试钢筋直径为</w:t>
            </w:r>
            <w:r>
              <w:rPr>
                <w:rFonts w:hint="eastAsia"/>
                <w:i/>
                <w:color w:val="auto"/>
                <w:sz w:val="24"/>
                <w:szCs w:val="24"/>
              </w:rPr>
              <w:t>d</w:t>
            </w:r>
            <w:r>
              <w:rPr>
                <w:iCs/>
                <w:color w:val="auto"/>
                <w:sz w:val="24"/>
                <w:szCs w:val="24"/>
                <w:vertAlign w:val="subscript"/>
              </w:rPr>
              <w:t>j</w:t>
            </w:r>
            <w:r>
              <w:rPr>
                <w:rFonts w:hint="eastAsia"/>
                <w:iCs/>
                <w:color w:val="auto"/>
                <w:sz w:val="24"/>
                <w:szCs w:val="24"/>
              </w:rPr>
              <w:t>时的相对肋面积，可参考</w:t>
            </w:r>
            <w:r>
              <w:rPr>
                <w:rFonts w:hint="eastAsia"/>
                <w:iCs/>
                <w:color w:val="auto"/>
                <w:sz w:val="24"/>
                <w:szCs w:val="24"/>
                <w:lang w:val="en-US" w:eastAsia="zh-CN"/>
              </w:rPr>
              <w:t>现行国家标准</w:t>
            </w:r>
            <w:r>
              <w:rPr>
                <w:rFonts w:hint="eastAsia"/>
                <w:color w:val="auto"/>
                <w:sz w:val="24"/>
                <w:szCs w:val="24"/>
              </w:rPr>
              <w:t>《钢筋混凝土用钢 第2部分：热轧带肋钢筋》</w:t>
            </w:r>
            <w:r>
              <w:rPr>
                <w:rFonts w:hint="eastAsia"/>
                <w:iCs/>
                <w:color w:val="auto"/>
                <w:sz w:val="24"/>
                <w:szCs w:val="24"/>
              </w:rPr>
              <w:t>G</w:t>
            </w:r>
            <w:r>
              <w:rPr>
                <w:iCs/>
                <w:color w:val="auto"/>
                <w:sz w:val="24"/>
                <w:szCs w:val="24"/>
              </w:rPr>
              <w:t>B/T</w:t>
            </w:r>
            <w:r>
              <w:rPr>
                <w:rFonts w:hint="eastAsia"/>
                <w:iCs/>
                <w:color w:val="auto"/>
                <w:sz w:val="24"/>
                <w:szCs w:val="24"/>
                <w:lang w:val="en-US" w:eastAsia="zh-CN"/>
              </w:rPr>
              <w:t xml:space="preserve"> </w:t>
            </w:r>
            <w:r>
              <w:rPr>
                <w:iCs/>
                <w:color w:val="auto"/>
                <w:sz w:val="24"/>
                <w:szCs w:val="24"/>
              </w:rPr>
              <w:t>1499.2</w:t>
            </w:r>
            <w:r>
              <w:rPr>
                <w:rFonts w:hint="eastAsia"/>
                <w:iCs/>
                <w:color w:val="auto"/>
                <w:sz w:val="24"/>
                <w:szCs w:val="24"/>
                <w:lang w:val="en-US" w:eastAsia="zh-CN"/>
              </w:rPr>
              <w:t>的规定</w:t>
            </w:r>
            <w:r>
              <w:rPr>
                <w:rFonts w:hint="eastAsia"/>
                <w:iCs/>
                <w:color w:val="auto"/>
                <w:sz w:val="24"/>
                <w:szCs w:val="24"/>
              </w:rPr>
              <w:t>。</w:t>
            </w:r>
          </w:p>
        </w:tc>
      </w:tr>
    </w:tbl>
    <w:p>
      <w:pPr>
        <w:spacing w:after="0" w:line="360" w:lineRule="auto"/>
        <w:rPr>
          <w:bCs/>
          <w:color w:val="auto"/>
          <w:sz w:val="24"/>
          <w:szCs w:val="24"/>
        </w:rPr>
      </w:pPr>
      <w:r>
        <w:rPr>
          <w:rFonts w:hint="eastAsia"/>
          <w:b/>
          <w:color w:val="auto"/>
          <w:sz w:val="24"/>
          <w:szCs w:val="24"/>
        </w:rPr>
        <w:t>B.2.</w:t>
      </w:r>
      <w:r>
        <w:rPr>
          <w:b/>
          <w:color w:val="auto"/>
          <w:sz w:val="24"/>
          <w:szCs w:val="24"/>
        </w:rPr>
        <w:t>7</w:t>
      </w:r>
      <w:r>
        <w:rPr>
          <w:bCs/>
          <w:color w:val="auto"/>
          <w:sz w:val="24"/>
          <w:szCs w:val="24"/>
        </w:rPr>
        <w:t xml:space="preserve"> </w:t>
      </w:r>
      <w:r>
        <w:rPr>
          <w:rFonts w:hint="eastAsia"/>
          <w:bCs/>
          <w:color w:val="auto"/>
          <w:sz w:val="24"/>
          <w:szCs w:val="24"/>
        </w:rPr>
        <w:t>可按下式计算C</w:t>
      </w:r>
      <w:r>
        <w:rPr>
          <w:bCs/>
          <w:color w:val="auto"/>
          <w:sz w:val="24"/>
          <w:szCs w:val="24"/>
        </w:rPr>
        <w:t>25</w:t>
      </w:r>
      <w:r>
        <w:rPr>
          <w:rFonts w:hint="eastAsia"/>
          <w:bCs/>
          <w:color w:val="auto"/>
          <w:sz w:val="24"/>
          <w:szCs w:val="24"/>
        </w:rPr>
        <w:t>、C60条件基准试验的极限粘结强度平均值</w:t>
      </w:r>
      <w:r>
        <w:rPr>
          <w:rFonts w:hint="eastAsia"/>
          <w:bCs/>
          <w:i/>
          <w:iCs/>
          <w:color w:val="auto"/>
          <w:sz w:val="24"/>
          <w:szCs w:val="24"/>
        </w:rPr>
        <w:t>f</w:t>
      </w:r>
      <w:r>
        <w:rPr>
          <w:rFonts w:hint="eastAsia"/>
          <w:bCs/>
          <w:color w:val="auto"/>
          <w:sz w:val="24"/>
          <w:szCs w:val="24"/>
          <w:vertAlign w:val="subscript"/>
        </w:rPr>
        <w:t>bm,r,c25</w:t>
      </w:r>
      <w:r>
        <w:rPr>
          <w:rFonts w:hint="eastAsia"/>
          <w:bCs/>
          <w:color w:val="auto"/>
          <w:sz w:val="24"/>
          <w:szCs w:val="24"/>
        </w:rPr>
        <w:t>或</w:t>
      </w:r>
      <w:r>
        <w:rPr>
          <w:rFonts w:hint="eastAsia"/>
          <w:bCs/>
          <w:i/>
          <w:iCs/>
          <w:color w:val="auto"/>
          <w:sz w:val="24"/>
          <w:szCs w:val="24"/>
        </w:rPr>
        <w:t>f</w:t>
      </w:r>
      <w:r>
        <w:rPr>
          <w:rFonts w:hint="eastAsia"/>
          <w:bCs/>
          <w:color w:val="auto"/>
          <w:sz w:val="24"/>
          <w:szCs w:val="24"/>
          <w:vertAlign w:val="subscript"/>
        </w:rPr>
        <w:t>bm,r,c6</w:t>
      </w:r>
      <w:r>
        <w:rPr>
          <w:bCs/>
          <w:color w:val="auto"/>
          <w:sz w:val="24"/>
          <w:szCs w:val="24"/>
          <w:vertAlign w:val="subscript"/>
        </w:rPr>
        <w:t>0</w:t>
      </w:r>
      <w:r>
        <w:rPr>
          <w:rFonts w:hint="eastAsia"/>
          <w:bCs/>
          <w:color w:val="auto"/>
          <w:sz w:val="24"/>
          <w:szCs w:val="24"/>
        </w:rPr>
        <w:t>：</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bm,r,c25</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u,r,c25,d12</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u,r,c25,d18</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u,r,c25,d25</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3</m:t>
            </m:r>
            <m:ctrlPr>
              <w:rPr>
                <w:rFonts w:ascii="Cambria Math" w:hAnsi="Cambria Math"/>
                <w:i/>
                <w:color w:val="auto"/>
                <w:sz w:val="24"/>
                <w:szCs w:val="24"/>
              </w:rPr>
            </m:ctrlPr>
          </m:den>
        </m:f>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B.2.</w:t>
      </w:r>
      <w:r>
        <w:rPr>
          <w:color w:val="auto"/>
          <w:sz w:val="24"/>
          <w:szCs w:val="24"/>
        </w:rPr>
        <w:t>7-1)</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bm,r,c60</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u,r,c60,d25</m:t>
            </m:r>
            <m:ctrlPr>
              <w:rPr>
                <w:rFonts w:ascii="Cambria Math" w:hAnsi="Cambria Math"/>
                <w:i/>
                <w:color w:val="auto"/>
                <w:sz w:val="24"/>
                <w:szCs w:val="24"/>
              </w:rPr>
            </m:ctrlPr>
          </m:sub>
        </m:sSub>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B.2.</w:t>
      </w:r>
      <w:r>
        <w:rPr>
          <w:color w:val="auto"/>
          <w:sz w:val="24"/>
          <w:szCs w:val="24"/>
        </w:rPr>
        <w:t>7-2)</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6"/>
        <w:gridCol w:w="992"/>
        <w:gridCol w:w="567"/>
        <w:gridCol w:w="5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auto"/>
                <w:sz w:val="24"/>
                <w:szCs w:val="24"/>
              </w:rPr>
            </w:pPr>
            <w:r>
              <w:rPr>
                <w:rFonts w:hint="eastAsia"/>
                <w:iCs/>
                <w:color w:val="auto"/>
                <w:sz w:val="24"/>
                <w:szCs w:val="24"/>
              </w:rPr>
              <w:t>式中:</w:t>
            </w:r>
          </w:p>
        </w:tc>
        <w:tc>
          <w:tcPr>
            <w:tcW w:w="992" w:type="dxa"/>
          </w:tcPr>
          <w:p>
            <w:pPr>
              <w:spacing w:after="0" w:line="360" w:lineRule="auto"/>
              <w:jc w:val="center"/>
              <w:rPr>
                <w:iCs/>
                <w:color w:val="auto"/>
                <w:sz w:val="24"/>
                <w:szCs w:val="24"/>
              </w:rPr>
            </w:pPr>
            <m:oMathPara>
              <m:oMathParaPr>
                <m:jc m:val="center"/>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bm,r,c25</m:t>
                    </m:r>
                    <m:ctrlPr>
                      <w:rPr>
                        <w:rFonts w:ascii="Cambria Math" w:hAnsi="Cambria Math"/>
                        <w:i/>
                        <w:color w:val="auto"/>
                        <w:sz w:val="24"/>
                        <w:szCs w:val="24"/>
                      </w:rPr>
                    </m:ctrlPr>
                  </m:sub>
                </m:sSub>
              </m:oMath>
            </m:oMathPara>
          </w:p>
        </w:tc>
        <w:tc>
          <w:tcPr>
            <w:tcW w:w="567"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891" w:type="dxa"/>
          </w:tcPr>
          <w:p>
            <w:pPr>
              <w:spacing w:after="0" w:line="360" w:lineRule="auto"/>
              <w:rPr>
                <w:iCs/>
                <w:color w:val="auto"/>
                <w:sz w:val="24"/>
                <w:szCs w:val="24"/>
              </w:rPr>
            </w:pPr>
            <w:r>
              <w:rPr>
                <w:rFonts w:hint="eastAsia"/>
                <w:iCs/>
                <w:color w:val="auto"/>
                <w:sz w:val="24"/>
                <w:szCs w:val="24"/>
              </w:rPr>
              <w:t>混凝土强度等级C2</w:t>
            </w:r>
            <w:r>
              <w:rPr>
                <w:iCs/>
                <w:color w:val="auto"/>
                <w:sz w:val="24"/>
                <w:szCs w:val="24"/>
              </w:rPr>
              <w:t>5</w:t>
            </w:r>
            <w:r>
              <w:rPr>
                <w:rFonts w:hint="eastAsia"/>
                <w:iCs/>
                <w:color w:val="auto"/>
                <w:sz w:val="24"/>
                <w:szCs w:val="24"/>
              </w:rPr>
              <w:t>基准试验的极限粘结强度平均值（N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auto"/>
                <w:sz w:val="24"/>
                <w:szCs w:val="24"/>
              </w:rPr>
            </w:pPr>
          </w:p>
        </w:tc>
        <w:tc>
          <w:tcPr>
            <w:tcW w:w="992" w:type="dxa"/>
          </w:tcPr>
          <w:p>
            <w:pPr>
              <w:spacing w:after="0" w:line="360" w:lineRule="auto"/>
              <w:jc w:val="center"/>
              <w:rPr>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bm,r,c60</m:t>
                    </m:r>
                    <m:ctrlPr>
                      <w:rPr>
                        <w:rFonts w:ascii="Cambria Math" w:hAnsi="Cambria Math"/>
                        <w:i/>
                        <w:color w:val="auto"/>
                        <w:sz w:val="24"/>
                        <w:szCs w:val="24"/>
                      </w:rPr>
                    </m:ctrlPr>
                  </m:sub>
                </m:sSub>
              </m:oMath>
            </m:oMathPara>
          </w:p>
        </w:tc>
        <w:tc>
          <w:tcPr>
            <w:tcW w:w="567"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891" w:type="dxa"/>
          </w:tcPr>
          <w:p>
            <w:pPr>
              <w:spacing w:after="0" w:line="360" w:lineRule="auto"/>
              <w:rPr>
                <w:iCs/>
                <w:color w:val="auto"/>
                <w:sz w:val="24"/>
                <w:szCs w:val="24"/>
              </w:rPr>
            </w:pPr>
            <w:r>
              <w:rPr>
                <w:rFonts w:hint="eastAsia"/>
                <w:iCs/>
                <w:color w:val="auto"/>
                <w:sz w:val="24"/>
                <w:szCs w:val="24"/>
              </w:rPr>
              <w:t>混凝土强度等级C</w:t>
            </w:r>
            <w:r>
              <w:rPr>
                <w:iCs/>
                <w:color w:val="auto"/>
                <w:sz w:val="24"/>
                <w:szCs w:val="24"/>
              </w:rPr>
              <w:t>60</w:t>
            </w:r>
            <w:r>
              <w:rPr>
                <w:rFonts w:hint="eastAsia"/>
                <w:iCs/>
                <w:color w:val="auto"/>
                <w:sz w:val="24"/>
                <w:szCs w:val="24"/>
              </w:rPr>
              <w:t>基准试验的极限粘结强度平均值（N</w:t>
            </w:r>
            <w:r>
              <w:rPr>
                <w:iCs/>
                <w:color w:val="auto"/>
                <w:sz w:val="24"/>
                <w:szCs w:val="24"/>
              </w:rPr>
              <w:t>/mm</w:t>
            </w:r>
            <w:r>
              <w:rPr>
                <w:iCs/>
                <w:color w:val="auto"/>
                <w:sz w:val="24"/>
                <w:szCs w:val="24"/>
                <w:vertAlign w:val="superscript"/>
              </w:rPr>
              <w:t>2</w:t>
            </w:r>
            <w:r>
              <w:rPr>
                <w:rFonts w:hint="eastAsia"/>
                <w:iCs/>
                <w:color w:val="auto"/>
                <w:sz w:val="24"/>
                <w:szCs w:val="24"/>
              </w:rPr>
              <w:t>）。</w:t>
            </w:r>
          </w:p>
        </w:tc>
      </w:tr>
    </w:tbl>
    <w:p>
      <w:pPr>
        <w:spacing w:after="0" w:line="360" w:lineRule="auto"/>
        <w:jc w:val="center"/>
        <w:rPr>
          <w:b/>
          <w:bCs/>
          <w:color w:val="auto"/>
          <w:sz w:val="24"/>
          <w:szCs w:val="24"/>
        </w:rPr>
      </w:pPr>
      <w:r>
        <w:rPr>
          <w:rFonts w:hint="eastAsia"/>
          <w:b/>
          <w:bCs/>
          <w:color w:val="auto"/>
          <w:sz w:val="24"/>
          <w:szCs w:val="24"/>
        </w:rPr>
        <w:t>Ⅲ 粘结失效位移平均值</w:t>
      </w:r>
    </w:p>
    <w:p>
      <w:pPr>
        <w:spacing w:after="0" w:line="360" w:lineRule="auto"/>
        <w:rPr>
          <w:b/>
          <w:color w:val="auto"/>
          <w:sz w:val="24"/>
          <w:szCs w:val="24"/>
        </w:rPr>
      </w:pPr>
      <w:r>
        <w:rPr>
          <w:rFonts w:hint="eastAsia"/>
          <w:b/>
          <w:color w:val="auto"/>
          <w:sz w:val="24"/>
          <w:szCs w:val="24"/>
        </w:rPr>
        <w:t>B.2.</w:t>
      </w:r>
      <w:r>
        <w:rPr>
          <w:b/>
          <w:color w:val="auto"/>
          <w:sz w:val="24"/>
          <w:szCs w:val="24"/>
        </w:rPr>
        <w:t>8</w:t>
      </w:r>
      <w:r>
        <w:rPr>
          <w:rFonts w:hint="eastAsia"/>
          <w:b/>
          <w:color w:val="auto"/>
          <w:sz w:val="24"/>
          <w:szCs w:val="24"/>
        </w:rPr>
        <w:t xml:space="preserve"> </w:t>
      </w:r>
      <w:r>
        <w:rPr>
          <w:rFonts w:hint="eastAsia"/>
          <w:bCs/>
          <w:color w:val="auto"/>
          <w:sz w:val="24"/>
          <w:szCs w:val="24"/>
        </w:rPr>
        <w:t>粘结失效位移平均值的计算</w:t>
      </w:r>
      <w:r>
        <w:rPr>
          <w:rFonts w:hint="eastAsia" w:ascii="Cambria Math" w:hAnsi="Cambria Math"/>
          <w:color w:val="auto"/>
          <w:sz w:val="24"/>
          <w:szCs w:val="24"/>
        </w:rPr>
        <w:t>流程应符合下列规定：</w:t>
      </w:r>
    </w:p>
    <w:p>
      <w:pPr>
        <w:spacing w:after="0" w:line="360" w:lineRule="auto"/>
        <w:ind w:firstLine="480" w:firstLineChars="200"/>
        <w:rPr>
          <w:bCs/>
          <w:color w:val="auto"/>
          <w:sz w:val="24"/>
          <w:szCs w:val="24"/>
        </w:rPr>
      </w:pPr>
      <w:r>
        <w:rPr>
          <w:rFonts w:hint="eastAsia"/>
          <w:bCs/>
          <w:color w:val="auto"/>
          <w:sz w:val="24"/>
          <w:szCs w:val="24"/>
        </w:rPr>
        <w:t>1 应</w:t>
      </w:r>
      <w:r>
        <w:rPr>
          <w:rFonts w:hint="eastAsia"/>
          <w:bCs/>
          <w:color w:val="auto"/>
          <w:sz w:val="24"/>
          <w:szCs w:val="24"/>
          <w:lang w:val="en-US" w:eastAsia="zh-CN"/>
        </w:rPr>
        <w:t>按团体标准</w:t>
      </w:r>
      <w:r>
        <w:rPr>
          <w:rFonts w:hint="eastAsia"/>
          <w:bCs/>
          <w:color w:val="auto"/>
          <w:sz w:val="24"/>
          <w:szCs w:val="24"/>
        </w:rPr>
        <w:t>《混凝土用胶粘型锚栓》T</w:t>
      </w:r>
      <w:r>
        <w:rPr>
          <w:bCs/>
          <w:color w:val="auto"/>
          <w:sz w:val="24"/>
          <w:szCs w:val="24"/>
        </w:rPr>
        <w:t>/CECS 10148-2021</w:t>
      </w:r>
      <w:r>
        <w:rPr>
          <w:rFonts w:hint="eastAsia"/>
          <w:bCs/>
          <w:color w:val="auto"/>
          <w:sz w:val="24"/>
          <w:szCs w:val="24"/>
        </w:rPr>
        <w:t>附录S.</w:t>
      </w:r>
      <w:r>
        <w:rPr>
          <w:bCs/>
          <w:color w:val="auto"/>
          <w:sz w:val="24"/>
          <w:szCs w:val="24"/>
        </w:rPr>
        <w:t xml:space="preserve">1 </w:t>
      </w:r>
      <w:r>
        <w:rPr>
          <w:rFonts w:hint="eastAsia"/>
          <w:bCs/>
          <w:color w:val="auto"/>
          <w:sz w:val="24"/>
          <w:szCs w:val="24"/>
        </w:rPr>
        <w:t>求出C</w:t>
      </w:r>
      <w:r>
        <w:rPr>
          <w:bCs/>
          <w:color w:val="auto"/>
          <w:sz w:val="24"/>
          <w:szCs w:val="24"/>
        </w:rPr>
        <w:t>25</w:t>
      </w:r>
      <w:r>
        <w:rPr>
          <w:rFonts w:hint="eastAsia"/>
          <w:bCs/>
          <w:color w:val="auto"/>
          <w:sz w:val="24"/>
          <w:szCs w:val="24"/>
        </w:rPr>
        <w:t>条件下直径</w:t>
      </w:r>
      <w:r>
        <w:rPr>
          <w:bCs/>
          <w:color w:val="auto"/>
          <w:sz w:val="24"/>
          <w:szCs w:val="24"/>
        </w:rPr>
        <w:t>12mm</w:t>
      </w:r>
      <w:r>
        <w:rPr>
          <w:rFonts w:hint="eastAsia"/>
          <w:bCs/>
          <w:color w:val="auto"/>
          <w:sz w:val="24"/>
          <w:szCs w:val="24"/>
        </w:rPr>
        <w:t>植筋的粘结失效荷载实测值</w:t>
      </w:r>
      <w:r>
        <w:rPr>
          <w:rFonts w:hint="eastAsia"/>
          <w:bCs/>
          <w:i/>
          <w:iCs/>
          <w:color w:val="auto"/>
          <w:sz w:val="24"/>
          <w:szCs w:val="24"/>
        </w:rPr>
        <w:t>N</w:t>
      </w:r>
      <w:r>
        <w:rPr>
          <w:bCs/>
          <w:color w:val="auto"/>
          <w:sz w:val="24"/>
          <w:szCs w:val="24"/>
          <w:vertAlign w:val="subscript"/>
        </w:rPr>
        <w:t>r,adh,test,c25,d12-k</w:t>
      </w:r>
      <w:r>
        <w:rPr>
          <w:rFonts w:hint="eastAsia"/>
          <w:bCs/>
          <w:color w:val="auto"/>
          <w:sz w:val="24"/>
          <w:szCs w:val="24"/>
        </w:rPr>
        <w:t>，</w:t>
      </w:r>
      <w:r>
        <w:rPr>
          <w:rFonts w:hint="eastAsia"/>
          <w:bCs/>
          <w:color w:val="auto"/>
          <w:sz w:val="24"/>
          <w:szCs w:val="24"/>
          <w:lang w:val="en-US" w:eastAsia="zh-CN"/>
        </w:rPr>
        <w:t>并</w:t>
      </w:r>
      <w:r>
        <w:rPr>
          <w:rFonts w:hint="eastAsia"/>
          <w:bCs/>
          <w:color w:val="auto"/>
          <w:sz w:val="24"/>
          <w:szCs w:val="24"/>
        </w:rPr>
        <w:t>记录对应的粘结失效位移</w:t>
      </w:r>
      <w:r>
        <w:rPr>
          <w:rFonts w:hint="eastAsia"/>
          <w:bCs/>
          <w:i/>
          <w:iCs/>
          <w:color w:val="auto"/>
          <w:sz w:val="24"/>
          <w:szCs w:val="24"/>
        </w:rPr>
        <w:t>s</w:t>
      </w:r>
      <w:r>
        <w:rPr>
          <w:bCs/>
          <w:color w:val="auto"/>
          <w:sz w:val="24"/>
          <w:szCs w:val="24"/>
          <w:vertAlign w:val="subscript"/>
        </w:rPr>
        <w:t>r,adh,test,c25,d12-k</w:t>
      </w:r>
      <w:r>
        <w:rPr>
          <w:rFonts w:hint="eastAsia"/>
          <w:bCs/>
          <w:color w:val="auto"/>
          <w:sz w:val="24"/>
          <w:szCs w:val="24"/>
        </w:rPr>
        <w:t>；</w:t>
      </w:r>
    </w:p>
    <w:p>
      <w:pPr>
        <w:spacing w:after="0" w:line="360" w:lineRule="auto"/>
        <w:ind w:firstLine="420"/>
        <w:rPr>
          <w:bCs/>
          <w:color w:val="auto"/>
          <w:sz w:val="24"/>
          <w:szCs w:val="24"/>
        </w:rPr>
      </w:pPr>
      <w:r>
        <w:rPr>
          <w:rFonts w:hint="eastAsia"/>
          <w:color w:val="auto"/>
          <w:sz w:val="24"/>
          <w:szCs w:val="24"/>
        </w:rPr>
        <w:t xml:space="preserve">2 </w:t>
      </w:r>
      <w:r>
        <w:rPr>
          <w:rFonts w:hint="eastAsia"/>
          <w:bCs/>
          <w:color w:val="auto"/>
          <w:sz w:val="24"/>
          <w:szCs w:val="24"/>
        </w:rPr>
        <w:t>按下式计算该粘结失效位移的平均值</w:t>
      </w:r>
      <w:r>
        <w:rPr>
          <w:rFonts w:hint="eastAsia"/>
          <w:bCs/>
          <w:i/>
          <w:iCs/>
          <w:color w:val="auto"/>
          <w:sz w:val="24"/>
          <w:szCs w:val="24"/>
        </w:rPr>
        <w:t>s</w:t>
      </w:r>
      <w:r>
        <w:rPr>
          <w:bCs/>
          <w:color w:val="auto"/>
          <w:sz w:val="24"/>
          <w:szCs w:val="24"/>
          <w:vertAlign w:val="subscript"/>
        </w:rPr>
        <w:t>r,adh,m</w:t>
      </w:r>
      <w:r>
        <w:rPr>
          <w:rFonts w:hint="eastAsia"/>
          <w:bCs/>
          <w:color w:val="auto"/>
          <w:sz w:val="24"/>
          <w:szCs w:val="24"/>
        </w:rPr>
        <w:t>：</w:t>
      </w:r>
    </w:p>
    <w:p>
      <w:pPr>
        <w:spacing w:after="0" w:line="360" w:lineRule="auto"/>
        <w:jc w:val="right"/>
      </w:pPr>
      <m:oMath>
        <m:sSub>
          <m:sSubPr>
            <m:ctrlPr>
              <w:rPr>
                <w:rFonts w:ascii="Cambria Math" w:hAnsi="Cambria Math"/>
                <w:i/>
                <w:color w:val="auto"/>
                <w:sz w:val="24"/>
                <w:szCs w:val="24"/>
              </w:rPr>
            </m:ctrlPr>
          </m:sSubPr>
          <m:e>
            <m:r>
              <m:rPr/>
              <w:rPr>
                <w:rFonts w:ascii="Cambria Math" w:hAnsi="Cambria Math"/>
                <w:color w:val="auto"/>
                <w:sz w:val="24"/>
                <w:szCs w:val="24"/>
              </w:rPr>
              <m:t>s</m:t>
            </m:r>
            <m:ctrlPr>
              <w:rPr>
                <w:rFonts w:ascii="Cambria Math" w:hAnsi="Cambria Math"/>
                <w:i/>
                <w:color w:val="auto"/>
                <w:sz w:val="24"/>
                <w:szCs w:val="24"/>
              </w:rPr>
            </m:ctrlPr>
          </m:e>
          <m:sub>
            <m:r>
              <m:rPr>
                <m:sty m:val="p"/>
              </m:rPr>
              <w:rPr>
                <w:rFonts w:hint="default" w:ascii="Cambria Math" w:hAnsi="Cambria Math"/>
                <w:color w:val="auto"/>
                <w:sz w:val="24"/>
                <w:szCs w:val="24"/>
              </w:rPr>
              <m:t>r,adh,m</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nary>
              <m:naryPr>
                <m:chr m:val="∑"/>
                <m:limLoc m:val="undOvr"/>
                <m:ctrlPr>
                  <w:rPr>
                    <w:rFonts w:ascii="Cambria Math" w:hAnsi="Cambria Math"/>
                    <w:i/>
                    <w:color w:val="auto"/>
                    <w:sz w:val="24"/>
                    <w:szCs w:val="24"/>
                  </w:rPr>
                </m:ctrlPr>
              </m:naryPr>
              <m:sub>
                <m:r>
                  <m:rPr/>
                  <w:rPr>
                    <w:rFonts w:ascii="Cambria Math" w:hAnsi="Cambria Math"/>
                    <w:color w:val="auto"/>
                    <w:sz w:val="24"/>
                    <w:szCs w:val="24"/>
                  </w:rPr>
                  <m:t>k=1</m:t>
                </m:r>
                <m:ctrlPr>
                  <w:rPr>
                    <w:rFonts w:ascii="Cambria Math" w:hAnsi="Cambria Math"/>
                    <w:i/>
                    <w:color w:val="auto"/>
                    <w:sz w:val="24"/>
                    <w:szCs w:val="24"/>
                  </w:rPr>
                </m:ctrlPr>
              </m:sub>
              <m:sup>
                <m:r>
                  <m:rPr/>
                  <w:rPr>
                    <w:rFonts w:ascii="Cambria Math" w:hAnsi="Cambria Math"/>
                    <w:color w:val="auto"/>
                    <w:sz w:val="24"/>
                    <w:szCs w:val="24"/>
                  </w:rPr>
                  <m:t>5</m:t>
                </m:r>
                <m:ctrlPr>
                  <w:rPr>
                    <w:rFonts w:ascii="Cambria Math" w:hAnsi="Cambria Math"/>
                    <w:i/>
                    <w:color w:val="auto"/>
                    <w:sz w:val="24"/>
                    <w:szCs w:val="24"/>
                  </w:rPr>
                </m:ctrlPr>
              </m:sup>
              <m:e>
                <m:sSub>
                  <m:sSubPr>
                    <m:ctrlPr>
                      <w:rPr>
                        <w:rFonts w:ascii="Cambria Math" w:hAnsi="Cambria Math"/>
                        <w:i/>
                        <w:color w:val="auto"/>
                        <w:sz w:val="24"/>
                        <w:szCs w:val="24"/>
                      </w:rPr>
                    </m:ctrlPr>
                  </m:sSubPr>
                  <m:e>
                    <m:r>
                      <m:rPr/>
                      <w:rPr>
                        <w:rFonts w:ascii="Cambria Math" w:hAnsi="Cambria Math"/>
                        <w:color w:val="auto"/>
                        <w:sz w:val="24"/>
                        <w:szCs w:val="24"/>
                      </w:rPr>
                      <m:t>s</m:t>
                    </m:r>
                    <m:ctrlPr>
                      <w:rPr>
                        <w:rFonts w:ascii="Cambria Math" w:hAnsi="Cambria Math"/>
                        <w:i/>
                        <w:color w:val="auto"/>
                        <w:sz w:val="24"/>
                        <w:szCs w:val="24"/>
                      </w:rPr>
                    </m:ctrlPr>
                  </m:e>
                  <m:sub>
                    <m:r>
                      <m:rPr>
                        <m:sty m:val="p"/>
                      </m:rPr>
                      <w:rPr>
                        <w:rFonts w:hint="default" w:ascii="Cambria Math" w:hAnsi="Cambria Math"/>
                        <w:color w:val="auto"/>
                        <w:sz w:val="24"/>
                        <w:szCs w:val="24"/>
                      </w:rPr>
                      <m:t>r,adh,test,c25,d12−k</m:t>
                    </m:r>
                    <m:ctrlPr>
                      <w:rPr>
                        <w:rFonts w:ascii="Cambria Math" w:hAnsi="Cambria Math"/>
                        <w:i/>
                        <w:color w:val="auto"/>
                        <w:sz w:val="24"/>
                        <w:szCs w:val="24"/>
                      </w:rPr>
                    </m:ctrlPr>
                  </m:sub>
                </m:sSub>
                <m:ctrlPr>
                  <w:rPr>
                    <w:rFonts w:ascii="Cambria Math" w:hAnsi="Cambria Math"/>
                    <w:i/>
                    <w:color w:val="auto"/>
                    <w:sz w:val="24"/>
                    <w:szCs w:val="24"/>
                  </w:rPr>
                </m:ctrlPr>
              </m:e>
            </m:nary>
            <m:ctrlPr>
              <w:rPr>
                <w:rFonts w:ascii="Cambria Math" w:hAnsi="Cambria Math"/>
                <w:i/>
                <w:color w:val="auto"/>
                <w:sz w:val="24"/>
                <w:szCs w:val="24"/>
              </w:rPr>
            </m:ctrlPr>
          </m:num>
          <m:den>
            <m:r>
              <m:rPr/>
              <w:rPr>
                <w:rFonts w:ascii="Cambria Math" w:hAnsi="Cambria Math"/>
                <w:color w:val="auto"/>
                <w:sz w:val="24"/>
                <w:szCs w:val="24"/>
              </w:rPr>
              <m:t>5</m:t>
            </m:r>
            <m:ctrlPr>
              <w:rPr>
                <w:rFonts w:ascii="Cambria Math" w:hAnsi="Cambria Math"/>
                <w:i/>
                <w:color w:val="auto"/>
                <w:sz w:val="24"/>
                <w:szCs w:val="24"/>
              </w:rPr>
            </m:ctrlPr>
          </m:den>
        </m:f>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B.2.</w:t>
      </w:r>
      <w:r>
        <w:rPr>
          <w:color w:val="auto"/>
          <w:sz w:val="24"/>
          <w:szCs w:val="24"/>
        </w:rPr>
        <w:t>8)</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7"/>
        <w:gridCol w:w="2039"/>
        <w:gridCol w:w="535"/>
        <w:gridCol w:w="4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7" w:type="dxa"/>
          </w:tcPr>
          <w:p>
            <w:pPr>
              <w:spacing w:after="0" w:line="360" w:lineRule="auto"/>
              <w:rPr>
                <w:iCs/>
                <w:color w:val="auto"/>
                <w:sz w:val="24"/>
                <w:szCs w:val="24"/>
              </w:rPr>
            </w:pPr>
            <w:r>
              <w:rPr>
                <w:rFonts w:hint="eastAsia"/>
                <w:iCs/>
                <w:color w:val="auto"/>
                <w:sz w:val="24"/>
                <w:szCs w:val="24"/>
              </w:rPr>
              <w:t>式中:</w:t>
            </w:r>
          </w:p>
        </w:tc>
        <w:tc>
          <w:tcPr>
            <w:tcW w:w="2039" w:type="dxa"/>
          </w:tcPr>
          <w:p>
            <w:pPr>
              <w:spacing w:after="0" w:line="360" w:lineRule="auto"/>
              <w:jc w:val="center"/>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s</m:t>
                    </m:r>
                    <m:ctrlPr>
                      <w:rPr>
                        <w:rFonts w:ascii="Cambria Math" w:hAnsi="Cambria Math"/>
                        <w:i/>
                        <w:color w:val="auto"/>
                        <w:sz w:val="24"/>
                        <w:szCs w:val="24"/>
                      </w:rPr>
                    </m:ctrlPr>
                  </m:e>
                  <m:sub>
                    <m:r>
                      <m:rPr>
                        <m:sty m:val="p"/>
                      </m:rPr>
                      <w:rPr>
                        <w:rFonts w:hint="default" w:ascii="Cambria Math" w:hAnsi="Cambria Math"/>
                        <w:color w:val="auto"/>
                        <w:sz w:val="24"/>
                        <w:szCs w:val="24"/>
                      </w:rPr>
                      <m:t>r,adh,m</m:t>
                    </m:r>
                    <m:ctrlPr>
                      <w:rPr>
                        <w:rFonts w:ascii="Cambria Math" w:hAnsi="Cambria Math"/>
                        <w:i/>
                        <w:color w:val="auto"/>
                        <w:sz w:val="24"/>
                        <w:szCs w:val="24"/>
                      </w:rPr>
                    </m:ctrlPr>
                  </m:sub>
                </m:sSub>
              </m:oMath>
            </m:oMathPara>
          </w:p>
        </w:tc>
        <w:tc>
          <w:tcPr>
            <w:tcW w:w="535"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4915" w:type="dxa"/>
          </w:tcPr>
          <w:p>
            <w:pPr>
              <w:spacing w:after="0" w:line="360" w:lineRule="auto"/>
              <w:rPr>
                <w:iCs/>
                <w:color w:val="auto"/>
                <w:sz w:val="24"/>
                <w:szCs w:val="24"/>
              </w:rPr>
            </w:pPr>
            <w:r>
              <w:rPr>
                <w:rFonts w:hint="eastAsia"/>
                <w:iCs/>
                <w:color w:val="auto"/>
                <w:sz w:val="24"/>
                <w:szCs w:val="24"/>
              </w:rPr>
              <w:t>基准试验粘结失效位移平均值（mm）；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7" w:type="dxa"/>
          </w:tcPr>
          <w:p>
            <w:pPr>
              <w:spacing w:after="0" w:line="360" w:lineRule="auto"/>
              <w:rPr>
                <w:iCs/>
                <w:color w:val="auto"/>
                <w:sz w:val="24"/>
                <w:szCs w:val="24"/>
              </w:rPr>
            </w:pPr>
          </w:p>
        </w:tc>
        <w:tc>
          <w:tcPr>
            <w:tcW w:w="2039" w:type="dxa"/>
          </w:tcPr>
          <w:p>
            <w:pPr>
              <w:spacing w:after="0" w:line="360" w:lineRule="auto"/>
              <w:jc w:val="center"/>
              <w:rPr>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s</m:t>
                    </m:r>
                    <m:ctrlPr>
                      <w:rPr>
                        <w:rFonts w:ascii="Cambria Math" w:hAnsi="Cambria Math"/>
                        <w:i/>
                        <w:color w:val="auto"/>
                        <w:sz w:val="24"/>
                        <w:szCs w:val="24"/>
                      </w:rPr>
                    </m:ctrlPr>
                  </m:e>
                  <m:sub>
                    <m:r>
                      <m:rPr>
                        <m:sty m:val="p"/>
                      </m:rPr>
                      <w:rPr>
                        <w:rFonts w:hint="default" w:ascii="Cambria Math" w:hAnsi="Cambria Math"/>
                        <w:color w:val="auto"/>
                        <w:sz w:val="24"/>
                        <w:szCs w:val="24"/>
                      </w:rPr>
                      <m:t>r,adh,test,c25,d12−k</m:t>
                    </m:r>
                    <m:ctrlPr>
                      <w:rPr>
                        <w:rFonts w:ascii="Cambria Math" w:hAnsi="Cambria Math"/>
                        <w:i/>
                        <w:color w:val="auto"/>
                        <w:sz w:val="24"/>
                        <w:szCs w:val="24"/>
                      </w:rPr>
                    </m:ctrlPr>
                  </m:sub>
                </m:sSub>
              </m:oMath>
            </m:oMathPara>
          </w:p>
        </w:tc>
        <w:tc>
          <w:tcPr>
            <w:tcW w:w="535"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4915" w:type="dxa"/>
          </w:tcPr>
          <w:p>
            <w:pPr>
              <w:spacing w:after="0" w:line="360" w:lineRule="auto"/>
              <w:rPr>
                <w:iCs/>
                <w:color w:val="auto"/>
                <w:sz w:val="24"/>
                <w:szCs w:val="24"/>
              </w:rPr>
            </w:pPr>
            <w:r>
              <w:rPr>
                <w:iCs/>
                <w:color w:val="auto"/>
                <w:sz w:val="24"/>
                <w:szCs w:val="24"/>
              </w:rPr>
              <w:t>C25</w:t>
            </w:r>
            <w:r>
              <w:rPr>
                <w:rFonts w:hint="eastAsia"/>
                <w:iCs/>
                <w:color w:val="auto"/>
                <w:sz w:val="24"/>
                <w:szCs w:val="24"/>
              </w:rPr>
              <w:t>条件下直径1</w:t>
            </w:r>
            <w:r>
              <w:rPr>
                <w:iCs/>
                <w:color w:val="auto"/>
                <w:sz w:val="24"/>
                <w:szCs w:val="24"/>
              </w:rPr>
              <w:t>2</w:t>
            </w:r>
            <w:r>
              <w:rPr>
                <w:rFonts w:hint="eastAsia"/>
                <w:iCs/>
                <w:color w:val="auto"/>
                <w:sz w:val="24"/>
                <w:szCs w:val="24"/>
              </w:rPr>
              <w:t>mm植筋的粘结失效荷载实测值对应的粘结失效位移</w:t>
            </w:r>
            <w:r>
              <w:rPr>
                <w:iCs/>
                <w:color w:val="auto"/>
                <w:sz w:val="24"/>
                <w:szCs w:val="24"/>
              </w:rPr>
              <w:t xml:space="preserve">, </w:t>
            </w:r>
            <w:r>
              <w:rPr>
                <w:i/>
                <w:color w:val="auto"/>
                <w:sz w:val="24"/>
                <w:szCs w:val="24"/>
              </w:rPr>
              <w:t>k</w:t>
            </w:r>
            <w:r>
              <w:rPr>
                <w:iCs/>
                <w:color w:val="auto"/>
                <w:sz w:val="24"/>
                <w:szCs w:val="24"/>
              </w:rPr>
              <w:t>=1~5</w:t>
            </w:r>
            <w:r>
              <w:rPr>
                <w:rFonts w:hint="eastAsia"/>
                <w:iCs/>
                <w:color w:val="auto"/>
                <w:sz w:val="24"/>
                <w:szCs w:val="24"/>
              </w:rPr>
              <w:t>。</w:t>
            </w:r>
          </w:p>
        </w:tc>
      </w:tr>
    </w:tbl>
    <w:p>
      <w:pPr>
        <w:spacing w:after="0" w:line="360" w:lineRule="auto"/>
        <w:jc w:val="center"/>
        <w:rPr>
          <w:b/>
          <w:bCs/>
          <w:color w:val="auto"/>
          <w:sz w:val="24"/>
          <w:szCs w:val="24"/>
        </w:rPr>
      </w:pPr>
      <w:r>
        <w:rPr>
          <w:rFonts w:hint="eastAsia"/>
          <w:b/>
          <w:bCs/>
          <w:color w:val="auto"/>
          <w:sz w:val="24"/>
          <w:szCs w:val="24"/>
        </w:rPr>
        <w:t>IV指定位移的粘结强度平均值</w:t>
      </w:r>
    </w:p>
    <w:p>
      <w:pPr>
        <w:spacing w:after="0" w:line="360" w:lineRule="auto"/>
        <w:rPr>
          <w:rFonts w:ascii="Cambria Math" w:hAnsi="Cambria Math"/>
          <w:color w:val="auto"/>
          <w:sz w:val="24"/>
          <w:szCs w:val="24"/>
        </w:rPr>
      </w:pPr>
      <w:r>
        <w:rPr>
          <w:rFonts w:hint="eastAsia"/>
          <w:b/>
          <w:color w:val="auto"/>
          <w:sz w:val="24"/>
          <w:szCs w:val="24"/>
        </w:rPr>
        <w:t>B.2.</w:t>
      </w:r>
      <w:r>
        <w:rPr>
          <w:b/>
          <w:color w:val="auto"/>
          <w:sz w:val="24"/>
          <w:szCs w:val="24"/>
        </w:rPr>
        <w:t>9</w:t>
      </w:r>
      <w:r>
        <w:rPr>
          <w:bCs/>
          <w:color w:val="auto"/>
          <w:sz w:val="24"/>
          <w:szCs w:val="24"/>
        </w:rPr>
        <w:t xml:space="preserve"> </w:t>
      </w:r>
      <w:r>
        <w:rPr>
          <w:rFonts w:hint="eastAsia"/>
          <w:bCs/>
          <w:color w:val="auto"/>
          <w:sz w:val="24"/>
          <w:szCs w:val="24"/>
        </w:rPr>
        <w:t>指定位移的粘结强度平均值的计算可</w:t>
      </w:r>
      <w:r>
        <w:rPr>
          <w:rFonts w:hint="eastAsia"/>
          <w:bCs/>
          <w:color w:val="auto"/>
          <w:sz w:val="24"/>
          <w:szCs w:val="24"/>
          <w:lang w:val="en-US" w:eastAsia="zh-CN"/>
        </w:rPr>
        <w:t>按</w:t>
      </w:r>
      <w:r>
        <w:rPr>
          <w:rFonts w:hint="eastAsia" w:ascii="Cambria Math" w:hAnsi="Cambria Math"/>
          <w:color w:val="auto"/>
          <w:sz w:val="24"/>
          <w:szCs w:val="24"/>
        </w:rPr>
        <w:t>表B.2.9</w:t>
      </w:r>
      <w:r>
        <w:rPr>
          <w:rFonts w:hint="eastAsia" w:ascii="Cambria Math" w:hAnsi="Cambria Math"/>
          <w:color w:val="auto"/>
          <w:sz w:val="24"/>
          <w:szCs w:val="24"/>
          <w:lang w:val="en-US" w:eastAsia="zh-CN"/>
        </w:rPr>
        <w:t>执行</w:t>
      </w:r>
      <w:r>
        <w:rPr>
          <w:rFonts w:hint="eastAsia" w:ascii="Cambria Math" w:hAnsi="Cambria Math"/>
          <w:color w:val="auto"/>
          <w:sz w:val="24"/>
          <w:szCs w:val="24"/>
          <w:lang w:eastAsia="zh-CN"/>
        </w:rPr>
        <w:t>，</w:t>
      </w:r>
      <w:r>
        <w:rPr>
          <w:rFonts w:hint="eastAsia" w:ascii="Cambria Math" w:hAnsi="Cambria Math"/>
          <w:color w:val="auto"/>
          <w:sz w:val="24"/>
          <w:szCs w:val="24"/>
        </w:rPr>
        <w:t>计算流程应符合下列规定：</w:t>
      </w:r>
    </w:p>
    <w:p>
      <w:pPr>
        <w:spacing w:after="0" w:line="360" w:lineRule="auto"/>
        <w:ind w:firstLine="420"/>
        <w:rPr>
          <w:bCs/>
          <w:color w:val="auto"/>
          <w:sz w:val="24"/>
          <w:szCs w:val="24"/>
          <w:vertAlign w:val="subscript"/>
        </w:rPr>
      </w:pPr>
      <w:r>
        <w:rPr>
          <w:rFonts w:hint="eastAsia" w:ascii="Cambria Math" w:hAnsi="Cambria Math"/>
          <w:color w:val="auto"/>
          <w:sz w:val="24"/>
          <w:szCs w:val="24"/>
        </w:rPr>
        <w:t>1 依据本规程第B.2.10条，确定</w:t>
      </w:r>
      <w:r>
        <w:rPr>
          <w:rFonts w:hint="eastAsia"/>
          <w:bCs/>
          <w:color w:val="auto"/>
          <w:sz w:val="24"/>
          <w:szCs w:val="24"/>
        </w:rPr>
        <w:t>C</w:t>
      </w:r>
      <w:r>
        <w:rPr>
          <w:bCs/>
          <w:color w:val="auto"/>
          <w:sz w:val="24"/>
          <w:szCs w:val="24"/>
        </w:rPr>
        <w:t>25</w:t>
      </w:r>
      <w:r>
        <w:rPr>
          <w:rFonts w:hint="eastAsia"/>
          <w:bCs/>
          <w:color w:val="auto"/>
          <w:sz w:val="24"/>
          <w:szCs w:val="24"/>
        </w:rPr>
        <w:t>条件下直径1</w:t>
      </w:r>
      <w:r>
        <w:rPr>
          <w:bCs/>
          <w:color w:val="auto"/>
          <w:sz w:val="24"/>
          <w:szCs w:val="24"/>
        </w:rPr>
        <w:t>2</w:t>
      </w:r>
      <w:r>
        <w:rPr>
          <w:rFonts w:hint="eastAsia"/>
          <w:bCs/>
          <w:color w:val="auto"/>
          <w:sz w:val="24"/>
          <w:szCs w:val="24"/>
        </w:rPr>
        <w:t>mm植筋的指定位移的荷载测试值</w:t>
      </w:r>
      <w:r>
        <w:rPr>
          <w:rFonts w:hint="eastAsia"/>
          <w:bCs/>
          <w:i/>
          <w:iCs/>
          <w:color w:val="auto"/>
          <w:sz w:val="24"/>
          <w:szCs w:val="24"/>
        </w:rPr>
        <w:t>N</w:t>
      </w:r>
      <w:r>
        <w:rPr>
          <w:bCs/>
          <w:color w:val="auto"/>
          <w:sz w:val="24"/>
          <w:szCs w:val="24"/>
          <w:vertAlign w:val="subscript"/>
        </w:rPr>
        <w:t>r,δ,test,</w:t>
      </w:r>
      <w:r>
        <w:rPr>
          <w:rFonts w:hint="eastAsia"/>
          <w:bCs/>
          <w:color w:val="auto"/>
          <w:sz w:val="24"/>
          <w:szCs w:val="24"/>
          <w:vertAlign w:val="subscript"/>
        </w:rPr>
        <w:t>c</w:t>
      </w:r>
      <w:r>
        <w:rPr>
          <w:bCs/>
          <w:color w:val="auto"/>
          <w:sz w:val="24"/>
          <w:szCs w:val="24"/>
          <w:vertAlign w:val="subscript"/>
        </w:rPr>
        <w:t>25</w:t>
      </w:r>
      <w:r>
        <w:rPr>
          <w:rFonts w:hint="eastAsia"/>
          <w:bCs/>
          <w:color w:val="auto"/>
          <w:sz w:val="24"/>
          <w:szCs w:val="24"/>
          <w:vertAlign w:val="subscript"/>
        </w:rPr>
        <w:t>,d</w:t>
      </w:r>
      <w:r>
        <w:rPr>
          <w:bCs/>
          <w:color w:val="auto"/>
          <w:sz w:val="24"/>
          <w:szCs w:val="24"/>
          <w:vertAlign w:val="subscript"/>
        </w:rPr>
        <w:t>12-k</w:t>
      </w:r>
      <w:r>
        <w:rPr>
          <w:rFonts w:hint="eastAsia"/>
          <w:bCs/>
          <w:color w:val="auto"/>
          <w:sz w:val="24"/>
          <w:szCs w:val="24"/>
        </w:rPr>
        <w:t>；</w:t>
      </w:r>
    </w:p>
    <w:p>
      <w:pPr>
        <w:spacing w:after="0" w:line="360" w:lineRule="auto"/>
        <w:ind w:firstLine="420"/>
        <w:rPr>
          <w:rFonts w:ascii="Cambria Math" w:hAnsi="Cambria Math"/>
          <w:color w:val="auto"/>
          <w:sz w:val="24"/>
          <w:szCs w:val="24"/>
        </w:rPr>
      </w:pPr>
      <w:r>
        <w:rPr>
          <w:rFonts w:hint="eastAsia" w:ascii="Cambria Math" w:hAnsi="Cambria Math"/>
          <w:color w:val="auto"/>
          <w:sz w:val="24"/>
          <w:szCs w:val="24"/>
        </w:rPr>
        <w:t>2 依据本规程第B.2.11条计算混凝土强度归一化处理后的对应荷载值，并计算其平均值；</w:t>
      </w:r>
    </w:p>
    <w:p>
      <w:pPr>
        <w:spacing w:after="0" w:line="360" w:lineRule="auto"/>
        <w:ind w:firstLine="420"/>
        <w:rPr>
          <w:rFonts w:ascii="Cambria Math" w:hAnsi="Cambria Math"/>
          <w:color w:val="auto"/>
          <w:sz w:val="24"/>
          <w:szCs w:val="24"/>
        </w:rPr>
      </w:pPr>
      <w:r>
        <w:rPr>
          <w:rFonts w:hint="eastAsia" w:ascii="Cambria Math" w:hAnsi="Cambria Math"/>
          <w:color w:val="auto"/>
          <w:sz w:val="24"/>
          <w:szCs w:val="24"/>
        </w:rPr>
        <w:t>3 依据本规程第B.2.12条计算按钢筋相对肋面积归一化处理后的指定位移的粘结强度平均值。</w:t>
      </w:r>
    </w:p>
    <w:p>
      <w:pPr>
        <w:spacing w:after="0" w:line="360" w:lineRule="auto"/>
        <w:jc w:val="center"/>
        <w:rPr>
          <w:rFonts w:hint="eastAsia"/>
          <w:b/>
          <w:bCs/>
          <w:color w:val="auto"/>
          <w:sz w:val="21"/>
          <w:szCs w:val="21"/>
        </w:rPr>
      </w:pPr>
      <w:r>
        <w:rPr>
          <w:rFonts w:hint="eastAsia"/>
          <w:b/>
          <w:bCs/>
          <w:color w:val="auto"/>
          <w:sz w:val="21"/>
          <w:szCs w:val="21"/>
        </w:rPr>
        <w:t>表B.2.9 指定位移的粘结强度平均值计算</w:t>
      </w:r>
    </w:p>
    <w:tbl>
      <w:tblPr>
        <w:tblStyle w:val="27"/>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8"/>
        <w:gridCol w:w="1724"/>
        <w:gridCol w:w="1563"/>
        <w:gridCol w:w="1245"/>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09"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w:r>
              <w:rPr>
                <w:rFonts w:hint="eastAsia"/>
                <w:color w:val="auto"/>
                <w:kern w:val="2"/>
              </w:rPr>
              <w:t>混凝土强度</w:t>
            </w:r>
          </w:p>
        </w:tc>
        <w:tc>
          <w:tcPr>
            <w:tcW w:w="928"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rFonts w:hint="eastAsia"/>
                <w:color w:val="auto"/>
                <w:kern w:val="2"/>
              </w:rPr>
              <w:t xml:space="preserve">钢筋直径 </w:t>
            </w:r>
            <w:r>
              <w:rPr>
                <w:i/>
                <w:iCs/>
                <w:color w:val="auto"/>
                <w:kern w:val="2"/>
              </w:rPr>
              <w:t xml:space="preserve">d </w:t>
            </w:r>
            <w:r>
              <w:rPr>
                <w:color w:val="auto"/>
                <w:kern w:val="2"/>
              </w:rPr>
              <w:t>(</w:t>
            </w:r>
            <w:r>
              <w:rPr>
                <w:rFonts w:hint="eastAsia"/>
                <w:color w:val="auto"/>
                <w:kern w:val="2"/>
              </w:rPr>
              <w:t>mm</w:t>
            </w:r>
            <w:r>
              <w:rPr>
                <w:color w:val="auto"/>
                <w:kern w:val="2"/>
              </w:rPr>
              <w:t>)</w:t>
            </w:r>
          </w:p>
        </w:tc>
        <w:tc>
          <w:tcPr>
            <w:tcW w:w="1724"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rFonts w:hint="eastAsia"/>
                <w:color w:val="auto"/>
                <w:kern w:val="2"/>
              </w:rPr>
              <w:t>指定位移的荷载测试值</w:t>
            </w:r>
          </w:p>
        </w:tc>
        <w:tc>
          <w:tcPr>
            <w:tcW w:w="1563"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rFonts w:hint="eastAsia"/>
                <w:color w:val="auto"/>
                <w:kern w:val="2"/>
              </w:rPr>
              <w:t>按混凝土强度归一化处理后的荷载值</w:t>
            </w:r>
          </w:p>
        </w:tc>
        <w:tc>
          <w:tcPr>
            <w:tcW w:w="1245"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rFonts w:hint="eastAsia"/>
                <w:color w:val="auto"/>
                <w:kern w:val="2"/>
              </w:rPr>
              <w:t>左侧荷载值的平均值</w:t>
            </w:r>
          </w:p>
        </w:tc>
        <w:tc>
          <w:tcPr>
            <w:tcW w:w="2122"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rFonts w:hint="eastAsia"/>
                <w:color w:val="auto"/>
                <w:kern w:val="2"/>
              </w:rPr>
              <w:t>按钢筋相对肋面积归一化处理后的指定位移的粘结强度平均值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rFonts w:hint="eastAsia"/>
                <w:color w:val="auto"/>
                <w:kern w:val="2"/>
              </w:rPr>
              <w:t>C</w:t>
            </w:r>
            <w:r>
              <w:rPr>
                <w:color w:val="auto"/>
                <w:kern w:val="2"/>
              </w:rPr>
              <w:t>25</w:t>
            </w:r>
          </w:p>
        </w:tc>
        <w:tc>
          <w:tcPr>
            <w:tcW w:w="92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r>
              <w:rPr>
                <w:color w:val="auto"/>
                <w:kern w:val="2"/>
              </w:rPr>
              <w:t>12</w:t>
            </w:r>
          </w:p>
        </w:tc>
        <w:tc>
          <w:tcPr>
            <w:tcW w:w="1724"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 test,c25,d12−1</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r>
                  <m:rPr>
                    <m:sty m:val="p"/>
                  </m:rPr>
                  <w:rPr>
                    <w:rFonts w:ascii="Cambria Math" w:hAnsi="Cambria Math"/>
                    <w:color w:val="auto"/>
                    <w:kern w:val="2"/>
                  </w:rPr>
                  <m:t xml:space="preserve"> </m:t>
                </m:r>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r,δ,test,c25,d12−2</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r,δ,test,c25,d12−3</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r,δ,test,c25,d12−4</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r,δ,test,c25,d12−5</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tc>
        <w:tc>
          <w:tcPr>
            <w:tcW w:w="1563" w:type="dxa"/>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r,δ,c25,d12−1</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r>
                  <m:rPr>
                    <m:sty m:val="p"/>
                  </m:rPr>
                  <w:rPr>
                    <w:rFonts w:ascii="Cambria Math" w:hAnsi="Cambria Math"/>
                    <w:color w:val="auto"/>
                    <w:kern w:val="2"/>
                  </w:rPr>
                  <m:t xml:space="preserve"> </m:t>
                </m:r>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r,δ,c25,d12−2</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r,δ,c25,d12−3</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r,δ,c25,d12−4</m:t>
                    </m:r>
                    <m:ctrlPr>
                      <w:rPr>
                        <w:rFonts w:ascii="Cambria Math" w:hAnsi="Cambria Math"/>
                        <w:color w:val="auto"/>
                        <w:kern w:val="2"/>
                      </w:rPr>
                    </m:ctrlPr>
                  </m:sub>
                </m:sSub>
                <m:r>
                  <m:rPr/>
                  <w:rPr>
                    <w:rFonts w:ascii="Cambria Math" w:hAnsi="Cambria Math"/>
                    <w:color w:val="auto"/>
                    <w:kern w:val="2"/>
                  </w:rPr>
                  <m:t>;</m:t>
                </m:r>
                <m:r>
                  <m:rPr>
                    <m:sty m:val="p"/>
                  </m:rPr>
                  <w:rPr>
                    <w:rFonts w:ascii="Cambria Math" w:hAnsi="Cambria Math"/>
                    <w:color w:val="auto"/>
                    <w:kern w:val="2"/>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r,δ,c25,d12−5</m:t>
                    </m:r>
                    <m:ctrlPr>
                      <w:rPr>
                        <w:rFonts w:ascii="Cambria Math" w:hAnsi="Cambria Math"/>
                        <w:color w:val="auto"/>
                        <w:kern w:val="2"/>
                      </w:rPr>
                    </m:ctrlPr>
                  </m:sub>
                </m:sSub>
                <m:r>
                  <m:rPr/>
                  <w:rPr>
                    <w:rFonts w:ascii="Cambria Math" w:hAnsi="Cambria Math"/>
                    <w:color w:val="auto"/>
                    <w:kern w:val="2"/>
                  </w:rPr>
                  <m:t>;</m:t>
                </m:r>
              </m:oMath>
            </m:oMathPara>
          </w:p>
        </w:tc>
        <w:tc>
          <w:tcPr>
            <w:tcW w:w="1245"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rPr>
            </w:pPr>
          </w:p>
          <w:p>
            <w:pPr>
              <w:pStyle w:val="2"/>
              <w:keepNext w:val="0"/>
              <w:keepLines w:val="0"/>
              <w:pageBreakBefore w:val="0"/>
              <w:widowControl w:val="0"/>
              <w:kinsoku/>
              <w:wordWrap/>
              <w:overflowPunct/>
              <w:topLinePunct w:val="0"/>
              <w:autoSpaceDE/>
              <w:autoSpaceDN/>
              <w:bidi w:val="0"/>
              <w:adjustRightInd/>
              <w:spacing w:after="0" w:line="288" w:lineRule="auto"/>
              <w:textAlignment w:val="auto"/>
              <w:rPr>
                <w:color w:val="auto"/>
              </w:rPr>
            </w:pPr>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N</m:t>
                    </m:r>
                    <m:ctrlPr>
                      <w:rPr>
                        <w:rFonts w:ascii="Cambria Math" w:hAnsi="Cambria Math"/>
                        <w:color w:val="auto"/>
                        <w:kern w:val="2"/>
                      </w:rPr>
                    </m:ctrlPr>
                  </m:e>
                  <m:sub>
                    <m:r>
                      <m:rPr>
                        <m:sty m:val="p"/>
                      </m:rPr>
                      <w:rPr>
                        <w:rFonts w:hint="default" w:ascii="Cambria Math" w:hAnsi="Cambria Math"/>
                        <w:color w:val="auto"/>
                        <w:kern w:val="2"/>
                      </w:rPr>
                      <m:t>r,δ,c25,d12,m</m:t>
                    </m:r>
                    <m:ctrlPr>
                      <w:rPr>
                        <w:rFonts w:ascii="Cambria Math" w:hAnsi="Cambria Math"/>
                        <w:color w:val="auto"/>
                        <w:kern w:val="2"/>
                      </w:rPr>
                    </m:ctrlPr>
                  </m:sub>
                </m:sSub>
                <m:r>
                  <m:rPr>
                    <m:sty m:val="p"/>
                  </m:rPr>
                  <w:rPr>
                    <w:rFonts w:ascii="Cambria Math" w:hAnsi="Cambria Math"/>
                    <w:color w:val="auto"/>
                    <w:kern w:val="2"/>
                  </w:rPr>
                  <m:t xml:space="preserve"> </m:t>
                </m:r>
              </m:oMath>
            </m:oMathPara>
          </w:p>
          <w:p>
            <w:pPr>
              <w:pStyle w:val="2"/>
              <w:keepNext w:val="0"/>
              <w:keepLines w:val="0"/>
              <w:pageBreakBefore w:val="0"/>
              <w:widowControl w:val="0"/>
              <w:kinsoku/>
              <w:wordWrap/>
              <w:overflowPunct/>
              <w:topLinePunct w:val="0"/>
              <w:autoSpaceDE/>
              <w:autoSpaceDN/>
              <w:bidi w:val="0"/>
              <w:adjustRightInd/>
              <w:spacing w:after="0" w:line="288" w:lineRule="auto"/>
              <w:textAlignment w:val="auto"/>
              <w:rPr>
                <w:color w:val="auto"/>
              </w:rPr>
            </w:pPr>
          </w:p>
        </w:tc>
        <w:tc>
          <w:tcPr>
            <w:tcW w:w="2122"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rPr>
            </w:pPr>
          </w:p>
          <w:p>
            <w:pPr>
              <w:pStyle w:val="2"/>
              <w:keepNext w:val="0"/>
              <w:keepLines w:val="0"/>
              <w:pageBreakBefore w:val="0"/>
              <w:widowControl w:val="0"/>
              <w:kinsoku/>
              <w:wordWrap/>
              <w:overflowPunct/>
              <w:topLinePunct w:val="0"/>
              <w:autoSpaceDE/>
              <w:autoSpaceDN/>
              <w:bidi w:val="0"/>
              <w:adjustRightInd/>
              <w:spacing w:after="0" w:line="288" w:lineRule="auto"/>
              <w:textAlignment w:val="auto"/>
              <w:rPr>
                <w:color w:val="auto"/>
              </w:rPr>
            </w:pPr>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rPr>
            </w:pPr>
            <m:oMathPara>
              <m:oMath>
                <m:sSub>
                  <m:sSubPr>
                    <m:ctrlPr>
                      <w:rPr>
                        <w:rFonts w:ascii="Cambria Math" w:hAnsi="Cambria Math"/>
                        <w:color w:val="auto"/>
                        <w:kern w:val="2"/>
                      </w:rPr>
                    </m:ctrlPr>
                  </m:sSubPr>
                  <m:e>
                    <m:r>
                      <m:rPr/>
                      <w:rPr>
                        <w:rFonts w:ascii="Cambria Math" w:hAnsi="Cambria Math"/>
                        <w:color w:val="auto"/>
                        <w:kern w:val="2"/>
                      </w:rPr>
                      <m:t>f</m:t>
                    </m:r>
                    <m:ctrlPr>
                      <w:rPr>
                        <w:rFonts w:ascii="Cambria Math" w:hAnsi="Cambria Math"/>
                        <w:color w:val="auto"/>
                        <w:kern w:val="2"/>
                      </w:rPr>
                    </m:ctrlPr>
                  </m:e>
                  <m:sub>
                    <m:r>
                      <m:rPr>
                        <m:sty m:val="p"/>
                      </m:rPr>
                      <w:rPr>
                        <w:rFonts w:hint="default" w:ascii="Cambria Math" w:hAnsi="Cambria Math"/>
                        <w:color w:val="auto"/>
                        <w:kern w:val="2"/>
                      </w:rPr>
                      <m:t>bm,δ,c25</m:t>
                    </m:r>
                    <m:ctrlPr>
                      <w:rPr>
                        <w:rFonts w:ascii="Cambria Math" w:hAnsi="Cambria Math"/>
                        <w:color w:val="auto"/>
                        <w:kern w:val="2"/>
                      </w:rPr>
                    </m:ctrlPr>
                  </m:sub>
                </m:sSub>
              </m:oMath>
            </m:oMathPara>
          </w:p>
          <w:p>
            <w:pPr>
              <w:pStyle w:val="2"/>
              <w:keepNext w:val="0"/>
              <w:keepLines w:val="0"/>
              <w:pageBreakBefore w:val="0"/>
              <w:widowControl w:val="0"/>
              <w:kinsoku/>
              <w:wordWrap/>
              <w:overflowPunct/>
              <w:topLinePunct w:val="0"/>
              <w:autoSpaceDE/>
              <w:autoSpaceDN/>
              <w:bidi w:val="0"/>
              <w:adjustRightInd/>
              <w:spacing w:after="0" w:line="288" w:lineRule="auto"/>
              <w:textAlignment w:val="auto"/>
              <w:rPr>
                <w:color w:val="auto"/>
              </w:rPr>
            </w:pPr>
          </w:p>
        </w:tc>
      </w:tr>
    </w:tbl>
    <w:p>
      <w:pPr>
        <w:spacing w:after="0" w:line="360" w:lineRule="auto"/>
        <w:rPr>
          <w:bCs/>
          <w:color w:val="auto"/>
          <w:sz w:val="24"/>
          <w:szCs w:val="24"/>
        </w:rPr>
      </w:pPr>
      <w:r>
        <w:rPr>
          <w:rFonts w:hint="eastAsia"/>
          <w:b/>
          <w:color w:val="auto"/>
          <w:sz w:val="24"/>
          <w:szCs w:val="24"/>
        </w:rPr>
        <w:t>B.2.</w:t>
      </w:r>
      <w:r>
        <w:rPr>
          <w:b/>
          <w:color w:val="auto"/>
          <w:sz w:val="24"/>
          <w:szCs w:val="24"/>
        </w:rPr>
        <w:t xml:space="preserve">10 </w:t>
      </w:r>
      <w:r>
        <w:rPr>
          <w:rFonts w:hint="eastAsia"/>
          <w:bCs/>
          <w:color w:val="auto"/>
          <w:sz w:val="24"/>
          <w:szCs w:val="24"/>
        </w:rPr>
        <w:t>C</w:t>
      </w:r>
      <w:r>
        <w:rPr>
          <w:bCs/>
          <w:color w:val="auto"/>
          <w:sz w:val="24"/>
          <w:szCs w:val="24"/>
        </w:rPr>
        <w:t>25</w:t>
      </w:r>
      <w:r>
        <w:rPr>
          <w:rFonts w:hint="eastAsia"/>
          <w:bCs/>
          <w:color w:val="auto"/>
          <w:sz w:val="24"/>
          <w:szCs w:val="24"/>
        </w:rPr>
        <w:t>条件下直径1</w:t>
      </w:r>
      <w:r>
        <w:rPr>
          <w:bCs/>
          <w:color w:val="auto"/>
          <w:sz w:val="24"/>
          <w:szCs w:val="24"/>
        </w:rPr>
        <w:t>2</w:t>
      </w:r>
      <w:r>
        <w:rPr>
          <w:rFonts w:hint="eastAsia"/>
          <w:bCs/>
          <w:color w:val="auto"/>
          <w:sz w:val="24"/>
          <w:szCs w:val="24"/>
        </w:rPr>
        <w:t>mm植筋的指定位移的荷载测试值</w:t>
      </w:r>
      <w:r>
        <w:rPr>
          <w:rFonts w:hint="eastAsia"/>
          <w:bCs/>
          <w:i/>
          <w:iCs/>
          <w:color w:val="auto"/>
          <w:sz w:val="24"/>
          <w:szCs w:val="24"/>
        </w:rPr>
        <w:t>N</w:t>
      </w:r>
      <w:r>
        <w:rPr>
          <w:bCs/>
          <w:color w:val="auto"/>
          <w:sz w:val="24"/>
          <w:szCs w:val="24"/>
          <w:vertAlign w:val="subscript"/>
        </w:rPr>
        <w:t>r,δ,test,</w:t>
      </w:r>
      <w:r>
        <w:rPr>
          <w:rFonts w:hint="eastAsia"/>
          <w:bCs/>
          <w:color w:val="auto"/>
          <w:sz w:val="24"/>
          <w:szCs w:val="24"/>
          <w:vertAlign w:val="subscript"/>
        </w:rPr>
        <w:t>c</w:t>
      </w:r>
      <w:r>
        <w:rPr>
          <w:bCs/>
          <w:color w:val="auto"/>
          <w:sz w:val="24"/>
          <w:szCs w:val="24"/>
          <w:vertAlign w:val="subscript"/>
        </w:rPr>
        <w:t>25</w:t>
      </w:r>
      <w:r>
        <w:rPr>
          <w:rFonts w:hint="eastAsia"/>
          <w:bCs/>
          <w:color w:val="auto"/>
          <w:sz w:val="24"/>
          <w:szCs w:val="24"/>
          <w:vertAlign w:val="subscript"/>
        </w:rPr>
        <w:t>,d</w:t>
      </w:r>
      <w:r>
        <w:rPr>
          <w:bCs/>
          <w:color w:val="auto"/>
          <w:sz w:val="24"/>
          <w:szCs w:val="24"/>
          <w:vertAlign w:val="subscript"/>
        </w:rPr>
        <w:t>12-k</w:t>
      </w:r>
      <w:r>
        <w:rPr>
          <w:rFonts w:hint="eastAsia"/>
          <w:bCs/>
          <w:color w:val="auto"/>
          <w:sz w:val="24"/>
          <w:szCs w:val="24"/>
        </w:rPr>
        <w:t>，应符合下列规定。</w:t>
      </w:r>
    </w:p>
    <w:p>
      <w:pPr>
        <w:spacing w:after="0" w:line="360" w:lineRule="auto"/>
        <w:ind w:firstLine="420"/>
        <w:rPr>
          <w:rFonts w:ascii="Cambria Math" w:hAnsi="Cambria Math"/>
          <w:color w:val="auto"/>
          <w:sz w:val="24"/>
          <w:szCs w:val="24"/>
        </w:rPr>
      </w:pPr>
      <w:r>
        <w:rPr>
          <w:rFonts w:hint="eastAsia" w:ascii="Cambria Math" w:hAnsi="Cambria Math"/>
          <w:color w:val="auto"/>
          <w:sz w:val="24"/>
          <w:szCs w:val="24"/>
        </w:rPr>
        <w:t>1约束拉拔基准试验的位移-荷载曲线中，</w:t>
      </w:r>
      <w:r>
        <w:rPr>
          <w:rFonts w:hint="eastAsia" w:ascii="Cambria Math" w:hAnsi="Cambria Math"/>
          <w:color w:val="auto"/>
          <w:sz w:val="24"/>
          <w:szCs w:val="24"/>
          <w:lang w:val="en-US" w:eastAsia="zh-CN"/>
        </w:rPr>
        <w:t>当</w:t>
      </w:r>
      <w:r>
        <w:rPr>
          <w:rFonts w:hint="eastAsia" w:ascii="Cambria Math" w:hAnsi="Cambria Math"/>
          <w:color w:val="auto"/>
          <w:sz w:val="24"/>
          <w:szCs w:val="24"/>
        </w:rPr>
        <w:t>极限荷载值对应的位移δ</w:t>
      </w:r>
      <w:r>
        <w:rPr>
          <w:rFonts w:hint="eastAsia" w:ascii="Cambria Math" w:hAnsi="Cambria Math"/>
          <w:color w:val="auto"/>
          <w:sz w:val="24"/>
          <w:szCs w:val="24"/>
          <w:lang w:val="en-US" w:eastAsia="zh-CN"/>
        </w:rPr>
        <w:t>不大于</w:t>
      </w:r>
      <w:r>
        <w:rPr>
          <w:rFonts w:hint="eastAsia" w:ascii="Cambria Math" w:hAnsi="Cambria Math"/>
          <w:color w:val="auto"/>
          <w:sz w:val="24"/>
          <w:szCs w:val="24"/>
        </w:rPr>
        <w:t>1.5mm</w:t>
      </w:r>
      <w:r>
        <w:rPr>
          <w:rFonts w:hint="eastAsia" w:ascii="Cambria Math" w:hAnsi="Cambria Math"/>
          <w:color w:val="auto"/>
          <w:sz w:val="24"/>
          <w:szCs w:val="24"/>
          <w:lang w:val="en-US" w:eastAsia="zh-CN"/>
        </w:rPr>
        <w:t>时</w:t>
      </w:r>
      <w:r>
        <w:rPr>
          <w:rFonts w:hint="eastAsia" w:ascii="Cambria Math" w:hAnsi="Cambria Math"/>
          <w:color w:val="auto"/>
          <w:sz w:val="24"/>
          <w:szCs w:val="24"/>
        </w:rPr>
        <w:t>，则指定位移的荷载测试值取该极限荷载值；</w:t>
      </w:r>
    </w:p>
    <w:p>
      <w:pPr>
        <w:spacing w:after="0" w:line="360" w:lineRule="auto"/>
        <w:ind w:firstLine="420"/>
        <w:rPr>
          <w:rFonts w:ascii="Cambria Math" w:hAnsi="Cambria Math"/>
          <w:color w:val="auto"/>
          <w:sz w:val="24"/>
          <w:szCs w:val="24"/>
        </w:rPr>
      </w:pPr>
      <w:r>
        <w:rPr>
          <w:rFonts w:hint="eastAsia" w:ascii="Cambria Math" w:hAnsi="Cambria Math"/>
          <w:color w:val="auto"/>
          <w:sz w:val="24"/>
          <w:szCs w:val="24"/>
        </w:rPr>
        <w:t xml:space="preserve">2 </w:t>
      </w:r>
      <w:r>
        <w:rPr>
          <w:rFonts w:hint="eastAsia" w:ascii="Cambria Math" w:hAnsi="Cambria Math"/>
          <w:color w:val="auto"/>
          <w:sz w:val="24"/>
          <w:szCs w:val="24"/>
          <w:lang w:val="en-US" w:eastAsia="zh-CN"/>
        </w:rPr>
        <w:t>当</w:t>
      </w:r>
      <w:r>
        <w:rPr>
          <w:rFonts w:hint="eastAsia" w:ascii="Cambria Math" w:hAnsi="Cambria Math"/>
          <w:color w:val="auto"/>
          <w:sz w:val="24"/>
          <w:szCs w:val="24"/>
        </w:rPr>
        <w:t>极限荷载值对应的位移</w:t>
      </w:r>
      <w:r>
        <w:rPr>
          <w:rFonts w:hint="eastAsia" w:ascii="Cambria Math" w:hAnsi="Cambria Math"/>
          <w:i/>
          <w:iCs/>
          <w:color w:val="auto"/>
          <w:sz w:val="24"/>
          <w:szCs w:val="24"/>
        </w:rPr>
        <w:t>δ</w:t>
      </w:r>
      <w:r>
        <w:rPr>
          <w:rFonts w:hint="eastAsia" w:ascii="Cambria Math" w:hAnsi="Cambria Math"/>
          <w:color w:val="auto"/>
          <w:sz w:val="24"/>
          <w:szCs w:val="24"/>
          <w:lang w:val="en-US" w:eastAsia="zh-CN"/>
        </w:rPr>
        <w:t>大于</w:t>
      </w:r>
      <w:r>
        <w:rPr>
          <w:rFonts w:hint="eastAsia" w:ascii="Cambria Math" w:hAnsi="Cambria Math"/>
          <w:color w:val="auto"/>
          <w:sz w:val="24"/>
          <w:szCs w:val="24"/>
        </w:rPr>
        <w:t>1.5mm</w:t>
      </w:r>
      <w:r>
        <w:rPr>
          <w:rFonts w:hint="eastAsia" w:ascii="Cambria Math" w:hAnsi="Cambria Math"/>
          <w:color w:val="auto"/>
          <w:sz w:val="24"/>
          <w:szCs w:val="24"/>
          <w:lang w:val="en-US" w:eastAsia="zh-CN"/>
        </w:rPr>
        <w:t>时</w:t>
      </w:r>
      <w:r>
        <w:rPr>
          <w:rFonts w:hint="eastAsia" w:ascii="Cambria Math" w:hAnsi="Cambria Math"/>
          <w:color w:val="auto"/>
          <w:sz w:val="24"/>
          <w:szCs w:val="24"/>
        </w:rPr>
        <w:t>，指定位移的荷载测试值取位移为1.5mm时的荷载值。</w:t>
      </w:r>
    </w:p>
    <w:p>
      <w:pPr>
        <w:spacing w:after="0" w:line="360" w:lineRule="auto"/>
        <w:rPr>
          <w:bCs/>
          <w:color w:val="auto"/>
          <w:sz w:val="24"/>
          <w:szCs w:val="24"/>
        </w:rPr>
      </w:pPr>
      <w:r>
        <w:rPr>
          <w:rFonts w:hint="eastAsia"/>
          <w:b/>
          <w:color w:val="auto"/>
          <w:sz w:val="24"/>
          <w:szCs w:val="24"/>
        </w:rPr>
        <w:t>B.2.</w:t>
      </w:r>
      <w:r>
        <w:rPr>
          <w:b/>
          <w:color w:val="auto"/>
          <w:sz w:val="24"/>
          <w:szCs w:val="24"/>
        </w:rPr>
        <w:t>11</w:t>
      </w:r>
      <w:r>
        <w:rPr>
          <w:rFonts w:hint="eastAsia"/>
          <w:b/>
          <w:color w:val="auto"/>
          <w:sz w:val="24"/>
          <w:szCs w:val="24"/>
        </w:rPr>
        <w:t xml:space="preserve"> </w:t>
      </w:r>
      <w:r>
        <w:rPr>
          <w:rFonts w:hint="eastAsia" w:ascii="Cambria Math" w:hAnsi="Cambria Math"/>
          <w:color w:val="auto"/>
          <w:sz w:val="24"/>
          <w:szCs w:val="24"/>
        </w:rPr>
        <w:t>混凝土强度归一化处理后的对应荷载值</w:t>
      </w:r>
      <w:r>
        <w:rPr>
          <w:rFonts w:hint="eastAsia"/>
          <w:bCs/>
          <w:color w:val="auto"/>
          <w:sz w:val="24"/>
          <w:szCs w:val="24"/>
        </w:rPr>
        <w:t>应按下式计算：</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r,δ,c25,d12−k</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r,δ,test,c25,d12−k</m:t>
            </m:r>
            <m:ctrlPr>
              <w:rPr>
                <w:rFonts w:ascii="Cambria Math" w:hAnsi="Cambria Math"/>
                <w:i/>
                <w:color w:val="auto"/>
                <w:sz w:val="24"/>
                <w:szCs w:val="24"/>
              </w:rPr>
            </m:ctrlPr>
          </m:sub>
        </m:sSub>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cu,k,25</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cu,k,test,c25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0.3</m:t>
            </m:r>
            <m:ctrlPr>
              <w:rPr>
                <w:rFonts w:ascii="Cambria Math" w:hAnsi="Cambria Math"/>
                <w:i/>
                <w:color w:val="auto"/>
                <w:sz w:val="24"/>
                <w:szCs w:val="24"/>
              </w:rPr>
            </m:ctrlPr>
          </m:sup>
        </m:sSup>
      </m:oMath>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11）</w:t>
      </w:r>
    </w:p>
    <w:tbl>
      <w:tblPr>
        <w:tblStyle w:val="28"/>
        <w:tblW w:w="84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4"/>
        <w:gridCol w:w="1873"/>
        <w:gridCol w:w="456"/>
        <w:gridCol w:w="5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4" w:type="dxa"/>
          </w:tcPr>
          <w:p>
            <w:pPr>
              <w:spacing w:after="0" w:line="360" w:lineRule="auto"/>
              <w:rPr>
                <w:iCs/>
                <w:color w:val="auto"/>
                <w:sz w:val="24"/>
                <w:szCs w:val="24"/>
              </w:rPr>
            </w:pPr>
            <w:r>
              <w:rPr>
                <w:rFonts w:hint="eastAsia"/>
                <w:iCs/>
                <w:color w:val="auto"/>
                <w:sz w:val="24"/>
                <w:szCs w:val="24"/>
              </w:rPr>
              <w:t>式中:</w:t>
            </w:r>
          </w:p>
        </w:tc>
        <w:tc>
          <w:tcPr>
            <w:tcW w:w="1873"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r,δ,c25,d12−k</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271" w:type="dxa"/>
          </w:tcPr>
          <w:p>
            <w:pPr>
              <w:spacing w:after="0" w:line="360" w:lineRule="auto"/>
              <w:rPr>
                <w:iCs/>
                <w:color w:val="auto"/>
                <w:sz w:val="24"/>
                <w:szCs w:val="24"/>
              </w:rPr>
            </w:pPr>
            <w:r>
              <w:rPr>
                <w:rFonts w:hint="eastAsia"/>
                <w:iCs/>
                <w:color w:val="auto"/>
                <w:sz w:val="24"/>
                <w:szCs w:val="24"/>
              </w:rPr>
              <w:t>按混凝土强度归一化处理后的指定位移荷载值（N）；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814" w:type="dxa"/>
          </w:tcPr>
          <w:p>
            <w:pPr>
              <w:spacing w:after="0" w:line="360" w:lineRule="auto"/>
              <w:rPr>
                <w:iCs/>
                <w:color w:val="auto"/>
                <w:sz w:val="24"/>
                <w:szCs w:val="24"/>
              </w:rPr>
            </w:pPr>
          </w:p>
        </w:tc>
        <w:tc>
          <w:tcPr>
            <w:tcW w:w="1873"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r,δ,test,c25,d12−k</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271" w:type="dxa"/>
          </w:tcPr>
          <w:p>
            <w:pPr>
              <w:spacing w:after="0" w:line="360" w:lineRule="auto"/>
              <w:rPr>
                <w:iCs/>
                <w:color w:val="auto"/>
                <w:sz w:val="24"/>
                <w:szCs w:val="24"/>
              </w:rPr>
            </w:pPr>
            <w:r>
              <w:rPr>
                <w:rFonts w:hint="eastAsia"/>
                <w:iCs/>
                <w:color w:val="auto"/>
                <w:sz w:val="24"/>
                <w:szCs w:val="24"/>
              </w:rPr>
              <w:t>指定位移的荷载测试值（N）；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814" w:type="dxa"/>
          </w:tcPr>
          <w:p>
            <w:pPr>
              <w:spacing w:after="0" w:line="360" w:lineRule="auto"/>
              <w:rPr>
                <w:iCs/>
                <w:color w:val="auto"/>
                <w:sz w:val="24"/>
                <w:szCs w:val="24"/>
              </w:rPr>
            </w:pPr>
          </w:p>
        </w:tc>
        <w:tc>
          <w:tcPr>
            <w:tcW w:w="1873"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cu,k,test,c25</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271" w:type="dxa"/>
          </w:tcPr>
          <w:p>
            <w:pPr>
              <w:spacing w:after="0" w:line="360" w:lineRule="auto"/>
              <w:rPr>
                <w:iCs/>
                <w:color w:val="auto"/>
                <w:sz w:val="24"/>
                <w:szCs w:val="24"/>
              </w:rPr>
            </w:pPr>
            <w:r>
              <w:rPr>
                <w:rFonts w:hint="eastAsia"/>
                <w:iCs/>
                <w:color w:val="auto"/>
                <w:sz w:val="24"/>
                <w:szCs w:val="24"/>
              </w:rPr>
              <w:t>该批次C</w:t>
            </w:r>
            <w:r>
              <w:rPr>
                <w:iCs/>
                <w:color w:val="auto"/>
                <w:sz w:val="24"/>
                <w:szCs w:val="24"/>
              </w:rPr>
              <w:t>25</w:t>
            </w:r>
            <w:r>
              <w:rPr>
                <w:rFonts w:hint="eastAsia"/>
                <w:iCs/>
                <w:color w:val="auto"/>
                <w:sz w:val="24"/>
                <w:szCs w:val="24"/>
              </w:rPr>
              <w:t>混凝土样品实测强度（M</w:t>
            </w:r>
            <w:r>
              <w:rPr>
                <w:iCs/>
                <w:color w:val="auto"/>
                <w:sz w:val="24"/>
                <w:szCs w:val="24"/>
              </w:rPr>
              <w:t>Pa</w:t>
            </w:r>
            <w:r>
              <w:rPr>
                <w:rFonts w:hint="eastAsia"/>
                <w:iCs/>
                <w:color w:val="auto"/>
                <w:sz w:val="24"/>
                <w:szCs w:val="24"/>
              </w:rPr>
              <w:t>）；</w:t>
            </w:r>
          </w:p>
        </w:tc>
      </w:tr>
    </w:tbl>
    <w:p>
      <w:pPr>
        <w:spacing w:after="0" w:line="360" w:lineRule="auto"/>
        <w:rPr>
          <w:bCs/>
          <w:color w:val="auto"/>
          <w:sz w:val="24"/>
          <w:szCs w:val="24"/>
        </w:rPr>
      </w:pPr>
      <w:r>
        <w:rPr>
          <w:rFonts w:hint="eastAsia"/>
          <w:b/>
          <w:color w:val="auto"/>
          <w:sz w:val="24"/>
          <w:szCs w:val="24"/>
        </w:rPr>
        <w:t>B.2.</w:t>
      </w:r>
      <w:r>
        <w:rPr>
          <w:b/>
          <w:color w:val="auto"/>
          <w:sz w:val="24"/>
          <w:szCs w:val="24"/>
        </w:rPr>
        <w:t>12</w:t>
      </w:r>
      <w:r>
        <w:rPr>
          <w:bCs/>
          <w:color w:val="auto"/>
          <w:sz w:val="24"/>
          <w:szCs w:val="24"/>
        </w:rPr>
        <w:t xml:space="preserve"> </w:t>
      </w:r>
      <w:r>
        <w:rPr>
          <w:rFonts w:hint="eastAsia" w:ascii="Cambria Math" w:hAnsi="Cambria Math"/>
          <w:color w:val="auto"/>
          <w:sz w:val="24"/>
          <w:szCs w:val="24"/>
        </w:rPr>
        <w:t>按钢筋相对肋面积归一化处理后的指定位移的粘结强度平均值</w:t>
      </w:r>
      <w:r>
        <w:rPr>
          <w:rFonts w:hint="eastAsia"/>
          <w:bCs/>
          <w:i/>
          <w:iCs/>
          <w:color w:val="auto"/>
          <w:sz w:val="24"/>
          <w:szCs w:val="24"/>
        </w:rPr>
        <w:t>f</w:t>
      </w:r>
      <w:r>
        <w:rPr>
          <w:bCs/>
          <w:color w:val="auto"/>
          <w:sz w:val="24"/>
          <w:szCs w:val="24"/>
          <w:vertAlign w:val="subscript"/>
        </w:rPr>
        <w:t>bm,δ</w:t>
      </w:r>
      <w:r>
        <w:rPr>
          <w:rFonts w:hint="eastAsia"/>
          <w:bCs/>
          <w:color w:val="auto"/>
          <w:sz w:val="24"/>
          <w:szCs w:val="24"/>
          <w:vertAlign w:val="subscript"/>
        </w:rPr>
        <w:t>,</w:t>
      </w:r>
      <w:r>
        <w:rPr>
          <w:bCs/>
          <w:color w:val="auto"/>
          <w:sz w:val="24"/>
          <w:szCs w:val="24"/>
          <w:vertAlign w:val="subscript"/>
        </w:rPr>
        <w:t>c25</w:t>
      </w:r>
      <w:r>
        <w:rPr>
          <w:rFonts w:hint="eastAsia" w:ascii="Cambria Math" w:hAnsi="Cambria Math"/>
          <w:color w:val="auto"/>
          <w:sz w:val="24"/>
          <w:szCs w:val="24"/>
        </w:rPr>
        <w:t>应</w:t>
      </w:r>
      <w:r>
        <w:rPr>
          <w:rFonts w:hint="eastAsia"/>
          <w:bCs/>
          <w:color w:val="auto"/>
          <w:sz w:val="24"/>
          <w:szCs w:val="24"/>
        </w:rPr>
        <w:t>按下式计算</w:t>
      </w:r>
      <w:r>
        <w:rPr>
          <w:rFonts w:hint="eastAsia"/>
          <w:color w:val="auto"/>
          <w:sz w:val="24"/>
          <w:szCs w:val="24"/>
        </w:rPr>
        <w:t>：</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bm,δ,c25</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r,δ,c25,d12,m</m:t>
                </m:r>
                <m:ctrlPr>
                  <w:rPr>
                    <w:rFonts w:ascii="Cambria Math" w:hAnsi="Cambria Math"/>
                    <w:i/>
                    <w:color w:val="auto"/>
                    <w:sz w:val="24"/>
                    <w:szCs w:val="24"/>
                  </w:rPr>
                </m:ctrlPr>
              </m:sub>
            </m:sSub>
            <m:ctrlPr>
              <w:rPr>
                <w:rFonts w:ascii="Cambria Math" w:hAnsi="Cambria Math"/>
                <w:i/>
                <w:color w:val="auto"/>
                <w:sz w:val="24"/>
                <w:szCs w:val="24"/>
              </w:rPr>
            </m:ctrlPr>
          </m:num>
          <m:den>
            <m:r>
              <m:rPr/>
              <w:rPr>
                <w:rFonts w:ascii="Cambria Math" w:hAnsi="Cambria Math"/>
                <w:color w:val="auto"/>
                <w:sz w:val="24"/>
                <w:szCs w:val="24"/>
              </w:rPr>
              <m:t>π∙</m:t>
            </m:r>
            <m:r>
              <m:rPr/>
              <w:rPr>
                <w:rFonts w:hint="eastAsia" w:ascii="Cambria Math" w:hAnsi="Cambria Math"/>
                <w:color w:val="auto"/>
                <w:sz w:val="24"/>
                <w:szCs w:val="24"/>
              </w:rPr>
              <m:t>d</m:t>
            </m:r>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m:sty m:val="p"/>
                  </m:rPr>
                  <w:rPr>
                    <w:rFonts w:hint="default" w:ascii="Cambria Math" w:hAnsi="Cambria Math"/>
                    <w:color w:val="auto"/>
                    <w:sz w:val="24"/>
                    <w:szCs w:val="24"/>
                  </w:rPr>
                  <m:t>v</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m:rPr/>
                      <w:rPr>
                        <w:rFonts w:ascii="Cambria Math" w:hAnsi="Cambria Math"/>
                        <w:color w:val="auto"/>
                        <w:sz w:val="24"/>
                        <w:szCs w:val="24"/>
                      </w:rPr>
                      <m:t>0.08</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R</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0.4</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w:t>
      </w:r>
      <w:r>
        <w:rPr>
          <w:rFonts w:hint="eastAsia"/>
          <w:color w:val="auto"/>
          <w:sz w:val="24"/>
          <w:szCs w:val="24"/>
        </w:rPr>
        <w:t>B.2.</w:t>
      </w:r>
      <w:r>
        <w:rPr>
          <w:color w:val="auto"/>
          <w:sz w:val="24"/>
          <w:szCs w:val="24"/>
        </w:rPr>
        <w:t>12）</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7"/>
        <w:gridCol w:w="1475"/>
        <w:gridCol w:w="692"/>
        <w:gridCol w:w="5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 w:type="dxa"/>
          </w:tcPr>
          <w:p>
            <w:pPr>
              <w:spacing w:after="0" w:line="360" w:lineRule="auto"/>
              <w:rPr>
                <w:iCs/>
                <w:color w:val="auto"/>
                <w:sz w:val="24"/>
                <w:szCs w:val="24"/>
              </w:rPr>
            </w:pPr>
            <w:r>
              <w:rPr>
                <w:rFonts w:hint="eastAsia"/>
                <w:iCs/>
                <w:color w:val="auto"/>
                <w:sz w:val="24"/>
                <w:szCs w:val="24"/>
              </w:rPr>
              <w:t>式中:</w:t>
            </w:r>
          </w:p>
        </w:tc>
        <w:tc>
          <w:tcPr>
            <w:tcW w:w="1475"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m:sty m:val="p"/>
                      </m:rPr>
                      <w:rPr>
                        <w:rFonts w:hint="default" w:ascii="Cambria Math" w:hAnsi="Cambria Math"/>
                        <w:color w:val="auto"/>
                        <w:sz w:val="24"/>
                        <w:szCs w:val="24"/>
                      </w:rPr>
                      <m:t>r,δ,c25,d12,m</m:t>
                    </m:r>
                    <m:ctrlPr>
                      <w:rPr>
                        <w:rFonts w:ascii="Cambria Math" w:hAnsi="Cambria Math"/>
                        <w:i/>
                        <w:color w:val="auto"/>
                        <w:sz w:val="24"/>
                        <w:szCs w:val="24"/>
                      </w:rPr>
                    </m:ctrlPr>
                  </m:sub>
                </m:sSub>
              </m:oMath>
            </m:oMathPara>
          </w:p>
        </w:tc>
        <w:tc>
          <w:tcPr>
            <w:tcW w:w="692"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162" w:type="dxa"/>
          </w:tcPr>
          <w:p>
            <w:pPr>
              <w:spacing w:after="0" w:line="360" w:lineRule="auto"/>
              <w:rPr>
                <w:iCs/>
                <w:color w:val="auto"/>
                <w:sz w:val="24"/>
                <w:szCs w:val="24"/>
              </w:rPr>
            </w:pPr>
            <w:r>
              <w:rPr>
                <w:rFonts w:hint="eastAsia"/>
                <w:bCs/>
                <w:color w:val="auto"/>
                <w:sz w:val="24"/>
                <w:szCs w:val="24"/>
              </w:rPr>
              <w:t>C</w:t>
            </w:r>
            <w:r>
              <w:rPr>
                <w:bCs/>
                <w:color w:val="auto"/>
                <w:sz w:val="24"/>
                <w:szCs w:val="24"/>
              </w:rPr>
              <w:t>25</w:t>
            </w:r>
            <w:r>
              <w:rPr>
                <w:rFonts w:hint="eastAsia"/>
                <w:bCs/>
                <w:color w:val="auto"/>
                <w:sz w:val="24"/>
                <w:szCs w:val="24"/>
              </w:rPr>
              <w:t>混凝土基准试验（直径1</w:t>
            </w:r>
            <w:r>
              <w:rPr>
                <w:bCs/>
                <w:color w:val="auto"/>
                <w:sz w:val="24"/>
                <w:szCs w:val="24"/>
              </w:rPr>
              <w:t>2mm</w:t>
            </w:r>
            <w:r>
              <w:rPr>
                <w:rFonts w:hint="eastAsia"/>
                <w:bCs/>
                <w:color w:val="auto"/>
                <w:sz w:val="24"/>
                <w:szCs w:val="24"/>
              </w:rPr>
              <w:t>植筋）归一化处理后指定位移荷载值的平均值</w:t>
            </w:r>
            <w:r>
              <w:rPr>
                <w:rFonts w:hint="eastAsia"/>
                <w:iCs/>
                <w:color w:val="auto"/>
                <w:sz w:val="24"/>
                <w:szCs w:val="24"/>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7" w:type="dxa"/>
          </w:tcPr>
          <w:p>
            <w:pPr>
              <w:spacing w:after="0" w:line="360" w:lineRule="auto"/>
              <w:rPr>
                <w:iCs/>
                <w:color w:val="auto"/>
                <w:sz w:val="24"/>
                <w:szCs w:val="24"/>
              </w:rPr>
            </w:pPr>
          </w:p>
        </w:tc>
        <w:tc>
          <w:tcPr>
            <w:tcW w:w="1475"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bm,δ,c25</m:t>
                    </m:r>
                    <m:ctrlPr>
                      <w:rPr>
                        <w:rFonts w:ascii="Cambria Math" w:hAnsi="Cambria Math"/>
                        <w:i/>
                        <w:color w:val="auto"/>
                        <w:sz w:val="24"/>
                        <w:szCs w:val="24"/>
                      </w:rPr>
                    </m:ctrlPr>
                  </m:sub>
                </m:sSub>
              </m:oMath>
            </m:oMathPara>
          </w:p>
        </w:tc>
        <w:tc>
          <w:tcPr>
            <w:tcW w:w="692"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162" w:type="dxa"/>
          </w:tcPr>
          <w:p>
            <w:pPr>
              <w:spacing w:after="0" w:line="360" w:lineRule="auto"/>
              <w:rPr>
                <w:iCs/>
                <w:color w:val="auto"/>
                <w:sz w:val="24"/>
                <w:szCs w:val="24"/>
              </w:rPr>
            </w:pPr>
            <w:r>
              <w:rPr>
                <w:rFonts w:hint="eastAsia"/>
                <w:iCs/>
                <w:color w:val="auto"/>
                <w:sz w:val="24"/>
                <w:szCs w:val="24"/>
              </w:rPr>
              <w:t>以上指定位移对应的粘结强度平均值（N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 w:type="dxa"/>
          </w:tcPr>
          <w:p>
            <w:pPr>
              <w:spacing w:after="0" w:line="360" w:lineRule="auto"/>
              <w:rPr>
                <w:iCs/>
                <w:color w:val="auto"/>
                <w:sz w:val="24"/>
                <w:szCs w:val="24"/>
              </w:rPr>
            </w:pPr>
          </w:p>
        </w:tc>
        <w:tc>
          <w:tcPr>
            <w:tcW w:w="1475" w:type="dxa"/>
          </w:tcPr>
          <w:p>
            <w:pPr>
              <w:spacing w:after="0" w:line="360" w:lineRule="auto"/>
              <w:jc w:val="right"/>
              <w:rPr>
                <w:rFonts w:ascii="Cambria Math" w:hAnsi="Cambria Math"/>
                <w:i/>
                <w:color w:val="auto"/>
                <w:sz w:val="24"/>
                <w:szCs w:val="24"/>
              </w:rPr>
            </w:pPr>
            <m:oMathPara>
              <m:oMathParaPr>
                <m:jc m:val="center"/>
              </m:oMathParaP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R</m:t>
                    </m:r>
                    <m:ctrlPr>
                      <w:rPr>
                        <w:rFonts w:ascii="Cambria Math" w:hAnsi="Cambria Math"/>
                        <w:i/>
                        <w:color w:val="auto"/>
                        <w:sz w:val="24"/>
                        <w:szCs w:val="24"/>
                      </w:rPr>
                    </m:ctrlPr>
                  </m:sub>
                </m:sSub>
              </m:oMath>
            </m:oMathPara>
          </w:p>
        </w:tc>
        <w:tc>
          <w:tcPr>
            <w:tcW w:w="692" w:type="dxa"/>
          </w:tcPr>
          <w:p>
            <w:pPr>
              <w:spacing w:after="0" w:line="360" w:lineRule="auto"/>
              <w:rPr>
                <w:iCs/>
                <w:color w:val="auto"/>
                <w:sz w:val="24"/>
                <w:szCs w:val="24"/>
              </w:rPr>
            </w:pPr>
            <w:r>
              <w:rPr>
                <w:color w:val="000000" w:themeColor="text1"/>
                <w:kern w:val="2"/>
                <w:sz w:val="24"/>
                <w:szCs w:val="24"/>
                <w14:textFill>
                  <w14:solidFill>
                    <w14:schemeClr w14:val="tx1"/>
                  </w14:solidFill>
                </w14:textFill>
              </w:rPr>
              <w:t>—</w:t>
            </w:r>
          </w:p>
        </w:tc>
        <w:tc>
          <w:tcPr>
            <w:tcW w:w="5162" w:type="dxa"/>
          </w:tcPr>
          <w:p>
            <w:pPr>
              <w:spacing w:after="0" w:line="360" w:lineRule="auto"/>
              <w:rPr>
                <w:iCs/>
                <w:color w:val="auto"/>
                <w:sz w:val="24"/>
                <w:szCs w:val="24"/>
              </w:rPr>
            </w:pPr>
            <w:r>
              <w:rPr>
                <w:rFonts w:hint="eastAsia"/>
                <w:iCs/>
                <w:color w:val="auto"/>
                <w:sz w:val="24"/>
                <w:szCs w:val="24"/>
              </w:rPr>
              <w:t>测试钢筋的相对肋面积，可参考</w:t>
            </w:r>
            <w:r>
              <w:rPr>
                <w:rFonts w:hint="eastAsia"/>
                <w:iCs/>
                <w:color w:val="auto"/>
                <w:sz w:val="24"/>
                <w:szCs w:val="24"/>
                <w:lang w:val="en-US" w:eastAsia="zh-CN"/>
              </w:rPr>
              <w:t>现行国家标准</w:t>
            </w:r>
            <w:r>
              <w:rPr>
                <w:rFonts w:hint="eastAsia"/>
                <w:color w:val="auto"/>
                <w:sz w:val="24"/>
                <w:szCs w:val="24"/>
              </w:rPr>
              <w:t>《钢筋混凝土用钢 第2部分：热轧带肋钢筋》</w:t>
            </w:r>
            <w:r>
              <w:rPr>
                <w:rFonts w:hint="eastAsia"/>
                <w:iCs/>
                <w:color w:val="auto"/>
                <w:sz w:val="24"/>
                <w:szCs w:val="24"/>
              </w:rPr>
              <w:t>G</w:t>
            </w:r>
            <w:r>
              <w:rPr>
                <w:iCs/>
                <w:color w:val="auto"/>
                <w:sz w:val="24"/>
                <w:szCs w:val="24"/>
              </w:rPr>
              <w:t>B/T1499.2</w:t>
            </w:r>
            <w:r>
              <w:rPr>
                <w:rFonts w:hint="eastAsia"/>
                <w:iCs/>
                <w:color w:val="auto"/>
                <w:sz w:val="24"/>
                <w:szCs w:val="24"/>
                <w:lang w:val="en-US" w:eastAsia="zh-CN"/>
              </w:rPr>
              <w:t>的规定</w:t>
            </w:r>
            <w:r>
              <w:rPr>
                <w:rFonts w:hint="eastAsia"/>
                <w:iCs/>
                <w:color w:val="auto"/>
                <w:sz w:val="24"/>
                <w:szCs w:val="24"/>
              </w:rPr>
              <w:t>。</w:t>
            </w:r>
          </w:p>
        </w:tc>
      </w:tr>
    </w:tbl>
    <w:p>
      <w:pPr>
        <w:rPr>
          <w:rFonts w:eastAsiaTheme="majorEastAsia" w:cstheme="majorBidi"/>
          <w:b/>
          <w:color w:val="000000" w:themeColor="text1"/>
          <w:sz w:val="30"/>
          <w:szCs w:val="32"/>
          <w14:textFill>
            <w14:solidFill>
              <w14:schemeClr w14:val="tx1"/>
            </w14:solidFill>
          </w14:textFill>
        </w:rPr>
      </w:pPr>
      <w:r>
        <w:rPr>
          <w:rFonts w:hint="eastAsia"/>
          <w:b/>
          <w:color w:val="auto"/>
          <w:sz w:val="24"/>
          <w:szCs w:val="24"/>
        </w:rPr>
        <w:t>B.2.</w:t>
      </w:r>
      <w:r>
        <w:rPr>
          <w:b/>
          <w:color w:val="auto"/>
          <w:sz w:val="24"/>
          <w:szCs w:val="24"/>
        </w:rPr>
        <w:t>13</w:t>
      </w:r>
      <w:r>
        <w:rPr>
          <w:rFonts w:hint="eastAsia"/>
          <w:bCs/>
          <w:color w:val="auto"/>
          <w:sz w:val="24"/>
          <w:szCs w:val="24"/>
        </w:rPr>
        <w:t>植筋系统的基准试验得到指定位移的粘结强度平均值应满足</w:t>
      </w: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bm,δ,c25</m:t>
            </m:r>
            <m:ctrlPr>
              <w:rPr>
                <w:rFonts w:ascii="Cambria Math" w:hAnsi="Cambria Math"/>
                <w:i/>
                <w:color w:val="auto"/>
                <w:sz w:val="24"/>
                <w:szCs w:val="24"/>
              </w:rPr>
            </m:ctrlPr>
          </m:sub>
        </m:sSub>
      </m:oMath>
      <w:r>
        <w:rPr>
          <w:color w:val="auto"/>
          <w:sz w:val="24"/>
          <w:szCs w:val="24"/>
        </w:rPr>
        <w:t>≥10.0</w:t>
      </w:r>
      <w:r>
        <w:rPr>
          <w:rFonts w:hint="eastAsia"/>
          <w:color w:val="auto"/>
          <w:sz w:val="24"/>
          <w:szCs w:val="24"/>
        </w:rPr>
        <w:t xml:space="preserve"> N</w:t>
      </w:r>
      <w:r>
        <w:rPr>
          <w:color w:val="auto"/>
          <w:sz w:val="24"/>
          <w:szCs w:val="24"/>
        </w:rPr>
        <w:t>/mm</w:t>
      </w:r>
      <w:r>
        <w:rPr>
          <w:color w:val="auto"/>
          <w:sz w:val="24"/>
          <w:szCs w:val="24"/>
          <w:vertAlign w:val="superscript"/>
        </w:rPr>
        <w:t>2</w:t>
      </w:r>
      <w:r>
        <w:rPr>
          <w:rFonts w:hint="eastAsia" w:ascii="宋体" w:hAnsi="宋体"/>
          <w:color w:val="auto"/>
          <w:sz w:val="24"/>
          <w:szCs w:val="24"/>
        </w:rPr>
        <w:t>。</w:t>
      </w:r>
      <w:r>
        <w:br w:type="page"/>
      </w:r>
    </w:p>
    <w:p>
      <w:pPr>
        <w:pStyle w:val="4"/>
        <w:rPr>
          <w:rFonts w:ascii="Times New Roman" w:hAnsi="Times New Roman"/>
        </w:rPr>
      </w:pPr>
      <w:bookmarkStart w:id="77" w:name="_Toc29588"/>
      <w:r>
        <w:rPr>
          <w:rFonts w:hint="eastAsia" w:ascii="Times New Roman" w:hAnsi="Times New Roman"/>
        </w:rPr>
        <w:t>附录C 干燥混凝土清孔敏感性试验方法与评估</w:t>
      </w:r>
      <w:bookmarkEnd w:id="77"/>
    </w:p>
    <w:p>
      <w:pPr>
        <w:pStyle w:val="5"/>
      </w:pPr>
      <w:bookmarkStart w:id="78" w:name="_Toc2198"/>
      <w:bookmarkStart w:id="79" w:name="_Toc13020"/>
      <w:bookmarkStart w:id="80" w:name="_Toc18417"/>
      <w:r>
        <w:rPr>
          <w:rFonts w:hint="eastAsia"/>
        </w:rPr>
        <w:t>C.1 干燥混凝土清孔敏感性试验流程</w:t>
      </w:r>
      <w:bookmarkEnd w:id="78"/>
      <w:bookmarkEnd w:id="79"/>
      <w:bookmarkEnd w:id="80"/>
    </w:p>
    <w:p>
      <w:r>
        <w:rPr>
          <w:rFonts w:hint="eastAsia"/>
          <w:b/>
          <w:bCs/>
          <w:color w:val="auto"/>
          <w:sz w:val="24"/>
          <w:szCs w:val="24"/>
        </w:rPr>
        <w:t>C.1.1</w:t>
      </w:r>
      <w:r>
        <w:rPr>
          <w:b/>
          <w:bCs/>
          <w:color w:val="auto"/>
          <w:sz w:val="24"/>
          <w:szCs w:val="24"/>
        </w:rPr>
        <w:t xml:space="preserve"> </w:t>
      </w:r>
      <w:r>
        <w:rPr>
          <w:rFonts w:hint="eastAsia"/>
          <w:color w:val="auto"/>
          <w:sz w:val="24"/>
          <w:szCs w:val="24"/>
        </w:rPr>
        <w:t>试样应按照下列流程制作和安装：</w:t>
      </w:r>
    </w:p>
    <w:p>
      <w:pPr>
        <w:spacing w:after="0" w:line="360" w:lineRule="auto"/>
        <w:ind w:firstLine="420"/>
        <w:rPr>
          <w:bCs/>
          <w:color w:val="auto"/>
          <w:sz w:val="24"/>
          <w:szCs w:val="24"/>
        </w:rPr>
      </w:pPr>
      <w:r>
        <w:rPr>
          <w:rFonts w:hint="eastAsia"/>
          <w:bCs/>
          <w:color w:val="auto"/>
          <w:sz w:val="24"/>
          <w:szCs w:val="24"/>
        </w:rPr>
        <w:t xml:space="preserve">1 </w:t>
      </w:r>
      <w:r>
        <w:rPr>
          <w:rFonts w:hint="eastAsia"/>
          <w:color w:val="000000" w:themeColor="text1"/>
          <w:sz w:val="24"/>
          <w:szCs w:val="24"/>
          <w14:textFill>
            <w14:solidFill>
              <w14:schemeClr w14:val="tx1"/>
            </w14:solidFill>
          </w14:textFill>
        </w:rPr>
        <w:t>按植筋孔径对应的直径</w:t>
      </w:r>
      <w:r>
        <w:rPr>
          <w:rFonts w:hint="eastAsia"/>
          <w:i/>
          <w:iCs/>
          <w:color w:val="000000" w:themeColor="text1"/>
          <w:sz w:val="24"/>
          <w:szCs w:val="24"/>
          <w14:textFill>
            <w14:solidFill>
              <w14:schemeClr w14:val="tx1"/>
            </w14:solidFill>
          </w14:textFill>
        </w:rPr>
        <w:t>d</w:t>
      </w:r>
      <w:r>
        <w:rPr>
          <w:color w:val="000000" w:themeColor="text1"/>
          <w:sz w:val="24"/>
          <w:szCs w:val="24"/>
          <w:vertAlign w:val="subscript"/>
          <w14:textFill>
            <w14:solidFill>
              <w14:schemeClr w14:val="tx1"/>
            </w14:solidFill>
          </w14:textFill>
        </w:rPr>
        <w:t>m</w:t>
      </w:r>
      <w:r>
        <w:rPr>
          <w:rFonts w:hint="eastAsia"/>
          <w:color w:val="000000" w:themeColor="text1"/>
          <w:sz w:val="24"/>
          <w:szCs w:val="24"/>
          <w14:textFill>
            <w14:solidFill>
              <w14:schemeClr w14:val="tx1"/>
            </w14:solidFill>
          </w14:textFill>
        </w:rPr>
        <w:t>钻头在混凝土上钻孔</w:t>
      </w:r>
      <w:r>
        <w:rPr>
          <w:rFonts w:hint="eastAsia"/>
          <w:bCs/>
          <w:color w:val="auto"/>
          <w:sz w:val="24"/>
          <w:szCs w:val="24"/>
        </w:rPr>
        <w:t>，钻孔深度宜为钢筋直径的10倍</w:t>
      </w:r>
      <w:r>
        <w:rPr>
          <w:rFonts w:hint="eastAsia"/>
          <w:bCs/>
          <w:color w:val="000000" w:themeColor="text1"/>
          <w:sz w:val="24"/>
          <w:szCs w:val="24"/>
          <w14:textFill>
            <w14:solidFill>
              <w14:schemeClr w14:val="tx1"/>
            </w14:solidFill>
          </w14:textFill>
        </w:rPr>
        <w:t>；</w:t>
      </w:r>
    </w:p>
    <w:p>
      <w:pPr>
        <w:spacing w:after="0" w:line="360" w:lineRule="auto"/>
        <w:ind w:firstLine="420"/>
        <w:rPr>
          <w:bCs/>
          <w:color w:val="auto"/>
          <w:sz w:val="24"/>
          <w:szCs w:val="24"/>
        </w:rPr>
      </w:pPr>
      <w:r>
        <w:rPr>
          <w:rFonts w:hint="eastAsia"/>
          <w:bCs/>
          <w:color w:val="auto"/>
          <w:sz w:val="24"/>
          <w:szCs w:val="24"/>
        </w:rPr>
        <w:t>2 钻孔完成后，应按照生产商产品说明书要求的清孔次数的一半进行清孔，折减后的次数应向下修约到整数。</w:t>
      </w:r>
      <w:r>
        <w:rPr>
          <w:rFonts w:hint="eastAsia"/>
          <w:bCs/>
          <w:color w:val="auto"/>
          <w:sz w:val="24"/>
          <w:szCs w:val="24"/>
          <w:lang w:val="en-US" w:eastAsia="zh-CN"/>
        </w:rPr>
        <w:t>当</w:t>
      </w:r>
      <w:r>
        <w:rPr>
          <w:rFonts w:hint="eastAsia"/>
          <w:bCs/>
          <w:color w:val="auto"/>
          <w:sz w:val="24"/>
          <w:szCs w:val="24"/>
        </w:rPr>
        <w:t>生产商产品说明书要求的清孔次数为4次吹孔2次刷孔，应按照2次吹孔1次刷孔进行清孔；</w:t>
      </w:r>
      <w:r>
        <w:rPr>
          <w:rFonts w:hint="eastAsia"/>
          <w:bCs/>
          <w:color w:val="auto"/>
          <w:sz w:val="24"/>
          <w:szCs w:val="24"/>
          <w:lang w:val="en-US" w:eastAsia="zh-CN"/>
        </w:rPr>
        <w:t>当</w:t>
      </w:r>
      <w:r>
        <w:rPr>
          <w:rFonts w:hint="eastAsia"/>
          <w:bCs/>
          <w:color w:val="auto"/>
          <w:sz w:val="24"/>
          <w:szCs w:val="24"/>
        </w:rPr>
        <w:t>生产商产品说明书要求的清孔次数为3次吹孔2次刷孔，应按照1次吹孔1次刷孔进行清孔；</w:t>
      </w:r>
      <w:r>
        <w:rPr>
          <w:rFonts w:hint="eastAsia"/>
          <w:bCs/>
          <w:color w:val="auto"/>
          <w:sz w:val="24"/>
          <w:szCs w:val="24"/>
          <w:lang w:val="en-US" w:eastAsia="zh-CN"/>
        </w:rPr>
        <w:t>当</w:t>
      </w:r>
      <w:r>
        <w:rPr>
          <w:rFonts w:hint="eastAsia"/>
          <w:bCs/>
          <w:color w:val="auto"/>
          <w:sz w:val="24"/>
          <w:szCs w:val="24"/>
        </w:rPr>
        <w:t>生产商产品说明书要求的清孔次数为2次吹孔1次刷孔，则应只进行1次吹孔不刷孔；</w:t>
      </w:r>
      <w:r>
        <w:rPr>
          <w:rFonts w:hint="eastAsia"/>
          <w:bCs/>
          <w:color w:val="auto"/>
          <w:sz w:val="24"/>
          <w:szCs w:val="24"/>
          <w:lang w:val="en-US" w:eastAsia="zh-CN"/>
        </w:rPr>
        <w:t>当</w:t>
      </w:r>
      <w:r>
        <w:rPr>
          <w:rFonts w:hint="eastAsia"/>
          <w:bCs/>
          <w:color w:val="auto"/>
          <w:sz w:val="24"/>
          <w:szCs w:val="24"/>
        </w:rPr>
        <w:t>生产商的产品说明书要求使用真空吸尘钻头，钻孔和清孔操作同时完成，应将真空压力设定为指定压力范围的最小值；钻孔过程中不进行排尘操作，即不进行将钻头移出钻孔将灰尘排出的操作。</w:t>
      </w:r>
    </w:p>
    <w:p>
      <w:pPr>
        <w:spacing w:after="0" w:line="360" w:lineRule="auto"/>
        <w:ind w:firstLine="420"/>
        <w:rPr>
          <w:bCs/>
          <w:color w:val="auto"/>
          <w:sz w:val="24"/>
          <w:szCs w:val="24"/>
        </w:rPr>
      </w:pPr>
      <w:r>
        <w:rPr>
          <w:rFonts w:hint="eastAsia"/>
          <w:bCs/>
          <w:color w:val="auto"/>
          <w:sz w:val="24"/>
          <w:szCs w:val="24"/>
        </w:rPr>
        <w:t>3按照生产商产品说明书的要求注入胶粘剂并完成植筋安装，养护时间不应小于生产商产品说明书要求的胶粘材料常温下最短固化时间。</w:t>
      </w:r>
    </w:p>
    <w:p>
      <w:pPr>
        <w:spacing w:after="0" w:line="360" w:lineRule="auto"/>
        <w:rPr>
          <w:bCs/>
          <w:color w:val="auto"/>
          <w:sz w:val="24"/>
          <w:szCs w:val="24"/>
        </w:rPr>
      </w:pPr>
      <w:r>
        <w:rPr>
          <w:rFonts w:hint="eastAsia"/>
          <w:b/>
          <w:bCs/>
          <w:color w:val="auto"/>
          <w:sz w:val="24"/>
          <w:szCs w:val="24"/>
        </w:rPr>
        <w:t>C.1.2</w:t>
      </w:r>
      <w:r>
        <w:rPr>
          <w:rFonts w:hint="eastAsia"/>
          <w:bCs/>
          <w:color w:val="auto"/>
          <w:sz w:val="24"/>
          <w:szCs w:val="24"/>
        </w:rPr>
        <w:t>试验环境应为空气温度（23±2）℃，相对湿度（50±5）%。应分别对三种直径的植筋试样进行约束拉拔试验，记录其极限荷载测试值。</w:t>
      </w:r>
    </w:p>
    <w:p>
      <w:pPr>
        <w:pStyle w:val="5"/>
      </w:pPr>
      <w:bookmarkStart w:id="81" w:name="_Toc3917"/>
      <w:bookmarkStart w:id="82" w:name="_Toc3257"/>
      <w:bookmarkStart w:id="83" w:name="_Toc13852"/>
      <w:r>
        <w:rPr>
          <w:rFonts w:hint="eastAsia"/>
        </w:rPr>
        <w:t>C.2 干燥混凝土清孔敏感性植筋性能评估</w:t>
      </w:r>
      <w:bookmarkEnd w:id="81"/>
      <w:bookmarkEnd w:id="82"/>
      <w:bookmarkEnd w:id="83"/>
    </w:p>
    <w:p>
      <w:pPr>
        <w:spacing w:after="0" w:line="360" w:lineRule="auto"/>
        <w:rPr>
          <w:bCs/>
          <w:color w:val="auto"/>
          <w:sz w:val="24"/>
          <w:szCs w:val="24"/>
        </w:rPr>
      </w:pPr>
      <w:r>
        <w:rPr>
          <w:rFonts w:hint="eastAsia"/>
          <w:b/>
          <w:bCs/>
          <w:color w:val="auto"/>
          <w:sz w:val="24"/>
          <w:szCs w:val="24"/>
        </w:rPr>
        <w:t>C.2.</w:t>
      </w:r>
      <w:r>
        <w:rPr>
          <w:b/>
          <w:bCs/>
          <w:color w:val="auto"/>
          <w:sz w:val="24"/>
          <w:szCs w:val="24"/>
        </w:rPr>
        <w:t>1</w:t>
      </w:r>
      <w:r>
        <w:rPr>
          <w:rFonts w:hint="eastAsia"/>
          <w:bCs/>
          <w:color w:val="auto"/>
          <w:sz w:val="24"/>
          <w:szCs w:val="24"/>
        </w:rPr>
        <w:t>干燥混凝土清孔敏感性试验粘结强度平均值的计算可</w:t>
      </w:r>
      <w:r>
        <w:rPr>
          <w:rFonts w:hint="eastAsia"/>
          <w:bCs/>
          <w:color w:val="auto"/>
          <w:sz w:val="24"/>
          <w:szCs w:val="24"/>
          <w:lang w:val="en-US" w:eastAsia="zh-CN"/>
        </w:rPr>
        <w:t>按</w:t>
      </w:r>
      <w:r>
        <w:rPr>
          <w:rFonts w:hint="eastAsia" w:ascii="Cambria Math" w:hAnsi="Cambria Math"/>
          <w:color w:val="auto"/>
          <w:sz w:val="24"/>
          <w:szCs w:val="24"/>
        </w:rPr>
        <w:t>表C.2.1</w:t>
      </w:r>
      <w:r>
        <w:rPr>
          <w:rFonts w:hint="eastAsia" w:ascii="Cambria Math" w:hAnsi="Cambria Math"/>
          <w:color w:val="auto"/>
          <w:sz w:val="24"/>
          <w:szCs w:val="24"/>
          <w:lang w:val="en-US" w:eastAsia="zh-CN"/>
        </w:rPr>
        <w:t>执行</w:t>
      </w:r>
      <w:r>
        <w:rPr>
          <w:rFonts w:hint="eastAsia" w:ascii="Cambria Math" w:hAnsi="Cambria Math"/>
          <w:color w:val="auto"/>
          <w:sz w:val="24"/>
          <w:szCs w:val="24"/>
        </w:rPr>
        <w:t>，</w:t>
      </w:r>
      <w:r>
        <w:rPr>
          <w:rFonts w:hint="eastAsia"/>
          <w:bCs/>
          <w:color w:val="auto"/>
          <w:sz w:val="24"/>
          <w:szCs w:val="24"/>
        </w:rPr>
        <w:t>归一化计算方法可</w:t>
      </w:r>
      <w:r>
        <w:rPr>
          <w:rFonts w:hint="eastAsia"/>
          <w:bCs/>
          <w:color w:val="auto"/>
          <w:sz w:val="24"/>
          <w:szCs w:val="24"/>
          <w:lang w:val="en-US" w:eastAsia="zh-CN"/>
        </w:rPr>
        <w:t>按本规程</w:t>
      </w:r>
      <w:r>
        <w:rPr>
          <w:rFonts w:hint="eastAsia"/>
          <w:bCs/>
          <w:color w:val="auto"/>
          <w:sz w:val="24"/>
          <w:szCs w:val="24"/>
        </w:rPr>
        <w:t>附录B</w:t>
      </w:r>
      <w:r>
        <w:rPr>
          <w:rFonts w:hint="eastAsia"/>
          <w:bCs/>
          <w:color w:val="auto"/>
          <w:sz w:val="24"/>
          <w:szCs w:val="24"/>
          <w:lang w:val="en-US" w:eastAsia="zh-CN"/>
        </w:rPr>
        <w:t>执行</w:t>
      </w:r>
      <w:r>
        <w:rPr>
          <w:rFonts w:hint="eastAsia"/>
          <w:bCs/>
          <w:color w:val="auto"/>
          <w:sz w:val="24"/>
          <w:szCs w:val="24"/>
        </w:rPr>
        <w:t>。</w:t>
      </w:r>
    </w:p>
    <w:p>
      <w:pPr>
        <w:spacing w:after="0" w:line="360" w:lineRule="auto"/>
        <w:jc w:val="center"/>
        <w:rPr>
          <w:rFonts w:hint="eastAsia"/>
          <w:b/>
          <w:bCs/>
          <w:color w:val="auto"/>
          <w:sz w:val="21"/>
          <w:szCs w:val="21"/>
        </w:rPr>
      </w:pPr>
      <w:r>
        <w:rPr>
          <w:rFonts w:hint="eastAsia"/>
          <w:b/>
          <w:bCs/>
          <w:color w:val="auto"/>
          <w:sz w:val="21"/>
          <w:szCs w:val="21"/>
        </w:rPr>
        <w:t>表C.2.1 干燥混凝土清孔敏感性试验粘结强度平均值计算</w:t>
      </w:r>
    </w:p>
    <w:tbl>
      <w:tblPr>
        <w:tblStyle w:val="27"/>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720"/>
        <w:gridCol w:w="1710"/>
        <w:gridCol w:w="1440"/>
        <w:gridCol w:w="1080"/>
        <w:gridCol w:w="1441"/>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25"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混凝土强度</w:t>
            </w:r>
          </w:p>
        </w:tc>
        <w:tc>
          <w:tcPr>
            <w:tcW w:w="72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钢筋直径</w:t>
            </w:r>
            <w:r>
              <w:rPr>
                <w:rFonts w:hint="eastAsia"/>
                <w:i/>
                <w:iCs/>
                <w:color w:val="auto"/>
                <w:kern w:val="2"/>
                <w:sz w:val="21"/>
                <w:szCs w:val="21"/>
              </w:rPr>
              <w:t>d</w:t>
            </w:r>
            <w:r>
              <w:rPr>
                <w:color w:val="auto"/>
                <w:kern w:val="2"/>
                <w:sz w:val="21"/>
                <w:szCs w:val="21"/>
              </w:rPr>
              <w:t xml:space="preserve"> (</w:t>
            </w:r>
            <w:r>
              <w:rPr>
                <w:rFonts w:hint="eastAsia"/>
                <w:color w:val="auto"/>
                <w:kern w:val="2"/>
                <w:sz w:val="21"/>
                <w:szCs w:val="21"/>
              </w:rPr>
              <w:t>mm</w:t>
            </w:r>
            <w:r>
              <w:rPr>
                <w:color w:val="auto"/>
                <w:kern w:val="2"/>
                <w:sz w:val="21"/>
                <w:szCs w:val="21"/>
              </w:rPr>
              <w:t>)</w:t>
            </w:r>
          </w:p>
        </w:tc>
        <w:tc>
          <w:tcPr>
            <w:tcW w:w="171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极限荷载测试值</w:t>
            </w:r>
          </w:p>
        </w:tc>
        <w:tc>
          <w:tcPr>
            <w:tcW w:w="1440"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按混凝土强度归一化处理后的荷载值</w:t>
            </w:r>
          </w:p>
        </w:tc>
        <w:tc>
          <w:tcPr>
            <w:tcW w:w="108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左侧荷载值的平均值</w:t>
            </w:r>
          </w:p>
        </w:tc>
        <w:tc>
          <w:tcPr>
            <w:tcW w:w="1441" w:type="dxa"/>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按钢筋相对肋面积归一化处理后的粘结强度平均值</w:t>
            </w:r>
          </w:p>
        </w:tc>
        <w:tc>
          <w:tcPr>
            <w:tcW w:w="1284" w:type="dxa"/>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rFonts w:hint="eastAsia"/>
                <w:color w:val="auto"/>
                <w:kern w:val="2"/>
                <w:sz w:val="21"/>
                <w:szCs w:val="21"/>
              </w:rPr>
              <w:t>干燥混凝土清孔敏感性试验的粘结强度平均值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25" w:type="dxa"/>
            <w:vMerge w:val="restart"/>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C</w:t>
            </w:r>
            <w:r>
              <w:rPr>
                <w:color w:val="auto"/>
                <w:kern w:val="2"/>
                <w:sz w:val="21"/>
                <w:szCs w:val="21"/>
              </w:rPr>
              <w:t>25</w:t>
            </w:r>
          </w:p>
        </w:tc>
        <w:tc>
          <w:tcPr>
            <w:tcW w:w="72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color w:val="auto"/>
                <w:kern w:val="2"/>
                <w:sz w:val="21"/>
                <w:szCs w:val="21"/>
              </w:rPr>
              <w:t>12</w:t>
            </w:r>
          </w:p>
        </w:tc>
        <w:tc>
          <w:tcPr>
            <w:tcW w:w="171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 test,d12−1</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rFonts w:hint="eastAsia"/>
                <w:color w:val="auto"/>
                <w:kern w:val="2"/>
                <w:sz w:val="21"/>
                <w:szCs w:val="21"/>
              </w:rPr>
              <w:t>~</w:t>
            </w:r>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u,dry,test,d12−5</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w:p>
        </w:tc>
        <w:tc>
          <w:tcPr>
            <w:tcW w:w="1440" w:type="dxa"/>
          </w:tcPr>
          <w:p>
            <w:pPr>
              <w:pStyle w:val="2"/>
              <w:keepNext w:val="0"/>
              <w:keepLines w:val="0"/>
              <w:pageBreakBefore w:val="0"/>
              <w:widowControl w:val="0"/>
              <w:kinsoku/>
              <w:wordWrap/>
              <w:overflowPunct/>
              <w:topLinePunct w:val="0"/>
              <w:autoSpaceDE/>
              <w:autoSpaceDN/>
              <w:bidi w:val="0"/>
              <w:adjustRightInd/>
              <w:spacing w:line="288" w:lineRule="auto"/>
              <w:ind w:firstLine="400"/>
              <w:textAlignment w:val="auto"/>
              <w:rPr>
                <w:color w:val="auto"/>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u,dry,d12−1</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rFonts w:hint="eastAsia"/>
                <w:color w:val="auto"/>
                <w:kern w:val="2"/>
                <w:sz w:val="21"/>
                <w:szCs w:val="21"/>
              </w:rPr>
              <w:t>~</w:t>
            </w:r>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u,dry,d12−5</m:t>
                  </m:r>
                  <m:ctrlPr>
                    <w:rPr>
                      <w:rFonts w:ascii="Cambria Math" w:hAnsi="Cambria Math"/>
                      <w:color w:val="auto"/>
                      <w:kern w:val="2"/>
                      <w:sz w:val="21"/>
                      <w:szCs w:val="21"/>
                    </w:rPr>
                  </m:ctrlPr>
                </m:sub>
              </m:sSub>
              <m:r>
                <m:rPr/>
                <w:rPr>
                  <w:rFonts w:ascii="Cambria Math" w:hAnsi="Cambria Math"/>
                  <w:color w:val="auto"/>
                  <w:kern w:val="2"/>
                  <w:sz w:val="21"/>
                  <w:szCs w:val="21"/>
                </w:rPr>
                <m:t>;</m:t>
              </m:r>
            </m:oMath>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u,dry,d12,m</m:t>
                    </m:r>
                    <m:ctrlPr>
                      <w:rPr>
                        <w:rFonts w:ascii="Cambria Math" w:hAnsi="Cambria Math"/>
                        <w:color w:val="auto"/>
                        <w:kern w:val="2"/>
                        <w:sz w:val="21"/>
                        <w:szCs w:val="21"/>
                      </w:rPr>
                    </m:ctrlPr>
                  </m:sub>
                </m:sSub>
                <m:r>
                  <m:rPr>
                    <m:sty m:val="p"/>
                  </m:rPr>
                  <w:rPr>
                    <w:rFonts w:ascii="Cambria Math" w:hAnsi="Cambria Math"/>
                    <w:color w:val="auto"/>
                    <w:kern w:val="2"/>
                    <w:sz w:val="21"/>
                    <w:szCs w:val="21"/>
                  </w:rPr>
                  <m:t xml:space="preserve"> </m:t>
                </m:r>
              </m:oMath>
            </m:oMathPara>
          </w:p>
        </w:tc>
        <w:tc>
          <w:tcPr>
            <w:tcW w:w="1441"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f</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bm,dry, d12</m:t>
                    </m:r>
                    <m:ctrlPr>
                      <w:rPr>
                        <w:rFonts w:ascii="Cambria Math" w:hAnsi="Cambria Math"/>
                        <w:color w:val="auto"/>
                        <w:kern w:val="2"/>
                        <w:sz w:val="21"/>
                        <w:szCs w:val="21"/>
                      </w:rPr>
                    </m:ctrlPr>
                  </m:sub>
                </m:sSub>
              </m:oMath>
            </m:oMathPara>
          </w:p>
        </w:tc>
        <w:tc>
          <w:tcPr>
            <w:tcW w:w="128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f</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bm,dry</m:t>
                    </m:r>
                    <m:ctrlPr>
                      <w:rPr>
                        <w:rFonts w:ascii="Cambria Math" w:hAnsi="Cambria Math"/>
                        <w:color w:val="auto"/>
                        <w:kern w:val="2"/>
                        <w:sz w:val="21"/>
                        <w:szCs w:val="21"/>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25" w:type="dxa"/>
            <w:vMerge w:val="continue"/>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tc>
        <w:tc>
          <w:tcPr>
            <w:tcW w:w="72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18</w:t>
            </w:r>
          </w:p>
        </w:tc>
        <w:tc>
          <w:tcPr>
            <w:tcW w:w="171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rFonts w:ascii="Cambria Math" w:hAnsi="Cambria Math"/>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 test,d18−1</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rFonts w:hint="eastAsia"/>
                <w:color w:val="auto"/>
                <w:kern w:val="2"/>
                <w:sz w:val="21"/>
                <w:szCs w:val="21"/>
              </w:rPr>
              <w:t>~</w:t>
            </w:r>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u,dry,test,d18−5</m:t>
                  </m:r>
                  <m:ctrlPr>
                    <w:rPr>
                      <w:rFonts w:ascii="Cambria Math" w:hAnsi="Cambria Math"/>
                      <w:color w:val="auto"/>
                      <w:kern w:val="2"/>
                      <w:sz w:val="21"/>
                      <w:szCs w:val="21"/>
                    </w:rPr>
                  </m:ctrlPr>
                </m:sub>
              </m:sSub>
              <m:r>
                <m:rPr/>
                <w:rPr>
                  <w:rFonts w:ascii="Cambria Math" w:hAnsi="Cambria Math"/>
                  <w:color w:val="auto"/>
                  <w:kern w:val="2"/>
                  <w:sz w:val="21"/>
                  <w:szCs w:val="21"/>
                </w:rPr>
                <m:t>;</m:t>
              </m:r>
            </m:oMath>
          </w:p>
        </w:tc>
        <w:tc>
          <w:tcPr>
            <w:tcW w:w="1440" w:type="dxa"/>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rFonts w:ascii="Cambria Math" w:hAnsi="Cambria Math"/>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u,dry,d18−1</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rFonts w:hint="eastAsia"/>
                <w:color w:val="auto"/>
                <w:kern w:val="2"/>
                <w:sz w:val="21"/>
                <w:szCs w:val="21"/>
              </w:rPr>
              <w:t>~</w:t>
            </w:r>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u,dry,d18−5</m:t>
                  </m:r>
                  <m:ctrlPr>
                    <w:rPr>
                      <w:rFonts w:ascii="Cambria Math" w:hAnsi="Cambria Math"/>
                      <w:color w:val="auto"/>
                      <w:kern w:val="2"/>
                      <w:sz w:val="21"/>
                      <w:szCs w:val="21"/>
                    </w:rPr>
                  </m:ctrlPr>
                </m:sub>
              </m:sSub>
              <m:r>
                <m:rPr/>
                <w:rPr>
                  <w:rFonts w:ascii="Cambria Math" w:hAnsi="Cambria Math"/>
                  <w:color w:val="auto"/>
                  <w:kern w:val="2"/>
                  <w:sz w:val="21"/>
                  <w:szCs w:val="21"/>
                </w:rPr>
                <m:t>;</m:t>
              </m:r>
            </m:oMath>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u,dry,d18,m</m:t>
                    </m:r>
                    <m:ctrlPr>
                      <w:rPr>
                        <w:rFonts w:ascii="Cambria Math" w:hAnsi="Cambria Math"/>
                        <w:color w:val="auto"/>
                        <w:kern w:val="2"/>
                        <w:sz w:val="21"/>
                        <w:szCs w:val="21"/>
                      </w:rPr>
                    </m:ctrlPr>
                  </m:sub>
                </m:sSub>
                <m:r>
                  <m:rPr>
                    <m:sty m:val="p"/>
                  </m:rPr>
                  <w:rPr>
                    <w:rFonts w:ascii="Cambria Math" w:hAnsi="Cambria Math"/>
                    <w:color w:val="auto"/>
                    <w:kern w:val="2"/>
                    <w:sz w:val="21"/>
                    <w:szCs w:val="21"/>
                  </w:rPr>
                  <m:t xml:space="preserve"> </m:t>
                </m:r>
              </m:oMath>
            </m:oMathPara>
          </w:p>
        </w:tc>
        <w:tc>
          <w:tcPr>
            <w:tcW w:w="1441"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f</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bm,dry, d18</m:t>
                    </m:r>
                    <m:ctrlPr>
                      <w:rPr>
                        <w:rFonts w:ascii="Cambria Math" w:hAnsi="Cambria Math"/>
                        <w:color w:val="auto"/>
                        <w:kern w:val="2"/>
                        <w:sz w:val="21"/>
                        <w:szCs w:val="21"/>
                      </w:rPr>
                    </m:ctrlPr>
                  </m:sub>
                </m:sSub>
              </m:oMath>
            </m:oMathPara>
          </w:p>
        </w:tc>
        <w:tc>
          <w:tcPr>
            <w:tcW w:w="1284" w:type="dxa"/>
            <w:vMerge w:val="continue"/>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25" w:type="dxa"/>
            <w:vMerge w:val="continue"/>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p>
        </w:tc>
        <w:tc>
          <w:tcPr>
            <w:tcW w:w="72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jc w:val="center"/>
              <w:textAlignment w:val="auto"/>
              <w:rPr>
                <w:color w:val="auto"/>
                <w:kern w:val="2"/>
                <w:sz w:val="21"/>
                <w:szCs w:val="21"/>
              </w:rPr>
            </w:pPr>
            <w:r>
              <w:rPr>
                <w:rFonts w:hint="eastAsia"/>
                <w:color w:val="auto"/>
                <w:kern w:val="2"/>
                <w:sz w:val="21"/>
                <w:szCs w:val="21"/>
              </w:rPr>
              <w:t>25</w:t>
            </w:r>
          </w:p>
        </w:tc>
        <w:tc>
          <w:tcPr>
            <w:tcW w:w="1710" w:type="dxa"/>
            <w:shd w:val="clear" w:color="auto" w:fill="auto"/>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rFonts w:ascii="Cambria Math" w:hAnsi="Cambria Math"/>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 test,d25−1</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m:oMathPara>
          </w:p>
          <w:p>
            <w:pPr>
              <w:pStyle w:val="2"/>
              <w:keepNext w:val="0"/>
              <w:keepLines w:val="0"/>
              <w:pageBreakBefore w:val="0"/>
              <w:widowControl w:val="0"/>
              <w:kinsoku/>
              <w:wordWrap/>
              <w:overflowPunct/>
              <w:topLinePunct w:val="0"/>
              <w:autoSpaceDE/>
              <w:autoSpaceDN/>
              <w:bidi w:val="0"/>
              <w:adjustRightInd/>
              <w:spacing w:line="288" w:lineRule="auto"/>
              <w:ind w:left="489" w:leftChars="0" w:hanging="489" w:hangingChars="233"/>
              <w:textAlignment w:val="auto"/>
              <w:rPr>
                <w:color w:val="auto"/>
                <w:kern w:val="2"/>
                <w:sz w:val="21"/>
                <w:szCs w:val="21"/>
              </w:rPr>
            </w:pPr>
            <w:r>
              <w:rPr>
                <w:rFonts w:hint="eastAsia"/>
                <w:color w:val="auto"/>
                <w:kern w:val="2"/>
                <w:sz w:val="21"/>
                <w:szCs w:val="21"/>
              </w:rPr>
              <w:t>~</w:t>
            </w:r>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u,dry,test,d25−5</m:t>
                  </m:r>
                  <m:ctrlPr>
                    <w:rPr>
                      <w:rFonts w:ascii="Cambria Math" w:hAnsi="Cambria Math"/>
                      <w:color w:val="auto"/>
                      <w:kern w:val="2"/>
                      <w:sz w:val="21"/>
                      <w:szCs w:val="21"/>
                    </w:rPr>
                  </m:ctrlPr>
                </m:sub>
              </m:sSub>
              <m:r>
                <m:rPr/>
                <w:rPr>
                  <w:rFonts w:ascii="Cambria Math" w:hAnsi="Cambria Math"/>
                  <w:color w:val="auto"/>
                  <w:kern w:val="2"/>
                  <w:sz w:val="21"/>
                  <w:szCs w:val="21"/>
                </w:rPr>
                <m:t>;</m:t>
              </m:r>
            </m:oMath>
          </w:p>
        </w:tc>
        <w:tc>
          <w:tcPr>
            <w:tcW w:w="1440" w:type="dxa"/>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rFonts w:ascii="Cambria Math" w:hAnsi="Cambria Math"/>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u,dry,d25−1</m:t>
                    </m:r>
                    <m:ctrlPr>
                      <w:rPr>
                        <w:rFonts w:ascii="Cambria Math" w:hAnsi="Cambria Math"/>
                        <w:color w:val="auto"/>
                        <w:kern w:val="2"/>
                        <w:sz w:val="21"/>
                        <w:szCs w:val="21"/>
                      </w:rPr>
                    </m:ctrlPr>
                  </m:sub>
                </m:sSub>
                <m:r>
                  <m:rPr/>
                  <w:rPr>
                    <w:rFonts w:ascii="Cambria Math" w:hAnsi="Cambria Math"/>
                    <w:color w:val="auto"/>
                    <w:kern w:val="2"/>
                    <w:sz w:val="21"/>
                    <w:szCs w:val="21"/>
                  </w:rPr>
                  <m:t>;</m:t>
                </m:r>
                <m:r>
                  <m:rPr>
                    <m:sty m:val="p"/>
                  </m:rPr>
                  <w:rPr>
                    <w:rFonts w:ascii="Cambria Math" w:hAnsi="Cambria Math"/>
                    <w:color w:val="auto"/>
                    <w:kern w:val="2"/>
                    <w:sz w:val="21"/>
                    <w:szCs w:val="21"/>
                  </w:rPr>
                  <m:t xml:space="preserve"> </m:t>
                </m:r>
              </m:oMath>
            </m:oMathPara>
          </w:p>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r>
              <w:rPr>
                <w:rFonts w:hint="eastAsia"/>
                <w:color w:val="auto"/>
                <w:kern w:val="2"/>
                <w:sz w:val="21"/>
                <w:szCs w:val="21"/>
              </w:rPr>
              <w:t>~</w:t>
            </w:r>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u,dry,d25−5</m:t>
                  </m:r>
                  <m:ctrlPr>
                    <w:rPr>
                      <w:rFonts w:ascii="Cambria Math" w:hAnsi="Cambria Math"/>
                      <w:color w:val="auto"/>
                      <w:kern w:val="2"/>
                      <w:sz w:val="21"/>
                      <w:szCs w:val="21"/>
                    </w:rPr>
                  </m:ctrlPr>
                </m:sub>
              </m:sSub>
              <m:r>
                <m:rPr/>
                <w:rPr>
                  <w:rFonts w:ascii="Cambria Math" w:hAnsi="Cambria Math"/>
                  <w:color w:val="auto"/>
                  <w:kern w:val="2"/>
                  <w:sz w:val="21"/>
                  <w:szCs w:val="21"/>
                </w:rPr>
                <m:t>;</m:t>
              </m:r>
            </m:oMath>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N</m:t>
                    </m:r>
                    <m:ctrlPr>
                      <w:rPr>
                        <w:rFonts w:ascii="Cambria Math" w:hAnsi="Cambria Math"/>
                        <w:color w:val="auto"/>
                        <w:kern w:val="2"/>
                        <w:sz w:val="21"/>
                        <w:szCs w:val="21"/>
                      </w:rPr>
                    </m:ctrlPr>
                  </m:e>
                  <m:sub>
                    <m:r>
                      <m:rPr>
                        <m:sty m:val="bi"/>
                      </m:rPr>
                      <w:rPr>
                        <w:rFonts w:hint="default" w:ascii="Cambria Math" w:hAnsi="Cambria Math"/>
                        <w:color w:val="auto"/>
                        <w:kern w:val="2"/>
                        <w:sz w:val="21"/>
                        <w:szCs w:val="21"/>
                      </w:rPr>
                      <m:t>u,dry,d25,m</m:t>
                    </m:r>
                    <m:ctrlPr>
                      <w:rPr>
                        <w:rFonts w:ascii="Cambria Math" w:hAnsi="Cambria Math"/>
                        <w:color w:val="auto"/>
                        <w:kern w:val="2"/>
                        <w:sz w:val="21"/>
                        <w:szCs w:val="21"/>
                      </w:rPr>
                    </m:ctrlPr>
                  </m:sub>
                </m:sSub>
                <m:r>
                  <m:rPr>
                    <m:sty m:val="p"/>
                  </m:rPr>
                  <w:rPr>
                    <w:rFonts w:ascii="Cambria Math" w:hAnsi="Cambria Math"/>
                    <w:color w:val="auto"/>
                    <w:kern w:val="2"/>
                    <w:sz w:val="21"/>
                    <w:szCs w:val="21"/>
                  </w:rPr>
                  <m:t xml:space="preserve"> </m:t>
                </m:r>
              </m:oMath>
            </m:oMathPara>
          </w:p>
        </w:tc>
        <w:tc>
          <w:tcPr>
            <w:tcW w:w="1441" w:type="dxa"/>
            <w:vAlign w:val="center"/>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sz w:val="21"/>
                <w:szCs w:val="21"/>
              </w:rPr>
            </w:pPr>
            <m:oMathPara>
              <m:oMath>
                <m:sSub>
                  <m:sSubPr>
                    <m:ctrlPr>
                      <w:rPr>
                        <w:rFonts w:ascii="Cambria Math" w:hAnsi="Cambria Math"/>
                        <w:color w:val="auto"/>
                        <w:kern w:val="2"/>
                        <w:sz w:val="21"/>
                        <w:szCs w:val="21"/>
                      </w:rPr>
                    </m:ctrlPr>
                  </m:sSubPr>
                  <m:e>
                    <m:r>
                      <m:rPr/>
                      <w:rPr>
                        <w:rFonts w:ascii="Cambria Math" w:hAnsi="Cambria Math"/>
                        <w:color w:val="auto"/>
                        <w:kern w:val="2"/>
                        <w:sz w:val="21"/>
                        <w:szCs w:val="21"/>
                      </w:rPr>
                      <m:t>f</m:t>
                    </m:r>
                    <m:ctrlPr>
                      <w:rPr>
                        <w:rFonts w:ascii="Cambria Math" w:hAnsi="Cambria Math"/>
                        <w:color w:val="auto"/>
                        <w:kern w:val="2"/>
                        <w:sz w:val="21"/>
                        <w:szCs w:val="21"/>
                      </w:rPr>
                    </m:ctrlPr>
                  </m:e>
                  <m:sub>
                    <m:r>
                      <m:rPr>
                        <m:sty m:val="p"/>
                      </m:rPr>
                      <w:rPr>
                        <w:rFonts w:hint="default" w:ascii="Cambria Math" w:hAnsi="Cambria Math"/>
                        <w:color w:val="auto"/>
                        <w:kern w:val="2"/>
                        <w:sz w:val="21"/>
                        <w:szCs w:val="21"/>
                      </w:rPr>
                      <m:t>bm,dry, d25</m:t>
                    </m:r>
                    <m:ctrlPr>
                      <w:rPr>
                        <w:rFonts w:ascii="Cambria Math" w:hAnsi="Cambria Math"/>
                        <w:color w:val="auto"/>
                        <w:kern w:val="2"/>
                        <w:sz w:val="21"/>
                        <w:szCs w:val="21"/>
                      </w:rPr>
                    </m:ctrlPr>
                  </m:sub>
                </m:sSub>
              </m:oMath>
            </m:oMathPara>
          </w:p>
        </w:tc>
        <w:tc>
          <w:tcPr>
            <w:tcW w:w="1284" w:type="dxa"/>
            <w:vMerge w:val="continue"/>
          </w:tcPr>
          <w:p>
            <w:pPr>
              <w:keepNext w:val="0"/>
              <w:keepLines w:val="0"/>
              <w:pageBreakBefore w:val="0"/>
              <w:widowControl w:val="0"/>
              <w:kinsoku/>
              <w:wordWrap/>
              <w:overflowPunct/>
              <w:topLinePunct w:val="0"/>
              <w:autoSpaceDE/>
              <w:autoSpaceDN/>
              <w:bidi w:val="0"/>
              <w:adjustRightInd/>
              <w:snapToGrid w:val="0"/>
              <w:spacing w:after="0" w:line="288" w:lineRule="auto"/>
              <w:textAlignment w:val="auto"/>
              <w:rPr>
                <w:color w:val="auto"/>
                <w:kern w:val="2"/>
                <w:sz w:val="21"/>
                <w:szCs w:val="21"/>
              </w:rPr>
            </w:pPr>
          </w:p>
        </w:tc>
      </w:tr>
    </w:tbl>
    <w:p>
      <w:pPr>
        <w:spacing w:after="0" w:line="360" w:lineRule="auto"/>
        <w:rPr>
          <w:color w:val="auto"/>
          <w:sz w:val="24"/>
          <w:szCs w:val="24"/>
        </w:rPr>
      </w:pPr>
      <w:r>
        <w:rPr>
          <w:rFonts w:hint="eastAsia"/>
          <w:b/>
          <w:bCs/>
          <w:color w:val="auto"/>
          <w:sz w:val="24"/>
          <w:szCs w:val="24"/>
        </w:rPr>
        <w:t>C.2.</w:t>
      </w:r>
      <w:r>
        <w:rPr>
          <w:b/>
          <w:bCs/>
          <w:color w:val="auto"/>
          <w:sz w:val="24"/>
          <w:szCs w:val="24"/>
        </w:rPr>
        <w:t>2</w:t>
      </w:r>
      <w:r>
        <w:rPr>
          <w:rFonts w:hint="eastAsia"/>
          <w:color w:val="auto"/>
          <w:sz w:val="24"/>
          <w:szCs w:val="24"/>
        </w:rPr>
        <w:t>应根据三种钢筋直径对应的清孔条件下</w:t>
      </w:r>
      <w:r>
        <w:rPr>
          <w:rFonts w:hint="eastAsia"/>
          <w:bCs/>
          <w:color w:val="auto"/>
          <w:sz w:val="24"/>
          <w:szCs w:val="24"/>
        </w:rPr>
        <w:t>极限承载力测试值</w:t>
      </w:r>
      <w:r>
        <w:rPr>
          <w:rFonts w:hint="eastAsia"/>
          <w:bCs/>
          <w:i/>
          <w:iCs/>
          <w:color w:val="auto"/>
          <w:sz w:val="24"/>
          <w:szCs w:val="24"/>
        </w:rPr>
        <w:t>N</w:t>
      </w:r>
      <w:r>
        <w:rPr>
          <w:bCs/>
          <w:color w:val="auto"/>
          <w:sz w:val="24"/>
          <w:szCs w:val="24"/>
          <w:vertAlign w:val="subscript"/>
        </w:rPr>
        <w:t>u,dry,test,dj-k</w:t>
      </w:r>
      <w:r>
        <w:rPr>
          <w:bCs/>
          <w:color w:val="auto"/>
          <w:sz w:val="24"/>
          <w:szCs w:val="24"/>
        </w:rPr>
        <w:t xml:space="preserve"> </w:t>
      </w:r>
      <w:r>
        <w:rPr>
          <w:rFonts w:hint="eastAsia"/>
          <w:bCs/>
          <w:color w:val="auto"/>
          <w:sz w:val="24"/>
          <w:szCs w:val="24"/>
        </w:rPr>
        <w:t>(</w:t>
      </w:r>
      <w:r>
        <w:rPr>
          <w:bCs/>
          <w:i/>
          <w:iCs/>
          <w:color w:val="auto"/>
          <w:sz w:val="24"/>
          <w:szCs w:val="24"/>
        </w:rPr>
        <w:t>j</w:t>
      </w:r>
      <w:r>
        <w:rPr>
          <w:bCs/>
          <w:color w:val="auto"/>
          <w:sz w:val="24"/>
          <w:szCs w:val="24"/>
        </w:rPr>
        <w:t>=12</w:t>
      </w:r>
      <w:r>
        <w:rPr>
          <w:rFonts w:hint="eastAsia"/>
          <w:bCs/>
          <w:color w:val="auto"/>
          <w:sz w:val="24"/>
          <w:szCs w:val="24"/>
        </w:rPr>
        <w:t>、18、25</w:t>
      </w:r>
      <w:r>
        <w:rPr>
          <w:bCs/>
          <w:color w:val="auto"/>
          <w:sz w:val="24"/>
          <w:szCs w:val="24"/>
        </w:rPr>
        <w:t xml:space="preserve">; </w:t>
      </w:r>
      <w:r>
        <w:rPr>
          <w:bCs/>
          <w:i/>
          <w:iCs/>
          <w:color w:val="auto"/>
          <w:sz w:val="24"/>
          <w:szCs w:val="24"/>
        </w:rPr>
        <w:t>k</w:t>
      </w:r>
      <w:r>
        <w:rPr>
          <w:bCs/>
          <w:color w:val="auto"/>
          <w:sz w:val="24"/>
          <w:szCs w:val="24"/>
        </w:rPr>
        <w:t>=1</w:t>
      </w:r>
      <w:r>
        <w:rPr>
          <w:rFonts w:hint="eastAsia"/>
          <w:bCs/>
          <w:color w:val="auto"/>
          <w:sz w:val="24"/>
          <w:szCs w:val="24"/>
        </w:rPr>
        <w:t>、2、3、4、5</w:t>
      </w:r>
      <w:r>
        <w:rPr>
          <w:bCs/>
          <w:color w:val="auto"/>
          <w:sz w:val="24"/>
          <w:szCs w:val="24"/>
        </w:rPr>
        <w:t>)</w:t>
      </w:r>
      <w:r>
        <w:rPr>
          <w:rFonts w:hint="eastAsia"/>
          <w:bCs/>
          <w:color w:val="auto"/>
          <w:sz w:val="24"/>
          <w:szCs w:val="24"/>
        </w:rPr>
        <w:t>，分别求得其变异系数</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dry, d12</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dry,d18</m:t>
            </m:r>
            <m:ctrlPr>
              <w:rPr>
                <w:rFonts w:ascii="Cambria Math" w:hAnsi="Cambria Math"/>
                <w:i/>
                <w:color w:val="auto"/>
                <w:sz w:val="24"/>
                <w:szCs w:val="24"/>
              </w:rPr>
            </m:ctrlPr>
          </m:sub>
        </m:sSub>
      </m:oMath>
      <w:r>
        <w:rPr>
          <w:rFonts w:hint="eastAsia"/>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dry,d25</m:t>
            </m:r>
            <m:ctrlPr>
              <w:rPr>
                <w:rFonts w:ascii="Cambria Math" w:hAnsi="Cambria Math"/>
                <w:i/>
                <w:color w:val="auto"/>
                <w:sz w:val="24"/>
                <w:szCs w:val="24"/>
              </w:rPr>
            </m:ctrlPr>
          </m:sub>
        </m:sSub>
      </m:oMath>
      <w:r>
        <w:rPr>
          <w:rFonts w:hint="eastAsia"/>
          <w:color w:val="auto"/>
          <w:sz w:val="24"/>
          <w:szCs w:val="24"/>
        </w:rPr>
        <w:t>。</w:t>
      </w:r>
    </w:p>
    <w:p>
      <w:pPr>
        <w:spacing w:after="0" w:line="360" w:lineRule="auto"/>
        <w:rPr>
          <w:color w:val="000000" w:themeColor="text1"/>
          <w:sz w:val="24"/>
          <w:szCs w:val="24"/>
          <w14:textFill>
            <w14:solidFill>
              <w14:schemeClr w14:val="tx1"/>
            </w14:solidFill>
          </w14:textFill>
        </w:rPr>
      </w:pPr>
      <w:r>
        <w:rPr>
          <w:rFonts w:hint="eastAsia"/>
          <w:b/>
          <w:bCs/>
          <w:color w:val="auto"/>
          <w:sz w:val="24"/>
          <w:szCs w:val="24"/>
        </w:rPr>
        <w:t>C.2.</w:t>
      </w:r>
      <w:r>
        <w:rPr>
          <w:b/>
          <w:bCs/>
          <w:color w:val="auto"/>
          <w:sz w:val="24"/>
          <w:szCs w:val="24"/>
        </w:rPr>
        <w:t xml:space="preserve">3 </w:t>
      </w:r>
      <w:r>
        <w:rPr>
          <w:rFonts w:hint="eastAsia"/>
          <w:color w:val="000000" w:themeColor="text1"/>
          <w:sz w:val="24"/>
          <w:szCs w:val="24"/>
          <w14:textFill>
            <w14:solidFill>
              <w14:schemeClr w14:val="tx1"/>
            </w14:solidFill>
          </w14:textFill>
        </w:rPr>
        <w:t>三种钢筋直径变异系数对应的折减系数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cv,dry,d12</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cv,dry,d18</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cv,dry,d25</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计算应符合下列规定</w:t>
      </w:r>
      <w:r>
        <w:rPr>
          <w:rFonts w:hint="eastAsia"/>
          <w:color w:val="000000" w:themeColor="text1"/>
          <w:sz w:val="24"/>
          <w:szCs w:val="24"/>
          <w14:textFill>
            <w14:solidFill>
              <w14:schemeClr w14:val="tx1"/>
            </w14:solidFill>
          </w14:textFill>
        </w:rPr>
        <w:t>。</w:t>
      </w:r>
    </w:p>
    <w:p>
      <w:pP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m:t>
            </m:r>
            <m:r>
              <m:rPr/>
              <w:rPr>
                <w:rFonts w:hint="eastAsia" w:ascii="Cambria Math" w:hAnsi="Cambria Math"/>
                <w:color w:val="000000" w:themeColor="text1"/>
                <w:sz w:val="24"/>
                <w:szCs w:val="24"/>
                <w14:textFill>
                  <w14:solidFill>
                    <w14:schemeClr w14:val="tx1"/>
                  </w14:solidFill>
                </w14:textFill>
              </w:rPr>
              <m:t>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可</w:t>
      </w:r>
      <w:r>
        <w:rPr>
          <w:rFonts w:hint="eastAsia"/>
          <w:color w:val="000000" w:themeColor="text1"/>
          <w:sz w:val="24"/>
          <w:szCs w:val="24"/>
          <w14:textFill>
            <w14:solidFill>
              <w14:schemeClr w14:val="tx1"/>
            </w14:solidFill>
          </w14:textFill>
        </w:rPr>
        <w:t>取为1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且不大于</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 对应折减系数应按下式计算。</w:t>
      </w:r>
    </w:p>
    <w:p>
      <w:pPr>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m:sty m:val="p"/>
                      </m:rPr>
                      <w:rPr>
                        <w:rFonts w:hint="default" w:ascii="Cambria Math" w:hAnsi="Cambria Math"/>
                        <w:color w:val="auto"/>
                        <w:sz w:val="24"/>
                        <w:szCs w:val="24"/>
                      </w:rPr>
                      <m:t>dry, dj</m:t>
                    </m:r>
                    <m:ctrlPr>
                      <w:rPr>
                        <w:rFonts w:ascii="Cambria Math" w:hAnsi="Cambria Math"/>
                        <w:i/>
                        <w:color w:val="auto"/>
                        <w:sz w:val="24"/>
                        <w:szCs w:val="24"/>
                      </w:rPr>
                    </m:ctrlPr>
                  </m:sub>
                </m:sSub>
                <m:r>
                  <m:rPr/>
                  <w:rPr>
                    <w:rFonts w:ascii="Cambria Math" w:hAnsi="Cambria Math"/>
                    <w:color w:val="000000" w:themeColor="text1"/>
                    <w:sz w:val="24"/>
                    <w:szCs w:val="24"/>
                    <w14:textFill>
                      <w14:solidFill>
                        <w14:schemeClr w14:val="tx1"/>
                      </w14:solidFill>
                    </w14:textFill>
                  </w:rPr>
                  <m:t>−20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C.2.</w:t>
      </w:r>
      <w:r>
        <w:rPr>
          <w:color w:val="000000" w:themeColor="text1"/>
          <w:sz w:val="24"/>
          <w:szCs w:val="24"/>
          <w14:textFill>
            <w14:solidFill>
              <w14:schemeClr w14:val="tx1"/>
            </w14:solidFill>
          </w14:textFill>
        </w:rPr>
        <w:t>3)</w:t>
      </w:r>
    </w:p>
    <w:p>
      <w:pP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式中：</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cv,dry,dj</m:t>
            </m:r>
            <m:ctrlPr>
              <w:rPr>
                <w:rFonts w:ascii="Cambria Math" w:hAnsi="Cambria Math"/>
                <w:i/>
                <w:color w:val="000000" w:themeColor="text1"/>
                <w:sz w:val="24"/>
                <w:szCs w:val="24"/>
                <w14:textFill>
                  <w14:solidFill>
                    <w14:schemeClr w14:val="tx1"/>
                  </w14:solidFill>
                </w14:textFill>
              </w:rPr>
            </m:ctrlPr>
          </m:sub>
        </m:sSub>
      </m:oMath>
      <w:r>
        <w:rPr>
          <w:rFonts w:hint="eastAsia"/>
          <w:iCs/>
          <w:color w:val="auto"/>
          <w:sz w:val="24"/>
          <w:szCs w:val="24"/>
        </w:rPr>
        <w:t>— 不同</w:t>
      </w:r>
      <w:r>
        <w:rPr>
          <w:rFonts w:hint="eastAsia"/>
          <w:color w:val="000000" w:themeColor="text1"/>
          <w:sz w:val="24"/>
          <w:szCs w:val="24"/>
          <w14:textFill>
            <w14:solidFill>
              <w14:schemeClr w14:val="tx1"/>
            </w14:solidFill>
          </w14:textFill>
        </w:rPr>
        <w:t>钢筋直径干燥清孔敏感性试验承载力变异系数对应的折减系数，</w:t>
      </w:r>
      <w:r>
        <w:rPr>
          <w:rFonts w:hint="eastAsia"/>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分别对应1</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mm、1</w:t>
      </w:r>
      <w:r>
        <w:rPr>
          <w:color w:val="000000" w:themeColor="text1"/>
          <w:sz w:val="24"/>
          <w:szCs w:val="24"/>
          <w14:textFill>
            <w14:solidFill>
              <w14:schemeClr w14:val="tx1"/>
            </w14:solidFill>
          </w14:textFill>
        </w:rPr>
        <w:t>8</w:t>
      </w:r>
      <w:r>
        <w:rPr>
          <w:rFonts w:hint="eastAsia"/>
          <w:color w:val="000000" w:themeColor="text1"/>
          <w:sz w:val="24"/>
          <w:szCs w:val="24"/>
          <w14:textFill>
            <w14:solidFill>
              <w14:schemeClr w14:val="tx1"/>
            </w14:solidFill>
          </w14:textFill>
        </w:rPr>
        <w:t>mm和2</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mm。</w:t>
      </w:r>
    </w:p>
    <w:p>
      <w:pPr>
        <w:spacing w:after="0" w:line="360" w:lineRule="auto"/>
        <w:rPr>
          <w:bCs/>
          <w:color w:val="000000" w:themeColor="text1"/>
          <w:sz w:val="24"/>
          <w:szCs w:val="24"/>
          <w14:textFill>
            <w14:solidFill>
              <w14:schemeClr w14:val="tx1"/>
            </w14:solidFill>
          </w14:textFill>
        </w:rPr>
      </w:pPr>
      <w:r>
        <w:rPr>
          <w:rFonts w:hint="eastAsia"/>
          <w:b/>
          <w:bCs/>
          <w:color w:val="auto"/>
          <w:sz w:val="24"/>
          <w:szCs w:val="24"/>
        </w:rPr>
        <w:t>C.2.</w:t>
      </w:r>
      <w:r>
        <w:rPr>
          <w:b/>
          <w:bCs/>
          <w:color w:val="auto"/>
          <w:sz w:val="24"/>
          <w:szCs w:val="24"/>
        </w:rPr>
        <w:t>4</w:t>
      </w:r>
      <w:r>
        <w:rPr>
          <w:rFonts w:hint="eastAsia"/>
          <w:bCs/>
          <w:color w:val="000000" w:themeColor="text1"/>
          <w:sz w:val="24"/>
          <w:szCs w:val="24"/>
          <w14:textFill>
            <w14:solidFill>
              <w14:schemeClr w14:val="tx1"/>
            </w14:solidFill>
          </w14:textFill>
        </w:rPr>
        <w:t>干燥混凝土清孔敏感性试验承载力变异系数对应的折减系数应按下式计算：</w:t>
      </w:r>
    </w:p>
    <w:p>
      <w:pPr>
        <w:jc w:val="right"/>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=min.</m:t>
        </m:r>
        <m:d>
          <m:dPr>
            <m:begChr m:val="{"/>
            <m:endChr m:val="}"/>
            <m:ctrlPr>
              <w:rPr>
                <w:rFonts w:ascii="Cambria Math" w:hAnsi="Cambria Math"/>
                <w:bCs/>
                <w:i/>
                <w:color w:val="000000" w:themeColor="text1"/>
                <w:sz w:val="24"/>
                <w:szCs w:val="24"/>
                <w14:textFill>
                  <w14:solidFill>
                    <w14:schemeClr w14:val="tx1"/>
                  </w14:solidFill>
                </w14:textFill>
              </w:rPr>
            </m:ctrlPr>
          </m:d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cv,dry,d12</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bCs/>
                    <w:i/>
                    <w:color w:val="000000" w:themeColor="text1"/>
                    <w:sz w:val="24"/>
                    <w:szCs w:val="24"/>
                    <w14:textFill>
                      <w14:solidFill>
                        <w14:schemeClr w14:val="tx1"/>
                      </w14:solidFill>
                    </w14:textFill>
                  </w:rPr>
                </m:ctrlPr>
              </m:sSub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cv,dry,d18</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 β</m:t>
                </m:r>
                <m:ctrlPr>
                  <w:rPr>
                    <w:rFonts w:ascii="Cambria Math" w:hAnsi="Cambria Math"/>
                    <w:bCs/>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cv,dry,d25</m:t>
                </m:r>
                <m:ctrlPr>
                  <w:rPr>
                    <w:rFonts w:ascii="Cambria Math" w:hAnsi="Cambria Math"/>
                    <w:bCs/>
                    <w:i/>
                    <w:color w:val="000000" w:themeColor="text1"/>
                    <w:sz w:val="24"/>
                    <w:szCs w:val="24"/>
                    <w14:textFill>
                      <w14:solidFill>
                        <w14:schemeClr w14:val="tx1"/>
                      </w14:solidFill>
                    </w14:textFill>
                  </w:rPr>
                </m:ctrlPr>
              </m:sub>
            </m:sSub>
            <m:ctrlPr>
              <w:rPr>
                <w:rFonts w:ascii="Cambria Math" w:hAnsi="Cambria Math"/>
                <w:bCs/>
                <w:i/>
                <w:color w:val="000000" w:themeColor="text1"/>
                <w:sz w:val="24"/>
                <w:szCs w:val="24"/>
                <w14:textFill>
                  <w14:solidFill>
                    <w14:schemeClr w14:val="tx1"/>
                  </w14:solidFill>
                </w14:textFill>
              </w:rPr>
            </m:ctrlPr>
          </m:e>
        </m:d>
      </m:oMath>
      <w:r>
        <w:rPr>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C.2.</w:t>
      </w:r>
      <w:r>
        <w:rPr>
          <w:bCs/>
          <w:color w:val="000000" w:themeColor="text1"/>
          <w:sz w:val="24"/>
          <w:szCs w:val="24"/>
          <w14:textFill>
            <w14:solidFill>
              <w14:schemeClr w14:val="tx1"/>
            </w14:solidFill>
          </w14:textFill>
        </w:rPr>
        <w:t>4)</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
        <w:gridCol w:w="1032"/>
        <w:gridCol w:w="456"/>
        <w:gridCol w:w="5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dxa"/>
          </w:tcPr>
          <w:p>
            <w:pPr>
              <w:spacing w:after="0" w:line="360" w:lineRule="auto"/>
              <w:rPr>
                <w:iCs/>
                <w:color w:val="auto"/>
                <w:sz w:val="24"/>
                <w:szCs w:val="24"/>
              </w:rPr>
            </w:pPr>
            <w:r>
              <w:rPr>
                <w:rFonts w:hint="eastAsia"/>
                <w:iCs/>
                <w:color w:val="auto"/>
                <w:sz w:val="24"/>
                <w:szCs w:val="24"/>
              </w:rPr>
              <w:t>式中:</w:t>
            </w:r>
          </w:p>
        </w:tc>
        <w:tc>
          <w:tcPr>
            <w:tcW w:w="1032" w:type="dxa"/>
          </w:tcPr>
          <w:p>
            <w:pPr>
              <w:spacing w:after="0" w:line="360" w:lineRule="auto"/>
              <w:jc w:val="center"/>
              <w:rPr>
                <w:iCs/>
                <w:color w:val="auto"/>
                <w:sz w:val="24"/>
                <w:szCs w:val="24"/>
              </w:rPr>
            </w:pPr>
            <m:oMathPara>
              <m:oMathParaPr>
                <m:jc m:val="right"/>
              </m:oMathParaP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cv,dry</m:t>
                    </m:r>
                    <m:ctrlPr>
                      <w:rPr>
                        <w:rFonts w:ascii="Cambria Math" w:hAnsi="Cambria Math"/>
                        <w:bCs/>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967" w:type="dxa"/>
          </w:tcPr>
          <w:p>
            <w:pPr>
              <w:spacing w:after="0" w:line="360" w:lineRule="auto"/>
              <w:rPr>
                <w:iCs/>
                <w:color w:val="auto"/>
                <w:sz w:val="24"/>
                <w:szCs w:val="24"/>
              </w:rPr>
            </w:pPr>
            <w:r>
              <w:rPr>
                <w:rFonts w:hint="eastAsia"/>
                <w:iCs/>
                <w:color w:val="auto"/>
                <w:sz w:val="24"/>
                <w:szCs w:val="24"/>
              </w:rPr>
              <w:t>干燥混凝土清孔敏感性试验承载力变异系数对应的折减系数。</w:t>
            </w:r>
          </w:p>
        </w:tc>
      </w:tr>
    </w:tbl>
    <w:p>
      <w:pPr>
        <w:spacing w:after="0" w:line="360" w:lineRule="auto"/>
        <w:rPr>
          <w:color w:val="000000" w:themeColor="text1"/>
          <w:sz w:val="24"/>
          <w:szCs w:val="24"/>
          <w14:textFill>
            <w14:solidFill>
              <w14:schemeClr w14:val="tx1"/>
            </w14:solidFill>
          </w14:textFill>
        </w:rPr>
      </w:pPr>
      <w:r>
        <w:rPr>
          <w:rFonts w:hint="eastAsia"/>
          <w:b/>
          <w:bCs/>
          <w:color w:val="auto"/>
          <w:sz w:val="24"/>
          <w:szCs w:val="24"/>
        </w:rPr>
        <w:t>C.2.</w:t>
      </w:r>
      <w:r>
        <w:rPr>
          <w:b/>
          <w:bCs/>
          <w:color w:val="auto"/>
          <w:sz w:val="24"/>
          <w:szCs w:val="24"/>
        </w:rPr>
        <w:t xml:space="preserve">5 </w:t>
      </w:r>
      <w:r>
        <w:rPr>
          <w:rFonts w:hint="eastAsia"/>
          <w:color w:val="000000" w:themeColor="text1"/>
          <w:sz w:val="24"/>
          <w:szCs w:val="24"/>
          <w14:textFill>
            <w14:solidFill>
              <w14:schemeClr w14:val="tx1"/>
            </w14:solidFill>
          </w14:textFill>
        </w:rPr>
        <w:t>干燥混凝土清孔敏感性试验的承载力折减系数应按下式计算：</w:t>
      </w:r>
    </w:p>
    <w:p>
      <w:pPr>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dry</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bm,dry</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m:sty m:val="p"/>
                      </m:rPr>
                      <w:rPr>
                        <w:rFonts w:hint="default" w:ascii="Cambria Math" w:hAnsi="Cambria Math"/>
                        <w:color w:val="000000" w:themeColor="text1"/>
                        <w:sz w:val="24"/>
                        <w:szCs w:val="24"/>
                        <w14:textFill>
                          <w14:solidFill>
                            <w14:schemeClr w14:val="tx1"/>
                          </w14:solidFill>
                        </w14:textFill>
                      </w:rPr>
                      <m:t>bm,r,c25</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0.8</m:t>
            </m:r>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C.2.</w:t>
      </w:r>
      <w:r>
        <w:rPr>
          <w:color w:val="000000" w:themeColor="text1"/>
          <w:sz w:val="24"/>
          <w:szCs w:val="24"/>
          <w14:textFill>
            <w14:solidFill>
              <w14:schemeClr w14:val="tx1"/>
            </w14:solidFill>
          </w14:textFill>
        </w:rPr>
        <w:t>5)</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
        <w:gridCol w:w="1032"/>
        <w:gridCol w:w="456"/>
        <w:gridCol w:w="5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dxa"/>
          </w:tcPr>
          <w:p>
            <w:pPr>
              <w:spacing w:after="0" w:line="360" w:lineRule="auto"/>
              <w:rPr>
                <w:iCs/>
                <w:color w:val="auto"/>
                <w:sz w:val="24"/>
                <w:szCs w:val="24"/>
              </w:rPr>
            </w:pPr>
            <w:r>
              <w:rPr>
                <w:rFonts w:hint="eastAsia"/>
                <w:iCs/>
                <w:color w:val="auto"/>
                <w:sz w:val="24"/>
                <w:szCs w:val="24"/>
              </w:rPr>
              <w:t>式中:</w:t>
            </w:r>
          </w:p>
        </w:tc>
        <w:tc>
          <w:tcPr>
            <w:tcW w:w="1032" w:type="dxa"/>
          </w:tcPr>
          <w:p>
            <w:pPr>
              <w:spacing w:after="0" w:line="360" w:lineRule="auto"/>
              <w:jc w:val="center"/>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m:sty m:val="p"/>
                      </m:rPr>
                      <w:rPr>
                        <w:rFonts w:hint="default" w:ascii="Cambria Math" w:hAnsi="Cambria Math"/>
                        <w:color w:val="auto"/>
                        <w:sz w:val="24"/>
                        <w:szCs w:val="24"/>
                      </w:rPr>
                      <m:t>dry</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967" w:type="dxa"/>
          </w:tcPr>
          <w:p>
            <w:pPr>
              <w:spacing w:after="0" w:line="360" w:lineRule="auto"/>
              <w:rPr>
                <w:iCs/>
                <w:color w:val="auto"/>
                <w:sz w:val="24"/>
                <w:szCs w:val="24"/>
              </w:rPr>
            </w:pPr>
            <w:r>
              <w:rPr>
                <w:rFonts w:hint="eastAsia"/>
                <w:iCs/>
                <w:color w:val="auto"/>
                <w:sz w:val="24"/>
                <w:szCs w:val="24"/>
              </w:rPr>
              <w:t>干燥混凝土清孔敏感性试验的承载力折减系数；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dxa"/>
          </w:tcPr>
          <w:p>
            <w:pPr>
              <w:spacing w:after="0" w:line="360" w:lineRule="auto"/>
              <w:rPr>
                <w:iCs/>
                <w:color w:val="auto"/>
                <w:sz w:val="24"/>
                <w:szCs w:val="24"/>
              </w:rPr>
            </w:pPr>
          </w:p>
        </w:tc>
        <w:tc>
          <w:tcPr>
            <w:tcW w:w="1032" w:type="dxa"/>
          </w:tcPr>
          <w:p>
            <w:pPr>
              <w:spacing w:after="0" w:line="360" w:lineRule="auto"/>
              <w:jc w:val="center"/>
              <w:rPr>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m:sty m:val="p"/>
                      </m:rPr>
                      <w:rPr>
                        <w:rFonts w:hint="default" w:ascii="Cambria Math" w:hAnsi="Cambria Math"/>
                        <w:color w:val="auto"/>
                        <w:sz w:val="24"/>
                        <w:szCs w:val="24"/>
                      </w:rPr>
                      <m:t>bm,dry</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967" w:type="dxa"/>
          </w:tcPr>
          <w:p>
            <w:pPr>
              <w:spacing w:after="0" w:line="360" w:lineRule="auto"/>
              <w:rPr>
                <w:bCs/>
                <w:color w:val="auto"/>
                <w:sz w:val="24"/>
                <w:szCs w:val="24"/>
              </w:rPr>
            </w:pPr>
            <w:r>
              <w:rPr>
                <w:rFonts w:hint="eastAsia"/>
                <w:bCs/>
                <w:color w:val="auto"/>
                <w:sz w:val="24"/>
                <w:szCs w:val="24"/>
              </w:rPr>
              <w:t>干燥混凝土清孔敏感性试验的粘结强度（</w:t>
            </w:r>
            <w:r>
              <w:rPr>
                <w:rFonts w:hint="eastAsia"/>
                <w:iCs/>
                <w:color w:val="auto"/>
                <w:sz w:val="24"/>
                <w:szCs w:val="24"/>
              </w:rPr>
              <w:t>N</w:t>
            </w:r>
            <w:r>
              <w:rPr>
                <w:iCs/>
                <w:color w:val="auto"/>
                <w:sz w:val="24"/>
                <w:szCs w:val="24"/>
              </w:rPr>
              <w:t>/mm</w:t>
            </w:r>
            <w:r>
              <w:rPr>
                <w:iCs/>
                <w:color w:val="auto"/>
                <w:sz w:val="24"/>
                <w:szCs w:val="24"/>
                <w:vertAlign w:val="superscript"/>
              </w:rPr>
              <w:t>2</w:t>
            </w:r>
            <w:r>
              <w:rPr>
                <w:rFonts w:hint="eastAsia"/>
                <w:iCs/>
                <w:color w:val="auto"/>
                <w:sz w:val="24"/>
                <w:szCs w:val="24"/>
              </w:rPr>
              <w:t>）。</w:t>
            </w:r>
          </w:p>
        </w:tc>
      </w:tr>
    </w:tbl>
    <w:p>
      <w:pPr>
        <w:snapToGrid w:val="0"/>
      </w:pPr>
    </w:p>
    <w:p>
      <w:r>
        <w:br w:type="page"/>
      </w:r>
    </w:p>
    <w:p>
      <w:pPr>
        <w:pStyle w:val="4"/>
        <w:rPr>
          <w:rFonts w:ascii="Times New Roman" w:hAnsi="Times New Roman"/>
        </w:rPr>
      </w:pPr>
      <w:bookmarkStart w:id="84" w:name="_Toc30793"/>
      <w:r>
        <w:rPr>
          <w:rFonts w:hint="eastAsia" w:ascii="Times New Roman" w:hAnsi="Times New Roman"/>
        </w:rPr>
        <w:t>附录D 潮湿混凝土清孔敏感性试验方法与评估</w:t>
      </w:r>
      <w:bookmarkEnd w:id="84"/>
    </w:p>
    <w:p>
      <w:pPr>
        <w:pStyle w:val="5"/>
      </w:pPr>
      <w:bookmarkStart w:id="85" w:name="_Toc24680"/>
      <w:bookmarkStart w:id="86" w:name="_Toc32058"/>
      <w:bookmarkStart w:id="87" w:name="_Toc17841"/>
      <w:r>
        <w:rPr>
          <w:rFonts w:hint="eastAsia"/>
        </w:rPr>
        <w:t>D.1 潮湿混凝土清孔敏感性试验流程</w:t>
      </w:r>
      <w:bookmarkEnd w:id="85"/>
      <w:bookmarkEnd w:id="86"/>
      <w:bookmarkEnd w:id="87"/>
    </w:p>
    <w:p>
      <w:r>
        <w:rPr>
          <w:rFonts w:hint="eastAsia"/>
          <w:b/>
          <w:bCs/>
          <w:color w:val="auto"/>
          <w:sz w:val="24"/>
          <w:szCs w:val="24"/>
        </w:rPr>
        <w:t>D.1.1</w:t>
      </w:r>
      <w:r>
        <w:rPr>
          <w:b/>
          <w:bCs/>
          <w:color w:val="auto"/>
          <w:sz w:val="24"/>
          <w:szCs w:val="24"/>
        </w:rPr>
        <w:t xml:space="preserve"> </w:t>
      </w:r>
      <w:r>
        <w:rPr>
          <w:rFonts w:hint="eastAsia"/>
          <w:color w:val="auto"/>
          <w:sz w:val="24"/>
          <w:szCs w:val="24"/>
        </w:rPr>
        <w:t>试样应按照下列流程制作和安装：</w:t>
      </w:r>
    </w:p>
    <w:p>
      <w:pPr>
        <w:spacing w:after="0" w:line="360" w:lineRule="auto"/>
        <w:rPr>
          <w:color w:val="000000" w:themeColor="text1"/>
          <w:sz w:val="24"/>
          <w:szCs w:val="24"/>
          <w14:textFill>
            <w14:solidFill>
              <w14:schemeClr w14:val="tx1"/>
            </w14:solidFill>
          </w14:textFill>
        </w:rPr>
      </w:pPr>
      <w:r>
        <w:rPr>
          <w:rFonts w:hint="eastAsia"/>
          <w:sz w:val="24"/>
          <w:szCs w:val="24"/>
        </w:rPr>
        <w:tab/>
      </w:r>
      <w:r>
        <w:rPr>
          <w:color w:val="000000" w:themeColor="text1"/>
          <w:sz w:val="24"/>
          <w:szCs w:val="24"/>
          <w14:textFill>
            <w14:solidFill>
              <w14:schemeClr w14:val="tx1"/>
            </w14:solidFill>
          </w14:textFill>
        </w:rPr>
        <w:t xml:space="preserve"> 1</w:t>
      </w:r>
      <w:r>
        <w:rPr>
          <w:rFonts w:hint="eastAsia"/>
          <w:color w:val="000000" w:themeColor="text1"/>
          <w:sz w:val="24"/>
          <w:szCs w:val="24"/>
          <w14:textFill>
            <w14:solidFill>
              <w14:schemeClr w14:val="tx1"/>
            </w14:solidFill>
          </w14:textFill>
        </w:rPr>
        <w:t xml:space="preserve"> 用0.5</w:t>
      </w:r>
      <w:r>
        <w:rPr>
          <w:rFonts w:hint="eastAsia"/>
          <w:i/>
          <w:iCs/>
          <w:color w:val="000000" w:themeColor="text1"/>
          <w:sz w:val="24"/>
          <w:szCs w:val="24"/>
          <w14:textFill>
            <w14:solidFill>
              <w14:schemeClr w14:val="tx1"/>
            </w14:solidFill>
          </w14:textFill>
        </w:rPr>
        <w:t>d</w:t>
      </w:r>
      <w:r>
        <w:rPr>
          <w:rFonts w:hint="eastAsia"/>
          <w:color w:val="000000" w:themeColor="text1"/>
          <w:sz w:val="24"/>
          <w:szCs w:val="24"/>
          <w:vertAlign w:val="subscript"/>
          <w14:textFill>
            <w14:solidFill>
              <w14:schemeClr w14:val="tx1"/>
            </w14:solidFill>
          </w14:textFill>
        </w:rPr>
        <w:t>m</w:t>
      </w:r>
      <w:r>
        <w:rPr>
          <w:rFonts w:hint="eastAsia"/>
          <w:color w:val="000000" w:themeColor="text1"/>
          <w:sz w:val="24"/>
          <w:szCs w:val="24"/>
          <w14:textFill>
            <w14:solidFill>
              <w14:schemeClr w14:val="tx1"/>
            </w14:solidFill>
          </w14:textFill>
        </w:rPr>
        <w:t>的钻头在试验位置钻取辅助孔，钻孔深度为钢筋直径的</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倍；</w:t>
      </w:r>
    </w:p>
    <w:p>
      <w:pPr>
        <w:spacing w:after="0"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2 在辅助孔内注满清水，并保持孔内满水状态8天，直到水已经渗透到距离孔中心1</w:t>
      </w:r>
      <w:r>
        <w:rPr>
          <w:color w:val="000000" w:themeColor="text1"/>
          <w:sz w:val="24"/>
          <w:szCs w:val="24"/>
          <w14:textFill>
            <w14:solidFill>
              <w14:schemeClr w14:val="tx1"/>
            </w14:solidFill>
          </w14:textFill>
        </w:rPr>
        <w:t>.5~2</w:t>
      </w:r>
      <w:r>
        <w:rPr>
          <w:rFonts w:hint="eastAsia"/>
          <w:i/>
          <w:iCs/>
          <w:color w:val="000000" w:themeColor="text1"/>
          <w:sz w:val="24"/>
          <w:szCs w:val="24"/>
          <w14:textFill>
            <w14:solidFill>
              <w14:schemeClr w14:val="tx1"/>
            </w14:solidFill>
          </w14:textFill>
        </w:rPr>
        <w:t>d</w:t>
      </w:r>
      <w:r>
        <w:rPr>
          <w:rFonts w:hint="eastAsia"/>
          <w:color w:val="000000" w:themeColor="text1"/>
          <w:sz w:val="24"/>
          <w:szCs w:val="24"/>
          <w:vertAlign w:val="subscript"/>
          <w14:textFill>
            <w14:solidFill>
              <w14:schemeClr w14:val="tx1"/>
            </w14:solidFill>
          </w14:textFill>
        </w:rPr>
        <w:t>m</w:t>
      </w:r>
      <w:r>
        <w:rPr>
          <w:rFonts w:hint="eastAsia"/>
          <w:color w:val="000000" w:themeColor="text1"/>
          <w:sz w:val="24"/>
          <w:szCs w:val="24"/>
          <w14:textFill>
            <w14:solidFill>
              <w14:schemeClr w14:val="tx1"/>
            </w14:solidFill>
          </w14:textFill>
        </w:rPr>
        <w:t>的范围内；</w:t>
      </w:r>
    </w:p>
    <w:p>
      <w:pPr>
        <w:spacing w:after="0"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3 安装植筋前，将辅助孔内的水吸干；</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 用直径</w:t>
      </w:r>
      <w:r>
        <w:rPr>
          <w:i/>
          <w:iCs/>
          <w:color w:val="000000" w:themeColor="text1"/>
          <w:sz w:val="24"/>
          <w:szCs w:val="24"/>
          <w14:textFill>
            <w14:solidFill>
              <w14:schemeClr w14:val="tx1"/>
            </w14:solidFill>
          </w14:textFill>
        </w:rPr>
        <w:t>d</w:t>
      </w:r>
      <w:r>
        <w:rPr>
          <w:rFonts w:hint="eastAsia"/>
          <w:color w:val="000000" w:themeColor="text1"/>
          <w:sz w:val="24"/>
          <w:szCs w:val="24"/>
          <w:vertAlign w:val="subscript"/>
          <w14:textFill>
            <w14:solidFill>
              <w14:schemeClr w14:val="tx1"/>
            </w14:solidFill>
          </w14:textFill>
        </w:rPr>
        <w:t>m</w:t>
      </w:r>
      <w:r>
        <w:rPr>
          <w:rFonts w:hint="eastAsia"/>
          <w:color w:val="000000" w:themeColor="text1"/>
          <w:sz w:val="24"/>
          <w:szCs w:val="24"/>
          <w14:textFill>
            <w14:solidFill>
              <w14:schemeClr w14:val="tx1"/>
            </w14:solidFill>
          </w14:textFill>
        </w:rPr>
        <w:t>的钻头将辅助孔扩孔成为试验用孔，钻孔深度宜为钢筋直径的10倍；</w:t>
      </w:r>
    </w:p>
    <w:p>
      <w:pPr>
        <w:spacing w:after="0" w:line="360" w:lineRule="auto"/>
        <w:ind w:firstLine="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5钻孔完成后，应按照本规程附录C的C</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第</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条的规定进行清孔；</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 按照生产商产品说明书的要求注入胶粘剂并完成植筋安装，养护时间应不小于生产商产品说明书要求的胶粘材料常温下最短固化时间。</w:t>
      </w:r>
    </w:p>
    <w:p>
      <w:pPr>
        <w:spacing w:after="0" w:line="360" w:lineRule="auto"/>
        <w:rPr>
          <w:bCs/>
          <w:color w:val="auto"/>
          <w:sz w:val="24"/>
          <w:szCs w:val="24"/>
        </w:rPr>
      </w:pPr>
      <w:r>
        <w:rPr>
          <w:rFonts w:hint="eastAsia"/>
          <w:b/>
          <w:bCs/>
          <w:color w:val="auto"/>
          <w:sz w:val="24"/>
          <w:szCs w:val="24"/>
        </w:rPr>
        <w:t>D.1.2</w:t>
      </w:r>
      <w:r>
        <w:rPr>
          <w:rFonts w:hint="eastAsia"/>
          <w:bCs/>
          <w:color w:val="auto"/>
          <w:sz w:val="24"/>
          <w:szCs w:val="24"/>
        </w:rPr>
        <w:t>试验环境应为空气温度（23±2）℃，相对湿度（50±5）%。应分别对三种直径的植筋试样进行约束拉拔试验，记录其极限荷载测试值。</w:t>
      </w:r>
    </w:p>
    <w:p>
      <w:pPr>
        <w:pStyle w:val="5"/>
      </w:pPr>
      <w:bookmarkStart w:id="88" w:name="_Toc22021"/>
      <w:bookmarkStart w:id="89" w:name="_Toc24069"/>
      <w:bookmarkStart w:id="90" w:name="_Toc14238"/>
      <w:r>
        <w:rPr>
          <w:rFonts w:hint="eastAsia"/>
        </w:rPr>
        <w:t>D.2 潮湿混凝土清孔敏感性试验植筋性能评估</w:t>
      </w:r>
      <w:bookmarkEnd w:id="88"/>
      <w:bookmarkEnd w:id="89"/>
      <w:bookmarkEnd w:id="90"/>
    </w:p>
    <w:p>
      <w:pPr>
        <w:spacing w:after="0" w:line="360" w:lineRule="auto"/>
        <w:rPr>
          <w:bCs/>
          <w:color w:val="auto"/>
          <w:sz w:val="24"/>
          <w:szCs w:val="24"/>
        </w:rPr>
      </w:pPr>
      <w:r>
        <w:rPr>
          <w:rFonts w:hint="eastAsia"/>
          <w:b/>
          <w:bCs/>
          <w:color w:val="auto"/>
          <w:sz w:val="24"/>
          <w:szCs w:val="24"/>
        </w:rPr>
        <w:t>D.2.</w:t>
      </w:r>
      <w:r>
        <w:rPr>
          <w:b/>
          <w:bCs/>
          <w:color w:val="auto"/>
          <w:sz w:val="24"/>
          <w:szCs w:val="24"/>
        </w:rPr>
        <w:t>1</w:t>
      </w:r>
      <w:r>
        <w:rPr>
          <w:rFonts w:hint="eastAsia"/>
          <w:bCs/>
          <w:color w:val="auto"/>
          <w:sz w:val="24"/>
          <w:szCs w:val="24"/>
        </w:rPr>
        <w:t>潮湿混凝土清孔敏感性试验粘结强度平均值的计算可</w:t>
      </w:r>
      <w:r>
        <w:rPr>
          <w:rFonts w:hint="eastAsia"/>
          <w:bCs/>
          <w:color w:val="auto"/>
          <w:sz w:val="24"/>
          <w:szCs w:val="24"/>
          <w:lang w:val="en-US" w:eastAsia="zh-CN"/>
        </w:rPr>
        <w:t>按</w:t>
      </w:r>
      <w:r>
        <w:rPr>
          <w:rFonts w:hint="eastAsia" w:ascii="Cambria Math" w:hAnsi="Cambria Math"/>
          <w:color w:val="auto"/>
          <w:sz w:val="24"/>
          <w:szCs w:val="24"/>
        </w:rPr>
        <w:t>表D.2.1</w:t>
      </w:r>
      <w:r>
        <w:rPr>
          <w:rFonts w:hint="eastAsia" w:ascii="Cambria Math" w:hAnsi="Cambria Math"/>
          <w:color w:val="auto"/>
          <w:sz w:val="24"/>
          <w:szCs w:val="24"/>
          <w:lang w:val="en-US" w:eastAsia="zh-CN"/>
        </w:rPr>
        <w:t>执行</w:t>
      </w:r>
      <w:r>
        <w:rPr>
          <w:rFonts w:hint="eastAsia" w:ascii="Cambria Math" w:hAnsi="Cambria Math"/>
          <w:color w:val="auto"/>
          <w:sz w:val="24"/>
          <w:szCs w:val="24"/>
        </w:rPr>
        <w:t>，</w:t>
      </w:r>
      <w:r>
        <w:rPr>
          <w:rFonts w:hint="eastAsia"/>
          <w:bCs/>
          <w:color w:val="auto"/>
          <w:sz w:val="24"/>
          <w:szCs w:val="24"/>
        </w:rPr>
        <w:t>归一化计算方法可</w:t>
      </w:r>
      <w:r>
        <w:rPr>
          <w:rFonts w:hint="eastAsia"/>
          <w:bCs/>
          <w:color w:val="auto"/>
          <w:sz w:val="24"/>
          <w:szCs w:val="24"/>
          <w:lang w:val="en-US" w:eastAsia="zh-CN"/>
        </w:rPr>
        <w:t>按本规程</w:t>
      </w:r>
      <w:r>
        <w:rPr>
          <w:rFonts w:hint="eastAsia"/>
          <w:bCs/>
          <w:color w:val="auto"/>
          <w:sz w:val="24"/>
          <w:szCs w:val="24"/>
        </w:rPr>
        <w:t>附录B</w:t>
      </w:r>
      <w:r>
        <w:rPr>
          <w:rFonts w:hint="eastAsia"/>
          <w:bCs/>
          <w:color w:val="auto"/>
          <w:sz w:val="24"/>
          <w:szCs w:val="24"/>
          <w:lang w:val="en-US" w:eastAsia="zh-CN"/>
        </w:rPr>
        <w:t>执行</w:t>
      </w:r>
      <w:r>
        <w:rPr>
          <w:rFonts w:hint="eastAsia"/>
          <w:bCs/>
          <w:color w:val="auto"/>
          <w:sz w:val="24"/>
          <w:szCs w:val="24"/>
        </w:rPr>
        <w:t>。</w:t>
      </w:r>
    </w:p>
    <w:p>
      <w:pPr>
        <w:spacing w:after="0" w:line="360" w:lineRule="auto"/>
        <w:jc w:val="center"/>
        <w:rPr>
          <w:rFonts w:hint="eastAsia"/>
          <w:b/>
          <w:bCs/>
          <w:color w:val="auto"/>
          <w:sz w:val="21"/>
          <w:szCs w:val="21"/>
        </w:rPr>
      </w:pPr>
      <w:r>
        <w:rPr>
          <w:rFonts w:hint="eastAsia"/>
          <w:b/>
          <w:bCs/>
          <w:color w:val="auto"/>
          <w:sz w:val="21"/>
          <w:szCs w:val="21"/>
        </w:rPr>
        <w:t>表D.2.1 潮湿混凝土清孔敏感性试验粘结强度平均值计算</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75"/>
        <w:gridCol w:w="1800"/>
        <w:gridCol w:w="1440"/>
        <w:gridCol w:w="1170"/>
        <w:gridCol w:w="1307"/>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混凝土强度</w:t>
            </w:r>
          </w:p>
        </w:tc>
        <w:tc>
          <w:tcPr>
            <w:tcW w:w="775"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钢筋直径</w:t>
            </w:r>
            <w:r>
              <w:rPr>
                <w:rFonts w:hint="eastAsia"/>
                <w:i/>
                <w:iCs/>
                <w:color w:val="000000" w:themeColor="text1"/>
                <w:kern w:val="2"/>
                <w:sz w:val="21"/>
                <w:szCs w:val="21"/>
                <w14:textFill>
                  <w14:solidFill>
                    <w14:schemeClr w14:val="tx1"/>
                  </w14:solidFill>
                </w14:textFill>
              </w:rPr>
              <w:t>d</w:t>
            </w:r>
            <w:r>
              <w:rPr>
                <w:i/>
                <w:iCs/>
                <w:color w:val="000000" w:themeColor="text1"/>
                <w:kern w:val="2"/>
                <w:sz w:val="21"/>
                <w:szCs w:val="21"/>
                <w14:textFill>
                  <w14:solidFill>
                    <w14:schemeClr w14:val="tx1"/>
                  </w14:solidFill>
                </w14:textFill>
              </w:rPr>
              <w:t xml:space="preserve"> </w:t>
            </w:r>
            <w:r>
              <w:rPr>
                <w:color w:val="000000" w:themeColor="text1"/>
                <w:kern w:val="2"/>
                <w:sz w:val="21"/>
                <w:szCs w:val="21"/>
                <w14:textFill>
                  <w14:solidFill>
                    <w14:schemeClr w14:val="tx1"/>
                  </w14:solidFill>
                </w14:textFill>
              </w:rPr>
              <w:t>(</w:t>
            </w:r>
            <w:r>
              <w:rPr>
                <w:rFonts w:hint="eastAsia"/>
                <w:color w:val="000000" w:themeColor="text1"/>
                <w:kern w:val="2"/>
                <w:sz w:val="21"/>
                <w:szCs w:val="21"/>
                <w14:textFill>
                  <w14:solidFill>
                    <w14:schemeClr w14:val="tx1"/>
                  </w14:solidFill>
                </w14:textFill>
              </w:rPr>
              <w:t>mm</w:t>
            </w:r>
            <w:r>
              <w:rPr>
                <w:color w:val="000000" w:themeColor="text1"/>
                <w:kern w:val="2"/>
                <w:sz w:val="21"/>
                <w:szCs w:val="21"/>
                <w14:textFill>
                  <w14:solidFill>
                    <w14:schemeClr w14:val="tx1"/>
                  </w14:solidFill>
                </w14:textFill>
              </w:rPr>
              <w:t>)</w:t>
            </w:r>
          </w:p>
        </w:tc>
        <w:tc>
          <w:tcPr>
            <w:tcW w:w="180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极限荷载测试值</w:t>
            </w:r>
          </w:p>
        </w:tc>
        <w:tc>
          <w:tcPr>
            <w:tcW w:w="1440" w:type="dxa"/>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按混凝土强度归一化处理后的荷载值</w:t>
            </w:r>
          </w:p>
        </w:tc>
        <w:tc>
          <w:tcPr>
            <w:tcW w:w="117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左侧荷载值的平均值</w:t>
            </w:r>
          </w:p>
        </w:tc>
        <w:tc>
          <w:tcPr>
            <w:tcW w:w="1307" w:type="dxa"/>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按钢筋相对肋面积归一化处理后的粘结强度平均值</w:t>
            </w:r>
          </w:p>
        </w:tc>
        <w:tc>
          <w:tcPr>
            <w:tcW w:w="1144" w:type="dxa"/>
          </w:tcPr>
          <w:p>
            <w:pPr>
              <w:snapToGrid w:val="0"/>
              <w:spacing w:after="0"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潮湿混凝土清孔敏感性试验的粘结强度平均值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restart"/>
            <w:shd w:val="clear" w:color="auto" w:fill="auto"/>
            <w:vAlign w:val="center"/>
          </w:tcPr>
          <w:p>
            <w:pPr>
              <w:snapToGrid w:val="0"/>
              <w:spacing w:after="0"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C</w:t>
            </w:r>
            <w:r>
              <w:rPr>
                <w:color w:val="000000" w:themeColor="text1"/>
                <w:kern w:val="2"/>
                <w:sz w:val="21"/>
                <w:szCs w:val="21"/>
                <w14:textFill>
                  <w14:solidFill>
                    <w14:schemeClr w14:val="tx1"/>
                  </w14:solidFill>
                </w14:textFill>
              </w:rPr>
              <w:t>25</w:t>
            </w:r>
          </w:p>
        </w:tc>
        <w:tc>
          <w:tcPr>
            <w:tcW w:w="775" w:type="dxa"/>
            <w:shd w:val="clear" w:color="auto" w:fill="auto"/>
            <w:vAlign w:val="center"/>
          </w:tcPr>
          <w:p>
            <w:pPr>
              <w:snapToGrid w:val="0"/>
              <w:spacing w:after="0" w:line="240" w:lineRule="auto"/>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12</w:t>
            </w:r>
          </w:p>
        </w:tc>
        <w:tc>
          <w:tcPr>
            <w:tcW w:w="1800" w:type="dxa"/>
            <w:shd w:val="clear" w:color="auto" w:fill="auto"/>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 test,d12−1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u,wet,test,d12−5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w:p>
        </w:tc>
        <w:tc>
          <w:tcPr>
            <w:tcW w:w="1440" w:type="dxa"/>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u,wet,d12−1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u,wet,d12−5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170" w:type="dxa"/>
            <w:shd w:val="clear" w:color="auto" w:fill="auto"/>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u,wet,d12,m</m:t>
                    </m:r>
                    <m:ctrlPr>
                      <w:rPr>
                        <w:rFonts w:ascii="Cambria Math" w:hAnsi="Cambria Math"/>
                        <w:color w:val="000000" w:themeColor="text1"/>
                        <w:kern w:val="2"/>
                        <w:sz w:val="21"/>
                        <w:szCs w:val="21"/>
                        <w14:textFill>
                          <w14:solidFill>
                            <w14:schemeClr w14:val="tx1"/>
                          </w14:solidFill>
                        </w14:textFill>
                      </w:rPr>
                    </m:ctrlPr>
                  </m:sub>
                </m:sSub>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pStyle w:val="2"/>
              <w:spacing w:after="0"/>
              <w:rPr>
                <w:color w:val="000000" w:themeColor="text1"/>
                <w:sz w:val="21"/>
                <w:szCs w:val="21"/>
                <w14:textFill>
                  <w14:solidFill>
                    <w14:schemeClr w14:val="tx1"/>
                  </w14:solidFill>
                </w14:textFill>
              </w:rPr>
            </w:pPr>
          </w:p>
        </w:tc>
        <w:tc>
          <w:tcPr>
            <w:tcW w:w="1307" w:type="dxa"/>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bm,dwet d12</m:t>
                    </m:r>
                    <m:ctrlPr>
                      <w:rPr>
                        <w:rFonts w:ascii="Cambria Math" w:hAnsi="Cambria Math"/>
                        <w:color w:val="000000" w:themeColor="text1"/>
                        <w:kern w:val="2"/>
                        <w:sz w:val="21"/>
                        <w:szCs w:val="21"/>
                        <w14:textFill>
                          <w14:solidFill>
                            <w14:schemeClr w14:val="tx1"/>
                          </w14:solidFill>
                        </w14:textFill>
                      </w:rPr>
                    </m:ctrlPr>
                  </m:sub>
                </m:sSub>
              </m:oMath>
            </m:oMathPara>
          </w:p>
          <w:p>
            <w:pPr>
              <w:pStyle w:val="2"/>
              <w:spacing w:after="0"/>
              <w:rPr>
                <w:color w:val="000000" w:themeColor="text1"/>
                <w:sz w:val="21"/>
                <w:szCs w:val="21"/>
                <w14:textFill>
                  <w14:solidFill>
                    <w14:schemeClr w14:val="tx1"/>
                  </w14:solidFill>
                </w14:textFill>
              </w:rPr>
            </w:pPr>
          </w:p>
        </w:tc>
        <w:tc>
          <w:tcPr>
            <w:tcW w:w="1144" w:type="dxa"/>
            <w:vMerge w:val="restart"/>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bm,wet,</m:t>
                    </m:r>
                    <m:ctrlPr>
                      <w:rPr>
                        <w:rFonts w:ascii="Cambria Math" w:hAnsi="Cambria Math"/>
                        <w:color w:val="000000" w:themeColor="text1"/>
                        <w:kern w:val="2"/>
                        <w:sz w:val="21"/>
                        <w:szCs w:val="2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p>
        </w:tc>
        <w:tc>
          <w:tcPr>
            <w:tcW w:w="775" w:type="dxa"/>
            <w:shd w:val="clear" w:color="auto" w:fill="auto"/>
            <w:vAlign w:val="center"/>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18</w:t>
            </w:r>
          </w:p>
        </w:tc>
        <w:tc>
          <w:tcPr>
            <w:tcW w:w="1800" w:type="dxa"/>
            <w:shd w:val="clear" w:color="auto" w:fill="auto"/>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 test,d18−1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u,wet,test,d18−5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440" w:type="dxa"/>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u,wet,d18−1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u,wet,d18−5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170" w:type="dxa"/>
            <w:shd w:val="clear" w:color="auto" w:fill="auto"/>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u,wet,d18,m</m:t>
                    </m:r>
                    <m:ctrlPr>
                      <w:rPr>
                        <w:rFonts w:ascii="Cambria Math" w:hAnsi="Cambria Math"/>
                        <w:color w:val="000000" w:themeColor="text1"/>
                        <w:kern w:val="2"/>
                        <w:sz w:val="21"/>
                        <w:szCs w:val="21"/>
                        <w14:textFill>
                          <w14:solidFill>
                            <w14:schemeClr w14:val="tx1"/>
                          </w14:solidFill>
                        </w14:textFill>
                      </w:rPr>
                    </m:ctrlPr>
                  </m:sub>
                </m:sSub>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pStyle w:val="2"/>
              <w:spacing w:after="0"/>
              <w:rPr>
                <w:color w:val="000000" w:themeColor="text1"/>
                <w:sz w:val="21"/>
                <w:szCs w:val="21"/>
                <w14:textFill>
                  <w14:solidFill>
                    <w14:schemeClr w14:val="tx1"/>
                  </w14:solidFill>
                </w14:textFill>
              </w:rPr>
            </w:pPr>
          </w:p>
        </w:tc>
        <w:tc>
          <w:tcPr>
            <w:tcW w:w="1307" w:type="dxa"/>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bm,wet, d18</m:t>
                    </m:r>
                    <m:ctrlPr>
                      <w:rPr>
                        <w:rFonts w:ascii="Cambria Math" w:hAnsi="Cambria Math"/>
                        <w:color w:val="000000" w:themeColor="text1"/>
                        <w:kern w:val="2"/>
                        <w:sz w:val="21"/>
                        <w:szCs w:val="21"/>
                        <w14:textFill>
                          <w14:solidFill>
                            <w14:schemeClr w14:val="tx1"/>
                          </w14:solidFill>
                        </w14:textFill>
                      </w:rPr>
                    </m:ctrlPr>
                  </m:sub>
                </m:sSub>
              </m:oMath>
            </m:oMathPara>
          </w:p>
          <w:p>
            <w:pPr>
              <w:snapToGrid w:val="0"/>
              <w:spacing w:after="0" w:line="240" w:lineRule="auto"/>
              <w:jc w:val="center"/>
              <w:rPr>
                <w:color w:val="000000" w:themeColor="text1"/>
                <w:sz w:val="21"/>
                <w:szCs w:val="21"/>
                <w14:textFill>
                  <w14:solidFill>
                    <w14:schemeClr w14:val="tx1"/>
                  </w14:solidFill>
                </w14:textFill>
              </w:rPr>
            </w:pPr>
          </w:p>
        </w:tc>
        <w:tc>
          <w:tcPr>
            <w:tcW w:w="1144" w:type="dxa"/>
            <w:vMerge w:val="continue"/>
          </w:tcPr>
          <w:p>
            <w:pPr>
              <w:snapToGrid w:val="0"/>
              <w:spacing w:after="0"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p>
        </w:tc>
        <w:tc>
          <w:tcPr>
            <w:tcW w:w="775" w:type="dxa"/>
            <w:shd w:val="clear" w:color="auto" w:fill="auto"/>
            <w:vAlign w:val="center"/>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25</w:t>
            </w:r>
          </w:p>
        </w:tc>
        <w:tc>
          <w:tcPr>
            <w:tcW w:w="1800" w:type="dxa"/>
            <w:shd w:val="clear" w:color="auto" w:fill="auto"/>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 test,d25−1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u,wet,test,d25−5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440" w:type="dxa"/>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u,wet,d25−1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u,wet,d25−5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170" w:type="dxa"/>
            <w:shd w:val="clear" w:color="auto" w:fill="auto"/>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u,wet,d25,m</m:t>
                    </m:r>
                    <m:ctrlPr>
                      <w:rPr>
                        <w:rFonts w:ascii="Cambria Math" w:hAnsi="Cambria Math"/>
                        <w:color w:val="000000" w:themeColor="text1"/>
                        <w:kern w:val="2"/>
                        <w:sz w:val="21"/>
                        <w:szCs w:val="21"/>
                        <w14:textFill>
                          <w14:solidFill>
                            <w14:schemeClr w14:val="tx1"/>
                          </w14:solidFill>
                        </w14:textFill>
                      </w:rPr>
                    </m:ctrlPr>
                  </m:sub>
                </m:sSub>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jc w:val="center"/>
              <w:rPr>
                <w:color w:val="000000" w:themeColor="text1"/>
                <w:kern w:val="2"/>
                <w:sz w:val="21"/>
                <w:szCs w:val="21"/>
                <w14:textFill>
                  <w14:solidFill>
                    <w14:schemeClr w14:val="tx1"/>
                  </w14:solidFill>
                </w14:textFill>
              </w:rPr>
            </w:pPr>
          </w:p>
        </w:tc>
        <w:tc>
          <w:tcPr>
            <w:tcW w:w="1307" w:type="dxa"/>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bm,wet, d25</m:t>
                    </m:r>
                    <m:ctrlPr>
                      <w:rPr>
                        <w:rFonts w:ascii="Cambria Math" w:hAnsi="Cambria Math"/>
                        <w:color w:val="000000" w:themeColor="text1"/>
                        <w:kern w:val="2"/>
                        <w:sz w:val="21"/>
                        <w:szCs w:val="21"/>
                        <w14:textFill>
                          <w14:solidFill>
                            <w14:schemeClr w14:val="tx1"/>
                          </w14:solidFill>
                        </w14:textFill>
                      </w:rPr>
                    </m:ctrlPr>
                  </m:sub>
                </m:sSub>
              </m:oMath>
            </m:oMathPara>
          </w:p>
          <w:p>
            <w:pPr>
              <w:snapToGrid w:val="0"/>
              <w:spacing w:after="0" w:line="240" w:lineRule="auto"/>
              <w:jc w:val="center"/>
              <w:rPr>
                <w:color w:val="000000" w:themeColor="text1"/>
                <w:sz w:val="21"/>
                <w:szCs w:val="21"/>
                <w14:textFill>
                  <w14:solidFill>
                    <w14:schemeClr w14:val="tx1"/>
                  </w14:solidFill>
                </w14:textFill>
              </w:rPr>
            </w:pPr>
          </w:p>
        </w:tc>
        <w:tc>
          <w:tcPr>
            <w:tcW w:w="1144" w:type="dxa"/>
            <w:vMerge w:val="continue"/>
          </w:tcPr>
          <w:p>
            <w:pPr>
              <w:snapToGrid w:val="0"/>
              <w:spacing w:after="0" w:line="240" w:lineRule="auto"/>
              <w:rPr>
                <w:color w:val="000000" w:themeColor="text1"/>
                <w:kern w:val="2"/>
                <w:sz w:val="21"/>
                <w:szCs w:val="21"/>
                <w14:textFill>
                  <w14:solidFill>
                    <w14:schemeClr w14:val="tx1"/>
                  </w14:solidFill>
                </w14:textFill>
              </w:rPr>
            </w:pPr>
          </w:p>
        </w:tc>
      </w:tr>
    </w:tbl>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D.2.</w:t>
      </w:r>
      <w:r>
        <w:rPr>
          <w:b/>
          <w:bCs/>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应根据三种钢筋直径对应的潮湿孔洞下</w:t>
      </w:r>
      <w:r>
        <w:rPr>
          <w:rFonts w:hint="eastAsia"/>
          <w:bCs/>
          <w:color w:val="000000" w:themeColor="text1"/>
          <w:sz w:val="24"/>
          <w:szCs w:val="24"/>
          <w14:textFill>
            <w14:solidFill>
              <w14:schemeClr w14:val="tx1"/>
            </w14:solidFill>
          </w14:textFill>
        </w:rPr>
        <w:t>极限承载力测试值</w:t>
      </w:r>
      <w:r>
        <w:rPr>
          <w:rFonts w:hint="eastAsia"/>
          <w:bCs/>
          <w:i/>
          <w:iCs/>
          <w:color w:val="000000" w:themeColor="text1"/>
          <w:sz w:val="24"/>
          <w:szCs w:val="24"/>
          <w14:textFill>
            <w14:solidFill>
              <w14:schemeClr w14:val="tx1"/>
            </w14:solidFill>
          </w14:textFill>
        </w:rPr>
        <w:t>N</w:t>
      </w:r>
      <w:r>
        <w:rPr>
          <w:bCs/>
          <w:color w:val="000000" w:themeColor="text1"/>
          <w:sz w:val="24"/>
          <w:szCs w:val="24"/>
          <w:vertAlign w:val="subscript"/>
          <w14:textFill>
            <w14:solidFill>
              <w14:schemeClr w14:val="tx1"/>
            </w14:solidFill>
          </w14:textFill>
        </w:rPr>
        <w:t>u,t,</w:t>
      </w:r>
      <w:r>
        <w:rPr>
          <w:rFonts w:hint="eastAsia"/>
          <w:bCs/>
          <w:color w:val="000000" w:themeColor="text1"/>
          <w:sz w:val="24"/>
          <w:szCs w:val="24"/>
          <w:vertAlign w:val="subscript"/>
          <w14:textFill>
            <w14:solidFill>
              <w14:schemeClr w14:val="tx1"/>
            </w14:solidFill>
          </w14:textFill>
        </w:rPr>
        <w:t>w</w:t>
      </w:r>
      <w:r>
        <w:rPr>
          <w:bCs/>
          <w:color w:val="000000" w:themeColor="text1"/>
          <w:sz w:val="24"/>
          <w:szCs w:val="24"/>
          <w:vertAlign w:val="subscript"/>
          <w14:textFill>
            <w14:solidFill>
              <w14:schemeClr w14:val="tx1"/>
            </w14:solidFill>
          </w14:textFill>
        </w:rPr>
        <w:t>,test,dj-k</w:t>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w:t>
      </w:r>
      <w:r>
        <w:rPr>
          <w:bCs/>
          <w:i/>
          <w:iCs/>
          <w:color w:val="000000" w:themeColor="text1"/>
          <w:sz w:val="24"/>
          <w:szCs w:val="24"/>
          <w14:textFill>
            <w14:solidFill>
              <w14:schemeClr w14:val="tx1"/>
            </w14:solidFill>
          </w14:textFill>
        </w:rPr>
        <w:t>j</w:t>
      </w:r>
      <w:r>
        <w:rPr>
          <w:bCs/>
          <w:color w:val="000000" w:themeColor="text1"/>
          <w:sz w:val="24"/>
          <w:szCs w:val="24"/>
          <w14:textFill>
            <w14:solidFill>
              <w14:schemeClr w14:val="tx1"/>
            </w14:solidFill>
          </w14:textFill>
        </w:rPr>
        <w:t>=12</w:t>
      </w:r>
      <w:r>
        <w:rPr>
          <w:rFonts w:hint="eastAsia"/>
          <w:bCs/>
          <w:color w:val="000000" w:themeColor="text1"/>
          <w:sz w:val="24"/>
          <w:szCs w:val="24"/>
          <w14:textFill>
            <w14:solidFill>
              <w14:schemeClr w14:val="tx1"/>
            </w14:solidFill>
          </w14:textFill>
        </w:rPr>
        <w:t>、18、25</w:t>
      </w:r>
      <w:r>
        <w:rPr>
          <w:bCs/>
          <w:color w:val="000000" w:themeColor="text1"/>
          <w:sz w:val="24"/>
          <w:szCs w:val="24"/>
          <w14:textFill>
            <w14:solidFill>
              <w14:schemeClr w14:val="tx1"/>
            </w14:solidFill>
          </w14:textFill>
        </w:rPr>
        <w:t xml:space="preserve">; </w:t>
      </w:r>
      <w:r>
        <w:rPr>
          <w:rFonts w:hint="eastAsia"/>
          <w:bCs/>
          <w:i/>
          <w:iCs/>
          <w:color w:val="000000" w:themeColor="text1"/>
          <w:sz w:val="24"/>
          <w:szCs w:val="24"/>
          <w14:textFill>
            <w14:solidFill>
              <w14:schemeClr w14:val="tx1"/>
            </w14:solidFill>
          </w14:textFill>
        </w:rPr>
        <w:t>k</w:t>
      </w:r>
      <w:r>
        <w:rPr>
          <w:rFonts w:hint="eastAsia"/>
          <w:bCs/>
          <w:color w:val="000000" w:themeColor="text1"/>
          <w:sz w:val="24"/>
          <w:szCs w:val="24"/>
          <w14:textFill>
            <w14:solidFill>
              <w14:schemeClr w14:val="tx1"/>
            </w14:solidFill>
          </w14:textFill>
        </w:rPr>
        <w:t>=1、2、3、4、5)，分别求得其变异系数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ѵ</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wet, d12</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ѵ</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wet,d18</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ѵ</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wet,d25</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p>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D.2.</w:t>
      </w:r>
      <w:r>
        <w:rPr>
          <w:b/>
          <w:bCs/>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三种钢筋直径变异系数对应的折减系数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cv,wet,d12</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cv,wet,d18</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cv,wet,d25</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的计算应符合下列规定</w:t>
      </w:r>
      <w:r>
        <w:rPr>
          <w:rFonts w:hint="eastAsia"/>
          <w:color w:val="000000" w:themeColor="text1"/>
          <w:sz w:val="24"/>
          <w:szCs w:val="24"/>
          <w14:textFill>
            <w14:solidFill>
              <w14:schemeClr w14:val="tx1"/>
            </w14:solidFill>
          </w14:textFill>
        </w:rPr>
        <w:t>。</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1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m:t>
            </m:r>
            <m:r>
              <m:rPr/>
              <w:rPr>
                <w:rFonts w:hint="eastAsia" w:ascii="Cambria Math" w:hAnsi="Cambria Math"/>
                <w:color w:val="000000" w:themeColor="text1"/>
                <w:sz w:val="24"/>
                <w:szCs w:val="24"/>
                <w14:textFill>
                  <w14:solidFill>
                    <w14:schemeClr w14:val="tx1"/>
                  </w14:solidFill>
                </w14:textFill>
              </w:rPr>
              <m:t>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可</w:t>
      </w:r>
      <w:r>
        <w:rPr>
          <w:rFonts w:hint="eastAsia"/>
          <w:color w:val="000000" w:themeColor="text1"/>
          <w:sz w:val="24"/>
          <w:szCs w:val="24"/>
          <w14:textFill>
            <w14:solidFill>
              <w14:schemeClr w14:val="tx1"/>
            </w14:solidFill>
          </w14:textFill>
        </w:rPr>
        <w:t>取为1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且不大于</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 对应折减系数应按下式计算。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c</m:t>
            </m:r>
            <m:r>
              <m:rPr/>
              <w:rPr>
                <w:rFonts w:ascii="Cambria Math" w:hAnsi="Cambria Math"/>
                <w:color w:val="000000" w:themeColor="text1"/>
                <w:sz w:val="24"/>
                <w:szCs w:val="24"/>
                <w14:textFill>
                  <w14:solidFill>
                    <w14:schemeClr w14:val="tx1"/>
                  </w14:solidFill>
                </w14:textFill>
              </w:rPr>
              <m:t>v,wet,dj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w:rPr>
                        <w:rFonts w:ascii="Cambria Math" w:hAnsi="Cambria Math"/>
                        <w:color w:val="auto"/>
                        <w:sz w:val="24"/>
                        <w:szCs w:val="24"/>
                      </w:rPr>
                      <m:t>wet, dj</m:t>
                    </m:r>
                    <m:ctrlPr>
                      <w:rPr>
                        <w:rFonts w:ascii="Cambria Math" w:hAnsi="Cambria Math"/>
                        <w:i/>
                        <w:color w:val="auto"/>
                        <w:sz w:val="24"/>
                        <w:szCs w:val="24"/>
                      </w:rPr>
                    </m:ctrlPr>
                  </m:sub>
                </m:sSub>
                <m:r>
                  <m:rPr/>
                  <w:rPr>
                    <w:rFonts w:ascii="Cambria Math" w:hAnsi="Cambria Math"/>
                    <w:color w:val="000000" w:themeColor="text1"/>
                    <w:sz w:val="24"/>
                    <w:szCs w:val="24"/>
                    <w14:textFill>
                      <w14:solidFill>
                        <w14:schemeClr w14:val="tx1"/>
                      </w14:solidFill>
                    </w14:textFill>
                  </w:rPr>
                  <m:t>−20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D.2.</w:t>
      </w:r>
      <w:r>
        <w:rPr>
          <w:color w:val="000000" w:themeColor="text1"/>
          <w:sz w:val="24"/>
          <w:szCs w:val="24"/>
          <w14:textFill>
            <w14:solidFill>
              <w14:schemeClr w14:val="tx1"/>
            </w14:solidFill>
          </w14:textFill>
        </w:rPr>
        <w:t>3)</w:t>
      </w:r>
    </w:p>
    <w:p>
      <w:pP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式中：</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c</m:t>
            </m:r>
            <m:r>
              <m:rPr/>
              <w:rPr>
                <w:rFonts w:ascii="Cambria Math" w:hAnsi="Cambria Math"/>
                <w:color w:val="000000" w:themeColor="text1"/>
                <w:sz w:val="24"/>
                <w:szCs w:val="24"/>
                <w14:textFill>
                  <w14:solidFill>
                    <w14:schemeClr w14:val="tx1"/>
                  </w14:solidFill>
                </w14:textFill>
              </w:rPr>
              <m:t>v,dry,dj</m:t>
            </m:r>
            <m:ctrlPr>
              <w:rPr>
                <w:rFonts w:ascii="Cambria Math" w:hAnsi="Cambria Math"/>
                <w:i/>
                <w:color w:val="000000" w:themeColor="text1"/>
                <w:sz w:val="24"/>
                <w:szCs w:val="24"/>
                <w14:textFill>
                  <w14:solidFill>
                    <w14:schemeClr w14:val="tx1"/>
                  </w14:solidFill>
                </w14:textFill>
              </w:rPr>
            </m:ctrlPr>
          </m:sub>
        </m:sSub>
      </m:oMath>
      <w:r>
        <w:rPr>
          <w:rFonts w:hint="eastAsia"/>
          <w:iCs/>
          <w:color w:val="auto"/>
          <w:sz w:val="24"/>
          <w:szCs w:val="24"/>
        </w:rPr>
        <w:t>— 不同</w:t>
      </w:r>
      <w:r>
        <w:rPr>
          <w:rFonts w:hint="eastAsia"/>
          <w:color w:val="000000" w:themeColor="text1"/>
          <w:sz w:val="24"/>
          <w:szCs w:val="24"/>
          <w14:textFill>
            <w14:solidFill>
              <w14:schemeClr w14:val="tx1"/>
            </w14:solidFill>
          </w14:textFill>
        </w:rPr>
        <w:t>钢筋直径潮湿混凝土清孔敏感性试验承载力变异系数对应的折减系数，</w:t>
      </w:r>
      <w:r>
        <w:rPr>
          <w:rFonts w:hint="eastAsia"/>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分别对应1</w:t>
      </w: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8</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和2</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mm。</w:t>
      </w:r>
    </w:p>
    <w:p>
      <w:pPr>
        <w:spacing w:after="0" w:line="360" w:lineRule="auto"/>
        <w:rPr>
          <w:bCs/>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D.2.</w:t>
      </w:r>
      <w:r>
        <w:rPr>
          <w:b/>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潮湿混凝土清孔敏感性试验承载力变异系数对应的折减系数应按下式计算：</w:t>
      </w:r>
    </w:p>
    <w:p>
      <w:pPr>
        <w:spacing w:after="0" w:line="360" w:lineRule="auto"/>
        <w:jc w:val="right"/>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=min.</m:t>
        </m:r>
        <m:d>
          <m:dPr>
            <m:begChr m:val="{"/>
            <m:endChr m:val="}"/>
            <m:ctrlPr>
              <w:rPr>
                <w:rFonts w:ascii="Cambria Math" w:hAnsi="Cambria Math"/>
                <w:bCs/>
                <w:i/>
                <w:color w:val="000000" w:themeColor="text1"/>
                <w:sz w:val="24"/>
                <w:szCs w:val="24"/>
                <w14:textFill>
                  <w14:solidFill>
                    <w14:schemeClr w14:val="tx1"/>
                  </w14:solidFill>
                </w14:textFill>
              </w:rPr>
            </m:ctrlPr>
          </m:d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cv,wet,d12</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bCs/>
                    <w:i/>
                    <w:color w:val="000000" w:themeColor="text1"/>
                    <w:sz w:val="24"/>
                    <w:szCs w:val="24"/>
                    <w14:textFill>
                      <w14:solidFill>
                        <w14:schemeClr w14:val="tx1"/>
                      </w14:solidFill>
                    </w14:textFill>
                  </w:rPr>
                </m:ctrlPr>
              </m:sSub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cv,wet,d18</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 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,cv,wet,d25</m:t>
                </m:r>
                <m:ctrlPr>
                  <w:rPr>
                    <w:rFonts w:ascii="Cambria Math" w:hAnsi="Cambria Math"/>
                    <w:bCs/>
                    <w:i/>
                    <w:color w:val="000000" w:themeColor="text1"/>
                    <w:sz w:val="24"/>
                    <w:szCs w:val="24"/>
                    <w14:textFill>
                      <w14:solidFill>
                        <w14:schemeClr w14:val="tx1"/>
                      </w14:solidFill>
                    </w14:textFill>
                  </w:rPr>
                </m:ctrlPr>
              </m:sub>
            </m:sSub>
            <m:ctrlPr>
              <w:rPr>
                <w:rFonts w:ascii="Cambria Math" w:hAnsi="Cambria Math"/>
                <w:bCs/>
                <w:i/>
                <w:color w:val="000000" w:themeColor="text1"/>
                <w:sz w:val="24"/>
                <w:szCs w:val="24"/>
                <w14:textFill>
                  <w14:solidFill>
                    <w14:schemeClr w14:val="tx1"/>
                  </w14:solidFill>
                </w14:textFill>
              </w:rPr>
            </m:ctrlPr>
          </m:e>
        </m:d>
      </m:oMath>
      <w:r>
        <w:rPr>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D.2.</w:t>
      </w:r>
      <w:r>
        <w:rPr>
          <w:bCs/>
          <w:color w:val="000000" w:themeColor="text1"/>
          <w:sz w:val="24"/>
          <w:szCs w:val="24"/>
          <w14:textFill>
            <w14:solidFill>
              <w14:schemeClr w14:val="tx1"/>
            </w14:solidFill>
          </w14:textFill>
        </w:rPr>
        <w:t>4)</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
        <w:gridCol w:w="1032"/>
        <w:gridCol w:w="456"/>
        <w:gridCol w:w="5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dxa"/>
          </w:tcPr>
          <w:p>
            <w:pPr>
              <w:spacing w:after="0" w:line="360" w:lineRule="auto"/>
              <w:rPr>
                <w:iCs/>
                <w:color w:val="auto"/>
                <w:sz w:val="24"/>
                <w:szCs w:val="24"/>
              </w:rPr>
            </w:pPr>
            <w:r>
              <w:rPr>
                <w:rFonts w:hint="eastAsia"/>
                <w:iCs/>
                <w:color w:val="auto"/>
                <w:sz w:val="24"/>
                <w:szCs w:val="24"/>
              </w:rPr>
              <w:t>式中:</w:t>
            </w:r>
          </w:p>
        </w:tc>
        <w:tc>
          <w:tcPr>
            <w:tcW w:w="1032" w:type="dxa"/>
          </w:tcPr>
          <w:p>
            <w:pPr>
              <w:spacing w:after="0" w:line="360" w:lineRule="auto"/>
              <w:jc w:val="center"/>
              <w:rPr>
                <w:iCs/>
                <w:color w:val="auto"/>
                <w:sz w:val="24"/>
                <w:szCs w:val="24"/>
              </w:rPr>
            </w:pPr>
            <m:oMathPara>
              <m:oMathParaPr>
                <m:jc m:val="right"/>
              </m:oMathParaP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m:t>
                    </m:r>
                    <m:r>
                      <m:rPr/>
                      <w:rPr>
                        <w:rFonts w:hint="eastAsia" w:ascii="Cambria Math" w:hAnsi="Cambria Math"/>
                        <w:color w:val="000000" w:themeColor="text1"/>
                        <w:sz w:val="24"/>
                        <w:szCs w:val="24"/>
                        <w14:textFill>
                          <w14:solidFill>
                            <w14:schemeClr w14:val="tx1"/>
                          </w14:solidFill>
                        </w14:textFill>
                      </w:rPr>
                      <m:t>wet</m:t>
                    </m:r>
                    <m:ctrlPr>
                      <w:rPr>
                        <w:rFonts w:ascii="Cambria Math" w:hAnsi="Cambria Math"/>
                        <w:bCs/>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967" w:type="dxa"/>
          </w:tcPr>
          <w:p>
            <w:pPr>
              <w:spacing w:after="0" w:line="360" w:lineRule="auto"/>
              <w:rPr>
                <w:iCs/>
                <w:color w:val="auto"/>
                <w:sz w:val="24"/>
                <w:szCs w:val="24"/>
              </w:rPr>
            </w:pPr>
            <w:r>
              <w:rPr>
                <w:rFonts w:hint="eastAsia"/>
                <w:iCs/>
                <w:color w:val="auto"/>
                <w:sz w:val="24"/>
                <w:szCs w:val="24"/>
              </w:rPr>
              <w:t>潮湿混凝土清孔敏感性试验承载力变异系数对应的折减系数。</w:t>
            </w:r>
          </w:p>
        </w:tc>
      </w:tr>
    </w:tbl>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D.2.</w:t>
      </w:r>
      <w:r>
        <w:rPr>
          <w:b/>
          <w:bCs/>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潮湿混凝土清孔敏感性试验的承载力折减系数应按下式计算：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w</m:t>
            </m:r>
            <m:r>
              <m:rPr/>
              <w:rPr>
                <w:rFonts w:ascii="Cambria Math" w:hAnsi="Cambria Math"/>
                <w:color w:val="000000" w:themeColor="text1"/>
                <w:sz w:val="24"/>
                <w:szCs w:val="24"/>
                <w14:textFill>
                  <w14:solidFill>
                    <w14:schemeClr w14:val="tx1"/>
                  </w14:solidFill>
                </w14:textFill>
              </w:rPr>
              <m:t>et</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bm,wet</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bm,r,c25</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0.75</m:t>
            </m:r>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D.2.</w:t>
      </w:r>
      <w:r>
        <w:rPr>
          <w:color w:val="000000" w:themeColor="text1"/>
          <w:sz w:val="24"/>
          <w:szCs w:val="24"/>
          <w14:textFill>
            <w14:solidFill>
              <w14:schemeClr w14:val="tx1"/>
            </w14:solidFill>
          </w14:textFill>
        </w:rPr>
        <w:t>5)</w:t>
      </w:r>
    </w:p>
    <w:tbl>
      <w:tblPr>
        <w:tblStyle w:val="28"/>
        <w:tblW w:w="81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6"/>
        <w:gridCol w:w="1039"/>
        <w:gridCol w:w="540"/>
        <w:gridCol w:w="5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Mar>
              <w:left w:w="43" w:type="dxa"/>
              <w:right w:w="43" w:type="dxa"/>
            </w:tcMar>
          </w:tcPr>
          <w:p>
            <w:pPr>
              <w:spacing w:after="0" w:line="360" w:lineRule="auto"/>
              <w:contextualSpacing/>
              <w:rPr>
                <w:i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iCs/>
                <w:color w:val="000000" w:themeColor="text1"/>
                <w:sz w:val="24"/>
                <w:szCs w:val="24"/>
                <w14:textFill>
                  <w14:solidFill>
                    <w14:schemeClr w14:val="tx1"/>
                  </w14:solidFill>
                </w14:textFill>
              </w:rPr>
              <w:t>式中:</w:t>
            </w:r>
          </w:p>
        </w:tc>
        <w:tc>
          <w:tcPr>
            <w:tcW w:w="1039" w:type="dxa"/>
          </w:tcPr>
          <w:p>
            <w:pPr>
              <w:spacing w:after="0" w:line="360" w:lineRule="auto"/>
              <w:contextualSpacing/>
              <w:jc w:val="center"/>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wet</m:t>
                    </m:r>
                    <m:ctrlPr>
                      <w:rPr>
                        <w:rFonts w:ascii="Cambria Math" w:hAnsi="Cambria Math"/>
                        <w:i/>
                        <w:color w:val="000000" w:themeColor="text1"/>
                        <w:sz w:val="24"/>
                        <w:szCs w:val="24"/>
                        <w14:textFill>
                          <w14:solidFill>
                            <w14:schemeClr w14:val="tx1"/>
                          </w14:solidFill>
                        </w14:textFill>
                      </w:rPr>
                    </m:ctrlPr>
                  </m:sub>
                </m:sSub>
              </m:oMath>
            </m:oMathPara>
          </w:p>
        </w:tc>
        <w:tc>
          <w:tcPr>
            <w:tcW w:w="540" w:type="dxa"/>
          </w:tcPr>
          <w:p>
            <w:pPr>
              <w:spacing w:after="0" w:line="360" w:lineRule="auto"/>
              <w:contextualSpacing/>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773" w:type="dxa"/>
          </w:tcPr>
          <w:p>
            <w:pPr>
              <w:spacing w:after="0" w:line="360" w:lineRule="auto"/>
              <w:contextualSpacing/>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潮湿混凝土清孔敏感性试验的承载力折减系数；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6" w:type="dxa"/>
          </w:tcPr>
          <w:p>
            <w:pPr>
              <w:spacing w:after="0" w:line="360" w:lineRule="auto"/>
              <w:contextualSpacing/>
              <w:rPr>
                <w:iCs/>
                <w:color w:val="000000" w:themeColor="text1"/>
                <w:sz w:val="24"/>
                <w:szCs w:val="24"/>
                <w14:textFill>
                  <w14:solidFill>
                    <w14:schemeClr w14:val="tx1"/>
                  </w14:solidFill>
                </w14:textFill>
              </w:rPr>
            </w:pPr>
          </w:p>
        </w:tc>
        <w:tc>
          <w:tcPr>
            <w:tcW w:w="1039" w:type="dxa"/>
          </w:tcPr>
          <w:p>
            <w:pPr>
              <w:spacing w:after="0" w:line="360" w:lineRule="auto"/>
              <w:contextualSpacing/>
              <w:jc w:val="center"/>
              <w:rPr>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bm,wet</m:t>
                    </m:r>
                    <m:ctrlPr>
                      <w:rPr>
                        <w:rFonts w:ascii="Cambria Math" w:hAnsi="Cambria Math"/>
                        <w:i/>
                        <w:color w:val="000000" w:themeColor="text1"/>
                        <w:sz w:val="24"/>
                        <w:szCs w:val="24"/>
                        <w14:textFill>
                          <w14:solidFill>
                            <w14:schemeClr w14:val="tx1"/>
                          </w14:solidFill>
                        </w14:textFill>
                      </w:rPr>
                    </m:ctrlPr>
                  </m:sub>
                </m:sSub>
              </m:oMath>
            </m:oMathPara>
          </w:p>
        </w:tc>
        <w:tc>
          <w:tcPr>
            <w:tcW w:w="540" w:type="dxa"/>
          </w:tcPr>
          <w:p>
            <w:pPr>
              <w:spacing w:after="0" w:line="360" w:lineRule="auto"/>
              <w:contextualSpacing/>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773" w:type="dxa"/>
          </w:tcPr>
          <w:p>
            <w:pPr>
              <w:spacing w:after="0" w:line="360" w:lineRule="auto"/>
              <w:contextualSpacing/>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潮湿混凝土清孔敏感性试验的粘结强度（</w:t>
            </w:r>
            <w:r>
              <w:rPr>
                <w:rFonts w:hint="eastAsia"/>
                <w:iCs/>
                <w:color w:val="000000" w:themeColor="text1"/>
                <w:sz w:val="24"/>
                <w:szCs w:val="24"/>
                <w14:textFill>
                  <w14:solidFill>
                    <w14:schemeClr w14:val="tx1"/>
                  </w14:solidFill>
                </w14:textFill>
              </w:rPr>
              <w:t>N</w:t>
            </w:r>
            <w:r>
              <w:rPr>
                <w:iCs/>
                <w:color w:val="000000" w:themeColor="text1"/>
                <w:sz w:val="24"/>
                <w:szCs w:val="24"/>
                <w14:textFill>
                  <w14:solidFill>
                    <w14:schemeClr w14:val="tx1"/>
                  </w14:solidFill>
                </w14:textFill>
              </w:rPr>
              <w:t>/mm</w:t>
            </w:r>
            <w:r>
              <w:rPr>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bl>
    <w:p>
      <w:pPr>
        <w:widowControl/>
        <w:jc w:val="left"/>
        <w:rPr>
          <w:rFonts w:eastAsiaTheme="majorEastAsia" w:cstheme="majorBidi"/>
          <w:b/>
          <w:color w:val="000000" w:themeColor="text1"/>
          <w:sz w:val="30"/>
          <w:szCs w:val="32"/>
          <w14:textFill>
            <w14:solidFill>
              <w14:schemeClr w14:val="tx1"/>
            </w14:solidFill>
          </w14:textFill>
        </w:rPr>
      </w:pPr>
      <w:r>
        <w:br w:type="page"/>
      </w:r>
    </w:p>
    <w:p>
      <w:pPr>
        <w:pStyle w:val="4"/>
        <w:rPr>
          <w:rFonts w:ascii="Times New Roman" w:hAnsi="Times New Roman"/>
        </w:rPr>
      </w:pPr>
      <w:bookmarkStart w:id="91" w:name="_Toc15732"/>
      <w:r>
        <w:rPr>
          <w:rFonts w:hint="eastAsia" w:ascii="Times New Roman" w:hAnsi="Times New Roman"/>
        </w:rPr>
        <w:t>附录E 垂直向上安装试验方法与评估</w:t>
      </w:r>
      <w:bookmarkEnd w:id="91"/>
    </w:p>
    <w:p>
      <w:pPr>
        <w:pStyle w:val="5"/>
      </w:pPr>
      <w:bookmarkStart w:id="92" w:name="_Toc26565"/>
      <w:bookmarkStart w:id="93" w:name="_Toc6691"/>
      <w:bookmarkStart w:id="94" w:name="_Toc18646"/>
      <w:r>
        <w:rPr>
          <w:rFonts w:hint="eastAsia"/>
        </w:rPr>
        <w:t>E.1 垂直向上安装试验流程</w:t>
      </w:r>
      <w:bookmarkEnd w:id="92"/>
      <w:bookmarkEnd w:id="93"/>
      <w:bookmarkEnd w:id="94"/>
    </w:p>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E.1.1</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试样应按照下列流程制作和安装：</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按植筋尺寸对应的钻头直径</w:t>
      </w:r>
      <w:r>
        <w:rPr>
          <w:rFonts w:hint="eastAsia"/>
          <w:i/>
          <w:iCs/>
          <w:color w:val="000000" w:themeColor="text1"/>
          <w:sz w:val="24"/>
          <w:szCs w:val="24"/>
          <w14:textFill>
            <w14:solidFill>
              <w14:schemeClr w14:val="tx1"/>
            </w14:solidFill>
          </w14:textFill>
        </w:rPr>
        <w:t>d</w:t>
      </w:r>
      <w:r>
        <w:rPr>
          <w:rFonts w:hint="eastAsia"/>
          <w:color w:val="000000" w:themeColor="text1"/>
          <w:sz w:val="24"/>
          <w:szCs w:val="24"/>
          <w:vertAlign w:val="subscript"/>
          <w14:textFill>
            <w14:solidFill>
              <w14:schemeClr w14:val="tx1"/>
            </w14:solidFill>
          </w14:textFill>
        </w:rPr>
        <w:t>m</w:t>
      </w:r>
      <w:r>
        <w:rPr>
          <w:rFonts w:hint="eastAsia"/>
          <w:color w:val="000000" w:themeColor="text1"/>
          <w:sz w:val="24"/>
          <w:szCs w:val="24"/>
          <w14:textFill>
            <w14:solidFill>
              <w14:schemeClr w14:val="tx1"/>
            </w14:solidFill>
          </w14:textFill>
        </w:rPr>
        <w:t>在混凝土上钻孔，钻孔深度宜为钢筋直径的10倍；</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钻孔完成后，应按照生产商产品说明书的要求进行清孔；</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采取垂直向上注胶的方式，按产品说明书要求向钻孔中注入胶粘剂并完成植筋安装；</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 按照生产商产品说明书的要求进行养护，养护时间应不小于生产商产品说明书要求的胶粘材料常温下最短固化时间。</w:t>
      </w:r>
    </w:p>
    <w:p>
      <w:pPr>
        <w:spacing w:after="0" w:line="360" w:lineRule="auto"/>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E.1.2 </w:t>
      </w:r>
      <w:r>
        <w:rPr>
          <w:rFonts w:hint="eastAsia"/>
          <w:bCs/>
          <w:color w:val="auto"/>
          <w:sz w:val="24"/>
          <w:szCs w:val="24"/>
        </w:rPr>
        <w:t>试验环境为空气温度（23±2）℃，相对湿度（50±5）%。应</w:t>
      </w:r>
      <w:r>
        <w:rPr>
          <w:rFonts w:hint="eastAsia"/>
          <w:bCs/>
          <w:color w:val="000000" w:themeColor="text1"/>
          <w:sz w:val="24"/>
          <w:szCs w:val="24"/>
          <w14:textFill>
            <w14:solidFill>
              <w14:schemeClr w14:val="tx1"/>
            </w14:solidFill>
          </w14:textFill>
        </w:rPr>
        <w:t>对植筋试样进行约束拉拔试验，记录其极限承载力测试值。</w:t>
      </w:r>
    </w:p>
    <w:p>
      <w:pPr>
        <w:pStyle w:val="5"/>
      </w:pPr>
      <w:bookmarkStart w:id="95" w:name="_Toc23205"/>
      <w:bookmarkStart w:id="96" w:name="_Toc725"/>
      <w:bookmarkStart w:id="97" w:name="_Toc7954"/>
      <w:r>
        <w:rPr>
          <w:rFonts w:hint="eastAsia"/>
        </w:rPr>
        <w:t>E.2 垂直向上安装植筋性能评估</w:t>
      </w:r>
      <w:bookmarkEnd w:id="95"/>
      <w:bookmarkEnd w:id="96"/>
      <w:bookmarkEnd w:id="97"/>
    </w:p>
    <w:p>
      <w:pPr>
        <w:spacing w:after="0" w:line="360" w:lineRule="auto"/>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E.2.</w:t>
      </w:r>
      <w:r>
        <w:rPr>
          <w:b/>
          <w:bCs/>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垂直向上安装试验的粘结强度</w:t>
      </w:r>
      <w:r>
        <w:rPr>
          <w:rFonts w:hint="eastAsia"/>
          <w:bCs/>
          <w:color w:val="000000" w:themeColor="text1"/>
          <w:sz w:val="24"/>
          <w:szCs w:val="24"/>
          <w14:textFill>
            <w14:solidFill>
              <w14:schemeClr w14:val="tx1"/>
            </w14:solidFill>
          </w14:textFill>
        </w:rPr>
        <w:t>的计算可参见</w:t>
      </w:r>
      <w:r>
        <w:rPr>
          <w:rFonts w:hint="eastAsia" w:ascii="Cambria Math" w:hAnsi="Cambria Math"/>
          <w:color w:val="000000" w:themeColor="text1"/>
          <w:sz w:val="24"/>
          <w:szCs w:val="24"/>
          <w14:textFill>
            <w14:solidFill>
              <w14:schemeClr w14:val="tx1"/>
            </w14:solidFill>
          </w14:textFill>
        </w:rPr>
        <w:t>表E.2.1，</w:t>
      </w:r>
      <w:r>
        <w:rPr>
          <w:rFonts w:hint="eastAsia"/>
          <w:bCs/>
          <w:color w:val="000000" w:themeColor="text1"/>
          <w:sz w:val="24"/>
          <w:szCs w:val="24"/>
          <w14:textFill>
            <w14:solidFill>
              <w14:schemeClr w14:val="tx1"/>
            </w14:solidFill>
          </w14:textFill>
        </w:rPr>
        <w:t>归一化计算方法可参考附录B。</w:t>
      </w:r>
    </w:p>
    <w:p>
      <w:pPr>
        <w:spacing w:after="0" w:line="360" w:lineRule="auto"/>
        <w:jc w:val="center"/>
        <w:rPr>
          <w:rFonts w:hint="eastAsia"/>
          <w:b/>
          <w:bCs/>
          <w:color w:val="auto"/>
          <w:sz w:val="21"/>
          <w:szCs w:val="21"/>
        </w:rPr>
      </w:pPr>
      <w:r>
        <w:rPr>
          <w:rFonts w:hint="eastAsia"/>
          <w:b/>
          <w:bCs/>
          <w:color w:val="auto"/>
          <w:sz w:val="21"/>
          <w:szCs w:val="21"/>
        </w:rPr>
        <w:t>表E.2.1 垂直向上安装试验粘结强度平均值计算</w:t>
      </w:r>
    </w:p>
    <w:tbl>
      <w:tblPr>
        <w:tblStyle w:val="27"/>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20"/>
        <w:gridCol w:w="1800"/>
        <w:gridCol w:w="1530"/>
        <w:gridCol w:w="1080"/>
        <w:gridCol w:w="1524"/>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15"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混凝土强度</w:t>
            </w:r>
          </w:p>
        </w:tc>
        <w:tc>
          <w:tcPr>
            <w:tcW w:w="72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钢筋直径</w:t>
            </w:r>
            <w:r>
              <w:rPr>
                <w:rFonts w:hint="eastAsia"/>
                <w:i/>
                <w:iCs/>
                <w:color w:val="000000" w:themeColor="text1"/>
                <w:kern w:val="2"/>
                <w:sz w:val="21"/>
                <w:szCs w:val="21"/>
                <w14:textFill>
                  <w14:solidFill>
                    <w14:schemeClr w14:val="tx1"/>
                  </w14:solidFill>
                </w14:textFill>
              </w:rPr>
              <w:t>d</w:t>
            </w:r>
            <w:r>
              <w:rPr>
                <w:color w:val="000000" w:themeColor="text1"/>
                <w:kern w:val="2"/>
                <w:sz w:val="21"/>
                <w:szCs w:val="21"/>
                <w14:textFill>
                  <w14:solidFill>
                    <w14:schemeClr w14:val="tx1"/>
                  </w14:solidFill>
                </w14:textFill>
              </w:rPr>
              <w:t xml:space="preserve"> </w:t>
            </w:r>
            <w:r>
              <w:rPr>
                <w:rFonts w:hint="eastAsia"/>
                <w:color w:val="000000" w:themeColor="text1"/>
                <w:kern w:val="2"/>
                <w:sz w:val="21"/>
                <w:szCs w:val="21"/>
                <w14:textFill>
                  <w14:solidFill>
                    <w14:schemeClr w14:val="tx1"/>
                  </w14:solidFill>
                </w14:textFill>
              </w:rPr>
              <w:t>(mm)</w:t>
            </w:r>
          </w:p>
        </w:tc>
        <w:tc>
          <w:tcPr>
            <w:tcW w:w="180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极限荷载测试值</w:t>
            </w:r>
          </w:p>
        </w:tc>
        <w:tc>
          <w:tcPr>
            <w:tcW w:w="1530" w:type="dxa"/>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按混凝土强度归一化处理后的荷载值</w:t>
            </w:r>
          </w:p>
        </w:tc>
        <w:tc>
          <w:tcPr>
            <w:tcW w:w="108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左侧荷载值的平均值</w:t>
            </w:r>
          </w:p>
        </w:tc>
        <w:tc>
          <w:tcPr>
            <w:tcW w:w="1524" w:type="dxa"/>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按钢筋相对肋面积归一化处理后的粘结强度平均值</w:t>
            </w:r>
          </w:p>
        </w:tc>
        <w:tc>
          <w:tcPr>
            <w:tcW w:w="1065" w:type="dxa"/>
          </w:tcPr>
          <w:p>
            <w:pPr>
              <w:snapToGrid w:val="0"/>
              <w:spacing w:after="0"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垂直向上安装植筋试验的粘结强度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15"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p>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C</w:t>
            </w:r>
            <w:r>
              <w:rPr>
                <w:color w:val="000000" w:themeColor="text1"/>
                <w:kern w:val="2"/>
                <w:sz w:val="21"/>
                <w:szCs w:val="21"/>
                <w14:textFill>
                  <w14:solidFill>
                    <w14:schemeClr w14:val="tx1"/>
                  </w14:solidFill>
                </w14:textFill>
              </w:rPr>
              <w:t>25</w:t>
            </w:r>
          </w:p>
        </w:tc>
        <w:tc>
          <w:tcPr>
            <w:tcW w:w="720"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p>
          <w:p>
            <w:pPr>
              <w:snapToGrid w:val="0"/>
              <w:spacing w:after="0" w:line="240" w:lineRule="auto"/>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25</w:t>
            </w:r>
          </w:p>
        </w:tc>
        <w:tc>
          <w:tcPr>
            <w:tcW w:w="1800" w:type="dxa"/>
            <w:shd w:val="clear" w:color="auto" w:fill="auto"/>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u,up, test,d25−1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u,up,test,d25−5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530" w:type="dxa"/>
          </w:tcPr>
          <w:p>
            <w:pPr>
              <w:snapToGrid w:val="0"/>
              <w:spacing w:after="0" w:line="24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u,up,d25−1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24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u,up,d25−5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080" w:type="dxa"/>
            <w:shd w:val="clear" w:color="auto" w:fill="auto"/>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u,up,d25,m</m:t>
                    </m:r>
                    <m:ctrlPr>
                      <w:rPr>
                        <w:rFonts w:ascii="Cambria Math" w:hAnsi="Cambria Math"/>
                        <w:color w:val="000000" w:themeColor="text1"/>
                        <w:kern w:val="2"/>
                        <w:sz w:val="21"/>
                        <w:szCs w:val="21"/>
                        <w14:textFill>
                          <w14:solidFill>
                            <w14:schemeClr w14:val="tx1"/>
                          </w14:solidFill>
                        </w14:textFill>
                      </w:rPr>
                    </m:ctrlPr>
                  </m:sub>
                </m:sSub>
                <m:r>
                  <m:rPr>
                    <m:sty m:val="p"/>
                  </m:rPr>
                  <w:rPr>
                    <w:rFonts w:ascii="Cambria Math" w:hAnsi="Cambria Math"/>
                    <w:color w:val="000000" w:themeColor="text1"/>
                    <w:kern w:val="2"/>
                    <w:sz w:val="21"/>
                    <w:szCs w:val="21"/>
                    <w14:textFill>
                      <w14:solidFill>
                        <w14:schemeClr w14:val="tx1"/>
                      </w14:solidFill>
                    </w14:textFill>
                  </w:rPr>
                  <m:t xml:space="preserve"> </m:t>
                </m:r>
              </m:oMath>
            </m:oMathPara>
          </w:p>
        </w:tc>
        <w:tc>
          <w:tcPr>
            <w:tcW w:w="1524" w:type="dxa"/>
            <w:vAlign w:val="center"/>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bm,up, d25</m:t>
                    </m:r>
                    <m:ctrlPr>
                      <w:rPr>
                        <w:rFonts w:ascii="Cambria Math" w:hAnsi="Cambria Math"/>
                        <w:color w:val="000000" w:themeColor="text1"/>
                        <w:kern w:val="2"/>
                        <w:sz w:val="21"/>
                        <w:szCs w:val="21"/>
                        <w14:textFill>
                          <w14:solidFill>
                            <w14:schemeClr w14:val="tx1"/>
                          </w14:solidFill>
                        </w14:textFill>
                      </w:rPr>
                    </m:ctrlPr>
                  </m:sub>
                </m:sSub>
              </m:oMath>
            </m:oMathPara>
          </w:p>
        </w:tc>
        <w:tc>
          <w:tcPr>
            <w:tcW w:w="1065" w:type="dxa"/>
          </w:tcPr>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bm,up=</m:t>
                    </m:r>
                    <m:ctrlPr>
                      <w:rPr>
                        <w:rFonts w:ascii="Cambria Math" w:hAnsi="Cambria Math"/>
                        <w:color w:val="000000" w:themeColor="text1"/>
                        <w:kern w:val="2"/>
                        <w:sz w:val="21"/>
                        <w:szCs w:val="21"/>
                        <w14:textFill>
                          <w14:solidFill>
                            <w14:schemeClr w14:val="tx1"/>
                          </w14:solidFill>
                        </w14:textFill>
                      </w:rPr>
                    </m:ctrlPr>
                  </m:sub>
                </m:sSub>
              </m:oMath>
            </m:oMathPara>
          </w:p>
          <w:p>
            <w:pPr>
              <w:snapToGrid w:val="0"/>
              <w:spacing w:after="0" w:line="24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bm,up, d25</m:t>
                    </m:r>
                    <m:ctrlPr>
                      <w:rPr>
                        <w:rFonts w:ascii="Cambria Math" w:hAnsi="Cambria Math"/>
                        <w:color w:val="000000" w:themeColor="text1"/>
                        <w:kern w:val="2"/>
                        <w:sz w:val="21"/>
                        <w:szCs w:val="21"/>
                        <w14:textFill>
                          <w14:solidFill>
                            <w14:schemeClr w14:val="tx1"/>
                          </w14:solidFill>
                        </w14:textFill>
                      </w:rPr>
                    </m:ctrlPr>
                  </m:sub>
                </m:sSub>
              </m:oMath>
            </m:oMathPara>
          </w:p>
          <w:p>
            <w:pPr>
              <w:snapToGrid w:val="0"/>
              <w:spacing w:after="0" w:line="240" w:lineRule="auto"/>
              <w:rPr>
                <w:color w:val="000000" w:themeColor="text1"/>
                <w:kern w:val="2"/>
                <w:sz w:val="21"/>
                <w:szCs w:val="21"/>
                <w14:textFill>
                  <w14:solidFill>
                    <w14:schemeClr w14:val="tx1"/>
                  </w14:solidFill>
                </w14:textFill>
              </w:rPr>
            </w:pPr>
          </w:p>
        </w:tc>
      </w:tr>
    </w:tbl>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E.2.</w:t>
      </w:r>
      <w:r>
        <w:rPr>
          <w:b/>
          <w:bCs/>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应根据垂直向上安装试验</w:t>
      </w:r>
      <w:r>
        <w:rPr>
          <w:rFonts w:hint="eastAsia"/>
          <w:bCs/>
          <w:color w:val="000000" w:themeColor="text1"/>
          <w:sz w:val="24"/>
          <w:szCs w:val="24"/>
          <w14:textFill>
            <w14:solidFill>
              <w14:schemeClr w14:val="tx1"/>
            </w14:solidFill>
          </w14:textFill>
        </w:rPr>
        <w:t>极限承载力测试值</w:t>
      </w:r>
      <w:r>
        <w:rPr>
          <w:rFonts w:hint="eastAsia"/>
          <w:bCs/>
          <w:i/>
          <w:iCs/>
          <w:color w:val="000000" w:themeColor="text1"/>
          <w:sz w:val="24"/>
          <w:szCs w:val="24"/>
          <w14:textFill>
            <w14:solidFill>
              <w14:schemeClr w14:val="tx1"/>
            </w14:solidFill>
          </w14:textFill>
        </w:rPr>
        <w:t>N</w:t>
      </w:r>
      <w:r>
        <w:rPr>
          <w:bCs/>
          <w:color w:val="000000" w:themeColor="text1"/>
          <w:sz w:val="24"/>
          <w:szCs w:val="24"/>
          <w:vertAlign w:val="subscript"/>
          <w14:textFill>
            <w14:solidFill>
              <w14:schemeClr w14:val="tx1"/>
            </w14:solidFill>
          </w14:textFill>
        </w:rPr>
        <w:t>u,up,test,</w:t>
      </w:r>
      <w:r>
        <w:rPr>
          <w:rFonts w:hint="eastAsia"/>
          <w:bCs/>
          <w:color w:val="000000" w:themeColor="text1"/>
          <w:sz w:val="24"/>
          <w:szCs w:val="24"/>
          <w:vertAlign w:val="subscript"/>
          <w14:textFill>
            <w14:solidFill>
              <w14:schemeClr w14:val="tx1"/>
            </w14:solidFill>
          </w14:textFill>
        </w:rPr>
        <w:t>d25</w:t>
      </w:r>
      <w:r>
        <w:rPr>
          <w:bCs/>
          <w:color w:val="000000" w:themeColor="text1"/>
          <w:sz w:val="24"/>
          <w:szCs w:val="24"/>
          <w:vertAlign w:val="subscript"/>
          <w14:textFill>
            <w14:solidFill>
              <w14:schemeClr w14:val="tx1"/>
            </w14:solidFill>
          </w14:textFill>
        </w:rPr>
        <w:t>-k</w:t>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w:t>
      </w:r>
      <w:r>
        <w:rPr>
          <w:rFonts w:hint="eastAsia"/>
          <w:bCs/>
          <w:i/>
          <w:iCs/>
          <w:color w:val="000000" w:themeColor="text1"/>
          <w:sz w:val="24"/>
          <w:szCs w:val="24"/>
          <w14:textFill>
            <w14:solidFill>
              <w14:schemeClr w14:val="tx1"/>
            </w14:solidFill>
          </w14:textFill>
        </w:rPr>
        <w:t>k</w:t>
      </w:r>
      <w:r>
        <w:rPr>
          <w:rFonts w:hint="eastAsia"/>
          <w:bCs/>
          <w:color w:val="000000" w:themeColor="text1"/>
          <w:sz w:val="24"/>
          <w:szCs w:val="24"/>
          <w14:textFill>
            <w14:solidFill>
              <w14:schemeClr w14:val="tx1"/>
            </w14:solidFill>
          </w14:textFill>
        </w:rPr>
        <w:t>=1、2、3、4、5)，求得其变异系数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ѵ</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up</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p>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E.2.</w:t>
      </w:r>
      <w:r>
        <w:rPr>
          <w:b/>
          <w:bCs/>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变异系数对应的折减系数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cv,up</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的计算应符合下列规定</w:t>
      </w:r>
      <w:r>
        <w:rPr>
          <w:rFonts w:hint="eastAsia"/>
          <w:color w:val="000000" w:themeColor="text1"/>
          <w:sz w:val="24"/>
          <w:szCs w:val="24"/>
          <w14:textFill>
            <w14:solidFill>
              <w14:schemeClr w14:val="tx1"/>
            </w14:solidFill>
          </w14:textFill>
        </w:rPr>
        <w:t>。</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1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cv,up</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可</w:t>
      </w:r>
      <w:r>
        <w:rPr>
          <w:rFonts w:hint="eastAsia"/>
          <w:color w:val="000000" w:themeColor="text1"/>
          <w:sz w:val="24"/>
          <w:szCs w:val="24"/>
          <w14:textFill>
            <w14:solidFill>
              <w14:schemeClr w14:val="tx1"/>
            </w14:solidFill>
          </w14:textFill>
        </w:rPr>
        <w:t>取为1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且不大于</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 对应折减系数应按下式计算。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c</m:t>
            </m:r>
            <m:r>
              <m:rPr/>
              <w:rPr>
                <w:rFonts w:ascii="Cambria Math" w:hAnsi="Cambria Math"/>
                <w:color w:val="000000" w:themeColor="text1"/>
                <w:sz w:val="24"/>
                <w:szCs w:val="24"/>
                <w14:textFill>
                  <w14:solidFill>
                    <w14:schemeClr w14:val="tx1"/>
                  </w14:solidFill>
                </w14:textFill>
              </w:rPr>
              <m:t>v,up</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w:rPr>
                        <w:rFonts w:ascii="Cambria Math" w:hAnsi="Cambria Math"/>
                        <w:color w:val="auto"/>
                        <w:sz w:val="24"/>
                        <w:szCs w:val="24"/>
                      </w:rPr>
                      <m:t>up</m:t>
                    </m:r>
                    <m:ctrlPr>
                      <w:rPr>
                        <w:rFonts w:ascii="Cambria Math" w:hAnsi="Cambria Math"/>
                        <w:i/>
                        <w:color w:val="auto"/>
                        <w:sz w:val="24"/>
                        <w:szCs w:val="24"/>
                      </w:rPr>
                    </m:ctrlPr>
                  </m:sub>
                </m:sSub>
                <m:r>
                  <m:rPr/>
                  <w:rPr>
                    <w:rFonts w:ascii="Cambria Math" w:hAnsi="Cambria Math"/>
                    <w:color w:val="000000" w:themeColor="text1"/>
                    <w:sz w:val="24"/>
                    <w:szCs w:val="24"/>
                    <w14:textFill>
                      <w14:solidFill>
                        <w14:schemeClr w14:val="tx1"/>
                      </w14:solidFill>
                    </w14:textFill>
                  </w:rPr>
                  <m:t>−20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E.2.</w:t>
      </w:r>
      <w:r>
        <w:rPr>
          <w:color w:val="000000" w:themeColor="text1"/>
          <w:sz w:val="24"/>
          <w:szCs w:val="24"/>
          <w14:textFill>
            <w14:solidFill>
              <w14:schemeClr w14:val="tx1"/>
            </w14:solidFill>
          </w14:textFill>
        </w:rPr>
        <w:t>3)</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
        <w:gridCol w:w="864"/>
        <w:gridCol w:w="456"/>
        <w:gridCol w:w="6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dxa"/>
          </w:tcPr>
          <w:p>
            <w:pPr>
              <w:spacing w:after="0" w:line="360" w:lineRule="auto"/>
              <w:rPr>
                <w:iCs/>
                <w:color w:val="auto"/>
                <w:sz w:val="24"/>
                <w:szCs w:val="24"/>
              </w:rPr>
            </w:pPr>
            <w:r>
              <w:rPr>
                <w:rFonts w:hint="eastAsia"/>
                <w:iCs/>
                <w:color w:val="auto"/>
                <w:sz w:val="24"/>
                <w:szCs w:val="24"/>
              </w:rPr>
              <w:t>式中:</w:t>
            </w:r>
          </w:p>
        </w:tc>
        <w:tc>
          <w:tcPr>
            <w:tcW w:w="864" w:type="dxa"/>
          </w:tcPr>
          <w:p>
            <w:pPr>
              <w:spacing w:after="0" w:line="360" w:lineRule="auto"/>
              <w:jc w:val="center"/>
              <w:rPr>
                <w:iCs/>
                <w:color w:val="auto"/>
                <w:sz w:val="24"/>
                <w:szCs w:val="24"/>
              </w:rPr>
            </w:pPr>
            <m:oMathPara>
              <m:oMathParaPr>
                <m:jc m:val="right"/>
              </m:oMathParaP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m:t>
                    </m:r>
                    <m:r>
                      <m:rPr/>
                      <w:rPr>
                        <w:rFonts w:hint="eastAsia" w:ascii="Cambria Math" w:hAnsi="Cambria Math"/>
                        <w:color w:val="000000" w:themeColor="text1"/>
                        <w:sz w:val="24"/>
                        <w:szCs w:val="24"/>
                        <w14:textFill>
                          <w14:solidFill>
                            <w14:schemeClr w14:val="tx1"/>
                          </w14:solidFill>
                        </w14:textFill>
                      </w:rPr>
                      <m:t>up</m:t>
                    </m:r>
                    <m:ctrlPr>
                      <w:rPr>
                        <w:rFonts w:ascii="Cambria Math" w:hAnsi="Cambria Math"/>
                        <w:bCs/>
                        <w:i/>
                        <w:color w:val="000000" w:themeColor="text1"/>
                        <w:sz w:val="24"/>
                        <w:szCs w:val="24"/>
                        <w14:textFill>
                          <w14:solidFill>
                            <w14:schemeClr w14:val="tx1"/>
                          </w14:solidFill>
                        </w14:textFill>
                      </w:rPr>
                    </m:ctrlPr>
                  </m:sub>
                </m:sSub>
              </m:oMath>
            </m:oMathPara>
          </w:p>
        </w:tc>
        <w:tc>
          <w:tcPr>
            <w:tcW w:w="450" w:type="dxa"/>
          </w:tcPr>
          <w:p>
            <w:pPr>
              <w:spacing w:after="0" w:line="360" w:lineRule="auto"/>
              <w:rPr>
                <w:iCs/>
                <w:color w:val="auto"/>
                <w:sz w:val="24"/>
                <w:szCs w:val="24"/>
              </w:rPr>
            </w:pPr>
            <w:r>
              <w:rPr>
                <w:rFonts w:hint="eastAsia"/>
                <w:iCs/>
                <w:color w:val="auto"/>
                <w:sz w:val="24"/>
                <w:szCs w:val="24"/>
              </w:rPr>
              <w:t>—</w:t>
            </w:r>
          </w:p>
        </w:tc>
        <w:tc>
          <w:tcPr>
            <w:tcW w:w="6141" w:type="dxa"/>
          </w:tcPr>
          <w:p>
            <w:pPr>
              <w:spacing w:after="0" w:line="360" w:lineRule="auto"/>
              <w:rPr>
                <w:iCs/>
                <w:color w:val="auto"/>
                <w:sz w:val="24"/>
                <w:szCs w:val="24"/>
              </w:rPr>
            </w:pPr>
            <w:r>
              <w:rPr>
                <w:rFonts w:hint="eastAsia"/>
                <w:iCs/>
                <w:color w:val="000000" w:themeColor="text1"/>
                <w:sz w:val="24"/>
                <w:szCs w:val="24"/>
                <w14:textFill>
                  <w14:solidFill>
                    <w14:schemeClr w14:val="tx1"/>
                  </w14:solidFill>
                </w14:textFill>
              </w:rPr>
              <w:t>垂直向上</w:t>
            </w:r>
            <w:r>
              <w:rPr>
                <w:rFonts w:hint="eastAsia"/>
                <w:color w:val="000000" w:themeColor="text1"/>
                <w:sz w:val="24"/>
                <w:szCs w:val="24"/>
                <w14:textFill>
                  <w14:solidFill>
                    <w14:schemeClr w14:val="tx1"/>
                  </w14:solidFill>
                </w14:textFill>
              </w:rPr>
              <w:t>安装试验</w:t>
            </w:r>
            <w:r>
              <w:rPr>
                <w:rFonts w:hint="eastAsia"/>
                <w:iCs/>
                <w:color w:val="000000" w:themeColor="text1"/>
                <w:sz w:val="24"/>
                <w:szCs w:val="24"/>
                <w14:textFill>
                  <w14:solidFill>
                    <w14:schemeClr w14:val="tx1"/>
                  </w14:solidFill>
                </w14:textFill>
              </w:rPr>
              <w:t>的承载力</w:t>
            </w:r>
            <w:r>
              <w:rPr>
                <w:rFonts w:hint="eastAsia"/>
                <w:iCs/>
                <w:color w:val="auto"/>
                <w:sz w:val="24"/>
                <w:szCs w:val="24"/>
              </w:rPr>
              <w:t>变异系数对应的折减系数。</w:t>
            </w:r>
          </w:p>
        </w:tc>
      </w:tr>
    </w:tbl>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E.2.</w:t>
      </w:r>
      <w:r>
        <w:rPr>
          <w:b/>
          <w:bCs/>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垂直向上安装试验</w:t>
      </w:r>
      <w:r>
        <w:rPr>
          <w:rFonts w:hint="eastAsia"/>
          <w:bCs/>
          <w:color w:val="000000" w:themeColor="text1"/>
          <w:sz w:val="24"/>
          <w:szCs w:val="24"/>
          <w14:textFill>
            <w14:solidFill>
              <w14:schemeClr w14:val="tx1"/>
            </w14:solidFill>
          </w14:textFill>
        </w:rPr>
        <w:t>承载力的折减系数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up</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up</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bm,up</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bm,r,c25</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0.9</m:t>
            </m:r>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E.2.</w:t>
      </w:r>
      <w:r>
        <w:rPr>
          <w:color w:val="000000" w:themeColor="text1"/>
          <w:sz w:val="24"/>
          <w:szCs w:val="24"/>
          <w14:textFill>
            <w14:solidFill>
              <w14:schemeClr w14:val="tx1"/>
            </w14:solidFill>
          </w14:textFill>
        </w:rPr>
        <w:t>4)</w:t>
      </w:r>
    </w:p>
    <w:tbl>
      <w:tblPr>
        <w:tblStyle w:val="28"/>
        <w:tblW w:w="77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6"/>
        <w:gridCol w:w="1129"/>
        <w:gridCol w:w="630"/>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iCs/>
                <w:color w:val="000000" w:themeColor="text1"/>
                <w:sz w:val="24"/>
                <w:szCs w:val="24"/>
                <w14:textFill>
                  <w14:solidFill>
                    <w14:schemeClr w14:val="tx1"/>
                  </w14:solidFill>
                </w14:textFill>
              </w:rPr>
              <w:t>式中:</w:t>
            </w:r>
          </w:p>
        </w:tc>
        <w:tc>
          <w:tcPr>
            <w:tcW w:w="1129"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up</m:t>
                    </m:r>
                    <m:ctrlPr>
                      <w:rPr>
                        <w:rFonts w:ascii="Cambria Math" w:hAnsi="Cambria Math"/>
                        <w:i/>
                        <w:color w:val="000000" w:themeColor="text1"/>
                        <w:sz w:val="24"/>
                        <w:szCs w:val="24"/>
                        <w14:textFill>
                          <w14:solidFill>
                            <w14:schemeClr w14:val="tx1"/>
                          </w14:solidFill>
                        </w14:textFill>
                      </w:rPr>
                    </m:ctrlPr>
                  </m:sub>
                </m:sSub>
              </m:oMath>
            </m:oMathPara>
          </w:p>
        </w:tc>
        <w:tc>
          <w:tcPr>
            <w:tcW w:w="630" w:type="dxa"/>
          </w:tcPr>
          <w:p>
            <w:pPr>
              <w:spacing w:after="0" w:line="360" w:lineRule="auto"/>
              <w:rPr>
                <w:iCs/>
                <w:color w:val="000000" w:themeColor="text1"/>
                <w:sz w:val="24"/>
                <w:szCs w:val="24"/>
                <w14:textFill>
                  <w14:solidFill>
                    <w14:schemeClr w14:val="tx1"/>
                  </w14:solidFill>
                </w14:textFill>
              </w:rPr>
            </w:pPr>
            <w:r>
              <w:rPr>
                <w:rFonts w:hint="eastAsia"/>
                <w:iCs/>
                <w:color w:val="auto"/>
                <w:sz w:val="24"/>
                <w:szCs w:val="24"/>
              </w:rPr>
              <w:t>—</w:t>
            </w:r>
          </w:p>
        </w:tc>
        <w:tc>
          <w:tcPr>
            <w:tcW w:w="510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垂直向上</w:t>
            </w:r>
            <w:r>
              <w:rPr>
                <w:rFonts w:hint="eastAsia"/>
                <w:color w:val="000000" w:themeColor="text1"/>
                <w:sz w:val="24"/>
                <w:szCs w:val="24"/>
                <w14:textFill>
                  <w14:solidFill>
                    <w14:schemeClr w14:val="tx1"/>
                  </w14:solidFill>
                </w14:textFill>
              </w:rPr>
              <w:t>安装试验</w:t>
            </w:r>
            <w:r>
              <w:rPr>
                <w:rFonts w:hint="eastAsia"/>
                <w:iCs/>
                <w:color w:val="000000" w:themeColor="text1"/>
                <w:sz w:val="24"/>
                <w:szCs w:val="24"/>
                <w14:textFill>
                  <w14:solidFill>
                    <w14:schemeClr w14:val="tx1"/>
                  </w14:solidFill>
                </w14:textFill>
              </w:rPr>
              <w:t>的承载力折减系数；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000000" w:themeColor="text1"/>
                <w:sz w:val="24"/>
                <w:szCs w:val="24"/>
                <w14:textFill>
                  <w14:solidFill>
                    <w14:schemeClr w14:val="tx1"/>
                  </w14:solidFill>
                </w14:textFill>
              </w:rPr>
            </w:pPr>
          </w:p>
        </w:tc>
        <w:tc>
          <w:tcPr>
            <w:tcW w:w="1129" w:type="dxa"/>
          </w:tcPr>
          <w:p>
            <w:pPr>
              <w:spacing w:after="0" w:line="360" w:lineRule="auto"/>
              <w:jc w:val="right"/>
              <w:rPr>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bm,up</m:t>
                    </m:r>
                    <m:ctrlPr>
                      <w:rPr>
                        <w:rFonts w:ascii="Cambria Math" w:hAnsi="Cambria Math"/>
                        <w:i/>
                        <w:color w:val="000000" w:themeColor="text1"/>
                        <w:sz w:val="24"/>
                        <w:szCs w:val="24"/>
                        <w14:textFill>
                          <w14:solidFill>
                            <w14:schemeClr w14:val="tx1"/>
                          </w14:solidFill>
                        </w14:textFill>
                      </w:rPr>
                    </m:ctrlPr>
                  </m:sub>
                </m:sSub>
              </m:oMath>
            </m:oMathPara>
          </w:p>
        </w:tc>
        <w:tc>
          <w:tcPr>
            <w:tcW w:w="630" w:type="dxa"/>
          </w:tcPr>
          <w:p>
            <w:pPr>
              <w:spacing w:after="0" w:line="360" w:lineRule="auto"/>
              <w:rPr>
                <w:iCs/>
                <w:color w:val="000000" w:themeColor="text1"/>
                <w:sz w:val="24"/>
                <w:szCs w:val="24"/>
                <w14:textFill>
                  <w14:solidFill>
                    <w14:schemeClr w14:val="tx1"/>
                  </w14:solidFill>
                </w14:textFill>
              </w:rPr>
            </w:pPr>
            <w:r>
              <w:rPr>
                <w:rFonts w:hint="eastAsia"/>
                <w:iCs/>
                <w:color w:val="auto"/>
                <w:sz w:val="24"/>
                <w:szCs w:val="24"/>
              </w:rPr>
              <w:t>—</w:t>
            </w:r>
          </w:p>
        </w:tc>
        <w:tc>
          <w:tcPr>
            <w:tcW w:w="5103" w:type="dxa"/>
          </w:tcPr>
          <w:p>
            <w:pPr>
              <w:spacing w:after="0"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垂直向上</w:t>
            </w:r>
            <w:r>
              <w:rPr>
                <w:rFonts w:hint="eastAsia"/>
                <w:color w:val="000000" w:themeColor="text1"/>
                <w:sz w:val="24"/>
                <w:szCs w:val="24"/>
                <w14:textFill>
                  <w14:solidFill>
                    <w14:schemeClr w14:val="tx1"/>
                  </w14:solidFill>
                </w14:textFill>
              </w:rPr>
              <w:t>安装试验</w:t>
            </w:r>
            <w:r>
              <w:rPr>
                <w:rFonts w:hint="eastAsia"/>
                <w:bCs/>
                <w:color w:val="000000" w:themeColor="text1"/>
                <w:sz w:val="24"/>
                <w:szCs w:val="24"/>
                <w14:textFill>
                  <w14:solidFill>
                    <w14:schemeClr w14:val="tx1"/>
                  </w14:solidFill>
                </w14:textFill>
              </w:rPr>
              <w:t>的粘结强度（</w:t>
            </w:r>
            <w:r>
              <w:rPr>
                <w:rFonts w:hint="eastAsia"/>
                <w:iCs/>
                <w:color w:val="000000" w:themeColor="text1"/>
                <w:sz w:val="24"/>
                <w:szCs w:val="24"/>
                <w14:textFill>
                  <w14:solidFill>
                    <w14:schemeClr w14:val="tx1"/>
                  </w14:solidFill>
                </w14:textFill>
              </w:rPr>
              <w:t>N</w:t>
            </w:r>
            <w:r>
              <w:rPr>
                <w:iCs/>
                <w:color w:val="000000" w:themeColor="text1"/>
                <w:sz w:val="24"/>
                <w:szCs w:val="24"/>
                <w14:textFill>
                  <w14:solidFill>
                    <w14:schemeClr w14:val="tx1"/>
                  </w14:solidFill>
                </w14:textFill>
              </w:rPr>
              <w:t>/mm</w:t>
            </w:r>
            <w:r>
              <w:rPr>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bl>
    <w:p>
      <w:pPr>
        <w:widowControl/>
        <w:jc w:val="left"/>
        <w:rPr>
          <w:rFonts w:eastAsiaTheme="majorEastAsia" w:cstheme="majorBidi"/>
          <w:b/>
          <w:color w:val="000000" w:themeColor="text1"/>
          <w:sz w:val="30"/>
          <w:szCs w:val="32"/>
          <w14:textFill>
            <w14:solidFill>
              <w14:schemeClr w14:val="tx1"/>
            </w14:solidFill>
          </w14:textFill>
        </w:rPr>
      </w:pPr>
      <w:r>
        <w:br w:type="page"/>
      </w:r>
    </w:p>
    <w:p>
      <w:pPr>
        <w:pStyle w:val="4"/>
        <w:rPr>
          <w:rFonts w:ascii="Times New Roman" w:hAnsi="Times New Roman"/>
        </w:rPr>
      </w:pPr>
      <w:bookmarkStart w:id="98" w:name="_Toc2430"/>
      <w:r>
        <w:rPr>
          <w:rFonts w:hint="eastAsia" w:ascii="Times New Roman" w:hAnsi="Times New Roman"/>
        </w:rPr>
        <w:t>附录F 水平方向安装试验方法与评估</w:t>
      </w:r>
      <w:bookmarkEnd w:id="98"/>
    </w:p>
    <w:p>
      <w:pPr>
        <w:pStyle w:val="5"/>
      </w:pPr>
      <w:bookmarkStart w:id="99" w:name="_Toc4023"/>
      <w:bookmarkStart w:id="100" w:name="_Toc22893"/>
      <w:bookmarkStart w:id="101" w:name="_Toc10213"/>
      <w:r>
        <w:rPr>
          <w:rFonts w:hint="eastAsia"/>
        </w:rPr>
        <w:t>F.1 水平方向安装试验流程</w:t>
      </w:r>
      <w:bookmarkEnd w:id="99"/>
      <w:bookmarkEnd w:id="100"/>
      <w:bookmarkEnd w:id="101"/>
    </w:p>
    <w:p>
      <w:r>
        <w:rPr>
          <w:rFonts w:hint="eastAsia"/>
          <w:b/>
          <w:bCs/>
          <w:color w:val="auto"/>
          <w:sz w:val="24"/>
          <w:szCs w:val="24"/>
        </w:rPr>
        <w:t>F.1.1</w:t>
      </w:r>
      <w:r>
        <w:rPr>
          <w:b/>
          <w:bCs/>
          <w:color w:val="auto"/>
          <w:sz w:val="24"/>
          <w:szCs w:val="24"/>
        </w:rPr>
        <w:t xml:space="preserve"> </w:t>
      </w:r>
      <w:r>
        <w:rPr>
          <w:rFonts w:hint="eastAsia"/>
          <w:color w:val="auto"/>
          <w:sz w:val="24"/>
          <w:szCs w:val="24"/>
        </w:rPr>
        <w:t>试样应按照下列流程制作和安装：</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按植筋孔径对应的直径</w:t>
      </w:r>
      <w:r>
        <w:rPr>
          <w:rFonts w:hint="eastAsia"/>
          <w:i/>
          <w:iCs/>
          <w:color w:val="000000" w:themeColor="text1"/>
          <w:sz w:val="24"/>
          <w:szCs w:val="24"/>
          <w14:textFill>
            <w14:solidFill>
              <w14:schemeClr w14:val="tx1"/>
            </w14:solidFill>
          </w14:textFill>
        </w:rPr>
        <w:t>d</w:t>
      </w:r>
      <w:r>
        <w:rPr>
          <w:color w:val="000000" w:themeColor="text1"/>
          <w:sz w:val="24"/>
          <w:szCs w:val="24"/>
          <w:vertAlign w:val="subscript"/>
          <w14:textFill>
            <w14:solidFill>
              <w14:schemeClr w14:val="tx1"/>
            </w14:solidFill>
          </w14:textFill>
        </w:rPr>
        <w:t>m</w:t>
      </w:r>
      <w:r>
        <w:rPr>
          <w:rFonts w:hint="eastAsia"/>
          <w:color w:val="000000" w:themeColor="text1"/>
          <w:sz w:val="24"/>
          <w:szCs w:val="24"/>
          <w14:textFill>
            <w14:solidFill>
              <w14:schemeClr w14:val="tx1"/>
            </w14:solidFill>
          </w14:textFill>
        </w:rPr>
        <w:t>钻头在混凝土上钻孔，钻孔深度宜为钢筋直径的10倍；</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钻孔完成后，应按照生产商产品说明书的要求进行清孔；</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采取水平方向注胶的方式，按产品说明书要求向钻孔中注入胶粘剂并完成植筋安装；</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 按照生产商产品说明书的要求进行养护，养护时间应不小于生产商产品说明书要求的胶粘材料常温下最短固化时间。</w:t>
      </w:r>
    </w:p>
    <w:p>
      <w:pPr>
        <w:spacing w:after="0" w:line="360" w:lineRule="auto"/>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F.1.2 </w:t>
      </w:r>
      <w:r>
        <w:rPr>
          <w:rFonts w:hint="eastAsia"/>
          <w:bCs/>
          <w:color w:val="auto"/>
          <w:sz w:val="24"/>
          <w:szCs w:val="24"/>
        </w:rPr>
        <w:t>试验环境应为空气温度（23±2）℃，相对湿度（50±5）%。应</w:t>
      </w:r>
      <w:r>
        <w:rPr>
          <w:rFonts w:hint="eastAsia"/>
          <w:bCs/>
          <w:color w:val="000000" w:themeColor="text1"/>
          <w:sz w:val="24"/>
          <w:szCs w:val="24"/>
          <w14:textFill>
            <w14:solidFill>
              <w14:schemeClr w14:val="tx1"/>
            </w14:solidFill>
          </w14:textFill>
        </w:rPr>
        <w:t>对植筋试样进行约束拉拔试验，记录其极限承载力测试值。</w:t>
      </w:r>
    </w:p>
    <w:p>
      <w:pPr>
        <w:pStyle w:val="5"/>
      </w:pPr>
      <w:bookmarkStart w:id="102" w:name="_Toc11670"/>
      <w:bookmarkStart w:id="103" w:name="_Toc10430"/>
      <w:bookmarkStart w:id="104" w:name="_Toc2346"/>
      <w:r>
        <w:rPr>
          <w:rFonts w:hint="eastAsia"/>
        </w:rPr>
        <w:t>F.2 水平方向安装植筋性能评估</w:t>
      </w:r>
      <w:bookmarkEnd w:id="102"/>
      <w:bookmarkEnd w:id="103"/>
      <w:bookmarkEnd w:id="104"/>
    </w:p>
    <w:p>
      <w:pPr>
        <w:spacing w:after="0" w:line="360" w:lineRule="auto"/>
        <w:rPr>
          <w:bCs/>
          <w:color w:val="auto"/>
          <w:sz w:val="24"/>
          <w:szCs w:val="24"/>
        </w:rPr>
      </w:pPr>
      <w:r>
        <w:rPr>
          <w:rFonts w:hint="eastAsia"/>
          <w:b/>
          <w:bCs/>
          <w:color w:val="auto"/>
          <w:sz w:val="24"/>
          <w:szCs w:val="24"/>
        </w:rPr>
        <w:t>F.2.</w:t>
      </w:r>
      <w:r>
        <w:rPr>
          <w:b/>
          <w:bCs/>
          <w:color w:val="auto"/>
          <w:sz w:val="24"/>
          <w:szCs w:val="24"/>
        </w:rPr>
        <w:t>1</w:t>
      </w:r>
      <w:r>
        <w:rPr>
          <w:bCs/>
          <w:color w:val="auto"/>
          <w:sz w:val="24"/>
          <w:szCs w:val="24"/>
        </w:rPr>
        <w:t>水平方向安装</w:t>
      </w:r>
      <w:r>
        <w:rPr>
          <w:rFonts w:hint="eastAsia"/>
          <w:bCs/>
          <w:color w:val="auto"/>
          <w:sz w:val="24"/>
          <w:szCs w:val="24"/>
        </w:rPr>
        <w:t>试验粘结强度的计算可参见</w:t>
      </w:r>
      <w:r>
        <w:rPr>
          <w:rFonts w:hint="eastAsia" w:ascii="Cambria Math" w:hAnsi="Cambria Math"/>
          <w:color w:val="auto"/>
          <w:sz w:val="24"/>
          <w:szCs w:val="24"/>
        </w:rPr>
        <w:t>表F.2.1，</w:t>
      </w:r>
      <w:r>
        <w:rPr>
          <w:rFonts w:hint="eastAsia"/>
          <w:bCs/>
          <w:color w:val="auto"/>
          <w:sz w:val="24"/>
          <w:szCs w:val="24"/>
        </w:rPr>
        <w:t>归一化计算方法可参考附录B。</w:t>
      </w:r>
    </w:p>
    <w:p>
      <w:pPr>
        <w:spacing w:after="0" w:line="360" w:lineRule="auto"/>
        <w:jc w:val="center"/>
        <w:rPr>
          <w:rFonts w:hint="eastAsia"/>
          <w:b/>
          <w:bCs/>
          <w:color w:val="auto"/>
          <w:sz w:val="21"/>
          <w:szCs w:val="21"/>
        </w:rPr>
      </w:pPr>
      <w:r>
        <w:rPr>
          <w:rFonts w:hint="eastAsia"/>
          <w:b/>
          <w:bCs/>
          <w:color w:val="auto"/>
          <w:sz w:val="21"/>
          <w:szCs w:val="21"/>
        </w:rPr>
        <w:t>表F.2.1 水平方向安装试验粘结强度平均值计算</w:t>
      </w:r>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697"/>
        <w:gridCol w:w="1733"/>
        <w:gridCol w:w="1415"/>
        <w:gridCol w:w="1278"/>
        <w:gridCol w:w="128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15"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混凝土强度</w:t>
            </w:r>
          </w:p>
        </w:tc>
        <w:tc>
          <w:tcPr>
            <w:tcW w:w="697"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钢筋直径</w:t>
            </w:r>
            <w:r>
              <w:rPr>
                <w:rFonts w:hint="eastAsia"/>
                <w:i/>
                <w:iCs/>
                <w:color w:val="000000" w:themeColor="text1"/>
                <w:kern w:val="2"/>
                <w:sz w:val="21"/>
                <w:szCs w:val="21"/>
                <w14:textFill>
                  <w14:solidFill>
                    <w14:schemeClr w14:val="tx1"/>
                  </w14:solidFill>
                </w14:textFill>
              </w:rPr>
              <w:t>d</w:t>
            </w:r>
            <w:r>
              <w:rPr>
                <w:i/>
                <w:iCs/>
                <w:color w:val="000000" w:themeColor="text1"/>
                <w:kern w:val="2"/>
                <w:sz w:val="21"/>
                <w:szCs w:val="21"/>
                <w14:textFill>
                  <w14:solidFill>
                    <w14:schemeClr w14:val="tx1"/>
                  </w14:solidFill>
                </w14:textFill>
              </w:rPr>
              <w:t xml:space="preserve"> </w:t>
            </w:r>
            <w:r>
              <w:rPr>
                <w:color w:val="000000" w:themeColor="text1"/>
                <w:kern w:val="2"/>
                <w:sz w:val="21"/>
                <w:szCs w:val="21"/>
                <w14:textFill>
                  <w14:solidFill>
                    <w14:schemeClr w14:val="tx1"/>
                  </w14:solidFill>
                </w14:textFill>
              </w:rPr>
              <w:t>(</w:t>
            </w:r>
            <w:r>
              <w:rPr>
                <w:rFonts w:hint="eastAsia"/>
                <w:color w:val="000000" w:themeColor="text1"/>
                <w:kern w:val="2"/>
                <w:sz w:val="21"/>
                <w:szCs w:val="21"/>
                <w14:textFill>
                  <w14:solidFill>
                    <w14:schemeClr w14:val="tx1"/>
                  </w14:solidFill>
                </w14:textFill>
              </w:rPr>
              <w:t>mm</w:t>
            </w:r>
            <w:r>
              <w:rPr>
                <w:color w:val="000000" w:themeColor="text1"/>
                <w:kern w:val="2"/>
                <w:sz w:val="21"/>
                <w:szCs w:val="21"/>
                <w14:textFill>
                  <w14:solidFill>
                    <w14:schemeClr w14:val="tx1"/>
                  </w14:solidFill>
                </w14:textFill>
              </w:rPr>
              <w:t>)</w:t>
            </w:r>
          </w:p>
        </w:tc>
        <w:tc>
          <w:tcPr>
            <w:tcW w:w="1733"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极限荷载测试值</w:t>
            </w:r>
          </w:p>
        </w:tc>
        <w:tc>
          <w:tcPr>
            <w:tcW w:w="1415" w:type="dxa"/>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按混凝土强度归一化处理后的荷载值</w:t>
            </w:r>
          </w:p>
        </w:tc>
        <w:tc>
          <w:tcPr>
            <w:tcW w:w="1278"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左侧荷载值的平均值</w:t>
            </w:r>
          </w:p>
        </w:tc>
        <w:tc>
          <w:tcPr>
            <w:tcW w:w="1285" w:type="dxa"/>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按钢筋相对肋面积归一化处理后的粘结强度平均值</w:t>
            </w:r>
          </w:p>
        </w:tc>
        <w:tc>
          <w:tcPr>
            <w:tcW w:w="1173" w:type="dxa"/>
          </w:tcPr>
          <w:p>
            <w:pPr>
              <w:snapToGrid w:val="0"/>
              <w:spacing w:after="0"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垂直向上安装植筋试验的粘结强度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shd w:val="clear" w:color="auto" w:fill="auto"/>
            <w:vAlign w:val="center"/>
          </w:tcPr>
          <w:p>
            <w:pPr>
              <w:snapToGrid w:val="0"/>
              <w:spacing w:after="0" w:line="36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C</w:t>
            </w:r>
            <w:r>
              <w:rPr>
                <w:color w:val="000000" w:themeColor="text1"/>
                <w:kern w:val="2"/>
                <w:sz w:val="21"/>
                <w:szCs w:val="21"/>
                <w14:textFill>
                  <w14:solidFill>
                    <w14:schemeClr w14:val="tx1"/>
                  </w14:solidFill>
                </w14:textFill>
              </w:rPr>
              <w:t>25</w:t>
            </w:r>
          </w:p>
        </w:tc>
        <w:tc>
          <w:tcPr>
            <w:tcW w:w="697" w:type="dxa"/>
            <w:shd w:val="clear" w:color="auto" w:fill="auto"/>
            <w:vAlign w:val="center"/>
          </w:tcPr>
          <w:p>
            <w:pPr>
              <w:snapToGrid w:val="0"/>
              <w:spacing w:after="0" w:line="36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25</w:t>
            </w:r>
          </w:p>
        </w:tc>
        <w:tc>
          <w:tcPr>
            <w:tcW w:w="1733" w:type="dxa"/>
            <w:shd w:val="clear" w:color="auto" w:fill="auto"/>
            <w:vAlign w:val="center"/>
          </w:tcPr>
          <w:p>
            <w:pPr>
              <w:snapToGrid w:val="0"/>
              <w:spacing w:after="0" w:line="36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u,ℎor, test,d25−1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36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u,ℎor,test,d25−5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415" w:type="dxa"/>
            <w:vAlign w:val="center"/>
          </w:tcPr>
          <w:p>
            <w:pPr>
              <w:snapToGrid w:val="0"/>
              <w:spacing w:after="0" w:line="360" w:lineRule="auto"/>
              <w:rPr>
                <w:rFonts w:ascii="Cambria Math" w:hAnsi="Cambria Math"/>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u,ℎor,d25−1</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r>
                  <m:rPr>
                    <m:sty m:val="p"/>
                  </m:rPr>
                  <w:rPr>
                    <w:rFonts w:ascii="Cambria Math" w:hAnsi="Cambria Math"/>
                    <w:color w:val="000000" w:themeColor="text1"/>
                    <w:kern w:val="2"/>
                    <w:sz w:val="21"/>
                    <w:szCs w:val="21"/>
                    <w14:textFill>
                      <w14:solidFill>
                        <w14:schemeClr w14:val="tx1"/>
                      </w14:solidFill>
                    </w14:textFill>
                  </w:rPr>
                  <m:t xml:space="preserve"> </m:t>
                </m:r>
              </m:oMath>
            </m:oMathPara>
          </w:p>
          <w:p>
            <w:pPr>
              <w:snapToGrid w:val="0"/>
              <w:spacing w:after="0" w:line="360" w:lineRule="auto"/>
              <w:rPr>
                <w:color w:val="000000" w:themeColor="text1"/>
                <w:kern w:val="2"/>
                <w:sz w:val="21"/>
                <w:szCs w:val="21"/>
                <w14:textFill>
                  <w14:solidFill>
                    <w14:schemeClr w14:val="tx1"/>
                  </w14:solidFill>
                </w14:textFill>
              </w:rPr>
            </w:pPr>
            <w:r>
              <w:rPr>
                <w:rFonts w:hint="eastAsia"/>
                <w:kern w:val="2"/>
                <w:sz w:val="21"/>
                <w:szCs w:val="21"/>
              </w:rPr>
              <w:t>~</w:t>
            </w:r>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u,ℎor,d25−5</m:t>
                  </m:r>
                  <m:ctrlPr>
                    <w:rPr>
                      <w:rFonts w:ascii="Cambria Math" w:hAnsi="Cambria Math"/>
                      <w:color w:val="000000" w:themeColor="text1"/>
                      <w:kern w:val="2"/>
                      <w:sz w:val="21"/>
                      <w:szCs w:val="21"/>
                      <w14:textFill>
                        <w14:solidFill>
                          <w14:schemeClr w14:val="tx1"/>
                        </w14:solidFill>
                      </w14:textFill>
                    </w:rPr>
                  </m:ctrlPr>
                </m:sub>
              </m:sSub>
              <m:r>
                <m:rPr/>
                <w:rPr>
                  <w:rFonts w:ascii="Cambria Math" w:hAnsi="Cambria Math"/>
                  <w:color w:val="000000" w:themeColor="text1"/>
                  <w:kern w:val="2"/>
                  <w:sz w:val="21"/>
                  <w:szCs w:val="21"/>
                  <w14:textFill>
                    <w14:solidFill>
                      <w14:schemeClr w14:val="tx1"/>
                    </w14:solidFill>
                  </w14:textFill>
                </w:rPr>
                <m:t>;</m:t>
              </m:r>
            </m:oMath>
          </w:p>
        </w:tc>
        <w:tc>
          <w:tcPr>
            <w:tcW w:w="1278" w:type="dxa"/>
            <w:shd w:val="clear" w:color="auto" w:fill="auto"/>
            <w:vAlign w:val="center"/>
          </w:tcPr>
          <w:p>
            <w:pPr>
              <w:snapToGrid w:val="0"/>
              <w:spacing w:after="0" w:line="36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N</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u,ℎor,d25,m</m:t>
                    </m:r>
                    <m:ctrlPr>
                      <w:rPr>
                        <w:rFonts w:ascii="Cambria Math" w:hAnsi="Cambria Math"/>
                        <w:color w:val="000000" w:themeColor="text1"/>
                        <w:kern w:val="2"/>
                        <w:sz w:val="21"/>
                        <w:szCs w:val="21"/>
                        <w14:textFill>
                          <w14:solidFill>
                            <w14:schemeClr w14:val="tx1"/>
                          </w14:solidFill>
                        </w14:textFill>
                      </w:rPr>
                    </m:ctrlPr>
                  </m:sub>
                </m:sSub>
                <m:r>
                  <m:rPr>
                    <m:sty m:val="p"/>
                  </m:rPr>
                  <w:rPr>
                    <w:rFonts w:ascii="Cambria Math" w:hAnsi="Cambria Math"/>
                    <w:color w:val="000000" w:themeColor="text1"/>
                    <w:kern w:val="2"/>
                    <w:sz w:val="21"/>
                    <w:szCs w:val="21"/>
                    <w14:textFill>
                      <w14:solidFill>
                        <w14:schemeClr w14:val="tx1"/>
                      </w14:solidFill>
                    </w14:textFill>
                  </w:rPr>
                  <m:t xml:space="preserve"> </m:t>
                </m:r>
              </m:oMath>
            </m:oMathPara>
          </w:p>
        </w:tc>
        <w:tc>
          <w:tcPr>
            <w:tcW w:w="1285" w:type="dxa"/>
            <w:vAlign w:val="center"/>
          </w:tcPr>
          <w:p>
            <w:pPr>
              <w:snapToGrid w:val="0"/>
              <w:spacing w:after="0" w:line="36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bm,ℎor, d25</m:t>
                    </m:r>
                    <m:ctrlPr>
                      <w:rPr>
                        <w:rFonts w:ascii="Cambria Math" w:hAnsi="Cambria Math"/>
                        <w:color w:val="000000" w:themeColor="text1"/>
                        <w:kern w:val="2"/>
                        <w:sz w:val="21"/>
                        <w:szCs w:val="21"/>
                        <w14:textFill>
                          <w14:solidFill>
                            <w14:schemeClr w14:val="tx1"/>
                          </w14:solidFill>
                        </w14:textFill>
                      </w:rPr>
                    </m:ctrlPr>
                  </m:sub>
                </m:sSub>
              </m:oMath>
            </m:oMathPara>
          </w:p>
        </w:tc>
        <w:tc>
          <w:tcPr>
            <w:tcW w:w="1173" w:type="dxa"/>
            <w:vAlign w:val="center"/>
          </w:tcPr>
          <w:p>
            <w:pPr>
              <w:snapToGrid w:val="0"/>
              <w:spacing w:after="0" w:line="36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bm,ℎor=</m:t>
                    </m:r>
                    <m:ctrlPr>
                      <w:rPr>
                        <w:rFonts w:ascii="Cambria Math" w:hAnsi="Cambria Math"/>
                        <w:color w:val="000000" w:themeColor="text1"/>
                        <w:kern w:val="2"/>
                        <w:sz w:val="21"/>
                        <w:szCs w:val="21"/>
                        <w14:textFill>
                          <w14:solidFill>
                            <w14:schemeClr w14:val="tx1"/>
                          </w14:solidFill>
                        </w14:textFill>
                      </w:rPr>
                    </m:ctrlPr>
                  </m:sub>
                </m:sSub>
              </m:oMath>
            </m:oMathPara>
          </w:p>
          <w:p>
            <w:pPr>
              <w:snapToGrid w:val="0"/>
              <w:spacing w:after="0" w:line="360" w:lineRule="auto"/>
              <w:rPr>
                <w:color w:val="000000" w:themeColor="text1"/>
                <w:kern w:val="2"/>
                <w:sz w:val="21"/>
                <w:szCs w:val="21"/>
                <w14:textFill>
                  <w14:solidFill>
                    <w14:schemeClr w14:val="tx1"/>
                  </w14:solidFill>
                </w14:textFill>
              </w:rPr>
            </w:pPr>
            <m:oMathPara>
              <m:oMath>
                <m:sSub>
                  <m:sSubPr>
                    <m:ctrlPr>
                      <w:rPr>
                        <w:rFonts w:ascii="Cambria Math" w:hAnsi="Cambria Math"/>
                        <w:color w:val="000000" w:themeColor="text1"/>
                        <w:kern w:val="2"/>
                        <w:sz w:val="21"/>
                        <w:szCs w:val="21"/>
                        <w14:textFill>
                          <w14:solidFill>
                            <w14:schemeClr w14:val="tx1"/>
                          </w14:solidFill>
                        </w14:textFill>
                      </w:rPr>
                    </m:ctrlPr>
                  </m:sSubPr>
                  <m:e>
                    <m:r>
                      <m:rPr/>
                      <w:rPr>
                        <w:rFonts w:ascii="Cambria Math" w:hAnsi="Cambria Math"/>
                        <w:color w:val="000000" w:themeColor="text1"/>
                        <w:kern w:val="2"/>
                        <w:sz w:val="21"/>
                        <w:szCs w:val="21"/>
                        <w14:textFill>
                          <w14:solidFill>
                            <w14:schemeClr w14:val="tx1"/>
                          </w14:solidFill>
                        </w14:textFill>
                      </w:rPr>
                      <m:t>f</m:t>
                    </m:r>
                    <m:ctrlPr>
                      <w:rPr>
                        <w:rFonts w:ascii="Cambria Math" w:hAnsi="Cambria Math"/>
                        <w:color w:val="000000" w:themeColor="text1"/>
                        <w:kern w:val="2"/>
                        <w:sz w:val="21"/>
                        <w:szCs w:val="21"/>
                        <w14:textFill>
                          <w14:solidFill>
                            <w14:schemeClr w14:val="tx1"/>
                          </w14:solidFill>
                        </w14:textFill>
                      </w:rPr>
                    </m:ctrlPr>
                  </m:e>
                  <m:sub>
                    <m:r>
                      <m:rPr/>
                      <w:rPr>
                        <w:rFonts w:ascii="Cambria Math" w:hAnsi="Cambria Math"/>
                        <w:color w:val="000000" w:themeColor="text1"/>
                        <w:kern w:val="2"/>
                        <w:sz w:val="21"/>
                        <w:szCs w:val="21"/>
                        <w14:textFill>
                          <w14:solidFill>
                            <w14:schemeClr w14:val="tx1"/>
                          </w14:solidFill>
                        </w14:textFill>
                      </w:rPr>
                      <m:t>bm,ℎor, d25</m:t>
                    </m:r>
                    <m:ctrlPr>
                      <w:rPr>
                        <w:rFonts w:ascii="Cambria Math" w:hAnsi="Cambria Math"/>
                        <w:color w:val="000000" w:themeColor="text1"/>
                        <w:kern w:val="2"/>
                        <w:sz w:val="21"/>
                        <w:szCs w:val="21"/>
                        <w14:textFill>
                          <w14:solidFill>
                            <w14:schemeClr w14:val="tx1"/>
                          </w14:solidFill>
                        </w14:textFill>
                      </w:rPr>
                    </m:ctrlPr>
                  </m:sub>
                </m:sSub>
              </m:oMath>
            </m:oMathPara>
          </w:p>
        </w:tc>
      </w:tr>
    </w:tbl>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F.2.</w:t>
      </w:r>
      <w:r>
        <w:rPr>
          <w:b/>
          <w:bCs/>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应根据水平方向试验</w:t>
      </w:r>
      <w:r>
        <w:rPr>
          <w:rFonts w:hint="eastAsia"/>
          <w:bCs/>
          <w:color w:val="000000" w:themeColor="text1"/>
          <w:sz w:val="24"/>
          <w:szCs w:val="24"/>
          <w14:textFill>
            <w14:solidFill>
              <w14:schemeClr w14:val="tx1"/>
            </w14:solidFill>
          </w14:textFill>
        </w:rPr>
        <w:t>极限承载力测试值</w:t>
      </w:r>
      <w:r>
        <w:rPr>
          <w:rFonts w:hint="eastAsia"/>
          <w:bCs/>
          <w:i/>
          <w:iCs/>
          <w:color w:val="000000" w:themeColor="text1"/>
          <w:sz w:val="24"/>
          <w:szCs w:val="24"/>
          <w14:textFill>
            <w14:solidFill>
              <w14:schemeClr w14:val="tx1"/>
            </w14:solidFill>
          </w14:textFill>
        </w:rPr>
        <w:t>N</w:t>
      </w:r>
      <w:r>
        <w:rPr>
          <w:bCs/>
          <w:color w:val="000000" w:themeColor="text1"/>
          <w:sz w:val="24"/>
          <w:szCs w:val="24"/>
          <w:vertAlign w:val="subscript"/>
          <w14:textFill>
            <w14:solidFill>
              <w14:schemeClr w14:val="tx1"/>
            </w14:solidFill>
          </w14:textFill>
        </w:rPr>
        <w:t>u,hor,test,</w:t>
      </w:r>
      <w:r>
        <w:rPr>
          <w:rFonts w:hint="eastAsia"/>
          <w:bCs/>
          <w:color w:val="000000" w:themeColor="text1"/>
          <w:sz w:val="24"/>
          <w:szCs w:val="24"/>
          <w:vertAlign w:val="subscript"/>
          <w14:textFill>
            <w14:solidFill>
              <w14:schemeClr w14:val="tx1"/>
            </w14:solidFill>
          </w14:textFill>
        </w:rPr>
        <w:t>d25</w:t>
      </w:r>
      <w:r>
        <w:rPr>
          <w:bCs/>
          <w:color w:val="000000" w:themeColor="text1"/>
          <w:sz w:val="24"/>
          <w:szCs w:val="24"/>
          <w:vertAlign w:val="subscript"/>
          <w14:textFill>
            <w14:solidFill>
              <w14:schemeClr w14:val="tx1"/>
            </w14:solidFill>
          </w14:textFill>
        </w:rPr>
        <w:t>-k</w:t>
      </w:r>
      <w:r>
        <w:rPr>
          <w:rFonts w:hint="eastAsia"/>
          <w:bCs/>
          <w:color w:val="000000" w:themeColor="text1"/>
          <w:sz w:val="24"/>
          <w:szCs w:val="24"/>
          <w14:textFill>
            <w14:solidFill>
              <w14:schemeClr w14:val="tx1"/>
            </w14:solidFill>
          </w14:textFill>
        </w:rPr>
        <w:t>(</w:t>
      </w:r>
      <w:r>
        <w:rPr>
          <w:rFonts w:hint="eastAsia"/>
          <w:bCs/>
          <w:i/>
          <w:iCs/>
          <w:color w:val="000000" w:themeColor="text1"/>
          <w:sz w:val="24"/>
          <w:szCs w:val="24"/>
          <w14:textFill>
            <w14:solidFill>
              <w14:schemeClr w14:val="tx1"/>
            </w14:solidFill>
          </w14:textFill>
        </w:rPr>
        <w:t>k</w:t>
      </w:r>
      <w:r>
        <w:rPr>
          <w:rFonts w:hint="eastAsia"/>
          <w:bCs/>
          <w:color w:val="000000" w:themeColor="text1"/>
          <w:sz w:val="24"/>
          <w:szCs w:val="24"/>
          <w14:textFill>
            <w14:solidFill>
              <w14:schemeClr w14:val="tx1"/>
            </w14:solidFill>
          </w14:textFill>
        </w:rPr>
        <w:t>=1、2、3、4、5)，求得其变异系数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ѵ</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ℎor</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p>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F.2.</w:t>
      </w:r>
      <w:r>
        <w:rPr>
          <w:b/>
          <w:bCs/>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变异系数对应的折减系数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cv,ℎor</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的计算应符合下列规定</w:t>
      </w:r>
      <w:r>
        <w:rPr>
          <w:rFonts w:hint="eastAsia"/>
          <w:color w:val="000000" w:themeColor="text1"/>
          <w:sz w:val="24"/>
          <w:szCs w:val="24"/>
          <w14:textFill>
            <w14:solidFill>
              <w14:schemeClr w14:val="tx1"/>
            </w14:solidFill>
          </w14:textFill>
        </w:rPr>
        <w:t>。</w:t>
      </w:r>
    </w:p>
    <w:p>
      <w:pPr>
        <w:spacing w:after="0"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 xml:space="preserve">1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cv,ℎor</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宜</w:t>
      </w:r>
      <w:r>
        <w:rPr>
          <w:rFonts w:hint="eastAsia"/>
          <w:color w:val="000000" w:themeColor="text1"/>
          <w:sz w:val="24"/>
          <w:szCs w:val="24"/>
          <w14:textFill>
            <w14:solidFill>
              <w14:schemeClr w14:val="tx1"/>
            </w14:solidFill>
          </w14:textFill>
        </w:rPr>
        <w:t>取为1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且不大于</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 对应折减系数应按下式计算。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c</m:t>
            </m:r>
            <m:r>
              <m:rPr/>
              <w:rPr>
                <w:rFonts w:ascii="Cambria Math" w:hAnsi="Cambria Math"/>
                <w:color w:val="000000" w:themeColor="text1"/>
                <w:sz w:val="24"/>
                <w:szCs w:val="24"/>
                <w14:textFill>
                  <w14:solidFill>
                    <w14:schemeClr w14:val="tx1"/>
                  </w14:solidFill>
                </w14:textFill>
              </w:rPr>
              <m:t>v,ℎor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v</m:t>
                    </m:r>
                    <m:ctrlPr>
                      <w:rPr>
                        <w:rFonts w:ascii="Cambria Math" w:hAnsi="Cambria Math"/>
                        <w:i/>
                        <w:color w:val="000000" w:themeColor="text1"/>
                        <w:sz w:val="24"/>
                        <w:szCs w:val="24"/>
                        <w14:textFill>
                          <w14:solidFill>
                            <w14:schemeClr w14:val="tx1"/>
                          </w14:solidFill>
                        </w14:textFill>
                      </w:rPr>
                    </m:ctrlPr>
                  </m:e>
                  <m:sub>
                    <m:r>
                      <m:rPr/>
                      <w:rPr>
                        <w:color w:val="000000" w:themeColor="text1"/>
                        <w:sz w:val="24"/>
                        <w:szCs w:val="24"/>
                        <w14:textFill>
                          <w14:solidFill>
                            <w14:schemeClr w14:val="tx1"/>
                          </w14:solidFill>
                        </w14:textFill>
                      </w:rPr>
                      <m:t>ℎ</m:t>
                    </m:r>
                    <m:r>
                      <m:rPr/>
                      <w:rPr>
                        <w:rFonts w:hint="eastAsia" w:ascii="Cambria Math" w:hAnsi="Cambria Math"/>
                        <w:color w:val="000000" w:themeColor="text1"/>
                        <w:sz w:val="24"/>
                        <w:szCs w:val="24"/>
                        <w14:textFill>
                          <w14:solidFill>
                            <w14:schemeClr w14:val="tx1"/>
                          </w14:solidFill>
                        </w14:textFill>
                      </w:rPr>
                      <m:t>or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F.2.</w:t>
      </w:r>
      <w:r>
        <w:rPr>
          <w:color w:val="000000" w:themeColor="text1"/>
          <w:sz w:val="24"/>
          <w:szCs w:val="24"/>
          <w14:textFill>
            <w14:solidFill>
              <w14:schemeClr w14:val="tx1"/>
            </w14:solidFill>
          </w14:textFill>
        </w:rPr>
        <w:t>3)</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
        <w:gridCol w:w="864"/>
        <w:gridCol w:w="456"/>
        <w:gridCol w:w="6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 w:type="dxa"/>
          </w:tcPr>
          <w:p>
            <w:pPr>
              <w:spacing w:after="0" w:line="360" w:lineRule="auto"/>
              <w:rPr>
                <w:iCs/>
                <w:color w:val="auto"/>
                <w:sz w:val="24"/>
                <w:szCs w:val="24"/>
              </w:rPr>
            </w:pPr>
            <w:r>
              <w:rPr>
                <w:rFonts w:hint="eastAsia"/>
                <w:iCs/>
                <w:color w:val="auto"/>
                <w:sz w:val="24"/>
                <w:szCs w:val="24"/>
              </w:rPr>
              <w:t>式中:</w:t>
            </w:r>
          </w:p>
        </w:tc>
        <w:tc>
          <w:tcPr>
            <w:tcW w:w="864" w:type="dxa"/>
          </w:tcPr>
          <w:p>
            <w:pPr>
              <w:spacing w:after="0" w:line="360" w:lineRule="auto"/>
              <w:jc w:val="center"/>
              <w:rPr>
                <w:iCs/>
                <w:color w:val="auto"/>
                <w:sz w:val="24"/>
                <w:szCs w:val="24"/>
              </w:rPr>
            </w:pPr>
            <m:oMathPara>
              <m:oMathParaPr>
                <m:jc m:val="right"/>
              </m:oMathParaP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m:t>
                    </m:r>
                    <m:r>
                      <m:rPr/>
                      <w:rPr>
                        <w:color w:val="000000" w:themeColor="text1"/>
                        <w:sz w:val="24"/>
                        <w:szCs w:val="24"/>
                        <w14:textFill>
                          <w14:solidFill>
                            <w14:schemeClr w14:val="tx1"/>
                          </w14:solidFill>
                        </w14:textFill>
                      </w:rPr>
                      <m:t>ℎ</m:t>
                    </m:r>
                    <m:r>
                      <m:rPr/>
                      <w:rPr>
                        <w:rFonts w:hint="eastAsia" w:ascii="Cambria Math" w:hAnsi="Cambria Math"/>
                        <w:color w:val="000000" w:themeColor="text1"/>
                        <w:sz w:val="24"/>
                        <w:szCs w:val="24"/>
                        <w14:textFill>
                          <w14:solidFill>
                            <w14:schemeClr w14:val="tx1"/>
                          </w14:solidFill>
                        </w14:textFill>
                      </w:rPr>
                      <m:t>or</m:t>
                    </m:r>
                    <m:ctrlPr>
                      <w:rPr>
                        <w:rFonts w:ascii="Cambria Math" w:hAnsi="Cambria Math"/>
                        <w:bCs/>
                        <w:i/>
                        <w:color w:val="000000" w:themeColor="text1"/>
                        <w:sz w:val="24"/>
                        <w:szCs w:val="24"/>
                        <w14:textFill>
                          <w14:solidFill>
                            <w14:schemeClr w14:val="tx1"/>
                          </w14:solidFill>
                        </w14:textFill>
                      </w:rPr>
                    </m:ctrlPr>
                  </m:sub>
                </m:sSub>
              </m:oMath>
            </m:oMathPara>
          </w:p>
        </w:tc>
        <w:tc>
          <w:tcPr>
            <w:tcW w:w="450" w:type="dxa"/>
          </w:tcPr>
          <w:p>
            <w:pPr>
              <w:spacing w:after="0" w:line="360" w:lineRule="auto"/>
              <w:rPr>
                <w:iCs/>
                <w:color w:val="auto"/>
                <w:sz w:val="24"/>
                <w:szCs w:val="24"/>
              </w:rPr>
            </w:pPr>
            <w:r>
              <w:rPr>
                <w:rFonts w:hint="eastAsia"/>
                <w:iCs/>
                <w:color w:val="auto"/>
                <w:sz w:val="24"/>
                <w:szCs w:val="24"/>
              </w:rPr>
              <w:t>—</w:t>
            </w:r>
          </w:p>
        </w:tc>
        <w:tc>
          <w:tcPr>
            <w:tcW w:w="6141" w:type="dxa"/>
          </w:tcPr>
          <w:p>
            <w:pPr>
              <w:spacing w:after="0" w:line="360" w:lineRule="auto"/>
              <w:rPr>
                <w:iCs/>
                <w:color w:val="auto"/>
                <w:sz w:val="24"/>
                <w:szCs w:val="24"/>
              </w:rPr>
            </w:pPr>
            <w:r>
              <w:rPr>
                <w:rFonts w:hint="eastAsia"/>
                <w:iCs/>
                <w:color w:val="000000" w:themeColor="text1"/>
                <w:sz w:val="24"/>
                <w:szCs w:val="24"/>
                <w14:textFill>
                  <w14:solidFill>
                    <w14:schemeClr w14:val="tx1"/>
                  </w14:solidFill>
                </w14:textFill>
              </w:rPr>
              <w:t>水平方向</w:t>
            </w:r>
            <w:r>
              <w:rPr>
                <w:rFonts w:hint="eastAsia"/>
                <w:color w:val="000000" w:themeColor="text1"/>
                <w:sz w:val="24"/>
                <w:szCs w:val="24"/>
                <w14:textFill>
                  <w14:solidFill>
                    <w14:schemeClr w14:val="tx1"/>
                  </w14:solidFill>
                </w14:textFill>
              </w:rPr>
              <w:t>安装试验</w:t>
            </w:r>
            <w:r>
              <w:rPr>
                <w:rFonts w:hint="eastAsia"/>
                <w:iCs/>
                <w:color w:val="000000" w:themeColor="text1"/>
                <w:sz w:val="24"/>
                <w:szCs w:val="24"/>
                <w14:textFill>
                  <w14:solidFill>
                    <w14:schemeClr w14:val="tx1"/>
                  </w14:solidFill>
                </w14:textFill>
              </w:rPr>
              <w:t>的承载力</w:t>
            </w:r>
            <w:r>
              <w:rPr>
                <w:rFonts w:hint="eastAsia"/>
                <w:iCs/>
                <w:color w:val="auto"/>
                <w:sz w:val="24"/>
                <w:szCs w:val="24"/>
              </w:rPr>
              <w:t>变异系数对应的折减系数。</w:t>
            </w:r>
          </w:p>
        </w:tc>
      </w:tr>
    </w:tbl>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F.2.</w:t>
      </w:r>
      <w:r>
        <w:rPr>
          <w:b/>
          <w:bCs/>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水平方向安装试验</w:t>
      </w:r>
      <w:r>
        <w:rPr>
          <w:rFonts w:hint="eastAsia"/>
          <w:bCs/>
          <w:color w:val="000000" w:themeColor="text1"/>
          <w:sz w:val="24"/>
          <w:szCs w:val="24"/>
          <w14:textFill>
            <w14:solidFill>
              <w14:schemeClr w14:val="tx1"/>
            </w14:solidFill>
          </w14:textFill>
        </w:rPr>
        <w:t>承载力的折减系数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ℎor</m:t>
            </m:r>
            <m:ctrlPr>
              <w:rPr>
                <w:rFonts w:ascii="Cambria Math" w:hAnsi="Cambria Math"/>
                <w:i/>
                <w:color w:val="000000" w:themeColor="text1"/>
                <w:sz w:val="24"/>
                <w:szCs w:val="24"/>
                <w14:textFill>
                  <w14:solidFill>
                    <w14:schemeClr w14:val="tx1"/>
                  </w14:solidFill>
                </w14:textFill>
              </w:rPr>
            </m:ctrlPr>
          </m:sub>
        </m:sSub>
      </m:oMath>
      <w:r>
        <w:rPr>
          <w:rFonts w:hint="eastAsia"/>
          <w:bCs/>
          <w:color w:val="000000" w:themeColor="text1"/>
          <w:sz w:val="24"/>
          <w:szCs w:val="24"/>
          <w14:textFill>
            <w14:solidFill>
              <w14:schemeClr w14:val="tx1"/>
            </w14:solidFill>
          </w14:textFill>
        </w:rPr>
        <w:t>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ℎor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bm,ℎor</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bm,r,c25</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0.9</m:t>
            </m:r>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F.2.</w:t>
      </w:r>
      <w:r>
        <w:rPr>
          <w:color w:val="000000" w:themeColor="text1"/>
          <w:sz w:val="24"/>
          <w:szCs w:val="24"/>
          <w14:textFill>
            <w14:solidFill>
              <w14:schemeClr w14:val="tx1"/>
            </w14:solidFill>
          </w14:textFill>
        </w:rPr>
        <w:t>4)</w:t>
      </w:r>
    </w:p>
    <w:tbl>
      <w:tblPr>
        <w:tblStyle w:val="28"/>
        <w:tblW w:w="82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5"/>
        <w:gridCol w:w="1138"/>
        <w:gridCol w:w="512"/>
        <w:gridCol w:w="56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925" w:type="dxa"/>
          </w:tcPr>
          <w:p>
            <w:pPr>
              <w:spacing w:after="0" w:line="360" w:lineRule="auto"/>
              <w:rPr>
                <w:i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iCs/>
                <w:color w:val="000000" w:themeColor="text1"/>
                <w:sz w:val="24"/>
                <w:szCs w:val="24"/>
                <w14:textFill>
                  <w14:solidFill>
                    <w14:schemeClr w14:val="tx1"/>
                  </w14:solidFill>
                </w14:textFill>
              </w:rPr>
              <w:t>式中:</w:t>
            </w:r>
          </w:p>
        </w:tc>
        <w:tc>
          <w:tcPr>
            <w:tcW w:w="1138" w:type="dxa"/>
          </w:tcPr>
          <w:p>
            <w:pPr>
              <w:spacing w:after="0" w:line="360" w:lineRule="auto"/>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Cambria Math" w:eastAsia="MS Gothic" w:cs="MS Gothic"/>
                        <w:color w:val="000000" w:themeColor="text1"/>
                        <w:sz w:val="24"/>
                        <w:szCs w:val="24"/>
                        <w14:textFill>
                          <w14:solidFill>
                            <w14:schemeClr w14:val="tx1"/>
                          </w14:solidFill>
                        </w14:textFill>
                      </w:rPr>
                      <m:t>hor</m:t>
                    </m:r>
                    <m:ctrlPr>
                      <w:rPr>
                        <w:rFonts w:ascii="Cambria Math" w:hAnsi="Cambria Math"/>
                        <w:i/>
                        <w:color w:val="000000" w:themeColor="text1"/>
                        <w:sz w:val="24"/>
                        <w:szCs w:val="24"/>
                        <w14:textFill>
                          <w14:solidFill>
                            <w14:schemeClr w14:val="tx1"/>
                          </w14:solidFill>
                        </w14:textFill>
                      </w:rPr>
                    </m:ctrlPr>
                  </m:sub>
                </m:sSub>
              </m:oMath>
            </m:oMathPara>
          </w:p>
        </w:tc>
        <w:tc>
          <w:tcPr>
            <w:tcW w:w="512" w:type="dxa"/>
          </w:tcPr>
          <w:p>
            <w:pPr>
              <w:spacing w:after="0" w:line="360" w:lineRule="auto"/>
              <w:rPr>
                <w:iCs/>
                <w:sz w:val="24"/>
                <w:szCs w:val="24"/>
              </w:rPr>
            </w:pPr>
            <w:r>
              <w:rPr>
                <w:rFonts w:hint="eastAsia"/>
                <w:iCs/>
                <w:color w:val="auto"/>
                <w:sz w:val="24"/>
                <w:szCs w:val="24"/>
              </w:rPr>
              <w:t>—</w:t>
            </w:r>
          </w:p>
        </w:tc>
        <w:tc>
          <w:tcPr>
            <w:tcW w:w="5631"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水平方向安装条件试验的承载力折减系数；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25" w:type="dxa"/>
          </w:tcPr>
          <w:p>
            <w:pPr>
              <w:spacing w:after="0" w:line="360" w:lineRule="auto"/>
              <w:rPr>
                <w:iCs/>
                <w:color w:val="000000" w:themeColor="text1"/>
                <w:sz w:val="24"/>
                <w:szCs w:val="24"/>
                <w14:textFill>
                  <w14:solidFill>
                    <w14:schemeClr w14:val="tx1"/>
                  </w14:solidFill>
                </w14:textFill>
              </w:rPr>
            </w:pPr>
          </w:p>
        </w:tc>
        <w:tc>
          <w:tcPr>
            <w:tcW w:w="1138" w:type="dxa"/>
          </w:tcPr>
          <w:p>
            <w:pPr>
              <w:spacing w:after="0" w:line="360" w:lineRule="auto"/>
              <w:rPr>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bm,ℎor</m:t>
                    </m:r>
                    <m:ctrlPr>
                      <w:rPr>
                        <w:rFonts w:ascii="Cambria Math" w:hAnsi="Cambria Math"/>
                        <w:i/>
                        <w:color w:val="000000" w:themeColor="text1"/>
                        <w:sz w:val="24"/>
                        <w:szCs w:val="24"/>
                        <w14:textFill>
                          <w14:solidFill>
                            <w14:schemeClr w14:val="tx1"/>
                          </w14:solidFill>
                        </w14:textFill>
                      </w:rPr>
                    </m:ctrlPr>
                  </m:sub>
                </m:sSub>
              </m:oMath>
            </m:oMathPara>
          </w:p>
        </w:tc>
        <w:tc>
          <w:tcPr>
            <w:tcW w:w="512" w:type="dxa"/>
          </w:tcPr>
          <w:p>
            <w:pPr>
              <w:spacing w:after="0" w:line="360" w:lineRule="auto"/>
              <w:rPr>
                <w:iCs/>
                <w:sz w:val="24"/>
                <w:szCs w:val="24"/>
              </w:rPr>
            </w:pPr>
            <w:r>
              <w:rPr>
                <w:rFonts w:hint="eastAsia"/>
                <w:iCs/>
                <w:color w:val="auto"/>
                <w:sz w:val="24"/>
                <w:szCs w:val="24"/>
              </w:rPr>
              <w:t>—</w:t>
            </w:r>
          </w:p>
        </w:tc>
        <w:tc>
          <w:tcPr>
            <w:tcW w:w="5631" w:type="dxa"/>
          </w:tcPr>
          <w:p>
            <w:pPr>
              <w:spacing w:after="0"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水平方向安装条件试验的粘结强度（</w:t>
            </w:r>
            <w:r>
              <w:rPr>
                <w:rFonts w:hint="eastAsia"/>
                <w:iCs/>
                <w:color w:val="000000" w:themeColor="text1"/>
                <w:sz w:val="24"/>
                <w:szCs w:val="24"/>
                <w14:textFill>
                  <w14:solidFill>
                    <w14:schemeClr w14:val="tx1"/>
                  </w14:solidFill>
                </w14:textFill>
              </w:rPr>
              <w:t>N</w:t>
            </w:r>
            <w:r>
              <w:rPr>
                <w:iCs/>
                <w:color w:val="000000" w:themeColor="text1"/>
                <w:sz w:val="24"/>
                <w:szCs w:val="24"/>
                <w14:textFill>
                  <w14:solidFill>
                    <w14:schemeClr w14:val="tx1"/>
                  </w14:solidFill>
                </w14:textFill>
              </w:rPr>
              <w:t>/mm</w:t>
            </w:r>
            <w:r>
              <w:rPr>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bl>
    <w:p>
      <w:pPr>
        <w:pStyle w:val="2"/>
        <w:rPr>
          <w:rFonts w:eastAsiaTheme="majorEastAsia" w:cstheme="majorBidi"/>
          <w:color w:val="000000" w:themeColor="text1"/>
          <w:sz w:val="30"/>
          <w:szCs w:val="32"/>
          <w14:textFill>
            <w14:solidFill>
              <w14:schemeClr w14:val="tx1"/>
            </w14:solidFill>
          </w14:textFill>
        </w:rPr>
      </w:pPr>
      <w:r>
        <w:br w:type="page"/>
      </w:r>
    </w:p>
    <w:p>
      <w:pPr>
        <w:pStyle w:val="4"/>
        <w:rPr>
          <w:rFonts w:ascii="Times New Roman" w:hAnsi="Times New Roman"/>
        </w:rPr>
      </w:pPr>
      <w:bookmarkStart w:id="105" w:name="_Toc27435"/>
      <w:r>
        <w:rPr>
          <w:rFonts w:hint="eastAsia" w:ascii="Times New Roman" w:hAnsi="Times New Roman"/>
        </w:rPr>
        <w:t>附录G常温长期荷载性能试验方法与评估</w:t>
      </w:r>
      <w:bookmarkEnd w:id="105"/>
    </w:p>
    <w:p>
      <w:pPr>
        <w:pStyle w:val="5"/>
      </w:pPr>
      <w:bookmarkStart w:id="106" w:name="_Toc16909"/>
      <w:bookmarkStart w:id="107" w:name="_Toc21505"/>
      <w:bookmarkStart w:id="108" w:name="_Toc10617"/>
      <w:r>
        <w:rPr>
          <w:rFonts w:hint="eastAsia"/>
        </w:rPr>
        <w:t>G.1常温长期荷载试验流程</w:t>
      </w:r>
      <w:bookmarkEnd w:id="106"/>
      <w:bookmarkEnd w:id="107"/>
      <w:bookmarkEnd w:id="108"/>
    </w:p>
    <w:p>
      <w:pPr>
        <w:spacing w:line="360" w:lineRule="auto"/>
        <w:rPr>
          <w:color w:val="auto"/>
          <w:sz w:val="24"/>
          <w:szCs w:val="24"/>
        </w:rPr>
      </w:pPr>
      <w:r>
        <w:rPr>
          <w:rFonts w:hint="eastAsia"/>
          <w:b/>
          <w:bCs/>
          <w:color w:val="auto"/>
          <w:sz w:val="24"/>
          <w:szCs w:val="24"/>
        </w:rPr>
        <w:t xml:space="preserve">G.1.1 </w:t>
      </w:r>
      <w:r>
        <w:rPr>
          <w:rFonts w:hint="eastAsia"/>
          <w:color w:val="auto"/>
          <w:sz w:val="24"/>
          <w:szCs w:val="24"/>
        </w:rPr>
        <w:t>试样应</w:t>
      </w:r>
      <w:r>
        <w:rPr>
          <w:color w:val="auto"/>
          <w:sz w:val="24"/>
          <w:szCs w:val="24"/>
        </w:rPr>
        <w:t>与基准试验同时</w:t>
      </w:r>
      <w:r>
        <w:rPr>
          <w:rFonts w:hint="eastAsia"/>
          <w:color w:val="auto"/>
          <w:sz w:val="24"/>
          <w:szCs w:val="24"/>
        </w:rPr>
        <w:t>进行植筋安装，</w:t>
      </w:r>
      <w:r>
        <w:rPr>
          <w:rFonts w:ascii="宋体" w:hAnsi="宋体"/>
          <w:color w:val="auto"/>
          <w:sz w:val="24"/>
          <w:szCs w:val="24"/>
        </w:rPr>
        <w:t>养护</w:t>
      </w:r>
      <w:r>
        <w:rPr>
          <w:rFonts w:hint="eastAsia" w:ascii="宋体" w:hAnsi="宋体"/>
          <w:color w:val="auto"/>
          <w:sz w:val="24"/>
          <w:szCs w:val="24"/>
        </w:rPr>
        <w:t>时间不小于</w:t>
      </w:r>
      <w:r>
        <w:rPr>
          <w:rFonts w:hint="eastAsia"/>
          <w:color w:val="auto"/>
          <w:sz w:val="24"/>
          <w:szCs w:val="24"/>
        </w:rPr>
        <w:t>植筋系统生产商</w:t>
      </w:r>
      <w:r>
        <w:rPr>
          <w:rFonts w:hint="eastAsia" w:ascii="宋体" w:hAnsi="宋体"/>
          <w:color w:val="auto"/>
          <w:sz w:val="24"/>
          <w:szCs w:val="24"/>
        </w:rPr>
        <w:t>要求的胶粘材料常温下最短固化时间</w:t>
      </w:r>
      <w:r>
        <w:rPr>
          <w:rFonts w:hint="eastAsia"/>
          <w:color w:val="auto"/>
          <w:sz w:val="24"/>
          <w:szCs w:val="24"/>
        </w:rPr>
        <w:t>。</w:t>
      </w:r>
    </w:p>
    <w:p>
      <w:pPr>
        <w:spacing w:after="0" w:line="360" w:lineRule="auto"/>
        <w:rPr>
          <w:color w:val="auto"/>
          <w:sz w:val="24"/>
          <w:szCs w:val="24"/>
        </w:rPr>
      </w:pPr>
      <w:r>
        <w:rPr>
          <w:rFonts w:hint="eastAsia"/>
          <w:b/>
          <w:bCs/>
          <w:color w:val="auto"/>
          <w:sz w:val="24"/>
          <w:szCs w:val="24"/>
        </w:rPr>
        <w:t>G.1.2</w:t>
      </w:r>
      <w:r>
        <w:rPr>
          <w:color w:val="auto"/>
          <w:sz w:val="24"/>
          <w:szCs w:val="24"/>
        </w:rPr>
        <w:t xml:space="preserve"> </w:t>
      </w:r>
      <w:r>
        <w:rPr>
          <w:rFonts w:hint="eastAsia"/>
          <w:color w:val="auto"/>
          <w:sz w:val="24"/>
          <w:szCs w:val="24"/>
        </w:rPr>
        <w:t>常温下长期荷载试验应符合下列规定：</w:t>
      </w:r>
    </w:p>
    <w:p>
      <w:pPr>
        <w:spacing w:after="0" w:line="360" w:lineRule="auto"/>
        <w:ind w:firstLine="420"/>
        <w:rPr>
          <w:color w:val="auto"/>
          <w:sz w:val="24"/>
          <w:szCs w:val="24"/>
        </w:rPr>
      </w:pPr>
      <w:r>
        <w:rPr>
          <w:rFonts w:hint="eastAsia"/>
          <w:color w:val="auto"/>
          <w:sz w:val="24"/>
          <w:szCs w:val="24"/>
        </w:rPr>
        <w:t xml:space="preserve">1 </w:t>
      </w:r>
      <w:r>
        <w:rPr>
          <w:color w:val="auto"/>
          <w:sz w:val="24"/>
          <w:szCs w:val="24"/>
        </w:rPr>
        <w:t>在常温</w:t>
      </w:r>
      <w:r>
        <w:rPr>
          <w:rFonts w:hint="eastAsia"/>
          <w:color w:val="auto"/>
          <w:sz w:val="24"/>
          <w:szCs w:val="24"/>
        </w:rPr>
        <w:t>条件</w:t>
      </w:r>
      <w:r>
        <w:rPr>
          <w:color w:val="auto"/>
          <w:sz w:val="24"/>
          <w:szCs w:val="24"/>
        </w:rPr>
        <w:t>下，对</w:t>
      </w:r>
      <w:r>
        <w:rPr>
          <w:rFonts w:hint="eastAsia"/>
          <w:color w:val="auto"/>
          <w:sz w:val="24"/>
          <w:szCs w:val="24"/>
        </w:rPr>
        <w:t>植筋</w:t>
      </w:r>
      <w:r>
        <w:rPr>
          <w:color w:val="auto"/>
          <w:sz w:val="24"/>
          <w:szCs w:val="24"/>
        </w:rPr>
        <w:t>施加恒定拉伸荷载</w:t>
      </w:r>
      <w:r>
        <w:rPr>
          <w:i/>
          <w:color w:val="auto"/>
          <w:sz w:val="24"/>
          <w:szCs w:val="24"/>
        </w:rPr>
        <w:t>N</w:t>
      </w:r>
      <w:r>
        <w:rPr>
          <w:i/>
          <w:color w:val="auto"/>
          <w:sz w:val="24"/>
          <w:szCs w:val="24"/>
          <w:vertAlign w:val="subscript"/>
        </w:rPr>
        <w:t>sust</w:t>
      </w:r>
      <w:r>
        <w:rPr>
          <w:color w:val="auto"/>
          <w:sz w:val="24"/>
          <w:szCs w:val="24"/>
        </w:rPr>
        <w:t>，</w:t>
      </w:r>
      <w:r>
        <w:rPr>
          <w:rFonts w:hint="eastAsia"/>
          <w:color w:val="auto"/>
          <w:sz w:val="24"/>
          <w:szCs w:val="24"/>
        </w:rPr>
        <w:t>可按照下式计算：</w:t>
      </w:r>
    </w:p>
    <w:p>
      <w:pPr>
        <w:spacing w:after="0" w:line="360" w:lineRule="auto"/>
        <w:jc w:val="right"/>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m:t>
            </m:r>
            <m:ctrlPr>
              <w:rPr>
                <w:rFonts w:ascii="Cambria Math" w:hAnsi="Cambria Math"/>
                <w:i/>
                <w:color w:val="auto"/>
                <w:sz w:val="24"/>
                <w:szCs w:val="24"/>
              </w:rPr>
            </m:ctrlPr>
          </m:sub>
        </m:sSub>
        <m:r>
          <m:rPr/>
          <w:rPr>
            <w:rFonts w:ascii="Cambria Math" w:hAnsi="Cambria Math"/>
            <w:color w:val="auto"/>
            <w:sz w:val="24"/>
            <w:szCs w:val="24"/>
          </w:rPr>
          <m:t>=0.55∙</m:t>
        </m:r>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bm,δ,c25</m:t>
            </m:r>
            <m:ctrlPr>
              <w:rPr>
                <w:rFonts w:ascii="Cambria Math" w:hAnsi="Cambria Math"/>
                <w:i/>
                <w:color w:val="auto"/>
                <w:sz w:val="24"/>
                <w:szCs w:val="24"/>
              </w:rPr>
            </m:ctrlPr>
          </m:sub>
        </m:sSub>
        <m:r>
          <m:rPr/>
          <w:rPr>
            <w:rFonts w:ascii="Cambria Math" w:hAnsi="Cambria Math"/>
            <w:color w:val="auto"/>
            <w:sz w:val="24"/>
            <w:szCs w:val="24"/>
          </w:rPr>
          <m:t>∙π∙</m:t>
        </m:r>
        <m:r>
          <m:rPr/>
          <w:rPr>
            <w:rFonts w:hint="eastAsia" w:ascii="Cambria Math" w:hAnsi="Cambria Math"/>
            <w:color w:val="auto"/>
            <w:sz w:val="24"/>
            <w:szCs w:val="24"/>
          </w:rPr>
          <m:t>d</m:t>
        </m:r>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v</m:t>
            </m:r>
            <m:ctrlPr>
              <w:rPr>
                <w:rFonts w:ascii="Cambria Math" w:hAnsi="Cambria Math"/>
                <w:i/>
                <w:color w:val="auto"/>
                <w:sz w:val="24"/>
                <w:szCs w:val="24"/>
              </w:rPr>
            </m:ctrlPr>
          </m:sub>
        </m:sSub>
        <m:r>
          <m:rPr/>
          <w:rPr>
            <w:rFonts w:ascii="Cambria Math" w:hAnsi="Cambria Math"/>
            <w:color w:val="auto"/>
            <w:sz w:val="24"/>
            <w:szCs w:val="24"/>
          </w:rPr>
          <m:t>∙</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cu,k,test</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cu,k,25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d>
            <m:ctrlPr>
              <w:rPr>
                <w:rFonts w:ascii="Cambria Math" w:hAnsi="Cambria Math"/>
                <w:i/>
                <w:color w:val="auto"/>
                <w:sz w:val="24"/>
                <w:szCs w:val="24"/>
              </w:rPr>
            </m:ctrlPr>
          </m:e>
          <m:sup>
            <m:r>
              <m:rPr/>
              <w:rPr>
                <w:rFonts w:ascii="Cambria Math" w:hAnsi="Cambria Math"/>
                <w:color w:val="auto"/>
                <w:sz w:val="24"/>
                <w:szCs w:val="24"/>
              </w:rPr>
              <m:t>0.3</m:t>
            </m:r>
            <m:ctrlPr>
              <w:rPr>
                <w:rFonts w:ascii="Cambria Math" w:hAnsi="Cambria Math"/>
                <w:i/>
                <w:color w:val="auto"/>
                <w:sz w:val="24"/>
                <w:szCs w:val="24"/>
              </w:rPr>
            </m:ctrlPr>
          </m:sup>
        </m:sSup>
      </m:oMath>
      <w:r>
        <w:rPr>
          <w:color w:val="auto"/>
          <w:sz w:val="24"/>
          <w:szCs w:val="24"/>
        </w:rPr>
        <w:t xml:space="preserve">            </w:t>
      </w:r>
      <w:r>
        <w:rPr>
          <w:color w:val="auto"/>
          <w:sz w:val="24"/>
          <w:szCs w:val="24"/>
        </w:rPr>
        <w:tab/>
      </w:r>
      <w:r>
        <w:rPr>
          <w:color w:val="auto"/>
          <w:sz w:val="24"/>
          <w:szCs w:val="24"/>
        </w:rPr>
        <w:t>（</w:t>
      </w:r>
      <w:r>
        <w:rPr>
          <w:rFonts w:hint="eastAsia"/>
          <w:color w:val="auto"/>
          <w:sz w:val="24"/>
          <w:szCs w:val="24"/>
        </w:rPr>
        <w:t>G.1.2</w:t>
      </w:r>
      <w:r>
        <w:rPr>
          <w:color w:val="auto"/>
          <w:sz w:val="24"/>
          <w:szCs w:val="24"/>
        </w:rPr>
        <w:t>）</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9"/>
        <w:gridCol w:w="1045"/>
        <w:gridCol w:w="554"/>
        <w:gridCol w:w="5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 w:type="dxa"/>
            <w:tcMar>
              <w:left w:w="43" w:type="dxa"/>
              <w:right w:w="43" w:type="dxa"/>
            </w:tcMar>
          </w:tcPr>
          <w:p>
            <w:pPr>
              <w:spacing w:after="0" w:line="360" w:lineRule="auto"/>
              <w:rPr>
                <w:iCs/>
                <w:color w:val="auto"/>
                <w:sz w:val="24"/>
                <w:szCs w:val="24"/>
              </w:rPr>
            </w:pPr>
            <w:r>
              <w:rPr>
                <w:rFonts w:hint="eastAsia"/>
                <w:iCs/>
                <w:color w:val="auto"/>
                <w:sz w:val="24"/>
                <w:szCs w:val="24"/>
              </w:rPr>
              <w:t>式中:</w:t>
            </w:r>
          </w:p>
        </w:tc>
        <w:tc>
          <w:tcPr>
            <w:tcW w:w="1045"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m:t>
                    </m:r>
                    <m:ctrlPr>
                      <w:rPr>
                        <w:rFonts w:ascii="Cambria Math" w:hAnsi="Cambria Math"/>
                        <w:i/>
                        <w:color w:val="auto"/>
                        <w:sz w:val="24"/>
                        <w:szCs w:val="24"/>
                      </w:rPr>
                    </m:ctrlPr>
                  </m:sub>
                </m:sSub>
              </m:oMath>
            </m:oMathPara>
          </w:p>
        </w:tc>
        <w:tc>
          <w:tcPr>
            <w:tcW w:w="554" w:type="dxa"/>
          </w:tcPr>
          <w:p>
            <w:pPr>
              <w:spacing w:after="0" w:line="360" w:lineRule="auto"/>
              <w:rPr>
                <w:iCs/>
                <w:color w:val="auto"/>
                <w:sz w:val="24"/>
                <w:szCs w:val="24"/>
              </w:rPr>
            </w:pPr>
            <w:r>
              <w:rPr>
                <w:rFonts w:hint="eastAsia"/>
                <w:iCs/>
                <w:color w:val="auto"/>
                <w:sz w:val="24"/>
                <w:szCs w:val="24"/>
              </w:rPr>
              <w:t>—</w:t>
            </w:r>
          </w:p>
        </w:tc>
        <w:tc>
          <w:tcPr>
            <w:tcW w:w="5998" w:type="dxa"/>
          </w:tcPr>
          <w:p>
            <w:pPr>
              <w:spacing w:after="0" w:line="360" w:lineRule="auto"/>
              <w:rPr>
                <w:iCs/>
                <w:color w:val="auto"/>
                <w:sz w:val="24"/>
                <w:szCs w:val="24"/>
              </w:rPr>
            </w:pPr>
            <w:r>
              <w:rPr>
                <w:rFonts w:hint="eastAsia"/>
                <w:iCs/>
                <w:color w:val="auto"/>
                <w:sz w:val="24"/>
                <w:szCs w:val="24"/>
              </w:rPr>
              <w:t>长期荷载试验要求的恒定拉伸荷载（N）；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 w:type="dxa"/>
          </w:tcPr>
          <w:p>
            <w:pPr>
              <w:spacing w:after="0" w:line="360" w:lineRule="auto"/>
              <w:rPr>
                <w:iCs/>
                <w:color w:val="auto"/>
                <w:sz w:val="24"/>
                <w:szCs w:val="24"/>
              </w:rPr>
            </w:pPr>
          </w:p>
        </w:tc>
        <w:tc>
          <w:tcPr>
            <w:tcW w:w="1045"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bm,δ,c25</m:t>
                    </m:r>
                    <m:ctrlPr>
                      <w:rPr>
                        <w:rFonts w:ascii="Cambria Math" w:hAnsi="Cambria Math"/>
                        <w:i/>
                        <w:color w:val="auto"/>
                        <w:sz w:val="24"/>
                        <w:szCs w:val="24"/>
                      </w:rPr>
                    </m:ctrlPr>
                  </m:sub>
                </m:sSub>
              </m:oMath>
            </m:oMathPara>
          </w:p>
        </w:tc>
        <w:tc>
          <w:tcPr>
            <w:tcW w:w="554" w:type="dxa"/>
          </w:tcPr>
          <w:p>
            <w:pPr>
              <w:spacing w:after="0" w:line="360" w:lineRule="auto"/>
              <w:rPr>
                <w:iCs/>
                <w:color w:val="auto"/>
                <w:sz w:val="24"/>
                <w:szCs w:val="24"/>
              </w:rPr>
            </w:pPr>
            <w:r>
              <w:rPr>
                <w:rFonts w:hint="eastAsia"/>
                <w:iCs/>
                <w:color w:val="auto"/>
                <w:sz w:val="24"/>
                <w:szCs w:val="24"/>
              </w:rPr>
              <w:t>—</w:t>
            </w:r>
          </w:p>
        </w:tc>
        <w:tc>
          <w:tcPr>
            <w:tcW w:w="5998" w:type="dxa"/>
          </w:tcPr>
          <w:p>
            <w:pPr>
              <w:spacing w:after="0" w:line="360" w:lineRule="auto"/>
              <w:rPr>
                <w:iCs/>
                <w:color w:val="auto"/>
                <w:sz w:val="24"/>
                <w:szCs w:val="24"/>
              </w:rPr>
            </w:pPr>
            <w:r>
              <w:rPr>
                <w:iCs/>
                <w:color w:val="auto"/>
                <w:sz w:val="24"/>
                <w:szCs w:val="24"/>
              </w:rPr>
              <w:t>C25</w:t>
            </w:r>
            <w:r>
              <w:rPr>
                <w:rFonts w:hint="eastAsia"/>
                <w:iCs/>
                <w:color w:val="auto"/>
                <w:sz w:val="24"/>
                <w:szCs w:val="24"/>
              </w:rPr>
              <w:t>混凝土基准测试指定位移荷载对应的粘结强度平均值（N</w:t>
            </w:r>
            <w:r>
              <w:rPr>
                <w:iCs/>
                <w:color w:val="auto"/>
                <w:sz w:val="24"/>
                <w:szCs w:val="24"/>
              </w:rPr>
              <w:t>/mm</w:t>
            </w:r>
            <w:r>
              <w:rPr>
                <w:iCs/>
                <w:color w:val="auto"/>
                <w:sz w:val="24"/>
                <w:szCs w:val="24"/>
                <w:vertAlign w:val="superscript"/>
              </w:rPr>
              <w:t>2</w:t>
            </w:r>
            <w:r>
              <w:rPr>
                <w:rFonts w:hint="eastAsia"/>
                <w:iCs/>
                <w:color w:val="auto"/>
                <w:sz w:val="24"/>
                <w:szCs w:val="24"/>
              </w:rPr>
              <w:t>），</w:t>
            </w:r>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bm,δ,c25</m:t>
                  </m:r>
                  <m:ctrlPr>
                    <w:rPr>
                      <w:rFonts w:ascii="Cambria Math" w:hAnsi="Cambria Math"/>
                      <w:i/>
                      <w:color w:val="auto"/>
                      <w:sz w:val="24"/>
                      <w:szCs w:val="24"/>
                    </w:rPr>
                  </m:ctrlPr>
                </m:sub>
              </m:sSub>
            </m:oMath>
            <w:r>
              <w:rPr>
                <w:iCs/>
                <w:color w:val="auto"/>
                <w:sz w:val="24"/>
                <w:szCs w:val="24"/>
              </w:rPr>
              <w:t>≤</w:t>
            </w:r>
            <w:r>
              <w:rPr>
                <w:rFonts w:hint="eastAsia"/>
                <w:iCs/>
                <w:color w:val="auto"/>
                <w:sz w:val="24"/>
                <w:szCs w:val="24"/>
              </w:rPr>
              <w:t>1</w:t>
            </w:r>
            <w:r>
              <w:rPr>
                <w:iCs/>
                <w:color w:val="auto"/>
                <w:sz w:val="24"/>
                <w:szCs w:val="24"/>
              </w:rPr>
              <w:t>0</w:t>
            </w:r>
            <w:r>
              <w:rPr>
                <w:rFonts w:hint="eastAsia"/>
                <w:iCs/>
                <w:color w:val="auto"/>
                <w:sz w:val="24"/>
                <w:szCs w:val="24"/>
              </w:rPr>
              <w:t>N</w:t>
            </w:r>
            <w:r>
              <w:rPr>
                <w:iCs/>
                <w:color w:val="auto"/>
                <w:sz w:val="24"/>
                <w:szCs w:val="24"/>
              </w:rPr>
              <w:t>/mm</w:t>
            </w:r>
            <w:r>
              <w:rPr>
                <w:iCs/>
                <w:color w:val="auto"/>
                <w:sz w:val="24"/>
                <w:szCs w:val="24"/>
                <w:vertAlign w:val="superscript"/>
              </w:rPr>
              <w:t>2</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9" w:type="dxa"/>
          </w:tcPr>
          <w:p>
            <w:pPr>
              <w:spacing w:after="0" w:line="360" w:lineRule="auto"/>
              <w:rPr>
                <w:iCs/>
                <w:color w:val="auto"/>
                <w:sz w:val="24"/>
                <w:szCs w:val="24"/>
              </w:rPr>
            </w:pPr>
          </w:p>
        </w:tc>
        <w:tc>
          <w:tcPr>
            <w:tcW w:w="1045"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cu,k,test</m:t>
                    </m:r>
                    <m:ctrlPr>
                      <w:rPr>
                        <w:rFonts w:ascii="Cambria Math" w:hAnsi="Cambria Math"/>
                        <w:i/>
                        <w:color w:val="auto"/>
                        <w:sz w:val="24"/>
                        <w:szCs w:val="24"/>
                      </w:rPr>
                    </m:ctrlPr>
                  </m:sub>
                </m:sSub>
              </m:oMath>
            </m:oMathPara>
          </w:p>
        </w:tc>
        <w:tc>
          <w:tcPr>
            <w:tcW w:w="554" w:type="dxa"/>
          </w:tcPr>
          <w:p>
            <w:pPr>
              <w:spacing w:after="0" w:line="360" w:lineRule="auto"/>
              <w:rPr>
                <w:iCs/>
                <w:color w:val="auto"/>
                <w:sz w:val="24"/>
                <w:szCs w:val="24"/>
              </w:rPr>
            </w:pPr>
            <w:r>
              <w:rPr>
                <w:rFonts w:hint="eastAsia"/>
                <w:iCs/>
                <w:color w:val="auto"/>
                <w:sz w:val="24"/>
                <w:szCs w:val="24"/>
              </w:rPr>
              <w:t>—</w:t>
            </w:r>
          </w:p>
        </w:tc>
        <w:tc>
          <w:tcPr>
            <w:tcW w:w="5998" w:type="dxa"/>
          </w:tcPr>
          <w:p>
            <w:pPr>
              <w:spacing w:after="0" w:line="360" w:lineRule="auto"/>
              <w:rPr>
                <w:iCs/>
                <w:color w:val="auto"/>
                <w:sz w:val="24"/>
                <w:szCs w:val="24"/>
              </w:rPr>
            </w:pPr>
            <w:r>
              <w:rPr>
                <w:rFonts w:hint="eastAsia"/>
                <w:iCs/>
                <w:color w:val="auto"/>
                <w:sz w:val="24"/>
                <w:szCs w:val="24"/>
              </w:rPr>
              <w:t>该批次混凝土试样的实测强度（N</w:t>
            </w:r>
            <w:r>
              <w:rPr>
                <w:iCs/>
                <w:color w:val="auto"/>
                <w:sz w:val="24"/>
                <w:szCs w:val="24"/>
              </w:rPr>
              <w:t>/mm</w:t>
            </w:r>
            <w:r>
              <w:rPr>
                <w:iCs/>
                <w:color w:val="auto"/>
                <w:sz w:val="24"/>
                <w:szCs w:val="24"/>
                <w:vertAlign w:val="superscript"/>
              </w:rPr>
              <w:t>2</w:t>
            </w:r>
            <w:r>
              <w:rPr>
                <w:rFonts w:hint="eastAsia"/>
                <w:iCs/>
                <w:color w:val="auto"/>
                <w:sz w:val="24"/>
                <w:szCs w:val="24"/>
              </w:rPr>
              <w:t>）；</w:t>
            </w:r>
          </w:p>
        </w:tc>
      </w:tr>
    </w:tbl>
    <w:p>
      <w:pPr>
        <w:spacing w:after="0" w:line="360" w:lineRule="auto"/>
        <w:ind w:firstLine="420"/>
        <w:rPr>
          <w:bCs/>
          <w:color w:val="auto"/>
          <w:sz w:val="24"/>
          <w:szCs w:val="24"/>
        </w:rPr>
      </w:pPr>
      <w:r>
        <w:rPr>
          <w:rFonts w:hint="eastAsia"/>
          <w:bCs/>
          <w:color w:val="auto"/>
          <w:sz w:val="24"/>
          <w:szCs w:val="24"/>
        </w:rPr>
        <w:t>2 在与基准试验相同的环境条件下，应保持</w:t>
      </w:r>
      <w:r>
        <w:rPr>
          <w:color w:val="auto"/>
          <w:sz w:val="24"/>
          <w:szCs w:val="24"/>
        </w:rPr>
        <w:t>恒定拉伸荷载</w:t>
      </w:r>
      <w:r>
        <w:rPr>
          <w:rFonts w:hint="eastAsia"/>
          <w:color w:val="auto"/>
          <w:sz w:val="24"/>
          <w:szCs w:val="24"/>
        </w:rPr>
        <w:t>不小于</w:t>
      </w:r>
      <w:r>
        <w:rPr>
          <w:rFonts w:hint="eastAsia"/>
          <w:bCs/>
          <w:color w:val="auto"/>
          <w:sz w:val="24"/>
          <w:szCs w:val="24"/>
        </w:rPr>
        <w:t>9</w:t>
      </w:r>
      <w:r>
        <w:rPr>
          <w:bCs/>
          <w:color w:val="auto"/>
          <w:sz w:val="24"/>
          <w:szCs w:val="24"/>
        </w:rPr>
        <w:t>0d</w:t>
      </w:r>
      <w:r>
        <w:rPr>
          <w:rFonts w:hint="eastAsia"/>
          <w:bCs/>
          <w:color w:val="auto"/>
          <w:sz w:val="24"/>
          <w:szCs w:val="24"/>
        </w:rPr>
        <w:t>，期间应记录位移变化，</w:t>
      </w:r>
      <w:r>
        <w:rPr>
          <w:rFonts w:hint="eastAsia"/>
          <w:bCs/>
          <w:color w:val="auto"/>
          <w:sz w:val="24"/>
          <w:szCs w:val="24"/>
          <w:lang w:val="en-US" w:eastAsia="zh-CN"/>
        </w:rPr>
        <w:t>当</w:t>
      </w:r>
      <w:r>
        <w:rPr>
          <w:rFonts w:hint="eastAsia"/>
          <w:bCs/>
          <w:color w:val="auto"/>
          <w:sz w:val="24"/>
          <w:szCs w:val="24"/>
        </w:rPr>
        <w:t>观测到位移已经稳定下来，则在9</w:t>
      </w:r>
      <w:r>
        <w:rPr>
          <w:bCs/>
          <w:color w:val="auto"/>
          <w:sz w:val="24"/>
          <w:szCs w:val="24"/>
        </w:rPr>
        <w:t>0d</w:t>
      </w:r>
      <w:r>
        <w:rPr>
          <w:rFonts w:hint="eastAsia"/>
          <w:bCs/>
          <w:color w:val="auto"/>
          <w:sz w:val="24"/>
          <w:szCs w:val="24"/>
        </w:rPr>
        <w:t>时可卸载，</w:t>
      </w:r>
      <w:r>
        <w:rPr>
          <w:rFonts w:hint="eastAsia"/>
          <w:bCs/>
          <w:color w:val="auto"/>
          <w:sz w:val="24"/>
          <w:szCs w:val="24"/>
          <w:lang w:val="en-US" w:eastAsia="zh-CN"/>
        </w:rPr>
        <w:t>当</w:t>
      </w:r>
      <w:r>
        <w:rPr>
          <w:rFonts w:hint="eastAsia"/>
          <w:bCs/>
          <w:color w:val="auto"/>
          <w:sz w:val="24"/>
          <w:szCs w:val="24"/>
        </w:rPr>
        <w:t>位移还没有稳定，则应继续保持荷载，直到位移已经稳定；</w:t>
      </w:r>
    </w:p>
    <w:p>
      <w:pPr>
        <w:spacing w:after="0" w:line="360" w:lineRule="auto"/>
        <w:ind w:firstLine="420"/>
        <w:rPr>
          <w:bCs/>
          <w:color w:val="auto"/>
          <w:sz w:val="24"/>
          <w:szCs w:val="24"/>
        </w:rPr>
      </w:pPr>
      <w:r>
        <w:rPr>
          <w:rFonts w:hint="eastAsia"/>
          <w:bCs/>
          <w:color w:val="auto"/>
          <w:sz w:val="24"/>
          <w:szCs w:val="24"/>
        </w:rPr>
        <w:t>3 试验中，对承受恒定拉伸荷载的植筋，应按下列时间间隔测量植筋位移：</w:t>
      </w:r>
    </w:p>
    <w:p>
      <w:pPr>
        <w:spacing w:after="0" w:line="360" w:lineRule="auto"/>
        <w:ind w:firstLine="638" w:firstLineChars="266"/>
        <w:rPr>
          <w:bCs/>
          <w:color w:val="auto"/>
          <w:sz w:val="24"/>
          <w:szCs w:val="24"/>
        </w:rPr>
      </w:pPr>
      <w:r>
        <w:rPr>
          <w:rFonts w:hint="eastAsia"/>
          <w:bCs/>
          <w:color w:val="auto"/>
          <w:sz w:val="24"/>
          <w:szCs w:val="24"/>
        </w:rPr>
        <w:t>1）第1h范围内：每10min进行一次测量；</w:t>
      </w:r>
    </w:p>
    <w:p>
      <w:pPr>
        <w:spacing w:after="0" w:line="360" w:lineRule="auto"/>
        <w:ind w:firstLine="638" w:firstLineChars="266"/>
        <w:rPr>
          <w:bCs/>
          <w:color w:val="auto"/>
          <w:sz w:val="24"/>
          <w:szCs w:val="24"/>
        </w:rPr>
      </w:pPr>
      <w:r>
        <w:rPr>
          <w:rFonts w:hint="eastAsia"/>
          <w:bCs/>
          <w:color w:val="auto"/>
          <w:sz w:val="24"/>
          <w:szCs w:val="24"/>
        </w:rPr>
        <w:t>2）</w:t>
      </w:r>
      <w:r>
        <w:rPr>
          <w:bCs/>
          <w:color w:val="auto"/>
          <w:sz w:val="24"/>
          <w:szCs w:val="24"/>
        </w:rPr>
        <w:t xml:space="preserve"> </w:t>
      </w:r>
      <w:r>
        <w:rPr>
          <w:rFonts w:hint="eastAsia"/>
          <w:bCs/>
          <w:color w:val="auto"/>
          <w:sz w:val="24"/>
          <w:szCs w:val="24"/>
        </w:rPr>
        <w:t>接下来的6h范围内：每1h进行一次测量；</w:t>
      </w:r>
    </w:p>
    <w:p>
      <w:pPr>
        <w:spacing w:after="0" w:line="360" w:lineRule="auto"/>
        <w:ind w:firstLine="638" w:firstLineChars="266"/>
        <w:rPr>
          <w:bCs/>
          <w:color w:val="auto"/>
          <w:sz w:val="24"/>
          <w:szCs w:val="24"/>
        </w:rPr>
      </w:pPr>
      <w:r>
        <w:rPr>
          <w:rFonts w:hint="eastAsia"/>
          <w:bCs/>
          <w:color w:val="auto"/>
          <w:sz w:val="24"/>
          <w:szCs w:val="24"/>
        </w:rPr>
        <w:t>3）接下来的10天范围内：每1d进行一次测量；</w:t>
      </w:r>
    </w:p>
    <w:p>
      <w:pPr>
        <w:spacing w:after="0" w:line="360" w:lineRule="auto"/>
        <w:ind w:firstLine="638" w:firstLineChars="266"/>
        <w:rPr>
          <w:bCs/>
          <w:color w:val="auto"/>
          <w:sz w:val="24"/>
          <w:szCs w:val="24"/>
        </w:rPr>
      </w:pPr>
      <w:r>
        <w:rPr>
          <w:rFonts w:hint="eastAsia"/>
          <w:bCs/>
          <w:color w:val="auto"/>
          <w:sz w:val="24"/>
          <w:szCs w:val="24"/>
        </w:rPr>
        <w:t>4）其余时间：每5d~10d进行一次测量。</w:t>
      </w:r>
    </w:p>
    <w:p>
      <w:pPr>
        <w:spacing w:after="0" w:line="360" w:lineRule="auto"/>
        <w:rPr>
          <w:bCs/>
          <w:color w:val="auto"/>
          <w:sz w:val="24"/>
          <w:szCs w:val="24"/>
        </w:rPr>
      </w:pPr>
      <w:r>
        <w:rPr>
          <w:rFonts w:hint="eastAsia"/>
          <w:bCs/>
          <w:color w:val="auto"/>
          <w:sz w:val="24"/>
          <w:szCs w:val="24"/>
        </w:rPr>
        <w:tab/>
      </w:r>
      <w:r>
        <w:rPr>
          <w:rFonts w:hint="eastAsia"/>
          <w:bCs/>
          <w:color w:val="auto"/>
          <w:sz w:val="24"/>
          <w:szCs w:val="24"/>
        </w:rPr>
        <w:t>4 试验中，对承受恒定拉伸荷载的植筋，应按下列要求判断植筋位移是否稳定：</w:t>
      </w:r>
    </w:p>
    <w:p>
      <w:pPr>
        <w:spacing w:after="0" w:line="360" w:lineRule="auto"/>
        <w:ind w:firstLine="638" w:firstLineChars="266"/>
        <w:rPr>
          <w:bCs/>
          <w:color w:val="auto"/>
          <w:sz w:val="24"/>
          <w:szCs w:val="24"/>
        </w:rPr>
      </w:pPr>
      <w:r>
        <w:rPr>
          <w:rFonts w:hint="eastAsia"/>
          <w:bCs/>
          <w:color w:val="auto"/>
          <w:sz w:val="24"/>
          <w:szCs w:val="24"/>
        </w:rPr>
        <w:t>1）至少最后三个月的记录位移数据应放到一个坐标曲线图中进行审核，横坐标为持续加载时间的对数，纵坐标为位移值的对数；</w:t>
      </w:r>
    </w:p>
    <w:p>
      <w:pPr>
        <w:spacing w:after="0" w:line="360" w:lineRule="auto"/>
        <w:ind w:firstLine="638" w:firstLineChars="266"/>
        <w:rPr>
          <w:bCs/>
          <w:color w:val="auto"/>
          <w:sz w:val="24"/>
          <w:szCs w:val="24"/>
        </w:rPr>
      </w:pPr>
      <w:r>
        <w:rPr>
          <w:rFonts w:hint="eastAsia"/>
          <w:bCs/>
          <w:color w:val="auto"/>
          <w:sz w:val="24"/>
          <w:szCs w:val="24"/>
        </w:rPr>
        <w:t>2）步骤1中的曲线显示为下凹形状，或接近于线性时，植筋位移可判定为稳定；</w:t>
      </w:r>
    </w:p>
    <w:p>
      <w:pPr>
        <w:spacing w:after="0" w:line="360" w:lineRule="auto"/>
        <w:ind w:firstLine="638" w:firstLineChars="266"/>
        <w:rPr>
          <w:bCs/>
          <w:color w:val="auto"/>
          <w:sz w:val="24"/>
          <w:szCs w:val="24"/>
        </w:rPr>
      </w:pPr>
      <w:r>
        <w:rPr>
          <w:rFonts w:hint="eastAsia"/>
          <w:bCs/>
          <w:color w:val="auto"/>
          <w:sz w:val="24"/>
          <w:szCs w:val="24"/>
        </w:rPr>
        <w:t>3）</w:t>
      </w:r>
      <w:r>
        <w:rPr>
          <w:rFonts w:hint="eastAsia"/>
          <w:bCs/>
          <w:color w:val="auto"/>
          <w:sz w:val="24"/>
          <w:szCs w:val="24"/>
          <w:lang w:val="en-US" w:eastAsia="zh-CN"/>
        </w:rPr>
        <w:t>若</w:t>
      </w:r>
      <w:r>
        <w:rPr>
          <w:rFonts w:hint="eastAsia"/>
          <w:bCs/>
          <w:color w:val="auto"/>
          <w:sz w:val="24"/>
          <w:szCs w:val="24"/>
        </w:rPr>
        <w:t>不满足2的要求，则需要保持加载，直到满足为止；</w:t>
      </w:r>
    </w:p>
    <w:p>
      <w:pPr>
        <w:spacing w:after="0" w:line="360" w:lineRule="auto"/>
        <w:rPr>
          <w:bCs/>
          <w:color w:val="auto"/>
          <w:sz w:val="24"/>
          <w:szCs w:val="24"/>
        </w:rPr>
      </w:pPr>
      <w:r>
        <w:rPr>
          <w:rFonts w:hint="eastAsia"/>
          <w:bCs/>
          <w:color w:val="auto"/>
          <w:sz w:val="24"/>
          <w:szCs w:val="24"/>
        </w:rPr>
        <w:tab/>
      </w:r>
      <w:r>
        <w:rPr>
          <w:rFonts w:hint="eastAsia"/>
          <w:bCs/>
          <w:color w:val="auto"/>
          <w:sz w:val="24"/>
          <w:szCs w:val="24"/>
        </w:rPr>
        <w:t xml:space="preserve">5 </w:t>
      </w:r>
      <w:r>
        <w:rPr>
          <w:rFonts w:hint="eastAsia"/>
          <w:bCs/>
          <w:color w:val="auto"/>
          <w:sz w:val="24"/>
          <w:szCs w:val="24"/>
          <w:lang w:val="en-US" w:eastAsia="zh-CN"/>
        </w:rPr>
        <w:t>若</w:t>
      </w:r>
      <w:r>
        <w:rPr>
          <w:rFonts w:hint="eastAsia"/>
          <w:bCs/>
          <w:color w:val="auto"/>
          <w:sz w:val="24"/>
          <w:szCs w:val="24"/>
        </w:rPr>
        <w:t>在测试中植筋的位移一直都无法达到稳定状态，可以选择重新测试，此时测试荷载可降低1</w:t>
      </w:r>
      <w:r>
        <w:rPr>
          <w:bCs/>
          <w:color w:val="auto"/>
          <w:sz w:val="24"/>
          <w:szCs w:val="24"/>
        </w:rPr>
        <w:t>0</w:t>
      </w:r>
      <w:r>
        <w:rPr>
          <w:rFonts w:hint="eastAsia"/>
          <w:bCs/>
          <w:color w:val="auto"/>
          <w:sz w:val="24"/>
          <w:szCs w:val="24"/>
        </w:rPr>
        <w:t>%，即</w:t>
      </w:r>
      <w:r>
        <w:rPr>
          <w:rFonts w:hint="eastAsia"/>
          <w:bCs/>
          <w:i/>
          <w:iCs/>
          <w:color w:val="auto"/>
          <w:sz w:val="24"/>
          <w:szCs w:val="24"/>
        </w:rPr>
        <w:t>N</w:t>
      </w:r>
      <w:r>
        <w:rPr>
          <w:bCs/>
          <w:color w:val="auto"/>
          <w:sz w:val="24"/>
          <w:szCs w:val="24"/>
          <w:vertAlign w:val="subscript"/>
        </w:rPr>
        <w:t>sust, red.</w:t>
      </w:r>
      <w:r>
        <w:rPr>
          <w:bCs/>
          <w:color w:val="auto"/>
          <w:sz w:val="24"/>
          <w:szCs w:val="24"/>
        </w:rPr>
        <w:t xml:space="preserve"> = 0.9</w:t>
      </w:r>
      <w:r>
        <w:rPr>
          <w:bCs/>
          <w:i/>
          <w:iCs/>
          <w:color w:val="auto"/>
          <w:sz w:val="24"/>
          <w:szCs w:val="24"/>
        </w:rPr>
        <w:t>N</w:t>
      </w:r>
      <w:r>
        <w:rPr>
          <w:bCs/>
          <w:color w:val="auto"/>
          <w:sz w:val="24"/>
          <w:szCs w:val="24"/>
          <w:vertAlign w:val="subscript"/>
        </w:rPr>
        <w:t>sust</w:t>
      </w:r>
      <w:r>
        <w:rPr>
          <w:bCs/>
          <w:color w:val="auto"/>
          <w:sz w:val="24"/>
          <w:szCs w:val="24"/>
        </w:rPr>
        <w:t xml:space="preserve"> </w:t>
      </w:r>
      <w:r>
        <w:rPr>
          <w:rFonts w:hint="eastAsia"/>
          <w:bCs/>
          <w:color w:val="auto"/>
          <w:sz w:val="24"/>
          <w:szCs w:val="24"/>
        </w:rPr>
        <w:t>；</w:t>
      </w:r>
    </w:p>
    <w:p>
      <w:pPr>
        <w:spacing w:after="0" w:line="360" w:lineRule="auto"/>
        <w:ind w:firstLine="420"/>
        <w:rPr>
          <w:bCs/>
          <w:color w:val="auto"/>
          <w:sz w:val="24"/>
          <w:szCs w:val="24"/>
        </w:rPr>
      </w:pPr>
      <w:r>
        <w:rPr>
          <w:rFonts w:hint="eastAsia"/>
          <w:bCs/>
          <w:color w:val="auto"/>
          <w:sz w:val="24"/>
          <w:szCs w:val="24"/>
        </w:rPr>
        <w:t>6 位移已经稳定且加载时间达到9</w:t>
      </w:r>
      <w:r>
        <w:rPr>
          <w:bCs/>
          <w:color w:val="auto"/>
          <w:sz w:val="24"/>
          <w:szCs w:val="24"/>
        </w:rPr>
        <w:t>0d</w:t>
      </w:r>
      <w:r>
        <w:rPr>
          <w:rFonts w:hint="eastAsia"/>
          <w:bCs/>
          <w:color w:val="auto"/>
          <w:sz w:val="24"/>
          <w:szCs w:val="24"/>
        </w:rPr>
        <w:t>以后，对植筋系统进行卸载；</w:t>
      </w:r>
    </w:p>
    <w:p>
      <w:pPr>
        <w:spacing w:after="0" w:line="360" w:lineRule="auto"/>
        <w:ind w:firstLine="420"/>
        <w:rPr>
          <w:bCs/>
          <w:color w:val="auto"/>
          <w:sz w:val="24"/>
          <w:szCs w:val="24"/>
        </w:rPr>
      </w:pPr>
      <w:r>
        <w:rPr>
          <w:rFonts w:hint="eastAsia"/>
          <w:bCs/>
          <w:color w:val="auto"/>
          <w:sz w:val="24"/>
          <w:szCs w:val="24"/>
        </w:rPr>
        <w:t>7 试验环境应为空气温度（23±2）℃，相对湿度（50±5）%，应对试样进行长期荷载后的约束拉拔试验，测量剩余承载力的极限荷载值。</w:t>
      </w:r>
    </w:p>
    <w:p>
      <w:pPr>
        <w:snapToGrid w:val="0"/>
        <w:rPr>
          <w:b/>
          <w:bCs/>
          <w:i/>
          <w:iCs/>
          <w:color w:val="4472C4" w:themeColor="accent1"/>
          <w:sz w:val="24"/>
          <w:szCs w:val="24"/>
          <w14:textFill>
            <w14:solidFill>
              <w14:schemeClr w14:val="accent1"/>
            </w14:solidFill>
          </w14:textFill>
        </w:rPr>
      </w:pPr>
      <w:r>
        <w:rPr>
          <w:rFonts w:hint="eastAsia"/>
          <w:b/>
          <w:bCs/>
          <w:i/>
          <w:iCs/>
          <w:color w:val="4472C4" w:themeColor="accent1"/>
          <w:sz w:val="24"/>
          <w:szCs w:val="24"/>
          <w14:textFill>
            <w14:solidFill>
              <w14:schemeClr w14:val="accent1"/>
            </w14:solidFill>
          </w14:textFill>
        </w:rPr>
        <w:t>【条文说明】</w:t>
      </w:r>
      <w:r>
        <w:rPr>
          <w:rFonts w:hint="eastAsia"/>
          <w:i/>
          <w:iCs/>
          <w:color w:val="4472C4" w:themeColor="accent1"/>
          <w:sz w:val="24"/>
          <w:szCs w:val="24"/>
          <w14:textFill>
            <w14:solidFill>
              <w14:schemeClr w14:val="accent1"/>
            </w14:solidFill>
          </w14:textFill>
        </w:rPr>
        <w:t>G.</w:t>
      </w:r>
      <w:r>
        <w:rPr>
          <w:i/>
          <w:iCs/>
          <w:color w:val="4472C4" w:themeColor="accent1"/>
          <w:sz w:val="24"/>
          <w:szCs w:val="24"/>
          <w14:textFill>
            <w14:solidFill>
              <w14:schemeClr w14:val="accent1"/>
            </w14:solidFill>
          </w14:textFill>
        </w:rPr>
        <w:t>1.2</w:t>
      </w:r>
      <w:r>
        <w:rPr>
          <w:rFonts w:hint="eastAsia"/>
          <w:i/>
          <w:iCs/>
          <w:color w:val="4472C4" w:themeColor="accent1"/>
          <w:sz w:val="24"/>
          <w:szCs w:val="24"/>
          <w14:textFill>
            <w14:solidFill>
              <w14:schemeClr w14:val="accent1"/>
            </w14:solidFill>
          </w14:textFill>
        </w:rPr>
        <w:t>该荷载可通过以下方式施加：液压千斤顶，弹簧或恒定重量块通过一个杠杆进行受力等。</w:t>
      </w:r>
    </w:p>
    <w:p>
      <w:pPr>
        <w:pStyle w:val="5"/>
      </w:pPr>
      <w:bookmarkStart w:id="109" w:name="_Toc20200"/>
      <w:bookmarkStart w:id="110" w:name="_Toc25743"/>
      <w:bookmarkStart w:id="111" w:name="_Toc12812"/>
      <w:r>
        <w:rPr>
          <w:rFonts w:hint="eastAsia"/>
        </w:rPr>
        <w:t>G.2 常温下长期荷载性能评估</w:t>
      </w:r>
      <w:bookmarkEnd w:id="109"/>
      <w:bookmarkEnd w:id="110"/>
      <w:bookmarkEnd w:id="111"/>
    </w:p>
    <w:p>
      <w:pPr>
        <w:spacing w:after="0" w:line="360" w:lineRule="auto"/>
        <w:rPr>
          <w:rFonts w:hint="eastAsia"/>
          <w:bCs/>
          <w:color w:val="auto"/>
          <w:sz w:val="24"/>
          <w:szCs w:val="24"/>
        </w:rPr>
      </w:pPr>
      <w:r>
        <w:rPr>
          <w:rFonts w:hint="eastAsia"/>
          <w:b/>
          <w:bCs/>
          <w:color w:val="auto"/>
          <w:sz w:val="24"/>
          <w:szCs w:val="24"/>
        </w:rPr>
        <w:t>G.2.</w:t>
      </w:r>
      <w:r>
        <w:rPr>
          <w:b/>
          <w:bCs/>
          <w:color w:val="auto"/>
          <w:sz w:val="24"/>
          <w:szCs w:val="24"/>
        </w:rPr>
        <w:t>1</w:t>
      </w:r>
      <w:r>
        <w:rPr>
          <w:bCs/>
          <w:color w:val="auto"/>
          <w:sz w:val="24"/>
          <w:szCs w:val="24"/>
        </w:rPr>
        <w:t>常温下长期荷载性能试验</w:t>
      </w:r>
      <w:r>
        <w:rPr>
          <w:rFonts w:hint="eastAsia"/>
          <w:bCs/>
          <w:color w:val="auto"/>
          <w:sz w:val="24"/>
          <w:szCs w:val="24"/>
        </w:rPr>
        <w:t>粘结强度的计算可参见</w:t>
      </w:r>
      <w:r>
        <w:rPr>
          <w:rFonts w:hint="eastAsia" w:ascii="Cambria Math" w:hAnsi="Cambria Math"/>
          <w:color w:val="auto"/>
          <w:sz w:val="24"/>
          <w:szCs w:val="24"/>
        </w:rPr>
        <w:t>表G.2.1，</w:t>
      </w:r>
      <w:r>
        <w:rPr>
          <w:rFonts w:hint="eastAsia"/>
          <w:bCs/>
          <w:color w:val="auto"/>
          <w:sz w:val="24"/>
          <w:szCs w:val="24"/>
        </w:rPr>
        <w:t>归一化计算方法可参考附录B。</w:t>
      </w:r>
    </w:p>
    <w:p>
      <w:pPr>
        <w:spacing w:after="0" w:line="360" w:lineRule="auto"/>
        <w:jc w:val="center"/>
        <w:rPr>
          <w:rFonts w:hint="eastAsia"/>
          <w:b/>
          <w:bCs/>
          <w:color w:val="auto"/>
          <w:sz w:val="21"/>
          <w:szCs w:val="21"/>
        </w:rPr>
      </w:pPr>
      <w:r>
        <w:rPr>
          <w:rFonts w:hint="eastAsia"/>
          <w:b/>
          <w:bCs/>
          <w:color w:val="auto"/>
          <w:sz w:val="21"/>
          <w:szCs w:val="21"/>
        </w:rPr>
        <w:t>表G.2.1 常温下长期荷载性能试验粘结强度计算</w:t>
      </w:r>
    </w:p>
    <w:tbl>
      <w:tblPr>
        <w:tblStyle w:val="2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602"/>
        <w:gridCol w:w="1714"/>
        <w:gridCol w:w="1575"/>
        <w:gridCol w:w="1192"/>
        <w:gridCol w:w="162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62" w:type="dxa"/>
            <w:shd w:val="clear" w:color="auto" w:fill="auto"/>
            <w:tcMar>
              <w:left w:w="43" w:type="dxa"/>
              <w:right w:w="43" w:type="dxa"/>
            </w:tcMar>
          </w:tcPr>
          <w:p>
            <w:pPr>
              <w:snapToGrid w:val="0"/>
              <w:spacing w:after="0" w:line="360" w:lineRule="auto"/>
              <w:jc w:val="center"/>
              <w:rPr>
                <w:color w:val="auto"/>
                <w:kern w:val="2"/>
              </w:rPr>
            </w:pPr>
            <w:r>
              <w:rPr>
                <w:rFonts w:hint="eastAsia"/>
                <w:color w:val="auto"/>
                <w:kern w:val="2"/>
              </w:rPr>
              <w:t>混凝土强度</w:t>
            </w:r>
          </w:p>
        </w:tc>
        <w:tc>
          <w:tcPr>
            <w:tcW w:w="602" w:type="dxa"/>
            <w:shd w:val="clear" w:color="auto" w:fill="auto"/>
            <w:tcMar>
              <w:left w:w="43" w:type="dxa"/>
              <w:right w:w="43" w:type="dxa"/>
            </w:tcMar>
          </w:tcPr>
          <w:p>
            <w:pPr>
              <w:snapToGrid w:val="0"/>
              <w:spacing w:after="0" w:line="360" w:lineRule="auto"/>
              <w:jc w:val="center"/>
              <w:rPr>
                <w:color w:val="auto"/>
                <w:kern w:val="2"/>
              </w:rPr>
            </w:pPr>
            <w:r>
              <w:rPr>
                <w:rFonts w:hint="eastAsia"/>
                <w:color w:val="auto"/>
                <w:kern w:val="2"/>
              </w:rPr>
              <w:t>钢筋直径</w:t>
            </w:r>
            <w:r>
              <w:rPr>
                <w:i/>
                <w:iCs/>
                <w:color w:val="auto"/>
                <w:kern w:val="2"/>
              </w:rPr>
              <w:t>d</w:t>
            </w:r>
            <w:r>
              <w:rPr>
                <w:color w:val="auto"/>
                <w:kern w:val="2"/>
              </w:rPr>
              <w:t xml:space="preserve"> (</w:t>
            </w:r>
            <w:r>
              <w:rPr>
                <w:rFonts w:hint="eastAsia"/>
                <w:color w:val="auto"/>
                <w:kern w:val="2"/>
              </w:rPr>
              <w:t>mm</w:t>
            </w:r>
            <w:r>
              <w:rPr>
                <w:color w:val="auto"/>
                <w:kern w:val="2"/>
              </w:rPr>
              <w:t>)</w:t>
            </w:r>
          </w:p>
        </w:tc>
        <w:tc>
          <w:tcPr>
            <w:tcW w:w="1714" w:type="dxa"/>
            <w:shd w:val="clear" w:color="auto" w:fill="auto"/>
            <w:tcMar>
              <w:left w:w="43" w:type="dxa"/>
              <w:right w:w="43" w:type="dxa"/>
            </w:tcMar>
          </w:tcPr>
          <w:p>
            <w:pPr>
              <w:snapToGrid w:val="0"/>
              <w:spacing w:after="0" w:line="360" w:lineRule="auto"/>
              <w:jc w:val="center"/>
              <w:rPr>
                <w:color w:val="auto"/>
                <w:kern w:val="2"/>
              </w:rPr>
            </w:pPr>
            <w:r>
              <w:rPr>
                <w:rFonts w:hint="eastAsia"/>
                <w:color w:val="auto"/>
                <w:kern w:val="2"/>
              </w:rPr>
              <w:t>长期荷载后剩余承载力极限荷载测试值</w:t>
            </w:r>
          </w:p>
        </w:tc>
        <w:tc>
          <w:tcPr>
            <w:tcW w:w="1575" w:type="dxa"/>
            <w:shd w:val="clear" w:color="auto" w:fill="auto"/>
            <w:tcMar>
              <w:left w:w="43" w:type="dxa"/>
              <w:right w:w="43" w:type="dxa"/>
            </w:tcMar>
          </w:tcPr>
          <w:p>
            <w:pPr>
              <w:snapToGrid w:val="0"/>
              <w:spacing w:after="0" w:line="360" w:lineRule="auto"/>
              <w:jc w:val="center"/>
              <w:rPr>
                <w:color w:val="auto"/>
                <w:kern w:val="2"/>
              </w:rPr>
            </w:pPr>
            <w:r>
              <w:rPr>
                <w:rFonts w:hint="eastAsia"/>
                <w:color w:val="auto"/>
                <w:kern w:val="2"/>
              </w:rPr>
              <w:t>按混凝土强度归一化处理后的极限荷载值</w:t>
            </w:r>
          </w:p>
        </w:tc>
        <w:tc>
          <w:tcPr>
            <w:tcW w:w="1192" w:type="dxa"/>
            <w:tcMar>
              <w:left w:w="43" w:type="dxa"/>
              <w:right w:w="43" w:type="dxa"/>
            </w:tcMar>
          </w:tcPr>
          <w:p>
            <w:pPr>
              <w:snapToGrid w:val="0"/>
              <w:spacing w:after="0" w:line="360" w:lineRule="auto"/>
              <w:jc w:val="center"/>
              <w:rPr>
                <w:color w:val="auto"/>
                <w:kern w:val="2"/>
              </w:rPr>
            </w:pPr>
            <w:r>
              <w:rPr>
                <w:rFonts w:hint="eastAsia"/>
                <w:color w:val="auto"/>
                <w:kern w:val="2"/>
              </w:rPr>
              <w:t>左列荷载的平均值</w:t>
            </w:r>
          </w:p>
        </w:tc>
        <w:tc>
          <w:tcPr>
            <w:tcW w:w="1620" w:type="dxa"/>
            <w:tcMar>
              <w:left w:w="43" w:type="dxa"/>
              <w:right w:w="43" w:type="dxa"/>
            </w:tcMar>
          </w:tcPr>
          <w:p>
            <w:pPr>
              <w:snapToGrid w:val="0"/>
              <w:spacing w:after="0" w:line="360" w:lineRule="auto"/>
              <w:jc w:val="center"/>
              <w:rPr>
                <w:color w:val="auto"/>
                <w:kern w:val="2"/>
              </w:rPr>
            </w:pPr>
            <w:r>
              <w:rPr>
                <w:rFonts w:hint="eastAsia"/>
                <w:color w:val="auto"/>
                <w:kern w:val="2"/>
              </w:rPr>
              <w:t>按钢筋相对肋面积归一化处理后的极限粘结强度</w:t>
            </w:r>
          </w:p>
        </w:tc>
        <w:tc>
          <w:tcPr>
            <w:tcW w:w="1177" w:type="dxa"/>
            <w:tcMar>
              <w:left w:w="43" w:type="dxa"/>
              <w:right w:w="43" w:type="dxa"/>
            </w:tcMar>
          </w:tcPr>
          <w:p>
            <w:pPr>
              <w:snapToGrid w:val="0"/>
              <w:spacing w:after="0" w:line="360" w:lineRule="auto"/>
              <w:jc w:val="center"/>
              <w:rPr>
                <w:bCs/>
                <w:color w:val="auto"/>
              </w:rPr>
            </w:pPr>
            <w:r>
              <w:rPr>
                <w:rFonts w:hint="eastAsia"/>
                <w:color w:val="auto"/>
                <w:kern w:val="2"/>
              </w:rPr>
              <w:t>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2" w:type="dxa"/>
            <w:shd w:val="clear" w:color="auto" w:fill="auto"/>
            <w:tcMar>
              <w:left w:w="43" w:type="dxa"/>
              <w:right w:w="43" w:type="dxa"/>
            </w:tcMar>
            <w:vAlign w:val="center"/>
          </w:tcPr>
          <w:p>
            <w:pPr>
              <w:snapToGrid w:val="0"/>
              <w:spacing w:after="0" w:line="360" w:lineRule="auto"/>
              <w:jc w:val="center"/>
              <w:rPr>
                <w:color w:val="auto"/>
                <w:kern w:val="2"/>
              </w:rPr>
            </w:pPr>
            <w:r>
              <w:rPr>
                <w:color w:val="auto"/>
                <w:kern w:val="2"/>
              </w:rPr>
              <w:t>C25</w:t>
            </w:r>
          </w:p>
        </w:tc>
        <w:tc>
          <w:tcPr>
            <w:tcW w:w="602" w:type="dxa"/>
            <w:shd w:val="clear" w:color="auto" w:fill="auto"/>
            <w:tcMar>
              <w:left w:w="43" w:type="dxa"/>
              <w:right w:w="43" w:type="dxa"/>
            </w:tcMar>
            <w:vAlign w:val="center"/>
          </w:tcPr>
          <w:p>
            <w:pPr>
              <w:snapToGrid w:val="0"/>
              <w:spacing w:after="0" w:line="360" w:lineRule="auto"/>
              <w:jc w:val="center"/>
              <w:rPr>
                <w:color w:val="auto"/>
                <w:kern w:val="2"/>
              </w:rPr>
            </w:pPr>
            <w:r>
              <w:rPr>
                <w:color w:val="auto"/>
                <w:kern w:val="2"/>
              </w:rPr>
              <w:t>12</w:t>
            </w:r>
          </w:p>
        </w:tc>
        <w:tc>
          <w:tcPr>
            <w:tcW w:w="1714" w:type="dxa"/>
            <w:shd w:val="clear" w:color="auto" w:fill="auto"/>
            <w:tcMar>
              <w:left w:w="43" w:type="dxa"/>
              <w:right w:w="43" w:type="dxa"/>
            </w:tcMar>
            <w:vAlign w:val="center"/>
          </w:tcPr>
          <w:p>
            <w:pPr>
              <w:snapToGrid w:val="0"/>
              <w:spacing w:after="0" w:line="360" w:lineRule="auto"/>
              <w:jc w:val="center"/>
              <w:rPr>
                <w:color w:val="auto"/>
                <w:kern w:val="2"/>
                <w:vertAlign w:val="subscript"/>
              </w:rPr>
            </w:pPr>
            <w:r>
              <w:rPr>
                <w:rFonts w:hint="eastAsia"/>
                <w:i/>
                <w:iCs/>
                <w:color w:val="auto"/>
                <w:kern w:val="2"/>
              </w:rPr>
              <w:t>N</w:t>
            </w:r>
            <w:r>
              <w:rPr>
                <w:color w:val="auto"/>
                <w:kern w:val="2"/>
                <w:vertAlign w:val="subscript"/>
              </w:rPr>
              <w:t>u</w:t>
            </w:r>
            <w:r>
              <w:rPr>
                <w:rFonts w:hint="eastAsia"/>
                <w:color w:val="auto"/>
                <w:kern w:val="2"/>
                <w:vertAlign w:val="subscript"/>
              </w:rPr>
              <w:t>,</w:t>
            </w:r>
            <w:r>
              <w:rPr>
                <w:color w:val="auto"/>
                <w:kern w:val="2"/>
                <w:vertAlign w:val="subscript"/>
              </w:rPr>
              <w:t>sust,test,c25,d12-1</w:t>
            </w:r>
          </w:p>
          <w:p>
            <w:pPr>
              <w:snapToGrid w:val="0"/>
              <w:spacing w:after="0" w:line="360" w:lineRule="auto"/>
              <w:jc w:val="center"/>
              <w:rPr>
                <w:color w:val="auto"/>
                <w:kern w:val="2"/>
              </w:rPr>
            </w:pPr>
            <w:r>
              <w:rPr>
                <w:rFonts w:hint="eastAsia"/>
                <w:color w:val="auto"/>
                <w:kern w:val="2"/>
                <w:sz w:val="18"/>
                <w:szCs w:val="18"/>
              </w:rPr>
              <w:t>~</w:t>
            </w:r>
            <w:r>
              <w:rPr>
                <w:rFonts w:hint="eastAsia"/>
                <w:i/>
                <w:iCs/>
                <w:color w:val="auto"/>
                <w:kern w:val="2"/>
              </w:rPr>
              <w:t>N</w:t>
            </w:r>
            <w:r>
              <w:rPr>
                <w:color w:val="auto"/>
                <w:kern w:val="2"/>
                <w:vertAlign w:val="subscript"/>
              </w:rPr>
              <w:t>u</w:t>
            </w:r>
            <w:r>
              <w:rPr>
                <w:rFonts w:hint="eastAsia"/>
                <w:color w:val="auto"/>
                <w:kern w:val="2"/>
                <w:vertAlign w:val="subscript"/>
              </w:rPr>
              <w:t>,</w:t>
            </w:r>
            <w:r>
              <w:rPr>
                <w:color w:val="auto"/>
                <w:kern w:val="2"/>
                <w:vertAlign w:val="subscript"/>
              </w:rPr>
              <w:t>sust,test,c25,d12-5</w:t>
            </w:r>
            <w:r>
              <w:rPr>
                <w:color w:val="auto"/>
                <w:kern w:val="2"/>
              </w:rPr>
              <w:t>.</w:t>
            </w:r>
          </w:p>
        </w:tc>
        <w:tc>
          <w:tcPr>
            <w:tcW w:w="1575" w:type="dxa"/>
            <w:shd w:val="clear" w:color="auto" w:fill="auto"/>
            <w:tcMar>
              <w:left w:w="43" w:type="dxa"/>
              <w:right w:w="43" w:type="dxa"/>
            </w:tcMar>
            <w:vAlign w:val="center"/>
          </w:tcPr>
          <w:p>
            <w:pPr>
              <w:snapToGrid w:val="0"/>
              <w:spacing w:after="0" w:line="360" w:lineRule="auto"/>
              <w:jc w:val="center"/>
              <w:rPr>
                <w:color w:val="auto"/>
                <w:kern w:val="2"/>
                <w:vertAlign w:val="subscript"/>
              </w:rPr>
            </w:pPr>
            <w:r>
              <w:rPr>
                <w:rFonts w:hint="eastAsia"/>
                <w:i/>
                <w:iCs/>
                <w:color w:val="auto"/>
                <w:kern w:val="2"/>
              </w:rPr>
              <w:t>N</w:t>
            </w:r>
            <w:r>
              <w:rPr>
                <w:color w:val="auto"/>
                <w:kern w:val="2"/>
                <w:vertAlign w:val="subscript"/>
              </w:rPr>
              <w:t>u</w:t>
            </w:r>
            <w:r>
              <w:rPr>
                <w:rFonts w:hint="eastAsia"/>
                <w:color w:val="auto"/>
                <w:kern w:val="2"/>
                <w:vertAlign w:val="subscript"/>
              </w:rPr>
              <w:t>,</w:t>
            </w:r>
            <w:r>
              <w:rPr>
                <w:color w:val="auto"/>
                <w:kern w:val="2"/>
                <w:vertAlign w:val="subscript"/>
              </w:rPr>
              <w:t>sust,c25,d12-1</w:t>
            </w:r>
          </w:p>
          <w:p>
            <w:pPr>
              <w:snapToGrid w:val="0"/>
              <w:spacing w:after="0" w:line="360" w:lineRule="auto"/>
              <w:jc w:val="center"/>
              <w:rPr>
                <w:color w:val="auto"/>
                <w:kern w:val="2"/>
              </w:rPr>
            </w:pPr>
            <w:r>
              <w:rPr>
                <w:rFonts w:hint="eastAsia"/>
                <w:color w:val="auto"/>
                <w:kern w:val="2"/>
                <w:sz w:val="18"/>
                <w:szCs w:val="18"/>
              </w:rPr>
              <w:t>~</w:t>
            </w:r>
            <w:r>
              <w:rPr>
                <w:rFonts w:hint="eastAsia"/>
                <w:i/>
                <w:iCs/>
                <w:color w:val="auto"/>
                <w:kern w:val="2"/>
              </w:rPr>
              <w:t>N</w:t>
            </w:r>
            <w:r>
              <w:rPr>
                <w:color w:val="auto"/>
                <w:kern w:val="2"/>
                <w:vertAlign w:val="subscript"/>
              </w:rPr>
              <w:t>u</w:t>
            </w:r>
            <w:r>
              <w:rPr>
                <w:rFonts w:hint="eastAsia"/>
                <w:color w:val="auto"/>
                <w:kern w:val="2"/>
                <w:vertAlign w:val="subscript"/>
              </w:rPr>
              <w:t>,</w:t>
            </w:r>
            <w:r>
              <w:rPr>
                <w:color w:val="auto"/>
                <w:kern w:val="2"/>
                <w:vertAlign w:val="subscript"/>
              </w:rPr>
              <w:t>sust,c25,d12-5</w:t>
            </w:r>
            <w:r>
              <w:rPr>
                <w:color w:val="auto"/>
                <w:kern w:val="2"/>
              </w:rPr>
              <w:t>.</w:t>
            </w:r>
          </w:p>
        </w:tc>
        <w:tc>
          <w:tcPr>
            <w:tcW w:w="1192" w:type="dxa"/>
            <w:tcMar>
              <w:left w:w="43" w:type="dxa"/>
              <w:right w:w="43" w:type="dxa"/>
            </w:tcMar>
            <w:vAlign w:val="center"/>
          </w:tcPr>
          <w:p>
            <w:pPr>
              <w:snapToGrid w:val="0"/>
              <w:spacing w:after="0" w:line="360" w:lineRule="auto"/>
              <w:jc w:val="center"/>
              <w:rPr>
                <w:color w:val="auto"/>
              </w:rPr>
            </w:pPr>
            <w:r>
              <w:rPr>
                <w:rFonts w:hint="eastAsia"/>
                <w:i/>
                <w:iCs/>
                <w:color w:val="auto"/>
                <w:kern w:val="2"/>
              </w:rPr>
              <w:t>N</w:t>
            </w:r>
            <w:r>
              <w:rPr>
                <w:color w:val="auto"/>
                <w:kern w:val="2"/>
                <w:vertAlign w:val="subscript"/>
              </w:rPr>
              <w:t>u</w:t>
            </w:r>
            <w:r>
              <w:rPr>
                <w:rFonts w:hint="eastAsia"/>
                <w:color w:val="auto"/>
                <w:kern w:val="2"/>
                <w:vertAlign w:val="subscript"/>
              </w:rPr>
              <w:t>,</w:t>
            </w:r>
            <w:r>
              <w:rPr>
                <w:color w:val="auto"/>
                <w:kern w:val="2"/>
                <w:vertAlign w:val="subscript"/>
              </w:rPr>
              <w:t>sust,c25,d12,m</w:t>
            </w:r>
          </w:p>
        </w:tc>
        <w:tc>
          <w:tcPr>
            <w:tcW w:w="1620" w:type="dxa"/>
            <w:tcMar>
              <w:left w:w="43" w:type="dxa"/>
              <w:right w:w="43" w:type="dxa"/>
            </w:tcMar>
            <w:vAlign w:val="center"/>
          </w:tcPr>
          <w:p>
            <w:pPr>
              <w:snapToGrid w:val="0"/>
              <w:spacing w:after="0" w:line="360" w:lineRule="auto"/>
              <w:jc w:val="center"/>
              <w:rPr>
                <w:color w:val="auto"/>
              </w:rPr>
            </w:pPr>
            <w:r>
              <w:rPr>
                <w:i/>
                <w:iCs/>
                <w:color w:val="auto"/>
                <w:kern w:val="2"/>
              </w:rPr>
              <w:t>f</w:t>
            </w:r>
            <w:r>
              <w:rPr>
                <w:color w:val="auto"/>
                <w:kern w:val="2"/>
                <w:vertAlign w:val="subscript"/>
              </w:rPr>
              <w:t>bm,sust,c25,d12</w:t>
            </w:r>
          </w:p>
        </w:tc>
        <w:tc>
          <w:tcPr>
            <w:tcW w:w="1177" w:type="dxa"/>
            <w:tcMar>
              <w:left w:w="43" w:type="dxa"/>
              <w:right w:w="43" w:type="dxa"/>
            </w:tcMar>
          </w:tcPr>
          <w:p>
            <w:pPr>
              <w:spacing w:after="0" w:line="360" w:lineRule="auto"/>
              <w:jc w:val="center"/>
              <w:rPr>
                <w:color w:val="auto"/>
              </w:rPr>
            </w:pPr>
            <w:r>
              <w:rPr>
                <w:i/>
                <w:iCs/>
                <w:color w:val="auto"/>
                <w:kern w:val="2"/>
              </w:rPr>
              <w:t>f</w:t>
            </w:r>
            <w:r>
              <w:rPr>
                <w:color w:val="auto"/>
                <w:kern w:val="2"/>
                <w:vertAlign w:val="subscript"/>
              </w:rPr>
              <w:t xml:space="preserve">bm,sust,T1 </w:t>
            </w:r>
            <w:r>
              <w:rPr>
                <w:color w:val="auto"/>
                <w:kern w:val="2"/>
              </w:rPr>
              <w:t>=</w:t>
            </w:r>
            <w:r>
              <w:rPr>
                <w:i/>
                <w:iCs/>
                <w:color w:val="auto"/>
                <w:kern w:val="2"/>
              </w:rPr>
              <w:t>f</w:t>
            </w:r>
            <w:r>
              <w:rPr>
                <w:color w:val="auto"/>
                <w:kern w:val="2"/>
                <w:vertAlign w:val="subscript"/>
              </w:rPr>
              <w:t>bm,sust,c25,d12</w:t>
            </w:r>
          </w:p>
        </w:tc>
      </w:tr>
    </w:tbl>
    <w:p>
      <w:pPr>
        <w:spacing w:after="0" w:line="360" w:lineRule="auto"/>
        <w:rPr>
          <w:color w:val="auto"/>
          <w:sz w:val="24"/>
          <w:szCs w:val="24"/>
        </w:rPr>
      </w:pPr>
      <w:r>
        <w:rPr>
          <w:rFonts w:hint="eastAsia"/>
          <w:b/>
          <w:bCs/>
          <w:color w:val="auto"/>
          <w:sz w:val="24"/>
          <w:szCs w:val="24"/>
        </w:rPr>
        <w:t>G.2.2</w:t>
      </w:r>
      <w:r>
        <w:rPr>
          <w:rFonts w:hint="eastAsia"/>
          <w:color w:val="auto"/>
          <w:sz w:val="24"/>
          <w:szCs w:val="24"/>
        </w:rPr>
        <w:t>完成常温</w:t>
      </w:r>
      <w:r>
        <w:rPr>
          <w:color w:val="auto"/>
          <w:sz w:val="24"/>
          <w:szCs w:val="24"/>
        </w:rPr>
        <w:t>长期荷载试验</w:t>
      </w:r>
      <w:r>
        <w:rPr>
          <w:rFonts w:hint="eastAsia"/>
          <w:color w:val="auto"/>
          <w:sz w:val="24"/>
          <w:szCs w:val="24"/>
        </w:rPr>
        <w:t>后</w:t>
      </w:r>
      <w:r>
        <w:rPr>
          <w:color w:val="auto"/>
          <w:sz w:val="24"/>
          <w:szCs w:val="24"/>
        </w:rPr>
        <w:t>，应取最后不少于</w:t>
      </w:r>
      <w:r>
        <w:rPr>
          <w:rFonts w:hint="eastAsia"/>
          <w:color w:val="auto"/>
          <w:sz w:val="24"/>
          <w:szCs w:val="24"/>
        </w:rPr>
        <w:t>2</w:t>
      </w:r>
      <w:r>
        <w:rPr>
          <w:color w:val="auto"/>
          <w:sz w:val="24"/>
          <w:szCs w:val="24"/>
        </w:rPr>
        <w:t>0个位移测量值</w:t>
      </w:r>
      <w:r>
        <w:rPr>
          <w:rFonts w:hint="eastAsia"/>
          <w:color w:val="auto"/>
          <w:sz w:val="24"/>
          <w:szCs w:val="24"/>
        </w:rPr>
        <w:t>及对应的时间</w:t>
      </w:r>
      <w:r>
        <w:rPr>
          <w:color w:val="auto"/>
          <w:sz w:val="24"/>
          <w:szCs w:val="24"/>
        </w:rPr>
        <w:t>进行数据回归，</w:t>
      </w:r>
      <w:r>
        <w:rPr>
          <w:rFonts w:hint="eastAsia"/>
          <w:color w:val="auto"/>
          <w:sz w:val="24"/>
          <w:szCs w:val="24"/>
        </w:rPr>
        <w:t>确定</w:t>
      </w:r>
      <w:r>
        <w:rPr>
          <w:color w:val="auto"/>
          <w:sz w:val="24"/>
          <w:szCs w:val="24"/>
        </w:rPr>
        <w:t>公式</w:t>
      </w:r>
      <w:r>
        <w:rPr>
          <w:rFonts w:hint="eastAsia"/>
          <w:color w:val="auto"/>
          <w:sz w:val="24"/>
          <w:szCs w:val="24"/>
        </w:rPr>
        <w:t>G.2.</w:t>
      </w:r>
      <w:r>
        <w:rPr>
          <w:color w:val="auto"/>
          <w:sz w:val="24"/>
          <w:szCs w:val="24"/>
        </w:rPr>
        <w:t>1的常量</w:t>
      </w:r>
      <w:r>
        <w:rPr>
          <w:rFonts w:hint="eastAsia"/>
          <w:i/>
          <w:iCs/>
          <w:color w:val="auto"/>
          <w:sz w:val="24"/>
          <w:szCs w:val="24"/>
        </w:rPr>
        <w:t>a</w:t>
      </w:r>
      <w:r>
        <w:rPr>
          <w:rFonts w:hint="eastAsia"/>
          <w:color w:val="auto"/>
          <w:sz w:val="24"/>
          <w:szCs w:val="24"/>
        </w:rPr>
        <w:t>、</w:t>
      </w:r>
      <w:r>
        <w:rPr>
          <w:i/>
          <w:iCs/>
          <w:color w:val="auto"/>
          <w:sz w:val="24"/>
          <w:szCs w:val="24"/>
        </w:rPr>
        <w:t>b</w:t>
      </w:r>
      <w:r>
        <w:rPr>
          <w:rFonts w:hint="eastAsia"/>
          <w:color w:val="auto"/>
          <w:sz w:val="24"/>
          <w:szCs w:val="24"/>
        </w:rPr>
        <w:t>、</w:t>
      </w:r>
      <w:r>
        <w:rPr>
          <w:rFonts w:hint="eastAsia"/>
          <w:i/>
          <w:iCs/>
          <w:color w:val="auto"/>
          <w:sz w:val="24"/>
          <w:szCs w:val="24"/>
        </w:rPr>
        <w:t>s</w:t>
      </w:r>
      <w:r>
        <w:rPr>
          <w:color w:val="auto"/>
          <w:sz w:val="24"/>
          <w:szCs w:val="24"/>
          <w:vertAlign w:val="subscript"/>
        </w:rPr>
        <w:t>0</w:t>
      </w:r>
      <w:r>
        <w:rPr>
          <w:rFonts w:hint="eastAsia"/>
          <w:color w:val="auto"/>
          <w:sz w:val="24"/>
          <w:szCs w:val="24"/>
        </w:rPr>
        <w:t>。</w:t>
      </w:r>
    </w:p>
    <w:p>
      <w:pPr>
        <w:spacing w:after="0" w:line="360" w:lineRule="auto"/>
        <w:jc w:val="right"/>
        <w:rPr>
          <w:color w:val="auto"/>
        </w:rPr>
      </w:pPr>
      <m:oMath>
        <m:r>
          <m:rPr/>
          <w:rPr>
            <w:rStyle w:val="41"/>
            <w:rFonts w:ascii="Cambria Math" w:hAnsi="Cambria Math"/>
            <w:color w:val="auto"/>
            <w:sz w:val="24"/>
            <w:szCs w:val="24"/>
          </w:rPr>
          <m:t>s</m:t>
        </m:r>
        <m:d>
          <m:dPr>
            <m:ctrlPr>
              <w:rPr>
                <w:rStyle w:val="41"/>
                <w:rFonts w:ascii="Cambria Math" w:hAnsi="Cambria Math"/>
                <w:i/>
                <w:color w:val="auto"/>
                <w:sz w:val="24"/>
                <w:szCs w:val="24"/>
              </w:rPr>
            </m:ctrlPr>
          </m:dPr>
          <m:e>
            <m:r>
              <m:rPr/>
              <w:rPr>
                <w:rStyle w:val="41"/>
                <w:rFonts w:hint="eastAsia" w:ascii="Cambria Math" w:hAnsi="Cambria Math"/>
                <w:color w:val="auto"/>
                <w:sz w:val="24"/>
                <w:szCs w:val="24"/>
              </w:rPr>
              <m:t>t</m:t>
            </m:r>
            <m:ctrlPr>
              <w:rPr>
                <w:rStyle w:val="41"/>
                <w:rFonts w:ascii="Cambria Math" w:hAnsi="Cambria Math"/>
                <w:i/>
                <w:color w:val="auto"/>
                <w:sz w:val="24"/>
                <w:szCs w:val="24"/>
              </w:rPr>
            </m:ctrlPr>
          </m:e>
        </m:d>
        <m:r>
          <m:rPr/>
          <w:rPr>
            <w:rStyle w:val="41"/>
            <w:rFonts w:ascii="Cambria Math" w:hAnsi="Cambria Math"/>
            <w:color w:val="auto"/>
            <w:sz w:val="24"/>
            <w:szCs w:val="24"/>
          </w:rPr>
          <m:t>=</m:t>
        </m:r>
        <m:sSub>
          <m:sSubPr>
            <m:ctrlPr>
              <w:rPr>
                <w:rStyle w:val="41"/>
                <w:rFonts w:ascii="Cambria Math" w:hAnsi="Cambria Math"/>
                <w:i/>
                <w:color w:val="auto"/>
                <w:sz w:val="24"/>
                <w:szCs w:val="24"/>
              </w:rPr>
            </m:ctrlPr>
          </m:sSubPr>
          <m:e>
            <m:r>
              <m:rPr/>
              <w:rPr>
                <w:rStyle w:val="41"/>
                <w:rFonts w:ascii="Cambria Math" w:hAnsi="Cambria Math"/>
                <w:color w:val="auto"/>
                <w:sz w:val="24"/>
                <w:szCs w:val="24"/>
              </w:rPr>
              <m:t>s</m:t>
            </m:r>
            <m:ctrlPr>
              <w:rPr>
                <w:rStyle w:val="41"/>
                <w:rFonts w:ascii="Cambria Math" w:hAnsi="Cambria Math"/>
                <w:i/>
                <w:color w:val="auto"/>
                <w:sz w:val="24"/>
                <w:szCs w:val="24"/>
              </w:rPr>
            </m:ctrlPr>
          </m:e>
          <m:sub>
            <m:r>
              <m:rPr/>
              <w:rPr>
                <w:rStyle w:val="41"/>
                <w:rFonts w:ascii="Cambria Math" w:hAnsi="Cambria Math"/>
                <w:color w:val="auto"/>
                <w:sz w:val="24"/>
                <w:szCs w:val="24"/>
              </w:rPr>
              <m:t>0</m:t>
            </m:r>
            <m:ctrlPr>
              <w:rPr>
                <w:rStyle w:val="41"/>
                <w:rFonts w:ascii="Cambria Math" w:hAnsi="Cambria Math"/>
                <w:i/>
                <w:color w:val="auto"/>
                <w:sz w:val="24"/>
                <w:szCs w:val="24"/>
              </w:rPr>
            </m:ctrlPr>
          </m:sub>
        </m:sSub>
        <m:r>
          <m:rPr/>
          <w:rPr>
            <w:rStyle w:val="41"/>
            <w:rFonts w:ascii="Cambria Math" w:hAnsi="Cambria Math"/>
            <w:color w:val="auto"/>
            <w:sz w:val="24"/>
            <w:szCs w:val="24"/>
          </w:rPr>
          <m:t>+a∙</m:t>
        </m:r>
        <m:sSup>
          <m:sSupPr>
            <m:ctrlPr>
              <w:rPr>
                <w:rStyle w:val="41"/>
                <w:rFonts w:ascii="Cambria Math" w:hAnsi="Cambria Math"/>
                <w:i/>
                <w:color w:val="auto"/>
                <w:sz w:val="24"/>
                <w:szCs w:val="24"/>
              </w:rPr>
            </m:ctrlPr>
          </m:sSupPr>
          <m:e>
            <m:r>
              <m:rPr/>
              <w:rPr>
                <w:rStyle w:val="41"/>
                <w:rFonts w:ascii="Cambria Math" w:hAnsi="Cambria Math"/>
                <w:color w:val="auto"/>
                <w:sz w:val="24"/>
                <w:szCs w:val="24"/>
              </w:rPr>
              <m:t>t</m:t>
            </m:r>
            <m:ctrlPr>
              <w:rPr>
                <w:rStyle w:val="41"/>
                <w:rFonts w:ascii="Cambria Math" w:hAnsi="Cambria Math"/>
                <w:i/>
                <w:color w:val="auto"/>
                <w:sz w:val="24"/>
                <w:szCs w:val="24"/>
              </w:rPr>
            </m:ctrlPr>
          </m:e>
          <m:sup>
            <m:r>
              <m:rPr/>
              <w:rPr>
                <w:rStyle w:val="41"/>
                <w:rFonts w:ascii="Cambria Math" w:hAnsi="Cambria Math"/>
                <w:color w:val="auto"/>
                <w:sz w:val="24"/>
                <w:szCs w:val="24"/>
              </w:rPr>
              <m:t>b</m:t>
            </m:r>
            <m:ctrlPr>
              <w:rPr>
                <w:rStyle w:val="41"/>
                <w:rFonts w:ascii="Cambria Math" w:hAnsi="Cambria Math"/>
                <w:i/>
                <w:color w:val="auto"/>
                <w:sz w:val="24"/>
                <w:szCs w:val="24"/>
              </w:rPr>
            </m:ctrlPr>
          </m:sup>
        </m:sSup>
      </m:oMath>
      <w:r>
        <w:rPr>
          <w:rStyle w:val="41"/>
          <w:color w:val="auto"/>
          <w:sz w:val="24"/>
          <w:szCs w:val="24"/>
        </w:rPr>
        <w:t xml:space="preserve">              </w:t>
      </w:r>
      <w:r>
        <w:rPr>
          <w:rStyle w:val="41"/>
          <w:color w:val="auto"/>
          <w:sz w:val="24"/>
          <w:szCs w:val="24"/>
        </w:rPr>
        <w:tab/>
      </w:r>
      <w:r>
        <w:rPr>
          <w:rStyle w:val="41"/>
          <w:color w:val="auto"/>
          <w:sz w:val="24"/>
          <w:szCs w:val="24"/>
        </w:rPr>
        <w:tab/>
      </w:r>
      <w:r>
        <w:rPr>
          <w:rStyle w:val="41"/>
          <w:color w:val="auto"/>
          <w:sz w:val="24"/>
          <w:szCs w:val="24"/>
        </w:rPr>
        <w:tab/>
      </w:r>
      <w:r>
        <w:rPr>
          <w:rStyle w:val="41"/>
          <w:color w:val="auto"/>
          <w:sz w:val="24"/>
          <w:szCs w:val="24"/>
        </w:rPr>
        <w:tab/>
      </w:r>
      <w:r>
        <w:rPr>
          <w:rStyle w:val="41"/>
          <w:color w:val="auto"/>
          <w:sz w:val="24"/>
          <w:szCs w:val="24"/>
        </w:rPr>
        <w:t xml:space="preserve"> (</w:t>
      </w:r>
      <w:r>
        <w:rPr>
          <w:rStyle w:val="41"/>
          <w:rFonts w:hint="eastAsia"/>
          <w:color w:val="auto"/>
          <w:sz w:val="24"/>
          <w:szCs w:val="24"/>
        </w:rPr>
        <w:t>G.2.2</w:t>
      </w:r>
      <w:r>
        <w:rPr>
          <w:rStyle w:val="41"/>
          <w:color w:val="auto"/>
          <w:sz w:val="24"/>
          <w:szCs w:val="24"/>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4"/>
        <w:gridCol w:w="571"/>
        <w:gridCol w:w="456"/>
        <w:gridCol w:w="65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4" w:type="dxa"/>
            <w:tcMar>
              <w:left w:w="43" w:type="dxa"/>
              <w:right w:w="43" w:type="dxa"/>
            </w:tcMar>
          </w:tcPr>
          <w:p>
            <w:pPr>
              <w:spacing w:after="0" w:line="360" w:lineRule="auto"/>
              <w:rPr>
                <w:iCs/>
                <w:color w:val="auto"/>
                <w:sz w:val="24"/>
                <w:szCs w:val="24"/>
              </w:rPr>
            </w:pPr>
            <w:r>
              <w:rPr>
                <w:rFonts w:hint="eastAsia"/>
                <w:iCs/>
                <w:color w:val="auto"/>
                <w:sz w:val="24"/>
                <w:szCs w:val="24"/>
              </w:rPr>
              <w:t>式中:</w:t>
            </w:r>
          </w:p>
        </w:tc>
        <w:tc>
          <w:tcPr>
            <w:tcW w:w="571" w:type="dxa"/>
          </w:tcPr>
          <w:p>
            <w:pPr>
              <w:spacing w:after="0" w:line="360" w:lineRule="auto"/>
              <w:jc w:val="right"/>
              <w:rPr>
                <w:iCs/>
                <w:color w:val="auto"/>
                <w:sz w:val="24"/>
                <w:szCs w:val="24"/>
              </w:rPr>
            </w:pPr>
            <w:r>
              <w:rPr>
                <w:iCs/>
                <w:color w:val="auto"/>
                <w:sz w:val="24"/>
                <w:szCs w:val="24"/>
              </w:rPr>
              <w:t>s(t)</w:t>
            </w:r>
          </w:p>
        </w:tc>
        <w:tc>
          <w:tcPr>
            <w:tcW w:w="450" w:type="dxa"/>
          </w:tcPr>
          <w:p>
            <w:pPr>
              <w:spacing w:after="0" w:line="360" w:lineRule="auto"/>
              <w:rPr>
                <w:iCs/>
                <w:color w:val="auto"/>
                <w:sz w:val="24"/>
                <w:szCs w:val="24"/>
              </w:rPr>
            </w:pPr>
            <w:r>
              <w:rPr>
                <w:rFonts w:hint="eastAsia"/>
                <w:iCs/>
                <w:color w:val="auto"/>
                <w:sz w:val="24"/>
                <w:szCs w:val="24"/>
              </w:rPr>
              <w:t>—</w:t>
            </w:r>
          </w:p>
        </w:tc>
        <w:tc>
          <w:tcPr>
            <w:tcW w:w="6591" w:type="dxa"/>
          </w:tcPr>
          <w:p>
            <w:pPr>
              <w:spacing w:after="0" w:line="360" w:lineRule="auto"/>
              <w:rPr>
                <w:iCs/>
                <w:color w:val="auto"/>
                <w:sz w:val="24"/>
                <w:szCs w:val="24"/>
              </w:rPr>
            </w:pPr>
            <w:r>
              <w:rPr>
                <w:rFonts w:hint="eastAsia"/>
                <w:iCs/>
                <w:color w:val="auto"/>
                <w:sz w:val="24"/>
                <w:szCs w:val="24"/>
              </w:rPr>
              <w:t>植筋长期荷载下的位移（mm）；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4" w:type="dxa"/>
          </w:tcPr>
          <w:p>
            <w:pPr>
              <w:spacing w:after="0" w:line="360" w:lineRule="auto"/>
              <w:rPr>
                <w:iCs/>
                <w:color w:val="auto"/>
                <w:sz w:val="24"/>
                <w:szCs w:val="24"/>
              </w:rPr>
            </w:pPr>
          </w:p>
        </w:tc>
        <w:tc>
          <w:tcPr>
            <w:tcW w:w="571"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s</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oMath>
            </m:oMathPara>
          </w:p>
        </w:tc>
        <w:tc>
          <w:tcPr>
            <w:tcW w:w="450" w:type="dxa"/>
          </w:tcPr>
          <w:p>
            <w:pPr>
              <w:spacing w:after="0" w:line="360" w:lineRule="auto"/>
              <w:rPr>
                <w:iCs/>
                <w:color w:val="auto"/>
                <w:sz w:val="24"/>
                <w:szCs w:val="24"/>
              </w:rPr>
            </w:pPr>
            <w:r>
              <w:rPr>
                <w:rFonts w:hint="eastAsia"/>
                <w:iCs/>
                <w:color w:val="auto"/>
                <w:sz w:val="24"/>
                <w:szCs w:val="24"/>
              </w:rPr>
              <w:t>—</w:t>
            </w:r>
          </w:p>
        </w:tc>
        <w:tc>
          <w:tcPr>
            <w:tcW w:w="6591" w:type="dxa"/>
          </w:tcPr>
          <w:p>
            <w:pPr>
              <w:spacing w:after="0" w:line="360" w:lineRule="auto"/>
              <w:rPr>
                <w:iCs/>
                <w:color w:val="auto"/>
                <w:sz w:val="24"/>
                <w:szCs w:val="24"/>
              </w:rPr>
            </w:pPr>
            <w:r>
              <w:rPr>
                <w:rFonts w:hint="eastAsia"/>
                <w:iCs/>
                <w:color w:val="auto"/>
                <w:sz w:val="24"/>
                <w:szCs w:val="24"/>
              </w:rPr>
              <w:t>常数，根据试验数据推算（m</w:t>
            </w:r>
            <w:r>
              <w:rPr>
                <w:iCs/>
                <w:color w:val="auto"/>
                <w:sz w:val="24"/>
                <w:szCs w:val="24"/>
              </w:rPr>
              <w:t>m</w:t>
            </w:r>
            <w:r>
              <w:rPr>
                <w:rFonts w:hint="eastAsia"/>
                <w:iCs/>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4" w:type="dxa"/>
          </w:tcPr>
          <w:p>
            <w:pPr>
              <w:spacing w:after="0" w:line="360" w:lineRule="auto"/>
              <w:rPr>
                <w:iCs/>
                <w:color w:val="auto"/>
                <w:sz w:val="24"/>
                <w:szCs w:val="24"/>
              </w:rPr>
            </w:pPr>
          </w:p>
        </w:tc>
        <w:tc>
          <w:tcPr>
            <w:tcW w:w="571" w:type="dxa"/>
          </w:tcPr>
          <w:p>
            <w:pPr>
              <w:spacing w:after="0" w:line="360" w:lineRule="auto"/>
              <w:jc w:val="right"/>
              <w:rPr>
                <w:iCs/>
                <w:color w:val="auto"/>
                <w:sz w:val="24"/>
                <w:szCs w:val="24"/>
              </w:rPr>
            </w:pPr>
            <m:oMathPara>
              <m:oMathParaPr>
                <m:jc m:val="right"/>
              </m:oMathParaPr>
              <m:oMath>
                <m:r>
                  <m:rPr/>
                  <w:rPr>
                    <w:rFonts w:ascii="Cambria Math" w:hAnsi="Cambria Math"/>
                    <w:color w:val="auto"/>
                    <w:sz w:val="24"/>
                    <w:szCs w:val="24"/>
                  </w:rPr>
                  <m:t>a,b</m:t>
                </m:r>
              </m:oMath>
            </m:oMathPara>
          </w:p>
        </w:tc>
        <w:tc>
          <w:tcPr>
            <w:tcW w:w="450" w:type="dxa"/>
          </w:tcPr>
          <w:p>
            <w:pPr>
              <w:spacing w:after="0" w:line="360" w:lineRule="auto"/>
              <w:rPr>
                <w:iCs/>
                <w:color w:val="auto"/>
                <w:sz w:val="24"/>
                <w:szCs w:val="24"/>
              </w:rPr>
            </w:pPr>
            <w:r>
              <w:rPr>
                <w:rFonts w:hint="eastAsia"/>
                <w:iCs/>
                <w:color w:val="auto"/>
                <w:sz w:val="24"/>
                <w:szCs w:val="24"/>
              </w:rPr>
              <w:t>—</w:t>
            </w:r>
          </w:p>
        </w:tc>
        <w:tc>
          <w:tcPr>
            <w:tcW w:w="6591" w:type="dxa"/>
          </w:tcPr>
          <w:p>
            <w:pPr>
              <w:spacing w:after="0" w:line="360" w:lineRule="auto"/>
              <w:rPr>
                <w:iCs/>
                <w:color w:val="auto"/>
                <w:sz w:val="24"/>
                <w:szCs w:val="24"/>
              </w:rPr>
            </w:pPr>
            <w:r>
              <w:rPr>
                <w:rFonts w:hint="eastAsia"/>
                <w:iCs/>
                <w:color w:val="auto"/>
                <w:sz w:val="24"/>
                <w:szCs w:val="24"/>
              </w:rPr>
              <w:t>常数，根据试验数据推算；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4" w:type="dxa"/>
          </w:tcPr>
          <w:p>
            <w:pPr>
              <w:spacing w:after="0" w:line="360" w:lineRule="auto"/>
              <w:rPr>
                <w:iCs/>
                <w:color w:val="auto"/>
                <w:sz w:val="24"/>
                <w:szCs w:val="24"/>
              </w:rPr>
            </w:pPr>
          </w:p>
        </w:tc>
        <w:tc>
          <w:tcPr>
            <w:tcW w:w="571" w:type="dxa"/>
          </w:tcPr>
          <w:p>
            <w:pPr>
              <w:spacing w:after="0" w:line="360" w:lineRule="auto"/>
              <w:jc w:val="right"/>
              <w:rPr>
                <w:iCs/>
                <w:color w:val="auto"/>
                <w:sz w:val="24"/>
                <w:szCs w:val="24"/>
              </w:rPr>
            </w:pPr>
            <m:oMath>
              <m:r>
                <m:rPr/>
                <w:rPr>
                  <w:rFonts w:ascii="Cambria Math" w:hAnsi="Cambria Math"/>
                  <w:color w:val="auto"/>
                  <w:sz w:val="24"/>
                  <w:szCs w:val="24"/>
                </w:rPr>
                <m:t>t</m:t>
              </m:r>
            </m:oMath>
            <w:r>
              <w:rPr>
                <w:iCs/>
                <w:color w:val="auto"/>
                <w:sz w:val="24"/>
                <w:szCs w:val="24"/>
              </w:rPr>
              <w:t xml:space="preserve"> </w:t>
            </w:r>
          </w:p>
        </w:tc>
        <w:tc>
          <w:tcPr>
            <w:tcW w:w="450" w:type="dxa"/>
          </w:tcPr>
          <w:p>
            <w:pPr>
              <w:spacing w:after="0" w:line="360" w:lineRule="auto"/>
              <w:rPr>
                <w:iCs/>
                <w:color w:val="auto"/>
                <w:sz w:val="24"/>
                <w:szCs w:val="24"/>
              </w:rPr>
            </w:pPr>
            <w:r>
              <w:rPr>
                <w:rFonts w:hint="eastAsia"/>
                <w:iCs/>
                <w:color w:val="auto"/>
                <w:sz w:val="24"/>
                <w:szCs w:val="24"/>
              </w:rPr>
              <w:t>—</w:t>
            </w:r>
          </w:p>
        </w:tc>
        <w:tc>
          <w:tcPr>
            <w:tcW w:w="6591" w:type="dxa"/>
          </w:tcPr>
          <w:p>
            <w:pPr>
              <w:spacing w:after="0" w:line="360" w:lineRule="auto"/>
              <w:rPr>
                <w:iCs/>
                <w:color w:val="auto"/>
                <w:sz w:val="24"/>
                <w:szCs w:val="24"/>
              </w:rPr>
            </w:pPr>
            <w:r>
              <w:rPr>
                <w:rFonts w:hint="eastAsia"/>
                <w:iCs/>
                <w:color w:val="auto"/>
                <w:sz w:val="24"/>
                <w:szCs w:val="24"/>
              </w:rPr>
              <w:t>恒定荷载加载时间，单位取小时（h）。</w:t>
            </w:r>
          </w:p>
        </w:tc>
      </w:tr>
    </w:tbl>
    <w:p>
      <w:pPr>
        <w:snapToGrid w:val="0"/>
        <w:spacing w:after="0" w:line="360" w:lineRule="auto"/>
        <w:rPr>
          <w:bCs/>
          <w:color w:val="auto"/>
          <w:sz w:val="24"/>
          <w:szCs w:val="24"/>
        </w:rPr>
      </w:pPr>
      <w:r>
        <w:rPr>
          <w:rFonts w:hint="eastAsia"/>
          <w:b/>
          <w:bCs/>
          <w:color w:val="auto"/>
          <w:sz w:val="24"/>
          <w:szCs w:val="24"/>
        </w:rPr>
        <w:t>G.2.3</w:t>
      </w:r>
      <w:r>
        <w:rPr>
          <w:color w:val="auto"/>
          <w:sz w:val="24"/>
          <w:szCs w:val="24"/>
        </w:rPr>
        <w:t xml:space="preserve"> </w:t>
      </w:r>
      <w:r>
        <w:rPr>
          <w:rFonts w:hint="eastAsia"/>
          <w:color w:val="auto"/>
          <w:sz w:val="24"/>
          <w:szCs w:val="24"/>
        </w:rPr>
        <w:t>按照公</w:t>
      </w:r>
      <w:r>
        <w:rPr>
          <w:color w:val="auto"/>
          <w:sz w:val="24"/>
          <w:szCs w:val="24"/>
        </w:rPr>
        <w:t>式</w:t>
      </w:r>
      <w:r>
        <w:rPr>
          <w:rFonts w:hint="eastAsia"/>
          <w:color w:val="auto"/>
          <w:sz w:val="24"/>
          <w:szCs w:val="24"/>
        </w:rPr>
        <w:t>（G.2.2）推算出</w:t>
      </w:r>
      <w:r>
        <w:rPr>
          <w:color w:val="auto"/>
          <w:sz w:val="24"/>
          <w:szCs w:val="24"/>
        </w:rPr>
        <w:t>常温</w:t>
      </w:r>
      <w:r>
        <w:rPr>
          <w:rFonts w:hint="eastAsia"/>
          <w:color w:val="auto"/>
          <w:sz w:val="24"/>
          <w:szCs w:val="24"/>
        </w:rPr>
        <w:t>持荷</w:t>
      </w:r>
      <w:r>
        <w:rPr>
          <w:color w:val="auto"/>
          <w:sz w:val="24"/>
          <w:szCs w:val="24"/>
        </w:rPr>
        <w:t>条件下</w:t>
      </w:r>
      <w:r>
        <w:rPr>
          <w:rFonts w:hint="eastAsia"/>
          <w:color w:val="auto"/>
          <w:sz w:val="24"/>
          <w:szCs w:val="24"/>
        </w:rPr>
        <w:t>5</w:t>
      </w:r>
      <w:r>
        <w:rPr>
          <w:color w:val="auto"/>
          <w:sz w:val="24"/>
          <w:szCs w:val="24"/>
        </w:rPr>
        <w:t>0</w:t>
      </w:r>
      <w:r>
        <w:rPr>
          <w:rFonts w:hint="eastAsia"/>
          <w:color w:val="auto"/>
          <w:sz w:val="24"/>
          <w:szCs w:val="24"/>
        </w:rPr>
        <w:t>年的植筋</w:t>
      </w:r>
      <w:r>
        <w:rPr>
          <w:color w:val="auto"/>
          <w:sz w:val="24"/>
          <w:szCs w:val="24"/>
        </w:rPr>
        <w:t>位移</w:t>
      </w:r>
      <w:r>
        <w:rPr>
          <w:rFonts w:hint="eastAsia"/>
          <w:color w:val="auto"/>
          <w:sz w:val="24"/>
          <w:szCs w:val="24"/>
        </w:rPr>
        <w:t>值</w:t>
      </w:r>
      <m:oMath>
        <m:sSub>
          <m:sSubPr>
            <m:ctrlPr>
              <w:rPr>
                <w:rStyle w:val="41"/>
                <w:rFonts w:ascii="Cambria Math" w:hAnsi="Cambria Math"/>
                <w:i/>
                <w:color w:val="auto"/>
                <w:sz w:val="24"/>
                <w:szCs w:val="24"/>
              </w:rPr>
            </m:ctrlPr>
          </m:sSubPr>
          <m:e>
            <m:r>
              <m:rPr/>
              <w:rPr>
                <w:rStyle w:val="41"/>
                <w:rFonts w:ascii="Cambria Math" w:hAnsi="Cambria Math"/>
                <w:color w:val="auto"/>
                <w:sz w:val="24"/>
                <w:szCs w:val="24"/>
              </w:rPr>
              <m:t>s</m:t>
            </m:r>
            <m:ctrlPr>
              <w:rPr>
                <w:rStyle w:val="41"/>
                <w:rFonts w:ascii="Cambria Math" w:hAnsi="Cambria Math"/>
                <w:i/>
                <w:color w:val="auto"/>
                <w:sz w:val="24"/>
                <w:szCs w:val="24"/>
              </w:rPr>
            </m:ctrlPr>
          </m:e>
          <m:sub>
            <m:r>
              <m:rPr/>
              <w:rPr>
                <w:rStyle w:val="41"/>
                <w:rFonts w:ascii="Cambria Math" w:hAnsi="Cambria Math"/>
                <w:color w:val="auto"/>
                <w:sz w:val="24"/>
                <w:szCs w:val="24"/>
              </w:rPr>
              <m:t>T1,  50y</m:t>
            </m:r>
            <m:ctrlPr>
              <w:rPr>
                <w:rStyle w:val="41"/>
                <w:rFonts w:ascii="Cambria Math" w:hAnsi="Cambria Math"/>
                <w:i/>
                <w:color w:val="auto"/>
                <w:sz w:val="24"/>
                <w:szCs w:val="24"/>
              </w:rPr>
            </m:ctrlPr>
          </m:sub>
        </m:sSub>
      </m:oMath>
      <w:r>
        <w:rPr>
          <w:rStyle w:val="41"/>
          <w:rFonts w:hint="eastAsia"/>
          <w:color w:val="auto"/>
          <w:sz w:val="24"/>
          <w:szCs w:val="24"/>
        </w:rPr>
        <w:t>，应小于</w:t>
      </w:r>
      <w:r>
        <w:rPr>
          <w:rFonts w:hint="eastAsia"/>
          <w:bCs/>
          <w:color w:val="auto"/>
          <w:sz w:val="24"/>
          <w:szCs w:val="24"/>
        </w:rPr>
        <w:t>基准试验中常温条件下对应的粘结失效位移</w:t>
      </w:r>
      <w:r>
        <w:rPr>
          <w:rFonts w:hint="eastAsia"/>
          <w:bCs/>
          <w:i/>
          <w:iCs/>
          <w:color w:val="auto"/>
          <w:sz w:val="24"/>
          <w:szCs w:val="24"/>
        </w:rPr>
        <w:t>s</w:t>
      </w:r>
      <w:r>
        <w:rPr>
          <w:bCs/>
          <w:color w:val="auto"/>
          <w:sz w:val="24"/>
          <w:szCs w:val="24"/>
          <w:vertAlign w:val="subscript"/>
        </w:rPr>
        <w:t>r,adh,m</w:t>
      </w:r>
      <w:r>
        <w:rPr>
          <w:bCs/>
          <w:color w:val="auto"/>
          <w:sz w:val="24"/>
          <w:szCs w:val="24"/>
        </w:rPr>
        <w:t>。</w:t>
      </w:r>
      <w:r>
        <w:rPr>
          <w:rFonts w:hint="eastAsia"/>
          <w:bCs/>
          <w:color w:val="auto"/>
          <w:sz w:val="24"/>
          <w:szCs w:val="24"/>
          <w:lang w:val="en-US" w:eastAsia="zh-CN"/>
        </w:rPr>
        <w:t>若</w:t>
      </w:r>
      <w:r>
        <w:rPr>
          <w:rFonts w:hint="eastAsia"/>
          <w:bCs/>
          <w:color w:val="auto"/>
          <w:sz w:val="24"/>
          <w:szCs w:val="24"/>
        </w:rPr>
        <w:t>不满足要求，应重新进行试验，此时测试荷载可降低1</w:t>
      </w:r>
      <w:r>
        <w:rPr>
          <w:bCs/>
          <w:color w:val="auto"/>
          <w:sz w:val="24"/>
          <w:szCs w:val="24"/>
        </w:rPr>
        <w:t>0</w:t>
      </w:r>
      <w:r>
        <w:rPr>
          <w:rFonts w:hint="eastAsia"/>
          <w:bCs/>
          <w:color w:val="auto"/>
          <w:sz w:val="24"/>
          <w:szCs w:val="24"/>
        </w:rPr>
        <w:t>%，即</w:t>
      </w:r>
      <w:r>
        <w:rPr>
          <w:rFonts w:hint="eastAsia"/>
          <w:bCs/>
          <w:i/>
          <w:iCs/>
          <w:color w:val="auto"/>
          <w:sz w:val="24"/>
          <w:szCs w:val="24"/>
        </w:rPr>
        <w:t>N</w:t>
      </w:r>
      <w:r>
        <w:rPr>
          <w:bCs/>
          <w:color w:val="auto"/>
          <w:sz w:val="24"/>
          <w:szCs w:val="24"/>
          <w:vertAlign w:val="subscript"/>
        </w:rPr>
        <w:t>sust, red.</w:t>
      </w:r>
      <w:r>
        <w:rPr>
          <w:bCs/>
          <w:color w:val="auto"/>
          <w:sz w:val="24"/>
          <w:szCs w:val="24"/>
        </w:rPr>
        <w:t xml:space="preserve"> = 0.9</w:t>
      </w:r>
      <w:r>
        <w:rPr>
          <w:bCs/>
          <w:i/>
          <w:iCs/>
          <w:color w:val="auto"/>
          <w:sz w:val="24"/>
          <w:szCs w:val="24"/>
        </w:rPr>
        <w:t>N</w:t>
      </w:r>
      <w:r>
        <w:rPr>
          <w:bCs/>
          <w:color w:val="auto"/>
          <w:sz w:val="24"/>
          <w:szCs w:val="24"/>
          <w:vertAlign w:val="subscript"/>
        </w:rPr>
        <w:t>sust</w:t>
      </w:r>
      <w:r>
        <w:rPr>
          <w:bCs/>
          <w:color w:val="auto"/>
          <w:sz w:val="24"/>
          <w:szCs w:val="24"/>
        </w:rPr>
        <w:t xml:space="preserve"> </w:t>
      </w:r>
      <w:r>
        <w:rPr>
          <w:rFonts w:hint="eastAsia"/>
          <w:bCs/>
          <w:color w:val="auto"/>
          <w:sz w:val="24"/>
          <w:szCs w:val="24"/>
        </w:rPr>
        <w:t>。</w:t>
      </w:r>
    </w:p>
    <w:p>
      <w:pPr>
        <w:spacing w:after="0" w:line="360" w:lineRule="auto"/>
        <w:rPr>
          <w:bCs/>
          <w:color w:val="auto"/>
          <w:sz w:val="24"/>
          <w:szCs w:val="24"/>
        </w:rPr>
      </w:pPr>
      <w:r>
        <w:rPr>
          <w:rFonts w:hint="eastAsia"/>
          <w:b/>
          <w:color w:val="auto"/>
          <w:sz w:val="24"/>
          <w:szCs w:val="24"/>
        </w:rPr>
        <w:t>G.2.4</w:t>
      </w:r>
      <w:r>
        <w:rPr>
          <w:bCs/>
          <w:color w:val="auto"/>
          <w:sz w:val="24"/>
          <w:szCs w:val="24"/>
        </w:rPr>
        <w:t xml:space="preserve"> </w:t>
      </w:r>
      <w:r>
        <w:rPr>
          <w:rFonts w:hint="eastAsia"/>
          <w:bCs/>
          <w:color w:val="auto"/>
          <w:sz w:val="24"/>
          <w:szCs w:val="24"/>
        </w:rPr>
        <w:t>长期荷载性能影响系数应符合下列规定：</w:t>
      </w:r>
    </w:p>
    <w:p>
      <w:pPr>
        <w:spacing w:after="0" w:line="360" w:lineRule="auto"/>
        <w:ind w:firstLine="420"/>
        <w:rPr>
          <w:bCs/>
          <w:color w:val="auto"/>
          <w:sz w:val="24"/>
          <w:szCs w:val="24"/>
        </w:rPr>
      </w:pPr>
      <w:r>
        <w:rPr>
          <w:rFonts w:hint="eastAsia"/>
          <w:color w:val="auto"/>
          <w:sz w:val="24"/>
          <w:szCs w:val="24"/>
        </w:rPr>
        <w:t xml:space="preserve">1 </w:t>
      </w:r>
      <w:r>
        <w:rPr>
          <w:bCs/>
          <w:color w:val="auto"/>
          <w:sz w:val="24"/>
          <w:szCs w:val="24"/>
        </w:rPr>
        <w:t>常温条件下长期荷载</w:t>
      </w:r>
      <w:r>
        <w:rPr>
          <w:rFonts w:hint="eastAsia"/>
          <w:bCs/>
          <w:color w:val="auto"/>
          <w:sz w:val="24"/>
          <w:szCs w:val="24"/>
        </w:rPr>
        <w:t>剩余承载力</w:t>
      </w:r>
      <w:r>
        <w:rPr>
          <w:bCs/>
          <w:color w:val="auto"/>
          <w:sz w:val="24"/>
          <w:szCs w:val="24"/>
        </w:rPr>
        <w:t>折减系数</w:t>
      </w:r>
      <w:r>
        <w:rPr>
          <w:i/>
          <w:color w:val="auto"/>
          <w:sz w:val="24"/>
          <w:szCs w:val="24"/>
        </w:rPr>
        <w:t>α</w:t>
      </w:r>
      <w:r>
        <w:rPr>
          <w:color w:val="auto"/>
          <w:sz w:val="24"/>
          <w:szCs w:val="24"/>
          <w:vertAlign w:val="subscript"/>
        </w:rPr>
        <w:t>q,sust,T1</w:t>
      </w:r>
      <w:r>
        <w:rPr>
          <w:rFonts w:hint="eastAsia"/>
          <w:bCs/>
          <w:color w:val="auto"/>
          <w:sz w:val="24"/>
          <w:szCs w:val="24"/>
        </w:rPr>
        <w:t>应按下式计算：</w:t>
      </w:r>
    </w:p>
    <w:p>
      <w:pPr>
        <w:spacing w:after="0" w:line="360" w:lineRule="auto"/>
        <w:jc w:val="right"/>
        <w:rPr>
          <w:color w:val="auto"/>
          <w:sz w:val="24"/>
          <w:szCs w:val="24"/>
        </w:rPr>
      </w:pPr>
      <w:r>
        <w:rPr>
          <w:color w:val="auto"/>
          <w:sz w:val="24"/>
          <w:szCs w:val="24"/>
        </w:rPr>
        <w:t xml:space="preserve">                 </w:t>
      </w: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q,sust,T1</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bm,sus</m:t>
                    </m:r>
                    <m:r>
                      <m:rPr/>
                      <w:rPr>
                        <w:rFonts w:hint="eastAsia" w:ascii="Cambria Math" w:hAnsi="Cambria Math"/>
                        <w:color w:val="auto"/>
                        <w:sz w:val="24"/>
                        <w:szCs w:val="24"/>
                      </w:rPr>
                      <m:t>t</m:t>
                    </m:r>
                    <m:r>
                      <m:rPr/>
                      <w:rPr>
                        <w:rFonts w:ascii="Cambria Math" w:hAnsi="Cambria Math"/>
                        <w:color w:val="auto"/>
                        <w:sz w:val="24"/>
                        <w:szCs w:val="24"/>
                      </w:rPr>
                      <m:t>,T1</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bm,r,c25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num>
          <m:den>
            <m:r>
              <m:rPr/>
              <w:rPr>
                <w:rFonts w:ascii="Cambria Math" w:hAnsi="Cambria Math"/>
                <w:color w:val="auto"/>
                <w:sz w:val="24"/>
                <w:szCs w:val="24"/>
              </w:rPr>
              <m:t>0.9</m:t>
            </m:r>
            <m:ctrlPr>
              <w:rPr>
                <w:rFonts w:ascii="Cambria Math" w:hAnsi="Cambria Math"/>
                <w:i/>
                <w:color w:val="auto"/>
                <w:sz w:val="24"/>
                <w:szCs w:val="24"/>
              </w:rPr>
            </m:ctrlPr>
          </m:den>
        </m:f>
        <m:r>
          <m:rPr/>
          <w:rPr>
            <w:rFonts w:ascii="Cambria Math" w:hAnsi="Cambria Math"/>
            <w:color w:val="auto"/>
            <w:sz w:val="24"/>
            <w:szCs w:val="24"/>
          </w:rPr>
          <m:t>≤1.0</m:t>
        </m:r>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G.2.4</w:t>
      </w:r>
      <w:r>
        <w:rPr>
          <w:color w:val="auto"/>
          <w:sz w:val="24"/>
          <w:szCs w:val="24"/>
        </w:rPr>
        <w:t>-1)</w:t>
      </w:r>
    </w:p>
    <w:tbl>
      <w:tblPr>
        <w:tblStyle w:val="28"/>
        <w:tblW w:w="83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
        <w:gridCol w:w="1211"/>
        <w:gridCol w:w="456"/>
        <w:gridCol w:w="5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8" w:type="dxa"/>
            <w:tcMar>
              <w:left w:w="43" w:type="dxa"/>
              <w:right w:w="43" w:type="dxa"/>
            </w:tcMar>
          </w:tcPr>
          <w:p>
            <w:pPr>
              <w:spacing w:after="0" w:line="360" w:lineRule="auto"/>
              <w:rPr>
                <w:iCs/>
                <w:color w:val="auto"/>
                <w:sz w:val="24"/>
                <w:szCs w:val="24"/>
              </w:rPr>
            </w:pPr>
            <w:r>
              <w:rPr>
                <w:rFonts w:hint="eastAsia"/>
                <w:iCs/>
                <w:color w:val="auto"/>
                <w:sz w:val="24"/>
                <w:szCs w:val="24"/>
              </w:rPr>
              <w:t>式中:</w:t>
            </w:r>
          </w:p>
        </w:tc>
        <w:tc>
          <w:tcPr>
            <w:tcW w:w="1211"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q,sust,T1</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984" w:type="dxa"/>
          </w:tcPr>
          <w:p>
            <w:pPr>
              <w:spacing w:after="0" w:line="360" w:lineRule="auto"/>
              <w:rPr>
                <w:iCs/>
                <w:color w:val="auto"/>
                <w:sz w:val="24"/>
                <w:szCs w:val="24"/>
              </w:rPr>
            </w:pPr>
            <w:r>
              <w:rPr>
                <w:rFonts w:hint="eastAsia"/>
                <w:iCs/>
                <w:color w:val="auto"/>
                <w:sz w:val="24"/>
                <w:szCs w:val="24"/>
              </w:rPr>
              <w:t>常温条件下长期荷载试验剩余承载力折减系数；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8" w:type="dxa"/>
          </w:tcPr>
          <w:p>
            <w:pPr>
              <w:spacing w:after="0" w:line="360" w:lineRule="auto"/>
              <w:rPr>
                <w:iCs/>
                <w:color w:val="auto"/>
                <w:sz w:val="24"/>
                <w:szCs w:val="24"/>
              </w:rPr>
            </w:pPr>
          </w:p>
        </w:tc>
        <w:tc>
          <w:tcPr>
            <w:tcW w:w="1211"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hint="eastAsia"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bm,sust,T1</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984" w:type="dxa"/>
          </w:tcPr>
          <w:p>
            <w:pPr>
              <w:spacing w:after="0" w:line="360" w:lineRule="auto"/>
              <w:rPr>
                <w:iCs/>
                <w:color w:val="auto"/>
                <w:sz w:val="24"/>
                <w:szCs w:val="24"/>
              </w:rPr>
            </w:pPr>
            <w:r>
              <w:rPr>
                <w:rFonts w:hint="eastAsia"/>
                <w:iCs/>
                <w:color w:val="auto"/>
                <w:sz w:val="24"/>
                <w:szCs w:val="24"/>
              </w:rPr>
              <w:t>长期荷载测试后植筋的粘结强度（N</w:t>
            </w:r>
            <w:r>
              <w:rPr>
                <w:iCs/>
                <w:color w:val="auto"/>
                <w:sz w:val="24"/>
                <w:szCs w:val="24"/>
              </w:rPr>
              <w:t>/mm</w:t>
            </w:r>
            <w:r>
              <w:rPr>
                <w:iCs/>
                <w:color w:val="auto"/>
                <w:sz w:val="24"/>
                <w:szCs w:val="24"/>
                <w:vertAlign w:val="superscript"/>
              </w:rPr>
              <w:t>2</w:t>
            </w:r>
            <w:r>
              <w:rPr>
                <w:rFonts w:hint="eastAsia"/>
                <w:iCs/>
                <w:color w:val="auto"/>
                <w:sz w:val="24"/>
                <w:szCs w:val="24"/>
              </w:rPr>
              <w:t>）。</w:t>
            </w:r>
          </w:p>
        </w:tc>
      </w:tr>
    </w:tbl>
    <w:p>
      <w:pPr>
        <w:spacing w:after="0" w:line="360" w:lineRule="auto"/>
        <w:rPr>
          <w:color w:val="auto"/>
          <w:sz w:val="24"/>
          <w:szCs w:val="24"/>
        </w:rPr>
      </w:pPr>
      <w:r>
        <w:rPr>
          <w:rFonts w:hint="eastAsia"/>
          <w:bCs/>
          <w:color w:val="auto"/>
          <w:sz w:val="24"/>
          <w:szCs w:val="24"/>
        </w:rPr>
        <w:tab/>
      </w:r>
      <w:r>
        <w:rPr>
          <w:bCs/>
          <w:color w:val="auto"/>
          <w:sz w:val="24"/>
          <w:szCs w:val="24"/>
        </w:rPr>
        <w:t>2</w:t>
      </w:r>
      <w:r>
        <w:rPr>
          <w:rFonts w:hint="eastAsia"/>
          <w:color w:val="auto"/>
          <w:sz w:val="24"/>
          <w:szCs w:val="24"/>
          <w:lang w:val="en-US" w:eastAsia="zh-CN"/>
        </w:rPr>
        <w:t>当</w:t>
      </w:r>
      <w:r>
        <w:rPr>
          <w:rFonts w:hint="eastAsia"/>
          <w:color w:val="auto"/>
          <w:sz w:val="24"/>
          <w:szCs w:val="24"/>
        </w:rPr>
        <w:t>测试过程中根据本规程G.1.</w:t>
      </w:r>
      <w:r>
        <w:rPr>
          <w:color w:val="auto"/>
          <w:sz w:val="24"/>
          <w:szCs w:val="24"/>
        </w:rPr>
        <w:t>3</w:t>
      </w:r>
      <w:r>
        <w:rPr>
          <w:rFonts w:hint="eastAsia"/>
          <w:color w:val="auto"/>
          <w:sz w:val="24"/>
          <w:szCs w:val="24"/>
        </w:rPr>
        <w:t>条或G.2.3条规定降低了施加的恒定荷载，则应</w:t>
      </w:r>
      <w:r>
        <w:rPr>
          <w:color w:val="auto"/>
          <w:sz w:val="24"/>
          <w:szCs w:val="24"/>
        </w:rPr>
        <w:t>按</w:t>
      </w:r>
      <w:r>
        <w:rPr>
          <w:rFonts w:hint="eastAsia"/>
          <w:bCs/>
          <w:color w:val="auto"/>
          <w:sz w:val="24"/>
          <w:szCs w:val="24"/>
        </w:rPr>
        <w:t>下式</w:t>
      </w:r>
      <w:r>
        <w:rPr>
          <w:rFonts w:hint="eastAsia"/>
          <w:color w:val="auto"/>
          <w:sz w:val="24"/>
          <w:szCs w:val="24"/>
        </w:rPr>
        <w:t>计算</w:t>
      </w:r>
      <w:r>
        <w:rPr>
          <w:rFonts w:hint="eastAsia"/>
          <w:bCs/>
          <w:color w:val="auto"/>
          <w:sz w:val="24"/>
          <w:szCs w:val="24"/>
        </w:rPr>
        <w:t>加载</w:t>
      </w:r>
      <w:r>
        <w:rPr>
          <w:bCs/>
          <w:color w:val="auto"/>
          <w:sz w:val="24"/>
          <w:szCs w:val="24"/>
        </w:rPr>
        <w:t>折减系数</w:t>
      </w:r>
      <w:r>
        <w:rPr>
          <w:i/>
          <w:color w:val="auto"/>
          <w:sz w:val="24"/>
          <w:szCs w:val="24"/>
        </w:rPr>
        <w:t>α</w:t>
      </w:r>
      <w:r>
        <w:rPr>
          <w:rFonts w:hint="eastAsia"/>
          <w:color w:val="auto"/>
          <w:sz w:val="24"/>
          <w:szCs w:val="24"/>
          <w:vertAlign w:val="subscript"/>
        </w:rPr>
        <w:t>p</w:t>
      </w:r>
      <w:r>
        <w:rPr>
          <w:color w:val="auto"/>
          <w:sz w:val="24"/>
          <w:szCs w:val="24"/>
          <w:vertAlign w:val="subscript"/>
        </w:rPr>
        <w:t>,sust,T1</w:t>
      </w:r>
      <w:r>
        <w:rPr>
          <w:rFonts w:hint="eastAsia"/>
          <w:color w:val="auto"/>
          <w:sz w:val="24"/>
          <w:szCs w:val="24"/>
        </w:rPr>
        <w:t>，</w:t>
      </w:r>
      <w:r>
        <w:rPr>
          <w:rFonts w:hint="eastAsia"/>
          <w:color w:val="auto"/>
          <w:sz w:val="24"/>
          <w:szCs w:val="24"/>
          <w:lang w:val="en-US" w:eastAsia="zh-CN"/>
        </w:rPr>
        <w:t>若</w:t>
      </w:r>
      <w:r>
        <w:rPr>
          <w:rFonts w:hint="eastAsia"/>
          <w:color w:val="auto"/>
          <w:sz w:val="24"/>
          <w:szCs w:val="24"/>
        </w:rPr>
        <w:t>没有降低该恒定荷载，则取</w:t>
      </w:r>
      <w:r>
        <w:rPr>
          <w:i/>
          <w:color w:val="auto"/>
          <w:sz w:val="24"/>
          <w:szCs w:val="24"/>
        </w:rPr>
        <w:t>α</w:t>
      </w:r>
      <w:r>
        <w:rPr>
          <w:rFonts w:hint="eastAsia"/>
          <w:color w:val="auto"/>
          <w:sz w:val="24"/>
          <w:szCs w:val="24"/>
          <w:vertAlign w:val="subscript"/>
        </w:rPr>
        <w:t>p</w:t>
      </w:r>
      <w:r>
        <w:rPr>
          <w:color w:val="auto"/>
          <w:sz w:val="24"/>
          <w:szCs w:val="24"/>
          <w:vertAlign w:val="subscript"/>
        </w:rPr>
        <w:t>,sust,T1</w:t>
      </w:r>
      <w:r>
        <w:rPr>
          <w:rFonts w:hint="eastAsia"/>
          <w:color w:val="auto"/>
          <w:sz w:val="24"/>
          <w:szCs w:val="24"/>
        </w:rPr>
        <w:t>=</w:t>
      </w:r>
      <w:r>
        <w:rPr>
          <w:color w:val="auto"/>
          <w:sz w:val="24"/>
          <w:szCs w:val="24"/>
        </w:rPr>
        <w:t>1.0</w:t>
      </w:r>
      <w:r>
        <w:rPr>
          <w:rFonts w:hint="eastAsia"/>
          <w:color w:val="auto"/>
          <w:sz w:val="24"/>
          <w:szCs w:val="24"/>
        </w:rPr>
        <w:t>。</w:t>
      </w:r>
    </w:p>
    <w:p>
      <w:pPr>
        <w:spacing w:after="0" w:line="360" w:lineRule="auto"/>
        <w:jc w:val="right"/>
        <w:rPr>
          <w:color w:val="auto"/>
          <w:sz w:val="24"/>
          <w:szCs w:val="24"/>
        </w:rPr>
      </w:pPr>
      <w:r>
        <w:rPr>
          <w:color w:val="auto"/>
          <w:sz w:val="24"/>
          <w:szCs w:val="24"/>
        </w:rPr>
        <w:t xml:space="preserve">                 </w:t>
      </w: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p,sust,T1</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sust,red</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m:t>
                </m:r>
                <m:ctrlPr>
                  <w:rPr>
                    <w:rFonts w:ascii="Cambria Math" w:hAnsi="Cambria Math"/>
                    <w:i/>
                    <w:color w:val="auto"/>
                    <w:sz w:val="24"/>
                    <w:szCs w:val="24"/>
                  </w:rPr>
                </m:ctrlPr>
              </m:sub>
            </m:sSub>
            <m:ctrlPr>
              <w:rPr>
                <w:rFonts w:ascii="Cambria Math" w:hAnsi="Cambria Math"/>
                <w:i/>
                <w:color w:val="auto"/>
                <w:sz w:val="24"/>
                <w:szCs w:val="24"/>
              </w:rPr>
            </m:ctrlPr>
          </m:den>
        </m:f>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G.2.4</w:t>
      </w:r>
      <w:r>
        <w:rPr>
          <w:color w:val="auto"/>
          <w:sz w:val="24"/>
          <w:szCs w:val="24"/>
        </w:rPr>
        <w:t>-2)</w:t>
      </w:r>
    </w:p>
    <w:tbl>
      <w:tblPr>
        <w:tblStyle w:val="28"/>
        <w:tblW w:w="83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0"/>
        <w:gridCol w:w="1106"/>
        <w:gridCol w:w="456"/>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0" w:type="dxa"/>
            <w:tcMar>
              <w:left w:w="43" w:type="dxa"/>
              <w:right w:w="43" w:type="dxa"/>
            </w:tcMar>
          </w:tcPr>
          <w:p>
            <w:pPr>
              <w:spacing w:after="0" w:line="360" w:lineRule="auto"/>
              <w:rPr>
                <w:iCs/>
                <w:color w:val="auto"/>
                <w:sz w:val="24"/>
                <w:szCs w:val="24"/>
              </w:rPr>
            </w:pPr>
            <w:r>
              <w:rPr>
                <w:rFonts w:hint="eastAsia"/>
                <w:iCs/>
                <w:color w:val="auto"/>
                <w:sz w:val="24"/>
                <w:szCs w:val="24"/>
              </w:rPr>
              <w:t>式中:</w:t>
            </w:r>
          </w:p>
        </w:tc>
        <w:tc>
          <w:tcPr>
            <w:tcW w:w="1106"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p,sust,T1</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6087" w:type="dxa"/>
          </w:tcPr>
          <w:p>
            <w:pPr>
              <w:spacing w:after="0" w:line="360" w:lineRule="auto"/>
              <w:rPr>
                <w:iCs/>
                <w:color w:val="auto"/>
                <w:sz w:val="24"/>
                <w:szCs w:val="24"/>
              </w:rPr>
            </w:pPr>
            <w:r>
              <w:rPr>
                <w:rFonts w:hint="eastAsia"/>
                <w:iCs/>
                <w:color w:val="auto"/>
                <w:sz w:val="24"/>
                <w:szCs w:val="24"/>
              </w:rPr>
              <w:t>常温条件下长期荷载试验测试荷载降低对应折减系数；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0" w:type="dxa"/>
          </w:tcPr>
          <w:p>
            <w:pPr>
              <w:spacing w:after="0" w:line="360" w:lineRule="auto"/>
              <w:rPr>
                <w:iCs/>
                <w:color w:val="auto"/>
                <w:sz w:val="24"/>
                <w:szCs w:val="24"/>
              </w:rPr>
            </w:pPr>
          </w:p>
        </w:tc>
        <w:tc>
          <w:tcPr>
            <w:tcW w:w="1106"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sust,red</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6087" w:type="dxa"/>
          </w:tcPr>
          <w:p>
            <w:pPr>
              <w:spacing w:after="0" w:line="360" w:lineRule="auto"/>
              <w:rPr>
                <w:iCs/>
                <w:color w:val="auto"/>
                <w:sz w:val="24"/>
                <w:szCs w:val="24"/>
              </w:rPr>
            </w:pPr>
            <w:r>
              <w:rPr>
                <w:rFonts w:hint="eastAsia"/>
                <w:iCs/>
                <w:color w:val="auto"/>
                <w:sz w:val="24"/>
                <w:szCs w:val="24"/>
              </w:rPr>
              <w:t>折减后的测试荷载（N）；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10" w:type="dxa"/>
          </w:tcPr>
          <w:p>
            <w:pPr>
              <w:spacing w:after="0" w:line="360" w:lineRule="auto"/>
              <w:rPr>
                <w:iCs/>
                <w:color w:val="auto"/>
                <w:sz w:val="24"/>
                <w:szCs w:val="24"/>
              </w:rPr>
            </w:pPr>
          </w:p>
        </w:tc>
        <w:tc>
          <w:tcPr>
            <w:tcW w:w="1106"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6087" w:type="dxa"/>
          </w:tcPr>
          <w:p>
            <w:pPr>
              <w:spacing w:after="0" w:line="360" w:lineRule="auto"/>
              <w:rPr>
                <w:iCs/>
                <w:color w:val="auto"/>
                <w:sz w:val="24"/>
                <w:szCs w:val="24"/>
              </w:rPr>
            </w:pPr>
            <w:r>
              <w:rPr>
                <w:rFonts w:hint="eastAsia"/>
                <w:bCs/>
                <w:color w:val="auto"/>
                <w:sz w:val="24"/>
                <w:szCs w:val="24"/>
              </w:rPr>
              <w:t>初始测试荷载，</w:t>
            </w:r>
            <w:r>
              <w:rPr>
                <w:rFonts w:hint="eastAsia"/>
                <w:bCs/>
                <w:color w:val="auto"/>
                <w:sz w:val="24"/>
                <w:szCs w:val="24"/>
                <w:lang w:val="en-US" w:eastAsia="zh-CN"/>
              </w:rPr>
              <w:t>按本规程</w:t>
            </w:r>
            <w:r>
              <w:rPr>
                <w:rFonts w:hint="eastAsia"/>
                <w:bCs/>
                <w:color w:val="auto"/>
                <w:sz w:val="24"/>
                <w:szCs w:val="24"/>
              </w:rPr>
              <w:t>G.1.</w:t>
            </w:r>
            <w:r>
              <w:rPr>
                <w:bCs/>
                <w:color w:val="auto"/>
                <w:sz w:val="24"/>
                <w:szCs w:val="24"/>
              </w:rPr>
              <w:t>2</w:t>
            </w:r>
            <w:r>
              <w:rPr>
                <w:rFonts w:hint="eastAsia"/>
                <w:bCs/>
                <w:color w:val="auto"/>
                <w:sz w:val="24"/>
                <w:szCs w:val="24"/>
              </w:rPr>
              <w:t>条</w:t>
            </w:r>
            <w:r>
              <w:rPr>
                <w:rFonts w:hint="eastAsia"/>
                <w:bCs/>
                <w:color w:val="auto"/>
                <w:sz w:val="24"/>
                <w:szCs w:val="24"/>
                <w:lang w:val="en-US" w:eastAsia="zh-CN"/>
              </w:rPr>
              <w:t>取用</w:t>
            </w:r>
            <w:r>
              <w:rPr>
                <w:rFonts w:hint="eastAsia"/>
                <w:bCs/>
                <w:color w:val="auto"/>
                <w:sz w:val="24"/>
                <w:szCs w:val="24"/>
              </w:rPr>
              <w:t>（N）。</w:t>
            </w:r>
          </w:p>
        </w:tc>
      </w:tr>
    </w:tbl>
    <w:p>
      <w:pPr>
        <w:spacing w:after="0" w:line="360" w:lineRule="auto"/>
        <w:rPr>
          <w:rFonts w:ascii="宋体" w:hAnsi="宋体"/>
          <w:bCs/>
          <w:color w:val="000000" w:themeColor="text1"/>
          <w:sz w:val="24"/>
          <w:szCs w:val="24"/>
          <w14:textFill>
            <w14:solidFill>
              <w14:schemeClr w14:val="tx1"/>
            </w14:solidFill>
          </w14:textFill>
        </w:rPr>
      </w:pPr>
      <w:r>
        <w:rPr>
          <w:rFonts w:hint="eastAsia"/>
          <w:bCs/>
          <w:color w:val="auto"/>
          <w:sz w:val="24"/>
          <w:szCs w:val="24"/>
        </w:rPr>
        <w:tab/>
      </w:r>
      <w:r>
        <w:rPr>
          <w:rFonts w:hint="eastAsia"/>
          <w:bCs/>
          <w:color w:val="auto"/>
          <w:sz w:val="24"/>
          <w:szCs w:val="24"/>
        </w:rPr>
        <w:t>3 考虑植筋系统在常温使用条件时长期持续拉力荷载下的</w:t>
      </w:r>
      <w:r>
        <w:rPr>
          <w:rFonts w:hint="eastAsia" w:ascii="宋体" w:hAnsi="宋体"/>
          <w:bCs/>
          <w:color w:val="000000" w:themeColor="text1"/>
          <w:sz w:val="24"/>
          <w:szCs w:val="24"/>
          <w14:textFill>
            <w14:solidFill>
              <w14:schemeClr w14:val="tx1"/>
            </w14:solidFill>
          </w14:textFill>
        </w:rPr>
        <w:t>植筋系统粘结强度的影响系数</w:t>
      </w:r>
      <w:r>
        <w:rPr>
          <w:rFonts w:hint="eastAsia" w:ascii="宋体" w:hAnsi="宋体"/>
          <w:color w:val="000000" w:themeColor="text1"/>
          <w:sz w:val="24"/>
          <w:szCs w:val="24"/>
          <w14:textFill>
            <w14:solidFill>
              <w14:schemeClr w14:val="tx1"/>
            </w14:solidFill>
          </w14:textFill>
        </w:rPr>
        <w:t>应按下式计算：</w:t>
      </w:r>
    </w:p>
    <w:p>
      <w:pPr>
        <w:spacing w:after="0" w:line="360" w:lineRule="auto"/>
        <w:jc w:val="right"/>
        <w:rPr>
          <w:bCs/>
          <w:color w:val="auto"/>
          <w:sz w:val="24"/>
          <w:szCs w:val="24"/>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sus</m:t>
            </m:r>
            <m:r>
              <m:rPr/>
              <w:rPr>
                <w:rFonts w:ascii="Cambria Math" w:hAnsi="Cambria Math"/>
                <w:color w:val="000000" w:themeColor="text1"/>
                <w:sz w:val="24"/>
                <w:szCs w:val="24"/>
                <w14:textFill>
                  <w14:solidFill>
                    <w14:schemeClr w14:val="tx1"/>
                  </w14:solidFill>
                </w14:textFill>
              </w:rPr>
              <m:t>t,T1</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q,sust,T1</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bCs/>
                <w:i/>
                <w:color w:val="auto"/>
                <w:sz w:val="24"/>
                <w:szCs w:val="24"/>
              </w:rPr>
            </m:ctrlPr>
          </m:sSubPr>
          <m:e>
            <m:r>
              <m:rPr/>
              <w:rPr>
                <w:rFonts w:ascii="Cambria Math" w:hAnsi="Cambria Math"/>
                <w:color w:val="auto"/>
                <w:sz w:val="24"/>
                <w:szCs w:val="24"/>
              </w:rPr>
              <m:t>α</m:t>
            </m:r>
            <m:ctrlPr>
              <w:rPr>
                <w:rFonts w:ascii="Cambria Math" w:hAnsi="Cambria Math"/>
                <w:bCs/>
                <w:i/>
                <w:color w:val="auto"/>
                <w:sz w:val="24"/>
                <w:szCs w:val="24"/>
              </w:rPr>
            </m:ctrlPr>
          </m:e>
          <m:sub>
            <m:r>
              <m:rPr/>
              <w:rPr>
                <w:rFonts w:ascii="Cambria Math" w:hAnsi="Cambria Math"/>
                <w:color w:val="auto"/>
                <w:sz w:val="24"/>
                <w:szCs w:val="24"/>
              </w:rPr>
              <m:t>p,sst,T1</m:t>
            </m:r>
            <m:ctrlPr>
              <w:rPr>
                <w:rFonts w:ascii="Cambria Math" w:hAnsi="Cambria Math"/>
                <w:bCs/>
                <w:i/>
                <w:color w:val="auto"/>
                <w:sz w:val="24"/>
                <w:szCs w:val="24"/>
              </w:rPr>
            </m:ctrlPr>
          </m:sub>
        </m:sSub>
        <m:r>
          <m:rPr/>
          <w:rPr>
            <w:rFonts w:ascii="Cambria Math" w:hAnsi="Cambria Math"/>
            <w:color w:val="auto"/>
            <w:sz w:val="24"/>
            <w:szCs w:val="24"/>
          </w:rPr>
          <m:t>≤1.0</m:t>
        </m:r>
      </m:oMath>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bCs/>
          <w:color w:val="auto"/>
          <w:sz w:val="24"/>
          <w:szCs w:val="24"/>
        </w:rPr>
        <w:t>(</w:t>
      </w:r>
      <w:r>
        <w:rPr>
          <w:rFonts w:hint="eastAsia"/>
          <w:bCs/>
          <w:color w:val="auto"/>
          <w:sz w:val="24"/>
          <w:szCs w:val="24"/>
        </w:rPr>
        <w:t>G.2.4</w:t>
      </w:r>
      <w:r>
        <w:rPr>
          <w:bCs/>
          <w:color w:val="auto"/>
          <w:sz w:val="24"/>
          <w:szCs w:val="24"/>
        </w:rPr>
        <w:t>-3)</w:t>
      </w:r>
    </w:p>
    <w:tbl>
      <w:tblPr>
        <w:tblStyle w:val="28"/>
        <w:tblW w:w="83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0"/>
        <w:gridCol w:w="1106"/>
        <w:gridCol w:w="456"/>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0" w:type="dxa"/>
            <w:tcMar>
              <w:left w:w="43" w:type="dxa"/>
              <w:right w:w="43" w:type="dxa"/>
            </w:tcMar>
          </w:tcPr>
          <w:p>
            <w:pPr>
              <w:spacing w:after="0" w:line="360" w:lineRule="auto"/>
              <w:rPr>
                <w:iCs/>
                <w:color w:val="auto"/>
                <w:sz w:val="24"/>
                <w:szCs w:val="24"/>
              </w:rPr>
            </w:pPr>
            <w:r>
              <w:rPr>
                <w:rFonts w:hint="eastAsia"/>
                <w:iCs/>
                <w:color w:val="auto"/>
                <w:sz w:val="24"/>
                <w:szCs w:val="24"/>
              </w:rPr>
              <w:t>式中:</w:t>
            </w:r>
          </w:p>
        </w:tc>
        <w:tc>
          <w:tcPr>
            <w:tcW w:w="1106"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ust,T1</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6087" w:type="dxa"/>
          </w:tcPr>
          <w:p>
            <w:pPr>
              <w:spacing w:after="0" w:line="360" w:lineRule="auto"/>
              <w:rPr>
                <w:iCs/>
                <w:color w:val="auto"/>
                <w:sz w:val="24"/>
                <w:szCs w:val="24"/>
              </w:rPr>
            </w:pPr>
            <w:r>
              <w:rPr>
                <w:rFonts w:hint="eastAsia"/>
                <w:iCs/>
                <w:color w:val="auto"/>
                <w:sz w:val="24"/>
                <w:szCs w:val="24"/>
              </w:rPr>
              <w:t>常温条件下长期荷载试验</w:t>
            </w:r>
            <w:r>
              <w:rPr>
                <w:rFonts w:hint="eastAsia"/>
                <w:iCs/>
                <w:color w:val="000000" w:themeColor="text1"/>
                <w:sz w:val="24"/>
                <w:szCs w:val="24"/>
                <w14:textFill>
                  <w14:solidFill>
                    <w14:schemeClr w14:val="tx1"/>
                  </w14:solidFill>
                </w14:textFill>
              </w:rPr>
              <w:t>的承载力折减系数。</w:t>
            </w:r>
          </w:p>
        </w:tc>
      </w:tr>
    </w:tbl>
    <w:p>
      <w:pPr>
        <w:pStyle w:val="2"/>
        <w:ind w:left="0" w:leftChars="0" w:firstLine="0" w:firstLineChars="0"/>
      </w:pPr>
    </w:p>
    <w:p>
      <w:pPr>
        <w:snapToGrid w:val="0"/>
        <w:rPr>
          <w:rFonts w:eastAsia="黑体"/>
          <w:b/>
        </w:rPr>
      </w:pPr>
    </w:p>
    <w:p>
      <w:pPr>
        <w:widowControl/>
        <w:spacing w:after="0" w:line="240" w:lineRule="auto"/>
        <w:jc w:val="left"/>
        <w:rPr>
          <w:rFonts w:eastAsiaTheme="majorEastAsia" w:cstheme="majorBidi"/>
          <w:b/>
          <w:color w:val="000000" w:themeColor="text1"/>
          <w:sz w:val="30"/>
          <w:szCs w:val="32"/>
          <w14:textFill>
            <w14:solidFill>
              <w14:schemeClr w14:val="tx1"/>
            </w14:solidFill>
          </w14:textFill>
        </w:rPr>
      </w:pPr>
      <w:r>
        <w:br w:type="page"/>
      </w:r>
    </w:p>
    <w:p>
      <w:pPr>
        <w:pStyle w:val="4"/>
        <w:rPr>
          <w:rFonts w:ascii="Times New Roman" w:hAnsi="Times New Roman"/>
        </w:rPr>
      </w:pPr>
      <w:bookmarkStart w:id="112" w:name="_Toc6975"/>
      <w:r>
        <w:rPr>
          <w:rFonts w:hint="eastAsia" w:ascii="Times New Roman" w:hAnsi="Times New Roman"/>
        </w:rPr>
        <w:t>附录H 最高长期使用温度下长期荷载性能试验方法与评估</w:t>
      </w:r>
      <w:bookmarkEnd w:id="112"/>
    </w:p>
    <w:p>
      <w:pPr>
        <w:pStyle w:val="5"/>
      </w:pPr>
      <w:bookmarkStart w:id="113" w:name="_Toc10036"/>
      <w:bookmarkStart w:id="114" w:name="_Toc25742"/>
      <w:bookmarkStart w:id="115" w:name="_Toc6682"/>
      <w:r>
        <w:rPr>
          <w:rFonts w:hint="eastAsia"/>
        </w:rPr>
        <w:t>H.1 最高长期使用温度下长期荷载试验流程</w:t>
      </w:r>
      <w:bookmarkEnd w:id="113"/>
      <w:bookmarkEnd w:id="114"/>
      <w:bookmarkEnd w:id="115"/>
    </w:p>
    <w:p>
      <w:pPr>
        <w:spacing w:after="0" w:line="360" w:lineRule="auto"/>
        <w:rPr>
          <w:color w:val="auto"/>
          <w:sz w:val="24"/>
          <w:szCs w:val="24"/>
        </w:rPr>
      </w:pPr>
      <w:r>
        <w:rPr>
          <w:rFonts w:hint="eastAsia"/>
          <w:b/>
          <w:bCs/>
          <w:color w:val="auto"/>
          <w:sz w:val="24"/>
          <w:szCs w:val="24"/>
        </w:rPr>
        <w:t>H.1.</w:t>
      </w:r>
      <w:r>
        <w:rPr>
          <w:b/>
          <w:bCs/>
          <w:color w:val="auto"/>
          <w:sz w:val="24"/>
          <w:szCs w:val="24"/>
        </w:rPr>
        <w:t>1</w:t>
      </w:r>
      <w:r>
        <w:rPr>
          <w:rFonts w:hint="eastAsia"/>
          <w:color w:val="auto"/>
          <w:sz w:val="24"/>
          <w:szCs w:val="24"/>
        </w:rPr>
        <w:t>最高长期使用温度试验环境应为空气温度（</w:t>
      </w:r>
      <w:r>
        <w:rPr>
          <w:color w:val="auto"/>
          <w:sz w:val="24"/>
          <w:szCs w:val="24"/>
        </w:rPr>
        <w:t>T3</w:t>
      </w:r>
      <w:r>
        <w:rPr>
          <w:rFonts w:hint="eastAsia"/>
          <w:bCs/>
          <w:color w:val="auto"/>
          <w:sz w:val="24"/>
          <w:szCs w:val="24"/>
        </w:rPr>
        <w:t>±</w:t>
      </w:r>
      <w:r>
        <w:rPr>
          <w:color w:val="auto"/>
          <w:sz w:val="24"/>
          <w:szCs w:val="24"/>
        </w:rPr>
        <w:t>2</w:t>
      </w:r>
      <w:r>
        <w:rPr>
          <w:rFonts w:hint="eastAsia"/>
          <w:color w:val="auto"/>
          <w:sz w:val="24"/>
          <w:szCs w:val="24"/>
        </w:rPr>
        <w:t>）℃，相对湿度（5</w:t>
      </w:r>
      <w:r>
        <w:rPr>
          <w:color w:val="auto"/>
          <w:sz w:val="24"/>
          <w:szCs w:val="24"/>
        </w:rPr>
        <w:t>0</w:t>
      </w:r>
      <w:r>
        <w:rPr>
          <w:rFonts w:hint="eastAsia"/>
          <w:bCs/>
          <w:color w:val="auto"/>
          <w:sz w:val="24"/>
          <w:szCs w:val="24"/>
        </w:rPr>
        <w:t>±</w:t>
      </w:r>
      <w:r>
        <w:rPr>
          <w:color w:val="auto"/>
          <w:sz w:val="24"/>
          <w:szCs w:val="24"/>
        </w:rPr>
        <w:t>10</w:t>
      </w:r>
      <w:r>
        <w:rPr>
          <w:rFonts w:hint="eastAsia"/>
          <w:color w:val="auto"/>
          <w:sz w:val="24"/>
          <w:szCs w:val="24"/>
        </w:rPr>
        <w:t>）%。最高长期使用温度T</w:t>
      </w:r>
      <w:r>
        <w:rPr>
          <w:color w:val="auto"/>
          <w:sz w:val="24"/>
          <w:szCs w:val="24"/>
        </w:rPr>
        <w:t>3</w:t>
      </w:r>
      <w:r>
        <w:rPr>
          <w:rFonts w:hint="eastAsia"/>
          <w:color w:val="auto"/>
          <w:sz w:val="24"/>
          <w:szCs w:val="24"/>
        </w:rPr>
        <w:t>可取5</w:t>
      </w:r>
      <w:r>
        <w:rPr>
          <w:color w:val="auto"/>
          <w:sz w:val="24"/>
          <w:szCs w:val="24"/>
        </w:rPr>
        <w:t>0</w:t>
      </w:r>
      <w:r>
        <w:rPr>
          <w:rFonts w:hint="eastAsia"/>
          <w:color w:val="auto"/>
          <w:sz w:val="24"/>
          <w:szCs w:val="24"/>
        </w:rPr>
        <w:t>℃，植筋系统生产商也可采用其它自定义的温度作为其产品的最高长期使用温度。</w:t>
      </w:r>
    </w:p>
    <w:p>
      <w:pPr>
        <w:spacing w:after="0" w:line="360" w:lineRule="auto"/>
        <w:rPr>
          <w:color w:val="auto"/>
          <w:sz w:val="24"/>
          <w:szCs w:val="24"/>
        </w:rPr>
      </w:pPr>
      <w:r>
        <w:rPr>
          <w:rFonts w:hint="eastAsia"/>
          <w:b/>
          <w:bCs/>
          <w:color w:val="auto"/>
          <w:sz w:val="24"/>
          <w:szCs w:val="24"/>
        </w:rPr>
        <w:t>H.1.</w:t>
      </w:r>
      <w:r>
        <w:rPr>
          <w:b/>
          <w:bCs/>
          <w:color w:val="auto"/>
          <w:sz w:val="24"/>
          <w:szCs w:val="24"/>
        </w:rPr>
        <w:t>2</w:t>
      </w:r>
      <w:r>
        <w:rPr>
          <w:rFonts w:hint="eastAsia"/>
          <w:color w:val="auto"/>
          <w:sz w:val="24"/>
          <w:szCs w:val="24"/>
        </w:rPr>
        <w:t>试样应</w:t>
      </w:r>
      <w:r>
        <w:rPr>
          <w:color w:val="auto"/>
          <w:sz w:val="24"/>
          <w:szCs w:val="24"/>
        </w:rPr>
        <w:t>与基准试验同时</w:t>
      </w:r>
      <w:r>
        <w:rPr>
          <w:rFonts w:hint="eastAsia"/>
          <w:color w:val="auto"/>
          <w:sz w:val="24"/>
          <w:szCs w:val="24"/>
        </w:rPr>
        <w:t>进行植筋安装，</w:t>
      </w:r>
      <w:r>
        <w:rPr>
          <w:rFonts w:ascii="宋体" w:hAnsi="宋体"/>
          <w:color w:val="auto"/>
          <w:sz w:val="24"/>
          <w:szCs w:val="24"/>
        </w:rPr>
        <w:t>养护</w:t>
      </w:r>
      <w:r>
        <w:rPr>
          <w:rFonts w:hint="eastAsia" w:ascii="宋体" w:hAnsi="宋体"/>
          <w:color w:val="auto"/>
          <w:sz w:val="24"/>
          <w:szCs w:val="24"/>
        </w:rPr>
        <w:t>时间不小于</w:t>
      </w:r>
      <w:r>
        <w:rPr>
          <w:rFonts w:hint="eastAsia"/>
          <w:color w:val="auto"/>
          <w:sz w:val="24"/>
          <w:szCs w:val="24"/>
        </w:rPr>
        <w:t>植筋系统生产商</w:t>
      </w:r>
      <w:r>
        <w:rPr>
          <w:rFonts w:hint="eastAsia" w:ascii="宋体" w:hAnsi="宋体"/>
          <w:color w:val="auto"/>
          <w:sz w:val="24"/>
          <w:szCs w:val="24"/>
        </w:rPr>
        <w:t>要求的胶粘材料常温下最短固化时间</w:t>
      </w:r>
      <w:r>
        <w:rPr>
          <w:rFonts w:hint="eastAsia"/>
          <w:color w:val="auto"/>
          <w:sz w:val="24"/>
          <w:szCs w:val="24"/>
        </w:rPr>
        <w:t>。</w:t>
      </w:r>
    </w:p>
    <w:p>
      <w:pPr>
        <w:spacing w:after="0" w:line="360" w:lineRule="auto"/>
        <w:rPr>
          <w:color w:val="auto"/>
          <w:sz w:val="24"/>
          <w:szCs w:val="24"/>
        </w:rPr>
      </w:pPr>
      <w:r>
        <w:rPr>
          <w:rFonts w:hint="eastAsia"/>
          <w:b/>
          <w:bCs/>
          <w:color w:val="auto"/>
          <w:sz w:val="24"/>
          <w:szCs w:val="24"/>
        </w:rPr>
        <w:t>H.1.</w:t>
      </w:r>
      <w:r>
        <w:rPr>
          <w:b/>
          <w:bCs/>
          <w:color w:val="auto"/>
          <w:sz w:val="24"/>
          <w:szCs w:val="24"/>
        </w:rPr>
        <w:t>3</w:t>
      </w:r>
      <w:r>
        <w:rPr>
          <w:color w:val="auto"/>
          <w:sz w:val="24"/>
          <w:szCs w:val="24"/>
        </w:rPr>
        <w:t xml:space="preserve"> </w:t>
      </w:r>
      <w:r>
        <w:rPr>
          <w:rFonts w:hint="eastAsia"/>
          <w:color w:val="auto"/>
          <w:sz w:val="24"/>
          <w:szCs w:val="24"/>
        </w:rPr>
        <w:t>最高长期使用温度下长期荷载试验应符合下列规定：</w:t>
      </w:r>
    </w:p>
    <w:p>
      <w:pPr>
        <w:spacing w:after="0" w:line="360" w:lineRule="auto"/>
        <w:rPr>
          <w:color w:val="auto"/>
          <w:sz w:val="24"/>
          <w:szCs w:val="24"/>
        </w:rPr>
      </w:pPr>
      <w:r>
        <w:rPr>
          <w:rFonts w:hint="eastAsia"/>
          <w:color w:val="auto"/>
          <w:sz w:val="24"/>
          <w:szCs w:val="24"/>
        </w:rPr>
        <w:tab/>
      </w:r>
      <w:r>
        <w:rPr>
          <w:rFonts w:hint="eastAsia"/>
          <w:color w:val="auto"/>
          <w:sz w:val="24"/>
          <w:szCs w:val="24"/>
        </w:rPr>
        <w:t xml:space="preserve">1 </w:t>
      </w:r>
      <w:r>
        <w:rPr>
          <w:color w:val="auto"/>
          <w:sz w:val="24"/>
          <w:szCs w:val="24"/>
        </w:rPr>
        <w:t>在常温</w:t>
      </w:r>
      <w:r>
        <w:rPr>
          <w:rFonts w:hint="eastAsia"/>
          <w:color w:val="auto"/>
          <w:sz w:val="24"/>
          <w:szCs w:val="24"/>
        </w:rPr>
        <w:t>条件</w:t>
      </w:r>
      <w:r>
        <w:rPr>
          <w:color w:val="auto"/>
          <w:sz w:val="24"/>
          <w:szCs w:val="24"/>
        </w:rPr>
        <w:t>下，对</w:t>
      </w:r>
      <w:r>
        <w:rPr>
          <w:rFonts w:hint="eastAsia"/>
          <w:color w:val="auto"/>
          <w:sz w:val="24"/>
          <w:szCs w:val="24"/>
        </w:rPr>
        <w:t>植筋</w:t>
      </w:r>
      <w:r>
        <w:rPr>
          <w:color w:val="auto"/>
          <w:sz w:val="24"/>
          <w:szCs w:val="24"/>
        </w:rPr>
        <w:t>施加恒定拉伸荷载</w:t>
      </w:r>
      <w:r>
        <w:rPr>
          <w:i/>
          <w:color w:val="auto"/>
          <w:sz w:val="24"/>
          <w:szCs w:val="24"/>
        </w:rPr>
        <w:t>N</w:t>
      </w:r>
      <w:r>
        <w:rPr>
          <w:i/>
          <w:color w:val="auto"/>
          <w:sz w:val="24"/>
          <w:szCs w:val="24"/>
          <w:vertAlign w:val="subscript"/>
        </w:rPr>
        <w:t>sust</w:t>
      </w:r>
      <w:r>
        <w:rPr>
          <w:color w:val="auto"/>
          <w:sz w:val="24"/>
          <w:szCs w:val="24"/>
        </w:rPr>
        <w:t>，</w:t>
      </w:r>
      <w:r>
        <w:rPr>
          <w:rFonts w:hint="eastAsia"/>
          <w:color w:val="auto"/>
          <w:sz w:val="24"/>
          <w:szCs w:val="24"/>
        </w:rPr>
        <w:t>可按公式</w:t>
      </w:r>
      <w:r>
        <w:rPr>
          <w:color w:val="auto"/>
          <w:sz w:val="24"/>
          <w:szCs w:val="24"/>
        </w:rPr>
        <w:t>（</w:t>
      </w:r>
      <w:r>
        <w:rPr>
          <w:rFonts w:hint="eastAsia"/>
          <w:color w:val="auto"/>
          <w:sz w:val="24"/>
          <w:szCs w:val="24"/>
        </w:rPr>
        <w:t>G.1.2</w:t>
      </w:r>
      <w:r>
        <w:rPr>
          <w:color w:val="auto"/>
          <w:sz w:val="24"/>
          <w:szCs w:val="24"/>
        </w:rPr>
        <w:t>）</w:t>
      </w:r>
      <w:r>
        <w:rPr>
          <w:rFonts w:hint="eastAsia"/>
          <w:color w:val="auto"/>
          <w:sz w:val="24"/>
          <w:szCs w:val="24"/>
        </w:rPr>
        <w:t>计算；</w:t>
      </w:r>
    </w:p>
    <w:p>
      <w:pPr>
        <w:spacing w:after="0" w:line="360" w:lineRule="auto"/>
        <w:rPr>
          <w:bCs/>
          <w:color w:val="auto"/>
          <w:sz w:val="24"/>
          <w:szCs w:val="24"/>
        </w:rPr>
      </w:pPr>
      <w:r>
        <w:rPr>
          <w:rFonts w:hint="eastAsia"/>
          <w:bCs/>
          <w:color w:val="auto"/>
          <w:sz w:val="24"/>
          <w:szCs w:val="24"/>
        </w:rPr>
        <w:tab/>
      </w:r>
      <w:r>
        <w:rPr>
          <w:rFonts w:hint="eastAsia"/>
          <w:bCs/>
          <w:color w:val="auto"/>
          <w:sz w:val="24"/>
          <w:szCs w:val="24"/>
        </w:rPr>
        <w:t>2 将试样放置到最高长期使用温度试验环境条件下，应保持</w:t>
      </w:r>
      <w:r>
        <w:rPr>
          <w:color w:val="auto"/>
          <w:sz w:val="24"/>
          <w:szCs w:val="24"/>
        </w:rPr>
        <w:t>恒定拉伸荷载</w:t>
      </w:r>
      <w:r>
        <w:rPr>
          <w:rFonts w:hint="eastAsia"/>
          <w:color w:val="auto"/>
          <w:sz w:val="24"/>
          <w:szCs w:val="24"/>
        </w:rPr>
        <w:t>不小于</w:t>
      </w:r>
      <w:r>
        <w:rPr>
          <w:rFonts w:hint="eastAsia"/>
          <w:bCs/>
          <w:color w:val="auto"/>
          <w:sz w:val="24"/>
          <w:szCs w:val="24"/>
        </w:rPr>
        <w:t>9</w:t>
      </w:r>
      <w:r>
        <w:rPr>
          <w:bCs/>
          <w:color w:val="auto"/>
          <w:sz w:val="24"/>
          <w:szCs w:val="24"/>
        </w:rPr>
        <w:t>0d</w:t>
      </w:r>
      <w:r>
        <w:rPr>
          <w:rFonts w:hint="eastAsia"/>
          <w:bCs/>
          <w:color w:val="auto"/>
          <w:sz w:val="24"/>
          <w:szCs w:val="24"/>
        </w:rPr>
        <w:t>，期间应记录位移变化，</w:t>
      </w:r>
      <w:r>
        <w:rPr>
          <w:rFonts w:hint="eastAsia"/>
          <w:bCs/>
          <w:color w:val="auto"/>
          <w:sz w:val="24"/>
          <w:szCs w:val="24"/>
          <w:lang w:val="en-US" w:eastAsia="zh-CN"/>
        </w:rPr>
        <w:t>若</w:t>
      </w:r>
      <w:r>
        <w:rPr>
          <w:rFonts w:hint="eastAsia"/>
          <w:bCs/>
          <w:color w:val="auto"/>
          <w:sz w:val="24"/>
          <w:szCs w:val="24"/>
        </w:rPr>
        <w:t>观测到位移已经稳定下来，则在9</w:t>
      </w:r>
      <w:r>
        <w:rPr>
          <w:bCs/>
          <w:color w:val="auto"/>
          <w:sz w:val="24"/>
          <w:szCs w:val="24"/>
        </w:rPr>
        <w:t>0d</w:t>
      </w:r>
      <w:r>
        <w:rPr>
          <w:rFonts w:hint="eastAsia"/>
          <w:bCs/>
          <w:color w:val="auto"/>
          <w:sz w:val="24"/>
          <w:szCs w:val="24"/>
        </w:rPr>
        <w:t>时可卸载；</w:t>
      </w:r>
      <w:r>
        <w:rPr>
          <w:rFonts w:hint="eastAsia"/>
          <w:bCs/>
          <w:color w:val="auto"/>
          <w:sz w:val="24"/>
          <w:szCs w:val="24"/>
          <w:lang w:val="en-US" w:eastAsia="zh-CN"/>
        </w:rPr>
        <w:t>若</w:t>
      </w:r>
      <w:r>
        <w:rPr>
          <w:rFonts w:hint="eastAsia"/>
          <w:bCs/>
          <w:color w:val="auto"/>
          <w:sz w:val="24"/>
          <w:szCs w:val="24"/>
        </w:rPr>
        <w:t>位移还没有稳定，则应继续保持荷载，直到位移已经稳定；</w:t>
      </w:r>
    </w:p>
    <w:p>
      <w:pPr>
        <w:spacing w:after="0" w:line="360" w:lineRule="auto"/>
        <w:rPr>
          <w:bCs/>
          <w:color w:val="auto"/>
          <w:sz w:val="24"/>
          <w:szCs w:val="24"/>
        </w:rPr>
      </w:pPr>
      <w:r>
        <w:rPr>
          <w:rFonts w:hint="eastAsia"/>
          <w:bCs/>
          <w:color w:val="auto"/>
          <w:sz w:val="24"/>
          <w:szCs w:val="24"/>
        </w:rPr>
        <w:tab/>
      </w:r>
      <w:r>
        <w:rPr>
          <w:rFonts w:hint="eastAsia"/>
          <w:bCs/>
          <w:color w:val="auto"/>
          <w:sz w:val="24"/>
          <w:szCs w:val="24"/>
        </w:rPr>
        <w:t>3 试验中，对承受恒定拉伸荷载的植筋，应按下列时间间隔测量植筋位移：</w:t>
      </w:r>
    </w:p>
    <w:p>
      <w:pPr>
        <w:spacing w:after="0" w:line="360" w:lineRule="auto"/>
        <w:ind w:firstLine="638" w:firstLineChars="266"/>
        <w:rPr>
          <w:bCs/>
          <w:color w:val="auto"/>
          <w:sz w:val="24"/>
          <w:szCs w:val="24"/>
        </w:rPr>
      </w:pPr>
      <w:r>
        <w:rPr>
          <w:rFonts w:hint="eastAsia"/>
          <w:bCs/>
          <w:color w:val="auto"/>
          <w:sz w:val="24"/>
          <w:szCs w:val="24"/>
        </w:rPr>
        <w:t>1）第1h范围内：每10min进行一次测量；</w:t>
      </w:r>
    </w:p>
    <w:p>
      <w:pPr>
        <w:spacing w:after="0" w:line="360" w:lineRule="auto"/>
        <w:ind w:firstLine="638" w:firstLineChars="266"/>
        <w:rPr>
          <w:bCs/>
          <w:color w:val="auto"/>
          <w:sz w:val="24"/>
          <w:szCs w:val="24"/>
        </w:rPr>
      </w:pPr>
      <w:r>
        <w:rPr>
          <w:rFonts w:hint="eastAsia"/>
          <w:bCs/>
          <w:color w:val="auto"/>
          <w:sz w:val="24"/>
          <w:szCs w:val="24"/>
        </w:rPr>
        <w:t>2）</w:t>
      </w:r>
      <w:r>
        <w:rPr>
          <w:bCs/>
          <w:color w:val="auto"/>
          <w:sz w:val="24"/>
          <w:szCs w:val="24"/>
        </w:rPr>
        <w:t xml:space="preserve"> </w:t>
      </w:r>
      <w:r>
        <w:rPr>
          <w:rFonts w:hint="eastAsia"/>
          <w:bCs/>
          <w:color w:val="auto"/>
          <w:sz w:val="24"/>
          <w:szCs w:val="24"/>
        </w:rPr>
        <w:t>接下来的6h范围内：每1h进行一次测量；</w:t>
      </w:r>
    </w:p>
    <w:p>
      <w:pPr>
        <w:spacing w:after="0" w:line="360" w:lineRule="auto"/>
        <w:ind w:firstLine="638" w:firstLineChars="266"/>
        <w:rPr>
          <w:bCs/>
          <w:color w:val="auto"/>
          <w:sz w:val="24"/>
          <w:szCs w:val="24"/>
        </w:rPr>
      </w:pPr>
      <w:r>
        <w:rPr>
          <w:rFonts w:hint="eastAsia"/>
          <w:bCs/>
          <w:color w:val="auto"/>
          <w:sz w:val="24"/>
          <w:szCs w:val="24"/>
        </w:rPr>
        <w:t>3）接下来的10天范围内：每1d进行一次测量；</w:t>
      </w:r>
    </w:p>
    <w:p>
      <w:pPr>
        <w:spacing w:after="0" w:line="360" w:lineRule="auto"/>
        <w:ind w:firstLine="638" w:firstLineChars="266"/>
        <w:rPr>
          <w:bCs/>
          <w:color w:val="auto"/>
          <w:sz w:val="24"/>
          <w:szCs w:val="24"/>
        </w:rPr>
      </w:pPr>
      <w:r>
        <w:rPr>
          <w:rFonts w:hint="eastAsia"/>
          <w:bCs/>
          <w:color w:val="auto"/>
          <w:sz w:val="24"/>
          <w:szCs w:val="24"/>
        </w:rPr>
        <w:t>4）其余时间：每5d~10d进行一次测量。</w:t>
      </w:r>
    </w:p>
    <w:p>
      <w:pPr>
        <w:spacing w:after="0" w:line="360" w:lineRule="auto"/>
        <w:ind w:firstLine="420"/>
        <w:rPr>
          <w:bCs/>
          <w:color w:val="auto"/>
          <w:sz w:val="24"/>
          <w:szCs w:val="24"/>
        </w:rPr>
      </w:pPr>
      <w:r>
        <w:rPr>
          <w:rFonts w:hint="eastAsia"/>
          <w:bCs/>
          <w:color w:val="auto"/>
          <w:sz w:val="24"/>
          <w:szCs w:val="24"/>
        </w:rPr>
        <w:t>4 试验中，对承受恒定拉伸荷载的植筋，应按下列要求判断植筋位移是否稳定：</w:t>
      </w:r>
    </w:p>
    <w:p>
      <w:pPr>
        <w:spacing w:after="0" w:line="360" w:lineRule="auto"/>
        <w:ind w:firstLine="638" w:firstLineChars="266"/>
        <w:rPr>
          <w:bCs/>
          <w:color w:val="auto"/>
          <w:sz w:val="24"/>
          <w:szCs w:val="24"/>
        </w:rPr>
      </w:pPr>
      <w:r>
        <w:rPr>
          <w:rFonts w:hint="eastAsia"/>
          <w:bCs/>
          <w:color w:val="auto"/>
          <w:sz w:val="24"/>
          <w:szCs w:val="24"/>
        </w:rPr>
        <w:t>1）记录下来的位移数据应放到一个坐标曲线图中进行审核。横坐标为持续加载时间的对数，纵坐标为位移值的对数；</w:t>
      </w:r>
    </w:p>
    <w:p>
      <w:pPr>
        <w:spacing w:after="0" w:line="360" w:lineRule="auto"/>
        <w:ind w:firstLine="638" w:firstLineChars="266"/>
        <w:rPr>
          <w:bCs/>
          <w:color w:val="auto"/>
          <w:sz w:val="24"/>
          <w:szCs w:val="24"/>
        </w:rPr>
      </w:pPr>
      <w:r>
        <w:rPr>
          <w:rFonts w:hint="eastAsia"/>
          <w:bCs/>
          <w:color w:val="auto"/>
          <w:sz w:val="24"/>
          <w:szCs w:val="24"/>
        </w:rPr>
        <w:t>2）步骤1中的曲线显示为下凹形状，或接近于线性时，植筋位移可判定为稳定；</w:t>
      </w:r>
    </w:p>
    <w:p>
      <w:pPr>
        <w:spacing w:after="0" w:line="360" w:lineRule="auto"/>
        <w:ind w:firstLine="638" w:firstLineChars="266"/>
        <w:rPr>
          <w:bCs/>
          <w:color w:val="auto"/>
          <w:sz w:val="24"/>
          <w:szCs w:val="24"/>
        </w:rPr>
      </w:pPr>
      <w:r>
        <w:rPr>
          <w:rFonts w:hint="eastAsia"/>
          <w:bCs/>
          <w:color w:val="auto"/>
          <w:sz w:val="24"/>
          <w:szCs w:val="24"/>
        </w:rPr>
        <w:t>3）</w:t>
      </w:r>
      <w:r>
        <w:rPr>
          <w:rFonts w:hint="eastAsia"/>
          <w:bCs/>
          <w:color w:val="auto"/>
          <w:sz w:val="24"/>
          <w:szCs w:val="24"/>
          <w:lang w:val="en-US" w:eastAsia="zh-CN"/>
        </w:rPr>
        <w:t>若</w:t>
      </w:r>
      <w:r>
        <w:rPr>
          <w:rFonts w:hint="eastAsia"/>
          <w:bCs/>
          <w:color w:val="auto"/>
          <w:sz w:val="24"/>
          <w:szCs w:val="24"/>
        </w:rPr>
        <w:t>不满足2的要求，则需要保持加载，直到满足为止。</w:t>
      </w:r>
    </w:p>
    <w:p>
      <w:pPr>
        <w:spacing w:after="0" w:line="360" w:lineRule="auto"/>
        <w:rPr>
          <w:bCs/>
          <w:color w:val="auto"/>
          <w:sz w:val="24"/>
          <w:szCs w:val="24"/>
        </w:rPr>
      </w:pPr>
      <w:r>
        <w:rPr>
          <w:rFonts w:hint="eastAsia"/>
          <w:bCs/>
          <w:color w:val="auto"/>
          <w:sz w:val="24"/>
          <w:szCs w:val="24"/>
        </w:rPr>
        <w:tab/>
      </w:r>
      <w:r>
        <w:rPr>
          <w:rFonts w:hint="eastAsia"/>
          <w:bCs/>
          <w:color w:val="auto"/>
          <w:sz w:val="24"/>
          <w:szCs w:val="24"/>
        </w:rPr>
        <w:t xml:space="preserve">5 </w:t>
      </w:r>
      <w:r>
        <w:rPr>
          <w:rFonts w:hint="eastAsia"/>
          <w:bCs/>
          <w:color w:val="auto"/>
          <w:sz w:val="24"/>
          <w:szCs w:val="24"/>
          <w:lang w:val="en-US" w:eastAsia="zh-CN"/>
        </w:rPr>
        <w:t>若</w:t>
      </w:r>
      <w:r>
        <w:rPr>
          <w:rFonts w:hint="eastAsia"/>
          <w:bCs/>
          <w:color w:val="auto"/>
          <w:sz w:val="24"/>
          <w:szCs w:val="24"/>
        </w:rPr>
        <w:t>在测试中植筋的位移一直都无法达到稳定状态，可以选择重新测试，此时测试荷载可降低1</w:t>
      </w:r>
      <w:r>
        <w:rPr>
          <w:bCs/>
          <w:color w:val="auto"/>
          <w:sz w:val="24"/>
          <w:szCs w:val="24"/>
        </w:rPr>
        <w:t>0</w:t>
      </w:r>
      <w:r>
        <w:rPr>
          <w:rFonts w:hint="eastAsia"/>
          <w:bCs/>
          <w:color w:val="auto"/>
          <w:sz w:val="24"/>
          <w:szCs w:val="24"/>
        </w:rPr>
        <w:t>%，即</w:t>
      </w:r>
      <w:r>
        <w:rPr>
          <w:rFonts w:hint="eastAsia"/>
          <w:bCs/>
          <w:i/>
          <w:iCs/>
          <w:color w:val="auto"/>
          <w:sz w:val="24"/>
          <w:szCs w:val="24"/>
        </w:rPr>
        <w:t>N</w:t>
      </w:r>
      <w:r>
        <w:rPr>
          <w:bCs/>
          <w:color w:val="auto"/>
          <w:sz w:val="24"/>
          <w:szCs w:val="24"/>
          <w:vertAlign w:val="subscript"/>
        </w:rPr>
        <w:t>sust, red.</w:t>
      </w:r>
      <w:r>
        <w:rPr>
          <w:bCs/>
          <w:color w:val="auto"/>
          <w:sz w:val="24"/>
          <w:szCs w:val="24"/>
        </w:rPr>
        <w:t xml:space="preserve"> = 0.9</w:t>
      </w:r>
      <w:r>
        <w:rPr>
          <w:bCs/>
          <w:i/>
          <w:iCs/>
          <w:color w:val="auto"/>
          <w:sz w:val="24"/>
          <w:szCs w:val="24"/>
        </w:rPr>
        <w:t>N</w:t>
      </w:r>
      <w:r>
        <w:rPr>
          <w:bCs/>
          <w:color w:val="auto"/>
          <w:sz w:val="24"/>
          <w:szCs w:val="24"/>
          <w:vertAlign w:val="subscript"/>
        </w:rPr>
        <w:t>sust</w:t>
      </w:r>
      <w:r>
        <w:rPr>
          <w:rFonts w:hint="eastAsia"/>
          <w:bCs/>
          <w:color w:val="auto"/>
          <w:sz w:val="24"/>
          <w:szCs w:val="24"/>
        </w:rPr>
        <w:t>；</w:t>
      </w:r>
    </w:p>
    <w:p>
      <w:pPr>
        <w:spacing w:after="0" w:line="360" w:lineRule="auto"/>
        <w:ind w:firstLine="420"/>
        <w:rPr>
          <w:bCs/>
          <w:color w:val="auto"/>
          <w:sz w:val="24"/>
          <w:szCs w:val="24"/>
        </w:rPr>
      </w:pPr>
      <w:r>
        <w:rPr>
          <w:bCs/>
          <w:color w:val="auto"/>
          <w:sz w:val="24"/>
          <w:szCs w:val="24"/>
        </w:rPr>
        <w:t xml:space="preserve"> </w:t>
      </w:r>
      <w:r>
        <w:rPr>
          <w:rFonts w:hint="eastAsia"/>
          <w:bCs/>
          <w:color w:val="auto"/>
          <w:sz w:val="24"/>
          <w:szCs w:val="24"/>
        </w:rPr>
        <w:t>6 位移已经稳定且加载时间达到9</w:t>
      </w:r>
      <w:r>
        <w:rPr>
          <w:bCs/>
          <w:color w:val="auto"/>
          <w:sz w:val="24"/>
          <w:szCs w:val="24"/>
        </w:rPr>
        <w:t>0d</w:t>
      </w:r>
      <w:r>
        <w:rPr>
          <w:rFonts w:hint="eastAsia"/>
          <w:bCs/>
          <w:color w:val="auto"/>
          <w:sz w:val="24"/>
          <w:szCs w:val="24"/>
        </w:rPr>
        <w:t>以后，对植筋系统进行卸载。</w:t>
      </w:r>
    </w:p>
    <w:p>
      <w:pPr>
        <w:pStyle w:val="5"/>
      </w:pPr>
      <w:bookmarkStart w:id="116" w:name="_Toc8490"/>
      <w:bookmarkStart w:id="117" w:name="_Toc17852"/>
      <w:bookmarkStart w:id="118" w:name="_Toc4946"/>
      <w:r>
        <w:rPr>
          <w:rFonts w:hint="eastAsia"/>
        </w:rPr>
        <w:t>H.2最高长期使用温度下长期荷载性能评估</w:t>
      </w:r>
      <w:bookmarkEnd w:id="116"/>
      <w:bookmarkEnd w:id="117"/>
      <w:bookmarkEnd w:id="118"/>
    </w:p>
    <w:p>
      <w:pPr>
        <w:spacing w:after="0" w:line="360" w:lineRule="auto"/>
        <w:rPr>
          <w:bCs/>
          <w:color w:val="auto"/>
          <w:sz w:val="24"/>
          <w:szCs w:val="24"/>
        </w:rPr>
      </w:pPr>
      <w:r>
        <w:rPr>
          <w:rFonts w:hint="eastAsia"/>
          <w:b/>
          <w:bCs/>
          <w:color w:val="auto"/>
          <w:sz w:val="24"/>
          <w:szCs w:val="24"/>
        </w:rPr>
        <w:t>H.2.</w:t>
      </w:r>
      <w:r>
        <w:rPr>
          <w:b/>
          <w:bCs/>
          <w:color w:val="auto"/>
          <w:sz w:val="24"/>
          <w:szCs w:val="24"/>
        </w:rPr>
        <w:t>1</w:t>
      </w:r>
      <w:r>
        <w:rPr>
          <w:bCs/>
          <w:color w:val="auto"/>
          <w:sz w:val="24"/>
          <w:szCs w:val="24"/>
        </w:rPr>
        <w:t>最高长期使用温度下长期荷载性能试验</w:t>
      </w:r>
      <w:r>
        <w:rPr>
          <w:rFonts w:hint="eastAsia"/>
          <w:bCs/>
          <w:color w:val="auto"/>
          <w:sz w:val="24"/>
          <w:szCs w:val="24"/>
        </w:rPr>
        <w:t>粘结强度</w:t>
      </w:r>
      <w:r>
        <w:rPr>
          <w:rFonts w:hint="eastAsia"/>
          <w:bCs/>
          <w:i/>
          <w:iCs/>
          <w:color w:val="auto"/>
          <w:sz w:val="24"/>
          <w:szCs w:val="24"/>
        </w:rPr>
        <w:t>f</w:t>
      </w:r>
      <w:r>
        <w:rPr>
          <w:bCs/>
          <w:color w:val="auto"/>
          <w:sz w:val="24"/>
          <w:szCs w:val="24"/>
          <w:vertAlign w:val="subscript"/>
        </w:rPr>
        <w:t>bm,sust,T3</w:t>
      </w:r>
      <w:r>
        <w:rPr>
          <w:rFonts w:hint="eastAsia"/>
          <w:bCs/>
          <w:color w:val="auto"/>
          <w:sz w:val="24"/>
          <w:szCs w:val="24"/>
        </w:rPr>
        <w:t>的计算可</w:t>
      </w:r>
      <w:r>
        <w:rPr>
          <w:rFonts w:hint="eastAsia"/>
          <w:bCs/>
          <w:color w:val="auto"/>
          <w:sz w:val="24"/>
          <w:szCs w:val="24"/>
          <w:lang w:val="en-US" w:eastAsia="zh-CN"/>
        </w:rPr>
        <w:t>按</w:t>
      </w:r>
      <w:r>
        <w:rPr>
          <w:rFonts w:hint="eastAsia" w:ascii="Cambria Math" w:hAnsi="Cambria Math"/>
          <w:color w:val="auto"/>
          <w:sz w:val="24"/>
          <w:szCs w:val="24"/>
        </w:rPr>
        <w:t>表H.2.1</w:t>
      </w:r>
      <w:r>
        <w:rPr>
          <w:rFonts w:hint="eastAsia" w:ascii="Cambria Math" w:hAnsi="Cambria Math"/>
          <w:color w:val="auto"/>
          <w:sz w:val="24"/>
          <w:szCs w:val="24"/>
          <w:lang w:val="en-US" w:eastAsia="zh-CN"/>
        </w:rPr>
        <w:t>执行</w:t>
      </w:r>
      <w:r>
        <w:rPr>
          <w:rFonts w:hint="eastAsia" w:ascii="Cambria Math" w:hAnsi="Cambria Math"/>
          <w:color w:val="auto"/>
          <w:sz w:val="24"/>
          <w:szCs w:val="24"/>
        </w:rPr>
        <w:t>，</w:t>
      </w:r>
      <w:r>
        <w:rPr>
          <w:rFonts w:hint="eastAsia"/>
          <w:bCs/>
          <w:color w:val="auto"/>
          <w:sz w:val="24"/>
          <w:szCs w:val="24"/>
        </w:rPr>
        <w:t>归一化计算方法可</w:t>
      </w:r>
      <w:r>
        <w:rPr>
          <w:rFonts w:hint="eastAsia"/>
          <w:bCs/>
          <w:color w:val="auto"/>
          <w:sz w:val="24"/>
          <w:szCs w:val="24"/>
          <w:lang w:val="en-US" w:eastAsia="zh-CN"/>
        </w:rPr>
        <w:t>按本规程</w:t>
      </w:r>
      <w:r>
        <w:rPr>
          <w:rFonts w:hint="eastAsia"/>
          <w:bCs/>
          <w:color w:val="auto"/>
          <w:sz w:val="24"/>
          <w:szCs w:val="24"/>
        </w:rPr>
        <w:t>附录F</w:t>
      </w:r>
      <w:r>
        <w:rPr>
          <w:rFonts w:hint="eastAsia"/>
          <w:bCs/>
          <w:color w:val="auto"/>
          <w:sz w:val="24"/>
          <w:szCs w:val="24"/>
          <w:lang w:val="en-US" w:eastAsia="zh-CN"/>
        </w:rPr>
        <w:t>执行</w:t>
      </w:r>
      <w:r>
        <w:rPr>
          <w:rFonts w:hint="eastAsia"/>
          <w:bCs/>
          <w:color w:val="auto"/>
          <w:sz w:val="24"/>
          <w:szCs w:val="24"/>
        </w:rPr>
        <w:t>。</w:t>
      </w:r>
    </w:p>
    <w:p>
      <w:pPr>
        <w:spacing w:after="0" w:line="360" w:lineRule="auto"/>
        <w:jc w:val="center"/>
        <w:rPr>
          <w:rFonts w:hint="eastAsia"/>
          <w:b/>
          <w:bCs/>
          <w:color w:val="auto"/>
          <w:sz w:val="21"/>
          <w:szCs w:val="21"/>
        </w:rPr>
      </w:pPr>
      <w:r>
        <w:rPr>
          <w:rFonts w:hint="eastAsia"/>
          <w:b/>
          <w:bCs/>
          <w:color w:val="auto"/>
          <w:sz w:val="21"/>
          <w:szCs w:val="21"/>
        </w:rPr>
        <w:t>表H.2.1 最高长期使用温度下长期荷载性能试验粘结强度计算</w:t>
      </w:r>
    </w:p>
    <w:tbl>
      <w:tblPr>
        <w:tblStyle w:val="27"/>
        <w:tblW w:w="8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630"/>
        <w:gridCol w:w="1710"/>
        <w:gridCol w:w="1440"/>
        <w:gridCol w:w="1350"/>
        <w:gridCol w:w="1260"/>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25" w:type="dxa"/>
            <w:shd w:val="clear" w:color="auto" w:fill="auto"/>
            <w:tcMar>
              <w:left w:w="43" w:type="dxa"/>
              <w:right w:w="43" w:type="dxa"/>
            </w:tcMar>
          </w:tcPr>
          <w:p>
            <w:pPr>
              <w:snapToGrid w:val="0"/>
              <w:rPr>
                <w:color w:val="auto"/>
                <w:kern w:val="2"/>
                <w:sz w:val="20"/>
                <w:szCs w:val="20"/>
              </w:rPr>
            </w:pPr>
            <w:r>
              <w:rPr>
                <w:rFonts w:hint="eastAsia"/>
                <w:color w:val="auto"/>
                <w:kern w:val="2"/>
                <w:sz w:val="20"/>
                <w:szCs w:val="20"/>
              </w:rPr>
              <w:t>混凝土强度</w:t>
            </w:r>
          </w:p>
        </w:tc>
        <w:tc>
          <w:tcPr>
            <w:tcW w:w="630" w:type="dxa"/>
            <w:shd w:val="clear" w:color="auto" w:fill="auto"/>
            <w:tcMar>
              <w:left w:w="43" w:type="dxa"/>
              <w:right w:w="43" w:type="dxa"/>
            </w:tcMar>
          </w:tcPr>
          <w:p>
            <w:pPr>
              <w:snapToGrid w:val="0"/>
              <w:jc w:val="center"/>
              <w:rPr>
                <w:color w:val="auto"/>
                <w:kern w:val="2"/>
                <w:sz w:val="20"/>
                <w:szCs w:val="20"/>
              </w:rPr>
            </w:pPr>
            <w:r>
              <w:rPr>
                <w:rFonts w:hint="eastAsia"/>
                <w:color w:val="auto"/>
                <w:kern w:val="2"/>
                <w:sz w:val="20"/>
                <w:szCs w:val="20"/>
              </w:rPr>
              <w:t>钢筋直径</w:t>
            </w:r>
            <w:r>
              <w:rPr>
                <w:rFonts w:hint="eastAsia"/>
                <w:i/>
                <w:iCs/>
                <w:color w:val="auto"/>
                <w:kern w:val="2"/>
                <w:sz w:val="20"/>
                <w:szCs w:val="20"/>
              </w:rPr>
              <w:t>d</w:t>
            </w:r>
            <w:r>
              <w:rPr>
                <w:color w:val="auto"/>
                <w:kern w:val="2"/>
                <w:sz w:val="20"/>
                <w:szCs w:val="20"/>
              </w:rPr>
              <w:t xml:space="preserve"> (</w:t>
            </w:r>
            <w:r>
              <w:rPr>
                <w:rFonts w:hint="eastAsia"/>
                <w:color w:val="auto"/>
                <w:kern w:val="2"/>
                <w:sz w:val="20"/>
                <w:szCs w:val="20"/>
              </w:rPr>
              <w:t>mm</w:t>
            </w:r>
            <w:r>
              <w:rPr>
                <w:color w:val="auto"/>
                <w:kern w:val="2"/>
                <w:sz w:val="20"/>
                <w:szCs w:val="20"/>
              </w:rPr>
              <w:t>)</w:t>
            </w:r>
          </w:p>
        </w:tc>
        <w:tc>
          <w:tcPr>
            <w:tcW w:w="1710" w:type="dxa"/>
            <w:shd w:val="clear" w:color="auto" w:fill="auto"/>
            <w:tcMar>
              <w:left w:w="43" w:type="dxa"/>
              <w:right w:w="43" w:type="dxa"/>
            </w:tcMar>
          </w:tcPr>
          <w:p>
            <w:pPr>
              <w:snapToGrid w:val="0"/>
              <w:jc w:val="center"/>
              <w:rPr>
                <w:color w:val="auto"/>
                <w:kern w:val="2"/>
                <w:sz w:val="20"/>
                <w:szCs w:val="20"/>
              </w:rPr>
            </w:pPr>
          </w:p>
          <w:p>
            <w:pPr>
              <w:snapToGrid w:val="0"/>
              <w:jc w:val="center"/>
              <w:rPr>
                <w:color w:val="auto"/>
                <w:kern w:val="2"/>
                <w:sz w:val="20"/>
                <w:szCs w:val="20"/>
              </w:rPr>
            </w:pPr>
            <w:r>
              <w:rPr>
                <w:rFonts w:hint="eastAsia"/>
                <w:color w:val="auto"/>
                <w:kern w:val="2"/>
                <w:sz w:val="20"/>
                <w:szCs w:val="20"/>
              </w:rPr>
              <w:t>极限荷载测试值</w:t>
            </w:r>
          </w:p>
        </w:tc>
        <w:tc>
          <w:tcPr>
            <w:tcW w:w="1440" w:type="dxa"/>
            <w:shd w:val="clear" w:color="auto" w:fill="auto"/>
            <w:tcMar>
              <w:left w:w="43" w:type="dxa"/>
              <w:right w:w="43" w:type="dxa"/>
            </w:tcMar>
          </w:tcPr>
          <w:p>
            <w:pPr>
              <w:snapToGrid w:val="0"/>
              <w:jc w:val="center"/>
              <w:rPr>
                <w:color w:val="auto"/>
                <w:kern w:val="2"/>
                <w:sz w:val="20"/>
                <w:szCs w:val="20"/>
              </w:rPr>
            </w:pPr>
            <w:r>
              <w:rPr>
                <w:rFonts w:hint="eastAsia"/>
                <w:color w:val="auto"/>
                <w:kern w:val="2"/>
                <w:sz w:val="20"/>
                <w:szCs w:val="20"/>
              </w:rPr>
              <w:t>按混凝土强度归一化处理后的极限荷载值</w:t>
            </w:r>
          </w:p>
        </w:tc>
        <w:tc>
          <w:tcPr>
            <w:tcW w:w="1350" w:type="dxa"/>
            <w:tcMar>
              <w:left w:w="43" w:type="dxa"/>
              <w:right w:w="43" w:type="dxa"/>
            </w:tcMar>
          </w:tcPr>
          <w:p>
            <w:pPr>
              <w:snapToGrid w:val="0"/>
              <w:jc w:val="center"/>
              <w:rPr>
                <w:color w:val="auto"/>
                <w:kern w:val="2"/>
                <w:sz w:val="20"/>
                <w:szCs w:val="20"/>
              </w:rPr>
            </w:pPr>
            <w:r>
              <w:rPr>
                <w:rFonts w:hint="eastAsia"/>
                <w:color w:val="auto"/>
                <w:kern w:val="2"/>
                <w:sz w:val="20"/>
                <w:szCs w:val="20"/>
              </w:rPr>
              <w:t>左侧荷载的平均值</w:t>
            </w:r>
          </w:p>
        </w:tc>
        <w:tc>
          <w:tcPr>
            <w:tcW w:w="1260" w:type="dxa"/>
            <w:tcMar>
              <w:left w:w="43" w:type="dxa"/>
              <w:right w:w="43" w:type="dxa"/>
            </w:tcMar>
          </w:tcPr>
          <w:p>
            <w:pPr>
              <w:snapToGrid w:val="0"/>
              <w:jc w:val="center"/>
              <w:rPr>
                <w:color w:val="auto"/>
                <w:kern w:val="2"/>
                <w:sz w:val="20"/>
                <w:szCs w:val="20"/>
              </w:rPr>
            </w:pPr>
            <w:r>
              <w:rPr>
                <w:rFonts w:hint="eastAsia"/>
                <w:color w:val="auto"/>
                <w:kern w:val="2"/>
                <w:sz w:val="20"/>
                <w:szCs w:val="20"/>
              </w:rPr>
              <w:t>按钢筋相对肋面积归一化处理后的极限粘结强度</w:t>
            </w:r>
          </w:p>
        </w:tc>
        <w:tc>
          <w:tcPr>
            <w:tcW w:w="1208" w:type="dxa"/>
            <w:tcMar>
              <w:left w:w="43" w:type="dxa"/>
              <w:right w:w="43" w:type="dxa"/>
            </w:tcMar>
          </w:tcPr>
          <w:p>
            <w:pPr>
              <w:snapToGrid w:val="0"/>
              <w:jc w:val="center"/>
              <w:rPr>
                <w:bCs/>
                <w:color w:val="auto"/>
                <w:sz w:val="20"/>
                <w:szCs w:val="20"/>
              </w:rPr>
            </w:pPr>
            <w:r>
              <w:rPr>
                <w:rFonts w:hint="eastAsia"/>
                <w:color w:val="auto"/>
                <w:kern w:val="2"/>
                <w:sz w:val="20"/>
                <w:szCs w:val="20"/>
              </w:rPr>
              <w:t>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25" w:type="dxa"/>
            <w:shd w:val="clear" w:color="auto" w:fill="auto"/>
            <w:tcMar>
              <w:left w:w="43" w:type="dxa"/>
              <w:right w:w="43" w:type="dxa"/>
            </w:tcMar>
          </w:tcPr>
          <w:p>
            <w:pPr>
              <w:snapToGrid w:val="0"/>
              <w:jc w:val="center"/>
              <w:rPr>
                <w:color w:val="auto"/>
                <w:kern w:val="2"/>
                <w:sz w:val="20"/>
                <w:szCs w:val="20"/>
              </w:rPr>
            </w:pPr>
            <w:r>
              <w:rPr>
                <w:color w:val="auto"/>
                <w:kern w:val="2"/>
                <w:sz w:val="20"/>
                <w:szCs w:val="20"/>
              </w:rPr>
              <w:t>C25</w:t>
            </w:r>
          </w:p>
        </w:tc>
        <w:tc>
          <w:tcPr>
            <w:tcW w:w="630" w:type="dxa"/>
            <w:shd w:val="clear" w:color="auto" w:fill="auto"/>
            <w:tcMar>
              <w:left w:w="43" w:type="dxa"/>
              <w:right w:w="43" w:type="dxa"/>
            </w:tcMar>
          </w:tcPr>
          <w:p>
            <w:pPr>
              <w:snapToGrid w:val="0"/>
              <w:jc w:val="center"/>
              <w:rPr>
                <w:color w:val="auto"/>
                <w:kern w:val="2"/>
                <w:sz w:val="20"/>
                <w:szCs w:val="20"/>
              </w:rPr>
            </w:pPr>
            <w:r>
              <w:rPr>
                <w:color w:val="auto"/>
                <w:kern w:val="2"/>
                <w:sz w:val="20"/>
                <w:szCs w:val="20"/>
              </w:rPr>
              <w:t>12</w:t>
            </w:r>
          </w:p>
        </w:tc>
        <w:tc>
          <w:tcPr>
            <w:tcW w:w="1710" w:type="dxa"/>
            <w:shd w:val="clear" w:color="auto" w:fill="auto"/>
            <w:tcMar>
              <w:left w:w="43" w:type="dxa"/>
              <w:right w:w="43" w:type="dxa"/>
            </w:tcMar>
          </w:tcPr>
          <w:p>
            <w:pPr>
              <w:snapToGrid w:val="0"/>
              <w:spacing w:after="0" w:line="240" w:lineRule="auto"/>
              <w:jc w:val="center"/>
              <w:rPr>
                <w:color w:val="auto"/>
                <w:kern w:val="2"/>
                <w:sz w:val="20"/>
                <w:szCs w:val="20"/>
                <w:vertAlign w:val="subscript"/>
              </w:rPr>
            </w:pPr>
            <w:r>
              <w:rPr>
                <w:rFonts w:hint="eastAsia"/>
                <w:i/>
                <w:iCs/>
                <w:color w:val="auto"/>
                <w:kern w:val="2"/>
                <w:sz w:val="20"/>
                <w:szCs w:val="20"/>
              </w:rPr>
              <w:t>N</w:t>
            </w:r>
            <w:r>
              <w:rPr>
                <w:color w:val="auto"/>
                <w:kern w:val="2"/>
                <w:sz w:val="20"/>
                <w:szCs w:val="20"/>
                <w:vertAlign w:val="subscript"/>
              </w:rPr>
              <w:t>u</w:t>
            </w:r>
            <w:r>
              <w:rPr>
                <w:rFonts w:hint="eastAsia"/>
                <w:color w:val="auto"/>
                <w:kern w:val="2"/>
                <w:sz w:val="20"/>
                <w:szCs w:val="20"/>
                <w:vertAlign w:val="subscript"/>
              </w:rPr>
              <w:t>,</w:t>
            </w:r>
            <w:r>
              <w:rPr>
                <w:color w:val="auto"/>
                <w:kern w:val="2"/>
                <w:sz w:val="20"/>
                <w:szCs w:val="20"/>
                <w:vertAlign w:val="subscript"/>
              </w:rPr>
              <w:t>sust,test,T3,c25,d12-1</w:t>
            </w:r>
          </w:p>
          <w:p>
            <w:pPr>
              <w:snapToGrid w:val="0"/>
              <w:spacing w:after="0" w:line="240" w:lineRule="auto"/>
              <w:jc w:val="center"/>
              <w:rPr>
                <w:color w:val="auto"/>
                <w:kern w:val="2"/>
                <w:sz w:val="20"/>
                <w:szCs w:val="20"/>
              </w:rPr>
            </w:pPr>
            <w:r>
              <w:rPr>
                <w:rFonts w:hint="eastAsia"/>
                <w:color w:val="auto"/>
                <w:kern w:val="2"/>
                <w:sz w:val="20"/>
                <w:szCs w:val="20"/>
              </w:rPr>
              <w:t>~</w:t>
            </w:r>
            <w:r>
              <w:rPr>
                <w:color w:val="auto"/>
                <w:kern w:val="2"/>
                <w:sz w:val="20"/>
                <w:szCs w:val="20"/>
              </w:rPr>
              <w:t xml:space="preserve"> </w:t>
            </w:r>
            <w:r>
              <w:rPr>
                <w:rFonts w:hint="eastAsia"/>
                <w:i/>
                <w:iCs/>
                <w:color w:val="auto"/>
                <w:kern w:val="2"/>
                <w:sz w:val="20"/>
                <w:szCs w:val="20"/>
              </w:rPr>
              <w:t>N</w:t>
            </w:r>
            <w:r>
              <w:rPr>
                <w:color w:val="auto"/>
                <w:kern w:val="2"/>
                <w:sz w:val="20"/>
                <w:szCs w:val="20"/>
                <w:vertAlign w:val="subscript"/>
              </w:rPr>
              <w:t>u</w:t>
            </w:r>
            <w:r>
              <w:rPr>
                <w:rFonts w:hint="eastAsia"/>
                <w:color w:val="auto"/>
                <w:kern w:val="2"/>
                <w:sz w:val="20"/>
                <w:szCs w:val="20"/>
                <w:vertAlign w:val="subscript"/>
              </w:rPr>
              <w:t>,</w:t>
            </w:r>
            <w:r>
              <w:rPr>
                <w:color w:val="auto"/>
                <w:kern w:val="2"/>
                <w:sz w:val="20"/>
                <w:szCs w:val="20"/>
                <w:vertAlign w:val="subscript"/>
              </w:rPr>
              <w:t>sust,test,T3,c25,d12-5</w:t>
            </w:r>
          </w:p>
        </w:tc>
        <w:tc>
          <w:tcPr>
            <w:tcW w:w="1440" w:type="dxa"/>
            <w:shd w:val="clear" w:color="auto" w:fill="auto"/>
            <w:tcMar>
              <w:left w:w="43" w:type="dxa"/>
              <w:right w:w="43" w:type="dxa"/>
            </w:tcMar>
          </w:tcPr>
          <w:p>
            <w:pPr>
              <w:snapToGrid w:val="0"/>
              <w:spacing w:after="0" w:line="240" w:lineRule="auto"/>
              <w:jc w:val="center"/>
              <w:rPr>
                <w:color w:val="auto"/>
                <w:kern w:val="2"/>
                <w:sz w:val="20"/>
                <w:szCs w:val="20"/>
                <w:vertAlign w:val="subscript"/>
              </w:rPr>
            </w:pPr>
            <w:r>
              <w:rPr>
                <w:rFonts w:hint="eastAsia"/>
                <w:i/>
                <w:iCs/>
                <w:color w:val="auto"/>
                <w:kern w:val="2"/>
                <w:sz w:val="20"/>
                <w:szCs w:val="20"/>
              </w:rPr>
              <w:t>N</w:t>
            </w:r>
            <w:r>
              <w:rPr>
                <w:color w:val="auto"/>
                <w:kern w:val="2"/>
                <w:sz w:val="20"/>
                <w:szCs w:val="20"/>
                <w:vertAlign w:val="subscript"/>
              </w:rPr>
              <w:t>u</w:t>
            </w:r>
            <w:r>
              <w:rPr>
                <w:rFonts w:hint="eastAsia"/>
                <w:color w:val="auto"/>
                <w:kern w:val="2"/>
                <w:sz w:val="20"/>
                <w:szCs w:val="20"/>
                <w:vertAlign w:val="subscript"/>
              </w:rPr>
              <w:t>,</w:t>
            </w:r>
            <w:r>
              <w:rPr>
                <w:color w:val="auto"/>
                <w:kern w:val="2"/>
                <w:sz w:val="20"/>
                <w:szCs w:val="20"/>
                <w:vertAlign w:val="subscript"/>
              </w:rPr>
              <w:t>sust,T3,c25,d12-1</w:t>
            </w:r>
          </w:p>
          <w:p>
            <w:pPr>
              <w:snapToGrid w:val="0"/>
              <w:spacing w:after="0" w:line="240" w:lineRule="auto"/>
              <w:jc w:val="center"/>
              <w:rPr>
                <w:color w:val="auto"/>
                <w:kern w:val="2"/>
                <w:sz w:val="20"/>
                <w:szCs w:val="20"/>
              </w:rPr>
            </w:pPr>
            <w:r>
              <w:rPr>
                <w:rFonts w:hint="eastAsia"/>
                <w:color w:val="auto"/>
                <w:kern w:val="2"/>
                <w:sz w:val="20"/>
                <w:szCs w:val="20"/>
              </w:rPr>
              <w:t>~</w:t>
            </w:r>
            <w:r>
              <w:rPr>
                <w:color w:val="auto"/>
                <w:kern w:val="2"/>
                <w:sz w:val="20"/>
                <w:szCs w:val="20"/>
              </w:rPr>
              <w:t xml:space="preserve"> </w:t>
            </w:r>
            <w:r>
              <w:rPr>
                <w:rFonts w:hint="eastAsia"/>
                <w:i/>
                <w:iCs/>
                <w:color w:val="auto"/>
                <w:kern w:val="2"/>
                <w:sz w:val="20"/>
                <w:szCs w:val="20"/>
              </w:rPr>
              <w:t>N</w:t>
            </w:r>
            <w:r>
              <w:rPr>
                <w:color w:val="auto"/>
                <w:kern w:val="2"/>
                <w:sz w:val="20"/>
                <w:szCs w:val="20"/>
                <w:vertAlign w:val="subscript"/>
              </w:rPr>
              <w:t>u</w:t>
            </w:r>
            <w:r>
              <w:rPr>
                <w:rFonts w:hint="eastAsia"/>
                <w:color w:val="auto"/>
                <w:kern w:val="2"/>
                <w:sz w:val="20"/>
                <w:szCs w:val="20"/>
                <w:vertAlign w:val="subscript"/>
              </w:rPr>
              <w:t>,</w:t>
            </w:r>
            <w:r>
              <w:rPr>
                <w:color w:val="auto"/>
                <w:kern w:val="2"/>
                <w:sz w:val="20"/>
                <w:szCs w:val="20"/>
                <w:vertAlign w:val="subscript"/>
              </w:rPr>
              <w:t>sust,T3,c25,d12-5</w:t>
            </w:r>
          </w:p>
        </w:tc>
        <w:tc>
          <w:tcPr>
            <w:tcW w:w="1350" w:type="dxa"/>
            <w:tcMar>
              <w:left w:w="43" w:type="dxa"/>
              <w:right w:w="43" w:type="dxa"/>
            </w:tcMar>
          </w:tcPr>
          <w:p>
            <w:pPr>
              <w:snapToGrid w:val="0"/>
              <w:spacing w:after="0" w:line="240" w:lineRule="auto"/>
              <w:rPr>
                <w:color w:val="auto"/>
                <w:sz w:val="20"/>
                <w:szCs w:val="20"/>
              </w:rPr>
            </w:pPr>
            <w:r>
              <w:rPr>
                <w:rFonts w:hint="eastAsia"/>
                <w:i/>
                <w:iCs/>
                <w:color w:val="auto"/>
                <w:kern w:val="2"/>
                <w:sz w:val="20"/>
                <w:szCs w:val="20"/>
              </w:rPr>
              <w:t>N</w:t>
            </w:r>
            <w:r>
              <w:rPr>
                <w:color w:val="auto"/>
                <w:kern w:val="2"/>
                <w:sz w:val="20"/>
                <w:szCs w:val="20"/>
                <w:vertAlign w:val="subscript"/>
              </w:rPr>
              <w:t>u</w:t>
            </w:r>
            <w:r>
              <w:rPr>
                <w:rFonts w:hint="eastAsia"/>
                <w:color w:val="auto"/>
                <w:kern w:val="2"/>
                <w:sz w:val="20"/>
                <w:szCs w:val="20"/>
                <w:vertAlign w:val="subscript"/>
              </w:rPr>
              <w:t>,</w:t>
            </w:r>
            <w:r>
              <w:rPr>
                <w:color w:val="auto"/>
                <w:kern w:val="2"/>
                <w:sz w:val="20"/>
                <w:szCs w:val="20"/>
                <w:vertAlign w:val="subscript"/>
              </w:rPr>
              <w:t>sust,T3,c25,d12,m</w:t>
            </w:r>
          </w:p>
        </w:tc>
        <w:tc>
          <w:tcPr>
            <w:tcW w:w="1260" w:type="dxa"/>
            <w:tcMar>
              <w:left w:w="43" w:type="dxa"/>
              <w:right w:w="43" w:type="dxa"/>
            </w:tcMar>
          </w:tcPr>
          <w:p>
            <w:pPr>
              <w:snapToGrid w:val="0"/>
              <w:spacing w:after="0" w:line="240" w:lineRule="auto"/>
              <w:jc w:val="center"/>
              <w:rPr>
                <w:color w:val="auto"/>
                <w:sz w:val="20"/>
                <w:szCs w:val="20"/>
              </w:rPr>
            </w:pPr>
            <w:r>
              <w:rPr>
                <w:i/>
                <w:iCs/>
                <w:color w:val="auto"/>
                <w:kern w:val="2"/>
                <w:sz w:val="20"/>
                <w:szCs w:val="20"/>
              </w:rPr>
              <w:t>f</w:t>
            </w:r>
            <w:r>
              <w:rPr>
                <w:color w:val="auto"/>
                <w:kern w:val="2"/>
                <w:sz w:val="20"/>
                <w:szCs w:val="20"/>
                <w:vertAlign w:val="subscript"/>
              </w:rPr>
              <w:t>bm,sust,T3,c25,d12</w:t>
            </w:r>
          </w:p>
        </w:tc>
        <w:tc>
          <w:tcPr>
            <w:tcW w:w="1208" w:type="dxa"/>
            <w:tcMar>
              <w:left w:w="43" w:type="dxa"/>
              <w:right w:w="43" w:type="dxa"/>
            </w:tcMar>
          </w:tcPr>
          <w:p>
            <w:pPr>
              <w:spacing w:after="0" w:line="240" w:lineRule="auto"/>
              <w:rPr>
                <w:color w:val="auto"/>
                <w:kern w:val="2"/>
                <w:sz w:val="20"/>
                <w:szCs w:val="20"/>
              </w:rPr>
            </w:pPr>
            <w:r>
              <w:rPr>
                <w:i/>
                <w:iCs/>
                <w:color w:val="auto"/>
                <w:kern w:val="2"/>
                <w:sz w:val="20"/>
                <w:szCs w:val="20"/>
              </w:rPr>
              <w:t>f</w:t>
            </w:r>
            <w:r>
              <w:rPr>
                <w:color w:val="auto"/>
                <w:kern w:val="2"/>
                <w:sz w:val="20"/>
                <w:szCs w:val="20"/>
                <w:vertAlign w:val="subscript"/>
              </w:rPr>
              <w:t xml:space="preserve">bm,sust,T3 </w:t>
            </w:r>
            <w:r>
              <w:rPr>
                <w:color w:val="auto"/>
                <w:kern w:val="2"/>
                <w:sz w:val="20"/>
                <w:szCs w:val="20"/>
              </w:rPr>
              <w:t>=</w:t>
            </w:r>
          </w:p>
          <w:p>
            <w:pPr>
              <w:spacing w:after="0" w:line="240" w:lineRule="auto"/>
              <w:rPr>
                <w:color w:val="auto"/>
                <w:sz w:val="20"/>
                <w:szCs w:val="20"/>
              </w:rPr>
            </w:pPr>
            <w:r>
              <w:rPr>
                <w:i/>
                <w:iCs/>
                <w:color w:val="auto"/>
                <w:kern w:val="2"/>
                <w:sz w:val="20"/>
                <w:szCs w:val="20"/>
              </w:rPr>
              <w:t>f</w:t>
            </w:r>
            <w:r>
              <w:rPr>
                <w:color w:val="auto"/>
                <w:kern w:val="2"/>
                <w:sz w:val="20"/>
                <w:szCs w:val="20"/>
                <w:vertAlign w:val="subscript"/>
              </w:rPr>
              <w:t>bm,sust,T3,c25,d12</w:t>
            </w:r>
          </w:p>
        </w:tc>
      </w:tr>
    </w:tbl>
    <w:p>
      <w:pPr>
        <w:spacing w:after="0" w:line="360" w:lineRule="auto"/>
        <w:rPr>
          <w:color w:val="auto"/>
          <w:sz w:val="24"/>
          <w:szCs w:val="24"/>
        </w:rPr>
      </w:pPr>
      <w:r>
        <w:rPr>
          <w:rFonts w:hint="eastAsia"/>
          <w:b/>
          <w:bCs/>
          <w:color w:val="auto"/>
          <w:sz w:val="24"/>
          <w:szCs w:val="24"/>
        </w:rPr>
        <w:t>H.2.2</w:t>
      </w:r>
      <w:r>
        <w:rPr>
          <w:rFonts w:hint="eastAsia"/>
          <w:color w:val="auto"/>
          <w:sz w:val="24"/>
          <w:szCs w:val="24"/>
        </w:rPr>
        <w:t>完成</w:t>
      </w:r>
      <w:r>
        <w:rPr>
          <w:bCs/>
          <w:color w:val="auto"/>
          <w:sz w:val="24"/>
          <w:szCs w:val="24"/>
        </w:rPr>
        <w:t>最高长期使用温度</w:t>
      </w:r>
      <w:r>
        <w:rPr>
          <w:color w:val="auto"/>
          <w:sz w:val="24"/>
          <w:szCs w:val="24"/>
        </w:rPr>
        <w:t>长期荷载试验</w:t>
      </w:r>
      <w:r>
        <w:rPr>
          <w:rFonts w:hint="eastAsia"/>
          <w:color w:val="auto"/>
          <w:sz w:val="24"/>
          <w:szCs w:val="24"/>
        </w:rPr>
        <w:t>后</w:t>
      </w:r>
      <w:r>
        <w:rPr>
          <w:color w:val="auto"/>
          <w:sz w:val="24"/>
          <w:szCs w:val="24"/>
        </w:rPr>
        <w:t>，应取最后不少于二十个位移测量值</w:t>
      </w:r>
      <w:r>
        <w:rPr>
          <w:rFonts w:hint="eastAsia"/>
          <w:color w:val="auto"/>
          <w:sz w:val="24"/>
          <w:szCs w:val="24"/>
        </w:rPr>
        <w:t>及对应的时间</w:t>
      </w:r>
      <w:r>
        <w:rPr>
          <w:color w:val="auto"/>
          <w:sz w:val="24"/>
          <w:szCs w:val="24"/>
        </w:rPr>
        <w:t>进行数据回归，</w:t>
      </w:r>
      <w:r>
        <w:rPr>
          <w:rFonts w:hint="eastAsia"/>
          <w:color w:val="auto"/>
          <w:sz w:val="24"/>
          <w:szCs w:val="24"/>
        </w:rPr>
        <w:t>确定</w:t>
      </w:r>
      <w:r>
        <w:rPr>
          <w:color w:val="auto"/>
          <w:sz w:val="24"/>
          <w:szCs w:val="24"/>
        </w:rPr>
        <w:t>公式</w:t>
      </w:r>
      <w:r>
        <w:rPr>
          <w:rFonts w:hint="eastAsia"/>
          <w:color w:val="auto"/>
          <w:sz w:val="24"/>
          <w:szCs w:val="24"/>
        </w:rPr>
        <w:t>H.2.</w:t>
      </w:r>
      <w:r>
        <w:rPr>
          <w:color w:val="auto"/>
          <w:sz w:val="24"/>
          <w:szCs w:val="24"/>
        </w:rPr>
        <w:t>1的常量</w:t>
      </w:r>
      <w:r>
        <w:rPr>
          <w:rFonts w:hint="eastAsia"/>
          <w:color w:val="auto"/>
          <w:sz w:val="24"/>
          <w:szCs w:val="24"/>
        </w:rPr>
        <w:t>a、</w:t>
      </w:r>
      <w:r>
        <w:rPr>
          <w:color w:val="auto"/>
          <w:sz w:val="24"/>
          <w:szCs w:val="24"/>
        </w:rPr>
        <w:t>b</w:t>
      </w:r>
      <w:r>
        <w:rPr>
          <w:rFonts w:hint="eastAsia"/>
          <w:color w:val="auto"/>
          <w:sz w:val="24"/>
          <w:szCs w:val="24"/>
        </w:rPr>
        <w:t>、s</w:t>
      </w:r>
      <w:r>
        <w:rPr>
          <w:color w:val="auto"/>
          <w:sz w:val="24"/>
          <w:szCs w:val="24"/>
          <w:vertAlign w:val="subscript"/>
        </w:rPr>
        <w:t>0</w:t>
      </w:r>
      <w:r>
        <w:rPr>
          <w:rFonts w:hint="eastAsia"/>
          <w:color w:val="auto"/>
          <w:sz w:val="24"/>
          <w:szCs w:val="24"/>
        </w:rPr>
        <w:t>。</w:t>
      </w:r>
    </w:p>
    <w:p>
      <w:pPr>
        <w:spacing w:after="0" w:line="360" w:lineRule="auto"/>
        <w:jc w:val="right"/>
        <w:rPr>
          <w:rStyle w:val="41"/>
          <w:color w:val="auto"/>
          <w:sz w:val="24"/>
          <w:szCs w:val="24"/>
        </w:rPr>
      </w:pPr>
      <m:oMath>
        <m:r>
          <m:rPr/>
          <w:rPr>
            <w:rStyle w:val="41"/>
            <w:rFonts w:ascii="Cambria Math" w:hAnsi="Cambria Math"/>
            <w:color w:val="auto"/>
            <w:sz w:val="24"/>
            <w:szCs w:val="24"/>
          </w:rPr>
          <m:t>s</m:t>
        </m:r>
        <m:d>
          <m:dPr>
            <m:ctrlPr>
              <w:rPr>
                <w:rStyle w:val="41"/>
                <w:rFonts w:ascii="Cambria Math" w:hAnsi="Cambria Math"/>
                <w:i/>
                <w:color w:val="auto"/>
                <w:sz w:val="24"/>
                <w:szCs w:val="24"/>
              </w:rPr>
            </m:ctrlPr>
          </m:dPr>
          <m:e>
            <m:r>
              <m:rPr/>
              <w:rPr>
                <w:rStyle w:val="41"/>
                <w:rFonts w:hint="eastAsia" w:ascii="Cambria Math" w:hAnsi="Cambria Math"/>
                <w:color w:val="auto"/>
                <w:sz w:val="24"/>
                <w:szCs w:val="24"/>
              </w:rPr>
              <m:t>t</m:t>
            </m:r>
            <m:ctrlPr>
              <w:rPr>
                <w:rStyle w:val="41"/>
                <w:rFonts w:ascii="Cambria Math" w:hAnsi="Cambria Math"/>
                <w:i/>
                <w:color w:val="auto"/>
                <w:sz w:val="24"/>
                <w:szCs w:val="24"/>
              </w:rPr>
            </m:ctrlPr>
          </m:e>
        </m:d>
        <m:r>
          <m:rPr/>
          <w:rPr>
            <w:rStyle w:val="41"/>
            <w:rFonts w:ascii="Cambria Math" w:hAnsi="Cambria Math"/>
            <w:color w:val="auto"/>
            <w:sz w:val="24"/>
            <w:szCs w:val="24"/>
          </w:rPr>
          <m:t>=</m:t>
        </m:r>
        <m:sSub>
          <m:sSubPr>
            <m:ctrlPr>
              <w:rPr>
                <w:rStyle w:val="41"/>
                <w:rFonts w:ascii="Cambria Math" w:hAnsi="Cambria Math"/>
                <w:i/>
                <w:color w:val="auto"/>
                <w:sz w:val="24"/>
                <w:szCs w:val="24"/>
              </w:rPr>
            </m:ctrlPr>
          </m:sSubPr>
          <m:e>
            <m:r>
              <m:rPr/>
              <w:rPr>
                <w:rStyle w:val="41"/>
                <w:rFonts w:ascii="Cambria Math" w:hAnsi="Cambria Math"/>
                <w:color w:val="auto"/>
                <w:sz w:val="24"/>
                <w:szCs w:val="24"/>
              </w:rPr>
              <m:t>s</m:t>
            </m:r>
            <m:ctrlPr>
              <w:rPr>
                <w:rStyle w:val="41"/>
                <w:rFonts w:ascii="Cambria Math" w:hAnsi="Cambria Math"/>
                <w:i/>
                <w:color w:val="auto"/>
                <w:sz w:val="24"/>
                <w:szCs w:val="24"/>
              </w:rPr>
            </m:ctrlPr>
          </m:e>
          <m:sub>
            <m:r>
              <m:rPr/>
              <w:rPr>
                <w:rStyle w:val="41"/>
                <w:rFonts w:ascii="Cambria Math" w:hAnsi="Cambria Math"/>
                <w:color w:val="auto"/>
                <w:sz w:val="24"/>
                <w:szCs w:val="24"/>
              </w:rPr>
              <m:t>0</m:t>
            </m:r>
            <m:ctrlPr>
              <w:rPr>
                <w:rStyle w:val="41"/>
                <w:rFonts w:ascii="Cambria Math" w:hAnsi="Cambria Math"/>
                <w:i/>
                <w:color w:val="auto"/>
                <w:sz w:val="24"/>
                <w:szCs w:val="24"/>
              </w:rPr>
            </m:ctrlPr>
          </m:sub>
        </m:sSub>
        <m:r>
          <m:rPr/>
          <w:rPr>
            <w:rStyle w:val="41"/>
            <w:rFonts w:ascii="Cambria Math" w:hAnsi="Cambria Math"/>
            <w:color w:val="auto"/>
            <w:sz w:val="24"/>
            <w:szCs w:val="24"/>
          </w:rPr>
          <m:t>+a∙</m:t>
        </m:r>
        <m:sSup>
          <m:sSupPr>
            <m:ctrlPr>
              <w:rPr>
                <w:rStyle w:val="41"/>
                <w:rFonts w:ascii="Cambria Math" w:hAnsi="Cambria Math"/>
                <w:i/>
                <w:color w:val="auto"/>
                <w:sz w:val="24"/>
                <w:szCs w:val="24"/>
              </w:rPr>
            </m:ctrlPr>
          </m:sSupPr>
          <m:e>
            <m:r>
              <m:rPr/>
              <w:rPr>
                <w:rStyle w:val="41"/>
                <w:rFonts w:ascii="Cambria Math" w:hAnsi="Cambria Math"/>
                <w:color w:val="auto"/>
                <w:sz w:val="24"/>
                <w:szCs w:val="24"/>
              </w:rPr>
              <m:t>t</m:t>
            </m:r>
            <m:ctrlPr>
              <w:rPr>
                <w:rStyle w:val="41"/>
                <w:rFonts w:ascii="Cambria Math" w:hAnsi="Cambria Math"/>
                <w:i/>
                <w:color w:val="auto"/>
                <w:sz w:val="24"/>
                <w:szCs w:val="24"/>
              </w:rPr>
            </m:ctrlPr>
          </m:e>
          <m:sup>
            <m:r>
              <m:rPr/>
              <w:rPr>
                <w:rStyle w:val="41"/>
                <w:rFonts w:ascii="Cambria Math" w:hAnsi="Cambria Math"/>
                <w:color w:val="auto"/>
                <w:sz w:val="24"/>
                <w:szCs w:val="24"/>
              </w:rPr>
              <m:t>b</m:t>
            </m:r>
            <m:ctrlPr>
              <w:rPr>
                <w:rStyle w:val="41"/>
                <w:rFonts w:ascii="Cambria Math" w:hAnsi="Cambria Math"/>
                <w:i/>
                <w:color w:val="auto"/>
                <w:sz w:val="24"/>
                <w:szCs w:val="24"/>
              </w:rPr>
            </m:ctrlPr>
          </m:sup>
        </m:sSup>
      </m:oMath>
      <w:r>
        <w:rPr>
          <w:rStyle w:val="41"/>
          <w:color w:val="auto"/>
          <w:sz w:val="24"/>
          <w:szCs w:val="24"/>
        </w:rPr>
        <w:t xml:space="preserve">              </w:t>
      </w:r>
      <w:r>
        <w:rPr>
          <w:rStyle w:val="41"/>
          <w:color w:val="auto"/>
          <w:sz w:val="24"/>
          <w:szCs w:val="24"/>
        </w:rPr>
        <w:tab/>
      </w:r>
      <w:r>
        <w:rPr>
          <w:rStyle w:val="41"/>
          <w:color w:val="auto"/>
          <w:sz w:val="24"/>
          <w:szCs w:val="24"/>
        </w:rPr>
        <w:tab/>
      </w:r>
      <w:r>
        <w:rPr>
          <w:rStyle w:val="41"/>
          <w:color w:val="auto"/>
          <w:sz w:val="24"/>
          <w:szCs w:val="24"/>
        </w:rPr>
        <w:tab/>
      </w:r>
      <w:r>
        <w:rPr>
          <w:rStyle w:val="41"/>
          <w:color w:val="auto"/>
          <w:sz w:val="24"/>
          <w:szCs w:val="24"/>
        </w:rPr>
        <w:tab/>
      </w:r>
      <w:r>
        <w:rPr>
          <w:rStyle w:val="41"/>
          <w:color w:val="auto"/>
          <w:sz w:val="24"/>
          <w:szCs w:val="24"/>
        </w:rPr>
        <w:t xml:space="preserve"> (</w:t>
      </w:r>
      <w:r>
        <w:rPr>
          <w:rStyle w:val="41"/>
          <w:rFonts w:hint="eastAsia"/>
          <w:color w:val="auto"/>
          <w:sz w:val="24"/>
          <w:szCs w:val="24"/>
        </w:rPr>
        <w:t>H.2.2</w:t>
      </w:r>
      <w:r>
        <w:rPr>
          <w:rStyle w:val="41"/>
          <w:color w:val="auto"/>
          <w:sz w:val="24"/>
          <w:szCs w:val="24"/>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6"/>
        <w:gridCol w:w="543"/>
        <w:gridCol w:w="565"/>
        <w:gridCol w:w="63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auto"/>
                <w:sz w:val="24"/>
                <w:szCs w:val="24"/>
              </w:rPr>
            </w:pPr>
            <w:r>
              <w:rPr>
                <w:rFonts w:hint="eastAsia"/>
                <w:iCs/>
                <w:color w:val="auto"/>
                <w:sz w:val="24"/>
                <w:szCs w:val="24"/>
              </w:rPr>
              <w:t>式中:</w:t>
            </w:r>
          </w:p>
        </w:tc>
        <w:tc>
          <w:tcPr>
            <w:tcW w:w="543" w:type="dxa"/>
          </w:tcPr>
          <w:p>
            <w:pPr>
              <w:spacing w:after="0" w:line="360" w:lineRule="auto"/>
              <w:jc w:val="right"/>
              <w:rPr>
                <w:iCs/>
                <w:color w:val="auto"/>
                <w:sz w:val="24"/>
                <w:szCs w:val="24"/>
              </w:rPr>
            </w:pPr>
            <w:r>
              <w:rPr>
                <w:iCs/>
                <w:color w:val="auto"/>
                <w:sz w:val="24"/>
                <w:szCs w:val="24"/>
              </w:rPr>
              <w:t>s(t)</w:t>
            </w:r>
          </w:p>
        </w:tc>
        <w:tc>
          <w:tcPr>
            <w:tcW w:w="565" w:type="dxa"/>
          </w:tcPr>
          <w:p>
            <w:pPr>
              <w:spacing w:after="0" w:line="360" w:lineRule="auto"/>
              <w:rPr>
                <w:iCs/>
                <w:color w:val="auto"/>
                <w:sz w:val="24"/>
                <w:szCs w:val="24"/>
              </w:rPr>
            </w:pPr>
            <w:r>
              <w:rPr>
                <w:rFonts w:hint="eastAsia"/>
                <w:iCs/>
                <w:color w:val="auto"/>
                <w:sz w:val="24"/>
                <w:szCs w:val="24"/>
              </w:rPr>
              <w:t>—</w:t>
            </w:r>
          </w:p>
        </w:tc>
        <w:tc>
          <w:tcPr>
            <w:tcW w:w="6342" w:type="dxa"/>
          </w:tcPr>
          <w:p>
            <w:pPr>
              <w:spacing w:after="0" w:line="360" w:lineRule="auto"/>
              <w:rPr>
                <w:iCs/>
                <w:color w:val="auto"/>
                <w:sz w:val="24"/>
                <w:szCs w:val="24"/>
              </w:rPr>
            </w:pPr>
            <w:r>
              <w:rPr>
                <w:rFonts w:hint="eastAsia"/>
                <w:iCs/>
                <w:color w:val="auto"/>
                <w:sz w:val="24"/>
                <w:szCs w:val="24"/>
              </w:rPr>
              <w:t>植筋长期荷载下的位移（mm）；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auto"/>
                <w:sz w:val="24"/>
                <w:szCs w:val="24"/>
              </w:rPr>
            </w:pPr>
          </w:p>
        </w:tc>
        <w:tc>
          <w:tcPr>
            <w:tcW w:w="543" w:type="dxa"/>
          </w:tcPr>
          <w:p>
            <w:pPr>
              <w:spacing w:after="0" w:line="360" w:lineRule="auto"/>
              <w:jc w:val="right"/>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s</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oMath>
            </m:oMathPara>
          </w:p>
        </w:tc>
        <w:tc>
          <w:tcPr>
            <w:tcW w:w="565" w:type="dxa"/>
          </w:tcPr>
          <w:p>
            <w:pPr>
              <w:spacing w:after="0" w:line="360" w:lineRule="auto"/>
              <w:rPr>
                <w:iCs/>
                <w:color w:val="auto"/>
                <w:sz w:val="24"/>
                <w:szCs w:val="24"/>
              </w:rPr>
            </w:pPr>
            <w:r>
              <w:rPr>
                <w:rFonts w:hint="eastAsia"/>
                <w:iCs/>
                <w:color w:val="auto"/>
                <w:sz w:val="24"/>
                <w:szCs w:val="24"/>
              </w:rPr>
              <w:t>—</w:t>
            </w:r>
          </w:p>
        </w:tc>
        <w:tc>
          <w:tcPr>
            <w:tcW w:w="6342" w:type="dxa"/>
          </w:tcPr>
          <w:p>
            <w:pPr>
              <w:spacing w:after="0" w:line="360" w:lineRule="auto"/>
              <w:rPr>
                <w:iCs/>
                <w:color w:val="auto"/>
                <w:sz w:val="24"/>
                <w:szCs w:val="24"/>
              </w:rPr>
            </w:pPr>
            <w:r>
              <w:rPr>
                <w:rFonts w:hint="eastAsia"/>
                <w:iCs/>
                <w:color w:val="auto"/>
                <w:sz w:val="24"/>
                <w:szCs w:val="24"/>
              </w:rPr>
              <w:t>常数，根据试验数据推算（mm）；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auto"/>
                <w:sz w:val="24"/>
                <w:szCs w:val="24"/>
              </w:rPr>
            </w:pPr>
          </w:p>
        </w:tc>
        <w:tc>
          <w:tcPr>
            <w:tcW w:w="543" w:type="dxa"/>
          </w:tcPr>
          <w:p>
            <w:pPr>
              <w:spacing w:after="0" w:line="360" w:lineRule="auto"/>
              <w:jc w:val="right"/>
              <w:rPr>
                <w:iCs/>
                <w:color w:val="auto"/>
                <w:sz w:val="24"/>
                <w:szCs w:val="24"/>
              </w:rPr>
            </w:pPr>
            <m:oMathPara>
              <m:oMathParaPr>
                <m:jc m:val="right"/>
              </m:oMathParaPr>
              <m:oMath>
                <m:r>
                  <m:rPr/>
                  <w:rPr>
                    <w:rFonts w:ascii="Cambria Math" w:hAnsi="Cambria Math"/>
                    <w:color w:val="auto"/>
                    <w:sz w:val="24"/>
                    <w:szCs w:val="24"/>
                  </w:rPr>
                  <m:t>a,b</m:t>
                </m:r>
              </m:oMath>
            </m:oMathPara>
          </w:p>
        </w:tc>
        <w:tc>
          <w:tcPr>
            <w:tcW w:w="565" w:type="dxa"/>
          </w:tcPr>
          <w:p>
            <w:pPr>
              <w:spacing w:after="0" w:line="360" w:lineRule="auto"/>
              <w:rPr>
                <w:iCs/>
                <w:color w:val="auto"/>
                <w:sz w:val="24"/>
                <w:szCs w:val="24"/>
              </w:rPr>
            </w:pPr>
            <w:r>
              <w:rPr>
                <w:rFonts w:hint="eastAsia"/>
                <w:iCs/>
                <w:color w:val="auto"/>
                <w:sz w:val="24"/>
                <w:szCs w:val="24"/>
              </w:rPr>
              <w:t>—</w:t>
            </w:r>
          </w:p>
        </w:tc>
        <w:tc>
          <w:tcPr>
            <w:tcW w:w="6342" w:type="dxa"/>
          </w:tcPr>
          <w:p>
            <w:pPr>
              <w:spacing w:after="0" w:line="360" w:lineRule="auto"/>
              <w:rPr>
                <w:iCs/>
                <w:color w:val="auto"/>
                <w:sz w:val="24"/>
                <w:szCs w:val="24"/>
              </w:rPr>
            </w:pPr>
            <w:r>
              <w:rPr>
                <w:rFonts w:hint="eastAsia"/>
                <w:iCs/>
                <w:color w:val="auto"/>
                <w:sz w:val="24"/>
                <w:szCs w:val="24"/>
              </w:rPr>
              <w:t>常数，根据试验数据推算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spacing w:after="0" w:line="360" w:lineRule="auto"/>
              <w:rPr>
                <w:iCs/>
                <w:color w:val="auto"/>
                <w:sz w:val="24"/>
                <w:szCs w:val="24"/>
              </w:rPr>
            </w:pPr>
          </w:p>
        </w:tc>
        <w:tc>
          <w:tcPr>
            <w:tcW w:w="543" w:type="dxa"/>
          </w:tcPr>
          <w:p>
            <w:pPr>
              <w:spacing w:after="0" w:line="360" w:lineRule="auto"/>
              <w:jc w:val="right"/>
              <w:rPr>
                <w:iCs/>
                <w:color w:val="auto"/>
                <w:sz w:val="24"/>
                <w:szCs w:val="24"/>
              </w:rPr>
            </w:pPr>
            <m:oMath>
              <m:r>
                <m:rPr/>
                <w:rPr>
                  <w:rFonts w:ascii="Cambria Math" w:hAnsi="Cambria Math"/>
                  <w:color w:val="auto"/>
                  <w:sz w:val="24"/>
                  <w:szCs w:val="24"/>
                </w:rPr>
                <m:t>t</m:t>
              </m:r>
            </m:oMath>
            <w:r>
              <w:rPr>
                <w:iCs/>
                <w:color w:val="auto"/>
                <w:sz w:val="24"/>
                <w:szCs w:val="24"/>
              </w:rPr>
              <w:t xml:space="preserve"> </w:t>
            </w:r>
          </w:p>
        </w:tc>
        <w:tc>
          <w:tcPr>
            <w:tcW w:w="565" w:type="dxa"/>
          </w:tcPr>
          <w:p>
            <w:pPr>
              <w:spacing w:after="0" w:line="360" w:lineRule="auto"/>
              <w:rPr>
                <w:iCs/>
                <w:color w:val="auto"/>
                <w:sz w:val="24"/>
                <w:szCs w:val="24"/>
              </w:rPr>
            </w:pPr>
            <w:r>
              <w:rPr>
                <w:rFonts w:hint="eastAsia"/>
                <w:iCs/>
                <w:color w:val="auto"/>
                <w:sz w:val="24"/>
                <w:szCs w:val="24"/>
              </w:rPr>
              <w:t>—</w:t>
            </w:r>
          </w:p>
        </w:tc>
        <w:tc>
          <w:tcPr>
            <w:tcW w:w="6342" w:type="dxa"/>
          </w:tcPr>
          <w:p>
            <w:pPr>
              <w:spacing w:after="0" w:line="360" w:lineRule="auto"/>
              <w:rPr>
                <w:iCs/>
                <w:color w:val="auto"/>
                <w:sz w:val="24"/>
                <w:szCs w:val="24"/>
              </w:rPr>
            </w:pPr>
            <w:r>
              <w:rPr>
                <w:rFonts w:hint="eastAsia"/>
                <w:iCs/>
                <w:color w:val="auto"/>
                <w:sz w:val="24"/>
                <w:szCs w:val="24"/>
              </w:rPr>
              <w:t>恒定荷载加载时间，单位取小时（h）。</w:t>
            </w:r>
          </w:p>
        </w:tc>
      </w:tr>
    </w:tbl>
    <w:p>
      <w:pPr>
        <w:snapToGrid w:val="0"/>
        <w:spacing w:after="0" w:line="360" w:lineRule="auto"/>
        <w:rPr>
          <w:bCs/>
          <w:color w:val="auto"/>
          <w:sz w:val="24"/>
          <w:szCs w:val="24"/>
        </w:rPr>
      </w:pPr>
      <w:r>
        <w:rPr>
          <w:rFonts w:hint="eastAsia"/>
          <w:b/>
          <w:bCs/>
          <w:color w:val="auto"/>
          <w:sz w:val="24"/>
          <w:szCs w:val="24"/>
        </w:rPr>
        <w:t>H.2.3</w:t>
      </w:r>
      <w:r>
        <w:rPr>
          <w:color w:val="auto"/>
          <w:sz w:val="24"/>
          <w:szCs w:val="24"/>
        </w:rPr>
        <w:t xml:space="preserve"> </w:t>
      </w:r>
      <w:r>
        <w:rPr>
          <w:rFonts w:hint="eastAsia"/>
          <w:color w:val="auto"/>
          <w:sz w:val="24"/>
          <w:szCs w:val="24"/>
        </w:rPr>
        <w:t>按照公</w:t>
      </w:r>
      <w:r>
        <w:rPr>
          <w:color w:val="auto"/>
          <w:sz w:val="24"/>
          <w:szCs w:val="24"/>
        </w:rPr>
        <w:t>式</w:t>
      </w:r>
      <w:r>
        <w:rPr>
          <w:rFonts w:hint="eastAsia"/>
          <w:color w:val="auto"/>
          <w:sz w:val="24"/>
          <w:szCs w:val="24"/>
        </w:rPr>
        <w:t>（H.2.2）推算出</w:t>
      </w:r>
      <w:r>
        <w:rPr>
          <w:bCs/>
          <w:color w:val="auto"/>
          <w:sz w:val="24"/>
          <w:szCs w:val="24"/>
        </w:rPr>
        <w:t>最高长期使用温度</w:t>
      </w:r>
      <w:r>
        <w:rPr>
          <w:rFonts w:hint="eastAsia"/>
          <w:color w:val="auto"/>
          <w:sz w:val="24"/>
          <w:szCs w:val="24"/>
        </w:rPr>
        <w:t>受荷</w:t>
      </w:r>
      <w:r>
        <w:rPr>
          <w:color w:val="auto"/>
          <w:sz w:val="24"/>
          <w:szCs w:val="24"/>
        </w:rPr>
        <w:t>条件下</w:t>
      </w:r>
      <w:r>
        <w:rPr>
          <w:rFonts w:hint="eastAsia"/>
          <w:color w:val="auto"/>
          <w:sz w:val="24"/>
          <w:szCs w:val="24"/>
        </w:rPr>
        <w:t>5</w:t>
      </w:r>
      <w:r>
        <w:rPr>
          <w:color w:val="auto"/>
          <w:sz w:val="24"/>
          <w:szCs w:val="24"/>
        </w:rPr>
        <w:t>0</w:t>
      </w:r>
      <w:r>
        <w:rPr>
          <w:rFonts w:hint="eastAsia"/>
          <w:color w:val="auto"/>
          <w:sz w:val="24"/>
          <w:szCs w:val="24"/>
        </w:rPr>
        <w:t>年后的植筋</w:t>
      </w:r>
      <w:r>
        <w:rPr>
          <w:color w:val="auto"/>
          <w:sz w:val="24"/>
          <w:szCs w:val="24"/>
        </w:rPr>
        <w:t>位移</w:t>
      </w:r>
      <w:r>
        <w:rPr>
          <w:rFonts w:hint="eastAsia"/>
          <w:color w:val="auto"/>
          <w:sz w:val="24"/>
          <w:szCs w:val="24"/>
        </w:rPr>
        <w:t>值</w:t>
      </w:r>
      <m:oMath>
        <m:sSub>
          <m:sSubPr>
            <m:ctrlPr>
              <w:rPr>
                <w:rStyle w:val="41"/>
                <w:rFonts w:ascii="Cambria Math" w:hAnsi="Cambria Math"/>
                <w:i/>
                <w:color w:val="auto"/>
                <w:sz w:val="24"/>
                <w:szCs w:val="24"/>
              </w:rPr>
            </m:ctrlPr>
          </m:sSubPr>
          <m:e>
            <m:r>
              <m:rPr/>
              <w:rPr>
                <w:rStyle w:val="41"/>
                <w:rFonts w:ascii="Cambria Math" w:hAnsi="Cambria Math"/>
                <w:color w:val="auto"/>
                <w:sz w:val="24"/>
                <w:szCs w:val="24"/>
              </w:rPr>
              <m:t>s</m:t>
            </m:r>
            <m:ctrlPr>
              <w:rPr>
                <w:rStyle w:val="41"/>
                <w:rFonts w:ascii="Cambria Math" w:hAnsi="Cambria Math"/>
                <w:i/>
                <w:color w:val="auto"/>
                <w:sz w:val="24"/>
                <w:szCs w:val="24"/>
              </w:rPr>
            </m:ctrlPr>
          </m:e>
          <m:sub>
            <m:r>
              <m:rPr/>
              <w:rPr>
                <w:rStyle w:val="41"/>
                <w:rFonts w:ascii="Cambria Math" w:hAnsi="Cambria Math"/>
                <w:color w:val="auto"/>
                <w:sz w:val="24"/>
                <w:szCs w:val="24"/>
              </w:rPr>
              <m:t>T3,  50y</m:t>
            </m:r>
            <m:ctrlPr>
              <w:rPr>
                <w:rStyle w:val="41"/>
                <w:rFonts w:ascii="Cambria Math" w:hAnsi="Cambria Math"/>
                <w:i/>
                <w:color w:val="auto"/>
                <w:sz w:val="24"/>
                <w:szCs w:val="24"/>
              </w:rPr>
            </m:ctrlPr>
          </m:sub>
        </m:sSub>
      </m:oMath>
      <w:r>
        <w:rPr>
          <w:rStyle w:val="41"/>
          <w:rFonts w:hint="eastAsia"/>
          <w:color w:val="auto"/>
          <w:sz w:val="24"/>
          <w:szCs w:val="24"/>
        </w:rPr>
        <w:t>，应小于</w:t>
      </w:r>
      <w:r>
        <w:rPr>
          <w:rFonts w:hint="eastAsia"/>
          <w:bCs/>
          <w:color w:val="auto"/>
          <w:sz w:val="24"/>
          <w:szCs w:val="24"/>
        </w:rPr>
        <w:t>基准试验中常温条件下对应的粘结失效位移</w:t>
      </w:r>
      <w:r>
        <w:rPr>
          <w:rFonts w:hint="eastAsia"/>
          <w:bCs/>
          <w:i/>
          <w:iCs/>
          <w:color w:val="auto"/>
          <w:sz w:val="24"/>
          <w:szCs w:val="24"/>
        </w:rPr>
        <w:t>s</w:t>
      </w:r>
      <w:r>
        <w:rPr>
          <w:bCs/>
          <w:color w:val="auto"/>
          <w:sz w:val="24"/>
          <w:szCs w:val="24"/>
          <w:vertAlign w:val="subscript"/>
        </w:rPr>
        <w:t>r,adh,m</w:t>
      </w:r>
      <w:r>
        <w:rPr>
          <w:bCs/>
          <w:color w:val="auto"/>
          <w:sz w:val="24"/>
          <w:szCs w:val="24"/>
        </w:rPr>
        <w:t>。</w:t>
      </w:r>
      <w:r>
        <w:rPr>
          <w:rFonts w:hint="eastAsia"/>
          <w:bCs/>
          <w:color w:val="auto"/>
          <w:sz w:val="24"/>
          <w:szCs w:val="24"/>
          <w:lang w:val="en-US" w:eastAsia="zh-CN"/>
        </w:rPr>
        <w:t>若</w:t>
      </w:r>
      <w:r>
        <w:rPr>
          <w:rFonts w:hint="eastAsia"/>
          <w:bCs/>
          <w:color w:val="auto"/>
          <w:sz w:val="24"/>
          <w:szCs w:val="24"/>
        </w:rPr>
        <w:t>不满足要求，应重新进行试验，此时测试荷载可降低1</w:t>
      </w:r>
      <w:r>
        <w:rPr>
          <w:bCs/>
          <w:color w:val="auto"/>
          <w:sz w:val="24"/>
          <w:szCs w:val="24"/>
        </w:rPr>
        <w:t>0</w:t>
      </w:r>
      <w:r>
        <w:rPr>
          <w:rFonts w:hint="eastAsia"/>
          <w:bCs/>
          <w:color w:val="auto"/>
          <w:sz w:val="24"/>
          <w:szCs w:val="24"/>
        </w:rPr>
        <w:t>%，即</w:t>
      </w:r>
      <w:r>
        <w:rPr>
          <w:rFonts w:hint="eastAsia"/>
          <w:bCs/>
          <w:i/>
          <w:iCs/>
          <w:color w:val="auto"/>
          <w:sz w:val="24"/>
          <w:szCs w:val="24"/>
        </w:rPr>
        <w:t>N</w:t>
      </w:r>
      <w:r>
        <w:rPr>
          <w:bCs/>
          <w:color w:val="auto"/>
          <w:sz w:val="24"/>
          <w:szCs w:val="24"/>
          <w:vertAlign w:val="subscript"/>
        </w:rPr>
        <w:t>sust, red,T3</w:t>
      </w:r>
      <w:r>
        <w:rPr>
          <w:bCs/>
          <w:color w:val="auto"/>
          <w:sz w:val="24"/>
          <w:szCs w:val="24"/>
        </w:rPr>
        <w:t xml:space="preserve"> = 0.9</w:t>
      </w:r>
      <w:r>
        <w:rPr>
          <w:bCs/>
          <w:i/>
          <w:iCs/>
          <w:color w:val="auto"/>
          <w:sz w:val="24"/>
          <w:szCs w:val="24"/>
        </w:rPr>
        <w:t>N</w:t>
      </w:r>
      <w:r>
        <w:rPr>
          <w:bCs/>
          <w:color w:val="auto"/>
          <w:sz w:val="24"/>
          <w:szCs w:val="24"/>
          <w:vertAlign w:val="subscript"/>
        </w:rPr>
        <w:t>sust</w:t>
      </w:r>
      <w:r>
        <w:rPr>
          <w:rFonts w:hint="eastAsia"/>
          <w:bCs/>
          <w:color w:val="auto"/>
          <w:sz w:val="24"/>
          <w:szCs w:val="24"/>
        </w:rPr>
        <w:t>。</w:t>
      </w:r>
    </w:p>
    <w:p>
      <w:pPr>
        <w:spacing w:after="0" w:line="360" w:lineRule="auto"/>
        <w:rPr>
          <w:bCs/>
          <w:color w:val="auto"/>
          <w:sz w:val="24"/>
          <w:szCs w:val="24"/>
        </w:rPr>
      </w:pPr>
      <w:r>
        <w:rPr>
          <w:rFonts w:hint="eastAsia"/>
          <w:b/>
          <w:color w:val="auto"/>
          <w:sz w:val="24"/>
          <w:szCs w:val="24"/>
        </w:rPr>
        <w:t>H.2.4</w:t>
      </w:r>
      <w:r>
        <w:rPr>
          <w:bCs/>
          <w:color w:val="auto"/>
          <w:sz w:val="24"/>
          <w:szCs w:val="24"/>
        </w:rPr>
        <w:t xml:space="preserve"> </w:t>
      </w:r>
      <w:r>
        <w:rPr>
          <w:rFonts w:hint="eastAsia"/>
          <w:bCs/>
          <w:color w:val="auto"/>
          <w:sz w:val="24"/>
          <w:szCs w:val="24"/>
        </w:rPr>
        <w:t>最高长期温度下长期荷载性能影响系数应符合下列规定:</w:t>
      </w:r>
    </w:p>
    <w:p>
      <w:pPr>
        <w:spacing w:after="0" w:line="360" w:lineRule="auto"/>
        <w:ind w:firstLine="420"/>
        <w:rPr>
          <w:color w:val="auto"/>
          <w:sz w:val="24"/>
          <w:szCs w:val="24"/>
        </w:rPr>
      </w:pPr>
      <w:r>
        <w:rPr>
          <w:bCs/>
          <w:color w:val="auto"/>
          <w:sz w:val="24"/>
          <w:szCs w:val="24"/>
        </w:rPr>
        <w:t>1</w:t>
      </w:r>
      <w:r>
        <w:rPr>
          <w:rFonts w:hint="eastAsia"/>
          <w:bCs/>
          <w:color w:val="auto"/>
          <w:sz w:val="24"/>
          <w:szCs w:val="24"/>
        </w:rPr>
        <w:t>最高长期使用温度</w:t>
      </w:r>
      <w:r>
        <w:rPr>
          <w:bCs/>
          <w:color w:val="auto"/>
          <w:sz w:val="24"/>
          <w:szCs w:val="24"/>
        </w:rPr>
        <w:t>条件下长期荷载</w:t>
      </w:r>
      <w:r>
        <w:rPr>
          <w:rFonts w:hint="eastAsia"/>
          <w:bCs/>
          <w:color w:val="auto"/>
          <w:sz w:val="24"/>
          <w:szCs w:val="24"/>
        </w:rPr>
        <w:t>残余承载力</w:t>
      </w:r>
      <w:r>
        <w:rPr>
          <w:bCs/>
          <w:color w:val="auto"/>
          <w:sz w:val="24"/>
          <w:szCs w:val="24"/>
        </w:rPr>
        <w:t>折减系数</w:t>
      </w:r>
      <w:r>
        <w:rPr>
          <w:i/>
          <w:color w:val="auto"/>
          <w:sz w:val="24"/>
          <w:szCs w:val="24"/>
        </w:rPr>
        <w:t>α</w:t>
      </w:r>
      <w:r>
        <w:rPr>
          <w:color w:val="auto"/>
          <w:sz w:val="24"/>
          <w:szCs w:val="24"/>
          <w:vertAlign w:val="subscript"/>
        </w:rPr>
        <w:t>q,sust,T3</w:t>
      </w:r>
      <w:r>
        <w:rPr>
          <w:rFonts w:hint="eastAsia"/>
          <w:bCs/>
          <w:color w:val="auto"/>
          <w:sz w:val="24"/>
          <w:szCs w:val="24"/>
        </w:rPr>
        <w:t>应按下式计算：</w:t>
      </w:r>
    </w:p>
    <w:p>
      <w:pPr>
        <w:spacing w:after="0" w:line="360" w:lineRule="auto"/>
        <w:jc w:val="right"/>
        <w:rPr>
          <w:color w:val="auto"/>
          <w:sz w:val="24"/>
          <w:szCs w:val="24"/>
        </w:rPr>
      </w:pPr>
      <w:r>
        <w:rPr>
          <w:color w:val="auto"/>
          <w:sz w:val="24"/>
          <w:szCs w:val="24"/>
        </w:rPr>
        <w:t xml:space="preserve">      </w:t>
      </w: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q,sust,T3</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bm,sust,T3</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bm,r,c25</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num>
          <m:den>
            <m:d>
              <m:dPr>
                <m:ctrlPr>
                  <w:rPr>
                    <w:rFonts w:ascii="Cambria Math" w:hAnsi="Cambria Math"/>
                    <w:i/>
                    <w:color w:val="auto"/>
                    <w:sz w:val="24"/>
                    <w:szCs w:val="24"/>
                  </w:rPr>
                </m:ctrlPr>
              </m:dPr>
              <m:e>
                <m:r>
                  <m:rPr/>
                  <w:rPr>
                    <w:rFonts w:ascii="Cambria Math" w:hAnsi="Cambria Math"/>
                    <w:color w:val="auto"/>
                    <w:sz w:val="24"/>
                    <w:szCs w:val="24"/>
                  </w:rPr>
                  <m:t>0.9</m:t>
                </m:r>
                <m:ctrlPr>
                  <w:rPr>
                    <w:rFonts w:ascii="Cambria Math" w:hAnsi="Cambria Math"/>
                    <w:i/>
                    <w:color w:val="auto"/>
                    <w:sz w:val="24"/>
                    <w:szCs w:val="24"/>
                  </w:rPr>
                </m:ctrlPr>
              </m:e>
            </m:d>
            <m:ctrlPr>
              <w:rPr>
                <w:rFonts w:ascii="Cambria Math" w:hAnsi="Cambria Math"/>
                <w:i/>
                <w:color w:val="auto"/>
                <w:sz w:val="24"/>
                <w:szCs w:val="24"/>
              </w:rPr>
            </m:ctrlPr>
          </m:den>
        </m:f>
        <m:r>
          <m:rPr/>
          <w:rPr>
            <w:rFonts w:ascii="Cambria Math" w:hAnsi="Cambria Math"/>
            <w:color w:val="auto"/>
            <w:sz w:val="24"/>
            <w:szCs w:val="24"/>
          </w:rPr>
          <m:t>≤1.0</m:t>
        </m:r>
      </m:oMath>
      <w:r>
        <w:rPr>
          <w:color w:val="auto"/>
          <w:sz w:val="24"/>
          <w:szCs w:val="24"/>
        </w:rPr>
        <w:t xml:space="preserve">            </w:t>
      </w:r>
      <w:r>
        <w:rPr>
          <w:rFonts w:hint="eastAsia"/>
          <w:color w:val="auto"/>
          <w:sz w:val="24"/>
          <w:szCs w:val="24"/>
          <w:lang w:val="en-US" w:eastAsia="zh-CN"/>
        </w:rPr>
        <w:t xml:space="preserve">    </w:t>
      </w:r>
      <w:r>
        <w:rPr>
          <w:color w:val="auto"/>
          <w:sz w:val="24"/>
          <w:szCs w:val="24"/>
        </w:rPr>
        <w:t xml:space="preserve">    </w:t>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H.2.4</w:t>
      </w:r>
      <w:r>
        <w:rPr>
          <w:color w:val="auto"/>
          <w:sz w:val="24"/>
          <w:szCs w:val="24"/>
        </w:rPr>
        <w:t>-1)</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5"/>
        <w:gridCol w:w="1223"/>
        <w:gridCol w:w="456"/>
        <w:gridCol w:w="5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 w:type="dxa"/>
          </w:tcPr>
          <w:p>
            <w:pPr>
              <w:spacing w:after="0" w:line="360" w:lineRule="auto"/>
              <w:rPr>
                <w:iCs/>
                <w:color w:val="auto"/>
                <w:sz w:val="24"/>
                <w:szCs w:val="24"/>
              </w:rPr>
            </w:pPr>
            <w:r>
              <w:rPr>
                <w:rFonts w:hint="eastAsia"/>
                <w:iCs/>
                <w:color w:val="auto"/>
                <w:sz w:val="24"/>
                <w:szCs w:val="24"/>
              </w:rPr>
              <w:t>式中:</w:t>
            </w:r>
          </w:p>
        </w:tc>
        <w:tc>
          <w:tcPr>
            <w:tcW w:w="1223"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q,sust,T3</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812" w:type="dxa"/>
          </w:tcPr>
          <w:p>
            <w:pPr>
              <w:spacing w:after="0" w:line="360" w:lineRule="auto"/>
              <w:rPr>
                <w:iCs/>
                <w:color w:val="auto"/>
                <w:sz w:val="24"/>
                <w:szCs w:val="24"/>
              </w:rPr>
            </w:pPr>
            <w:r>
              <w:rPr>
                <w:rFonts w:hint="eastAsia"/>
                <w:iCs/>
                <w:color w:val="auto"/>
                <w:sz w:val="24"/>
                <w:szCs w:val="24"/>
              </w:rPr>
              <w:t>最高长期使用温度条件下长期荷载试验残余承载力对应折减系数；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 w:type="dxa"/>
          </w:tcPr>
          <w:p>
            <w:pPr>
              <w:spacing w:after="0" w:line="360" w:lineRule="auto"/>
              <w:rPr>
                <w:iCs/>
                <w:color w:val="auto"/>
                <w:sz w:val="24"/>
                <w:szCs w:val="24"/>
              </w:rPr>
            </w:pPr>
          </w:p>
        </w:tc>
        <w:tc>
          <w:tcPr>
            <w:tcW w:w="1223"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bm,sust,T3</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812" w:type="dxa"/>
          </w:tcPr>
          <w:p>
            <w:pPr>
              <w:spacing w:after="0" w:line="360" w:lineRule="auto"/>
              <w:rPr>
                <w:iCs/>
                <w:color w:val="auto"/>
                <w:sz w:val="24"/>
                <w:szCs w:val="24"/>
              </w:rPr>
            </w:pPr>
            <w:r>
              <w:rPr>
                <w:rFonts w:hint="eastAsia"/>
                <w:iCs/>
                <w:color w:val="auto"/>
                <w:sz w:val="24"/>
                <w:szCs w:val="24"/>
              </w:rPr>
              <w:t>最高长期使用温度条件下长期荷载测试后的粘结强度，N</w:t>
            </w:r>
            <w:r>
              <w:rPr>
                <w:iCs/>
                <w:color w:val="auto"/>
                <w:sz w:val="24"/>
                <w:szCs w:val="24"/>
              </w:rPr>
              <w:t>/mm</w:t>
            </w:r>
            <w:r>
              <w:rPr>
                <w:iCs/>
                <w:color w:val="auto"/>
                <w:sz w:val="24"/>
                <w:szCs w:val="24"/>
                <w:vertAlign w:val="superscript"/>
              </w:rPr>
              <w:t>2</w:t>
            </w:r>
            <w:r>
              <w:rPr>
                <w:rFonts w:hint="eastAsia"/>
                <w:iCs/>
                <w:color w:val="auto"/>
                <w:sz w:val="24"/>
                <w:szCs w:val="24"/>
              </w:rPr>
              <w:t>。</w:t>
            </w:r>
          </w:p>
        </w:tc>
      </w:tr>
    </w:tbl>
    <w:p>
      <w:pPr>
        <w:spacing w:after="0" w:line="360" w:lineRule="auto"/>
        <w:ind w:firstLine="420"/>
        <w:rPr>
          <w:color w:val="auto"/>
          <w:sz w:val="24"/>
          <w:szCs w:val="24"/>
        </w:rPr>
      </w:pPr>
      <w:r>
        <w:rPr>
          <w:rFonts w:hint="eastAsia"/>
          <w:color w:val="auto"/>
          <w:sz w:val="24"/>
          <w:szCs w:val="24"/>
        </w:rPr>
        <w:t xml:space="preserve">2 </w:t>
      </w:r>
      <w:r>
        <w:rPr>
          <w:rFonts w:hint="eastAsia"/>
          <w:color w:val="auto"/>
          <w:sz w:val="24"/>
          <w:szCs w:val="24"/>
          <w:lang w:val="en-US" w:eastAsia="zh-CN"/>
        </w:rPr>
        <w:t>当</w:t>
      </w:r>
      <w:r>
        <w:rPr>
          <w:rFonts w:hint="eastAsia"/>
          <w:color w:val="auto"/>
          <w:sz w:val="24"/>
          <w:szCs w:val="24"/>
        </w:rPr>
        <w:t>测试过程中根据本规程第H.1.</w:t>
      </w:r>
      <w:r>
        <w:rPr>
          <w:color w:val="auto"/>
          <w:sz w:val="24"/>
          <w:szCs w:val="24"/>
        </w:rPr>
        <w:t>3</w:t>
      </w:r>
      <w:r>
        <w:rPr>
          <w:rFonts w:hint="eastAsia"/>
          <w:color w:val="auto"/>
          <w:sz w:val="24"/>
          <w:szCs w:val="24"/>
        </w:rPr>
        <w:t>条或H.2.3条规定降低了施加的恒定荷载，则应</w:t>
      </w:r>
      <w:r>
        <w:rPr>
          <w:color w:val="auto"/>
          <w:sz w:val="24"/>
          <w:szCs w:val="24"/>
        </w:rPr>
        <w:t>按</w:t>
      </w:r>
      <w:r>
        <w:rPr>
          <w:rFonts w:hint="eastAsia"/>
          <w:bCs/>
          <w:color w:val="auto"/>
          <w:sz w:val="24"/>
          <w:szCs w:val="24"/>
        </w:rPr>
        <w:t>下式</w:t>
      </w:r>
      <w:r>
        <w:rPr>
          <w:rFonts w:hint="eastAsia"/>
          <w:color w:val="auto"/>
          <w:sz w:val="24"/>
          <w:szCs w:val="24"/>
        </w:rPr>
        <w:t>计算</w:t>
      </w:r>
      <w:r>
        <w:rPr>
          <w:rFonts w:hint="eastAsia"/>
          <w:bCs/>
          <w:color w:val="auto"/>
          <w:sz w:val="24"/>
          <w:szCs w:val="24"/>
        </w:rPr>
        <w:t>加载</w:t>
      </w:r>
      <w:r>
        <w:rPr>
          <w:bCs/>
          <w:color w:val="auto"/>
          <w:sz w:val="24"/>
          <w:szCs w:val="24"/>
        </w:rPr>
        <w:t>折减系数</w:t>
      </w:r>
      <w:r>
        <w:rPr>
          <w:i/>
          <w:color w:val="auto"/>
          <w:sz w:val="24"/>
          <w:szCs w:val="24"/>
        </w:rPr>
        <w:t>α</w:t>
      </w:r>
      <w:r>
        <w:rPr>
          <w:rFonts w:hint="eastAsia"/>
          <w:color w:val="auto"/>
          <w:sz w:val="24"/>
          <w:szCs w:val="24"/>
          <w:vertAlign w:val="subscript"/>
        </w:rPr>
        <w:t>p</w:t>
      </w:r>
      <w:r>
        <w:rPr>
          <w:color w:val="auto"/>
          <w:sz w:val="24"/>
          <w:szCs w:val="24"/>
          <w:vertAlign w:val="subscript"/>
        </w:rPr>
        <w:t>,sust,T3</w:t>
      </w:r>
      <w:r>
        <w:rPr>
          <w:rFonts w:hint="eastAsia"/>
          <w:color w:val="auto"/>
          <w:sz w:val="24"/>
          <w:szCs w:val="24"/>
        </w:rPr>
        <w:t>，</w:t>
      </w:r>
      <w:r>
        <w:rPr>
          <w:rFonts w:hint="eastAsia"/>
          <w:color w:val="auto"/>
          <w:sz w:val="24"/>
          <w:szCs w:val="24"/>
          <w:lang w:val="en-US" w:eastAsia="zh-CN"/>
        </w:rPr>
        <w:t>当</w:t>
      </w:r>
      <w:r>
        <w:rPr>
          <w:rFonts w:hint="eastAsia"/>
          <w:color w:val="auto"/>
          <w:sz w:val="24"/>
          <w:szCs w:val="24"/>
        </w:rPr>
        <w:t>没有降低该恒定荷载，则取</w:t>
      </w:r>
      <w:r>
        <w:rPr>
          <w:i/>
          <w:color w:val="auto"/>
          <w:sz w:val="24"/>
          <w:szCs w:val="24"/>
        </w:rPr>
        <w:t>α</w:t>
      </w:r>
      <w:r>
        <w:rPr>
          <w:rFonts w:hint="eastAsia"/>
          <w:color w:val="auto"/>
          <w:sz w:val="24"/>
          <w:szCs w:val="24"/>
          <w:vertAlign w:val="subscript"/>
        </w:rPr>
        <w:t>p</w:t>
      </w:r>
      <w:r>
        <w:rPr>
          <w:color w:val="auto"/>
          <w:sz w:val="24"/>
          <w:szCs w:val="24"/>
          <w:vertAlign w:val="subscript"/>
        </w:rPr>
        <w:t>,sust,T3</w:t>
      </w:r>
      <w:r>
        <w:rPr>
          <w:rFonts w:hint="eastAsia"/>
          <w:color w:val="auto"/>
          <w:sz w:val="24"/>
          <w:szCs w:val="24"/>
        </w:rPr>
        <w:t>=</w:t>
      </w:r>
      <w:r>
        <w:rPr>
          <w:color w:val="auto"/>
          <w:sz w:val="24"/>
          <w:szCs w:val="24"/>
        </w:rPr>
        <w:t>1.0</w:t>
      </w:r>
      <w:r>
        <w:rPr>
          <w:rFonts w:hint="eastAsia"/>
          <w:color w:val="auto"/>
          <w:sz w:val="24"/>
          <w:szCs w:val="24"/>
        </w:rPr>
        <w:t>。</w:t>
      </w:r>
    </w:p>
    <w:p>
      <w:pPr>
        <w:spacing w:after="0" w:line="360" w:lineRule="auto"/>
        <w:jc w:val="right"/>
        <w:rPr>
          <w:color w:val="auto"/>
          <w:sz w:val="24"/>
          <w:szCs w:val="24"/>
        </w:rPr>
      </w:pPr>
      <w:r>
        <w:rPr>
          <w:color w:val="auto"/>
          <w:sz w:val="24"/>
          <w:szCs w:val="24"/>
        </w:rPr>
        <w:t xml:space="preserve">                 </w:t>
      </w: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p,sust,T3</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sust,red,T3</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m:t>
                </m:r>
                <m:ctrlPr>
                  <w:rPr>
                    <w:rFonts w:ascii="Cambria Math" w:hAnsi="Cambria Math"/>
                    <w:i/>
                    <w:color w:val="auto"/>
                    <w:sz w:val="24"/>
                    <w:szCs w:val="24"/>
                  </w:rPr>
                </m:ctrlPr>
              </m:sub>
            </m:sSub>
            <m:ctrlPr>
              <w:rPr>
                <w:rFonts w:ascii="Cambria Math" w:hAnsi="Cambria Math"/>
                <w:i/>
                <w:color w:val="auto"/>
                <w:sz w:val="24"/>
                <w:szCs w:val="24"/>
              </w:rPr>
            </m:ctrlPr>
          </m:den>
        </m:f>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H.2.4</w:t>
      </w:r>
      <w:r>
        <w:rPr>
          <w:color w:val="auto"/>
          <w:sz w:val="24"/>
          <w:szCs w:val="24"/>
        </w:rPr>
        <w:t>-2)</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5"/>
        <w:gridCol w:w="1206"/>
        <w:gridCol w:w="456"/>
        <w:gridCol w:w="5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 w:type="dxa"/>
          </w:tcPr>
          <w:p>
            <w:pPr>
              <w:spacing w:after="0" w:line="360" w:lineRule="auto"/>
              <w:rPr>
                <w:iCs/>
                <w:color w:val="auto"/>
                <w:sz w:val="24"/>
                <w:szCs w:val="24"/>
              </w:rPr>
            </w:pPr>
            <w:r>
              <w:rPr>
                <w:rFonts w:hint="eastAsia"/>
                <w:iCs/>
                <w:color w:val="auto"/>
                <w:sz w:val="24"/>
                <w:szCs w:val="24"/>
              </w:rPr>
              <w:t>式中:</w:t>
            </w:r>
          </w:p>
        </w:tc>
        <w:tc>
          <w:tcPr>
            <w:tcW w:w="1206"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p,sust,T3</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829" w:type="dxa"/>
          </w:tcPr>
          <w:p>
            <w:pPr>
              <w:spacing w:after="0" w:line="360" w:lineRule="auto"/>
              <w:rPr>
                <w:iCs/>
                <w:color w:val="auto"/>
                <w:sz w:val="24"/>
                <w:szCs w:val="24"/>
              </w:rPr>
            </w:pPr>
            <w:r>
              <w:rPr>
                <w:rFonts w:hint="eastAsia"/>
                <w:iCs/>
                <w:color w:val="auto"/>
                <w:sz w:val="24"/>
                <w:szCs w:val="24"/>
              </w:rPr>
              <w:t>最高长期使用温度条件下测试荷载折降对应的折减系数；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 w:type="dxa"/>
          </w:tcPr>
          <w:p>
            <w:pPr>
              <w:spacing w:after="0" w:line="360" w:lineRule="auto"/>
              <w:rPr>
                <w:iCs/>
                <w:color w:val="auto"/>
                <w:sz w:val="24"/>
                <w:szCs w:val="24"/>
              </w:rPr>
            </w:pPr>
          </w:p>
        </w:tc>
        <w:tc>
          <w:tcPr>
            <w:tcW w:w="1206"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N</m:t>
                    </m:r>
                    <m:ctrlPr>
                      <w:rPr>
                        <w:rFonts w:ascii="Cambria Math" w:hAnsi="Cambria Math"/>
                        <w:i/>
                        <w:color w:val="auto"/>
                        <w:sz w:val="24"/>
                        <w:szCs w:val="24"/>
                      </w:rPr>
                    </m:ctrlPr>
                  </m:e>
                  <m:sub>
                    <m:r>
                      <m:rPr/>
                      <w:rPr>
                        <w:rFonts w:ascii="Cambria Math" w:hAnsi="Cambria Math"/>
                        <w:color w:val="auto"/>
                        <w:sz w:val="24"/>
                        <w:szCs w:val="24"/>
                      </w:rPr>
                      <m:t>sust,red,T3</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5829" w:type="dxa"/>
          </w:tcPr>
          <w:p>
            <w:pPr>
              <w:spacing w:after="0" w:line="360" w:lineRule="auto"/>
              <w:rPr>
                <w:iCs/>
                <w:color w:val="auto"/>
                <w:sz w:val="24"/>
                <w:szCs w:val="24"/>
              </w:rPr>
            </w:pPr>
            <w:r>
              <w:rPr>
                <w:rFonts w:hint="eastAsia"/>
                <w:iCs/>
                <w:color w:val="auto"/>
                <w:sz w:val="24"/>
                <w:szCs w:val="24"/>
              </w:rPr>
              <w:t>折减后的测试荷载（N）。</w:t>
            </w:r>
          </w:p>
        </w:tc>
      </w:tr>
    </w:tbl>
    <w:p>
      <w:pPr>
        <w:spacing w:after="0" w:line="360" w:lineRule="auto"/>
        <w:rPr>
          <w:rFonts w:ascii="Cambria Math" w:hAnsi="Cambria Math"/>
          <w:bCs/>
          <w:color w:val="auto"/>
          <w:sz w:val="24"/>
          <w:szCs w:val="24"/>
        </w:rPr>
      </w:pPr>
      <w:r>
        <w:rPr>
          <w:rFonts w:hint="eastAsia"/>
          <w:bCs/>
          <w:color w:val="auto"/>
          <w:sz w:val="24"/>
          <w:szCs w:val="24"/>
        </w:rPr>
        <w:tab/>
      </w:r>
      <w:r>
        <w:rPr>
          <w:rFonts w:hint="eastAsia"/>
          <w:bCs/>
          <w:color w:val="auto"/>
          <w:sz w:val="24"/>
          <w:szCs w:val="24"/>
        </w:rPr>
        <w:t>3 考虑植筋系统在指定高温使用条件下长期持续拉力荷载下的</w:t>
      </w:r>
      <w:r>
        <w:rPr>
          <w:rFonts w:hint="eastAsia" w:ascii="宋体" w:hAnsi="宋体"/>
          <w:bCs/>
          <w:color w:val="000000" w:themeColor="text1"/>
          <w:sz w:val="24"/>
          <w:szCs w:val="24"/>
          <w14:textFill>
            <w14:solidFill>
              <w14:schemeClr w14:val="tx1"/>
            </w14:solidFill>
          </w14:textFill>
        </w:rPr>
        <w:t>植筋系统粘结强度的影响系数</w:t>
      </w:r>
      <w:r>
        <w:rPr>
          <w:rFonts w:hint="eastAsia" w:ascii="宋体" w:hAnsi="宋体"/>
          <w:color w:val="000000" w:themeColor="text1"/>
          <w:sz w:val="24"/>
          <w:szCs w:val="24"/>
          <w14:textFill>
            <w14:solidFill>
              <w14:schemeClr w14:val="tx1"/>
            </w14:solidFill>
          </w14:textFill>
        </w:rPr>
        <w:t>应按下式计算：</w:t>
      </w:r>
    </w:p>
    <w:p>
      <w:pPr>
        <w:spacing w:after="0" w:line="360" w:lineRule="auto"/>
        <w:jc w:val="right"/>
        <w:rPr>
          <w:bCs/>
          <w:color w:val="auto"/>
          <w:sz w:val="24"/>
          <w:szCs w:val="24"/>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sus</m:t>
            </m:r>
            <m:r>
              <m:rPr/>
              <w:rPr>
                <w:rFonts w:ascii="Cambria Math" w:hAnsi="Cambria Math"/>
                <w:color w:val="000000" w:themeColor="text1"/>
                <w:sz w:val="24"/>
                <w:szCs w:val="24"/>
                <w14:textFill>
                  <w14:solidFill>
                    <w14:schemeClr w14:val="tx1"/>
                  </w14:solidFill>
                </w14:textFill>
              </w:rPr>
              <m:t>t,T3</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q,sust,T3</m:t>
            </m:r>
            <m:ctrlPr>
              <w:rPr>
                <w:rFonts w:ascii="Cambria Math" w:hAnsi="Cambria Math"/>
                <w:i/>
                <w:color w:val="auto"/>
                <w:sz w:val="24"/>
                <w:szCs w:val="24"/>
              </w:rPr>
            </m:ctrlPr>
          </m:sub>
        </m:sSub>
        <m:r>
          <m:rPr/>
          <w:rPr>
            <w:rFonts w:ascii="Cambria Math" w:hAnsi="Cambria Math"/>
            <w:color w:val="auto"/>
            <w:sz w:val="24"/>
            <w:szCs w:val="24"/>
          </w:rPr>
          <m:t>∙</m:t>
        </m:r>
        <m:sSub>
          <m:sSubPr>
            <m:ctrlPr>
              <w:rPr>
                <w:rFonts w:ascii="Cambria Math" w:hAnsi="Cambria Math"/>
                <w:bCs/>
                <w:i/>
                <w:color w:val="auto"/>
                <w:sz w:val="24"/>
                <w:szCs w:val="24"/>
              </w:rPr>
            </m:ctrlPr>
          </m:sSubPr>
          <m:e>
            <m:r>
              <m:rPr/>
              <w:rPr>
                <w:rFonts w:ascii="Cambria Math" w:hAnsi="Cambria Math"/>
                <w:color w:val="auto"/>
                <w:sz w:val="24"/>
                <w:szCs w:val="24"/>
              </w:rPr>
              <m:t>α</m:t>
            </m:r>
            <m:ctrlPr>
              <w:rPr>
                <w:rFonts w:ascii="Cambria Math" w:hAnsi="Cambria Math"/>
                <w:bCs/>
                <w:i/>
                <w:color w:val="auto"/>
                <w:sz w:val="24"/>
                <w:szCs w:val="24"/>
              </w:rPr>
            </m:ctrlPr>
          </m:e>
          <m:sub>
            <m:r>
              <m:rPr/>
              <w:rPr>
                <w:rFonts w:ascii="Cambria Math" w:hAnsi="Cambria Math"/>
                <w:color w:val="auto"/>
                <w:sz w:val="24"/>
                <w:szCs w:val="24"/>
              </w:rPr>
              <m:t>p,sst,T3</m:t>
            </m:r>
            <m:ctrlPr>
              <w:rPr>
                <w:rFonts w:ascii="Cambria Math" w:hAnsi="Cambria Math"/>
                <w:bCs/>
                <w:i/>
                <w:color w:val="auto"/>
                <w:sz w:val="24"/>
                <w:szCs w:val="24"/>
              </w:rPr>
            </m:ctrlPr>
          </m:sub>
        </m:sSub>
        <m:r>
          <m:rPr/>
          <w:rPr>
            <w:rFonts w:ascii="Cambria Math" w:hAnsi="Cambria Math"/>
            <w:color w:val="auto"/>
            <w:sz w:val="24"/>
            <w:szCs w:val="24"/>
          </w:rPr>
          <m:t>≤1.0</m:t>
        </m:r>
      </m:oMath>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bCs/>
          <w:color w:val="auto"/>
          <w:sz w:val="24"/>
          <w:szCs w:val="24"/>
        </w:rPr>
        <w:t>(</w:t>
      </w:r>
      <w:r>
        <w:rPr>
          <w:rFonts w:hint="eastAsia"/>
          <w:bCs/>
          <w:color w:val="auto"/>
          <w:sz w:val="24"/>
          <w:szCs w:val="24"/>
        </w:rPr>
        <w:t>H.2.4</w:t>
      </w:r>
      <w:r>
        <w:rPr>
          <w:bCs/>
          <w:color w:val="auto"/>
          <w:sz w:val="24"/>
          <w:szCs w:val="24"/>
        </w:rPr>
        <w:t>-3)</w:t>
      </w:r>
    </w:p>
    <w:tbl>
      <w:tblPr>
        <w:tblStyle w:val="28"/>
        <w:tblW w:w="83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0"/>
        <w:gridCol w:w="1106"/>
        <w:gridCol w:w="456"/>
        <w:gridCol w:w="6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0" w:type="dxa"/>
            <w:tcMar>
              <w:left w:w="43" w:type="dxa"/>
              <w:right w:w="43" w:type="dxa"/>
            </w:tcMar>
          </w:tcPr>
          <w:p>
            <w:pPr>
              <w:spacing w:after="0" w:line="360" w:lineRule="auto"/>
              <w:rPr>
                <w:iCs/>
                <w:color w:val="auto"/>
                <w:sz w:val="24"/>
                <w:szCs w:val="24"/>
              </w:rPr>
            </w:pPr>
            <w:r>
              <w:rPr>
                <w:rFonts w:hint="eastAsia"/>
                <w:iCs/>
                <w:color w:val="auto"/>
                <w:sz w:val="24"/>
                <w:szCs w:val="24"/>
              </w:rPr>
              <w:t>式中:</w:t>
            </w:r>
          </w:p>
        </w:tc>
        <w:tc>
          <w:tcPr>
            <w:tcW w:w="1106"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ust,T3</m:t>
                    </m:r>
                    <m:ctrlPr>
                      <w:rPr>
                        <w:rFonts w:ascii="Cambria Math" w:hAnsi="Cambria Math"/>
                        <w:i/>
                        <w:color w:val="auto"/>
                        <w:sz w:val="24"/>
                        <w:szCs w:val="24"/>
                      </w:rPr>
                    </m:ctrlPr>
                  </m:sub>
                </m:sSub>
              </m:oMath>
            </m:oMathPara>
          </w:p>
        </w:tc>
        <w:tc>
          <w:tcPr>
            <w:tcW w:w="456" w:type="dxa"/>
          </w:tcPr>
          <w:p>
            <w:pPr>
              <w:spacing w:after="0" w:line="360" w:lineRule="auto"/>
              <w:rPr>
                <w:iCs/>
                <w:color w:val="auto"/>
                <w:sz w:val="24"/>
                <w:szCs w:val="24"/>
              </w:rPr>
            </w:pPr>
            <w:r>
              <w:rPr>
                <w:rFonts w:hint="eastAsia"/>
                <w:iCs/>
                <w:color w:val="auto"/>
                <w:sz w:val="24"/>
                <w:szCs w:val="24"/>
              </w:rPr>
              <w:t>—</w:t>
            </w:r>
          </w:p>
        </w:tc>
        <w:tc>
          <w:tcPr>
            <w:tcW w:w="6087" w:type="dxa"/>
          </w:tcPr>
          <w:p>
            <w:pPr>
              <w:spacing w:after="0" w:line="360" w:lineRule="auto"/>
              <w:rPr>
                <w:iCs/>
                <w:color w:val="auto"/>
                <w:sz w:val="24"/>
                <w:szCs w:val="24"/>
              </w:rPr>
            </w:pPr>
            <w:r>
              <w:rPr>
                <w:rFonts w:hint="eastAsia"/>
                <w:iCs/>
                <w:color w:val="auto"/>
                <w:sz w:val="24"/>
                <w:szCs w:val="24"/>
              </w:rPr>
              <w:t>指定高温条件下长期荷载试验</w:t>
            </w:r>
            <w:r>
              <w:rPr>
                <w:rFonts w:hint="eastAsia"/>
                <w:iCs/>
                <w:color w:val="000000" w:themeColor="text1"/>
                <w:sz w:val="24"/>
                <w:szCs w:val="24"/>
                <w14:textFill>
                  <w14:solidFill>
                    <w14:schemeClr w14:val="tx1"/>
                  </w14:solidFill>
                </w14:textFill>
              </w:rPr>
              <w:t>的承载力折减系数。</w:t>
            </w:r>
          </w:p>
        </w:tc>
      </w:tr>
    </w:tbl>
    <w:p>
      <w:pPr>
        <w:pStyle w:val="2"/>
      </w:pPr>
    </w:p>
    <w:p>
      <w:pPr>
        <w:rPr>
          <w:color w:val="FF0000"/>
        </w:rPr>
      </w:pPr>
      <w:r>
        <w:rPr>
          <w:bCs/>
          <w:color w:val="auto"/>
          <w:sz w:val="24"/>
          <w:szCs w:val="24"/>
        </w:rPr>
        <w:t xml:space="preserve">         </w:t>
      </w:r>
    </w:p>
    <w:p>
      <w:pPr>
        <w:widowControl/>
        <w:spacing w:after="0" w:line="240" w:lineRule="auto"/>
        <w:jc w:val="left"/>
        <w:rPr>
          <w:rFonts w:eastAsiaTheme="majorEastAsia" w:cstheme="majorBidi"/>
          <w:b/>
          <w:color w:val="000000" w:themeColor="text1"/>
          <w:sz w:val="30"/>
          <w:szCs w:val="32"/>
          <w14:textFill>
            <w14:solidFill>
              <w14:schemeClr w14:val="tx1"/>
            </w14:solidFill>
          </w14:textFill>
        </w:rPr>
      </w:pPr>
      <w:r>
        <w:br w:type="page"/>
      </w:r>
    </w:p>
    <w:p>
      <w:pPr>
        <w:pStyle w:val="4"/>
        <w:rPr>
          <w:rFonts w:ascii="Times New Roman" w:hAnsi="Times New Roman"/>
        </w:rPr>
      </w:pPr>
      <w:bookmarkStart w:id="119" w:name="_Toc13877"/>
      <w:r>
        <w:rPr>
          <w:rFonts w:hint="eastAsia" w:ascii="Times New Roman" w:hAnsi="Times New Roman"/>
        </w:rPr>
        <w:t>附录J 植筋抗震性能试验方法与评估</w:t>
      </w:r>
      <w:bookmarkEnd w:id="119"/>
    </w:p>
    <w:p>
      <w:pPr>
        <w:pStyle w:val="5"/>
      </w:pPr>
      <w:bookmarkStart w:id="120" w:name="_Toc4680"/>
      <w:bookmarkStart w:id="121" w:name="_Toc28194"/>
      <w:bookmarkStart w:id="122" w:name="_Toc19277"/>
      <w:r>
        <w:rPr>
          <w:rFonts w:hint="eastAsia"/>
        </w:rPr>
        <w:t>J.1 抗震试验的加载方式及流程</w:t>
      </w:r>
      <w:bookmarkEnd w:id="120"/>
      <w:bookmarkEnd w:id="121"/>
      <w:bookmarkEnd w:id="122"/>
    </w:p>
    <w:p>
      <w:pPr>
        <w:spacing w:after="0" w:line="360" w:lineRule="auto"/>
        <w:rPr>
          <w:color w:val="auto"/>
          <w:sz w:val="24"/>
          <w:szCs w:val="24"/>
        </w:rPr>
      </w:pPr>
      <w:r>
        <w:rPr>
          <w:rFonts w:hint="eastAsia"/>
          <w:b/>
          <w:bCs/>
          <w:color w:val="auto"/>
          <w:sz w:val="24"/>
          <w:szCs w:val="24"/>
        </w:rPr>
        <w:t>J.1.1</w:t>
      </w:r>
      <w:r>
        <w:rPr>
          <w:rFonts w:hint="eastAsia"/>
          <w:color w:val="auto"/>
          <w:sz w:val="24"/>
          <w:szCs w:val="24"/>
        </w:rPr>
        <w:t>植筋抗震性能试验可采用下图的试验装置。PVC管的直径宜为2倍钢筋直径，可采用胶带密封，</w:t>
      </w:r>
      <w:r>
        <w:rPr>
          <w:rFonts w:hint="eastAsia"/>
          <w:color w:val="auto"/>
          <w:sz w:val="24"/>
          <w:szCs w:val="24"/>
          <w:lang w:val="en-US" w:eastAsia="zh-CN"/>
        </w:rPr>
        <w:t>当</w:t>
      </w:r>
      <w:r>
        <w:rPr>
          <w:rFonts w:hint="eastAsia"/>
          <w:color w:val="auto"/>
          <w:sz w:val="24"/>
          <w:szCs w:val="24"/>
        </w:rPr>
        <w:t>钻孔过程中发生孔底混凝土剥落</w:t>
      </w:r>
      <w:r>
        <w:rPr>
          <w:rFonts w:hint="eastAsia"/>
          <w:color w:val="auto"/>
          <w:sz w:val="24"/>
          <w:szCs w:val="24"/>
          <w:lang w:val="en-US" w:eastAsia="zh-CN"/>
        </w:rPr>
        <w:t>时</w:t>
      </w:r>
      <w:r>
        <w:rPr>
          <w:rFonts w:hint="eastAsia"/>
          <w:color w:val="auto"/>
          <w:sz w:val="24"/>
          <w:szCs w:val="24"/>
        </w:rPr>
        <w:t>，PVC管长度应增加到3倍钢筋直径。当有足够的间距时，可在同一基材上进行多根植筋试验。</w:t>
      </w:r>
    </w:p>
    <w:p>
      <w:pPr>
        <w:jc w:val="center"/>
        <w:rPr>
          <w:kern w:val="2"/>
        </w:rPr>
      </w:pPr>
      <w:r>
        <w:rPr>
          <w:kern w:val="2"/>
        </w:rPr>
        <w:drawing>
          <wp:inline distT="0" distB="0" distL="0" distR="0">
            <wp:extent cx="2442210" cy="2557145"/>
            <wp:effectExtent l="0" t="0" r="1524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5">
                      <a:extLst>
                        <a:ext uri="{28A0092B-C50C-407E-A947-70E740481C1C}">
                          <a14:useLocalDpi xmlns:a14="http://schemas.microsoft.com/office/drawing/2010/main" val="0"/>
                        </a:ext>
                      </a:extLst>
                    </a:blip>
                    <a:srcRect l="1671" t="2706" r="48120"/>
                    <a:stretch>
                      <a:fillRect/>
                    </a:stretch>
                  </pic:blipFill>
                  <pic:spPr>
                    <a:xfrm>
                      <a:off x="0" y="0"/>
                      <a:ext cx="2442210" cy="2557145"/>
                    </a:xfrm>
                    <a:prstGeom prst="rect">
                      <a:avLst/>
                    </a:prstGeom>
                    <a:noFill/>
                    <a:ln w="0">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88" w:lineRule="auto"/>
        <w:jc w:val="left"/>
        <w:textAlignment w:val="auto"/>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1</w:t>
      </w:r>
      <w:r>
        <w:rPr>
          <w:rFonts w:hint="eastAsia"/>
          <w:b/>
          <w:bCs/>
          <w:color w:val="000000" w:themeColor="text1"/>
          <w:kern w:val="2"/>
          <w:sz w:val="21"/>
          <w:szCs w:val="21"/>
          <w14:textFill>
            <w14:solidFill>
              <w14:schemeClr w14:val="tx1"/>
            </w14:solidFill>
          </w14:textFill>
        </w:rPr>
        <w:t>—植筋钢筋；2—</w:t>
      </w:r>
      <w:r>
        <w:rPr>
          <w:b/>
          <w:bCs/>
          <w:color w:val="000000" w:themeColor="text1"/>
          <w:kern w:val="2"/>
          <w:sz w:val="21"/>
          <w:szCs w:val="21"/>
          <w14:textFill>
            <w14:solidFill>
              <w14:schemeClr w14:val="tx1"/>
            </w14:solidFill>
          </w14:textFill>
        </w:rPr>
        <w:t>PVC</w:t>
      </w:r>
      <w:r>
        <w:rPr>
          <w:rFonts w:hint="eastAsia"/>
          <w:b/>
          <w:bCs/>
          <w:color w:val="000000" w:themeColor="text1"/>
          <w:kern w:val="2"/>
          <w:sz w:val="21"/>
          <w:szCs w:val="21"/>
          <w14:textFill>
            <w14:solidFill>
              <w14:schemeClr w14:val="tx1"/>
            </w14:solidFill>
          </w14:textFill>
        </w:rPr>
        <w:t>管；</w:t>
      </w:r>
      <w:r>
        <w:rPr>
          <w:b/>
          <w:bCs/>
          <w:color w:val="000000" w:themeColor="text1"/>
          <w:kern w:val="2"/>
          <w:sz w:val="21"/>
          <w:szCs w:val="21"/>
          <w14:textFill>
            <w14:solidFill>
              <w14:schemeClr w14:val="tx1"/>
            </w14:solidFill>
          </w14:textFill>
        </w:rPr>
        <w:t xml:space="preserve"> </w:t>
      </w:r>
      <w:r>
        <w:rPr>
          <w:rFonts w:hint="eastAsia"/>
          <w:b/>
          <w:bCs/>
          <w:color w:val="000000" w:themeColor="text1"/>
          <w:kern w:val="2"/>
          <w:sz w:val="21"/>
          <w:szCs w:val="21"/>
          <w14:textFill>
            <w14:solidFill>
              <w14:schemeClr w14:val="tx1"/>
            </w14:solidFill>
          </w14:textFill>
        </w:rPr>
        <w:t>3—位移传感器;</w:t>
      </w:r>
      <w:r>
        <w:rPr>
          <w:b/>
          <w:bCs/>
          <w:color w:val="000000" w:themeColor="text1"/>
          <w:kern w:val="2"/>
          <w:sz w:val="21"/>
          <w:szCs w:val="21"/>
          <w14:textFill>
            <w14:solidFill>
              <w14:schemeClr w14:val="tx1"/>
            </w14:solidFill>
          </w14:textFill>
        </w:rPr>
        <w:t xml:space="preserve"> </w:t>
      </w:r>
      <w:r>
        <w:rPr>
          <w:rFonts w:hint="eastAsia"/>
          <w:b/>
          <w:bCs/>
          <w:color w:val="000000" w:themeColor="text1"/>
          <w:kern w:val="2"/>
          <w:sz w:val="21"/>
          <w:szCs w:val="21"/>
          <w14:textFill>
            <w14:solidFill>
              <w14:schemeClr w14:val="tx1"/>
            </w14:solidFill>
          </w14:textFill>
        </w:rPr>
        <w:t>4—支撑钢梁；5—预应力连接杆；6—坚实地面；7—测试用混凝土基材；8—支撑物</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图 J.1.1</w:t>
      </w:r>
      <w:r>
        <w:rPr>
          <w:rFonts w:hint="eastAsia"/>
          <w:b/>
          <w:bCs/>
          <w:color w:val="000000" w:themeColor="text1"/>
          <w:kern w:val="2"/>
          <w:sz w:val="21"/>
          <w:szCs w:val="21"/>
          <w14:textFill>
            <w14:solidFill>
              <w14:schemeClr w14:val="tx1"/>
            </w14:solidFill>
          </w14:textFill>
        </w:rPr>
        <w:tab/>
      </w:r>
      <w:r>
        <w:rPr>
          <w:rFonts w:hint="eastAsia"/>
          <w:b/>
          <w:bCs/>
          <w:color w:val="000000" w:themeColor="text1"/>
          <w:kern w:val="2"/>
          <w:sz w:val="21"/>
          <w:szCs w:val="21"/>
          <w14:textFill>
            <w14:solidFill>
              <w14:schemeClr w14:val="tx1"/>
            </w14:solidFill>
          </w14:textFill>
        </w:rPr>
        <w:t>在钢筋非加载端进行位移测量的拉拔试验装置示例</w:t>
      </w:r>
    </w:p>
    <w:p>
      <w:pPr>
        <w:spacing w:after="0" w:line="360" w:lineRule="auto"/>
        <w:rPr>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J.1.2</w:t>
      </w:r>
      <w:r>
        <w:rPr>
          <w:rFonts w:hint="eastAsia"/>
          <w:color w:val="000000" w:themeColor="text1"/>
          <w:kern w:val="2"/>
          <w:sz w:val="24"/>
          <w:szCs w:val="24"/>
          <w14:textFill>
            <w14:solidFill>
              <w14:schemeClr w14:val="tx1"/>
            </w14:solidFill>
          </w14:textFill>
        </w:rPr>
        <w:t xml:space="preserve"> 抗震测试应以位移控制方式进行加载，按恒定的植筋滑移位移进行加卸载循环，位移应控制在</w:t>
      </w:r>
      <w:r>
        <w:rPr>
          <w:color w:val="000000" w:themeColor="text1"/>
          <w:kern w:val="2"/>
          <w:sz w:val="24"/>
          <w:szCs w:val="24"/>
          <w14:textFill>
            <w14:solidFill>
              <w14:schemeClr w14:val="tx1"/>
            </w14:solidFill>
          </w14:textFill>
        </w:rPr>
        <w:t>+</w:t>
      </w:r>
      <w:r>
        <w:rPr>
          <w:rFonts w:hint="eastAsia"/>
          <w:color w:val="000000" w:themeColor="text1"/>
          <w:kern w:val="2"/>
          <w:sz w:val="24"/>
          <w:szCs w:val="24"/>
          <w14:textFill>
            <w14:solidFill>
              <w14:schemeClr w14:val="tx1"/>
            </w14:solidFill>
          </w14:textFill>
        </w:rPr>
        <w:t>s</w:t>
      </w:r>
      <w:r>
        <w:rPr>
          <w:rFonts w:hint="eastAsia"/>
          <w:color w:val="000000" w:themeColor="text1"/>
          <w:kern w:val="2"/>
          <w:sz w:val="24"/>
          <w:szCs w:val="24"/>
          <w:vertAlign w:val="subscript"/>
          <w14:textFill>
            <w14:solidFill>
              <w14:schemeClr w14:val="tx1"/>
            </w14:solidFill>
          </w14:textFill>
        </w:rPr>
        <w:t>u</w:t>
      </w:r>
      <w:r>
        <w:rPr>
          <w:rFonts w:hint="eastAsia"/>
          <w:color w:val="000000" w:themeColor="text1"/>
          <w:kern w:val="2"/>
          <w:sz w:val="24"/>
          <w:szCs w:val="24"/>
          <w14:textFill>
            <w14:solidFill>
              <w14:schemeClr w14:val="tx1"/>
            </w14:solidFill>
          </w14:textFill>
        </w:rPr>
        <w:t>(拉向)和</w:t>
      </w:r>
      <w:r>
        <w:rPr>
          <w:color w:val="000000" w:themeColor="text1"/>
          <w:kern w:val="2"/>
          <w:sz w:val="24"/>
          <w:szCs w:val="24"/>
          <w14:textFill>
            <w14:solidFill>
              <w14:schemeClr w14:val="tx1"/>
            </w14:solidFill>
          </w14:textFill>
        </w:rPr>
        <w:t>-</w:t>
      </w:r>
      <w:r>
        <w:rPr>
          <w:rFonts w:hint="eastAsia"/>
          <w:color w:val="000000" w:themeColor="text1"/>
          <w:kern w:val="2"/>
          <w:sz w:val="24"/>
          <w:szCs w:val="24"/>
          <w14:textFill>
            <w14:solidFill>
              <w14:schemeClr w14:val="tx1"/>
            </w14:solidFill>
          </w14:textFill>
        </w:rPr>
        <w:t>s</w:t>
      </w:r>
      <w:r>
        <w:rPr>
          <w:rFonts w:hint="eastAsia"/>
          <w:color w:val="000000" w:themeColor="text1"/>
          <w:kern w:val="2"/>
          <w:sz w:val="24"/>
          <w:szCs w:val="24"/>
          <w:vertAlign w:val="subscript"/>
          <w14:textFill>
            <w14:solidFill>
              <w14:schemeClr w14:val="tx1"/>
            </w14:solidFill>
          </w14:textFill>
        </w:rPr>
        <w:t>u</w:t>
      </w:r>
      <w:r>
        <w:rPr>
          <w:rFonts w:hint="eastAsia"/>
          <w:color w:val="000000" w:themeColor="text1"/>
          <w:kern w:val="2"/>
          <w:sz w:val="24"/>
          <w:szCs w:val="24"/>
          <w14:textFill>
            <w14:solidFill>
              <w14:schemeClr w14:val="tx1"/>
            </w14:solidFill>
          </w14:textFill>
        </w:rPr>
        <w:t>(压向)之间，共进行10次位移循环（图J.1.2（a）），循环频率不应高于0.5 Hz。在试验过程中，应连续记录试件所受的荷载及相对于混凝土外固定点（位移测量基准点）的位移，并绘制荷载-位移曲线（图J.1.2（b））。</w:t>
      </w:r>
    </w:p>
    <w:p>
      <w:pPr>
        <w:rPr>
          <w:kern w:val="2"/>
        </w:rPr>
      </w:pPr>
      <w:r>
        <w:rPr>
          <w:rFonts w:ascii="Arial" w:hAnsi="Arial"/>
          <w:kern w:val="2"/>
          <w:szCs w:val="24"/>
        </w:rPr>
        <w:drawing>
          <wp:inline distT="0" distB="0" distL="0" distR="0">
            <wp:extent cx="2385060" cy="1979930"/>
            <wp:effectExtent l="9525" t="9525" r="24765" b="1079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385060" cy="1979930"/>
                    </a:xfrm>
                    <a:prstGeom prst="rect">
                      <a:avLst/>
                    </a:prstGeom>
                    <a:noFill/>
                    <a:ln w="3175" cmpd="sng">
                      <a:solidFill>
                        <a:schemeClr val="bg1">
                          <a:lumMod val="65000"/>
                          <a:lumOff val="0"/>
                        </a:schemeClr>
                      </a:solidFill>
                      <a:miter lim="800000"/>
                      <a:headEnd/>
                      <a:tailEnd/>
                    </a:ln>
                    <a:effectLst/>
                  </pic:spPr>
                </pic:pic>
              </a:graphicData>
            </a:graphic>
          </wp:inline>
        </w:drawing>
      </w:r>
      <w:r>
        <w:rPr>
          <w:rFonts w:ascii="Arial" w:hAnsi="Arial"/>
          <w:kern w:val="2"/>
          <w:szCs w:val="24"/>
        </w:rPr>
        <w:t xml:space="preserve"> </w:t>
      </w:r>
      <w:r>
        <w:rPr>
          <w:rFonts w:ascii="Arial" w:hAnsi="Arial"/>
          <w:kern w:val="2"/>
          <w:szCs w:val="24"/>
        </w:rPr>
        <w:drawing>
          <wp:inline distT="0" distB="0" distL="0" distR="0">
            <wp:extent cx="2630170" cy="1979930"/>
            <wp:effectExtent l="9525" t="9525" r="27305" b="1079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630170" cy="1979930"/>
                    </a:xfrm>
                    <a:prstGeom prst="rect">
                      <a:avLst/>
                    </a:prstGeom>
                    <a:noFill/>
                    <a:ln w="0">
                      <a:solidFill>
                        <a:srgbClr val="BFBFBF"/>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88" w:lineRule="auto"/>
        <w:textAlignment w:val="auto"/>
        <w:rPr>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（a）位移控制方式示意图</w:t>
      </w:r>
      <w:r>
        <w:rPr>
          <w:b/>
          <w:bCs/>
          <w:color w:val="000000" w:themeColor="text1"/>
          <w:kern w:val="2"/>
          <w:sz w:val="21"/>
          <w:szCs w:val="21"/>
          <w14:textFill>
            <w14:solidFill>
              <w14:schemeClr w14:val="tx1"/>
            </w14:solidFill>
          </w14:textFill>
        </w:rPr>
        <w:t xml:space="preserve">  </w:t>
      </w:r>
      <w:r>
        <w:rPr>
          <w:rFonts w:hint="eastAsia"/>
          <w:b/>
          <w:bCs/>
          <w:color w:val="000000" w:themeColor="text1"/>
          <w:kern w:val="2"/>
          <w:sz w:val="21"/>
          <w:szCs w:val="21"/>
          <w14:textFill>
            <w14:solidFill>
              <w14:schemeClr w14:val="tx1"/>
            </w14:solidFill>
          </w14:textFill>
        </w:rPr>
        <w:t>（b）典型荷载-位移滞回曲线（只显示了第1次和第10次循环）</w:t>
      </w:r>
    </w:p>
    <w:p>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图 J.1.2</w:t>
      </w:r>
      <w:r>
        <w:rPr>
          <w:b/>
          <w:bCs/>
          <w:color w:val="000000" w:themeColor="text1"/>
          <w:kern w:val="2"/>
          <w:sz w:val="21"/>
          <w:szCs w:val="21"/>
          <w14:textFill>
            <w14:solidFill>
              <w14:schemeClr w14:val="tx1"/>
            </w14:solidFill>
          </w14:textFill>
        </w:rPr>
        <w:t xml:space="preserve"> </w:t>
      </w:r>
      <w:r>
        <w:rPr>
          <w:rFonts w:hint="eastAsia"/>
          <w:b/>
          <w:bCs/>
          <w:color w:val="000000" w:themeColor="text1"/>
          <w:kern w:val="2"/>
          <w:sz w:val="21"/>
          <w:szCs w:val="21"/>
          <w14:textFill>
            <w14:solidFill>
              <w14:schemeClr w14:val="tx1"/>
            </w14:solidFill>
          </w14:textFill>
        </w:rPr>
        <w:t>位移控制方式加载示意图</w:t>
      </w:r>
    </w:p>
    <w:p>
      <w:pPr>
        <w:spacing w:after="0" w:line="360" w:lineRule="auto"/>
        <w:rPr>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 xml:space="preserve">J.1.3 </w:t>
      </w:r>
      <w:r>
        <w:rPr>
          <w:rFonts w:hint="eastAsia"/>
          <w:color w:val="000000" w:themeColor="text1"/>
          <w:kern w:val="2"/>
          <w:sz w:val="24"/>
          <w:szCs w:val="24"/>
          <w14:textFill>
            <w14:solidFill>
              <w14:schemeClr w14:val="tx1"/>
            </w14:solidFill>
          </w14:textFill>
        </w:rPr>
        <w:t>循环加载结束后，应测试残余承载力，并应记录在残余承载力测试中的荷载最大值及其对应的位移值。</w:t>
      </w:r>
    </w:p>
    <w:p>
      <w:pPr>
        <w:spacing w:after="0" w:line="360" w:lineRule="auto"/>
        <w:rPr>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J.1.4</w:t>
      </w:r>
      <w:r>
        <w:rPr>
          <w:rFonts w:hint="eastAsia"/>
          <w:color w:val="000000" w:themeColor="text1"/>
          <w:kern w:val="2"/>
          <w:sz w:val="24"/>
          <w:szCs w:val="24"/>
          <w14:textFill>
            <w14:solidFill>
              <w14:schemeClr w14:val="tx1"/>
            </w14:solidFill>
          </w14:textFill>
        </w:rPr>
        <w:t xml:space="preserve"> 循环加载过程所需的位移限值</w:t>
      </w:r>
      <w:r>
        <w:rPr>
          <w:rFonts w:hint="eastAsia"/>
          <w:i/>
          <w:iCs/>
          <w:color w:val="000000" w:themeColor="text1"/>
          <w:kern w:val="2"/>
          <w:sz w:val="24"/>
          <w:szCs w:val="24"/>
          <w14:textFill>
            <w14:solidFill>
              <w14:schemeClr w14:val="tx1"/>
            </w14:solidFill>
          </w14:textFill>
        </w:rPr>
        <w:t>s</w:t>
      </w:r>
      <w:r>
        <w:rPr>
          <w:rFonts w:hint="eastAsia"/>
          <w:color w:val="000000" w:themeColor="text1"/>
          <w:kern w:val="2"/>
          <w:sz w:val="24"/>
          <w:szCs w:val="24"/>
          <w:vertAlign w:val="subscript"/>
          <w14:textFill>
            <w14:solidFill>
              <w14:schemeClr w14:val="tx1"/>
            </w14:solidFill>
          </w14:textFill>
        </w:rPr>
        <w:t>u</w:t>
      </w:r>
      <w:r>
        <w:rPr>
          <w:rFonts w:hint="eastAsia"/>
          <w:color w:val="000000" w:themeColor="text1"/>
          <w:kern w:val="2"/>
          <w:sz w:val="24"/>
          <w:szCs w:val="24"/>
          <w14:textFill>
            <w14:solidFill>
              <w14:schemeClr w14:val="tx1"/>
            </w14:solidFill>
          </w14:textFill>
        </w:rPr>
        <w:t>应按照表J.1.4取值。</w:t>
      </w:r>
    </w:p>
    <w:p>
      <w:pPr>
        <w:spacing w:after="0" w:line="240" w:lineRule="auto"/>
        <w:jc w:val="center"/>
        <w:rPr>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表J.1.</w:t>
      </w:r>
      <w:r>
        <w:rPr>
          <w:b/>
          <w:bCs/>
          <w:color w:val="000000" w:themeColor="text1"/>
          <w:kern w:val="2"/>
          <w:sz w:val="21"/>
          <w:szCs w:val="21"/>
          <w14:textFill>
            <w14:solidFill>
              <w14:schemeClr w14:val="tx1"/>
            </w14:solidFill>
          </w14:textFill>
        </w:rPr>
        <w:t>4</w:t>
      </w:r>
      <w:r>
        <w:rPr>
          <w:rFonts w:hint="eastAsia"/>
          <w:b/>
          <w:bCs/>
          <w:color w:val="000000" w:themeColor="text1"/>
          <w:kern w:val="2"/>
          <w:sz w:val="21"/>
          <w:szCs w:val="21"/>
          <w14:textFill>
            <w14:solidFill>
              <w14:schemeClr w14:val="tx1"/>
            </w14:solidFill>
          </w14:textFill>
        </w:rPr>
        <w:t xml:space="preserve"> 位移限值s</w:t>
      </w:r>
      <w:r>
        <w:rPr>
          <w:rFonts w:hint="eastAsia"/>
          <w:b/>
          <w:bCs/>
          <w:color w:val="000000" w:themeColor="text1"/>
          <w:kern w:val="2"/>
          <w:sz w:val="21"/>
          <w:szCs w:val="21"/>
          <w:vertAlign w:val="subscript"/>
          <w14:textFill>
            <w14:solidFill>
              <w14:schemeClr w14:val="tx1"/>
            </w14:solidFill>
          </w14:textFill>
        </w:rPr>
        <w:t>u</w:t>
      </w:r>
    </w:p>
    <w:tbl>
      <w:tblPr>
        <w:tblStyle w:val="27"/>
        <w:tblW w:w="0" w:type="auto"/>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322"/>
        <w:gridCol w:w="324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65" w:hRule="atLeast"/>
          <w:jc w:val="center"/>
        </w:trPr>
        <w:tc>
          <w:tcPr>
            <w:tcW w:w="2322" w:type="dxa"/>
            <w:shd w:val="clear" w:color="auto" w:fill="auto"/>
          </w:tcPr>
          <w:p>
            <w:pPr>
              <w:autoSpaceDE w:val="0"/>
              <w:autoSpaceDN w:val="0"/>
              <w:spacing w:before="59" w:after="0" w:line="240" w:lineRule="auto"/>
              <w:ind w:left="113" w:right="27"/>
              <w:jc w:val="center"/>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钢筋</w:t>
            </w:r>
            <w:r>
              <w:rPr>
                <w:color w:val="000000" w:themeColor="text1"/>
                <w:kern w:val="2"/>
                <w:sz w:val="24"/>
                <w:szCs w:val="24"/>
                <w14:textFill>
                  <w14:solidFill>
                    <w14:schemeClr w14:val="tx1"/>
                  </w14:solidFill>
                </w14:textFill>
              </w:rPr>
              <w:t>直径</w:t>
            </w:r>
            <w:r>
              <w:rPr>
                <w:rFonts w:hint="eastAsia"/>
                <w:i/>
                <w:iCs/>
                <w:color w:val="000000" w:themeColor="text1"/>
                <w:kern w:val="2"/>
                <w:sz w:val="24"/>
                <w:szCs w:val="24"/>
                <w14:textFill>
                  <w14:solidFill>
                    <w14:schemeClr w14:val="tx1"/>
                  </w14:solidFill>
                </w14:textFill>
              </w:rPr>
              <w:t>d</w:t>
            </w:r>
            <w:r>
              <w:rPr>
                <w:rFonts w:hint="eastAsia"/>
                <w:color w:val="000000" w:themeColor="text1"/>
                <w:kern w:val="2"/>
                <w:sz w:val="24"/>
                <w:szCs w:val="24"/>
                <w14:textFill>
                  <w14:solidFill>
                    <w14:schemeClr w14:val="tx1"/>
                  </w14:solidFill>
                </w14:textFill>
              </w:rPr>
              <w:t xml:space="preserve"> (</w:t>
            </w:r>
            <w:r>
              <w:rPr>
                <w:color w:val="000000" w:themeColor="text1"/>
                <w:kern w:val="2"/>
                <w:sz w:val="24"/>
                <w:szCs w:val="24"/>
                <w14:textFill>
                  <w14:solidFill>
                    <w14:schemeClr w14:val="tx1"/>
                  </w14:solidFill>
                </w14:textFill>
              </w:rPr>
              <w:t>mm)</w:t>
            </w:r>
          </w:p>
        </w:tc>
        <w:tc>
          <w:tcPr>
            <w:tcW w:w="3240" w:type="dxa"/>
            <w:shd w:val="clear" w:color="auto" w:fill="auto"/>
          </w:tcPr>
          <w:p>
            <w:pPr>
              <w:autoSpaceDE w:val="0"/>
              <w:autoSpaceDN w:val="0"/>
              <w:spacing w:before="57" w:after="0" w:line="240" w:lineRule="auto"/>
              <w:ind w:left="706" w:right="698"/>
              <w:jc w:val="center"/>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位移限值</w:t>
            </w:r>
            <w:r>
              <w:rPr>
                <w:i/>
                <w:iCs/>
                <w:color w:val="000000" w:themeColor="text1"/>
                <w:kern w:val="2"/>
                <w:sz w:val="24"/>
                <w:szCs w:val="24"/>
                <w14:textFill>
                  <w14:solidFill>
                    <w14:schemeClr w14:val="tx1"/>
                  </w14:solidFill>
                </w14:textFill>
              </w:rPr>
              <w:t>s</w:t>
            </w:r>
            <w:r>
              <w:rPr>
                <w:color w:val="000000" w:themeColor="text1"/>
                <w:kern w:val="2"/>
                <w:sz w:val="24"/>
                <w:szCs w:val="24"/>
                <w:vertAlign w:val="subscript"/>
                <w14:textFill>
                  <w14:solidFill>
                    <w14:schemeClr w14:val="tx1"/>
                  </w14:solidFill>
                </w14:textFill>
              </w:rPr>
              <w:t>u</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w:t>
            </w:r>
            <w:r>
              <w:rPr>
                <w:color w:val="000000" w:themeColor="text1"/>
                <w:kern w:val="2"/>
                <w:sz w:val="24"/>
                <w:szCs w:val="24"/>
                <w14:textFill>
                  <w14:solidFill>
                    <w14:schemeClr w14:val="tx1"/>
                  </w14:solidFill>
                </w14:textFill>
              </w:rPr>
              <w:t>mm)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4" w:hRule="atLeast"/>
          <w:jc w:val="center"/>
        </w:trPr>
        <w:tc>
          <w:tcPr>
            <w:tcW w:w="2322" w:type="dxa"/>
            <w:shd w:val="clear" w:color="auto" w:fill="auto"/>
          </w:tcPr>
          <w:p>
            <w:pPr>
              <w:autoSpaceDE w:val="0"/>
              <w:autoSpaceDN w:val="0"/>
              <w:spacing w:before="59" w:after="0" w:line="240" w:lineRule="auto"/>
              <w:ind w:left="609" w:right="600"/>
              <w:jc w:val="center"/>
              <w:rPr>
                <w:rFonts w:ascii="Calibri" w:hAnsi="Calibri" w:eastAsia="Arial" w:cs="Arial"/>
                <w:color w:val="000000" w:themeColor="text1"/>
                <w:sz w:val="24"/>
                <w:szCs w:val="24"/>
                <w:lang w:eastAsia="en-US"/>
                <w14:textFill>
                  <w14:solidFill>
                    <w14:schemeClr w14:val="tx1"/>
                  </w14:solidFill>
                </w14:textFill>
              </w:rPr>
            </w:pPr>
            <w:r>
              <w:rPr>
                <w:rFonts w:hint="eastAsia" w:ascii="微软雅黑" w:hAnsi="微软雅黑" w:eastAsia="微软雅黑" w:cs="微软雅黑"/>
                <w:i/>
                <w:color w:val="000000" w:themeColor="text1"/>
                <w:sz w:val="24"/>
                <w:szCs w:val="24"/>
                <w:lang w:eastAsia="en-US"/>
                <w14:textFill>
                  <w14:solidFill>
                    <w14:schemeClr w14:val="tx1"/>
                  </w14:solidFill>
                </w14:textFill>
              </w:rPr>
              <w:t>＜</w:t>
            </w:r>
            <w:r>
              <w:rPr>
                <w:rFonts w:eastAsia="Arial" w:cs="Arial"/>
                <w:i/>
                <w:color w:val="000000" w:themeColor="text1"/>
                <w:sz w:val="24"/>
                <w:szCs w:val="24"/>
                <w:lang w:eastAsia="en-US"/>
                <w14:textFill>
                  <w14:solidFill>
                    <w14:schemeClr w14:val="tx1"/>
                  </w14:solidFill>
                </w14:textFill>
              </w:rPr>
              <w:t xml:space="preserve"> </w:t>
            </w:r>
            <w:r>
              <w:rPr>
                <w:rFonts w:ascii="Calibri" w:hAnsi="Calibri" w:eastAsia="Arial" w:cs="Arial"/>
                <w:color w:val="000000" w:themeColor="text1"/>
                <w:sz w:val="24"/>
                <w:szCs w:val="24"/>
                <w:lang w:eastAsia="en-US"/>
                <w14:textFill>
                  <w14:solidFill>
                    <w14:schemeClr w14:val="tx1"/>
                  </w14:solidFill>
                </w14:textFill>
              </w:rPr>
              <w:t>25</w:t>
            </w:r>
          </w:p>
        </w:tc>
        <w:tc>
          <w:tcPr>
            <w:tcW w:w="3240" w:type="dxa"/>
            <w:shd w:val="clear" w:color="auto" w:fill="auto"/>
          </w:tcPr>
          <w:p>
            <w:pPr>
              <w:autoSpaceDE w:val="0"/>
              <w:autoSpaceDN w:val="0"/>
              <w:spacing w:before="57" w:after="0" w:line="240" w:lineRule="auto"/>
              <w:ind w:left="706" w:right="698"/>
              <w:jc w:val="center"/>
              <w:rPr>
                <w:rFonts w:ascii="Calibri" w:hAnsi="Calibri" w:eastAsia="Arial" w:cs="Arial"/>
                <w:color w:val="000000" w:themeColor="text1"/>
                <w:sz w:val="24"/>
                <w:szCs w:val="24"/>
                <w:lang w:eastAsia="en-US"/>
                <w14:textFill>
                  <w14:solidFill>
                    <w14:schemeClr w14:val="tx1"/>
                  </w14:solidFill>
                </w14:textFill>
              </w:rPr>
            </w:pPr>
            <w:r>
              <w:rPr>
                <w:rFonts w:ascii="Calibri" w:hAnsi="Calibri" w:eastAsia="Arial" w:cs="Arial"/>
                <w:color w:val="000000" w:themeColor="text1"/>
                <w:sz w:val="24"/>
                <w:szCs w:val="24"/>
                <w:lang w:eastAsia="en-US"/>
                <w14:textFill>
                  <w14:solidFill>
                    <w14:schemeClr w14:val="tx1"/>
                  </w14:solidFill>
                </w14:textFill>
              </w:rPr>
              <w:t>1,5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9" w:hRule="atLeast"/>
          <w:jc w:val="center"/>
        </w:trPr>
        <w:tc>
          <w:tcPr>
            <w:tcW w:w="2322" w:type="dxa"/>
            <w:shd w:val="clear" w:color="auto" w:fill="auto"/>
          </w:tcPr>
          <w:p>
            <w:pPr>
              <w:autoSpaceDE w:val="0"/>
              <w:autoSpaceDN w:val="0"/>
              <w:spacing w:before="57" w:after="0" w:line="240" w:lineRule="auto"/>
              <w:ind w:left="609" w:right="601"/>
              <w:jc w:val="center"/>
              <w:rPr>
                <w:rFonts w:ascii="Calibri" w:hAnsi="Calibri" w:eastAsia="Arial" w:cs="Arial"/>
                <w:color w:val="000000" w:themeColor="text1"/>
                <w:sz w:val="24"/>
                <w:szCs w:val="24"/>
                <w:lang w:eastAsia="en-US"/>
                <w14:textFill>
                  <w14:solidFill>
                    <w14:schemeClr w14:val="tx1"/>
                  </w14:solidFill>
                </w14:textFill>
              </w:rPr>
            </w:pPr>
            <w:r>
              <w:rPr>
                <w:rFonts w:ascii="Calibri" w:hAnsi="Calibri" w:eastAsia="Arial" w:cs="Arial"/>
                <w:color w:val="000000" w:themeColor="text1"/>
                <w:sz w:val="24"/>
                <w:szCs w:val="24"/>
                <w:lang w:eastAsia="en-US"/>
                <w14:textFill>
                  <w14:solidFill>
                    <w14:schemeClr w14:val="tx1"/>
                  </w14:solidFill>
                </w14:textFill>
              </w:rPr>
              <w:t>25</w:t>
            </w:r>
          </w:p>
        </w:tc>
        <w:tc>
          <w:tcPr>
            <w:tcW w:w="3240" w:type="dxa"/>
            <w:shd w:val="clear" w:color="auto" w:fill="auto"/>
          </w:tcPr>
          <w:p>
            <w:pPr>
              <w:autoSpaceDE w:val="0"/>
              <w:autoSpaceDN w:val="0"/>
              <w:spacing w:before="57" w:after="0" w:line="240" w:lineRule="auto"/>
              <w:ind w:left="704" w:right="698"/>
              <w:jc w:val="center"/>
              <w:rPr>
                <w:rFonts w:ascii="Calibri" w:hAnsi="Calibri" w:eastAsia="Arial" w:cs="Arial"/>
                <w:color w:val="000000" w:themeColor="text1"/>
                <w:sz w:val="24"/>
                <w:szCs w:val="24"/>
                <w:lang w:eastAsia="en-US"/>
                <w14:textFill>
                  <w14:solidFill>
                    <w14:schemeClr w14:val="tx1"/>
                  </w14:solidFill>
                </w14:textFill>
              </w:rPr>
            </w:pPr>
            <w:r>
              <w:rPr>
                <w:rFonts w:ascii="Calibri" w:hAnsi="Calibri" w:eastAsia="Arial" w:cs="Arial"/>
                <w:color w:val="000000" w:themeColor="text1"/>
                <w:sz w:val="24"/>
                <w:szCs w:val="24"/>
                <w:lang w:eastAsia="en-US"/>
                <w14:textFill>
                  <w14:solidFill>
                    <w14:schemeClr w14:val="tx1"/>
                  </w14:solidFill>
                </w14:textFill>
              </w:rPr>
              <w:t>2,0</w:t>
            </w:r>
          </w:p>
        </w:tc>
      </w:tr>
    </w:tbl>
    <w:p>
      <w:pPr>
        <w:pStyle w:val="5"/>
      </w:pPr>
      <w:bookmarkStart w:id="123" w:name="_Toc25932"/>
      <w:bookmarkStart w:id="124" w:name="_Toc139"/>
      <w:bookmarkStart w:id="125" w:name="_Toc28879"/>
      <w:r>
        <w:rPr>
          <w:rFonts w:hint="eastAsia"/>
        </w:rPr>
        <w:t>J.2 抗震试验结果记录和数据处理</w:t>
      </w:r>
      <w:bookmarkEnd w:id="123"/>
      <w:bookmarkEnd w:id="124"/>
      <w:bookmarkEnd w:id="125"/>
    </w:p>
    <w:p>
      <w:pPr>
        <w:spacing w:after="0" w:line="360" w:lineRule="auto"/>
        <w:rPr>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J.2.</w:t>
      </w:r>
      <w:r>
        <w:rPr>
          <w:b/>
          <w:bCs/>
          <w:color w:val="000000" w:themeColor="text1"/>
          <w:kern w:val="2"/>
          <w:sz w:val="24"/>
          <w:szCs w:val="24"/>
          <w14:textFill>
            <w14:solidFill>
              <w14:schemeClr w14:val="tx1"/>
            </w14:solidFill>
          </w14:textFill>
        </w:rPr>
        <w:t>1</w:t>
      </w:r>
      <w:r>
        <w:rPr>
          <w:rFonts w:hint="eastAsia"/>
          <w:b/>
          <w:bCs/>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试验完成后，应记录循环1、2、5、1</w:t>
      </w:r>
      <w:r>
        <w:rPr>
          <w:color w:val="000000" w:themeColor="text1"/>
          <w:kern w:val="2"/>
          <w:sz w:val="24"/>
          <w:szCs w:val="24"/>
          <w14:textFill>
            <w14:solidFill>
              <w14:schemeClr w14:val="tx1"/>
            </w14:solidFill>
          </w14:textFill>
        </w:rPr>
        <w:t>0</w:t>
      </w:r>
      <w:r>
        <w:rPr>
          <w:rFonts w:hint="eastAsia"/>
          <w:color w:val="000000" w:themeColor="text1"/>
          <w:kern w:val="2"/>
          <w:sz w:val="24"/>
          <w:szCs w:val="24"/>
          <w14:textFill>
            <w14:solidFill>
              <w14:schemeClr w14:val="tx1"/>
            </w14:solidFill>
          </w14:textFill>
        </w:rPr>
        <w:t>结束时的加载荷载值</w:t>
      </w:r>
      <w:r>
        <w:rPr>
          <w:rFonts w:hint="eastAsia"/>
          <w:i/>
          <w:iCs/>
          <w:color w:val="000000" w:themeColor="text1"/>
          <w:kern w:val="2"/>
          <w:sz w:val="24"/>
          <w:szCs w:val="24"/>
          <w14:textFill>
            <w14:solidFill>
              <w14:schemeClr w14:val="tx1"/>
            </w14:solidFill>
          </w14:textFill>
        </w:rPr>
        <w:t>N</w:t>
      </w:r>
      <w:r>
        <w:rPr>
          <w:color w:val="000000" w:themeColor="text1"/>
          <w:kern w:val="2"/>
          <w:sz w:val="24"/>
          <w:szCs w:val="24"/>
          <w:vertAlign w:val="subscript"/>
          <w14:textFill>
            <w14:solidFill>
              <w14:schemeClr w14:val="tx1"/>
            </w14:solidFill>
          </w14:textFill>
        </w:rPr>
        <w:t>u</w:t>
      </w:r>
      <w:r>
        <w:rPr>
          <w:rFonts w:hint="eastAsia"/>
          <w:color w:val="000000" w:themeColor="text1"/>
          <w:kern w:val="2"/>
          <w:sz w:val="24"/>
          <w:szCs w:val="24"/>
          <w:vertAlign w:val="subscript"/>
          <w14:textFill>
            <w14:solidFill>
              <w14:schemeClr w14:val="tx1"/>
            </w14:solidFill>
          </w14:textFill>
        </w:rPr>
        <w:t>,i</w:t>
      </w:r>
      <w:r>
        <w:rPr>
          <w:rFonts w:hint="eastAsia"/>
          <w:color w:val="000000" w:themeColor="text1"/>
          <w:kern w:val="2"/>
          <w:sz w:val="24"/>
          <w:szCs w:val="24"/>
          <w14:textFill>
            <w14:solidFill>
              <w14:schemeClr w14:val="tx1"/>
            </w14:solidFill>
          </w14:textFill>
        </w:rPr>
        <w:t xml:space="preserve"> (i=1、2、5、10)，以及残余承载力测试的荷载最大值</w:t>
      </w:r>
      <w:r>
        <w:rPr>
          <w:rFonts w:hint="eastAsia"/>
          <w:i/>
          <w:iCs/>
          <w:color w:val="000000" w:themeColor="text1"/>
          <w:kern w:val="2"/>
          <w:sz w:val="24"/>
          <w:szCs w:val="24"/>
          <w14:textFill>
            <w14:solidFill>
              <w14:schemeClr w14:val="tx1"/>
            </w14:solidFill>
          </w14:textFill>
        </w:rPr>
        <w:t>N</w:t>
      </w:r>
      <w:r>
        <w:rPr>
          <w:color w:val="000000" w:themeColor="text1"/>
          <w:kern w:val="2"/>
          <w:sz w:val="24"/>
          <w:szCs w:val="24"/>
          <w:vertAlign w:val="subscript"/>
          <w14:textFill>
            <w14:solidFill>
              <w14:schemeClr w14:val="tx1"/>
            </w14:solidFill>
          </w14:textFill>
        </w:rPr>
        <w:t>u</w:t>
      </w:r>
      <w:r>
        <w:rPr>
          <w:rFonts w:hint="eastAsia"/>
          <w:color w:val="000000" w:themeColor="text1"/>
          <w:kern w:val="2"/>
          <w:sz w:val="24"/>
          <w:szCs w:val="24"/>
          <w:vertAlign w:val="subscript"/>
          <w14:textFill>
            <w14:solidFill>
              <w14:schemeClr w14:val="tx1"/>
            </w14:solidFill>
          </w14:textFill>
        </w:rPr>
        <w:t>,</w:t>
      </w:r>
      <w:r>
        <w:rPr>
          <w:color w:val="000000" w:themeColor="text1"/>
          <w:kern w:val="2"/>
          <w:sz w:val="24"/>
          <w:szCs w:val="24"/>
          <w:vertAlign w:val="subscript"/>
          <w14:textFill>
            <w14:solidFill>
              <w14:schemeClr w14:val="tx1"/>
            </w14:solidFill>
          </w14:textFill>
        </w:rPr>
        <w:t>11</w:t>
      </w:r>
      <w:r>
        <w:rPr>
          <w:rFonts w:hint="eastAsia"/>
          <w:color w:val="000000" w:themeColor="text1"/>
          <w:kern w:val="2"/>
          <w:sz w:val="24"/>
          <w:szCs w:val="24"/>
          <w14:textFill>
            <w14:solidFill>
              <w14:schemeClr w14:val="tx1"/>
            </w14:solidFill>
          </w14:textFill>
        </w:rPr>
        <w:t>和其对应位移值</w:t>
      </w:r>
      <w:r>
        <w:rPr>
          <w:i/>
          <w:iCs/>
          <w:color w:val="000000" w:themeColor="text1"/>
          <w:kern w:val="2"/>
          <w:sz w:val="24"/>
          <w:szCs w:val="24"/>
          <w14:textFill>
            <w14:solidFill>
              <w14:schemeClr w14:val="tx1"/>
            </w14:solidFill>
          </w14:textFill>
        </w:rPr>
        <w:t>δ</w:t>
      </w:r>
      <w:r>
        <w:rPr>
          <w:rFonts w:hint="eastAsia"/>
          <w:color w:val="000000" w:themeColor="text1"/>
          <w:kern w:val="2"/>
          <w:sz w:val="24"/>
          <w:szCs w:val="24"/>
          <w14:textFill>
            <w14:solidFill>
              <w14:schemeClr w14:val="tx1"/>
            </w14:solidFill>
          </w14:textFill>
        </w:rPr>
        <w:t>。</w:t>
      </w:r>
    </w:p>
    <w:p>
      <w:pPr>
        <w:spacing w:after="0" w:line="360" w:lineRule="auto"/>
        <w:rPr>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J.2.</w:t>
      </w:r>
      <w:r>
        <w:rPr>
          <w:b/>
          <w:bCs/>
          <w:color w:val="000000" w:themeColor="text1"/>
          <w:kern w:val="2"/>
          <w:sz w:val="24"/>
          <w:szCs w:val="24"/>
          <w14:textFill>
            <w14:solidFill>
              <w14:schemeClr w14:val="tx1"/>
            </w14:solidFill>
          </w14:textFill>
        </w:rPr>
        <w:t>2</w:t>
      </w:r>
      <w:r>
        <w:rPr>
          <w:color w:val="000000" w:themeColor="text1"/>
          <w:kern w:val="2"/>
          <w:sz w:val="24"/>
          <w:szCs w:val="24"/>
          <w14:textFill>
            <w14:solidFill>
              <w14:schemeClr w14:val="tx1"/>
            </w14:solidFill>
          </w14:textFill>
        </w:rPr>
        <w:t xml:space="preserve"> </w:t>
      </w:r>
      <w:r>
        <w:rPr>
          <w:rFonts w:hint="eastAsia"/>
          <w:color w:val="000000" w:themeColor="text1"/>
          <w:kern w:val="2"/>
          <w:sz w:val="24"/>
          <w:szCs w:val="24"/>
          <w14:textFill>
            <w14:solidFill>
              <w14:schemeClr w14:val="tx1"/>
            </w14:solidFill>
          </w14:textFill>
        </w:rPr>
        <w:t>测试结果的记录可参照表J.2.2 。</w:t>
      </w:r>
    </w:p>
    <w:p>
      <w:pPr>
        <w:pStyle w:val="2"/>
        <w:spacing w:after="0" w:line="360" w:lineRule="auto"/>
        <w:ind w:left="422" w:leftChars="0" w:hanging="422" w:hangingChars="200"/>
        <w:jc w:val="center"/>
        <w:rPr>
          <w:b/>
          <w:bCs/>
          <w:color w:val="000000" w:themeColor="text1"/>
          <w:sz w:val="21"/>
          <w:szCs w:val="21"/>
          <w14:textFill>
            <w14:solidFill>
              <w14:schemeClr w14:val="tx1"/>
            </w14:solidFill>
          </w14:textFill>
        </w:rPr>
      </w:pPr>
      <w:r>
        <w:rPr>
          <w:rFonts w:hint="eastAsia" w:ascii="Cambria Math" w:hAnsi="Cambria Math"/>
          <w:b/>
          <w:bCs/>
          <w:color w:val="000000" w:themeColor="text1"/>
          <w:sz w:val="21"/>
          <w:szCs w:val="21"/>
          <w14:textFill>
            <w14:solidFill>
              <w14:schemeClr w14:val="tx1"/>
            </w14:solidFill>
          </w14:textFill>
        </w:rPr>
        <w:t>表J.2.2 抗震测试试验结果记录表</w:t>
      </w:r>
    </w:p>
    <w:tbl>
      <w:tblPr>
        <w:tblStyle w:val="27"/>
        <w:tblW w:w="8489"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481"/>
        <w:gridCol w:w="1206"/>
        <w:gridCol w:w="1281"/>
        <w:gridCol w:w="1280"/>
        <w:gridCol w:w="1281"/>
        <w:gridCol w:w="1280"/>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24"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混凝土</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强度</w:t>
            </w:r>
          </w:p>
        </w:tc>
        <w:tc>
          <w:tcPr>
            <w:tcW w:w="481" w:type="dxa"/>
            <w:shd w:val="clear" w:color="auto" w:fill="auto"/>
            <w:tcMar>
              <w:left w:w="14" w:type="dxa"/>
              <w:right w:w="14"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钢筋</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直径</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i/>
                <w:iCs/>
                <w:color w:val="000000" w:themeColor="text1"/>
                <w:kern w:val="2"/>
                <w:sz w:val="20"/>
                <w:szCs w:val="20"/>
                <w14:textFill>
                  <w14:solidFill>
                    <w14:schemeClr w14:val="tx1"/>
                  </w14:solidFill>
                </w14:textFill>
              </w:rPr>
              <w:t>d</w:t>
            </w:r>
            <w:r>
              <w:rPr>
                <w:i/>
                <w:iCs/>
                <w:color w:val="000000" w:themeColor="text1"/>
                <w:kern w:val="2"/>
                <w:sz w:val="20"/>
                <w:szCs w:val="20"/>
                <w14:textFill>
                  <w14:solidFill>
                    <w14:schemeClr w14:val="tx1"/>
                  </w14:solidFill>
                </w14:textFill>
              </w:rPr>
              <w:t xml:space="preserve"> </w:t>
            </w:r>
            <w:r>
              <w:rPr>
                <w:color w:val="000000" w:themeColor="text1"/>
                <w:kern w:val="2"/>
                <w:sz w:val="20"/>
                <w:szCs w:val="20"/>
                <w14:textFill>
                  <w14:solidFill>
                    <w14:schemeClr w14:val="tx1"/>
                  </w14:solidFill>
                </w14:textFill>
              </w:rPr>
              <w:t>(</w:t>
            </w:r>
            <w:r>
              <w:rPr>
                <w:rFonts w:hint="eastAsia"/>
                <w:color w:val="000000" w:themeColor="text1"/>
                <w:kern w:val="2"/>
                <w:sz w:val="20"/>
                <w:szCs w:val="20"/>
                <w14:textFill>
                  <w14:solidFill>
                    <w14:schemeClr w14:val="tx1"/>
                  </w14:solidFill>
                </w14:textFill>
              </w:rPr>
              <w:t>mm</w:t>
            </w:r>
            <w:r>
              <w:rPr>
                <w:color w:val="000000" w:themeColor="text1"/>
                <w:kern w:val="2"/>
                <w:sz w:val="20"/>
                <w:szCs w:val="20"/>
                <w14:textFill>
                  <w14:solidFill>
                    <w14:schemeClr w14:val="tx1"/>
                  </w14:solidFill>
                </w14:textFill>
              </w:rPr>
              <w:t>)</w:t>
            </w:r>
          </w:p>
        </w:tc>
        <w:tc>
          <w:tcPr>
            <w:tcW w:w="1206" w:type="dxa"/>
            <w:shd w:val="clear" w:color="auto" w:fill="auto"/>
            <w:tcMar>
              <w:left w:w="28" w:type="dxa"/>
              <w:right w:w="28" w:type="dxa"/>
            </w:tcMar>
          </w:tcPr>
          <w:p>
            <w:pPr>
              <w:snapToGrid w:val="0"/>
              <w:spacing w:after="0" w:line="240" w:lineRule="auto"/>
              <w:jc w:val="center"/>
              <w:rPr>
                <w:rFonts w:hint="eastAsia"/>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循环1结束时的加载荷载值 (</w:t>
            </w:r>
            <w:r>
              <w:rPr>
                <w:color w:val="000000" w:themeColor="text1"/>
                <w:kern w:val="2"/>
                <w:sz w:val="20"/>
                <w:szCs w:val="20"/>
                <w14:textFill>
                  <w14:solidFill>
                    <w14:schemeClr w14:val="tx1"/>
                  </w14:solidFill>
                </w14:textFill>
              </w:rPr>
              <w:t>N</w:t>
            </w:r>
            <w:r>
              <w:rPr>
                <w:rFonts w:hint="eastAsia"/>
                <w:color w:val="000000" w:themeColor="text1"/>
                <w:kern w:val="2"/>
                <w:sz w:val="20"/>
                <w:szCs w:val="20"/>
                <w14:textFill>
                  <w14:solidFill>
                    <w14:schemeClr w14:val="tx1"/>
                  </w14:solidFill>
                </w14:textFill>
              </w:rPr>
              <w:t>)</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循环2结束时的加载荷载值(</w:t>
            </w:r>
            <w:r>
              <w:rPr>
                <w:color w:val="000000" w:themeColor="text1"/>
                <w:kern w:val="2"/>
                <w:sz w:val="20"/>
                <w:szCs w:val="20"/>
                <w14:textFill>
                  <w14:solidFill>
                    <w14:schemeClr w14:val="tx1"/>
                  </w14:solidFill>
                </w14:textFill>
              </w:rPr>
              <w:t>N</w:t>
            </w:r>
            <w:r>
              <w:rPr>
                <w:rFonts w:hint="eastAsia"/>
                <w:color w:val="000000" w:themeColor="text1"/>
                <w:kern w:val="2"/>
                <w:sz w:val="20"/>
                <w:szCs w:val="20"/>
                <w14:textFill>
                  <w14:solidFill>
                    <w14:schemeClr w14:val="tx1"/>
                  </w14:solidFill>
                </w14:textFill>
              </w:rPr>
              <w:t>)</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循环5结束时的加载荷载值(</w:t>
            </w:r>
            <w:r>
              <w:rPr>
                <w:color w:val="000000" w:themeColor="text1"/>
                <w:kern w:val="2"/>
                <w:sz w:val="20"/>
                <w:szCs w:val="20"/>
                <w14:textFill>
                  <w14:solidFill>
                    <w14:schemeClr w14:val="tx1"/>
                  </w14:solidFill>
                </w14:textFill>
              </w:rPr>
              <w:t>N</w:t>
            </w:r>
            <w:r>
              <w:rPr>
                <w:rFonts w:hint="eastAsia"/>
                <w:color w:val="000000" w:themeColor="text1"/>
                <w:kern w:val="2"/>
                <w:sz w:val="20"/>
                <w:szCs w:val="20"/>
                <w14:textFill>
                  <w14:solidFill>
                    <w14:schemeClr w14:val="tx1"/>
                  </w14:solidFill>
                </w14:textFill>
              </w:rPr>
              <w:t>)</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循环1</w:t>
            </w:r>
            <w:r>
              <w:rPr>
                <w:color w:val="000000" w:themeColor="text1"/>
                <w:kern w:val="2"/>
                <w:sz w:val="20"/>
                <w:szCs w:val="20"/>
                <w14:textFill>
                  <w14:solidFill>
                    <w14:schemeClr w14:val="tx1"/>
                  </w14:solidFill>
                </w14:textFill>
              </w:rPr>
              <w:t>0</w:t>
            </w:r>
            <w:r>
              <w:rPr>
                <w:rFonts w:hint="eastAsia"/>
                <w:color w:val="000000" w:themeColor="text1"/>
                <w:kern w:val="2"/>
                <w:sz w:val="20"/>
                <w:szCs w:val="20"/>
                <w14:textFill>
                  <w14:solidFill>
                    <w14:schemeClr w14:val="tx1"/>
                  </w14:solidFill>
                </w14:textFill>
              </w:rPr>
              <w:t>结束时的加载荷载值 (</w:t>
            </w:r>
            <w:r>
              <w:rPr>
                <w:color w:val="000000" w:themeColor="text1"/>
                <w:kern w:val="2"/>
                <w:sz w:val="20"/>
                <w:szCs w:val="20"/>
                <w14:textFill>
                  <w14:solidFill>
                    <w14:schemeClr w14:val="tx1"/>
                  </w14:solidFill>
                </w14:textFill>
              </w:rPr>
              <w:t>N</w:t>
            </w:r>
            <w:r>
              <w:rPr>
                <w:rFonts w:hint="eastAsia"/>
                <w:color w:val="000000" w:themeColor="text1"/>
                <w:kern w:val="2"/>
                <w:sz w:val="20"/>
                <w:szCs w:val="20"/>
                <w14:textFill>
                  <w14:solidFill>
                    <w14:schemeClr w14:val="tx1"/>
                  </w14:solidFill>
                </w14:textFill>
              </w:rPr>
              <w:t>)</w:t>
            </w:r>
          </w:p>
        </w:tc>
        <w:tc>
          <w:tcPr>
            <w:tcW w:w="1280" w:type="dxa"/>
            <w:shd w:val="clear" w:color="auto" w:fill="auto"/>
            <w:tcMar>
              <w:left w:w="28" w:type="dxa"/>
              <w:right w:w="28" w:type="dxa"/>
            </w:tcMar>
          </w:tcPr>
          <w:p>
            <w:pPr>
              <w:snapToGrid w:val="0"/>
              <w:spacing w:after="0" w:line="240" w:lineRule="auto"/>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残余承载力测试的最大荷载值(</w:t>
            </w:r>
            <w:r>
              <w:rPr>
                <w:color w:val="000000" w:themeColor="text1"/>
                <w:kern w:val="2"/>
                <w:sz w:val="20"/>
                <w:szCs w:val="20"/>
                <w14:textFill>
                  <w14:solidFill>
                    <w14:schemeClr w14:val="tx1"/>
                  </w14:solidFill>
                </w14:textFill>
              </w:rPr>
              <w:t>N</w:t>
            </w:r>
            <w:r>
              <w:rPr>
                <w:rFonts w:hint="eastAsia"/>
                <w:color w:val="000000" w:themeColor="text1"/>
                <w:kern w:val="2"/>
                <w:sz w:val="20"/>
                <w:szCs w:val="20"/>
                <w14:textFill>
                  <w14:solidFill>
                    <w14:schemeClr w14:val="tx1"/>
                  </w14:solidFill>
                </w14:textFill>
              </w:rPr>
              <w:t>)</w:t>
            </w:r>
          </w:p>
        </w:tc>
        <w:tc>
          <w:tcPr>
            <w:tcW w:w="1156" w:type="dxa"/>
            <w:tcMar>
              <w:left w:w="28" w:type="dxa"/>
              <w:right w:w="28" w:type="dxa"/>
            </w:tcMar>
          </w:tcPr>
          <w:p>
            <w:pPr>
              <w:snapToGrid w:val="0"/>
              <w:spacing w:after="0" w:line="240" w:lineRule="auto"/>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残余承载力测试的对应位移值 (</w:t>
            </w:r>
            <w:r>
              <w:rPr>
                <w:color w:val="000000" w:themeColor="text1"/>
                <w:kern w:val="2"/>
                <w:sz w:val="20"/>
                <w:szCs w:val="20"/>
                <w14:textFill>
                  <w14:solidFill>
                    <w14:schemeClr w14:val="tx1"/>
                  </w14:solidFill>
                </w14:textFill>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24" w:type="dxa"/>
            <w:vMerge w:val="restart"/>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C20</w:t>
            </w:r>
          </w:p>
        </w:tc>
        <w:tc>
          <w:tcPr>
            <w:tcW w:w="481" w:type="dxa"/>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12</w:t>
            </w:r>
          </w:p>
        </w:tc>
        <w:tc>
          <w:tcPr>
            <w:tcW w:w="1206"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test,c20,d12-1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test,c20,d12-5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test,c20,d12-1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test,c20,d12-5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test,c20,d12-1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test,c20,d12-5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test,c20,d12-1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test,c20,d12-5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test,c20,d12-1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test,c20,d12-5</w:t>
            </w:r>
          </w:p>
        </w:tc>
        <w:tc>
          <w:tcPr>
            <w:tcW w:w="1156"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test,c20,d12-1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test,c20,d12-5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24" w:type="dxa"/>
            <w:vMerge w:val="continue"/>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p>
        </w:tc>
        <w:tc>
          <w:tcPr>
            <w:tcW w:w="481" w:type="dxa"/>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18</w:t>
            </w:r>
          </w:p>
        </w:tc>
        <w:tc>
          <w:tcPr>
            <w:tcW w:w="1206"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 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 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15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test,c20,d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24" w:type="dxa"/>
            <w:vMerge w:val="continue"/>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p>
        </w:tc>
        <w:tc>
          <w:tcPr>
            <w:tcW w:w="481" w:type="dxa"/>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25</w:t>
            </w:r>
          </w:p>
        </w:tc>
        <w:tc>
          <w:tcPr>
            <w:tcW w:w="120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 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 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15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 </w:t>
            </w: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test,c20,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24" w:type="dxa"/>
            <w:vMerge w:val="restart"/>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C</w:t>
            </w:r>
            <w:r>
              <w:rPr>
                <w:rFonts w:hint="eastAsia"/>
                <w:color w:val="000000" w:themeColor="text1"/>
                <w:kern w:val="2"/>
                <w:sz w:val="20"/>
                <w:szCs w:val="20"/>
                <w14:textFill>
                  <w14:solidFill>
                    <w14:schemeClr w14:val="tx1"/>
                  </w14:solidFill>
                </w14:textFill>
              </w:rPr>
              <w:t>6</w:t>
            </w:r>
            <w:r>
              <w:rPr>
                <w:color w:val="000000" w:themeColor="text1"/>
                <w:kern w:val="2"/>
                <w:sz w:val="20"/>
                <w:szCs w:val="20"/>
                <w14:textFill>
                  <w14:solidFill>
                    <w14:schemeClr w14:val="tx1"/>
                  </w14:solidFill>
                </w14:textFill>
              </w:rPr>
              <w:t>0</w:t>
            </w:r>
          </w:p>
        </w:tc>
        <w:tc>
          <w:tcPr>
            <w:tcW w:w="481" w:type="dxa"/>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12</w:t>
            </w:r>
          </w:p>
        </w:tc>
        <w:tc>
          <w:tcPr>
            <w:tcW w:w="120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test,c60,d12-1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test,c60,d12-5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test,c60,d12-1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test,c60,d12-5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test,c60,d12-1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test,c60,d12-5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test,c60,d12-1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test,c60,d12-5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test,c60,d12-1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test,c60,d12-5</w:t>
            </w:r>
          </w:p>
        </w:tc>
        <w:tc>
          <w:tcPr>
            <w:tcW w:w="115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test,c60,d12-1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test,c60,d12-5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24" w:type="dxa"/>
            <w:vMerge w:val="continue"/>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p>
        </w:tc>
        <w:tc>
          <w:tcPr>
            <w:tcW w:w="481" w:type="dxa"/>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18</w:t>
            </w:r>
          </w:p>
        </w:tc>
        <w:tc>
          <w:tcPr>
            <w:tcW w:w="120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vertAlign w:val="subscript"/>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c>
          <w:tcPr>
            <w:tcW w:w="115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test,c60,d</w:t>
            </w:r>
            <w:r>
              <w:rPr>
                <w:rFonts w:hint="eastAsia"/>
                <w:color w:val="000000" w:themeColor="text1"/>
                <w:kern w:val="2"/>
                <w:sz w:val="20"/>
                <w:szCs w:val="20"/>
                <w:vertAlign w:val="subscript"/>
                <w14:textFill>
                  <w14:solidFill>
                    <w14:schemeClr w14:val="tx1"/>
                  </w14:solidFill>
                </w14:textFill>
              </w:rPr>
              <w:t>18</w:t>
            </w:r>
            <w:r>
              <w:rPr>
                <w:color w:val="000000" w:themeColor="text1"/>
                <w:kern w:val="2"/>
                <w:sz w:val="20"/>
                <w:szCs w:val="20"/>
                <w:vertAlign w:val="subscript"/>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24" w:type="dxa"/>
            <w:vMerge w:val="continue"/>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p>
        </w:tc>
        <w:tc>
          <w:tcPr>
            <w:tcW w:w="481" w:type="dxa"/>
            <w:shd w:val="clear" w:color="auto" w:fill="auto"/>
            <w:tcMar>
              <w:left w:w="28" w:type="dxa"/>
              <w:right w:w="28" w:type="dxa"/>
            </w:tcMar>
            <w:vAlign w:val="cente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25</w:t>
            </w:r>
          </w:p>
        </w:tc>
        <w:tc>
          <w:tcPr>
            <w:tcW w:w="120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 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2,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5,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1"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10,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280"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N</w:t>
            </w:r>
            <w:r>
              <w:rPr>
                <w:color w:val="000000" w:themeColor="text1"/>
                <w:kern w:val="2"/>
                <w:sz w:val="20"/>
                <w:szCs w:val="20"/>
                <w:vertAlign w:val="subscript"/>
                <w14:textFill>
                  <w14:solidFill>
                    <w14:schemeClr w14:val="tx1"/>
                  </w14:solidFill>
                </w14:textFill>
              </w:rPr>
              <w:t>u</w:t>
            </w:r>
            <w:r>
              <w:rPr>
                <w:rFonts w:hint="eastAsia"/>
                <w:color w:val="000000" w:themeColor="text1"/>
                <w:kern w:val="2"/>
                <w:sz w:val="20"/>
                <w:szCs w:val="20"/>
                <w:vertAlign w:val="subscript"/>
                <w14:textFill>
                  <w14:solidFill>
                    <w14:schemeClr w14:val="tx1"/>
                  </w14:solidFill>
                </w14:textFill>
              </w:rPr>
              <w:t>,</w:t>
            </w:r>
            <w:r>
              <w:rPr>
                <w:color w:val="000000" w:themeColor="text1"/>
                <w:kern w:val="2"/>
                <w:sz w:val="20"/>
                <w:szCs w:val="20"/>
                <w:vertAlign w:val="subscript"/>
                <w14:textFill>
                  <w14:solidFill>
                    <w14:schemeClr w14:val="tx1"/>
                  </w14:solidFill>
                </w14:textFill>
              </w:rPr>
              <w:t>11,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c>
          <w:tcPr>
            <w:tcW w:w="1156" w:type="dxa"/>
            <w:shd w:val="clear" w:color="auto" w:fill="auto"/>
            <w:tcMar>
              <w:left w:w="28" w:type="dxa"/>
              <w:right w:w="28" w:type="dxa"/>
            </w:tcMar>
          </w:tcPr>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-1</w:t>
            </w:r>
            <w:r>
              <w:rPr>
                <w:rFonts w:hint="eastAsia"/>
                <w:color w:val="000000" w:themeColor="text1"/>
                <w:kern w:val="2"/>
                <w:sz w:val="20"/>
                <w:szCs w:val="20"/>
                <w14:textFill>
                  <w14:solidFill>
                    <w14:schemeClr w14:val="tx1"/>
                  </w14:solidFill>
                </w14:textFill>
              </w:rPr>
              <w:t xml:space="preserve"> ~</w:t>
            </w:r>
          </w:p>
          <w:p>
            <w:pPr>
              <w:snapToGrid w:val="0"/>
              <w:spacing w:after="0" w:line="240" w:lineRule="auto"/>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δ</w:t>
            </w:r>
            <w:r>
              <w:rPr>
                <w:color w:val="000000" w:themeColor="text1"/>
                <w:kern w:val="2"/>
                <w:sz w:val="20"/>
                <w:szCs w:val="20"/>
                <w:vertAlign w:val="subscript"/>
                <w14:textFill>
                  <w14:solidFill>
                    <w14:schemeClr w14:val="tx1"/>
                  </w14:solidFill>
                </w14:textFill>
              </w:rPr>
              <w:t>11, test,c60,</w:t>
            </w:r>
            <w:r>
              <w:rPr>
                <w:rFonts w:hint="eastAsia"/>
                <w:color w:val="000000" w:themeColor="text1"/>
                <w:kern w:val="2"/>
                <w:sz w:val="20"/>
                <w:szCs w:val="20"/>
                <w:vertAlign w:val="subscript"/>
                <w14:textFill>
                  <w14:solidFill>
                    <w14:schemeClr w14:val="tx1"/>
                  </w14:solidFill>
                </w14:textFill>
              </w:rPr>
              <w:t>d25</w:t>
            </w:r>
            <w:r>
              <w:rPr>
                <w:color w:val="000000" w:themeColor="text1"/>
                <w:kern w:val="2"/>
                <w:sz w:val="20"/>
                <w:szCs w:val="20"/>
                <w:vertAlign w:val="subscript"/>
                <w14:textFill>
                  <w14:solidFill>
                    <w14:schemeClr w14:val="tx1"/>
                  </w14:solidFill>
                </w14:textFill>
              </w:rPr>
              <w:t>-5</w:t>
            </w:r>
          </w:p>
        </w:tc>
      </w:tr>
    </w:tbl>
    <w:p>
      <w:pPr>
        <w:spacing w:after="0" w:line="360" w:lineRule="auto"/>
        <w:rPr>
          <w:rFonts w:hint="eastAsia"/>
          <w:b/>
          <w:bCs/>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注：每种钢筋直径在对应测试条件下有5个测试数据。</w:t>
      </w:r>
    </w:p>
    <w:p>
      <w:pPr>
        <w:spacing w:after="0" w:line="360" w:lineRule="auto"/>
        <w:rPr>
          <w:bCs/>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J.2.3</w:t>
      </w:r>
      <w:r>
        <w:rPr>
          <w:color w:val="000000" w:themeColor="text1"/>
          <w:kern w:val="2"/>
          <w:sz w:val="24"/>
          <w:szCs w:val="24"/>
          <w14:textFill>
            <w14:solidFill>
              <w14:schemeClr w14:val="tx1"/>
            </w14:solidFill>
          </w14:textFill>
        </w:rPr>
        <w:t xml:space="preserve"> </w:t>
      </w:r>
      <w:r>
        <w:rPr>
          <w:rFonts w:hint="eastAsia"/>
          <w:bCs/>
          <w:color w:val="000000" w:themeColor="text1"/>
          <w:kern w:val="2"/>
          <w:sz w:val="24"/>
          <w:szCs w:val="24"/>
          <w14:textFill>
            <w14:solidFill>
              <w14:schemeClr w14:val="tx1"/>
            </w14:solidFill>
          </w14:textFill>
        </w:rPr>
        <w:t>测试荷载值</w:t>
      </w:r>
      <w:r>
        <w:rPr>
          <w:rFonts w:hint="eastAsia"/>
          <w:bCs/>
          <w:i/>
          <w:iCs/>
          <w:color w:val="000000" w:themeColor="text1"/>
          <w:kern w:val="2"/>
          <w:sz w:val="24"/>
          <w:szCs w:val="24"/>
          <w14:textFill>
            <w14:solidFill>
              <w14:schemeClr w14:val="tx1"/>
            </w14:solidFill>
          </w14:textFill>
        </w:rPr>
        <w:t>N</w:t>
      </w:r>
      <w:r>
        <w:rPr>
          <w:bCs/>
          <w:color w:val="000000" w:themeColor="text1"/>
          <w:kern w:val="2"/>
          <w:sz w:val="24"/>
          <w:szCs w:val="24"/>
          <w:vertAlign w:val="subscript"/>
          <w14:textFill>
            <w14:solidFill>
              <w14:schemeClr w14:val="tx1"/>
            </w14:solidFill>
          </w14:textFill>
        </w:rPr>
        <w:t>u,</w:t>
      </w:r>
      <w:r>
        <w:rPr>
          <w:rFonts w:hint="eastAsia"/>
          <w:bCs/>
          <w:color w:val="000000" w:themeColor="text1"/>
          <w:kern w:val="2"/>
          <w:sz w:val="24"/>
          <w:szCs w:val="24"/>
          <w:vertAlign w:val="subscript"/>
          <w14:textFill>
            <w14:solidFill>
              <w14:schemeClr w14:val="tx1"/>
            </w14:solidFill>
          </w14:textFill>
        </w:rPr>
        <w:t>i</w:t>
      </w:r>
      <w:r>
        <w:rPr>
          <w:bCs/>
          <w:color w:val="000000" w:themeColor="text1"/>
          <w:kern w:val="2"/>
          <w:sz w:val="24"/>
          <w:szCs w:val="24"/>
          <w:vertAlign w:val="subscript"/>
          <w14:textFill>
            <w14:solidFill>
              <w14:schemeClr w14:val="tx1"/>
            </w14:solidFill>
          </w14:textFill>
        </w:rPr>
        <w:t xml:space="preserve">,test,c20,dj </w:t>
      </w:r>
      <w:r>
        <w:rPr>
          <w:rFonts w:hint="eastAsia"/>
          <w:bCs/>
          <w:color w:val="000000" w:themeColor="text1"/>
          <w:kern w:val="2"/>
          <w:sz w:val="24"/>
          <w:szCs w:val="24"/>
          <w14:textFill>
            <w14:solidFill>
              <w14:schemeClr w14:val="tx1"/>
            </w14:solidFill>
          </w14:textFill>
        </w:rPr>
        <w:t>及</w:t>
      </w:r>
      <w:r>
        <w:rPr>
          <w:rFonts w:hint="eastAsia"/>
          <w:bCs/>
          <w:i/>
          <w:iCs/>
          <w:color w:val="000000" w:themeColor="text1"/>
          <w:kern w:val="2"/>
          <w:sz w:val="24"/>
          <w:szCs w:val="24"/>
          <w14:textFill>
            <w14:solidFill>
              <w14:schemeClr w14:val="tx1"/>
            </w14:solidFill>
          </w14:textFill>
        </w:rPr>
        <w:t>N</w:t>
      </w:r>
      <w:r>
        <w:rPr>
          <w:bCs/>
          <w:color w:val="000000" w:themeColor="text1"/>
          <w:kern w:val="2"/>
          <w:sz w:val="24"/>
          <w:szCs w:val="24"/>
          <w:vertAlign w:val="subscript"/>
          <w14:textFill>
            <w14:solidFill>
              <w14:schemeClr w14:val="tx1"/>
            </w14:solidFill>
          </w14:textFill>
        </w:rPr>
        <w:t>u,</w:t>
      </w:r>
      <w:r>
        <w:rPr>
          <w:rFonts w:hint="eastAsia"/>
          <w:bCs/>
          <w:color w:val="000000" w:themeColor="text1"/>
          <w:kern w:val="2"/>
          <w:sz w:val="24"/>
          <w:szCs w:val="24"/>
          <w:vertAlign w:val="subscript"/>
          <w14:textFill>
            <w14:solidFill>
              <w14:schemeClr w14:val="tx1"/>
            </w14:solidFill>
          </w14:textFill>
        </w:rPr>
        <w:t>i</w:t>
      </w:r>
      <w:r>
        <w:rPr>
          <w:bCs/>
          <w:color w:val="000000" w:themeColor="text1"/>
          <w:kern w:val="2"/>
          <w:sz w:val="24"/>
          <w:szCs w:val="24"/>
          <w:vertAlign w:val="subscript"/>
          <w14:textFill>
            <w14:solidFill>
              <w14:schemeClr w14:val="tx1"/>
            </w14:solidFill>
          </w14:textFill>
        </w:rPr>
        <w:t>,test,c</w:t>
      </w:r>
      <w:r>
        <w:rPr>
          <w:rFonts w:hint="eastAsia"/>
          <w:bCs/>
          <w:color w:val="000000" w:themeColor="text1"/>
          <w:kern w:val="2"/>
          <w:sz w:val="24"/>
          <w:szCs w:val="24"/>
          <w:vertAlign w:val="subscript"/>
          <w14:textFill>
            <w14:solidFill>
              <w14:schemeClr w14:val="tx1"/>
            </w14:solidFill>
          </w14:textFill>
        </w:rPr>
        <w:t>6</w:t>
      </w:r>
      <w:r>
        <w:rPr>
          <w:bCs/>
          <w:color w:val="000000" w:themeColor="text1"/>
          <w:kern w:val="2"/>
          <w:sz w:val="24"/>
          <w:szCs w:val="24"/>
          <w:vertAlign w:val="subscript"/>
          <w14:textFill>
            <w14:solidFill>
              <w14:schemeClr w14:val="tx1"/>
            </w14:solidFill>
          </w14:textFill>
        </w:rPr>
        <w:t>0,dj</w:t>
      </w:r>
      <w:r>
        <w:rPr>
          <w:rFonts w:hint="eastAsia"/>
          <w:bCs/>
          <w:color w:val="000000" w:themeColor="text1"/>
          <w:kern w:val="2"/>
          <w:sz w:val="24"/>
          <w:szCs w:val="24"/>
          <w14:textFill>
            <w14:solidFill>
              <w14:schemeClr w14:val="tx1"/>
            </w14:solidFill>
          </w14:textFill>
        </w:rPr>
        <w:t>应进行归一化换算，对应混凝土抗压强度C</w:t>
      </w:r>
      <w:r>
        <w:rPr>
          <w:bCs/>
          <w:color w:val="000000" w:themeColor="text1"/>
          <w:kern w:val="2"/>
          <w:sz w:val="24"/>
          <w:szCs w:val="24"/>
          <w14:textFill>
            <w14:solidFill>
              <w14:schemeClr w14:val="tx1"/>
            </w14:solidFill>
          </w14:textFill>
        </w:rPr>
        <w:t>20</w:t>
      </w:r>
      <w:r>
        <w:rPr>
          <w:rFonts w:hint="eastAsia"/>
          <w:bCs/>
          <w:color w:val="000000" w:themeColor="text1"/>
          <w:kern w:val="2"/>
          <w:sz w:val="24"/>
          <w:szCs w:val="24"/>
          <w14:textFill>
            <w14:solidFill>
              <w14:schemeClr w14:val="tx1"/>
            </w14:solidFill>
          </w14:textFill>
        </w:rPr>
        <w:t>的荷载值</w:t>
      </w:r>
      <w:r>
        <w:rPr>
          <w:rFonts w:hint="eastAsia"/>
          <w:bCs/>
          <w:i/>
          <w:iCs/>
          <w:color w:val="000000" w:themeColor="text1"/>
          <w:kern w:val="2"/>
          <w:sz w:val="24"/>
          <w:szCs w:val="24"/>
          <w14:textFill>
            <w14:solidFill>
              <w14:schemeClr w14:val="tx1"/>
            </w14:solidFill>
          </w14:textFill>
        </w:rPr>
        <w:t>N</w:t>
      </w:r>
      <w:r>
        <w:rPr>
          <w:bCs/>
          <w:color w:val="000000" w:themeColor="text1"/>
          <w:kern w:val="2"/>
          <w:sz w:val="24"/>
          <w:szCs w:val="24"/>
          <w:vertAlign w:val="subscript"/>
          <w14:textFill>
            <w14:solidFill>
              <w14:schemeClr w14:val="tx1"/>
            </w14:solidFill>
          </w14:textFill>
        </w:rPr>
        <w:t>u,i,c20,dj</w:t>
      </w:r>
      <w:r>
        <w:rPr>
          <w:rFonts w:hint="eastAsia"/>
          <w:bCs/>
          <w:color w:val="000000" w:themeColor="text1"/>
          <w:kern w:val="2"/>
          <w:sz w:val="24"/>
          <w:szCs w:val="24"/>
          <w14:textFill>
            <w14:solidFill>
              <w14:schemeClr w14:val="tx1"/>
            </w14:solidFill>
          </w14:textFill>
        </w:rPr>
        <w:t>，可按公式（J.2.3-1）计算，对应混凝土抗压强度C6</w:t>
      </w:r>
      <w:r>
        <w:rPr>
          <w:bCs/>
          <w:color w:val="000000" w:themeColor="text1"/>
          <w:kern w:val="2"/>
          <w:sz w:val="24"/>
          <w:szCs w:val="24"/>
          <w14:textFill>
            <w14:solidFill>
              <w14:schemeClr w14:val="tx1"/>
            </w14:solidFill>
          </w14:textFill>
        </w:rPr>
        <w:t>0</w:t>
      </w:r>
      <w:r>
        <w:rPr>
          <w:rFonts w:hint="eastAsia"/>
          <w:bCs/>
          <w:color w:val="000000" w:themeColor="text1"/>
          <w:kern w:val="2"/>
          <w:sz w:val="24"/>
          <w:szCs w:val="24"/>
          <w14:textFill>
            <w14:solidFill>
              <w14:schemeClr w14:val="tx1"/>
            </w14:solidFill>
          </w14:textFill>
        </w:rPr>
        <w:t>的荷载值</w:t>
      </w:r>
      <w:r>
        <w:rPr>
          <w:rFonts w:hint="eastAsia"/>
          <w:bCs/>
          <w:i/>
          <w:iCs/>
          <w:color w:val="000000" w:themeColor="text1"/>
          <w:kern w:val="2"/>
          <w:sz w:val="24"/>
          <w:szCs w:val="24"/>
          <w14:textFill>
            <w14:solidFill>
              <w14:schemeClr w14:val="tx1"/>
            </w14:solidFill>
          </w14:textFill>
        </w:rPr>
        <w:t>N</w:t>
      </w:r>
      <w:r>
        <w:rPr>
          <w:bCs/>
          <w:color w:val="000000" w:themeColor="text1"/>
          <w:kern w:val="2"/>
          <w:sz w:val="24"/>
          <w:szCs w:val="24"/>
          <w:vertAlign w:val="subscript"/>
          <w14:textFill>
            <w14:solidFill>
              <w14:schemeClr w14:val="tx1"/>
            </w14:solidFill>
          </w14:textFill>
        </w:rPr>
        <w:t>u,i,c</w:t>
      </w:r>
      <w:r>
        <w:rPr>
          <w:rFonts w:hint="eastAsia"/>
          <w:bCs/>
          <w:color w:val="000000" w:themeColor="text1"/>
          <w:kern w:val="2"/>
          <w:sz w:val="24"/>
          <w:szCs w:val="24"/>
          <w:vertAlign w:val="subscript"/>
          <w14:textFill>
            <w14:solidFill>
              <w14:schemeClr w14:val="tx1"/>
            </w14:solidFill>
          </w14:textFill>
        </w:rPr>
        <w:t>6</w:t>
      </w:r>
      <w:r>
        <w:rPr>
          <w:bCs/>
          <w:color w:val="000000" w:themeColor="text1"/>
          <w:kern w:val="2"/>
          <w:sz w:val="24"/>
          <w:szCs w:val="24"/>
          <w:vertAlign w:val="subscript"/>
          <w14:textFill>
            <w14:solidFill>
              <w14:schemeClr w14:val="tx1"/>
            </w14:solidFill>
          </w14:textFill>
        </w:rPr>
        <w:t>0,dj</w:t>
      </w:r>
      <w:r>
        <w:rPr>
          <w:rFonts w:hint="eastAsia"/>
          <w:bCs/>
          <w:color w:val="000000" w:themeColor="text1"/>
          <w:kern w:val="2"/>
          <w:sz w:val="24"/>
          <w:szCs w:val="24"/>
          <w14:textFill>
            <w14:solidFill>
              <w14:schemeClr w14:val="tx1"/>
            </w14:solidFill>
          </w14:textFill>
        </w:rPr>
        <w:t>，可按公式（J.2.3-2）计算。</w:t>
      </w:r>
    </w:p>
    <w:p>
      <w:pPr>
        <w:spacing w:after="0" w:line="360" w:lineRule="auto"/>
        <w:jc w:val="right"/>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u,i,c20,dj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u,i,test,c20,dj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p>
          <m:sSupPr>
            <m:ctrlPr>
              <w:rPr>
                <w:rFonts w:ascii="Cambria Math" w:hAnsi="Cambria Math"/>
                <w:i/>
                <w:color w:val="000000" w:themeColor="text1"/>
                <w:sz w:val="24"/>
                <w:szCs w:val="24"/>
                <w14:textFill>
                  <w14:solidFill>
                    <w14:schemeClr w14:val="tx1"/>
                  </w14:solidFill>
                </w14:textFill>
              </w:rPr>
            </m:ctrlPr>
          </m:sSupPr>
          <m:e>
            <m:d>
              <m:dPr>
                <m:ctrlPr>
                  <w:rPr>
                    <w:rFonts w:ascii="Cambria Math" w:hAnsi="Cambria Math"/>
                    <w:i/>
                    <w:color w:val="000000" w:themeColor="text1"/>
                    <w:sz w:val="24"/>
                    <w:szCs w:val="24"/>
                    <w14:textFill>
                      <w14:solidFill>
                        <w14:schemeClr w14:val="tx1"/>
                      </w14:solidFill>
                    </w14:textFill>
                  </w:rPr>
                </m:ctrlPr>
              </m:dPr>
              <m:e>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cu,k,20</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cu,k,test</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0.3</m:t>
            </m:r>
            <m:ctrlPr>
              <w:rPr>
                <w:rFonts w:ascii="Cambria Math" w:hAnsi="Cambria Math"/>
                <w:i/>
                <w:color w:val="000000" w:themeColor="text1"/>
                <w:sz w:val="24"/>
                <w:szCs w:val="24"/>
                <w14:textFill>
                  <w14:solidFill>
                    <w14:schemeClr w14:val="tx1"/>
                  </w14:solidFill>
                </w14:textFill>
              </w:rPr>
            </m:ctrlPr>
          </m:sup>
        </m:sSup>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J.2.3-1</w:t>
      </w:r>
      <w:r>
        <w:rPr>
          <w:color w:val="000000" w:themeColor="text1"/>
          <w:sz w:val="24"/>
          <w:szCs w:val="24"/>
          <w14:textFill>
            <w14:solidFill>
              <w14:schemeClr w14:val="tx1"/>
            </w14:solidFill>
          </w14:textFill>
        </w:rPr>
        <w:t>）</w:t>
      </w:r>
    </w:p>
    <w:p>
      <w:pPr>
        <w:spacing w:after="0" w:line="360" w:lineRule="auto"/>
        <w:jc w:val="right"/>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u,i,c60,dj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u,i,test,c60,dj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p>
          <m:sSupPr>
            <m:ctrlPr>
              <w:rPr>
                <w:rFonts w:ascii="Cambria Math" w:hAnsi="Cambria Math"/>
                <w:i/>
                <w:color w:val="000000" w:themeColor="text1"/>
                <w:sz w:val="24"/>
                <w:szCs w:val="24"/>
                <w14:textFill>
                  <w14:solidFill>
                    <w14:schemeClr w14:val="tx1"/>
                  </w14:solidFill>
                </w14:textFill>
              </w:rPr>
            </m:ctrlPr>
          </m:sSupPr>
          <m:e>
            <m:d>
              <m:dPr>
                <m:ctrlPr>
                  <w:rPr>
                    <w:rFonts w:ascii="Cambria Math" w:hAnsi="Cambria Math"/>
                    <w:i/>
                    <w:color w:val="000000" w:themeColor="text1"/>
                    <w:sz w:val="24"/>
                    <w:szCs w:val="24"/>
                    <w14:textFill>
                      <w14:solidFill>
                        <w14:schemeClr w14:val="tx1"/>
                      </w14:solidFill>
                    </w14:textFill>
                  </w:rPr>
                </m:ctrlPr>
              </m:dPr>
              <m:e>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cu,k,60</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cu,k,test</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0.3</m:t>
            </m:r>
            <m:ctrlPr>
              <w:rPr>
                <w:rFonts w:ascii="Cambria Math" w:hAnsi="Cambria Math"/>
                <w:i/>
                <w:color w:val="000000" w:themeColor="text1"/>
                <w:sz w:val="24"/>
                <w:szCs w:val="24"/>
                <w14:textFill>
                  <w14:solidFill>
                    <w14:schemeClr w14:val="tx1"/>
                  </w14:solidFill>
                </w14:textFill>
              </w:rPr>
            </m:ctrlPr>
          </m:sup>
        </m:sSup>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J.2.3-2</w:t>
      </w:r>
      <w:r>
        <w:rPr>
          <w:color w:val="000000" w:themeColor="text1"/>
          <w:sz w:val="24"/>
          <w:szCs w:val="24"/>
          <w14:textFill>
            <w14:solidFill>
              <w14:schemeClr w14:val="tx1"/>
            </w14:solidFill>
          </w14:textFill>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1"/>
        <w:gridCol w:w="1506"/>
        <w:gridCol w:w="456"/>
        <w:gridCol w:w="5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式中:</w:t>
            </w:r>
          </w:p>
        </w:tc>
        <w:tc>
          <w:tcPr>
            <w:tcW w:w="1506" w:type="dxa"/>
          </w:tcPr>
          <w:p>
            <w:pPr>
              <w:spacing w:after="0" w:line="360" w:lineRule="auto"/>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u,i,c20,dj</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归一化换算后的C</w:t>
            </w:r>
            <w:r>
              <w:rPr>
                <w:iCs/>
                <w:color w:val="000000" w:themeColor="text1"/>
                <w:sz w:val="24"/>
                <w:szCs w:val="24"/>
                <w14:textFill>
                  <w14:solidFill>
                    <w14:schemeClr w14:val="tx1"/>
                  </w14:solidFill>
                </w14:textFill>
              </w:rPr>
              <w:t>2</w:t>
            </w:r>
            <w:r>
              <w:rPr>
                <w:rFonts w:hint="eastAsia"/>
                <w:iCs/>
                <w:color w:val="000000" w:themeColor="text1"/>
                <w:sz w:val="24"/>
                <w:szCs w:val="24"/>
                <w14:textFill>
                  <w14:solidFill>
                    <w14:schemeClr w14:val="tx1"/>
                  </w14:solidFill>
                </w14:textFill>
              </w:rPr>
              <w:t>0混凝土试样对应荷载值（N）；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color w:val="000000" w:themeColor="text1"/>
                <w:sz w:val="24"/>
                <w:szCs w:val="24"/>
                <w:vertAlign w:val="subscript"/>
                <w14:textFill>
                  <w14:solidFill>
                    <w14:schemeClr w14:val="tx1"/>
                  </w14:solidFill>
                </w14:textFill>
                <w:oMath/>
              </w:rPr>
            </w:pPr>
            <w:r>
              <w:rPr>
                <w:rFonts w:hint="eastAsia"/>
                <w:bCs/>
                <w:i/>
                <w:iCs/>
                <w:color w:val="000000" w:themeColor="text1"/>
                <w:kern w:val="2"/>
                <w:sz w:val="24"/>
                <w:szCs w:val="24"/>
                <w14:textFill>
                  <w14:solidFill>
                    <w14:schemeClr w14:val="tx1"/>
                  </w14:solidFill>
                </w14:textFill>
              </w:rPr>
              <w:t>N</w:t>
            </w:r>
            <w:r>
              <w:rPr>
                <w:bCs/>
                <w:color w:val="000000" w:themeColor="text1"/>
                <w:kern w:val="2"/>
                <w:sz w:val="24"/>
                <w:szCs w:val="24"/>
                <w:vertAlign w:val="subscript"/>
                <w14:textFill>
                  <w14:solidFill>
                    <w14:schemeClr w14:val="tx1"/>
                  </w14:solidFill>
                </w14:textFill>
              </w:rPr>
              <w:t>u,</w:t>
            </w:r>
            <w:r>
              <w:rPr>
                <w:rFonts w:hint="eastAsia"/>
                <w:bCs/>
                <w:color w:val="000000" w:themeColor="text1"/>
                <w:kern w:val="2"/>
                <w:sz w:val="24"/>
                <w:szCs w:val="24"/>
                <w:vertAlign w:val="subscript"/>
                <w14:textFill>
                  <w14:solidFill>
                    <w14:schemeClr w14:val="tx1"/>
                  </w14:solidFill>
                </w14:textFill>
              </w:rPr>
              <w:t>i</w:t>
            </w:r>
            <w:r>
              <w:rPr>
                <w:bCs/>
                <w:color w:val="000000" w:themeColor="text1"/>
                <w:kern w:val="2"/>
                <w:sz w:val="24"/>
                <w:szCs w:val="24"/>
                <w:vertAlign w:val="subscript"/>
                <w14:textFill>
                  <w14:solidFill>
                    <w14:schemeClr w14:val="tx1"/>
                  </w14:solidFill>
                </w14:textFill>
              </w:rPr>
              <w:t>,c</w:t>
            </w:r>
            <w:r>
              <w:rPr>
                <w:rFonts w:hint="eastAsia"/>
                <w:bCs/>
                <w:color w:val="000000" w:themeColor="text1"/>
                <w:kern w:val="2"/>
                <w:sz w:val="24"/>
                <w:szCs w:val="24"/>
                <w:vertAlign w:val="subscript"/>
                <w14:textFill>
                  <w14:solidFill>
                    <w14:schemeClr w14:val="tx1"/>
                  </w14:solidFill>
                </w14:textFill>
              </w:rPr>
              <w:t>6</w:t>
            </w:r>
            <w:r>
              <w:rPr>
                <w:bCs/>
                <w:color w:val="000000" w:themeColor="text1"/>
                <w:kern w:val="2"/>
                <w:sz w:val="24"/>
                <w:szCs w:val="24"/>
                <w:vertAlign w:val="subscript"/>
                <w14:textFill>
                  <w14:solidFill>
                    <w14:schemeClr w14:val="tx1"/>
                  </w14:solidFill>
                </w14:textFill>
              </w:rPr>
              <w:t>0,d</w:t>
            </w:r>
            <w:r>
              <w:rPr>
                <w:rFonts w:hint="eastAsia"/>
                <w:bCs/>
                <w:color w:val="000000" w:themeColor="text1"/>
                <w:kern w:val="2"/>
                <w:sz w:val="24"/>
                <w:szCs w:val="24"/>
                <w:vertAlign w:val="subscript"/>
                <w14:textFill>
                  <w14:solidFill>
                    <w14:schemeClr w14:val="tx1"/>
                  </w14:solidFill>
                </w14:textFill>
              </w:rPr>
              <w:t>j</w:t>
            </w:r>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归一化处理后的C</w:t>
            </w:r>
            <w:r>
              <w:rPr>
                <w:iCs/>
                <w:color w:val="000000" w:themeColor="text1"/>
                <w:sz w:val="24"/>
                <w:szCs w:val="24"/>
                <w14:textFill>
                  <w14:solidFill>
                    <w14:schemeClr w14:val="tx1"/>
                  </w14:solidFill>
                </w14:textFill>
              </w:rPr>
              <w:t>60</w:t>
            </w:r>
            <w:r>
              <w:rPr>
                <w:rFonts w:hint="eastAsia"/>
                <w:iCs/>
                <w:color w:val="000000" w:themeColor="text1"/>
                <w:sz w:val="24"/>
                <w:szCs w:val="24"/>
                <w14:textFill>
                  <w14:solidFill>
                    <w14:schemeClr w14:val="tx1"/>
                  </w14:solidFill>
                </w14:textFill>
              </w:rPr>
              <w:t>混凝土试样对应荷载值（N）；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u</m:t>
                    </m:r>
                    <m:r>
                      <m:rPr/>
                      <w:rPr>
                        <w:rFonts w:ascii="Cambria Math" w:hAnsi="Cambria Math"/>
                        <w:color w:val="000000" w:themeColor="text1"/>
                        <w:sz w:val="24"/>
                        <w:szCs w:val="24"/>
                        <w14:textFill>
                          <w14:solidFill>
                            <w14:schemeClr w14:val="tx1"/>
                          </w14:solidFill>
                        </w14:textFill>
                      </w:rPr>
                      <m:t>,i,test,c20,dj</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抗震测试得到的C</w:t>
            </w:r>
            <w:r>
              <w:rPr>
                <w:iCs/>
                <w:color w:val="000000" w:themeColor="text1"/>
                <w:sz w:val="24"/>
                <w:szCs w:val="24"/>
                <w14:textFill>
                  <w14:solidFill>
                    <w14:schemeClr w14:val="tx1"/>
                  </w14:solidFill>
                </w14:textFill>
              </w:rPr>
              <w:t>20</w:t>
            </w:r>
            <w:r>
              <w:rPr>
                <w:rFonts w:hint="eastAsia"/>
                <w:iCs/>
                <w:color w:val="000000" w:themeColor="text1"/>
                <w:sz w:val="24"/>
                <w:szCs w:val="24"/>
                <w14:textFill>
                  <w14:solidFill>
                    <w14:schemeClr w14:val="tx1"/>
                  </w14:solidFill>
                </w14:textFill>
              </w:rPr>
              <w:t>混凝土试样荷载测试值（N）；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color w:val="000000" w:themeColor="text1"/>
                <w:sz w:val="24"/>
                <w:szCs w:val="24"/>
                <w14:textFill>
                  <w14:solidFill>
                    <w14:schemeClr w14:val="tx1"/>
                  </w14:solidFill>
                </w14:textFill>
                <w:oMath/>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u</m:t>
                    </m:r>
                    <m:r>
                      <m:rPr/>
                      <w:rPr>
                        <w:rFonts w:ascii="Cambria Math" w:hAnsi="Cambria Math"/>
                        <w:color w:val="000000" w:themeColor="text1"/>
                        <w:sz w:val="24"/>
                        <w:szCs w:val="24"/>
                        <w14:textFill>
                          <w14:solidFill>
                            <w14:schemeClr w14:val="tx1"/>
                          </w14:solidFill>
                        </w14:textFill>
                      </w:rPr>
                      <m:t>,i,test,c60</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抗震测试得到的C</w:t>
            </w:r>
            <w:r>
              <w:rPr>
                <w:iCs/>
                <w:color w:val="000000" w:themeColor="text1"/>
                <w:sz w:val="24"/>
                <w:szCs w:val="24"/>
                <w14:textFill>
                  <w14:solidFill>
                    <w14:schemeClr w14:val="tx1"/>
                  </w14:solidFill>
                </w14:textFill>
              </w:rPr>
              <w:t>60</w:t>
            </w:r>
            <w:r>
              <w:rPr>
                <w:rFonts w:hint="eastAsia"/>
                <w:iCs/>
                <w:color w:val="000000" w:themeColor="text1"/>
                <w:sz w:val="24"/>
                <w:szCs w:val="24"/>
                <w14:textFill>
                  <w14:solidFill>
                    <w14:schemeClr w14:val="tx1"/>
                  </w14:solidFill>
                </w14:textFill>
              </w:rPr>
              <w:t>混凝土试样荷载测试值（N）；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cu,k,test</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该批次混凝土样品实测强度（MPa）；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cu,k,20</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iCs/>
                <w:color w:val="000000" w:themeColor="text1"/>
                <w:sz w:val="24"/>
                <w:szCs w:val="24"/>
                <w14:textFill>
                  <w14:solidFill>
                    <w14:schemeClr w14:val="tx1"/>
                  </w14:solidFill>
                </w14:textFill>
              </w:rPr>
              <w:t>C20</w:t>
            </w:r>
            <w:r>
              <w:rPr>
                <w:rFonts w:hint="eastAsia"/>
                <w:iCs/>
                <w:color w:val="000000" w:themeColor="text1"/>
                <w:sz w:val="24"/>
                <w:szCs w:val="24"/>
                <w14:textFill>
                  <w14:solidFill>
                    <w14:schemeClr w14:val="tx1"/>
                  </w14:solidFill>
                </w14:textFill>
              </w:rPr>
              <w:t>混凝土的抗压强度标准值，取2</w:t>
            </w:r>
            <w:r>
              <w:rPr>
                <w:iCs/>
                <w:color w:val="000000" w:themeColor="text1"/>
                <w:sz w:val="24"/>
                <w:szCs w:val="24"/>
                <w14:textFill>
                  <w14:solidFill>
                    <w14:schemeClr w14:val="tx1"/>
                  </w14:solidFill>
                </w14:textFill>
              </w:rPr>
              <w:t>0N/mm</w:t>
            </w:r>
            <w:r>
              <w:rPr>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color w:val="000000" w:themeColor="text1"/>
                <w:sz w:val="24"/>
                <w:szCs w:val="24"/>
                <w14:textFill>
                  <w14:solidFill>
                    <w14:schemeClr w14:val="tx1"/>
                  </w14:solidFill>
                </w14:textFill>
                <w:oMath/>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cu,k,60</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iCs/>
                <w:color w:val="000000" w:themeColor="text1"/>
                <w:sz w:val="24"/>
                <w:szCs w:val="24"/>
                <w14:textFill>
                  <w14:solidFill>
                    <w14:schemeClr w14:val="tx1"/>
                  </w14:solidFill>
                </w14:textFill>
              </w:rPr>
              <w:t>C60</w:t>
            </w:r>
            <w:r>
              <w:rPr>
                <w:rFonts w:hint="eastAsia"/>
                <w:iCs/>
                <w:color w:val="000000" w:themeColor="text1"/>
                <w:sz w:val="24"/>
                <w:szCs w:val="24"/>
                <w14:textFill>
                  <w14:solidFill>
                    <w14:schemeClr w14:val="tx1"/>
                  </w14:solidFill>
                </w14:textFill>
              </w:rPr>
              <w:t>混凝土的抗压强度标准值,</w:t>
            </w:r>
            <w:r>
              <w:rPr>
                <w:iCs/>
                <w:color w:val="000000" w:themeColor="text1"/>
                <w:sz w:val="24"/>
                <w:szCs w:val="24"/>
                <w14:textFill>
                  <w14:solidFill>
                    <w14:schemeClr w14:val="tx1"/>
                  </w14:solidFill>
                </w14:textFill>
              </w:rPr>
              <w:t xml:space="preserve"> </w:t>
            </w:r>
            <w:r>
              <w:rPr>
                <w:rFonts w:hint="eastAsia"/>
                <w:iCs/>
                <w:color w:val="000000" w:themeColor="text1"/>
                <w:sz w:val="24"/>
                <w:szCs w:val="24"/>
                <w14:textFill>
                  <w14:solidFill>
                    <w14:schemeClr w14:val="tx1"/>
                  </w14:solidFill>
                </w14:textFill>
              </w:rPr>
              <w:t>取6</w:t>
            </w:r>
            <w:r>
              <w:rPr>
                <w:iCs/>
                <w:color w:val="000000" w:themeColor="text1"/>
                <w:sz w:val="24"/>
                <w:szCs w:val="24"/>
                <w14:textFill>
                  <w14:solidFill>
                    <w14:schemeClr w14:val="tx1"/>
                  </w14:solidFill>
                </w14:textFill>
              </w:rPr>
              <w:t>0N/mm</w:t>
            </w:r>
            <w:r>
              <w:rPr>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tcPr>
          <w:p>
            <w:pPr>
              <w:spacing w:after="0" w:line="360" w:lineRule="auto"/>
              <w:rPr>
                <w:iCs/>
                <w:color w:val="000000" w:themeColor="text1"/>
                <w:sz w:val="24"/>
                <w:szCs w:val="24"/>
                <w14:textFill>
                  <w14:solidFill>
                    <w14:schemeClr w14:val="tx1"/>
                  </w14:solidFill>
                </w14:textFill>
              </w:rPr>
            </w:pPr>
          </w:p>
        </w:tc>
        <w:tc>
          <w:tcPr>
            <w:tcW w:w="1506" w:type="dxa"/>
          </w:tcPr>
          <w:p>
            <w:pPr>
              <w:spacing w:after="0" w:line="360" w:lineRule="auto"/>
              <w:jc w:val="right"/>
              <w:rPr>
                <w:rFonts w:ascii="Arial Narrow" w:hAnsi="Arial Narrow" w:cstheme="majorHAnsi"/>
                <w:i/>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i</w:t>
            </w:r>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693"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指定循环数，</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=1</w:t>
            </w:r>
            <w:r>
              <w:rPr>
                <w:rFonts w:hint="eastAsia"/>
                <w:iCs/>
                <w:color w:val="000000" w:themeColor="text1"/>
                <w:sz w:val="24"/>
                <w:szCs w:val="24"/>
                <w14:textFill>
                  <w14:solidFill>
                    <w14:schemeClr w14:val="tx1"/>
                  </w14:solidFill>
                </w14:textFill>
              </w:rPr>
              <w:t>、2、5、1</w:t>
            </w:r>
            <w:r>
              <w:rPr>
                <w:iCs/>
                <w:color w:val="000000" w:themeColor="text1"/>
                <w:sz w:val="24"/>
                <w:szCs w:val="24"/>
                <w14:textFill>
                  <w14:solidFill>
                    <w14:schemeClr w14:val="tx1"/>
                  </w14:solidFill>
                </w14:textFill>
              </w:rPr>
              <w:t>0</w:t>
            </w:r>
            <w:r>
              <w:rPr>
                <w:rFonts w:hint="eastAsia"/>
                <w:iCs/>
                <w:color w:val="000000" w:themeColor="text1"/>
                <w:sz w:val="24"/>
                <w:szCs w:val="24"/>
                <w14:textFill>
                  <w14:solidFill>
                    <w14:schemeClr w14:val="tx1"/>
                  </w14:solidFill>
                </w14:textFill>
              </w:rPr>
              <w:t>、1</w:t>
            </w:r>
            <w:r>
              <w:rPr>
                <w:iCs/>
                <w:color w:val="000000" w:themeColor="text1"/>
                <w:sz w:val="24"/>
                <w:szCs w:val="24"/>
                <w14:textFill>
                  <w14:solidFill>
                    <w14:schemeClr w14:val="tx1"/>
                  </w14:solidFill>
                </w14:textFill>
              </w:rPr>
              <w:t>1</w:t>
            </w:r>
            <w:r>
              <w:rPr>
                <w:rFonts w:hint="eastAsia"/>
                <w:iCs/>
                <w:color w:val="000000" w:themeColor="text1"/>
                <w:sz w:val="24"/>
                <w:szCs w:val="24"/>
                <w14:textFill>
                  <w14:solidFill>
                    <w14:schemeClr w14:val="tx1"/>
                  </w14:solidFill>
                </w14:textFill>
              </w:rPr>
              <w:t>。</w:t>
            </w:r>
          </w:p>
        </w:tc>
      </w:tr>
    </w:tbl>
    <w:p>
      <w:pPr>
        <w:pStyle w:val="5"/>
      </w:pPr>
      <w:bookmarkStart w:id="126" w:name="_Toc12829"/>
      <w:bookmarkStart w:id="127" w:name="_Toc28034"/>
      <w:bookmarkStart w:id="128" w:name="_Toc31809"/>
      <w:r>
        <w:rPr>
          <w:rFonts w:hint="eastAsia"/>
        </w:rPr>
        <w:t>J.3 植筋抗震性能评估</w:t>
      </w:r>
      <w:bookmarkEnd w:id="126"/>
      <w:bookmarkEnd w:id="127"/>
      <w:bookmarkEnd w:id="128"/>
    </w:p>
    <w:p>
      <w:pPr>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J.3.</w:t>
      </w:r>
      <w:r>
        <w:rPr>
          <w:b/>
          <w:bCs/>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植筋抗震性能评估应包含测试结果离散性评估和粘结强度评估两部分。</w:t>
      </w:r>
    </w:p>
    <w:p>
      <w:pPr>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J.3.</w:t>
      </w:r>
      <w:r>
        <w:rPr>
          <w:b/>
          <w:bCs/>
          <w:color w:val="000000" w:themeColor="text1"/>
          <w:sz w:val="24"/>
          <w:szCs w:val="24"/>
          <w14:textFill>
            <w14:solidFill>
              <w14:schemeClr w14:val="tx1"/>
            </w14:solidFill>
          </w14:textFill>
        </w:rPr>
        <w:t xml:space="preserve">2 </w:t>
      </w:r>
      <w:r>
        <w:rPr>
          <w:rFonts w:hint="eastAsia"/>
          <w:color w:val="000000" w:themeColor="text1"/>
          <w:sz w:val="24"/>
          <w:szCs w:val="24"/>
          <w14:textFill>
            <w14:solidFill>
              <w14:schemeClr w14:val="tx1"/>
            </w14:solidFill>
          </w14:textFill>
        </w:rPr>
        <w:t>测试结果离散性评估应按以下流程进行。</w:t>
      </w:r>
      <w:r>
        <w:rPr>
          <w:color w:val="000000" w:themeColor="text1"/>
          <w:sz w:val="24"/>
          <w:szCs w:val="24"/>
          <w14:textFill>
            <w14:solidFill>
              <w14:schemeClr w14:val="tx1"/>
            </w14:solidFill>
          </w14:textFill>
        </w:rPr>
        <w:t xml:space="preserve">   </w:t>
      </w:r>
    </w:p>
    <w:p>
      <w:pPr>
        <w:rPr>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1 对于C20及C60试件，应根据三种钢筋直径对应的</w:t>
      </w:r>
      <w:r>
        <w:rPr>
          <w:rFonts w:hint="eastAsia"/>
          <w:bCs/>
          <w:color w:val="000000" w:themeColor="text1"/>
          <w:sz w:val="24"/>
          <w:szCs w:val="24"/>
          <w14:textFill>
            <w14:solidFill>
              <w14:schemeClr w14:val="tx1"/>
            </w14:solidFill>
          </w14:textFill>
        </w:rPr>
        <w:t>承载力测试值</w:t>
      </w:r>
      <w:r>
        <w:rPr>
          <w:rFonts w:hint="eastAsia"/>
          <w:bCs/>
          <w:i/>
          <w:iCs/>
          <w:color w:val="000000" w:themeColor="text1"/>
          <w:sz w:val="24"/>
          <w:szCs w:val="24"/>
          <w14:textFill>
            <w14:solidFill>
              <w14:schemeClr w14:val="tx1"/>
            </w14:solidFill>
          </w14:textFill>
        </w:rPr>
        <w:t>N</w:t>
      </w:r>
      <w:r>
        <w:rPr>
          <w:bCs/>
          <w:color w:val="000000" w:themeColor="text1"/>
          <w:sz w:val="24"/>
          <w:szCs w:val="24"/>
          <w:vertAlign w:val="subscript"/>
          <w14:textFill>
            <w14:solidFill>
              <w14:schemeClr w14:val="tx1"/>
            </w14:solidFill>
          </w14:textFill>
        </w:rPr>
        <w:t>u,i,test</w:t>
      </w:r>
      <w:r>
        <w:rPr>
          <w:rFonts w:hint="eastAsia"/>
          <w:bCs/>
          <w:color w:val="000000" w:themeColor="text1"/>
          <w:sz w:val="24"/>
          <w:szCs w:val="24"/>
          <w14:textFill>
            <w14:solidFill>
              <w14:schemeClr w14:val="tx1"/>
            </w14:solidFill>
          </w14:textFill>
        </w:rPr>
        <w:t>，分别计算其变异系数，变异系数宜按照表J.3.2-1进行汇总。</w:t>
      </w:r>
    </w:p>
    <w:p>
      <w:pPr>
        <w:jc w:val="center"/>
        <w:rPr>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表J.3.</w:t>
      </w:r>
      <w:r>
        <w:rPr>
          <w:b/>
          <w:bCs w:val="0"/>
          <w:color w:val="000000" w:themeColor="text1"/>
          <w:sz w:val="21"/>
          <w:szCs w:val="21"/>
          <w14:textFill>
            <w14:solidFill>
              <w14:schemeClr w14:val="tx1"/>
            </w14:solidFill>
          </w14:textFill>
        </w:rPr>
        <w:t>2</w:t>
      </w:r>
      <w:r>
        <w:rPr>
          <w:rFonts w:hint="eastAsia"/>
          <w:b/>
          <w:bCs w:val="0"/>
          <w:color w:val="000000" w:themeColor="text1"/>
          <w:sz w:val="21"/>
          <w:szCs w:val="21"/>
          <w14:textFill>
            <w14:solidFill>
              <w14:schemeClr w14:val="tx1"/>
            </w14:solidFill>
          </w14:textFill>
        </w:rPr>
        <w:t>-1</w:t>
      </w:r>
      <w:r>
        <w:rPr>
          <w:b/>
          <w:bCs w:val="0"/>
          <w:color w:val="000000" w:themeColor="text1"/>
          <w:sz w:val="21"/>
          <w:szCs w:val="21"/>
          <w14:textFill>
            <w14:solidFill>
              <w14:schemeClr w14:val="tx1"/>
            </w14:solidFill>
          </w14:textFill>
        </w:rPr>
        <w:t xml:space="preserve"> </w:t>
      </w:r>
      <w:r>
        <w:rPr>
          <w:rFonts w:hint="eastAsia"/>
          <w:b/>
          <w:bCs w:val="0"/>
          <w:color w:val="000000" w:themeColor="text1"/>
          <w:sz w:val="21"/>
          <w:szCs w:val="21"/>
          <w14:textFill>
            <w14:solidFill>
              <w14:schemeClr w14:val="tx1"/>
            </w14:solidFill>
          </w14:textFill>
        </w:rPr>
        <w:t>测试结果变异系数汇总</w:t>
      </w:r>
    </w:p>
    <w:tbl>
      <w:tblPr>
        <w:tblStyle w:val="27"/>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591"/>
        <w:gridCol w:w="1105"/>
        <w:gridCol w:w="1263"/>
        <w:gridCol w:w="1260"/>
        <w:gridCol w:w="1170"/>
        <w:gridCol w:w="1170"/>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546"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混凝土强度</w:t>
            </w: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钢筋直径</w:t>
            </w:r>
            <w:r>
              <w:rPr>
                <w:rFonts w:hint="eastAsia"/>
                <w:i/>
                <w:iCs/>
                <w:color w:val="000000" w:themeColor="text1"/>
                <w:kern w:val="2"/>
                <w:sz w:val="22"/>
                <w:szCs w:val="22"/>
                <w14:textFill>
                  <w14:solidFill>
                    <w14:schemeClr w14:val="tx1"/>
                  </w14:solidFill>
                </w14:textFill>
              </w:rPr>
              <w:t>d</w:t>
            </w:r>
            <w:r>
              <w:rPr>
                <w:color w:val="000000" w:themeColor="text1"/>
                <w:kern w:val="2"/>
                <w:sz w:val="22"/>
                <w:szCs w:val="22"/>
                <w14:textFill>
                  <w14:solidFill>
                    <w14:schemeClr w14:val="tx1"/>
                  </w14:solidFill>
                </w14:textFill>
              </w:rPr>
              <w:t xml:space="preserve"> (mm)</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循环1结束时加载荷载的变异系数</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循环2结束时加载荷载的变异系数</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循环5结束时加载荷载的变异系数</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循环1</w:t>
            </w:r>
            <w:r>
              <w:rPr>
                <w:color w:val="000000" w:themeColor="text1"/>
                <w:kern w:val="2"/>
                <w:sz w:val="22"/>
                <w:szCs w:val="22"/>
                <w14:textFill>
                  <w14:solidFill>
                    <w14:schemeClr w14:val="tx1"/>
                  </w14:solidFill>
                </w14:textFill>
              </w:rPr>
              <w:t>0</w:t>
            </w:r>
            <w:r>
              <w:rPr>
                <w:rFonts w:hint="eastAsia"/>
                <w:color w:val="000000" w:themeColor="text1"/>
                <w:kern w:val="2"/>
                <w:sz w:val="22"/>
                <w:szCs w:val="22"/>
                <w14:textFill>
                  <w14:solidFill>
                    <w14:schemeClr w14:val="tx1"/>
                  </w14:solidFill>
                </w14:textFill>
              </w:rPr>
              <w:t>结束时加载荷载的变异系数</w:t>
            </w:r>
          </w:p>
        </w:tc>
        <w:tc>
          <w:tcPr>
            <w:tcW w:w="1170" w:type="dxa"/>
            <w:shd w:val="clear" w:color="auto" w:fill="auto"/>
            <w:tcMar>
              <w:left w:w="51" w:type="dxa"/>
              <w:right w:w="51" w:type="dxa"/>
            </w:tcMar>
          </w:tcPr>
          <w:p>
            <w:pPr>
              <w:snapToGrid w:val="0"/>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残余承载力测试的荷载变异系数</w:t>
            </w:r>
          </w:p>
        </w:tc>
        <w:tc>
          <w:tcPr>
            <w:tcW w:w="1228" w:type="dxa"/>
            <w:tcMar>
              <w:left w:w="51" w:type="dxa"/>
              <w:right w:w="51" w:type="dxa"/>
            </w:tcMar>
          </w:tcPr>
          <w:p>
            <w:pPr>
              <w:snapToGrid w:val="0"/>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残余承载力测试的位移值变异系数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46" w:type="dxa"/>
            <w:vMerge w:val="restart"/>
            <w:shd w:val="clear" w:color="auto" w:fill="auto"/>
            <w:tcMar>
              <w:left w:w="51" w:type="dxa"/>
              <w:right w:w="51" w:type="dxa"/>
            </w:tcMar>
            <w:vAlign w:val="center"/>
          </w:tcPr>
          <w:p>
            <w:pPr>
              <w:snapToGrid w:val="0"/>
              <w:jc w:val="center"/>
              <w:rPr>
                <w:color w:val="000000" w:themeColor="text1"/>
                <w:kern w:val="2"/>
                <w:sz w:val="22"/>
                <w:szCs w:val="22"/>
                <w14:textFill>
                  <w14:solidFill>
                    <w14:schemeClr w14:val="tx1"/>
                  </w14:solidFill>
                </w14:textFill>
              </w:rPr>
            </w:pPr>
            <w:r>
              <w:rPr>
                <w:color w:val="000000" w:themeColor="text1"/>
                <w:kern w:val="2"/>
                <w:sz w:val="22"/>
                <w:szCs w:val="22"/>
                <w14:textFill>
                  <w14:solidFill>
                    <w14:schemeClr w14:val="tx1"/>
                  </w14:solidFill>
                </w14:textFill>
              </w:rPr>
              <w:t>C20</w:t>
            </w: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color w:val="000000" w:themeColor="text1"/>
                <w:kern w:val="2"/>
                <w:sz w:val="22"/>
                <w:szCs w:val="22"/>
                <w14:textFill>
                  <w14:solidFill>
                    <w14:schemeClr w14:val="tx1"/>
                  </w14:solidFill>
                </w14:textFill>
              </w:rPr>
              <w:t>12</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1,test,c20,d12</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2,test,c20,d12</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5,test,c20,d12</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10 test,c20,d12</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 test,c20,d12</w:t>
            </w:r>
          </w:p>
        </w:tc>
        <w:tc>
          <w:tcPr>
            <w:tcW w:w="1228" w:type="dxa"/>
            <w:shd w:val="clear" w:color="auto" w:fill="auto"/>
            <w:tcMar>
              <w:left w:w="43" w:type="dxa"/>
              <w:right w:w="43" w:type="dxa"/>
            </w:tcMar>
          </w:tcPr>
          <w:p>
            <w:pPr>
              <w:snapToGrid w:val="0"/>
              <w:jc w:val="center"/>
              <w:rPr>
                <w:rFonts w:ascii="Cambria Math" w:hAnsi="Cambria Math"/>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11δ, test,c20,d12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46" w:type="dxa"/>
            <w:vMerge w:val="continue"/>
            <w:shd w:val="clear" w:color="auto" w:fill="auto"/>
            <w:tcMar>
              <w:left w:w="51" w:type="dxa"/>
              <w:right w:w="51" w:type="dxa"/>
            </w:tcMar>
            <w:vAlign w:val="center"/>
          </w:tcPr>
          <w:p>
            <w:pPr>
              <w:snapToGrid w:val="0"/>
              <w:jc w:val="center"/>
              <w:rPr>
                <w:color w:val="000000" w:themeColor="text1"/>
                <w:kern w:val="2"/>
                <w:sz w:val="22"/>
                <w:szCs w:val="22"/>
                <w14:textFill>
                  <w14:solidFill>
                    <w14:schemeClr w14:val="tx1"/>
                  </w14:solidFill>
                </w14:textFill>
              </w:rPr>
            </w:pP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18</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1,test,c20,d</w:t>
            </w:r>
            <w:r>
              <w:rPr>
                <w:rFonts w:hint="eastAsia"/>
                <w:color w:val="000000" w:themeColor="text1"/>
                <w:kern w:val="2"/>
                <w:sz w:val="22"/>
                <w:szCs w:val="22"/>
                <w:vertAlign w:val="subscript"/>
                <w14:textFill>
                  <w14:solidFill>
                    <w14:schemeClr w14:val="tx1"/>
                  </w14:solidFill>
                </w14:textFill>
              </w:rPr>
              <w:t>18</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2,test,c20,d</w:t>
            </w:r>
            <w:r>
              <w:rPr>
                <w:rFonts w:hint="eastAsia"/>
                <w:color w:val="000000" w:themeColor="text1"/>
                <w:kern w:val="2"/>
                <w:sz w:val="22"/>
                <w:szCs w:val="22"/>
                <w:vertAlign w:val="subscript"/>
                <w14:textFill>
                  <w14:solidFill>
                    <w14:schemeClr w14:val="tx1"/>
                  </w14:solidFill>
                </w14:textFill>
              </w:rPr>
              <w:t>18</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5,test,c20,d</w:t>
            </w:r>
            <w:r>
              <w:rPr>
                <w:rFonts w:hint="eastAsia"/>
                <w:color w:val="000000" w:themeColor="text1"/>
                <w:kern w:val="2"/>
                <w:sz w:val="22"/>
                <w:szCs w:val="22"/>
                <w:vertAlign w:val="subscript"/>
                <w14:textFill>
                  <w14:solidFill>
                    <w14:schemeClr w14:val="tx1"/>
                  </w14:solidFill>
                </w14:textFill>
              </w:rPr>
              <w:t>18</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10,test,c20,d</w:t>
            </w:r>
            <w:r>
              <w:rPr>
                <w:rFonts w:hint="eastAsia"/>
                <w:color w:val="000000" w:themeColor="text1"/>
                <w:kern w:val="2"/>
                <w:sz w:val="22"/>
                <w:szCs w:val="22"/>
                <w:vertAlign w:val="subscript"/>
                <w14:textFill>
                  <w14:solidFill>
                    <w14:schemeClr w14:val="tx1"/>
                  </w14:solidFill>
                </w14:textFill>
              </w:rPr>
              <w:t>18</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11,test,c20,d</w:t>
            </w:r>
            <w:r>
              <w:rPr>
                <w:rFonts w:hint="eastAsia"/>
                <w:color w:val="000000" w:themeColor="text1"/>
                <w:kern w:val="2"/>
                <w:sz w:val="22"/>
                <w:szCs w:val="22"/>
                <w:vertAlign w:val="subscript"/>
                <w14:textFill>
                  <w14:solidFill>
                    <w14:schemeClr w14:val="tx1"/>
                  </w14:solidFill>
                </w14:textFill>
              </w:rPr>
              <w:t>18</w:t>
            </w:r>
          </w:p>
        </w:tc>
        <w:tc>
          <w:tcPr>
            <w:tcW w:w="1228" w:type="dxa"/>
            <w:shd w:val="clear" w:color="auto" w:fill="auto"/>
            <w:tcMar>
              <w:left w:w="43" w:type="dxa"/>
              <w:right w:w="43" w:type="dxa"/>
            </w:tcMar>
          </w:tcPr>
          <w:p>
            <w:pPr>
              <w:snapToGrid w:val="0"/>
              <w:jc w:val="center"/>
              <w:rPr>
                <w:rFonts w:ascii="Cambria Math" w:hAnsi="Cambria Math"/>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11δ,test,c20,d</w:t>
            </w:r>
            <w:r>
              <w:rPr>
                <w:rFonts w:hint="eastAsia"/>
                <w:color w:val="000000" w:themeColor="text1"/>
                <w:kern w:val="2"/>
                <w:sz w:val="22"/>
                <w:szCs w:val="22"/>
                <w:vertAlign w:val="subscript"/>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46" w:type="dxa"/>
            <w:vMerge w:val="continue"/>
            <w:shd w:val="clear" w:color="auto" w:fill="auto"/>
            <w:tcMar>
              <w:left w:w="51" w:type="dxa"/>
              <w:right w:w="51" w:type="dxa"/>
            </w:tcMar>
            <w:vAlign w:val="center"/>
          </w:tcPr>
          <w:p>
            <w:pPr>
              <w:snapToGrid w:val="0"/>
              <w:jc w:val="center"/>
              <w:rPr>
                <w:color w:val="000000" w:themeColor="text1"/>
                <w:kern w:val="2"/>
                <w:sz w:val="22"/>
                <w:szCs w:val="22"/>
                <w14:textFill>
                  <w14:solidFill>
                    <w14:schemeClr w14:val="tx1"/>
                  </w14:solidFill>
                </w14:textFill>
              </w:rPr>
            </w:pP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25</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1,test,c20,</w:t>
            </w:r>
            <w:r>
              <w:rPr>
                <w:rFonts w:hint="eastAsia"/>
                <w:color w:val="000000" w:themeColor="text1"/>
                <w:kern w:val="2"/>
                <w:sz w:val="22"/>
                <w:szCs w:val="22"/>
                <w:vertAlign w:val="subscript"/>
                <w14:textFill>
                  <w14:solidFill>
                    <w14:schemeClr w14:val="tx1"/>
                  </w14:solidFill>
                </w14:textFill>
              </w:rPr>
              <w:t>d25</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2, test,c20,</w:t>
            </w:r>
            <w:r>
              <w:rPr>
                <w:rFonts w:hint="eastAsia"/>
                <w:color w:val="000000" w:themeColor="text1"/>
                <w:kern w:val="2"/>
                <w:sz w:val="22"/>
                <w:szCs w:val="22"/>
                <w:vertAlign w:val="subscript"/>
                <w14:textFill>
                  <w14:solidFill>
                    <w14:schemeClr w14:val="tx1"/>
                  </w14:solidFill>
                </w14:textFill>
              </w:rPr>
              <w:t>d25</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5,test,c20,</w:t>
            </w:r>
            <w:r>
              <w:rPr>
                <w:rFonts w:hint="eastAsia"/>
                <w:color w:val="000000" w:themeColor="text1"/>
                <w:kern w:val="2"/>
                <w:sz w:val="22"/>
                <w:szCs w:val="22"/>
                <w:vertAlign w:val="subscript"/>
                <w14:textFill>
                  <w14:solidFill>
                    <w14:schemeClr w14:val="tx1"/>
                  </w14:solidFill>
                </w14:textFill>
              </w:rPr>
              <w:t>d25</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10, test,c20,</w:t>
            </w:r>
            <w:r>
              <w:rPr>
                <w:rFonts w:hint="eastAsia"/>
                <w:color w:val="000000" w:themeColor="text1"/>
                <w:kern w:val="2"/>
                <w:sz w:val="22"/>
                <w:szCs w:val="22"/>
                <w:vertAlign w:val="subscript"/>
                <w14:textFill>
                  <w14:solidFill>
                    <w14:schemeClr w14:val="tx1"/>
                  </w14:solidFill>
                </w14:textFill>
              </w:rPr>
              <w:t>d25</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11,test,c20,</w:t>
            </w:r>
            <w:r>
              <w:rPr>
                <w:rFonts w:hint="eastAsia"/>
                <w:color w:val="000000" w:themeColor="text1"/>
                <w:kern w:val="2"/>
                <w:sz w:val="22"/>
                <w:szCs w:val="22"/>
                <w:vertAlign w:val="subscript"/>
                <w14:textFill>
                  <w14:solidFill>
                    <w14:schemeClr w14:val="tx1"/>
                  </w14:solidFill>
                </w14:textFill>
              </w:rPr>
              <w:t>d25</w:t>
            </w:r>
          </w:p>
        </w:tc>
        <w:tc>
          <w:tcPr>
            <w:tcW w:w="1228" w:type="dxa"/>
            <w:shd w:val="clear" w:color="auto" w:fill="auto"/>
            <w:tcMar>
              <w:left w:w="43" w:type="dxa"/>
              <w:right w:w="43" w:type="dxa"/>
            </w:tcMar>
          </w:tcPr>
          <w:p>
            <w:pPr>
              <w:snapToGrid w:val="0"/>
              <w:jc w:val="center"/>
              <w:rPr>
                <w:rFonts w:ascii="Cambria Math" w:hAnsi="Cambria Math"/>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11δ,test,c20,</w:t>
            </w:r>
            <w:r>
              <w:rPr>
                <w:rFonts w:hint="eastAsia"/>
                <w:color w:val="000000" w:themeColor="text1"/>
                <w:kern w:val="2"/>
                <w:sz w:val="22"/>
                <w:szCs w:val="22"/>
                <w:vertAlign w:val="subscript"/>
                <w14:textFill>
                  <w14:solidFill>
                    <w14:schemeClr w14:val="tx1"/>
                  </w14:solidFill>
                </w14:textFill>
              </w:rPr>
              <w:t>d25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46" w:type="dxa"/>
            <w:vMerge w:val="restart"/>
            <w:shd w:val="clear" w:color="auto" w:fill="auto"/>
            <w:tcMar>
              <w:left w:w="51" w:type="dxa"/>
              <w:right w:w="51" w:type="dxa"/>
            </w:tcMar>
            <w:vAlign w:val="center"/>
          </w:tcPr>
          <w:p>
            <w:pPr>
              <w:snapToGrid w:val="0"/>
              <w:jc w:val="center"/>
              <w:rPr>
                <w:color w:val="000000" w:themeColor="text1"/>
                <w:kern w:val="2"/>
                <w:sz w:val="22"/>
                <w:szCs w:val="22"/>
                <w14:textFill>
                  <w14:solidFill>
                    <w14:schemeClr w14:val="tx1"/>
                  </w14:solidFill>
                </w14:textFill>
              </w:rPr>
            </w:pPr>
            <w:r>
              <w:rPr>
                <w:color w:val="000000" w:themeColor="text1"/>
                <w:kern w:val="2"/>
                <w:sz w:val="22"/>
                <w:szCs w:val="22"/>
                <w14:textFill>
                  <w14:solidFill>
                    <w14:schemeClr w14:val="tx1"/>
                  </w14:solidFill>
                </w14:textFill>
              </w:rPr>
              <w:t>C</w:t>
            </w:r>
            <w:r>
              <w:rPr>
                <w:rFonts w:hint="eastAsia"/>
                <w:color w:val="000000" w:themeColor="text1"/>
                <w:kern w:val="2"/>
                <w:sz w:val="22"/>
                <w:szCs w:val="22"/>
                <w14:textFill>
                  <w14:solidFill>
                    <w14:schemeClr w14:val="tx1"/>
                  </w14:solidFill>
                </w14:textFill>
              </w:rPr>
              <w:t>6</w:t>
            </w:r>
            <w:r>
              <w:rPr>
                <w:color w:val="000000" w:themeColor="text1"/>
                <w:kern w:val="2"/>
                <w:sz w:val="22"/>
                <w:szCs w:val="22"/>
                <w14:textFill>
                  <w14:solidFill>
                    <w14:schemeClr w14:val="tx1"/>
                  </w14:solidFill>
                </w14:textFill>
              </w:rPr>
              <w:t>0</w:t>
            </w: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color w:val="000000" w:themeColor="text1"/>
                <w:kern w:val="2"/>
                <w:sz w:val="22"/>
                <w:szCs w:val="22"/>
                <w14:textFill>
                  <w14:solidFill>
                    <w14:schemeClr w14:val="tx1"/>
                  </w14:solidFill>
                </w14:textFill>
              </w:rPr>
              <w:t>12</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1,test,c60,d12</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2,test,c60,d12</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5,test,c60,d12</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10 test,c60,d12</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 test,c60,d12</w:t>
            </w:r>
          </w:p>
        </w:tc>
        <w:tc>
          <w:tcPr>
            <w:tcW w:w="1228" w:type="dxa"/>
            <w:shd w:val="clear" w:color="auto" w:fill="auto"/>
            <w:tcMar>
              <w:left w:w="43" w:type="dxa"/>
              <w:right w:w="43" w:type="dxa"/>
            </w:tcMar>
          </w:tcPr>
          <w:p>
            <w:pPr>
              <w:snapToGrid w:val="0"/>
              <w:jc w:val="center"/>
              <w:rPr>
                <w:rFonts w:ascii="Cambria Math" w:hAnsi="Cambria Math"/>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11δ, test,c60,d12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46" w:type="dxa"/>
            <w:vMerge w:val="continue"/>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18</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1,test,c60,d</w:t>
            </w:r>
            <w:r>
              <w:rPr>
                <w:rFonts w:hint="eastAsia"/>
                <w:color w:val="000000" w:themeColor="text1"/>
                <w:kern w:val="2"/>
                <w:sz w:val="22"/>
                <w:szCs w:val="22"/>
                <w:vertAlign w:val="subscript"/>
                <w14:textFill>
                  <w14:solidFill>
                    <w14:schemeClr w14:val="tx1"/>
                  </w14:solidFill>
                </w14:textFill>
              </w:rPr>
              <w:t>18</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2,test,c60,d</w:t>
            </w:r>
            <w:r>
              <w:rPr>
                <w:rFonts w:hint="eastAsia"/>
                <w:color w:val="000000" w:themeColor="text1"/>
                <w:kern w:val="2"/>
                <w:sz w:val="22"/>
                <w:szCs w:val="22"/>
                <w:vertAlign w:val="subscript"/>
                <w14:textFill>
                  <w14:solidFill>
                    <w14:schemeClr w14:val="tx1"/>
                  </w14:solidFill>
                </w14:textFill>
              </w:rPr>
              <w:t>18</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5,test,c60,d</w:t>
            </w:r>
            <w:r>
              <w:rPr>
                <w:rFonts w:hint="eastAsia"/>
                <w:color w:val="000000" w:themeColor="text1"/>
                <w:kern w:val="2"/>
                <w:sz w:val="22"/>
                <w:szCs w:val="22"/>
                <w:vertAlign w:val="subscript"/>
                <w14:textFill>
                  <w14:solidFill>
                    <w14:schemeClr w14:val="tx1"/>
                  </w14:solidFill>
                </w14:textFill>
              </w:rPr>
              <w:t>18</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10,test,c60,d</w:t>
            </w:r>
            <w:r>
              <w:rPr>
                <w:rFonts w:hint="eastAsia"/>
                <w:color w:val="000000" w:themeColor="text1"/>
                <w:kern w:val="2"/>
                <w:sz w:val="22"/>
                <w:szCs w:val="22"/>
                <w:vertAlign w:val="subscript"/>
                <w14:textFill>
                  <w14:solidFill>
                    <w14:schemeClr w14:val="tx1"/>
                  </w14:solidFill>
                </w14:textFill>
              </w:rPr>
              <w:t>18</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11,test,c60,d</w:t>
            </w:r>
            <w:r>
              <w:rPr>
                <w:rFonts w:hint="eastAsia"/>
                <w:color w:val="000000" w:themeColor="text1"/>
                <w:kern w:val="2"/>
                <w:sz w:val="22"/>
                <w:szCs w:val="22"/>
                <w:vertAlign w:val="subscript"/>
                <w14:textFill>
                  <w14:solidFill>
                    <w14:schemeClr w14:val="tx1"/>
                  </w14:solidFill>
                </w14:textFill>
              </w:rPr>
              <w:t>18</w:t>
            </w:r>
          </w:p>
        </w:tc>
        <w:tc>
          <w:tcPr>
            <w:tcW w:w="1228" w:type="dxa"/>
            <w:shd w:val="clear" w:color="auto" w:fill="auto"/>
            <w:tcMar>
              <w:left w:w="51" w:type="dxa"/>
              <w:right w:w="51" w:type="dxa"/>
            </w:tcMar>
          </w:tcPr>
          <w:p>
            <w:pPr>
              <w:snapToGrid w:val="0"/>
              <w:jc w:val="center"/>
              <w:rPr>
                <w:rFonts w:ascii="Cambria Math" w:hAnsi="Cambria Math"/>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11δ,test,c60,d</w:t>
            </w:r>
            <w:r>
              <w:rPr>
                <w:rFonts w:hint="eastAsia"/>
                <w:color w:val="000000" w:themeColor="text1"/>
                <w:kern w:val="2"/>
                <w:sz w:val="22"/>
                <w:szCs w:val="22"/>
                <w:vertAlign w:val="subscript"/>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46" w:type="dxa"/>
            <w:vMerge w:val="continue"/>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p>
        </w:tc>
        <w:tc>
          <w:tcPr>
            <w:tcW w:w="591"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hint="eastAsia"/>
                <w:color w:val="000000" w:themeColor="text1"/>
                <w:kern w:val="2"/>
                <w:sz w:val="22"/>
                <w:szCs w:val="22"/>
                <w14:textFill>
                  <w14:solidFill>
                    <w14:schemeClr w14:val="tx1"/>
                  </w14:solidFill>
                </w14:textFill>
              </w:rPr>
              <w:t>25</w:t>
            </w:r>
          </w:p>
        </w:tc>
        <w:tc>
          <w:tcPr>
            <w:tcW w:w="1105"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1,test,c60,</w:t>
            </w:r>
            <w:r>
              <w:rPr>
                <w:rFonts w:hint="eastAsia"/>
                <w:color w:val="000000" w:themeColor="text1"/>
                <w:kern w:val="2"/>
                <w:sz w:val="22"/>
                <w:szCs w:val="22"/>
                <w:vertAlign w:val="subscript"/>
                <w14:textFill>
                  <w14:solidFill>
                    <w14:schemeClr w14:val="tx1"/>
                  </w14:solidFill>
                </w14:textFill>
              </w:rPr>
              <w:t>d25</w:t>
            </w:r>
          </w:p>
        </w:tc>
        <w:tc>
          <w:tcPr>
            <w:tcW w:w="1263"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2, test,c60,</w:t>
            </w:r>
            <w:r>
              <w:rPr>
                <w:rFonts w:hint="eastAsia"/>
                <w:color w:val="000000" w:themeColor="text1"/>
                <w:kern w:val="2"/>
                <w:sz w:val="22"/>
                <w:szCs w:val="22"/>
                <w:vertAlign w:val="subscript"/>
                <w14:textFill>
                  <w14:solidFill>
                    <w14:schemeClr w14:val="tx1"/>
                  </w14:solidFill>
                </w14:textFill>
              </w:rPr>
              <w:t>d25</w:t>
            </w:r>
          </w:p>
        </w:tc>
        <w:tc>
          <w:tcPr>
            <w:tcW w:w="126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5,test,c60,</w:t>
            </w:r>
            <w:r>
              <w:rPr>
                <w:rFonts w:hint="eastAsia"/>
                <w:color w:val="000000" w:themeColor="text1"/>
                <w:kern w:val="2"/>
                <w:sz w:val="22"/>
                <w:szCs w:val="22"/>
                <w:vertAlign w:val="subscript"/>
                <w14:textFill>
                  <w14:solidFill>
                    <w14:schemeClr w14:val="tx1"/>
                  </w14:solidFill>
                </w14:textFill>
              </w:rPr>
              <w:t>d25</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10, test,c60,</w:t>
            </w:r>
            <w:r>
              <w:rPr>
                <w:rFonts w:hint="eastAsia"/>
                <w:color w:val="000000" w:themeColor="text1"/>
                <w:kern w:val="2"/>
                <w:sz w:val="22"/>
                <w:szCs w:val="22"/>
                <w:vertAlign w:val="subscript"/>
                <w14:textFill>
                  <w14:solidFill>
                    <w14:schemeClr w14:val="tx1"/>
                  </w14:solidFill>
                </w14:textFill>
              </w:rPr>
              <w:t>d25</w:t>
            </w:r>
          </w:p>
        </w:tc>
        <w:tc>
          <w:tcPr>
            <w:tcW w:w="1170" w:type="dxa"/>
            <w:shd w:val="clear" w:color="auto" w:fill="auto"/>
            <w:tcMar>
              <w:left w:w="51" w:type="dxa"/>
              <w:right w:w="51" w:type="dxa"/>
            </w:tcMar>
          </w:tcPr>
          <w:p>
            <w:pPr>
              <w:snapToGrid w:val="0"/>
              <w:jc w:val="center"/>
              <w:rPr>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11,test,c60,</w:t>
            </w:r>
            <w:r>
              <w:rPr>
                <w:rFonts w:hint="eastAsia"/>
                <w:color w:val="000000" w:themeColor="text1"/>
                <w:kern w:val="2"/>
                <w:sz w:val="22"/>
                <w:szCs w:val="22"/>
                <w:vertAlign w:val="subscript"/>
                <w14:textFill>
                  <w14:solidFill>
                    <w14:schemeClr w14:val="tx1"/>
                  </w14:solidFill>
                </w14:textFill>
              </w:rPr>
              <w:t>d25</w:t>
            </w:r>
          </w:p>
        </w:tc>
        <w:tc>
          <w:tcPr>
            <w:tcW w:w="1228" w:type="dxa"/>
            <w:shd w:val="clear" w:color="auto" w:fill="auto"/>
            <w:tcMar>
              <w:left w:w="51" w:type="dxa"/>
              <w:right w:w="51" w:type="dxa"/>
            </w:tcMar>
          </w:tcPr>
          <w:p>
            <w:pPr>
              <w:snapToGrid w:val="0"/>
              <w:jc w:val="center"/>
              <w:rPr>
                <w:rFonts w:ascii="Cambria Math" w:hAnsi="Cambria Math"/>
                <w:color w:val="000000" w:themeColor="text1"/>
                <w:kern w:val="2"/>
                <w:sz w:val="22"/>
                <w:szCs w:val="22"/>
                <w14:textFill>
                  <w14:solidFill>
                    <w14:schemeClr w14:val="tx1"/>
                  </w14:solidFill>
                </w14:textFill>
              </w:rPr>
            </w:pPr>
            <w:r>
              <w:rPr>
                <w:rFonts w:ascii="Cambria Math" w:hAnsi="Cambria Math"/>
                <w:color w:val="000000" w:themeColor="text1"/>
                <w:kern w:val="2"/>
                <w:sz w:val="22"/>
                <w:szCs w:val="22"/>
                <w14:textFill>
                  <w14:solidFill>
                    <w14:schemeClr w14:val="tx1"/>
                  </w14:solidFill>
                </w14:textFill>
              </w:rPr>
              <w:t>ѵ</w:t>
            </w:r>
            <w:r>
              <w:rPr>
                <w:color w:val="000000" w:themeColor="text1"/>
                <w:kern w:val="2"/>
                <w:sz w:val="22"/>
                <w:szCs w:val="22"/>
                <w:vertAlign w:val="subscript"/>
                <w14:textFill>
                  <w14:solidFill>
                    <w14:schemeClr w14:val="tx1"/>
                  </w14:solidFill>
                </w14:textFill>
              </w:rPr>
              <w:t>11δ,test,c60,</w:t>
            </w:r>
            <w:r>
              <w:rPr>
                <w:rFonts w:hint="eastAsia"/>
                <w:color w:val="000000" w:themeColor="text1"/>
                <w:kern w:val="2"/>
                <w:sz w:val="22"/>
                <w:szCs w:val="22"/>
                <w:vertAlign w:val="subscript"/>
                <w14:textFill>
                  <w14:solidFill>
                    <w14:schemeClr w14:val="tx1"/>
                  </w14:solidFill>
                </w14:textFill>
              </w:rPr>
              <w:t>d25</w:t>
            </w:r>
          </w:p>
        </w:tc>
      </w:tr>
    </w:tbl>
    <w:p>
      <w:pPr>
        <w:spacing w:after="0" w:line="360" w:lineRule="auto"/>
        <w:rPr>
          <w:rFonts w:hint="eastAsia"/>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注：基于每种钢筋直径在对应测试条件下的5个测试数据，按正态分布来计算其变异系数。</w:t>
      </w:r>
    </w:p>
    <w:p>
      <w:pPr>
        <w:spacing w:after="0"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根据各个循环后对应的变异系数，相应折减系数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is,c20,dj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及</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is,c60,dj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的取值应符合下列规定</w:t>
      </w:r>
      <w:r>
        <w:rPr>
          <w:rFonts w:hint="eastAsia"/>
          <w:color w:val="000000" w:themeColor="text1"/>
          <w:sz w:val="24"/>
          <w:szCs w:val="24"/>
          <w14:textFill>
            <w14:solidFill>
              <w14:schemeClr w14:val="tx1"/>
            </w14:solidFill>
          </w14:textFill>
        </w:rPr>
        <w:t>。</w:t>
      </w:r>
    </w:p>
    <w:p>
      <w:pPr>
        <w:spacing w:after="0" w:line="360" w:lineRule="auto"/>
        <w:ind w:firstLine="729" w:firstLineChars="30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某规格钢筋的残余承载力测试的位移值变异系数</w:t>
      </w:r>
      <w:r>
        <w:rPr>
          <w:rFonts w:hint="eastAsia"/>
          <w:color w:val="000000" w:themeColor="text1"/>
          <w:sz w:val="24"/>
          <w:szCs w:val="24"/>
          <w:lang w:val="en-US" w:eastAsia="zh-CN"/>
          <w14:textFill>
            <w14:solidFill>
              <w14:schemeClr w14:val="tx1"/>
            </w14:solidFill>
          </w14:textFill>
        </w:rPr>
        <w:t>大于</w:t>
      </w:r>
      <w:r>
        <w:rPr>
          <w:color w:val="000000" w:themeColor="text1"/>
          <w:sz w:val="24"/>
          <w:szCs w:val="24"/>
          <w14:textFill>
            <w14:solidFill>
              <w14:schemeClr w14:val="tx1"/>
            </w14:solidFill>
          </w14:textFill>
        </w:rPr>
        <w:t>40%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，则应增加该钢筋直径的测试数量，直到求得的变异系数</w:t>
      </w:r>
      <w:r>
        <w:rPr>
          <w:rFonts w:hint="eastAsia"/>
          <w:color w:val="000000" w:themeColor="text1"/>
          <w:sz w:val="24"/>
          <w:szCs w:val="24"/>
          <w:lang w:val="en-US" w:eastAsia="zh-CN"/>
          <w14:textFill>
            <w14:solidFill>
              <w14:schemeClr w14:val="tx1"/>
            </w14:solidFill>
          </w14:textFill>
        </w:rPr>
        <w:t>不大于</w:t>
      </w:r>
      <w:r>
        <w:rPr>
          <w:color w:val="000000" w:themeColor="text1"/>
          <w:sz w:val="24"/>
          <w:szCs w:val="24"/>
          <w14:textFill>
            <w14:solidFill>
              <w14:schemeClr w14:val="tx1"/>
            </w14:solidFill>
          </w14:textFill>
        </w:rPr>
        <w:t>40%</w:t>
      </w:r>
      <w:r>
        <w:rPr>
          <w:rFonts w:hint="eastAsia"/>
          <w:color w:val="000000" w:themeColor="text1"/>
          <w:sz w:val="24"/>
          <w:szCs w:val="24"/>
          <w14:textFill>
            <w14:solidFill>
              <w14:schemeClr w14:val="tx1"/>
            </w14:solidFill>
          </w14:textFill>
        </w:rPr>
        <w:t>；</w:t>
      </w:r>
    </w:p>
    <w:p>
      <w:pPr>
        <w:spacing w:after="0" w:line="360" w:lineRule="auto"/>
        <w:ind w:firstLine="729" w:firstLineChars="30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某规格钢筋的荷载变异系数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30%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，则应增加该钢筋直径的测试数量，直到求得的变异系数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30%；</w:t>
      </w:r>
    </w:p>
    <w:p>
      <w:pPr>
        <w:spacing w:after="0" w:line="360" w:lineRule="auto"/>
        <w:ind w:firstLine="729" w:firstLineChars="30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荷载变异系数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，则对应折减系数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i</m:t>
            </m:r>
            <m:r>
              <m:rPr/>
              <w:rPr>
                <w:rFonts w:ascii="Cambria Math" w:hAnsi="Cambria Math"/>
                <w:color w:val="000000" w:themeColor="text1"/>
                <w:sz w:val="24"/>
                <w:szCs w:val="24"/>
                <w14:textFill>
                  <w14:solidFill>
                    <w14:schemeClr w14:val="tx1"/>
                  </w14:solidFill>
                </w14:textFill>
              </w:rPr>
              <m:t>,cv,seis,c20,dj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或</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is,c60,dj</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取为1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t>
      </w:r>
    </w:p>
    <w:p>
      <w:pPr>
        <w:spacing w:after="0" w:line="360" w:lineRule="auto"/>
        <w:ind w:firstLine="729" w:firstLineChars="30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荷载变异系数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且不大于</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 则对应的折减系数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is,c20,dj</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及</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is,c60,dj</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应按下式计算。</w:t>
      </w:r>
    </w:p>
    <w:p>
      <w:pPr>
        <w:spacing w:after="0" w:line="360" w:lineRule="auto"/>
        <w:ind w:firstLine="729" w:firstLineChars="304"/>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i,cv,seis,c20,dj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r>
                  <m:rPr/>
                  <w:rPr>
                    <w:rFonts w:ascii="Cambria Math" w:hAnsi="Cambria Math"/>
                    <w:color w:val="000000" w:themeColor="text1"/>
                    <w:sz w:val="24"/>
                    <w:szCs w:val="24"/>
                    <w14:textFill>
                      <w14:solidFill>
                        <w14:schemeClr w14:val="tx1"/>
                      </w14:solidFill>
                    </w14:textFill>
                  </w:rPr>
                  <m:t>cv−20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J.3.</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i,cv,seis,c60,dj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r>
                  <m:rPr/>
                  <w:rPr>
                    <w:rFonts w:ascii="Cambria Math" w:hAnsi="Cambria Math"/>
                    <w:color w:val="000000" w:themeColor="text1"/>
                    <w:sz w:val="24"/>
                    <w:szCs w:val="24"/>
                    <w14:textFill>
                      <w14:solidFill>
                        <w14:schemeClr w14:val="tx1"/>
                      </w14:solidFill>
                    </w14:textFill>
                  </w:rPr>
                  <m:t>cv−20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J.3.2-2</w:t>
      </w:r>
      <w:r>
        <w:rPr>
          <w:color w:val="000000" w:themeColor="text1"/>
          <w:sz w:val="24"/>
          <w:szCs w:val="24"/>
          <w14:textFill>
            <w14:solidFill>
              <w14:schemeClr w14:val="tx1"/>
            </w14:solidFill>
          </w14:textFill>
        </w:rPr>
        <w:t>)</w:t>
      </w:r>
    </w:p>
    <w:tbl>
      <w:tblPr>
        <w:tblStyle w:val="28"/>
        <w:tblW w:w="8359"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3"/>
        <w:gridCol w:w="1544"/>
        <w:gridCol w:w="594"/>
        <w:gridCol w:w="55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93"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式中:</w:t>
            </w:r>
          </w:p>
        </w:tc>
        <w:tc>
          <w:tcPr>
            <w:tcW w:w="1544" w:type="dxa"/>
          </w:tcPr>
          <w:p>
            <w:pPr>
              <w:spacing w:after="0" w:line="360" w:lineRule="auto"/>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is,c20,dj</m:t>
                    </m:r>
                    <m:ctrlPr>
                      <w:rPr>
                        <w:rFonts w:ascii="Cambria Math" w:hAnsi="Cambria Math"/>
                        <w:i/>
                        <w:color w:val="000000" w:themeColor="text1"/>
                        <w:sz w:val="24"/>
                        <w:szCs w:val="24"/>
                        <w14:textFill>
                          <w14:solidFill>
                            <w14:schemeClr w14:val="tx1"/>
                          </w14:solidFill>
                        </w14:textFill>
                      </w:rPr>
                    </m:ctrlPr>
                  </m:sub>
                </m:sSub>
              </m:oMath>
            </m:oMathPara>
          </w:p>
        </w:tc>
        <w:tc>
          <w:tcPr>
            <w:tcW w:w="594"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528"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C20混凝土强度下三种钢筋直径在指定循环后加载荷载值的变异系数对应的折减系数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93" w:type="dxa"/>
          </w:tcPr>
          <w:p>
            <w:pPr>
              <w:spacing w:after="0" w:line="360" w:lineRule="auto"/>
              <w:rPr>
                <w:iCs/>
                <w:color w:val="000000" w:themeColor="text1"/>
                <w:sz w:val="24"/>
                <w:szCs w:val="24"/>
                <w14:textFill>
                  <w14:solidFill>
                    <w14:schemeClr w14:val="tx1"/>
                  </w14:solidFill>
                </w14:textFill>
              </w:rPr>
            </w:pPr>
          </w:p>
        </w:tc>
        <w:tc>
          <w:tcPr>
            <w:tcW w:w="1544" w:type="dxa"/>
          </w:tcPr>
          <w:p>
            <w:pPr>
              <w:spacing w:after="0" w:line="360" w:lineRule="auto"/>
              <w:rPr>
                <w:color w:val="000000" w:themeColor="text1"/>
                <w:sz w:val="24"/>
                <w:szCs w:val="24"/>
                <w14:textFill>
                  <w14:solidFill>
                    <w14:schemeClr w14:val="tx1"/>
                  </w14:solidFill>
                </w14:textFill>
                <w:oMath/>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is,c60,dj</m:t>
                    </m:r>
                    <m:ctrlPr>
                      <w:rPr>
                        <w:rFonts w:ascii="Cambria Math" w:hAnsi="Cambria Math"/>
                        <w:i/>
                        <w:color w:val="000000" w:themeColor="text1"/>
                        <w:sz w:val="24"/>
                        <w:szCs w:val="24"/>
                        <w14:textFill>
                          <w14:solidFill>
                            <w14:schemeClr w14:val="tx1"/>
                          </w14:solidFill>
                        </w14:textFill>
                      </w:rPr>
                    </m:ctrlPr>
                  </m:sub>
                </m:sSub>
              </m:oMath>
            </m:oMathPara>
          </w:p>
        </w:tc>
        <w:tc>
          <w:tcPr>
            <w:tcW w:w="594"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528"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C</w:t>
            </w:r>
            <w:r>
              <w:rPr>
                <w:iCs/>
                <w:color w:val="000000" w:themeColor="text1"/>
                <w:sz w:val="24"/>
                <w:szCs w:val="24"/>
                <w14:textFill>
                  <w14:solidFill>
                    <w14:schemeClr w14:val="tx1"/>
                  </w14:solidFill>
                </w14:textFill>
              </w:rPr>
              <w:t>6</w:t>
            </w:r>
            <w:r>
              <w:rPr>
                <w:rFonts w:hint="eastAsia"/>
                <w:iCs/>
                <w:color w:val="000000" w:themeColor="text1"/>
                <w:sz w:val="24"/>
                <w:szCs w:val="24"/>
                <w14:textFill>
                  <w14:solidFill>
                    <w14:schemeClr w14:val="tx1"/>
                  </w14:solidFill>
                </w14:textFill>
              </w:rPr>
              <w:t>0混凝土强度下三种钢筋直径在指定循环后加载荷载值的变异系数对应的折减系数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93" w:type="dxa"/>
          </w:tcPr>
          <w:p>
            <w:pPr>
              <w:spacing w:after="0" w:line="360" w:lineRule="auto"/>
              <w:rPr>
                <w:iCs/>
                <w:color w:val="000000" w:themeColor="text1"/>
                <w:sz w:val="24"/>
                <w:szCs w:val="24"/>
                <w14:textFill>
                  <w14:solidFill>
                    <w14:schemeClr w14:val="tx1"/>
                  </w14:solidFill>
                </w14:textFill>
              </w:rPr>
            </w:pPr>
          </w:p>
        </w:tc>
        <w:tc>
          <w:tcPr>
            <w:tcW w:w="1544" w:type="dxa"/>
          </w:tcPr>
          <w:p>
            <w:pPr>
              <w:spacing w:after="0" w:line="360" w:lineRule="auto"/>
              <w:jc w:val="right"/>
              <w:rPr>
                <w:i/>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i</w:t>
            </w:r>
          </w:p>
        </w:tc>
        <w:tc>
          <w:tcPr>
            <w:tcW w:w="594"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528"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指定循环数，</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=1</w:t>
            </w:r>
            <w:r>
              <w:rPr>
                <w:rFonts w:hint="eastAsia"/>
                <w:iCs/>
                <w:color w:val="000000" w:themeColor="text1"/>
                <w:sz w:val="24"/>
                <w:szCs w:val="24"/>
                <w14:textFill>
                  <w14:solidFill>
                    <w14:schemeClr w14:val="tx1"/>
                  </w14:solidFill>
                </w14:textFill>
              </w:rPr>
              <w:t>、2、5、1</w:t>
            </w:r>
            <w:r>
              <w:rPr>
                <w:iCs/>
                <w:color w:val="000000" w:themeColor="text1"/>
                <w:sz w:val="24"/>
                <w:szCs w:val="24"/>
                <w14:textFill>
                  <w14:solidFill>
                    <w14:schemeClr w14:val="tx1"/>
                  </w14:solidFill>
                </w14:textFill>
              </w:rPr>
              <w:t>0</w:t>
            </w:r>
            <w:r>
              <w:rPr>
                <w:rFonts w:hint="eastAsia"/>
                <w:iCs/>
                <w:color w:val="000000" w:themeColor="text1"/>
                <w:sz w:val="24"/>
                <w:szCs w:val="24"/>
                <w14:textFill>
                  <w14:solidFill>
                    <w14:schemeClr w14:val="tx1"/>
                  </w14:solidFill>
                </w14:textFill>
              </w:rPr>
              <w:t>、1</w:t>
            </w:r>
            <w:r>
              <w:rPr>
                <w:iCs/>
                <w:color w:val="000000" w:themeColor="text1"/>
                <w:sz w:val="24"/>
                <w:szCs w:val="24"/>
                <w14:textFill>
                  <w14:solidFill>
                    <w14:schemeClr w14:val="tx1"/>
                  </w14:solidFill>
                </w14:textFill>
              </w:rPr>
              <w:t>1</w:t>
            </w:r>
          </w:p>
        </w:tc>
      </w:tr>
    </w:tbl>
    <w:p>
      <w:pPr>
        <w:ind w:left="636" w:leftChars="303"/>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5）变异系数对应的折减系数可按表J.3.2-2汇总。</w:t>
      </w:r>
      <w:r>
        <w:rPr>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after="0" w:line="260" w:lineRule="auto"/>
        <w:jc w:val="center"/>
        <w:textAlignment w:val="auto"/>
        <w:rPr>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表J.3.</w:t>
      </w:r>
      <w:r>
        <w:rPr>
          <w:b/>
          <w:bCs w:val="0"/>
          <w:color w:val="000000" w:themeColor="text1"/>
          <w:sz w:val="21"/>
          <w:szCs w:val="21"/>
          <w14:textFill>
            <w14:solidFill>
              <w14:schemeClr w14:val="tx1"/>
            </w14:solidFill>
          </w14:textFill>
        </w:rPr>
        <w:t>2-</w:t>
      </w:r>
      <w:r>
        <w:rPr>
          <w:rFonts w:hint="eastAsia"/>
          <w:b/>
          <w:bCs w:val="0"/>
          <w:color w:val="000000" w:themeColor="text1"/>
          <w:sz w:val="21"/>
          <w:szCs w:val="21"/>
          <w14:textFill>
            <w14:solidFill>
              <w14:schemeClr w14:val="tx1"/>
            </w14:solidFill>
          </w14:textFill>
        </w:rPr>
        <w:t>2</w:t>
      </w:r>
      <w:r>
        <w:rPr>
          <w:b/>
          <w:bCs w:val="0"/>
          <w:color w:val="000000" w:themeColor="text1"/>
          <w:sz w:val="21"/>
          <w:szCs w:val="21"/>
          <w14:textFill>
            <w14:solidFill>
              <w14:schemeClr w14:val="tx1"/>
            </w14:solidFill>
          </w14:textFill>
        </w:rPr>
        <w:t xml:space="preserve"> </w:t>
      </w:r>
      <w:r>
        <w:rPr>
          <w:rFonts w:hint="eastAsia"/>
          <w:b/>
          <w:bCs w:val="0"/>
          <w:color w:val="000000" w:themeColor="text1"/>
          <w:sz w:val="21"/>
          <w:szCs w:val="21"/>
          <w14:textFill>
            <w14:solidFill>
              <w14:schemeClr w14:val="tx1"/>
            </w14:solidFill>
          </w14:textFill>
        </w:rPr>
        <w:t>变异系数对应折减系数汇总</w:t>
      </w:r>
    </w:p>
    <w:tbl>
      <w:tblPr>
        <w:tblStyle w:val="27"/>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661"/>
        <w:gridCol w:w="1248"/>
        <w:gridCol w:w="1248"/>
        <w:gridCol w:w="1199"/>
        <w:gridCol w:w="1246"/>
        <w:gridCol w:w="1267"/>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混凝土强度</w:t>
            </w: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 xml:space="preserve">钢筋直径 </w:t>
            </w:r>
            <w:r>
              <w:rPr>
                <w:rFonts w:hint="eastAsia"/>
                <w:i/>
                <w:iCs/>
                <w:color w:val="000000" w:themeColor="text1"/>
                <w:kern w:val="2"/>
                <w:sz w:val="20"/>
                <w:szCs w:val="20"/>
                <w14:textFill>
                  <w14:solidFill>
                    <w14:schemeClr w14:val="tx1"/>
                  </w14:solidFill>
                </w14:textFill>
              </w:rPr>
              <w:t>d</w:t>
            </w:r>
            <w:r>
              <w:rPr>
                <w:i/>
                <w:iCs/>
                <w:color w:val="000000" w:themeColor="text1"/>
                <w:kern w:val="2"/>
                <w:sz w:val="20"/>
                <w:szCs w:val="20"/>
                <w14:textFill>
                  <w14:solidFill>
                    <w14:schemeClr w14:val="tx1"/>
                  </w14:solidFill>
                </w14:textFill>
              </w:rPr>
              <w:t xml:space="preserve"> </w:t>
            </w:r>
            <w:r>
              <w:rPr>
                <w:color w:val="000000" w:themeColor="text1"/>
                <w:kern w:val="2"/>
                <w:sz w:val="20"/>
                <w:szCs w:val="20"/>
                <w14:textFill>
                  <w14:solidFill>
                    <w14:schemeClr w14:val="tx1"/>
                  </w14:solidFill>
                </w14:textFill>
              </w:rPr>
              <w:t>(mm)</w:t>
            </w:r>
          </w:p>
        </w:tc>
        <w:tc>
          <w:tcPr>
            <w:tcW w:w="1248"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循环1变异系数对应折减系数</w:t>
            </w:r>
          </w:p>
        </w:tc>
        <w:tc>
          <w:tcPr>
            <w:tcW w:w="1248"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循环2变异系数对应折减系数</w:t>
            </w:r>
          </w:p>
        </w:tc>
        <w:tc>
          <w:tcPr>
            <w:tcW w:w="1199"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循环5结束变异系数对应折减系数</w:t>
            </w:r>
          </w:p>
        </w:tc>
        <w:tc>
          <w:tcPr>
            <w:tcW w:w="1246"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循环1</w:t>
            </w:r>
            <w:r>
              <w:rPr>
                <w:color w:val="000000" w:themeColor="text1"/>
                <w:kern w:val="2"/>
                <w:sz w:val="20"/>
                <w:szCs w:val="20"/>
                <w14:textFill>
                  <w14:solidFill>
                    <w14:schemeClr w14:val="tx1"/>
                  </w14:solidFill>
                </w14:textFill>
              </w:rPr>
              <w:t>0</w:t>
            </w:r>
            <w:r>
              <w:rPr>
                <w:rFonts w:hint="eastAsia"/>
                <w:color w:val="000000" w:themeColor="text1"/>
                <w:kern w:val="2"/>
                <w:sz w:val="20"/>
                <w:szCs w:val="20"/>
                <w14:textFill>
                  <w14:solidFill>
                    <w14:schemeClr w14:val="tx1"/>
                  </w14:solidFill>
                </w14:textFill>
              </w:rPr>
              <w:t>变异系对应折减系数</w:t>
            </w:r>
          </w:p>
        </w:tc>
        <w:tc>
          <w:tcPr>
            <w:tcW w:w="1267" w:type="dxa"/>
            <w:shd w:val="clear" w:color="auto" w:fill="auto"/>
          </w:tcPr>
          <w:p>
            <w:pPr>
              <w:snapToGrid w:val="0"/>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残余承载力测试变异系数对应折减系数</w:t>
            </w:r>
          </w:p>
        </w:tc>
        <w:tc>
          <w:tcPr>
            <w:tcW w:w="1343" w:type="dxa"/>
          </w:tcPr>
          <w:p>
            <w:pPr>
              <w:snapToGrid w:val="0"/>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按钢筋规格对应折减系数的平均值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restart"/>
            <w:shd w:val="clear" w:color="auto" w:fill="auto"/>
            <w:vAlign w:val="center"/>
          </w:tcPr>
          <w:p>
            <w:pPr>
              <w:snapToGrid w:val="0"/>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C20</w:t>
            </w: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12</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1,cv, seis,c20,d12</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2,cv, seis,c20,d12</w:t>
            </w:r>
          </w:p>
        </w:tc>
        <w:tc>
          <w:tcPr>
            <w:tcW w:w="1199"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5,cv, seis,c20,d12</w:t>
            </w:r>
          </w:p>
        </w:tc>
        <w:tc>
          <w:tcPr>
            <w:tcW w:w="1246" w:type="dxa"/>
            <w:shd w:val="clear" w:color="auto" w:fill="auto"/>
            <w:tcMar>
              <w:left w:w="43" w:type="dxa"/>
              <w:right w:w="43"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10,cv, seis,c20,d12</w:t>
            </w:r>
          </w:p>
        </w:tc>
        <w:tc>
          <w:tcPr>
            <w:tcW w:w="1267"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11,cv, seis,c20,d12</w:t>
            </w:r>
          </w:p>
        </w:tc>
        <w:tc>
          <w:tcPr>
            <w:tcW w:w="1343" w:type="dxa"/>
            <w:shd w:val="clear" w:color="auto" w:fill="auto"/>
            <w:tcMar>
              <w:left w:w="72" w:type="dxa"/>
              <w:right w:w="72" w:type="dxa"/>
            </w:tcMar>
          </w:tcPr>
          <w:p>
            <w:pPr>
              <w:snapToGrid w:val="0"/>
              <w:jc w:val="center"/>
              <w:rPr>
                <w:rFonts w:ascii="Cambria Math" w:hAnsi="Cambria Math"/>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m,cv, seis,c20,d12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83" w:type="dxa"/>
            <w:vMerge w:val="continue"/>
            <w:shd w:val="clear" w:color="auto" w:fill="auto"/>
            <w:vAlign w:val="center"/>
          </w:tcPr>
          <w:p>
            <w:pPr>
              <w:snapToGrid w:val="0"/>
              <w:jc w:val="center"/>
              <w:rPr>
                <w:color w:val="000000" w:themeColor="text1"/>
                <w:kern w:val="2"/>
                <w:sz w:val="20"/>
                <w:szCs w:val="20"/>
                <w14:textFill>
                  <w14:solidFill>
                    <w14:schemeClr w14:val="tx1"/>
                  </w14:solidFill>
                </w14:textFill>
              </w:rPr>
            </w:pP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18</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1,cv,seis,c20,d</w:t>
            </w:r>
            <w:r>
              <w:rPr>
                <w:rFonts w:hint="eastAsia"/>
                <w:color w:val="000000" w:themeColor="text1"/>
                <w:kern w:val="2"/>
                <w:sz w:val="20"/>
                <w:szCs w:val="20"/>
                <w:vertAlign w:val="subscript"/>
                <w14:textFill>
                  <w14:solidFill>
                    <w14:schemeClr w14:val="tx1"/>
                  </w14:solidFill>
                </w14:textFill>
              </w:rPr>
              <w:t>18</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2,cv,seis,c20,d</w:t>
            </w:r>
            <w:r>
              <w:rPr>
                <w:rFonts w:hint="eastAsia"/>
                <w:color w:val="000000" w:themeColor="text1"/>
                <w:kern w:val="2"/>
                <w:sz w:val="20"/>
                <w:szCs w:val="20"/>
                <w:vertAlign w:val="subscript"/>
                <w14:textFill>
                  <w14:solidFill>
                    <w14:schemeClr w14:val="tx1"/>
                  </w14:solidFill>
                </w14:textFill>
              </w:rPr>
              <w:t>18</w:t>
            </w:r>
          </w:p>
        </w:tc>
        <w:tc>
          <w:tcPr>
            <w:tcW w:w="1199"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5,cv,seis,c20,d</w:t>
            </w:r>
            <w:r>
              <w:rPr>
                <w:rFonts w:hint="eastAsia"/>
                <w:color w:val="000000" w:themeColor="text1"/>
                <w:kern w:val="2"/>
                <w:sz w:val="20"/>
                <w:szCs w:val="20"/>
                <w:vertAlign w:val="subscript"/>
                <w14:textFill>
                  <w14:solidFill>
                    <w14:schemeClr w14:val="tx1"/>
                  </w14:solidFill>
                </w14:textFill>
              </w:rPr>
              <w:t>18</w:t>
            </w:r>
          </w:p>
        </w:tc>
        <w:tc>
          <w:tcPr>
            <w:tcW w:w="1246" w:type="dxa"/>
            <w:shd w:val="clear" w:color="auto" w:fill="auto"/>
            <w:tcMar>
              <w:left w:w="43" w:type="dxa"/>
              <w:right w:w="43"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10,cv,seis,c20,d</w:t>
            </w:r>
            <w:r>
              <w:rPr>
                <w:rFonts w:hint="eastAsia"/>
                <w:color w:val="000000" w:themeColor="text1"/>
                <w:kern w:val="2"/>
                <w:sz w:val="20"/>
                <w:szCs w:val="20"/>
                <w:vertAlign w:val="subscript"/>
                <w14:textFill>
                  <w14:solidFill>
                    <w14:schemeClr w14:val="tx1"/>
                  </w14:solidFill>
                </w14:textFill>
              </w:rPr>
              <w:t>18</w:t>
            </w:r>
          </w:p>
        </w:tc>
        <w:tc>
          <w:tcPr>
            <w:tcW w:w="1267"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11,cv,seis,c20,d</w:t>
            </w:r>
            <w:r>
              <w:rPr>
                <w:rFonts w:hint="eastAsia"/>
                <w:color w:val="000000" w:themeColor="text1"/>
                <w:kern w:val="2"/>
                <w:sz w:val="20"/>
                <w:szCs w:val="20"/>
                <w:vertAlign w:val="subscript"/>
                <w14:textFill>
                  <w14:solidFill>
                    <w14:schemeClr w14:val="tx1"/>
                  </w14:solidFill>
                </w14:textFill>
              </w:rPr>
              <w:t>18</w:t>
            </w:r>
          </w:p>
        </w:tc>
        <w:tc>
          <w:tcPr>
            <w:tcW w:w="1343" w:type="dxa"/>
            <w:shd w:val="clear" w:color="auto" w:fill="auto"/>
            <w:tcMar>
              <w:left w:w="72" w:type="dxa"/>
              <w:right w:w="72" w:type="dxa"/>
            </w:tcMar>
          </w:tcPr>
          <w:p>
            <w:pPr>
              <w:snapToGrid w:val="0"/>
              <w:jc w:val="center"/>
              <w:rPr>
                <w:rFonts w:ascii="Cambria Math" w:hAnsi="Cambria Math"/>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m,cv,seis,c20,d</w:t>
            </w:r>
            <w:r>
              <w:rPr>
                <w:rFonts w:hint="eastAsia"/>
                <w:color w:val="000000" w:themeColor="text1"/>
                <w:kern w:val="2"/>
                <w:sz w:val="20"/>
                <w:szCs w:val="20"/>
                <w:vertAlign w:val="subscript"/>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continue"/>
            <w:shd w:val="clear" w:color="auto" w:fill="auto"/>
            <w:vAlign w:val="center"/>
          </w:tcPr>
          <w:p>
            <w:pPr>
              <w:snapToGrid w:val="0"/>
              <w:jc w:val="center"/>
              <w:rPr>
                <w:color w:val="000000" w:themeColor="text1"/>
                <w:kern w:val="2"/>
                <w:sz w:val="20"/>
                <w:szCs w:val="20"/>
                <w14:textFill>
                  <w14:solidFill>
                    <w14:schemeClr w14:val="tx1"/>
                  </w14:solidFill>
                </w14:textFill>
              </w:rPr>
            </w:pP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25</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1,cv, seis,c20,</w:t>
            </w:r>
            <w:r>
              <w:rPr>
                <w:rFonts w:hint="eastAsia"/>
                <w:color w:val="000000" w:themeColor="text1"/>
                <w:kern w:val="2"/>
                <w:sz w:val="20"/>
                <w:szCs w:val="20"/>
                <w:vertAlign w:val="subscript"/>
                <w14:textFill>
                  <w14:solidFill>
                    <w14:schemeClr w14:val="tx1"/>
                  </w14:solidFill>
                </w14:textFill>
              </w:rPr>
              <w:t>d25</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2,cv, seis,c20,</w:t>
            </w:r>
            <w:r>
              <w:rPr>
                <w:rFonts w:hint="eastAsia"/>
                <w:color w:val="000000" w:themeColor="text1"/>
                <w:kern w:val="2"/>
                <w:sz w:val="20"/>
                <w:szCs w:val="20"/>
                <w:vertAlign w:val="subscript"/>
                <w14:textFill>
                  <w14:solidFill>
                    <w14:schemeClr w14:val="tx1"/>
                  </w14:solidFill>
                </w14:textFill>
              </w:rPr>
              <w:t>d25</w:t>
            </w:r>
          </w:p>
        </w:tc>
        <w:tc>
          <w:tcPr>
            <w:tcW w:w="1199"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5,cv, seis,c20,</w:t>
            </w:r>
            <w:r>
              <w:rPr>
                <w:rFonts w:hint="eastAsia"/>
                <w:color w:val="000000" w:themeColor="text1"/>
                <w:kern w:val="2"/>
                <w:sz w:val="20"/>
                <w:szCs w:val="20"/>
                <w:vertAlign w:val="subscript"/>
                <w14:textFill>
                  <w14:solidFill>
                    <w14:schemeClr w14:val="tx1"/>
                  </w14:solidFill>
                </w14:textFill>
              </w:rPr>
              <w:t>d25</w:t>
            </w:r>
          </w:p>
        </w:tc>
        <w:tc>
          <w:tcPr>
            <w:tcW w:w="1246" w:type="dxa"/>
            <w:shd w:val="clear" w:color="auto" w:fill="auto"/>
            <w:tcMar>
              <w:left w:w="43" w:type="dxa"/>
              <w:right w:w="43"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10,cv, seis,c20,</w:t>
            </w:r>
            <w:r>
              <w:rPr>
                <w:rFonts w:hint="eastAsia"/>
                <w:color w:val="000000" w:themeColor="text1"/>
                <w:kern w:val="2"/>
                <w:sz w:val="20"/>
                <w:szCs w:val="20"/>
                <w:vertAlign w:val="subscript"/>
                <w14:textFill>
                  <w14:solidFill>
                    <w14:schemeClr w14:val="tx1"/>
                  </w14:solidFill>
                </w14:textFill>
              </w:rPr>
              <w:t>d25</w:t>
            </w:r>
          </w:p>
        </w:tc>
        <w:tc>
          <w:tcPr>
            <w:tcW w:w="1267"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11,cv, seis,c20,</w:t>
            </w:r>
            <w:r>
              <w:rPr>
                <w:rFonts w:hint="eastAsia"/>
                <w:color w:val="000000" w:themeColor="text1"/>
                <w:kern w:val="2"/>
                <w:sz w:val="20"/>
                <w:szCs w:val="20"/>
                <w:vertAlign w:val="subscript"/>
                <w14:textFill>
                  <w14:solidFill>
                    <w14:schemeClr w14:val="tx1"/>
                  </w14:solidFill>
                </w14:textFill>
              </w:rPr>
              <w:t>d25</w:t>
            </w:r>
          </w:p>
        </w:tc>
        <w:tc>
          <w:tcPr>
            <w:tcW w:w="1343" w:type="dxa"/>
            <w:shd w:val="clear" w:color="auto" w:fill="auto"/>
            <w:tcMar>
              <w:left w:w="72" w:type="dxa"/>
              <w:right w:w="72" w:type="dxa"/>
            </w:tcMar>
          </w:tcPr>
          <w:p>
            <w:pPr>
              <w:snapToGrid w:val="0"/>
              <w:jc w:val="center"/>
              <w:rPr>
                <w:rFonts w:ascii="Cambria Math" w:hAnsi="Cambria Math"/>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m,cv, seis,c20,</w:t>
            </w:r>
            <w:r>
              <w:rPr>
                <w:rFonts w:hint="eastAsia"/>
                <w:color w:val="000000" w:themeColor="text1"/>
                <w:kern w:val="2"/>
                <w:sz w:val="20"/>
                <w:szCs w:val="20"/>
                <w:vertAlign w:val="subscript"/>
                <w14:textFill>
                  <w14:solidFill>
                    <w14:schemeClr w14:val="tx1"/>
                  </w14:solidFill>
                </w14:textFill>
              </w:rPr>
              <w:t>d25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restart"/>
            <w:shd w:val="clear" w:color="auto" w:fill="auto"/>
            <w:vAlign w:val="center"/>
          </w:tcPr>
          <w:p>
            <w:pPr>
              <w:snapToGrid w:val="0"/>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C60</w:t>
            </w: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color w:val="000000" w:themeColor="text1"/>
                <w:kern w:val="2"/>
                <w:sz w:val="20"/>
                <w:szCs w:val="20"/>
                <w14:textFill>
                  <w14:solidFill>
                    <w14:schemeClr w14:val="tx1"/>
                  </w14:solidFill>
                </w14:textFill>
              </w:rPr>
              <w:t>12</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1,cv, seis,c60,d12</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2,cv, seis,c60,d12</w:t>
            </w:r>
          </w:p>
        </w:tc>
        <w:tc>
          <w:tcPr>
            <w:tcW w:w="1199"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5,cv, seis,c60,d12</w:t>
            </w:r>
          </w:p>
        </w:tc>
        <w:tc>
          <w:tcPr>
            <w:tcW w:w="1246" w:type="dxa"/>
            <w:shd w:val="clear" w:color="auto" w:fill="auto"/>
            <w:tcMar>
              <w:left w:w="43" w:type="dxa"/>
              <w:right w:w="43"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10,cv, seis,c60,d12</w:t>
            </w:r>
          </w:p>
        </w:tc>
        <w:tc>
          <w:tcPr>
            <w:tcW w:w="1267"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11,cv, seis,c60,d12</w:t>
            </w:r>
          </w:p>
        </w:tc>
        <w:tc>
          <w:tcPr>
            <w:tcW w:w="1343" w:type="dxa"/>
            <w:shd w:val="clear" w:color="auto" w:fill="auto"/>
            <w:tcMar>
              <w:left w:w="72" w:type="dxa"/>
              <w:right w:w="72" w:type="dxa"/>
            </w:tcMar>
          </w:tcPr>
          <w:p>
            <w:pPr>
              <w:snapToGrid w:val="0"/>
              <w:jc w:val="center"/>
              <w:rPr>
                <w:rFonts w:ascii="Cambria Math" w:hAnsi="Cambria Math"/>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m,cv, seis,c60,d12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continue"/>
            <w:shd w:val="clear" w:color="auto" w:fill="auto"/>
          </w:tcPr>
          <w:p>
            <w:pPr>
              <w:snapToGrid w:val="0"/>
              <w:jc w:val="center"/>
              <w:rPr>
                <w:color w:val="000000" w:themeColor="text1"/>
                <w:kern w:val="2"/>
                <w:sz w:val="20"/>
                <w:szCs w:val="20"/>
                <w14:textFill>
                  <w14:solidFill>
                    <w14:schemeClr w14:val="tx1"/>
                  </w14:solidFill>
                </w14:textFill>
              </w:rPr>
            </w:pP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18</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1,cv,seis,c60,d</w:t>
            </w:r>
            <w:r>
              <w:rPr>
                <w:rFonts w:hint="eastAsia"/>
                <w:color w:val="000000" w:themeColor="text1"/>
                <w:kern w:val="2"/>
                <w:sz w:val="20"/>
                <w:szCs w:val="20"/>
                <w:vertAlign w:val="subscript"/>
                <w14:textFill>
                  <w14:solidFill>
                    <w14:schemeClr w14:val="tx1"/>
                  </w14:solidFill>
                </w14:textFill>
              </w:rPr>
              <w:t>18</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2,cv,seis,c60,d</w:t>
            </w:r>
            <w:r>
              <w:rPr>
                <w:rFonts w:hint="eastAsia"/>
                <w:color w:val="000000" w:themeColor="text1"/>
                <w:kern w:val="2"/>
                <w:sz w:val="20"/>
                <w:szCs w:val="20"/>
                <w:vertAlign w:val="subscript"/>
                <w14:textFill>
                  <w14:solidFill>
                    <w14:schemeClr w14:val="tx1"/>
                  </w14:solidFill>
                </w14:textFill>
              </w:rPr>
              <w:t>18</w:t>
            </w:r>
          </w:p>
        </w:tc>
        <w:tc>
          <w:tcPr>
            <w:tcW w:w="1199"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5,cv,seis,c60,d</w:t>
            </w:r>
            <w:r>
              <w:rPr>
                <w:rFonts w:hint="eastAsia"/>
                <w:color w:val="000000" w:themeColor="text1"/>
                <w:kern w:val="2"/>
                <w:sz w:val="20"/>
                <w:szCs w:val="20"/>
                <w:vertAlign w:val="subscript"/>
                <w14:textFill>
                  <w14:solidFill>
                    <w14:schemeClr w14:val="tx1"/>
                  </w14:solidFill>
                </w14:textFill>
              </w:rPr>
              <w:t>18</w:t>
            </w:r>
          </w:p>
        </w:tc>
        <w:tc>
          <w:tcPr>
            <w:tcW w:w="1246" w:type="dxa"/>
            <w:shd w:val="clear" w:color="auto" w:fill="auto"/>
            <w:tcMar>
              <w:left w:w="43" w:type="dxa"/>
              <w:right w:w="43"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10,cv,seis,c60,d</w:t>
            </w:r>
            <w:r>
              <w:rPr>
                <w:rFonts w:hint="eastAsia"/>
                <w:color w:val="000000" w:themeColor="text1"/>
                <w:kern w:val="2"/>
                <w:sz w:val="20"/>
                <w:szCs w:val="20"/>
                <w:vertAlign w:val="subscript"/>
                <w14:textFill>
                  <w14:solidFill>
                    <w14:schemeClr w14:val="tx1"/>
                  </w14:solidFill>
                </w14:textFill>
              </w:rPr>
              <w:t>18</w:t>
            </w:r>
          </w:p>
        </w:tc>
        <w:tc>
          <w:tcPr>
            <w:tcW w:w="1267"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11,cv,seis,c60,d</w:t>
            </w:r>
            <w:r>
              <w:rPr>
                <w:rFonts w:hint="eastAsia"/>
                <w:color w:val="000000" w:themeColor="text1"/>
                <w:kern w:val="2"/>
                <w:sz w:val="20"/>
                <w:szCs w:val="20"/>
                <w:vertAlign w:val="subscript"/>
                <w14:textFill>
                  <w14:solidFill>
                    <w14:schemeClr w14:val="tx1"/>
                  </w14:solidFill>
                </w14:textFill>
              </w:rPr>
              <w:t>18</w:t>
            </w:r>
          </w:p>
        </w:tc>
        <w:tc>
          <w:tcPr>
            <w:tcW w:w="1343" w:type="dxa"/>
            <w:shd w:val="clear" w:color="auto" w:fill="auto"/>
            <w:tcMar>
              <w:left w:w="72" w:type="dxa"/>
              <w:right w:w="72" w:type="dxa"/>
            </w:tcMar>
          </w:tcPr>
          <w:p>
            <w:pPr>
              <w:snapToGrid w:val="0"/>
              <w:jc w:val="center"/>
              <w:rPr>
                <w:rFonts w:ascii="Cambria Math" w:hAnsi="Cambria Math"/>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m,cv,seis,c60,d</w:t>
            </w:r>
            <w:r>
              <w:rPr>
                <w:rFonts w:hint="eastAsia"/>
                <w:color w:val="000000" w:themeColor="text1"/>
                <w:kern w:val="2"/>
                <w:sz w:val="20"/>
                <w:szCs w:val="20"/>
                <w:vertAlign w:val="subscript"/>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continue"/>
            <w:shd w:val="clear" w:color="auto" w:fill="auto"/>
          </w:tcPr>
          <w:p>
            <w:pPr>
              <w:snapToGrid w:val="0"/>
              <w:jc w:val="center"/>
              <w:rPr>
                <w:color w:val="000000" w:themeColor="text1"/>
                <w:kern w:val="2"/>
                <w:sz w:val="20"/>
                <w:szCs w:val="20"/>
                <w14:textFill>
                  <w14:solidFill>
                    <w14:schemeClr w14:val="tx1"/>
                  </w14:solidFill>
                </w14:textFill>
              </w:rPr>
            </w:pPr>
          </w:p>
        </w:tc>
        <w:tc>
          <w:tcPr>
            <w:tcW w:w="661" w:type="dxa"/>
            <w:shd w:val="clear" w:color="auto" w:fill="auto"/>
          </w:tcPr>
          <w:p>
            <w:pPr>
              <w:snapToGrid w:val="0"/>
              <w:jc w:val="center"/>
              <w:rPr>
                <w:color w:val="000000" w:themeColor="text1"/>
                <w:kern w:val="2"/>
                <w:sz w:val="20"/>
                <w:szCs w:val="20"/>
                <w14:textFill>
                  <w14:solidFill>
                    <w14:schemeClr w14:val="tx1"/>
                  </w14:solidFill>
                </w14:textFill>
              </w:rPr>
            </w:pPr>
            <w:r>
              <w:rPr>
                <w:rFonts w:hint="eastAsia"/>
                <w:color w:val="000000" w:themeColor="text1"/>
                <w:kern w:val="2"/>
                <w:sz w:val="20"/>
                <w:szCs w:val="20"/>
                <w14:textFill>
                  <w14:solidFill>
                    <w14:schemeClr w14:val="tx1"/>
                  </w14:solidFill>
                </w14:textFill>
              </w:rPr>
              <w:t>25</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1,cv, seis,c60,</w:t>
            </w:r>
            <w:r>
              <w:rPr>
                <w:rFonts w:hint="eastAsia"/>
                <w:color w:val="000000" w:themeColor="text1"/>
                <w:kern w:val="2"/>
                <w:sz w:val="20"/>
                <w:szCs w:val="20"/>
                <w:vertAlign w:val="subscript"/>
                <w14:textFill>
                  <w14:solidFill>
                    <w14:schemeClr w14:val="tx1"/>
                  </w14:solidFill>
                </w14:textFill>
              </w:rPr>
              <w:t>d25</w:t>
            </w:r>
          </w:p>
        </w:tc>
        <w:tc>
          <w:tcPr>
            <w:tcW w:w="1248"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2,cv, seis,c60,</w:t>
            </w:r>
            <w:r>
              <w:rPr>
                <w:rFonts w:hint="eastAsia"/>
                <w:color w:val="000000" w:themeColor="text1"/>
                <w:kern w:val="2"/>
                <w:sz w:val="20"/>
                <w:szCs w:val="20"/>
                <w:vertAlign w:val="subscript"/>
                <w14:textFill>
                  <w14:solidFill>
                    <w14:schemeClr w14:val="tx1"/>
                  </w14:solidFill>
                </w14:textFill>
              </w:rPr>
              <w:t>d25</w:t>
            </w:r>
          </w:p>
        </w:tc>
        <w:tc>
          <w:tcPr>
            <w:tcW w:w="1199"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5,cv, seis,c60,</w:t>
            </w:r>
            <w:r>
              <w:rPr>
                <w:rFonts w:hint="eastAsia"/>
                <w:color w:val="000000" w:themeColor="text1"/>
                <w:kern w:val="2"/>
                <w:sz w:val="20"/>
                <w:szCs w:val="20"/>
                <w:vertAlign w:val="subscript"/>
                <w14:textFill>
                  <w14:solidFill>
                    <w14:schemeClr w14:val="tx1"/>
                  </w14:solidFill>
                </w14:textFill>
              </w:rPr>
              <w:t>d25</w:t>
            </w:r>
          </w:p>
        </w:tc>
        <w:tc>
          <w:tcPr>
            <w:tcW w:w="1246" w:type="dxa"/>
            <w:shd w:val="clear" w:color="auto" w:fill="auto"/>
            <w:tcMar>
              <w:left w:w="43" w:type="dxa"/>
              <w:right w:w="43"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10,cv, seis,c60,</w:t>
            </w:r>
            <w:r>
              <w:rPr>
                <w:rFonts w:hint="eastAsia"/>
                <w:color w:val="000000" w:themeColor="text1"/>
                <w:kern w:val="2"/>
                <w:sz w:val="20"/>
                <w:szCs w:val="20"/>
                <w:vertAlign w:val="subscript"/>
                <w14:textFill>
                  <w14:solidFill>
                    <w14:schemeClr w14:val="tx1"/>
                  </w14:solidFill>
                </w14:textFill>
              </w:rPr>
              <w:t>d25</w:t>
            </w:r>
          </w:p>
        </w:tc>
        <w:tc>
          <w:tcPr>
            <w:tcW w:w="1267" w:type="dxa"/>
            <w:shd w:val="clear" w:color="auto" w:fill="auto"/>
            <w:tcMar>
              <w:left w:w="72" w:type="dxa"/>
              <w:right w:w="72" w:type="dxa"/>
            </w:tcMar>
          </w:tcPr>
          <w:p>
            <w:pPr>
              <w:snapToGrid w:val="0"/>
              <w:jc w:val="center"/>
              <w:rPr>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11,cv, seis,c60,</w:t>
            </w:r>
            <w:r>
              <w:rPr>
                <w:rFonts w:hint="eastAsia"/>
                <w:color w:val="000000" w:themeColor="text1"/>
                <w:kern w:val="2"/>
                <w:sz w:val="20"/>
                <w:szCs w:val="20"/>
                <w:vertAlign w:val="subscript"/>
                <w14:textFill>
                  <w14:solidFill>
                    <w14:schemeClr w14:val="tx1"/>
                  </w14:solidFill>
                </w14:textFill>
              </w:rPr>
              <w:t>d25</w:t>
            </w:r>
          </w:p>
        </w:tc>
        <w:tc>
          <w:tcPr>
            <w:tcW w:w="1343" w:type="dxa"/>
            <w:shd w:val="clear" w:color="auto" w:fill="auto"/>
            <w:tcMar>
              <w:left w:w="72" w:type="dxa"/>
              <w:right w:w="72" w:type="dxa"/>
            </w:tcMar>
          </w:tcPr>
          <w:p>
            <w:pPr>
              <w:snapToGrid w:val="0"/>
              <w:jc w:val="center"/>
              <w:rPr>
                <w:rFonts w:ascii="Cambria Math" w:hAnsi="Cambria Math"/>
                <w:color w:val="000000" w:themeColor="text1"/>
                <w:kern w:val="2"/>
                <w:sz w:val="20"/>
                <w:szCs w:val="20"/>
                <w14:textFill>
                  <w14:solidFill>
                    <w14:schemeClr w14:val="tx1"/>
                  </w14:solidFill>
                </w14:textFill>
              </w:rPr>
            </w:pPr>
            <w:r>
              <w:rPr>
                <w:rFonts w:ascii="Cambria Math" w:hAnsi="Cambria Math"/>
                <w:color w:val="000000" w:themeColor="text1"/>
                <w:kern w:val="2"/>
                <w:sz w:val="20"/>
                <w:szCs w:val="20"/>
                <w14:textFill>
                  <w14:solidFill>
                    <w14:schemeClr w14:val="tx1"/>
                  </w14:solidFill>
                </w14:textFill>
              </w:rPr>
              <w:t>β</w:t>
            </w:r>
            <w:r>
              <w:rPr>
                <w:color w:val="000000" w:themeColor="text1"/>
                <w:kern w:val="2"/>
                <w:sz w:val="20"/>
                <w:szCs w:val="20"/>
                <w:vertAlign w:val="subscript"/>
                <w14:textFill>
                  <w14:solidFill>
                    <w14:schemeClr w14:val="tx1"/>
                  </w14:solidFill>
                </w14:textFill>
              </w:rPr>
              <w:t>m,cv, seis,c60,</w:t>
            </w:r>
            <w:r>
              <w:rPr>
                <w:rFonts w:hint="eastAsia"/>
                <w:color w:val="000000" w:themeColor="text1"/>
                <w:kern w:val="2"/>
                <w:sz w:val="20"/>
                <w:szCs w:val="20"/>
                <w:vertAlign w:val="subscript"/>
                <w14:textFill>
                  <w14:solidFill>
                    <w14:schemeClr w14:val="tx1"/>
                  </w14:solidFill>
                </w14:textFill>
              </w:rPr>
              <w:t>d25</w:t>
            </w:r>
          </w:p>
        </w:tc>
      </w:tr>
    </w:tbl>
    <w:p>
      <w:pPr>
        <w:jc w:val="left"/>
        <w:rPr>
          <w:color w:val="000000" w:themeColor="text1"/>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注：根据钢筋直径归类求平均值。</w:t>
      </w:r>
    </w:p>
    <w:p>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J.3.3</w:t>
      </w:r>
      <w:r>
        <w:rPr>
          <w:b/>
          <w:bCs/>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20</w:t>
      </w:r>
      <w:r>
        <w:rPr>
          <w:rFonts w:hint="eastAsia"/>
          <w:color w:val="000000" w:themeColor="text1"/>
          <w:sz w:val="24"/>
          <w:szCs w:val="24"/>
          <w14:textFill>
            <w14:solidFill>
              <w14:schemeClr w14:val="tx1"/>
            </w14:solidFill>
          </w14:textFill>
        </w:rPr>
        <w:t>及C60混凝土条件下最终的测试结果离散性折减系数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m:t>
            </m:r>
            <m:r>
              <m:rPr/>
              <w:rPr>
                <w:rFonts w:hint="eastAsia" w:ascii="Cambria Math" w:hAnsi="Cambria Math"/>
                <w:color w:val="000000" w:themeColor="text1"/>
                <w:sz w:val="24"/>
                <w:szCs w:val="24"/>
                <w14:textFill>
                  <w14:solidFill>
                    <w14:schemeClr w14:val="tx1"/>
                  </w14:solidFill>
                </w14:textFill>
              </w:rPr>
              <m:t>se</m:t>
            </m:r>
            <m:r>
              <m:rPr/>
              <w:rPr>
                <w:rFonts w:ascii="Cambria Math" w:hAnsi="Cambria Math"/>
                <w:color w:val="000000" w:themeColor="text1"/>
                <w:sz w:val="24"/>
                <w:szCs w:val="24"/>
                <w14:textFill>
                  <w14:solidFill>
                    <w14:schemeClr w14:val="tx1"/>
                  </w14:solidFill>
                </w14:textFill>
              </w:rPr>
              <m:t>is,c20</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可分别按公式</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J.3.3-1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及</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J.3.3-2</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计算。</w:t>
      </w:r>
    </w:p>
    <w:p>
      <w:pPr>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cv,seis,c20</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=min</m:t>
        </m:r>
        <m:d>
          <m:dPr>
            <m:begChr m:val="{"/>
            <m:endChr m:val="}"/>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m,cv,seis,c20,d12</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m,cv,seis,c20,d18</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m,cv,seis,c20,d25</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e>
        </m:d>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J.3.3-1</w:t>
      </w:r>
      <w:r>
        <w:rPr>
          <w:color w:val="000000" w:themeColor="text1"/>
          <w:sz w:val="24"/>
          <w:szCs w:val="24"/>
          <w14:textFill>
            <w14:solidFill>
              <w14:schemeClr w14:val="tx1"/>
            </w14:solidFill>
          </w14:textFill>
        </w:rPr>
        <w:t>)</w:t>
      </w:r>
    </w:p>
    <w:p>
      <w:pPr>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cv,seis,c60</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=min</m:t>
        </m:r>
        <m:d>
          <m:dPr>
            <m:begChr m:val="{"/>
            <m:endChr m:val="}"/>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m,cv,seis,c60,d12</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m,cv,seis,c60,d18</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m,cv,seis,c60,d25</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e>
        </m:d>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J.3.</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p>
    <w:p>
      <w:pPr>
        <w:spacing w:after="0" w:line="360" w:lineRule="auto"/>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J.3.</w:t>
      </w:r>
      <w:r>
        <w:rPr>
          <w:b/>
          <w:bCs/>
          <w:color w:val="000000" w:themeColor="text1"/>
          <w:sz w:val="24"/>
          <w:szCs w:val="24"/>
          <w14:textFill>
            <w14:solidFill>
              <w14:schemeClr w14:val="tx1"/>
            </w14:solidFill>
          </w14:textFill>
        </w:rPr>
        <w:t xml:space="preserve">4 </w:t>
      </w:r>
      <w:r>
        <w:rPr>
          <w:rFonts w:hint="eastAsia"/>
          <w:color w:val="000000" w:themeColor="text1"/>
          <w:sz w:val="24"/>
          <w:szCs w:val="24"/>
          <w14:textFill>
            <w14:solidFill>
              <w14:schemeClr w14:val="tx1"/>
            </w14:solidFill>
          </w14:textFill>
        </w:rPr>
        <w:t>混凝土粘结强度评估应按以下流程进行。</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应根据J.2.2 中归一化处理后的抗震试验后荷载值，按钢筋种类和循环数分别计算各组的荷载平均值，宜按照表J.3.4-1进行汇总。</w:t>
      </w:r>
    </w:p>
    <w:p>
      <w:pPr>
        <w:keepNext w:val="0"/>
        <w:keepLines w:val="0"/>
        <w:pageBreakBefore w:val="0"/>
        <w:widowControl w:val="0"/>
        <w:kinsoku/>
        <w:wordWrap/>
        <w:overflowPunct/>
        <w:topLinePunct w:val="0"/>
        <w:autoSpaceDE/>
        <w:autoSpaceDN/>
        <w:bidi w:val="0"/>
        <w:adjustRightInd/>
        <w:snapToGrid/>
        <w:spacing w:after="0" w:line="260" w:lineRule="auto"/>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表J.3.</w:t>
      </w:r>
      <w:r>
        <w:rPr>
          <w:b/>
          <w:bCs/>
          <w:color w:val="000000" w:themeColor="text1"/>
          <w:sz w:val="21"/>
          <w:szCs w:val="21"/>
          <w14:textFill>
            <w14:solidFill>
              <w14:schemeClr w14:val="tx1"/>
            </w14:solidFill>
          </w14:textFill>
        </w:rPr>
        <w:t>4</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1</w:t>
      </w:r>
      <w:r>
        <w:rPr>
          <w:rFonts w:hint="eastAsia"/>
          <w:b/>
          <w:bCs/>
          <w:color w:val="000000" w:themeColor="text1"/>
          <w:sz w:val="21"/>
          <w:szCs w:val="21"/>
          <w14:textFill>
            <w14:solidFill>
              <w14:schemeClr w14:val="tx1"/>
            </w14:solidFill>
          </w14:textFill>
        </w:rPr>
        <w:t xml:space="preserve"> 抗震荷载平均值汇总</w:t>
      </w:r>
    </w:p>
    <w:tbl>
      <w:tblPr>
        <w:tblStyle w:val="27"/>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51"/>
        <w:gridCol w:w="1417"/>
        <w:gridCol w:w="1418"/>
        <w:gridCol w:w="1275"/>
        <w:gridCol w:w="1348"/>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混凝土强度</w:t>
            </w:r>
          </w:p>
        </w:tc>
        <w:tc>
          <w:tcPr>
            <w:tcW w:w="851"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钢筋</w:t>
            </w:r>
          </w:p>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直径</w:t>
            </w:r>
          </w:p>
          <w:p>
            <w:pPr>
              <w:snapToGrid w:val="0"/>
              <w:spacing w:after="0" w:line="240" w:lineRule="auto"/>
              <w:jc w:val="center"/>
              <w:rPr>
                <w:color w:val="000000" w:themeColor="text1"/>
                <w:kern w:val="2"/>
                <w14:textFill>
                  <w14:solidFill>
                    <w14:schemeClr w14:val="tx1"/>
                  </w14:solidFill>
                </w14:textFill>
              </w:rPr>
            </w:pPr>
            <w:r>
              <w:rPr>
                <w:rFonts w:hint="eastAsia"/>
                <w:i/>
                <w:iCs/>
                <w:color w:val="000000" w:themeColor="text1"/>
                <w:kern w:val="2"/>
                <w14:textFill>
                  <w14:solidFill>
                    <w14:schemeClr w14:val="tx1"/>
                  </w14:solidFill>
                </w14:textFill>
              </w:rPr>
              <w:t>d</w:t>
            </w:r>
            <w:r>
              <w:rPr>
                <w:i/>
                <w:iCs/>
                <w:color w:val="000000" w:themeColor="text1"/>
                <w:kern w:val="2"/>
                <w14:textFill>
                  <w14:solidFill>
                    <w14:schemeClr w14:val="tx1"/>
                  </w14:solidFill>
                </w14:textFill>
              </w:rPr>
              <w:t xml:space="preserve"> </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mm</w:t>
            </w:r>
            <w:r>
              <w:rPr>
                <w:color w:val="000000" w:themeColor="text1"/>
                <w:kern w:val="2"/>
                <w14:textFill>
                  <w14:solidFill>
                    <w14:schemeClr w14:val="tx1"/>
                  </w14:solidFill>
                </w14:textFill>
              </w:rPr>
              <w:t>)</w:t>
            </w:r>
          </w:p>
        </w:tc>
        <w:tc>
          <w:tcPr>
            <w:tcW w:w="1417"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循环1结束时的加载荷载值 (</w:t>
            </w:r>
            <w:r>
              <w:rPr>
                <w:color w:val="000000" w:themeColor="text1"/>
                <w:kern w:val="2"/>
                <w14:textFill>
                  <w14:solidFill>
                    <w14:schemeClr w14:val="tx1"/>
                  </w14:solidFill>
                </w14:textFill>
              </w:rPr>
              <w:t>N</w:t>
            </w:r>
            <w:r>
              <w:rPr>
                <w:rFonts w:hint="eastAsia"/>
                <w:color w:val="000000" w:themeColor="text1"/>
                <w:kern w:val="2"/>
                <w14:textFill>
                  <w14:solidFill>
                    <w14:schemeClr w14:val="tx1"/>
                  </w14:solidFill>
                </w14:textFill>
              </w:rPr>
              <w:t>)</w:t>
            </w:r>
          </w:p>
        </w:tc>
        <w:tc>
          <w:tcPr>
            <w:tcW w:w="141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循环2结束时的加载荷载值(</w:t>
            </w:r>
            <w:r>
              <w:rPr>
                <w:color w:val="000000" w:themeColor="text1"/>
                <w:kern w:val="2"/>
                <w14:textFill>
                  <w14:solidFill>
                    <w14:schemeClr w14:val="tx1"/>
                  </w14:solidFill>
                </w14:textFill>
              </w:rPr>
              <w:t>N</w:t>
            </w:r>
            <w:r>
              <w:rPr>
                <w:rFonts w:hint="eastAsia"/>
                <w:color w:val="000000" w:themeColor="text1"/>
                <w:kern w:val="2"/>
                <w14:textFill>
                  <w14:solidFill>
                    <w14:schemeClr w14:val="tx1"/>
                  </w14:solidFill>
                </w14:textFill>
              </w:rPr>
              <w:t>)</w:t>
            </w:r>
          </w:p>
        </w:tc>
        <w:tc>
          <w:tcPr>
            <w:tcW w:w="1275"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循环5结束时的加载荷载值(</w:t>
            </w:r>
            <w:r>
              <w:rPr>
                <w:color w:val="000000" w:themeColor="text1"/>
                <w:kern w:val="2"/>
                <w14:textFill>
                  <w14:solidFill>
                    <w14:schemeClr w14:val="tx1"/>
                  </w14:solidFill>
                </w14:textFill>
              </w:rPr>
              <w:t>N</w:t>
            </w:r>
            <w:r>
              <w:rPr>
                <w:rFonts w:hint="eastAsia"/>
                <w:color w:val="000000" w:themeColor="text1"/>
                <w:kern w:val="2"/>
                <w14:textFill>
                  <w14:solidFill>
                    <w14:schemeClr w14:val="tx1"/>
                  </w14:solidFill>
                </w14:textFill>
              </w:rPr>
              <w:t>)</w:t>
            </w:r>
          </w:p>
        </w:tc>
        <w:tc>
          <w:tcPr>
            <w:tcW w:w="134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w:t>
            </w:r>
            <w:r>
              <w:rPr>
                <w:color w:val="000000" w:themeColor="text1"/>
                <w:kern w:val="2"/>
                <w14:textFill>
                  <w14:solidFill>
                    <w14:schemeClr w14:val="tx1"/>
                  </w14:solidFill>
                </w14:textFill>
              </w:rPr>
              <w:t>0</w:t>
            </w:r>
            <w:r>
              <w:rPr>
                <w:rFonts w:hint="eastAsia"/>
                <w:color w:val="000000" w:themeColor="text1"/>
                <w:kern w:val="2"/>
                <w14:textFill>
                  <w14:solidFill>
                    <w14:schemeClr w14:val="tx1"/>
                  </w14:solidFill>
                </w14:textFill>
              </w:rPr>
              <w:t>结束时的加载荷载值 (</w:t>
            </w:r>
            <w:r>
              <w:rPr>
                <w:color w:val="000000" w:themeColor="text1"/>
                <w:kern w:val="2"/>
                <w14:textFill>
                  <w14:solidFill>
                    <w14:schemeClr w14:val="tx1"/>
                  </w14:solidFill>
                </w14:textFill>
              </w:rPr>
              <w:t>N</w:t>
            </w:r>
            <w:r>
              <w:rPr>
                <w:rFonts w:hint="eastAsia"/>
                <w:color w:val="000000" w:themeColor="text1"/>
                <w:kern w:val="2"/>
                <w14:textFill>
                  <w14:solidFill>
                    <w14:schemeClr w14:val="tx1"/>
                  </w14:solidFill>
                </w14:textFill>
              </w:rPr>
              <w:t>)</w:t>
            </w:r>
          </w:p>
        </w:tc>
        <w:tc>
          <w:tcPr>
            <w:tcW w:w="1356" w:type="dxa"/>
            <w:shd w:val="clear" w:color="auto" w:fill="auto"/>
          </w:tcPr>
          <w:p>
            <w:pPr>
              <w:snapToGrid w:val="0"/>
              <w:spacing w:after="0" w:line="240" w:lineRule="auto"/>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残余承载力测试的荷载平均值 (</w:t>
            </w:r>
            <w:r>
              <w:rPr>
                <w:color w:val="000000" w:themeColor="text1"/>
                <w:kern w:val="2"/>
                <w14:textFill>
                  <w14:solidFill>
                    <w14:schemeClr w14:val="tx1"/>
                  </w14:solidFill>
                </w14:textFill>
              </w:rPr>
              <w:t>N</w:t>
            </w:r>
            <w:r>
              <w:rPr>
                <w:rFonts w:hint="eastAsia"/>
                <w:color w:val="000000" w:themeColor="text1"/>
                <w:kern w:val="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vMerge w:val="restart"/>
            <w:shd w:val="clear" w:color="auto" w:fill="auto"/>
            <w:vAlign w:val="center"/>
          </w:tcPr>
          <w:p>
            <w:pPr>
              <w:snapToGrid w:val="0"/>
              <w:spacing w:after="0" w:line="240" w:lineRule="auto"/>
              <w:rPr>
                <w:color w:val="000000" w:themeColor="text1"/>
                <w:kern w:val="2"/>
                <w14:textFill>
                  <w14:solidFill>
                    <w14:schemeClr w14:val="tx1"/>
                  </w14:solidFill>
                </w14:textFill>
              </w:rPr>
            </w:pPr>
            <w:r>
              <w:rPr>
                <w:color w:val="000000" w:themeColor="text1"/>
                <w:kern w:val="2"/>
                <w14:textFill>
                  <w14:solidFill>
                    <w14:schemeClr w14:val="tx1"/>
                  </w14:solidFill>
                </w14:textFill>
              </w:rPr>
              <w:t>C20</w:t>
            </w:r>
          </w:p>
        </w:tc>
        <w:tc>
          <w:tcPr>
            <w:tcW w:w="851" w:type="dxa"/>
            <w:shd w:val="clear" w:color="auto" w:fill="auto"/>
          </w:tcPr>
          <w:p>
            <w:pPr>
              <w:snapToGrid w:val="0"/>
              <w:spacing w:after="0" w:line="240" w:lineRule="auto"/>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12</w:t>
            </w:r>
          </w:p>
        </w:tc>
        <w:tc>
          <w:tcPr>
            <w:tcW w:w="1417"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1,c20,d12</w:t>
            </w:r>
          </w:p>
        </w:tc>
        <w:tc>
          <w:tcPr>
            <w:tcW w:w="141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2,c20,d12</w:t>
            </w:r>
          </w:p>
        </w:tc>
        <w:tc>
          <w:tcPr>
            <w:tcW w:w="1275"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5,c20,d12</w:t>
            </w:r>
          </w:p>
        </w:tc>
        <w:tc>
          <w:tcPr>
            <w:tcW w:w="134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10,c20,d12</w:t>
            </w:r>
          </w:p>
        </w:tc>
        <w:tc>
          <w:tcPr>
            <w:tcW w:w="1356"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11,c20,d12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vMerge w:val="continue"/>
            <w:shd w:val="clear" w:color="auto" w:fill="auto"/>
            <w:vAlign w:val="center"/>
          </w:tcPr>
          <w:p>
            <w:pPr>
              <w:snapToGrid w:val="0"/>
              <w:spacing w:after="0" w:line="240" w:lineRule="auto"/>
              <w:jc w:val="center"/>
              <w:rPr>
                <w:color w:val="000000" w:themeColor="text1"/>
                <w:kern w:val="2"/>
                <w14:textFill>
                  <w14:solidFill>
                    <w14:schemeClr w14:val="tx1"/>
                  </w14:solidFill>
                </w14:textFill>
              </w:rPr>
            </w:pPr>
          </w:p>
        </w:tc>
        <w:tc>
          <w:tcPr>
            <w:tcW w:w="851"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18</w:t>
            </w:r>
          </w:p>
        </w:tc>
        <w:tc>
          <w:tcPr>
            <w:tcW w:w="1417" w:type="dxa"/>
            <w:shd w:val="clear" w:color="auto" w:fill="auto"/>
          </w:tcPr>
          <w:p>
            <w:pPr>
              <w:snapToGrid w:val="0"/>
              <w:spacing w:after="0" w:line="240" w:lineRule="auto"/>
              <w:jc w:val="center"/>
              <w:rPr>
                <w:color w:val="000000" w:themeColor="text1"/>
                <w:kern w:val="2"/>
                <w:vertAlign w:val="subscript"/>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1,c20,d</w:t>
            </w:r>
            <w:r>
              <w:rPr>
                <w:rFonts w:hint="eastAsia"/>
                <w:color w:val="000000" w:themeColor="text1"/>
                <w:kern w:val="2"/>
                <w:vertAlign w:val="subscript"/>
                <w14:textFill>
                  <w14:solidFill>
                    <w14:schemeClr w14:val="tx1"/>
                  </w14:solidFill>
                </w14:textFill>
              </w:rPr>
              <w:t>18</w:t>
            </w:r>
          </w:p>
        </w:tc>
        <w:tc>
          <w:tcPr>
            <w:tcW w:w="141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2,c20,d</w:t>
            </w:r>
            <w:r>
              <w:rPr>
                <w:rFonts w:hint="eastAsia"/>
                <w:color w:val="000000" w:themeColor="text1"/>
                <w:kern w:val="2"/>
                <w:vertAlign w:val="subscript"/>
                <w14:textFill>
                  <w14:solidFill>
                    <w14:schemeClr w14:val="tx1"/>
                  </w14:solidFill>
                </w14:textFill>
              </w:rPr>
              <w:t>18</w:t>
            </w:r>
          </w:p>
        </w:tc>
        <w:tc>
          <w:tcPr>
            <w:tcW w:w="1275"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5,c20,d</w:t>
            </w:r>
            <w:r>
              <w:rPr>
                <w:rFonts w:hint="eastAsia"/>
                <w:color w:val="000000" w:themeColor="text1"/>
                <w:kern w:val="2"/>
                <w:vertAlign w:val="subscript"/>
                <w14:textFill>
                  <w14:solidFill>
                    <w14:schemeClr w14:val="tx1"/>
                  </w14:solidFill>
                </w14:textFill>
              </w:rPr>
              <w:t>18</w:t>
            </w:r>
          </w:p>
        </w:tc>
        <w:tc>
          <w:tcPr>
            <w:tcW w:w="134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10,c20,d</w:t>
            </w:r>
            <w:r>
              <w:rPr>
                <w:rFonts w:hint="eastAsia"/>
                <w:color w:val="000000" w:themeColor="text1"/>
                <w:kern w:val="2"/>
                <w:vertAlign w:val="subscript"/>
                <w14:textFill>
                  <w14:solidFill>
                    <w14:schemeClr w14:val="tx1"/>
                  </w14:solidFill>
                </w14:textFill>
              </w:rPr>
              <w:t>18</w:t>
            </w:r>
          </w:p>
        </w:tc>
        <w:tc>
          <w:tcPr>
            <w:tcW w:w="1356"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11,c20,d</w:t>
            </w:r>
            <w:r>
              <w:rPr>
                <w:rFonts w:hint="eastAsia"/>
                <w:color w:val="000000" w:themeColor="text1"/>
                <w:kern w:val="2"/>
                <w:vertAlign w:val="subscript"/>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vMerge w:val="continue"/>
            <w:shd w:val="clear" w:color="auto" w:fill="auto"/>
            <w:vAlign w:val="center"/>
          </w:tcPr>
          <w:p>
            <w:pPr>
              <w:snapToGrid w:val="0"/>
              <w:spacing w:after="0" w:line="240" w:lineRule="auto"/>
              <w:jc w:val="center"/>
              <w:rPr>
                <w:color w:val="000000" w:themeColor="text1"/>
                <w:kern w:val="2"/>
                <w14:textFill>
                  <w14:solidFill>
                    <w14:schemeClr w14:val="tx1"/>
                  </w14:solidFill>
                </w14:textFill>
              </w:rPr>
            </w:pPr>
          </w:p>
        </w:tc>
        <w:tc>
          <w:tcPr>
            <w:tcW w:w="851"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25</w:t>
            </w:r>
          </w:p>
        </w:tc>
        <w:tc>
          <w:tcPr>
            <w:tcW w:w="1417"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1,c20,</w:t>
            </w:r>
            <w:r>
              <w:rPr>
                <w:rFonts w:hint="eastAsia"/>
                <w:color w:val="000000" w:themeColor="text1"/>
                <w:kern w:val="2"/>
                <w:vertAlign w:val="subscript"/>
                <w14:textFill>
                  <w14:solidFill>
                    <w14:schemeClr w14:val="tx1"/>
                  </w14:solidFill>
                </w14:textFill>
              </w:rPr>
              <w:t>d25</w:t>
            </w:r>
          </w:p>
        </w:tc>
        <w:tc>
          <w:tcPr>
            <w:tcW w:w="141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2,c20,</w:t>
            </w:r>
            <w:r>
              <w:rPr>
                <w:rFonts w:hint="eastAsia"/>
                <w:color w:val="000000" w:themeColor="text1"/>
                <w:kern w:val="2"/>
                <w:vertAlign w:val="subscript"/>
                <w14:textFill>
                  <w14:solidFill>
                    <w14:schemeClr w14:val="tx1"/>
                  </w14:solidFill>
                </w14:textFill>
              </w:rPr>
              <w:t>d25</w:t>
            </w:r>
          </w:p>
        </w:tc>
        <w:tc>
          <w:tcPr>
            <w:tcW w:w="1275"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5,c20,</w:t>
            </w:r>
            <w:r>
              <w:rPr>
                <w:rFonts w:hint="eastAsia"/>
                <w:color w:val="000000" w:themeColor="text1"/>
                <w:kern w:val="2"/>
                <w:vertAlign w:val="subscript"/>
                <w14:textFill>
                  <w14:solidFill>
                    <w14:schemeClr w14:val="tx1"/>
                  </w14:solidFill>
                </w14:textFill>
              </w:rPr>
              <w:t>d25</w:t>
            </w:r>
          </w:p>
        </w:tc>
        <w:tc>
          <w:tcPr>
            <w:tcW w:w="1348"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10,c20,</w:t>
            </w:r>
            <w:r>
              <w:rPr>
                <w:rFonts w:hint="eastAsia"/>
                <w:color w:val="000000" w:themeColor="text1"/>
                <w:kern w:val="2"/>
                <w:vertAlign w:val="subscript"/>
                <w14:textFill>
                  <w14:solidFill>
                    <w14:schemeClr w14:val="tx1"/>
                  </w14:solidFill>
                </w14:textFill>
              </w:rPr>
              <w:t>d25</w:t>
            </w:r>
          </w:p>
        </w:tc>
        <w:tc>
          <w:tcPr>
            <w:tcW w:w="1356" w:type="dxa"/>
            <w:shd w:val="clear" w:color="auto" w:fill="auto"/>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11,c20,</w:t>
            </w:r>
            <w:r>
              <w:rPr>
                <w:rFonts w:hint="eastAsia"/>
                <w:color w:val="000000" w:themeColor="text1"/>
                <w:kern w:val="2"/>
                <w:vertAlign w:val="subscript"/>
                <w14:textFill>
                  <w14:solidFill>
                    <w14:schemeClr w14:val="tx1"/>
                  </w14:solidFill>
                </w14:textFill>
              </w:rPr>
              <w:t>d25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vMerge w:val="restart"/>
            <w:shd w:val="clear" w:color="auto" w:fill="auto"/>
            <w:vAlign w:val="center"/>
          </w:tcPr>
          <w:p>
            <w:pPr>
              <w:snapToGrid w:val="0"/>
              <w:spacing w:after="0" w:line="240" w:lineRule="auto"/>
              <w:rPr>
                <w:color w:val="000000" w:themeColor="text1"/>
                <w:kern w:val="2"/>
                <w14:textFill>
                  <w14:solidFill>
                    <w14:schemeClr w14:val="tx1"/>
                  </w14:solidFill>
                </w14:textFill>
              </w:rPr>
            </w:pPr>
            <w:r>
              <w:rPr>
                <w:color w:val="000000" w:themeColor="text1"/>
                <w:kern w:val="2"/>
                <w14:textFill>
                  <w14:solidFill>
                    <w14:schemeClr w14:val="tx1"/>
                  </w14:solidFill>
                </w14:textFill>
              </w:rPr>
              <w:t>C60</w:t>
            </w:r>
          </w:p>
        </w:tc>
        <w:tc>
          <w:tcPr>
            <w:tcW w:w="851" w:type="dxa"/>
            <w:shd w:val="clear" w:color="auto" w:fill="auto"/>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12</w:t>
            </w:r>
          </w:p>
        </w:tc>
        <w:tc>
          <w:tcPr>
            <w:tcW w:w="1417"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1,c60,d12</w:t>
            </w:r>
          </w:p>
        </w:tc>
        <w:tc>
          <w:tcPr>
            <w:tcW w:w="1418"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2,c60,d12</w:t>
            </w:r>
          </w:p>
        </w:tc>
        <w:tc>
          <w:tcPr>
            <w:tcW w:w="1275"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5,c60,d12</w:t>
            </w:r>
          </w:p>
        </w:tc>
        <w:tc>
          <w:tcPr>
            <w:tcW w:w="1348"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10,c60,d12</w:t>
            </w:r>
          </w:p>
        </w:tc>
        <w:tc>
          <w:tcPr>
            <w:tcW w:w="1356"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11,c60,d12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vMerge w:val="continue"/>
            <w:shd w:val="clear" w:color="auto" w:fill="auto"/>
          </w:tcPr>
          <w:p>
            <w:pPr>
              <w:snapToGrid w:val="0"/>
              <w:spacing w:after="0" w:line="240" w:lineRule="auto"/>
              <w:jc w:val="center"/>
              <w:rPr>
                <w:color w:val="000000" w:themeColor="text1"/>
                <w:kern w:val="2"/>
                <w14:textFill>
                  <w14:solidFill>
                    <w14:schemeClr w14:val="tx1"/>
                  </w14:solidFill>
                </w14:textFill>
              </w:rPr>
            </w:pPr>
          </w:p>
        </w:tc>
        <w:tc>
          <w:tcPr>
            <w:tcW w:w="851"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18</w:t>
            </w:r>
          </w:p>
        </w:tc>
        <w:tc>
          <w:tcPr>
            <w:tcW w:w="1417" w:type="dxa"/>
            <w:shd w:val="clear" w:color="auto" w:fill="auto"/>
          </w:tcPr>
          <w:p>
            <w:pPr>
              <w:snapToGrid w:val="0"/>
              <w:jc w:val="center"/>
              <w:rPr>
                <w:color w:val="000000" w:themeColor="text1"/>
                <w:kern w:val="2"/>
                <w:vertAlign w:val="subscript"/>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1,c60,d</w:t>
            </w:r>
            <w:r>
              <w:rPr>
                <w:rFonts w:hint="eastAsia"/>
                <w:color w:val="000000" w:themeColor="text1"/>
                <w:kern w:val="2"/>
                <w:vertAlign w:val="subscript"/>
                <w14:textFill>
                  <w14:solidFill>
                    <w14:schemeClr w14:val="tx1"/>
                  </w14:solidFill>
                </w14:textFill>
              </w:rPr>
              <w:t>18</w:t>
            </w:r>
          </w:p>
        </w:tc>
        <w:tc>
          <w:tcPr>
            <w:tcW w:w="1418"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2,c60,d</w:t>
            </w:r>
            <w:r>
              <w:rPr>
                <w:rFonts w:hint="eastAsia"/>
                <w:color w:val="000000" w:themeColor="text1"/>
                <w:kern w:val="2"/>
                <w:vertAlign w:val="subscript"/>
                <w14:textFill>
                  <w14:solidFill>
                    <w14:schemeClr w14:val="tx1"/>
                  </w14:solidFill>
                </w14:textFill>
              </w:rPr>
              <w:t>18</w:t>
            </w:r>
          </w:p>
        </w:tc>
        <w:tc>
          <w:tcPr>
            <w:tcW w:w="1275"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5,c60,d</w:t>
            </w:r>
            <w:r>
              <w:rPr>
                <w:rFonts w:hint="eastAsia"/>
                <w:color w:val="000000" w:themeColor="text1"/>
                <w:kern w:val="2"/>
                <w:vertAlign w:val="subscript"/>
                <w14:textFill>
                  <w14:solidFill>
                    <w14:schemeClr w14:val="tx1"/>
                  </w14:solidFill>
                </w14:textFill>
              </w:rPr>
              <w:t>18</w:t>
            </w:r>
          </w:p>
        </w:tc>
        <w:tc>
          <w:tcPr>
            <w:tcW w:w="1348"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10,c60,d</w:t>
            </w:r>
            <w:r>
              <w:rPr>
                <w:rFonts w:hint="eastAsia"/>
                <w:color w:val="000000" w:themeColor="text1"/>
                <w:kern w:val="2"/>
                <w:vertAlign w:val="subscript"/>
                <w14:textFill>
                  <w14:solidFill>
                    <w14:schemeClr w14:val="tx1"/>
                  </w14:solidFill>
                </w14:textFill>
              </w:rPr>
              <w:t>18</w:t>
            </w:r>
          </w:p>
        </w:tc>
        <w:tc>
          <w:tcPr>
            <w:tcW w:w="1356"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11,c60,d</w:t>
            </w:r>
            <w:r>
              <w:rPr>
                <w:rFonts w:hint="eastAsia"/>
                <w:color w:val="000000" w:themeColor="text1"/>
                <w:kern w:val="2"/>
                <w:vertAlign w:val="subscript"/>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vMerge w:val="continue"/>
            <w:shd w:val="clear" w:color="auto" w:fill="auto"/>
          </w:tcPr>
          <w:p>
            <w:pPr>
              <w:snapToGrid w:val="0"/>
              <w:spacing w:after="0" w:line="240" w:lineRule="auto"/>
              <w:jc w:val="center"/>
              <w:rPr>
                <w:color w:val="000000" w:themeColor="text1"/>
                <w:kern w:val="2"/>
                <w14:textFill>
                  <w14:solidFill>
                    <w14:schemeClr w14:val="tx1"/>
                  </w14:solidFill>
                </w14:textFill>
              </w:rPr>
            </w:pPr>
          </w:p>
        </w:tc>
        <w:tc>
          <w:tcPr>
            <w:tcW w:w="851"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25</w:t>
            </w:r>
          </w:p>
        </w:tc>
        <w:tc>
          <w:tcPr>
            <w:tcW w:w="1417"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1,c60,</w:t>
            </w:r>
            <w:r>
              <w:rPr>
                <w:rFonts w:hint="eastAsia"/>
                <w:color w:val="000000" w:themeColor="text1"/>
                <w:kern w:val="2"/>
                <w:vertAlign w:val="subscript"/>
                <w14:textFill>
                  <w14:solidFill>
                    <w14:schemeClr w14:val="tx1"/>
                  </w14:solidFill>
                </w14:textFill>
              </w:rPr>
              <w:t>d25</w:t>
            </w:r>
          </w:p>
        </w:tc>
        <w:tc>
          <w:tcPr>
            <w:tcW w:w="1418"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2,c60,</w:t>
            </w:r>
            <w:r>
              <w:rPr>
                <w:rFonts w:hint="eastAsia"/>
                <w:color w:val="000000" w:themeColor="text1"/>
                <w:kern w:val="2"/>
                <w:vertAlign w:val="subscript"/>
                <w14:textFill>
                  <w14:solidFill>
                    <w14:schemeClr w14:val="tx1"/>
                  </w14:solidFill>
                </w14:textFill>
              </w:rPr>
              <w:t>d25</w:t>
            </w:r>
          </w:p>
        </w:tc>
        <w:tc>
          <w:tcPr>
            <w:tcW w:w="1275"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5,c60,</w:t>
            </w:r>
            <w:r>
              <w:rPr>
                <w:rFonts w:hint="eastAsia"/>
                <w:color w:val="000000" w:themeColor="text1"/>
                <w:kern w:val="2"/>
                <w:vertAlign w:val="subscript"/>
                <w14:textFill>
                  <w14:solidFill>
                    <w14:schemeClr w14:val="tx1"/>
                  </w14:solidFill>
                </w14:textFill>
              </w:rPr>
              <w:t>d25</w:t>
            </w:r>
          </w:p>
        </w:tc>
        <w:tc>
          <w:tcPr>
            <w:tcW w:w="1348"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10,c60,</w:t>
            </w:r>
            <w:r>
              <w:rPr>
                <w:rFonts w:hint="eastAsia"/>
                <w:color w:val="000000" w:themeColor="text1"/>
                <w:kern w:val="2"/>
                <w:vertAlign w:val="subscript"/>
                <w14:textFill>
                  <w14:solidFill>
                    <w14:schemeClr w14:val="tx1"/>
                  </w14:solidFill>
                </w14:textFill>
              </w:rPr>
              <w:t>d25</w:t>
            </w:r>
          </w:p>
        </w:tc>
        <w:tc>
          <w:tcPr>
            <w:tcW w:w="1356" w:type="dxa"/>
            <w:shd w:val="clear" w:color="auto" w:fill="auto"/>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N</w:t>
            </w:r>
            <w:r>
              <w:rPr>
                <w:color w:val="000000" w:themeColor="text1"/>
                <w:kern w:val="2"/>
                <w:vertAlign w:val="subscript"/>
                <w14:textFill>
                  <w14:solidFill>
                    <w14:schemeClr w14:val="tx1"/>
                  </w14:solidFill>
                </w14:textFill>
              </w:rPr>
              <w:t>um</w:t>
            </w:r>
            <w:r>
              <w:rPr>
                <w:rFonts w:hint="eastAsia"/>
                <w:color w:val="000000" w:themeColor="text1"/>
                <w:kern w:val="2"/>
                <w:vertAlign w:val="subscript"/>
                <w14:textFill>
                  <w14:solidFill>
                    <w14:schemeClr w14:val="tx1"/>
                  </w14:solidFill>
                </w14:textFill>
              </w:rPr>
              <w:t>,</w:t>
            </w:r>
            <w:r>
              <w:rPr>
                <w:color w:val="000000" w:themeColor="text1"/>
                <w:kern w:val="2"/>
                <w:vertAlign w:val="subscript"/>
                <w14:textFill>
                  <w14:solidFill>
                    <w14:schemeClr w14:val="tx1"/>
                  </w14:solidFill>
                </w14:textFill>
              </w:rPr>
              <w:t>11,c60,</w:t>
            </w:r>
            <w:r>
              <w:rPr>
                <w:rFonts w:hint="eastAsia"/>
                <w:color w:val="000000" w:themeColor="text1"/>
                <w:kern w:val="2"/>
                <w:vertAlign w:val="subscript"/>
                <w14:textFill>
                  <w14:solidFill>
                    <w14:schemeClr w14:val="tx1"/>
                  </w14:solidFill>
                </w14:textFill>
              </w:rPr>
              <w:t>d25</w:t>
            </w:r>
          </w:p>
        </w:tc>
      </w:tr>
    </w:tbl>
    <w:p>
      <w:pPr>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color w:val="000000" w:themeColor="text1"/>
          <w:kern w:val="2"/>
          <w14:textFill>
            <w14:solidFill>
              <w14:schemeClr w14:val="tx1"/>
            </w14:solidFill>
          </w14:textFill>
        </w:rPr>
        <w:t>注：以上平均值均基于归一化处理后的数据。</w:t>
      </w:r>
      <w:r>
        <w:rPr>
          <w:rFonts w:hint="eastAsia"/>
          <w:color w:val="000000" w:themeColor="text1"/>
          <w:sz w:val="24"/>
          <w:szCs w:val="24"/>
          <w14:textFill>
            <w14:solidFill>
              <w14:schemeClr w14:val="tx1"/>
            </w14:solidFill>
          </w14:textFill>
        </w:rPr>
        <w:tab/>
      </w:r>
    </w:p>
    <w:p>
      <w:pPr>
        <w:ind w:firstLine="42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C20及C60试件测试粘结强度值应分别按照公式（J.3.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）及（J.3.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-2）计算：</w:t>
      </w:r>
    </w:p>
    <w:p>
      <w:pPr>
        <w:jc w:val="right"/>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um,i,c20,dj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um,i,c20,dj</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π∙</m:t>
            </m:r>
            <m:r>
              <m:rPr/>
              <w:rPr>
                <w:rFonts w:hint="eastAsia" w:ascii="Cambria Math" w:hAnsi="Cambria Math"/>
                <w:color w:val="000000" w:themeColor="text1"/>
                <w:sz w:val="24"/>
                <w:szCs w:val="24"/>
                <w14:textFill>
                  <w14:solidFill>
                    <w14:schemeClr w14:val="tx1"/>
                  </w14:solidFill>
                </w14:textFill>
              </w:rPr>
              <m:t>d</m:t>
            </m:r>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l</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v</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m:t>
        </m:r>
        <m:sSup>
          <m:sSupPr>
            <m:ctrlPr>
              <w:rPr>
                <w:rFonts w:ascii="Cambria Math" w:hAnsi="Cambria Math"/>
                <w:i/>
                <w:color w:val="000000" w:themeColor="text1"/>
                <w:sz w:val="24"/>
                <w:szCs w:val="24"/>
                <w14:textFill>
                  <w14:solidFill>
                    <w14:schemeClr w14:val="tx1"/>
                  </w14:solidFill>
                </w14:textFill>
              </w:rPr>
            </m:ctrlPr>
          </m:sSupPr>
          <m:e>
            <m:d>
              <m:dPr>
                <m:ctrlPr>
                  <w:rPr>
                    <w:rFonts w:ascii="Cambria Math" w:hAnsi="Cambria Math"/>
                    <w:i/>
                    <w:color w:val="000000" w:themeColor="text1"/>
                    <w:sz w:val="24"/>
                    <w:szCs w:val="24"/>
                    <w14:textFill>
                      <w14:solidFill>
                        <w14:schemeClr w14:val="tx1"/>
                      </w14:solidFill>
                    </w14:textFill>
                  </w:rPr>
                </m:ctrlPr>
              </m:dPr>
              <m:e>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0.08</m:t>
                    </m:r>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R</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0.4</m:t>
            </m:r>
            <m:ctrlPr>
              <w:rPr>
                <w:rFonts w:ascii="Cambria Math" w:hAnsi="Cambria Math"/>
                <w:i/>
                <w:color w:val="000000" w:themeColor="text1"/>
                <w:sz w:val="24"/>
                <w:szCs w:val="24"/>
                <w14:textFill>
                  <w14:solidFill>
                    <w14:schemeClr w14:val="tx1"/>
                  </w14:solidFill>
                </w14:textFill>
              </w:rPr>
            </m:ctrlPr>
          </m:sup>
        </m:sSup>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p>
    <w:p>
      <w:pPr>
        <w:jc w:val="right"/>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um,i,c60,dj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um,i,c60,dj</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π∙d∙</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l</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v</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m:t>
        </m:r>
        <m:sSup>
          <m:sSupPr>
            <m:ctrlPr>
              <w:rPr>
                <w:rFonts w:ascii="Cambria Math" w:hAnsi="Cambria Math"/>
                <w:i/>
                <w:color w:val="000000" w:themeColor="text1"/>
                <w:sz w:val="24"/>
                <w:szCs w:val="24"/>
                <w14:textFill>
                  <w14:solidFill>
                    <w14:schemeClr w14:val="tx1"/>
                  </w14:solidFill>
                </w14:textFill>
              </w:rPr>
            </m:ctrlPr>
          </m:sSupPr>
          <m:e>
            <m:d>
              <m:dPr>
                <m:ctrlPr>
                  <w:rPr>
                    <w:rFonts w:ascii="Cambria Math" w:hAnsi="Cambria Math"/>
                    <w:i/>
                    <w:color w:val="000000" w:themeColor="text1"/>
                    <w:sz w:val="24"/>
                    <w:szCs w:val="24"/>
                    <w14:textFill>
                      <w14:solidFill>
                        <w14:schemeClr w14:val="tx1"/>
                      </w14:solidFill>
                    </w14:textFill>
                  </w:rPr>
                </m:ctrlPr>
              </m:dPr>
              <m:e>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0.08</m:t>
                    </m:r>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R</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0.4</m:t>
            </m:r>
            <m:ctrlPr>
              <w:rPr>
                <w:rFonts w:ascii="Cambria Math" w:hAnsi="Cambria Math"/>
                <w:i/>
                <w:color w:val="000000" w:themeColor="text1"/>
                <w:sz w:val="24"/>
                <w:szCs w:val="24"/>
                <w14:textFill>
                  <w14:solidFill>
                    <w14:schemeClr w14:val="tx1"/>
                  </w14:solidFill>
                </w14:textFill>
              </w:rPr>
            </m:ctrlPr>
          </m:sup>
        </m:sSup>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J.3.4-2</w:t>
      </w:r>
      <w:r>
        <w:rPr>
          <w:color w:val="000000" w:themeColor="text1"/>
          <w:sz w:val="24"/>
          <w:szCs w:val="24"/>
          <w14:textFill>
            <w14:solidFill>
              <w14:schemeClr w14:val="tx1"/>
            </w14:solidFill>
          </w14:textFill>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263"/>
        <w:gridCol w:w="425"/>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式中:</w:t>
            </w:r>
          </w:p>
        </w:tc>
        <w:tc>
          <w:tcPr>
            <w:tcW w:w="1263" w:type="dxa"/>
            <w:tcMar>
              <w:left w:w="28" w:type="dxa"/>
              <w:right w:w="28" w:type="dxa"/>
            </w:tcMar>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um,i,c20,dj</m:t>
                    </m:r>
                    <m:ctrlPr>
                      <w:rPr>
                        <w:rFonts w:ascii="Cambria Math" w:hAnsi="Cambria Math"/>
                        <w:i/>
                        <w:color w:val="000000" w:themeColor="text1"/>
                        <w:sz w:val="24"/>
                        <w:szCs w:val="24"/>
                        <w14:textFill>
                          <w14:solidFill>
                            <w14:schemeClr w14:val="tx1"/>
                          </w14:solidFill>
                        </w14:textFill>
                      </w:rPr>
                    </m:ctrlPr>
                  </m:sub>
                </m:sSub>
              </m:oMath>
            </m:oMathPara>
          </w:p>
        </w:tc>
        <w:tc>
          <w:tcPr>
            <w:tcW w:w="425"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91" w:type="dxa"/>
            <w:tcMar>
              <w:left w:w="28" w:type="dxa"/>
              <w:right w:w="28" w:type="dxa"/>
            </w:tcMar>
          </w:tcPr>
          <w:p>
            <w:pPr>
              <w:spacing w:after="0" w:line="360" w:lineRule="auto"/>
              <w:jc w:val="left"/>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C20混凝土试样抗震试验</w:t>
            </w:r>
            <w:r>
              <w:rPr>
                <w:rFonts w:hint="eastAsia"/>
                <w:iCs/>
                <w:color w:val="000000" w:themeColor="text1"/>
                <w:sz w:val="24"/>
                <w:szCs w:val="24"/>
                <w14:textFill>
                  <w14:solidFill>
                    <w14:schemeClr w14:val="tx1"/>
                  </w14:solidFill>
                </w14:textFill>
              </w:rPr>
              <w:t>粘结强度平均值（N/mm</w:t>
            </w:r>
            <w:r>
              <w:rPr>
                <w:rFonts w:hint="eastAsia"/>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Mar>
              <w:left w:w="28" w:type="dxa"/>
              <w:right w:w="28" w:type="dxa"/>
            </w:tcMar>
          </w:tcPr>
          <w:p>
            <w:pPr>
              <w:spacing w:after="0" w:line="360" w:lineRule="auto"/>
              <w:rPr>
                <w:iCs/>
                <w:color w:val="000000" w:themeColor="text1"/>
                <w:sz w:val="24"/>
                <w:szCs w:val="24"/>
                <w14:textFill>
                  <w14:solidFill>
                    <w14:schemeClr w14:val="tx1"/>
                  </w14:solidFill>
                </w14:textFill>
              </w:rPr>
            </w:pPr>
          </w:p>
        </w:tc>
        <w:tc>
          <w:tcPr>
            <w:tcW w:w="1263" w:type="dxa"/>
            <w:tcMar>
              <w:left w:w="28" w:type="dxa"/>
              <w:right w:w="28" w:type="dxa"/>
            </w:tcMar>
          </w:tcPr>
          <w:p>
            <w:pPr>
              <w:spacing w:after="0" w:line="360" w:lineRule="auto"/>
              <w:jc w:val="right"/>
              <w:rPr>
                <w:color w:val="000000" w:themeColor="text1"/>
                <w:sz w:val="24"/>
                <w:szCs w:val="24"/>
                <w14:textFill>
                  <w14:solidFill>
                    <w14:schemeClr w14:val="tx1"/>
                  </w14:solidFill>
                </w14:textFill>
                <w:oMath/>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um,i,c60,dj</m:t>
                    </m:r>
                    <m:ctrlPr>
                      <w:rPr>
                        <w:rFonts w:ascii="Cambria Math" w:hAnsi="Cambria Math"/>
                        <w:i/>
                        <w:color w:val="000000" w:themeColor="text1"/>
                        <w:sz w:val="24"/>
                        <w:szCs w:val="24"/>
                        <w14:textFill>
                          <w14:solidFill>
                            <w14:schemeClr w14:val="tx1"/>
                          </w14:solidFill>
                        </w14:textFill>
                      </w:rPr>
                    </m:ctrlPr>
                  </m:sub>
                </m:sSub>
              </m:oMath>
            </m:oMathPara>
          </w:p>
        </w:tc>
        <w:tc>
          <w:tcPr>
            <w:tcW w:w="425"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91" w:type="dxa"/>
            <w:tcMar>
              <w:left w:w="28" w:type="dxa"/>
              <w:right w:w="28" w:type="dxa"/>
            </w:tcMar>
          </w:tcPr>
          <w:p>
            <w:pPr>
              <w:spacing w:after="0" w:line="360" w:lineRule="auto"/>
              <w:jc w:val="left"/>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0混凝土试样抗震试验</w:t>
            </w:r>
            <w:r>
              <w:rPr>
                <w:rFonts w:hint="eastAsia"/>
                <w:iCs/>
                <w:color w:val="000000" w:themeColor="text1"/>
                <w:sz w:val="24"/>
                <w:szCs w:val="24"/>
                <w14:textFill>
                  <w14:solidFill>
                    <w14:schemeClr w14:val="tx1"/>
                  </w14:solidFill>
                </w14:textFill>
              </w:rPr>
              <w:t>粘结强度平均值（N/mm</w:t>
            </w:r>
            <w:r>
              <w:rPr>
                <w:rFonts w:hint="eastAsia"/>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Mar>
              <w:left w:w="28" w:type="dxa"/>
              <w:right w:w="28" w:type="dxa"/>
            </w:tcMar>
          </w:tcPr>
          <w:p>
            <w:pPr>
              <w:spacing w:after="0" w:line="360" w:lineRule="auto"/>
              <w:rPr>
                <w:iCs/>
                <w:color w:val="000000" w:themeColor="text1"/>
                <w:sz w:val="24"/>
                <w:szCs w:val="24"/>
                <w14:textFill>
                  <w14:solidFill>
                    <w14:schemeClr w14:val="tx1"/>
                  </w14:solidFill>
                </w14:textFill>
              </w:rPr>
            </w:pPr>
          </w:p>
        </w:tc>
        <w:tc>
          <w:tcPr>
            <w:tcW w:w="1263" w:type="dxa"/>
            <w:tcMar>
              <w:left w:w="28" w:type="dxa"/>
              <w:right w:w="28" w:type="dxa"/>
            </w:tcMar>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um,i,c20,dj</m:t>
                    </m:r>
                    <m:ctrlPr>
                      <w:rPr>
                        <w:rFonts w:ascii="Cambria Math" w:hAnsi="Cambria Math"/>
                        <w:i/>
                        <w:color w:val="000000" w:themeColor="text1"/>
                        <w:sz w:val="24"/>
                        <w:szCs w:val="24"/>
                        <w14:textFill>
                          <w14:solidFill>
                            <w14:schemeClr w14:val="tx1"/>
                          </w14:solidFill>
                        </w14:textFill>
                      </w:rPr>
                    </m:ctrlPr>
                  </m:sub>
                </m:sSub>
              </m:oMath>
            </m:oMathPara>
          </w:p>
        </w:tc>
        <w:tc>
          <w:tcPr>
            <w:tcW w:w="425"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91" w:type="dxa"/>
            <w:tcMar>
              <w:left w:w="28" w:type="dxa"/>
              <w:right w:w="28" w:type="dxa"/>
            </w:tcMar>
          </w:tcPr>
          <w:p>
            <w:pPr>
              <w:spacing w:after="0" w:line="360" w:lineRule="auto"/>
              <w:jc w:val="left"/>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C20混凝土试样抗震试验荷载平均值（</w:t>
            </w:r>
            <w:r>
              <w:rPr>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Mar>
              <w:left w:w="28" w:type="dxa"/>
              <w:right w:w="28" w:type="dxa"/>
            </w:tcMar>
          </w:tcPr>
          <w:p>
            <w:pPr>
              <w:spacing w:after="0" w:line="360" w:lineRule="auto"/>
              <w:rPr>
                <w:iCs/>
                <w:color w:val="000000" w:themeColor="text1"/>
                <w:sz w:val="24"/>
                <w:szCs w:val="24"/>
                <w14:textFill>
                  <w14:solidFill>
                    <w14:schemeClr w14:val="tx1"/>
                  </w14:solidFill>
                </w14:textFill>
              </w:rPr>
            </w:pPr>
          </w:p>
        </w:tc>
        <w:tc>
          <w:tcPr>
            <w:tcW w:w="1263" w:type="dxa"/>
            <w:tcMar>
              <w:left w:w="28" w:type="dxa"/>
              <w:right w:w="28" w:type="dxa"/>
            </w:tcMar>
          </w:tcPr>
          <w:p>
            <w:pPr>
              <w:spacing w:after="0" w:line="360" w:lineRule="auto"/>
              <w:jc w:val="right"/>
              <w:rPr>
                <w:color w:val="000000" w:themeColor="text1"/>
                <w:sz w:val="24"/>
                <w:szCs w:val="24"/>
                <w14:textFill>
                  <w14:solidFill>
                    <w14:schemeClr w14:val="tx1"/>
                  </w14:solidFill>
                </w14:textFill>
                <w:oMath/>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um,i,c60,dj</m:t>
                    </m:r>
                    <m:ctrlPr>
                      <w:rPr>
                        <w:rFonts w:ascii="Cambria Math" w:hAnsi="Cambria Math"/>
                        <w:i/>
                        <w:color w:val="000000" w:themeColor="text1"/>
                        <w:sz w:val="24"/>
                        <w:szCs w:val="24"/>
                        <w14:textFill>
                          <w14:solidFill>
                            <w14:schemeClr w14:val="tx1"/>
                          </w14:solidFill>
                        </w14:textFill>
                      </w:rPr>
                    </m:ctrlPr>
                  </m:sub>
                </m:sSub>
              </m:oMath>
            </m:oMathPara>
          </w:p>
        </w:tc>
        <w:tc>
          <w:tcPr>
            <w:tcW w:w="425"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91" w:type="dxa"/>
            <w:tcMar>
              <w:left w:w="28" w:type="dxa"/>
              <w:right w:w="28" w:type="dxa"/>
            </w:tcMar>
          </w:tcPr>
          <w:p>
            <w:pPr>
              <w:spacing w:after="0" w:line="360" w:lineRule="auto"/>
              <w:jc w:val="left"/>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0混凝土试样抗震试验荷载平均值（</w:t>
            </w:r>
            <w:r>
              <w:rPr>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Mar>
              <w:left w:w="28" w:type="dxa"/>
              <w:right w:w="28" w:type="dxa"/>
            </w:tcMar>
          </w:tcPr>
          <w:p>
            <w:pPr>
              <w:spacing w:after="0" w:line="360" w:lineRule="auto"/>
              <w:rPr>
                <w:iCs/>
                <w:color w:val="000000" w:themeColor="text1"/>
                <w:sz w:val="24"/>
                <w:szCs w:val="24"/>
                <w14:textFill>
                  <w14:solidFill>
                    <w14:schemeClr w14:val="tx1"/>
                  </w14:solidFill>
                </w14:textFill>
              </w:rPr>
            </w:pPr>
          </w:p>
        </w:tc>
        <w:tc>
          <w:tcPr>
            <w:tcW w:w="1263" w:type="dxa"/>
            <w:tcMar>
              <w:left w:w="28" w:type="dxa"/>
              <w:right w:w="28" w:type="dxa"/>
            </w:tcMar>
          </w:tcPr>
          <w:p>
            <w:pPr>
              <w:spacing w:after="0" w:line="360" w:lineRule="auto"/>
              <w:jc w:val="right"/>
              <w:rPr>
                <w:i/>
                <w:iCs/>
                <w:color w:val="000000" w:themeColor="text1"/>
                <w:sz w:val="24"/>
                <w:szCs w:val="24"/>
                <w14:textFill>
                  <w14:solidFill>
                    <w14:schemeClr w14:val="tx1"/>
                  </w14:solidFill>
                </w14:textFill>
              </w:rPr>
            </w:pPr>
            <w:r>
              <w:rPr>
                <w:rFonts w:hint="eastAsia"/>
                <w:i/>
                <w:iCs/>
                <w:color w:val="000000" w:themeColor="text1"/>
                <w:sz w:val="24"/>
                <w:szCs w:val="24"/>
                <w14:textFill>
                  <w14:solidFill>
                    <w14:schemeClr w14:val="tx1"/>
                  </w14:solidFill>
                </w14:textFill>
              </w:rPr>
              <w:t>i</w:t>
            </w:r>
          </w:p>
        </w:tc>
        <w:tc>
          <w:tcPr>
            <w:tcW w:w="425"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91" w:type="dxa"/>
            <w:tcMar>
              <w:left w:w="28" w:type="dxa"/>
              <w:right w:w="28"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指定循环数，</w:t>
            </w:r>
            <w:r>
              <w:rPr>
                <w:rFonts w:hint="eastAsia"/>
                <w:i/>
                <w:color w:val="000000" w:themeColor="text1"/>
                <w:sz w:val="24"/>
                <w:szCs w:val="24"/>
                <w14:textFill>
                  <w14:solidFill>
                    <w14:schemeClr w14:val="tx1"/>
                  </w14:solidFill>
                </w14:textFill>
              </w:rPr>
              <w:t>i</w:t>
            </w:r>
            <w:r>
              <w:rPr>
                <w:rFonts w:hint="eastAsia"/>
                <w:iCs/>
                <w:color w:val="000000" w:themeColor="text1"/>
                <w:sz w:val="24"/>
                <w:szCs w:val="24"/>
                <w14:textFill>
                  <w14:solidFill>
                    <w14:schemeClr w14:val="tx1"/>
                  </w14:solidFill>
                </w14:textFill>
              </w:rPr>
              <w:t>=1、2、5、10、1</w:t>
            </w:r>
            <w:r>
              <w:rPr>
                <w:iCs/>
                <w:color w:val="000000" w:themeColor="text1"/>
                <w:sz w:val="24"/>
                <w:szCs w:val="24"/>
                <w14:textFill>
                  <w14:solidFill>
                    <w14:schemeClr w14:val="tx1"/>
                  </w14:solidFill>
                </w14:textFill>
              </w:rPr>
              <w:t>1</w:t>
            </w:r>
            <w:r>
              <w:rPr>
                <w:rFonts w:hint="eastAsia"/>
                <w:iCs/>
                <w:color w:val="000000" w:themeColor="text1"/>
                <w:sz w:val="24"/>
                <w:szCs w:val="24"/>
                <w14:textFill>
                  <w14:solidFill>
                    <w14:schemeClr w14:val="tx1"/>
                  </w14:solidFill>
                </w14:textFill>
              </w:rPr>
              <w:t>。</w:t>
            </w:r>
          </w:p>
        </w:tc>
      </w:tr>
    </w:tbl>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抗震试验的测试粘结强度宜按照表J.3.4-2进行汇总。</w:t>
      </w:r>
    </w:p>
    <w:p>
      <w:pPr>
        <w:keepNext w:val="0"/>
        <w:keepLines w:val="0"/>
        <w:pageBreakBefore w:val="0"/>
        <w:widowControl w:val="0"/>
        <w:kinsoku/>
        <w:wordWrap/>
        <w:overflowPunct/>
        <w:topLinePunct w:val="0"/>
        <w:autoSpaceDE/>
        <w:autoSpaceDN/>
        <w:bidi w:val="0"/>
        <w:adjustRightInd/>
        <w:snapToGrid/>
        <w:spacing w:after="0" w:line="260" w:lineRule="auto"/>
        <w:jc w:val="center"/>
        <w:textAlignment w:val="auto"/>
        <w:rPr>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表J.3.</w:t>
      </w:r>
      <w:r>
        <w:rPr>
          <w:b/>
          <w:bCs w:val="0"/>
          <w:color w:val="000000" w:themeColor="text1"/>
          <w:sz w:val="21"/>
          <w:szCs w:val="21"/>
          <w14:textFill>
            <w14:solidFill>
              <w14:schemeClr w14:val="tx1"/>
            </w14:solidFill>
          </w14:textFill>
        </w:rPr>
        <w:t>4</w:t>
      </w:r>
      <w:r>
        <w:rPr>
          <w:rFonts w:hint="eastAsia"/>
          <w:b/>
          <w:bCs w:val="0"/>
          <w:color w:val="000000" w:themeColor="text1"/>
          <w:sz w:val="21"/>
          <w:szCs w:val="21"/>
          <w14:textFill>
            <w14:solidFill>
              <w14:schemeClr w14:val="tx1"/>
            </w14:solidFill>
          </w14:textFill>
        </w:rPr>
        <w:t>-2 抗震测试粘结强度汇总</w:t>
      </w:r>
    </w:p>
    <w:tbl>
      <w:tblPr>
        <w:tblStyle w:val="27"/>
        <w:tblW w:w="82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789"/>
        <w:gridCol w:w="1378"/>
        <w:gridCol w:w="1237"/>
        <w:gridCol w:w="1276"/>
        <w:gridCol w:w="1378"/>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907"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混凝土强度等级</w:t>
            </w:r>
          </w:p>
        </w:tc>
        <w:tc>
          <w:tcPr>
            <w:tcW w:w="789" w:type="dxa"/>
            <w:shd w:val="clear" w:color="auto" w:fill="auto"/>
            <w:tcMar>
              <w:left w:w="57" w:type="dxa"/>
              <w:right w:w="57" w:type="dxa"/>
            </w:tcMar>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钢筋</w:t>
            </w:r>
          </w:p>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直径</w:t>
            </w:r>
          </w:p>
          <w:p>
            <w:pPr>
              <w:snapToGrid w:val="0"/>
              <w:jc w:val="center"/>
              <w:rPr>
                <w:color w:val="000000" w:themeColor="text1"/>
                <w:kern w:val="2"/>
                <w14:textFill>
                  <w14:solidFill>
                    <w14:schemeClr w14:val="tx1"/>
                  </w14:solidFill>
                </w14:textFill>
              </w:rPr>
            </w:pPr>
            <w:r>
              <w:rPr>
                <w:rFonts w:hint="eastAsia"/>
                <w:i/>
                <w:iCs/>
                <w:color w:val="000000" w:themeColor="text1"/>
                <w:kern w:val="2"/>
                <w14:textFill>
                  <w14:solidFill>
                    <w14:schemeClr w14:val="tx1"/>
                  </w14:solidFill>
                </w14:textFill>
              </w:rPr>
              <w:t>d</w:t>
            </w:r>
            <w:r>
              <w:rPr>
                <w:i/>
                <w:iCs/>
                <w:color w:val="000000" w:themeColor="text1"/>
                <w:kern w:val="2"/>
                <w14:textFill>
                  <w14:solidFill>
                    <w14:schemeClr w14:val="tx1"/>
                  </w14:solidFill>
                </w14:textFill>
              </w:rPr>
              <w:t xml:space="preserve"> </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mm</w:t>
            </w:r>
            <w:r>
              <w:rPr>
                <w:color w:val="000000" w:themeColor="text1"/>
                <w:kern w:val="2"/>
                <w14:textFill>
                  <w14:solidFill>
                    <w14:schemeClr w14:val="tx1"/>
                  </w14:solidFill>
                </w14:textFill>
              </w:rPr>
              <w:t>)</w:t>
            </w:r>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循环1结束时的测试粘结强度</w:t>
            </w:r>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循环2结束时的测试粘结强度</w:t>
            </w:r>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循环5结束时的测试粘结强度</w:t>
            </w:r>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w:t>
            </w:r>
            <w:r>
              <w:rPr>
                <w:color w:val="000000" w:themeColor="text1"/>
                <w:kern w:val="2"/>
                <w14:textFill>
                  <w14:solidFill>
                    <w14:schemeClr w14:val="tx1"/>
                  </w14:solidFill>
                </w14:textFill>
              </w:rPr>
              <w:t>0</w:t>
            </w:r>
            <w:r>
              <w:rPr>
                <w:rFonts w:hint="eastAsia"/>
                <w:color w:val="000000" w:themeColor="text1"/>
                <w:kern w:val="2"/>
                <w14:textFill>
                  <w14:solidFill>
                    <w14:schemeClr w14:val="tx1"/>
                  </w14:solidFill>
                </w14:textFill>
              </w:rPr>
              <w:t>结束时的测试粘结强度</w:t>
            </w:r>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结束时的测试粘结强度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07" w:type="dxa"/>
            <w:vMerge w:val="restart"/>
            <w:shd w:val="clear" w:color="auto" w:fill="auto"/>
            <w:tcMar>
              <w:left w:w="57" w:type="dxa"/>
              <w:right w:w="57" w:type="dxa"/>
            </w:tcMar>
          </w:tcPr>
          <w:p>
            <w:pPr>
              <w:snapToGrid w:val="0"/>
              <w:jc w:val="center"/>
              <w:rPr>
                <w:color w:val="000000" w:themeColor="text1"/>
                <w:kern w:val="2"/>
                <w14:textFill>
                  <w14:solidFill>
                    <w14:schemeClr w14:val="tx1"/>
                  </w14:solidFill>
                </w14:textFill>
              </w:rPr>
            </w:pPr>
          </w:p>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C20</w:t>
            </w:r>
          </w:p>
        </w:tc>
        <w:tc>
          <w:tcPr>
            <w:tcW w:w="78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12</w:t>
            </w:r>
          </w:p>
        </w:tc>
        <w:tc>
          <w:tcPr>
            <w:tcW w:w="1378" w:type="dxa"/>
            <w:shd w:val="clear" w:color="auto" w:fill="auto"/>
            <w:tcMar>
              <w:left w:w="57" w:type="dxa"/>
              <w:right w:w="57" w:type="dxa"/>
            </w:tcMar>
          </w:tcPr>
          <w:p>
            <w:pPr>
              <w:snapToGrid w:val="0"/>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um,1,c20,d12</m:t>
                    </m:r>
                    <m:ctrlPr>
                      <w:rPr>
                        <w:rFonts w:ascii="Cambria Math" w:hAnsi="Cambria Math"/>
                        <w:i/>
                        <w:color w:val="000000" w:themeColor="text1"/>
                        <w14:textFill>
                          <w14:solidFill>
                            <w14:schemeClr w14:val="tx1"/>
                          </w14:solidFill>
                        </w14:textFill>
                      </w:rPr>
                    </m:ctrlPr>
                  </m:sub>
                </m:sSub>
              </m:oMath>
            </m:oMathPara>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um,2,c20,d12</m:t>
                    </m:r>
                    <m:ctrlPr>
                      <w:rPr>
                        <w:rFonts w:ascii="Cambria Math" w:hAnsi="Cambria Math"/>
                        <w:i/>
                        <w:color w:val="000000" w:themeColor="text1"/>
                        <w14:textFill>
                          <w14:solidFill>
                            <w14:schemeClr w14:val="tx1"/>
                          </w14:solidFill>
                        </w14:textFill>
                      </w:rPr>
                    </m:ctrlPr>
                  </m:sub>
                </m:sSub>
              </m:oMath>
            </m:oMathPara>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um,5,c20,d12</m:t>
                    </m:r>
                    <m:ctrlPr>
                      <w:rPr>
                        <w:rFonts w:ascii="Cambria Math" w:hAnsi="Cambria Math"/>
                        <w:i/>
                        <w:color w:val="000000" w:themeColor="text1"/>
                        <w14:textFill>
                          <w14:solidFill>
                            <w14:schemeClr w14:val="tx1"/>
                          </w14:solidFill>
                        </w14:textFill>
                      </w:rPr>
                    </m:ctrlPr>
                  </m:sub>
                </m:sSub>
              </m:oMath>
            </m:oMathPara>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um,10,c20,d12</m:t>
                    </m:r>
                    <m:ctrlPr>
                      <w:rPr>
                        <w:rFonts w:ascii="Cambria Math" w:hAnsi="Cambria Math"/>
                        <w:i/>
                        <w:color w:val="000000" w:themeColor="text1"/>
                        <w14:textFill>
                          <w14:solidFill>
                            <w14:schemeClr w14:val="tx1"/>
                          </w14:solidFill>
                        </w14:textFill>
                      </w:rPr>
                    </m:ctrlPr>
                  </m:sub>
                </m:sSub>
              </m:oMath>
            </m:oMathPara>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um,11,c20,d12</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07" w:type="dxa"/>
            <w:vMerge w:val="continue"/>
            <w:shd w:val="clear" w:color="auto" w:fill="auto"/>
            <w:tcMar>
              <w:left w:w="57" w:type="dxa"/>
              <w:right w:w="57" w:type="dxa"/>
            </w:tcMar>
          </w:tcPr>
          <w:p>
            <w:pPr>
              <w:snapToGrid w:val="0"/>
              <w:jc w:val="center"/>
              <w:rPr>
                <w:color w:val="000000" w:themeColor="text1"/>
                <w:kern w:val="2"/>
                <w14:textFill>
                  <w14:solidFill>
                    <w14:schemeClr w14:val="tx1"/>
                  </w14:solidFill>
                </w14:textFill>
              </w:rPr>
            </w:pPr>
          </w:p>
        </w:tc>
        <w:tc>
          <w:tcPr>
            <w:tcW w:w="78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18</w:t>
            </w:r>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um,1,c20,d18</m:t>
                    </m:r>
                    <m:ctrlPr>
                      <w:rPr>
                        <w:rFonts w:ascii="Cambria Math" w:hAnsi="Cambria Math"/>
                        <w:i/>
                        <w:color w:val="000000" w:themeColor="text1"/>
                        <w14:textFill>
                          <w14:solidFill>
                            <w14:schemeClr w14:val="tx1"/>
                          </w14:solidFill>
                        </w14:textFill>
                      </w:rPr>
                    </m:ctrlPr>
                  </m:sub>
                </m:sSub>
              </m:oMath>
            </m:oMathPara>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um,2,c20,d18</m:t>
                    </m:r>
                    <m:ctrlPr>
                      <w:rPr>
                        <w:rFonts w:ascii="Cambria Math" w:hAnsi="Cambria Math"/>
                        <w:i/>
                        <w:color w:val="000000" w:themeColor="text1"/>
                        <w14:textFill>
                          <w14:solidFill>
                            <w14:schemeClr w14:val="tx1"/>
                          </w14:solidFill>
                        </w14:textFill>
                      </w:rPr>
                    </m:ctrlPr>
                  </m:sub>
                </m:sSub>
              </m:oMath>
            </m:oMathPara>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um,5,c20,d18</m:t>
                    </m:r>
                    <m:ctrlPr>
                      <w:rPr>
                        <w:rFonts w:ascii="Cambria Math" w:hAnsi="Cambria Math"/>
                        <w:i/>
                        <w:color w:val="000000" w:themeColor="text1"/>
                        <w14:textFill>
                          <w14:solidFill>
                            <w14:schemeClr w14:val="tx1"/>
                          </w14:solidFill>
                        </w14:textFill>
                      </w:rPr>
                    </m:ctrlPr>
                  </m:sub>
                </m:sSub>
              </m:oMath>
            </m:oMathPara>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um,10,c20,d18</m:t>
                    </m:r>
                    <m:ctrlPr>
                      <w:rPr>
                        <w:rFonts w:ascii="Cambria Math" w:hAnsi="Cambria Math"/>
                        <w:i/>
                        <w:color w:val="000000" w:themeColor="text1"/>
                        <w14:textFill>
                          <w14:solidFill>
                            <w14:schemeClr w14:val="tx1"/>
                          </w14:solidFill>
                        </w14:textFill>
                      </w:rPr>
                    </m:ctrlPr>
                  </m:sub>
                </m:sSub>
              </m:oMath>
            </m:oMathPara>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um,11,c20,d18</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07" w:type="dxa"/>
            <w:vMerge w:val="continue"/>
            <w:shd w:val="clear" w:color="auto" w:fill="auto"/>
            <w:tcMar>
              <w:left w:w="57" w:type="dxa"/>
              <w:right w:w="57" w:type="dxa"/>
            </w:tcMar>
          </w:tcPr>
          <w:p>
            <w:pPr>
              <w:snapToGrid w:val="0"/>
              <w:jc w:val="center"/>
              <w:rPr>
                <w:color w:val="000000" w:themeColor="text1"/>
                <w:kern w:val="2"/>
                <w14:textFill>
                  <w14:solidFill>
                    <w14:schemeClr w14:val="tx1"/>
                  </w14:solidFill>
                </w14:textFill>
              </w:rPr>
            </w:pPr>
          </w:p>
        </w:tc>
        <w:tc>
          <w:tcPr>
            <w:tcW w:w="78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25</w:t>
            </w:r>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um,1,c20,d25</m:t>
                    </m:r>
                    <m:ctrlPr>
                      <w:rPr>
                        <w:rFonts w:ascii="Cambria Math" w:hAnsi="Cambria Math"/>
                        <w:i/>
                        <w:color w:val="000000" w:themeColor="text1"/>
                        <w14:textFill>
                          <w14:solidFill>
                            <w14:schemeClr w14:val="tx1"/>
                          </w14:solidFill>
                        </w14:textFill>
                      </w:rPr>
                    </m:ctrlPr>
                  </m:sub>
                </m:sSub>
              </m:oMath>
            </m:oMathPara>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um,2,c20,d25</m:t>
                    </m:r>
                    <m:ctrlPr>
                      <w:rPr>
                        <w:rFonts w:ascii="Cambria Math" w:hAnsi="Cambria Math"/>
                        <w:i/>
                        <w:color w:val="000000" w:themeColor="text1"/>
                        <w14:textFill>
                          <w14:solidFill>
                            <w14:schemeClr w14:val="tx1"/>
                          </w14:solidFill>
                        </w14:textFill>
                      </w:rPr>
                    </m:ctrlPr>
                  </m:sub>
                </m:sSub>
              </m:oMath>
            </m:oMathPara>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um,5,c20,d25</m:t>
                    </m:r>
                    <m:ctrlPr>
                      <w:rPr>
                        <w:rFonts w:ascii="Cambria Math" w:hAnsi="Cambria Math"/>
                        <w:i/>
                        <w:color w:val="000000" w:themeColor="text1"/>
                        <w14:textFill>
                          <w14:solidFill>
                            <w14:schemeClr w14:val="tx1"/>
                          </w14:solidFill>
                        </w14:textFill>
                      </w:rPr>
                    </m:ctrlPr>
                  </m:sub>
                </m:sSub>
              </m:oMath>
            </m:oMathPara>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um,10,c20,d25</m:t>
                    </m:r>
                    <m:ctrlPr>
                      <w:rPr>
                        <w:rFonts w:ascii="Cambria Math" w:hAnsi="Cambria Math"/>
                        <w:i/>
                        <w:color w:val="000000" w:themeColor="text1"/>
                        <w14:textFill>
                          <w14:solidFill>
                            <w14:schemeClr w14:val="tx1"/>
                          </w14:solidFill>
                        </w14:textFill>
                      </w:rPr>
                    </m:ctrlPr>
                  </m:sub>
                </m:sSub>
              </m:oMath>
            </m:oMathPara>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um,11,c20,d25</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07" w:type="dxa"/>
            <w:vMerge w:val="restart"/>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C60</w:t>
            </w:r>
          </w:p>
        </w:tc>
        <w:tc>
          <w:tcPr>
            <w:tcW w:w="78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12</w:t>
            </w:r>
          </w:p>
        </w:tc>
        <w:tc>
          <w:tcPr>
            <w:tcW w:w="1378" w:type="dxa"/>
            <w:shd w:val="clear" w:color="auto" w:fill="auto"/>
            <w:tcMar>
              <w:left w:w="57" w:type="dxa"/>
              <w:right w:w="57" w:type="dxa"/>
            </w:tcMar>
          </w:tcPr>
          <w:p>
            <w:pPr>
              <w:snapToGrid w:val="0"/>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um,1,c60,d12</m:t>
                    </m:r>
                    <m:ctrlPr>
                      <w:rPr>
                        <w:rFonts w:ascii="Cambria Math" w:hAnsi="Cambria Math"/>
                        <w:i/>
                        <w:color w:val="000000" w:themeColor="text1"/>
                        <w14:textFill>
                          <w14:solidFill>
                            <w14:schemeClr w14:val="tx1"/>
                          </w14:solidFill>
                        </w14:textFill>
                      </w:rPr>
                    </m:ctrlPr>
                  </m:sub>
                </m:sSub>
              </m:oMath>
            </m:oMathPara>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um,2,c60,d12</m:t>
                    </m:r>
                    <m:ctrlPr>
                      <w:rPr>
                        <w:rFonts w:ascii="Cambria Math" w:hAnsi="Cambria Math"/>
                        <w:i/>
                        <w:color w:val="000000" w:themeColor="text1"/>
                        <w14:textFill>
                          <w14:solidFill>
                            <w14:schemeClr w14:val="tx1"/>
                          </w14:solidFill>
                        </w14:textFill>
                      </w:rPr>
                    </m:ctrlPr>
                  </m:sub>
                </m:sSub>
              </m:oMath>
            </m:oMathPara>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um,5,c60,d12</m:t>
                    </m:r>
                    <m:ctrlPr>
                      <w:rPr>
                        <w:rFonts w:ascii="Cambria Math" w:hAnsi="Cambria Math"/>
                        <w:i/>
                        <w:color w:val="000000" w:themeColor="text1"/>
                        <w14:textFill>
                          <w14:solidFill>
                            <w14:schemeClr w14:val="tx1"/>
                          </w14:solidFill>
                        </w14:textFill>
                      </w:rPr>
                    </m:ctrlPr>
                  </m:sub>
                </m:sSub>
              </m:oMath>
            </m:oMathPara>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um,10,c60,d12</m:t>
                    </m:r>
                    <m:ctrlPr>
                      <w:rPr>
                        <w:rFonts w:ascii="Cambria Math" w:hAnsi="Cambria Math"/>
                        <w:i/>
                        <w:color w:val="000000" w:themeColor="text1"/>
                        <w14:textFill>
                          <w14:solidFill>
                            <w14:schemeClr w14:val="tx1"/>
                          </w14:solidFill>
                        </w14:textFill>
                      </w:rPr>
                    </m:ctrlPr>
                  </m:sub>
                </m:sSub>
              </m:oMath>
            </m:oMathPara>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um,11,c60,d12</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07" w:type="dxa"/>
            <w:vMerge w:val="continue"/>
            <w:shd w:val="clear" w:color="auto" w:fill="auto"/>
            <w:tcMar>
              <w:left w:w="57" w:type="dxa"/>
              <w:right w:w="57" w:type="dxa"/>
            </w:tcMar>
          </w:tcPr>
          <w:p>
            <w:pPr>
              <w:snapToGrid w:val="0"/>
              <w:jc w:val="center"/>
              <w:rPr>
                <w:color w:val="000000" w:themeColor="text1"/>
                <w:kern w:val="2"/>
                <w14:textFill>
                  <w14:solidFill>
                    <w14:schemeClr w14:val="tx1"/>
                  </w14:solidFill>
                </w14:textFill>
              </w:rPr>
            </w:pPr>
          </w:p>
        </w:tc>
        <w:tc>
          <w:tcPr>
            <w:tcW w:w="78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18</w:t>
            </w:r>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um,1,c60,d18</m:t>
                    </m:r>
                    <m:ctrlPr>
                      <w:rPr>
                        <w:rFonts w:ascii="Cambria Math" w:hAnsi="Cambria Math"/>
                        <w:i/>
                        <w:color w:val="000000" w:themeColor="text1"/>
                        <w14:textFill>
                          <w14:solidFill>
                            <w14:schemeClr w14:val="tx1"/>
                          </w14:solidFill>
                        </w14:textFill>
                      </w:rPr>
                    </m:ctrlPr>
                  </m:sub>
                </m:sSub>
              </m:oMath>
            </m:oMathPara>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um,2,c60,d18</m:t>
                    </m:r>
                    <m:ctrlPr>
                      <w:rPr>
                        <w:rFonts w:ascii="Cambria Math" w:hAnsi="Cambria Math"/>
                        <w:i/>
                        <w:color w:val="000000" w:themeColor="text1"/>
                        <w14:textFill>
                          <w14:solidFill>
                            <w14:schemeClr w14:val="tx1"/>
                          </w14:solidFill>
                        </w14:textFill>
                      </w:rPr>
                    </m:ctrlPr>
                  </m:sub>
                </m:sSub>
              </m:oMath>
            </m:oMathPara>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um,5,c60,d18</m:t>
                    </m:r>
                    <m:ctrlPr>
                      <w:rPr>
                        <w:rFonts w:ascii="Cambria Math" w:hAnsi="Cambria Math"/>
                        <w:i/>
                        <w:color w:val="000000" w:themeColor="text1"/>
                        <w14:textFill>
                          <w14:solidFill>
                            <w14:schemeClr w14:val="tx1"/>
                          </w14:solidFill>
                        </w14:textFill>
                      </w:rPr>
                    </m:ctrlPr>
                  </m:sub>
                </m:sSub>
              </m:oMath>
            </m:oMathPara>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um,10,c60,d18</m:t>
                    </m:r>
                    <m:ctrlPr>
                      <w:rPr>
                        <w:rFonts w:ascii="Cambria Math" w:hAnsi="Cambria Math"/>
                        <w:i/>
                        <w:color w:val="000000" w:themeColor="text1"/>
                        <w14:textFill>
                          <w14:solidFill>
                            <w14:schemeClr w14:val="tx1"/>
                          </w14:solidFill>
                        </w14:textFill>
                      </w:rPr>
                    </m:ctrlPr>
                  </m:sub>
                </m:sSub>
              </m:oMath>
            </m:oMathPara>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um,11,c60,d18</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trPr>
        <w:tc>
          <w:tcPr>
            <w:tcW w:w="907" w:type="dxa"/>
            <w:vMerge w:val="continue"/>
            <w:shd w:val="clear" w:color="auto" w:fill="auto"/>
            <w:tcMar>
              <w:left w:w="57" w:type="dxa"/>
              <w:right w:w="57" w:type="dxa"/>
            </w:tcMar>
          </w:tcPr>
          <w:p>
            <w:pPr>
              <w:snapToGrid w:val="0"/>
              <w:jc w:val="center"/>
              <w:rPr>
                <w:color w:val="000000" w:themeColor="text1"/>
                <w:kern w:val="2"/>
                <w14:textFill>
                  <w14:solidFill>
                    <w14:schemeClr w14:val="tx1"/>
                  </w14:solidFill>
                </w14:textFill>
              </w:rPr>
            </w:pPr>
          </w:p>
        </w:tc>
        <w:tc>
          <w:tcPr>
            <w:tcW w:w="78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25</w:t>
            </w:r>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um,1,c60,d25</m:t>
                    </m:r>
                    <m:ctrlPr>
                      <w:rPr>
                        <w:rFonts w:ascii="Cambria Math" w:hAnsi="Cambria Math"/>
                        <w:i/>
                        <w:color w:val="000000" w:themeColor="text1"/>
                        <w14:textFill>
                          <w14:solidFill>
                            <w14:schemeClr w14:val="tx1"/>
                          </w14:solidFill>
                        </w14:textFill>
                      </w:rPr>
                    </m:ctrlPr>
                  </m:sub>
                </m:sSub>
              </m:oMath>
            </m:oMathPara>
          </w:p>
        </w:tc>
        <w:tc>
          <w:tcPr>
            <w:tcW w:w="1237"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um,2,c60,d25</m:t>
                    </m:r>
                    <m:ctrlPr>
                      <w:rPr>
                        <w:rFonts w:ascii="Cambria Math" w:hAnsi="Cambria Math"/>
                        <w:i/>
                        <w:color w:val="000000" w:themeColor="text1"/>
                        <w14:textFill>
                          <w14:solidFill>
                            <w14:schemeClr w14:val="tx1"/>
                          </w14:solidFill>
                        </w14:textFill>
                      </w:rPr>
                    </m:ctrlPr>
                  </m:sub>
                </m:sSub>
              </m:oMath>
            </m:oMathPara>
          </w:p>
        </w:tc>
        <w:tc>
          <w:tcPr>
            <w:tcW w:w="127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um,5,c60,d25</m:t>
                    </m:r>
                    <m:ctrlPr>
                      <w:rPr>
                        <w:rFonts w:ascii="Cambria Math" w:hAnsi="Cambria Math"/>
                        <w:i/>
                        <w:color w:val="000000" w:themeColor="text1"/>
                        <w14:textFill>
                          <w14:solidFill>
                            <w14:schemeClr w14:val="tx1"/>
                          </w14:solidFill>
                        </w14:textFill>
                      </w:rPr>
                    </m:ctrlPr>
                  </m:sub>
                </m:sSub>
              </m:oMath>
            </m:oMathPara>
          </w:p>
        </w:tc>
        <w:tc>
          <w:tcPr>
            <w:tcW w:w="1378"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um,10,c60,d25</m:t>
                    </m:r>
                    <m:ctrlPr>
                      <w:rPr>
                        <w:rFonts w:ascii="Cambria Math" w:hAnsi="Cambria Math"/>
                        <w:i/>
                        <w:color w:val="000000" w:themeColor="text1"/>
                        <w14:textFill>
                          <w14:solidFill>
                            <w14:schemeClr w14:val="tx1"/>
                          </w14:solidFill>
                        </w14:textFill>
                      </w:rPr>
                    </m:ctrlPr>
                  </m:sub>
                </m:sSub>
              </m:oMath>
            </m:oMathPara>
          </w:p>
        </w:tc>
        <w:tc>
          <w:tcPr>
            <w:tcW w:w="130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τ</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um,11,c60,d25</m:t>
                    </m:r>
                    <m:ctrlPr>
                      <w:rPr>
                        <w:rFonts w:ascii="Cambria Math" w:hAnsi="Cambria Math"/>
                        <w:i/>
                        <w:color w:val="000000" w:themeColor="text1"/>
                        <w14:textFill>
                          <w14:solidFill>
                            <w14:schemeClr w14:val="tx1"/>
                          </w14:solidFill>
                        </w14:textFill>
                      </w:rPr>
                    </m:ctrlPr>
                  </m:sub>
                </m:sSub>
              </m:oMath>
            </m:oMathPara>
          </w:p>
        </w:tc>
      </w:tr>
    </w:tbl>
    <w:p>
      <w:pPr>
        <w:rPr>
          <w:rFonts w:hint="eastAsia"/>
          <w:color w:val="000000" w:themeColor="text1"/>
          <w:sz w:val="24"/>
          <w:szCs w:val="24"/>
          <w14:textFill>
            <w14:solidFill>
              <w14:schemeClr w14:val="tx1"/>
            </w14:solidFill>
          </w14:textFill>
        </w:rPr>
      </w:pPr>
      <w:r>
        <w:rPr>
          <w:rFonts w:hint="eastAsia"/>
          <w:color w:val="000000" w:themeColor="text1"/>
          <w:kern w:val="2"/>
          <w14:textFill>
            <w14:solidFill>
              <w14:schemeClr w14:val="tx1"/>
            </w14:solidFill>
          </w14:textFill>
        </w:rPr>
        <w:t>注：测试粘结强度由归一化处理后的荷载值计算得出。</w:t>
      </w:r>
    </w:p>
    <w:p>
      <w:pPr>
        <w:ind w:firstLine="42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C20及C60试件粘结强度对应的折减系数应分别按照公式（J.3.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-3）及（J.3.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-4）计算。</w:t>
      </w:r>
    </w:p>
    <w:p>
      <w:pPr>
        <w:jc w:val="right"/>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i,c20,dj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um,i,c20,dj</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bm,rqd,c20</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w:t>
      </w:r>
    </w:p>
    <w:p>
      <w:pPr>
        <w:jc w:val="right"/>
        <w:rPr>
          <w:color w:val="000000" w:themeColor="text1"/>
          <w:sz w:val="24"/>
          <w:szCs w:val="24"/>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i,c60,dj</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f>
              <m:fPr>
                <m:ctrlPr>
                  <w:rPr>
                    <w:rFonts w:ascii="Cambria Math" w:hAnsi="Cambria Math"/>
                    <w:i/>
                    <w:color w:val="000000" w:themeColor="text1"/>
                    <w:sz w:val="24"/>
                    <w:szCs w:val="24"/>
                    <w14:textFill>
                      <w14:solidFill>
                        <w14:schemeClr w14:val="tx1"/>
                      </w14:solidFill>
                    </w14:textFill>
                  </w:rPr>
                </m:ctrlPr>
              </m:fPr>
              <m:num>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um,i,c60,dj</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bm,rqd,c60</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ctrlPr>
              <w:rPr>
                <w:rFonts w:ascii="Cambria Math" w:hAnsi="Cambria Math"/>
                <w:i/>
                <w:color w:val="000000" w:themeColor="text1"/>
                <w:sz w:val="24"/>
                <w:szCs w:val="24"/>
                <w14:textFill>
                  <w14:solidFill>
                    <w14:schemeClr w14:val="tx1"/>
                  </w14:solidFill>
                </w14:textFill>
              </w:rPr>
            </m:ctrlPr>
          </m:num>
          <m:den>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J.3.4-4</w:t>
      </w:r>
      <w:r>
        <w:rPr>
          <w:color w:val="000000" w:themeColor="text1"/>
          <w:sz w:val="24"/>
          <w:szCs w:val="24"/>
          <w14:textFill>
            <w14:solidFill>
              <w14:schemeClr w14:val="tx1"/>
            </w14:solidFill>
          </w14:textFill>
        </w:rPr>
        <w:t>）</w:t>
      </w:r>
    </w:p>
    <w:tbl>
      <w:tblPr>
        <w:tblStyle w:val="28"/>
        <w:tblW w:w="0" w:type="auto"/>
        <w:tblInd w:w="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9"/>
        <w:gridCol w:w="1256"/>
        <w:gridCol w:w="456"/>
        <w:gridCol w:w="5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Mar>
              <w:left w:w="57" w:type="dxa"/>
              <w:right w:w="57" w:type="dxa"/>
            </w:tcMar>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式中:</w:t>
            </w:r>
          </w:p>
        </w:tc>
        <w:tc>
          <w:tcPr>
            <w:tcW w:w="125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i,c20,dj</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C20混凝土试样抗震试验粘结强度对应折减系数；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color w:val="000000" w:themeColor="text1"/>
                <w:sz w:val="24"/>
                <w:szCs w:val="24"/>
                <w14:textFill>
                  <w14:solidFill>
                    <w14:schemeClr w14:val="tx1"/>
                  </w14:solidFill>
                </w14:textFill>
                <w:oMath/>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i,c60,dj</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0混凝土试样抗震试验粘结强度对应折减系数；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um,i,c20,dj</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C20混凝土试样抗震试验测试</w:t>
            </w:r>
            <w:r>
              <w:rPr>
                <w:rFonts w:hint="eastAsia"/>
                <w:iCs/>
                <w:color w:val="000000" w:themeColor="text1"/>
                <w:sz w:val="24"/>
                <w:szCs w:val="24"/>
                <w14:textFill>
                  <w14:solidFill>
                    <w14:schemeClr w14:val="tx1"/>
                  </w14:solidFill>
                </w14:textFill>
              </w:rPr>
              <w:t>粘结强度平均值（N/mm</w:t>
            </w:r>
            <w:r>
              <w:rPr>
                <w:rFonts w:hint="eastAsia"/>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color w:val="000000" w:themeColor="text1"/>
                <w:sz w:val="24"/>
                <w:szCs w:val="24"/>
                <w14:textFill>
                  <w14:solidFill>
                    <w14:schemeClr w14:val="tx1"/>
                  </w14:solidFill>
                </w14:textFill>
                <w:oMath/>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τ</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um,i,c60,dj</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0混凝土试样抗震试验测试</w:t>
            </w:r>
            <w:r>
              <w:rPr>
                <w:rFonts w:hint="eastAsia"/>
                <w:iCs/>
                <w:color w:val="000000" w:themeColor="text1"/>
                <w:sz w:val="24"/>
                <w:szCs w:val="24"/>
                <w14:textFill>
                  <w14:solidFill>
                    <w14:schemeClr w14:val="tx1"/>
                  </w14:solidFill>
                </w14:textFill>
              </w:rPr>
              <w:t>粘结强度平均值（N/mm</w:t>
            </w:r>
            <w:r>
              <w:rPr>
                <w:rFonts w:hint="eastAsia"/>
                <w:iCs/>
                <w:color w:val="000000" w:themeColor="text1"/>
                <w:sz w:val="24"/>
                <w:szCs w:val="24"/>
                <w:vertAlign w:val="superscript"/>
                <w14:textFill>
                  <w14:solidFill>
                    <w14:schemeClr w14:val="tx1"/>
                  </w14:solidFill>
                </w14:textFill>
              </w:rPr>
              <w:t>2</w:t>
            </w:r>
            <w:r>
              <w:rPr>
                <w:rFonts w:hint="eastAsia"/>
                <w:iCs/>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bm,rqd,c20</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基准粘结强度，可取8</w:t>
            </w:r>
            <w:r>
              <w:rPr>
                <w:iCs/>
                <w:color w:val="000000" w:themeColor="text1"/>
                <w:sz w:val="24"/>
                <w:szCs w:val="24"/>
                <w14:textFill>
                  <w14:solidFill>
                    <w14:schemeClr w14:val="tx1"/>
                  </w14:solidFill>
                </w14:textFill>
              </w:rPr>
              <w:t>.6N/</w:t>
            </w:r>
            <w:r>
              <w:rPr>
                <w:rFonts w:hint="eastAsia"/>
                <w:iCs/>
                <w:color w:val="000000" w:themeColor="text1"/>
                <w:sz w:val="24"/>
                <w:szCs w:val="24"/>
                <w14:textFill>
                  <w14:solidFill>
                    <w14:schemeClr w14:val="tx1"/>
                  </w14:solidFill>
                </w14:textFill>
              </w:rPr>
              <w:t>mm</w:t>
            </w:r>
            <w:r>
              <w:rPr>
                <w:iCs/>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color w:val="000000" w:themeColor="text1"/>
                <w:sz w:val="24"/>
                <w:szCs w:val="24"/>
                <w14:textFill>
                  <w14:solidFill>
                    <w14:schemeClr w14:val="tx1"/>
                  </w14:solidFill>
                </w14:textFill>
                <w:oMath/>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bm,rqd,c60</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基准粘结强度，可取1</w:t>
            </w:r>
            <w:r>
              <w:rPr>
                <w:iCs/>
                <w:color w:val="000000" w:themeColor="text1"/>
                <w:sz w:val="24"/>
                <w:szCs w:val="24"/>
                <w14:textFill>
                  <w14:solidFill>
                    <w14:schemeClr w14:val="tx1"/>
                  </w14:solidFill>
                </w14:textFill>
              </w:rPr>
              <w:t>8.4N/</w:t>
            </w:r>
            <w:r>
              <w:rPr>
                <w:rFonts w:hint="eastAsia"/>
                <w:iCs/>
                <w:color w:val="000000" w:themeColor="text1"/>
                <w:sz w:val="24"/>
                <w:szCs w:val="24"/>
                <w14:textFill>
                  <w14:solidFill>
                    <w14:schemeClr w14:val="tx1"/>
                  </w14:solidFill>
                </w14:textFill>
              </w:rPr>
              <w:t>mm</w:t>
            </w:r>
            <w:r>
              <w:rPr>
                <w:iCs/>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iCs/>
                <w:color w:val="000000" w:themeColor="text1"/>
                <w:sz w:val="24"/>
                <w:szCs w:val="24"/>
                <w14:textFill>
                  <w14:solidFill>
                    <w14:schemeClr w14:val="tx1"/>
                  </w14:solidFill>
                </w14:textFill>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i</m:t>
                    </m:r>
                    <m:ctrlPr>
                      <w:rPr>
                        <w:rFonts w:ascii="Cambria Math" w:hAnsi="Cambria Math"/>
                        <w:i/>
                        <w:color w:val="000000" w:themeColor="text1"/>
                        <w:sz w:val="24"/>
                        <w:szCs w:val="24"/>
                        <w14:textFill>
                          <w14:solidFill>
                            <w14:schemeClr w14:val="tx1"/>
                          </w14:solidFill>
                        </w14:textFill>
                      </w:rPr>
                    </m:ctrlPr>
                  </m:sub>
                </m:sSub>
              </m:oMath>
            </m:oMathPara>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预埋钢筋粘结强度退化系数。</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=1</w:t>
            </w:r>
            <w:r>
              <w:rPr>
                <w:rFonts w:hint="eastAsia"/>
                <w:iCs/>
                <w:color w:val="000000" w:themeColor="text1"/>
                <w:sz w:val="24"/>
                <w:szCs w:val="24"/>
                <w14:textFill>
                  <w14:solidFill>
                    <w14:schemeClr w14:val="tx1"/>
                  </w14:solidFill>
                </w14:textFill>
              </w:rPr>
              <w:t>时，取1</w:t>
            </w:r>
            <w:r>
              <w:rPr>
                <w:iCs/>
                <w:color w:val="000000" w:themeColor="text1"/>
                <w:sz w:val="24"/>
                <w:szCs w:val="24"/>
                <w14:textFill>
                  <w14:solidFill>
                    <w14:schemeClr w14:val="tx1"/>
                  </w14:solidFill>
                </w14:textFill>
              </w:rPr>
              <w:t>.00</w:t>
            </w:r>
            <w:r>
              <w:rPr>
                <w:rFonts w:hint="eastAsia"/>
                <w:iCs/>
                <w:color w:val="000000" w:themeColor="text1"/>
                <w:sz w:val="24"/>
                <w:szCs w:val="24"/>
                <w14:textFill>
                  <w14:solidFill>
                    <w14:schemeClr w14:val="tx1"/>
                  </w14:solidFill>
                </w14:textFill>
              </w:rPr>
              <w:t>；</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=2</w:t>
            </w:r>
            <w:r>
              <w:rPr>
                <w:rFonts w:hint="eastAsia"/>
                <w:iCs/>
                <w:color w:val="000000" w:themeColor="text1"/>
                <w:sz w:val="24"/>
                <w:szCs w:val="24"/>
                <w14:textFill>
                  <w14:solidFill>
                    <w14:schemeClr w14:val="tx1"/>
                  </w14:solidFill>
                </w14:textFill>
              </w:rPr>
              <w:t>时，取0</w:t>
            </w:r>
            <w:r>
              <w:rPr>
                <w:iCs/>
                <w:color w:val="000000" w:themeColor="text1"/>
                <w:sz w:val="24"/>
                <w:szCs w:val="24"/>
                <w14:textFill>
                  <w14:solidFill>
                    <w14:schemeClr w14:val="tx1"/>
                  </w14:solidFill>
                </w14:textFill>
              </w:rPr>
              <w:t>.55</w:t>
            </w:r>
            <w:r>
              <w:rPr>
                <w:rFonts w:hint="eastAsia"/>
                <w:iCs/>
                <w:color w:val="000000" w:themeColor="text1"/>
                <w:sz w:val="24"/>
                <w:szCs w:val="24"/>
                <w14:textFill>
                  <w14:solidFill>
                    <w14:schemeClr w14:val="tx1"/>
                  </w14:solidFill>
                </w14:textFill>
              </w:rPr>
              <w:t>；</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=5</w:t>
            </w:r>
            <w:r>
              <w:rPr>
                <w:rFonts w:hint="eastAsia"/>
                <w:iCs/>
                <w:color w:val="000000" w:themeColor="text1"/>
                <w:sz w:val="24"/>
                <w:szCs w:val="24"/>
                <w14:textFill>
                  <w14:solidFill>
                    <w14:schemeClr w14:val="tx1"/>
                  </w14:solidFill>
                </w14:textFill>
              </w:rPr>
              <w:t>时，取0</w:t>
            </w:r>
            <w:r>
              <w:rPr>
                <w:iCs/>
                <w:color w:val="000000" w:themeColor="text1"/>
                <w:sz w:val="24"/>
                <w:szCs w:val="24"/>
                <w14:textFill>
                  <w14:solidFill>
                    <w14:schemeClr w14:val="tx1"/>
                  </w14:solidFill>
                </w14:textFill>
              </w:rPr>
              <w:t>.35</w:t>
            </w:r>
            <w:r>
              <w:rPr>
                <w:rFonts w:hint="eastAsia"/>
                <w:iCs/>
                <w:color w:val="000000" w:themeColor="text1"/>
                <w:sz w:val="24"/>
                <w:szCs w:val="24"/>
                <w14:textFill>
                  <w14:solidFill>
                    <w14:schemeClr w14:val="tx1"/>
                  </w14:solidFill>
                </w14:textFill>
              </w:rPr>
              <w:t>；</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=10</w:t>
            </w:r>
            <w:r>
              <w:rPr>
                <w:rFonts w:hint="eastAsia"/>
                <w:iCs/>
                <w:color w:val="000000" w:themeColor="text1"/>
                <w:sz w:val="24"/>
                <w:szCs w:val="24"/>
                <w14:textFill>
                  <w14:solidFill>
                    <w14:schemeClr w14:val="tx1"/>
                  </w14:solidFill>
                </w14:textFill>
              </w:rPr>
              <w:t>时，取0</w:t>
            </w:r>
            <w:r>
              <w:rPr>
                <w:iCs/>
                <w:color w:val="000000" w:themeColor="text1"/>
                <w:sz w:val="24"/>
                <w:szCs w:val="24"/>
                <w14:textFill>
                  <w14:solidFill>
                    <w14:schemeClr w14:val="tx1"/>
                  </w14:solidFill>
                </w14:textFill>
              </w:rPr>
              <w:t>.25</w:t>
            </w:r>
            <w:r>
              <w:rPr>
                <w:rFonts w:hint="eastAsia"/>
                <w:iCs/>
                <w:color w:val="000000" w:themeColor="text1"/>
                <w:sz w:val="24"/>
                <w:szCs w:val="24"/>
                <w14:textFill>
                  <w14:solidFill>
                    <w14:schemeClr w14:val="tx1"/>
                  </w14:solidFill>
                </w14:textFill>
              </w:rPr>
              <w:t>；</w:t>
            </w:r>
            <w:r>
              <w:rPr>
                <w:rFonts w:hint="eastAsia"/>
                <w:i/>
                <w:color w:val="000000" w:themeColor="text1"/>
                <w:sz w:val="24"/>
                <w:szCs w:val="24"/>
                <w14:textFill>
                  <w14:solidFill>
                    <w14:schemeClr w14:val="tx1"/>
                  </w14:solidFill>
                </w14:textFill>
              </w:rPr>
              <w:t>i</w:t>
            </w:r>
            <w:r>
              <w:rPr>
                <w:iCs/>
                <w:color w:val="000000" w:themeColor="text1"/>
                <w:sz w:val="24"/>
                <w:szCs w:val="24"/>
                <w14:textFill>
                  <w14:solidFill>
                    <w14:schemeClr w14:val="tx1"/>
                  </w14:solidFill>
                </w14:textFill>
              </w:rPr>
              <w:t>=11</w:t>
            </w:r>
            <w:r>
              <w:rPr>
                <w:rFonts w:hint="eastAsia"/>
                <w:iCs/>
                <w:color w:val="000000" w:themeColor="text1"/>
                <w:sz w:val="24"/>
                <w:szCs w:val="24"/>
                <w14:textFill>
                  <w14:solidFill>
                    <w14:schemeClr w14:val="tx1"/>
                  </w14:solidFill>
                </w14:textFill>
              </w:rPr>
              <w:t>时，取0</w:t>
            </w:r>
            <w:r>
              <w:rPr>
                <w:iCs/>
                <w:color w:val="000000" w:themeColor="text1"/>
                <w:sz w:val="24"/>
                <w:szCs w:val="24"/>
                <w14:textFill>
                  <w14:solidFill>
                    <w14:schemeClr w14:val="tx1"/>
                  </w14:solidFill>
                </w14:textFill>
              </w:rPr>
              <w:t>.40</w:t>
            </w:r>
            <w:r>
              <w:rPr>
                <w:rFonts w:hint="eastAsia"/>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9" w:type="dxa"/>
          </w:tcPr>
          <w:p>
            <w:pPr>
              <w:spacing w:after="0" w:line="360" w:lineRule="auto"/>
              <w:rPr>
                <w:iCs/>
                <w:color w:val="000000" w:themeColor="text1"/>
                <w:sz w:val="24"/>
                <w:szCs w:val="24"/>
                <w14:textFill>
                  <w14:solidFill>
                    <w14:schemeClr w14:val="tx1"/>
                  </w14:solidFill>
                </w14:textFill>
              </w:rPr>
            </w:pPr>
          </w:p>
        </w:tc>
        <w:tc>
          <w:tcPr>
            <w:tcW w:w="1256" w:type="dxa"/>
          </w:tcPr>
          <w:p>
            <w:pPr>
              <w:spacing w:after="0" w:line="360" w:lineRule="auto"/>
              <w:jc w:val="right"/>
              <w:rPr>
                <w:i/>
                <w:iCs/>
                <w:color w:val="000000" w:themeColor="text1"/>
                <w:sz w:val="24"/>
                <w:szCs w:val="24"/>
                <w14:textFill>
                  <w14:solidFill>
                    <w14:schemeClr w14:val="tx1"/>
                  </w14:solidFill>
                </w14:textFill>
              </w:rPr>
            </w:pPr>
            <w:r>
              <w:rPr>
                <w:rFonts w:hint="eastAsia"/>
                <w:i/>
                <w:iCs/>
                <w:color w:val="000000" w:themeColor="text1"/>
                <w:sz w:val="24"/>
                <w:szCs w:val="24"/>
                <w14:textFill>
                  <w14:solidFill>
                    <w14:schemeClr w14:val="tx1"/>
                  </w14:solidFill>
                </w14:textFill>
              </w:rPr>
              <w:t>i</w:t>
            </w:r>
          </w:p>
        </w:tc>
        <w:tc>
          <w:tcPr>
            <w:tcW w:w="456"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w:t>
            </w:r>
          </w:p>
        </w:tc>
        <w:tc>
          <w:tcPr>
            <w:tcW w:w="5830" w:type="dxa"/>
          </w:tcPr>
          <w:p>
            <w:pPr>
              <w:spacing w:after="0" w:line="360" w:lineRule="auto"/>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指定循环数，</w:t>
            </w:r>
            <w:r>
              <w:rPr>
                <w:rFonts w:hint="eastAsia"/>
                <w:i/>
                <w:color w:val="000000" w:themeColor="text1"/>
                <w:sz w:val="24"/>
                <w:szCs w:val="24"/>
                <w14:textFill>
                  <w14:solidFill>
                    <w14:schemeClr w14:val="tx1"/>
                  </w14:solidFill>
                </w14:textFill>
              </w:rPr>
              <w:t>i</w:t>
            </w:r>
            <w:r>
              <w:rPr>
                <w:rFonts w:hint="eastAsia"/>
                <w:iCs/>
                <w:color w:val="000000" w:themeColor="text1"/>
                <w:sz w:val="24"/>
                <w:szCs w:val="24"/>
                <w14:textFill>
                  <w14:solidFill>
                    <w14:schemeClr w14:val="tx1"/>
                  </w14:solidFill>
                </w14:textFill>
              </w:rPr>
              <w:t>=1、2、5、10、1</w:t>
            </w:r>
            <w:r>
              <w:rPr>
                <w:iCs/>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p>
        </w:tc>
      </w:tr>
    </w:tbl>
    <w:p>
      <w:pPr>
        <w:spacing w:after="0"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 xml:space="preserve">5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抗震试验后的测试粘结强度对应折减系数宜按照表J.3.4-3进行汇总。并应计算对应钢筋直径的折减系数平均值。</w:t>
      </w:r>
    </w:p>
    <w:p>
      <w:pPr>
        <w:keepNext w:val="0"/>
        <w:keepLines w:val="0"/>
        <w:pageBreakBefore w:val="0"/>
        <w:widowControl w:val="0"/>
        <w:kinsoku/>
        <w:wordWrap/>
        <w:overflowPunct/>
        <w:topLinePunct w:val="0"/>
        <w:autoSpaceDE/>
        <w:autoSpaceDN/>
        <w:bidi w:val="0"/>
        <w:adjustRightInd/>
        <w:snapToGrid/>
        <w:spacing w:after="0" w:line="260" w:lineRule="auto"/>
        <w:jc w:val="center"/>
        <w:textAlignment w:val="auto"/>
        <w:rPr>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表J.3.</w:t>
      </w:r>
      <w:r>
        <w:rPr>
          <w:b/>
          <w:bCs w:val="0"/>
          <w:color w:val="000000" w:themeColor="text1"/>
          <w:sz w:val="21"/>
          <w:szCs w:val="21"/>
          <w14:textFill>
            <w14:solidFill>
              <w14:schemeClr w14:val="tx1"/>
            </w14:solidFill>
          </w14:textFill>
        </w:rPr>
        <w:t>4</w:t>
      </w:r>
      <w:r>
        <w:rPr>
          <w:rFonts w:hint="eastAsia"/>
          <w:b/>
          <w:bCs w:val="0"/>
          <w:color w:val="000000" w:themeColor="text1"/>
          <w:sz w:val="21"/>
          <w:szCs w:val="21"/>
          <w14:textFill>
            <w14:solidFill>
              <w14:schemeClr w14:val="tx1"/>
            </w14:solidFill>
          </w14:textFill>
        </w:rPr>
        <w:t>-3 抗震测试粘结强度对应折减系数</w:t>
      </w:r>
    </w:p>
    <w:tbl>
      <w:tblPr>
        <w:tblStyle w:val="27"/>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046"/>
        <w:gridCol w:w="942"/>
        <w:gridCol w:w="1069"/>
        <w:gridCol w:w="1126"/>
        <w:gridCol w:w="1046"/>
        <w:gridCol w:w="96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961"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混凝土强度等级</w:t>
            </w:r>
          </w:p>
        </w:tc>
        <w:tc>
          <w:tcPr>
            <w:tcW w:w="1046" w:type="dxa"/>
            <w:shd w:val="clear" w:color="auto" w:fill="auto"/>
            <w:tcMar>
              <w:left w:w="57" w:type="dxa"/>
              <w:right w:w="57" w:type="dxa"/>
            </w:tcMar>
          </w:tcPr>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钢筋</w:t>
            </w:r>
          </w:p>
          <w:p>
            <w:pPr>
              <w:snapToGrid w:val="0"/>
              <w:spacing w:after="0" w:line="240" w:lineRule="auto"/>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直径</w:t>
            </w:r>
          </w:p>
          <w:p>
            <w:pPr>
              <w:snapToGrid w:val="0"/>
              <w:jc w:val="center"/>
              <w:rPr>
                <w:color w:val="000000" w:themeColor="text1"/>
                <w:kern w:val="2"/>
                <w14:textFill>
                  <w14:solidFill>
                    <w14:schemeClr w14:val="tx1"/>
                  </w14:solidFill>
                </w14:textFill>
              </w:rPr>
            </w:pPr>
            <w:r>
              <w:rPr>
                <w:rFonts w:hint="eastAsia"/>
                <w:i/>
                <w:iCs/>
                <w:color w:val="000000" w:themeColor="text1"/>
                <w:kern w:val="2"/>
                <w14:textFill>
                  <w14:solidFill>
                    <w14:schemeClr w14:val="tx1"/>
                  </w14:solidFill>
                </w14:textFill>
              </w:rPr>
              <w:t>d</w:t>
            </w:r>
            <w:r>
              <w:rPr>
                <w:i/>
                <w:iCs/>
                <w:color w:val="000000" w:themeColor="text1"/>
                <w:kern w:val="2"/>
                <w14:textFill>
                  <w14:solidFill>
                    <w14:schemeClr w14:val="tx1"/>
                  </w14:solidFill>
                </w14:textFill>
              </w:rPr>
              <w:t xml:space="preserve"> </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mm</w:t>
            </w:r>
            <w:r>
              <w:rPr>
                <w:color w:val="000000" w:themeColor="text1"/>
                <w:kern w:val="2"/>
                <w14:textFill>
                  <w14:solidFill>
                    <w14:schemeClr w14:val="tx1"/>
                  </w14:solidFill>
                </w14:textFill>
              </w:rPr>
              <w:t>)</w:t>
            </w:r>
          </w:p>
        </w:tc>
        <w:tc>
          <w:tcPr>
            <w:tcW w:w="942"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w:t>
            </w:r>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循环2</w:t>
            </w:r>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循环5</w:t>
            </w:r>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w:t>
            </w:r>
            <w:r>
              <w:rPr>
                <w:color w:val="000000" w:themeColor="text1"/>
                <w:kern w:val="2"/>
                <w14:textFill>
                  <w14:solidFill>
                    <w14:schemeClr w14:val="tx1"/>
                  </w14:solidFill>
                </w14:textFill>
              </w:rPr>
              <w:t>0</w:t>
            </w:r>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循环1</w:t>
            </w:r>
            <w:r>
              <w:rPr>
                <w:color w:val="000000" w:themeColor="text1"/>
                <w:kern w:val="2"/>
                <w14:textFill>
                  <w14:solidFill>
                    <w14:schemeClr w14:val="tx1"/>
                  </w14:solidFill>
                </w14:textFill>
              </w:rPr>
              <w:t>1</w:t>
            </w:r>
          </w:p>
        </w:tc>
        <w:tc>
          <w:tcPr>
            <w:tcW w:w="1202" w:type="dxa"/>
            <w:tcMar>
              <w:left w:w="57" w:type="dxa"/>
              <w:right w:w="57" w:type="dxa"/>
            </w:tcMa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折减系数平均值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61" w:type="dxa"/>
            <w:vMerge w:val="restart"/>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C20</w:t>
            </w:r>
          </w:p>
        </w:tc>
        <w:tc>
          <w:tcPr>
            <w:tcW w:w="1046" w:type="dxa"/>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12</w:t>
            </w:r>
          </w:p>
        </w:tc>
        <w:tc>
          <w:tcPr>
            <w:tcW w:w="942" w:type="dxa"/>
            <w:shd w:val="clear" w:color="auto" w:fill="auto"/>
            <w:tcMar>
              <w:left w:w="57" w:type="dxa"/>
              <w:right w:w="57" w:type="dxa"/>
            </w:tcMar>
          </w:tcPr>
          <w:p>
            <w:pPr>
              <w:snapToGrid w:val="0"/>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1,c20,d12</m:t>
                    </m:r>
                    <m:ctrlPr>
                      <w:rPr>
                        <w:rFonts w:ascii="Cambria Math" w:hAnsi="Cambria Math"/>
                        <w:i/>
                        <w:color w:val="000000" w:themeColor="text1"/>
                        <w14:textFill>
                          <w14:solidFill>
                            <w14:schemeClr w14:val="tx1"/>
                          </w14:solidFill>
                        </w14:textFill>
                      </w:rPr>
                    </m:ctrlPr>
                  </m:sub>
                </m:sSub>
              </m:oMath>
            </m:oMathPara>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2,c20,d12</m:t>
                    </m:r>
                    <m:ctrlPr>
                      <w:rPr>
                        <w:rFonts w:ascii="Cambria Math" w:hAnsi="Cambria Math"/>
                        <w:i/>
                        <w:color w:val="000000" w:themeColor="text1"/>
                        <w14:textFill>
                          <w14:solidFill>
                            <w14:schemeClr w14:val="tx1"/>
                          </w14:solidFill>
                        </w14:textFill>
                      </w:rPr>
                    </m:ctrlPr>
                  </m:sub>
                </m:sSub>
              </m:oMath>
            </m:oMathPara>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5,c20,d12</m:t>
                    </m:r>
                    <m:ctrlPr>
                      <w:rPr>
                        <w:rFonts w:ascii="Cambria Math" w:hAnsi="Cambria Math"/>
                        <w:i/>
                        <w:color w:val="000000" w:themeColor="text1"/>
                        <w14:textFill>
                          <w14:solidFill>
                            <w14:schemeClr w14:val="tx1"/>
                          </w14:solidFill>
                        </w14:textFill>
                      </w:rPr>
                    </m:ctrlPr>
                  </m:sub>
                </m:sSub>
              </m:oMath>
            </m:oMathPara>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10,c20,d12</m:t>
                    </m:r>
                    <m:ctrlPr>
                      <w:rPr>
                        <w:rFonts w:ascii="Cambria Math" w:hAnsi="Cambria Math"/>
                        <w:i/>
                        <w:color w:val="000000" w:themeColor="text1"/>
                        <w14:textFill>
                          <w14:solidFill>
                            <w14:schemeClr w14:val="tx1"/>
                          </w14:solidFill>
                        </w14:textFill>
                      </w:rPr>
                    </m:ctrlPr>
                  </m:sub>
                </m:sSub>
              </m:oMath>
            </m:oMathPara>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11,c20,d12</m:t>
                    </m:r>
                    <m:ctrlPr>
                      <w:rPr>
                        <w:rFonts w:ascii="Cambria Math" w:hAnsi="Cambria Math"/>
                        <w:i/>
                        <w:color w:val="000000" w:themeColor="text1"/>
                        <w14:textFill>
                          <w14:solidFill>
                            <w14:schemeClr w14:val="tx1"/>
                          </w14:solidFill>
                        </w14:textFill>
                      </w:rPr>
                    </m:ctrlPr>
                  </m:sub>
                </m:sSub>
              </m:oMath>
            </m:oMathPara>
          </w:p>
        </w:tc>
        <w:tc>
          <w:tcPr>
            <w:tcW w:w="1202" w:type="dxa"/>
            <w:shd w:val="clear" w:color="auto" w:fill="auto"/>
            <w:tcMar>
              <w:left w:w="57" w:type="dxa"/>
              <w:right w:w="57" w:type="dxa"/>
            </w:tcMar>
          </w:tcPr>
          <w:p>
            <w:pPr>
              <w:snapToGrid w:val="0"/>
              <w:jc w:val="center"/>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c20,d12</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961" w:type="dxa"/>
            <w:vMerge w:val="continue"/>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p>
        </w:tc>
        <w:tc>
          <w:tcPr>
            <w:tcW w:w="1046" w:type="dxa"/>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18</w:t>
            </w:r>
          </w:p>
        </w:tc>
        <w:tc>
          <w:tcPr>
            <w:tcW w:w="942"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1,c20,d18</m:t>
                    </m:r>
                    <m:ctrlPr>
                      <w:rPr>
                        <w:rFonts w:ascii="Cambria Math" w:hAnsi="Cambria Math"/>
                        <w:i/>
                        <w:color w:val="000000" w:themeColor="text1"/>
                        <w14:textFill>
                          <w14:solidFill>
                            <w14:schemeClr w14:val="tx1"/>
                          </w14:solidFill>
                        </w14:textFill>
                      </w:rPr>
                    </m:ctrlPr>
                  </m:sub>
                </m:sSub>
              </m:oMath>
            </m:oMathPara>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2,c20,d18</m:t>
                    </m:r>
                    <m:ctrlPr>
                      <w:rPr>
                        <w:rFonts w:ascii="Cambria Math" w:hAnsi="Cambria Math"/>
                        <w:i/>
                        <w:color w:val="000000" w:themeColor="text1"/>
                        <w14:textFill>
                          <w14:solidFill>
                            <w14:schemeClr w14:val="tx1"/>
                          </w14:solidFill>
                        </w14:textFill>
                      </w:rPr>
                    </m:ctrlPr>
                  </m:sub>
                </m:sSub>
              </m:oMath>
            </m:oMathPara>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5,c20,d18</m:t>
                    </m:r>
                    <m:ctrlPr>
                      <w:rPr>
                        <w:rFonts w:ascii="Cambria Math" w:hAnsi="Cambria Math"/>
                        <w:i/>
                        <w:color w:val="000000" w:themeColor="text1"/>
                        <w14:textFill>
                          <w14:solidFill>
                            <w14:schemeClr w14:val="tx1"/>
                          </w14:solidFill>
                        </w14:textFill>
                      </w:rPr>
                    </m:ctrlPr>
                  </m:sub>
                </m:sSub>
              </m:oMath>
            </m:oMathPara>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10,c20,d18</m:t>
                    </m:r>
                    <m:ctrlPr>
                      <w:rPr>
                        <w:rFonts w:ascii="Cambria Math" w:hAnsi="Cambria Math"/>
                        <w:i/>
                        <w:color w:val="000000" w:themeColor="text1"/>
                        <w14:textFill>
                          <w14:solidFill>
                            <w14:schemeClr w14:val="tx1"/>
                          </w14:solidFill>
                        </w14:textFill>
                      </w:rPr>
                    </m:ctrlPr>
                  </m:sub>
                </m:sSub>
              </m:oMath>
            </m:oMathPara>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11,c20,d18</m:t>
                    </m:r>
                    <m:ctrlPr>
                      <w:rPr>
                        <w:rFonts w:ascii="Cambria Math" w:hAnsi="Cambria Math"/>
                        <w:i/>
                        <w:color w:val="000000" w:themeColor="text1"/>
                        <w14:textFill>
                          <w14:solidFill>
                            <w14:schemeClr w14:val="tx1"/>
                          </w14:solidFill>
                        </w14:textFill>
                      </w:rPr>
                    </m:ctrlPr>
                  </m:sub>
                </m:sSub>
              </m:oMath>
            </m:oMathPara>
          </w:p>
        </w:tc>
        <w:tc>
          <w:tcPr>
            <w:tcW w:w="1202" w:type="dxa"/>
            <w:shd w:val="clear" w:color="auto" w:fill="auto"/>
            <w:tcMar>
              <w:left w:w="57" w:type="dxa"/>
              <w:right w:w="57" w:type="dxa"/>
            </w:tcMar>
          </w:tcPr>
          <w:p>
            <w:pPr>
              <w:snapToGrid w:val="0"/>
              <w:jc w:val="center"/>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c20,d18</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961" w:type="dxa"/>
            <w:vMerge w:val="continue"/>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p>
        </w:tc>
        <w:tc>
          <w:tcPr>
            <w:tcW w:w="1046" w:type="dxa"/>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25</w:t>
            </w:r>
          </w:p>
        </w:tc>
        <w:tc>
          <w:tcPr>
            <w:tcW w:w="942"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1,c20,d25</m:t>
                    </m:r>
                    <m:ctrlPr>
                      <w:rPr>
                        <w:rFonts w:ascii="Cambria Math" w:hAnsi="Cambria Math"/>
                        <w:i/>
                        <w:color w:val="000000" w:themeColor="text1"/>
                        <w14:textFill>
                          <w14:solidFill>
                            <w14:schemeClr w14:val="tx1"/>
                          </w14:solidFill>
                        </w14:textFill>
                      </w:rPr>
                    </m:ctrlPr>
                  </m:sub>
                </m:sSub>
              </m:oMath>
            </m:oMathPara>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2,c20,d25</m:t>
                    </m:r>
                    <m:ctrlPr>
                      <w:rPr>
                        <w:rFonts w:ascii="Cambria Math" w:hAnsi="Cambria Math"/>
                        <w:i/>
                        <w:color w:val="000000" w:themeColor="text1"/>
                        <w14:textFill>
                          <w14:solidFill>
                            <w14:schemeClr w14:val="tx1"/>
                          </w14:solidFill>
                        </w14:textFill>
                      </w:rPr>
                    </m:ctrlPr>
                  </m:sub>
                </m:sSub>
              </m:oMath>
            </m:oMathPara>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5,c20,d25</m:t>
                    </m:r>
                    <m:ctrlPr>
                      <w:rPr>
                        <w:rFonts w:ascii="Cambria Math" w:hAnsi="Cambria Math"/>
                        <w:i/>
                        <w:color w:val="000000" w:themeColor="text1"/>
                        <w14:textFill>
                          <w14:solidFill>
                            <w14:schemeClr w14:val="tx1"/>
                          </w14:solidFill>
                        </w14:textFill>
                      </w:rPr>
                    </m:ctrlPr>
                  </m:sub>
                </m:sSub>
              </m:oMath>
            </m:oMathPara>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10,c20,d25</m:t>
                    </m:r>
                    <m:ctrlPr>
                      <w:rPr>
                        <w:rFonts w:ascii="Cambria Math" w:hAnsi="Cambria Math"/>
                        <w:i/>
                        <w:color w:val="000000" w:themeColor="text1"/>
                        <w14:textFill>
                          <w14:solidFill>
                            <w14:schemeClr w14:val="tx1"/>
                          </w14:solidFill>
                        </w14:textFill>
                      </w:rPr>
                    </m:ctrlPr>
                  </m:sub>
                </m:sSub>
              </m:oMath>
            </m:oMathPara>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11,c20,d25</m:t>
                    </m:r>
                    <m:ctrlPr>
                      <w:rPr>
                        <w:rFonts w:ascii="Cambria Math" w:hAnsi="Cambria Math"/>
                        <w:i/>
                        <w:color w:val="000000" w:themeColor="text1"/>
                        <w14:textFill>
                          <w14:solidFill>
                            <w14:schemeClr w14:val="tx1"/>
                          </w14:solidFill>
                        </w14:textFill>
                      </w:rPr>
                    </m:ctrlPr>
                  </m:sub>
                </m:sSub>
              </m:oMath>
            </m:oMathPara>
          </w:p>
        </w:tc>
        <w:tc>
          <w:tcPr>
            <w:tcW w:w="1202" w:type="dxa"/>
            <w:shd w:val="clear" w:color="auto" w:fill="auto"/>
            <w:tcMar>
              <w:left w:w="57" w:type="dxa"/>
              <w:right w:w="57" w:type="dxa"/>
            </w:tcMar>
          </w:tcPr>
          <w:p>
            <w:pPr>
              <w:snapToGrid w:val="0"/>
              <w:jc w:val="center"/>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c20,d25</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61" w:type="dxa"/>
            <w:vMerge w:val="restart"/>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C60</w:t>
            </w:r>
          </w:p>
        </w:tc>
        <w:tc>
          <w:tcPr>
            <w:tcW w:w="1046" w:type="dxa"/>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12</w:t>
            </w:r>
          </w:p>
        </w:tc>
        <w:tc>
          <w:tcPr>
            <w:tcW w:w="942" w:type="dxa"/>
            <w:shd w:val="clear" w:color="auto" w:fill="auto"/>
            <w:tcMar>
              <w:left w:w="57" w:type="dxa"/>
              <w:right w:w="57" w:type="dxa"/>
            </w:tcMar>
          </w:tcPr>
          <w:p>
            <w:pPr>
              <w:snapToGrid w:val="0"/>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1,c60,d12</m:t>
                    </m:r>
                    <m:ctrlPr>
                      <w:rPr>
                        <w:rFonts w:ascii="Cambria Math" w:hAnsi="Cambria Math"/>
                        <w:i/>
                        <w:color w:val="000000" w:themeColor="text1"/>
                        <w14:textFill>
                          <w14:solidFill>
                            <w14:schemeClr w14:val="tx1"/>
                          </w14:solidFill>
                        </w14:textFill>
                      </w:rPr>
                    </m:ctrlPr>
                  </m:sub>
                </m:sSub>
              </m:oMath>
            </m:oMathPara>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2,c60,d12</m:t>
                    </m:r>
                    <m:ctrlPr>
                      <w:rPr>
                        <w:rFonts w:ascii="Cambria Math" w:hAnsi="Cambria Math"/>
                        <w:i/>
                        <w:color w:val="000000" w:themeColor="text1"/>
                        <w14:textFill>
                          <w14:solidFill>
                            <w14:schemeClr w14:val="tx1"/>
                          </w14:solidFill>
                        </w14:textFill>
                      </w:rPr>
                    </m:ctrlPr>
                  </m:sub>
                </m:sSub>
              </m:oMath>
            </m:oMathPara>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5,c60,d12</m:t>
                    </m:r>
                    <m:ctrlPr>
                      <w:rPr>
                        <w:rFonts w:ascii="Cambria Math" w:hAnsi="Cambria Math"/>
                        <w:i/>
                        <w:color w:val="000000" w:themeColor="text1"/>
                        <w14:textFill>
                          <w14:solidFill>
                            <w14:schemeClr w14:val="tx1"/>
                          </w14:solidFill>
                        </w14:textFill>
                      </w:rPr>
                    </m:ctrlPr>
                  </m:sub>
                </m:sSub>
              </m:oMath>
            </m:oMathPara>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10,c60,d12</m:t>
                    </m:r>
                    <m:ctrlPr>
                      <w:rPr>
                        <w:rFonts w:ascii="Cambria Math" w:hAnsi="Cambria Math"/>
                        <w:i/>
                        <w:color w:val="000000" w:themeColor="text1"/>
                        <w14:textFill>
                          <w14:solidFill>
                            <w14:schemeClr w14:val="tx1"/>
                          </w14:solidFill>
                        </w14:textFill>
                      </w:rPr>
                    </m:ctrlPr>
                  </m:sub>
                </m:sSub>
              </m:oMath>
            </m:oMathPara>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11,c60,d12</m:t>
                    </m:r>
                    <m:ctrlPr>
                      <w:rPr>
                        <w:rFonts w:ascii="Cambria Math" w:hAnsi="Cambria Math"/>
                        <w:i/>
                        <w:color w:val="000000" w:themeColor="text1"/>
                        <w14:textFill>
                          <w14:solidFill>
                            <w14:schemeClr w14:val="tx1"/>
                          </w14:solidFill>
                        </w14:textFill>
                      </w:rPr>
                    </m:ctrlPr>
                  </m:sub>
                </m:sSub>
              </m:oMath>
            </m:oMathPara>
          </w:p>
        </w:tc>
        <w:tc>
          <w:tcPr>
            <w:tcW w:w="1202" w:type="dxa"/>
            <w:shd w:val="clear" w:color="auto" w:fill="auto"/>
            <w:tcMar>
              <w:left w:w="57" w:type="dxa"/>
              <w:right w:w="57" w:type="dxa"/>
            </w:tcMar>
          </w:tcPr>
          <w:p>
            <w:pPr>
              <w:snapToGrid w:val="0"/>
              <w:jc w:val="center"/>
              <w:rPr>
                <w:color w:val="000000" w:themeColor="text1"/>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c60,d12</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961" w:type="dxa"/>
            <w:vMerge w:val="continue"/>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p>
        </w:tc>
        <w:tc>
          <w:tcPr>
            <w:tcW w:w="1046" w:type="dxa"/>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18</w:t>
            </w:r>
          </w:p>
        </w:tc>
        <w:tc>
          <w:tcPr>
            <w:tcW w:w="942"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1,c60,d18</m:t>
                    </m:r>
                    <m:ctrlPr>
                      <w:rPr>
                        <w:rFonts w:ascii="Cambria Math" w:hAnsi="Cambria Math"/>
                        <w:i/>
                        <w:color w:val="000000" w:themeColor="text1"/>
                        <w14:textFill>
                          <w14:solidFill>
                            <w14:schemeClr w14:val="tx1"/>
                          </w14:solidFill>
                        </w14:textFill>
                      </w:rPr>
                    </m:ctrlPr>
                  </m:sub>
                </m:sSub>
              </m:oMath>
            </m:oMathPara>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2,c60,d18</m:t>
                    </m:r>
                    <m:ctrlPr>
                      <w:rPr>
                        <w:rFonts w:ascii="Cambria Math" w:hAnsi="Cambria Math"/>
                        <w:i/>
                        <w:color w:val="000000" w:themeColor="text1"/>
                        <w14:textFill>
                          <w14:solidFill>
                            <w14:schemeClr w14:val="tx1"/>
                          </w14:solidFill>
                        </w14:textFill>
                      </w:rPr>
                    </m:ctrlPr>
                  </m:sub>
                </m:sSub>
              </m:oMath>
            </m:oMathPara>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5,c60,d18</m:t>
                    </m:r>
                    <m:ctrlPr>
                      <w:rPr>
                        <w:rFonts w:ascii="Cambria Math" w:hAnsi="Cambria Math"/>
                        <w:i/>
                        <w:color w:val="000000" w:themeColor="text1"/>
                        <w14:textFill>
                          <w14:solidFill>
                            <w14:schemeClr w14:val="tx1"/>
                          </w14:solidFill>
                        </w14:textFill>
                      </w:rPr>
                    </m:ctrlPr>
                  </m:sub>
                </m:sSub>
              </m:oMath>
            </m:oMathPara>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10,c60,d18</m:t>
                    </m:r>
                    <m:ctrlPr>
                      <w:rPr>
                        <w:rFonts w:ascii="Cambria Math" w:hAnsi="Cambria Math"/>
                        <w:i/>
                        <w:color w:val="000000" w:themeColor="text1"/>
                        <w14:textFill>
                          <w14:solidFill>
                            <w14:schemeClr w14:val="tx1"/>
                          </w14:solidFill>
                        </w14:textFill>
                      </w:rPr>
                    </m:ctrlPr>
                  </m:sub>
                </m:sSub>
              </m:oMath>
            </m:oMathPara>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11,c60,d18</m:t>
                    </m:r>
                    <m:ctrlPr>
                      <w:rPr>
                        <w:rFonts w:ascii="Cambria Math" w:hAnsi="Cambria Math"/>
                        <w:i/>
                        <w:color w:val="000000" w:themeColor="text1"/>
                        <w14:textFill>
                          <w14:solidFill>
                            <w14:schemeClr w14:val="tx1"/>
                          </w14:solidFill>
                        </w14:textFill>
                      </w:rPr>
                    </m:ctrlPr>
                  </m:sub>
                </m:sSub>
              </m:oMath>
            </m:oMathPara>
          </w:p>
        </w:tc>
        <w:tc>
          <w:tcPr>
            <w:tcW w:w="1202" w:type="dxa"/>
            <w:shd w:val="clear" w:color="auto" w:fill="auto"/>
            <w:tcMar>
              <w:left w:w="57" w:type="dxa"/>
              <w:right w:w="57" w:type="dxa"/>
            </w:tcMar>
          </w:tcPr>
          <w:p>
            <w:pPr>
              <w:snapToGrid w:val="0"/>
              <w:jc w:val="center"/>
              <w:rPr>
                <w:color w:val="000000" w:themeColor="text1"/>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c60,d18</m:t>
                    </m:r>
                    <m:ctrlPr>
                      <w:rPr>
                        <w:rFonts w:ascii="Cambria Math" w:hAnsi="Cambria Math"/>
                        <w:i/>
                        <w:color w:val="000000" w:themeColor="text1"/>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961" w:type="dxa"/>
            <w:vMerge w:val="continue"/>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p>
        </w:tc>
        <w:tc>
          <w:tcPr>
            <w:tcW w:w="1046" w:type="dxa"/>
            <w:shd w:val="clear" w:color="auto" w:fill="auto"/>
            <w:tcMar>
              <w:left w:w="57" w:type="dxa"/>
              <w:right w:w="57" w:type="dxa"/>
            </w:tcMar>
            <w:vAlign w:val="center"/>
          </w:tcPr>
          <w:p>
            <w:pPr>
              <w:snapToGrid w:val="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25</w:t>
            </w:r>
          </w:p>
        </w:tc>
        <w:tc>
          <w:tcPr>
            <w:tcW w:w="942"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1,c60,d25</m:t>
                    </m:r>
                    <m:ctrlPr>
                      <w:rPr>
                        <w:rFonts w:ascii="Cambria Math" w:hAnsi="Cambria Math"/>
                        <w:i/>
                        <w:color w:val="000000" w:themeColor="text1"/>
                        <w14:textFill>
                          <w14:solidFill>
                            <w14:schemeClr w14:val="tx1"/>
                          </w14:solidFill>
                        </w14:textFill>
                      </w:rPr>
                    </m:ctrlPr>
                  </m:sub>
                </m:sSub>
              </m:oMath>
            </m:oMathPara>
          </w:p>
        </w:tc>
        <w:tc>
          <w:tcPr>
            <w:tcW w:w="1069"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2,c60,d25</m:t>
                    </m:r>
                    <m:ctrlPr>
                      <w:rPr>
                        <w:rFonts w:ascii="Cambria Math" w:hAnsi="Cambria Math"/>
                        <w:i/>
                        <w:color w:val="000000" w:themeColor="text1"/>
                        <w14:textFill>
                          <w14:solidFill>
                            <w14:schemeClr w14:val="tx1"/>
                          </w14:solidFill>
                        </w14:textFill>
                      </w:rPr>
                    </m:ctrlPr>
                  </m:sub>
                </m:sSub>
              </m:oMath>
            </m:oMathPara>
          </w:p>
        </w:tc>
        <w:tc>
          <w:tcPr>
            <w:tcW w:w="112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5,c60,d25</m:t>
                    </m:r>
                    <m:ctrlPr>
                      <w:rPr>
                        <w:rFonts w:ascii="Cambria Math" w:hAnsi="Cambria Math"/>
                        <w:i/>
                        <w:color w:val="000000" w:themeColor="text1"/>
                        <w14:textFill>
                          <w14:solidFill>
                            <w14:schemeClr w14:val="tx1"/>
                          </w14:solidFill>
                        </w14:textFill>
                      </w:rPr>
                    </m:ctrlPr>
                  </m:sub>
                </m:sSub>
              </m:oMath>
            </m:oMathPara>
          </w:p>
        </w:tc>
        <w:tc>
          <w:tcPr>
            <w:tcW w:w="1046"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10,c60,d25</m:t>
                    </m:r>
                    <m:ctrlPr>
                      <w:rPr>
                        <w:rFonts w:ascii="Cambria Math" w:hAnsi="Cambria Math"/>
                        <w:i/>
                        <w:color w:val="000000" w:themeColor="text1"/>
                        <w14:textFill>
                          <w14:solidFill>
                            <w14:schemeClr w14:val="tx1"/>
                          </w14:solidFill>
                        </w14:textFill>
                      </w:rPr>
                    </m:ctrlPr>
                  </m:sub>
                </m:sSub>
              </m:oMath>
            </m:oMathPara>
          </w:p>
        </w:tc>
        <w:tc>
          <w:tcPr>
            <w:tcW w:w="965" w:type="dxa"/>
            <w:shd w:val="clear" w:color="auto" w:fill="auto"/>
            <w:tcMar>
              <w:left w:w="57" w:type="dxa"/>
              <w:right w:w="57" w:type="dxa"/>
            </w:tcMar>
          </w:tcPr>
          <w:p>
            <w:pPr>
              <w:snapToGrid w:val="0"/>
              <w:jc w:val="center"/>
              <w:rPr>
                <w:color w:val="000000" w:themeColor="text1"/>
                <w:kern w:val="2"/>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11,c60,d25</m:t>
                    </m:r>
                    <m:ctrlPr>
                      <w:rPr>
                        <w:rFonts w:ascii="Cambria Math" w:hAnsi="Cambria Math"/>
                        <w:i/>
                        <w:color w:val="000000" w:themeColor="text1"/>
                        <w14:textFill>
                          <w14:solidFill>
                            <w14:schemeClr w14:val="tx1"/>
                          </w14:solidFill>
                        </w14:textFill>
                      </w:rPr>
                    </m:ctrlPr>
                  </m:sub>
                </m:sSub>
              </m:oMath>
            </m:oMathPara>
          </w:p>
        </w:tc>
        <w:tc>
          <w:tcPr>
            <w:tcW w:w="1202" w:type="dxa"/>
            <w:shd w:val="clear" w:color="auto" w:fill="auto"/>
            <w:tcMar>
              <w:left w:w="57" w:type="dxa"/>
              <w:right w:w="57" w:type="dxa"/>
            </w:tcMar>
          </w:tcPr>
          <w:p>
            <w:pPr>
              <w:snapToGrid w:val="0"/>
              <w:jc w:val="center"/>
              <w:rPr>
                <w:color w:val="000000" w:themeColor="text1"/>
                <w14:textFill>
                  <w14:solidFill>
                    <w14:schemeClr w14:val="tx1"/>
                  </w14:solidFill>
                </w14:textFill>
                <w:oMath/>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c60,d25</m:t>
                    </m:r>
                    <m:ctrlPr>
                      <w:rPr>
                        <w:rFonts w:ascii="Cambria Math" w:hAnsi="Cambria Math"/>
                        <w:i/>
                        <w:color w:val="000000" w:themeColor="text1"/>
                        <w14:textFill>
                          <w14:solidFill>
                            <w14:schemeClr w14:val="tx1"/>
                          </w14:solidFill>
                        </w14:textFill>
                      </w:rPr>
                    </m:ctrlPr>
                  </m:sub>
                </m:sSub>
              </m:oMath>
            </m:oMathPara>
          </w:p>
        </w:tc>
      </w:tr>
    </w:tbl>
    <w:p>
      <w:pPr>
        <w:spacing w:after="0"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 xml:space="preserve">6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C20及C60试件抗震试验的粘结强度对应的总折减系数应分别按照公式（J.3.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-5）及（J.3.</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-6）计算：</w:t>
      </w:r>
    </w:p>
    <w:p>
      <w:pPr>
        <w:jc w:val="right"/>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seis,c20</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=min.</m:t>
        </m:r>
        <m:d>
          <m:dPr>
            <m:begChr m:val="{"/>
            <m:endChr m:val="}"/>
            <m:ctrlPr>
              <w:rPr>
                <w:rFonts w:ascii="Cambria Math" w:hAnsi="Cambria Math"/>
                <w:bCs/>
                <w:i/>
                <w:color w:val="000000" w:themeColor="text1"/>
                <w:sz w:val="24"/>
                <w:szCs w:val="24"/>
                <w14:textFill>
                  <w14:solidFill>
                    <w14:schemeClr w14:val="tx1"/>
                  </w14:solidFill>
                </w14:textFill>
              </w:rPr>
            </m:ctrlPr>
          </m:d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c20,d12</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bCs/>
                    <w:i/>
                    <w:color w:val="000000" w:themeColor="text1"/>
                    <w:sz w:val="24"/>
                    <w:szCs w:val="24"/>
                    <w14:textFill>
                      <w14:solidFill>
                        <w14:schemeClr w14:val="tx1"/>
                      </w14:solidFill>
                    </w14:textFill>
                  </w:rPr>
                </m:ctrlPr>
              </m:sSub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c20,d18</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 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c20,d25</m:t>
                </m:r>
                <m:ctrlPr>
                  <w:rPr>
                    <w:rFonts w:ascii="Cambria Math" w:hAnsi="Cambria Math"/>
                    <w:bCs/>
                    <w:i/>
                    <w:color w:val="000000" w:themeColor="text1"/>
                    <w:sz w:val="24"/>
                    <w:szCs w:val="24"/>
                    <w14:textFill>
                      <w14:solidFill>
                        <w14:schemeClr w14:val="tx1"/>
                      </w14:solidFill>
                    </w14:textFill>
                  </w:rPr>
                </m:ctrlPr>
              </m:sub>
            </m:sSub>
            <m:ctrlPr>
              <w:rPr>
                <w:rFonts w:ascii="Cambria Math" w:hAnsi="Cambria Math"/>
                <w:bCs/>
                <w:i/>
                <w:color w:val="000000" w:themeColor="text1"/>
                <w:sz w:val="24"/>
                <w:szCs w:val="24"/>
                <w14:textFill>
                  <w14:solidFill>
                    <w14:schemeClr w14:val="tx1"/>
                  </w14:solidFill>
                </w14:textFill>
              </w:rPr>
            </m:ctrlPr>
          </m:e>
        </m:d>
        <m:r>
          <m:rPr/>
          <w:rPr>
            <w:rFonts w:ascii="Cambria Math" w:hAnsi="Cambria Math"/>
            <w:color w:val="000000" w:themeColor="text1"/>
            <w:sz w:val="24"/>
            <w:szCs w:val="24"/>
            <w14:textFill>
              <w14:solidFill>
                <w14:schemeClr w14:val="tx1"/>
              </w14:solidFill>
            </w14:textFill>
          </w:rPr>
          <m:t>≤1.0</m:t>
        </m:r>
      </m:oMath>
      <w:r>
        <w:rPr>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J.3.</w:t>
      </w:r>
      <w:r>
        <w:rPr>
          <w:bCs/>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5</w:t>
      </w:r>
      <w:r>
        <w:rPr>
          <w:bCs/>
          <w:color w:val="000000" w:themeColor="text1"/>
          <w:sz w:val="24"/>
          <w:szCs w:val="24"/>
          <w14:textFill>
            <w14:solidFill>
              <w14:schemeClr w14:val="tx1"/>
            </w14:solidFill>
          </w14:textFill>
        </w:rPr>
        <w:t>)</w:t>
      </w:r>
    </w:p>
    <w:p>
      <w:pPr>
        <w:jc w:val="right"/>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seis,c60</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=min.</m:t>
        </m:r>
        <m:d>
          <m:dPr>
            <m:begChr m:val="{"/>
            <m:endChr m:val="}"/>
            <m:ctrlPr>
              <w:rPr>
                <w:rFonts w:ascii="Cambria Math" w:hAnsi="Cambria Math"/>
                <w:bCs/>
                <w:i/>
                <w:color w:val="000000" w:themeColor="text1"/>
                <w:sz w:val="24"/>
                <w:szCs w:val="24"/>
                <w14:textFill>
                  <w14:solidFill>
                    <w14:schemeClr w14:val="tx1"/>
                  </w14:solidFill>
                </w14:textFill>
              </w:rPr>
            </m:ctrlPr>
          </m:d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c60,d12</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bCs/>
                    <w:i/>
                    <w:color w:val="000000" w:themeColor="text1"/>
                    <w:sz w:val="24"/>
                    <w:szCs w:val="24"/>
                    <w14:textFill>
                      <w14:solidFill>
                        <w14:schemeClr w14:val="tx1"/>
                      </w14:solidFill>
                    </w14:textFill>
                  </w:rPr>
                </m:ctrlPr>
              </m:sSubPr>
              <m:e>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c60,d18</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 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c60,d25</m:t>
                </m:r>
                <m:ctrlPr>
                  <w:rPr>
                    <w:rFonts w:ascii="Cambria Math" w:hAnsi="Cambria Math"/>
                    <w:bCs/>
                    <w:i/>
                    <w:color w:val="000000" w:themeColor="text1"/>
                    <w:sz w:val="24"/>
                    <w:szCs w:val="24"/>
                    <w14:textFill>
                      <w14:solidFill>
                        <w14:schemeClr w14:val="tx1"/>
                      </w14:solidFill>
                    </w14:textFill>
                  </w:rPr>
                </m:ctrlPr>
              </m:sub>
            </m:sSub>
            <m:ctrlPr>
              <w:rPr>
                <w:rFonts w:ascii="Cambria Math" w:hAnsi="Cambria Math"/>
                <w:bCs/>
                <w:i/>
                <w:color w:val="000000" w:themeColor="text1"/>
                <w:sz w:val="24"/>
                <w:szCs w:val="24"/>
                <w14:textFill>
                  <w14:solidFill>
                    <w14:schemeClr w14:val="tx1"/>
                  </w14:solidFill>
                </w14:textFill>
              </w:rPr>
            </m:ctrlPr>
          </m:e>
        </m:d>
        <m:r>
          <m:rPr/>
          <w:rPr>
            <w:rFonts w:ascii="Cambria Math" w:hAnsi="Cambria Math"/>
            <w:color w:val="000000" w:themeColor="text1"/>
            <w:sz w:val="24"/>
            <w:szCs w:val="24"/>
            <w14:textFill>
              <w14:solidFill>
                <w14:schemeClr w14:val="tx1"/>
              </w14:solidFill>
            </w14:textFill>
          </w:rPr>
          <m:t>≤1.0</m:t>
        </m:r>
      </m:oMath>
      <w:r>
        <w:rPr>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J.3.4</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6</w:t>
      </w:r>
      <w:r>
        <w:rPr>
          <w:bCs/>
          <w:color w:val="000000" w:themeColor="text1"/>
          <w:sz w:val="24"/>
          <w:szCs w:val="24"/>
          <w14:textFill>
            <w14:solidFill>
              <w14:schemeClr w14:val="tx1"/>
            </w14:solidFill>
          </w14:textFill>
        </w:rPr>
        <w:t>)</w:t>
      </w:r>
    </w:p>
    <w:p>
      <w:pPr>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J.3.5</w:t>
      </w:r>
      <w:r>
        <w:rPr>
          <w:b/>
          <w:bCs/>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综合抗震测试结果离散性和粘结强度的总折减系数</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m:t>
            </m:r>
            <m:ctrlPr>
              <w:rPr>
                <w:rFonts w:ascii="Cambria Math" w:hAnsi="Cambria Math"/>
                <w:bCs/>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应符合下列规定：</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1 C</w:t>
      </w:r>
      <w:r>
        <w:rPr>
          <w:color w:val="000000" w:themeColor="text1"/>
          <w:sz w:val="24"/>
          <w:szCs w:val="24"/>
          <w14:textFill>
            <w14:solidFill>
              <w14:schemeClr w14:val="tx1"/>
            </w14:solidFill>
          </w14:textFill>
        </w:rPr>
        <w:t>20</w:t>
      </w:r>
      <w:r>
        <w:rPr>
          <w:rFonts w:hint="eastAsia"/>
          <w:color w:val="000000" w:themeColor="text1"/>
          <w:sz w:val="24"/>
          <w:szCs w:val="24"/>
          <w14:textFill>
            <w14:solidFill>
              <w14:schemeClr w14:val="tx1"/>
            </w14:solidFill>
          </w14:textFill>
        </w:rPr>
        <w:t>混凝土的抗震性能折减系数</w:t>
      </w:r>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k</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seis,c20</m:t>
            </m:r>
            <m:ctrlPr>
              <w:rPr>
                <w:rFonts w:ascii="Cambria Math" w:hAnsi="Cambria Math"/>
                <w:i/>
                <w:color w:val="000000" w:themeColor="text1"/>
                <w:sz w:val="24"/>
                <w:szCs w:val="24"/>
                <w14:textFill>
                  <w14:solidFill>
                    <w14:schemeClr w14:val="tx1"/>
                  </w14:solidFill>
                </w14:textFill>
              </w:rPr>
            </m:ctrlPr>
          </m:sub>
        </m:sSub>
      </m:oMath>
    </w:p>
    <w:p>
      <w:pPr>
        <w:jc w:val="right"/>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k</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seis,c20</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seis,c20</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 seis, c20</m:t>
            </m:r>
            <m:ctrlPr>
              <w:rPr>
                <w:rFonts w:ascii="Cambria Math" w:hAnsi="Cambria Math"/>
                <w:i/>
                <w:color w:val="000000" w:themeColor="text1"/>
                <w:sz w:val="24"/>
                <w:szCs w:val="24"/>
                <w14:textFill>
                  <w14:solidFill>
                    <w14:schemeClr w14:val="tx1"/>
                  </w14:solidFill>
                </w14:textFill>
              </w:rPr>
            </m:ctrlPr>
          </m:sub>
        </m:sSub>
      </m:oMath>
      <w:r>
        <w:rPr>
          <w:bCs/>
          <w:color w:val="000000" w:themeColor="text1"/>
          <w:sz w:val="24"/>
          <w:szCs w:val="24"/>
          <w14:textFill>
            <w14:solidFill>
              <w14:schemeClr w14:val="tx1"/>
            </w14:solidFill>
          </w14:textFill>
        </w:rPr>
        <w:t xml:space="preserve"> ≤1.0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J.3.5</w:t>
      </w:r>
      <w:r>
        <w:rPr>
          <w:bCs/>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 xml:space="preserve">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2 C</w:t>
      </w:r>
      <w:r>
        <w:rPr>
          <w:color w:val="000000" w:themeColor="text1"/>
          <w:sz w:val="24"/>
          <w:szCs w:val="24"/>
          <w14:textFill>
            <w14:solidFill>
              <w14:schemeClr w14:val="tx1"/>
            </w14:solidFill>
          </w14:textFill>
        </w:rPr>
        <w:t>60</w:t>
      </w:r>
      <w:r>
        <w:rPr>
          <w:rFonts w:hint="eastAsia"/>
          <w:color w:val="000000" w:themeColor="text1"/>
          <w:sz w:val="24"/>
          <w:szCs w:val="24"/>
          <w14:textFill>
            <w14:solidFill>
              <w14:schemeClr w14:val="tx1"/>
            </w14:solidFill>
          </w14:textFill>
        </w:rPr>
        <w:t>混凝土的抗震性能折减系数</w:t>
      </w:r>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k</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seis,c60</m:t>
            </m:r>
            <m:ctrlPr>
              <w:rPr>
                <w:rFonts w:ascii="Cambria Math" w:hAnsi="Cambria Math"/>
                <w:i/>
                <w:color w:val="000000" w:themeColor="text1"/>
                <w:sz w:val="24"/>
                <w:szCs w:val="24"/>
                <w14:textFill>
                  <w14:solidFill>
                    <w14:schemeClr w14:val="tx1"/>
                  </w14:solidFill>
                </w14:textFill>
              </w:rPr>
            </m:ctrlPr>
          </m:sub>
        </m:sSub>
      </m:oMath>
    </w:p>
    <w:p>
      <w:pPr>
        <w:jc w:val="right"/>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k</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seis,c60</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seis,c60</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 seis, c60</m:t>
            </m:r>
            <m:ctrlPr>
              <w:rPr>
                <w:rFonts w:ascii="Cambria Math" w:hAnsi="Cambria Math"/>
                <w:i/>
                <w:color w:val="000000" w:themeColor="text1"/>
                <w:sz w:val="24"/>
                <w:szCs w:val="24"/>
                <w14:textFill>
                  <w14:solidFill>
                    <w14:schemeClr w14:val="tx1"/>
                  </w14:solidFill>
                </w14:textFill>
              </w:rPr>
            </m:ctrlPr>
          </m:sub>
        </m:sSub>
      </m:oMath>
      <w:r>
        <w:rPr>
          <w:bCs/>
          <w:color w:val="000000" w:themeColor="text1"/>
          <w:sz w:val="24"/>
          <w:szCs w:val="24"/>
          <w14:textFill>
            <w14:solidFill>
              <w14:schemeClr w14:val="tx1"/>
            </w14:solidFill>
          </w14:textFill>
        </w:rPr>
        <w:t xml:space="preserve"> ≤1.0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J.3.5</w:t>
      </w:r>
      <w:r>
        <w:rPr>
          <w:bCs/>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3 综合抗震测试结果离散性和粘结强度的总折减系数</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m:t>
            </m:r>
            <m:ctrlPr>
              <w:rPr>
                <w:rFonts w:ascii="Cambria Math" w:hAnsi="Cambria Math"/>
                <w:bCs/>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应按照下式计算：</w:t>
      </w:r>
    </w:p>
    <w:p>
      <w:pPr>
        <w:pStyle w:val="2"/>
        <w:ind w:firstLine="480"/>
        <w:jc w:val="right"/>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  </w:t>
      </w:r>
      <m:oMath>
        <m:sSub>
          <m:sSubPr>
            <m:ctrlPr>
              <w:rPr>
                <w:rFonts w:ascii="Cambria Math" w:hAnsi="Cambria Math"/>
                <w:bCs/>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α</m:t>
            </m:r>
            <m:ctrlPr>
              <w:rPr>
                <w:rFonts w:ascii="Cambria Math" w:hAnsi="Cambria Math"/>
                <w:bCs/>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m:t>
            </m:r>
            <m:ctrlPr>
              <w:rPr>
                <w:rFonts w:ascii="Cambria Math" w:hAnsi="Cambria Math"/>
                <w:bCs/>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min.{k</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seis,c60</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k</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 xml:space="preserve"> seis, c60</m:t>
            </m:r>
            <m:ctrlPr>
              <w:rPr>
                <w:rFonts w:ascii="Cambria Math" w:hAnsi="Cambria Math"/>
                <w:i/>
                <w:color w:val="000000" w:themeColor="text1"/>
                <w:sz w:val="24"/>
                <w:szCs w:val="24"/>
                <w14:textFill>
                  <w14:solidFill>
                    <w14:schemeClr w14:val="tx1"/>
                  </w14:solidFill>
                </w14:textFill>
              </w:rPr>
            </m:ctrlPr>
          </m:sub>
        </m:sSub>
      </m:oMath>
      <w:r>
        <w:rPr>
          <w:rFonts w:hint="eastAsia" w:hAnsi="Cambria Math"/>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 xml:space="preserve"> ≤1.0        </w:t>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ab/>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J.3.5</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3</w:t>
      </w:r>
      <w:r>
        <w:rPr>
          <w:b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 xml:space="preserve">      </w:t>
      </w:r>
    </w:p>
    <w:p>
      <w:pPr>
        <w:pStyle w:val="2"/>
        <w:ind w:firstLine="480"/>
        <w:rPr>
          <w:color w:val="000000" w:themeColor="text1"/>
          <w:sz w:val="24"/>
          <w:szCs w:val="24"/>
          <w14:textFill>
            <w14:solidFill>
              <w14:schemeClr w14:val="tx1"/>
            </w14:solidFill>
          </w14:textFill>
        </w:rPr>
      </w:pPr>
    </w:p>
    <w:p>
      <w:pPr>
        <w:rPr>
          <w:iCs/>
          <w:color w:val="FF0000"/>
          <w:sz w:val="24"/>
          <w:szCs w:val="24"/>
        </w:rPr>
      </w:pPr>
    </w:p>
    <w:p>
      <w:pPr>
        <w:rPr>
          <w:color w:val="FF0000"/>
        </w:rPr>
      </w:pPr>
      <w:r>
        <w:rPr>
          <w:rFonts w:hint="eastAsia"/>
          <w:color w:val="FF0000"/>
        </w:rPr>
        <w:br w:type="page"/>
      </w:r>
    </w:p>
    <w:p>
      <w:pPr>
        <w:pStyle w:val="4"/>
        <w:rPr>
          <w:rFonts w:ascii="Times New Roman" w:hAnsi="Times New Roman"/>
        </w:rPr>
      </w:pPr>
      <w:bookmarkStart w:id="129" w:name="_Toc3023"/>
      <w:r>
        <w:rPr>
          <w:rFonts w:hint="eastAsia" w:ascii="Times New Roman" w:hAnsi="Times New Roman"/>
        </w:rPr>
        <w:t>附录K最高使用温度试验方法与评估</w:t>
      </w:r>
      <w:bookmarkEnd w:id="129"/>
    </w:p>
    <w:p>
      <w:pPr>
        <w:pStyle w:val="5"/>
      </w:pPr>
      <w:bookmarkStart w:id="130" w:name="_Toc8747"/>
      <w:bookmarkStart w:id="131" w:name="_Toc20611"/>
      <w:bookmarkStart w:id="132" w:name="_Toc4740"/>
      <w:r>
        <w:rPr>
          <w:rFonts w:hint="eastAsia"/>
        </w:rPr>
        <w:t>K.1最高使用温度试验流程</w:t>
      </w:r>
      <w:bookmarkEnd w:id="130"/>
      <w:bookmarkEnd w:id="131"/>
      <w:bookmarkEnd w:id="132"/>
    </w:p>
    <w:p>
      <w:pPr>
        <w:spacing w:after="0" w:line="360" w:lineRule="auto"/>
        <w:rPr>
          <w:i/>
          <w:iCs/>
          <w:color w:val="auto"/>
          <w:sz w:val="32"/>
          <w:szCs w:val="32"/>
        </w:rPr>
      </w:pPr>
      <w:r>
        <w:rPr>
          <w:rFonts w:hint="eastAsia"/>
          <w:b/>
          <w:bCs/>
          <w:color w:val="auto"/>
          <w:sz w:val="24"/>
          <w:szCs w:val="24"/>
        </w:rPr>
        <w:t>K.1.</w:t>
      </w:r>
      <w:r>
        <w:rPr>
          <w:b/>
          <w:bCs/>
          <w:color w:val="auto"/>
          <w:sz w:val="24"/>
          <w:szCs w:val="24"/>
        </w:rPr>
        <w:t>1</w:t>
      </w:r>
      <w:r>
        <w:rPr>
          <w:rFonts w:hint="eastAsia"/>
          <w:color w:val="auto"/>
          <w:sz w:val="24"/>
          <w:szCs w:val="24"/>
        </w:rPr>
        <w:t>最高使用温度试验环境应为空气温度（</w:t>
      </w:r>
      <w:r>
        <w:rPr>
          <w:color w:val="auto"/>
          <w:sz w:val="24"/>
          <w:szCs w:val="24"/>
        </w:rPr>
        <w:t>T</w:t>
      </w:r>
      <w:r>
        <w:rPr>
          <w:rFonts w:hint="eastAsia"/>
          <w:color w:val="auto"/>
          <w:sz w:val="24"/>
          <w:szCs w:val="24"/>
        </w:rPr>
        <w:t>4</w:t>
      </w:r>
      <w:r>
        <w:rPr>
          <w:rFonts w:hint="eastAsia"/>
          <w:bCs/>
          <w:color w:val="auto"/>
          <w:sz w:val="24"/>
          <w:szCs w:val="24"/>
        </w:rPr>
        <w:t>±</w:t>
      </w:r>
      <w:r>
        <w:rPr>
          <w:color w:val="auto"/>
          <w:sz w:val="24"/>
          <w:szCs w:val="24"/>
        </w:rPr>
        <w:t>2</w:t>
      </w:r>
      <w:r>
        <w:rPr>
          <w:rFonts w:hint="eastAsia"/>
          <w:color w:val="auto"/>
          <w:sz w:val="24"/>
          <w:szCs w:val="24"/>
        </w:rPr>
        <w:t>）℃，相对湿度（5</w:t>
      </w:r>
      <w:r>
        <w:rPr>
          <w:color w:val="auto"/>
          <w:sz w:val="24"/>
          <w:szCs w:val="24"/>
        </w:rPr>
        <w:t>0</w:t>
      </w:r>
      <w:r>
        <w:rPr>
          <w:rFonts w:hint="eastAsia"/>
          <w:bCs/>
          <w:color w:val="auto"/>
          <w:sz w:val="24"/>
          <w:szCs w:val="24"/>
        </w:rPr>
        <w:t>±</w:t>
      </w:r>
      <w:r>
        <w:rPr>
          <w:color w:val="auto"/>
          <w:sz w:val="24"/>
          <w:szCs w:val="24"/>
        </w:rPr>
        <w:t>10</w:t>
      </w:r>
      <w:r>
        <w:rPr>
          <w:rFonts w:hint="eastAsia"/>
          <w:color w:val="auto"/>
          <w:sz w:val="24"/>
          <w:szCs w:val="24"/>
        </w:rPr>
        <w:t>）%。植筋系统生产商可根据产品使用环境定义温度条件。</w:t>
      </w:r>
    </w:p>
    <w:p>
      <w:pPr>
        <w:pStyle w:val="2"/>
        <w:spacing w:after="0" w:line="360" w:lineRule="auto"/>
        <w:ind w:left="0" w:leftChars="0" w:firstLine="0" w:firstLineChars="0"/>
        <w:rPr>
          <w:i/>
          <w:iCs/>
          <w:color w:val="4472C4" w:themeColor="accent1"/>
          <w:sz w:val="24"/>
          <w:szCs w:val="24"/>
          <w14:textFill>
            <w14:solidFill>
              <w14:schemeClr w14:val="accent1"/>
            </w14:solidFill>
          </w14:textFill>
        </w:rPr>
      </w:pPr>
      <w:r>
        <w:rPr>
          <w:rFonts w:hint="eastAsia"/>
          <w:i/>
          <w:iCs/>
          <w:color w:val="4472C4" w:themeColor="accent1"/>
          <w:sz w:val="24"/>
          <w:szCs w:val="24"/>
          <w14:textFill>
            <w14:solidFill>
              <w14:schemeClr w14:val="accent1"/>
            </w14:solidFill>
          </w14:textFill>
        </w:rPr>
        <w:t>【条文说明】该试验与评估可作为高温适用胶粘剂粘结强度折减系数的评定也可作为火灾下植筋承载力设计中植筋粘结强度的取值参考依据。当作为火灾下植筋粘结强度的取值参考时，应根据火灾下植筋所处环境实际温度条件设定试验环境温度。对于梯度温度可采用分段取值逐一测试的方式评定不同温度下的粘结强度折减系数。</w:t>
      </w:r>
    </w:p>
    <w:p>
      <w:pPr>
        <w:spacing w:after="0" w:line="360" w:lineRule="auto"/>
        <w:rPr>
          <w:color w:val="auto"/>
          <w:sz w:val="24"/>
          <w:szCs w:val="24"/>
        </w:rPr>
      </w:pPr>
      <w:r>
        <w:rPr>
          <w:rFonts w:hint="eastAsia"/>
          <w:b/>
          <w:bCs/>
          <w:color w:val="auto"/>
          <w:sz w:val="24"/>
          <w:szCs w:val="24"/>
        </w:rPr>
        <w:t>K.1.</w:t>
      </w:r>
      <w:r>
        <w:rPr>
          <w:b/>
          <w:bCs/>
          <w:color w:val="auto"/>
          <w:sz w:val="24"/>
          <w:szCs w:val="24"/>
        </w:rPr>
        <w:t>2</w:t>
      </w:r>
      <w:r>
        <w:rPr>
          <w:rFonts w:hint="eastAsia"/>
          <w:color w:val="auto"/>
          <w:sz w:val="24"/>
          <w:szCs w:val="24"/>
        </w:rPr>
        <w:t>试样应</w:t>
      </w:r>
      <w:r>
        <w:rPr>
          <w:color w:val="auto"/>
          <w:sz w:val="24"/>
          <w:szCs w:val="24"/>
        </w:rPr>
        <w:t>与基准试验同时</w:t>
      </w:r>
      <w:r>
        <w:rPr>
          <w:rFonts w:hint="eastAsia"/>
          <w:color w:val="auto"/>
          <w:sz w:val="24"/>
          <w:szCs w:val="24"/>
        </w:rPr>
        <w:t>进行植筋安装，</w:t>
      </w:r>
      <w:r>
        <w:rPr>
          <w:rFonts w:ascii="宋体" w:hAnsi="宋体"/>
          <w:color w:val="auto"/>
          <w:sz w:val="24"/>
          <w:szCs w:val="24"/>
        </w:rPr>
        <w:t>养护</w:t>
      </w:r>
      <w:r>
        <w:rPr>
          <w:rFonts w:hint="eastAsia" w:ascii="宋体" w:hAnsi="宋体"/>
          <w:color w:val="auto"/>
          <w:sz w:val="24"/>
          <w:szCs w:val="24"/>
        </w:rPr>
        <w:t>时间不小于</w:t>
      </w:r>
      <w:r>
        <w:rPr>
          <w:rFonts w:hint="eastAsia"/>
          <w:color w:val="auto"/>
          <w:sz w:val="24"/>
          <w:szCs w:val="24"/>
        </w:rPr>
        <w:t>植筋系统生产商</w:t>
      </w:r>
      <w:r>
        <w:rPr>
          <w:rFonts w:hint="eastAsia" w:ascii="宋体" w:hAnsi="宋体"/>
          <w:color w:val="auto"/>
          <w:sz w:val="24"/>
          <w:szCs w:val="24"/>
        </w:rPr>
        <w:t>要求的胶粘材料常温下最短固化时间</w:t>
      </w:r>
      <w:r>
        <w:rPr>
          <w:rFonts w:hint="eastAsia"/>
          <w:color w:val="auto"/>
          <w:sz w:val="24"/>
          <w:szCs w:val="24"/>
        </w:rPr>
        <w:t>。</w:t>
      </w:r>
    </w:p>
    <w:p>
      <w:pPr>
        <w:spacing w:after="0" w:line="360" w:lineRule="auto"/>
        <w:rPr>
          <w:color w:val="auto"/>
          <w:sz w:val="24"/>
          <w:szCs w:val="24"/>
        </w:rPr>
      </w:pPr>
      <w:r>
        <w:rPr>
          <w:rFonts w:hint="eastAsia"/>
          <w:b/>
          <w:bCs/>
          <w:color w:val="auto"/>
          <w:sz w:val="24"/>
          <w:szCs w:val="24"/>
        </w:rPr>
        <w:t>K.1.</w:t>
      </w:r>
      <w:r>
        <w:rPr>
          <w:b/>
          <w:bCs/>
          <w:color w:val="auto"/>
          <w:sz w:val="24"/>
          <w:szCs w:val="24"/>
        </w:rPr>
        <w:t>3</w:t>
      </w:r>
      <w:r>
        <w:rPr>
          <w:rFonts w:hint="eastAsia"/>
          <w:color w:val="auto"/>
          <w:sz w:val="24"/>
          <w:szCs w:val="24"/>
        </w:rPr>
        <w:t>最高使用温度试验应符合下列规定。</w:t>
      </w:r>
    </w:p>
    <w:p>
      <w:pPr>
        <w:spacing w:after="0" w:line="360" w:lineRule="auto"/>
        <w:rPr>
          <w:color w:val="auto"/>
          <w:sz w:val="24"/>
          <w:szCs w:val="24"/>
        </w:rPr>
      </w:pPr>
      <w:r>
        <w:rPr>
          <w:rFonts w:hint="eastAsia"/>
          <w:color w:val="auto"/>
          <w:sz w:val="24"/>
          <w:szCs w:val="24"/>
        </w:rPr>
        <w:tab/>
      </w:r>
      <w:r>
        <w:rPr>
          <w:rFonts w:hint="eastAsia"/>
          <w:color w:val="auto"/>
          <w:sz w:val="24"/>
          <w:szCs w:val="24"/>
        </w:rPr>
        <w:t>1 以20℃/h的升温速度将试样所处环境温度升温至规定的最高使用温度，并应保持24h，温度允许波动范围为±2℃；</w:t>
      </w:r>
    </w:p>
    <w:p>
      <w:pPr>
        <w:spacing w:after="0" w:line="360" w:lineRule="auto"/>
        <w:rPr>
          <w:bCs/>
          <w:color w:val="auto"/>
          <w:sz w:val="24"/>
          <w:szCs w:val="24"/>
        </w:rPr>
      </w:pPr>
      <w:r>
        <w:rPr>
          <w:rFonts w:hint="eastAsia"/>
          <w:color w:val="auto"/>
          <w:sz w:val="24"/>
          <w:szCs w:val="24"/>
        </w:rPr>
        <w:tab/>
      </w:r>
      <w:r>
        <w:rPr>
          <w:rFonts w:hint="eastAsia"/>
          <w:color w:val="auto"/>
          <w:sz w:val="24"/>
          <w:szCs w:val="24"/>
        </w:rPr>
        <w:t>2 应在试验温度（</w:t>
      </w:r>
      <w:r>
        <w:rPr>
          <w:color w:val="auto"/>
          <w:sz w:val="24"/>
          <w:szCs w:val="24"/>
        </w:rPr>
        <w:t>T</w:t>
      </w:r>
      <w:r>
        <w:rPr>
          <w:rFonts w:hint="eastAsia"/>
          <w:color w:val="auto"/>
          <w:sz w:val="24"/>
          <w:szCs w:val="24"/>
        </w:rPr>
        <w:t>4</w:t>
      </w:r>
      <w:r>
        <w:rPr>
          <w:rFonts w:hint="eastAsia"/>
          <w:bCs/>
          <w:color w:val="auto"/>
          <w:sz w:val="24"/>
          <w:szCs w:val="24"/>
        </w:rPr>
        <w:t>±</w:t>
      </w:r>
      <w:r>
        <w:rPr>
          <w:color w:val="auto"/>
          <w:sz w:val="24"/>
          <w:szCs w:val="24"/>
        </w:rPr>
        <w:t>2</w:t>
      </w:r>
      <w:r>
        <w:rPr>
          <w:rFonts w:hint="eastAsia"/>
          <w:color w:val="auto"/>
          <w:sz w:val="24"/>
          <w:szCs w:val="24"/>
        </w:rPr>
        <w:t>）℃的环境中，进行约束拉伸试验，</w:t>
      </w:r>
      <w:r>
        <w:rPr>
          <w:rFonts w:hint="eastAsia"/>
          <w:bCs/>
          <w:color w:val="auto"/>
          <w:sz w:val="24"/>
          <w:szCs w:val="24"/>
        </w:rPr>
        <w:t>记录其极限承载力测试值。</w:t>
      </w:r>
    </w:p>
    <w:p>
      <w:pPr>
        <w:pStyle w:val="5"/>
      </w:pPr>
      <w:bookmarkStart w:id="133" w:name="_Toc17815"/>
      <w:bookmarkStart w:id="134" w:name="_Toc23392"/>
      <w:bookmarkStart w:id="135" w:name="_Toc26105"/>
      <w:r>
        <w:rPr>
          <w:rFonts w:hint="eastAsia"/>
        </w:rPr>
        <w:t>K.2 最高使用温度下的植筋性能评估</w:t>
      </w:r>
      <w:bookmarkEnd w:id="133"/>
      <w:bookmarkEnd w:id="134"/>
      <w:bookmarkEnd w:id="135"/>
    </w:p>
    <w:p>
      <w:pPr>
        <w:spacing w:after="0" w:line="360" w:lineRule="auto"/>
        <w:rPr>
          <w:bCs/>
          <w:color w:val="auto"/>
          <w:sz w:val="24"/>
          <w:szCs w:val="24"/>
        </w:rPr>
      </w:pPr>
      <w:r>
        <w:rPr>
          <w:rFonts w:hint="eastAsia"/>
          <w:b/>
          <w:color w:val="auto"/>
        </w:rPr>
        <w:t>K.2.</w:t>
      </w:r>
      <w:r>
        <w:rPr>
          <w:b/>
          <w:color w:val="auto"/>
        </w:rPr>
        <w:t>1</w:t>
      </w:r>
      <w:r>
        <w:rPr>
          <w:bCs/>
          <w:color w:val="auto"/>
        </w:rPr>
        <w:t xml:space="preserve">  </w:t>
      </w:r>
      <w:r>
        <w:rPr>
          <w:rFonts w:hint="eastAsia"/>
          <w:bCs/>
          <w:color w:val="auto"/>
          <w:sz w:val="24"/>
          <w:szCs w:val="24"/>
        </w:rPr>
        <w:t>最高</w:t>
      </w:r>
      <w:r>
        <w:rPr>
          <w:bCs/>
          <w:color w:val="auto"/>
          <w:sz w:val="24"/>
          <w:szCs w:val="24"/>
        </w:rPr>
        <w:t>使用温度试验</w:t>
      </w:r>
      <w:r>
        <w:rPr>
          <w:rFonts w:hint="eastAsia"/>
          <w:bCs/>
          <w:color w:val="auto"/>
          <w:sz w:val="24"/>
          <w:szCs w:val="24"/>
        </w:rPr>
        <w:t xml:space="preserve">的粘结强度 </w:t>
      </w:r>
      <w:r>
        <w:rPr>
          <w:rFonts w:hint="eastAsia"/>
          <w:bCs/>
          <w:i/>
          <w:iCs/>
          <w:color w:val="auto"/>
          <w:sz w:val="24"/>
          <w:szCs w:val="24"/>
        </w:rPr>
        <w:t>f</w:t>
      </w:r>
      <w:r>
        <w:rPr>
          <w:bCs/>
          <w:color w:val="auto"/>
          <w:sz w:val="24"/>
          <w:szCs w:val="24"/>
          <w:vertAlign w:val="subscript"/>
        </w:rPr>
        <w:t>bm,T</w:t>
      </w:r>
      <w:r>
        <w:rPr>
          <w:rFonts w:hint="eastAsia"/>
          <w:bCs/>
          <w:color w:val="auto"/>
          <w:sz w:val="24"/>
          <w:szCs w:val="24"/>
          <w:vertAlign w:val="subscript"/>
        </w:rPr>
        <w:t>4</w:t>
      </w:r>
      <w:r>
        <w:rPr>
          <w:rFonts w:hint="eastAsia"/>
          <w:bCs/>
          <w:color w:val="auto"/>
          <w:sz w:val="24"/>
          <w:szCs w:val="24"/>
        </w:rPr>
        <w:t>的计算可参见</w:t>
      </w:r>
      <w:r>
        <w:rPr>
          <w:rFonts w:hint="eastAsia" w:ascii="Cambria Math" w:hAnsi="Cambria Math"/>
          <w:color w:val="auto"/>
          <w:sz w:val="24"/>
          <w:szCs w:val="24"/>
        </w:rPr>
        <w:t>表K.2.1，</w:t>
      </w:r>
      <w:r>
        <w:rPr>
          <w:rFonts w:hint="eastAsia"/>
          <w:bCs/>
          <w:color w:val="auto"/>
          <w:sz w:val="24"/>
          <w:szCs w:val="24"/>
        </w:rPr>
        <w:t>归一化计算方法可参考附录B。</w:t>
      </w:r>
    </w:p>
    <w:p>
      <w:pPr>
        <w:pStyle w:val="2"/>
        <w:keepNext w:val="0"/>
        <w:keepLines w:val="0"/>
        <w:pageBreakBefore w:val="0"/>
        <w:widowControl w:val="0"/>
        <w:kinsoku/>
        <w:wordWrap/>
        <w:overflowPunct/>
        <w:topLinePunct w:val="0"/>
        <w:autoSpaceDE/>
        <w:autoSpaceDN/>
        <w:bidi w:val="0"/>
        <w:adjustRightInd/>
        <w:snapToGrid/>
        <w:spacing w:after="0"/>
        <w:ind w:left="422" w:leftChars="0" w:hanging="422" w:hangingChars="200"/>
        <w:jc w:val="center"/>
        <w:textAlignment w:val="auto"/>
        <w:rPr>
          <w:b/>
          <w:bCs/>
          <w:color w:val="auto"/>
          <w:sz w:val="21"/>
          <w:szCs w:val="21"/>
        </w:rPr>
      </w:pPr>
      <w:r>
        <w:rPr>
          <w:rFonts w:hint="eastAsia" w:ascii="Cambria Math" w:hAnsi="Cambria Math"/>
          <w:b/>
          <w:bCs/>
          <w:color w:val="auto"/>
          <w:sz w:val="21"/>
          <w:szCs w:val="21"/>
        </w:rPr>
        <w:t>表K.2.1 最高使用环境温度试验粘结强度计算</w:t>
      </w:r>
    </w:p>
    <w:tbl>
      <w:tblPr>
        <w:tblStyle w:val="2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05"/>
        <w:gridCol w:w="1703"/>
        <w:gridCol w:w="1557"/>
        <w:gridCol w:w="1262"/>
        <w:gridCol w:w="1537"/>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7" w:type="dxa"/>
            <w:shd w:val="clear" w:color="auto" w:fill="auto"/>
          </w:tcPr>
          <w:p>
            <w:pPr>
              <w:snapToGrid w:val="0"/>
              <w:spacing w:after="0" w:line="240" w:lineRule="auto"/>
              <w:jc w:val="center"/>
              <w:rPr>
                <w:color w:val="auto"/>
                <w:kern w:val="2"/>
                <w:sz w:val="21"/>
                <w:szCs w:val="21"/>
              </w:rPr>
            </w:pPr>
            <w:r>
              <w:rPr>
                <w:rFonts w:hint="eastAsia"/>
                <w:color w:val="auto"/>
                <w:kern w:val="2"/>
                <w:sz w:val="21"/>
                <w:szCs w:val="21"/>
              </w:rPr>
              <w:t>混凝土强度</w:t>
            </w:r>
          </w:p>
        </w:tc>
        <w:tc>
          <w:tcPr>
            <w:tcW w:w="705" w:type="dxa"/>
            <w:shd w:val="clear" w:color="auto" w:fill="auto"/>
          </w:tcPr>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钢筋</w:t>
            </w:r>
          </w:p>
          <w:p>
            <w:pPr>
              <w:snapToGrid w:val="0"/>
              <w:spacing w:after="0" w:line="240" w:lineRule="auto"/>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直径</w:t>
            </w:r>
          </w:p>
          <w:p>
            <w:pPr>
              <w:snapToGrid w:val="0"/>
              <w:spacing w:after="0" w:line="240" w:lineRule="auto"/>
              <w:jc w:val="center"/>
              <w:rPr>
                <w:color w:val="auto"/>
                <w:kern w:val="2"/>
                <w:sz w:val="21"/>
                <w:szCs w:val="21"/>
              </w:rPr>
            </w:pPr>
            <w:r>
              <w:rPr>
                <w:rFonts w:hint="eastAsia"/>
                <w:i/>
                <w:iCs/>
                <w:color w:val="000000" w:themeColor="text1"/>
                <w:kern w:val="2"/>
                <w:sz w:val="21"/>
                <w:szCs w:val="21"/>
                <w14:textFill>
                  <w14:solidFill>
                    <w14:schemeClr w14:val="tx1"/>
                  </w14:solidFill>
                </w14:textFill>
              </w:rPr>
              <w:t>d</w:t>
            </w:r>
            <w:r>
              <w:rPr>
                <w:i/>
                <w:iCs/>
                <w:color w:val="000000" w:themeColor="text1"/>
                <w:kern w:val="2"/>
                <w:sz w:val="21"/>
                <w:szCs w:val="21"/>
                <w14:textFill>
                  <w14:solidFill>
                    <w14:schemeClr w14:val="tx1"/>
                  </w14:solidFill>
                </w14:textFill>
              </w:rPr>
              <w:t xml:space="preserve"> </w:t>
            </w:r>
            <w:r>
              <w:rPr>
                <w:color w:val="000000" w:themeColor="text1"/>
                <w:kern w:val="2"/>
                <w:sz w:val="21"/>
                <w:szCs w:val="21"/>
                <w14:textFill>
                  <w14:solidFill>
                    <w14:schemeClr w14:val="tx1"/>
                  </w14:solidFill>
                </w14:textFill>
              </w:rPr>
              <w:t>(</w:t>
            </w:r>
            <w:r>
              <w:rPr>
                <w:rFonts w:hint="eastAsia"/>
                <w:color w:val="000000" w:themeColor="text1"/>
                <w:kern w:val="2"/>
                <w:sz w:val="21"/>
                <w:szCs w:val="21"/>
                <w14:textFill>
                  <w14:solidFill>
                    <w14:schemeClr w14:val="tx1"/>
                  </w14:solidFill>
                </w14:textFill>
              </w:rPr>
              <w:t>mm</w:t>
            </w:r>
            <w:r>
              <w:rPr>
                <w:color w:val="000000" w:themeColor="text1"/>
                <w:kern w:val="2"/>
                <w:sz w:val="21"/>
                <w:szCs w:val="21"/>
                <w14:textFill>
                  <w14:solidFill>
                    <w14:schemeClr w14:val="tx1"/>
                  </w14:solidFill>
                </w14:textFill>
              </w:rPr>
              <w:t>)</w:t>
            </w:r>
          </w:p>
        </w:tc>
        <w:tc>
          <w:tcPr>
            <w:tcW w:w="1703" w:type="dxa"/>
            <w:shd w:val="clear" w:color="auto" w:fill="auto"/>
          </w:tcPr>
          <w:p>
            <w:pPr>
              <w:snapToGrid w:val="0"/>
              <w:spacing w:after="0" w:line="240" w:lineRule="auto"/>
              <w:jc w:val="center"/>
              <w:rPr>
                <w:color w:val="auto"/>
                <w:kern w:val="2"/>
                <w:sz w:val="21"/>
                <w:szCs w:val="21"/>
              </w:rPr>
            </w:pPr>
          </w:p>
          <w:p>
            <w:pPr>
              <w:snapToGrid w:val="0"/>
              <w:spacing w:after="0" w:line="240" w:lineRule="auto"/>
              <w:jc w:val="center"/>
              <w:rPr>
                <w:color w:val="auto"/>
                <w:kern w:val="2"/>
                <w:sz w:val="21"/>
                <w:szCs w:val="21"/>
              </w:rPr>
            </w:pPr>
            <w:r>
              <w:rPr>
                <w:rFonts w:hint="eastAsia"/>
                <w:color w:val="auto"/>
                <w:kern w:val="2"/>
                <w:sz w:val="21"/>
                <w:szCs w:val="21"/>
              </w:rPr>
              <w:t>极限荷载测试值</w:t>
            </w:r>
          </w:p>
        </w:tc>
        <w:tc>
          <w:tcPr>
            <w:tcW w:w="1557" w:type="dxa"/>
            <w:shd w:val="clear" w:color="auto" w:fill="auto"/>
          </w:tcPr>
          <w:p>
            <w:pPr>
              <w:snapToGrid w:val="0"/>
              <w:spacing w:after="0" w:line="240" w:lineRule="auto"/>
              <w:jc w:val="center"/>
              <w:rPr>
                <w:color w:val="auto"/>
                <w:kern w:val="2"/>
                <w:sz w:val="21"/>
                <w:szCs w:val="21"/>
              </w:rPr>
            </w:pPr>
            <w:r>
              <w:rPr>
                <w:rFonts w:hint="eastAsia"/>
                <w:color w:val="auto"/>
                <w:kern w:val="2"/>
                <w:sz w:val="21"/>
                <w:szCs w:val="21"/>
              </w:rPr>
              <w:t>按混凝土强度归一化处理后的极限荷载值</w:t>
            </w:r>
          </w:p>
        </w:tc>
        <w:tc>
          <w:tcPr>
            <w:tcW w:w="1262" w:type="dxa"/>
          </w:tcPr>
          <w:p>
            <w:pPr>
              <w:snapToGrid w:val="0"/>
              <w:spacing w:after="0" w:line="240" w:lineRule="auto"/>
              <w:jc w:val="center"/>
              <w:rPr>
                <w:color w:val="auto"/>
                <w:kern w:val="2"/>
                <w:sz w:val="21"/>
                <w:szCs w:val="21"/>
              </w:rPr>
            </w:pPr>
            <w:r>
              <w:rPr>
                <w:rFonts w:hint="eastAsia"/>
                <w:color w:val="auto"/>
                <w:kern w:val="2"/>
                <w:sz w:val="21"/>
                <w:szCs w:val="21"/>
              </w:rPr>
              <w:t>左侧荷载的平均值</w:t>
            </w:r>
          </w:p>
        </w:tc>
        <w:tc>
          <w:tcPr>
            <w:tcW w:w="1537" w:type="dxa"/>
          </w:tcPr>
          <w:p>
            <w:pPr>
              <w:snapToGrid w:val="0"/>
              <w:spacing w:after="0" w:line="240" w:lineRule="auto"/>
              <w:jc w:val="center"/>
              <w:rPr>
                <w:color w:val="auto"/>
                <w:kern w:val="2"/>
                <w:sz w:val="21"/>
                <w:szCs w:val="21"/>
              </w:rPr>
            </w:pPr>
            <w:r>
              <w:rPr>
                <w:rFonts w:hint="eastAsia"/>
                <w:color w:val="auto"/>
                <w:kern w:val="2"/>
                <w:sz w:val="21"/>
                <w:szCs w:val="21"/>
              </w:rPr>
              <w:t>按钢筋相对肋面积归一化处理后的极限粘结强度</w:t>
            </w:r>
          </w:p>
        </w:tc>
        <w:tc>
          <w:tcPr>
            <w:tcW w:w="1141" w:type="dxa"/>
          </w:tcPr>
          <w:p>
            <w:pPr>
              <w:snapToGrid w:val="0"/>
              <w:spacing w:after="0" w:line="240" w:lineRule="auto"/>
              <w:jc w:val="center"/>
              <w:rPr>
                <w:bCs/>
                <w:color w:val="auto"/>
                <w:sz w:val="21"/>
                <w:szCs w:val="21"/>
              </w:rPr>
            </w:pPr>
            <w:r>
              <w:rPr>
                <w:rFonts w:hint="eastAsia"/>
                <w:color w:val="auto"/>
                <w:kern w:val="2"/>
                <w:sz w:val="21"/>
                <w:szCs w:val="21"/>
              </w:rPr>
              <w:t>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shd w:val="clear" w:color="auto" w:fill="auto"/>
            <w:vAlign w:val="center"/>
          </w:tcPr>
          <w:p>
            <w:pPr>
              <w:snapToGrid w:val="0"/>
              <w:spacing w:after="0" w:line="240" w:lineRule="auto"/>
              <w:jc w:val="center"/>
              <w:rPr>
                <w:color w:val="auto"/>
                <w:kern w:val="2"/>
                <w:sz w:val="21"/>
                <w:szCs w:val="21"/>
              </w:rPr>
            </w:pPr>
            <w:r>
              <w:rPr>
                <w:color w:val="auto"/>
                <w:kern w:val="2"/>
                <w:sz w:val="21"/>
                <w:szCs w:val="21"/>
              </w:rPr>
              <w:t>C25</w:t>
            </w:r>
          </w:p>
        </w:tc>
        <w:tc>
          <w:tcPr>
            <w:tcW w:w="705" w:type="dxa"/>
            <w:shd w:val="clear" w:color="auto" w:fill="auto"/>
            <w:vAlign w:val="center"/>
          </w:tcPr>
          <w:p>
            <w:pPr>
              <w:snapToGrid w:val="0"/>
              <w:spacing w:after="0" w:line="240" w:lineRule="auto"/>
              <w:jc w:val="center"/>
              <w:rPr>
                <w:color w:val="auto"/>
                <w:kern w:val="2"/>
                <w:sz w:val="21"/>
                <w:szCs w:val="21"/>
              </w:rPr>
            </w:pPr>
            <w:r>
              <w:rPr>
                <w:color w:val="auto"/>
                <w:kern w:val="2"/>
                <w:sz w:val="21"/>
                <w:szCs w:val="21"/>
              </w:rPr>
              <w:t>12</w:t>
            </w:r>
          </w:p>
        </w:tc>
        <w:tc>
          <w:tcPr>
            <w:tcW w:w="1703" w:type="dxa"/>
            <w:shd w:val="clear" w:color="auto" w:fill="auto"/>
            <w:vAlign w:val="center"/>
          </w:tcPr>
          <w:p>
            <w:pPr>
              <w:snapToGrid w:val="0"/>
              <w:spacing w:after="0" w:line="240" w:lineRule="auto"/>
              <w:jc w:val="center"/>
              <w:rPr>
                <w:color w:val="auto"/>
                <w:kern w:val="2"/>
                <w:sz w:val="21"/>
                <w:szCs w:val="21"/>
                <w:vertAlign w:val="subscript"/>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T</w:t>
            </w:r>
            <w:r>
              <w:rPr>
                <w:rFonts w:hint="eastAsia"/>
                <w:color w:val="auto"/>
                <w:kern w:val="2"/>
                <w:sz w:val="21"/>
                <w:szCs w:val="21"/>
                <w:vertAlign w:val="subscript"/>
              </w:rPr>
              <w:t>4</w:t>
            </w:r>
            <w:r>
              <w:rPr>
                <w:color w:val="auto"/>
                <w:kern w:val="2"/>
                <w:sz w:val="21"/>
                <w:szCs w:val="21"/>
                <w:vertAlign w:val="subscript"/>
              </w:rPr>
              <w:t>,test,c25,d12-1</w:t>
            </w:r>
          </w:p>
          <w:p>
            <w:pPr>
              <w:snapToGrid w:val="0"/>
              <w:spacing w:after="0" w:line="240" w:lineRule="auto"/>
              <w:jc w:val="center"/>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T</w:t>
            </w:r>
            <w:r>
              <w:rPr>
                <w:rFonts w:hint="eastAsia"/>
                <w:color w:val="auto"/>
                <w:kern w:val="2"/>
                <w:sz w:val="21"/>
                <w:szCs w:val="21"/>
                <w:vertAlign w:val="subscript"/>
              </w:rPr>
              <w:t>4</w:t>
            </w:r>
            <w:r>
              <w:rPr>
                <w:color w:val="auto"/>
                <w:kern w:val="2"/>
                <w:sz w:val="21"/>
                <w:szCs w:val="21"/>
                <w:vertAlign w:val="subscript"/>
              </w:rPr>
              <w:t>,test,c25,d12-5</w:t>
            </w:r>
          </w:p>
        </w:tc>
        <w:tc>
          <w:tcPr>
            <w:tcW w:w="1557" w:type="dxa"/>
            <w:shd w:val="clear" w:color="auto" w:fill="auto"/>
            <w:vAlign w:val="center"/>
          </w:tcPr>
          <w:p>
            <w:pPr>
              <w:snapToGrid w:val="0"/>
              <w:spacing w:after="0" w:line="240" w:lineRule="auto"/>
              <w:jc w:val="center"/>
              <w:rPr>
                <w:color w:val="auto"/>
                <w:kern w:val="2"/>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T</w:t>
            </w:r>
            <w:r>
              <w:rPr>
                <w:rFonts w:hint="eastAsia"/>
                <w:color w:val="auto"/>
                <w:kern w:val="2"/>
                <w:sz w:val="21"/>
                <w:szCs w:val="21"/>
                <w:vertAlign w:val="subscript"/>
              </w:rPr>
              <w:t>4</w:t>
            </w:r>
            <w:r>
              <w:rPr>
                <w:color w:val="auto"/>
                <w:kern w:val="2"/>
                <w:sz w:val="21"/>
                <w:szCs w:val="21"/>
                <w:vertAlign w:val="subscript"/>
              </w:rPr>
              <w:t>,c25,d12-1</w:t>
            </w:r>
          </w:p>
          <w:p>
            <w:pPr>
              <w:snapToGrid w:val="0"/>
              <w:spacing w:after="0" w:line="240" w:lineRule="auto"/>
              <w:jc w:val="center"/>
              <w:rPr>
                <w:color w:val="auto"/>
                <w:kern w:val="2"/>
                <w:sz w:val="21"/>
                <w:szCs w:val="21"/>
              </w:rPr>
            </w:pPr>
            <w:r>
              <w:rPr>
                <w:rFonts w:hint="eastAsia"/>
                <w:color w:val="auto"/>
                <w:kern w:val="2"/>
                <w:sz w:val="21"/>
                <w:szCs w:val="21"/>
              </w:rPr>
              <w:t>~</w:t>
            </w: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T</w:t>
            </w:r>
            <w:r>
              <w:rPr>
                <w:rFonts w:hint="eastAsia"/>
                <w:color w:val="auto"/>
                <w:kern w:val="2"/>
                <w:sz w:val="21"/>
                <w:szCs w:val="21"/>
                <w:vertAlign w:val="subscript"/>
              </w:rPr>
              <w:t>4</w:t>
            </w:r>
            <w:r>
              <w:rPr>
                <w:color w:val="auto"/>
                <w:kern w:val="2"/>
                <w:sz w:val="21"/>
                <w:szCs w:val="21"/>
                <w:vertAlign w:val="subscript"/>
              </w:rPr>
              <w:t>,c25,d12-5</w:t>
            </w:r>
          </w:p>
        </w:tc>
        <w:tc>
          <w:tcPr>
            <w:tcW w:w="1262" w:type="dxa"/>
            <w:vAlign w:val="center"/>
          </w:tcPr>
          <w:p>
            <w:pPr>
              <w:snapToGrid w:val="0"/>
              <w:spacing w:after="0" w:line="240" w:lineRule="auto"/>
              <w:rPr>
                <w:color w:val="auto"/>
                <w:sz w:val="21"/>
                <w:szCs w:val="21"/>
              </w:rPr>
            </w:pPr>
            <w:r>
              <w:rPr>
                <w:rFonts w:hint="eastAsia"/>
                <w:i/>
                <w:iCs/>
                <w:color w:val="auto"/>
                <w:kern w:val="2"/>
                <w:sz w:val="21"/>
                <w:szCs w:val="21"/>
              </w:rPr>
              <w:t>N</w:t>
            </w:r>
            <w:r>
              <w:rPr>
                <w:color w:val="auto"/>
                <w:kern w:val="2"/>
                <w:sz w:val="21"/>
                <w:szCs w:val="21"/>
                <w:vertAlign w:val="subscript"/>
              </w:rPr>
              <w:t>u</w:t>
            </w:r>
            <w:r>
              <w:rPr>
                <w:rFonts w:hint="eastAsia"/>
                <w:color w:val="auto"/>
                <w:kern w:val="2"/>
                <w:sz w:val="21"/>
                <w:szCs w:val="21"/>
                <w:vertAlign w:val="subscript"/>
              </w:rPr>
              <w:t>,</w:t>
            </w:r>
            <w:r>
              <w:rPr>
                <w:color w:val="auto"/>
                <w:kern w:val="2"/>
                <w:sz w:val="21"/>
                <w:szCs w:val="21"/>
                <w:vertAlign w:val="subscript"/>
              </w:rPr>
              <w:t>T</w:t>
            </w:r>
            <w:r>
              <w:rPr>
                <w:rFonts w:hint="eastAsia"/>
                <w:color w:val="auto"/>
                <w:kern w:val="2"/>
                <w:sz w:val="21"/>
                <w:szCs w:val="21"/>
                <w:vertAlign w:val="subscript"/>
              </w:rPr>
              <w:t>4</w:t>
            </w:r>
            <w:r>
              <w:rPr>
                <w:color w:val="auto"/>
                <w:kern w:val="2"/>
                <w:sz w:val="21"/>
                <w:szCs w:val="21"/>
                <w:vertAlign w:val="subscript"/>
              </w:rPr>
              <w:t>,c25,d12,m</w:t>
            </w:r>
          </w:p>
        </w:tc>
        <w:tc>
          <w:tcPr>
            <w:tcW w:w="1537" w:type="dxa"/>
            <w:vAlign w:val="center"/>
          </w:tcPr>
          <w:p>
            <w:pPr>
              <w:snapToGrid w:val="0"/>
              <w:spacing w:after="0" w:line="240" w:lineRule="auto"/>
              <w:jc w:val="center"/>
              <w:rPr>
                <w:color w:val="auto"/>
                <w:sz w:val="21"/>
                <w:szCs w:val="21"/>
              </w:rPr>
            </w:pPr>
            <w:r>
              <w:rPr>
                <w:i/>
                <w:iCs/>
                <w:color w:val="auto"/>
                <w:kern w:val="2"/>
                <w:sz w:val="21"/>
                <w:szCs w:val="21"/>
              </w:rPr>
              <w:t>f</w:t>
            </w:r>
            <w:r>
              <w:rPr>
                <w:color w:val="auto"/>
                <w:kern w:val="2"/>
                <w:sz w:val="21"/>
                <w:szCs w:val="21"/>
                <w:vertAlign w:val="subscript"/>
              </w:rPr>
              <w:t>bm,T</w:t>
            </w:r>
            <w:r>
              <w:rPr>
                <w:rFonts w:hint="eastAsia"/>
                <w:color w:val="auto"/>
                <w:kern w:val="2"/>
                <w:sz w:val="21"/>
                <w:szCs w:val="21"/>
                <w:vertAlign w:val="subscript"/>
              </w:rPr>
              <w:t>4</w:t>
            </w:r>
            <w:r>
              <w:rPr>
                <w:color w:val="auto"/>
                <w:kern w:val="2"/>
                <w:sz w:val="21"/>
                <w:szCs w:val="21"/>
                <w:vertAlign w:val="subscript"/>
              </w:rPr>
              <w:t>,c25,d12</w:t>
            </w:r>
          </w:p>
        </w:tc>
        <w:tc>
          <w:tcPr>
            <w:tcW w:w="1141" w:type="dxa"/>
            <w:vAlign w:val="center"/>
          </w:tcPr>
          <w:p>
            <w:pPr>
              <w:spacing w:after="0" w:line="240" w:lineRule="auto"/>
              <w:rPr>
                <w:color w:val="auto"/>
                <w:kern w:val="2"/>
                <w:sz w:val="21"/>
                <w:szCs w:val="21"/>
              </w:rPr>
            </w:pPr>
            <w:r>
              <w:rPr>
                <w:rFonts w:hint="eastAsia"/>
                <w:i/>
                <w:iCs/>
                <w:color w:val="auto"/>
                <w:kern w:val="2"/>
                <w:sz w:val="21"/>
                <w:szCs w:val="21"/>
              </w:rPr>
              <w:t>f</w:t>
            </w:r>
            <w:r>
              <w:rPr>
                <w:color w:val="auto"/>
                <w:kern w:val="2"/>
                <w:sz w:val="21"/>
                <w:szCs w:val="21"/>
                <w:vertAlign w:val="subscript"/>
              </w:rPr>
              <w:t>bm</w:t>
            </w:r>
            <w:r>
              <w:rPr>
                <w:rFonts w:hint="eastAsia"/>
                <w:color w:val="auto"/>
                <w:kern w:val="2"/>
                <w:sz w:val="21"/>
                <w:szCs w:val="21"/>
                <w:vertAlign w:val="subscript"/>
              </w:rPr>
              <w:t>,</w:t>
            </w:r>
            <w:r>
              <w:rPr>
                <w:color w:val="auto"/>
                <w:kern w:val="2"/>
                <w:sz w:val="21"/>
                <w:szCs w:val="21"/>
                <w:vertAlign w:val="subscript"/>
              </w:rPr>
              <w:t>T</w:t>
            </w:r>
            <w:r>
              <w:rPr>
                <w:rFonts w:hint="eastAsia"/>
                <w:color w:val="auto"/>
                <w:kern w:val="2"/>
                <w:sz w:val="21"/>
                <w:szCs w:val="21"/>
                <w:vertAlign w:val="subscript"/>
              </w:rPr>
              <w:t>4</w:t>
            </w:r>
            <w:r>
              <w:rPr>
                <w:color w:val="auto"/>
                <w:kern w:val="2"/>
                <w:sz w:val="21"/>
                <w:szCs w:val="21"/>
                <w:vertAlign w:val="subscript"/>
              </w:rPr>
              <w:t xml:space="preserve"> </w:t>
            </w:r>
            <w:r>
              <w:rPr>
                <w:color w:val="auto"/>
                <w:kern w:val="2"/>
                <w:sz w:val="21"/>
                <w:szCs w:val="21"/>
              </w:rPr>
              <w:t>=</w:t>
            </w:r>
          </w:p>
          <w:p>
            <w:pPr>
              <w:spacing w:after="0" w:line="240" w:lineRule="auto"/>
              <w:rPr>
                <w:color w:val="auto"/>
                <w:sz w:val="21"/>
                <w:szCs w:val="21"/>
              </w:rPr>
            </w:pPr>
            <w:r>
              <w:rPr>
                <w:i/>
                <w:iCs/>
                <w:color w:val="auto"/>
                <w:kern w:val="2"/>
                <w:sz w:val="21"/>
                <w:szCs w:val="21"/>
              </w:rPr>
              <w:t>f</w:t>
            </w:r>
            <w:r>
              <w:rPr>
                <w:color w:val="auto"/>
                <w:kern w:val="2"/>
                <w:sz w:val="21"/>
                <w:szCs w:val="21"/>
                <w:vertAlign w:val="subscript"/>
              </w:rPr>
              <w:t>bm,T</w:t>
            </w:r>
            <w:r>
              <w:rPr>
                <w:rFonts w:hint="eastAsia"/>
                <w:color w:val="auto"/>
                <w:kern w:val="2"/>
                <w:sz w:val="21"/>
                <w:szCs w:val="21"/>
                <w:vertAlign w:val="subscript"/>
              </w:rPr>
              <w:t>4</w:t>
            </w:r>
            <w:r>
              <w:rPr>
                <w:color w:val="auto"/>
                <w:kern w:val="2"/>
                <w:sz w:val="21"/>
                <w:szCs w:val="21"/>
                <w:vertAlign w:val="subscript"/>
              </w:rPr>
              <w:t>,c25,d12</w:t>
            </w:r>
          </w:p>
        </w:tc>
      </w:tr>
    </w:tbl>
    <w:p>
      <w:pPr>
        <w:spacing w:after="0" w:line="360" w:lineRule="auto"/>
        <w:rPr>
          <w:bCs/>
          <w:color w:val="auto"/>
          <w:sz w:val="24"/>
          <w:szCs w:val="24"/>
        </w:rPr>
      </w:pPr>
      <w:r>
        <w:rPr>
          <w:rFonts w:hint="eastAsia"/>
          <w:b/>
          <w:color w:val="auto"/>
          <w:sz w:val="24"/>
          <w:szCs w:val="24"/>
        </w:rPr>
        <w:t>K.2.2</w:t>
      </w:r>
      <w:r>
        <w:rPr>
          <w:bCs/>
          <w:color w:val="auto"/>
          <w:sz w:val="24"/>
          <w:szCs w:val="24"/>
        </w:rPr>
        <w:t xml:space="preserve">  </w:t>
      </w:r>
      <w:r>
        <w:rPr>
          <w:rFonts w:hint="eastAsia"/>
          <w:bCs/>
          <w:color w:val="auto"/>
          <w:sz w:val="24"/>
          <w:szCs w:val="24"/>
        </w:rPr>
        <w:t>可按下式计算植筋系统的在给定使用温度环境下的承载力折减系数</w:t>
      </w:r>
      <w:r>
        <w:rPr>
          <w:i/>
          <w:color w:val="auto"/>
          <w:sz w:val="24"/>
          <w:szCs w:val="24"/>
        </w:rPr>
        <w:t>α</w:t>
      </w:r>
      <w:r>
        <w:rPr>
          <w:color w:val="auto"/>
          <w:sz w:val="24"/>
          <w:szCs w:val="24"/>
          <w:vertAlign w:val="subscript"/>
        </w:rPr>
        <w:t>T</w:t>
      </w:r>
      <w:r>
        <w:rPr>
          <w:rFonts w:hint="eastAsia"/>
          <w:color w:val="auto"/>
          <w:sz w:val="24"/>
          <w:szCs w:val="24"/>
          <w:vertAlign w:val="subscript"/>
        </w:rPr>
        <w:t>4</w:t>
      </w:r>
      <w:r>
        <w:rPr>
          <w:rFonts w:hint="eastAsia"/>
          <w:bCs/>
          <w:color w:val="auto"/>
          <w:sz w:val="24"/>
          <w:szCs w:val="24"/>
        </w:rPr>
        <w:t>：</w:t>
      </w:r>
    </w:p>
    <w:p>
      <w:pPr>
        <w:spacing w:after="0" w:line="360" w:lineRule="auto"/>
        <w:jc w:val="right"/>
        <w:rPr>
          <w:color w:val="auto"/>
          <w:sz w:val="24"/>
          <w:szCs w:val="24"/>
        </w:rPr>
      </w:pPr>
      <w:r>
        <w:rPr>
          <w:color w:val="auto"/>
          <w:sz w:val="24"/>
          <w:szCs w:val="24"/>
        </w:rPr>
        <w:t xml:space="preserve">                 </w:t>
      </w: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T4</m:t>
            </m:r>
            <m:ctrlPr>
              <w:rPr>
                <w:rFonts w:ascii="Cambria Math" w:hAnsi="Cambria Math"/>
                <w:i/>
                <w:color w:val="auto"/>
                <w:sz w:val="24"/>
                <w:szCs w:val="24"/>
              </w:rPr>
            </m:ctrlPr>
          </m:sub>
        </m:sSub>
        <m:r>
          <m:rP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bm,T4</m:t>
                </m:r>
                <m:ctrlPr>
                  <w:rPr>
                    <w:rFonts w:ascii="Cambria Math" w:hAnsi="Cambria Math"/>
                    <w:i/>
                    <w:color w:val="auto"/>
                    <w:sz w:val="24"/>
                    <w:szCs w:val="24"/>
                  </w:rPr>
                </m:ctrlPr>
              </m:sub>
            </m:sSub>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bm,r,c25</m:t>
                </m:r>
                <m:ctrlPr>
                  <w:rPr>
                    <w:rFonts w:ascii="Cambria Math" w:hAnsi="Cambria Math"/>
                    <w:i/>
                    <w:color w:val="auto"/>
                    <w:sz w:val="24"/>
                    <w:szCs w:val="24"/>
                  </w:rPr>
                </m:ctrlPr>
              </m:sub>
            </m:sSub>
            <m:ctrlPr>
              <w:rPr>
                <w:rFonts w:ascii="Cambria Math" w:hAnsi="Cambria Math"/>
                <w:i/>
                <w:color w:val="auto"/>
                <w:sz w:val="24"/>
                <w:szCs w:val="24"/>
              </w:rPr>
            </m:ctrlPr>
          </m:den>
        </m:f>
        <m:r>
          <m:rPr/>
          <w:rPr>
            <w:rFonts w:ascii="Cambria Math" w:hAnsi="Cambria Math"/>
            <w:color w:val="auto"/>
            <w:sz w:val="24"/>
            <w:szCs w:val="24"/>
          </w:rPr>
          <m:t>≤1.0</m:t>
        </m:r>
      </m:oMath>
      <w:r>
        <w:rPr>
          <w:color w:val="auto"/>
          <w:sz w:val="24"/>
          <w:szCs w:val="24"/>
        </w:rPr>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 xml:space="preserve">    (</w:t>
      </w:r>
      <w:r>
        <w:rPr>
          <w:rFonts w:hint="eastAsia"/>
          <w:color w:val="auto"/>
          <w:sz w:val="24"/>
          <w:szCs w:val="24"/>
        </w:rPr>
        <w:t>K.2.2</w:t>
      </w:r>
      <w:r>
        <w:rPr>
          <w:color w:val="auto"/>
          <w:sz w:val="24"/>
          <w:szCs w:val="24"/>
        </w:rPr>
        <w:t>)</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2"/>
        <w:gridCol w:w="1069"/>
        <w:gridCol w:w="520"/>
        <w:gridCol w:w="5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812" w:type="dxa"/>
          </w:tcPr>
          <w:p>
            <w:pPr>
              <w:spacing w:after="0" w:line="360" w:lineRule="auto"/>
              <w:rPr>
                <w:iCs/>
                <w:color w:val="auto"/>
                <w:sz w:val="24"/>
                <w:szCs w:val="24"/>
              </w:rPr>
            </w:pPr>
            <w:r>
              <w:rPr>
                <w:rFonts w:hint="eastAsia"/>
                <w:iCs/>
                <w:color w:val="auto"/>
                <w:sz w:val="24"/>
                <w:szCs w:val="24"/>
              </w:rPr>
              <w:t>式中:</w:t>
            </w:r>
          </w:p>
        </w:tc>
        <w:tc>
          <w:tcPr>
            <w:tcW w:w="1069" w:type="dxa"/>
          </w:tcPr>
          <w:p>
            <w:pPr>
              <w:spacing w:after="0" w:line="360" w:lineRule="auto"/>
              <w:rPr>
                <w:iCs/>
                <w:color w:val="auto"/>
                <w:sz w:val="24"/>
                <w:szCs w:val="24"/>
              </w:rPr>
            </w:pPr>
            <m:oMathPara>
              <m:oMathParaPr>
                <m:jc m:val="right"/>
              </m:oMathParaPr>
              <m:oMath>
                <m:sSub>
                  <m:sSubPr>
                    <m:ctrlPr>
                      <w:rPr>
                        <w:rFonts w:ascii="Cambria Math" w:hAnsi="Cambria Math"/>
                        <w:i/>
                        <w:color w:val="auto"/>
                        <w:sz w:val="24"/>
                        <w:szCs w:val="24"/>
                      </w:rPr>
                    </m:ctrlPr>
                  </m:sSubPr>
                  <m:e>
                    <m:r>
                      <m:rPr/>
                      <w:rPr>
                        <w:rFonts w:ascii="Cambria Math" w:hAnsi="Cambria Math"/>
                        <w:color w:val="auto"/>
                        <w:sz w:val="24"/>
                        <w:szCs w:val="24"/>
                      </w:rPr>
                      <m:t>α</m:t>
                    </m:r>
                    <m:ctrlPr>
                      <w:rPr>
                        <w:rFonts w:ascii="Cambria Math" w:hAnsi="Cambria Math"/>
                        <w:i/>
                        <w:color w:val="auto"/>
                        <w:sz w:val="24"/>
                        <w:szCs w:val="24"/>
                      </w:rPr>
                    </m:ctrlPr>
                  </m:e>
                  <m:sub>
                    <m:r>
                      <m:rPr/>
                      <w:rPr>
                        <w:rFonts w:ascii="Cambria Math" w:hAnsi="Cambria Math"/>
                        <w:color w:val="auto"/>
                        <w:sz w:val="24"/>
                        <w:szCs w:val="24"/>
                      </w:rPr>
                      <m:t>T4</m:t>
                    </m:r>
                    <m:ctrlPr>
                      <w:rPr>
                        <w:rFonts w:ascii="Cambria Math" w:hAnsi="Cambria Math"/>
                        <w:i/>
                        <w:color w:val="auto"/>
                        <w:sz w:val="24"/>
                        <w:szCs w:val="24"/>
                      </w:rPr>
                    </m:ctrlPr>
                  </m:sub>
                </m:sSub>
              </m:oMath>
            </m:oMathPara>
          </w:p>
        </w:tc>
        <w:tc>
          <w:tcPr>
            <w:tcW w:w="520" w:type="dxa"/>
          </w:tcPr>
          <w:p>
            <w:pPr>
              <w:spacing w:after="0" w:line="360" w:lineRule="auto"/>
              <w:rPr>
                <w:iCs/>
                <w:color w:val="auto"/>
                <w:sz w:val="24"/>
                <w:szCs w:val="24"/>
              </w:rPr>
            </w:pPr>
            <w:r>
              <w:rPr>
                <w:rFonts w:hint="eastAsia"/>
                <w:iCs/>
                <w:color w:val="000000" w:themeColor="text1"/>
                <w:sz w:val="24"/>
                <w:szCs w:val="24"/>
                <w14:textFill>
                  <w14:solidFill>
                    <w14:schemeClr w14:val="tx1"/>
                  </w14:solidFill>
                </w14:textFill>
              </w:rPr>
              <w:t>—</w:t>
            </w:r>
          </w:p>
        </w:tc>
        <w:tc>
          <w:tcPr>
            <w:tcW w:w="5770" w:type="dxa"/>
          </w:tcPr>
          <w:p>
            <w:pPr>
              <w:spacing w:after="0" w:line="360" w:lineRule="auto"/>
              <w:rPr>
                <w:iCs/>
                <w:color w:val="auto"/>
                <w:sz w:val="24"/>
                <w:szCs w:val="24"/>
              </w:rPr>
            </w:pPr>
            <w:r>
              <w:rPr>
                <w:rFonts w:hint="eastAsia"/>
                <w:iCs/>
                <w:color w:val="auto"/>
                <w:sz w:val="24"/>
                <w:szCs w:val="24"/>
              </w:rPr>
              <w:t>植筋系统的使用环境温度折减系数；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812" w:type="dxa"/>
          </w:tcPr>
          <w:p>
            <w:pPr>
              <w:spacing w:after="0" w:line="360" w:lineRule="auto"/>
              <w:rPr>
                <w:iCs/>
                <w:color w:val="auto"/>
                <w:sz w:val="24"/>
                <w:szCs w:val="24"/>
              </w:rPr>
            </w:pPr>
          </w:p>
        </w:tc>
        <w:tc>
          <w:tcPr>
            <w:tcW w:w="1069" w:type="dxa"/>
          </w:tcPr>
          <w:p>
            <w:pPr>
              <w:spacing w:after="0" w:line="360" w:lineRule="auto"/>
              <w:jc w:val="right"/>
              <w:rPr>
                <w:iCs/>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f</m:t>
                    </m:r>
                    <m:ctrlPr>
                      <w:rPr>
                        <w:rFonts w:ascii="Cambria Math" w:hAnsi="Cambria Math"/>
                        <w:i/>
                        <w:color w:val="auto"/>
                        <w:sz w:val="24"/>
                        <w:szCs w:val="24"/>
                      </w:rPr>
                    </m:ctrlPr>
                  </m:e>
                  <m:sub>
                    <m:r>
                      <m:rPr/>
                      <w:rPr>
                        <w:rFonts w:ascii="Cambria Math" w:hAnsi="Cambria Math"/>
                        <w:color w:val="auto"/>
                        <w:sz w:val="24"/>
                        <w:szCs w:val="24"/>
                      </w:rPr>
                      <m:t>bm,T4</m:t>
                    </m:r>
                    <m:ctrlPr>
                      <w:rPr>
                        <w:rFonts w:ascii="Cambria Math" w:hAnsi="Cambria Math"/>
                        <w:i/>
                        <w:color w:val="auto"/>
                        <w:sz w:val="24"/>
                        <w:szCs w:val="24"/>
                      </w:rPr>
                    </m:ctrlPr>
                  </m:sub>
                </m:sSub>
              </m:oMath>
            </m:oMathPara>
          </w:p>
        </w:tc>
        <w:tc>
          <w:tcPr>
            <w:tcW w:w="520" w:type="dxa"/>
          </w:tcPr>
          <w:p>
            <w:pPr>
              <w:spacing w:after="0" w:line="360" w:lineRule="auto"/>
              <w:rPr>
                <w:iCs/>
                <w:color w:val="auto"/>
                <w:sz w:val="24"/>
                <w:szCs w:val="24"/>
              </w:rPr>
            </w:pPr>
            <w:r>
              <w:rPr>
                <w:rFonts w:hint="eastAsia"/>
                <w:iCs/>
                <w:color w:val="000000" w:themeColor="text1"/>
                <w:sz w:val="24"/>
                <w:szCs w:val="24"/>
                <w14:textFill>
                  <w14:solidFill>
                    <w14:schemeClr w14:val="tx1"/>
                  </w14:solidFill>
                </w14:textFill>
              </w:rPr>
              <w:t>—</w:t>
            </w:r>
          </w:p>
        </w:tc>
        <w:tc>
          <w:tcPr>
            <w:tcW w:w="5770" w:type="dxa"/>
          </w:tcPr>
          <w:p>
            <w:pPr>
              <w:spacing w:after="0" w:line="360" w:lineRule="auto"/>
              <w:rPr>
                <w:iCs/>
                <w:color w:val="auto"/>
                <w:sz w:val="24"/>
                <w:szCs w:val="24"/>
              </w:rPr>
            </w:pPr>
            <w:r>
              <w:rPr>
                <w:rFonts w:hint="eastAsia"/>
                <w:iCs/>
                <w:color w:val="auto"/>
                <w:sz w:val="24"/>
                <w:szCs w:val="24"/>
              </w:rPr>
              <w:t>最高使用温度试验后极限承载力归一化处理后的粘结强度（N/mm</w:t>
            </w:r>
            <w:r>
              <w:rPr>
                <w:iCs/>
                <w:color w:val="auto"/>
                <w:sz w:val="24"/>
                <w:szCs w:val="24"/>
                <w:vertAlign w:val="superscript"/>
              </w:rPr>
              <w:t>2</w:t>
            </w:r>
            <w:r>
              <w:rPr>
                <w:rFonts w:hint="eastAsia"/>
                <w:iCs/>
                <w:color w:val="auto"/>
                <w:sz w:val="24"/>
                <w:szCs w:val="24"/>
              </w:rPr>
              <w:t>）；</w:t>
            </w:r>
          </w:p>
        </w:tc>
      </w:tr>
    </w:tbl>
    <w:p>
      <w:pPr>
        <w:spacing w:after="0" w:line="360" w:lineRule="auto"/>
        <w:rPr>
          <w:color w:val="auto"/>
          <w:sz w:val="24"/>
          <w:szCs w:val="24"/>
        </w:rPr>
      </w:pPr>
      <w:r>
        <w:rPr>
          <w:rFonts w:hint="eastAsia"/>
          <w:b/>
          <w:bCs/>
          <w:color w:val="auto"/>
          <w:sz w:val="24"/>
          <w:szCs w:val="24"/>
        </w:rPr>
        <w:t>K.2.</w:t>
      </w:r>
      <w:r>
        <w:rPr>
          <w:b/>
          <w:bCs/>
          <w:color w:val="auto"/>
          <w:sz w:val="24"/>
          <w:szCs w:val="24"/>
        </w:rPr>
        <w:t>2</w:t>
      </w:r>
      <w:r>
        <w:rPr>
          <w:rFonts w:hint="eastAsia" w:ascii="Cambria Math" w:hAnsi="Cambria Math"/>
          <w:color w:val="auto"/>
          <w:sz w:val="24"/>
          <w:szCs w:val="24"/>
        </w:rPr>
        <w:t xml:space="preserve"> 应</w:t>
      </w:r>
      <w:r>
        <w:rPr>
          <w:rFonts w:hint="eastAsia"/>
          <w:color w:val="auto"/>
          <w:sz w:val="24"/>
          <w:szCs w:val="24"/>
        </w:rPr>
        <w:t>根据测得的最高使用温度条件下</w:t>
      </w:r>
      <w:r>
        <w:rPr>
          <w:rFonts w:hint="eastAsia"/>
          <w:bCs/>
          <w:color w:val="auto"/>
          <w:sz w:val="24"/>
          <w:szCs w:val="24"/>
        </w:rPr>
        <w:t>极限承载力测试值</w:t>
      </w:r>
      <w:r>
        <w:rPr>
          <w:rFonts w:hint="eastAsia"/>
          <w:bCs/>
          <w:i/>
          <w:iCs/>
          <w:color w:val="auto"/>
          <w:sz w:val="24"/>
          <w:szCs w:val="24"/>
        </w:rPr>
        <w:t>N</w:t>
      </w:r>
      <w:r>
        <w:rPr>
          <w:bCs/>
          <w:color w:val="auto"/>
          <w:sz w:val="24"/>
          <w:szCs w:val="24"/>
          <w:vertAlign w:val="subscript"/>
        </w:rPr>
        <w:t>u,T</w:t>
      </w:r>
      <w:r>
        <w:rPr>
          <w:rFonts w:hint="eastAsia"/>
          <w:bCs/>
          <w:color w:val="auto"/>
          <w:sz w:val="24"/>
          <w:szCs w:val="24"/>
          <w:vertAlign w:val="subscript"/>
        </w:rPr>
        <w:t>4</w:t>
      </w:r>
      <w:r>
        <w:rPr>
          <w:bCs/>
          <w:color w:val="auto"/>
          <w:sz w:val="24"/>
          <w:szCs w:val="24"/>
          <w:vertAlign w:val="subscript"/>
        </w:rPr>
        <w:t>,test,c25,d12-k</w:t>
      </w:r>
      <w:r>
        <w:rPr>
          <w:rFonts w:hint="eastAsia"/>
          <w:bCs/>
          <w:color w:val="auto"/>
          <w:sz w:val="24"/>
          <w:szCs w:val="24"/>
        </w:rPr>
        <w:t>，计算其变异系数</w:t>
      </w:r>
      <m:oMath>
        <m:sSub>
          <m:sSubPr>
            <m:ctrlPr>
              <w:rPr>
                <w:rFonts w:ascii="Cambria Math" w:hAnsi="Cambria Math"/>
                <w:i/>
                <w:color w:val="auto"/>
                <w:sz w:val="24"/>
                <w:szCs w:val="24"/>
              </w:rPr>
            </m:ctrlPr>
          </m:sSubPr>
          <m:e>
            <m:r>
              <m:rPr/>
              <w:rPr>
                <w:rFonts w:ascii="Cambria Math" w:hAnsi="Cambria Math"/>
                <w:color w:val="auto"/>
                <w:sz w:val="24"/>
                <w:szCs w:val="24"/>
              </w:rPr>
              <m:t>ѵ</m:t>
            </m:r>
            <m:ctrlPr>
              <w:rPr>
                <w:rFonts w:ascii="Cambria Math" w:hAnsi="Cambria Math"/>
                <w:i/>
                <w:color w:val="auto"/>
                <w:sz w:val="24"/>
                <w:szCs w:val="24"/>
              </w:rPr>
            </m:ctrlPr>
          </m:e>
          <m:sub>
            <m:r>
              <m:rPr/>
              <w:rPr>
                <w:rFonts w:ascii="Cambria Math" w:hAnsi="Cambria Math"/>
                <w:color w:val="auto"/>
                <w:sz w:val="24"/>
                <w:szCs w:val="24"/>
              </w:rPr>
              <m:t>T4</m:t>
            </m:r>
            <m:ctrlPr>
              <w:rPr>
                <w:rFonts w:ascii="Cambria Math" w:hAnsi="Cambria Math"/>
                <w:i/>
                <w:color w:val="auto"/>
                <w:sz w:val="24"/>
                <w:szCs w:val="24"/>
              </w:rPr>
            </m:ctrlPr>
          </m:sub>
        </m:sSub>
      </m:oMath>
      <w:r>
        <w:rPr>
          <w:rFonts w:hint="eastAsia"/>
          <w:color w:val="auto"/>
          <w:sz w:val="24"/>
          <w:szCs w:val="24"/>
        </w:rPr>
        <w:t>。</w:t>
      </w:r>
    </w:p>
    <w:p>
      <w:pPr>
        <w:spacing w:after="0" w:line="360" w:lineRule="auto"/>
        <w:rPr>
          <w:rFonts w:ascii="Cambria Math" w:hAnsi="Cambria Math"/>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K.2.3</w:t>
      </w:r>
      <w:r>
        <w:rPr>
          <w:rFonts w:hint="eastAsia" w:ascii="Cambria Math" w:hAnsi="Cambria Math"/>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变异系数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ѵ</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T4</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对应的折减系数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cv,T4</m:t>
            </m:r>
            <m:ctrlPr>
              <w:rPr>
                <w:rFonts w:ascii="Cambria Math" w:hAnsi="Cambria Math"/>
                <w:i/>
                <w:color w:val="000000" w:themeColor="text1"/>
                <w:sz w:val="24"/>
                <w:szCs w:val="24"/>
                <w14:textFill>
                  <w14:solidFill>
                    <w14:schemeClr w14:val="tx1"/>
                  </w14:solidFill>
                </w14:textFill>
              </w:rPr>
            </m:ctrlPr>
          </m:sub>
        </m:sSub>
      </m:oMath>
      <w:r>
        <w:rPr>
          <w:rFonts w:hint="eastAsia" w:ascii="Cambria Math" w:hAnsi="Cambria Math"/>
          <w:color w:val="000000" w:themeColor="text1"/>
          <w:sz w:val="24"/>
          <w:szCs w:val="24"/>
          <w14:textFill>
            <w14:solidFill>
              <w14:schemeClr w14:val="tx1"/>
            </w14:solidFill>
          </w14:textFill>
        </w:rPr>
        <w:t>的取值应符合下列规定。</w:t>
      </w:r>
    </w:p>
    <w:p>
      <w:pPr>
        <w:spacing w:after="0"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 xml:space="preserve">1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不大于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，则对应折减系数</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cv,T4</m:t>
            </m:r>
            <m:ctrlPr>
              <w:rPr>
                <w:rFonts w:ascii="Cambria Math" w:hAnsi="Cambria Math"/>
                <w:i/>
                <w:color w:val="000000" w:themeColor="text1"/>
                <w:sz w:val="24"/>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取为1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w:t>
      </w:r>
    </w:p>
    <w:p>
      <w:pPr>
        <w:spacing w:after="0"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 </w:t>
      </w:r>
      <w:r>
        <w:rPr>
          <w:rFonts w:hint="eastAsia"/>
          <w:color w:val="000000" w:themeColor="text1"/>
          <w:sz w:val="24"/>
          <w:szCs w:val="24"/>
          <w:lang w:val="en-US" w:eastAsia="zh-CN"/>
          <w14:textFill>
            <w14:solidFill>
              <w14:schemeClr w14:val="tx1"/>
            </w14:solidFill>
          </w14:textFill>
        </w:rPr>
        <w:t>当</w:t>
      </w:r>
      <w:r>
        <w:rPr>
          <w:rFonts w:hint="eastAsia"/>
          <w:color w:val="000000" w:themeColor="text1"/>
          <w:sz w:val="24"/>
          <w:szCs w:val="24"/>
          <w14:textFill>
            <w14:solidFill>
              <w14:schemeClr w14:val="tx1"/>
            </w14:solidFill>
          </w14:textFill>
        </w:rPr>
        <w:t>变异系数</w:t>
      </w:r>
      <w:r>
        <w:rPr>
          <w:rFonts w:hint="eastAsia"/>
          <w:color w:val="000000" w:themeColor="text1"/>
          <w:sz w:val="24"/>
          <w:szCs w:val="24"/>
          <w:lang w:val="en-US" w:eastAsia="zh-CN"/>
          <w14:textFill>
            <w14:solidFill>
              <w14:schemeClr w14:val="tx1"/>
            </w14:solidFill>
          </w14:textFill>
        </w:rPr>
        <w:t>大于</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且不大于</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时</w:t>
      </w:r>
      <w:r>
        <w:rPr>
          <w:rFonts w:hint="eastAsia"/>
          <w:color w:val="000000" w:themeColor="text1"/>
          <w:sz w:val="24"/>
          <w:szCs w:val="24"/>
          <w14:textFill>
            <w14:solidFill>
              <w14:schemeClr w14:val="tx1"/>
            </w14:solidFill>
          </w14:textFill>
        </w:rPr>
        <w:t>， 则对应折减系数应按下式计算：</w:t>
      </w:r>
    </w:p>
    <w:p>
      <w:pPr>
        <w:spacing w:after="0" w:line="360" w:lineRule="auto"/>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c</m:t>
            </m:r>
            <m:r>
              <m:rPr/>
              <w:rPr>
                <w:rFonts w:ascii="Cambria Math" w:hAnsi="Cambria Math"/>
                <w:color w:val="000000" w:themeColor="text1"/>
                <w:sz w:val="24"/>
                <w:szCs w:val="24"/>
                <w14:textFill>
                  <w14:solidFill>
                    <w14:schemeClr w14:val="tx1"/>
                  </w14:solidFill>
                </w14:textFill>
              </w:rPr>
              <m:t>v,T4</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f>
          <m:fPr>
            <m:ctrlPr>
              <w:rPr>
                <w:rFonts w:ascii="Cambria Math" w:hAnsi="Cambria Math"/>
                <w:i/>
                <w:color w:val="000000" w:themeColor="text1"/>
                <w:sz w:val="24"/>
                <w:szCs w:val="24"/>
                <w14:textFill>
                  <w14:solidFill>
                    <w14:schemeClr w14:val="tx1"/>
                  </w14:solidFill>
                </w14:textFill>
              </w:rPr>
            </m:ctrlPr>
          </m:fPr>
          <m:num>
            <m:r>
              <m:rPr/>
              <w:rPr>
                <w:rFonts w:ascii="Cambria Math" w:hAnsi="Cambria Math"/>
                <w:color w:val="000000" w:themeColor="text1"/>
                <w:sz w:val="24"/>
                <w:szCs w:val="24"/>
                <w14:textFill>
                  <w14:solidFill>
                    <w14:schemeClr w14:val="tx1"/>
                  </w14:solidFill>
                </w14:textFill>
              </w:rPr>
              <m:t>1</m:t>
            </m:r>
            <m:ctrlPr>
              <w:rPr>
                <w:rFonts w:ascii="Cambria Math" w:hAnsi="Cambria Math"/>
                <w:i/>
                <w:color w:val="000000" w:themeColor="text1"/>
                <w:sz w:val="24"/>
                <w:szCs w:val="24"/>
                <w14:textFill>
                  <w14:solidFill>
                    <w14:schemeClr w14:val="tx1"/>
                  </w14:solidFill>
                </w14:textFill>
              </w:rPr>
            </m:ctrlPr>
          </m:num>
          <m:den>
            <m:r>
              <m:rPr/>
              <w:rPr>
                <w:rFonts w:ascii="Cambria Math" w:hAnsi="Cambria Math"/>
                <w:color w:val="000000" w:themeColor="text1"/>
                <w:sz w:val="24"/>
                <w:szCs w:val="24"/>
                <w14:textFill>
                  <w14:solidFill>
                    <w14:schemeClr w14:val="tx1"/>
                  </w14:solidFill>
                </w14:textFill>
              </w:rPr>
              <m:t>1+0.03</m:t>
            </m:r>
            <m:d>
              <m:dPr>
                <m:ctrlPr>
                  <w:rPr>
                    <w:rFonts w:ascii="Cambria Math" w:hAnsi="Cambria Math"/>
                    <w:i/>
                    <w:color w:val="000000" w:themeColor="text1"/>
                    <w:sz w:val="24"/>
                    <w:szCs w:val="24"/>
                    <w14:textFill>
                      <w14:solidFill>
                        <w14:schemeClr w14:val="tx1"/>
                      </w14:solidFill>
                    </w14:textFill>
                  </w:rPr>
                </m:ctrlPr>
              </m:dPr>
              <m:e>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v</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T</m:t>
                    </m:r>
                    <m:r>
                      <m:rPr/>
                      <w:rPr>
                        <w:rFonts w:ascii="Cambria Math" w:hAnsi="Cambria Math"/>
                        <w:color w:val="000000" w:themeColor="text1"/>
                        <w:sz w:val="24"/>
                        <w:szCs w:val="24"/>
                        <w14:textFill>
                          <w14:solidFill>
                            <w14:schemeClr w14:val="tx1"/>
                          </w14:solidFill>
                        </w14:textFill>
                      </w:rPr>
                      <m:t>4</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−20</m:t>
                </m:r>
                <m:ctrlPr>
                  <w:rPr>
                    <w:rFonts w:ascii="Cambria Math" w:hAnsi="Cambria Math"/>
                    <w:i/>
                    <w:color w:val="000000" w:themeColor="text1"/>
                    <w:sz w:val="24"/>
                    <w:szCs w:val="24"/>
                    <w14:textFill>
                      <w14:solidFill>
                        <w14:schemeClr w14:val="tx1"/>
                      </w14:solidFill>
                    </w14:textFill>
                  </w:rPr>
                </m:ctrlPr>
              </m:e>
            </m:d>
            <m:ctrlPr>
              <w:rPr>
                <w:rFonts w:ascii="Cambria Math" w:hAnsi="Cambria Math"/>
                <w:i/>
                <w:color w:val="000000" w:themeColor="text1"/>
                <w:sz w:val="24"/>
                <w:szCs w:val="24"/>
                <w14:textFill>
                  <w14:solidFill>
                    <w14:schemeClr w14:val="tx1"/>
                  </w14:solidFill>
                </w14:textFill>
              </w:rPr>
            </m:ctrlPr>
          </m:den>
        </m:f>
        <m:r>
          <m:rPr/>
          <w:rPr>
            <w:rFonts w:ascii="Cambria Math" w:hAnsi="Cambria Math"/>
            <w:color w:val="000000" w:themeColor="text1"/>
            <w:sz w:val="24"/>
            <w:szCs w:val="24"/>
            <w14:textFill>
              <w14:solidFill>
                <w14:schemeClr w14:val="tx1"/>
              </w14:solidFill>
            </w14:textFill>
          </w:rPr>
          <m:t>≤1.0</m:t>
        </m:r>
      </m:oMath>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K.2.</w:t>
      </w:r>
      <w:r>
        <w:rPr>
          <w:color w:val="000000" w:themeColor="text1"/>
          <w:sz w:val="24"/>
          <w:szCs w:val="24"/>
          <w14:textFill>
            <w14:solidFill>
              <w14:schemeClr w14:val="tx1"/>
            </w14:solidFill>
          </w14:textFill>
        </w:rPr>
        <w:t>3)</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2"/>
        <w:gridCol w:w="1069"/>
        <w:gridCol w:w="520"/>
        <w:gridCol w:w="5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812" w:type="dxa"/>
          </w:tcPr>
          <w:p>
            <w:pPr>
              <w:spacing w:after="0" w:line="360" w:lineRule="auto"/>
              <w:rPr>
                <w:iCs/>
                <w:color w:val="auto"/>
                <w:sz w:val="24"/>
                <w:szCs w:val="24"/>
              </w:rPr>
            </w:pPr>
            <w:r>
              <w:rPr>
                <w:rFonts w:hint="eastAsia"/>
                <w:iCs/>
                <w:color w:val="auto"/>
                <w:sz w:val="24"/>
                <w:szCs w:val="24"/>
              </w:rPr>
              <w:t>式中:</w:t>
            </w:r>
          </w:p>
        </w:tc>
        <w:tc>
          <w:tcPr>
            <w:tcW w:w="1069" w:type="dxa"/>
          </w:tcPr>
          <w:p>
            <w:pPr>
              <w:spacing w:after="0" w:line="360" w:lineRule="auto"/>
              <w:rPr>
                <w:iCs/>
                <w:color w:val="auto"/>
                <w:sz w:val="24"/>
                <w:szCs w:val="24"/>
              </w:rPr>
            </w:pPr>
            <m:oMathPara>
              <m:oMathParaPr>
                <m:jc m:val="right"/>
              </m:oMathParaP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β</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c</m:t>
                    </m:r>
                    <m:r>
                      <m:rPr/>
                      <w:rPr>
                        <w:rFonts w:ascii="Cambria Math" w:hAnsi="Cambria Math"/>
                        <w:color w:val="000000" w:themeColor="text1"/>
                        <w:sz w:val="24"/>
                        <w:szCs w:val="24"/>
                        <w14:textFill>
                          <w14:solidFill>
                            <w14:schemeClr w14:val="tx1"/>
                          </w14:solidFill>
                        </w14:textFill>
                      </w:rPr>
                      <m:t>v,T4</m:t>
                    </m:r>
                    <m:ctrlPr>
                      <w:rPr>
                        <w:rFonts w:ascii="Cambria Math" w:hAnsi="Cambria Math"/>
                        <w:i/>
                        <w:color w:val="000000" w:themeColor="text1"/>
                        <w:sz w:val="24"/>
                        <w:szCs w:val="24"/>
                        <w14:textFill>
                          <w14:solidFill>
                            <w14:schemeClr w14:val="tx1"/>
                          </w14:solidFill>
                        </w14:textFill>
                      </w:rPr>
                    </m:ctrlPr>
                  </m:sub>
                </m:sSub>
              </m:oMath>
            </m:oMathPara>
          </w:p>
        </w:tc>
        <w:tc>
          <w:tcPr>
            <w:tcW w:w="520" w:type="dxa"/>
          </w:tcPr>
          <w:p>
            <w:pPr>
              <w:spacing w:after="0" w:line="360" w:lineRule="auto"/>
              <w:rPr>
                <w:iCs/>
                <w:color w:val="auto"/>
                <w:sz w:val="24"/>
                <w:szCs w:val="24"/>
              </w:rPr>
            </w:pPr>
            <w:r>
              <w:rPr>
                <w:rFonts w:hint="eastAsia"/>
                <w:iCs/>
                <w:color w:val="000000" w:themeColor="text1"/>
                <w:sz w:val="24"/>
                <w:szCs w:val="24"/>
                <w14:textFill>
                  <w14:solidFill>
                    <w14:schemeClr w14:val="tx1"/>
                  </w14:solidFill>
                </w14:textFill>
              </w:rPr>
              <w:t>—</w:t>
            </w:r>
          </w:p>
        </w:tc>
        <w:tc>
          <w:tcPr>
            <w:tcW w:w="5770" w:type="dxa"/>
          </w:tcPr>
          <w:p>
            <w:pPr>
              <w:spacing w:after="0" w:line="360" w:lineRule="auto"/>
              <w:rPr>
                <w:iCs/>
                <w:color w:val="auto"/>
                <w:sz w:val="24"/>
                <w:szCs w:val="24"/>
              </w:rPr>
            </w:pPr>
            <w:r>
              <w:rPr>
                <w:rFonts w:hint="eastAsia"/>
                <w:iCs/>
                <w:color w:val="auto"/>
                <w:sz w:val="24"/>
                <w:szCs w:val="24"/>
              </w:rPr>
              <w:t>植筋系统的最高使用温度下承载力变异系数对应的折减系数；</w:t>
            </w:r>
          </w:p>
        </w:tc>
      </w:tr>
    </w:tbl>
    <w:p>
      <w:r>
        <w:br w:type="page"/>
      </w:r>
    </w:p>
    <w:p>
      <w:pPr>
        <w:pStyle w:val="4"/>
        <w:rPr>
          <w:rFonts w:hint="eastAsia" w:ascii="Times New Roman" w:hAnsi="Times New Roman"/>
        </w:rPr>
      </w:pPr>
      <w:bookmarkStart w:id="136" w:name="_Toc24010"/>
      <w:r>
        <w:rPr>
          <w:rFonts w:hint="eastAsia" w:ascii="Times New Roman" w:hAnsi="Times New Roman"/>
        </w:rPr>
        <w:t>本</w:t>
      </w:r>
      <w:r>
        <w:rPr>
          <w:rFonts w:hint="eastAsia" w:ascii="Times New Roman" w:hAnsi="Times New Roman"/>
          <w:lang w:val="en-US" w:eastAsia="zh-CN"/>
        </w:rPr>
        <w:t>规程</w:t>
      </w:r>
      <w:r>
        <w:rPr>
          <w:rFonts w:hint="eastAsia" w:ascii="Times New Roman" w:hAnsi="Times New Roman"/>
        </w:rPr>
        <w:t>用词说明</w:t>
      </w:r>
      <w:bookmarkEnd w:id="136"/>
    </w:p>
    <w:p>
      <w:pPr>
        <w:rPr>
          <w:rFonts w:hint="eastAsia"/>
        </w:rPr>
      </w:pPr>
    </w:p>
    <w:p>
      <w:pPr>
        <w:adjustRightInd w:val="0"/>
        <w:snapToGrid w:val="0"/>
        <w:spacing w:line="400" w:lineRule="atLeast"/>
        <w:ind w:firstLine="410" w:firstLineChars="171"/>
        <w:rPr>
          <w:rFonts w:hAnsi="宋体"/>
          <w:color w:val="auto"/>
          <w:sz w:val="24"/>
          <w:szCs w:val="24"/>
        </w:rPr>
      </w:pPr>
      <w:r>
        <w:rPr>
          <w:rFonts w:hint="eastAsia" w:hAnsi="宋体"/>
          <w:color w:val="auto"/>
          <w:sz w:val="24"/>
          <w:szCs w:val="24"/>
        </w:rPr>
        <w:t xml:space="preserve">1 </w:t>
      </w:r>
      <w:r>
        <w:rPr>
          <w:rFonts w:hAnsi="宋体"/>
          <w:color w:val="auto"/>
          <w:sz w:val="24"/>
          <w:szCs w:val="24"/>
        </w:rPr>
        <w:t>为便于在执行</w:t>
      </w:r>
      <w:r>
        <w:rPr>
          <w:rFonts w:hint="eastAsia" w:hAnsi="宋体"/>
          <w:color w:val="auto"/>
          <w:sz w:val="24"/>
          <w:szCs w:val="24"/>
        </w:rPr>
        <w:t>本标准</w:t>
      </w:r>
      <w:r>
        <w:rPr>
          <w:rFonts w:hAnsi="宋体"/>
          <w:color w:val="auto"/>
          <w:sz w:val="24"/>
          <w:szCs w:val="24"/>
        </w:rPr>
        <w:t>条文时区别对待，对</w:t>
      </w:r>
      <w:r>
        <w:rPr>
          <w:rFonts w:hint="eastAsia" w:hAnsi="宋体"/>
          <w:color w:val="auto"/>
          <w:sz w:val="24"/>
          <w:szCs w:val="24"/>
        </w:rPr>
        <w:t>执行标准</w:t>
      </w:r>
      <w:r>
        <w:rPr>
          <w:rFonts w:hAnsi="宋体"/>
          <w:color w:val="auto"/>
          <w:sz w:val="24"/>
          <w:szCs w:val="24"/>
        </w:rPr>
        <w:t>严格程度的用词说明如下：</w:t>
      </w:r>
    </w:p>
    <w:p>
      <w:pPr>
        <w:adjustRightInd w:val="0"/>
        <w:snapToGrid w:val="0"/>
        <w:spacing w:line="400" w:lineRule="atLeast"/>
        <w:ind w:firstLine="648" w:firstLineChars="270"/>
        <w:rPr>
          <w:rFonts w:hAnsi="宋体"/>
          <w:color w:val="auto"/>
          <w:sz w:val="24"/>
          <w:szCs w:val="24"/>
        </w:rPr>
      </w:pPr>
      <w:r>
        <w:rPr>
          <w:rFonts w:hint="eastAsia" w:hAnsi="宋体"/>
          <w:color w:val="auto"/>
          <w:sz w:val="24"/>
          <w:szCs w:val="24"/>
        </w:rPr>
        <w:t>1）表示很严格，非这样做不可的：</w:t>
      </w:r>
    </w:p>
    <w:p>
      <w:pPr>
        <w:adjustRightInd w:val="0"/>
        <w:snapToGrid w:val="0"/>
        <w:spacing w:line="400" w:lineRule="atLeast"/>
        <w:ind w:firstLine="1027" w:firstLineChars="428"/>
        <w:rPr>
          <w:color w:val="auto"/>
          <w:sz w:val="24"/>
          <w:szCs w:val="24"/>
        </w:rPr>
      </w:pPr>
      <w:r>
        <w:rPr>
          <w:rFonts w:hAnsi="宋体"/>
          <w:color w:val="auto"/>
          <w:sz w:val="24"/>
          <w:szCs w:val="24"/>
        </w:rPr>
        <w:t>正面词采用</w:t>
      </w:r>
      <w:r>
        <w:rPr>
          <w:rFonts w:hint="eastAsia"/>
          <w:color w:val="auto"/>
          <w:sz w:val="24"/>
          <w:szCs w:val="24"/>
        </w:rPr>
        <w:t>“</w:t>
      </w:r>
      <w:r>
        <w:rPr>
          <w:rFonts w:hAnsi="宋体"/>
          <w:color w:val="auto"/>
          <w:sz w:val="24"/>
          <w:szCs w:val="24"/>
        </w:rPr>
        <w:t>必须</w:t>
      </w:r>
      <w:r>
        <w:rPr>
          <w:rFonts w:hint="eastAsia"/>
          <w:color w:val="auto"/>
          <w:sz w:val="24"/>
          <w:szCs w:val="24"/>
        </w:rPr>
        <w:t>”</w:t>
      </w:r>
      <w:r>
        <w:rPr>
          <w:rFonts w:hint="eastAsia" w:hAnsi="宋体"/>
          <w:color w:val="auto"/>
          <w:sz w:val="24"/>
          <w:szCs w:val="24"/>
        </w:rPr>
        <w:t>，</w:t>
      </w:r>
      <w:r>
        <w:rPr>
          <w:rFonts w:hAnsi="宋体"/>
          <w:color w:val="auto"/>
          <w:sz w:val="24"/>
          <w:szCs w:val="24"/>
        </w:rPr>
        <w:t>反面词采用</w:t>
      </w:r>
      <w:r>
        <w:rPr>
          <w:rFonts w:hint="eastAsia"/>
          <w:color w:val="auto"/>
          <w:sz w:val="24"/>
          <w:szCs w:val="24"/>
        </w:rPr>
        <w:t>“</w:t>
      </w:r>
      <w:r>
        <w:rPr>
          <w:rFonts w:hAnsi="宋体"/>
          <w:color w:val="auto"/>
          <w:sz w:val="24"/>
          <w:szCs w:val="24"/>
        </w:rPr>
        <w:t>严禁</w:t>
      </w:r>
      <w:r>
        <w:rPr>
          <w:rFonts w:hint="eastAsia"/>
          <w:color w:val="auto"/>
          <w:sz w:val="24"/>
          <w:szCs w:val="24"/>
        </w:rPr>
        <w:t>”</w:t>
      </w:r>
      <w:r>
        <w:rPr>
          <w:rFonts w:hint="eastAsia" w:hAnsi="宋体"/>
          <w:color w:val="auto"/>
          <w:sz w:val="24"/>
          <w:szCs w:val="24"/>
        </w:rPr>
        <w:t>；</w:t>
      </w:r>
    </w:p>
    <w:p>
      <w:pPr>
        <w:adjustRightInd w:val="0"/>
        <w:snapToGrid w:val="0"/>
        <w:spacing w:line="400" w:lineRule="atLeast"/>
        <w:ind w:firstLine="648" w:firstLineChars="270"/>
        <w:rPr>
          <w:color w:val="auto"/>
          <w:sz w:val="24"/>
          <w:szCs w:val="24"/>
        </w:rPr>
      </w:pPr>
      <w:r>
        <w:rPr>
          <w:color w:val="auto"/>
          <w:sz w:val="24"/>
          <w:szCs w:val="24"/>
        </w:rPr>
        <w:t>2</w:t>
      </w:r>
      <w:r>
        <w:rPr>
          <w:rFonts w:hAnsi="宋体"/>
          <w:color w:val="auto"/>
          <w:sz w:val="24"/>
          <w:szCs w:val="24"/>
        </w:rPr>
        <w:t>）表示严格，在正常情况下均应这样做的：</w:t>
      </w:r>
    </w:p>
    <w:p>
      <w:pPr>
        <w:adjustRightInd w:val="0"/>
        <w:snapToGrid w:val="0"/>
        <w:spacing w:line="400" w:lineRule="atLeast"/>
        <w:ind w:firstLine="1027" w:firstLineChars="428"/>
        <w:rPr>
          <w:color w:val="auto"/>
          <w:sz w:val="24"/>
          <w:szCs w:val="24"/>
        </w:rPr>
      </w:pPr>
      <w:r>
        <w:rPr>
          <w:rFonts w:hAnsi="宋体"/>
          <w:color w:val="auto"/>
          <w:sz w:val="24"/>
          <w:szCs w:val="24"/>
        </w:rPr>
        <w:t>正面词采用</w:t>
      </w:r>
      <w:r>
        <w:rPr>
          <w:rFonts w:hint="eastAsia"/>
          <w:color w:val="auto"/>
          <w:sz w:val="24"/>
          <w:szCs w:val="24"/>
        </w:rPr>
        <w:t>“</w:t>
      </w:r>
      <w:r>
        <w:rPr>
          <w:rFonts w:hAnsi="宋体"/>
          <w:color w:val="auto"/>
          <w:sz w:val="24"/>
          <w:szCs w:val="24"/>
        </w:rPr>
        <w:t>应</w:t>
      </w:r>
      <w:r>
        <w:rPr>
          <w:rFonts w:hint="eastAsia"/>
          <w:color w:val="auto"/>
          <w:sz w:val="24"/>
          <w:szCs w:val="24"/>
        </w:rPr>
        <w:t>”</w:t>
      </w:r>
      <w:r>
        <w:rPr>
          <w:rFonts w:hint="eastAsia" w:hAnsi="宋体"/>
          <w:color w:val="auto"/>
          <w:sz w:val="24"/>
          <w:szCs w:val="24"/>
        </w:rPr>
        <w:t>，</w:t>
      </w:r>
      <w:r>
        <w:rPr>
          <w:rFonts w:hAnsi="宋体"/>
          <w:color w:val="auto"/>
          <w:sz w:val="24"/>
          <w:szCs w:val="24"/>
        </w:rPr>
        <w:t>反面词采用</w:t>
      </w:r>
      <w:r>
        <w:rPr>
          <w:rFonts w:hint="eastAsia"/>
          <w:color w:val="auto"/>
          <w:sz w:val="24"/>
          <w:szCs w:val="24"/>
        </w:rPr>
        <w:t>“</w:t>
      </w:r>
      <w:r>
        <w:rPr>
          <w:rFonts w:hAnsi="宋体"/>
          <w:color w:val="auto"/>
          <w:sz w:val="24"/>
          <w:szCs w:val="24"/>
        </w:rPr>
        <w:t>不应</w:t>
      </w:r>
      <w:r>
        <w:rPr>
          <w:rFonts w:hint="eastAsia"/>
          <w:color w:val="auto"/>
          <w:sz w:val="24"/>
          <w:szCs w:val="24"/>
        </w:rPr>
        <w:t>”</w:t>
      </w:r>
      <w:r>
        <w:rPr>
          <w:rFonts w:hAnsi="宋体"/>
          <w:color w:val="auto"/>
          <w:sz w:val="24"/>
          <w:szCs w:val="24"/>
        </w:rPr>
        <w:t>或</w:t>
      </w:r>
      <w:r>
        <w:rPr>
          <w:rFonts w:hint="eastAsia"/>
          <w:color w:val="auto"/>
          <w:sz w:val="24"/>
          <w:szCs w:val="24"/>
        </w:rPr>
        <w:t>“</w:t>
      </w:r>
      <w:r>
        <w:rPr>
          <w:rFonts w:hAnsi="宋体"/>
          <w:color w:val="auto"/>
          <w:sz w:val="24"/>
          <w:szCs w:val="24"/>
        </w:rPr>
        <w:t>不得</w:t>
      </w:r>
      <w:r>
        <w:rPr>
          <w:rFonts w:hint="eastAsia"/>
          <w:color w:val="auto"/>
          <w:sz w:val="24"/>
          <w:szCs w:val="24"/>
        </w:rPr>
        <w:t>”；</w:t>
      </w:r>
    </w:p>
    <w:p>
      <w:pPr>
        <w:adjustRightInd w:val="0"/>
        <w:snapToGrid w:val="0"/>
        <w:spacing w:line="400" w:lineRule="atLeast"/>
        <w:ind w:firstLine="648" w:firstLineChars="270"/>
        <w:rPr>
          <w:color w:val="auto"/>
          <w:sz w:val="24"/>
          <w:szCs w:val="24"/>
        </w:rPr>
      </w:pPr>
      <w:r>
        <w:rPr>
          <w:color w:val="auto"/>
          <w:sz w:val="24"/>
          <w:szCs w:val="24"/>
        </w:rPr>
        <w:t>3</w:t>
      </w:r>
      <w:r>
        <w:rPr>
          <w:rFonts w:hAnsi="宋体"/>
          <w:color w:val="auto"/>
          <w:sz w:val="24"/>
          <w:szCs w:val="24"/>
        </w:rPr>
        <w:t>）表示允许稍有选择，在条件许可时首先应这样做的：</w:t>
      </w:r>
    </w:p>
    <w:p>
      <w:pPr>
        <w:adjustRightInd w:val="0"/>
        <w:snapToGrid w:val="0"/>
        <w:spacing w:line="400" w:lineRule="atLeast"/>
        <w:ind w:firstLine="1027" w:firstLineChars="428"/>
        <w:rPr>
          <w:color w:val="auto"/>
          <w:sz w:val="24"/>
          <w:szCs w:val="24"/>
        </w:rPr>
      </w:pPr>
      <w:r>
        <w:rPr>
          <w:rFonts w:hAnsi="宋体"/>
          <w:color w:val="auto"/>
          <w:sz w:val="24"/>
          <w:szCs w:val="24"/>
        </w:rPr>
        <w:t>正面词采用</w:t>
      </w:r>
      <w:r>
        <w:rPr>
          <w:rFonts w:hint="eastAsia"/>
          <w:color w:val="auto"/>
          <w:sz w:val="24"/>
          <w:szCs w:val="24"/>
        </w:rPr>
        <w:t>“</w:t>
      </w:r>
      <w:r>
        <w:rPr>
          <w:rFonts w:hAnsi="宋体"/>
          <w:color w:val="auto"/>
          <w:sz w:val="24"/>
          <w:szCs w:val="24"/>
        </w:rPr>
        <w:t>宜</w:t>
      </w:r>
      <w:r>
        <w:rPr>
          <w:rFonts w:hint="eastAsia"/>
          <w:color w:val="auto"/>
          <w:sz w:val="24"/>
          <w:szCs w:val="24"/>
        </w:rPr>
        <w:t>”，</w:t>
      </w:r>
      <w:r>
        <w:rPr>
          <w:rFonts w:hAnsi="宋体"/>
          <w:color w:val="auto"/>
          <w:sz w:val="24"/>
          <w:szCs w:val="24"/>
        </w:rPr>
        <w:t>反面词采用</w:t>
      </w:r>
      <w:r>
        <w:rPr>
          <w:rFonts w:hint="eastAsia"/>
          <w:color w:val="auto"/>
          <w:sz w:val="24"/>
          <w:szCs w:val="24"/>
        </w:rPr>
        <w:t>“</w:t>
      </w:r>
      <w:r>
        <w:rPr>
          <w:rFonts w:hAnsi="宋体"/>
          <w:color w:val="auto"/>
          <w:sz w:val="24"/>
          <w:szCs w:val="24"/>
        </w:rPr>
        <w:t>不宜</w:t>
      </w:r>
      <w:r>
        <w:rPr>
          <w:rFonts w:hint="eastAsia"/>
          <w:color w:val="auto"/>
          <w:sz w:val="24"/>
          <w:szCs w:val="24"/>
        </w:rPr>
        <w:t>”；</w:t>
      </w:r>
    </w:p>
    <w:p>
      <w:pPr>
        <w:adjustRightInd w:val="0"/>
        <w:snapToGrid w:val="0"/>
        <w:spacing w:line="400" w:lineRule="atLeast"/>
        <w:ind w:firstLine="648" w:firstLineChars="270"/>
        <w:rPr>
          <w:color w:val="auto"/>
          <w:sz w:val="24"/>
          <w:szCs w:val="24"/>
        </w:rPr>
      </w:pPr>
      <w:r>
        <w:rPr>
          <w:rFonts w:hint="eastAsia" w:hAnsi="宋体"/>
          <w:color w:val="auto"/>
          <w:sz w:val="24"/>
          <w:szCs w:val="24"/>
        </w:rPr>
        <w:t>4）</w:t>
      </w:r>
      <w:r>
        <w:rPr>
          <w:rFonts w:hAnsi="宋体"/>
          <w:color w:val="auto"/>
          <w:sz w:val="24"/>
          <w:szCs w:val="24"/>
        </w:rPr>
        <w:t>表示有选择，在一定条件下可以这样做的，采用</w:t>
      </w:r>
      <w:r>
        <w:rPr>
          <w:rFonts w:hint="eastAsia"/>
          <w:color w:val="auto"/>
          <w:sz w:val="24"/>
          <w:szCs w:val="24"/>
        </w:rPr>
        <w:t>“</w:t>
      </w:r>
      <w:r>
        <w:rPr>
          <w:rFonts w:hAnsi="宋体"/>
          <w:color w:val="auto"/>
          <w:sz w:val="24"/>
          <w:szCs w:val="24"/>
        </w:rPr>
        <w:t>可</w:t>
      </w:r>
      <w:r>
        <w:rPr>
          <w:rFonts w:hint="eastAsia"/>
          <w:color w:val="auto"/>
          <w:sz w:val="24"/>
          <w:szCs w:val="24"/>
        </w:rPr>
        <w:t>”</w:t>
      </w:r>
      <w:r>
        <w:rPr>
          <w:rFonts w:hAnsi="宋体"/>
          <w:color w:val="auto"/>
          <w:sz w:val="24"/>
          <w:szCs w:val="24"/>
        </w:rPr>
        <w:t>。</w:t>
      </w:r>
    </w:p>
    <w:p>
      <w:pPr>
        <w:adjustRightInd w:val="0"/>
        <w:snapToGrid w:val="0"/>
        <w:spacing w:line="400" w:lineRule="atLeast"/>
        <w:ind w:firstLine="410" w:firstLineChars="171"/>
        <w:rPr>
          <w:rFonts w:hAnsi="宋体"/>
          <w:color w:val="auto"/>
          <w:sz w:val="24"/>
          <w:szCs w:val="24"/>
        </w:rPr>
      </w:pPr>
      <w:r>
        <w:rPr>
          <w:color w:val="auto"/>
          <w:sz w:val="24"/>
          <w:szCs w:val="24"/>
        </w:rPr>
        <w:t>2</w:t>
      </w:r>
      <w:r>
        <w:rPr>
          <w:rFonts w:hint="eastAsia" w:hAnsi="宋体"/>
          <w:color w:val="auto"/>
          <w:sz w:val="24"/>
          <w:szCs w:val="24"/>
        </w:rPr>
        <w:t xml:space="preserve"> </w:t>
      </w:r>
      <w:r>
        <w:rPr>
          <w:rFonts w:hAnsi="宋体"/>
          <w:color w:val="auto"/>
          <w:sz w:val="24"/>
          <w:szCs w:val="24"/>
        </w:rPr>
        <w:t>条文中指明应按其他有关标准执行的写法为：</w:t>
      </w:r>
      <w:r>
        <w:rPr>
          <w:rFonts w:hint="eastAsia" w:hAnsi="宋体"/>
          <w:color w:val="auto"/>
          <w:sz w:val="24"/>
          <w:szCs w:val="24"/>
        </w:rPr>
        <w:t>“</w:t>
      </w:r>
      <w:r>
        <w:rPr>
          <w:rFonts w:hAnsi="宋体"/>
          <w:color w:val="auto"/>
          <w:sz w:val="24"/>
          <w:szCs w:val="24"/>
        </w:rPr>
        <w:t>应符合……</w:t>
      </w:r>
      <w:r>
        <w:rPr>
          <w:rFonts w:hint="eastAsia" w:hAnsi="宋体"/>
          <w:color w:val="auto"/>
          <w:sz w:val="24"/>
          <w:szCs w:val="24"/>
        </w:rPr>
        <w:t>的</w:t>
      </w:r>
      <w:r>
        <w:rPr>
          <w:rFonts w:hAnsi="宋体"/>
          <w:color w:val="auto"/>
          <w:sz w:val="24"/>
          <w:szCs w:val="24"/>
        </w:rPr>
        <w:t>规定</w:t>
      </w:r>
      <w:r>
        <w:rPr>
          <w:rFonts w:hint="eastAsia" w:hAnsi="宋体"/>
          <w:color w:val="auto"/>
          <w:sz w:val="24"/>
          <w:szCs w:val="24"/>
        </w:rPr>
        <w:t>”</w:t>
      </w:r>
      <w:r>
        <w:rPr>
          <w:rFonts w:hAnsi="宋体"/>
          <w:color w:val="auto"/>
          <w:sz w:val="24"/>
          <w:szCs w:val="24"/>
        </w:rPr>
        <w:t>或“应按……执行”。</w:t>
      </w:r>
    </w:p>
    <w:p>
      <w:pPr>
        <w:adjustRightInd w:val="0"/>
        <w:snapToGrid w:val="0"/>
        <w:spacing w:line="400" w:lineRule="atLeast"/>
        <w:jc w:val="center"/>
        <w:rPr>
          <w:rStyle w:val="83"/>
          <w:rFonts w:hint="eastAsia"/>
          <w:lang w:val="en-US" w:eastAsia="zh-CN"/>
        </w:rPr>
      </w:pPr>
      <w:r>
        <w:rPr>
          <w:szCs w:val="21"/>
        </w:rPr>
        <w:br w:type="page"/>
      </w:r>
      <w:bookmarkStart w:id="137" w:name="_Toc25848"/>
      <w:r>
        <w:rPr>
          <w:rStyle w:val="83"/>
          <w:rFonts w:hint="eastAsia"/>
          <w:lang w:val="en-US" w:eastAsia="zh-CN"/>
        </w:rPr>
        <w:t>引用标准名录</w:t>
      </w:r>
    </w:p>
    <w:bookmarkEnd w:id="137"/>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color w:val="auto"/>
          <w:sz w:val="24"/>
          <w:szCs w:val="24"/>
        </w:rPr>
      </w:pPr>
      <w:r>
        <w:rPr>
          <w:rFonts w:hint="eastAsia"/>
          <w:color w:val="auto"/>
          <w:sz w:val="24"/>
          <w:szCs w:val="24"/>
          <w:lang w:val="en-US" w:eastAsia="zh-CN"/>
        </w:rPr>
        <w:t xml:space="preserve">1 </w:t>
      </w:r>
      <w:r>
        <w:rPr>
          <w:rFonts w:hint="eastAsia"/>
          <w:color w:val="auto"/>
          <w:sz w:val="24"/>
          <w:szCs w:val="24"/>
        </w:rPr>
        <w:t>《钢筋混凝土用钢 第2部分：热轧带肋钢筋》GB</w:t>
      </w:r>
      <w:r>
        <w:rPr>
          <w:color w:val="auto"/>
          <w:sz w:val="24"/>
          <w:szCs w:val="24"/>
        </w:rPr>
        <w:t xml:space="preserve"> 1499.2</w:t>
      </w:r>
    </w:p>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color w:val="auto"/>
          <w:sz w:val="24"/>
          <w:szCs w:val="24"/>
        </w:rPr>
      </w:pPr>
      <w:r>
        <w:rPr>
          <w:rFonts w:hint="eastAsia"/>
          <w:color w:val="auto"/>
          <w:sz w:val="24"/>
          <w:szCs w:val="24"/>
          <w:lang w:val="en-US" w:eastAsia="zh-CN"/>
        </w:rPr>
        <w:t xml:space="preserve">2 </w:t>
      </w:r>
      <w:r>
        <w:rPr>
          <w:rFonts w:hint="eastAsia"/>
          <w:color w:val="auto"/>
          <w:sz w:val="24"/>
          <w:szCs w:val="24"/>
        </w:rPr>
        <w:t>《低合金高强度结构钢》GB/</w:t>
      </w:r>
      <w:r>
        <w:rPr>
          <w:color w:val="auto"/>
          <w:sz w:val="24"/>
          <w:szCs w:val="24"/>
        </w:rPr>
        <w:t>T 1591</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color w:val="auto"/>
          <w:sz w:val="24"/>
          <w:szCs w:val="24"/>
        </w:rPr>
      </w:pPr>
      <w:r>
        <w:rPr>
          <w:rFonts w:hint="eastAsia"/>
          <w:color w:val="auto"/>
          <w:sz w:val="24"/>
          <w:szCs w:val="24"/>
          <w:lang w:val="en-US" w:eastAsia="zh-CN"/>
        </w:rPr>
        <w:t>3</w:t>
      </w:r>
      <w:r>
        <w:rPr>
          <w:rFonts w:hint="eastAsia"/>
          <w:color w:val="auto"/>
          <w:sz w:val="24"/>
          <w:szCs w:val="24"/>
        </w:rPr>
        <w:t xml:space="preserve"> </w:t>
      </w:r>
      <w:r>
        <w:rPr>
          <w:color w:val="auto"/>
          <w:sz w:val="24"/>
          <w:szCs w:val="24"/>
        </w:rPr>
        <w:t>《混凝土结构工程用锚固胶》GB</w:t>
      </w:r>
      <w:r>
        <w:rPr>
          <w:rFonts w:hint="eastAsia"/>
          <w:color w:val="auto"/>
          <w:sz w:val="24"/>
          <w:szCs w:val="24"/>
          <w:lang w:val="en-US" w:eastAsia="zh-CN"/>
        </w:rPr>
        <w:t>/</w:t>
      </w:r>
      <w:r>
        <w:rPr>
          <w:color w:val="auto"/>
          <w:sz w:val="24"/>
          <w:szCs w:val="24"/>
        </w:rPr>
        <w:t>T</w:t>
      </w:r>
      <w:r>
        <w:rPr>
          <w:rFonts w:hint="eastAsia"/>
          <w:color w:val="auto"/>
          <w:sz w:val="24"/>
          <w:szCs w:val="24"/>
          <w:lang w:val="en-US" w:eastAsia="zh-CN"/>
        </w:rPr>
        <w:t xml:space="preserve"> </w:t>
      </w:r>
      <w:r>
        <w:rPr>
          <w:color w:val="auto"/>
          <w:sz w:val="24"/>
          <w:szCs w:val="24"/>
        </w:rPr>
        <w:t>37127</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textAlignment w:val="auto"/>
        <w:rPr>
          <w:rFonts w:hint="eastAsia" w:cs="宋体"/>
          <w:color w:val="auto"/>
          <w:sz w:val="24"/>
          <w:szCs w:val="24"/>
        </w:rPr>
      </w:pPr>
      <w:r>
        <w:rPr>
          <w:rFonts w:hint="eastAsia" w:cs="宋体"/>
          <w:color w:val="auto"/>
          <w:sz w:val="24"/>
          <w:szCs w:val="24"/>
          <w:lang w:val="en-US" w:eastAsia="zh-CN"/>
        </w:rPr>
        <w:t>4</w:t>
      </w:r>
      <w:r>
        <w:rPr>
          <w:rFonts w:hint="eastAsia" w:cs="宋体"/>
          <w:color w:val="auto"/>
          <w:sz w:val="24"/>
          <w:szCs w:val="24"/>
        </w:rPr>
        <w:t xml:space="preserve"> 《混凝土结构设计规范》GB50010</w:t>
      </w:r>
    </w:p>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color w:val="auto"/>
          <w:sz w:val="24"/>
          <w:szCs w:val="24"/>
        </w:rPr>
      </w:pPr>
      <w:r>
        <w:rPr>
          <w:rFonts w:hint="eastAsia"/>
          <w:color w:val="auto"/>
          <w:sz w:val="24"/>
          <w:szCs w:val="24"/>
          <w:lang w:val="en-US" w:eastAsia="zh-CN"/>
        </w:rPr>
        <w:t xml:space="preserve">5 </w:t>
      </w:r>
      <w:r>
        <w:rPr>
          <w:rFonts w:hint="eastAsia"/>
          <w:color w:val="auto"/>
          <w:sz w:val="24"/>
          <w:szCs w:val="24"/>
        </w:rPr>
        <w:t>《混凝土结构加固设计规范》GB50367</w:t>
      </w:r>
    </w:p>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color w:val="auto"/>
          <w:sz w:val="24"/>
          <w:szCs w:val="24"/>
        </w:rPr>
      </w:pPr>
      <w:r>
        <w:rPr>
          <w:rFonts w:hint="eastAsia"/>
          <w:color w:val="auto"/>
          <w:sz w:val="24"/>
          <w:szCs w:val="24"/>
          <w:lang w:val="en-US" w:eastAsia="zh-CN"/>
        </w:rPr>
        <w:t xml:space="preserve">6 </w:t>
      </w:r>
      <w:r>
        <w:rPr>
          <w:rFonts w:hint="eastAsia"/>
          <w:color w:val="auto"/>
          <w:sz w:val="24"/>
          <w:szCs w:val="24"/>
        </w:rPr>
        <w:t>《建筑工程加固工程施工质量验收规范》GB 50550</w:t>
      </w:r>
    </w:p>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color w:val="auto"/>
          <w:sz w:val="24"/>
          <w:szCs w:val="24"/>
        </w:rPr>
      </w:pPr>
      <w:r>
        <w:rPr>
          <w:rFonts w:hint="eastAsia"/>
          <w:color w:val="auto"/>
          <w:sz w:val="24"/>
          <w:szCs w:val="24"/>
          <w:lang w:val="en-US" w:eastAsia="zh-CN"/>
        </w:rPr>
        <w:t xml:space="preserve">7 </w:t>
      </w:r>
      <w:r>
        <w:rPr>
          <w:rFonts w:hint="eastAsia"/>
          <w:color w:val="auto"/>
          <w:sz w:val="24"/>
          <w:szCs w:val="24"/>
        </w:rPr>
        <w:t>《混凝土结构后锚固技术规程》</w:t>
      </w:r>
      <w:r>
        <w:rPr>
          <w:color w:val="auto"/>
          <w:sz w:val="24"/>
          <w:szCs w:val="24"/>
        </w:rPr>
        <w:t>JGJ</w:t>
      </w:r>
      <w:r>
        <w:rPr>
          <w:rFonts w:hint="eastAsia"/>
          <w:color w:val="auto"/>
          <w:sz w:val="24"/>
          <w:szCs w:val="24"/>
          <w:lang w:val="en-US" w:eastAsia="zh-CN"/>
        </w:rPr>
        <w:t xml:space="preserve"> </w:t>
      </w:r>
      <w:r>
        <w:rPr>
          <w:color w:val="auto"/>
          <w:sz w:val="24"/>
          <w:szCs w:val="24"/>
        </w:rPr>
        <w:t>145</w:t>
      </w:r>
    </w:p>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color w:val="auto"/>
          <w:sz w:val="24"/>
          <w:szCs w:val="24"/>
        </w:rPr>
      </w:pPr>
      <w:r>
        <w:rPr>
          <w:rFonts w:hint="eastAsia"/>
          <w:color w:val="auto"/>
          <w:sz w:val="24"/>
          <w:szCs w:val="24"/>
          <w:lang w:val="en-US" w:eastAsia="zh-CN"/>
        </w:rPr>
        <w:t xml:space="preserve">8 </w:t>
      </w:r>
      <w:r>
        <w:rPr>
          <w:rFonts w:hint="eastAsia"/>
          <w:color w:val="auto"/>
          <w:sz w:val="24"/>
          <w:szCs w:val="24"/>
          <w:lang w:eastAsia="zh-CN"/>
        </w:rPr>
        <w:t>《</w:t>
      </w:r>
      <w:r>
        <w:rPr>
          <w:rFonts w:hint="eastAsia"/>
          <w:color w:val="auto"/>
          <w:sz w:val="24"/>
          <w:szCs w:val="24"/>
        </w:rPr>
        <w:t>混凝土用机械锚栓</w:t>
      </w:r>
      <w:r>
        <w:rPr>
          <w:rFonts w:hint="eastAsia"/>
          <w:color w:val="auto"/>
          <w:sz w:val="24"/>
          <w:szCs w:val="24"/>
          <w:lang w:eastAsia="zh-CN"/>
        </w:rPr>
        <w:t>》</w:t>
      </w:r>
      <w:r>
        <w:rPr>
          <w:color w:val="auto"/>
          <w:sz w:val="24"/>
          <w:szCs w:val="24"/>
        </w:rPr>
        <w:t>JG/T 160</w:t>
      </w:r>
    </w:p>
    <w:p>
      <w:pPr>
        <w:pStyle w:val="2"/>
      </w:pPr>
    </w:p>
    <w:p>
      <w:pPr>
        <w:adjustRightInd w:val="0"/>
        <w:snapToGrid w:val="0"/>
        <w:spacing w:line="400" w:lineRule="atLeast"/>
        <w:jc w:val="center"/>
        <w:rPr>
          <w:rFonts w:ascii="黑体" w:hAnsi="宋体" w:eastAsia="黑体"/>
          <w:sz w:val="32"/>
          <w:szCs w:val="32"/>
        </w:rPr>
      </w:pPr>
    </w:p>
    <w:bookmarkEnd w:id="54"/>
    <w:p>
      <w:pPr>
        <w:spacing w:after="0" w:line="360" w:lineRule="auto"/>
        <w:rPr>
          <w:rFonts w:ascii="宋体" w:hAnsi="宋体"/>
          <w:b/>
          <w:bCs/>
          <w:color w:val="auto"/>
          <w:kern w:val="2"/>
          <w:sz w:val="24"/>
          <w:szCs w:val="24"/>
        </w:rPr>
      </w:pPr>
    </w:p>
    <w:sectPr>
      <w:footerReference r:id="rId6" w:type="default"/>
      <w:pgSz w:w="11906" w:h="16838"/>
      <w:pgMar w:top="1440" w:right="1800" w:bottom="1440" w:left="1800" w:header="850" w:footer="994"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FangSong_GB2312">
    <w:altName w:val="仿宋"/>
    <w:panose1 w:val="00000000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Arial Narrow">
    <w:panose1 w:val="020B0606020202030204"/>
    <w:charset w:val="00"/>
    <w:family w:val="swiss"/>
    <w:pitch w:val="default"/>
    <w:sig w:usb0="00000287" w:usb1="00000800" w:usb2="00000000" w:usb3="00000000" w:csb0="2000009F" w:csb1="DFD7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9A52F2"/>
    <w:multiLevelType w:val="multilevel"/>
    <w:tmpl w:val="469A52F2"/>
    <w:lvl w:ilvl="0" w:tentative="0">
      <w:start w:val="1"/>
      <w:numFmt w:val="decimal"/>
      <w:lvlText w:val="%1"/>
      <w:lvlJc w:val="left"/>
      <w:pPr>
        <w:ind w:left="432" w:hanging="432"/>
      </w:pPr>
      <w:rPr>
        <w:rFonts w:hint="default"/>
        <w:color w:val="4472C4" w:themeColor="accent1"/>
        <w14:textFill>
          <w14:solidFill>
            <w14:schemeClr w14:val="accent1"/>
          </w14:solidFill>
        </w14:textFill>
      </w:rPr>
    </w:lvl>
    <w:lvl w:ilvl="1" w:tentative="0">
      <w:start w:val="1"/>
      <w:numFmt w:val="decimal"/>
      <w:lvlText w:val="%1.%2"/>
      <w:lvlJc w:val="left"/>
      <w:pPr>
        <w:ind w:left="576" w:hanging="576"/>
      </w:pPr>
      <w:rPr>
        <w:rFonts w:hint="default"/>
        <w:color w:val="4472C4" w:themeColor="accent1"/>
        <w14:textFill>
          <w14:solidFill>
            <w14:schemeClr w14:val="accent1"/>
          </w14:solidFill>
        </w14:textFill>
      </w:rPr>
    </w:lvl>
    <w:lvl w:ilvl="2" w:tentative="0">
      <w:start w:val="1"/>
      <w:numFmt w:val="decimal"/>
      <w:lvlText w:val="%1.%2.%3"/>
      <w:lvlJc w:val="left"/>
      <w:pPr>
        <w:ind w:left="720" w:hanging="720"/>
      </w:pPr>
      <w:rPr>
        <w:rFonts w:hint="default"/>
        <w:color w:val="4472C4" w:themeColor="accent1"/>
        <w14:textFill>
          <w14:solidFill>
            <w14:schemeClr w14:val="accent1"/>
          </w14:solidFill>
        </w14:textFill>
      </w:rPr>
    </w:lvl>
    <w:lvl w:ilvl="3" w:tentative="0">
      <w:start w:val="1"/>
      <w:numFmt w:val="decimal"/>
      <w:lvlText w:val="%1.%2.%3.%4"/>
      <w:lvlJc w:val="left"/>
      <w:pPr>
        <w:ind w:left="864" w:hanging="864"/>
      </w:pPr>
      <w:rPr>
        <w:rFonts w:hint="default"/>
        <w:color w:val="4472C4" w:themeColor="accent1"/>
        <w14:textFill>
          <w14:solidFill>
            <w14:schemeClr w14:val="accent1"/>
          </w14:solidFill>
        </w14:textFill>
      </w:rPr>
    </w:lvl>
    <w:lvl w:ilvl="4" w:tentative="0">
      <w:start w:val="1"/>
      <w:numFmt w:val="decimal"/>
      <w:pStyle w:val="52"/>
      <w:lvlText w:val="%1.%2.%3.%4.%5"/>
      <w:lvlJc w:val="left"/>
      <w:pPr>
        <w:ind w:left="1008" w:hanging="1008"/>
      </w:pPr>
      <w:rPr>
        <w:rFonts w:hint="default"/>
        <w:color w:val="4472C4" w:themeColor="accent1"/>
        <w14:textFill>
          <w14:solidFill>
            <w14:schemeClr w14:val="accent1"/>
          </w14:solidFill>
        </w14:textFill>
      </w:rPr>
    </w:lvl>
    <w:lvl w:ilvl="5" w:tentative="0">
      <w:start w:val="1"/>
      <w:numFmt w:val="decimal"/>
      <w:pStyle w:val="53"/>
      <w:lvlText w:val="%1.%2.%3.%4.%5.%6"/>
      <w:lvlJc w:val="left"/>
      <w:pPr>
        <w:ind w:left="1152" w:hanging="1152"/>
      </w:pPr>
      <w:rPr>
        <w:rFonts w:hint="default"/>
        <w:color w:val="4472C4" w:themeColor="accent1"/>
        <w14:textFill>
          <w14:solidFill>
            <w14:schemeClr w14:val="accent1"/>
          </w14:solidFill>
        </w14:textFill>
      </w:rPr>
    </w:lvl>
    <w:lvl w:ilvl="6" w:tentative="0">
      <w:start w:val="1"/>
      <w:numFmt w:val="decimal"/>
      <w:pStyle w:val="54"/>
      <w:lvlText w:val="%1.%2.%3.%4.%5.%6.%7"/>
      <w:lvlJc w:val="left"/>
      <w:pPr>
        <w:ind w:left="1296" w:hanging="1296"/>
      </w:pPr>
      <w:rPr>
        <w:rFonts w:hint="default"/>
        <w:color w:val="4472C4" w:themeColor="accent1"/>
        <w14:textFill>
          <w14:solidFill>
            <w14:schemeClr w14:val="accent1"/>
          </w14:solidFill>
        </w14:textFill>
      </w:rPr>
    </w:lvl>
    <w:lvl w:ilvl="7" w:tentative="0">
      <w:start w:val="1"/>
      <w:numFmt w:val="decimal"/>
      <w:pStyle w:val="55"/>
      <w:lvlText w:val="%1.%2.%3.%4.%5.%6.%7.%8"/>
      <w:lvlJc w:val="left"/>
      <w:pPr>
        <w:ind w:left="1440" w:hanging="1440"/>
      </w:pPr>
      <w:rPr>
        <w:rFonts w:hint="default"/>
        <w:color w:val="4472C4" w:themeColor="accent1"/>
        <w14:textFill>
          <w14:solidFill>
            <w14:schemeClr w14:val="accent1"/>
          </w14:solidFill>
        </w14:textFill>
      </w:rPr>
    </w:lvl>
    <w:lvl w:ilvl="8" w:tentative="0">
      <w:start w:val="1"/>
      <w:numFmt w:val="decimal"/>
      <w:pStyle w:val="56"/>
      <w:lvlText w:val="%1.%2.%3.%4.%5.%6.%7.%8.%9"/>
      <w:lvlJc w:val="left"/>
      <w:pPr>
        <w:ind w:left="1584" w:hanging="1584"/>
      </w:pPr>
      <w:rPr>
        <w:rFonts w:hint="default"/>
        <w:color w:val="4472C4" w:themeColor="accent1"/>
        <w14:textFill>
          <w14:solidFill>
            <w14:schemeClr w14:val="accent1"/>
          </w14:solidFill>
        </w14:textFil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mMDI3ODk0M2M1MTZhYWMwZGE4YTA4NDBjODVkOTcifQ=="/>
  </w:docVars>
  <w:rsids>
    <w:rsidRoot w:val="00172A27"/>
    <w:rsid w:val="00001FFB"/>
    <w:rsid w:val="00002DE3"/>
    <w:rsid w:val="0000387D"/>
    <w:rsid w:val="000043BA"/>
    <w:rsid w:val="00005819"/>
    <w:rsid w:val="000113DF"/>
    <w:rsid w:val="00011B94"/>
    <w:rsid w:val="0001284A"/>
    <w:rsid w:val="00015023"/>
    <w:rsid w:val="00015260"/>
    <w:rsid w:val="0001548D"/>
    <w:rsid w:val="0001742B"/>
    <w:rsid w:val="00025BDC"/>
    <w:rsid w:val="00030CA8"/>
    <w:rsid w:val="00031ECD"/>
    <w:rsid w:val="00032596"/>
    <w:rsid w:val="000331B3"/>
    <w:rsid w:val="00041B6B"/>
    <w:rsid w:val="000424AC"/>
    <w:rsid w:val="00044407"/>
    <w:rsid w:val="000462E3"/>
    <w:rsid w:val="00050F9D"/>
    <w:rsid w:val="00051127"/>
    <w:rsid w:val="0005199F"/>
    <w:rsid w:val="00052AEF"/>
    <w:rsid w:val="00054085"/>
    <w:rsid w:val="0005443F"/>
    <w:rsid w:val="00054DFF"/>
    <w:rsid w:val="0005668E"/>
    <w:rsid w:val="0006009B"/>
    <w:rsid w:val="000601B3"/>
    <w:rsid w:val="00061401"/>
    <w:rsid w:val="00064E91"/>
    <w:rsid w:val="00065A05"/>
    <w:rsid w:val="00071E4B"/>
    <w:rsid w:val="00073E06"/>
    <w:rsid w:val="00075041"/>
    <w:rsid w:val="00076716"/>
    <w:rsid w:val="00076B5A"/>
    <w:rsid w:val="00076FA5"/>
    <w:rsid w:val="00081EBB"/>
    <w:rsid w:val="0008233F"/>
    <w:rsid w:val="0008345B"/>
    <w:rsid w:val="00085B69"/>
    <w:rsid w:val="00086AD8"/>
    <w:rsid w:val="0008709E"/>
    <w:rsid w:val="00090CD1"/>
    <w:rsid w:val="000917DA"/>
    <w:rsid w:val="000932D5"/>
    <w:rsid w:val="00096217"/>
    <w:rsid w:val="000A0A17"/>
    <w:rsid w:val="000A33FC"/>
    <w:rsid w:val="000A3B2E"/>
    <w:rsid w:val="000A5D28"/>
    <w:rsid w:val="000A6E62"/>
    <w:rsid w:val="000A7921"/>
    <w:rsid w:val="000B24AD"/>
    <w:rsid w:val="000B2DAC"/>
    <w:rsid w:val="000B5402"/>
    <w:rsid w:val="000C4D2C"/>
    <w:rsid w:val="000C7571"/>
    <w:rsid w:val="000D1A0B"/>
    <w:rsid w:val="000D1FAA"/>
    <w:rsid w:val="000D6DF5"/>
    <w:rsid w:val="000D73A6"/>
    <w:rsid w:val="000D797D"/>
    <w:rsid w:val="000E4D42"/>
    <w:rsid w:val="000E71D9"/>
    <w:rsid w:val="000F06CD"/>
    <w:rsid w:val="000F1067"/>
    <w:rsid w:val="000F4CD6"/>
    <w:rsid w:val="000F658C"/>
    <w:rsid w:val="00100EB5"/>
    <w:rsid w:val="001037F4"/>
    <w:rsid w:val="00103C8D"/>
    <w:rsid w:val="001056D5"/>
    <w:rsid w:val="0010572D"/>
    <w:rsid w:val="00105C9B"/>
    <w:rsid w:val="00110228"/>
    <w:rsid w:val="00112D45"/>
    <w:rsid w:val="00115382"/>
    <w:rsid w:val="001162DA"/>
    <w:rsid w:val="001206D4"/>
    <w:rsid w:val="00121D74"/>
    <w:rsid w:val="0012323E"/>
    <w:rsid w:val="00123FC4"/>
    <w:rsid w:val="0012495E"/>
    <w:rsid w:val="00126AE9"/>
    <w:rsid w:val="001276B8"/>
    <w:rsid w:val="00127BA3"/>
    <w:rsid w:val="00127F94"/>
    <w:rsid w:val="001301FC"/>
    <w:rsid w:val="001343A7"/>
    <w:rsid w:val="0013534B"/>
    <w:rsid w:val="001414CB"/>
    <w:rsid w:val="00143043"/>
    <w:rsid w:val="001453F6"/>
    <w:rsid w:val="001459DE"/>
    <w:rsid w:val="0014677F"/>
    <w:rsid w:val="00147C53"/>
    <w:rsid w:val="001539DD"/>
    <w:rsid w:val="0015420D"/>
    <w:rsid w:val="00155347"/>
    <w:rsid w:val="00156AD6"/>
    <w:rsid w:val="00162CBD"/>
    <w:rsid w:val="00167203"/>
    <w:rsid w:val="001677FD"/>
    <w:rsid w:val="001678E5"/>
    <w:rsid w:val="00171AAC"/>
    <w:rsid w:val="00172A27"/>
    <w:rsid w:val="00173082"/>
    <w:rsid w:val="00174367"/>
    <w:rsid w:val="00174F91"/>
    <w:rsid w:val="00176BED"/>
    <w:rsid w:val="001810E8"/>
    <w:rsid w:val="001822C4"/>
    <w:rsid w:val="00183CA6"/>
    <w:rsid w:val="001845A3"/>
    <w:rsid w:val="00193CE3"/>
    <w:rsid w:val="00193D84"/>
    <w:rsid w:val="00194483"/>
    <w:rsid w:val="0019548A"/>
    <w:rsid w:val="001954D0"/>
    <w:rsid w:val="001958F2"/>
    <w:rsid w:val="001A164A"/>
    <w:rsid w:val="001A415C"/>
    <w:rsid w:val="001A458B"/>
    <w:rsid w:val="001A48F5"/>
    <w:rsid w:val="001A4A47"/>
    <w:rsid w:val="001A7CE8"/>
    <w:rsid w:val="001B051C"/>
    <w:rsid w:val="001B3ABF"/>
    <w:rsid w:val="001B3DA8"/>
    <w:rsid w:val="001B4998"/>
    <w:rsid w:val="001B55A4"/>
    <w:rsid w:val="001B64CE"/>
    <w:rsid w:val="001B6961"/>
    <w:rsid w:val="001B6D5E"/>
    <w:rsid w:val="001C0F73"/>
    <w:rsid w:val="001C10BA"/>
    <w:rsid w:val="001C25E7"/>
    <w:rsid w:val="001C6A77"/>
    <w:rsid w:val="001C7B2C"/>
    <w:rsid w:val="001D292D"/>
    <w:rsid w:val="001D3C8E"/>
    <w:rsid w:val="001D495C"/>
    <w:rsid w:val="001D5852"/>
    <w:rsid w:val="001E12D5"/>
    <w:rsid w:val="001E2AE4"/>
    <w:rsid w:val="001E3703"/>
    <w:rsid w:val="001E4F56"/>
    <w:rsid w:val="001E66A3"/>
    <w:rsid w:val="001E6862"/>
    <w:rsid w:val="001F3831"/>
    <w:rsid w:val="001F491A"/>
    <w:rsid w:val="001F7FCF"/>
    <w:rsid w:val="0020080E"/>
    <w:rsid w:val="00202746"/>
    <w:rsid w:val="002035E9"/>
    <w:rsid w:val="00203837"/>
    <w:rsid w:val="00204083"/>
    <w:rsid w:val="00206431"/>
    <w:rsid w:val="00210B99"/>
    <w:rsid w:val="0021122A"/>
    <w:rsid w:val="002128AA"/>
    <w:rsid w:val="00215192"/>
    <w:rsid w:val="00223E6B"/>
    <w:rsid w:val="00225833"/>
    <w:rsid w:val="00227DEE"/>
    <w:rsid w:val="00230C14"/>
    <w:rsid w:val="00233520"/>
    <w:rsid w:val="002344F2"/>
    <w:rsid w:val="00234D51"/>
    <w:rsid w:val="00235618"/>
    <w:rsid w:val="0023745E"/>
    <w:rsid w:val="0024156A"/>
    <w:rsid w:val="00243747"/>
    <w:rsid w:val="00243D4C"/>
    <w:rsid w:val="00245929"/>
    <w:rsid w:val="00245C08"/>
    <w:rsid w:val="00246257"/>
    <w:rsid w:val="0024646B"/>
    <w:rsid w:val="00247148"/>
    <w:rsid w:val="002475E7"/>
    <w:rsid w:val="00250D10"/>
    <w:rsid w:val="00253B9A"/>
    <w:rsid w:val="00254890"/>
    <w:rsid w:val="00254C34"/>
    <w:rsid w:val="002558BE"/>
    <w:rsid w:val="0025633F"/>
    <w:rsid w:val="002569B0"/>
    <w:rsid w:val="00257C80"/>
    <w:rsid w:val="002601D3"/>
    <w:rsid w:val="00261457"/>
    <w:rsid w:val="00262229"/>
    <w:rsid w:val="00262829"/>
    <w:rsid w:val="00262FAD"/>
    <w:rsid w:val="00264BD3"/>
    <w:rsid w:val="00265373"/>
    <w:rsid w:val="00265BD4"/>
    <w:rsid w:val="00266472"/>
    <w:rsid w:val="00266A8E"/>
    <w:rsid w:val="00267420"/>
    <w:rsid w:val="00270179"/>
    <w:rsid w:val="0027136F"/>
    <w:rsid w:val="00271ED0"/>
    <w:rsid w:val="00272D02"/>
    <w:rsid w:val="00273D0E"/>
    <w:rsid w:val="002853A8"/>
    <w:rsid w:val="002856B0"/>
    <w:rsid w:val="00293256"/>
    <w:rsid w:val="00294541"/>
    <w:rsid w:val="00294E30"/>
    <w:rsid w:val="002953EE"/>
    <w:rsid w:val="00295A12"/>
    <w:rsid w:val="002965C5"/>
    <w:rsid w:val="00297CA0"/>
    <w:rsid w:val="002A41C9"/>
    <w:rsid w:val="002A51BC"/>
    <w:rsid w:val="002A609D"/>
    <w:rsid w:val="002A64C5"/>
    <w:rsid w:val="002A7E47"/>
    <w:rsid w:val="002B5298"/>
    <w:rsid w:val="002B71C8"/>
    <w:rsid w:val="002B756D"/>
    <w:rsid w:val="002B7F67"/>
    <w:rsid w:val="002C0495"/>
    <w:rsid w:val="002C2248"/>
    <w:rsid w:val="002C34C7"/>
    <w:rsid w:val="002C422E"/>
    <w:rsid w:val="002C4545"/>
    <w:rsid w:val="002C70E1"/>
    <w:rsid w:val="002D20E7"/>
    <w:rsid w:val="002D2562"/>
    <w:rsid w:val="002D614A"/>
    <w:rsid w:val="002D75D3"/>
    <w:rsid w:val="002E36F9"/>
    <w:rsid w:val="002E3BC0"/>
    <w:rsid w:val="002E6518"/>
    <w:rsid w:val="002F0FDB"/>
    <w:rsid w:val="002F3BA5"/>
    <w:rsid w:val="002F49C4"/>
    <w:rsid w:val="002F5C3C"/>
    <w:rsid w:val="002F78BD"/>
    <w:rsid w:val="00301372"/>
    <w:rsid w:val="00302E73"/>
    <w:rsid w:val="0030354B"/>
    <w:rsid w:val="00304B5C"/>
    <w:rsid w:val="00306628"/>
    <w:rsid w:val="00306752"/>
    <w:rsid w:val="0031284D"/>
    <w:rsid w:val="00313F8E"/>
    <w:rsid w:val="0031446E"/>
    <w:rsid w:val="00314999"/>
    <w:rsid w:val="00316C78"/>
    <w:rsid w:val="00322CAE"/>
    <w:rsid w:val="0032336C"/>
    <w:rsid w:val="00326FFE"/>
    <w:rsid w:val="003277ED"/>
    <w:rsid w:val="00327E1A"/>
    <w:rsid w:val="00327EDC"/>
    <w:rsid w:val="00333F06"/>
    <w:rsid w:val="0033658C"/>
    <w:rsid w:val="00341226"/>
    <w:rsid w:val="00345F2F"/>
    <w:rsid w:val="003467D7"/>
    <w:rsid w:val="00346E67"/>
    <w:rsid w:val="00346E80"/>
    <w:rsid w:val="00350C87"/>
    <w:rsid w:val="003518F9"/>
    <w:rsid w:val="00354785"/>
    <w:rsid w:val="00355233"/>
    <w:rsid w:val="00356D14"/>
    <w:rsid w:val="00361351"/>
    <w:rsid w:val="0036354E"/>
    <w:rsid w:val="00364189"/>
    <w:rsid w:val="00364A58"/>
    <w:rsid w:val="00366ED3"/>
    <w:rsid w:val="003719EE"/>
    <w:rsid w:val="00373724"/>
    <w:rsid w:val="00373D7D"/>
    <w:rsid w:val="00373E38"/>
    <w:rsid w:val="00377AD8"/>
    <w:rsid w:val="00377ADB"/>
    <w:rsid w:val="00377C28"/>
    <w:rsid w:val="00380A91"/>
    <w:rsid w:val="00385CEC"/>
    <w:rsid w:val="00385DB1"/>
    <w:rsid w:val="00387EB8"/>
    <w:rsid w:val="00392A77"/>
    <w:rsid w:val="0039335A"/>
    <w:rsid w:val="003935D2"/>
    <w:rsid w:val="0039473F"/>
    <w:rsid w:val="00395B09"/>
    <w:rsid w:val="00396523"/>
    <w:rsid w:val="003971F2"/>
    <w:rsid w:val="003A08B6"/>
    <w:rsid w:val="003A4BD5"/>
    <w:rsid w:val="003A5AA0"/>
    <w:rsid w:val="003A6227"/>
    <w:rsid w:val="003B3542"/>
    <w:rsid w:val="003B5588"/>
    <w:rsid w:val="003B65ED"/>
    <w:rsid w:val="003B6741"/>
    <w:rsid w:val="003B690C"/>
    <w:rsid w:val="003B75AA"/>
    <w:rsid w:val="003C1430"/>
    <w:rsid w:val="003C15F7"/>
    <w:rsid w:val="003C4F74"/>
    <w:rsid w:val="003C7BE7"/>
    <w:rsid w:val="003D000D"/>
    <w:rsid w:val="003D11FF"/>
    <w:rsid w:val="003D361D"/>
    <w:rsid w:val="003D5EEE"/>
    <w:rsid w:val="003E3C73"/>
    <w:rsid w:val="003E53B0"/>
    <w:rsid w:val="003E6583"/>
    <w:rsid w:val="003E7D59"/>
    <w:rsid w:val="003F0232"/>
    <w:rsid w:val="003F083C"/>
    <w:rsid w:val="003F2B43"/>
    <w:rsid w:val="003F3D63"/>
    <w:rsid w:val="003F5E15"/>
    <w:rsid w:val="003F7D5A"/>
    <w:rsid w:val="004044A3"/>
    <w:rsid w:val="0040488B"/>
    <w:rsid w:val="0041223B"/>
    <w:rsid w:val="004148DF"/>
    <w:rsid w:val="00417683"/>
    <w:rsid w:val="004204F1"/>
    <w:rsid w:val="00420E2D"/>
    <w:rsid w:val="00422CA2"/>
    <w:rsid w:val="00424967"/>
    <w:rsid w:val="004253CC"/>
    <w:rsid w:val="0043224C"/>
    <w:rsid w:val="004334DF"/>
    <w:rsid w:val="0043358A"/>
    <w:rsid w:val="004355E6"/>
    <w:rsid w:val="0043619E"/>
    <w:rsid w:val="004361CB"/>
    <w:rsid w:val="00441745"/>
    <w:rsid w:val="004428B5"/>
    <w:rsid w:val="004449A6"/>
    <w:rsid w:val="004456F6"/>
    <w:rsid w:val="0044781D"/>
    <w:rsid w:val="00451296"/>
    <w:rsid w:val="0045493C"/>
    <w:rsid w:val="0045695B"/>
    <w:rsid w:val="0046064F"/>
    <w:rsid w:val="004615EA"/>
    <w:rsid w:val="004637FC"/>
    <w:rsid w:val="004647C4"/>
    <w:rsid w:val="004659BD"/>
    <w:rsid w:val="004671E2"/>
    <w:rsid w:val="004700FA"/>
    <w:rsid w:val="00474D5D"/>
    <w:rsid w:val="00474DA2"/>
    <w:rsid w:val="00481112"/>
    <w:rsid w:val="004814A7"/>
    <w:rsid w:val="00481737"/>
    <w:rsid w:val="004840FE"/>
    <w:rsid w:val="004868BC"/>
    <w:rsid w:val="00487A4E"/>
    <w:rsid w:val="00490D80"/>
    <w:rsid w:val="0049122F"/>
    <w:rsid w:val="004913A9"/>
    <w:rsid w:val="00492D23"/>
    <w:rsid w:val="00492EF9"/>
    <w:rsid w:val="00493981"/>
    <w:rsid w:val="00493A43"/>
    <w:rsid w:val="00495956"/>
    <w:rsid w:val="00497A00"/>
    <w:rsid w:val="004A3880"/>
    <w:rsid w:val="004A40A4"/>
    <w:rsid w:val="004A4AF6"/>
    <w:rsid w:val="004A4E9B"/>
    <w:rsid w:val="004A663E"/>
    <w:rsid w:val="004A79A5"/>
    <w:rsid w:val="004A7DCB"/>
    <w:rsid w:val="004B025F"/>
    <w:rsid w:val="004B078D"/>
    <w:rsid w:val="004B1909"/>
    <w:rsid w:val="004B25EC"/>
    <w:rsid w:val="004B5D54"/>
    <w:rsid w:val="004B73FD"/>
    <w:rsid w:val="004C05D9"/>
    <w:rsid w:val="004C1E07"/>
    <w:rsid w:val="004C2B37"/>
    <w:rsid w:val="004C373A"/>
    <w:rsid w:val="004C3FEB"/>
    <w:rsid w:val="004C4290"/>
    <w:rsid w:val="004D2907"/>
    <w:rsid w:val="004D4A62"/>
    <w:rsid w:val="004D5BC2"/>
    <w:rsid w:val="004D7A2B"/>
    <w:rsid w:val="004E06DE"/>
    <w:rsid w:val="004E1043"/>
    <w:rsid w:val="004E1EEF"/>
    <w:rsid w:val="004E3EB6"/>
    <w:rsid w:val="004E7ED1"/>
    <w:rsid w:val="004F3D5F"/>
    <w:rsid w:val="004F4D4C"/>
    <w:rsid w:val="004F7423"/>
    <w:rsid w:val="00500AED"/>
    <w:rsid w:val="00500B90"/>
    <w:rsid w:val="00502F69"/>
    <w:rsid w:val="005054C4"/>
    <w:rsid w:val="00511630"/>
    <w:rsid w:val="00517693"/>
    <w:rsid w:val="005177A7"/>
    <w:rsid w:val="00520A05"/>
    <w:rsid w:val="005245DC"/>
    <w:rsid w:val="00530C26"/>
    <w:rsid w:val="00530F29"/>
    <w:rsid w:val="005326B8"/>
    <w:rsid w:val="00532E0A"/>
    <w:rsid w:val="00535291"/>
    <w:rsid w:val="005364DC"/>
    <w:rsid w:val="00542E10"/>
    <w:rsid w:val="005443EB"/>
    <w:rsid w:val="00545095"/>
    <w:rsid w:val="005462D6"/>
    <w:rsid w:val="0055146D"/>
    <w:rsid w:val="00552414"/>
    <w:rsid w:val="00553F38"/>
    <w:rsid w:val="00560BD7"/>
    <w:rsid w:val="0056226D"/>
    <w:rsid w:val="00563427"/>
    <w:rsid w:val="00563E05"/>
    <w:rsid w:val="0056648A"/>
    <w:rsid w:val="005665FE"/>
    <w:rsid w:val="00570051"/>
    <w:rsid w:val="005733C3"/>
    <w:rsid w:val="005779CE"/>
    <w:rsid w:val="00580BE9"/>
    <w:rsid w:val="00581501"/>
    <w:rsid w:val="00583807"/>
    <w:rsid w:val="005854C2"/>
    <w:rsid w:val="005861A8"/>
    <w:rsid w:val="00586FEC"/>
    <w:rsid w:val="00587BD2"/>
    <w:rsid w:val="00592DB4"/>
    <w:rsid w:val="00595920"/>
    <w:rsid w:val="00596316"/>
    <w:rsid w:val="00596706"/>
    <w:rsid w:val="00597663"/>
    <w:rsid w:val="005A06EC"/>
    <w:rsid w:val="005A16BF"/>
    <w:rsid w:val="005A1D3B"/>
    <w:rsid w:val="005A21D7"/>
    <w:rsid w:val="005A26E3"/>
    <w:rsid w:val="005A488C"/>
    <w:rsid w:val="005A557C"/>
    <w:rsid w:val="005B1BAF"/>
    <w:rsid w:val="005B247F"/>
    <w:rsid w:val="005B2E00"/>
    <w:rsid w:val="005B382B"/>
    <w:rsid w:val="005B63A8"/>
    <w:rsid w:val="005B6438"/>
    <w:rsid w:val="005B7AA2"/>
    <w:rsid w:val="005B7FBE"/>
    <w:rsid w:val="005C4B04"/>
    <w:rsid w:val="005C71E5"/>
    <w:rsid w:val="005D2371"/>
    <w:rsid w:val="005D296F"/>
    <w:rsid w:val="005D2F9E"/>
    <w:rsid w:val="005D62CC"/>
    <w:rsid w:val="005D77C9"/>
    <w:rsid w:val="005D7B75"/>
    <w:rsid w:val="005E144A"/>
    <w:rsid w:val="005E1806"/>
    <w:rsid w:val="005E652E"/>
    <w:rsid w:val="005E6636"/>
    <w:rsid w:val="005E71FC"/>
    <w:rsid w:val="005F150D"/>
    <w:rsid w:val="005F3D74"/>
    <w:rsid w:val="005F3FC2"/>
    <w:rsid w:val="005F5E21"/>
    <w:rsid w:val="005F7B44"/>
    <w:rsid w:val="006055C7"/>
    <w:rsid w:val="006065BB"/>
    <w:rsid w:val="00617EB4"/>
    <w:rsid w:val="00624395"/>
    <w:rsid w:val="006249B6"/>
    <w:rsid w:val="00624A28"/>
    <w:rsid w:val="006300F3"/>
    <w:rsid w:val="00634E6D"/>
    <w:rsid w:val="006350E4"/>
    <w:rsid w:val="00637665"/>
    <w:rsid w:val="00647520"/>
    <w:rsid w:val="00647DF9"/>
    <w:rsid w:val="00651C7E"/>
    <w:rsid w:val="00653472"/>
    <w:rsid w:val="006535FF"/>
    <w:rsid w:val="00654DE9"/>
    <w:rsid w:val="0065597A"/>
    <w:rsid w:val="00660373"/>
    <w:rsid w:val="0066148B"/>
    <w:rsid w:val="00661BE3"/>
    <w:rsid w:val="00662676"/>
    <w:rsid w:val="006638E3"/>
    <w:rsid w:val="00664FC1"/>
    <w:rsid w:val="00670A10"/>
    <w:rsid w:val="00672EB2"/>
    <w:rsid w:val="00674F6D"/>
    <w:rsid w:val="00677239"/>
    <w:rsid w:val="006779E3"/>
    <w:rsid w:val="00677CAB"/>
    <w:rsid w:val="006800D8"/>
    <w:rsid w:val="00681BFC"/>
    <w:rsid w:val="00682D7D"/>
    <w:rsid w:val="00683369"/>
    <w:rsid w:val="00685D68"/>
    <w:rsid w:val="006906CB"/>
    <w:rsid w:val="00692D3A"/>
    <w:rsid w:val="00694C6D"/>
    <w:rsid w:val="00695A09"/>
    <w:rsid w:val="00696217"/>
    <w:rsid w:val="006A022D"/>
    <w:rsid w:val="006A03E6"/>
    <w:rsid w:val="006A4AFB"/>
    <w:rsid w:val="006A6D54"/>
    <w:rsid w:val="006B13DB"/>
    <w:rsid w:val="006B16DC"/>
    <w:rsid w:val="006B17DA"/>
    <w:rsid w:val="006B4F0C"/>
    <w:rsid w:val="006B5C85"/>
    <w:rsid w:val="006C1390"/>
    <w:rsid w:val="006C1F0C"/>
    <w:rsid w:val="006C249B"/>
    <w:rsid w:val="006C43ED"/>
    <w:rsid w:val="006C791B"/>
    <w:rsid w:val="006D0FB2"/>
    <w:rsid w:val="006D4CB7"/>
    <w:rsid w:val="006D72D5"/>
    <w:rsid w:val="006E1B43"/>
    <w:rsid w:val="006E5781"/>
    <w:rsid w:val="006E5C50"/>
    <w:rsid w:val="006E7B3F"/>
    <w:rsid w:val="006F1011"/>
    <w:rsid w:val="006F13F4"/>
    <w:rsid w:val="006F2C1C"/>
    <w:rsid w:val="006F3B92"/>
    <w:rsid w:val="006F5693"/>
    <w:rsid w:val="006F5B0A"/>
    <w:rsid w:val="006F7B64"/>
    <w:rsid w:val="00701301"/>
    <w:rsid w:val="007019B4"/>
    <w:rsid w:val="00706991"/>
    <w:rsid w:val="00706CF3"/>
    <w:rsid w:val="00707540"/>
    <w:rsid w:val="0072081C"/>
    <w:rsid w:val="007242A0"/>
    <w:rsid w:val="007245F5"/>
    <w:rsid w:val="007245F9"/>
    <w:rsid w:val="00726E32"/>
    <w:rsid w:val="007279F2"/>
    <w:rsid w:val="0073012E"/>
    <w:rsid w:val="007340E6"/>
    <w:rsid w:val="00734553"/>
    <w:rsid w:val="00735033"/>
    <w:rsid w:val="0073507F"/>
    <w:rsid w:val="00740034"/>
    <w:rsid w:val="00740793"/>
    <w:rsid w:val="007413BA"/>
    <w:rsid w:val="007429DE"/>
    <w:rsid w:val="00753EC5"/>
    <w:rsid w:val="007669BA"/>
    <w:rsid w:val="00766C71"/>
    <w:rsid w:val="007676F3"/>
    <w:rsid w:val="00770D5B"/>
    <w:rsid w:val="00774DBF"/>
    <w:rsid w:val="00776C25"/>
    <w:rsid w:val="00781722"/>
    <w:rsid w:val="007835CA"/>
    <w:rsid w:val="00783664"/>
    <w:rsid w:val="00785B21"/>
    <w:rsid w:val="0078657B"/>
    <w:rsid w:val="007869A9"/>
    <w:rsid w:val="00790CF1"/>
    <w:rsid w:val="0079131E"/>
    <w:rsid w:val="00792CDC"/>
    <w:rsid w:val="007941B8"/>
    <w:rsid w:val="00795D79"/>
    <w:rsid w:val="0079675A"/>
    <w:rsid w:val="00797131"/>
    <w:rsid w:val="007A046C"/>
    <w:rsid w:val="007A06C8"/>
    <w:rsid w:val="007A09F1"/>
    <w:rsid w:val="007A1E42"/>
    <w:rsid w:val="007A5207"/>
    <w:rsid w:val="007A66B6"/>
    <w:rsid w:val="007A7673"/>
    <w:rsid w:val="007A76C3"/>
    <w:rsid w:val="007B058F"/>
    <w:rsid w:val="007B0886"/>
    <w:rsid w:val="007B08C3"/>
    <w:rsid w:val="007B1E50"/>
    <w:rsid w:val="007B3F31"/>
    <w:rsid w:val="007B67ED"/>
    <w:rsid w:val="007C2CE8"/>
    <w:rsid w:val="007C41DA"/>
    <w:rsid w:val="007D595F"/>
    <w:rsid w:val="007D7FC1"/>
    <w:rsid w:val="007E43DD"/>
    <w:rsid w:val="007E6BB7"/>
    <w:rsid w:val="007E7318"/>
    <w:rsid w:val="007F05FD"/>
    <w:rsid w:val="007F3CCB"/>
    <w:rsid w:val="007F5AB1"/>
    <w:rsid w:val="007F7766"/>
    <w:rsid w:val="00802254"/>
    <w:rsid w:val="00803404"/>
    <w:rsid w:val="008055BF"/>
    <w:rsid w:val="00806FBF"/>
    <w:rsid w:val="008079D5"/>
    <w:rsid w:val="00811D77"/>
    <w:rsid w:val="008244FE"/>
    <w:rsid w:val="00824EB6"/>
    <w:rsid w:val="0082549E"/>
    <w:rsid w:val="00825D89"/>
    <w:rsid w:val="008261F9"/>
    <w:rsid w:val="00826C78"/>
    <w:rsid w:val="00827D2C"/>
    <w:rsid w:val="008315F7"/>
    <w:rsid w:val="00831968"/>
    <w:rsid w:val="00831A8F"/>
    <w:rsid w:val="00832FDC"/>
    <w:rsid w:val="008332B3"/>
    <w:rsid w:val="00833BEA"/>
    <w:rsid w:val="008417B7"/>
    <w:rsid w:val="008418D6"/>
    <w:rsid w:val="00847D17"/>
    <w:rsid w:val="00850CAB"/>
    <w:rsid w:val="00851EAF"/>
    <w:rsid w:val="00852458"/>
    <w:rsid w:val="00856E40"/>
    <w:rsid w:val="0086203B"/>
    <w:rsid w:val="008628D9"/>
    <w:rsid w:val="008646A6"/>
    <w:rsid w:val="00864C4B"/>
    <w:rsid w:val="00867AF6"/>
    <w:rsid w:val="008704B6"/>
    <w:rsid w:val="008709F7"/>
    <w:rsid w:val="00870E91"/>
    <w:rsid w:val="00874901"/>
    <w:rsid w:val="00874D24"/>
    <w:rsid w:val="0087741A"/>
    <w:rsid w:val="00877E5D"/>
    <w:rsid w:val="00880107"/>
    <w:rsid w:val="0088227E"/>
    <w:rsid w:val="00893B6C"/>
    <w:rsid w:val="00893B99"/>
    <w:rsid w:val="008943DE"/>
    <w:rsid w:val="00897321"/>
    <w:rsid w:val="008A635D"/>
    <w:rsid w:val="008B0EF2"/>
    <w:rsid w:val="008B40A0"/>
    <w:rsid w:val="008B7B1C"/>
    <w:rsid w:val="008B7D78"/>
    <w:rsid w:val="008C3CD8"/>
    <w:rsid w:val="008C5329"/>
    <w:rsid w:val="008D0587"/>
    <w:rsid w:val="008D0D1F"/>
    <w:rsid w:val="008D1D7A"/>
    <w:rsid w:val="008D295D"/>
    <w:rsid w:val="008D63BE"/>
    <w:rsid w:val="008D6C23"/>
    <w:rsid w:val="008E00B8"/>
    <w:rsid w:val="008E1748"/>
    <w:rsid w:val="008E4731"/>
    <w:rsid w:val="008E4DAD"/>
    <w:rsid w:val="008E5D08"/>
    <w:rsid w:val="008F0DD0"/>
    <w:rsid w:val="008F1060"/>
    <w:rsid w:val="008F2C45"/>
    <w:rsid w:val="008F3181"/>
    <w:rsid w:val="008F5489"/>
    <w:rsid w:val="008F5A97"/>
    <w:rsid w:val="008F6A72"/>
    <w:rsid w:val="00904E1B"/>
    <w:rsid w:val="00906C03"/>
    <w:rsid w:val="00907380"/>
    <w:rsid w:val="009100E0"/>
    <w:rsid w:val="00910122"/>
    <w:rsid w:val="00910957"/>
    <w:rsid w:val="00913D80"/>
    <w:rsid w:val="009151FB"/>
    <w:rsid w:val="00915D4B"/>
    <w:rsid w:val="00915F5B"/>
    <w:rsid w:val="009174C1"/>
    <w:rsid w:val="00917518"/>
    <w:rsid w:val="009175DE"/>
    <w:rsid w:val="0092169E"/>
    <w:rsid w:val="00923CCD"/>
    <w:rsid w:val="00927826"/>
    <w:rsid w:val="00930649"/>
    <w:rsid w:val="00932A1B"/>
    <w:rsid w:val="00933D2F"/>
    <w:rsid w:val="0093693D"/>
    <w:rsid w:val="00942782"/>
    <w:rsid w:val="00943B54"/>
    <w:rsid w:val="009450F9"/>
    <w:rsid w:val="00945963"/>
    <w:rsid w:val="00945BB1"/>
    <w:rsid w:val="00947811"/>
    <w:rsid w:val="00952FA2"/>
    <w:rsid w:val="00955113"/>
    <w:rsid w:val="00960251"/>
    <w:rsid w:val="00964F95"/>
    <w:rsid w:val="00965454"/>
    <w:rsid w:val="00981E23"/>
    <w:rsid w:val="00983389"/>
    <w:rsid w:val="00983B50"/>
    <w:rsid w:val="009877C3"/>
    <w:rsid w:val="00987F63"/>
    <w:rsid w:val="0099115D"/>
    <w:rsid w:val="0099169A"/>
    <w:rsid w:val="00992A0E"/>
    <w:rsid w:val="00996962"/>
    <w:rsid w:val="009A0894"/>
    <w:rsid w:val="009A18A9"/>
    <w:rsid w:val="009A399A"/>
    <w:rsid w:val="009A39BC"/>
    <w:rsid w:val="009A4073"/>
    <w:rsid w:val="009B1BA0"/>
    <w:rsid w:val="009B4D85"/>
    <w:rsid w:val="009B5455"/>
    <w:rsid w:val="009C0A21"/>
    <w:rsid w:val="009C0DEB"/>
    <w:rsid w:val="009C52E2"/>
    <w:rsid w:val="009C5EC4"/>
    <w:rsid w:val="009D167F"/>
    <w:rsid w:val="009D1A9D"/>
    <w:rsid w:val="009D2410"/>
    <w:rsid w:val="009D3855"/>
    <w:rsid w:val="009D4E10"/>
    <w:rsid w:val="009D6487"/>
    <w:rsid w:val="009D674B"/>
    <w:rsid w:val="009E0DAE"/>
    <w:rsid w:val="009E1B3F"/>
    <w:rsid w:val="009E2142"/>
    <w:rsid w:val="009E2824"/>
    <w:rsid w:val="009E5596"/>
    <w:rsid w:val="009E6E4F"/>
    <w:rsid w:val="009F023F"/>
    <w:rsid w:val="009F05AF"/>
    <w:rsid w:val="009F09CE"/>
    <w:rsid w:val="009F5DAE"/>
    <w:rsid w:val="009F76A1"/>
    <w:rsid w:val="00A02F17"/>
    <w:rsid w:val="00A052B1"/>
    <w:rsid w:val="00A061B7"/>
    <w:rsid w:val="00A14E92"/>
    <w:rsid w:val="00A16559"/>
    <w:rsid w:val="00A20903"/>
    <w:rsid w:val="00A225E3"/>
    <w:rsid w:val="00A2337C"/>
    <w:rsid w:val="00A239E3"/>
    <w:rsid w:val="00A2677E"/>
    <w:rsid w:val="00A26C8E"/>
    <w:rsid w:val="00A3027D"/>
    <w:rsid w:val="00A34E03"/>
    <w:rsid w:val="00A352AC"/>
    <w:rsid w:val="00A41DC0"/>
    <w:rsid w:val="00A41E60"/>
    <w:rsid w:val="00A42944"/>
    <w:rsid w:val="00A429E4"/>
    <w:rsid w:val="00A433FA"/>
    <w:rsid w:val="00A44701"/>
    <w:rsid w:val="00A5286C"/>
    <w:rsid w:val="00A52B5D"/>
    <w:rsid w:val="00A54147"/>
    <w:rsid w:val="00A54D71"/>
    <w:rsid w:val="00A57D22"/>
    <w:rsid w:val="00A61DA1"/>
    <w:rsid w:val="00A65BB9"/>
    <w:rsid w:val="00A65D01"/>
    <w:rsid w:val="00A66CF6"/>
    <w:rsid w:val="00A705EB"/>
    <w:rsid w:val="00A74304"/>
    <w:rsid w:val="00A74998"/>
    <w:rsid w:val="00A776EB"/>
    <w:rsid w:val="00A80B6A"/>
    <w:rsid w:val="00A82B96"/>
    <w:rsid w:val="00A8674B"/>
    <w:rsid w:val="00A869B7"/>
    <w:rsid w:val="00A86FE0"/>
    <w:rsid w:val="00A92667"/>
    <w:rsid w:val="00A92E0C"/>
    <w:rsid w:val="00A95D5F"/>
    <w:rsid w:val="00A96434"/>
    <w:rsid w:val="00A969FF"/>
    <w:rsid w:val="00A9765D"/>
    <w:rsid w:val="00AA037B"/>
    <w:rsid w:val="00AA1187"/>
    <w:rsid w:val="00AA134C"/>
    <w:rsid w:val="00AA1C8C"/>
    <w:rsid w:val="00AA2E50"/>
    <w:rsid w:val="00AA3D84"/>
    <w:rsid w:val="00AA5D36"/>
    <w:rsid w:val="00AA728F"/>
    <w:rsid w:val="00AB02CB"/>
    <w:rsid w:val="00AB178D"/>
    <w:rsid w:val="00AB2557"/>
    <w:rsid w:val="00AB2DE2"/>
    <w:rsid w:val="00AB32C7"/>
    <w:rsid w:val="00AB3CD6"/>
    <w:rsid w:val="00AB6671"/>
    <w:rsid w:val="00AB72C3"/>
    <w:rsid w:val="00AC1203"/>
    <w:rsid w:val="00AC4072"/>
    <w:rsid w:val="00AC47B4"/>
    <w:rsid w:val="00AD0227"/>
    <w:rsid w:val="00AD259D"/>
    <w:rsid w:val="00AD272F"/>
    <w:rsid w:val="00AD3288"/>
    <w:rsid w:val="00AD4188"/>
    <w:rsid w:val="00AD49C2"/>
    <w:rsid w:val="00AD6C01"/>
    <w:rsid w:val="00AD734B"/>
    <w:rsid w:val="00AE09A1"/>
    <w:rsid w:val="00AE1321"/>
    <w:rsid w:val="00AE180A"/>
    <w:rsid w:val="00AE34B5"/>
    <w:rsid w:val="00AE4340"/>
    <w:rsid w:val="00AE4928"/>
    <w:rsid w:val="00AE4977"/>
    <w:rsid w:val="00AE65D1"/>
    <w:rsid w:val="00AE68E1"/>
    <w:rsid w:val="00AF1474"/>
    <w:rsid w:val="00AF1EC3"/>
    <w:rsid w:val="00AF66FA"/>
    <w:rsid w:val="00AF67C6"/>
    <w:rsid w:val="00B042A6"/>
    <w:rsid w:val="00B04EB6"/>
    <w:rsid w:val="00B06083"/>
    <w:rsid w:val="00B07E98"/>
    <w:rsid w:val="00B10007"/>
    <w:rsid w:val="00B10CDA"/>
    <w:rsid w:val="00B124DA"/>
    <w:rsid w:val="00B127B3"/>
    <w:rsid w:val="00B1286A"/>
    <w:rsid w:val="00B13208"/>
    <w:rsid w:val="00B16ADB"/>
    <w:rsid w:val="00B21178"/>
    <w:rsid w:val="00B2271D"/>
    <w:rsid w:val="00B24C18"/>
    <w:rsid w:val="00B253AC"/>
    <w:rsid w:val="00B25CE0"/>
    <w:rsid w:val="00B2635B"/>
    <w:rsid w:val="00B265A7"/>
    <w:rsid w:val="00B26EE2"/>
    <w:rsid w:val="00B304A1"/>
    <w:rsid w:val="00B31D19"/>
    <w:rsid w:val="00B333E9"/>
    <w:rsid w:val="00B36476"/>
    <w:rsid w:val="00B37A49"/>
    <w:rsid w:val="00B37B96"/>
    <w:rsid w:val="00B42062"/>
    <w:rsid w:val="00B43DAA"/>
    <w:rsid w:val="00B442F2"/>
    <w:rsid w:val="00B4432E"/>
    <w:rsid w:val="00B456AC"/>
    <w:rsid w:val="00B50247"/>
    <w:rsid w:val="00B515CB"/>
    <w:rsid w:val="00B53865"/>
    <w:rsid w:val="00B53A02"/>
    <w:rsid w:val="00B56405"/>
    <w:rsid w:val="00B5672C"/>
    <w:rsid w:val="00B57841"/>
    <w:rsid w:val="00B606AF"/>
    <w:rsid w:val="00B6172A"/>
    <w:rsid w:val="00B61E5B"/>
    <w:rsid w:val="00B63F53"/>
    <w:rsid w:val="00B64271"/>
    <w:rsid w:val="00B649EB"/>
    <w:rsid w:val="00B65B1C"/>
    <w:rsid w:val="00B66A69"/>
    <w:rsid w:val="00B66D73"/>
    <w:rsid w:val="00B675CC"/>
    <w:rsid w:val="00B70A2B"/>
    <w:rsid w:val="00B70BF5"/>
    <w:rsid w:val="00B718E1"/>
    <w:rsid w:val="00B7198B"/>
    <w:rsid w:val="00B728A6"/>
    <w:rsid w:val="00B74042"/>
    <w:rsid w:val="00B7432F"/>
    <w:rsid w:val="00B7518A"/>
    <w:rsid w:val="00B805FD"/>
    <w:rsid w:val="00B8442D"/>
    <w:rsid w:val="00B84F68"/>
    <w:rsid w:val="00B85E58"/>
    <w:rsid w:val="00B86E45"/>
    <w:rsid w:val="00B87348"/>
    <w:rsid w:val="00B87D11"/>
    <w:rsid w:val="00B9377F"/>
    <w:rsid w:val="00B93D4F"/>
    <w:rsid w:val="00B94B4F"/>
    <w:rsid w:val="00B97693"/>
    <w:rsid w:val="00BA03B9"/>
    <w:rsid w:val="00BA2573"/>
    <w:rsid w:val="00BA2797"/>
    <w:rsid w:val="00BA4BFB"/>
    <w:rsid w:val="00BB0EA6"/>
    <w:rsid w:val="00BB1A41"/>
    <w:rsid w:val="00BB26DB"/>
    <w:rsid w:val="00BB2BAA"/>
    <w:rsid w:val="00BB2DFB"/>
    <w:rsid w:val="00BB772D"/>
    <w:rsid w:val="00BB7D15"/>
    <w:rsid w:val="00BC22DE"/>
    <w:rsid w:val="00BC788C"/>
    <w:rsid w:val="00BD2B2A"/>
    <w:rsid w:val="00BD42B8"/>
    <w:rsid w:val="00BD4B9B"/>
    <w:rsid w:val="00BD7579"/>
    <w:rsid w:val="00BE1024"/>
    <w:rsid w:val="00BE42EE"/>
    <w:rsid w:val="00BE5CAE"/>
    <w:rsid w:val="00BE6101"/>
    <w:rsid w:val="00BE65D0"/>
    <w:rsid w:val="00BE6A59"/>
    <w:rsid w:val="00BF065A"/>
    <w:rsid w:val="00BF082C"/>
    <w:rsid w:val="00BF240D"/>
    <w:rsid w:val="00BF6743"/>
    <w:rsid w:val="00BF6D6D"/>
    <w:rsid w:val="00BF78CB"/>
    <w:rsid w:val="00C058F9"/>
    <w:rsid w:val="00C10BC9"/>
    <w:rsid w:val="00C10CC1"/>
    <w:rsid w:val="00C10F9F"/>
    <w:rsid w:val="00C11466"/>
    <w:rsid w:val="00C13556"/>
    <w:rsid w:val="00C137FC"/>
    <w:rsid w:val="00C15729"/>
    <w:rsid w:val="00C1620F"/>
    <w:rsid w:val="00C176F4"/>
    <w:rsid w:val="00C216AA"/>
    <w:rsid w:val="00C24311"/>
    <w:rsid w:val="00C268B2"/>
    <w:rsid w:val="00C308F0"/>
    <w:rsid w:val="00C3109B"/>
    <w:rsid w:val="00C32880"/>
    <w:rsid w:val="00C37314"/>
    <w:rsid w:val="00C40421"/>
    <w:rsid w:val="00C411E8"/>
    <w:rsid w:val="00C4331B"/>
    <w:rsid w:val="00C44FE0"/>
    <w:rsid w:val="00C467D7"/>
    <w:rsid w:val="00C52F90"/>
    <w:rsid w:val="00C54BA6"/>
    <w:rsid w:val="00C557A9"/>
    <w:rsid w:val="00C61B91"/>
    <w:rsid w:val="00C61E4E"/>
    <w:rsid w:val="00C7088E"/>
    <w:rsid w:val="00C71D7B"/>
    <w:rsid w:val="00C72E19"/>
    <w:rsid w:val="00C74D69"/>
    <w:rsid w:val="00C80862"/>
    <w:rsid w:val="00C81560"/>
    <w:rsid w:val="00C8200B"/>
    <w:rsid w:val="00C82998"/>
    <w:rsid w:val="00C8340D"/>
    <w:rsid w:val="00C835AC"/>
    <w:rsid w:val="00C84769"/>
    <w:rsid w:val="00C87AAB"/>
    <w:rsid w:val="00C92101"/>
    <w:rsid w:val="00C94B2C"/>
    <w:rsid w:val="00C958AA"/>
    <w:rsid w:val="00C95CF6"/>
    <w:rsid w:val="00C97E63"/>
    <w:rsid w:val="00CA4222"/>
    <w:rsid w:val="00CA572F"/>
    <w:rsid w:val="00CA77C9"/>
    <w:rsid w:val="00CB1345"/>
    <w:rsid w:val="00CC0C49"/>
    <w:rsid w:val="00CC24A4"/>
    <w:rsid w:val="00CC28EE"/>
    <w:rsid w:val="00CC2FD8"/>
    <w:rsid w:val="00CD09CF"/>
    <w:rsid w:val="00CD3FEF"/>
    <w:rsid w:val="00CD4857"/>
    <w:rsid w:val="00CD5C4F"/>
    <w:rsid w:val="00CD755C"/>
    <w:rsid w:val="00CE1189"/>
    <w:rsid w:val="00CE1A0E"/>
    <w:rsid w:val="00CE414F"/>
    <w:rsid w:val="00CE4F03"/>
    <w:rsid w:val="00CE5D34"/>
    <w:rsid w:val="00CE7829"/>
    <w:rsid w:val="00CE7B43"/>
    <w:rsid w:val="00CF00B1"/>
    <w:rsid w:val="00CF49BB"/>
    <w:rsid w:val="00D000C0"/>
    <w:rsid w:val="00D01015"/>
    <w:rsid w:val="00D014C7"/>
    <w:rsid w:val="00D107D8"/>
    <w:rsid w:val="00D10BA8"/>
    <w:rsid w:val="00D12212"/>
    <w:rsid w:val="00D13BA2"/>
    <w:rsid w:val="00D14457"/>
    <w:rsid w:val="00D16B47"/>
    <w:rsid w:val="00D16F94"/>
    <w:rsid w:val="00D220EE"/>
    <w:rsid w:val="00D236FA"/>
    <w:rsid w:val="00D23F97"/>
    <w:rsid w:val="00D24124"/>
    <w:rsid w:val="00D25EF6"/>
    <w:rsid w:val="00D31A4F"/>
    <w:rsid w:val="00D330C1"/>
    <w:rsid w:val="00D346D5"/>
    <w:rsid w:val="00D35C0A"/>
    <w:rsid w:val="00D369AB"/>
    <w:rsid w:val="00D36E10"/>
    <w:rsid w:val="00D41724"/>
    <w:rsid w:val="00D45364"/>
    <w:rsid w:val="00D512D5"/>
    <w:rsid w:val="00D53147"/>
    <w:rsid w:val="00D53AA5"/>
    <w:rsid w:val="00D541E9"/>
    <w:rsid w:val="00D57587"/>
    <w:rsid w:val="00D62BAC"/>
    <w:rsid w:val="00D62C71"/>
    <w:rsid w:val="00D6340E"/>
    <w:rsid w:val="00D644E9"/>
    <w:rsid w:val="00D64526"/>
    <w:rsid w:val="00D67941"/>
    <w:rsid w:val="00D70813"/>
    <w:rsid w:val="00D70AF4"/>
    <w:rsid w:val="00D72534"/>
    <w:rsid w:val="00D74A23"/>
    <w:rsid w:val="00D75FC2"/>
    <w:rsid w:val="00D77367"/>
    <w:rsid w:val="00D77773"/>
    <w:rsid w:val="00D80018"/>
    <w:rsid w:val="00D86247"/>
    <w:rsid w:val="00D86636"/>
    <w:rsid w:val="00D872FB"/>
    <w:rsid w:val="00D9069D"/>
    <w:rsid w:val="00D90A10"/>
    <w:rsid w:val="00D935B3"/>
    <w:rsid w:val="00DA0910"/>
    <w:rsid w:val="00DA42D4"/>
    <w:rsid w:val="00DA50A7"/>
    <w:rsid w:val="00DA66B5"/>
    <w:rsid w:val="00DA6F4D"/>
    <w:rsid w:val="00DA7130"/>
    <w:rsid w:val="00DB302C"/>
    <w:rsid w:val="00DB382C"/>
    <w:rsid w:val="00DB433D"/>
    <w:rsid w:val="00DB632B"/>
    <w:rsid w:val="00DB6CA7"/>
    <w:rsid w:val="00DC0295"/>
    <w:rsid w:val="00DC2DD3"/>
    <w:rsid w:val="00DC38EA"/>
    <w:rsid w:val="00DC3973"/>
    <w:rsid w:val="00DC7BB2"/>
    <w:rsid w:val="00DD07E3"/>
    <w:rsid w:val="00DD5276"/>
    <w:rsid w:val="00DD68BD"/>
    <w:rsid w:val="00DD6EF9"/>
    <w:rsid w:val="00DD78E8"/>
    <w:rsid w:val="00DD79FC"/>
    <w:rsid w:val="00DE30E2"/>
    <w:rsid w:val="00DE46A0"/>
    <w:rsid w:val="00DE5207"/>
    <w:rsid w:val="00DE575F"/>
    <w:rsid w:val="00DF238F"/>
    <w:rsid w:val="00DF29CA"/>
    <w:rsid w:val="00DF37CB"/>
    <w:rsid w:val="00DF7418"/>
    <w:rsid w:val="00E03796"/>
    <w:rsid w:val="00E03A30"/>
    <w:rsid w:val="00E06013"/>
    <w:rsid w:val="00E10255"/>
    <w:rsid w:val="00E105D2"/>
    <w:rsid w:val="00E14744"/>
    <w:rsid w:val="00E14B17"/>
    <w:rsid w:val="00E15342"/>
    <w:rsid w:val="00E20026"/>
    <w:rsid w:val="00E23C04"/>
    <w:rsid w:val="00E321E6"/>
    <w:rsid w:val="00E3266F"/>
    <w:rsid w:val="00E32E53"/>
    <w:rsid w:val="00E34BCE"/>
    <w:rsid w:val="00E35B8D"/>
    <w:rsid w:val="00E41087"/>
    <w:rsid w:val="00E42304"/>
    <w:rsid w:val="00E431FD"/>
    <w:rsid w:val="00E44EC1"/>
    <w:rsid w:val="00E45786"/>
    <w:rsid w:val="00E45FD3"/>
    <w:rsid w:val="00E470A7"/>
    <w:rsid w:val="00E47627"/>
    <w:rsid w:val="00E529DD"/>
    <w:rsid w:val="00E54D05"/>
    <w:rsid w:val="00E55C44"/>
    <w:rsid w:val="00E605DA"/>
    <w:rsid w:val="00E63BE0"/>
    <w:rsid w:val="00E66CE6"/>
    <w:rsid w:val="00E70E98"/>
    <w:rsid w:val="00E7320D"/>
    <w:rsid w:val="00E759DC"/>
    <w:rsid w:val="00E77735"/>
    <w:rsid w:val="00E82E16"/>
    <w:rsid w:val="00E859DD"/>
    <w:rsid w:val="00E93154"/>
    <w:rsid w:val="00E966F5"/>
    <w:rsid w:val="00E971B4"/>
    <w:rsid w:val="00EA0C86"/>
    <w:rsid w:val="00EA2DE9"/>
    <w:rsid w:val="00EA3AC4"/>
    <w:rsid w:val="00EA3B48"/>
    <w:rsid w:val="00EA564F"/>
    <w:rsid w:val="00EB28E6"/>
    <w:rsid w:val="00EB4166"/>
    <w:rsid w:val="00EB479B"/>
    <w:rsid w:val="00EB5982"/>
    <w:rsid w:val="00EB5D63"/>
    <w:rsid w:val="00EB76CF"/>
    <w:rsid w:val="00EC1C44"/>
    <w:rsid w:val="00EC1FE0"/>
    <w:rsid w:val="00EC340B"/>
    <w:rsid w:val="00EC477E"/>
    <w:rsid w:val="00EC7BA3"/>
    <w:rsid w:val="00ED1850"/>
    <w:rsid w:val="00ED1FCF"/>
    <w:rsid w:val="00ED494D"/>
    <w:rsid w:val="00ED5553"/>
    <w:rsid w:val="00ED69C6"/>
    <w:rsid w:val="00EE06D1"/>
    <w:rsid w:val="00EE2685"/>
    <w:rsid w:val="00EE700E"/>
    <w:rsid w:val="00EE746B"/>
    <w:rsid w:val="00EF202B"/>
    <w:rsid w:val="00EF229E"/>
    <w:rsid w:val="00EF365C"/>
    <w:rsid w:val="00EF3C55"/>
    <w:rsid w:val="00EF40C8"/>
    <w:rsid w:val="00EF463D"/>
    <w:rsid w:val="00EF584D"/>
    <w:rsid w:val="00EF6CBB"/>
    <w:rsid w:val="00EF738B"/>
    <w:rsid w:val="00EF7859"/>
    <w:rsid w:val="00F000FC"/>
    <w:rsid w:val="00F001E4"/>
    <w:rsid w:val="00F012B9"/>
    <w:rsid w:val="00F01BC8"/>
    <w:rsid w:val="00F031AB"/>
    <w:rsid w:val="00F05477"/>
    <w:rsid w:val="00F056B7"/>
    <w:rsid w:val="00F05A6D"/>
    <w:rsid w:val="00F0660F"/>
    <w:rsid w:val="00F067FB"/>
    <w:rsid w:val="00F07D92"/>
    <w:rsid w:val="00F17E94"/>
    <w:rsid w:val="00F204E3"/>
    <w:rsid w:val="00F22484"/>
    <w:rsid w:val="00F22956"/>
    <w:rsid w:val="00F230C5"/>
    <w:rsid w:val="00F26212"/>
    <w:rsid w:val="00F27D9B"/>
    <w:rsid w:val="00F30356"/>
    <w:rsid w:val="00F312B5"/>
    <w:rsid w:val="00F3157C"/>
    <w:rsid w:val="00F3429F"/>
    <w:rsid w:val="00F42476"/>
    <w:rsid w:val="00F42B32"/>
    <w:rsid w:val="00F43B11"/>
    <w:rsid w:val="00F461B5"/>
    <w:rsid w:val="00F5221E"/>
    <w:rsid w:val="00F52761"/>
    <w:rsid w:val="00F560AB"/>
    <w:rsid w:val="00F61A38"/>
    <w:rsid w:val="00F63757"/>
    <w:rsid w:val="00F6460F"/>
    <w:rsid w:val="00F6609B"/>
    <w:rsid w:val="00F666F4"/>
    <w:rsid w:val="00F71A49"/>
    <w:rsid w:val="00F7312A"/>
    <w:rsid w:val="00F743CB"/>
    <w:rsid w:val="00F75D8D"/>
    <w:rsid w:val="00F8021A"/>
    <w:rsid w:val="00F8424F"/>
    <w:rsid w:val="00F9138D"/>
    <w:rsid w:val="00F917A7"/>
    <w:rsid w:val="00F92B6F"/>
    <w:rsid w:val="00F93922"/>
    <w:rsid w:val="00FA13FE"/>
    <w:rsid w:val="00FA422B"/>
    <w:rsid w:val="00FA4BE2"/>
    <w:rsid w:val="00FA4DFE"/>
    <w:rsid w:val="00FA5EA5"/>
    <w:rsid w:val="00FA78E2"/>
    <w:rsid w:val="00FA7957"/>
    <w:rsid w:val="00FB054A"/>
    <w:rsid w:val="00FB0C61"/>
    <w:rsid w:val="00FB173E"/>
    <w:rsid w:val="00FB4E11"/>
    <w:rsid w:val="00FB6500"/>
    <w:rsid w:val="00FB73CE"/>
    <w:rsid w:val="00FC0BCF"/>
    <w:rsid w:val="00FC1282"/>
    <w:rsid w:val="00FC18AC"/>
    <w:rsid w:val="00FC530A"/>
    <w:rsid w:val="00FC6798"/>
    <w:rsid w:val="00FD000E"/>
    <w:rsid w:val="00FD0FA1"/>
    <w:rsid w:val="00FD12B0"/>
    <w:rsid w:val="00FD4380"/>
    <w:rsid w:val="00FE58B9"/>
    <w:rsid w:val="00FE6F25"/>
    <w:rsid w:val="00FE7B4E"/>
    <w:rsid w:val="00FF06C8"/>
    <w:rsid w:val="00FF34D4"/>
    <w:rsid w:val="00FF4908"/>
    <w:rsid w:val="00FF7330"/>
    <w:rsid w:val="01CA5CC8"/>
    <w:rsid w:val="01D73D68"/>
    <w:rsid w:val="020539F0"/>
    <w:rsid w:val="020B6DC3"/>
    <w:rsid w:val="02B17561"/>
    <w:rsid w:val="02B74E09"/>
    <w:rsid w:val="02DA4514"/>
    <w:rsid w:val="03884371"/>
    <w:rsid w:val="03F94124"/>
    <w:rsid w:val="04383BE7"/>
    <w:rsid w:val="043931DB"/>
    <w:rsid w:val="04501C42"/>
    <w:rsid w:val="047D34C5"/>
    <w:rsid w:val="04AF0340"/>
    <w:rsid w:val="053B3C3B"/>
    <w:rsid w:val="05E2234A"/>
    <w:rsid w:val="05E262BE"/>
    <w:rsid w:val="06581AF4"/>
    <w:rsid w:val="065E59BF"/>
    <w:rsid w:val="06905B46"/>
    <w:rsid w:val="06E358DC"/>
    <w:rsid w:val="072927E6"/>
    <w:rsid w:val="07884860"/>
    <w:rsid w:val="07BC4CAF"/>
    <w:rsid w:val="07FD7E6C"/>
    <w:rsid w:val="08031D8B"/>
    <w:rsid w:val="08687FE8"/>
    <w:rsid w:val="088766C0"/>
    <w:rsid w:val="089A6BC4"/>
    <w:rsid w:val="08D15B8E"/>
    <w:rsid w:val="098104A2"/>
    <w:rsid w:val="09BE52E3"/>
    <w:rsid w:val="0A0201ED"/>
    <w:rsid w:val="0AC41B5C"/>
    <w:rsid w:val="0AF10769"/>
    <w:rsid w:val="0B462976"/>
    <w:rsid w:val="0B540B82"/>
    <w:rsid w:val="0B7F160F"/>
    <w:rsid w:val="0B844D31"/>
    <w:rsid w:val="0B902103"/>
    <w:rsid w:val="0C086B28"/>
    <w:rsid w:val="0C5D662A"/>
    <w:rsid w:val="0CF06B36"/>
    <w:rsid w:val="0CFE536D"/>
    <w:rsid w:val="0D280742"/>
    <w:rsid w:val="0ED14B39"/>
    <w:rsid w:val="0EF25F27"/>
    <w:rsid w:val="0F8D1CE1"/>
    <w:rsid w:val="0FD04433"/>
    <w:rsid w:val="100B4DF1"/>
    <w:rsid w:val="104F686C"/>
    <w:rsid w:val="118C2F9A"/>
    <w:rsid w:val="121A4DAD"/>
    <w:rsid w:val="122356AC"/>
    <w:rsid w:val="12394ECF"/>
    <w:rsid w:val="125969D5"/>
    <w:rsid w:val="126C019E"/>
    <w:rsid w:val="12BB58E4"/>
    <w:rsid w:val="1336140F"/>
    <w:rsid w:val="13FF514C"/>
    <w:rsid w:val="149C02AD"/>
    <w:rsid w:val="14CA684A"/>
    <w:rsid w:val="14DE5386"/>
    <w:rsid w:val="15401D1A"/>
    <w:rsid w:val="1549766F"/>
    <w:rsid w:val="15853E16"/>
    <w:rsid w:val="16B12504"/>
    <w:rsid w:val="16B5470B"/>
    <w:rsid w:val="16F17997"/>
    <w:rsid w:val="172171A5"/>
    <w:rsid w:val="178F5592"/>
    <w:rsid w:val="17994D0F"/>
    <w:rsid w:val="17E3235C"/>
    <w:rsid w:val="19177BDF"/>
    <w:rsid w:val="194C1BEB"/>
    <w:rsid w:val="197607B7"/>
    <w:rsid w:val="198F5DF3"/>
    <w:rsid w:val="19F127BE"/>
    <w:rsid w:val="1A2C5784"/>
    <w:rsid w:val="1A7F52F5"/>
    <w:rsid w:val="1B3F2E2B"/>
    <w:rsid w:val="1BC81072"/>
    <w:rsid w:val="1C790312"/>
    <w:rsid w:val="1C7B1F31"/>
    <w:rsid w:val="1D693BB8"/>
    <w:rsid w:val="1D876D93"/>
    <w:rsid w:val="1F1A3993"/>
    <w:rsid w:val="1F4512FE"/>
    <w:rsid w:val="1F9056AA"/>
    <w:rsid w:val="202F5B9D"/>
    <w:rsid w:val="21221225"/>
    <w:rsid w:val="21B55BF5"/>
    <w:rsid w:val="2252120A"/>
    <w:rsid w:val="22D43A10"/>
    <w:rsid w:val="22F741AA"/>
    <w:rsid w:val="233F550C"/>
    <w:rsid w:val="238410CC"/>
    <w:rsid w:val="240510B5"/>
    <w:rsid w:val="246F2C37"/>
    <w:rsid w:val="25754C3B"/>
    <w:rsid w:val="27386BE4"/>
    <w:rsid w:val="278E3170"/>
    <w:rsid w:val="27954442"/>
    <w:rsid w:val="27B32BD6"/>
    <w:rsid w:val="27D75F17"/>
    <w:rsid w:val="28516BBA"/>
    <w:rsid w:val="285C6DCA"/>
    <w:rsid w:val="289B4CF8"/>
    <w:rsid w:val="29795930"/>
    <w:rsid w:val="29A54474"/>
    <w:rsid w:val="29AA66F1"/>
    <w:rsid w:val="29B669AE"/>
    <w:rsid w:val="2A167C00"/>
    <w:rsid w:val="2A480102"/>
    <w:rsid w:val="2A8C1C35"/>
    <w:rsid w:val="2AB84837"/>
    <w:rsid w:val="2AE26BD1"/>
    <w:rsid w:val="2AF42C70"/>
    <w:rsid w:val="2B2441FE"/>
    <w:rsid w:val="2C302A48"/>
    <w:rsid w:val="2CAC2575"/>
    <w:rsid w:val="2CCF6E20"/>
    <w:rsid w:val="2DC46A95"/>
    <w:rsid w:val="2E3536C5"/>
    <w:rsid w:val="2E9B465D"/>
    <w:rsid w:val="2EC14979"/>
    <w:rsid w:val="2F214659"/>
    <w:rsid w:val="2F2D14C0"/>
    <w:rsid w:val="2F2D7BE2"/>
    <w:rsid w:val="2F6F3C10"/>
    <w:rsid w:val="30201025"/>
    <w:rsid w:val="30476789"/>
    <w:rsid w:val="30963F78"/>
    <w:rsid w:val="30CC6DC7"/>
    <w:rsid w:val="30F84134"/>
    <w:rsid w:val="313D5452"/>
    <w:rsid w:val="316303AE"/>
    <w:rsid w:val="31994BEB"/>
    <w:rsid w:val="31BA266A"/>
    <w:rsid w:val="31F6203D"/>
    <w:rsid w:val="327F2033"/>
    <w:rsid w:val="32D537ED"/>
    <w:rsid w:val="330C4CCD"/>
    <w:rsid w:val="331B5DB7"/>
    <w:rsid w:val="33255D78"/>
    <w:rsid w:val="332E0A67"/>
    <w:rsid w:val="33E52369"/>
    <w:rsid w:val="342602D6"/>
    <w:rsid w:val="343261F8"/>
    <w:rsid w:val="343B426D"/>
    <w:rsid w:val="34480B4A"/>
    <w:rsid w:val="344A2B14"/>
    <w:rsid w:val="348D5BF4"/>
    <w:rsid w:val="34DB1F6D"/>
    <w:rsid w:val="35246EC1"/>
    <w:rsid w:val="357C028D"/>
    <w:rsid w:val="358A5CD5"/>
    <w:rsid w:val="364B0D3F"/>
    <w:rsid w:val="36723ECF"/>
    <w:rsid w:val="36D27506"/>
    <w:rsid w:val="37217B5C"/>
    <w:rsid w:val="373430EF"/>
    <w:rsid w:val="37DA7D0B"/>
    <w:rsid w:val="3A7F4297"/>
    <w:rsid w:val="3A9D17EF"/>
    <w:rsid w:val="3B1F01A6"/>
    <w:rsid w:val="3B885EFF"/>
    <w:rsid w:val="3B954675"/>
    <w:rsid w:val="3BA96372"/>
    <w:rsid w:val="3BAB20EB"/>
    <w:rsid w:val="3BF94324"/>
    <w:rsid w:val="3C705452"/>
    <w:rsid w:val="3C8701EA"/>
    <w:rsid w:val="3CDC3CD3"/>
    <w:rsid w:val="3DB72FC9"/>
    <w:rsid w:val="3E304C56"/>
    <w:rsid w:val="3E4F3576"/>
    <w:rsid w:val="3E6D3F88"/>
    <w:rsid w:val="3FA23805"/>
    <w:rsid w:val="404E3246"/>
    <w:rsid w:val="40CB28E7"/>
    <w:rsid w:val="40F56935"/>
    <w:rsid w:val="41C1459E"/>
    <w:rsid w:val="42306106"/>
    <w:rsid w:val="430A1DED"/>
    <w:rsid w:val="43812C84"/>
    <w:rsid w:val="43DD5AAA"/>
    <w:rsid w:val="43EC472B"/>
    <w:rsid w:val="4467501D"/>
    <w:rsid w:val="44EC1F29"/>
    <w:rsid w:val="45092DBD"/>
    <w:rsid w:val="450D2527"/>
    <w:rsid w:val="456C164B"/>
    <w:rsid w:val="45796DB6"/>
    <w:rsid w:val="45E53C7C"/>
    <w:rsid w:val="46096681"/>
    <w:rsid w:val="46125CBB"/>
    <w:rsid w:val="462F56C6"/>
    <w:rsid w:val="473A2575"/>
    <w:rsid w:val="47622A5C"/>
    <w:rsid w:val="478A31FA"/>
    <w:rsid w:val="48A73C3A"/>
    <w:rsid w:val="48BF2ECC"/>
    <w:rsid w:val="4947499B"/>
    <w:rsid w:val="495E20FE"/>
    <w:rsid w:val="49797847"/>
    <w:rsid w:val="49AD1C61"/>
    <w:rsid w:val="49B7121B"/>
    <w:rsid w:val="4A807E69"/>
    <w:rsid w:val="4AA6501B"/>
    <w:rsid w:val="4AFA62A3"/>
    <w:rsid w:val="4B054C48"/>
    <w:rsid w:val="4B9D74EE"/>
    <w:rsid w:val="4BE64A79"/>
    <w:rsid w:val="4C126124"/>
    <w:rsid w:val="4C365A00"/>
    <w:rsid w:val="4C6C6C38"/>
    <w:rsid w:val="4CCC1EC1"/>
    <w:rsid w:val="4E124A57"/>
    <w:rsid w:val="4E317B3F"/>
    <w:rsid w:val="4E661668"/>
    <w:rsid w:val="4E8A322B"/>
    <w:rsid w:val="4E953CFD"/>
    <w:rsid w:val="4E9954AA"/>
    <w:rsid w:val="4FD2667A"/>
    <w:rsid w:val="50073CE7"/>
    <w:rsid w:val="50087866"/>
    <w:rsid w:val="50656154"/>
    <w:rsid w:val="50BB5CA0"/>
    <w:rsid w:val="50C24865"/>
    <w:rsid w:val="51013EB2"/>
    <w:rsid w:val="51A93BC7"/>
    <w:rsid w:val="523362DB"/>
    <w:rsid w:val="52F0267D"/>
    <w:rsid w:val="52FF2729"/>
    <w:rsid w:val="53000F1F"/>
    <w:rsid w:val="531A7F32"/>
    <w:rsid w:val="53237A65"/>
    <w:rsid w:val="539B082D"/>
    <w:rsid w:val="5461363B"/>
    <w:rsid w:val="546D758B"/>
    <w:rsid w:val="547370C6"/>
    <w:rsid w:val="54BF3D04"/>
    <w:rsid w:val="54E558E6"/>
    <w:rsid w:val="554D5B69"/>
    <w:rsid w:val="55AF7112"/>
    <w:rsid w:val="5607561F"/>
    <w:rsid w:val="56231389"/>
    <w:rsid w:val="56510FA5"/>
    <w:rsid w:val="568D446F"/>
    <w:rsid w:val="56CC6FFF"/>
    <w:rsid w:val="57106E4E"/>
    <w:rsid w:val="578C0793"/>
    <w:rsid w:val="58216AC1"/>
    <w:rsid w:val="582F1BFA"/>
    <w:rsid w:val="587C0B5E"/>
    <w:rsid w:val="58AE691E"/>
    <w:rsid w:val="59545718"/>
    <w:rsid w:val="596C04AF"/>
    <w:rsid w:val="59A66946"/>
    <w:rsid w:val="59CF4D9E"/>
    <w:rsid w:val="59ED355F"/>
    <w:rsid w:val="5A1D3D5C"/>
    <w:rsid w:val="5A875679"/>
    <w:rsid w:val="5A8B22B0"/>
    <w:rsid w:val="5AC15FE2"/>
    <w:rsid w:val="5C1522DC"/>
    <w:rsid w:val="5CD21AF2"/>
    <w:rsid w:val="5CE53C40"/>
    <w:rsid w:val="5E166162"/>
    <w:rsid w:val="5E3E6996"/>
    <w:rsid w:val="5E930A90"/>
    <w:rsid w:val="5ECE7CA3"/>
    <w:rsid w:val="5EFC4E3B"/>
    <w:rsid w:val="5F1576F7"/>
    <w:rsid w:val="5F7A73FD"/>
    <w:rsid w:val="5F9920D6"/>
    <w:rsid w:val="5FDF36D8"/>
    <w:rsid w:val="61477910"/>
    <w:rsid w:val="623D5D0E"/>
    <w:rsid w:val="623F6839"/>
    <w:rsid w:val="63AF5272"/>
    <w:rsid w:val="63BA6ABF"/>
    <w:rsid w:val="64605FE5"/>
    <w:rsid w:val="65047449"/>
    <w:rsid w:val="65A816AA"/>
    <w:rsid w:val="65BD2897"/>
    <w:rsid w:val="663F2A18"/>
    <w:rsid w:val="66607AAC"/>
    <w:rsid w:val="668F45AA"/>
    <w:rsid w:val="66AF7082"/>
    <w:rsid w:val="67284988"/>
    <w:rsid w:val="67616BF9"/>
    <w:rsid w:val="6768740D"/>
    <w:rsid w:val="6786466E"/>
    <w:rsid w:val="67BA6A9D"/>
    <w:rsid w:val="67F12A66"/>
    <w:rsid w:val="68AF4719"/>
    <w:rsid w:val="68E34327"/>
    <w:rsid w:val="68ED7CBF"/>
    <w:rsid w:val="69B61AD7"/>
    <w:rsid w:val="69DB544A"/>
    <w:rsid w:val="69E1057E"/>
    <w:rsid w:val="69E94318"/>
    <w:rsid w:val="6A154A4F"/>
    <w:rsid w:val="6ACD4A69"/>
    <w:rsid w:val="6BA926E7"/>
    <w:rsid w:val="6C4D6722"/>
    <w:rsid w:val="6C6F11F5"/>
    <w:rsid w:val="6CAD5413"/>
    <w:rsid w:val="6D0112BB"/>
    <w:rsid w:val="6D18782E"/>
    <w:rsid w:val="6E4B1CDB"/>
    <w:rsid w:val="6EB53104"/>
    <w:rsid w:val="6F723270"/>
    <w:rsid w:val="6FF141F2"/>
    <w:rsid w:val="700452C0"/>
    <w:rsid w:val="70B73A23"/>
    <w:rsid w:val="70C47886"/>
    <w:rsid w:val="711041C2"/>
    <w:rsid w:val="711772FF"/>
    <w:rsid w:val="717850DD"/>
    <w:rsid w:val="72CF3C78"/>
    <w:rsid w:val="730E3B5C"/>
    <w:rsid w:val="73627146"/>
    <w:rsid w:val="73C41BC8"/>
    <w:rsid w:val="73D66B8E"/>
    <w:rsid w:val="740C57CB"/>
    <w:rsid w:val="74B13B0D"/>
    <w:rsid w:val="74CD1553"/>
    <w:rsid w:val="758C6717"/>
    <w:rsid w:val="75A61A76"/>
    <w:rsid w:val="75A969F1"/>
    <w:rsid w:val="760C441A"/>
    <w:rsid w:val="764C17F9"/>
    <w:rsid w:val="76603F5D"/>
    <w:rsid w:val="76636B42"/>
    <w:rsid w:val="766F7295"/>
    <w:rsid w:val="775C0136"/>
    <w:rsid w:val="779F7E85"/>
    <w:rsid w:val="78120820"/>
    <w:rsid w:val="782D11B6"/>
    <w:rsid w:val="78AD4FF2"/>
    <w:rsid w:val="79053EE1"/>
    <w:rsid w:val="79706ED0"/>
    <w:rsid w:val="7A24074B"/>
    <w:rsid w:val="7A605A0F"/>
    <w:rsid w:val="7A71606E"/>
    <w:rsid w:val="7AAD4629"/>
    <w:rsid w:val="7B067BC9"/>
    <w:rsid w:val="7B7C3306"/>
    <w:rsid w:val="7BF8641B"/>
    <w:rsid w:val="7C083E97"/>
    <w:rsid w:val="7C9234E7"/>
    <w:rsid w:val="7CD63EEA"/>
    <w:rsid w:val="7D3905FD"/>
    <w:rsid w:val="7D6B31E2"/>
    <w:rsid w:val="7D862734"/>
    <w:rsid w:val="7E2031DD"/>
    <w:rsid w:val="7E5C0A47"/>
    <w:rsid w:val="7E622BEC"/>
    <w:rsid w:val="7E801902"/>
    <w:rsid w:val="7E9B0325"/>
    <w:rsid w:val="7EA43D16"/>
    <w:rsid w:val="7EE53271"/>
    <w:rsid w:val="7F5E0843"/>
    <w:rsid w:val="7F961330"/>
    <w:rsid w:val="7FA4754B"/>
    <w:rsid w:val="7FA74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Times New Roman" w:hAnsi="Times New Roman" w:eastAsia="宋体" w:cs="Times New Roman"/>
      <w:color w:val="0000FF"/>
      <w:sz w:val="21"/>
      <w:szCs w:val="21"/>
      <w:lang w:val="en-US" w:eastAsia="zh-CN" w:bidi="ar-SA"/>
    </w:rPr>
  </w:style>
  <w:style w:type="paragraph" w:styleId="4">
    <w:name w:val="heading 1"/>
    <w:basedOn w:val="1"/>
    <w:next w:val="1"/>
    <w:link w:val="83"/>
    <w:qFormat/>
    <w:uiPriority w:val="9"/>
    <w:pPr>
      <w:keepNext/>
      <w:keepLines/>
      <w:spacing w:after="0" w:line="360" w:lineRule="auto"/>
      <w:jc w:val="center"/>
      <w:outlineLvl w:val="0"/>
    </w:pPr>
    <w:rPr>
      <w:rFonts w:asciiTheme="majorHAnsi" w:hAnsiTheme="majorHAnsi" w:eastAsiaTheme="majorEastAsia" w:cstheme="majorBidi"/>
      <w:b/>
      <w:color w:val="000000" w:themeColor="text1"/>
      <w:sz w:val="30"/>
      <w:szCs w:val="32"/>
      <w14:textFill>
        <w14:solidFill>
          <w14:schemeClr w14:val="tx1"/>
        </w14:solidFill>
      </w14:textFill>
    </w:rPr>
  </w:style>
  <w:style w:type="paragraph" w:styleId="5">
    <w:name w:val="heading 2"/>
    <w:basedOn w:val="1"/>
    <w:next w:val="1"/>
    <w:link w:val="44"/>
    <w:qFormat/>
    <w:uiPriority w:val="9"/>
    <w:pPr>
      <w:keepNext/>
      <w:keepLines/>
      <w:spacing w:before="120" w:after="120" w:line="360" w:lineRule="auto"/>
      <w:jc w:val="center"/>
      <w:outlineLvl w:val="1"/>
    </w:pPr>
    <w:rPr>
      <w:rFonts w:eastAsia="黑体"/>
      <w:b/>
      <w:bCs/>
      <w:color w:val="auto"/>
      <w:kern w:val="2"/>
      <w:sz w:val="28"/>
      <w:szCs w:val="28"/>
    </w:rPr>
  </w:style>
  <w:style w:type="paragraph" w:styleId="6">
    <w:name w:val="heading 3"/>
    <w:basedOn w:val="1"/>
    <w:next w:val="1"/>
    <w:link w:val="45"/>
    <w:qFormat/>
    <w:uiPriority w:val="9"/>
    <w:pPr>
      <w:keepNext/>
      <w:keepLines/>
      <w:spacing w:before="260" w:after="260" w:line="416" w:lineRule="auto"/>
      <w:jc w:val="center"/>
      <w:outlineLvl w:val="2"/>
    </w:pPr>
    <w:rPr>
      <w:rFonts w:eastAsia="黑体"/>
      <w:b/>
      <w:bCs/>
      <w:color w:val="auto"/>
      <w:kern w:val="2"/>
      <w:sz w:val="32"/>
      <w:szCs w:val="32"/>
    </w:rPr>
  </w:style>
  <w:style w:type="paragraph" w:styleId="7">
    <w:name w:val="heading 4"/>
    <w:basedOn w:val="1"/>
    <w:next w:val="1"/>
    <w:link w:val="60"/>
    <w:unhideWhenUsed/>
    <w:qFormat/>
    <w:uiPriority w:val="9"/>
    <w:pPr>
      <w:keepNext/>
      <w:keepLines/>
      <w:spacing w:before="40" w:after="0"/>
      <w:outlineLvl w:val="3"/>
    </w:pPr>
    <w:rPr>
      <w:rFonts w:ascii="Arial" w:hAnsi="Arial" w:eastAsia="黑体"/>
      <w:b/>
      <w:bCs/>
      <w:i/>
      <w:iCs/>
      <w:color w:val="auto"/>
      <w:sz w:val="20"/>
      <w:szCs w:val="20"/>
    </w:rPr>
  </w:style>
  <w:style w:type="paragraph" w:styleId="8">
    <w:name w:val="heading 5"/>
    <w:basedOn w:val="1"/>
    <w:next w:val="1"/>
    <w:link w:val="61"/>
    <w:semiHidden/>
    <w:unhideWhenUsed/>
    <w:qFormat/>
    <w:uiPriority w:val="9"/>
    <w:pPr>
      <w:keepNext/>
      <w:keepLines/>
      <w:spacing w:before="40" w:after="0"/>
      <w:outlineLvl w:val="4"/>
    </w:pPr>
    <w:rPr>
      <w:rFonts w:ascii="Arial" w:hAnsi="Arial" w:eastAsia="黑体"/>
      <w:color w:val="auto"/>
      <w:sz w:val="20"/>
      <w:szCs w:val="20"/>
    </w:rPr>
  </w:style>
  <w:style w:type="paragraph" w:styleId="9">
    <w:name w:val="heading 6"/>
    <w:basedOn w:val="1"/>
    <w:next w:val="1"/>
    <w:link w:val="62"/>
    <w:semiHidden/>
    <w:unhideWhenUsed/>
    <w:qFormat/>
    <w:uiPriority w:val="9"/>
    <w:pPr>
      <w:keepNext/>
      <w:keepLines/>
      <w:spacing w:before="40" w:after="0"/>
      <w:outlineLvl w:val="5"/>
    </w:pPr>
    <w:rPr>
      <w:rFonts w:ascii="Arial" w:hAnsi="Arial" w:eastAsia="黑体"/>
      <w:color w:val="auto"/>
      <w:sz w:val="20"/>
      <w:szCs w:val="20"/>
    </w:rPr>
  </w:style>
  <w:style w:type="paragraph" w:styleId="10">
    <w:name w:val="heading 7"/>
    <w:basedOn w:val="1"/>
    <w:next w:val="1"/>
    <w:link w:val="63"/>
    <w:semiHidden/>
    <w:unhideWhenUsed/>
    <w:qFormat/>
    <w:uiPriority w:val="9"/>
    <w:pPr>
      <w:keepNext/>
      <w:keepLines/>
      <w:spacing w:before="40" w:after="0"/>
      <w:outlineLvl w:val="6"/>
    </w:pPr>
    <w:rPr>
      <w:rFonts w:ascii="Arial" w:hAnsi="Arial" w:eastAsia="黑体"/>
      <w:i/>
      <w:iCs/>
      <w:color w:val="auto"/>
      <w:sz w:val="20"/>
      <w:szCs w:val="20"/>
    </w:rPr>
  </w:style>
  <w:style w:type="paragraph" w:styleId="11">
    <w:name w:val="heading 8"/>
    <w:basedOn w:val="1"/>
    <w:next w:val="1"/>
    <w:link w:val="64"/>
    <w:semiHidden/>
    <w:unhideWhenUsed/>
    <w:qFormat/>
    <w:uiPriority w:val="9"/>
    <w:pPr>
      <w:keepNext/>
      <w:keepLines/>
      <w:spacing w:before="40" w:after="0"/>
      <w:outlineLvl w:val="7"/>
    </w:pPr>
    <w:rPr>
      <w:rFonts w:ascii="Arial" w:hAnsi="Arial" w:eastAsia="黑体"/>
      <w:caps/>
      <w:color w:val="272727"/>
      <w:sz w:val="18"/>
      <w:szCs w:val="18"/>
    </w:rPr>
  </w:style>
  <w:style w:type="paragraph" w:styleId="12">
    <w:name w:val="heading 9"/>
    <w:basedOn w:val="1"/>
    <w:next w:val="1"/>
    <w:link w:val="65"/>
    <w:semiHidden/>
    <w:unhideWhenUsed/>
    <w:qFormat/>
    <w:uiPriority w:val="9"/>
    <w:pPr>
      <w:keepNext/>
      <w:keepLines/>
      <w:spacing w:before="40" w:after="0"/>
      <w:outlineLvl w:val="8"/>
    </w:pPr>
    <w:rPr>
      <w:rFonts w:ascii="Arial" w:hAnsi="Arial" w:eastAsia="黑体"/>
      <w:i/>
      <w:iCs/>
      <w:caps/>
      <w:color w:val="auto"/>
      <w:sz w:val="18"/>
      <w:szCs w:val="1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15"/>
    <w:qFormat/>
    <w:uiPriority w:val="99"/>
    <w:pPr>
      <w:spacing w:line="240" w:lineRule="auto"/>
      <w:ind w:left="420" w:leftChars="200" w:firstLine="420" w:firstLineChars="200"/>
    </w:pPr>
  </w:style>
  <w:style w:type="paragraph" w:styleId="3">
    <w:name w:val="Body Text Indent"/>
    <w:basedOn w:val="1"/>
    <w:link w:val="106"/>
    <w:semiHidden/>
    <w:unhideWhenUsed/>
    <w:qFormat/>
    <w:uiPriority w:val="99"/>
    <w:pPr>
      <w:spacing w:after="120"/>
      <w:ind w:left="360"/>
    </w:pPr>
  </w:style>
  <w:style w:type="paragraph" w:styleId="13">
    <w:name w:val="caption"/>
    <w:basedOn w:val="1"/>
    <w:next w:val="1"/>
    <w:semiHidden/>
    <w:unhideWhenUsed/>
    <w:qFormat/>
    <w:uiPriority w:val="35"/>
    <w:pPr>
      <w:widowControl/>
      <w:spacing w:after="200" w:line="240" w:lineRule="auto"/>
      <w:jc w:val="left"/>
    </w:pPr>
    <w:rPr>
      <w:rFonts w:ascii="Arial" w:hAnsi="Arial"/>
      <w:i/>
      <w:iCs/>
      <w:color w:val="auto"/>
      <w:sz w:val="20"/>
      <w:szCs w:val="20"/>
    </w:rPr>
  </w:style>
  <w:style w:type="paragraph" w:styleId="14">
    <w:name w:val="annotation text"/>
    <w:basedOn w:val="1"/>
    <w:link w:val="42"/>
    <w:unhideWhenUsed/>
    <w:qFormat/>
    <w:uiPriority w:val="99"/>
    <w:pPr>
      <w:spacing w:line="240" w:lineRule="auto"/>
    </w:pPr>
    <w:rPr>
      <w:sz w:val="20"/>
      <w:szCs w:val="20"/>
    </w:rPr>
  </w:style>
  <w:style w:type="paragraph" w:styleId="15">
    <w:name w:val="Body Text"/>
    <w:basedOn w:val="1"/>
    <w:link w:val="46"/>
    <w:unhideWhenUsed/>
    <w:qFormat/>
    <w:uiPriority w:val="99"/>
    <w:pPr>
      <w:spacing w:after="120"/>
    </w:pPr>
  </w:style>
  <w:style w:type="paragraph" w:styleId="16">
    <w:name w:val="Date"/>
    <w:basedOn w:val="1"/>
    <w:next w:val="1"/>
    <w:link w:val="40"/>
    <w:semiHidden/>
    <w:unhideWhenUsed/>
    <w:qFormat/>
    <w:uiPriority w:val="99"/>
  </w:style>
  <w:style w:type="paragraph" w:styleId="17">
    <w:name w:val="Balloon Text"/>
    <w:basedOn w:val="1"/>
    <w:link w:val="38"/>
    <w:semiHidden/>
    <w:unhideWhenUsed/>
    <w:qFormat/>
    <w:uiPriority w:val="99"/>
    <w:pPr>
      <w:spacing w:after="0" w:line="240" w:lineRule="auto"/>
    </w:pPr>
    <w:rPr>
      <w:rFonts w:ascii="Segoe UI" w:hAnsi="Segoe UI" w:cs="Segoe UI"/>
      <w:sz w:val="18"/>
      <w:szCs w:val="18"/>
    </w:rPr>
  </w:style>
  <w:style w:type="paragraph" w:styleId="18">
    <w:name w:val="footer"/>
    <w:basedOn w:val="1"/>
    <w:link w:val="36"/>
    <w:unhideWhenUsed/>
    <w:qFormat/>
    <w:uiPriority w:val="99"/>
    <w:pPr>
      <w:tabs>
        <w:tab w:val="center" w:pos="4153"/>
        <w:tab w:val="right" w:pos="8306"/>
      </w:tabs>
      <w:snapToGrid w:val="0"/>
      <w:jc w:val="left"/>
    </w:pPr>
    <w:rPr>
      <w:rFonts w:asciiTheme="minorHAnsi" w:hAnsiTheme="minorHAnsi" w:eastAsiaTheme="minorEastAsia" w:cstheme="minorBidi"/>
      <w:color w:val="auto"/>
      <w:kern w:val="2"/>
      <w:sz w:val="18"/>
      <w:szCs w:val="18"/>
    </w:rPr>
  </w:style>
  <w:style w:type="paragraph" w:styleId="19">
    <w:name w:val="header"/>
    <w:basedOn w:val="1"/>
    <w:link w:val="3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paragraph" w:styleId="20">
    <w:name w:val="toc 1"/>
    <w:basedOn w:val="1"/>
    <w:next w:val="1"/>
    <w:unhideWhenUsed/>
    <w:qFormat/>
    <w:uiPriority w:val="39"/>
    <w:pPr>
      <w:tabs>
        <w:tab w:val="right" w:leader="dot" w:pos="8296"/>
      </w:tabs>
      <w:spacing w:after="100"/>
    </w:pPr>
  </w:style>
  <w:style w:type="paragraph" w:styleId="21">
    <w:name w:val="Subtitle"/>
    <w:basedOn w:val="1"/>
    <w:next w:val="1"/>
    <w:link w:val="69"/>
    <w:qFormat/>
    <w:uiPriority w:val="11"/>
    <w:rPr>
      <w:rFonts w:asciiTheme="minorHAnsi" w:hAnsiTheme="minorHAnsi" w:eastAsiaTheme="minorEastAsia" w:cstheme="minorBidi"/>
      <w:i/>
      <w:iCs/>
      <w:color w:val="5A5A5A"/>
      <w:sz w:val="20"/>
      <w:szCs w:val="20"/>
    </w:rPr>
  </w:style>
  <w:style w:type="paragraph" w:styleId="22">
    <w:name w:val="toc 2"/>
    <w:basedOn w:val="1"/>
    <w:next w:val="1"/>
    <w:unhideWhenUsed/>
    <w:qFormat/>
    <w:uiPriority w:val="39"/>
    <w:pPr>
      <w:spacing w:after="100"/>
      <w:ind w:left="210"/>
    </w:pPr>
  </w:style>
  <w:style w:type="paragraph" w:styleId="23">
    <w:name w:val="Body Text 2"/>
    <w:basedOn w:val="1"/>
    <w:qFormat/>
    <w:uiPriority w:val="0"/>
    <w:pPr>
      <w:spacing w:line="300" w:lineRule="exact"/>
    </w:pPr>
    <w:rPr>
      <w:sz w:val="28"/>
      <w:szCs w:val="28"/>
    </w:rPr>
  </w:style>
  <w:style w:type="paragraph" w:styleId="24">
    <w:name w:val="Normal (Web)"/>
    <w:basedOn w:val="1"/>
    <w:unhideWhenUsed/>
    <w:qFormat/>
    <w:uiPriority w:val="99"/>
    <w:pPr>
      <w:widowControl/>
      <w:spacing w:before="100" w:beforeAutospacing="1" w:after="100" w:afterAutospacing="1" w:line="330" w:lineRule="atLeast"/>
      <w:jc w:val="left"/>
    </w:pPr>
    <w:rPr>
      <w:rFonts w:ascii="宋体" w:hAnsi="宋体" w:cs="宋体"/>
      <w:sz w:val="22"/>
      <w:szCs w:val="22"/>
    </w:rPr>
  </w:style>
  <w:style w:type="paragraph" w:styleId="25">
    <w:name w:val="Title"/>
    <w:basedOn w:val="1"/>
    <w:next w:val="1"/>
    <w:link w:val="67"/>
    <w:qFormat/>
    <w:uiPriority w:val="10"/>
    <w:pPr>
      <w:spacing w:after="0" w:line="240" w:lineRule="auto"/>
      <w:contextualSpacing/>
    </w:pPr>
    <w:rPr>
      <w:rFonts w:ascii="Arial" w:hAnsi="Arial" w:eastAsia="黑体"/>
      <w:b/>
      <w:color w:val="auto"/>
      <w:spacing w:val="-10"/>
      <w:kern w:val="28"/>
      <w:sz w:val="20"/>
      <w:szCs w:val="72"/>
    </w:rPr>
  </w:style>
  <w:style w:type="paragraph" w:styleId="26">
    <w:name w:val="annotation subject"/>
    <w:basedOn w:val="14"/>
    <w:next w:val="14"/>
    <w:link w:val="43"/>
    <w:semiHidden/>
    <w:unhideWhenUsed/>
    <w:qFormat/>
    <w:uiPriority w:val="99"/>
    <w:rPr>
      <w:b/>
      <w:bCs/>
    </w:rPr>
  </w:style>
  <w:style w:type="table" w:styleId="28">
    <w:name w:val="Table Grid"/>
    <w:basedOn w:val="2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99"/>
    <w:rPr>
      <w:b/>
      <w:bCs/>
    </w:rPr>
  </w:style>
  <w:style w:type="character" w:styleId="31">
    <w:name w:val="FollowedHyperlink"/>
    <w:basedOn w:val="29"/>
    <w:semiHidden/>
    <w:unhideWhenUsed/>
    <w:qFormat/>
    <w:uiPriority w:val="99"/>
    <w:rPr>
      <w:color w:val="954F72" w:themeColor="followedHyperlink"/>
      <w:u w:val="single"/>
      <w14:textFill>
        <w14:solidFill>
          <w14:schemeClr w14:val="folHlink"/>
        </w14:solidFill>
      </w14:textFill>
    </w:rPr>
  </w:style>
  <w:style w:type="character" w:styleId="32">
    <w:name w:val="Emphasis"/>
    <w:basedOn w:val="29"/>
    <w:qFormat/>
    <w:uiPriority w:val="20"/>
    <w:rPr>
      <w:i/>
      <w:iCs/>
    </w:rPr>
  </w:style>
  <w:style w:type="character" w:styleId="33">
    <w:name w:val="Hyperlink"/>
    <w:basedOn w:val="29"/>
    <w:unhideWhenUsed/>
    <w:qFormat/>
    <w:uiPriority w:val="99"/>
    <w:rPr>
      <w:color w:val="0563C1" w:themeColor="hyperlink"/>
      <w:u w:val="single"/>
      <w14:textFill>
        <w14:solidFill>
          <w14:schemeClr w14:val="hlink"/>
        </w14:solidFill>
      </w14:textFill>
    </w:rPr>
  </w:style>
  <w:style w:type="character" w:styleId="34">
    <w:name w:val="annotation reference"/>
    <w:basedOn w:val="29"/>
    <w:semiHidden/>
    <w:unhideWhenUsed/>
    <w:qFormat/>
    <w:uiPriority w:val="99"/>
    <w:rPr>
      <w:sz w:val="16"/>
      <w:szCs w:val="16"/>
    </w:rPr>
  </w:style>
  <w:style w:type="character" w:customStyle="1" w:styleId="35">
    <w:name w:val="Header Char"/>
    <w:basedOn w:val="29"/>
    <w:link w:val="19"/>
    <w:qFormat/>
    <w:uiPriority w:val="99"/>
    <w:rPr>
      <w:sz w:val="18"/>
      <w:szCs w:val="18"/>
    </w:rPr>
  </w:style>
  <w:style w:type="character" w:customStyle="1" w:styleId="36">
    <w:name w:val="Footer Char"/>
    <w:basedOn w:val="29"/>
    <w:link w:val="18"/>
    <w:qFormat/>
    <w:uiPriority w:val="99"/>
    <w:rPr>
      <w:sz w:val="18"/>
      <w:szCs w:val="18"/>
    </w:rPr>
  </w:style>
  <w:style w:type="paragraph" w:customStyle="1" w:styleId="37">
    <w:name w:val="Default"/>
    <w:unhideWhenUsed/>
    <w:qFormat/>
    <w:uiPriority w:val="99"/>
    <w:pPr>
      <w:widowControl w:val="0"/>
      <w:autoSpaceDE w:val="0"/>
      <w:autoSpaceDN w:val="0"/>
      <w:adjustRightInd w:val="0"/>
      <w:spacing w:after="160" w:line="259" w:lineRule="auto"/>
    </w:pPr>
    <w:rPr>
      <w:rFonts w:ascii="微软雅黑" w:hAnsi="微软雅黑" w:eastAsia="微软雅黑" w:cstheme="minorBidi"/>
      <w:color w:val="000000"/>
      <w:sz w:val="24"/>
      <w:lang w:val="en-US" w:eastAsia="zh-CN" w:bidi="ar-SA"/>
    </w:rPr>
  </w:style>
  <w:style w:type="character" w:customStyle="1" w:styleId="38">
    <w:name w:val="Balloon Text Char"/>
    <w:basedOn w:val="29"/>
    <w:link w:val="17"/>
    <w:semiHidden/>
    <w:qFormat/>
    <w:uiPriority w:val="99"/>
    <w:rPr>
      <w:rFonts w:ascii="Segoe UI" w:hAnsi="Segoe UI" w:eastAsia="宋体" w:cs="Segoe UI"/>
      <w:color w:val="0000FF"/>
      <w:sz w:val="18"/>
      <w:szCs w:val="18"/>
    </w:rPr>
  </w:style>
  <w:style w:type="paragraph" w:styleId="39">
    <w:name w:val="List Paragraph"/>
    <w:basedOn w:val="1"/>
    <w:qFormat/>
    <w:uiPriority w:val="34"/>
    <w:pPr>
      <w:ind w:left="720"/>
      <w:contextualSpacing/>
    </w:pPr>
  </w:style>
  <w:style w:type="character" w:customStyle="1" w:styleId="40">
    <w:name w:val="Date Char"/>
    <w:basedOn w:val="29"/>
    <w:link w:val="16"/>
    <w:semiHidden/>
    <w:qFormat/>
    <w:uiPriority w:val="99"/>
    <w:rPr>
      <w:rFonts w:ascii="Times New Roman" w:hAnsi="Times New Roman" w:eastAsia="宋体" w:cs="Times New Roman"/>
      <w:color w:val="0000FF"/>
      <w:sz w:val="21"/>
      <w:szCs w:val="21"/>
    </w:rPr>
  </w:style>
  <w:style w:type="character" w:styleId="41">
    <w:name w:val="Placeholder Text"/>
    <w:basedOn w:val="29"/>
    <w:semiHidden/>
    <w:qFormat/>
    <w:uiPriority w:val="99"/>
    <w:rPr>
      <w:color w:val="808080"/>
    </w:rPr>
  </w:style>
  <w:style w:type="character" w:customStyle="1" w:styleId="42">
    <w:name w:val="Comment Text Char"/>
    <w:basedOn w:val="29"/>
    <w:link w:val="14"/>
    <w:qFormat/>
    <w:uiPriority w:val="99"/>
    <w:rPr>
      <w:rFonts w:ascii="Times New Roman" w:hAnsi="Times New Roman" w:eastAsia="宋体" w:cs="Times New Roman"/>
      <w:color w:val="0000FF"/>
    </w:rPr>
  </w:style>
  <w:style w:type="character" w:customStyle="1" w:styleId="43">
    <w:name w:val="Comment Subject Char"/>
    <w:basedOn w:val="42"/>
    <w:link w:val="26"/>
    <w:semiHidden/>
    <w:qFormat/>
    <w:uiPriority w:val="99"/>
    <w:rPr>
      <w:rFonts w:ascii="Times New Roman" w:hAnsi="Times New Roman" w:eastAsia="宋体" w:cs="Times New Roman"/>
      <w:b/>
      <w:bCs/>
      <w:color w:val="0000FF"/>
    </w:rPr>
  </w:style>
  <w:style w:type="character" w:customStyle="1" w:styleId="44">
    <w:name w:val="Heading 2 Char"/>
    <w:basedOn w:val="29"/>
    <w:link w:val="5"/>
    <w:qFormat/>
    <w:uiPriority w:val="9"/>
    <w:rPr>
      <w:rFonts w:ascii="Times New Roman" w:hAnsi="Times New Roman" w:eastAsia="黑体" w:cs="Times New Roman"/>
      <w:b/>
      <w:bCs/>
      <w:kern w:val="2"/>
      <w:sz w:val="28"/>
      <w:szCs w:val="28"/>
    </w:rPr>
  </w:style>
  <w:style w:type="character" w:customStyle="1" w:styleId="45">
    <w:name w:val="Heading 3 Char"/>
    <w:basedOn w:val="29"/>
    <w:link w:val="6"/>
    <w:qFormat/>
    <w:uiPriority w:val="9"/>
    <w:rPr>
      <w:rFonts w:ascii="Times New Roman" w:hAnsi="Times New Roman" w:eastAsia="黑体" w:cs="Times New Roman"/>
      <w:b/>
      <w:bCs/>
      <w:kern w:val="2"/>
      <w:sz w:val="32"/>
      <w:szCs w:val="32"/>
    </w:rPr>
  </w:style>
  <w:style w:type="character" w:customStyle="1" w:styleId="46">
    <w:name w:val="Body Text Char"/>
    <w:basedOn w:val="29"/>
    <w:link w:val="15"/>
    <w:qFormat/>
    <w:uiPriority w:val="99"/>
    <w:rPr>
      <w:rFonts w:ascii="Times New Roman" w:hAnsi="Times New Roman" w:eastAsia="宋体" w:cs="Times New Roman"/>
      <w:color w:val="0000FF"/>
      <w:sz w:val="21"/>
      <w:szCs w:val="21"/>
    </w:rPr>
  </w:style>
  <w:style w:type="table" w:customStyle="1" w:styleId="47">
    <w:name w:val="Table Grid1"/>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Table Grid2"/>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Table Grid3"/>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Headline1"/>
    <w:basedOn w:val="1"/>
    <w:next w:val="1"/>
    <w:link w:val="59"/>
    <w:qFormat/>
    <w:uiPriority w:val="9"/>
    <w:pPr>
      <w:keepNext/>
      <w:keepLines/>
      <w:widowControl/>
      <w:spacing w:before="240" w:after="240" w:line="240" w:lineRule="auto"/>
      <w:jc w:val="left"/>
      <w:outlineLvl w:val="0"/>
    </w:pPr>
    <w:rPr>
      <w:rFonts w:ascii="Arial" w:hAnsi="Arial" w:eastAsia="黑体"/>
      <w:bCs/>
      <w:caps/>
      <w:color w:val="D2051E"/>
      <w:sz w:val="32"/>
      <w:szCs w:val="40"/>
    </w:rPr>
  </w:style>
  <w:style w:type="paragraph" w:customStyle="1" w:styleId="51">
    <w:name w:val="Heading 41"/>
    <w:basedOn w:val="1"/>
    <w:next w:val="1"/>
    <w:unhideWhenUsed/>
    <w:qFormat/>
    <w:uiPriority w:val="9"/>
    <w:pPr>
      <w:keepNext/>
      <w:keepLines/>
      <w:widowControl/>
      <w:spacing w:before="40" w:after="0" w:line="240" w:lineRule="auto"/>
      <w:jc w:val="left"/>
      <w:outlineLvl w:val="3"/>
    </w:pPr>
    <w:rPr>
      <w:rFonts w:ascii="Arial" w:hAnsi="Arial" w:eastAsia="黑体"/>
      <w:b/>
      <w:bCs/>
      <w:i/>
      <w:iCs/>
      <w:color w:val="auto"/>
      <w:sz w:val="20"/>
      <w:szCs w:val="22"/>
    </w:rPr>
  </w:style>
  <w:style w:type="paragraph" w:customStyle="1" w:styleId="52">
    <w:name w:val="Heading 51"/>
    <w:basedOn w:val="1"/>
    <w:next w:val="1"/>
    <w:semiHidden/>
    <w:unhideWhenUsed/>
    <w:qFormat/>
    <w:uiPriority w:val="9"/>
    <w:pPr>
      <w:keepNext/>
      <w:keepLines/>
      <w:widowControl/>
      <w:numPr>
        <w:ilvl w:val="4"/>
        <w:numId w:val="1"/>
      </w:numPr>
      <w:tabs>
        <w:tab w:val="left" w:pos="360"/>
      </w:tabs>
      <w:spacing w:before="40" w:after="0" w:line="240" w:lineRule="auto"/>
      <w:ind w:left="0" w:firstLine="0"/>
      <w:jc w:val="left"/>
      <w:outlineLvl w:val="4"/>
    </w:pPr>
    <w:rPr>
      <w:rFonts w:ascii="Arial" w:hAnsi="Arial" w:eastAsia="黑体"/>
      <w:color w:val="auto"/>
      <w:sz w:val="20"/>
      <w:szCs w:val="22"/>
    </w:rPr>
  </w:style>
  <w:style w:type="paragraph" w:customStyle="1" w:styleId="53">
    <w:name w:val="Heading 61"/>
    <w:basedOn w:val="1"/>
    <w:next w:val="1"/>
    <w:semiHidden/>
    <w:unhideWhenUsed/>
    <w:qFormat/>
    <w:uiPriority w:val="9"/>
    <w:pPr>
      <w:keepNext/>
      <w:keepLines/>
      <w:widowControl/>
      <w:numPr>
        <w:ilvl w:val="5"/>
        <w:numId w:val="1"/>
      </w:numPr>
      <w:tabs>
        <w:tab w:val="left" w:pos="360"/>
      </w:tabs>
      <w:spacing w:before="40" w:after="0" w:line="240" w:lineRule="auto"/>
      <w:ind w:left="0" w:firstLine="0"/>
      <w:jc w:val="left"/>
      <w:outlineLvl w:val="5"/>
    </w:pPr>
    <w:rPr>
      <w:rFonts w:ascii="Arial" w:hAnsi="Arial" w:eastAsia="黑体"/>
      <w:color w:val="auto"/>
      <w:sz w:val="20"/>
      <w:szCs w:val="20"/>
    </w:rPr>
  </w:style>
  <w:style w:type="paragraph" w:customStyle="1" w:styleId="54">
    <w:name w:val="Heading 71"/>
    <w:basedOn w:val="1"/>
    <w:next w:val="1"/>
    <w:semiHidden/>
    <w:unhideWhenUsed/>
    <w:qFormat/>
    <w:uiPriority w:val="9"/>
    <w:pPr>
      <w:keepNext/>
      <w:keepLines/>
      <w:widowControl/>
      <w:numPr>
        <w:ilvl w:val="6"/>
        <w:numId w:val="1"/>
      </w:numPr>
      <w:tabs>
        <w:tab w:val="left" w:pos="360"/>
      </w:tabs>
      <w:spacing w:before="40" w:after="0" w:line="240" w:lineRule="auto"/>
      <w:ind w:left="0" w:firstLine="0"/>
      <w:jc w:val="left"/>
      <w:outlineLvl w:val="6"/>
    </w:pPr>
    <w:rPr>
      <w:rFonts w:ascii="Arial" w:hAnsi="Arial" w:eastAsia="黑体"/>
      <w:i/>
      <w:iCs/>
      <w:color w:val="auto"/>
      <w:sz w:val="20"/>
      <w:szCs w:val="20"/>
    </w:rPr>
  </w:style>
  <w:style w:type="paragraph" w:customStyle="1" w:styleId="55">
    <w:name w:val="Heading 81"/>
    <w:basedOn w:val="1"/>
    <w:next w:val="1"/>
    <w:semiHidden/>
    <w:unhideWhenUsed/>
    <w:qFormat/>
    <w:uiPriority w:val="9"/>
    <w:pPr>
      <w:keepNext/>
      <w:keepLines/>
      <w:widowControl/>
      <w:numPr>
        <w:ilvl w:val="7"/>
        <w:numId w:val="1"/>
      </w:numPr>
      <w:tabs>
        <w:tab w:val="left" w:pos="360"/>
      </w:tabs>
      <w:spacing w:before="40" w:after="0" w:line="240" w:lineRule="auto"/>
      <w:ind w:left="0" w:firstLine="0"/>
      <w:jc w:val="left"/>
      <w:outlineLvl w:val="7"/>
    </w:pPr>
    <w:rPr>
      <w:rFonts w:ascii="Arial" w:hAnsi="Arial" w:eastAsia="黑体"/>
      <w:caps/>
      <w:color w:val="272727"/>
      <w:sz w:val="18"/>
      <w:szCs w:val="18"/>
    </w:rPr>
  </w:style>
  <w:style w:type="paragraph" w:customStyle="1" w:styleId="56">
    <w:name w:val="Heading 91"/>
    <w:basedOn w:val="1"/>
    <w:next w:val="1"/>
    <w:semiHidden/>
    <w:unhideWhenUsed/>
    <w:qFormat/>
    <w:uiPriority w:val="9"/>
    <w:pPr>
      <w:keepNext/>
      <w:keepLines/>
      <w:widowControl/>
      <w:numPr>
        <w:ilvl w:val="8"/>
        <w:numId w:val="1"/>
      </w:numPr>
      <w:tabs>
        <w:tab w:val="left" w:pos="360"/>
      </w:tabs>
      <w:spacing w:before="40" w:after="0" w:line="240" w:lineRule="auto"/>
      <w:ind w:left="0" w:firstLine="0"/>
      <w:jc w:val="left"/>
      <w:outlineLvl w:val="8"/>
    </w:pPr>
    <w:rPr>
      <w:rFonts w:ascii="Arial" w:hAnsi="Arial" w:eastAsia="黑体"/>
      <w:i/>
      <w:iCs/>
      <w:caps/>
      <w:color w:val="auto"/>
      <w:sz w:val="18"/>
      <w:szCs w:val="18"/>
    </w:rPr>
  </w:style>
  <w:style w:type="paragraph" w:customStyle="1" w:styleId="57">
    <w:name w:val="Heading 1 No Spacing"/>
    <w:basedOn w:val="4"/>
    <w:next w:val="5"/>
    <w:link w:val="58"/>
    <w:qFormat/>
    <w:uiPriority w:val="9"/>
    <w:pPr>
      <w:widowControl/>
      <w:spacing w:after="240" w:line="600" w:lineRule="atLeast"/>
      <w:jc w:val="left"/>
    </w:pPr>
    <w:rPr>
      <w:rFonts w:cs="Tahoma"/>
      <w:bCs/>
      <w:i/>
      <w:caps/>
      <w:sz w:val="56"/>
      <w:szCs w:val="28"/>
      <w:lang w:val="en-GB"/>
    </w:rPr>
  </w:style>
  <w:style w:type="character" w:customStyle="1" w:styleId="58">
    <w:name w:val="Heading 1 No Spacing Char"/>
    <w:basedOn w:val="59"/>
    <w:link w:val="57"/>
    <w:qFormat/>
    <w:locked/>
    <w:uiPriority w:val="9"/>
    <w:rPr>
      <w:rFonts w:cs="Tahoma" w:asciiTheme="majorHAnsi" w:hAnsiTheme="majorHAnsi" w:eastAsiaTheme="majorEastAsia"/>
      <w:i/>
      <w:color w:val="2F5597" w:themeColor="accent1" w:themeShade="BF"/>
      <w:sz w:val="56"/>
      <w:szCs w:val="28"/>
      <w:lang w:val="en-GB"/>
    </w:rPr>
  </w:style>
  <w:style w:type="character" w:customStyle="1" w:styleId="59">
    <w:name w:val="Heading 1 Char"/>
    <w:basedOn w:val="29"/>
    <w:link w:val="50"/>
    <w:qFormat/>
    <w:uiPriority w:val="9"/>
    <w:rPr>
      <w:rFonts w:ascii="Arial" w:hAnsi="Arial" w:eastAsia="黑体" w:cs="Times New Roman"/>
      <w:bCs/>
      <w:caps/>
      <w:color w:val="D2051E"/>
      <w:sz w:val="32"/>
      <w:szCs w:val="40"/>
    </w:rPr>
  </w:style>
  <w:style w:type="character" w:customStyle="1" w:styleId="60">
    <w:name w:val="Heading 4 Char"/>
    <w:basedOn w:val="29"/>
    <w:link w:val="7"/>
    <w:qFormat/>
    <w:uiPriority w:val="9"/>
    <w:rPr>
      <w:rFonts w:ascii="Arial" w:hAnsi="Arial" w:eastAsia="黑体" w:cs="Times New Roman"/>
      <w:b/>
      <w:bCs/>
      <w:i/>
      <w:iCs/>
    </w:rPr>
  </w:style>
  <w:style w:type="character" w:customStyle="1" w:styleId="61">
    <w:name w:val="Heading 5 Char"/>
    <w:basedOn w:val="29"/>
    <w:link w:val="8"/>
    <w:semiHidden/>
    <w:qFormat/>
    <w:uiPriority w:val="9"/>
    <w:rPr>
      <w:rFonts w:ascii="Arial" w:hAnsi="Arial" w:eastAsia="黑体" w:cs="Times New Roman"/>
    </w:rPr>
  </w:style>
  <w:style w:type="character" w:customStyle="1" w:styleId="62">
    <w:name w:val="Heading 6 Char"/>
    <w:basedOn w:val="29"/>
    <w:link w:val="9"/>
    <w:semiHidden/>
    <w:qFormat/>
    <w:uiPriority w:val="9"/>
    <w:rPr>
      <w:rFonts w:ascii="Arial" w:hAnsi="Arial" w:eastAsia="黑体" w:cs="Times New Roman"/>
      <w:sz w:val="20"/>
      <w:szCs w:val="20"/>
    </w:rPr>
  </w:style>
  <w:style w:type="character" w:customStyle="1" w:styleId="63">
    <w:name w:val="Heading 7 Char"/>
    <w:basedOn w:val="29"/>
    <w:link w:val="10"/>
    <w:semiHidden/>
    <w:qFormat/>
    <w:uiPriority w:val="9"/>
    <w:rPr>
      <w:rFonts w:ascii="Arial" w:hAnsi="Arial" w:eastAsia="黑体" w:cs="Times New Roman"/>
      <w:i/>
      <w:iCs/>
      <w:sz w:val="20"/>
      <w:szCs w:val="20"/>
    </w:rPr>
  </w:style>
  <w:style w:type="character" w:customStyle="1" w:styleId="64">
    <w:name w:val="Heading 8 Char"/>
    <w:basedOn w:val="29"/>
    <w:link w:val="11"/>
    <w:semiHidden/>
    <w:qFormat/>
    <w:uiPriority w:val="9"/>
    <w:rPr>
      <w:rFonts w:ascii="Arial" w:hAnsi="Arial" w:eastAsia="黑体" w:cs="Times New Roman"/>
      <w:caps/>
      <w:color w:val="272727"/>
      <w:sz w:val="18"/>
      <w:szCs w:val="18"/>
    </w:rPr>
  </w:style>
  <w:style w:type="character" w:customStyle="1" w:styleId="65">
    <w:name w:val="Heading 9 Char"/>
    <w:basedOn w:val="29"/>
    <w:link w:val="12"/>
    <w:semiHidden/>
    <w:qFormat/>
    <w:uiPriority w:val="9"/>
    <w:rPr>
      <w:rFonts w:ascii="Arial" w:hAnsi="Arial" w:eastAsia="黑体" w:cs="Times New Roman"/>
      <w:i/>
      <w:iCs/>
      <w:caps/>
      <w:sz w:val="18"/>
      <w:szCs w:val="18"/>
    </w:rPr>
  </w:style>
  <w:style w:type="paragraph" w:customStyle="1" w:styleId="66">
    <w:name w:val="Title1"/>
    <w:basedOn w:val="1"/>
    <w:next w:val="1"/>
    <w:qFormat/>
    <w:uiPriority w:val="10"/>
    <w:pPr>
      <w:widowControl/>
      <w:spacing w:after="0" w:line="240" w:lineRule="auto"/>
      <w:contextualSpacing/>
      <w:jc w:val="left"/>
    </w:pPr>
    <w:rPr>
      <w:rFonts w:ascii="Arial" w:hAnsi="Arial" w:eastAsia="黑体"/>
      <w:b/>
      <w:color w:val="auto"/>
      <w:spacing w:val="-10"/>
      <w:kern w:val="28"/>
      <w:sz w:val="20"/>
      <w:szCs w:val="72"/>
    </w:rPr>
  </w:style>
  <w:style w:type="character" w:customStyle="1" w:styleId="67">
    <w:name w:val="Title Char"/>
    <w:basedOn w:val="29"/>
    <w:link w:val="25"/>
    <w:qFormat/>
    <w:uiPriority w:val="10"/>
    <w:rPr>
      <w:rFonts w:ascii="Arial" w:hAnsi="Arial" w:eastAsia="黑体" w:cs="Times New Roman"/>
      <w:b/>
      <w:spacing w:val="-10"/>
      <w:kern w:val="28"/>
      <w:sz w:val="20"/>
      <w:szCs w:val="72"/>
    </w:rPr>
  </w:style>
  <w:style w:type="paragraph" w:customStyle="1" w:styleId="68">
    <w:name w:val="Subtitle1"/>
    <w:basedOn w:val="1"/>
    <w:next w:val="1"/>
    <w:qFormat/>
    <w:uiPriority w:val="11"/>
    <w:pPr>
      <w:widowControl/>
      <w:spacing w:after="0" w:line="240" w:lineRule="auto"/>
      <w:jc w:val="left"/>
    </w:pPr>
    <w:rPr>
      <w:rFonts w:ascii="Arial" w:hAnsi="Arial"/>
      <w:i/>
      <w:iCs/>
      <w:color w:val="5A5A5A"/>
      <w:sz w:val="20"/>
      <w:szCs w:val="22"/>
    </w:rPr>
  </w:style>
  <w:style w:type="character" w:customStyle="1" w:styleId="69">
    <w:name w:val="Subtitle Char"/>
    <w:basedOn w:val="29"/>
    <w:link w:val="21"/>
    <w:qFormat/>
    <w:uiPriority w:val="11"/>
    <w:rPr>
      <w:i/>
      <w:iCs/>
      <w:color w:val="5A5A5A"/>
    </w:rPr>
  </w:style>
  <w:style w:type="paragraph" w:styleId="70">
    <w:name w:val="No Spacing"/>
    <w:link w:val="71"/>
    <w:qFormat/>
    <w:uiPriority w:val="1"/>
    <w:pPr>
      <w:spacing w:after="0" w:line="240" w:lineRule="auto"/>
    </w:pPr>
    <w:rPr>
      <w:rFonts w:asciiTheme="minorHAnsi" w:hAnsiTheme="minorHAnsi" w:eastAsiaTheme="minorEastAsia" w:cstheme="minorBidi"/>
      <w:sz w:val="22"/>
      <w:szCs w:val="22"/>
      <w:lang w:val="en-US" w:eastAsia="zh-CN" w:bidi="ar-SA"/>
    </w:rPr>
  </w:style>
  <w:style w:type="character" w:customStyle="1" w:styleId="71">
    <w:name w:val="No Spacing Char"/>
    <w:basedOn w:val="29"/>
    <w:link w:val="70"/>
    <w:qFormat/>
    <w:uiPriority w:val="1"/>
    <w:rPr>
      <w:sz w:val="22"/>
      <w:szCs w:val="22"/>
    </w:rPr>
  </w:style>
  <w:style w:type="paragraph" w:customStyle="1" w:styleId="72">
    <w:name w:val="Quote1"/>
    <w:basedOn w:val="1"/>
    <w:next w:val="1"/>
    <w:qFormat/>
    <w:uiPriority w:val="29"/>
    <w:pPr>
      <w:widowControl/>
      <w:pBdr>
        <w:top w:val="single" w:color="F2F2F2" w:sz="48" w:space="1"/>
        <w:left w:val="single" w:color="F2F2F2" w:sz="48" w:space="4"/>
        <w:bottom w:val="single" w:color="F2F2F2" w:sz="48" w:space="1"/>
        <w:right w:val="single" w:color="F2F2F2" w:sz="48" w:space="4"/>
      </w:pBdr>
      <w:shd w:val="clear" w:color="auto" w:fill="F2F2F2"/>
      <w:spacing w:before="240" w:after="240" w:line="240" w:lineRule="auto"/>
      <w:jc w:val="left"/>
    </w:pPr>
    <w:rPr>
      <w:rFonts w:ascii="Arial" w:hAnsi="Arial"/>
      <w:iCs/>
      <w:color w:val="000000"/>
      <w:sz w:val="20"/>
      <w:szCs w:val="22"/>
    </w:rPr>
  </w:style>
  <w:style w:type="character" w:customStyle="1" w:styleId="73">
    <w:name w:val="Quote Char"/>
    <w:basedOn w:val="29"/>
    <w:link w:val="74"/>
    <w:qFormat/>
    <w:uiPriority w:val="29"/>
    <w:rPr>
      <w:iCs/>
      <w:color w:val="000000"/>
      <w:sz w:val="20"/>
      <w:shd w:val="clear" w:color="auto" w:fill="F2F2F2"/>
    </w:rPr>
  </w:style>
  <w:style w:type="paragraph" w:styleId="74">
    <w:name w:val="Quote"/>
    <w:basedOn w:val="1"/>
    <w:next w:val="1"/>
    <w:link w:val="73"/>
    <w:qFormat/>
    <w:uiPriority w:val="29"/>
    <w:pPr>
      <w:spacing w:before="200"/>
      <w:ind w:left="864" w:right="864"/>
      <w:jc w:val="center"/>
    </w:pPr>
    <w:rPr>
      <w:rFonts w:asciiTheme="minorHAnsi" w:hAnsiTheme="minorHAnsi" w:eastAsiaTheme="minorEastAsia" w:cstheme="minorBidi"/>
      <w:iCs/>
      <w:color w:val="000000"/>
      <w:sz w:val="20"/>
      <w:szCs w:val="20"/>
    </w:rPr>
  </w:style>
  <w:style w:type="paragraph" w:customStyle="1" w:styleId="75">
    <w:name w:val="Intense Quote1"/>
    <w:basedOn w:val="1"/>
    <w:next w:val="1"/>
    <w:qFormat/>
    <w:uiPriority w:val="30"/>
    <w:pPr>
      <w:widowControl/>
      <w:pBdr>
        <w:top w:val="single" w:color="524F53" w:sz="8" w:space="1"/>
        <w:bottom w:val="single" w:color="524F53" w:sz="8" w:space="1"/>
      </w:pBdr>
      <w:spacing w:before="240" w:after="240" w:line="240" w:lineRule="auto"/>
    </w:pPr>
    <w:rPr>
      <w:rFonts w:ascii="Arial" w:hAnsi="Arial"/>
      <w:iCs/>
      <w:color w:val="000000"/>
      <w:sz w:val="20"/>
      <w:szCs w:val="22"/>
    </w:rPr>
  </w:style>
  <w:style w:type="character" w:customStyle="1" w:styleId="76">
    <w:name w:val="Intense Quote Char"/>
    <w:basedOn w:val="29"/>
    <w:link w:val="77"/>
    <w:qFormat/>
    <w:uiPriority w:val="30"/>
    <w:rPr>
      <w:iCs/>
      <w:color w:val="000000"/>
      <w:sz w:val="20"/>
    </w:rPr>
  </w:style>
  <w:style w:type="paragraph" w:styleId="77">
    <w:name w:val="Intense Quote"/>
    <w:basedOn w:val="1"/>
    <w:next w:val="1"/>
    <w:link w:val="76"/>
    <w:qFormat/>
    <w:uiPriority w:val="30"/>
    <w:pPr>
      <w:pBdr>
        <w:top w:val="single" w:color="4472C4" w:themeColor="accent1" w:sz="4" w:space="10"/>
        <w:bottom w:val="single" w:color="4472C4" w:themeColor="accent1" w:sz="4" w:space="10"/>
      </w:pBdr>
      <w:spacing w:before="360" w:after="360"/>
      <w:ind w:left="864" w:right="864"/>
      <w:jc w:val="center"/>
    </w:pPr>
    <w:rPr>
      <w:rFonts w:asciiTheme="minorHAnsi" w:hAnsiTheme="minorHAnsi" w:eastAsiaTheme="minorEastAsia" w:cstheme="minorBidi"/>
      <w:iCs/>
      <w:color w:val="000000"/>
      <w:sz w:val="20"/>
      <w:szCs w:val="20"/>
    </w:rPr>
  </w:style>
  <w:style w:type="character" w:customStyle="1" w:styleId="78">
    <w:name w:val="Subtle Emphasis1"/>
    <w:basedOn w:val="29"/>
    <w:qFormat/>
    <w:uiPriority w:val="19"/>
    <w:rPr>
      <w:i/>
      <w:iCs/>
      <w:color w:val="404040"/>
    </w:rPr>
  </w:style>
  <w:style w:type="character" w:customStyle="1" w:styleId="79">
    <w:name w:val="Intense Emphasis1"/>
    <w:basedOn w:val="29"/>
    <w:qFormat/>
    <w:uiPriority w:val="21"/>
    <w:rPr>
      <w:i/>
      <w:iCs/>
      <w:color w:val="D2051E"/>
    </w:rPr>
  </w:style>
  <w:style w:type="character" w:customStyle="1" w:styleId="80">
    <w:name w:val="Subtle Reference1"/>
    <w:basedOn w:val="29"/>
    <w:qFormat/>
    <w:uiPriority w:val="31"/>
    <w:rPr>
      <w:smallCaps/>
      <w:color w:val="5A5A5A"/>
    </w:rPr>
  </w:style>
  <w:style w:type="character" w:customStyle="1" w:styleId="81">
    <w:name w:val="Intense Reference1"/>
    <w:basedOn w:val="29"/>
    <w:qFormat/>
    <w:uiPriority w:val="32"/>
    <w:rPr>
      <w:b/>
      <w:bCs/>
      <w:smallCaps/>
      <w:color w:val="D2051E"/>
      <w:spacing w:val="5"/>
    </w:rPr>
  </w:style>
  <w:style w:type="character" w:customStyle="1" w:styleId="82">
    <w:name w:val="Book Title1"/>
    <w:basedOn w:val="29"/>
    <w:qFormat/>
    <w:uiPriority w:val="33"/>
    <w:rPr>
      <w:b/>
      <w:bCs/>
      <w:i/>
      <w:iCs/>
      <w:spacing w:val="5"/>
    </w:rPr>
  </w:style>
  <w:style w:type="character" w:customStyle="1" w:styleId="83">
    <w:name w:val="Heading 1 Char1"/>
    <w:basedOn w:val="29"/>
    <w:link w:val="4"/>
    <w:qFormat/>
    <w:uiPriority w:val="9"/>
    <w:rPr>
      <w:rFonts w:asciiTheme="majorHAnsi" w:hAnsiTheme="majorHAnsi" w:eastAsiaTheme="majorEastAsia" w:cstheme="majorBidi"/>
      <w:b/>
      <w:color w:val="000000" w:themeColor="text1"/>
      <w:sz w:val="30"/>
      <w:szCs w:val="32"/>
      <w14:textFill>
        <w14:solidFill>
          <w14:schemeClr w14:val="tx1"/>
        </w14:solidFill>
      </w14:textFill>
    </w:rPr>
  </w:style>
  <w:style w:type="paragraph" w:customStyle="1" w:styleId="84">
    <w:name w:val="TOC Heading1"/>
    <w:basedOn w:val="4"/>
    <w:next w:val="1"/>
    <w:unhideWhenUsed/>
    <w:qFormat/>
    <w:uiPriority w:val="39"/>
    <w:pPr>
      <w:widowControl/>
      <w:spacing w:after="240" w:line="240" w:lineRule="auto"/>
      <w:jc w:val="left"/>
      <w:outlineLvl w:val="9"/>
    </w:pPr>
    <w:rPr>
      <w:rFonts w:cs="Times New Roman"/>
      <w:bCs/>
      <w:caps/>
      <w:color w:val="D2051E"/>
      <w:szCs w:val="40"/>
    </w:rPr>
  </w:style>
  <w:style w:type="character" w:customStyle="1" w:styleId="85">
    <w:name w:val="Hyperlink1"/>
    <w:basedOn w:val="29"/>
    <w:unhideWhenUsed/>
    <w:qFormat/>
    <w:uiPriority w:val="99"/>
    <w:rPr>
      <w:color w:val="000000"/>
      <w:u w:val="single"/>
    </w:rPr>
  </w:style>
  <w:style w:type="character" w:customStyle="1" w:styleId="86">
    <w:name w:val="Unresolved Mention1"/>
    <w:basedOn w:val="29"/>
    <w:semiHidden/>
    <w:unhideWhenUsed/>
    <w:qFormat/>
    <w:uiPriority w:val="99"/>
    <w:rPr>
      <w:color w:val="605E5C"/>
      <w:shd w:val="clear" w:color="auto" w:fill="E1DFDD"/>
    </w:rPr>
  </w:style>
  <w:style w:type="table" w:customStyle="1" w:styleId="87">
    <w:name w:val="Table Grid4"/>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8">
    <w:name w:val="Heading 4 Char1"/>
    <w:basedOn w:val="29"/>
    <w:semiHidden/>
    <w:qFormat/>
    <w:uiPriority w:val="9"/>
    <w:rPr>
      <w:rFonts w:asciiTheme="majorHAnsi" w:hAnsiTheme="majorHAnsi" w:eastAsiaTheme="majorEastAsia" w:cstheme="majorBidi"/>
      <w:i/>
      <w:iCs/>
      <w:color w:val="2F5597" w:themeColor="accent1" w:themeShade="BF"/>
      <w:sz w:val="21"/>
      <w:szCs w:val="21"/>
    </w:rPr>
  </w:style>
  <w:style w:type="character" w:customStyle="1" w:styleId="89">
    <w:name w:val="Heading 5 Char1"/>
    <w:basedOn w:val="29"/>
    <w:semiHidden/>
    <w:qFormat/>
    <w:uiPriority w:val="9"/>
    <w:rPr>
      <w:rFonts w:asciiTheme="majorHAnsi" w:hAnsiTheme="majorHAnsi" w:eastAsiaTheme="majorEastAsia" w:cstheme="majorBidi"/>
      <w:color w:val="2F5597" w:themeColor="accent1" w:themeShade="BF"/>
      <w:sz w:val="21"/>
      <w:szCs w:val="21"/>
    </w:rPr>
  </w:style>
  <w:style w:type="character" w:customStyle="1" w:styleId="90">
    <w:name w:val="Heading 6 Char1"/>
    <w:basedOn w:val="29"/>
    <w:semiHidden/>
    <w:qFormat/>
    <w:uiPriority w:val="9"/>
    <w:rPr>
      <w:rFonts w:asciiTheme="majorHAnsi" w:hAnsiTheme="majorHAnsi" w:eastAsiaTheme="majorEastAsia" w:cstheme="majorBidi"/>
      <w:color w:val="203864" w:themeColor="accent1" w:themeShade="80"/>
      <w:sz w:val="21"/>
      <w:szCs w:val="21"/>
    </w:rPr>
  </w:style>
  <w:style w:type="character" w:customStyle="1" w:styleId="91">
    <w:name w:val="Heading 7 Char1"/>
    <w:basedOn w:val="29"/>
    <w:semiHidden/>
    <w:qFormat/>
    <w:uiPriority w:val="9"/>
    <w:rPr>
      <w:rFonts w:asciiTheme="majorHAnsi" w:hAnsiTheme="majorHAnsi" w:eastAsiaTheme="majorEastAsia" w:cstheme="majorBidi"/>
      <w:i/>
      <w:iCs/>
      <w:color w:val="203864" w:themeColor="accent1" w:themeShade="80"/>
      <w:sz w:val="21"/>
      <w:szCs w:val="21"/>
    </w:rPr>
  </w:style>
  <w:style w:type="character" w:customStyle="1" w:styleId="92">
    <w:name w:val="Heading 8 Char1"/>
    <w:basedOn w:val="2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93">
    <w:name w:val="Heading 9 Char1"/>
    <w:basedOn w:val="29"/>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94">
    <w:name w:val="Title Char1"/>
    <w:basedOn w:val="29"/>
    <w:qFormat/>
    <w:uiPriority w:val="10"/>
    <w:rPr>
      <w:rFonts w:asciiTheme="majorHAnsi" w:hAnsiTheme="majorHAnsi" w:eastAsiaTheme="majorEastAsia" w:cstheme="majorBidi"/>
      <w:spacing w:val="-10"/>
      <w:kern w:val="28"/>
      <w:sz w:val="56"/>
      <w:szCs w:val="56"/>
    </w:rPr>
  </w:style>
  <w:style w:type="character" w:customStyle="1" w:styleId="95">
    <w:name w:val="Subtitle Char1"/>
    <w:basedOn w:val="29"/>
    <w:qFormat/>
    <w:uiPriority w:val="11"/>
    <w:rPr>
      <w:color w:val="595959" w:themeColor="text1" w:themeTint="A6"/>
      <w:spacing w:val="15"/>
      <w:sz w:val="22"/>
      <w:szCs w:val="22"/>
      <w14:textFill>
        <w14:solidFill>
          <w14:schemeClr w14:val="tx1">
            <w14:lumMod w14:val="65000"/>
            <w14:lumOff w14:val="35000"/>
          </w14:schemeClr>
        </w14:solidFill>
      </w14:textFill>
    </w:rPr>
  </w:style>
  <w:style w:type="character" w:customStyle="1" w:styleId="96">
    <w:name w:val="Quote Char1"/>
    <w:basedOn w:val="29"/>
    <w:qFormat/>
    <w:uiPriority w:val="99"/>
    <w:rPr>
      <w:rFonts w:ascii="Times New Roman" w:hAnsi="Times New Roman" w:eastAsia="宋体" w:cs="Times New Roman"/>
      <w:i/>
      <w:iCs/>
      <w:color w:val="404040" w:themeColor="text1" w:themeTint="BF"/>
      <w:sz w:val="21"/>
      <w:szCs w:val="21"/>
      <w14:textFill>
        <w14:solidFill>
          <w14:schemeClr w14:val="tx1">
            <w14:lumMod w14:val="75000"/>
            <w14:lumOff w14:val="25000"/>
          </w14:schemeClr>
        </w14:solidFill>
      </w14:textFill>
    </w:rPr>
  </w:style>
  <w:style w:type="character" w:customStyle="1" w:styleId="97">
    <w:name w:val="Intense Quote Char1"/>
    <w:basedOn w:val="29"/>
    <w:qFormat/>
    <w:uiPriority w:val="99"/>
    <w:rPr>
      <w:rFonts w:ascii="Times New Roman" w:hAnsi="Times New Roman" w:eastAsia="宋体" w:cs="Times New Roman"/>
      <w:i/>
      <w:iCs/>
      <w:color w:val="4472C4" w:themeColor="accent1"/>
      <w:sz w:val="21"/>
      <w:szCs w:val="21"/>
      <w14:textFill>
        <w14:solidFill>
          <w14:schemeClr w14:val="accent1"/>
        </w14:solidFill>
      </w14:textFill>
    </w:rPr>
  </w:style>
  <w:style w:type="character" w:customStyle="1" w:styleId="98">
    <w:name w:val="Subtle Emphasis2"/>
    <w:basedOn w:val="29"/>
    <w:qFormat/>
    <w:uiPriority w:val="19"/>
    <w:rPr>
      <w:i/>
      <w:iCs/>
      <w:color w:val="404040" w:themeColor="text1" w:themeTint="BF"/>
      <w14:textFill>
        <w14:solidFill>
          <w14:schemeClr w14:val="tx1">
            <w14:lumMod w14:val="75000"/>
            <w14:lumOff w14:val="25000"/>
          </w14:schemeClr>
        </w14:solidFill>
      </w14:textFill>
    </w:rPr>
  </w:style>
  <w:style w:type="character" w:customStyle="1" w:styleId="99">
    <w:name w:val="Intense Emphasis2"/>
    <w:basedOn w:val="29"/>
    <w:qFormat/>
    <w:uiPriority w:val="21"/>
    <w:rPr>
      <w:i/>
      <w:iCs/>
      <w:color w:val="4472C4" w:themeColor="accent1"/>
      <w14:textFill>
        <w14:solidFill>
          <w14:schemeClr w14:val="accent1"/>
        </w14:solidFill>
      </w14:textFill>
    </w:rPr>
  </w:style>
  <w:style w:type="character" w:customStyle="1" w:styleId="100">
    <w:name w:val="Subtle Reference2"/>
    <w:basedOn w:val="2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01">
    <w:name w:val="Intense Reference2"/>
    <w:basedOn w:val="29"/>
    <w:qFormat/>
    <w:uiPriority w:val="32"/>
    <w:rPr>
      <w:b/>
      <w:bCs/>
      <w:smallCaps/>
      <w:color w:val="4472C4" w:themeColor="accent1"/>
      <w:spacing w:val="5"/>
      <w14:textFill>
        <w14:solidFill>
          <w14:schemeClr w14:val="accent1"/>
        </w14:solidFill>
      </w14:textFill>
    </w:rPr>
  </w:style>
  <w:style w:type="table" w:customStyle="1" w:styleId="102">
    <w:name w:val="Table Grid5"/>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Table Grid6"/>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Table Grid7"/>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Table Grid8"/>
    <w:basedOn w:val="2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Body Text Indent Char"/>
    <w:basedOn w:val="29"/>
    <w:link w:val="3"/>
    <w:semiHidden/>
    <w:qFormat/>
    <w:uiPriority w:val="99"/>
    <w:rPr>
      <w:rFonts w:ascii="Times New Roman" w:hAnsi="Times New Roman" w:eastAsia="宋体" w:cs="Times New Roman"/>
      <w:color w:val="0000FF"/>
      <w:sz w:val="21"/>
      <w:szCs w:val="21"/>
    </w:rPr>
  </w:style>
  <w:style w:type="paragraph" w:customStyle="1" w:styleId="107">
    <w:name w:val="Revision1"/>
    <w:hidden/>
    <w:semiHidden/>
    <w:qFormat/>
    <w:uiPriority w:val="99"/>
    <w:pPr>
      <w:spacing w:after="0" w:line="240" w:lineRule="auto"/>
    </w:pPr>
    <w:rPr>
      <w:rFonts w:ascii="Times New Roman" w:hAnsi="Times New Roman" w:eastAsia="宋体" w:cs="Times New Roman"/>
      <w:color w:val="0000FF"/>
      <w:sz w:val="21"/>
      <w:szCs w:val="21"/>
      <w:lang w:val="en-US" w:eastAsia="zh-CN" w:bidi="ar-SA"/>
    </w:rPr>
  </w:style>
  <w:style w:type="character" w:customStyle="1" w:styleId="108">
    <w:name w:val="书籍标题1"/>
    <w:basedOn w:val="29"/>
    <w:qFormat/>
    <w:uiPriority w:val="33"/>
    <w:rPr>
      <w:b/>
      <w:bCs/>
      <w:i/>
      <w:iCs/>
      <w:spacing w:val="5"/>
    </w:rPr>
  </w:style>
  <w:style w:type="paragraph" w:customStyle="1" w:styleId="109">
    <w:name w:val="TOC 标题1"/>
    <w:basedOn w:val="4"/>
    <w:next w:val="1"/>
    <w:unhideWhenUsed/>
    <w:qFormat/>
    <w:uiPriority w:val="39"/>
    <w:pPr>
      <w:widowControl/>
      <w:spacing w:after="240" w:line="240" w:lineRule="auto"/>
      <w:jc w:val="left"/>
      <w:outlineLvl w:val="9"/>
    </w:pPr>
    <w:rPr>
      <w:rFonts w:cs="Times New Roman"/>
      <w:bCs/>
      <w:caps/>
      <w:color w:val="D2051E"/>
      <w:szCs w:val="40"/>
    </w:rPr>
  </w:style>
  <w:style w:type="character" w:customStyle="1" w:styleId="110">
    <w:name w:val="不明显强调1"/>
    <w:basedOn w:val="29"/>
    <w:qFormat/>
    <w:uiPriority w:val="19"/>
    <w:rPr>
      <w:i/>
      <w:iCs/>
      <w:color w:val="404040" w:themeColor="text1" w:themeTint="BF"/>
      <w14:textFill>
        <w14:solidFill>
          <w14:schemeClr w14:val="tx1">
            <w14:lumMod w14:val="75000"/>
            <w14:lumOff w14:val="25000"/>
          </w14:schemeClr>
        </w14:solidFill>
      </w14:textFill>
    </w:rPr>
  </w:style>
  <w:style w:type="character" w:customStyle="1" w:styleId="111">
    <w:name w:val="明显强调1"/>
    <w:basedOn w:val="29"/>
    <w:qFormat/>
    <w:uiPriority w:val="21"/>
    <w:rPr>
      <w:i/>
      <w:iCs/>
      <w:color w:val="4472C4" w:themeColor="accent1"/>
      <w14:textFill>
        <w14:solidFill>
          <w14:schemeClr w14:val="accent1"/>
        </w14:solidFill>
      </w14:textFill>
    </w:rPr>
  </w:style>
  <w:style w:type="character" w:customStyle="1" w:styleId="112">
    <w:name w:val="不明显参考1"/>
    <w:basedOn w:val="2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13">
    <w:name w:val="明显参考1"/>
    <w:basedOn w:val="29"/>
    <w:qFormat/>
    <w:uiPriority w:val="32"/>
    <w:rPr>
      <w:b/>
      <w:bCs/>
      <w:smallCaps/>
      <w:color w:val="4472C4" w:themeColor="accent1"/>
      <w:spacing w:val="5"/>
      <w14:textFill>
        <w14:solidFill>
          <w14:schemeClr w14:val="accent1"/>
        </w14:solidFill>
      </w14:textFill>
    </w:rPr>
  </w:style>
  <w:style w:type="paragraph" w:customStyle="1" w:styleId="114">
    <w:name w:val="段"/>
    <w:qFormat/>
    <w:uiPriority w:val="0"/>
    <w:pPr>
      <w:autoSpaceDE w:val="0"/>
      <w:autoSpaceDN w:val="0"/>
      <w:spacing w:after="0" w:line="240" w:lineRule="auto"/>
      <w:ind w:firstLine="200" w:firstLineChars="200"/>
      <w:jc w:val="both"/>
    </w:pPr>
    <w:rPr>
      <w:rFonts w:ascii="宋体" w:hAnsi="Times New Roman" w:eastAsia="宋体" w:cs="Times New Roman"/>
      <w:sz w:val="21"/>
      <w:lang w:val="en-US" w:eastAsia="zh-CN" w:bidi="ar-SA"/>
    </w:rPr>
  </w:style>
  <w:style w:type="character" w:customStyle="1" w:styleId="115">
    <w:name w:val="Body Text First Indent 2 Char"/>
    <w:basedOn w:val="106"/>
    <w:link w:val="2"/>
    <w:qFormat/>
    <w:uiPriority w:val="99"/>
    <w:rPr>
      <w:rFonts w:ascii="Times New Roman" w:hAnsi="Times New Roman" w:eastAsia="宋体" w:cs="Times New Roman"/>
      <w:color w:val="0000FF"/>
      <w:sz w:val="21"/>
      <w:szCs w:val="21"/>
    </w:rPr>
  </w:style>
  <w:style w:type="character" w:customStyle="1" w:styleId="116">
    <w:name w:val="Heading 2 Char1"/>
    <w:basedOn w:val="29"/>
    <w:semiHidden/>
    <w:qFormat/>
    <w:uiPriority w:val="9"/>
    <w:rPr>
      <w:rFonts w:asciiTheme="majorHAnsi" w:hAnsiTheme="majorHAnsi" w:eastAsiaTheme="majorEastAsia" w:cstheme="majorBidi"/>
      <w:color w:val="2F5597" w:themeColor="accent1" w:themeShade="BF"/>
      <w:sz w:val="26"/>
      <w:szCs w:val="26"/>
    </w:rPr>
  </w:style>
  <w:style w:type="paragraph" w:customStyle="1" w:styleId="117">
    <w:name w:val="msonormal"/>
    <w:basedOn w:val="1"/>
    <w:qFormat/>
    <w:uiPriority w:val="0"/>
    <w:pPr>
      <w:widowControl/>
      <w:spacing w:before="100" w:beforeAutospacing="1" w:after="100" w:afterAutospacing="1" w:line="240" w:lineRule="auto"/>
      <w:jc w:val="left"/>
    </w:pPr>
    <w:rPr>
      <w:rFonts w:eastAsia="Times New Roman"/>
      <w:color w:val="auto"/>
      <w:sz w:val="24"/>
      <w:szCs w:val="24"/>
    </w:rPr>
  </w:style>
  <w:style w:type="paragraph" w:customStyle="1" w:styleId="118">
    <w:name w:val="TOC Heading2"/>
    <w:basedOn w:val="4"/>
    <w:next w:val="1"/>
    <w:semiHidden/>
    <w:unhideWhenUsed/>
    <w:qFormat/>
    <w:uiPriority w:val="39"/>
    <w:pPr>
      <w:widowControl/>
      <w:spacing w:before="240" w:after="240" w:line="240" w:lineRule="auto"/>
      <w:jc w:val="left"/>
      <w:outlineLvl w:val="9"/>
    </w:pPr>
    <w:rPr>
      <w:rFonts w:cs="Times New Roman"/>
      <w:b w:val="0"/>
      <w:bCs/>
      <w:caps/>
      <w:color w:val="4472C4" w:themeColor="accent1"/>
      <w:sz w:val="32"/>
      <w:szCs w:val="40"/>
      <w14:textFill>
        <w14:solidFill>
          <w14:schemeClr w14:val="accent1"/>
        </w14:solidFill>
      </w14:textFill>
    </w:rPr>
  </w:style>
  <w:style w:type="character" w:customStyle="1" w:styleId="119">
    <w:name w:val="Subtle Emphasis3"/>
    <w:basedOn w:val="29"/>
    <w:qFormat/>
    <w:uiPriority w:val="19"/>
    <w:rPr>
      <w:i/>
      <w:iCs/>
      <w:color w:val="404040" w:themeColor="text1" w:themeTint="BF"/>
      <w14:textFill>
        <w14:solidFill>
          <w14:schemeClr w14:val="tx1">
            <w14:lumMod w14:val="75000"/>
            <w14:lumOff w14:val="25000"/>
          </w14:schemeClr>
        </w14:solidFill>
      </w14:textFill>
    </w:rPr>
  </w:style>
  <w:style w:type="character" w:customStyle="1" w:styleId="120">
    <w:name w:val="Intense Emphasis3"/>
    <w:basedOn w:val="29"/>
    <w:qFormat/>
    <w:uiPriority w:val="21"/>
    <w:rPr>
      <w:i/>
      <w:iCs/>
      <w:color w:val="4472C4" w:themeColor="accent1"/>
      <w14:textFill>
        <w14:solidFill>
          <w14:schemeClr w14:val="accent1"/>
        </w14:solidFill>
      </w14:textFill>
    </w:rPr>
  </w:style>
  <w:style w:type="character" w:customStyle="1" w:styleId="121">
    <w:name w:val="Subtle Reference3"/>
    <w:basedOn w:val="2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22">
    <w:name w:val="Intense Reference3"/>
    <w:basedOn w:val="29"/>
    <w:qFormat/>
    <w:uiPriority w:val="32"/>
    <w:rPr>
      <w:b/>
      <w:bCs/>
      <w:smallCaps/>
      <w:color w:val="4472C4" w:themeColor="accent1"/>
      <w:spacing w:val="5"/>
      <w14:textFill>
        <w14:solidFill>
          <w14:schemeClr w14:val="accent1"/>
        </w14:solidFill>
      </w14:textFill>
    </w:rPr>
  </w:style>
  <w:style w:type="character" w:customStyle="1" w:styleId="123">
    <w:name w:val="Book Title2"/>
    <w:basedOn w:val="29"/>
    <w:qFormat/>
    <w:uiPriority w:val="33"/>
    <w:rPr>
      <w:b/>
      <w:bCs/>
      <w:i/>
      <w:iCs/>
      <w:spacing w:val="5"/>
    </w:rPr>
  </w:style>
  <w:style w:type="paragraph" w:customStyle="1" w:styleId="124">
    <w:name w:val="Revision2"/>
    <w:hidden/>
    <w:unhideWhenUsed/>
    <w:qFormat/>
    <w:uiPriority w:val="99"/>
    <w:pPr>
      <w:spacing w:after="0" w:line="240" w:lineRule="auto"/>
    </w:pPr>
    <w:rPr>
      <w:rFonts w:ascii="Times New Roman" w:hAnsi="Times New Roman" w:eastAsia="宋体" w:cs="Times New Roman"/>
      <w:color w:val="0000FF"/>
      <w:sz w:val="21"/>
      <w:szCs w:val="21"/>
      <w:lang w:val="en-US" w:eastAsia="zh-CN" w:bidi="ar-SA"/>
    </w:rPr>
  </w:style>
  <w:style w:type="paragraph" w:customStyle="1" w:styleId="125">
    <w:name w:val="Revision3"/>
    <w:hidden/>
    <w:unhideWhenUsed/>
    <w:qFormat/>
    <w:uiPriority w:val="99"/>
    <w:pPr>
      <w:spacing w:after="0" w:line="240" w:lineRule="auto"/>
    </w:pPr>
    <w:rPr>
      <w:rFonts w:ascii="Times New Roman" w:hAnsi="Times New Roman" w:eastAsia="宋体" w:cs="Times New Roman"/>
      <w:color w:val="0000FF"/>
      <w:sz w:val="21"/>
      <w:szCs w:val="21"/>
      <w:lang w:val="en-US" w:eastAsia="zh-CN" w:bidi="ar-SA"/>
    </w:rPr>
  </w:style>
  <w:style w:type="paragraph" w:customStyle="1" w:styleId="126">
    <w:name w:val="TOC Heading3"/>
    <w:basedOn w:val="4"/>
    <w:next w:val="1"/>
    <w:unhideWhenUsed/>
    <w:qFormat/>
    <w:uiPriority w:val="39"/>
    <w:pPr>
      <w:widowControl/>
      <w:spacing w:before="240" w:line="259" w:lineRule="auto"/>
      <w:jc w:val="left"/>
      <w:outlineLvl w:val="9"/>
    </w:pPr>
    <w:rPr>
      <w:b w:val="0"/>
      <w:color w:val="2F5597" w:themeColor="accent1" w:themeShade="BF"/>
      <w:sz w:val="32"/>
      <w:lang w:eastAsia="en-US"/>
    </w:rPr>
  </w:style>
  <w:style w:type="paragraph" w:customStyle="1" w:styleId="127">
    <w:name w:val="Revision4"/>
    <w:hidden/>
    <w:unhideWhenUsed/>
    <w:qFormat/>
    <w:uiPriority w:val="99"/>
    <w:pPr>
      <w:spacing w:after="0" w:line="240" w:lineRule="auto"/>
    </w:pPr>
    <w:rPr>
      <w:rFonts w:ascii="Times New Roman" w:hAnsi="Times New Roman" w:eastAsia="宋体" w:cs="Times New Roman"/>
      <w:color w:val="0000FF"/>
      <w:sz w:val="21"/>
      <w:szCs w:val="21"/>
      <w:lang w:val="en-US" w:eastAsia="zh-CN" w:bidi="ar-SA"/>
    </w:rPr>
  </w:style>
  <w:style w:type="character" w:customStyle="1" w:styleId="128">
    <w:name w:val="cf01"/>
    <w:basedOn w:val="29"/>
    <w:qFormat/>
    <w:uiPriority w:val="0"/>
    <w:rPr>
      <w:rFonts w:hint="default" w:ascii="Segoe UI" w:hAnsi="Segoe UI" w:cs="Segoe UI"/>
      <w:color w:val="0000FF"/>
      <w:sz w:val="18"/>
      <w:szCs w:val="18"/>
    </w:rPr>
  </w:style>
  <w:style w:type="paragraph" w:customStyle="1" w:styleId="129">
    <w:name w:val="Revision"/>
    <w:hidden/>
    <w:unhideWhenUsed/>
    <w:qFormat/>
    <w:uiPriority w:val="99"/>
    <w:pPr>
      <w:spacing w:after="0" w:line="240" w:lineRule="auto"/>
    </w:pPr>
    <w:rPr>
      <w:rFonts w:ascii="Times New Roman" w:hAnsi="Times New Roman" w:eastAsia="宋体" w:cs="Times New Roman"/>
      <w:color w:val="0000FF"/>
      <w:sz w:val="21"/>
      <w:szCs w:val="21"/>
      <w:lang w:val="en-US" w:eastAsia="zh-CN"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image" Target="media/image2.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39.png"/><Relationship Id="rId86" Type="http://schemas.openxmlformats.org/officeDocument/2006/relationships/image" Target="media/image38.png"/><Relationship Id="rId85" Type="http://schemas.openxmlformats.org/officeDocument/2006/relationships/image" Target="media/image37.png"/><Relationship Id="rId84" Type="http://schemas.openxmlformats.org/officeDocument/2006/relationships/image" Target="media/image36.wmf"/><Relationship Id="rId83" Type="http://schemas.openxmlformats.org/officeDocument/2006/relationships/oleObject" Target="embeddings/oleObject41.bin"/><Relationship Id="rId82" Type="http://schemas.openxmlformats.org/officeDocument/2006/relationships/image" Target="media/image35.jpeg"/><Relationship Id="rId81" Type="http://schemas.openxmlformats.org/officeDocument/2006/relationships/image" Target="media/image34.png"/><Relationship Id="rId80" Type="http://schemas.openxmlformats.org/officeDocument/2006/relationships/image" Target="media/image33.wmf"/><Relationship Id="rId8" Type="http://schemas.openxmlformats.org/officeDocument/2006/relationships/image" Target="media/image1.emf"/><Relationship Id="rId79" Type="http://schemas.openxmlformats.org/officeDocument/2006/relationships/oleObject" Target="embeddings/oleObject40.bin"/><Relationship Id="rId78" Type="http://schemas.openxmlformats.org/officeDocument/2006/relationships/image" Target="media/image32.wmf"/><Relationship Id="rId77" Type="http://schemas.openxmlformats.org/officeDocument/2006/relationships/oleObject" Target="embeddings/oleObject39.bin"/><Relationship Id="rId76" Type="http://schemas.openxmlformats.org/officeDocument/2006/relationships/image" Target="media/image31.png"/><Relationship Id="rId75" Type="http://schemas.openxmlformats.org/officeDocument/2006/relationships/image" Target="media/image30.wmf"/><Relationship Id="rId74" Type="http://schemas.openxmlformats.org/officeDocument/2006/relationships/oleObject" Target="embeddings/oleObject38.bin"/><Relationship Id="rId73" Type="http://schemas.openxmlformats.org/officeDocument/2006/relationships/image" Target="media/image29.wmf"/><Relationship Id="rId72" Type="http://schemas.openxmlformats.org/officeDocument/2006/relationships/oleObject" Target="embeddings/oleObject37.bin"/><Relationship Id="rId71" Type="http://schemas.openxmlformats.org/officeDocument/2006/relationships/oleObject" Target="embeddings/oleObject36.bin"/><Relationship Id="rId70" Type="http://schemas.openxmlformats.org/officeDocument/2006/relationships/oleObject" Target="embeddings/oleObject35.bin"/><Relationship Id="rId7" Type="http://schemas.openxmlformats.org/officeDocument/2006/relationships/theme" Target="theme/theme1.xml"/><Relationship Id="rId69" Type="http://schemas.openxmlformats.org/officeDocument/2006/relationships/oleObject" Target="embeddings/oleObject34.bin"/><Relationship Id="rId68" Type="http://schemas.openxmlformats.org/officeDocument/2006/relationships/oleObject" Target="embeddings/oleObject33.bin"/><Relationship Id="rId67" Type="http://schemas.openxmlformats.org/officeDocument/2006/relationships/oleObject" Target="embeddings/oleObject32.bin"/><Relationship Id="rId66" Type="http://schemas.openxmlformats.org/officeDocument/2006/relationships/image" Target="media/image28.wmf"/><Relationship Id="rId65" Type="http://schemas.openxmlformats.org/officeDocument/2006/relationships/oleObject" Target="embeddings/oleObject31.bin"/><Relationship Id="rId64" Type="http://schemas.openxmlformats.org/officeDocument/2006/relationships/oleObject" Target="embeddings/oleObject30.bin"/><Relationship Id="rId63" Type="http://schemas.openxmlformats.org/officeDocument/2006/relationships/oleObject" Target="embeddings/oleObject29.bin"/><Relationship Id="rId62" Type="http://schemas.openxmlformats.org/officeDocument/2006/relationships/oleObject" Target="embeddings/oleObject28.bin"/><Relationship Id="rId61" Type="http://schemas.openxmlformats.org/officeDocument/2006/relationships/oleObject" Target="embeddings/oleObject27.bin"/><Relationship Id="rId60" Type="http://schemas.openxmlformats.org/officeDocument/2006/relationships/oleObject" Target="embeddings/oleObject26.bin"/><Relationship Id="rId6" Type="http://schemas.openxmlformats.org/officeDocument/2006/relationships/footer" Target="foot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oleObject" Target="embeddings/oleObject23.bin"/><Relationship Id="rId54" Type="http://schemas.openxmlformats.org/officeDocument/2006/relationships/oleObject" Target="embeddings/oleObject22.bin"/><Relationship Id="rId53" Type="http://schemas.openxmlformats.org/officeDocument/2006/relationships/oleObject" Target="embeddings/oleObject21.bin"/><Relationship Id="rId52" Type="http://schemas.openxmlformats.org/officeDocument/2006/relationships/image" Target="media/image25.wmf"/><Relationship Id="rId51" Type="http://schemas.openxmlformats.org/officeDocument/2006/relationships/oleObject" Target="embeddings/oleObject20.bin"/><Relationship Id="rId50" Type="http://schemas.openxmlformats.org/officeDocument/2006/relationships/oleObject" Target="embeddings/oleObject19.bin"/><Relationship Id="rId5" Type="http://schemas.openxmlformats.org/officeDocument/2006/relationships/footer" Target="footer1.xml"/><Relationship Id="rId49" Type="http://schemas.openxmlformats.org/officeDocument/2006/relationships/oleObject" Target="embeddings/oleObject18.bin"/><Relationship Id="rId48" Type="http://schemas.openxmlformats.org/officeDocument/2006/relationships/image" Target="media/image24.wmf"/><Relationship Id="rId47" Type="http://schemas.openxmlformats.org/officeDocument/2006/relationships/oleObject" Target="embeddings/oleObject17.bin"/><Relationship Id="rId46" Type="http://schemas.openxmlformats.org/officeDocument/2006/relationships/image" Target="media/image23.png"/><Relationship Id="rId45" Type="http://schemas.openxmlformats.org/officeDocument/2006/relationships/oleObject" Target="embeddings/oleObject16.bin"/><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7.png"/><Relationship Id="rId37" Type="http://schemas.openxmlformats.org/officeDocument/2006/relationships/oleObject" Target="embeddings/oleObject14.bin"/><Relationship Id="rId36" Type="http://schemas.openxmlformats.org/officeDocument/2006/relationships/image" Target="media/image16.png"/><Relationship Id="rId35" Type="http://schemas.openxmlformats.org/officeDocument/2006/relationships/oleObject" Target="embeddings/oleObject13.bin"/><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oleObject" Target="embeddings/oleObject10.bin"/><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wmf"/><Relationship Id="rId24" Type="http://schemas.openxmlformats.org/officeDocument/2006/relationships/oleObject" Target="embeddings/oleObject8.bin"/><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1A0DE2-061F-4444-AF7F-7006D84D053E}">
  <ds:schemaRefs/>
</ds:datastoreItem>
</file>

<file path=docProps/app.xml><?xml version="1.0" encoding="utf-8"?>
<Properties xmlns="http://schemas.openxmlformats.org/officeDocument/2006/extended-properties" xmlns:vt="http://schemas.openxmlformats.org/officeDocument/2006/docPropsVTypes">
  <Template>Normal.dotm</Template>
  <Pages>85</Pages>
  <Words>47127</Words>
  <Characters>60221</Characters>
  <Lines>562</Lines>
  <Paragraphs>158</Paragraphs>
  <TotalTime>12</TotalTime>
  <ScaleCrop>false</ScaleCrop>
  <LinksUpToDate>false</LinksUpToDate>
  <CharactersWithSpaces>63422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2023-09-20T04:59:00Z</dcterms:created>
  <dc:creator>lenovo lenovo</dc:creator>
  <cp:lastModifiedBy>yixua</cp:lastModifiedBy>
  <cp:lastPrinted>2022-08-11T05:30:00Z</cp:lastPrinted>
  <dcterms:modified xsi:type="dcterms:W3CDTF">2023-09-27T09:07:27Z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28CE7BF6E4074597B390AD28DF3C7B4D_13</vt:lpwstr>
  </property>
</Properties>
</file>