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201"/>
          <w:tab w:val="right" w:leader="dot" w:pos="9298"/>
        </w:tabs>
        <w:autoSpaceDE w:val="0"/>
        <w:autoSpaceDN w:val="0"/>
        <w:spacing w:before="156" w:after="156"/>
        <w:ind w:firstLine="643" w:firstLineChars="200"/>
        <w:rPr>
          <w:rFonts w:ascii="Times New Roman" w:hAnsi="Times New Roman" w:cs="Times New Roman"/>
          <w:color w:val="FF0000"/>
        </w:rPr>
      </w:pPr>
      <w:bookmarkStart w:id="0" w:name="_Toc26038585"/>
      <w:bookmarkStart w:id="1" w:name="_Toc25076073"/>
      <w:bookmarkStart w:id="2" w:name="_Toc25075812"/>
      <w:r>
        <w:rPr>
          <w:rFonts w:ascii="Times New Roman" w:hAnsi="Times New Roman" w:cs="Times New Roman"/>
          <w:b/>
          <w:bCs/>
          <w:color w:val="FF0000"/>
          <w:sz w:val="32"/>
          <w:szCs w:val="32"/>
        </w:rPr>
        <w:drawing>
          <wp:anchor distT="0" distB="0" distL="114300" distR="114300" simplePos="0" relativeHeight="251660288" behindDoc="0" locked="0" layoutInCell="1" allowOverlap="1">
            <wp:simplePos x="0" y="0"/>
            <wp:positionH relativeFrom="column">
              <wp:posOffset>-445135</wp:posOffset>
            </wp:positionH>
            <wp:positionV relativeFrom="paragraph">
              <wp:posOffset>-114935</wp:posOffset>
            </wp:positionV>
            <wp:extent cx="1025525" cy="652780"/>
            <wp:effectExtent l="0" t="0" r="3175" b="1397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cstate="print"/>
                    <a:stretch>
                      <a:fillRect/>
                    </a:stretch>
                  </pic:blipFill>
                  <pic:spPr>
                    <a:xfrm>
                      <a:off x="0" y="0"/>
                      <a:ext cx="1025525" cy="652780"/>
                    </a:xfrm>
                    <a:prstGeom prst="rect">
                      <a:avLst/>
                    </a:prstGeom>
                    <a:noFill/>
                    <a:ln>
                      <a:noFill/>
                    </a:ln>
                  </pic:spPr>
                </pic:pic>
              </a:graphicData>
            </a:graphic>
          </wp:anchor>
        </w:drawing>
      </w:r>
    </w:p>
    <w:p>
      <w:pPr>
        <w:framePr w:w="9639" w:h="6917" w:hRule="exact" w:wrap="around" w:vAnchor="page" w:hAnchor="page" w:x="952" w:y="5372" w:anchorLock="1"/>
        <w:pBdr>
          <w:top w:val="none" w:color="auto" w:sz="0" w:space="0"/>
          <w:left w:val="none" w:color="auto" w:sz="0" w:space="0"/>
          <w:bottom w:val="none" w:color="auto" w:sz="0" w:space="0"/>
          <w:right w:val="none" w:color="auto" w:sz="0" w:space="0"/>
        </w:pBdr>
        <w:tabs>
          <w:tab w:val="center" w:pos="4201"/>
          <w:tab w:val="right" w:leader="dot" w:pos="9298"/>
        </w:tabs>
        <w:autoSpaceDE w:val="0"/>
        <w:autoSpaceDN w:val="0"/>
        <w:spacing w:before="156" w:after="156" w:line="240" w:lineRule="auto"/>
        <w:ind w:firstLine="640" w:firstLineChars="200"/>
        <w:jc w:val="center"/>
        <w:rPr>
          <w:rFonts w:ascii="Times New Roman" w:hAnsi="Times New Roman" w:eastAsia="仿宋_GB2312" w:cs="Times New Roman"/>
          <w:b/>
          <w:sz w:val="30"/>
          <w:szCs w:val="30"/>
        </w:rPr>
      </w:pPr>
      <w:r>
        <w:rPr>
          <w:rFonts w:hint="eastAsia" w:ascii="Times New Roman" w:hAnsi="Times New Roman" w:eastAsia="黑体" w:cs="Times New Roman"/>
          <w:kern w:val="0"/>
          <w:sz w:val="32"/>
          <w:szCs w:val="32"/>
        </w:rPr>
        <w:t>铁路隧道明挖法技术规程</w:t>
      </w:r>
    </w:p>
    <w:p>
      <w:pPr>
        <w:framePr w:w="9639" w:h="6917" w:hRule="exact" w:wrap="around" w:vAnchor="page" w:hAnchor="page" w:x="952" w:y="5372" w:anchorLock="1"/>
        <w:jc w:val="center"/>
        <w:rPr>
          <w:rFonts w:hint="eastAsia" w:ascii="Times New Roman" w:hAnsi="Times New Roman" w:cs="Times New Roman"/>
          <w:kern w:val="0"/>
          <w:sz w:val="28"/>
          <w:szCs w:val="32"/>
        </w:rPr>
      </w:pPr>
      <w:r>
        <w:rPr>
          <w:rFonts w:hint="eastAsia" w:ascii="Times New Roman" w:hAnsi="Times New Roman" w:cs="Times New Roman"/>
          <w:kern w:val="0"/>
          <w:sz w:val="28"/>
          <w:szCs w:val="32"/>
        </w:rPr>
        <w:t>Technical regulations for open excavation method of railway tunnel</w:t>
      </w:r>
    </w:p>
    <w:p>
      <w:pPr>
        <w:framePr w:w="9639" w:h="6917" w:hRule="exact" w:wrap="around" w:vAnchor="page" w:hAnchor="page" w:x="952" w:y="5372" w:anchorLock="1"/>
        <w:jc w:val="center"/>
        <w:rPr>
          <w:rFonts w:ascii="Times New Roman" w:hAnsi="Times New Roman" w:cs="Times New Roman"/>
          <w:b/>
        </w:rPr>
      </w:pPr>
      <w:r>
        <w:rPr>
          <w:rFonts w:ascii="Times New Roman" w:hAnsi="Times New Roman" w:cs="Times New Roman"/>
          <w:b/>
        </w:rPr>
        <w:t xml:space="preserve">（征求意见稿） </w:t>
      </w:r>
    </w:p>
    <w:p>
      <w:pPr>
        <w:framePr w:w="9639" w:h="6917" w:hRule="exact" w:wrap="around" w:vAnchor="page" w:hAnchor="page" w:x="952" w:y="5372" w:anchorLock="1"/>
        <w:jc w:val="center"/>
        <w:rPr>
          <w:rFonts w:ascii="Times New Roman" w:hAnsi="Times New Roman" w:cs="Times New Roman"/>
          <w:b/>
        </w:rPr>
      </w:pPr>
    </w:p>
    <w:p>
      <w:pPr>
        <w:framePr w:w="9639" w:h="6917" w:hRule="exact" w:wrap="around" w:vAnchor="page" w:hAnchor="page" w:x="952" w:y="5372" w:anchorLock="1"/>
        <w:spacing w:before="156" w:after="156" w:line="400" w:lineRule="exact"/>
        <w:jc w:val="center"/>
        <w:textAlignment w:val="center"/>
        <w:rPr>
          <w:rFonts w:ascii="Times New Roman" w:hAnsi="Times New Roman" w:cs="Times New Roman"/>
          <w:b/>
          <w:sz w:val="30"/>
          <w:szCs w:val="30"/>
        </w:rPr>
      </w:pPr>
      <w:r>
        <w:rPr>
          <w:rFonts w:ascii="Times New Roman" w:hAnsi="Times New Roman" w:cs="Times New Roman"/>
          <w:b/>
          <w:sz w:val="30"/>
          <w:szCs w:val="30"/>
        </w:rPr>
        <w:t>（在提交反馈意见时，请将知道的相关专利和支持性文件一并附上）</w:t>
      </w:r>
    </w:p>
    <w:p>
      <w:pPr>
        <w:framePr w:w="9639" w:h="6917" w:hRule="exact" w:wrap="around" w:vAnchor="page" w:hAnchor="page" w:x="952" w:y="5372" w:anchorLock="1"/>
        <w:spacing w:before="156" w:after="156" w:line="400" w:lineRule="exact"/>
        <w:jc w:val="center"/>
        <w:textAlignment w:val="center"/>
        <w:rPr>
          <w:rFonts w:ascii="Times New Roman" w:hAnsi="Times New Roman" w:cs="Times New Roman"/>
          <w:b/>
          <w:sz w:val="36"/>
        </w:rPr>
      </w:pPr>
    </w:p>
    <w:p>
      <w:pPr>
        <w:framePr w:w="9639" w:h="6917" w:hRule="exact" w:wrap="around" w:vAnchor="page" w:hAnchor="page" w:x="952" w:y="5372" w:anchorLock="1"/>
        <w:spacing w:before="156" w:after="156" w:line="400" w:lineRule="exact"/>
        <w:jc w:val="center"/>
        <w:textAlignment w:val="center"/>
        <w:rPr>
          <w:rFonts w:ascii="Times New Roman" w:hAnsi="Times New Roman" w:cs="Times New Roman"/>
          <w:b/>
          <w:sz w:val="36"/>
        </w:rPr>
      </w:pPr>
    </w:p>
    <w:p>
      <w:pPr>
        <w:pStyle w:val="68"/>
        <w:jc w:val="right"/>
        <w:rPr>
          <w:rFonts w:ascii="Times New Roman" w:hAnsi="Times New Roman" w:eastAsia="黑体" w:cs="Times New Roman"/>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-969010</wp:posOffset>
                </wp:positionH>
                <wp:positionV relativeFrom="paragraph">
                  <wp:posOffset>421640</wp:posOffset>
                </wp:positionV>
                <wp:extent cx="7073265" cy="30480"/>
                <wp:effectExtent l="0" t="4445" r="13335" b="22225"/>
                <wp:wrapNone/>
                <wp:docPr id="20" name="直接箭头连接符 20"/>
                <wp:cNvGraphicFramePr/>
                <a:graphic xmlns:a="http://schemas.openxmlformats.org/drawingml/2006/main">
                  <a:graphicData uri="http://schemas.microsoft.com/office/word/2010/wordprocessingShape">
                    <wps:wsp>
                      <wps:cNvCnPr>
                        <a:cxnSpLocks noChangeShapeType="1"/>
                      </wps:cNvCnPr>
                      <wps:spPr bwMode="auto">
                        <a:xfrm>
                          <a:off x="0" y="0"/>
                          <a:ext cx="7073265" cy="3048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76.3pt;margin-top:33.2pt;height:2.4pt;width:556.95pt;z-index:251661312;mso-width-relative:page;mso-height-relative:page;" filled="f" stroked="t" coordsize="21600,21600" o:gfxdata="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GzDT2QAAAAoBAAAPAAAAAAAAAAEAIAAAACIAAABkcnMvZG93bnJl&#10;di54bWxQSwECFAAUAAAACACHTuJAsA0F7PwBAADEAwAADgAAAAAAAAABACAAAAAoAQAAZHJzL2Uy&#10;b0RvYy54bWxQSwUGAAAAAAYABgBZAQAAlgUAAAAA&#10;">
                <v:fill on="f" focussize="0,0"/>
                <v:stroke color="#000000" joinstyle="round"/>
                <v:imagedata o:title=""/>
                <o:lock v:ext="edit" aspectratio="f"/>
              </v:shape>
            </w:pict>
          </mc:Fallback>
        </mc:AlternateContent>
      </w:r>
      <w:r>
        <w:rPr>
          <w:rFonts w:ascii="Times New Roman" w:hAnsi="Times New Roman" w:cs="Times New Roman"/>
          <w:b/>
          <w:bCs/>
          <w:sz w:val="32"/>
          <w:szCs w:val="32"/>
        </w:rPr>
        <w:t>T/CECS XXX—20</w:t>
      </w:r>
      <w:r>
        <w:rPr>
          <w:rFonts w:hint="eastAsia" w:ascii="Times New Roman" w:hAnsi="Times New Roman" w:cs="Times New Roman"/>
          <w:b/>
          <w:bCs/>
          <w:sz w:val="32"/>
          <w:szCs w:val="32"/>
          <w:lang w:val="en-US" w:eastAsia="zh-CN"/>
        </w:rPr>
        <w:t>2</w:t>
      </w:r>
      <w:r>
        <w:rPr>
          <w:rFonts w:ascii="Times New Roman" w:hAnsi="Times New Roman" w:cs="Times New Roman"/>
          <w:b/>
          <w:bCs/>
          <w:sz w:val="32"/>
          <w:szCs w:val="32"/>
        </w:rPr>
        <w:t>X</w:t>
      </w:r>
      <w:r>
        <w:rPr>
          <w:rFonts w:ascii="Times New Roman" w:hAnsi="Times New Roman" w:eastAsia="黑体" w:cs="Times New Roman"/>
        </w:rPr>
        <w:tab/>
      </w:r>
    </w:p>
    <w:p>
      <w:pPr>
        <w:pStyle w:val="69"/>
        <w:jc w:val="left"/>
        <w:rPr>
          <w:rFonts w:ascii="Times New Roman" w:hAnsi="Times New Roman" w:cs="Times New Roman"/>
        </w:rPr>
      </w:pPr>
    </w:p>
    <w:p>
      <w:pPr>
        <w:tabs>
          <w:tab w:val="center" w:pos="4201"/>
          <w:tab w:val="right" w:leader="dot" w:pos="9298"/>
        </w:tabs>
        <w:autoSpaceDE w:val="0"/>
        <w:autoSpaceDN w:val="0"/>
        <w:spacing w:before="156" w:after="156"/>
        <w:ind w:firstLine="602" w:firstLineChars="200"/>
        <w:jc w:val="center"/>
        <w:rPr>
          <w:rFonts w:ascii="Times New Roman" w:hAnsi="Times New Roman" w:cs="Times New Roman"/>
        </w:rPr>
      </w:pPr>
      <w:r>
        <w:rPr>
          <w:rFonts w:ascii="Times New Roman" w:hAnsi="Times New Roman" w:eastAsia="仿宋_GB2312" w:cs="Times New Roman"/>
          <w:b/>
          <w:sz w:val="30"/>
          <w:szCs w:val="30"/>
        </w:rPr>
        <w:t xml:space="preserve">中 国 工 程 建 设 标 准 化 协 会 标 准 </w:t>
      </w:r>
    </w:p>
    <w:p>
      <w:pPr>
        <w:tabs>
          <w:tab w:val="center" w:pos="4201"/>
          <w:tab w:val="right" w:leader="dot" w:pos="9298"/>
        </w:tabs>
        <w:autoSpaceDE w:val="0"/>
        <w:autoSpaceDN w:val="0"/>
        <w:spacing w:before="156" w:after="156"/>
        <w:ind w:firstLine="480" w:firstLineChars="200"/>
        <w:rPr>
          <w:rFonts w:ascii="Times New Roman" w:hAnsi="Times New Roman" w:cs="Times New Roman"/>
          <w:color w:val="FF0000"/>
        </w:rPr>
      </w:pPr>
    </w:p>
    <w:p>
      <w:pPr>
        <w:tabs>
          <w:tab w:val="center" w:pos="4201"/>
          <w:tab w:val="right" w:leader="dot" w:pos="9298"/>
        </w:tabs>
        <w:autoSpaceDE w:val="0"/>
        <w:autoSpaceDN w:val="0"/>
        <w:spacing w:before="156" w:after="156"/>
        <w:ind w:firstLine="480" w:firstLineChars="200"/>
        <w:rPr>
          <w:rFonts w:ascii="Times New Roman" w:hAnsi="Times New Roman" w:cs="Times New Roman"/>
          <w:color w:val="FF0000"/>
        </w:rPr>
      </w:pPr>
    </w:p>
    <w:p>
      <w:pPr>
        <w:spacing w:line="300" w:lineRule="auto"/>
        <w:jc w:val="center"/>
        <w:rPr>
          <w:rFonts w:ascii="Times New Roman" w:hAnsi="Times New Roman" w:cs="Times New Roman"/>
          <w:sz w:val="28"/>
          <w:szCs w:val="32"/>
        </w:rPr>
      </w:pPr>
      <w:r>
        <w:rPr>
          <w:rFonts w:ascii="Times New Roman" w:hAnsi="Times New Roman" w:cs="Times New Roman"/>
          <w:sz w:val="28"/>
          <w:szCs w:val="32"/>
        </w:rPr>
        <w:t>Xxxx出版社</w:t>
      </w:r>
    </w:p>
    <w:p>
      <w:pPr>
        <w:tabs>
          <w:tab w:val="center" w:pos="4201"/>
          <w:tab w:val="right" w:leader="dot" w:pos="9298"/>
        </w:tabs>
        <w:autoSpaceDE w:val="0"/>
        <w:autoSpaceDN w:val="0"/>
        <w:spacing w:before="156" w:after="156"/>
        <w:ind w:firstLine="480" w:firstLineChars="200"/>
        <w:rPr>
          <w:rFonts w:ascii="Times New Roman" w:hAnsi="Times New Roman" w:cs="Times New Roman"/>
        </w:rPr>
      </w:pPr>
    </w:p>
    <w:p>
      <w:pPr>
        <w:tabs>
          <w:tab w:val="center" w:pos="4201"/>
          <w:tab w:val="right" w:leader="dot" w:pos="9298"/>
        </w:tabs>
        <w:autoSpaceDE w:val="0"/>
        <w:autoSpaceDN w:val="0"/>
        <w:spacing w:before="156" w:after="156"/>
        <w:ind w:firstLine="480" w:firstLineChars="200"/>
        <w:rPr>
          <w:rFonts w:ascii="Times New Roman" w:hAnsi="Times New Roman" w:cs="Times New Roman"/>
        </w:rPr>
        <w:sectPr>
          <w:footerReference r:id="rId11" w:type="first"/>
          <w:headerReference r:id="rId7" w:type="default"/>
          <w:footerReference r:id="rId9" w:type="default"/>
          <w:headerReference r:id="rId8" w:type="even"/>
          <w:footerReference r:id="rId10" w:type="even"/>
          <w:pgSz w:w="11906" w:h="16838"/>
          <w:pgMar w:top="1474" w:right="1418" w:bottom="1191" w:left="1531" w:header="1247" w:footer="851" w:gutter="0"/>
          <w:pgNumType w:start="1"/>
          <w:cols w:space="720" w:num="1"/>
          <w:docGrid w:type="lines" w:linePitch="506" w:charSpace="0"/>
        </w:sectPr>
      </w:pPr>
    </w:p>
    <w:p>
      <w:pPr>
        <w:spacing w:line="300" w:lineRule="auto"/>
        <w:jc w:val="center"/>
        <w:rPr>
          <w:rFonts w:ascii="Times New Roman" w:hAnsi="Times New Roman" w:eastAsia="黑体" w:cs="Times New Roman"/>
          <w:spacing w:val="30"/>
          <w:sz w:val="32"/>
          <w:szCs w:val="32"/>
        </w:rPr>
      </w:pPr>
      <w:r>
        <w:rPr>
          <w:rFonts w:ascii="Times New Roman" w:hAnsi="Times New Roman" w:eastAsia="仿宋_GB2312" w:cs="Times New Roman"/>
          <w:b/>
          <w:sz w:val="30"/>
          <w:szCs w:val="30"/>
        </w:rPr>
        <w:t>中国工程建设标准化协会标准</w:t>
      </w:r>
    </w:p>
    <w:p>
      <w:pPr>
        <w:spacing w:line="300" w:lineRule="auto"/>
        <w:jc w:val="center"/>
        <w:rPr>
          <w:rFonts w:ascii="Times New Roman" w:hAnsi="Times New Roman" w:eastAsia="黑体" w:cs="Times New Roman"/>
          <w:spacing w:val="30"/>
          <w:sz w:val="24"/>
          <w:szCs w:val="24"/>
        </w:rPr>
      </w:pPr>
    </w:p>
    <w:p>
      <w:pPr>
        <w:pBdr>
          <w:top w:val="none" w:color="auto" w:sz="0" w:space="0"/>
          <w:left w:val="none" w:color="auto" w:sz="0" w:space="0"/>
          <w:bottom w:val="none" w:color="auto" w:sz="0" w:space="0"/>
          <w:right w:val="none" w:color="auto" w:sz="0" w:space="0"/>
        </w:pBdr>
        <w:tabs>
          <w:tab w:val="center" w:pos="4201"/>
          <w:tab w:val="right" w:leader="dot" w:pos="9298"/>
        </w:tabs>
        <w:autoSpaceDE w:val="0"/>
        <w:autoSpaceDN w:val="0"/>
        <w:spacing w:before="156" w:after="156" w:line="240" w:lineRule="auto"/>
        <w:ind w:firstLine="640" w:firstLineChars="200"/>
        <w:jc w:val="center"/>
        <w:rPr>
          <w:rFonts w:ascii="Times New Roman" w:hAnsi="Times New Roman" w:eastAsia="仿宋_GB2312" w:cs="Times New Roman"/>
          <w:b/>
          <w:sz w:val="30"/>
          <w:szCs w:val="30"/>
        </w:rPr>
      </w:pPr>
      <w:r>
        <w:rPr>
          <w:rFonts w:hint="eastAsia" w:ascii="Times New Roman" w:hAnsi="Times New Roman" w:eastAsia="黑体" w:cs="Times New Roman"/>
          <w:kern w:val="0"/>
          <w:sz w:val="32"/>
          <w:szCs w:val="32"/>
        </w:rPr>
        <w:t>铁路隧道明挖法技术规程</w:t>
      </w:r>
    </w:p>
    <w:p>
      <w:pPr>
        <w:jc w:val="center"/>
        <w:rPr>
          <w:rFonts w:hint="eastAsia" w:ascii="Times New Roman" w:hAnsi="Times New Roman" w:cs="Times New Roman"/>
          <w:kern w:val="0"/>
          <w:sz w:val="28"/>
          <w:szCs w:val="32"/>
        </w:rPr>
      </w:pPr>
      <w:r>
        <w:rPr>
          <w:rFonts w:hint="eastAsia" w:ascii="Times New Roman" w:hAnsi="Times New Roman" w:cs="Times New Roman"/>
          <w:kern w:val="0"/>
          <w:sz w:val="28"/>
          <w:szCs w:val="32"/>
        </w:rPr>
        <w:t>Technical regulations for open excavation method of railway tunnel</w:t>
      </w:r>
    </w:p>
    <w:p>
      <w:pPr>
        <w:spacing w:before="156" w:after="156" w:line="280" w:lineRule="exact"/>
        <w:jc w:val="center"/>
        <w:rPr>
          <w:rFonts w:ascii="Times New Roman" w:hAnsi="Times New Roman" w:cs="Times New Roman"/>
        </w:rPr>
      </w:pPr>
      <w:r>
        <w:rPr>
          <w:rFonts w:ascii="Times New Roman" w:hAnsi="Times New Roman" w:cs="Times New Roman"/>
          <w:b/>
          <w:bCs/>
        </w:rPr>
        <w:t>（征求意见稿）</w:t>
      </w:r>
    </w:p>
    <w:p>
      <w:pPr>
        <w:spacing w:before="156" w:after="156" w:line="280" w:lineRule="exact"/>
        <w:jc w:val="center"/>
        <w:rPr>
          <w:rFonts w:ascii="Times New Roman" w:hAnsi="Times New Roman" w:eastAsia="黑体" w:cs="Times New Roman"/>
        </w:rPr>
      </w:pPr>
    </w:p>
    <w:p>
      <w:pPr>
        <w:spacing w:before="156" w:after="156" w:line="280" w:lineRule="exact"/>
        <w:jc w:val="center"/>
        <w:rPr>
          <w:rFonts w:ascii="Times New Roman" w:hAnsi="Times New Roman" w:cs="Times New Roman"/>
        </w:rPr>
      </w:pPr>
      <w:r>
        <w:rPr>
          <w:rFonts w:ascii="Times New Roman" w:hAnsi="Times New Roman" w:cs="Times New Roman"/>
          <w:b/>
          <w:bCs/>
          <w:sz w:val="32"/>
          <w:szCs w:val="32"/>
        </w:rPr>
        <w:t>T/CECS XXX—20</w:t>
      </w:r>
      <w:r>
        <w:rPr>
          <w:rFonts w:hint="eastAsia" w:cs="Times New Roman"/>
          <w:b/>
          <w:bCs/>
          <w:sz w:val="32"/>
          <w:szCs w:val="32"/>
          <w:lang w:val="en-US" w:eastAsia="zh-CN"/>
        </w:rPr>
        <w:t>2</w:t>
      </w:r>
      <w:r>
        <w:rPr>
          <w:rFonts w:ascii="Times New Roman" w:hAnsi="Times New Roman" w:cs="Times New Roman"/>
          <w:b/>
          <w:bCs/>
          <w:sz w:val="32"/>
          <w:szCs w:val="32"/>
        </w:rPr>
        <w:t>X</w:t>
      </w:r>
    </w:p>
    <w:p>
      <w:pPr>
        <w:spacing w:before="156" w:after="156" w:line="280" w:lineRule="exact"/>
        <w:jc w:val="center"/>
        <w:rPr>
          <w:rFonts w:ascii="Times New Roman" w:hAnsi="Times New Roman" w:cs="Times New Roman"/>
          <w:color w:val="FF0000"/>
        </w:rPr>
      </w:pPr>
    </w:p>
    <w:p>
      <w:pPr>
        <w:spacing w:before="156" w:after="156" w:line="280" w:lineRule="exact"/>
        <w:jc w:val="center"/>
        <w:rPr>
          <w:rFonts w:ascii="Times New Roman" w:hAnsi="Times New Roman" w:cs="Times New Roman"/>
          <w:color w:val="FF0000"/>
        </w:rPr>
      </w:pPr>
    </w:p>
    <w:p>
      <w:pPr>
        <w:spacing w:before="156" w:after="156" w:line="280" w:lineRule="exact"/>
        <w:ind w:firstLine="1279" w:firstLineChars="457"/>
        <w:jc w:val="left"/>
        <w:rPr>
          <w:rFonts w:hint="default" w:ascii="Times New Roman" w:hAnsi="Times New Roman" w:eastAsia="宋体" w:cs="Times New Roman"/>
          <w:sz w:val="28"/>
          <w:szCs w:val="28"/>
          <w:lang w:val="en-US" w:eastAsia="zh-CN"/>
        </w:rPr>
      </w:pPr>
      <w:r>
        <w:rPr>
          <w:rFonts w:ascii="Times New Roman" w:hAnsi="Times New Roman" w:cs="Times New Roman"/>
          <w:sz w:val="28"/>
          <w:szCs w:val="28"/>
        </w:rPr>
        <w:t>主编单位：中铁</w:t>
      </w:r>
      <w:r>
        <w:rPr>
          <w:rFonts w:hint="eastAsia" w:cs="Times New Roman"/>
          <w:sz w:val="28"/>
          <w:szCs w:val="28"/>
          <w:lang w:val="en-US" w:eastAsia="zh-CN"/>
        </w:rPr>
        <w:t>第四勘察设计院集团有限公司</w:t>
      </w:r>
    </w:p>
    <w:p>
      <w:pPr>
        <w:spacing w:before="156" w:after="156" w:line="280" w:lineRule="exact"/>
        <w:ind w:firstLine="1279" w:firstLineChars="457"/>
        <w:jc w:val="left"/>
        <w:rPr>
          <w:rFonts w:ascii="Times New Roman" w:hAnsi="Times New Roman" w:cs="Times New Roman"/>
          <w:sz w:val="28"/>
          <w:szCs w:val="28"/>
        </w:rPr>
      </w:pPr>
      <w:r>
        <w:rPr>
          <w:rFonts w:ascii="Times New Roman" w:hAnsi="Times New Roman" w:cs="Times New Roman"/>
          <w:sz w:val="28"/>
          <w:szCs w:val="28"/>
        </w:rPr>
        <w:t>批准单位：中国工程建设标准化协会</w:t>
      </w:r>
    </w:p>
    <w:p>
      <w:pPr>
        <w:spacing w:before="156" w:after="156" w:line="280" w:lineRule="exact"/>
        <w:ind w:firstLine="1279" w:firstLineChars="457"/>
        <w:jc w:val="left"/>
        <w:rPr>
          <w:rFonts w:ascii="Times New Roman" w:hAnsi="Times New Roman" w:cs="Times New Roman"/>
          <w:sz w:val="28"/>
          <w:szCs w:val="28"/>
        </w:rPr>
      </w:pPr>
      <w:r>
        <w:rPr>
          <w:rFonts w:ascii="Times New Roman" w:hAnsi="Times New Roman" w:cs="Times New Roman"/>
          <w:sz w:val="28"/>
          <w:szCs w:val="28"/>
        </w:rPr>
        <w:t>施行日期：xx年xx月xx日</w:t>
      </w:r>
    </w:p>
    <w:p>
      <w:pPr>
        <w:spacing w:before="156" w:after="156" w:line="280" w:lineRule="exact"/>
        <w:jc w:val="left"/>
        <w:rPr>
          <w:rFonts w:ascii="Times New Roman" w:hAnsi="Times New Roman" w:cs="Times New Roman"/>
          <w:color w:val="FF0000"/>
        </w:rPr>
      </w:pPr>
    </w:p>
    <w:p>
      <w:pPr>
        <w:spacing w:line="300" w:lineRule="auto"/>
        <w:jc w:val="center"/>
        <w:rPr>
          <w:rFonts w:ascii="Times New Roman" w:hAnsi="Times New Roman" w:cs="Times New Roman"/>
          <w:color w:val="FF0000"/>
          <w:sz w:val="24"/>
          <w:szCs w:val="24"/>
        </w:rPr>
      </w:pPr>
    </w:p>
    <w:p>
      <w:pPr>
        <w:spacing w:line="300" w:lineRule="auto"/>
        <w:jc w:val="center"/>
        <w:rPr>
          <w:rFonts w:ascii="Times New Roman" w:hAnsi="Times New Roman" w:cs="Times New Roman"/>
          <w:color w:val="FF0000"/>
          <w:sz w:val="24"/>
          <w:szCs w:val="24"/>
        </w:rPr>
      </w:pPr>
    </w:p>
    <w:p>
      <w:pPr>
        <w:spacing w:line="300" w:lineRule="auto"/>
        <w:jc w:val="center"/>
        <w:rPr>
          <w:rFonts w:ascii="Times New Roman" w:hAnsi="Times New Roman" w:cs="Times New Roman"/>
          <w:color w:val="FF0000"/>
          <w:sz w:val="24"/>
          <w:szCs w:val="24"/>
        </w:rPr>
      </w:pPr>
    </w:p>
    <w:p>
      <w:pPr>
        <w:spacing w:line="300" w:lineRule="auto"/>
        <w:jc w:val="center"/>
        <w:rPr>
          <w:rFonts w:ascii="Times New Roman" w:hAnsi="Times New Roman" w:cs="Times New Roman"/>
          <w:color w:val="FF0000"/>
          <w:sz w:val="24"/>
          <w:szCs w:val="24"/>
        </w:rPr>
      </w:pPr>
    </w:p>
    <w:p>
      <w:pPr>
        <w:spacing w:line="300" w:lineRule="auto"/>
        <w:jc w:val="center"/>
        <w:rPr>
          <w:rFonts w:ascii="Times New Roman" w:hAnsi="Times New Roman" w:cs="Times New Roman"/>
          <w:color w:val="FF0000"/>
          <w:sz w:val="24"/>
          <w:szCs w:val="24"/>
        </w:rPr>
      </w:pPr>
    </w:p>
    <w:p>
      <w:pPr>
        <w:spacing w:line="300" w:lineRule="auto"/>
        <w:jc w:val="center"/>
        <w:rPr>
          <w:rFonts w:ascii="Times New Roman" w:hAnsi="Times New Roman" w:cs="Times New Roman"/>
          <w:sz w:val="24"/>
          <w:szCs w:val="24"/>
        </w:rPr>
      </w:pPr>
    </w:p>
    <w:p>
      <w:pPr>
        <w:spacing w:line="300" w:lineRule="auto"/>
        <w:jc w:val="center"/>
        <w:rPr>
          <w:rFonts w:ascii="Times New Roman" w:hAnsi="Times New Roman" w:cs="Times New Roman"/>
          <w:sz w:val="28"/>
          <w:szCs w:val="28"/>
        </w:rPr>
      </w:pPr>
      <w:r>
        <w:rPr>
          <w:rFonts w:ascii="Times New Roman" w:hAnsi="Times New Roman" w:cs="Times New Roman"/>
          <w:sz w:val="28"/>
          <w:szCs w:val="28"/>
        </w:rPr>
        <w:t>Xxxx出版社</w:t>
      </w:r>
    </w:p>
    <w:p>
      <w:pPr>
        <w:spacing w:line="300" w:lineRule="auto"/>
        <w:jc w:val="center"/>
        <w:rPr>
          <w:rFonts w:ascii="Times New Roman" w:hAnsi="Times New Roman" w:cs="Times New Roman"/>
          <w:sz w:val="28"/>
          <w:szCs w:val="28"/>
        </w:rPr>
      </w:pPr>
      <w:r>
        <w:rPr>
          <w:rFonts w:ascii="Times New Roman" w:hAnsi="Times New Roman" w:cs="Times New Roman"/>
          <w:sz w:val="28"/>
          <w:szCs w:val="28"/>
        </w:rPr>
        <w:t>202</w:t>
      </w:r>
      <w:r>
        <w:rPr>
          <w:rFonts w:hint="eastAsia" w:cs="Times New Roman"/>
          <w:sz w:val="28"/>
          <w:szCs w:val="28"/>
          <w:lang w:val="en-US" w:eastAsia="zh-CN"/>
        </w:rPr>
        <w:t>3</w:t>
      </w:r>
      <w:r>
        <w:rPr>
          <w:rFonts w:ascii="Times New Roman" w:hAnsi="Times New Roman" w:cs="Times New Roman"/>
          <w:sz w:val="28"/>
          <w:szCs w:val="28"/>
        </w:rPr>
        <w:t>年·北京</w:t>
      </w:r>
    </w:p>
    <w:p>
      <w:pPr>
        <w:jc w:val="center"/>
        <w:rPr>
          <w:rFonts w:ascii="Times New Roman" w:hAnsi="Times New Roman" w:cs="Times New Roman"/>
          <w:sz w:val="28"/>
          <w:szCs w:val="28"/>
        </w:rPr>
      </w:pPr>
    </w:p>
    <w:p>
      <w:pPr>
        <w:pStyle w:val="67"/>
        <w:spacing w:before="156" w:beforeLines="50" w:after="156" w:afterLines="50" w:line="240" w:lineRule="auto"/>
        <w:rPr>
          <w:rFonts w:ascii="Times New Roman" w:hAnsi="Times New Roman" w:cs="Times New Roman" w:eastAsiaTheme="minorEastAsia"/>
          <w:b w:val="0"/>
          <w:color w:val="FF0000"/>
          <w:sz w:val="28"/>
          <w:szCs w:val="28"/>
        </w:rPr>
      </w:pPr>
    </w:p>
    <w:p>
      <w:pPr>
        <w:pStyle w:val="67"/>
        <w:spacing w:before="156" w:beforeLines="50" w:after="156" w:afterLines="50" w:line="240" w:lineRule="auto"/>
        <w:rPr>
          <w:rFonts w:ascii="Times New Roman" w:hAnsi="Times New Roman" w:cs="Times New Roman"/>
          <w:sz w:val="32"/>
          <w:szCs w:val="32"/>
        </w:rPr>
      </w:pPr>
      <w:r>
        <w:rPr>
          <w:rFonts w:ascii="Times New Roman" w:hAnsi="Times New Roman" w:cs="Times New Roman"/>
          <w:sz w:val="32"/>
          <w:szCs w:val="32"/>
        </w:rPr>
        <w:t>中国工程建设标准化协会公告</w:t>
      </w:r>
    </w:p>
    <w:p>
      <w:pPr>
        <w:pStyle w:val="67"/>
        <w:spacing w:before="156" w:beforeLines="50" w:after="156" w:afterLines="50" w:line="240" w:lineRule="auto"/>
        <w:rPr>
          <w:rFonts w:ascii="Times New Roman" w:hAnsi="Times New Roman" w:cs="Times New Roman"/>
        </w:rPr>
      </w:pPr>
      <w:r>
        <w:rPr>
          <w:rFonts w:ascii="Times New Roman" w:hAnsi="Times New Roman" w:cs="Times New Roman"/>
        </w:rPr>
        <w:t>第XXX号</w:t>
      </w:r>
    </w:p>
    <w:p>
      <w:pPr>
        <w:ind w:firstLine="0" w:firstLineChars="0"/>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cols w:space="425" w:num="1"/>
          <w:docGrid w:type="lines" w:linePitch="312" w:charSpace="0"/>
        </w:sectPr>
      </w:pPr>
    </w:p>
    <w:p>
      <w:pPr>
        <w:pBdr>
          <w:top w:val="none" w:color="auto" w:sz="0" w:space="0"/>
          <w:left w:val="none" w:color="auto" w:sz="0" w:space="0"/>
          <w:bottom w:val="none" w:color="auto" w:sz="0" w:space="0"/>
          <w:right w:val="none" w:color="auto" w:sz="0" w:space="0"/>
        </w:pBdr>
        <w:tabs>
          <w:tab w:val="center" w:pos="4201"/>
          <w:tab w:val="right" w:leader="dot" w:pos="9298"/>
        </w:tabs>
        <w:autoSpaceDE w:val="0"/>
        <w:autoSpaceDN w:val="0"/>
        <w:spacing w:before="156" w:after="156" w:line="240" w:lineRule="auto"/>
        <w:ind w:firstLine="640" w:firstLineChars="200"/>
        <w:jc w:val="center"/>
        <w:rPr>
          <w:rFonts w:ascii="Times New Roman" w:hAnsi="Times New Roman" w:cs="Times New Roman"/>
          <w:b w:val="0"/>
          <w:bCs/>
          <w:sz w:val="32"/>
          <w:szCs w:val="32"/>
        </w:rPr>
      </w:pPr>
      <w:bookmarkStart w:id="3" w:name="_Toc97944710"/>
      <w:bookmarkStart w:id="4" w:name="_Toc27039038"/>
      <w:r>
        <w:rPr>
          <w:rFonts w:ascii="Times New Roman" w:hAnsi="Times New Roman" w:cs="Times New Roman"/>
          <w:b w:val="0"/>
          <w:bCs/>
          <w:sz w:val="32"/>
          <w:szCs w:val="32"/>
        </w:rPr>
        <w:t>关于公布《</w:t>
      </w:r>
      <w:r>
        <w:rPr>
          <w:rFonts w:hint="eastAsia" w:ascii="Times New Roman" w:hAnsi="Times New Roman" w:cs="Times New Roman"/>
          <w:b w:val="0"/>
          <w:bCs/>
          <w:sz w:val="32"/>
          <w:szCs w:val="32"/>
        </w:rPr>
        <w:t>铁路隧道明挖法技术规程</w:t>
      </w:r>
      <w:r>
        <w:rPr>
          <w:rFonts w:ascii="Times New Roman" w:hAnsi="Times New Roman" w:cs="Times New Roman"/>
          <w:b w:val="0"/>
          <w:bCs/>
          <w:sz w:val="32"/>
          <w:szCs w:val="32"/>
        </w:rPr>
        <w:t>》的公告</w:t>
      </w:r>
    </w:p>
    <w:p>
      <w:pPr>
        <w:pBdr>
          <w:top w:val="none" w:color="auto" w:sz="0" w:space="0"/>
          <w:left w:val="none" w:color="auto" w:sz="0" w:space="0"/>
          <w:bottom w:val="none" w:color="auto" w:sz="0" w:space="0"/>
          <w:right w:val="none" w:color="auto" w:sz="0" w:space="0"/>
        </w:pBdr>
        <w:tabs>
          <w:tab w:val="center" w:pos="4201"/>
          <w:tab w:val="right" w:leader="dot" w:pos="9298"/>
        </w:tabs>
        <w:autoSpaceDE w:val="0"/>
        <w:autoSpaceDN w:val="0"/>
        <w:spacing w:before="156" w:after="156" w:line="24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根据中国工程建设标准化协会《关于印发2020年第一批协会标准制订、修订计划的通知》（建标协字〔2020〕14号）的要求，由中铁</w:t>
      </w:r>
      <w:r>
        <w:rPr>
          <w:rFonts w:hint="eastAsia" w:ascii="Times New Roman" w:hAnsi="Times New Roman" w:cs="Times New Roman"/>
          <w:sz w:val="28"/>
          <w:szCs w:val="28"/>
          <w:lang w:val="en-US" w:eastAsia="zh-CN"/>
        </w:rPr>
        <w:t>第四勘察设计院</w:t>
      </w:r>
      <w:r>
        <w:rPr>
          <w:rFonts w:ascii="Times New Roman" w:hAnsi="Times New Roman" w:cs="Times New Roman"/>
          <w:sz w:val="28"/>
          <w:szCs w:val="28"/>
        </w:rPr>
        <w:t>集团有限公司等单位编制的《</w:t>
      </w:r>
      <w:r>
        <w:rPr>
          <w:rFonts w:hint="eastAsia" w:ascii="Times New Roman" w:hAnsi="Times New Roman" w:cs="Times New Roman"/>
          <w:sz w:val="28"/>
          <w:szCs w:val="28"/>
        </w:rPr>
        <w:t>铁路隧道明挖法技术规程</w:t>
      </w:r>
      <w:r>
        <w:rPr>
          <w:rFonts w:ascii="Times New Roman" w:hAnsi="Times New Roman" w:cs="Times New Roman"/>
          <w:sz w:val="28"/>
          <w:szCs w:val="28"/>
        </w:rPr>
        <w:t>》，经本协会铁道分会组织审查，现批准发布，编号为T/CECS**-202*，自2023年*月*日起施行。</w:t>
      </w:r>
    </w:p>
    <w:p>
      <w:pPr>
        <w:spacing w:before="156" w:after="156" w:line="276" w:lineRule="auto"/>
        <w:ind w:firstLine="565" w:firstLineChars="202"/>
        <w:jc w:val="left"/>
        <w:rPr>
          <w:rFonts w:ascii="Times New Roman" w:hAnsi="Times New Roman" w:cs="Times New Roman"/>
          <w:sz w:val="28"/>
          <w:szCs w:val="28"/>
        </w:rPr>
      </w:pPr>
    </w:p>
    <w:p>
      <w:pPr>
        <w:spacing w:before="156" w:after="156" w:line="276" w:lineRule="auto"/>
        <w:ind w:firstLine="565" w:firstLineChars="202"/>
        <w:jc w:val="right"/>
        <w:rPr>
          <w:rFonts w:ascii="Times New Roman" w:hAnsi="Times New Roman" w:cs="Times New Roman"/>
          <w:sz w:val="28"/>
          <w:szCs w:val="28"/>
        </w:rPr>
      </w:pPr>
      <w:r>
        <w:rPr>
          <w:rFonts w:ascii="Times New Roman" w:hAnsi="Times New Roman" w:cs="Times New Roman"/>
          <w:sz w:val="28"/>
          <w:szCs w:val="28"/>
        </w:rPr>
        <w:t>中国工程建设标准化协会</w:t>
      </w:r>
    </w:p>
    <w:p>
      <w:pPr>
        <w:spacing w:before="156" w:after="156" w:line="276" w:lineRule="auto"/>
        <w:ind w:firstLine="565" w:firstLineChars="202"/>
        <w:jc w:val="right"/>
        <w:rPr>
          <w:rFonts w:ascii="Times New Roman" w:hAnsi="Times New Roman" w:cs="Times New Roman"/>
          <w:sz w:val="28"/>
          <w:szCs w:val="28"/>
        </w:rPr>
      </w:pPr>
      <w:r>
        <w:rPr>
          <w:rFonts w:ascii="Times New Roman" w:hAnsi="Times New Roman" w:cs="Times New Roman"/>
          <w:sz w:val="28"/>
          <w:szCs w:val="28"/>
        </w:rPr>
        <w:t>XXX年XX月XX日</w:t>
      </w: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hint="eastAsia" w:ascii="Times New Roman" w:hAnsi="Times New Roman" w:cs="Times New Roman"/>
          <w:sz w:val="30"/>
          <w:szCs w:val="30"/>
        </w:rPr>
      </w:pPr>
    </w:p>
    <w:p>
      <w:pPr>
        <w:pStyle w:val="67"/>
        <w:spacing w:before="156" w:beforeLines="50" w:after="156" w:afterLines="50" w:line="240" w:lineRule="auto"/>
        <w:ind w:firstLine="0" w:firstLineChars="0"/>
        <w:rPr>
          <w:rFonts w:ascii="Times New Roman" w:hAnsi="Times New Roman" w:cs="Times New Roman"/>
          <w:sz w:val="30"/>
          <w:szCs w:val="30"/>
        </w:rPr>
      </w:pPr>
      <w:r>
        <w:rPr>
          <w:rFonts w:hint="eastAsia" w:ascii="Times New Roman" w:hAnsi="Times New Roman" w:cs="Times New Roman"/>
          <w:sz w:val="30"/>
          <w:szCs w:val="30"/>
        </w:rPr>
        <w:t>前</w:t>
      </w:r>
      <w:r>
        <w:rPr>
          <w:rFonts w:hint="eastAsia" w:ascii="Times New Roman" w:hAnsi="Times New Roman" w:cs="Times New Roman"/>
          <w:sz w:val="30"/>
          <w:szCs w:val="30"/>
          <w:lang w:val="en-US" w:eastAsia="zh-CN"/>
        </w:rPr>
        <w:t xml:space="preserve">    </w:t>
      </w:r>
      <w:r>
        <w:rPr>
          <w:rFonts w:hint="eastAsia" w:ascii="Times New Roman" w:hAnsi="Times New Roman" w:cs="Times New Roman"/>
          <w:sz w:val="30"/>
          <w:szCs w:val="30"/>
        </w:rPr>
        <w:t>言</w:t>
      </w:r>
    </w:p>
    <w:p>
      <w:pPr>
        <w:spacing w:before="156" w:after="156" w:line="240" w:lineRule="auto"/>
        <w:ind w:left="0" w:leftChars="0" w:firstLine="560" w:firstLineChars="200"/>
        <w:jc w:val="left"/>
        <w:rPr>
          <w:rFonts w:hint="eastAsia" w:ascii="Times New Roman" w:hAnsi="Times New Roman" w:cs="Times New Roman" w:eastAsiaTheme="minorEastAsia"/>
          <w:sz w:val="28"/>
          <w:szCs w:val="28"/>
        </w:rPr>
      </w:pPr>
      <w:r>
        <w:rPr>
          <w:rFonts w:hint="eastAsia" w:ascii="Times New Roman" w:hAnsi="Times New Roman" w:cs="Times New Roman" w:eastAsiaTheme="minorEastAsia"/>
          <w:sz w:val="28"/>
          <w:szCs w:val="28"/>
        </w:rPr>
        <w:t xml:space="preserve">本规程的主要技术内容是：总则、术语和符号、基本规定、岩土勘察与环境调查、设计荷载、基坑支护结构、土体加固、基坑地下水控制、基坑监测、主体结构及防水设计、环境保护、运营期隧道安全保护、附录等。 </w:t>
      </w:r>
    </w:p>
    <w:p>
      <w:pPr>
        <w:spacing w:before="156" w:after="156" w:line="240" w:lineRule="auto"/>
        <w:ind w:left="0" w:leftChars="0" w:firstLine="560" w:firstLineChars="200"/>
        <w:jc w:val="left"/>
        <w:rPr>
          <w:rFonts w:hint="eastAsia" w:ascii="Times New Roman" w:hAnsi="Times New Roman" w:cs="Times New Roman" w:eastAsiaTheme="minorEastAsia"/>
          <w:sz w:val="28"/>
          <w:szCs w:val="28"/>
        </w:rPr>
      </w:pPr>
      <w:r>
        <w:rPr>
          <w:rFonts w:hint="eastAsia" w:ascii="Times New Roman" w:hAnsi="Times New Roman" w:cs="Times New Roman" w:eastAsiaTheme="minorEastAsia"/>
          <w:sz w:val="28"/>
          <w:szCs w:val="28"/>
        </w:rPr>
        <w:t>请注意本标准的某些内容可能直接或间接涉及专利，本标准的发布机构不承担识别这些专利的责任。</w:t>
      </w:r>
    </w:p>
    <w:p>
      <w:pPr>
        <w:spacing w:before="156" w:after="156" w:line="240" w:lineRule="auto"/>
        <w:ind w:left="0" w:leftChars="0" w:firstLine="560" w:firstLineChars="200"/>
        <w:jc w:val="left"/>
        <w:rPr>
          <w:rFonts w:hint="eastAsia" w:ascii="Times New Roman" w:hAnsi="Times New Roman" w:cs="Times New Roman" w:eastAsiaTheme="minorEastAsia"/>
          <w:sz w:val="28"/>
          <w:szCs w:val="28"/>
        </w:rPr>
      </w:pPr>
      <w:r>
        <w:rPr>
          <w:rFonts w:hint="eastAsia" w:ascii="Times New Roman" w:hAnsi="Times New Roman" w:cs="Times New Roman" w:eastAsiaTheme="minorEastAsia"/>
          <w:sz w:val="28"/>
          <w:szCs w:val="28"/>
        </w:rPr>
        <w:t>本标准由中国工程建设标准化协会铁道分会归口管理，由</w:t>
      </w:r>
      <w:r>
        <w:rPr>
          <w:rFonts w:hint="eastAsia" w:ascii="Times New Roman" w:hAnsi="Times New Roman" w:cs="Times New Roman" w:eastAsiaTheme="minorEastAsia"/>
          <w:sz w:val="28"/>
          <w:szCs w:val="28"/>
          <w:lang w:val="en-US" w:eastAsia="zh-CN"/>
        </w:rPr>
        <w:t>中铁第四勘察设计院集团有限公司</w:t>
      </w:r>
      <w:r>
        <w:rPr>
          <w:rFonts w:hint="eastAsia" w:ascii="Times New Roman" w:hAnsi="Times New Roman" w:cs="Times New Roman" w:eastAsiaTheme="minorEastAsia"/>
          <w:sz w:val="28"/>
          <w:szCs w:val="28"/>
        </w:rPr>
        <w:t>负责具体技术内容的解释。执行过程中如有意见和建议，请寄送至XXXX（地址：XXXX；邮政编码：XXXX）</w:t>
      </w:r>
    </w:p>
    <w:p>
      <w:pPr>
        <w:ind w:firstLine="480"/>
        <w:jc w:val="left"/>
        <w:rPr>
          <w:rFonts w:ascii="Times New Roman" w:hAnsi="Times New Roman" w:eastAsia="宋体" w:cs="Times New Roman"/>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本规程主编单位：</w:t>
      </w:r>
      <w:r>
        <w:rPr>
          <w:rFonts w:hint="eastAsia" w:ascii="Times New Roman" w:hAnsi="Times New Roman" w:eastAsia="宋体" w:cs="Times New Roman"/>
          <w:kern w:val="2"/>
          <w:sz w:val="28"/>
          <w:szCs w:val="28"/>
          <w:lang w:val="en-US" w:eastAsia="zh-CN" w:bidi="ar-SA"/>
        </w:rPr>
        <w:t xml:space="preserve">中铁第四勘察设计院集团有限公司 </w:t>
      </w:r>
    </w:p>
    <w:p>
      <w:pPr>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本规程参编单位：</w:t>
      </w:r>
      <w:r>
        <w:rPr>
          <w:rFonts w:hint="eastAsia" w:ascii="Times New Roman" w:hAnsi="Times New Roman" w:eastAsia="宋体" w:cs="Times New Roman"/>
          <w:kern w:val="2"/>
          <w:sz w:val="28"/>
          <w:szCs w:val="28"/>
          <w:lang w:val="en-US" w:eastAsia="zh-CN" w:bidi="ar-SA"/>
        </w:rPr>
        <w:t>中国铁路经济规划研究院有限公司</w:t>
      </w:r>
    </w:p>
    <w:p>
      <w:pPr>
        <w:ind w:firstLine="2800" w:firstLineChars="10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 xml:space="preserve">中国铁路设计集团有限公司 </w:t>
      </w:r>
    </w:p>
    <w:p>
      <w:pPr>
        <w:ind w:firstLine="2800" w:firstLineChars="10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中铁工程设计咨询集团有限公司</w:t>
      </w:r>
    </w:p>
    <w:p>
      <w:pPr>
        <w:ind w:firstLine="2800" w:firstLineChars="10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中铁十一局集团有限公司</w:t>
      </w:r>
    </w:p>
    <w:p>
      <w:pPr>
        <w:ind w:firstLine="2800" w:firstLineChars="10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中铁十四局集团有限公司</w:t>
      </w:r>
    </w:p>
    <w:p>
      <w:pPr>
        <w:ind w:firstLine="2800" w:firstLineChars="100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五广(上海)基础工程有限公司</w:t>
      </w:r>
    </w:p>
    <w:p>
      <w:pPr>
        <w:ind w:firstLine="480"/>
        <w:jc w:val="left"/>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en-US" w:eastAsia="zh-CN" w:bidi="ar-SA"/>
        </w:rPr>
        <w:t xml:space="preserve">                上海隧道工程股份有限公司</w:t>
      </w:r>
    </w:p>
    <w:p>
      <w:pPr>
        <w:pStyle w:val="20"/>
        <w:jc w:val="left"/>
        <w:rPr>
          <w:rFonts w:hint="eastAsia"/>
        </w:rPr>
      </w:pPr>
    </w:p>
    <w:p>
      <w:pPr>
        <w:ind w:firstLine="480"/>
        <w:jc w:val="left"/>
        <w:rPr>
          <w:rFonts w:hint="eastAsia"/>
        </w:rPr>
      </w:pPr>
      <w:r>
        <w:rPr>
          <w:rFonts w:hint="eastAsia" w:ascii="Times New Roman" w:hAnsi="Times New Roman" w:eastAsia="宋体" w:cs="Times New Roman"/>
          <w:b/>
          <w:kern w:val="2"/>
          <w:sz w:val="28"/>
          <w:szCs w:val="28"/>
          <w:lang w:val="en-US" w:eastAsia="zh-CN" w:bidi="ar-SA"/>
        </w:rPr>
        <w:t>本规程主要起草人员：</w:t>
      </w:r>
      <w:r>
        <w:rPr>
          <w:rFonts w:hint="eastAsia"/>
        </w:rPr>
        <w:t>XXX  XXX</w:t>
      </w:r>
    </w:p>
    <w:p>
      <w:pPr>
        <w:ind w:firstLine="480"/>
        <w:jc w:val="left"/>
        <w:rPr>
          <w:rFonts w:hint="eastAsia"/>
        </w:rPr>
      </w:pPr>
    </w:p>
    <w:p>
      <w:pPr>
        <w:ind w:firstLine="480"/>
        <w:jc w:val="left"/>
      </w:pPr>
      <w:r>
        <w:rPr>
          <w:rFonts w:hint="eastAsia" w:ascii="Times New Roman" w:hAnsi="Times New Roman" w:eastAsia="宋体" w:cs="Times New Roman"/>
          <w:b/>
          <w:kern w:val="2"/>
          <w:sz w:val="28"/>
          <w:szCs w:val="28"/>
          <w:lang w:val="en-US" w:eastAsia="zh-CN" w:bidi="ar-SA"/>
        </w:rPr>
        <w:t>本规程主要审查人员：</w:t>
      </w:r>
      <w:r>
        <w:rPr>
          <w:rFonts w:hint="eastAsia"/>
        </w:rPr>
        <w:t>XXX  XXX</w:t>
      </w:r>
    </w:p>
    <w:p>
      <w:pPr>
        <w:ind w:firstLine="480"/>
      </w:pPr>
    </w:p>
    <w:p>
      <w:pPr>
        <w:pStyle w:val="15"/>
        <w:ind w:firstLine="480"/>
        <w:jc w:val="center"/>
        <w:rPr>
          <w:rFonts w:ascii="Times New Roman" w:hAnsi="Times New Roman" w:eastAsia="黑体" w:cstheme="minorBidi"/>
          <w:caps/>
          <w:color w:val="000000" w:themeColor="text1"/>
          <w:kern w:val="2"/>
          <w:sz w:val="24"/>
          <w:szCs w:val="21"/>
          <w:lang w:val="en-US" w:eastAsia="zh-CN" w:bidi="ar-SA"/>
          <w14:textFill>
            <w14:solidFill>
              <w14:schemeClr w14:val="tx1"/>
            </w14:solidFill>
          </w14:textFill>
        </w:rPr>
      </w:pPr>
      <w:r>
        <w:rPr>
          <w:rFonts w:hint="eastAsia"/>
          <w:bCs/>
          <w:color w:val="953735" w:themeColor="accent2" w:themeShade="BF"/>
          <w:kern w:val="44"/>
          <w:sz w:val="32"/>
          <w:szCs w:val="44"/>
        </w:rPr>
        <w:t>目</w:t>
      </w:r>
      <w:bookmarkEnd w:id="3"/>
      <w:bookmarkEnd w:id="4"/>
      <w:r>
        <w:rPr>
          <w:rFonts w:hint="eastAsia"/>
          <w:bCs/>
          <w:color w:val="953735" w:themeColor="accent2" w:themeShade="BF"/>
          <w:kern w:val="44"/>
          <w:sz w:val="32"/>
          <w:szCs w:val="44"/>
          <w:lang w:val="en-US" w:eastAsia="zh-CN"/>
        </w:rPr>
        <w:t>录</w:t>
      </w:r>
      <w:r>
        <w:rPr>
          <w:bCs/>
          <w:color w:val="953735" w:themeColor="accent2" w:themeShade="BF"/>
          <w:kern w:val="44"/>
          <w:sz w:val="32"/>
          <w:szCs w:val="44"/>
        </w:rPr>
        <w:fldChar w:fldCharType="begin"/>
      </w:r>
      <w:r>
        <w:instrText xml:space="preserve"> TOC \o "1-2" \h \z \u </w:instrText>
      </w:r>
      <w:r>
        <w:rPr>
          <w:bCs/>
          <w:color w:val="953735" w:themeColor="accent2" w:themeShade="BF"/>
          <w:kern w:val="44"/>
          <w:sz w:val="32"/>
          <w:szCs w:val="44"/>
        </w:rPr>
        <w:fldChar w:fldCharType="separate"/>
      </w:r>
    </w:p>
    <w:p>
      <w:pPr>
        <w:pStyle w:val="15"/>
        <w:tabs>
          <w:tab w:val="right" w:leader="dot" w:pos="8306"/>
          <w:tab w:val="clear" w:pos="284"/>
          <w:tab w:val="clear" w:pos="8296"/>
        </w:tabs>
      </w:pPr>
      <w:r>
        <w:fldChar w:fldCharType="begin"/>
      </w:r>
      <w:r>
        <w:instrText xml:space="preserve"> HYPERLINK \l _Toc17844 </w:instrText>
      </w:r>
      <w:r>
        <w:fldChar w:fldCharType="separate"/>
      </w:r>
      <w:r>
        <w:rPr>
          <w:rFonts w:hint="default" w:ascii="Times New Roman" w:hAnsi="Times New Roman" w:eastAsia="黑体"/>
          <w:i w:val="0"/>
          <w:color w:val="0000BF" w:themeColor="hyperlink" w:themeShade="BF"/>
          <w:w w:val="100"/>
          <w:szCs w:val="28"/>
        </w:rPr>
        <w:t xml:space="preserve">1 </w:t>
      </w:r>
      <w:r>
        <w:rPr>
          <w:rFonts w:hint="eastAsia"/>
          <w:szCs w:val="28"/>
        </w:rPr>
        <w:t>总</w:t>
      </w:r>
      <w:r>
        <w:rPr>
          <w:rFonts w:hint="eastAsia"/>
          <w:szCs w:val="28"/>
          <w:lang w:val="en-US" w:eastAsia="zh-CN"/>
        </w:rPr>
        <w:t xml:space="preserve"> </w:t>
      </w:r>
      <w:r>
        <w:rPr>
          <w:rFonts w:hint="eastAsia"/>
          <w:szCs w:val="28"/>
        </w:rPr>
        <w:t>则</w:t>
      </w:r>
      <w:r>
        <w:tab/>
      </w:r>
      <w:r>
        <w:fldChar w:fldCharType="begin"/>
      </w:r>
      <w:r>
        <w:instrText xml:space="preserve"> PAGEREF _Toc17844 \h </w:instrText>
      </w:r>
      <w:r>
        <w:fldChar w:fldCharType="separate"/>
      </w:r>
      <w:r>
        <w:t>1</w:t>
      </w:r>
      <w:r>
        <w:fldChar w:fldCharType="end"/>
      </w:r>
      <w:r>
        <w:fldChar w:fldCharType="end"/>
      </w:r>
    </w:p>
    <w:p>
      <w:pPr>
        <w:pStyle w:val="15"/>
        <w:tabs>
          <w:tab w:val="right" w:leader="dot" w:pos="8306"/>
          <w:tab w:val="clear" w:pos="284"/>
          <w:tab w:val="clear" w:pos="8296"/>
        </w:tabs>
      </w:pPr>
      <w:r>
        <w:fldChar w:fldCharType="begin"/>
      </w:r>
      <w:r>
        <w:instrText xml:space="preserve"> HYPERLINK \l _Toc10477 </w:instrText>
      </w:r>
      <w:r>
        <w:fldChar w:fldCharType="separate"/>
      </w:r>
      <w:r>
        <w:rPr>
          <w:rFonts w:hint="default" w:ascii="Times New Roman" w:hAnsi="Times New Roman" w:eastAsia="黑体"/>
          <w:i w:val="0"/>
          <w:color w:val="0000BF" w:themeColor="hyperlink" w:themeShade="BF"/>
          <w:w w:val="100"/>
        </w:rPr>
        <w:t xml:space="preserve">2 </w:t>
      </w:r>
      <w:r>
        <w:rPr>
          <w:rFonts w:hint="eastAsia"/>
        </w:rPr>
        <w:t>术语及符号</w:t>
      </w:r>
      <w:r>
        <w:tab/>
      </w:r>
      <w:r>
        <w:fldChar w:fldCharType="begin"/>
      </w:r>
      <w:r>
        <w:instrText xml:space="preserve"> PAGEREF _Toc10477 \h </w:instrText>
      </w:r>
      <w:r>
        <w:fldChar w:fldCharType="separate"/>
      </w:r>
      <w:r>
        <w:t>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_Toc4597 </w:instrText>
      </w:r>
      <w:r>
        <w:fldChar w:fldCharType="separate"/>
      </w:r>
      <w:r>
        <w:rPr>
          <w:rFonts w:hint="eastAsia" w:eastAsia="黑体"/>
          <w:i w:val="0"/>
          <w:color w:val="0000BF" w:themeColor="hyperlink" w:themeShade="BF"/>
          <w:w w:val="100"/>
        </w:rPr>
        <w:t xml:space="preserve">2.1 </w:t>
      </w:r>
      <w:r>
        <w:rPr>
          <w:rFonts w:hint="eastAsia"/>
        </w:rPr>
        <w:t>术 语</w:t>
      </w:r>
      <w:r>
        <w:tab/>
      </w:r>
      <w:r>
        <w:fldChar w:fldCharType="begin"/>
      </w:r>
      <w:r>
        <w:instrText xml:space="preserve"> PAGEREF _Toc4597 \h </w:instrText>
      </w:r>
      <w:r>
        <w:fldChar w:fldCharType="separate"/>
      </w:r>
      <w:r>
        <w:t>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_Toc22967 </w:instrText>
      </w:r>
      <w:r>
        <w:fldChar w:fldCharType="separate"/>
      </w:r>
      <w:r>
        <w:rPr>
          <w:rFonts w:hint="eastAsia" w:eastAsia="黑体"/>
          <w:i w:val="0"/>
          <w:color w:val="0000BF" w:themeColor="hyperlink" w:themeShade="BF"/>
          <w:w w:val="100"/>
        </w:rPr>
        <w:t xml:space="preserve">2.2 </w:t>
      </w:r>
      <w:r>
        <w:rPr>
          <w:rFonts w:hint="eastAsia"/>
        </w:rPr>
        <w:t>符 号</w:t>
      </w:r>
      <w:r>
        <w:tab/>
      </w:r>
      <w:r>
        <w:fldChar w:fldCharType="begin"/>
      </w:r>
      <w:r>
        <w:instrText xml:space="preserve"> PAGEREF _Toc22967 \h </w:instrText>
      </w:r>
      <w:r>
        <w:fldChar w:fldCharType="separate"/>
      </w:r>
      <w:r>
        <w:t>5</w:t>
      </w:r>
      <w:r>
        <w:fldChar w:fldCharType="end"/>
      </w:r>
      <w:r>
        <w:fldChar w:fldCharType="end"/>
      </w:r>
    </w:p>
    <w:p>
      <w:pPr>
        <w:pStyle w:val="15"/>
        <w:tabs>
          <w:tab w:val="right" w:leader="dot" w:pos="8306"/>
          <w:tab w:val="clear" w:pos="284"/>
          <w:tab w:val="clear" w:pos="8296"/>
        </w:tabs>
      </w:pPr>
      <w:r>
        <w:fldChar w:fldCharType="begin"/>
      </w:r>
      <w:r>
        <w:instrText xml:space="preserve"> HYPERLINK \l _Toc2322 </w:instrText>
      </w:r>
      <w:r>
        <w:fldChar w:fldCharType="separate"/>
      </w:r>
      <w:r>
        <w:rPr>
          <w:rFonts w:hint="default" w:ascii="Times New Roman" w:hAnsi="Times New Roman" w:eastAsia="黑体"/>
          <w:i w:val="0"/>
          <w:color w:val="0000BF" w:themeColor="hyperlink" w:themeShade="BF"/>
          <w:w w:val="100"/>
        </w:rPr>
        <w:t xml:space="preserve">3 </w:t>
      </w:r>
      <w:r>
        <w:rPr>
          <w:rFonts w:hint="eastAsia"/>
        </w:rPr>
        <w:t>基本规定</w:t>
      </w:r>
      <w:r>
        <w:tab/>
      </w:r>
      <w:r>
        <w:fldChar w:fldCharType="begin"/>
      </w:r>
      <w:r>
        <w:instrText xml:space="preserve"> PAGEREF _Toc2322 \h </w:instrText>
      </w:r>
      <w:r>
        <w:fldChar w:fldCharType="separate"/>
      </w:r>
      <w:r>
        <w:t>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_Toc31115 </w:instrText>
      </w:r>
      <w:r>
        <w:fldChar w:fldCharType="separate"/>
      </w:r>
      <w:r>
        <w:rPr>
          <w:rFonts w:hint="eastAsia" w:eastAsia="黑体"/>
          <w:i w:val="0"/>
          <w:color w:val="0000BF" w:themeColor="hyperlink" w:themeShade="BF"/>
          <w:w w:val="100"/>
        </w:rPr>
        <w:t xml:space="preserve">3.1 </w:t>
      </w:r>
      <w:r>
        <w:rPr>
          <w:rFonts w:hint="eastAsia"/>
        </w:rPr>
        <w:t>一般规定</w:t>
      </w:r>
      <w:r>
        <w:tab/>
      </w:r>
      <w:r>
        <w:fldChar w:fldCharType="begin"/>
      </w:r>
      <w:r>
        <w:instrText xml:space="preserve"> PAGEREF _Toc31115 \h </w:instrText>
      </w:r>
      <w:r>
        <w:fldChar w:fldCharType="separate"/>
      </w:r>
      <w:r>
        <w:t>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_Toc13619 </w:instrText>
      </w:r>
      <w:r>
        <w:fldChar w:fldCharType="separate"/>
      </w:r>
      <w:r>
        <w:rPr>
          <w:rFonts w:hint="eastAsia" w:eastAsia="黑体"/>
          <w:i w:val="0"/>
          <w:color w:val="0000BF" w:themeColor="hyperlink" w:themeShade="BF"/>
          <w:w w:val="100"/>
        </w:rPr>
        <w:t xml:space="preserve">3.2 </w:t>
      </w:r>
      <w:r>
        <w:rPr>
          <w:rFonts w:hint="eastAsia"/>
        </w:rPr>
        <w:t>荷载分类及荷载组合</w:t>
      </w:r>
      <w:r>
        <w:tab/>
      </w:r>
      <w:r>
        <w:fldChar w:fldCharType="begin"/>
      </w:r>
      <w:r>
        <w:instrText xml:space="preserve"> PAGEREF _Toc13619 \h </w:instrText>
      </w:r>
      <w:r>
        <w:fldChar w:fldCharType="separate"/>
      </w:r>
      <w:r>
        <w:t>9</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_Toc248 </w:instrText>
      </w:r>
      <w:r>
        <w:fldChar w:fldCharType="separate"/>
      </w:r>
      <w:r>
        <w:rPr>
          <w:rFonts w:hint="eastAsia" w:eastAsia="黑体"/>
          <w:i w:val="0"/>
          <w:color w:val="0000BF" w:themeColor="hyperlink" w:themeShade="BF"/>
          <w:w w:val="100"/>
        </w:rPr>
        <w:t xml:space="preserve">3.3 </w:t>
      </w:r>
      <w:r>
        <w:rPr>
          <w:rFonts w:hint="eastAsia"/>
        </w:rPr>
        <w:t>结构形式</w:t>
      </w:r>
      <w:r>
        <w:tab/>
      </w:r>
      <w:r>
        <w:fldChar w:fldCharType="begin"/>
      </w:r>
      <w:r>
        <w:instrText xml:space="preserve"> PAGEREF _Toc248 \h </w:instrText>
      </w:r>
      <w:r>
        <w:fldChar w:fldCharType="separate"/>
      </w:r>
      <w:r>
        <w:t>12</w:t>
      </w:r>
      <w:r>
        <w:fldChar w:fldCharType="end"/>
      </w:r>
      <w:r>
        <w:fldChar w:fldCharType="end"/>
      </w:r>
    </w:p>
    <w:p>
      <w:pPr>
        <w:pStyle w:val="15"/>
        <w:tabs>
          <w:tab w:val="right" w:leader="dot" w:pos="8306"/>
          <w:tab w:val="clear" w:pos="284"/>
          <w:tab w:val="clear" w:pos="8296"/>
        </w:tabs>
      </w:pPr>
      <w:r>
        <w:fldChar w:fldCharType="begin"/>
      </w:r>
      <w:r>
        <w:instrText xml:space="preserve"> HYPERLINK \l _Toc28574 </w:instrText>
      </w:r>
      <w:r>
        <w:fldChar w:fldCharType="separate"/>
      </w:r>
      <w:r>
        <w:rPr>
          <w:rFonts w:hint="default" w:ascii="Times New Roman" w:hAnsi="Times New Roman" w:eastAsia="黑体"/>
          <w:i w:val="0"/>
          <w:color w:val="0000BF" w:themeColor="hyperlink" w:themeShade="BF"/>
          <w:w w:val="100"/>
        </w:rPr>
        <w:t xml:space="preserve">4 </w:t>
      </w:r>
      <w:r>
        <w:rPr>
          <w:rFonts w:hint="eastAsia"/>
        </w:rPr>
        <w:t>岩土勘察与环境调查</w:t>
      </w:r>
      <w:r>
        <w:tab/>
      </w:r>
      <w:r>
        <w:fldChar w:fldCharType="begin"/>
      </w:r>
      <w:r>
        <w:instrText xml:space="preserve"> PAGEREF _Toc28574 \h </w:instrText>
      </w:r>
      <w:r>
        <w:fldChar w:fldCharType="separate"/>
      </w:r>
      <w:r>
        <w:t>14</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_Toc824 </w:instrText>
      </w:r>
      <w:r>
        <w:fldChar w:fldCharType="separate"/>
      </w:r>
      <w:r>
        <w:rPr>
          <w:rFonts w:hint="eastAsia" w:eastAsia="黑体"/>
          <w:i w:val="0"/>
          <w:color w:val="0000BF" w:themeColor="hyperlink" w:themeShade="BF"/>
          <w:w w:val="100"/>
        </w:rPr>
        <w:t xml:space="preserve">4.1 </w:t>
      </w:r>
      <w:r>
        <w:rPr>
          <w:rFonts w:hint="eastAsia"/>
        </w:rPr>
        <w:t>一般规定</w:t>
      </w:r>
      <w:r>
        <w:tab/>
      </w:r>
      <w:r>
        <w:fldChar w:fldCharType="begin"/>
      </w:r>
      <w:r>
        <w:instrText xml:space="preserve"> PAGEREF _Toc824 \h </w:instrText>
      </w:r>
      <w:r>
        <w:fldChar w:fldCharType="separate"/>
      </w:r>
      <w:r>
        <w:t>14</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_Toc26999 </w:instrText>
      </w:r>
      <w:r>
        <w:fldChar w:fldCharType="separate"/>
      </w:r>
      <w:r>
        <w:rPr>
          <w:rFonts w:hint="eastAsia" w:eastAsia="黑体"/>
          <w:i w:val="0"/>
          <w:color w:val="0000BF" w:themeColor="hyperlink" w:themeShade="BF"/>
          <w:w w:val="100"/>
        </w:rPr>
        <w:t xml:space="preserve">4.2 </w:t>
      </w:r>
      <w:r>
        <w:rPr>
          <w:rFonts w:hint="eastAsia"/>
        </w:rPr>
        <w:t>可行性研究勘察</w:t>
      </w:r>
      <w:r>
        <w:tab/>
      </w:r>
      <w:r>
        <w:fldChar w:fldCharType="begin"/>
      </w:r>
      <w:r>
        <w:instrText xml:space="preserve"> PAGEREF _Toc26999 \h </w:instrText>
      </w:r>
      <w:r>
        <w:fldChar w:fldCharType="separate"/>
      </w:r>
      <w:r>
        <w:t>17</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_Toc21639 </w:instrText>
      </w:r>
      <w:r>
        <w:fldChar w:fldCharType="separate"/>
      </w:r>
      <w:r>
        <w:rPr>
          <w:rFonts w:hint="eastAsia" w:eastAsia="黑体"/>
          <w:i w:val="0"/>
          <w:color w:val="0000BF" w:themeColor="hyperlink" w:themeShade="BF"/>
          <w:w w:val="100"/>
        </w:rPr>
        <w:t xml:space="preserve">4.3 </w:t>
      </w:r>
      <w:r>
        <w:rPr>
          <w:rFonts w:hint="eastAsia"/>
        </w:rPr>
        <w:t>初步勘察</w:t>
      </w:r>
      <w:r>
        <w:tab/>
      </w:r>
      <w:r>
        <w:fldChar w:fldCharType="begin"/>
      </w:r>
      <w:r>
        <w:instrText xml:space="preserve"> PAGEREF _Toc21639 \h </w:instrText>
      </w:r>
      <w:r>
        <w:fldChar w:fldCharType="separate"/>
      </w:r>
      <w:r>
        <w:t>19</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_Toc30494 </w:instrText>
      </w:r>
      <w:r>
        <w:fldChar w:fldCharType="separate"/>
      </w:r>
      <w:r>
        <w:rPr>
          <w:rFonts w:hint="eastAsia" w:eastAsia="黑体"/>
          <w:i w:val="0"/>
          <w:color w:val="0000BF" w:themeColor="hyperlink" w:themeShade="BF"/>
          <w:w w:val="100"/>
        </w:rPr>
        <w:t xml:space="preserve">4.4 </w:t>
      </w:r>
      <w:r>
        <w:rPr>
          <w:rFonts w:hint="eastAsia"/>
        </w:rPr>
        <w:t>详细勘察</w:t>
      </w:r>
      <w:r>
        <w:tab/>
      </w:r>
      <w:r>
        <w:fldChar w:fldCharType="begin"/>
      </w:r>
      <w:r>
        <w:instrText xml:space="preserve"> PAGEREF _Toc30494 \h </w:instrText>
      </w:r>
      <w:r>
        <w:fldChar w:fldCharType="separate"/>
      </w:r>
      <w:r>
        <w:t>21</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_Toc27764 </w:instrText>
      </w:r>
      <w:r>
        <w:fldChar w:fldCharType="separate"/>
      </w:r>
      <w:r>
        <w:rPr>
          <w:rFonts w:hint="eastAsia" w:eastAsia="黑体"/>
          <w:i w:val="0"/>
          <w:color w:val="0000BF" w:themeColor="hyperlink" w:themeShade="BF"/>
          <w:w w:val="100"/>
        </w:rPr>
        <w:t xml:space="preserve">4.5 </w:t>
      </w:r>
      <w:r>
        <w:rPr>
          <w:rFonts w:hint="eastAsia"/>
        </w:rPr>
        <w:t>施工阶段勘察</w:t>
      </w:r>
      <w:r>
        <w:tab/>
      </w:r>
      <w:r>
        <w:fldChar w:fldCharType="begin"/>
      </w:r>
      <w:r>
        <w:instrText xml:space="preserve"> PAGEREF _Toc27764 \h </w:instrText>
      </w:r>
      <w:r>
        <w:fldChar w:fldCharType="separate"/>
      </w:r>
      <w:r>
        <w:t>24</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_Toc7125 </w:instrText>
      </w:r>
      <w:r>
        <w:fldChar w:fldCharType="separate"/>
      </w:r>
      <w:r>
        <w:rPr>
          <w:rFonts w:hint="eastAsia" w:eastAsia="黑体"/>
          <w:i w:val="0"/>
          <w:color w:val="0000BF" w:themeColor="hyperlink" w:themeShade="BF"/>
          <w:w w:val="100"/>
        </w:rPr>
        <w:t xml:space="preserve">4.6 </w:t>
      </w:r>
      <w:r>
        <w:rPr>
          <w:rFonts w:hint="eastAsia"/>
        </w:rPr>
        <w:t>岩土测试</w:t>
      </w:r>
      <w:r>
        <w:tab/>
      </w:r>
      <w:r>
        <w:fldChar w:fldCharType="begin"/>
      </w:r>
      <w:r>
        <w:instrText xml:space="preserve"> PAGEREF _Toc7125 \h </w:instrText>
      </w:r>
      <w:r>
        <w:fldChar w:fldCharType="separate"/>
      </w:r>
      <w:r>
        <w:t>24</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_Toc11130 </w:instrText>
      </w:r>
      <w:r>
        <w:fldChar w:fldCharType="separate"/>
      </w:r>
      <w:r>
        <w:rPr>
          <w:rFonts w:hint="eastAsia" w:eastAsia="黑体"/>
          <w:i w:val="0"/>
          <w:color w:val="0000BF" w:themeColor="hyperlink" w:themeShade="BF"/>
          <w:w w:val="100"/>
        </w:rPr>
        <w:t xml:space="preserve">4.7 </w:t>
      </w:r>
      <w:r>
        <w:rPr>
          <w:rFonts w:hint="eastAsia"/>
        </w:rPr>
        <w:t>勘察成果</w:t>
      </w:r>
      <w:r>
        <w:tab/>
      </w:r>
      <w:r>
        <w:fldChar w:fldCharType="begin"/>
      </w:r>
      <w:r>
        <w:instrText xml:space="preserve"> PAGEREF _Toc11130 \h </w:instrText>
      </w:r>
      <w:r>
        <w:fldChar w:fldCharType="separate"/>
      </w:r>
      <w:r>
        <w:t>26</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_Toc32607 </w:instrText>
      </w:r>
      <w:r>
        <w:fldChar w:fldCharType="separate"/>
      </w:r>
      <w:r>
        <w:rPr>
          <w:rFonts w:hint="eastAsia" w:eastAsia="黑体"/>
          <w:i w:val="0"/>
          <w:color w:val="0000BF" w:themeColor="hyperlink" w:themeShade="BF"/>
          <w:w w:val="100"/>
        </w:rPr>
        <w:t xml:space="preserve">4.8 </w:t>
      </w:r>
      <w:r>
        <w:rPr>
          <w:rFonts w:hint="eastAsia"/>
        </w:rPr>
        <w:t>环境调查</w:t>
      </w:r>
      <w:r>
        <w:tab/>
      </w:r>
      <w:r>
        <w:fldChar w:fldCharType="begin"/>
      </w:r>
      <w:r>
        <w:instrText xml:space="preserve"> PAGEREF _Toc32607 \h </w:instrText>
      </w:r>
      <w:r>
        <w:fldChar w:fldCharType="separate"/>
      </w:r>
      <w:r>
        <w:t>27</w:t>
      </w:r>
      <w:r>
        <w:fldChar w:fldCharType="end"/>
      </w:r>
      <w:r>
        <w:fldChar w:fldCharType="end"/>
      </w:r>
    </w:p>
    <w:p>
      <w:pPr>
        <w:pStyle w:val="15"/>
        <w:tabs>
          <w:tab w:val="right" w:leader="dot" w:pos="8306"/>
          <w:tab w:val="clear" w:pos="284"/>
          <w:tab w:val="clear" w:pos="8296"/>
        </w:tabs>
      </w:pPr>
      <w:r>
        <w:fldChar w:fldCharType="begin"/>
      </w:r>
      <w:r>
        <w:instrText xml:space="preserve"> HYPERLINK \l _Toc9892 </w:instrText>
      </w:r>
      <w:r>
        <w:fldChar w:fldCharType="separate"/>
      </w:r>
      <w:r>
        <w:rPr>
          <w:rFonts w:hint="default" w:ascii="Times New Roman" w:hAnsi="Times New Roman" w:eastAsia="黑体"/>
          <w:i w:val="0"/>
          <w:color w:val="0000BF" w:themeColor="hyperlink" w:themeShade="BF"/>
          <w:w w:val="100"/>
        </w:rPr>
        <w:t xml:space="preserve">5 </w:t>
      </w:r>
      <w:r>
        <w:rPr>
          <w:rFonts w:hint="eastAsia"/>
        </w:rPr>
        <w:t>设计荷载</w:t>
      </w:r>
      <w:r>
        <w:tab/>
      </w:r>
      <w:r>
        <w:fldChar w:fldCharType="begin"/>
      </w:r>
      <w:r>
        <w:instrText xml:space="preserve"> PAGEREF _Toc9892 \h </w:instrText>
      </w:r>
      <w:r>
        <w:fldChar w:fldCharType="separate"/>
      </w:r>
      <w:r>
        <w:t>28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_Toc1450 </w:instrText>
      </w:r>
      <w:r>
        <w:fldChar w:fldCharType="separate"/>
      </w:r>
      <w:r>
        <w:rPr>
          <w:rFonts w:hint="eastAsia" w:eastAsia="黑体"/>
          <w:i w:val="0"/>
          <w:color w:val="0000BF" w:themeColor="hyperlink" w:themeShade="BF"/>
          <w:w w:val="100"/>
        </w:rPr>
        <w:t xml:space="preserve">5.1 </w:t>
      </w:r>
      <w:r>
        <w:rPr>
          <w:rFonts w:hint="eastAsia"/>
        </w:rPr>
        <w:t>一般</w:t>
      </w:r>
      <w:r>
        <w:t>规定</w:t>
      </w:r>
      <w:r>
        <w:tab/>
      </w:r>
      <w:r>
        <w:fldChar w:fldCharType="begin"/>
      </w:r>
      <w:r>
        <w:instrText xml:space="preserve"> PAGEREF _Toc1450 \h </w:instrText>
      </w:r>
      <w:r>
        <w:fldChar w:fldCharType="separate"/>
      </w:r>
      <w:r>
        <w:t>28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_Toc28936 </w:instrText>
      </w:r>
      <w:r>
        <w:fldChar w:fldCharType="separate"/>
      </w:r>
      <w:r>
        <w:rPr>
          <w:rFonts w:hint="eastAsia" w:eastAsia="黑体"/>
          <w:i w:val="0"/>
          <w:color w:val="0000BF" w:themeColor="hyperlink" w:themeShade="BF"/>
          <w:w w:val="100"/>
        </w:rPr>
        <w:t xml:space="preserve">5.2 </w:t>
      </w:r>
      <w:r>
        <w:t>土压力</w:t>
      </w:r>
      <w:r>
        <w:tab/>
      </w:r>
      <w:r>
        <w:fldChar w:fldCharType="begin"/>
      </w:r>
      <w:r>
        <w:instrText xml:space="preserve"> PAGEREF _Toc28936 \h </w:instrText>
      </w:r>
      <w:r>
        <w:fldChar w:fldCharType="separate"/>
      </w:r>
      <w:r>
        <w:t>31</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_Toc16588 </w:instrText>
      </w:r>
      <w:r>
        <w:fldChar w:fldCharType="separate"/>
      </w:r>
      <w:r>
        <w:rPr>
          <w:rFonts w:hint="eastAsia" w:eastAsia="黑体"/>
          <w:i w:val="0"/>
          <w:color w:val="0000BF" w:themeColor="hyperlink" w:themeShade="BF"/>
          <w:w w:val="100"/>
        </w:rPr>
        <w:t xml:space="preserve">5.3 </w:t>
      </w:r>
      <w:r>
        <w:rPr>
          <w:rFonts w:hint="eastAsia"/>
        </w:rPr>
        <w:t>水压力</w:t>
      </w:r>
      <w:r>
        <w:tab/>
      </w:r>
      <w:r>
        <w:fldChar w:fldCharType="begin"/>
      </w:r>
      <w:r>
        <w:instrText xml:space="preserve"> PAGEREF _Toc16588 \h </w:instrText>
      </w:r>
      <w:r>
        <w:fldChar w:fldCharType="separate"/>
      </w:r>
      <w:r>
        <w:t>35</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_Toc23130 </w:instrText>
      </w:r>
      <w:r>
        <w:fldChar w:fldCharType="separate"/>
      </w:r>
      <w:r>
        <w:rPr>
          <w:rFonts w:hint="eastAsia" w:eastAsia="黑体"/>
          <w:i w:val="0"/>
          <w:color w:val="0000BF" w:themeColor="hyperlink" w:themeShade="BF"/>
          <w:w w:val="100"/>
        </w:rPr>
        <w:t xml:space="preserve">5.4 </w:t>
      </w:r>
      <w:r>
        <w:rPr>
          <w:rFonts w:hint="eastAsia"/>
        </w:rPr>
        <w:t>其它荷载</w:t>
      </w:r>
      <w:r>
        <w:tab/>
      </w:r>
      <w:r>
        <w:fldChar w:fldCharType="begin"/>
      </w:r>
      <w:r>
        <w:instrText xml:space="preserve"> PAGEREF _Toc23130 \h </w:instrText>
      </w:r>
      <w:r>
        <w:fldChar w:fldCharType="separate"/>
      </w:r>
      <w:r>
        <w:t>35</w:t>
      </w:r>
      <w:r>
        <w:fldChar w:fldCharType="end"/>
      </w:r>
      <w:r>
        <w:fldChar w:fldCharType="end"/>
      </w:r>
    </w:p>
    <w:p>
      <w:pPr>
        <w:pStyle w:val="15"/>
        <w:tabs>
          <w:tab w:val="right" w:leader="dot" w:pos="8306"/>
          <w:tab w:val="clear" w:pos="284"/>
          <w:tab w:val="clear" w:pos="8296"/>
        </w:tabs>
      </w:pPr>
      <w:r>
        <w:fldChar w:fldCharType="begin"/>
      </w:r>
      <w:r>
        <w:instrText xml:space="preserve"> HYPERLINK \l _Toc30675 </w:instrText>
      </w:r>
      <w:r>
        <w:fldChar w:fldCharType="separate"/>
      </w:r>
      <w:r>
        <w:rPr>
          <w:rFonts w:hint="default" w:ascii="Times New Roman" w:hAnsi="Times New Roman" w:eastAsia="黑体"/>
          <w:i w:val="0"/>
          <w:color w:val="0000BF" w:themeColor="hyperlink" w:themeShade="BF"/>
          <w:w w:val="100"/>
        </w:rPr>
        <w:t xml:space="preserve">6 </w:t>
      </w:r>
      <w:r>
        <w:rPr>
          <w:rFonts w:hint="eastAsia"/>
        </w:rPr>
        <w:t>建筑材料</w:t>
      </w:r>
      <w:r>
        <w:tab/>
      </w:r>
      <w:r>
        <w:fldChar w:fldCharType="begin"/>
      </w:r>
      <w:r>
        <w:instrText xml:space="preserve"> PAGEREF _Toc30675 \h </w:instrText>
      </w:r>
      <w:r>
        <w:fldChar w:fldCharType="separate"/>
      </w:r>
      <w:r>
        <w:t>40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_Toc4846 </w:instrText>
      </w:r>
      <w:r>
        <w:fldChar w:fldCharType="separate"/>
      </w:r>
      <w:r>
        <w:rPr>
          <w:rFonts w:hint="eastAsia" w:eastAsia="黑体"/>
          <w:i w:val="0"/>
          <w:color w:val="0000BF" w:themeColor="hyperlink" w:themeShade="BF"/>
          <w:w w:val="100"/>
        </w:rPr>
        <w:t xml:space="preserve">6.1 </w:t>
      </w:r>
      <w:r>
        <w:rPr>
          <w:rFonts w:hint="eastAsia"/>
        </w:rPr>
        <w:t>一般规定</w:t>
      </w:r>
      <w:r>
        <w:tab/>
      </w:r>
      <w:r>
        <w:fldChar w:fldCharType="begin"/>
      </w:r>
      <w:r>
        <w:instrText xml:space="preserve"> PAGEREF _Toc4846 \h </w:instrText>
      </w:r>
      <w:r>
        <w:fldChar w:fldCharType="separate"/>
      </w:r>
      <w:r>
        <w:t>40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_Toc4414 </w:instrText>
      </w:r>
      <w:r>
        <w:fldChar w:fldCharType="separate"/>
      </w:r>
      <w:r>
        <w:rPr>
          <w:rFonts w:hint="eastAsia" w:eastAsia="黑体"/>
          <w:i w:val="0"/>
          <w:color w:val="0000BF" w:themeColor="hyperlink" w:themeShade="BF"/>
          <w:w w:val="100"/>
        </w:rPr>
        <w:t xml:space="preserve">6.2 </w:t>
      </w:r>
      <w:r>
        <w:rPr>
          <w:rFonts w:hint="eastAsia"/>
        </w:rPr>
        <w:t>混凝土</w:t>
      </w:r>
      <w:r>
        <w:tab/>
      </w:r>
      <w:r>
        <w:fldChar w:fldCharType="begin"/>
      </w:r>
      <w:r>
        <w:instrText xml:space="preserve"> PAGEREF _Toc4414 \h </w:instrText>
      </w:r>
      <w:r>
        <w:fldChar w:fldCharType="separate"/>
      </w:r>
      <w:r>
        <w:t>41</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_Toc26839 </w:instrText>
      </w:r>
      <w:r>
        <w:fldChar w:fldCharType="separate"/>
      </w:r>
      <w:r>
        <w:rPr>
          <w:rFonts w:hint="eastAsia" w:eastAsia="黑体"/>
          <w:i w:val="0"/>
          <w:color w:val="0000BF" w:themeColor="hyperlink" w:themeShade="BF"/>
          <w:w w:val="100"/>
        </w:rPr>
        <w:t xml:space="preserve">6.3 </w:t>
      </w:r>
      <w:r>
        <w:rPr>
          <w:rFonts w:hint="eastAsia"/>
        </w:rPr>
        <w:t>钢筋</w:t>
      </w:r>
      <w:r>
        <w:tab/>
      </w:r>
      <w:r>
        <w:fldChar w:fldCharType="begin"/>
      </w:r>
      <w:r>
        <w:instrText xml:space="preserve"> PAGEREF _Toc26839 \h </w:instrText>
      </w:r>
      <w:r>
        <w:fldChar w:fldCharType="separate"/>
      </w:r>
      <w:r>
        <w:t>42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_Toc26140 </w:instrText>
      </w:r>
      <w:r>
        <w:fldChar w:fldCharType="separate"/>
      </w:r>
      <w:r>
        <w:rPr>
          <w:rFonts w:hint="eastAsia" w:eastAsia="黑体"/>
          <w:i w:val="0"/>
          <w:color w:val="0000BF" w:themeColor="hyperlink" w:themeShade="BF"/>
          <w:w w:val="100"/>
        </w:rPr>
        <w:t xml:space="preserve">6.4 </w:t>
      </w:r>
      <w:r>
        <w:rPr>
          <w:rFonts w:hint="eastAsia"/>
        </w:rPr>
        <w:t>其他材料</w:t>
      </w:r>
      <w:r>
        <w:tab/>
      </w:r>
      <w:r>
        <w:fldChar w:fldCharType="begin"/>
      </w:r>
      <w:r>
        <w:instrText xml:space="preserve"> PAGEREF _Toc26140 \h </w:instrText>
      </w:r>
      <w:r>
        <w:fldChar w:fldCharType="separate"/>
      </w:r>
      <w:r>
        <w:t>44</w:t>
      </w:r>
      <w:r>
        <w:fldChar w:fldCharType="end"/>
      </w:r>
      <w:r>
        <w:fldChar w:fldCharType="end"/>
      </w:r>
    </w:p>
    <w:p>
      <w:pPr>
        <w:pStyle w:val="15"/>
        <w:tabs>
          <w:tab w:val="right" w:leader="dot" w:pos="8306"/>
          <w:tab w:val="clear" w:pos="284"/>
          <w:tab w:val="clear" w:pos="8296"/>
        </w:tabs>
      </w:pPr>
      <w:r>
        <w:fldChar w:fldCharType="begin"/>
      </w:r>
      <w:r>
        <w:instrText xml:space="preserve"> HYPERLINK \l _Toc12048 </w:instrText>
      </w:r>
      <w:r>
        <w:fldChar w:fldCharType="separate"/>
      </w:r>
      <w:r>
        <w:rPr>
          <w:rFonts w:hint="default" w:ascii="Times New Roman" w:hAnsi="Times New Roman" w:eastAsia="黑体"/>
          <w:i w:val="0"/>
          <w:color w:val="0000BF" w:themeColor="hyperlink" w:themeShade="BF"/>
          <w:w w:val="100"/>
        </w:rPr>
        <w:t xml:space="preserve">7 </w:t>
      </w:r>
      <w:r>
        <w:rPr>
          <w:rFonts w:hint="eastAsia"/>
        </w:rPr>
        <w:t>基坑支护结构-</w:t>
      </w:r>
      <w:r>
        <w:tab/>
      </w:r>
      <w:r>
        <w:fldChar w:fldCharType="begin"/>
      </w:r>
      <w:r>
        <w:instrText xml:space="preserve"> PAGEREF _Toc12048 \h </w:instrText>
      </w:r>
      <w:r>
        <w:fldChar w:fldCharType="separate"/>
      </w:r>
      <w:r>
        <w:t>45</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_Toc27414 </w:instrText>
      </w:r>
      <w:r>
        <w:fldChar w:fldCharType="separate"/>
      </w:r>
      <w:r>
        <w:rPr>
          <w:rFonts w:hint="eastAsia" w:eastAsia="黑体"/>
          <w:i w:val="0"/>
          <w:color w:val="0000BF" w:themeColor="hyperlink" w:themeShade="BF"/>
          <w:w w:val="100"/>
        </w:rPr>
        <w:t xml:space="preserve">7.1 </w:t>
      </w:r>
      <w:r>
        <w:rPr>
          <w:rFonts w:hint="eastAsia"/>
        </w:rPr>
        <w:t>一般规定</w:t>
      </w:r>
      <w:r>
        <w:tab/>
      </w:r>
      <w:r>
        <w:fldChar w:fldCharType="begin"/>
      </w:r>
      <w:r>
        <w:instrText xml:space="preserve"> PAGEREF _Toc27414 \h </w:instrText>
      </w:r>
      <w:r>
        <w:fldChar w:fldCharType="separate"/>
      </w:r>
      <w:r>
        <w:t>45</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_Toc9934 </w:instrText>
      </w:r>
      <w:r>
        <w:fldChar w:fldCharType="separate"/>
      </w:r>
      <w:r>
        <w:rPr>
          <w:rFonts w:hint="eastAsia" w:eastAsia="黑体"/>
          <w:i w:val="0"/>
          <w:color w:val="0000BF" w:themeColor="hyperlink" w:themeShade="BF"/>
          <w:w w:val="100"/>
        </w:rPr>
        <w:t xml:space="preserve">7.2 </w:t>
      </w:r>
      <w:r>
        <w:rPr>
          <w:rFonts w:hint="eastAsia"/>
        </w:rPr>
        <w:t>支档式结构</w:t>
      </w:r>
      <w:r>
        <w:tab/>
      </w:r>
      <w:r>
        <w:fldChar w:fldCharType="begin"/>
      </w:r>
      <w:r>
        <w:instrText xml:space="preserve"> PAGEREF _Toc9934 \h </w:instrText>
      </w:r>
      <w:r>
        <w:fldChar w:fldCharType="separate"/>
      </w:r>
      <w:r>
        <w:t>50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_Toc18171 </w:instrText>
      </w:r>
      <w:r>
        <w:fldChar w:fldCharType="separate"/>
      </w:r>
      <w:r>
        <w:rPr>
          <w:rFonts w:hint="eastAsia" w:eastAsia="黑体"/>
          <w:i w:val="0"/>
          <w:color w:val="0000BF" w:themeColor="hyperlink" w:themeShade="BF"/>
          <w:w w:val="100"/>
        </w:rPr>
        <w:t xml:space="preserve">7.3 </w:t>
      </w:r>
      <w:r>
        <w:rPr>
          <w:rFonts w:hint="eastAsia"/>
        </w:rPr>
        <w:t>土钉墙</w:t>
      </w:r>
      <w:r>
        <w:tab/>
      </w:r>
      <w:r>
        <w:fldChar w:fldCharType="begin"/>
      </w:r>
      <w:r>
        <w:instrText xml:space="preserve"> PAGEREF _Toc18171 \h </w:instrText>
      </w:r>
      <w:r>
        <w:fldChar w:fldCharType="separate"/>
      </w:r>
      <w:r>
        <w:t>90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_Toc17508 </w:instrText>
      </w:r>
      <w:r>
        <w:fldChar w:fldCharType="separate"/>
      </w:r>
      <w:r>
        <w:rPr>
          <w:rFonts w:hint="eastAsia" w:eastAsia="黑体"/>
          <w:i w:val="0"/>
          <w:color w:val="0000BF" w:themeColor="hyperlink" w:themeShade="BF"/>
          <w:w w:val="100"/>
        </w:rPr>
        <w:t xml:space="preserve">7.4 </w:t>
      </w:r>
      <w:r>
        <w:rPr>
          <w:rFonts w:hint="eastAsia"/>
        </w:rPr>
        <w:t>重力式水泥土墙</w:t>
      </w:r>
      <w:r>
        <w:tab/>
      </w:r>
      <w:r>
        <w:fldChar w:fldCharType="begin"/>
      </w:r>
      <w:r>
        <w:instrText xml:space="preserve"> PAGEREF _Toc17508 \h </w:instrText>
      </w:r>
      <w:r>
        <w:fldChar w:fldCharType="separate"/>
      </w:r>
      <w:r>
        <w:t>108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_Toc27274 </w:instrText>
      </w:r>
      <w:r>
        <w:fldChar w:fldCharType="separate"/>
      </w:r>
      <w:r>
        <w:rPr>
          <w:rFonts w:hint="eastAsia" w:eastAsia="黑体"/>
          <w:i w:val="0"/>
          <w:color w:val="0000BF" w:themeColor="hyperlink" w:themeShade="BF"/>
          <w:w w:val="100"/>
        </w:rPr>
        <w:t xml:space="preserve">7.5 </w:t>
      </w:r>
      <w:r>
        <w:rPr>
          <w:rFonts w:hint="eastAsia"/>
        </w:rPr>
        <w:t>重力式挡墙</w:t>
      </w:r>
      <w:r>
        <w:tab/>
      </w:r>
      <w:r>
        <w:fldChar w:fldCharType="begin"/>
      </w:r>
      <w:r>
        <w:instrText xml:space="preserve"> PAGEREF _Toc27274 \h </w:instrText>
      </w:r>
      <w:r>
        <w:fldChar w:fldCharType="separate"/>
      </w:r>
      <w:r>
        <w:t>115</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_Toc13419 </w:instrText>
      </w:r>
      <w:r>
        <w:fldChar w:fldCharType="separate"/>
      </w:r>
      <w:r>
        <w:rPr>
          <w:rFonts w:hint="eastAsia" w:eastAsia="黑体"/>
          <w:i w:val="0"/>
          <w:color w:val="0000BF" w:themeColor="hyperlink" w:themeShade="BF"/>
          <w:w w:val="100"/>
        </w:rPr>
        <w:t xml:space="preserve">7.6 </w:t>
      </w:r>
      <w:r>
        <w:rPr>
          <w:rFonts w:hint="eastAsia"/>
        </w:rPr>
        <w:t>放坡</w:t>
      </w:r>
      <w:r>
        <w:tab/>
      </w:r>
      <w:r>
        <w:fldChar w:fldCharType="begin"/>
      </w:r>
      <w:r>
        <w:instrText xml:space="preserve"> PAGEREF _Toc13419 \h </w:instrText>
      </w:r>
      <w:r>
        <w:fldChar w:fldCharType="separate"/>
      </w:r>
      <w:r>
        <w:t>119</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_Toc7039 </w:instrText>
      </w:r>
      <w:r>
        <w:fldChar w:fldCharType="separate"/>
      </w:r>
      <w:r>
        <w:rPr>
          <w:rFonts w:hint="eastAsia" w:eastAsia="黑体"/>
          <w:i w:val="0"/>
          <w:color w:val="0000BF" w:themeColor="hyperlink" w:themeShade="BF"/>
          <w:w w:val="100"/>
        </w:rPr>
        <w:t xml:space="preserve">7.7 </w:t>
      </w:r>
      <w:r>
        <w:rPr>
          <w:rFonts w:hint="eastAsia"/>
        </w:rPr>
        <w:t>土方开挖及回填</w:t>
      </w:r>
      <w:r>
        <w:tab/>
      </w:r>
      <w:r>
        <w:fldChar w:fldCharType="begin"/>
      </w:r>
      <w:r>
        <w:instrText xml:space="preserve"> PAGEREF _Toc7039 \h </w:instrText>
      </w:r>
      <w:r>
        <w:fldChar w:fldCharType="separate"/>
      </w:r>
      <w:r>
        <w:t>123</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_Toc27404 </w:instrText>
      </w:r>
      <w:r>
        <w:fldChar w:fldCharType="separate"/>
      </w:r>
      <w:r>
        <w:rPr>
          <w:rFonts w:hint="eastAsia" w:eastAsia="黑体"/>
          <w:i w:val="0"/>
          <w:color w:val="0000BF" w:themeColor="hyperlink" w:themeShade="BF"/>
          <w:w w:val="100"/>
        </w:rPr>
        <w:t xml:space="preserve">7.8 </w:t>
      </w:r>
      <w:r>
        <w:rPr>
          <w:rFonts w:hint="eastAsia"/>
        </w:rPr>
        <w:t>应急响应及措施</w:t>
      </w:r>
      <w:r>
        <w:tab/>
      </w:r>
      <w:r>
        <w:fldChar w:fldCharType="begin"/>
      </w:r>
      <w:r>
        <w:instrText xml:space="preserve"> PAGEREF _Toc27404 \h </w:instrText>
      </w:r>
      <w:r>
        <w:fldChar w:fldCharType="separate"/>
      </w:r>
      <w:r>
        <w:t>129</w:t>
      </w:r>
      <w:r>
        <w:fldChar w:fldCharType="end"/>
      </w:r>
      <w:r>
        <w:fldChar w:fldCharType="end"/>
      </w:r>
    </w:p>
    <w:p>
      <w:pPr>
        <w:pStyle w:val="15"/>
        <w:tabs>
          <w:tab w:val="right" w:leader="dot" w:pos="8306"/>
          <w:tab w:val="clear" w:pos="284"/>
          <w:tab w:val="clear" w:pos="8296"/>
        </w:tabs>
      </w:pPr>
      <w:r>
        <w:fldChar w:fldCharType="begin"/>
      </w:r>
      <w:r>
        <w:instrText xml:space="preserve"> HYPERLINK \l _Toc13628 </w:instrText>
      </w:r>
      <w:r>
        <w:fldChar w:fldCharType="separate"/>
      </w:r>
      <w:r>
        <w:rPr>
          <w:rFonts w:hint="default" w:ascii="Times New Roman" w:hAnsi="Times New Roman" w:eastAsia="黑体"/>
          <w:i w:val="0"/>
          <w:color w:val="0000BF" w:themeColor="hyperlink" w:themeShade="BF"/>
          <w:w w:val="100"/>
        </w:rPr>
        <w:t xml:space="preserve">8 </w:t>
      </w:r>
      <w:r>
        <w:t>土体加固</w:t>
      </w:r>
      <w:r>
        <w:tab/>
      </w:r>
      <w:r>
        <w:fldChar w:fldCharType="begin"/>
      </w:r>
      <w:r>
        <w:instrText xml:space="preserve"> PAGEREF _Toc13628 \h </w:instrText>
      </w:r>
      <w:r>
        <w:fldChar w:fldCharType="separate"/>
      </w:r>
      <w:r>
        <w:t>132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_Toc5780 </w:instrText>
      </w:r>
      <w:r>
        <w:fldChar w:fldCharType="separate"/>
      </w:r>
      <w:r>
        <w:rPr>
          <w:rFonts w:hint="eastAsia" w:eastAsia="黑体"/>
          <w:i w:val="0"/>
          <w:color w:val="0000BF" w:themeColor="hyperlink" w:themeShade="BF"/>
          <w:w w:val="100"/>
        </w:rPr>
        <w:t xml:space="preserve">8.1 </w:t>
      </w:r>
      <w:r>
        <w:rPr>
          <w:rFonts w:hint="eastAsia"/>
        </w:rPr>
        <w:t>一般</w:t>
      </w:r>
      <w:r>
        <w:t>规定</w:t>
      </w:r>
      <w:r>
        <w:tab/>
      </w:r>
      <w:r>
        <w:fldChar w:fldCharType="begin"/>
      </w:r>
      <w:r>
        <w:instrText xml:space="preserve"> PAGEREF _Toc5780 \h </w:instrText>
      </w:r>
      <w:r>
        <w:fldChar w:fldCharType="separate"/>
      </w:r>
      <w:r>
        <w:t>132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_Toc13187 </w:instrText>
      </w:r>
      <w:r>
        <w:fldChar w:fldCharType="separate"/>
      </w:r>
      <w:r>
        <w:rPr>
          <w:rFonts w:hint="eastAsia" w:eastAsia="黑体"/>
          <w:i w:val="0"/>
          <w:color w:val="0000BF" w:themeColor="hyperlink" w:themeShade="BF"/>
          <w:w w:val="100"/>
        </w:rPr>
        <w:t xml:space="preserve">8.2 </w:t>
      </w:r>
      <w:r>
        <w:rPr>
          <w:rFonts w:hint="eastAsia"/>
        </w:rPr>
        <w:t>注浆法</w:t>
      </w:r>
      <w:r>
        <w:tab/>
      </w:r>
      <w:r>
        <w:fldChar w:fldCharType="begin"/>
      </w:r>
      <w:r>
        <w:instrText xml:space="preserve"> PAGEREF _Toc13187 \h </w:instrText>
      </w:r>
      <w:r>
        <w:fldChar w:fldCharType="separate"/>
      </w:r>
      <w:r>
        <w:t>134</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_Toc22466 </w:instrText>
      </w:r>
      <w:r>
        <w:fldChar w:fldCharType="separate"/>
      </w:r>
      <w:r>
        <w:rPr>
          <w:rFonts w:hint="eastAsia" w:eastAsia="黑体"/>
          <w:i w:val="0"/>
          <w:color w:val="0000BF" w:themeColor="hyperlink" w:themeShade="BF"/>
          <w:w w:val="100"/>
        </w:rPr>
        <w:t xml:space="preserve">8.3 </w:t>
      </w:r>
      <w:r>
        <w:t>高压旋喷法</w:t>
      </w:r>
      <w:r>
        <w:tab/>
      </w:r>
      <w:r>
        <w:fldChar w:fldCharType="begin"/>
      </w:r>
      <w:r>
        <w:instrText xml:space="preserve"> PAGEREF _Toc22466 \h </w:instrText>
      </w:r>
      <w:r>
        <w:fldChar w:fldCharType="separate"/>
      </w:r>
      <w:r>
        <w:t>136</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_Toc17 </w:instrText>
      </w:r>
      <w:r>
        <w:fldChar w:fldCharType="separate"/>
      </w:r>
      <w:r>
        <w:rPr>
          <w:rFonts w:hint="eastAsia" w:eastAsia="黑体"/>
          <w:i w:val="0"/>
          <w:color w:val="0000BF" w:themeColor="hyperlink" w:themeShade="BF"/>
          <w:w w:val="100"/>
        </w:rPr>
        <w:t xml:space="preserve">8.4 </w:t>
      </w:r>
      <w:r>
        <w:t>深层搅拌法</w:t>
      </w:r>
      <w:r>
        <w:tab/>
      </w:r>
      <w:r>
        <w:fldChar w:fldCharType="begin"/>
      </w:r>
      <w:r>
        <w:instrText xml:space="preserve"> PAGEREF _Toc17 \h </w:instrText>
      </w:r>
      <w:r>
        <w:fldChar w:fldCharType="separate"/>
      </w:r>
      <w:r>
        <w:t>141</w:t>
      </w:r>
      <w:r>
        <w:fldChar w:fldCharType="end"/>
      </w:r>
      <w:r>
        <w:fldChar w:fldCharType="end"/>
      </w:r>
    </w:p>
    <w:p>
      <w:pPr>
        <w:pStyle w:val="15"/>
        <w:tabs>
          <w:tab w:val="right" w:leader="dot" w:pos="8306"/>
          <w:tab w:val="clear" w:pos="284"/>
          <w:tab w:val="clear" w:pos="8296"/>
        </w:tabs>
      </w:pPr>
      <w:r>
        <w:fldChar w:fldCharType="begin"/>
      </w:r>
      <w:r>
        <w:instrText xml:space="preserve"> HYPERLINK \l _Toc30063 </w:instrText>
      </w:r>
      <w:r>
        <w:fldChar w:fldCharType="separate"/>
      </w:r>
      <w:r>
        <w:rPr>
          <w:rFonts w:hint="default" w:ascii="Times New Roman" w:hAnsi="Times New Roman" w:eastAsia="黑体"/>
          <w:i w:val="0"/>
          <w:color w:val="0000BF" w:themeColor="hyperlink" w:themeShade="BF"/>
          <w:w w:val="100"/>
        </w:rPr>
        <w:t xml:space="preserve">9 </w:t>
      </w:r>
      <w:r>
        <w:rPr>
          <w:rFonts w:hint="eastAsia"/>
        </w:rPr>
        <w:t>基坑地下水</w:t>
      </w:r>
      <w:r>
        <w:t>控制</w:t>
      </w:r>
      <w:r>
        <w:tab/>
      </w:r>
      <w:r>
        <w:fldChar w:fldCharType="begin"/>
      </w:r>
      <w:r>
        <w:instrText xml:space="preserve"> PAGEREF _Toc30063 \h </w:instrText>
      </w:r>
      <w:r>
        <w:fldChar w:fldCharType="separate"/>
      </w:r>
      <w:r>
        <w:t>148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_Toc551 </w:instrText>
      </w:r>
      <w:r>
        <w:fldChar w:fldCharType="separate"/>
      </w:r>
      <w:r>
        <w:rPr>
          <w:rFonts w:hint="eastAsia" w:eastAsia="黑体"/>
          <w:i w:val="0"/>
          <w:color w:val="0000BF" w:themeColor="hyperlink" w:themeShade="BF"/>
          <w:w w:val="100"/>
        </w:rPr>
        <w:t xml:space="preserve">9.1 </w:t>
      </w:r>
      <w:r>
        <w:rPr>
          <w:rFonts w:hint="eastAsia"/>
        </w:rPr>
        <w:t>一般</w:t>
      </w:r>
      <w:r>
        <w:t>规定</w:t>
      </w:r>
      <w:r>
        <w:tab/>
      </w:r>
      <w:r>
        <w:fldChar w:fldCharType="begin"/>
      </w:r>
      <w:r>
        <w:instrText xml:space="preserve"> PAGEREF _Toc551 \h </w:instrText>
      </w:r>
      <w:r>
        <w:fldChar w:fldCharType="separate"/>
      </w:r>
      <w:r>
        <w:t>148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_Toc11897 </w:instrText>
      </w:r>
      <w:r>
        <w:fldChar w:fldCharType="separate"/>
      </w:r>
      <w:r>
        <w:rPr>
          <w:rFonts w:hint="eastAsia" w:eastAsia="黑体"/>
          <w:i w:val="0"/>
          <w:color w:val="0000BF" w:themeColor="hyperlink" w:themeShade="BF"/>
          <w:w w:val="100"/>
        </w:rPr>
        <w:t xml:space="preserve">9.2 </w:t>
      </w:r>
      <w:r>
        <w:rPr>
          <w:rFonts w:hint="eastAsia"/>
        </w:rPr>
        <w:t>基坑隔水（截水、隔水帷幕）</w:t>
      </w:r>
      <w:r>
        <w:tab/>
      </w:r>
      <w:r>
        <w:fldChar w:fldCharType="begin"/>
      </w:r>
      <w:r>
        <w:instrText xml:space="preserve"> PAGEREF _Toc11897 \h </w:instrText>
      </w:r>
      <w:r>
        <w:fldChar w:fldCharType="separate"/>
      </w:r>
      <w:r>
        <w:t>149</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_Toc10048 </w:instrText>
      </w:r>
      <w:r>
        <w:fldChar w:fldCharType="separate"/>
      </w:r>
      <w:r>
        <w:rPr>
          <w:rFonts w:hint="eastAsia" w:eastAsia="黑体"/>
          <w:i w:val="0"/>
          <w:color w:val="0000BF" w:themeColor="hyperlink" w:themeShade="BF"/>
          <w:w w:val="100"/>
        </w:rPr>
        <w:t xml:space="preserve">9.3 </w:t>
      </w:r>
      <w:r>
        <w:rPr>
          <w:rFonts w:hint="eastAsia"/>
        </w:rPr>
        <w:t>基坑降排水</w:t>
      </w:r>
      <w:r>
        <w:tab/>
      </w:r>
      <w:r>
        <w:fldChar w:fldCharType="begin"/>
      </w:r>
      <w:r>
        <w:instrText xml:space="preserve"> PAGEREF _Toc10048 \h </w:instrText>
      </w:r>
      <w:r>
        <w:fldChar w:fldCharType="separate"/>
      </w:r>
      <w:r>
        <w:t>153</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_Toc9252 </w:instrText>
      </w:r>
      <w:r>
        <w:fldChar w:fldCharType="separate"/>
      </w:r>
      <w:r>
        <w:rPr>
          <w:rFonts w:hint="eastAsia" w:eastAsia="黑体"/>
          <w:i w:val="0"/>
          <w:color w:val="0000BF" w:themeColor="hyperlink" w:themeShade="BF"/>
          <w:w w:val="100"/>
        </w:rPr>
        <w:t xml:space="preserve">9.4 </w:t>
      </w:r>
      <w:r>
        <w:rPr>
          <w:rFonts w:hint="eastAsia"/>
        </w:rPr>
        <w:t>回灌</w:t>
      </w:r>
      <w:r>
        <w:tab/>
      </w:r>
      <w:r>
        <w:fldChar w:fldCharType="begin"/>
      </w:r>
      <w:r>
        <w:instrText xml:space="preserve"> PAGEREF _Toc9252 \h </w:instrText>
      </w:r>
      <w:r>
        <w:fldChar w:fldCharType="separate"/>
      </w:r>
      <w:r>
        <w:t>156</w:t>
      </w:r>
      <w:r>
        <w:fldChar w:fldCharType="end"/>
      </w:r>
      <w:r>
        <w:fldChar w:fldCharType="end"/>
      </w:r>
    </w:p>
    <w:p>
      <w:pPr>
        <w:pStyle w:val="15"/>
        <w:tabs>
          <w:tab w:val="right" w:leader="dot" w:pos="8306"/>
          <w:tab w:val="clear" w:pos="284"/>
          <w:tab w:val="clear" w:pos="8296"/>
        </w:tabs>
      </w:pPr>
      <w:r>
        <w:fldChar w:fldCharType="begin"/>
      </w:r>
      <w:r>
        <w:instrText xml:space="preserve"> HYPERLINK \l _Toc5761 </w:instrText>
      </w:r>
      <w:r>
        <w:fldChar w:fldCharType="separate"/>
      </w:r>
      <w:r>
        <w:rPr>
          <w:rFonts w:hint="default" w:ascii="Times New Roman" w:hAnsi="Times New Roman" w:eastAsia="黑体"/>
          <w:i w:val="0"/>
          <w:color w:val="0000BF" w:themeColor="hyperlink" w:themeShade="BF"/>
          <w:w w:val="100"/>
        </w:rPr>
        <w:t xml:space="preserve">10 </w:t>
      </w:r>
      <w:r>
        <w:rPr>
          <w:rFonts w:hint="eastAsia"/>
        </w:rPr>
        <w:t>基坑监测</w:t>
      </w:r>
      <w:r>
        <w:tab/>
      </w:r>
      <w:r>
        <w:fldChar w:fldCharType="begin"/>
      </w:r>
      <w:r>
        <w:instrText xml:space="preserve"> PAGEREF _Toc5761 \h </w:instrText>
      </w:r>
      <w:r>
        <w:fldChar w:fldCharType="separate"/>
      </w:r>
      <w:r>
        <w:t>158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_Toc26689 </w:instrText>
      </w:r>
      <w:r>
        <w:fldChar w:fldCharType="separate"/>
      </w:r>
      <w:r>
        <w:rPr>
          <w:rFonts w:hint="eastAsia" w:eastAsia="黑体"/>
          <w:i w:val="0"/>
          <w:color w:val="0000BF" w:themeColor="hyperlink" w:themeShade="BF"/>
          <w:w w:val="100"/>
        </w:rPr>
        <w:t xml:space="preserve">10.1 </w:t>
      </w:r>
      <w:r>
        <w:rPr>
          <w:rFonts w:hint="eastAsia"/>
        </w:rPr>
        <w:t>一般要求</w:t>
      </w:r>
      <w:r>
        <w:tab/>
      </w:r>
      <w:r>
        <w:fldChar w:fldCharType="begin"/>
      </w:r>
      <w:r>
        <w:instrText xml:space="preserve"> PAGEREF _Toc26689 \h </w:instrText>
      </w:r>
      <w:r>
        <w:fldChar w:fldCharType="separate"/>
      </w:r>
      <w:r>
        <w:t>158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_Toc3241 </w:instrText>
      </w:r>
      <w:r>
        <w:fldChar w:fldCharType="separate"/>
      </w:r>
      <w:r>
        <w:rPr>
          <w:rFonts w:hint="eastAsia" w:eastAsia="黑体"/>
          <w:i w:val="0"/>
          <w:color w:val="0000BF" w:themeColor="hyperlink" w:themeShade="BF"/>
          <w:w w:val="100"/>
        </w:rPr>
        <w:t xml:space="preserve">10.2 </w:t>
      </w:r>
      <w:r>
        <w:rPr>
          <w:rFonts w:hint="eastAsia"/>
        </w:rPr>
        <w:t>监测方法及测点布置</w:t>
      </w:r>
      <w:r>
        <w:tab/>
      </w:r>
      <w:r>
        <w:fldChar w:fldCharType="begin"/>
      </w:r>
      <w:r>
        <w:instrText xml:space="preserve"> PAGEREF _Toc3241 \h </w:instrText>
      </w:r>
      <w:r>
        <w:fldChar w:fldCharType="separate"/>
      </w:r>
      <w:r>
        <w:t>158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_Toc21988 </w:instrText>
      </w:r>
      <w:r>
        <w:fldChar w:fldCharType="separate"/>
      </w:r>
      <w:r>
        <w:rPr>
          <w:rFonts w:hint="eastAsia" w:eastAsia="黑体"/>
          <w:i w:val="0"/>
          <w:color w:val="0000BF" w:themeColor="hyperlink" w:themeShade="BF"/>
          <w:w w:val="100"/>
        </w:rPr>
        <w:t xml:space="preserve">10.3 </w:t>
      </w:r>
      <w:r>
        <w:rPr>
          <w:rFonts w:hint="eastAsia"/>
        </w:rPr>
        <w:t>监测频率及控制值</w:t>
      </w:r>
      <w:r>
        <w:tab/>
      </w:r>
      <w:r>
        <w:fldChar w:fldCharType="begin"/>
      </w:r>
      <w:r>
        <w:instrText xml:space="preserve"> PAGEREF _Toc21988 \h </w:instrText>
      </w:r>
      <w:r>
        <w:fldChar w:fldCharType="separate"/>
      </w:r>
      <w:r>
        <w:t>162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_Toc3215 </w:instrText>
      </w:r>
      <w:r>
        <w:fldChar w:fldCharType="separate"/>
      </w:r>
      <w:r>
        <w:rPr>
          <w:rFonts w:hint="eastAsia" w:eastAsia="黑体"/>
          <w:i w:val="0"/>
          <w:color w:val="0000BF" w:themeColor="hyperlink" w:themeShade="BF"/>
          <w:w w:val="100"/>
        </w:rPr>
        <w:t xml:space="preserve">10.4 </w:t>
      </w:r>
      <w:r>
        <w:rPr>
          <w:rFonts w:hint="eastAsia"/>
        </w:rPr>
        <w:t>监测资料及成果文件编制</w:t>
      </w:r>
      <w:r>
        <w:tab/>
      </w:r>
      <w:r>
        <w:fldChar w:fldCharType="begin"/>
      </w:r>
      <w:r>
        <w:instrText xml:space="preserve"> PAGEREF _Toc3215 \h </w:instrText>
      </w:r>
      <w:r>
        <w:fldChar w:fldCharType="separate"/>
      </w:r>
      <w:r>
        <w:t>166</w:t>
      </w:r>
      <w:r>
        <w:fldChar w:fldCharType="end"/>
      </w:r>
      <w:r>
        <w:fldChar w:fldCharType="end"/>
      </w:r>
    </w:p>
    <w:p>
      <w:pPr>
        <w:pStyle w:val="15"/>
        <w:tabs>
          <w:tab w:val="right" w:leader="dot" w:pos="8306"/>
          <w:tab w:val="clear" w:pos="284"/>
          <w:tab w:val="clear" w:pos="8296"/>
        </w:tabs>
      </w:pPr>
      <w:r>
        <w:fldChar w:fldCharType="begin"/>
      </w:r>
      <w:r>
        <w:instrText xml:space="preserve"> HYPERLINK \l _Toc20588 </w:instrText>
      </w:r>
      <w:r>
        <w:fldChar w:fldCharType="separate"/>
      </w:r>
      <w:r>
        <w:rPr>
          <w:rFonts w:hint="default" w:ascii="Times New Roman" w:hAnsi="Times New Roman" w:eastAsia="黑体"/>
          <w:i w:val="0"/>
          <w:color w:val="0000BF" w:themeColor="hyperlink" w:themeShade="BF"/>
          <w:w w:val="100"/>
        </w:rPr>
        <w:t xml:space="preserve">11 </w:t>
      </w:r>
      <w:r>
        <w:rPr>
          <w:rFonts w:hint="eastAsia"/>
        </w:rPr>
        <w:t>主体结构及防水</w:t>
      </w:r>
      <w:r>
        <w:tab/>
      </w:r>
      <w:r>
        <w:fldChar w:fldCharType="begin"/>
      </w:r>
      <w:r>
        <w:instrText xml:space="preserve"> PAGEREF _Toc20588 \h </w:instrText>
      </w:r>
      <w:r>
        <w:fldChar w:fldCharType="separate"/>
      </w:r>
      <w:r>
        <w:t>168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_Toc12393 </w:instrText>
      </w:r>
      <w:r>
        <w:fldChar w:fldCharType="separate"/>
      </w:r>
      <w:r>
        <w:rPr>
          <w:rFonts w:hint="eastAsia" w:eastAsia="黑体"/>
          <w:i w:val="0"/>
          <w:color w:val="0000BF" w:themeColor="hyperlink" w:themeShade="BF"/>
          <w:w w:val="100"/>
        </w:rPr>
        <w:t xml:space="preserve">11.1 </w:t>
      </w:r>
      <w:r>
        <w:t>隧道</w:t>
      </w:r>
      <w:r>
        <w:rPr>
          <w:rFonts w:hint="eastAsia"/>
        </w:rPr>
        <w:t>主体结构设计</w:t>
      </w:r>
      <w:r>
        <w:tab/>
      </w:r>
      <w:r>
        <w:fldChar w:fldCharType="begin"/>
      </w:r>
      <w:r>
        <w:instrText xml:space="preserve"> PAGEREF _Toc12393 \h </w:instrText>
      </w:r>
      <w:r>
        <w:fldChar w:fldCharType="separate"/>
      </w:r>
      <w:r>
        <w:t>168</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_Toc9258 </w:instrText>
      </w:r>
      <w:r>
        <w:fldChar w:fldCharType="separate"/>
      </w:r>
      <w:r>
        <w:rPr>
          <w:rFonts w:hint="eastAsia" w:eastAsia="黑体"/>
          <w:i w:val="0"/>
          <w:color w:val="0000BF" w:themeColor="hyperlink" w:themeShade="BF"/>
          <w:w w:val="100"/>
        </w:rPr>
        <w:t xml:space="preserve">11.2 </w:t>
      </w:r>
      <w:r>
        <w:rPr>
          <w:rFonts w:hint="eastAsia"/>
        </w:rPr>
        <w:t>抗震设计</w:t>
      </w:r>
      <w:r>
        <w:tab/>
      </w:r>
      <w:r>
        <w:fldChar w:fldCharType="begin"/>
      </w:r>
      <w:r>
        <w:instrText xml:space="preserve"> PAGEREF _Toc9258 \h </w:instrText>
      </w:r>
      <w:r>
        <w:fldChar w:fldCharType="separate"/>
      </w:r>
      <w:r>
        <w:t>169</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_Toc2672 </w:instrText>
      </w:r>
      <w:r>
        <w:fldChar w:fldCharType="separate"/>
      </w:r>
      <w:r>
        <w:rPr>
          <w:rFonts w:hint="eastAsia" w:eastAsia="黑体"/>
          <w:i w:val="0"/>
          <w:color w:val="0000BF" w:themeColor="hyperlink" w:themeShade="BF"/>
          <w:w w:val="100"/>
        </w:rPr>
        <w:t xml:space="preserve">11.3 </w:t>
      </w:r>
      <w:r>
        <w:rPr>
          <w:rFonts w:hint="eastAsia"/>
        </w:rPr>
        <w:t>抗浮设计</w:t>
      </w:r>
      <w:r>
        <w:tab/>
      </w:r>
      <w:r>
        <w:fldChar w:fldCharType="begin"/>
      </w:r>
      <w:r>
        <w:instrText xml:space="preserve"> PAGEREF _Toc2672 \h </w:instrText>
      </w:r>
      <w:r>
        <w:fldChar w:fldCharType="separate"/>
      </w:r>
      <w:r>
        <w:t>171</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_Toc23791 </w:instrText>
      </w:r>
      <w:r>
        <w:fldChar w:fldCharType="separate"/>
      </w:r>
      <w:r>
        <w:rPr>
          <w:rFonts w:hint="eastAsia" w:eastAsia="黑体"/>
          <w:i w:val="0"/>
          <w:color w:val="0000BF" w:themeColor="hyperlink" w:themeShade="BF"/>
          <w:w w:val="100"/>
        </w:rPr>
        <w:t xml:space="preserve">11.4 </w:t>
      </w:r>
      <w:r>
        <w:rPr>
          <w:rFonts w:hint="eastAsia"/>
        </w:rPr>
        <w:t>附属及洞口设计</w:t>
      </w:r>
      <w:r>
        <w:tab/>
      </w:r>
      <w:r>
        <w:fldChar w:fldCharType="begin"/>
      </w:r>
      <w:r>
        <w:instrText xml:space="preserve"> PAGEREF _Toc23791 \h </w:instrText>
      </w:r>
      <w:r>
        <w:fldChar w:fldCharType="separate"/>
      </w:r>
      <w:r>
        <w:t>171</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_Toc14251 </w:instrText>
      </w:r>
      <w:r>
        <w:fldChar w:fldCharType="separate"/>
      </w:r>
      <w:r>
        <w:rPr>
          <w:rFonts w:hint="eastAsia" w:eastAsia="黑体"/>
          <w:i w:val="0"/>
          <w:color w:val="0000BF" w:themeColor="hyperlink" w:themeShade="BF"/>
          <w:w w:val="100"/>
        </w:rPr>
        <w:t xml:space="preserve">11.5 </w:t>
      </w:r>
      <w:r>
        <w:rPr>
          <w:rFonts w:hint="eastAsia"/>
        </w:rPr>
        <w:t>构造</w:t>
      </w:r>
      <w:r>
        <w:tab/>
      </w:r>
      <w:r>
        <w:fldChar w:fldCharType="begin"/>
      </w:r>
      <w:r>
        <w:instrText xml:space="preserve"> PAGEREF _Toc14251 \h </w:instrText>
      </w:r>
      <w:r>
        <w:fldChar w:fldCharType="separate"/>
      </w:r>
      <w:r>
        <w:t>173</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_Toc19008 </w:instrText>
      </w:r>
      <w:r>
        <w:fldChar w:fldCharType="separate"/>
      </w:r>
      <w:r>
        <w:rPr>
          <w:rFonts w:hint="eastAsia" w:eastAsia="黑体"/>
          <w:i w:val="0"/>
          <w:color w:val="0000BF" w:themeColor="hyperlink" w:themeShade="BF"/>
          <w:w w:val="100"/>
        </w:rPr>
        <w:t xml:space="preserve">11.6 </w:t>
      </w:r>
      <w:r>
        <w:rPr>
          <w:rFonts w:hint="eastAsia"/>
        </w:rPr>
        <w:t>防水</w:t>
      </w:r>
      <w:r>
        <w:tab/>
      </w:r>
      <w:r>
        <w:fldChar w:fldCharType="begin"/>
      </w:r>
      <w:r>
        <w:instrText xml:space="preserve"> PAGEREF _Toc19008 \h </w:instrText>
      </w:r>
      <w:r>
        <w:fldChar w:fldCharType="separate"/>
      </w:r>
      <w:r>
        <w:t>174</w:t>
      </w:r>
      <w:r>
        <w:fldChar w:fldCharType="end"/>
      </w:r>
      <w:r>
        <w:fldChar w:fldCharType="end"/>
      </w:r>
    </w:p>
    <w:p>
      <w:pPr>
        <w:pStyle w:val="15"/>
        <w:tabs>
          <w:tab w:val="right" w:leader="dot" w:pos="8306"/>
          <w:tab w:val="clear" w:pos="284"/>
          <w:tab w:val="clear" w:pos="8296"/>
        </w:tabs>
      </w:pPr>
      <w:r>
        <w:fldChar w:fldCharType="begin"/>
      </w:r>
      <w:r>
        <w:instrText xml:space="preserve"> HYPERLINK \l _Toc7636 </w:instrText>
      </w:r>
      <w:r>
        <w:fldChar w:fldCharType="separate"/>
      </w:r>
      <w:r>
        <w:rPr>
          <w:rFonts w:hint="default" w:ascii="Times New Roman" w:hAnsi="Times New Roman" w:eastAsia="黑体"/>
          <w:i w:val="0"/>
          <w:color w:val="0000BF" w:themeColor="hyperlink" w:themeShade="BF"/>
          <w:w w:val="100"/>
        </w:rPr>
        <w:t xml:space="preserve">12 </w:t>
      </w:r>
      <w:r>
        <w:rPr>
          <w:rFonts w:hint="eastAsia"/>
        </w:rPr>
        <w:t>环境</w:t>
      </w:r>
      <w:r>
        <w:t>保护</w:t>
      </w:r>
      <w:r>
        <w:tab/>
      </w:r>
      <w:r>
        <w:fldChar w:fldCharType="begin"/>
      </w:r>
      <w:r>
        <w:instrText xml:space="preserve"> PAGEREF _Toc7636 \h </w:instrText>
      </w:r>
      <w:r>
        <w:fldChar w:fldCharType="separate"/>
      </w:r>
      <w:r>
        <w:t>182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_Toc26123 </w:instrText>
      </w:r>
      <w:r>
        <w:fldChar w:fldCharType="separate"/>
      </w:r>
      <w:r>
        <w:rPr>
          <w:rFonts w:hint="eastAsia" w:eastAsia="黑体"/>
          <w:i w:val="0"/>
          <w:color w:val="0000BF" w:themeColor="hyperlink" w:themeShade="BF"/>
          <w:w w:val="100"/>
        </w:rPr>
        <w:t xml:space="preserve">12.1 </w:t>
      </w:r>
      <w:r>
        <w:rPr>
          <w:rFonts w:hint="eastAsia"/>
        </w:rPr>
        <w:t>一般规定</w:t>
      </w:r>
      <w:r>
        <w:tab/>
      </w:r>
      <w:r>
        <w:fldChar w:fldCharType="begin"/>
      </w:r>
      <w:r>
        <w:instrText xml:space="preserve"> PAGEREF _Toc26123 \h </w:instrText>
      </w:r>
      <w:r>
        <w:fldChar w:fldCharType="separate"/>
      </w:r>
      <w:r>
        <w:t>182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_Toc21952 </w:instrText>
      </w:r>
      <w:r>
        <w:fldChar w:fldCharType="separate"/>
      </w:r>
      <w:r>
        <w:rPr>
          <w:rFonts w:hint="eastAsia" w:eastAsia="黑体"/>
          <w:i w:val="0"/>
          <w:color w:val="0000BF" w:themeColor="hyperlink" w:themeShade="BF"/>
          <w:w w:val="100"/>
        </w:rPr>
        <w:t xml:space="preserve">12.2 </w:t>
      </w:r>
      <w:r>
        <w:rPr>
          <w:rFonts w:hint="eastAsia"/>
        </w:rPr>
        <w:t>环境影响分析</w:t>
      </w:r>
      <w:r>
        <w:tab/>
      </w:r>
      <w:r>
        <w:fldChar w:fldCharType="begin"/>
      </w:r>
      <w:r>
        <w:instrText xml:space="preserve"> PAGEREF _Toc21952 \h </w:instrText>
      </w:r>
      <w:r>
        <w:fldChar w:fldCharType="separate"/>
      </w:r>
      <w:r>
        <w:t>182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_Toc14854 </w:instrText>
      </w:r>
      <w:r>
        <w:fldChar w:fldCharType="separate"/>
      </w:r>
      <w:r>
        <w:rPr>
          <w:rFonts w:hint="eastAsia" w:eastAsia="黑体"/>
          <w:i w:val="0"/>
          <w:color w:val="0000BF" w:themeColor="hyperlink" w:themeShade="BF"/>
          <w:w w:val="100"/>
        </w:rPr>
        <w:t xml:space="preserve">12.3 </w:t>
      </w:r>
      <w:r>
        <w:rPr>
          <w:rFonts w:hint="eastAsia"/>
        </w:rPr>
        <w:t>环境保护措施</w:t>
      </w:r>
      <w:r>
        <w:tab/>
      </w:r>
      <w:r>
        <w:fldChar w:fldCharType="begin"/>
      </w:r>
      <w:r>
        <w:instrText xml:space="preserve"> PAGEREF _Toc14854 \h </w:instrText>
      </w:r>
      <w:r>
        <w:fldChar w:fldCharType="separate"/>
      </w:r>
      <w:r>
        <w:t>184</w:t>
      </w:r>
      <w:r>
        <w:fldChar w:fldCharType="end"/>
      </w:r>
      <w:r>
        <w:fldChar w:fldCharType="end"/>
      </w:r>
    </w:p>
    <w:p>
      <w:pPr>
        <w:pStyle w:val="15"/>
        <w:tabs>
          <w:tab w:val="right" w:leader="dot" w:pos="8306"/>
          <w:tab w:val="clear" w:pos="284"/>
          <w:tab w:val="clear" w:pos="8296"/>
        </w:tabs>
      </w:pPr>
      <w:r>
        <w:fldChar w:fldCharType="begin"/>
      </w:r>
      <w:r>
        <w:instrText xml:space="preserve"> HYPERLINK \l _Toc3506 </w:instrText>
      </w:r>
      <w:r>
        <w:fldChar w:fldCharType="separate"/>
      </w:r>
      <w:r>
        <w:rPr>
          <w:rFonts w:hint="default" w:ascii="Times New Roman" w:hAnsi="Times New Roman" w:eastAsia="黑体"/>
          <w:i w:val="0"/>
          <w:color w:val="0000BF" w:themeColor="hyperlink" w:themeShade="BF"/>
          <w:w w:val="100"/>
        </w:rPr>
        <w:t xml:space="preserve">13 </w:t>
      </w:r>
      <w:r>
        <w:rPr>
          <w:rFonts w:hint="eastAsia"/>
        </w:rPr>
        <w:t>运营期隧道安全保护</w:t>
      </w:r>
      <w:r>
        <w:tab/>
      </w:r>
      <w:r>
        <w:fldChar w:fldCharType="begin"/>
      </w:r>
      <w:r>
        <w:instrText xml:space="preserve"> PAGEREF _Toc3506 \h </w:instrText>
      </w:r>
      <w:r>
        <w:fldChar w:fldCharType="separate"/>
      </w:r>
      <w:r>
        <w:t>188</w:t>
      </w:r>
      <w:r>
        <w:fldChar w:fldCharType="end"/>
      </w:r>
      <w:r>
        <w:fldChar w:fldCharType="end"/>
      </w:r>
    </w:p>
    <w:p>
      <w:pPr>
        <w:pStyle w:val="15"/>
        <w:tabs>
          <w:tab w:val="right" w:leader="dot" w:pos="8306"/>
          <w:tab w:val="clear" w:pos="284"/>
          <w:tab w:val="clear" w:pos="8296"/>
        </w:tabs>
      </w:pPr>
      <w:r>
        <w:fldChar w:fldCharType="begin"/>
      </w:r>
      <w:r>
        <w:instrText xml:space="preserve"> HYPERLINK \l _Toc300 </w:instrText>
      </w:r>
      <w:r>
        <w:fldChar w:fldCharType="separate"/>
      </w:r>
      <w:r>
        <w:rPr>
          <w:rFonts w:hint="eastAsia"/>
        </w:rPr>
        <w:t>附录</w:t>
      </w:r>
      <w:r>
        <w:tab/>
      </w:r>
      <w:r>
        <w:fldChar w:fldCharType="begin"/>
      </w:r>
      <w:r>
        <w:instrText xml:space="preserve"> PAGEREF _Toc300 \h </w:instrText>
      </w:r>
      <w:r>
        <w:fldChar w:fldCharType="separate"/>
      </w:r>
      <w:r>
        <w:t>190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_Toc19315 </w:instrText>
      </w:r>
      <w:r>
        <w:fldChar w:fldCharType="separate"/>
      </w:r>
      <w:r>
        <w:rPr>
          <w:rFonts w:hint="eastAsia"/>
        </w:rPr>
        <w:t>A土钉抗拔试验要点</w:t>
      </w:r>
      <w:r>
        <w:tab/>
      </w:r>
      <w:r>
        <w:fldChar w:fldCharType="begin"/>
      </w:r>
      <w:r>
        <w:instrText xml:space="preserve"> PAGEREF _Toc19315 \h </w:instrText>
      </w:r>
      <w:r>
        <w:fldChar w:fldCharType="separate"/>
      </w:r>
      <w:r>
        <w:t>190</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_Toc28143 </w:instrText>
      </w:r>
      <w:r>
        <w:fldChar w:fldCharType="separate"/>
      </w:r>
      <w:r>
        <w:rPr>
          <w:rFonts w:hint="eastAsia"/>
        </w:rPr>
        <w:t>B锚杆抗拔试验要点</w:t>
      </w:r>
      <w:r>
        <w:tab/>
      </w:r>
      <w:r>
        <w:fldChar w:fldCharType="begin"/>
      </w:r>
      <w:r>
        <w:instrText xml:space="preserve"> PAGEREF _Toc28143 \h </w:instrText>
      </w:r>
      <w:r>
        <w:fldChar w:fldCharType="separate"/>
      </w:r>
      <w:r>
        <w:t>192</w:t>
      </w:r>
      <w:r>
        <w:fldChar w:fldCharType="end"/>
      </w:r>
      <w:r>
        <w:fldChar w:fldCharType="end"/>
      </w:r>
    </w:p>
    <w:p>
      <w:pPr>
        <w:pStyle w:val="16"/>
        <w:tabs>
          <w:tab w:val="right" w:leader="dot" w:pos="8306"/>
          <w:tab w:val="clear" w:pos="284"/>
          <w:tab w:val="clear" w:pos="709"/>
          <w:tab w:val="clear" w:pos="8296"/>
        </w:tabs>
      </w:pPr>
      <w:r>
        <w:fldChar w:fldCharType="begin"/>
      </w:r>
      <w:r>
        <w:instrText xml:space="preserve"> HYPERLINK \l _Toc29753 </w:instrText>
      </w:r>
      <w:r>
        <w:fldChar w:fldCharType="separate"/>
      </w:r>
      <w:r>
        <w:rPr>
          <w:rFonts w:hint="eastAsia"/>
        </w:rPr>
        <w:t>C 基坑渗流稳定性验算</w:t>
      </w:r>
      <w:r>
        <w:tab/>
      </w:r>
      <w:r>
        <w:fldChar w:fldCharType="begin"/>
      </w:r>
      <w:r>
        <w:instrText xml:space="preserve"> PAGEREF _Toc29753 \h </w:instrText>
      </w:r>
      <w:r>
        <w:fldChar w:fldCharType="separate"/>
      </w:r>
      <w:r>
        <w:t>197</w:t>
      </w:r>
      <w:r>
        <w:fldChar w:fldCharType="end"/>
      </w:r>
      <w:r>
        <w:fldChar w:fldCharType="end"/>
      </w:r>
    </w:p>
    <w:p>
      <w:pPr>
        <w:tabs>
          <w:tab w:val="left" w:pos="284"/>
          <w:tab w:val="right" w:leader="dot" w:pos="8296"/>
        </w:tabs>
        <w:ind w:firstLine="480"/>
        <w:jc w:val="center"/>
      </w:pPr>
      <w:r>
        <w:fldChar w:fldCharType="end"/>
      </w:r>
    </w:p>
    <w:p>
      <w:r>
        <w:br w:type="page"/>
      </w:r>
    </w:p>
    <w:p>
      <w:pPr>
        <w:tabs>
          <w:tab w:val="left" w:pos="284"/>
          <w:tab w:val="right" w:leader="dot" w:pos="8296"/>
        </w:tabs>
        <w:ind w:firstLine="480"/>
        <w:jc w:val="center"/>
        <w:rPr>
          <w:rFonts w:ascii="Times New Roman" w:hAnsi="Times New Roman" w:eastAsia="宋体" w:cstheme="minorBidi"/>
          <w:color w:val="000000" w:themeColor="text1"/>
          <w:kern w:val="2"/>
          <w:sz w:val="24"/>
          <w:szCs w:val="21"/>
          <w:lang w:val="en-US" w:eastAsia="zh-CN" w:bidi="ar-SA"/>
          <w14:textFill>
            <w14:solidFill>
              <w14:schemeClr w14:val="tx1"/>
            </w14:solidFill>
          </w14:textFill>
        </w:rPr>
      </w:pPr>
      <w:r>
        <w:rPr>
          <w:rFonts w:hint="eastAsia"/>
          <w:bCs/>
          <w:color w:val="953735" w:themeColor="accent2" w:themeShade="BF"/>
          <w:kern w:val="44"/>
          <w:sz w:val="32"/>
          <w:szCs w:val="32"/>
          <w:lang w:val="en-US" w:eastAsia="zh-CN"/>
        </w:rPr>
        <w:t>C</w:t>
      </w:r>
      <w:r>
        <w:rPr>
          <w:rFonts w:hint="eastAsia"/>
          <w:bCs/>
          <w:color w:val="953735" w:themeColor="accent2" w:themeShade="BF"/>
          <w:kern w:val="44"/>
          <w:sz w:val="32"/>
          <w:szCs w:val="32"/>
        </w:rPr>
        <w:t>ontents</w:t>
      </w:r>
      <w:r>
        <w:rPr>
          <w:bCs/>
          <w:color w:val="953735" w:themeColor="accent2" w:themeShade="BF"/>
          <w:kern w:val="44"/>
          <w:sz w:val="32"/>
          <w:szCs w:val="44"/>
        </w:rPr>
        <w:fldChar w:fldCharType="begin"/>
      </w:r>
      <w:r>
        <w:instrText xml:space="preserve"> TOC \o "1-2" \h \z \u </w:instrText>
      </w:r>
      <w:r>
        <w:rPr>
          <w:bCs/>
          <w:color w:val="953735" w:themeColor="accent2" w:themeShade="BF"/>
          <w:kern w:val="44"/>
          <w:sz w:val="32"/>
          <w:szCs w:val="44"/>
        </w:rPr>
        <w:fldChar w:fldCharType="separate"/>
      </w:r>
    </w:p>
    <w:p>
      <w:pPr>
        <w:pStyle w:val="15"/>
        <w:tabs>
          <w:tab w:val="right" w:leader="dot" w:pos="8306"/>
          <w:tab w:val="clear" w:pos="284"/>
          <w:tab w:val="clear" w:pos="8296"/>
        </w:tabs>
        <w:rPr>
          <w:color w:val="auto"/>
        </w:rPr>
      </w:pPr>
      <w:r>
        <w:rPr>
          <w:color w:val="auto"/>
        </w:rPr>
        <w:fldChar w:fldCharType="begin"/>
      </w:r>
      <w:r>
        <w:rPr>
          <w:color w:val="auto"/>
        </w:rPr>
        <w:instrText xml:space="preserve"> HYPERLINK \l _Toc25191 </w:instrText>
      </w:r>
      <w:r>
        <w:rPr>
          <w:color w:val="auto"/>
        </w:rPr>
        <w:fldChar w:fldCharType="separate"/>
      </w:r>
      <w:r>
        <w:rPr>
          <w:rFonts w:hint="default" w:ascii="Times New Roman" w:hAnsi="Times New Roman" w:eastAsia="黑体"/>
          <w:i w:val="0"/>
          <w:color w:val="auto"/>
          <w:w w:val="100"/>
          <w:szCs w:val="28"/>
        </w:rPr>
        <w:t xml:space="preserve">1 </w:t>
      </w:r>
      <w:r>
        <w:rPr>
          <w:rFonts w:hint="eastAsia"/>
          <w:i w:val="0"/>
          <w:color w:val="auto"/>
          <w:w w:val="100"/>
          <w:sz w:val="28"/>
          <w:szCs w:val="28"/>
          <w:lang w:val="en-US" w:eastAsia="zh-CN"/>
        </w:rPr>
        <w:t>G</w:t>
      </w:r>
      <w:r>
        <w:rPr>
          <w:rFonts w:hint="eastAsia" w:ascii="Times New Roman" w:hAnsi="Times New Roman" w:eastAsia="宋体" w:cstheme="minorBidi"/>
          <w:bCs/>
          <w:caps w:val="0"/>
          <w:color w:val="auto"/>
          <w:kern w:val="44"/>
          <w:sz w:val="28"/>
          <w:szCs w:val="28"/>
          <w:lang w:val="en-US" w:eastAsia="zh-CN" w:bidi="ar-SA"/>
        </w:rPr>
        <w:t xml:space="preserve">eneral </w:t>
      </w:r>
      <w:r>
        <w:rPr>
          <w:rFonts w:hint="eastAsia" w:eastAsia="宋体" w:cstheme="minorBidi"/>
          <w:bCs/>
          <w:caps w:val="0"/>
          <w:color w:val="auto"/>
          <w:kern w:val="44"/>
          <w:sz w:val="28"/>
          <w:szCs w:val="28"/>
          <w:lang w:val="en-US" w:eastAsia="zh-CN" w:bidi="ar-SA"/>
        </w:rPr>
        <w:t>P</w:t>
      </w:r>
      <w:r>
        <w:rPr>
          <w:rFonts w:hint="eastAsia" w:ascii="Times New Roman" w:hAnsi="Times New Roman" w:eastAsia="宋体" w:cstheme="minorBidi"/>
          <w:bCs/>
          <w:caps w:val="0"/>
          <w:color w:val="auto"/>
          <w:kern w:val="44"/>
          <w:sz w:val="28"/>
          <w:szCs w:val="28"/>
          <w:lang w:val="en-US" w:eastAsia="zh-CN" w:bidi="ar-SA"/>
        </w:rPr>
        <w:t>rovisions</w:t>
      </w:r>
      <w:r>
        <w:rPr>
          <w:color w:val="auto"/>
        </w:rPr>
        <w:tab/>
      </w:r>
      <w:r>
        <w:rPr>
          <w:color w:val="auto"/>
        </w:rPr>
        <w:fldChar w:fldCharType="begin"/>
      </w:r>
      <w:r>
        <w:rPr>
          <w:color w:val="auto"/>
        </w:rPr>
        <w:instrText xml:space="preserve"> PAGEREF _Toc25191 \h </w:instrText>
      </w:r>
      <w:r>
        <w:rPr>
          <w:color w:val="auto"/>
        </w:rPr>
        <w:fldChar w:fldCharType="separate"/>
      </w:r>
      <w:r>
        <w:rPr>
          <w:color w:val="auto"/>
        </w:rPr>
        <w:t>1</w:t>
      </w:r>
      <w:r>
        <w:rPr>
          <w:color w:val="auto"/>
        </w:rPr>
        <w:fldChar w:fldCharType="end"/>
      </w:r>
      <w:r>
        <w:rPr>
          <w:color w:val="auto"/>
        </w:rPr>
        <w:fldChar w:fldCharType="end"/>
      </w:r>
    </w:p>
    <w:p>
      <w:pPr>
        <w:pStyle w:val="15"/>
        <w:tabs>
          <w:tab w:val="right" w:leader="dot" w:pos="8306"/>
          <w:tab w:val="clear" w:pos="284"/>
          <w:tab w:val="clear" w:pos="8296"/>
        </w:tabs>
        <w:rPr>
          <w:color w:val="auto"/>
        </w:rPr>
      </w:pPr>
      <w:r>
        <w:rPr>
          <w:color w:val="auto"/>
        </w:rPr>
        <w:fldChar w:fldCharType="begin"/>
      </w:r>
      <w:r>
        <w:rPr>
          <w:color w:val="auto"/>
        </w:rPr>
        <w:instrText xml:space="preserve"> HYPERLINK \l _Toc25312 </w:instrText>
      </w:r>
      <w:r>
        <w:rPr>
          <w:color w:val="auto"/>
        </w:rPr>
        <w:fldChar w:fldCharType="separate"/>
      </w:r>
      <w:r>
        <w:rPr>
          <w:rFonts w:hint="default" w:ascii="Times New Roman" w:hAnsi="Times New Roman" w:eastAsia="黑体"/>
          <w:i w:val="0"/>
          <w:color w:val="auto"/>
          <w:w w:val="100"/>
        </w:rPr>
        <w:t xml:space="preserve">2 </w:t>
      </w:r>
      <w:r>
        <w:rPr>
          <w:rFonts w:hint="default" w:ascii="Times New Roman" w:hAnsi="Times New Roman" w:eastAsia="宋体" w:cstheme="minorBidi"/>
          <w:bCs/>
          <w:caps w:val="0"/>
          <w:color w:val="auto"/>
          <w:kern w:val="44"/>
          <w:sz w:val="28"/>
          <w:szCs w:val="28"/>
          <w:lang w:val="en-US" w:eastAsia="zh-CN" w:bidi="ar-SA"/>
        </w:rPr>
        <w:t xml:space="preserve">Terms </w:t>
      </w:r>
      <w:r>
        <w:rPr>
          <w:rFonts w:hint="eastAsia" w:eastAsia="宋体" w:cstheme="minorBidi"/>
          <w:bCs/>
          <w:caps w:val="0"/>
          <w:color w:val="auto"/>
          <w:kern w:val="44"/>
          <w:sz w:val="28"/>
          <w:szCs w:val="28"/>
          <w:lang w:val="en-US" w:eastAsia="zh-CN" w:bidi="ar-SA"/>
        </w:rPr>
        <w:t>a</w:t>
      </w:r>
      <w:r>
        <w:rPr>
          <w:rFonts w:hint="default" w:ascii="Times New Roman" w:hAnsi="Times New Roman" w:eastAsia="宋体" w:cstheme="minorBidi"/>
          <w:bCs/>
          <w:caps w:val="0"/>
          <w:color w:val="auto"/>
          <w:kern w:val="44"/>
          <w:sz w:val="28"/>
          <w:szCs w:val="28"/>
          <w:lang w:val="en-US" w:eastAsia="zh-CN" w:bidi="ar-SA"/>
        </w:rPr>
        <w:t xml:space="preserve">nd </w:t>
      </w:r>
      <w:r>
        <w:rPr>
          <w:rFonts w:hint="eastAsia" w:eastAsia="宋体" w:cstheme="minorBidi"/>
          <w:bCs/>
          <w:caps w:val="0"/>
          <w:color w:val="auto"/>
          <w:kern w:val="44"/>
          <w:sz w:val="28"/>
          <w:szCs w:val="28"/>
          <w:lang w:val="en-US" w:eastAsia="zh-CN" w:bidi="ar-SA"/>
        </w:rPr>
        <w:t>S</w:t>
      </w:r>
      <w:r>
        <w:rPr>
          <w:rFonts w:hint="default" w:ascii="Times New Roman" w:hAnsi="Times New Roman" w:eastAsia="宋体" w:cstheme="minorBidi"/>
          <w:bCs/>
          <w:caps w:val="0"/>
          <w:color w:val="auto"/>
          <w:kern w:val="44"/>
          <w:sz w:val="28"/>
          <w:szCs w:val="28"/>
          <w:lang w:val="en-US" w:eastAsia="zh-CN" w:bidi="ar-SA"/>
        </w:rPr>
        <w:t>ymbols</w:t>
      </w:r>
      <w:r>
        <w:rPr>
          <w:color w:val="auto"/>
        </w:rPr>
        <w:tab/>
      </w:r>
      <w:r>
        <w:rPr>
          <w:color w:val="auto"/>
        </w:rPr>
        <w:fldChar w:fldCharType="begin"/>
      </w:r>
      <w:r>
        <w:rPr>
          <w:color w:val="auto"/>
        </w:rPr>
        <w:instrText xml:space="preserve"> PAGEREF _Toc25312 \h </w:instrText>
      </w:r>
      <w:r>
        <w:rPr>
          <w:color w:val="auto"/>
        </w:rPr>
        <w:fldChar w:fldCharType="separate"/>
      </w:r>
      <w:r>
        <w:rPr>
          <w:color w:val="auto"/>
        </w:rPr>
        <w:t>2</w:t>
      </w:r>
      <w:r>
        <w:rPr>
          <w:color w:val="auto"/>
        </w:rPr>
        <w:fldChar w:fldCharType="end"/>
      </w:r>
      <w:r>
        <w:rPr>
          <w:color w:val="auto"/>
        </w:rPr>
        <w:fldChar w:fldCharType="end"/>
      </w:r>
    </w:p>
    <w:p>
      <w:pPr>
        <w:pStyle w:val="16"/>
        <w:tabs>
          <w:tab w:val="right" w:leader="dot" w:pos="8306"/>
          <w:tab w:val="clear" w:pos="284"/>
          <w:tab w:val="clear" w:pos="709"/>
          <w:tab w:val="clear" w:pos="8296"/>
        </w:tabs>
        <w:rPr>
          <w:rFonts w:hint="default" w:ascii="Times New Roman" w:hAnsi="Times New Roman" w:eastAsia="宋体" w:cstheme="minorBidi"/>
          <w:bCs/>
          <w:caps w:val="0"/>
          <w:color w:val="auto"/>
          <w:kern w:val="44"/>
          <w:sz w:val="28"/>
          <w:szCs w:val="28"/>
          <w:lang w:val="en-US" w:eastAsia="zh-CN" w:bidi="ar-SA"/>
        </w:rPr>
      </w:pPr>
      <w:r>
        <w:rPr>
          <w:rFonts w:hint="default" w:ascii="Times New Roman" w:hAnsi="Times New Roman" w:eastAsia="宋体" w:cstheme="minorBidi"/>
          <w:bCs/>
          <w:caps w:val="0"/>
          <w:color w:val="auto"/>
          <w:kern w:val="44"/>
          <w:sz w:val="28"/>
          <w:szCs w:val="28"/>
          <w:lang w:val="en-US" w:eastAsia="zh-CN" w:bidi="ar-SA"/>
        </w:rPr>
        <w:fldChar w:fldCharType="begin"/>
      </w:r>
      <w:r>
        <w:rPr>
          <w:rFonts w:hint="default" w:ascii="Times New Roman" w:hAnsi="Times New Roman" w:eastAsia="宋体" w:cstheme="minorBidi"/>
          <w:bCs/>
          <w:caps w:val="0"/>
          <w:color w:val="auto"/>
          <w:kern w:val="44"/>
          <w:sz w:val="28"/>
          <w:szCs w:val="28"/>
          <w:lang w:val="en-US" w:eastAsia="zh-CN" w:bidi="ar-SA"/>
        </w:rPr>
        <w:instrText xml:space="preserve"> HYPERLINK \l _Toc825 </w:instrText>
      </w:r>
      <w:r>
        <w:rPr>
          <w:rFonts w:hint="default" w:ascii="Times New Roman" w:hAnsi="Times New Roman" w:eastAsia="宋体" w:cstheme="minorBidi"/>
          <w:bCs/>
          <w:caps w:val="0"/>
          <w:color w:val="auto"/>
          <w:kern w:val="44"/>
          <w:sz w:val="28"/>
          <w:szCs w:val="28"/>
          <w:lang w:val="en-US" w:eastAsia="zh-CN" w:bidi="ar-SA"/>
        </w:rPr>
        <w:fldChar w:fldCharType="separate"/>
      </w:r>
      <w:r>
        <w:rPr>
          <w:rFonts w:hint="eastAsia" w:ascii="Times New Roman" w:hAnsi="Times New Roman" w:eastAsia="黑体" w:cstheme="minorBidi"/>
          <w:i w:val="0"/>
          <w:caps/>
          <w:color w:val="auto"/>
          <w:w w:val="100"/>
          <w:kern w:val="2"/>
          <w:sz w:val="24"/>
          <w:szCs w:val="28"/>
          <w:lang w:val="en-US" w:eastAsia="zh-CN" w:bidi="ar-SA"/>
        </w:rPr>
        <w:t>2.1</w:t>
      </w:r>
      <w:r>
        <w:rPr>
          <w:rFonts w:hint="eastAsia" w:ascii="Times New Roman" w:hAnsi="Times New Roman" w:eastAsia="宋体" w:cstheme="minorBidi"/>
          <w:bCs/>
          <w:caps w:val="0"/>
          <w:color w:val="auto"/>
          <w:kern w:val="44"/>
          <w:sz w:val="28"/>
          <w:szCs w:val="28"/>
          <w:lang w:val="en-US" w:eastAsia="zh-CN" w:bidi="ar-SA"/>
        </w:rPr>
        <w:t xml:space="preserve"> </w:t>
      </w:r>
      <w:r>
        <w:rPr>
          <w:rFonts w:hint="default" w:ascii="Times New Roman" w:hAnsi="Times New Roman" w:eastAsia="宋体" w:cstheme="minorBidi"/>
          <w:bCs/>
          <w:caps w:val="0"/>
          <w:color w:val="auto"/>
          <w:kern w:val="44"/>
          <w:sz w:val="28"/>
          <w:szCs w:val="28"/>
          <w:lang w:val="en-US" w:eastAsia="zh-CN" w:bidi="ar-SA"/>
        </w:rPr>
        <w:t>Terms</w:t>
      </w:r>
      <w:r>
        <w:rPr>
          <w:rFonts w:hint="default" w:ascii="Times New Roman" w:hAnsi="Times New Roman" w:eastAsia="宋体" w:cstheme="minorBidi"/>
          <w:bCs/>
          <w:caps w:val="0"/>
          <w:color w:val="auto"/>
          <w:kern w:val="44"/>
          <w:sz w:val="28"/>
          <w:szCs w:val="28"/>
          <w:lang w:val="en-US" w:eastAsia="zh-CN" w:bidi="ar-SA"/>
        </w:rPr>
        <w:tab/>
      </w:r>
      <w:r>
        <w:rPr>
          <w:rFonts w:hint="default" w:ascii="Times New Roman" w:hAnsi="Times New Roman" w:eastAsia="宋体" w:cstheme="minorBidi"/>
          <w:bCs/>
          <w:caps w:val="0"/>
          <w:color w:val="auto"/>
          <w:kern w:val="44"/>
          <w:sz w:val="28"/>
          <w:szCs w:val="28"/>
          <w:lang w:val="en-US" w:eastAsia="zh-CN" w:bidi="ar-SA"/>
        </w:rPr>
        <w:fldChar w:fldCharType="begin"/>
      </w:r>
      <w:r>
        <w:rPr>
          <w:rFonts w:hint="default" w:ascii="Times New Roman" w:hAnsi="Times New Roman" w:eastAsia="宋体" w:cstheme="minorBidi"/>
          <w:bCs/>
          <w:caps w:val="0"/>
          <w:color w:val="auto"/>
          <w:kern w:val="44"/>
          <w:sz w:val="28"/>
          <w:szCs w:val="28"/>
          <w:lang w:val="en-US" w:eastAsia="zh-CN" w:bidi="ar-SA"/>
        </w:rPr>
        <w:instrText xml:space="preserve"> PAGEREF _Toc825 \h </w:instrText>
      </w:r>
      <w:r>
        <w:rPr>
          <w:rFonts w:hint="default" w:ascii="Times New Roman" w:hAnsi="Times New Roman" w:eastAsia="宋体" w:cstheme="minorBidi"/>
          <w:bCs/>
          <w:caps w:val="0"/>
          <w:color w:val="auto"/>
          <w:kern w:val="44"/>
          <w:sz w:val="28"/>
          <w:szCs w:val="28"/>
          <w:lang w:val="en-US" w:eastAsia="zh-CN" w:bidi="ar-SA"/>
        </w:rPr>
        <w:fldChar w:fldCharType="separate"/>
      </w:r>
      <w:r>
        <w:rPr>
          <w:rFonts w:hint="default" w:ascii="Times New Roman" w:hAnsi="Times New Roman" w:eastAsia="宋体" w:cstheme="minorBidi"/>
          <w:bCs/>
          <w:caps w:val="0"/>
          <w:color w:val="auto"/>
          <w:kern w:val="44"/>
          <w:sz w:val="28"/>
          <w:szCs w:val="28"/>
          <w:lang w:val="en-US" w:eastAsia="zh-CN" w:bidi="ar-SA"/>
        </w:rPr>
        <w:t>2</w:t>
      </w:r>
      <w:r>
        <w:rPr>
          <w:rFonts w:hint="default" w:ascii="Times New Roman" w:hAnsi="Times New Roman" w:eastAsia="宋体" w:cstheme="minorBidi"/>
          <w:bCs/>
          <w:caps w:val="0"/>
          <w:color w:val="auto"/>
          <w:kern w:val="44"/>
          <w:sz w:val="28"/>
          <w:szCs w:val="28"/>
          <w:lang w:val="en-US" w:eastAsia="zh-CN" w:bidi="ar-SA"/>
        </w:rPr>
        <w:fldChar w:fldCharType="end"/>
      </w:r>
      <w:r>
        <w:rPr>
          <w:rFonts w:hint="default" w:ascii="Times New Roman" w:hAnsi="Times New Roman" w:eastAsia="宋体" w:cstheme="minorBidi"/>
          <w:bCs/>
          <w:caps w:val="0"/>
          <w:color w:val="auto"/>
          <w:kern w:val="44"/>
          <w:sz w:val="28"/>
          <w:szCs w:val="28"/>
          <w:lang w:val="en-US" w:eastAsia="zh-CN" w:bidi="ar-SA"/>
        </w:rPr>
        <w:fldChar w:fldCharType="end"/>
      </w:r>
    </w:p>
    <w:p>
      <w:pPr>
        <w:pStyle w:val="16"/>
        <w:tabs>
          <w:tab w:val="right" w:leader="dot" w:pos="8306"/>
          <w:tab w:val="clear" w:pos="284"/>
          <w:tab w:val="clear" w:pos="709"/>
          <w:tab w:val="clear" w:pos="8296"/>
        </w:tabs>
        <w:rPr>
          <w:rFonts w:hint="default" w:ascii="Times New Roman" w:hAnsi="Times New Roman" w:eastAsia="宋体" w:cstheme="minorBidi"/>
          <w:bCs/>
          <w:caps w:val="0"/>
          <w:color w:val="auto"/>
          <w:kern w:val="44"/>
          <w:sz w:val="28"/>
          <w:szCs w:val="28"/>
          <w:lang w:val="en-US" w:eastAsia="zh-CN" w:bidi="ar-SA"/>
        </w:rPr>
      </w:pPr>
      <w:r>
        <w:rPr>
          <w:rFonts w:hint="default" w:ascii="Times New Roman" w:hAnsi="Times New Roman" w:eastAsia="宋体" w:cstheme="minorBidi"/>
          <w:bCs/>
          <w:caps w:val="0"/>
          <w:color w:val="auto"/>
          <w:kern w:val="44"/>
          <w:sz w:val="28"/>
          <w:szCs w:val="28"/>
          <w:lang w:val="en-US" w:eastAsia="zh-CN" w:bidi="ar-SA"/>
        </w:rPr>
        <w:fldChar w:fldCharType="begin"/>
      </w:r>
      <w:r>
        <w:rPr>
          <w:rFonts w:hint="default" w:ascii="Times New Roman" w:hAnsi="Times New Roman" w:eastAsia="宋体" w:cstheme="minorBidi"/>
          <w:bCs/>
          <w:caps w:val="0"/>
          <w:color w:val="auto"/>
          <w:kern w:val="44"/>
          <w:sz w:val="28"/>
          <w:szCs w:val="28"/>
          <w:lang w:val="en-US" w:eastAsia="zh-CN" w:bidi="ar-SA"/>
        </w:rPr>
        <w:instrText xml:space="preserve"> HYPERLINK \l _Toc15050 </w:instrText>
      </w:r>
      <w:r>
        <w:rPr>
          <w:rFonts w:hint="default" w:ascii="Times New Roman" w:hAnsi="Times New Roman" w:eastAsia="宋体" w:cstheme="minorBidi"/>
          <w:bCs/>
          <w:caps w:val="0"/>
          <w:color w:val="auto"/>
          <w:kern w:val="44"/>
          <w:sz w:val="28"/>
          <w:szCs w:val="28"/>
          <w:lang w:val="en-US" w:eastAsia="zh-CN" w:bidi="ar-SA"/>
        </w:rPr>
        <w:fldChar w:fldCharType="separate"/>
      </w:r>
      <w:r>
        <w:rPr>
          <w:rFonts w:hint="eastAsia" w:ascii="Times New Roman" w:hAnsi="Times New Roman" w:eastAsia="黑体" w:cstheme="minorBidi"/>
          <w:i w:val="0"/>
          <w:caps/>
          <w:color w:val="auto"/>
          <w:w w:val="100"/>
          <w:kern w:val="2"/>
          <w:sz w:val="24"/>
          <w:szCs w:val="28"/>
          <w:lang w:val="en-US" w:eastAsia="zh-CN" w:bidi="ar-SA"/>
        </w:rPr>
        <w:t xml:space="preserve">2.2 </w:t>
      </w:r>
      <w:r>
        <w:rPr>
          <w:rFonts w:hint="eastAsia" w:eastAsia="宋体" w:cstheme="minorBidi"/>
          <w:bCs/>
          <w:caps w:val="0"/>
          <w:color w:val="auto"/>
          <w:kern w:val="44"/>
          <w:sz w:val="28"/>
          <w:szCs w:val="28"/>
          <w:lang w:val="en-US" w:eastAsia="zh-CN" w:bidi="ar-SA"/>
        </w:rPr>
        <w:t>S</w:t>
      </w:r>
      <w:r>
        <w:rPr>
          <w:rFonts w:hint="default" w:ascii="Times New Roman" w:hAnsi="Times New Roman" w:eastAsia="宋体" w:cstheme="minorBidi"/>
          <w:bCs/>
          <w:caps w:val="0"/>
          <w:color w:val="auto"/>
          <w:kern w:val="44"/>
          <w:sz w:val="28"/>
          <w:szCs w:val="28"/>
          <w:lang w:val="en-US" w:eastAsia="zh-CN" w:bidi="ar-SA"/>
        </w:rPr>
        <w:t>ymbols</w:t>
      </w:r>
      <w:r>
        <w:rPr>
          <w:rFonts w:hint="default" w:ascii="Times New Roman" w:hAnsi="Times New Roman" w:eastAsia="宋体" w:cstheme="minorBidi"/>
          <w:bCs/>
          <w:caps w:val="0"/>
          <w:color w:val="auto"/>
          <w:kern w:val="44"/>
          <w:sz w:val="28"/>
          <w:szCs w:val="28"/>
          <w:lang w:val="en-US" w:eastAsia="zh-CN" w:bidi="ar-SA"/>
        </w:rPr>
        <w:tab/>
      </w:r>
      <w:r>
        <w:rPr>
          <w:rFonts w:hint="eastAsia" w:eastAsia="宋体" w:cstheme="minorBidi"/>
          <w:bCs/>
          <w:caps w:val="0"/>
          <w:color w:val="auto"/>
          <w:kern w:val="44"/>
          <w:sz w:val="28"/>
          <w:szCs w:val="28"/>
          <w:lang w:val="en-US" w:eastAsia="zh-CN" w:bidi="ar-SA"/>
        </w:rPr>
        <w:t>5</w:t>
      </w:r>
      <w:r>
        <w:rPr>
          <w:rFonts w:hint="default" w:ascii="Times New Roman" w:hAnsi="Times New Roman" w:eastAsia="宋体" w:cstheme="minorBidi"/>
          <w:bCs/>
          <w:caps w:val="0"/>
          <w:color w:val="auto"/>
          <w:kern w:val="44"/>
          <w:sz w:val="28"/>
          <w:szCs w:val="28"/>
          <w:lang w:val="en-US" w:eastAsia="zh-CN" w:bidi="ar-SA"/>
        </w:rPr>
        <w:fldChar w:fldCharType="end"/>
      </w:r>
    </w:p>
    <w:p>
      <w:pPr>
        <w:pStyle w:val="15"/>
        <w:tabs>
          <w:tab w:val="right" w:leader="dot" w:pos="8306"/>
          <w:tab w:val="clear" w:pos="284"/>
          <w:tab w:val="clear" w:pos="8296"/>
        </w:tabs>
      </w:pPr>
      <w:r>
        <w:rPr>
          <w:rFonts w:hint="default" w:ascii="Times New Roman" w:hAnsi="Times New Roman" w:eastAsia="宋体" w:cstheme="minorBidi"/>
          <w:bCs/>
          <w:caps w:val="0"/>
          <w:color w:val="auto"/>
          <w:kern w:val="44"/>
          <w:sz w:val="28"/>
          <w:szCs w:val="28"/>
          <w:lang w:val="en-US" w:eastAsia="zh-CN" w:bidi="ar-SA"/>
        </w:rPr>
        <w:fldChar w:fldCharType="begin"/>
      </w:r>
      <w:r>
        <w:rPr>
          <w:rFonts w:hint="default" w:ascii="Times New Roman" w:hAnsi="Times New Roman" w:eastAsia="宋体" w:cstheme="minorBidi"/>
          <w:bCs/>
          <w:caps w:val="0"/>
          <w:color w:val="auto"/>
          <w:kern w:val="44"/>
          <w:sz w:val="28"/>
          <w:szCs w:val="28"/>
          <w:lang w:val="en-US" w:eastAsia="zh-CN" w:bidi="ar-SA"/>
        </w:rPr>
        <w:instrText xml:space="preserve"> HYPERLINK \l _Toc4212 </w:instrText>
      </w:r>
      <w:r>
        <w:rPr>
          <w:rFonts w:hint="default" w:ascii="Times New Roman" w:hAnsi="Times New Roman" w:eastAsia="宋体" w:cstheme="minorBidi"/>
          <w:bCs/>
          <w:caps w:val="0"/>
          <w:color w:val="auto"/>
          <w:kern w:val="44"/>
          <w:sz w:val="28"/>
          <w:szCs w:val="28"/>
          <w:lang w:val="en-US" w:eastAsia="zh-CN" w:bidi="ar-SA"/>
        </w:rPr>
        <w:fldChar w:fldCharType="separate"/>
      </w:r>
      <w:r>
        <w:rPr>
          <w:rFonts w:hint="default" w:ascii="Times New Roman" w:hAnsi="Times New Roman" w:eastAsia="宋体" w:cstheme="minorBidi"/>
          <w:bCs/>
          <w:caps w:val="0"/>
          <w:color w:val="auto"/>
          <w:kern w:val="44"/>
          <w:sz w:val="28"/>
          <w:szCs w:val="28"/>
          <w:lang w:val="en-US" w:eastAsia="zh-CN" w:bidi="ar-SA"/>
        </w:rPr>
        <w:t xml:space="preserve">3 </w:t>
      </w:r>
      <w:r>
        <w:rPr>
          <w:rFonts w:hint="eastAsia" w:eastAsia="宋体" w:cstheme="minorBidi"/>
          <w:bCs/>
          <w:caps w:val="0"/>
          <w:color w:val="auto"/>
          <w:kern w:val="44"/>
          <w:sz w:val="28"/>
          <w:szCs w:val="28"/>
          <w:lang w:val="en-US" w:eastAsia="zh-CN" w:bidi="ar-SA"/>
        </w:rPr>
        <w:t>B</w:t>
      </w:r>
      <w:r>
        <w:rPr>
          <w:rFonts w:hint="eastAsia" w:ascii="Times New Roman" w:hAnsi="Times New Roman" w:eastAsia="宋体" w:cstheme="minorBidi"/>
          <w:bCs/>
          <w:caps w:val="0"/>
          <w:color w:val="auto"/>
          <w:kern w:val="44"/>
          <w:sz w:val="28"/>
          <w:szCs w:val="28"/>
          <w:lang w:val="en-US" w:eastAsia="zh-CN" w:bidi="ar-SA"/>
        </w:rPr>
        <w:t xml:space="preserve">asic </w:t>
      </w:r>
      <w:r>
        <w:rPr>
          <w:rFonts w:hint="eastAsia" w:eastAsia="宋体" w:cstheme="minorBidi"/>
          <w:bCs/>
          <w:caps w:val="0"/>
          <w:color w:val="auto"/>
          <w:kern w:val="44"/>
          <w:sz w:val="28"/>
          <w:szCs w:val="28"/>
          <w:lang w:val="en-US" w:eastAsia="zh-CN" w:bidi="ar-SA"/>
        </w:rPr>
        <w:t>R</w:t>
      </w:r>
      <w:r>
        <w:rPr>
          <w:rFonts w:hint="eastAsia" w:ascii="Times New Roman" w:hAnsi="Times New Roman" w:eastAsia="宋体" w:cstheme="minorBidi"/>
          <w:bCs/>
          <w:caps w:val="0"/>
          <w:color w:val="auto"/>
          <w:kern w:val="44"/>
          <w:sz w:val="28"/>
          <w:szCs w:val="28"/>
          <w:lang w:val="en-US" w:eastAsia="zh-CN" w:bidi="ar-SA"/>
        </w:rPr>
        <w:t xml:space="preserve">egulations </w:t>
      </w:r>
      <w:r>
        <w:rPr>
          <w:rFonts w:hint="default" w:ascii="Times New Roman" w:hAnsi="Times New Roman" w:eastAsia="宋体" w:cstheme="minorBidi"/>
          <w:bCs/>
          <w:caps w:val="0"/>
          <w:color w:val="auto"/>
          <w:kern w:val="44"/>
          <w:sz w:val="28"/>
          <w:szCs w:val="28"/>
          <w:lang w:val="en-US" w:eastAsia="zh-CN" w:bidi="ar-SA"/>
        </w:rPr>
        <w:tab/>
      </w:r>
      <w:r>
        <w:rPr>
          <w:rFonts w:hint="eastAsia" w:eastAsia="宋体" w:cstheme="minorBidi"/>
          <w:bCs/>
          <w:caps w:val="0"/>
          <w:color w:val="auto"/>
          <w:kern w:val="44"/>
          <w:sz w:val="28"/>
          <w:szCs w:val="28"/>
          <w:lang w:val="en-US" w:eastAsia="zh-CN" w:bidi="ar-SA"/>
        </w:rPr>
        <w:t>8</w:t>
      </w:r>
      <w:r>
        <w:rPr>
          <w:rFonts w:hint="default" w:ascii="Times New Roman" w:hAnsi="Times New Roman" w:eastAsia="宋体" w:cstheme="minorBidi"/>
          <w:bCs/>
          <w:caps w:val="0"/>
          <w:color w:val="auto"/>
          <w:kern w:val="44"/>
          <w:sz w:val="28"/>
          <w:szCs w:val="28"/>
          <w:lang w:val="en-US" w:eastAsia="zh-CN" w:bidi="ar-SA"/>
        </w:rPr>
        <w:fldChar w:fldCharType="end"/>
      </w:r>
    </w:p>
    <w:p>
      <w:pPr>
        <w:pStyle w:val="16"/>
        <w:tabs>
          <w:tab w:val="right" w:leader="dot" w:pos="8306"/>
          <w:tab w:val="clear" w:pos="284"/>
          <w:tab w:val="clear" w:pos="709"/>
          <w:tab w:val="clear" w:pos="8296"/>
        </w:tabs>
      </w:pPr>
      <w:r>
        <w:fldChar w:fldCharType="begin"/>
      </w:r>
      <w:r>
        <w:instrText xml:space="preserve"> HYPERLINK \l _Toc2000 </w:instrText>
      </w:r>
      <w:r>
        <w:fldChar w:fldCharType="separate"/>
      </w:r>
      <w:r>
        <w:rPr>
          <w:rFonts w:hint="eastAsia" w:eastAsia="黑体"/>
          <w:i w:val="0"/>
          <w:color w:val="0000BF" w:themeColor="hyperlink" w:themeShade="BF"/>
          <w:w w:val="100"/>
        </w:rPr>
        <w:t xml:space="preserve">3.1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8</w:t>
      </w:r>
      <w:r>
        <w:fldChar w:fldCharType="end"/>
      </w:r>
    </w:p>
    <w:p>
      <w:pPr>
        <w:pStyle w:val="16"/>
        <w:tabs>
          <w:tab w:val="right" w:leader="dot" w:pos="8306"/>
          <w:tab w:val="clear" w:pos="284"/>
          <w:tab w:val="clear" w:pos="709"/>
          <w:tab w:val="clear" w:pos="8296"/>
        </w:tabs>
      </w:pPr>
      <w:r>
        <w:fldChar w:fldCharType="begin"/>
      </w:r>
      <w:r>
        <w:instrText xml:space="preserve"> HYPERLINK \l _Toc12382 </w:instrText>
      </w:r>
      <w:r>
        <w:fldChar w:fldCharType="separate"/>
      </w:r>
      <w:r>
        <w:rPr>
          <w:rFonts w:hint="eastAsia" w:eastAsia="黑体"/>
          <w:i w:val="0"/>
          <w:color w:val="0000BF" w:themeColor="hyperlink" w:themeShade="BF"/>
          <w:w w:val="100"/>
        </w:rPr>
        <w:t>3.2</w:t>
      </w:r>
      <w:r>
        <w:rPr>
          <w:rFonts w:hint="eastAsia" w:ascii="Times New Roman" w:hAnsi="Times New Roman" w:eastAsia="宋体" w:cstheme="minorBidi"/>
          <w:bCs/>
          <w:caps w:val="0"/>
          <w:color w:val="auto"/>
          <w:kern w:val="44"/>
          <w:sz w:val="28"/>
          <w:szCs w:val="28"/>
          <w:lang w:val="en-US" w:eastAsia="zh-CN" w:bidi="ar-SA"/>
        </w:rPr>
        <w:t xml:space="preserve"> L</w:t>
      </w:r>
      <w:r>
        <w:rPr>
          <w:rFonts w:hint="eastAsia" w:eastAsia="宋体" w:cstheme="minorBidi"/>
          <w:bCs/>
          <w:caps w:val="0"/>
          <w:color w:val="auto"/>
          <w:kern w:val="44"/>
          <w:sz w:val="28"/>
          <w:szCs w:val="28"/>
          <w:lang w:val="en-US" w:eastAsia="zh-CN" w:bidi="ar-SA"/>
        </w:rPr>
        <w:t>oad</w:t>
      </w:r>
      <w:r>
        <w:rPr>
          <w:rFonts w:hint="eastAsia" w:ascii="Times New Roman" w:hAnsi="Times New Roman" w:eastAsia="宋体" w:cstheme="minorBidi"/>
          <w:bCs/>
          <w:caps w:val="0"/>
          <w:color w:val="auto"/>
          <w:kern w:val="44"/>
          <w:sz w:val="28"/>
          <w:szCs w:val="28"/>
          <w:lang w:val="en-US" w:eastAsia="zh-CN" w:bidi="ar-SA"/>
        </w:rPr>
        <w:t xml:space="preserve"> </w:t>
      </w:r>
      <w:r>
        <w:rPr>
          <w:rFonts w:hint="eastAsia" w:eastAsia="宋体" w:cstheme="minorBidi"/>
          <w:bCs/>
          <w:caps w:val="0"/>
          <w:color w:val="auto"/>
          <w:kern w:val="44"/>
          <w:sz w:val="28"/>
          <w:szCs w:val="28"/>
          <w:lang w:val="en-US" w:eastAsia="zh-CN" w:bidi="ar-SA"/>
        </w:rPr>
        <w:t>C</w:t>
      </w:r>
      <w:r>
        <w:rPr>
          <w:rFonts w:hint="eastAsia" w:ascii="Times New Roman" w:hAnsi="Times New Roman" w:eastAsia="宋体" w:cstheme="minorBidi"/>
          <w:bCs/>
          <w:caps w:val="0"/>
          <w:color w:val="auto"/>
          <w:kern w:val="44"/>
          <w:sz w:val="28"/>
          <w:szCs w:val="28"/>
          <w:lang w:val="en-US" w:eastAsia="zh-CN" w:bidi="ar-SA"/>
        </w:rPr>
        <w:t xml:space="preserve">lassification </w:t>
      </w:r>
      <w:r>
        <w:rPr>
          <w:rFonts w:hint="eastAsia" w:eastAsia="宋体" w:cstheme="minorBidi"/>
          <w:bCs/>
          <w:caps w:val="0"/>
          <w:color w:val="auto"/>
          <w:kern w:val="44"/>
          <w:sz w:val="28"/>
          <w:szCs w:val="28"/>
          <w:lang w:val="en-US" w:eastAsia="zh-CN" w:bidi="ar-SA"/>
        </w:rPr>
        <w:t>a</w:t>
      </w:r>
      <w:r>
        <w:rPr>
          <w:rFonts w:hint="eastAsia" w:ascii="Times New Roman" w:hAnsi="Times New Roman" w:eastAsia="宋体" w:cstheme="minorBidi"/>
          <w:bCs/>
          <w:caps w:val="0"/>
          <w:color w:val="auto"/>
          <w:kern w:val="44"/>
          <w:sz w:val="28"/>
          <w:szCs w:val="28"/>
          <w:lang w:val="en-US" w:eastAsia="zh-CN" w:bidi="ar-SA"/>
        </w:rPr>
        <w:t xml:space="preserve">nd </w:t>
      </w:r>
      <w:r>
        <w:rPr>
          <w:rFonts w:hint="eastAsia" w:eastAsia="宋体" w:cstheme="minorBidi"/>
          <w:bCs/>
          <w:caps w:val="0"/>
          <w:color w:val="auto"/>
          <w:kern w:val="44"/>
          <w:sz w:val="28"/>
          <w:szCs w:val="28"/>
          <w:lang w:val="en-US" w:eastAsia="zh-CN" w:bidi="ar-SA"/>
        </w:rPr>
        <w:t>L</w:t>
      </w:r>
      <w:r>
        <w:rPr>
          <w:rFonts w:hint="eastAsia" w:ascii="Times New Roman" w:hAnsi="Times New Roman" w:eastAsia="宋体" w:cstheme="minorBidi"/>
          <w:bCs/>
          <w:caps w:val="0"/>
          <w:color w:val="auto"/>
          <w:kern w:val="44"/>
          <w:sz w:val="28"/>
          <w:szCs w:val="28"/>
          <w:lang w:val="en-US" w:eastAsia="zh-CN" w:bidi="ar-SA"/>
        </w:rPr>
        <w:t xml:space="preserve">oad </w:t>
      </w:r>
      <w:r>
        <w:rPr>
          <w:rFonts w:hint="eastAsia" w:eastAsia="宋体" w:cstheme="minorBidi"/>
          <w:bCs/>
          <w:caps w:val="0"/>
          <w:color w:val="auto"/>
          <w:kern w:val="44"/>
          <w:sz w:val="28"/>
          <w:szCs w:val="28"/>
          <w:lang w:val="en-US" w:eastAsia="zh-CN" w:bidi="ar-SA"/>
        </w:rPr>
        <w:t>C</w:t>
      </w:r>
      <w:r>
        <w:rPr>
          <w:rFonts w:hint="eastAsia" w:ascii="Times New Roman" w:hAnsi="Times New Roman" w:eastAsia="宋体" w:cstheme="minorBidi"/>
          <w:bCs/>
          <w:caps w:val="0"/>
          <w:color w:val="auto"/>
          <w:kern w:val="44"/>
          <w:sz w:val="28"/>
          <w:szCs w:val="28"/>
          <w:lang w:val="en-US" w:eastAsia="zh-CN" w:bidi="ar-SA"/>
        </w:rPr>
        <w:t>ombination</w:t>
      </w:r>
      <w:r>
        <w:tab/>
      </w:r>
      <w:r>
        <w:rPr>
          <w:rFonts w:hint="eastAsia"/>
          <w:lang w:val="en-US" w:eastAsia="zh-CN"/>
        </w:rPr>
        <w:t>9</w:t>
      </w:r>
      <w:r>
        <w:fldChar w:fldCharType="end"/>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_Toc25536 </w:instrText>
      </w:r>
      <w:r>
        <w:fldChar w:fldCharType="separate"/>
      </w:r>
      <w:r>
        <w:rPr>
          <w:rFonts w:hint="eastAsia" w:eastAsia="黑体"/>
          <w:i w:val="0"/>
          <w:color w:val="0000BF" w:themeColor="hyperlink" w:themeShade="BF"/>
          <w:w w:val="100"/>
        </w:rPr>
        <w:t xml:space="preserve">3.3 </w:t>
      </w:r>
      <w:r>
        <w:rPr>
          <w:rFonts w:hint="eastAsia"/>
          <w:i w:val="0"/>
          <w:color w:val="0000BF" w:themeColor="hyperlink" w:themeShade="BF"/>
          <w:w w:val="100"/>
          <w:lang w:val="en-US" w:eastAsia="zh-CN"/>
        </w:rPr>
        <w:t>S</w:t>
      </w:r>
      <w:r>
        <w:rPr>
          <w:rFonts w:hint="eastAsia" w:ascii="Times New Roman" w:hAnsi="Times New Roman" w:eastAsia="宋体" w:cstheme="minorBidi"/>
          <w:bCs/>
          <w:caps w:val="0"/>
          <w:color w:val="auto"/>
          <w:kern w:val="44"/>
          <w:sz w:val="28"/>
          <w:szCs w:val="28"/>
          <w:lang w:val="en-US" w:eastAsia="zh-CN" w:bidi="ar-SA"/>
        </w:rPr>
        <w:t xml:space="preserve">tructural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tyle</w:t>
      </w:r>
      <w:r>
        <w:tab/>
      </w:r>
      <w:r>
        <w:rPr>
          <w:rFonts w:hint="eastAsia"/>
          <w:lang w:val="en-US" w:eastAsia="zh-CN"/>
        </w:rPr>
        <w:t>1</w:t>
      </w:r>
      <w:r>
        <w:fldChar w:fldCharType="end"/>
      </w:r>
      <w:r>
        <w:rPr>
          <w:rFonts w:hint="eastAsia"/>
          <w:lang w:val="en-US" w:eastAsia="zh-CN"/>
        </w:rPr>
        <w:t>2</w:t>
      </w:r>
    </w:p>
    <w:p>
      <w:pPr>
        <w:pStyle w:val="15"/>
        <w:tabs>
          <w:tab w:val="right" w:leader="dot" w:pos="8306"/>
          <w:tab w:val="clear" w:pos="284"/>
          <w:tab w:val="clear" w:pos="8296"/>
        </w:tabs>
        <w:rPr>
          <w:rFonts w:hint="eastAsia" w:eastAsia="黑体"/>
          <w:lang w:val="en-US" w:eastAsia="zh-CN"/>
        </w:rPr>
      </w:pPr>
      <w:r>
        <w:fldChar w:fldCharType="begin"/>
      </w:r>
      <w:r>
        <w:instrText xml:space="preserve"> HYPERLINK \l _Toc30631 </w:instrText>
      </w:r>
      <w:r>
        <w:fldChar w:fldCharType="separate"/>
      </w:r>
      <w:r>
        <w:rPr>
          <w:rFonts w:hint="default" w:ascii="Times New Roman" w:hAnsi="Times New Roman" w:eastAsia="黑体"/>
          <w:i w:val="0"/>
          <w:color w:val="0000BF" w:themeColor="hyperlink" w:themeShade="BF"/>
          <w:w w:val="100"/>
        </w:rPr>
        <w:t xml:space="preserve">4 </w:t>
      </w:r>
      <w:r>
        <w:rPr>
          <w:rFonts w:hint="eastAsia" w:ascii="Times New Roman" w:hAnsi="Times New Roman" w:eastAsia="宋体" w:cstheme="minorBidi"/>
          <w:bCs/>
          <w:caps w:val="0"/>
          <w:color w:val="auto"/>
          <w:kern w:val="44"/>
          <w:sz w:val="28"/>
          <w:szCs w:val="28"/>
          <w:lang w:val="en-US" w:eastAsia="zh-CN" w:bidi="ar-SA"/>
        </w:rPr>
        <w:t xml:space="preserve">Geotechnical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urvey </w:t>
      </w:r>
      <w:r>
        <w:rPr>
          <w:rFonts w:hint="eastAsia" w:eastAsia="宋体" w:cstheme="minorBidi"/>
          <w:bCs/>
          <w:caps w:val="0"/>
          <w:color w:val="auto"/>
          <w:kern w:val="44"/>
          <w:sz w:val="28"/>
          <w:szCs w:val="28"/>
          <w:lang w:val="en-US" w:eastAsia="zh-CN" w:bidi="ar-SA"/>
        </w:rPr>
        <w:t>a</w:t>
      </w:r>
      <w:r>
        <w:rPr>
          <w:rFonts w:hint="eastAsia" w:ascii="Times New Roman" w:hAnsi="Times New Roman" w:eastAsia="宋体" w:cstheme="minorBidi"/>
          <w:bCs/>
          <w:caps w:val="0"/>
          <w:color w:val="auto"/>
          <w:kern w:val="44"/>
          <w:sz w:val="28"/>
          <w:szCs w:val="28"/>
          <w:lang w:val="en-US" w:eastAsia="zh-CN" w:bidi="ar-SA"/>
        </w:rPr>
        <w:t xml:space="preserve">nd </w:t>
      </w:r>
      <w:r>
        <w:rPr>
          <w:rFonts w:hint="eastAsia" w:eastAsia="宋体" w:cstheme="minorBidi"/>
          <w:bCs/>
          <w:caps w:val="0"/>
          <w:color w:val="auto"/>
          <w:kern w:val="44"/>
          <w:sz w:val="28"/>
          <w:szCs w:val="28"/>
          <w:lang w:val="en-US" w:eastAsia="zh-CN" w:bidi="ar-SA"/>
        </w:rPr>
        <w:t>E</w:t>
      </w:r>
      <w:r>
        <w:rPr>
          <w:rFonts w:hint="eastAsia" w:ascii="Times New Roman" w:hAnsi="Times New Roman" w:eastAsia="宋体" w:cstheme="minorBidi"/>
          <w:bCs/>
          <w:caps w:val="0"/>
          <w:color w:val="auto"/>
          <w:kern w:val="44"/>
          <w:sz w:val="28"/>
          <w:szCs w:val="28"/>
          <w:lang w:val="en-US" w:eastAsia="zh-CN" w:bidi="ar-SA"/>
        </w:rPr>
        <w:t xml:space="preserve">nvironmental </w:t>
      </w:r>
      <w:r>
        <w:rPr>
          <w:rFonts w:hint="eastAsia" w:eastAsia="宋体" w:cstheme="minorBidi"/>
          <w:bCs/>
          <w:caps w:val="0"/>
          <w:color w:val="auto"/>
          <w:kern w:val="44"/>
          <w:sz w:val="28"/>
          <w:szCs w:val="28"/>
          <w:lang w:val="en-US" w:eastAsia="zh-CN" w:bidi="ar-SA"/>
        </w:rPr>
        <w:t>I</w:t>
      </w:r>
      <w:r>
        <w:rPr>
          <w:rFonts w:hint="eastAsia" w:ascii="Times New Roman" w:hAnsi="Times New Roman" w:eastAsia="宋体" w:cstheme="minorBidi"/>
          <w:bCs/>
          <w:caps w:val="0"/>
          <w:color w:val="auto"/>
          <w:kern w:val="44"/>
          <w:sz w:val="28"/>
          <w:szCs w:val="28"/>
          <w:lang w:val="en-US" w:eastAsia="zh-CN" w:bidi="ar-SA"/>
        </w:rPr>
        <w:t>nvestigation</w:t>
      </w:r>
      <w:r>
        <w:tab/>
      </w:r>
      <w:r>
        <w:rPr>
          <w:rFonts w:hint="eastAsia"/>
          <w:lang w:val="en-US" w:eastAsia="zh-CN"/>
        </w:rPr>
        <w:t>1</w:t>
      </w:r>
      <w:r>
        <w:fldChar w:fldCharType="end"/>
      </w:r>
      <w:r>
        <w:rPr>
          <w:rFonts w:hint="eastAsia"/>
          <w:lang w:val="en-US" w:eastAsia="zh-CN"/>
        </w:rPr>
        <w:t>4</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_Toc21050 </w:instrText>
      </w:r>
      <w:r>
        <w:fldChar w:fldCharType="separate"/>
      </w:r>
      <w:r>
        <w:rPr>
          <w:rFonts w:hint="eastAsia" w:eastAsia="黑体"/>
          <w:i w:val="0"/>
          <w:color w:val="0000BF" w:themeColor="hyperlink" w:themeShade="BF"/>
          <w:w w:val="100"/>
        </w:rPr>
        <w:t>4.1</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1</w:t>
      </w:r>
      <w:r>
        <w:fldChar w:fldCharType="end"/>
      </w:r>
      <w:r>
        <w:rPr>
          <w:rFonts w:hint="eastAsia"/>
          <w:lang w:val="en-US" w:eastAsia="zh-CN"/>
        </w:rPr>
        <w:t>4</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_Toc24155 </w:instrText>
      </w:r>
      <w:r>
        <w:fldChar w:fldCharType="separate"/>
      </w:r>
      <w:r>
        <w:rPr>
          <w:rFonts w:hint="eastAsia" w:eastAsia="黑体"/>
          <w:i w:val="0"/>
          <w:color w:val="0000BF" w:themeColor="hyperlink" w:themeShade="BF"/>
          <w:w w:val="100"/>
        </w:rPr>
        <w:t>4.2</w:t>
      </w:r>
      <w:r>
        <w:rPr>
          <w:rFonts w:hint="eastAsia" w:ascii="Times New Roman" w:hAnsi="Times New Roman" w:eastAsia="宋体" w:cstheme="minorBidi"/>
          <w:bCs/>
          <w:caps w:val="0"/>
          <w:color w:val="auto"/>
          <w:kern w:val="44"/>
          <w:sz w:val="28"/>
          <w:szCs w:val="28"/>
          <w:lang w:val="en-US" w:eastAsia="zh-CN" w:bidi="ar-SA"/>
        </w:rPr>
        <w:t xml:space="preserve"> </w:t>
      </w:r>
      <w:r>
        <w:rPr>
          <w:rFonts w:hint="eastAsia" w:eastAsia="宋体" w:cstheme="minorBidi"/>
          <w:bCs/>
          <w:caps w:val="0"/>
          <w:color w:val="auto"/>
          <w:kern w:val="44"/>
          <w:sz w:val="28"/>
          <w:szCs w:val="28"/>
          <w:lang w:val="en-US" w:eastAsia="zh-CN" w:bidi="ar-SA"/>
        </w:rPr>
        <w:t>F</w:t>
      </w:r>
      <w:r>
        <w:rPr>
          <w:rFonts w:hint="eastAsia" w:ascii="Times New Roman" w:hAnsi="Times New Roman" w:eastAsia="宋体" w:cstheme="minorBidi"/>
          <w:bCs/>
          <w:caps w:val="0"/>
          <w:color w:val="auto"/>
          <w:kern w:val="44"/>
          <w:sz w:val="28"/>
          <w:szCs w:val="28"/>
          <w:lang w:val="en-US" w:eastAsia="zh-CN" w:bidi="ar-SA"/>
        </w:rPr>
        <w:t xml:space="preserve">easibility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tudy and </w:t>
      </w:r>
      <w:r>
        <w:rPr>
          <w:rFonts w:hint="eastAsia" w:eastAsia="宋体" w:cstheme="minorBidi"/>
          <w:bCs/>
          <w:caps w:val="0"/>
          <w:color w:val="auto"/>
          <w:kern w:val="44"/>
          <w:sz w:val="28"/>
          <w:szCs w:val="28"/>
          <w:lang w:val="en-US" w:eastAsia="zh-CN" w:bidi="ar-SA"/>
        </w:rPr>
        <w:t>I</w:t>
      </w:r>
      <w:r>
        <w:rPr>
          <w:rFonts w:hint="eastAsia" w:ascii="Times New Roman" w:hAnsi="Times New Roman" w:eastAsia="宋体" w:cstheme="minorBidi"/>
          <w:bCs/>
          <w:caps w:val="0"/>
          <w:color w:val="auto"/>
          <w:kern w:val="44"/>
          <w:sz w:val="28"/>
          <w:szCs w:val="28"/>
          <w:lang w:val="en-US" w:eastAsia="zh-CN" w:bidi="ar-SA"/>
        </w:rPr>
        <w:t>nvestigation</w:t>
      </w:r>
      <w:r>
        <w:tab/>
      </w:r>
      <w:r>
        <w:rPr>
          <w:rFonts w:hint="eastAsia"/>
          <w:lang w:val="en-US" w:eastAsia="zh-CN"/>
        </w:rPr>
        <w:t>1</w:t>
      </w:r>
      <w:r>
        <w:fldChar w:fldCharType="end"/>
      </w:r>
      <w:r>
        <w:rPr>
          <w:rFonts w:hint="eastAsia"/>
          <w:lang w:val="en-US" w:eastAsia="zh-CN"/>
        </w:rPr>
        <w:t>7</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_Toc2654 </w:instrText>
      </w:r>
      <w:r>
        <w:fldChar w:fldCharType="separate"/>
      </w:r>
      <w:r>
        <w:rPr>
          <w:rFonts w:hint="eastAsia" w:eastAsia="黑体"/>
          <w:i w:val="0"/>
          <w:color w:val="0000BF" w:themeColor="hyperlink" w:themeShade="BF"/>
          <w:w w:val="100"/>
        </w:rPr>
        <w:t xml:space="preserve">4.3 </w:t>
      </w:r>
      <w:r>
        <w:rPr>
          <w:rFonts w:hint="eastAsia" w:eastAsia="宋体" w:cstheme="minorBidi"/>
          <w:bCs/>
          <w:caps w:val="0"/>
          <w:color w:val="auto"/>
          <w:kern w:val="44"/>
          <w:sz w:val="28"/>
          <w:szCs w:val="28"/>
          <w:lang w:val="en-US" w:eastAsia="zh-CN" w:bidi="ar-SA"/>
        </w:rPr>
        <w:t>Preliminary Investigation</w:t>
      </w:r>
      <w:r>
        <w:tab/>
      </w:r>
      <w:r>
        <w:rPr>
          <w:rFonts w:hint="eastAsia"/>
          <w:lang w:val="en-US" w:eastAsia="zh-CN"/>
        </w:rPr>
        <w:t>1</w:t>
      </w:r>
      <w:r>
        <w:fldChar w:fldCharType="end"/>
      </w:r>
      <w:r>
        <w:rPr>
          <w:rFonts w:hint="eastAsia"/>
          <w:lang w:val="en-US" w:eastAsia="zh-CN"/>
        </w:rPr>
        <w:t>9</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_Toc26959 </w:instrText>
      </w:r>
      <w:r>
        <w:fldChar w:fldCharType="separate"/>
      </w:r>
      <w:r>
        <w:rPr>
          <w:rFonts w:hint="eastAsia" w:eastAsia="黑体"/>
          <w:i w:val="0"/>
          <w:color w:val="0000BF" w:themeColor="hyperlink" w:themeShade="BF"/>
          <w:w w:val="100"/>
        </w:rPr>
        <w:t xml:space="preserve">4.4 </w:t>
      </w:r>
      <w:r>
        <w:rPr>
          <w:rFonts w:hint="eastAsia" w:eastAsia="宋体" w:cstheme="minorBidi"/>
          <w:bCs/>
          <w:caps w:val="0"/>
          <w:color w:val="auto"/>
          <w:kern w:val="44"/>
          <w:sz w:val="28"/>
          <w:szCs w:val="28"/>
          <w:lang w:val="en-US" w:eastAsia="zh-CN" w:bidi="ar-SA"/>
        </w:rPr>
        <w:t>Detailed Investigation</w:t>
      </w:r>
      <w:r>
        <w:tab/>
      </w:r>
      <w:r>
        <w:rPr>
          <w:rFonts w:hint="eastAsia"/>
          <w:lang w:val="en-US" w:eastAsia="zh-CN"/>
        </w:rPr>
        <w:t>2</w:t>
      </w:r>
      <w:r>
        <w:fldChar w:fldCharType="end"/>
      </w:r>
      <w:r>
        <w:rPr>
          <w:rFonts w:hint="eastAsia"/>
          <w:lang w:val="en-US" w:eastAsia="zh-CN"/>
        </w:rPr>
        <w:t>1</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_Toc26365 </w:instrText>
      </w:r>
      <w:r>
        <w:fldChar w:fldCharType="separate"/>
      </w:r>
      <w:r>
        <w:rPr>
          <w:rFonts w:hint="eastAsia" w:eastAsia="黑体"/>
          <w:i w:val="0"/>
          <w:color w:val="0000BF" w:themeColor="hyperlink" w:themeShade="BF"/>
          <w:w w:val="100"/>
        </w:rPr>
        <w:t xml:space="preserve">4.5 </w:t>
      </w:r>
      <w:r>
        <w:rPr>
          <w:rFonts w:hint="eastAsia" w:eastAsia="宋体" w:cstheme="minorBidi"/>
          <w:bCs/>
          <w:caps w:val="0"/>
          <w:color w:val="auto"/>
          <w:kern w:val="44"/>
          <w:sz w:val="28"/>
          <w:szCs w:val="28"/>
          <w:lang w:val="en-US" w:eastAsia="zh-CN" w:bidi="ar-SA"/>
        </w:rPr>
        <w:t>Construction Phase Survey</w:t>
      </w:r>
      <w:r>
        <w:tab/>
      </w:r>
      <w:r>
        <w:rPr>
          <w:rFonts w:hint="eastAsia"/>
          <w:lang w:val="en-US" w:eastAsia="zh-CN"/>
        </w:rPr>
        <w:t>2</w:t>
      </w:r>
      <w:r>
        <w:fldChar w:fldCharType="end"/>
      </w:r>
      <w:r>
        <w:rPr>
          <w:rFonts w:hint="eastAsia"/>
          <w:lang w:val="en-US" w:eastAsia="zh-CN"/>
        </w:rPr>
        <w:t>4</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_Toc5152 </w:instrText>
      </w:r>
      <w:r>
        <w:fldChar w:fldCharType="separate"/>
      </w:r>
      <w:r>
        <w:rPr>
          <w:rFonts w:hint="eastAsia" w:eastAsia="黑体"/>
          <w:i w:val="0"/>
          <w:color w:val="0000BF" w:themeColor="hyperlink" w:themeShade="BF"/>
          <w:w w:val="100"/>
        </w:rPr>
        <w:t xml:space="preserve">4.6 </w:t>
      </w:r>
      <w:r>
        <w:rPr>
          <w:rFonts w:hint="eastAsia" w:eastAsia="宋体" w:cstheme="minorBidi"/>
          <w:bCs/>
          <w:caps w:val="0"/>
          <w:color w:val="auto"/>
          <w:kern w:val="44"/>
          <w:sz w:val="28"/>
          <w:szCs w:val="28"/>
          <w:lang w:val="en-US" w:eastAsia="zh-CN" w:bidi="ar-SA"/>
        </w:rPr>
        <w:t>Geotechnical Test</w:t>
      </w:r>
      <w:r>
        <w:tab/>
      </w:r>
      <w:r>
        <w:rPr>
          <w:rFonts w:hint="eastAsia"/>
          <w:lang w:val="en-US" w:eastAsia="zh-CN"/>
        </w:rPr>
        <w:t>2</w:t>
      </w:r>
      <w:r>
        <w:fldChar w:fldCharType="end"/>
      </w:r>
      <w:r>
        <w:rPr>
          <w:rFonts w:hint="eastAsia"/>
          <w:lang w:val="en-US" w:eastAsia="zh-CN"/>
        </w:rPr>
        <w:t>4</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_Toc31013 </w:instrText>
      </w:r>
      <w:r>
        <w:fldChar w:fldCharType="separate"/>
      </w:r>
      <w:r>
        <w:rPr>
          <w:rFonts w:hint="eastAsia" w:eastAsia="黑体"/>
          <w:i w:val="0"/>
          <w:color w:val="0000BF" w:themeColor="hyperlink" w:themeShade="BF"/>
          <w:w w:val="100"/>
        </w:rPr>
        <w:t xml:space="preserve">4.7 </w:t>
      </w:r>
      <w:r>
        <w:rPr>
          <w:rFonts w:hint="eastAsia" w:eastAsia="宋体" w:cstheme="minorBidi"/>
          <w:bCs/>
          <w:caps w:val="0"/>
          <w:color w:val="auto"/>
          <w:kern w:val="44"/>
          <w:sz w:val="28"/>
          <w:szCs w:val="28"/>
          <w:lang w:val="en-US" w:eastAsia="zh-CN" w:bidi="ar-SA"/>
        </w:rPr>
        <w:t>Survey results</w:t>
      </w:r>
      <w:r>
        <w:tab/>
      </w:r>
      <w:r>
        <w:rPr>
          <w:rFonts w:hint="eastAsia"/>
          <w:lang w:val="en-US" w:eastAsia="zh-CN"/>
        </w:rPr>
        <w:t>2</w:t>
      </w:r>
      <w:r>
        <w:fldChar w:fldCharType="end"/>
      </w:r>
      <w:r>
        <w:rPr>
          <w:rFonts w:hint="eastAsia"/>
          <w:lang w:val="en-US" w:eastAsia="zh-CN"/>
        </w:rPr>
        <w:t>6</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_Toc10233 </w:instrText>
      </w:r>
      <w:r>
        <w:fldChar w:fldCharType="separate"/>
      </w:r>
      <w:r>
        <w:rPr>
          <w:rFonts w:hint="eastAsia" w:eastAsia="黑体"/>
          <w:i w:val="0"/>
          <w:color w:val="0000BF" w:themeColor="hyperlink" w:themeShade="BF"/>
          <w:w w:val="100"/>
        </w:rPr>
        <w:t xml:space="preserve">4.8 </w:t>
      </w:r>
      <w:r>
        <w:rPr>
          <w:rFonts w:hint="eastAsia"/>
          <w:i w:val="0"/>
          <w:color w:val="0000BF" w:themeColor="hyperlink" w:themeShade="BF"/>
          <w:w w:val="100"/>
          <w:lang w:val="en-US" w:eastAsia="zh-CN"/>
        </w:rPr>
        <w:t>E</w:t>
      </w:r>
      <w:r>
        <w:rPr>
          <w:rFonts w:hint="eastAsia" w:eastAsia="宋体" w:cstheme="minorBidi"/>
          <w:bCs/>
          <w:caps w:val="0"/>
          <w:color w:val="auto"/>
          <w:kern w:val="44"/>
          <w:sz w:val="28"/>
          <w:szCs w:val="28"/>
          <w:lang w:val="en-US" w:eastAsia="zh-CN" w:bidi="ar-SA"/>
        </w:rPr>
        <w:t xml:space="preserve">nvironment Inquiry </w:t>
      </w:r>
      <w:r>
        <w:tab/>
      </w:r>
      <w:r>
        <w:rPr>
          <w:rFonts w:hint="eastAsia"/>
          <w:lang w:val="en-US" w:eastAsia="zh-CN"/>
        </w:rPr>
        <w:t>2</w:t>
      </w:r>
      <w:r>
        <w:fldChar w:fldCharType="end"/>
      </w:r>
      <w:r>
        <w:rPr>
          <w:rFonts w:hint="eastAsia"/>
          <w:lang w:val="en-US" w:eastAsia="zh-CN"/>
        </w:rPr>
        <w:t>7</w:t>
      </w:r>
    </w:p>
    <w:p>
      <w:pPr>
        <w:pStyle w:val="15"/>
        <w:tabs>
          <w:tab w:val="right" w:leader="dot" w:pos="8306"/>
          <w:tab w:val="clear" w:pos="284"/>
          <w:tab w:val="clear" w:pos="8296"/>
        </w:tabs>
        <w:rPr>
          <w:rFonts w:hint="eastAsia" w:eastAsia="黑体"/>
          <w:lang w:val="en-US" w:eastAsia="zh-CN"/>
        </w:rPr>
      </w:pPr>
      <w:r>
        <w:fldChar w:fldCharType="begin"/>
      </w:r>
      <w:r>
        <w:instrText xml:space="preserve"> HYPERLINK \l _Toc22597 </w:instrText>
      </w:r>
      <w:r>
        <w:fldChar w:fldCharType="separate"/>
      </w:r>
      <w:r>
        <w:rPr>
          <w:rFonts w:hint="default" w:ascii="Times New Roman" w:hAnsi="Times New Roman" w:eastAsia="黑体"/>
          <w:i w:val="0"/>
          <w:color w:val="0000BF" w:themeColor="hyperlink" w:themeShade="BF"/>
          <w:w w:val="100"/>
        </w:rPr>
        <w:t xml:space="preserve">5 </w:t>
      </w:r>
      <w:r>
        <w:rPr>
          <w:rFonts w:hint="eastAsia"/>
          <w:i w:val="0"/>
          <w:color w:val="0000BF" w:themeColor="hyperlink" w:themeShade="BF"/>
          <w:w w:val="100"/>
          <w:lang w:val="en-US" w:eastAsia="zh-CN"/>
        </w:rPr>
        <w:t>D</w:t>
      </w:r>
      <w:r>
        <w:rPr>
          <w:rFonts w:hint="eastAsia" w:ascii="Times New Roman" w:hAnsi="Times New Roman" w:eastAsia="宋体" w:cstheme="minorBidi"/>
          <w:bCs/>
          <w:caps w:val="0"/>
          <w:color w:val="auto"/>
          <w:kern w:val="44"/>
          <w:sz w:val="28"/>
          <w:szCs w:val="28"/>
          <w:lang w:val="en-US" w:eastAsia="zh-CN" w:bidi="ar-SA"/>
        </w:rPr>
        <w:t xml:space="preserve">esign </w:t>
      </w:r>
      <w:r>
        <w:rPr>
          <w:rFonts w:hint="eastAsia" w:eastAsia="宋体" w:cstheme="minorBidi"/>
          <w:bCs/>
          <w:caps w:val="0"/>
          <w:color w:val="auto"/>
          <w:kern w:val="44"/>
          <w:sz w:val="28"/>
          <w:szCs w:val="28"/>
          <w:lang w:val="en-US" w:eastAsia="zh-CN" w:bidi="ar-SA"/>
        </w:rPr>
        <w:t>L</w:t>
      </w:r>
      <w:r>
        <w:rPr>
          <w:rFonts w:hint="eastAsia" w:ascii="Times New Roman" w:hAnsi="Times New Roman" w:eastAsia="宋体" w:cstheme="minorBidi"/>
          <w:bCs/>
          <w:caps w:val="0"/>
          <w:color w:val="auto"/>
          <w:kern w:val="44"/>
          <w:sz w:val="28"/>
          <w:szCs w:val="28"/>
          <w:lang w:val="en-US" w:eastAsia="zh-CN" w:bidi="ar-SA"/>
        </w:rPr>
        <w:t>oad</w:t>
      </w:r>
      <w:r>
        <w:tab/>
      </w:r>
      <w:r>
        <w:rPr>
          <w:rFonts w:hint="eastAsia"/>
          <w:lang w:val="en-US" w:eastAsia="zh-CN"/>
        </w:rPr>
        <w:t>2</w:t>
      </w:r>
      <w:r>
        <w:fldChar w:fldCharType="end"/>
      </w:r>
      <w:r>
        <w:rPr>
          <w:rFonts w:hint="eastAsia"/>
          <w:lang w:val="en-US" w:eastAsia="zh-CN"/>
        </w:rPr>
        <w:t>8</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_Toc19899 </w:instrText>
      </w:r>
      <w:r>
        <w:fldChar w:fldCharType="separate"/>
      </w:r>
      <w:r>
        <w:rPr>
          <w:rFonts w:hint="eastAsia" w:eastAsia="黑体"/>
          <w:i w:val="0"/>
          <w:color w:val="0000BF" w:themeColor="hyperlink" w:themeShade="BF"/>
          <w:w w:val="100"/>
        </w:rPr>
        <w:t>5.1</w:t>
      </w:r>
      <w:r>
        <w:rPr>
          <w:rFonts w:hint="eastAsia" w:eastAsia="宋体" w:cstheme="minorBidi"/>
          <w:bCs/>
          <w:caps w:val="0"/>
          <w:color w:val="auto"/>
          <w:kern w:val="44"/>
          <w:sz w:val="28"/>
          <w:szCs w:val="28"/>
          <w:lang w:val="en-US" w:eastAsia="zh-CN" w:bidi="ar-SA"/>
        </w:rPr>
        <w:t xml:space="preserve"> General Requirements</w:t>
      </w:r>
      <w:r>
        <w:tab/>
      </w:r>
      <w:r>
        <w:rPr>
          <w:rFonts w:hint="eastAsia"/>
          <w:lang w:val="en-US" w:eastAsia="zh-CN"/>
        </w:rPr>
        <w:t>2</w:t>
      </w:r>
      <w:r>
        <w:fldChar w:fldCharType="end"/>
      </w:r>
      <w:r>
        <w:rPr>
          <w:rFonts w:hint="eastAsia"/>
          <w:lang w:val="en-US" w:eastAsia="zh-CN"/>
        </w:rPr>
        <w:t>8</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_Toc25660 </w:instrText>
      </w:r>
      <w:r>
        <w:fldChar w:fldCharType="separate"/>
      </w:r>
      <w:r>
        <w:rPr>
          <w:rFonts w:hint="eastAsia" w:eastAsia="黑体"/>
          <w:i w:val="0"/>
          <w:color w:val="0000BF" w:themeColor="hyperlink" w:themeShade="BF"/>
          <w:w w:val="100"/>
        </w:rPr>
        <w:t xml:space="preserve">5.2 </w:t>
      </w:r>
      <w:r>
        <w:rPr>
          <w:rFonts w:hint="eastAsia" w:eastAsia="宋体" w:cstheme="minorBidi"/>
          <w:bCs/>
          <w:caps w:val="0"/>
          <w:color w:val="auto"/>
          <w:kern w:val="44"/>
          <w:sz w:val="28"/>
          <w:szCs w:val="28"/>
          <w:lang w:val="en-US" w:eastAsia="zh-CN" w:bidi="ar-SA"/>
        </w:rPr>
        <w:t>Earth Pressure</w:t>
      </w:r>
      <w:r>
        <w:tab/>
      </w:r>
      <w:r>
        <w:rPr>
          <w:rFonts w:hint="eastAsia"/>
          <w:lang w:val="en-US" w:eastAsia="zh-CN"/>
        </w:rPr>
        <w:t>3</w:t>
      </w:r>
      <w:r>
        <w:fldChar w:fldCharType="end"/>
      </w:r>
      <w:r>
        <w:rPr>
          <w:rFonts w:hint="eastAsia"/>
          <w:lang w:val="en-US" w:eastAsia="zh-CN"/>
        </w:rPr>
        <w:t>1</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_Toc24128 </w:instrText>
      </w:r>
      <w:r>
        <w:fldChar w:fldCharType="separate"/>
      </w:r>
      <w:r>
        <w:rPr>
          <w:rFonts w:hint="eastAsia" w:eastAsia="黑体"/>
          <w:i w:val="0"/>
          <w:color w:val="0000BF" w:themeColor="hyperlink" w:themeShade="BF"/>
          <w:w w:val="100"/>
        </w:rPr>
        <w:t xml:space="preserve">5.3 </w:t>
      </w:r>
      <w:r>
        <w:rPr>
          <w:rFonts w:hint="eastAsia"/>
          <w:i w:val="0"/>
          <w:color w:val="0000BF" w:themeColor="hyperlink" w:themeShade="BF"/>
          <w:w w:val="100"/>
          <w:lang w:val="en-US" w:eastAsia="zh-CN"/>
        </w:rPr>
        <w:t>w</w:t>
      </w:r>
      <w:r>
        <w:rPr>
          <w:rFonts w:hint="eastAsia" w:eastAsia="宋体" w:cstheme="minorBidi"/>
          <w:bCs/>
          <w:caps w:val="0"/>
          <w:color w:val="auto"/>
          <w:kern w:val="44"/>
          <w:sz w:val="28"/>
          <w:szCs w:val="28"/>
          <w:lang w:val="en-US" w:eastAsia="zh-CN" w:bidi="ar-SA"/>
        </w:rPr>
        <w:t xml:space="preserve">ater Pressure </w:t>
      </w:r>
      <w:r>
        <w:tab/>
      </w:r>
      <w:r>
        <w:rPr>
          <w:rFonts w:hint="eastAsia"/>
          <w:lang w:val="en-US" w:eastAsia="zh-CN"/>
        </w:rPr>
        <w:t>3</w:t>
      </w:r>
      <w:r>
        <w:fldChar w:fldCharType="end"/>
      </w:r>
      <w:r>
        <w:rPr>
          <w:rFonts w:hint="eastAsia"/>
          <w:lang w:val="en-US" w:eastAsia="zh-CN"/>
        </w:rPr>
        <w:t>5</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_Toc4365 </w:instrText>
      </w:r>
      <w:r>
        <w:fldChar w:fldCharType="separate"/>
      </w:r>
      <w:r>
        <w:rPr>
          <w:rFonts w:hint="eastAsia" w:eastAsia="黑体"/>
          <w:i w:val="0"/>
          <w:color w:val="0000BF" w:themeColor="hyperlink" w:themeShade="BF"/>
          <w:w w:val="100"/>
        </w:rPr>
        <w:t xml:space="preserve">5.4 </w:t>
      </w:r>
      <w:r>
        <w:rPr>
          <w:rFonts w:hint="eastAsia" w:eastAsia="宋体" w:cstheme="minorBidi"/>
          <w:bCs/>
          <w:caps w:val="0"/>
          <w:color w:val="auto"/>
          <w:kern w:val="44"/>
          <w:sz w:val="28"/>
          <w:szCs w:val="28"/>
          <w:lang w:val="en-US" w:eastAsia="zh-CN" w:bidi="ar-SA"/>
        </w:rPr>
        <w:t>Other Loads</w:t>
      </w:r>
      <w:r>
        <w:tab/>
      </w:r>
      <w:r>
        <w:rPr>
          <w:rFonts w:hint="eastAsia"/>
          <w:lang w:val="en-US" w:eastAsia="zh-CN"/>
        </w:rPr>
        <w:t>3</w:t>
      </w:r>
      <w:r>
        <w:fldChar w:fldCharType="end"/>
      </w:r>
      <w:r>
        <w:rPr>
          <w:rFonts w:hint="eastAsia"/>
          <w:lang w:val="en-US" w:eastAsia="zh-CN"/>
        </w:rPr>
        <w:t>5</w:t>
      </w:r>
    </w:p>
    <w:p>
      <w:pPr>
        <w:pStyle w:val="15"/>
        <w:tabs>
          <w:tab w:val="right" w:leader="dot" w:pos="8306"/>
          <w:tab w:val="clear" w:pos="284"/>
          <w:tab w:val="clear" w:pos="8296"/>
        </w:tabs>
        <w:rPr>
          <w:rFonts w:hint="eastAsia" w:eastAsia="黑体"/>
          <w:lang w:val="en-US" w:eastAsia="zh-CN"/>
        </w:rPr>
      </w:pPr>
      <w:r>
        <w:fldChar w:fldCharType="begin"/>
      </w:r>
      <w:r>
        <w:instrText xml:space="preserve"> HYPERLINK \l _Toc18891 </w:instrText>
      </w:r>
      <w:r>
        <w:fldChar w:fldCharType="separate"/>
      </w:r>
      <w:r>
        <w:rPr>
          <w:rFonts w:hint="default" w:ascii="Times New Roman" w:hAnsi="Times New Roman" w:eastAsia="黑体"/>
          <w:i w:val="0"/>
          <w:color w:val="0000BF" w:themeColor="hyperlink" w:themeShade="BF"/>
          <w:w w:val="100"/>
        </w:rPr>
        <w:t xml:space="preserve">6 </w:t>
      </w:r>
      <w:r>
        <w:rPr>
          <w:rFonts w:hint="eastAsia"/>
          <w:i w:val="0"/>
          <w:color w:val="0000BF" w:themeColor="hyperlink" w:themeShade="BF"/>
          <w:w w:val="100"/>
          <w:lang w:val="en-US" w:eastAsia="zh-CN"/>
        </w:rPr>
        <w:t>C</w:t>
      </w:r>
      <w:r>
        <w:rPr>
          <w:rFonts w:hint="eastAsia" w:ascii="Times New Roman" w:hAnsi="Times New Roman" w:eastAsia="宋体" w:cstheme="minorBidi"/>
          <w:bCs/>
          <w:caps w:val="0"/>
          <w:color w:val="auto"/>
          <w:kern w:val="44"/>
          <w:sz w:val="28"/>
          <w:szCs w:val="28"/>
          <w:lang w:val="en-US" w:eastAsia="zh-CN" w:bidi="ar-SA"/>
        </w:rPr>
        <w:t xml:space="preserve">onstruction </w:t>
      </w:r>
      <w:r>
        <w:rPr>
          <w:rFonts w:hint="eastAsia" w:eastAsia="宋体" w:cstheme="minorBidi"/>
          <w:bCs/>
          <w:caps w:val="0"/>
          <w:color w:val="auto"/>
          <w:kern w:val="44"/>
          <w:sz w:val="28"/>
          <w:szCs w:val="28"/>
          <w:lang w:val="en-US" w:eastAsia="zh-CN" w:bidi="ar-SA"/>
        </w:rPr>
        <w:t>M</w:t>
      </w:r>
      <w:r>
        <w:rPr>
          <w:rFonts w:hint="eastAsia" w:ascii="Times New Roman" w:hAnsi="Times New Roman" w:eastAsia="宋体" w:cstheme="minorBidi"/>
          <w:bCs/>
          <w:caps w:val="0"/>
          <w:color w:val="auto"/>
          <w:kern w:val="44"/>
          <w:sz w:val="28"/>
          <w:szCs w:val="28"/>
          <w:lang w:val="en-US" w:eastAsia="zh-CN" w:bidi="ar-SA"/>
        </w:rPr>
        <w:t>ateria</w:t>
      </w:r>
      <w:r>
        <w:rPr>
          <w:rFonts w:hint="eastAsia"/>
        </w:rPr>
        <w:t>l</w:t>
      </w:r>
      <w:r>
        <w:tab/>
      </w:r>
      <w:r>
        <w:rPr>
          <w:rFonts w:hint="eastAsia"/>
          <w:lang w:val="en-US" w:eastAsia="zh-CN"/>
        </w:rPr>
        <w:t>4</w:t>
      </w:r>
      <w:r>
        <w:fldChar w:fldCharType="end"/>
      </w:r>
      <w:r>
        <w:rPr>
          <w:rFonts w:hint="eastAsia"/>
          <w:lang w:val="en-US" w:eastAsia="zh-CN"/>
        </w:rPr>
        <w:t>0</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_Toc20754 </w:instrText>
      </w:r>
      <w:r>
        <w:fldChar w:fldCharType="separate"/>
      </w:r>
      <w:r>
        <w:rPr>
          <w:rFonts w:hint="eastAsia" w:eastAsia="黑体"/>
          <w:i w:val="0"/>
          <w:color w:val="0000BF" w:themeColor="hyperlink" w:themeShade="BF"/>
          <w:w w:val="100"/>
        </w:rPr>
        <w:t xml:space="preserve">6.1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4</w:t>
      </w:r>
      <w:r>
        <w:fldChar w:fldCharType="end"/>
      </w:r>
      <w:r>
        <w:rPr>
          <w:rFonts w:hint="eastAsia"/>
          <w:lang w:val="en-US" w:eastAsia="zh-CN"/>
        </w:rPr>
        <w:t>0</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_Toc30694 </w:instrText>
      </w:r>
      <w:r>
        <w:fldChar w:fldCharType="separate"/>
      </w:r>
      <w:r>
        <w:rPr>
          <w:rFonts w:hint="eastAsia" w:eastAsia="黑体"/>
          <w:i w:val="0"/>
          <w:color w:val="0000BF" w:themeColor="hyperlink" w:themeShade="BF"/>
          <w:w w:val="100"/>
        </w:rPr>
        <w:t>6.2</w:t>
      </w:r>
      <w:r>
        <w:rPr>
          <w:rFonts w:hint="eastAsia" w:ascii="Times New Roman" w:hAnsi="Times New Roman" w:eastAsia="宋体" w:cstheme="minorBidi"/>
          <w:bCs/>
          <w:caps w:val="0"/>
          <w:color w:val="auto"/>
          <w:kern w:val="44"/>
          <w:sz w:val="28"/>
          <w:szCs w:val="28"/>
          <w:lang w:val="en-US" w:eastAsia="zh-CN" w:bidi="ar-SA"/>
        </w:rPr>
        <w:t xml:space="preserve"> </w:t>
      </w:r>
      <w:r>
        <w:rPr>
          <w:rFonts w:hint="eastAsia" w:eastAsia="宋体" w:cstheme="minorBidi"/>
          <w:bCs/>
          <w:caps w:val="0"/>
          <w:color w:val="auto"/>
          <w:kern w:val="44"/>
          <w:sz w:val="28"/>
          <w:szCs w:val="28"/>
          <w:lang w:val="en-US" w:eastAsia="zh-CN" w:bidi="ar-SA"/>
        </w:rPr>
        <w:t>C</w:t>
      </w:r>
      <w:r>
        <w:rPr>
          <w:rFonts w:hint="eastAsia" w:ascii="Times New Roman" w:hAnsi="Times New Roman" w:eastAsia="宋体" w:cstheme="minorBidi"/>
          <w:bCs/>
          <w:caps w:val="0"/>
          <w:color w:val="auto"/>
          <w:kern w:val="44"/>
          <w:sz w:val="28"/>
          <w:szCs w:val="28"/>
          <w:lang w:val="en-US" w:eastAsia="zh-CN" w:bidi="ar-SA"/>
        </w:rPr>
        <w:t>oncrete</w:t>
      </w:r>
      <w:r>
        <w:tab/>
      </w:r>
      <w:r>
        <w:rPr>
          <w:rFonts w:hint="eastAsia"/>
          <w:lang w:val="en-US" w:eastAsia="zh-CN"/>
        </w:rPr>
        <w:t>4</w:t>
      </w:r>
      <w:r>
        <w:fldChar w:fldCharType="end"/>
      </w:r>
      <w:r>
        <w:rPr>
          <w:rFonts w:hint="eastAsia"/>
          <w:lang w:val="en-US" w:eastAsia="zh-CN"/>
        </w:rPr>
        <w:t>1</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_Toc6626 </w:instrText>
      </w:r>
      <w:r>
        <w:fldChar w:fldCharType="separate"/>
      </w:r>
      <w:r>
        <w:rPr>
          <w:rFonts w:hint="eastAsia" w:eastAsia="黑体"/>
          <w:i w:val="0"/>
          <w:color w:val="0000BF" w:themeColor="hyperlink" w:themeShade="BF"/>
          <w:w w:val="100"/>
        </w:rPr>
        <w:t xml:space="preserve">6.3 </w:t>
      </w:r>
      <w:r>
        <w:rPr>
          <w:rFonts w:hint="eastAsia"/>
          <w:i w:val="0"/>
          <w:color w:val="0000BF" w:themeColor="hyperlink" w:themeShade="BF"/>
          <w:w w:val="100"/>
          <w:lang w:val="en-US" w:eastAsia="zh-CN"/>
        </w:rPr>
        <w:t>R</w:t>
      </w:r>
      <w:r>
        <w:rPr>
          <w:rFonts w:hint="eastAsia" w:ascii="Times New Roman" w:hAnsi="Times New Roman" w:eastAsia="宋体" w:cstheme="minorBidi"/>
          <w:bCs/>
          <w:caps w:val="0"/>
          <w:color w:val="auto"/>
          <w:kern w:val="44"/>
          <w:sz w:val="28"/>
          <w:szCs w:val="28"/>
          <w:lang w:val="en-US" w:eastAsia="zh-CN" w:bidi="ar-SA"/>
        </w:rPr>
        <w:t>ebar</w:t>
      </w:r>
      <w:r>
        <w:tab/>
      </w:r>
      <w:r>
        <w:rPr>
          <w:rFonts w:hint="eastAsia"/>
          <w:lang w:val="en-US" w:eastAsia="zh-CN"/>
        </w:rPr>
        <w:t>4</w:t>
      </w:r>
      <w:r>
        <w:fldChar w:fldCharType="end"/>
      </w:r>
      <w:r>
        <w:rPr>
          <w:rFonts w:hint="eastAsia"/>
          <w:lang w:val="en-US" w:eastAsia="zh-CN"/>
        </w:rPr>
        <w:t>2</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_Toc19256 </w:instrText>
      </w:r>
      <w:r>
        <w:fldChar w:fldCharType="separate"/>
      </w:r>
      <w:r>
        <w:rPr>
          <w:rFonts w:hint="eastAsia" w:eastAsia="黑体"/>
          <w:i w:val="0"/>
          <w:color w:val="0000BF" w:themeColor="hyperlink" w:themeShade="BF"/>
          <w:w w:val="100"/>
        </w:rPr>
        <w:t xml:space="preserve">6.4 </w:t>
      </w:r>
      <w:r>
        <w:rPr>
          <w:rFonts w:hint="eastAsia" w:ascii="Times New Roman" w:hAnsi="Times New Roman" w:eastAsia="宋体" w:cstheme="minorBidi"/>
          <w:bCs/>
          <w:caps w:val="0"/>
          <w:color w:val="auto"/>
          <w:kern w:val="44"/>
          <w:sz w:val="28"/>
          <w:szCs w:val="28"/>
          <w:lang w:val="en-US" w:eastAsia="zh-CN" w:bidi="ar-SA"/>
        </w:rPr>
        <w:t xml:space="preserve">Other </w:t>
      </w:r>
      <w:r>
        <w:rPr>
          <w:rFonts w:hint="eastAsia" w:eastAsia="宋体" w:cstheme="minorBidi"/>
          <w:bCs/>
          <w:caps w:val="0"/>
          <w:color w:val="auto"/>
          <w:kern w:val="44"/>
          <w:sz w:val="28"/>
          <w:szCs w:val="28"/>
          <w:lang w:val="en-US" w:eastAsia="zh-CN" w:bidi="ar-SA"/>
        </w:rPr>
        <w:t>M</w:t>
      </w:r>
      <w:r>
        <w:rPr>
          <w:rFonts w:hint="eastAsia" w:ascii="Times New Roman" w:hAnsi="Times New Roman" w:eastAsia="宋体" w:cstheme="minorBidi"/>
          <w:bCs/>
          <w:caps w:val="0"/>
          <w:color w:val="auto"/>
          <w:kern w:val="44"/>
          <w:sz w:val="28"/>
          <w:szCs w:val="28"/>
          <w:lang w:val="en-US" w:eastAsia="zh-CN" w:bidi="ar-SA"/>
        </w:rPr>
        <w:t>aterials</w:t>
      </w:r>
      <w:r>
        <w:tab/>
      </w:r>
      <w:r>
        <w:rPr>
          <w:rFonts w:hint="eastAsia"/>
          <w:lang w:val="en-US" w:eastAsia="zh-CN"/>
        </w:rPr>
        <w:t>4</w:t>
      </w:r>
      <w:r>
        <w:fldChar w:fldCharType="end"/>
      </w:r>
      <w:r>
        <w:rPr>
          <w:rFonts w:hint="eastAsia"/>
          <w:lang w:val="en-US" w:eastAsia="zh-CN"/>
        </w:rPr>
        <w:t>4</w:t>
      </w:r>
    </w:p>
    <w:p>
      <w:pPr>
        <w:pStyle w:val="15"/>
        <w:tabs>
          <w:tab w:val="right" w:leader="dot" w:pos="8306"/>
          <w:tab w:val="clear" w:pos="284"/>
          <w:tab w:val="clear" w:pos="8296"/>
        </w:tabs>
        <w:rPr>
          <w:rFonts w:hint="eastAsia" w:eastAsia="黑体"/>
          <w:lang w:val="en-US" w:eastAsia="zh-CN"/>
        </w:rPr>
      </w:pPr>
      <w:r>
        <w:fldChar w:fldCharType="begin"/>
      </w:r>
      <w:r>
        <w:instrText xml:space="preserve"> HYPERLINK \l _Toc8517 </w:instrText>
      </w:r>
      <w:r>
        <w:fldChar w:fldCharType="separate"/>
      </w:r>
      <w:r>
        <w:rPr>
          <w:rFonts w:hint="default" w:ascii="Times New Roman" w:hAnsi="Times New Roman" w:eastAsia="黑体"/>
          <w:i w:val="0"/>
          <w:color w:val="0000BF" w:themeColor="hyperlink" w:themeShade="BF"/>
          <w:w w:val="100"/>
        </w:rPr>
        <w:t xml:space="preserve">7 </w:t>
      </w:r>
      <w:r>
        <w:rPr>
          <w:rFonts w:hint="eastAsia"/>
          <w:i w:val="0"/>
          <w:color w:val="0000BF" w:themeColor="hyperlink" w:themeShade="BF"/>
          <w:w w:val="100"/>
          <w:lang w:val="en-US" w:eastAsia="zh-CN"/>
        </w:rPr>
        <w:t>S</w:t>
      </w:r>
      <w:r>
        <w:rPr>
          <w:rFonts w:hint="eastAsia" w:ascii="Times New Roman" w:hAnsi="Times New Roman" w:eastAsia="宋体" w:cstheme="minorBidi"/>
          <w:bCs/>
          <w:caps w:val="0"/>
          <w:color w:val="auto"/>
          <w:kern w:val="44"/>
          <w:sz w:val="28"/>
          <w:szCs w:val="28"/>
          <w:lang w:val="en-US" w:eastAsia="zh-CN" w:bidi="ar-SA"/>
        </w:rPr>
        <w:t xml:space="preserve">upporting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tructure </w:t>
      </w:r>
      <w:r>
        <w:tab/>
      </w:r>
      <w:r>
        <w:rPr>
          <w:rFonts w:hint="eastAsia"/>
          <w:lang w:val="en-US" w:eastAsia="zh-CN"/>
        </w:rPr>
        <w:t>4</w:t>
      </w:r>
      <w:r>
        <w:fldChar w:fldCharType="end"/>
      </w:r>
      <w:r>
        <w:rPr>
          <w:rFonts w:hint="eastAsia"/>
          <w:lang w:val="en-US" w:eastAsia="zh-CN"/>
        </w:rPr>
        <w:t>5</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_Toc4387 </w:instrText>
      </w:r>
      <w:r>
        <w:fldChar w:fldCharType="separate"/>
      </w:r>
      <w:r>
        <w:rPr>
          <w:rFonts w:hint="eastAsia" w:eastAsia="黑体"/>
          <w:i w:val="0"/>
          <w:color w:val="0000BF" w:themeColor="hyperlink" w:themeShade="BF"/>
          <w:w w:val="100"/>
        </w:rPr>
        <w:t xml:space="preserve">7.1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4</w:t>
      </w:r>
      <w:r>
        <w:fldChar w:fldCharType="end"/>
      </w:r>
      <w:r>
        <w:rPr>
          <w:rFonts w:hint="eastAsia"/>
          <w:lang w:val="en-US" w:eastAsia="zh-CN"/>
        </w:rPr>
        <w:t>5</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_Toc6890 </w:instrText>
      </w:r>
      <w:r>
        <w:fldChar w:fldCharType="separate"/>
      </w:r>
      <w:r>
        <w:rPr>
          <w:rFonts w:hint="eastAsia" w:eastAsia="黑体"/>
          <w:i w:val="0"/>
          <w:color w:val="0000BF" w:themeColor="hyperlink" w:themeShade="BF"/>
          <w:w w:val="100"/>
        </w:rPr>
        <w:t xml:space="preserve">7.2 </w:t>
      </w:r>
      <w:r>
        <w:rPr>
          <w:rFonts w:hint="eastAsia" w:eastAsia="宋体" w:cstheme="minorBidi"/>
          <w:bCs/>
          <w:caps w:val="0"/>
          <w:color w:val="auto"/>
          <w:kern w:val="44"/>
          <w:sz w:val="28"/>
          <w:szCs w:val="28"/>
          <w:lang w:val="en-US" w:eastAsia="zh-CN" w:bidi="ar-SA"/>
        </w:rPr>
        <w:t xml:space="preserve">Retaining Structures </w:t>
      </w:r>
      <w:r>
        <w:tab/>
      </w:r>
      <w:r>
        <w:rPr>
          <w:rFonts w:hint="eastAsia"/>
          <w:lang w:val="en-US" w:eastAsia="zh-CN"/>
        </w:rPr>
        <w:t>5</w:t>
      </w:r>
      <w:r>
        <w:fldChar w:fldCharType="end"/>
      </w:r>
      <w:r>
        <w:rPr>
          <w:rFonts w:hint="eastAsia"/>
          <w:lang w:val="en-US" w:eastAsia="zh-CN"/>
        </w:rPr>
        <w:t>0</w:t>
      </w:r>
    </w:p>
    <w:p>
      <w:pPr>
        <w:pStyle w:val="16"/>
        <w:tabs>
          <w:tab w:val="right" w:leader="dot" w:pos="8306"/>
          <w:tab w:val="clear" w:pos="284"/>
          <w:tab w:val="clear" w:pos="709"/>
          <w:tab w:val="clear" w:pos="8296"/>
        </w:tabs>
        <w:rPr>
          <w:rFonts w:hint="eastAsia" w:eastAsia="黑体"/>
          <w:lang w:val="en-US" w:eastAsia="zh-CN"/>
        </w:rPr>
      </w:pPr>
      <w:r>
        <w:fldChar w:fldCharType="begin"/>
      </w:r>
      <w:r>
        <w:instrText xml:space="preserve"> HYPERLINK \l _Toc8993 </w:instrText>
      </w:r>
      <w:r>
        <w:fldChar w:fldCharType="separate"/>
      </w:r>
      <w:r>
        <w:rPr>
          <w:rFonts w:hint="eastAsia" w:eastAsia="黑体"/>
          <w:i w:val="0"/>
          <w:color w:val="0000BF" w:themeColor="hyperlink" w:themeShade="BF"/>
          <w:w w:val="100"/>
        </w:rPr>
        <w:t xml:space="preserve">7.3 </w:t>
      </w:r>
      <w:r>
        <w:rPr>
          <w:rFonts w:hint="eastAsia" w:eastAsia="宋体" w:cstheme="minorBidi"/>
          <w:bCs/>
          <w:caps w:val="0"/>
          <w:color w:val="auto"/>
          <w:kern w:val="44"/>
          <w:sz w:val="28"/>
          <w:szCs w:val="28"/>
          <w:lang w:val="en-US" w:eastAsia="zh-CN" w:bidi="ar-SA"/>
        </w:rPr>
        <w:t>Soil Sailing Wall</w:t>
      </w:r>
      <w:r>
        <w:tab/>
      </w:r>
      <w:r>
        <w:rPr>
          <w:rFonts w:hint="eastAsia"/>
          <w:lang w:val="en-US" w:eastAsia="zh-CN"/>
        </w:rPr>
        <w:t>9</w:t>
      </w:r>
      <w:r>
        <w:fldChar w:fldCharType="end"/>
      </w:r>
      <w:r>
        <w:rPr>
          <w:rFonts w:hint="eastAsia"/>
          <w:lang w:val="en-US" w:eastAsia="zh-CN"/>
        </w:rPr>
        <w:t>0</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_Toc17603 </w:instrText>
      </w:r>
      <w:r>
        <w:fldChar w:fldCharType="separate"/>
      </w:r>
      <w:r>
        <w:rPr>
          <w:rFonts w:hint="eastAsia" w:eastAsia="黑体"/>
          <w:i w:val="0"/>
          <w:color w:val="0000BF" w:themeColor="hyperlink" w:themeShade="BF"/>
          <w:w w:val="100"/>
        </w:rPr>
        <w:t xml:space="preserve">7.4 </w:t>
      </w:r>
      <w:r>
        <w:rPr>
          <w:rFonts w:hint="eastAsia" w:eastAsia="宋体" w:cstheme="minorBidi"/>
          <w:bCs/>
          <w:caps w:val="0"/>
          <w:color w:val="auto"/>
          <w:kern w:val="44"/>
          <w:sz w:val="28"/>
          <w:szCs w:val="28"/>
          <w:lang w:val="en-US" w:eastAsia="zh-CN" w:bidi="ar-SA"/>
        </w:rPr>
        <w:t>Gravity Cement-Soil Wall</w:t>
      </w:r>
      <w:r>
        <w:tab/>
      </w:r>
      <w:r>
        <w:rPr>
          <w:rFonts w:hint="eastAsia"/>
          <w:lang w:val="en-US" w:eastAsia="zh-CN"/>
        </w:rPr>
        <w:t>1</w:t>
      </w:r>
      <w:r>
        <w:fldChar w:fldCharType="end"/>
      </w:r>
      <w:r>
        <w:rPr>
          <w:rFonts w:hint="eastAsia"/>
          <w:lang w:val="en-US" w:eastAsia="zh-CN"/>
        </w:rPr>
        <w:t>08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_Toc28732 </w:instrText>
      </w:r>
      <w:r>
        <w:fldChar w:fldCharType="separate"/>
      </w:r>
      <w:r>
        <w:rPr>
          <w:rFonts w:hint="eastAsia" w:eastAsia="黑体"/>
          <w:i w:val="0"/>
          <w:color w:val="0000BF" w:themeColor="hyperlink" w:themeShade="BF"/>
          <w:w w:val="100"/>
        </w:rPr>
        <w:t xml:space="preserve">7.5 </w:t>
      </w:r>
      <w:r>
        <w:rPr>
          <w:rFonts w:hint="eastAsia" w:eastAsia="宋体" w:cstheme="minorBidi"/>
          <w:bCs/>
          <w:caps w:val="0"/>
          <w:color w:val="auto"/>
          <w:kern w:val="44"/>
          <w:sz w:val="28"/>
          <w:szCs w:val="28"/>
          <w:lang w:val="en-US" w:eastAsia="zh-CN" w:bidi="ar-SA"/>
        </w:rPr>
        <w:t xml:space="preserve">Gravity </w:t>
      </w:r>
      <w:r>
        <w:rPr>
          <w:rFonts w:hint="default" w:eastAsia="宋体" w:cstheme="minorBidi"/>
          <w:bCs/>
          <w:caps w:val="0"/>
          <w:color w:val="auto"/>
          <w:kern w:val="44"/>
          <w:sz w:val="28"/>
          <w:szCs w:val="28"/>
          <w:lang w:val="en-US" w:eastAsia="zh-CN" w:bidi="ar-SA"/>
        </w:rPr>
        <w:t>Retaining Wall</w:t>
      </w:r>
      <w:r>
        <w:tab/>
      </w:r>
      <w:r>
        <w:rPr>
          <w:rFonts w:hint="eastAsia"/>
          <w:lang w:val="en-US" w:eastAsia="zh-CN"/>
        </w:rPr>
        <w:t>1</w:t>
      </w:r>
      <w:r>
        <w:fldChar w:fldCharType="end"/>
      </w:r>
      <w:r>
        <w:rPr>
          <w:rFonts w:hint="eastAsia"/>
          <w:lang w:val="en-US" w:eastAsia="zh-CN"/>
        </w:rPr>
        <w:t>15</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_Toc16166 </w:instrText>
      </w:r>
      <w:r>
        <w:fldChar w:fldCharType="separate"/>
      </w:r>
      <w:r>
        <w:rPr>
          <w:rFonts w:hint="eastAsia" w:eastAsia="黑体"/>
          <w:i w:val="0"/>
          <w:color w:val="0000BF" w:themeColor="hyperlink" w:themeShade="BF"/>
          <w:w w:val="100"/>
        </w:rPr>
        <w:t xml:space="preserve">7.6 </w:t>
      </w:r>
      <w:r>
        <w:rPr>
          <w:rFonts w:hint="eastAsia" w:eastAsia="宋体" w:cstheme="minorBidi"/>
          <w:bCs/>
          <w:caps w:val="0"/>
          <w:color w:val="auto"/>
          <w:kern w:val="44"/>
          <w:sz w:val="28"/>
          <w:szCs w:val="28"/>
          <w:lang w:val="en-US" w:eastAsia="zh-CN" w:bidi="ar-SA"/>
        </w:rPr>
        <w:t>Sloped</w:t>
      </w:r>
      <w:r>
        <w:tab/>
      </w:r>
      <w:r>
        <w:rPr>
          <w:rFonts w:hint="eastAsia"/>
          <w:lang w:val="en-US" w:eastAsia="zh-CN"/>
        </w:rPr>
        <w:t>1</w:t>
      </w:r>
      <w:r>
        <w:fldChar w:fldCharType="end"/>
      </w:r>
      <w:r>
        <w:rPr>
          <w:rFonts w:hint="eastAsia"/>
          <w:lang w:val="en-US" w:eastAsia="zh-CN"/>
        </w:rPr>
        <w:t>19</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_Toc5910 </w:instrText>
      </w:r>
      <w:r>
        <w:fldChar w:fldCharType="separate"/>
      </w:r>
      <w:r>
        <w:rPr>
          <w:rFonts w:hint="eastAsia" w:eastAsia="黑体"/>
          <w:i w:val="0"/>
          <w:color w:val="0000BF" w:themeColor="hyperlink" w:themeShade="BF"/>
          <w:w w:val="100"/>
        </w:rPr>
        <w:t xml:space="preserve">7.7 </w:t>
      </w:r>
      <w:r>
        <w:rPr>
          <w:rFonts w:hint="eastAsia" w:eastAsia="宋体" w:cstheme="minorBidi"/>
          <w:bCs/>
          <w:caps w:val="0"/>
          <w:color w:val="auto"/>
          <w:kern w:val="44"/>
          <w:sz w:val="28"/>
          <w:szCs w:val="28"/>
          <w:lang w:val="en-US" w:eastAsia="zh-CN" w:bidi="ar-SA"/>
        </w:rPr>
        <w:t>excavation and backfilling</w:t>
      </w:r>
      <w:r>
        <w:tab/>
      </w:r>
      <w:r>
        <w:rPr>
          <w:rFonts w:hint="eastAsia"/>
          <w:lang w:val="en-US" w:eastAsia="zh-CN"/>
        </w:rPr>
        <w:t>1</w:t>
      </w:r>
      <w:r>
        <w:fldChar w:fldCharType="end"/>
      </w:r>
      <w:r>
        <w:rPr>
          <w:rFonts w:hint="eastAsia"/>
          <w:lang w:val="en-US" w:eastAsia="zh-CN"/>
        </w:rPr>
        <w:t>23</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_Toc22319 </w:instrText>
      </w:r>
      <w:r>
        <w:fldChar w:fldCharType="separate"/>
      </w:r>
      <w:r>
        <w:rPr>
          <w:rFonts w:hint="eastAsia" w:eastAsia="黑体"/>
          <w:i w:val="0"/>
          <w:color w:val="0000BF" w:themeColor="hyperlink" w:themeShade="BF"/>
          <w:w w:val="100"/>
        </w:rPr>
        <w:t xml:space="preserve">7.8 </w:t>
      </w:r>
      <w:r>
        <w:rPr>
          <w:rFonts w:hint="eastAsia" w:eastAsia="宋体" w:cstheme="minorBidi"/>
          <w:bCs/>
          <w:caps w:val="0"/>
          <w:color w:val="auto"/>
          <w:kern w:val="44"/>
          <w:sz w:val="28"/>
          <w:szCs w:val="28"/>
          <w:lang w:val="en-US" w:eastAsia="zh-CN" w:bidi="ar-SA"/>
        </w:rPr>
        <w:t>Emergency response and measures</w:t>
      </w:r>
      <w:r>
        <w:tab/>
      </w:r>
      <w:r>
        <w:rPr>
          <w:rFonts w:hint="eastAsia"/>
          <w:lang w:val="en-US" w:eastAsia="zh-CN"/>
        </w:rPr>
        <w:t>1</w:t>
      </w:r>
      <w:r>
        <w:fldChar w:fldCharType="end"/>
      </w:r>
      <w:r>
        <w:rPr>
          <w:rFonts w:hint="eastAsia"/>
          <w:lang w:val="en-US" w:eastAsia="zh-CN"/>
        </w:rPr>
        <w:t>29</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_Toc15704 </w:instrText>
      </w:r>
      <w:r>
        <w:fldChar w:fldCharType="separate"/>
      </w:r>
      <w:r>
        <w:rPr>
          <w:rFonts w:hint="default" w:ascii="Times New Roman" w:hAnsi="Times New Roman" w:eastAsia="黑体"/>
          <w:i w:val="0"/>
          <w:color w:val="0000BF" w:themeColor="hyperlink" w:themeShade="BF"/>
          <w:w w:val="100"/>
        </w:rPr>
        <w:t xml:space="preserve">8 </w:t>
      </w:r>
      <w:r>
        <w:rPr>
          <w:rFonts w:hint="eastAsia" w:ascii="Times New Roman" w:hAnsi="Times New Roman" w:eastAsia="宋体" w:cstheme="minorBidi"/>
          <w:bCs/>
          <w:caps w:val="0"/>
          <w:color w:val="auto"/>
          <w:kern w:val="44"/>
          <w:sz w:val="28"/>
          <w:szCs w:val="28"/>
          <w:lang w:val="en-US" w:eastAsia="zh-CN" w:bidi="ar-SA"/>
        </w:rPr>
        <w:t xml:space="preserve">soil </w:t>
      </w:r>
      <w:r>
        <w:rPr>
          <w:rFonts w:hint="default" w:ascii="Times New Roman" w:hAnsi="Times New Roman" w:eastAsia="宋体" w:cstheme="minorBidi"/>
          <w:bCs/>
          <w:caps w:val="0"/>
          <w:color w:val="auto"/>
          <w:kern w:val="44"/>
          <w:sz w:val="28"/>
          <w:szCs w:val="28"/>
          <w:lang w:val="en-US" w:eastAsia="zh-CN" w:bidi="ar-SA"/>
        </w:rPr>
        <w:t>consolidation</w:t>
      </w:r>
      <w:r>
        <w:rPr>
          <w:rFonts w:hint="default" w:ascii="Times New Roman" w:hAnsi="Times New Roman" w:eastAsia="宋体" w:cs="Times New Roman"/>
          <w:b w:val="0"/>
          <w:bCs w:val="0"/>
          <w:color w:val="000000"/>
          <w:sz w:val="21"/>
          <w:szCs w:val="21"/>
        </w:rPr>
        <w:t xml:space="preserve"> </w:t>
      </w:r>
      <w:r>
        <w:tab/>
      </w:r>
      <w:r>
        <w:rPr>
          <w:rFonts w:hint="eastAsia"/>
          <w:lang w:val="en-US" w:eastAsia="zh-CN"/>
        </w:rPr>
        <w:t>1</w:t>
      </w:r>
      <w:r>
        <w:fldChar w:fldCharType="end"/>
      </w:r>
      <w:r>
        <w:rPr>
          <w:rFonts w:hint="eastAsia"/>
          <w:lang w:val="en-US" w:eastAsia="zh-CN"/>
        </w:rPr>
        <w:t>32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_Toc23796 </w:instrText>
      </w:r>
      <w:r>
        <w:fldChar w:fldCharType="separate"/>
      </w:r>
      <w:r>
        <w:rPr>
          <w:rFonts w:hint="eastAsia" w:eastAsia="黑体"/>
          <w:i w:val="0"/>
          <w:color w:val="0000BF" w:themeColor="hyperlink" w:themeShade="BF"/>
          <w:w w:val="100"/>
        </w:rPr>
        <w:t xml:space="preserve">8.1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1</w:t>
      </w:r>
      <w:r>
        <w:fldChar w:fldCharType="end"/>
      </w:r>
      <w:r>
        <w:rPr>
          <w:rFonts w:hint="eastAsia"/>
          <w:lang w:val="en-US" w:eastAsia="zh-CN"/>
        </w:rPr>
        <w:t>32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_Toc30600 </w:instrText>
      </w:r>
      <w:r>
        <w:fldChar w:fldCharType="separate"/>
      </w:r>
      <w:r>
        <w:rPr>
          <w:rFonts w:hint="eastAsia" w:eastAsia="黑体"/>
          <w:i w:val="0"/>
          <w:color w:val="0000BF" w:themeColor="hyperlink" w:themeShade="BF"/>
          <w:w w:val="100"/>
        </w:rPr>
        <w:t xml:space="preserve">8.2 </w:t>
      </w:r>
      <w:r>
        <w:rPr>
          <w:rFonts w:hint="eastAsia"/>
          <w:i w:val="0"/>
          <w:color w:val="0000BF" w:themeColor="hyperlink" w:themeShade="BF"/>
          <w:w w:val="100"/>
          <w:lang w:val="en-US" w:eastAsia="zh-CN"/>
        </w:rPr>
        <w:t>G</w:t>
      </w:r>
      <w:r>
        <w:rPr>
          <w:rFonts w:hint="eastAsia" w:eastAsia="宋体" w:cstheme="minorBidi"/>
          <w:bCs/>
          <w:caps w:val="0"/>
          <w:color w:val="auto"/>
          <w:kern w:val="44"/>
          <w:sz w:val="28"/>
          <w:szCs w:val="28"/>
          <w:lang w:val="en-US" w:eastAsia="zh-CN" w:bidi="ar-SA"/>
        </w:rPr>
        <w:t>routing Method</w:t>
      </w:r>
      <w:r>
        <w:tab/>
      </w:r>
      <w:r>
        <w:rPr>
          <w:rFonts w:hint="eastAsia"/>
          <w:lang w:val="en-US" w:eastAsia="zh-CN"/>
        </w:rPr>
        <w:t>1</w:t>
      </w:r>
      <w:r>
        <w:fldChar w:fldCharType="end"/>
      </w:r>
      <w:r>
        <w:rPr>
          <w:rFonts w:hint="eastAsia"/>
          <w:lang w:val="en-US" w:eastAsia="zh-CN"/>
        </w:rPr>
        <w:t>34</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_Toc11398 </w:instrText>
      </w:r>
      <w:r>
        <w:fldChar w:fldCharType="separate"/>
      </w:r>
      <w:r>
        <w:rPr>
          <w:rFonts w:hint="eastAsia" w:eastAsia="黑体"/>
          <w:i w:val="0"/>
          <w:color w:val="0000BF" w:themeColor="hyperlink" w:themeShade="BF"/>
          <w:w w:val="100"/>
        </w:rPr>
        <w:t xml:space="preserve">8.3 </w:t>
      </w:r>
      <w:r>
        <w:rPr>
          <w:rFonts w:hint="eastAsia" w:eastAsia="宋体" w:cstheme="minorBidi"/>
          <w:bCs/>
          <w:caps w:val="0"/>
          <w:color w:val="auto"/>
          <w:kern w:val="44"/>
          <w:sz w:val="28"/>
          <w:szCs w:val="28"/>
          <w:lang w:val="en-US" w:eastAsia="zh-CN" w:bidi="ar-SA"/>
        </w:rPr>
        <w:t>High Pressure Rotary</w:t>
      </w:r>
      <w:r>
        <w:rPr>
          <w:rFonts w:hint="default"/>
          <w:i w:val="0"/>
          <w:color w:val="0000BF" w:themeColor="hyperlink" w:themeShade="BF"/>
          <w:w w:val="100"/>
          <w:lang w:val="en-US" w:eastAsia="zh-CN"/>
        </w:rPr>
        <w:t> </w:t>
      </w:r>
      <w:r>
        <w:rPr>
          <w:rFonts w:hint="eastAsia" w:eastAsia="宋体" w:cstheme="minorBidi"/>
          <w:bCs/>
          <w:caps w:val="0"/>
          <w:color w:val="auto"/>
          <w:kern w:val="44"/>
          <w:sz w:val="28"/>
          <w:szCs w:val="28"/>
          <w:lang w:val="en-US" w:eastAsia="zh-CN" w:bidi="ar-SA"/>
        </w:rPr>
        <w:t>Method</w:t>
      </w:r>
      <w:r>
        <w:tab/>
      </w:r>
      <w:r>
        <w:rPr>
          <w:rFonts w:hint="eastAsia"/>
          <w:lang w:val="en-US" w:eastAsia="zh-CN"/>
        </w:rPr>
        <w:t>1</w:t>
      </w:r>
      <w:r>
        <w:fldChar w:fldCharType="end"/>
      </w:r>
      <w:r>
        <w:rPr>
          <w:rFonts w:hint="eastAsia"/>
          <w:lang w:val="en-US" w:eastAsia="zh-CN"/>
        </w:rPr>
        <w:t>36</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_Toc27792 </w:instrText>
      </w:r>
      <w:r>
        <w:fldChar w:fldCharType="separate"/>
      </w:r>
      <w:r>
        <w:rPr>
          <w:rFonts w:hint="eastAsia" w:eastAsia="黑体"/>
          <w:i w:val="0"/>
          <w:color w:val="0000BF" w:themeColor="hyperlink" w:themeShade="BF"/>
          <w:w w:val="100"/>
        </w:rPr>
        <w:t xml:space="preserve">8.4 </w:t>
      </w:r>
      <w:r>
        <w:rPr>
          <w:rFonts w:hint="eastAsia"/>
          <w:i w:val="0"/>
          <w:color w:val="0000BF" w:themeColor="hyperlink" w:themeShade="BF"/>
          <w:w w:val="100"/>
          <w:lang w:val="en-US" w:eastAsia="zh-CN"/>
        </w:rPr>
        <w:t>D</w:t>
      </w:r>
      <w:r>
        <w:rPr>
          <w:rFonts w:hint="eastAsia" w:eastAsia="宋体" w:cstheme="minorBidi"/>
          <w:bCs/>
          <w:caps w:val="0"/>
          <w:color w:val="auto"/>
          <w:kern w:val="44"/>
          <w:sz w:val="28"/>
          <w:szCs w:val="28"/>
          <w:lang w:val="en-US" w:eastAsia="zh-CN" w:bidi="ar-SA"/>
        </w:rPr>
        <w:t>eep Mixing Method</w:t>
      </w:r>
      <w:r>
        <w:tab/>
      </w:r>
      <w:r>
        <w:rPr>
          <w:rFonts w:hint="eastAsia"/>
          <w:lang w:val="en-US" w:eastAsia="zh-CN"/>
        </w:rPr>
        <w:t>1</w:t>
      </w:r>
      <w:r>
        <w:fldChar w:fldCharType="end"/>
      </w:r>
      <w:r>
        <w:rPr>
          <w:rFonts w:hint="eastAsia"/>
          <w:lang w:val="en-US" w:eastAsia="zh-CN"/>
        </w:rPr>
        <w:t>41</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_Toc2008 </w:instrText>
      </w:r>
      <w:r>
        <w:fldChar w:fldCharType="separate"/>
      </w:r>
      <w:r>
        <w:rPr>
          <w:rFonts w:hint="default" w:ascii="Times New Roman" w:hAnsi="Times New Roman" w:eastAsia="黑体"/>
          <w:i w:val="0"/>
          <w:color w:val="0000BF" w:themeColor="hyperlink" w:themeShade="BF"/>
          <w:w w:val="100"/>
        </w:rPr>
        <w:t>9</w:t>
      </w:r>
      <w:r>
        <w:rPr>
          <w:rFonts w:hint="default" w:ascii="Times New Roman" w:hAnsi="Times New Roman" w:eastAsia="宋体" w:cstheme="minorBidi"/>
          <w:bCs/>
          <w:caps w:val="0"/>
          <w:color w:val="auto"/>
          <w:kern w:val="44"/>
          <w:sz w:val="28"/>
          <w:szCs w:val="28"/>
          <w:lang w:val="en-US" w:eastAsia="zh-CN" w:bidi="ar-SA"/>
        </w:rPr>
        <w:t xml:space="preserve"> </w:t>
      </w:r>
      <w:r>
        <w:rPr>
          <w:rFonts w:hint="eastAsia" w:eastAsia="宋体" w:cstheme="minorBidi"/>
          <w:bCs/>
          <w:caps w:val="0"/>
          <w:color w:val="auto"/>
          <w:kern w:val="44"/>
          <w:sz w:val="28"/>
          <w:szCs w:val="28"/>
          <w:lang w:val="en-US" w:eastAsia="zh-CN" w:bidi="ar-SA"/>
        </w:rPr>
        <w:t>G</w:t>
      </w:r>
      <w:r>
        <w:rPr>
          <w:rFonts w:hint="eastAsia" w:ascii="Times New Roman" w:hAnsi="Times New Roman" w:eastAsia="宋体" w:cstheme="minorBidi"/>
          <w:bCs/>
          <w:caps w:val="0"/>
          <w:color w:val="auto"/>
          <w:kern w:val="44"/>
          <w:sz w:val="28"/>
          <w:szCs w:val="28"/>
          <w:lang w:val="en-US" w:eastAsia="zh-CN" w:bidi="ar-SA"/>
        </w:rPr>
        <w:t xml:space="preserve">roundwater </w:t>
      </w:r>
      <w:r>
        <w:rPr>
          <w:rFonts w:hint="eastAsia" w:eastAsia="宋体" w:cstheme="minorBidi"/>
          <w:bCs/>
          <w:caps w:val="0"/>
          <w:color w:val="auto"/>
          <w:kern w:val="44"/>
          <w:sz w:val="28"/>
          <w:szCs w:val="28"/>
          <w:lang w:val="en-US" w:eastAsia="zh-CN" w:bidi="ar-SA"/>
        </w:rPr>
        <w:t>C</w:t>
      </w:r>
      <w:r>
        <w:rPr>
          <w:rFonts w:hint="eastAsia" w:ascii="Times New Roman" w:hAnsi="Times New Roman" w:eastAsia="宋体" w:cstheme="minorBidi"/>
          <w:bCs/>
          <w:caps w:val="0"/>
          <w:color w:val="auto"/>
          <w:kern w:val="44"/>
          <w:sz w:val="28"/>
          <w:szCs w:val="28"/>
          <w:lang w:val="en-US" w:eastAsia="zh-CN" w:bidi="ar-SA"/>
        </w:rPr>
        <w:t>ontrol</w:t>
      </w:r>
      <w:r>
        <w:tab/>
      </w:r>
      <w:r>
        <w:rPr>
          <w:rFonts w:hint="eastAsia"/>
          <w:lang w:val="en-US" w:eastAsia="zh-CN"/>
        </w:rPr>
        <w:t>1</w:t>
      </w:r>
      <w:r>
        <w:fldChar w:fldCharType="end"/>
      </w:r>
      <w:r>
        <w:rPr>
          <w:rFonts w:hint="eastAsia"/>
          <w:lang w:val="en-US" w:eastAsia="zh-CN"/>
        </w:rPr>
        <w:t>48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_Toc31357 </w:instrText>
      </w:r>
      <w:r>
        <w:fldChar w:fldCharType="separate"/>
      </w:r>
      <w:r>
        <w:rPr>
          <w:rFonts w:hint="eastAsia" w:eastAsia="黑体"/>
          <w:i w:val="0"/>
          <w:color w:val="0000BF" w:themeColor="hyperlink" w:themeShade="BF"/>
          <w:w w:val="100"/>
        </w:rPr>
        <w:t xml:space="preserve">9.1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1</w:t>
      </w:r>
      <w:r>
        <w:fldChar w:fldCharType="end"/>
      </w:r>
      <w:r>
        <w:rPr>
          <w:rFonts w:hint="eastAsia"/>
          <w:lang w:val="en-US" w:eastAsia="zh-CN"/>
        </w:rPr>
        <w:t>48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_Toc4354 </w:instrText>
      </w:r>
      <w:r>
        <w:fldChar w:fldCharType="separate"/>
      </w:r>
      <w:r>
        <w:rPr>
          <w:rFonts w:hint="eastAsia" w:eastAsia="黑体"/>
          <w:i w:val="0"/>
          <w:color w:val="0000BF" w:themeColor="hyperlink" w:themeShade="BF"/>
          <w:w w:val="100"/>
        </w:rPr>
        <w:t xml:space="preserve">9.2 </w:t>
      </w:r>
      <w:r>
        <w:rPr>
          <w:rFonts w:hint="eastAsia"/>
          <w:i w:val="0"/>
          <w:color w:val="0000BF" w:themeColor="hyperlink" w:themeShade="BF"/>
          <w:w w:val="100"/>
          <w:lang w:val="en-US" w:eastAsia="zh-CN"/>
        </w:rPr>
        <w:t>E</w:t>
      </w:r>
      <w:r>
        <w:rPr>
          <w:rFonts w:hint="eastAsia" w:eastAsia="宋体" w:cstheme="minorBidi"/>
          <w:bCs/>
          <w:caps w:val="0"/>
          <w:color w:val="auto"/>
          <w:kern w:val="44"/>
          <w:sz w:val="28"/>
          <w:szCs w:val="28"/>
          <w:lang w:val="en-US" w:eastAsia="zh-CN" w:bidi="ar-SA"/>
        </w:rPr>
        <w:t>xcavations Waterproofing</w:t>
      </w:r>
      <w:r>
        <w:rPr>
          <w:rFonts w:hint="eastAsia"/>
        </w:rPr>
        <w:t>（</w:t>
      </w:r>
      <w:r>
        <w:rPr>
          <w:rFonts w:hint="eastAsia" w:eastAsia="宋体" w:cstheme="minorBidi"/>
          <w:bCs/>
          <w:caps w:val="0"/>
          <w:color w:val="auto"/>
          <w:kern w:val="44"/>
          <w:sz w:val="28"/>
          <w:szCs w:val="28"/>
          <w:lang w:val="en-US" w:eastAsia="zh-CN" w:bidi="ar-SA"/>
        </w:rPr>
        <w:t>Cut-Off Drains</w:t>
      </w:r>
      <w:r>
        <w:rPr>
          <w:rFonts w:hint="eastAsia"/>
        </w:rPr>
        <w:t>、</w:t>
      </w:r>
      <w:r>
        <w:rPr>
          <w:rFonts w:hint="eastAsia" w:eastAsia="宋体" w:cstheme="minorBidi"/>
          <w:bCs/>
          <w:caps w:val="0"/>
          <w:color w:val="auto"/>
          <w:kern w:val="44"/>
          <w:sz w:val="28"/>
          <w:szCs w:val="28"/>
          <w:lang w:val="en-US" w:eastAsia="zh-CN" w:bidi="ar-SA"/>
        </w:rPr>
        <w:t>Waterproofing</w:t>
      </w:r>
      <w:r>
        <w:rPr>
          <w:rFonts w:hint="eastAsia"/>
        </w:rPr>
        <w:t>）</w:t>
      </w:r>
      <w:r>
        <w:tab/>
      </w:r>
      <w:r>
        <w:rPr>
          <w:rFonts w:hint="eastAsia"/>
          <w:lang w:val="en-US" w:eastAsia="zh-CN"/>
        </w:rPr>
        <w:t>1</w:t>
      </w:r>
      <w:r>
        <w:fldChar w:fldCharType="end"/>
      </w:r>
      <w:r>
        <w:rPr>
          <w:rFonts w:hint="eastAsia"/>
          <w:lang w:val="en-US" w:eastAsia="zh-CN"/>
        </w:rPr>
        <w:t>49</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_Toc3653 </w:instrText>
      </w:r>
      <w:r>
        <w:fldChar w:fldCharType="separate"/>
      </w:r>
      <w:r>
        <w:rPr>
          <w:rFonts w:hint="eastAsia" w:eastAsia="黑体"/>
          <w:i w:val="0"/>
          <w:color w:val="0000BF" w:themeColor="hyperlink" w:themeShade="BF"/>
          <w:w w:val="100"/>
        </w:rPr>
        <w:t xml:space="preserve">9.3 </w:t>
      </w:r>
      <w:r>
        <w:rPr>
          <w:rFonts w:hint="eastAsia" w:eastAsia="宋体" w:cstheme="minorBidi"/>
          <w:bCs/>
          <w:caps w:val="0"/>
          <w:color w:val="auto"/>
          <w:kern w:val="44"/>
          <w:sz w:val="28"/>
          <w:szCs w:val="28"/>
          <w:lang w:val="en-US" w:eastAsia="zh-CN" w:bidi="ar-SA"/>
        </w:rPr>
        <w:t xml:space="preserve">Drainage </w:t>
      </w:r>
      <w:r>
        <w:rPr>
          <w:rFonts w:hint="default" w:eastAsia="宋体" w:cstheme="minorBidi"/>
          <w:bCs/>
          <w:caps w:val="0"/>
          <w:color w:val="auto"/>
          <w:kern w:val="44"/>
          <w:sz w:val="28"/>
          <w:szCs w:val="28"/>
          <w:lang w:val="en-US" w:eastAsia="zh-CN" w:bidi="ar-SA"/>
        </w:rPr>
        <w:t>by gully</w:t>
      </w:r>
      <w:r>
        <w:tab/>
      </w:r>
      <w:r>
        <w:rPr>
          <w:rFonts w:hint="eastAsia"/>
          <w:lang w:val="en-US" w:eastAsia="zh-CN"/>
        </w:rPr>
        <w:t>1</w:t>
      </w:r>
      <w:r>
        <w:fldChar w:fldCharType="end"/>
      </w:r>
      <w:r>
        <w:rPr>
          <w:rFonts w:hint="eastAsia"/>
          <w:lang w:val="en-US" w:eastAsia="zh-CN"/>
        </w:rPr>
        <w:t>53</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_Toc28539 </w:instrText>
      </w:r>
      <w:r>
        <w:fldChar w:fldCharType="separate"/>
      </w:r>
      <w:r>
        <w:rPr>
          <w:rFonts w:hint="eastAsia" w:eastAsia="黑体"/>
          <w:i w:val="0"/>
          <w:color w:val="0000BF" w:themeColor="hyperlink" w:themeShade="BF"/>
          <w:w w:val="100"/>
        </w:rPr>
        <w:t xml:space="preserve">9.4 </w:t>
      </w:r>
      <w:r>
        <w:rPr>
          <w:rFonts w:hint="eastAsia" w:eastAsia="宋体" w:cstheme="minorBidi"/>
          <w:bCs/>
          <w:caps w:val="0"/>
          <w:color w:val="auto"/>
          <w:kern w:val="44"/>
          <w:sz w:val="28"/>
          <w:szCs w:val="28"/>
          <w:lang w:val="en-US" w:eastAsia="zh-CN" w:bidi="ar-SA"/>
        </w:rPr>
        <w:t xml:space="preserve">Groundwater </w:t>
      </w:r>
      <w:r>
        <w:rPr>
          <w:rFonts w:hint="default" w:eastAsia="宋体" w:cstheme="minorBidi"/>
          <w:bCs/>
          <w:caps w:val="0"/>
          <w:color w:val="auto"/>
          <w:kern w:val="44"/>
          <w:sz w:val="28"/>
          <w:szCs w:val="28"/>
          <w:lang w:val="en-US" w:eastAsia="zh-CN" w:bidi="ar-SA"/>
        </w:rPr>
        <w:t>recharge</w:t>
      </w:r>
      <w:r>
        <w:tab/>
      </w:r>
      <w:r>
        <w:rPr>
          <w:rFonts w:hint="eastAsia"/>
          <w:lang w:val="en-US" w:eastAsia="zh-CN"/>
        </w:rPr>
        <w:t>1</w:t>
      </w:r>
      <w:r>
        <w:fldChar w:fldCharType="end"/>
      </w:r>
      <w:r>
        <w:rPr>
          <w:rFonts w:hint="eastAsia"/>
          <w:lang w:val="en-US" w:eastAsia="zh-CN"/>
        </w:rPr>
        <w:t>56</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_Toc11912 </w:instrText>
      </w:r>
      <w:r>
        <w:fldChar w:fldCharType="separate"/>
      </w:r>
      <w:r>
        <w:rPr>
          <w:rFonts w:hint="default" w:ascii="Times New Roman" w:hAnsi="Times New Roman" w:eastAsia="黑体"/>
          <w:i w:val="0"/>
          <w:color w:val="0000BF" w:themeColor="hyperlink" w:themeShade="BF"/>
          <w:w w:val="100"/>
        </w:rPr>
        <w:t xml:space="preserve">10 </w:t>
      </w:r>
      <w:r>
        <w:rPr>
          <w:rFonts w:hint="eastAsia" w:ascii="Times New Roman" w:hAnsi="Times New Roman" w:eastAsia="宋体" w:cstheme="minorBidi"/>
          <w:bCs/>
          <w:caps w:val="0"/>
          <w:color w:val="auto"/>
          <w:kern w:val="44"/>
          <w:sz w:val="28"/>
          <w:szCs w:val="28"/>
          <w:lang w:val="en-US" w:eastAsia="zh-CN" w:bidi="ar-SA"/>
        </w:rPr>
        <w:t>Monitoring</w:t>
      </w:r>
      <w:r>
        <w:tab/>
      </w:r>
      <w:r>
        <w:rPr>
          <w:rFonts w:hint="eastAsia"/>
          <w:lang w:val="en-US" w:eastAsia="zh-CN"/>
        </w:rPr>
        <w:t>1</w:t>
      </w:r>
      <w:r>
        <w:fldChar w:fldCharType="end"/>
      </w:r>
      <w:r>
        <w:rPr>
          <w:rFonts w:hint="eastAsia"/>
          <w:lang w:val="en-US" w:eastAsia="zh-CN"/>
        </w:rPr>
        <w:t>58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_Toc16446 </w:instrText>
      </w:r>
      <w:r>
        <w:fldChar w:fldCharType="separate"/>
      </w:r>
      <w:r>
        <w:rPr>
          <w:rFonts w:hint="eastAsia" w:eastAsia="黑体"/>
          <w:i w:val="0"/>
          <w:color w:val="0000BF" w:themeColor="hyperlink" w:themeShade="BF"/>
          <w:w w:val="100"/>
        </w:rPr>
        <w:t xml:space="preserve">10.1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1</w:t>
      </w:r>
      <w:r>
        <w:fldChar w:fldCharType="end"/>
      </w:r>
      <w:r>
        <w:rPr>
          <w:rFonts w:hint="eastAsia"/>
          <w:lang w:val="en-US" w:eastAsia="zh-CN"/>
        </w:rPr>
        <w:t>58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_Toc31158 </w:instrText>
      </w:r>
      <w:r>
        <w:fldChar w:fldCharType="separate"/>
      </w:r>
      <w:r>
        <w:rPr>
          <w:rFonts w:hint="eastAsia" w:eastAsia="黑体"/>
          <w:i w:val="0"/>
          <w:color w:val="0000BF" w:themeColor="hyperlink" w:themeShade="BF"/>
          <w:w w:val="100"/>
        </w:rPr>
        <w:t xml:space="preserve">10.2 </w:t>
      </w:r>
      <w:r>
        <w:rPr>
          <w:rFonts w:hint="eastAsia" w:eastAsia="宋体" w:cstheme="minorBidi"/>
          <w:bCs/>
          <w:caps w:val="0"/>
          <w:color w:val="auto"/>
          <w:kern w:val="44"/>
          <w:sz w:val="28"/>
          <w:szCs w:val="28"/>
          <w:lang w:val="en-US" w:eastAsia="zh-CN" w:bidi="ar-SA"/>
        </w:rPr>
        <w:t>Monitoring M</w:t>
      </w:r>
      <w:r>
        <w:rPr>
          <w:rFonts w:hint="default" w:eastAsia="宋体" w:cstheme="minorBidi"/>
          <w:bCs/>
          <w:caps w:val="0"/>
          <w:color w:val="auto"/>
          <w:kern w:val="44"/>
          <w:sz w:val="28"/>
          <w:szCs w:val="28"/>
          <w:lang w:val="en-US" w:eastAsia="zh-CN" w:bidi="ar-SA"/>
        </w:rPr>
        <w:t>ethod</w:t>
      </w:r>
      <w:r>
        <w:rPr>
          <w:rFonts w:hint="eastAsia" w:eastAsia="宋体" w:cstheme="minorBidi"/>
          <w:bCs/>
          <w:caps w:val="0"/>
          <w:color w:val="auto"/>
          <w:kern w:val="44"/>
          <w:sz w:val="28"/>
          <w:szCs w:val="28"/>
          <w:lang w:val="en-US" w:eastAsia="zh-CN" w:bidi="ar-SA"/>
        </w:rPr>
        <w:t xml:space="preserve"> and Layout </w:t>
      </w:r>
      <w:r>
        <w:rPr>
          <w:rFonts w:hint="default" w:eastAsia="宋体" w:cstheme="minorBidi"/>
          <w:bCs/>
          <w:caps w:val="0"/>
          <w:color w:val="auto"/>
          <w:kern w:val="44"/>
          <w:sz w:val="28"/>
          <w:szCs w:val="28"/>
          <w:lang w:val="en-US" w:eastAsia="zh-CN" w:bidi="ar-SA"/>
        </w:rPr>
        <w:t xml:space="preserve">of </w:t>
      </w:r>
      <w:r>
        <w:rPr>
          <w:rFonts w:hint="eastAsia" w:eastAsia="宋体" w:cstheme="minorBidi"/>
          <w:bCs/>
          <w:caps w:val="0"/>
          <w:color w:val="auto"/>
          <w:kern w:val="44"/>
          <w:sz w:val="28"/>
          <w:szCs w:val="28"/>
          <w:lang w:val="en-US" w:eastAsia="zh-CN" w:bidi="ar-SA"/>
        </w:rPr>
        <w:t>I</w:t>
      </w:r>
      <w:r>
        <w:rPr>
          <w:rFonts w:hint="default" w:eastAsia="宋体" w:cstheme="minorBidi"/>
          <w:bCs/>
          <w:caps w:val="0"/>
          <w:color w:val="auto"/>
          <w:kern w:val="44"/>
          <w:sz w:val="28"/>
          <w:szCs w:val="28"/>
          <w:lang w:val="en-US" w:eastAsia="zh-CN" w:bidi="ar-SA"/>
        </w:rPr>
        <w:t>nstrumention</w:t>
      </w:r>
      <w:r>
        <w:rPr>
          <w:rFonts w:hint="default" w:eastAsia="黑体"/>
          <w:i w:val="0"/>
          <w:color w:val="0000BF" w:themeColor="hyperlink" w:themeShade="BF"/>
          <w:w w:val="100"/>
        </w:rPr>
        <w:t xml:space="preserve"> </w:t>
      </w:r>
      <w:r>
        <w:tab/>
      </w:r>
      <w:r>
        <w:rPr>
          <w:rFonts w:hint="eastAsia"/>
          <w:lang w:val="en-US" w:eastAsia="zh-CN"/>
        </w:rPr>
        <w:t>1</w:t>
      </w:r>
      <w:r>
        <w:fldChar w:fldCharType="end"/>
      </w:r>
      <w:r>
        <w:rPr>
          <w:rFonts w:hint="eastAsia"/>
          <w:lang w:val="en-US" w:eastAsia="zh-CN"/>
        </w:rPr>
        <w:t>58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_Toc12276 </w:instrText>
      </w:r>
      <w:r>
        <w:fldChar w:fldCharType="separate"/>
      </w:r>
      <w:r>
        <w:rPr>
          <w:rFonts w:hint="eastAsia" w:eastAsia="黑体"/>
          <w:i w:val="0"/>
          <w:color w:val="0000BF" w:themeColor="hyperlink" w:themeShade="BF"/>
          <w:w w:val="100"/>
        </w:rPr>
        <w:t xml:space="preserve">10.3 </w:t>
      </w:r>
      <w:r>
        <w:rPr>
          <w:rFonts w:hint="eastAsia" w:eastAsia="宋体" w:cstheme="minorBidi"/>
          <w:bCs/>
          <w:caps w:val="0"/>
          <w:color w:val="auto"/>
          <w:kern w:val="44"/>
          <w:sz w:val="28"/>
          <w:szCs w:val="28"/>
          <w:lang w:val="en-US" w:eastAsia="zh-CN" w:bidi="ar-SA"/>
        </w:rPr>
        <w:t>Frequency and Controlled Value</w:t>
      </w:r>
      <w:r>
        <w:tab/>
      </w:r>
      <w:r>
        <w:rPr>
          <w:rFonts w:hint="eastAsia"/>
          <w:lang w:val="en-US" w:eastAsia="zh-CN"/>
        </w:rPr>
        <w:t>1</w:t>
      </w:r>
      <w:r>
        <w:fldChar w:fldCharType="end"/>
      </w:r>
      <w:r>
        <w:rPr>
          <w:rFonts w:hint="eastAsia"/>
          <w:lang w:val="en-US" w:eastAsia="zh-CN"/>
        </w:rPr>
        <w:t>62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_Toc6649 </w:instrText>
      </w:r>
      <w:r>
        <w:fldChar w:fldCharType="separate"/>
      </w:r>
      <w:r>
        <w:rPr>
          <w:rFonts w:hint="eastAsia" w:eastAsia="黑体"/>
          <w:i w:val="0"/>
          <w:color w:val="0000BF" w:themeColor="hyperlink" w:themeShade="BF"/>
          <w:w w:val="100"/>
        </w:rPr>
        <w:t xml:space="preserve">10.4 </w:t>
      </w:r>
      <w:r>
        <w:rPr>
          <w:rFonts w:hint="eastAsia" w:eastAsia="宋体" w:cstheme="minorBidi"/>
          <w:bCs/>
          <w:caps w:val="0"/>
          <w:color w:val="auto"/>
          <w:kern w:val="44"/>
          <w:sz w:val="28"/>
          <w:szCs w:val="28"/>
          <w:lang w:val="en-US" w:eastAsia="zh-CN" w:bidi="ar-SA"/>
        </w:rPr>
        <w:t>Monitoring D</w:t>
      </w:r>
      <w:r>
        <w:rPr>
          <w:rFonts w:hint="default" w:eastAsia="宋体" w:cstheme="minorBidi"/>
          <w:bCs/>
          <w:caps w:val="0"/>
          <w:color w:val="auto"/>
          <w:kern w:val="44"/>
          <w:sz w:val="28"/>
          <w:szCs w:val="28"/>
          <w:lang w:val="en-US" w:eastAsia="zh-CN" w:bidi="ar-SA"/>
        </w:rPr>
        <w:t xml:space="preserve">ata and </w:t>
      </w:r>
      <w:r>
        <w:rPr>
          <w:rFonts w:hint="eastAsia" w:eastAsia="宋体" w:cstheme="minorBidi"/>
          <w:bCs/>
          <w:caps w:val="0"/>
          <w:color w:val="auto"/>
          <w:kern w:val="44"/>
          <w:sz w:val="28"/>
          <w:szCs w:val="28"/>
          <w:lang w:val="en-US" w:eastAsia="zh-CN" w:bidi="ar-SA"/>
        </w:rPr>
        <w:t>D</w:t>
      </w:r>
      <w:r>
        <w:rPr>
          <w:rFonts w:hint="default" w:eastAsia="宋体" w:cstheme="minorBidi"/>
          <w:bCs/>
          <w:caps w:val="0"/>
          <w:color w:val="auto"/>
          <w:kern w:val="44"/>
          <w:sz w:val="28"/>
          <w:szCs w:val="28"/>
          <w:lang w:val="en-US" w:eastAsia="zh-CN" w:bidi="ar-SA"/>
        </w:rPr>
        <w:t xml:space="preserve">ocument </w:t>
      </w:r>
      <w:r>
        <w:rPr>
          <w:rFonts w:hint="eastAsia" w:eastAsia="宋体" w:cstheme="minorBidi"/>
          <w:bCs/>
          <w:caps w:val="0"/>
          <w:color w:val="auto"/>
          <w:kern w:val="44"/>
          <w:sz w:val="28"/>
          <w:szCs w:val="28"/>
          <w:lang w:val="en-US" w:eastAsia="zh-CN" w:bidi="ar-SA"/>
        </w:rPr>
        <w:t>C</w:t>
      </w:r>
      <w:r>
        <w:rPr>
          <w:rFonts w:hint="default" w:eastAsia="宋体" w:cstheme="minorBidi"/>
          <w:bCs/>
          <w:caps w:val="0"/>
          <w:color w:val="auto"/>
          <w:kern w:val="44"/>
          <w:sz w:val="28"/>
          <w:szCs w:val="28"/>
          <w:lang w:val="en-US" w:eastAsia="zh-CN" w:bidi="ar-SA"/>
        </w:rPr>
        <w:t>ompiling</w:t>
      </w:r>
      <w:r>
        <w:tab/>
      </w:r>
      <w:r>
        <w:rPr>
          <w:rFonts w:hint="eastAsia"/>
          <w:lang w:val="en-US" w:eastAsia="zh-CN"/>
        </w:rPr>
        <w:t>1</w:t>
      </w:r>
      <w:r>
        <w:fldChar w:fldCharType="end"/>
      </w:r>
      <w:r>
        <w:rPr>
          <w:rFonts w:hint="eastAsia"/>
          <w:lang w:val="en-US" w:eastAsia="zh-CN"/>
        </w:rPr>
        <w:t>66</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_Toc22428 </w:instrText>
      </w:r>
      <w:r>
        <w:fldChar w:fldCharType="separate"/>
      </w:r>
      <w:r>
        <w:rPr>
          <w:rFonts w:hint="default" w:ascii="Times New Roman" w:hAnsi="Times New Roman" w:eastAsia="黑体"/>
          <w:i w:val="0"/>
          <w:color w:val="0000BF" w:themeColor="hyperlink" w:themeShade="BF"/>
          <w:w w:val="100"/>
        </w:rPr>
        <w:t xml:space="preserve">11 </w:t>
      </w:r>
      <w:r>
        <w:rPr>
          <w:rFonts w:hint="eastAsia"/>
          <w:i w:val="0"/>
          <w:color w:val="0000BF" w:themeColor="hyperlink" w:themeShade="BF"/>
          <w:w w:val="100"/>
          <w:lang w:val="en-US" w:eastAsia="zh-CN"/>
        </w:rPr>
        <w:t>M</w:t>
      </w:r>
      <w:r>
        <w:rPr>
          <w:rFonts w:hint="eastAsia" w:ascii="Times New Roman" w:hAnsi="Times New Roman" w:eastAsia="宋体" w:cstheme="minorBidi"/>
          <w:bCs/>
          <w:caps w:val="0"/>
          <w:color w:val="auto"/>
          <w:kern w:val="44"/>
          <w:sz w:val="28"/>
          <w:szCs w:val="28"/>
          <w:lang w:val="en-US" w:eastAsia="zh-CN" w:bidi="ar-SA"/>
        </w:rPr>
        <w:t xml:space="preserve">ajor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tructure and </w:t>
      </w:r>
      <w:r>
        <w:rPr>
          <w:rFonts w:hint="eastAsia" w:eastAsia="宋体" w:cstheme="minorBidi"/>
          <w:bCs/>
          <w:caps w:val="0"/>
          <w:color w:val="auto"/>
          <w:kern w:val="44"/>
          <w:sz w:val="28"/>
          <w:szCs w:val="28"/>
          <w:lang w:val="en-US" w:eastAsia="zh-CN" w:bidi="ar-SA"/>
        </w:rPr>
        <w:t>W</w:t>
      </w:r>
      <w:r>
        <w:rPr>
          <w:rFonts w:hint="eastAsia" w:ascii="Times New Roman" w:hAnsi="Times New Roman" w:eastAsia="宋体" w:cstheme="minorBidi"/>
          <w:bCs/>
          <w:caps w:val="0"/>
          <w:color w:val="auto"/>
          <w:kern w:val="44"/>
          <w:sz w:val="28"/>
          <w:szCs w:val="28"/>
          <w:lang w:val="en-US" w:eastAsia="zh-CN" w:bidi="ar-SA"/>
        </w:rPr>
        <w:t>aterproof</w:t>
      </w:r>
      <w:r>
        <w:tab/>
      </w:r>
      <w:r>
        <w:rPr>
          <w:rFonts w:hint="eastAsia"/>
          <w:lang w:val="en-US" w:eastAsia="zh-CN"/>
        </w:rPr>
        <w:t>1</w:t>
      </w:r>
      <w:r>
        <w:fldChar w:fldCharType="end"/>
      </w:r>
      <w:r>
        <w:rPr>
          <w:rFonts w:hint="eastAsia"/>
          <w:lang w:val="en-US" w:eastAsia="zh-CN"/>
        </w:rPr>
        <w:t>68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_Toc1489 </w:instrText>
      </w:r>
      <w:r>
        <w:fldChar w:fldCharType="separate"/>
      </w:r>
      <w:r>
        <w:rPr>
          <w:rFonts w:hint="eastAsia" w:eastAsia="黑体"/>
          <w:i w:val="0"/>
          <w:color w:val="0000BF" w:themeColor="hyperlink" w:themeShade="BF"/>
          <w:w w:val="100"/>
        </w:rPr>
        <w:t xml:space="preserve">11.1 </w:t>
      </w:r>
      <w:r>
        <w:rPr>
          <w:rFonts w:hint="eastAsia" w:eastAsia="宋体" w:cstheme="minorBidi"/>
          <w:bCs/>
          <w:caps w:val="0"/>
          <w:color w:val="auto"/>
          <w:kern w:val="44"/>
          <w:sz w:val="28"/>
          <w:szCs w:val="28"/>
          <w:lang w:val="en-US" w:eastAsia="zh-CN" w:bidi="ar-SA"/>
        </w:rPr>
        <w:t>Design of The Tunnel Main Body Structure</w:t>
      </w:r>
      <w:r>
        <w:tab/>
      </w:r>
      <w:r>
        <w:rPr>
          <w:rFonts w:hint="eastAsia"/>
          <w:lang w:val="en-US" w:eastAsia="zh-CN"/>
        </w:rPr>
        <w:t>1</w:t>
      </w:r>
      <w:r>
        <w:fldChar w:fldCharType="end"/>
      </w:r>
      <w:r>
        <w:rPr>
          <w:rFonts w:hint="eastAsia"/>
          <w:lang w:val="en-US" w:eastAsia="zh-CN"/>
        </w:rPr>
        <w:t>68</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_Toc30535 </w:instrText>
      </w:r>
      <w:r>
        <w:fldChar w:fldCharType="separate"/>
      </w:r>
      <w:r>
        <w:rPr>
          <w:rFonts w:hint="eastAsia" w:eastAsia="黑体"/>
          <w:i w:val="0"/>
          <w:color w:val="0000BF" w:themeColor="hyperlink" w:themeShade="BF"/>
          <w:w w:val="100"/>
        </w:rPr>
        <w:t xml:space="preserve">11.2 </w:t>
      </w:r>
      <w:r>
        <w:rPr>
          <w:rFonts w:hint="eastAsia"/>
          <w:i w:val="0"/>
          <w:color w:val="0000BF" w:themeColor="hyperlink" w:themeShade="BF"/>
          <w:w w:val="100"/>
          <w:lang w:val="en-US" w:eastAsia="zh-CN"/>
        </w:rPr>
        <w:t>D</w:t>
      </w:r>
      <w:r>
        <w:rPr>
          <w:rFonts w:hint="eastAsia" w:eastAsia="宋体" w:cstheme="minorBidi"/>
          <w:bCs/>
          <w:caps w:val="0"/>
          <w:color w:val="auto"/>
          <w:kern w:val="44"/>
          <w:sz w:val="28"/>
          <w:szCs w:val="28"/>
          <w:lang w:val="en-US" w:eastAsia="zh-CN" w:bidi="ar-SA"/>
        </w:rPr>
        <w:t>esign Against Earthquake</w:t>
      </w:r>
      <w:r>
        <w:tab/>
      </w:r>
      <w:r>
        <w:rPr>
          <w:rFonts w:hint="eastAsia"/>
          <w:lang w:val="en-US" w:eastAsia="zh-CN"/>
        </w:rPr>
        <w:t>1</w:t>
      </w:r>
      <w:r>
        <w:fldChar w:fldCharType="end"/>
      </w:r>
      <w:r>
        <w:rPr>
          <w:rFonts w:hint="eastAsia"/>
          <w:lang w:val="en-US" w:eastAsia="zh-CN"/>
        </w:rPr>
        <w:t>69</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_Toc23121 </w:instrText>
      </w:r>
      <w:r>
        <w:fldChar w:fldCharType="separate"/>
      </w:r>
      <w:r>
        <w:rPr>
          <w:rFonts w:hint="eastAsia" w:eastAsia="黑体"/>
          <w:i w:val="0"/>
          <w:color w:val="0000BF" w:themeColor="hyperlink" w:themeShade="BF"/>
          <w:w w:val="100"/>
        </w:rPr>
        <w:t xml:space="preserve">11.3 </w:t>
      </w:r>
      <w:r>
        <w:rPr>
          <w:rFonts w:hint="eastAsia" w:eastAsia="宋体" w:cstheme="minorBidi"/>
          <w:bCs/>
          <w:caps w:val="0"/>
          <w:color w:val="auto"/>
          <w:kern w:val="44"/>
          <w:sz w:val="28"/>
          <w:szCs w:val="28"/>
          <w:lang w:val="en-US" w:eastAsia="zh-CN" w:bidi="ar-SA"/>
        </w:rPr>
        <w:t>Anti-floating Design</w:t>
      </w:r>
      <w:r>
        <w:tab/>
      </w:r>
      <w:r>
        <w:rPr>
          <w:rFonts w:hint="eastAsia"/>
          <w:lang w:val="en-US" w:eastAsia="zh-CN"/>
        </w:rPr>
        <w:t>1</w:t>
      </w:r>
      <w:r>
        <w:fldChar w:fldCharType="end"/>
      </w:r>
      <w:r>
        <w:rPr>
          <w:rFonts w:hint="eastAsia"/>
          <w:lang w:val="en-US" w:eastAsia="zh-CN"/>
        </w:rPr>
        <w:t>71</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_Toc18404 </w:instrText>
      </w:r>
      <w:r>
        <w:fldChar w:fldCharType="separate"/>
      </w:r>
      <w:r>
        <w:rPr>
          <w:rFonts w:hint="eastAsia" w:eastAsia="黑体"/>
          <w:i w:val="0"/>
          <w:color w:val="0000BF" w:themeColor="hyperlink" w:themeShade="BF"/>
          <w:w w:val="100"/>
        </w:rPr>
        <w:t xml:space="preserve">11.4 </w:t>
      </w:r>
      <w:r>
        <w:rPr>
          <w:rFonts w:hint="eastAsia" w:eastAsia="宋体" w:cstheme="minorBidi"/>
          <w:bCs/>
          <w:caps w:val="0"/>
          <w:color w:val="auto"/>
          <w:kern w:val="44"/>
          <w:sz w:val="28"/>
          <w:szCs w:val="28"/>
          <w:lang w:val="en-US" w:eastAsia="zh-CN" w:bidi="ar-SA"/>
        </w:rPr>
        <w:t>Auxiliary Design and The Entrance Design</w:t>
      </w:r>
      <w:r>
        <w:tab/>
      </w:r>
      <w:r>
        <w:rPr>
          <w:rFonts w:hint="eastAsia"/>
          <w:lang w:val="en-US" w:eastAsia="zh-CN"/>
        </w:rPr>
        <w:t>1</w:t>
      </w:r>
      <w:r>
        <w:fldChar w:fldCharType="end"/>
      </w:r>
      <w:r>
        <w:rPr>
          <w:rFonts w:hint="eastAsia"/>
          <w:lang w:val="en-US" w:eastAsia="zh-CN"/>
        </w:rPr>
        <w:t>71</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_Toc17482 </w:instrText>
      </w:r>
      <w:r>
        <w:fldChar w:fldCharType="separate"/>
      </w:r>
      <w:r>
        <w:rPr>
          <w:rFonts w:hint="eastAsia" w:eastAsia="黑体"/>
          <w:i w:val="0"/>
          <w:color w:val="0000BF" w:themeColor="hyperlink" w:themeShade="BF"/>
          <w:w w:val="100"/>
        </w:rPr>
        <w:t xml:space="preserve">11.5 </w:t>
      </w:r>
      <w:r>
        <w:rPr>
          <w:rFonts w:hint="eastAsia"/>
          <w:i w:val="0"/>
          <w:color w:val="0000BF" w:themeColor="hyperlink" w:themeShade="BF"/>
          <w:w w:val="100"/>
          <w:lang w:val="en-US" w:eastAsia="zh-CN"/>
        </w:rPr>
        <w:t>S</w:t>
      </w:r>
      <w:r>
        <w:rPr>
          <w:rFonts w:hint="eastAsia" w:ascii="Times New Roman" w:hAnsi="Times New Roman" w:eastAsia="宋体" w:cstheme="minorBidi"/>
          <w:bCs/>
          <w:caps w:val="0"/>
          <w:color w:val="auto"/>
          <w:kern w:val="44"/>
          <w:sz w:val="28"/>
          <w:szCs w:val="28"/>
          <w:lang w:val="en-US" w:eastAsia="zh-CN" w:bidi="ar-SA"/>
        </w:rPr>
        <w:t>tructure</w:t>
      </w:r>
      <w:r>
        <w:tab/>
      </w:r>
      <w:r>
        <w:rPr>
          <w:rFonts w:hint="eastAsia"/>
          <w:lang w:val="en-US" w:eastAsia="zh-CN"/>
        </w:rPr>
        <w:t>1</w:t>
      </w:r>
      <w:r>
        <w:fldChar w:fldCharType="end"/>
      </w:r>
      <w:r>
        <w:rPr>
          <w:rFonts w:hint="eastAsia"/>
          <w:lang w:val="en-US" w:eastAsia="zh-CN"/>
        </w:rPr>
        <w:t>73</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_Toc9259 </w:instrText>
      </w:r>
      <w:r>
        <w:fldChar w:fldCharType="separate"/>
      </w:r>
      <w:r>
        <w:rPr>
          <w:rFonts w:hint="eastAsia" w:eastAsia="黑体"/>
          <w:i w:val="0"/>
          <w:color w:val="0000BF" w:themeColor="hyperlink" w:themeShade="BF"/>
          <w:w w:val="100"/>
        </w:rPr>
        <w:t xml:space="preserve">11.6 </w:t>
      </w:r>
      <w:r>
        <w:rPr>
          <w:rFonts w:hint="eastAsia"/>
          <w:i w:val="0"/>
          <w:color w:val="0000BF" w:themeColor="hyperlink" w:themeShade="BF"/>
          <w:w w:val="100"/>
          <w:lang w:val="en-US" w:eastAsia="zh-CN"/>
        </w:rPr>
        <w:t>W</w:t>
      </w:r>
      <w:r>
        <w:rPr>
          <w:rFonts w:hint="eastAsia" w:ascii="Times New Roman" w:hAnsi="Times New Roman" w:eastAsia="宋体" w:cstheme="minorBidi"/>
          <w:bCs/>
          <w:caps w:val="0"/>
          <w:color w:val="auto"/>
          <w:kern w:val="44"/>
          <w:sz w:val="28"/>
          <w:szCs w:val="28"/>
          <w:lang w:val="en-US" w:eastAsia="zh-CN" w:bidi="ar-SA"/>
        </w:rPr>
        <w:t>aterproof</w:t>
      </w:r>
      <w:r>
        <w:tab/>
      </w:r>
      <w:r>
        <w:rPr>
          <w:rFonts w:hint="eastAsia"/>
          <w:lang w:val="en-US" w:eastAsia="zh-CN"/>
        </w:rPr>
        <w:t>1</w:t>
      </w:r>
      <w:r>
        <w:fldChar w:fldCharType="end"/>
      </w:r>
      <w:r>
        <w:rPr>
          <w:rFonts w:hint="eastAsia"/>
          <w:lang w:val="en-US" w:eastAsia="zh-CN"/>
        </w:rPr>
        <w:t>74</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_Toc22521 </w:instrText>
      </w:r>
      <w:r>
        <w:fldChar w:fldCharType="separate"/>
      </w:r>
      <w:r>
        <w:rPr>
          <w:rFonts w:hint="default" w:ascii="Times New Roman" w:hAnsi="Times New Roman" w:eastAsia="黑体"/>
          <w:i w:val="0"/>
          <w:color w:val="0000BF" w:themeColor="hyperlink" w:themeShade="BF"/>
          <w:w w:val="100"/>
        </w:rPr>
        <w:t xml:space="preserve">12 </w:t>
      </w:r>
      <w:r>
        <w:rPr>
          <w:rFonts w:hint="eastAsia" w:ascii="Times New Roman" w:hAnsi="Times New Roman" w:eastAsia="宋体" w:cstheme="minorBidi"/>
          <w:bCs/>
          <w:caps w:val="0"/>
          <w:color w:val="auto"/>
          <w:kern w:val="44"/>
          <w:sz w:val="28"/>
          <w:szCs w:val="28"/>
          <w:lang w:val="en-US" w:eastAsia="zh-CN" w:bidi="ar-SA"/>
        </w:rPr>
        <w:t>Soil Sailing Wall</w:t>
      </w:r>
      <w:r>
        <w:tab/>
      </w:r>
      <w:r>
        <w:rPr>
          <w:rFonts w:hint="eastAsia"/>
          <w:lang w:val="en-US" w:eastAsia="zh-CN"/>
        </w:rPr>
        <w:t>1</w:t>
      </w:r>
      <w:r>
        <w:fldChar w:fldCharType="end"/>
      </w:r>
      <w:r>
        <w:rPr>
          <w:rFonts w:hint="eastAsia"/>
          <w:lang w:val="en-US" w:eastAsia="zh-CN"/>
        </w:rPr>
        <w:t>82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_Toc2605 </w:instrText>
      </w:r>
      <w:r>
        <w:fldChar w:fldCharType="separate"/>
      </w:r>
      <w:r>
        <w:rPr>
          <w:rFonts w:hint="eastAsia" w:eastAsia="黑体"/>
          <w:i w:val="0"/>
          <w:color w:val="0000BF" w:themeColor="hyperlink" w:themeShade="BF"/>
          <w:w w:val="100"/>
        </w:rPr>
        <w:t xml:space="preserve">12.1 </w:t>
      </w:r>
      <w:r>
        <w:rPr>
          <w:rFonts w:hint="eastAsia" w:eastAsia="宋体" w:cstheme="minorBidi"/>
          <w:bCs/>
          <w:caps w:val="0"/>
          <w:color w:val="auto"/>
          <w:kern w:val="44"/>
          <w:sz w:val="28"/>
          <w:szCs w:val="28"/>
          <w:lang w:val="en-US" w:eastAsia="zh-CN" w:bidi="ar-SA"/>
        </w:rPr>
        <w:t>General Requirements</w:t>
      </w:r>
      <w:r>
        <w:tab/>
      </w:r>
      <w:r>
        <w:rPr>
          <w:rFonts w:hint="eastAsia"/>
          <w:lang w:val="en-US" w:eastAsia="zh-CN"/>
        </w:rPr>
        <w:t>1</w:t>
      </w:r>
      <w:r>
        <w:fldChar w:fldCharType="end"/>
      </w:r>
      <w:r>
        <w:rPr>
          <w:rFonts w:hint="eastAsia"/>
          <w:lang w:val="en-US" w:eastAsia="zh-CN"/>
        </w:rPr>
        <w:t>82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_Toc29419 </w:instrText>
      </w:r>
      <w:r>
        <w:fldChar w:fldCharType="separate"/>
      </w:r>
      <w:r>
        <w:rPr>
          <w:rFonts w:hint="eastAsia" w:eastAsia="黑体"/>
          <w:i w:val="0"/>
          <w:color w:val="0000BF" w:themeColor="hyperlink" w:themeShade="BF"/>
          <w:w w:val="100"/>
        </w:rPr>
        <w:t xml:space="preserve">12.2 </w:t>
      </w:r>
      <w:r>
        <w:rPr>
          <w:rFonts w:hint="eastAsia"/>
          <w:i w:val="0"/>
          <w:color w:val="0000BF" w:themeColor="hyperlink" w:themeShade="BF"/>
          <w:w w:val="100"/>
          <w:lang w:val="en-US" w:eastAsia="zh-CN"/>
        </w:rPr>
        <w:t>E</w:t>
      </w:r>
      <w:r>
        <w:rPr>
          <w:rFonts w:hint="eastAsia" w:eastAsia="宋体" w:cstheme="minorBidi"/>
          <w:bCs/>
          <w:caps w:val="0"/>
          <w:color w:val="auto"/>
          <w:kern w:val="44"/>
          <w:sz w:val="28"/>
          <w:szCs w:val="28"/>
          <w:lang w:val="en-US" w:eastAsia="zh-CN" w:bidi="ar-SA"/>
        </w:rPr>
        <w:t>nvironmental Impact Analysis</w:t>
      </w:r>
      <w:r>
        <w:rPr>
          <w:rFonts w:hint="eastAsia"/>
        </w:rPr>
        <w:t xml:space="preserve"> </w:t>
      </w:r>
      <w:r>
        <w:tab/>
      </w:r>
      <w:r>
        <w:rPr>
          <w:rFonts w:hint="eastAsia"/>
          <w:lang w:val="en-US" w:eastAsia="zh-CN"/>
        </w:rPr>
        <w:t>1</w:t>
      </w:r>
      <w:r>
        <w:fldChar w:fldCharType="end"/>
      </w:r>
      <w:r>
        <w:rPr>
          <w:rFonts w:hint="eastAsia"/>
          <w:lang w:val="en-US" w:eastAsia="zh-CN"/>
        </w:rPr>
        <w:t>82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_Toc16913 </w:instrText>
      </w:r>
      <w:r>
        <w:fldChar w:fldCharType="separate"/>
      </w:r>
      <w:r>
        <w:rPr>
          <w:rFonts w:hint="eastAsia" w:eastAsia="黑体"/>
          <w:i w:val="0"/>
          <w:color w:val="0000BF" w:themeColor="hyperlink" w:themeShade="BF"/>
          <w:w w:val="100"/>
        </w:rPr>
        <w:t xml:space="preserve">12.3 </w:t>
      </w:r>
      <w:r>
        <w:rPr>
          <w:rFonts w:hint="eastAsia" w:eastAsia="宋体" w:cstheme="minorBidi"/>
          <w:bCs/>
          <w:caps w:val="0"/>
          <w:color w:val="auto"/>
          <w:kern w:val="44"/>
          <w:sz w:val="28"/>
          <w:szCs w:val="28"/>
          <w:lang w:val="en-US" w:eastAsia="zh-CN" w:bidi="ar-SA"/>
        </w:rPr>
        <w:t>Environmental Protection Measure</w:t>
      </w:r>
      <w:r>
        <w:rPr>
          <w:rFonts w:hint="eastAsia"/>
        </w:rPr>
        <w:t xml:space="preserve"> </w:t>
      </w:r>
      <w:r>
        <w:tab/>
      </w:r>
      <w:r>
        <w:rPr>
          <w:rFonts w:hint="eastAsia"/>
          <w:lang w:val="en-US" w:eastAsia="zh-CN"/>
        </w:rPr>
        <w:t>1</w:t>
      </w:r>
      <w:r>
        <w:fldChar w:fldCharType="end"/>
      </w:r>
      <w:r>
        <w:rPr>
          <w:rFonts w:hint="eastAsia"/>
          <w:lang w:val="en-US" w:eastAsia="zh-CN"/>
        </w:rPr>
        <w:t>84</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_Toc25139 </w:instrText>
      </w:r>
      <w:r>
        <w:fldChar w:fldCharType="separate"/>
      </w:r>
      <w:r>
        <w:rPr>
          <w:rFonts w:hint="default" w:ascii="Times New Roman" w:hAnsi="Times New Roman" w:eastAsia="黑体"/>
          <w:i w:val="0"/>
          <w:color w:val="0000BF" w:themeColor="hyperlink" w:themeShade="BF"/>
          <w:w w:val="100"/>
        </w:rPr>
        <w:t xml:space="preserve">13 </w:t>
      </w:r>
      <w:r>
        <w:rPr>
          <w:rFonts w:hint="eastAsia" w:ascii="Times New Roman" w:hAnsi="Times New Roman" w:eastAsia="宋体" w:cstheme="minorBidi"/>
          <w:bCs/>
          <w:caps w:val="0"/>
          <w:color w:val="auto"/>
          <w:kern w:val="44"/>
          <w:sz w:val="28"/>
          <w:szCs w:val="28"/>
          <w:lang w:val="en-US" w:eastAsia="zh-CN" w:bidi="ar-SA"/>
        </w:rPr>
        <w:t xml:space="preserve">Safety </w:t>
      </w:r>
      <w:r>
        <w:rPr>
          <w:rFonts w:hint="eastAsia" w:eastAsia="宋体" w:cstheme="minorBidi"/>
          <w:bCs/>
          <w:caps w:val="0"/>
          <w:color w:val="auto"/>
          <w:kern w:val="44"/>
          <w:sz w:val="28"/>
          <w:szCs w:val="28"/>
          <w:lang w:val="en-US" w:eastAsia="zh-CN" w:bidi="ar-SA"/>
        </w:rPr>
        <w:t>P</w:t>
      </w:r>
      <w:r>
        <w:rPr>
          <w:rFonts w:hint="eastAsia" w:ascii="Times New Roman" w:hAnsi="Times New Roman" w:eastAsia="宋体" w:cstheme="minorBidi"/>
          <w:bCs/>
          <w:caps w:val="0"/>
          <w:color w:val="auto"/>
          <w:kern w:val="44"/>
          <w:sz w:val="28"/>
          <w:szCs w:val="28"/>
          <w:lang w:val="en-US" w:eastAsia="zh-CN" w:bidi="ar-SA"/>
        </w:rPr>
        <w:t>rotection of</w:t>
      </w:r>
      <w:r>
        <w:rPr>
          <w:rFonts w:hint="eastAsia" w:eastAsia="宋体" w:cstheme="minorBidi"/>
          <w:bCs/>
          <w:caps w:val="0"/>
          <w:color w:val="auto"/>
          <w:kern w:val="44"/>
          <w:sz w:val="28"/>
          <w:szCs w:val="28"/>
          <w:lang w:val="en-US" w:eastAsia="zh-CN" w:bidi="ar-SA"/>
        </w:rPr>
        <w:t xml:space="preserve"> T</w:t>
      </w:r>
      <w:r>
        <w:rPr>
          <w:rFonts w:hint="eastAsia" w:ascii="Times New Roman" w:hAnsi="Times New Roman" w:eastAsia="宋体" w:cstheme="minorBidi"/>
          <w:bCs/>
          <w:caps w:val="0"/>
          <w:color w:val="auto"/>
          <w:kern w:val="44"/>
          <w:sz w:val="28"/>
          <w:szCs w:val="28"/>
          <w:lang w:val="en-US" w:eastAsia="zh-CN" w:bidi="ar-SA"/>
        </w:rPr>
        <w:t xml:space="preserve">he </w:t>
      </w:r>
      <w:r>
        <w:rPr>
          <w:rFonts w:hint="eastAsia" w:eastAsia="宋体" w:cstheme="minorBidi"/>
          <w:bCs/>
          <w:caps w:val="0"/>
          <w:color w:val="auto"/>
          <w:kern w:val="44"/>
          <w:sz w:val="28"/>
          <w:szCs w:val="28"/>
          <w:lang w:val="en-US" w:eastAsia="zh-CN" w:bidi="ar-SA"/>
        </w:rPr>
        <w:t>T</w:t>
      </w:r>
      <w:r>
        <w:rPr>
          <w:rFonts w:hint="eastAsia" w:ascii="Times New Roman" w:hAnsi="Times New Roman" w:eastAsia="宋体" w:cstheme="minorBidi"/>
          <w:bCs/>
          <w:caps w:val="0"/>
          <w:color w:val="auto"/>
          <w:kern w:val="44"/>
          <w:sz w:val="28"/>
          <w:szCs w:val="28"/>
          <w:lang w:val="en-US" w:eastAsia="zh-CN" w:bidi="ar-SA"/>
        </w:rPr>
        <w:t xml:space="preserve">unnel </w:t>
      </w:r>
      <w:r>
        <w:rPr>
          <w:rFonts w:hint="eastAsia" w:eastAsia="宋体" w:cstheme="minorBidi"/>
          <w:bCs/>
          <w:caps w:val="0"/>
          <w:color w:val="auto"/>
          <w:kern w:val="44"/>
          <w:sz w:val="28"/>
          <w:szCs w:val="28"/>
          <w:lang w:val="en-US" w:eastAsia="zh-CN" w:bidi="ar-SA"/>
        </w:rPr>
        <w:t>D</w:t>
      </w:r>
      <w:r>
        <w:rPr>
          <w:rFonts w:hint="eastAsia" w:ascii="Times New Roman" w:hAnsi="Times New Roman" w:eastAsia="宋体" w:cstheme="minorBidi"/>
          <w:bCs/>
          <w:caps w:val="0"/>
          <w:color w:val="auto"/>
          <w:kern w:val="44"/>
          <w:sz w:val="28"/>
          <w:szCs w:val="28"/>
          <w:lang w:val="en-US" w:eastAsia="zh-CN" w:bidi="ar-SA"/>
        </w:rPr>
        <w:t xml:space="preserve">uring </w:t>
      </w:r>
      <w:r>
        <w:rPr>
          <w:rFonts w:hint="eastAsia" w:eastAsia="宋体" w:cstheme="minorBidi"/>
          <w:bCs/>
          <w:caps w:val="0"/>
          <w:color w:val="auto"/>
          <w:kern w:val="44"/>
          <w:sz w:val="28"/>
          <w:szCs w:val="28"/>
          <w:lang w:val="en-US" w:eastAsia="zh-CN" w:bidi="ar-SA"/>
        </w:rPr>
        <w:t>T</w:t>
      </w:r>
      <w:r>
        <w:rPr>
          <w:rFonts w:hint="eastAsia" w:ascii="Times New Roman" w:hAnsi="Times New Roman" w:eastAsia="宋体" w:cstheme="minorBidi"/>
          <w:bCs/>
          <w:caps w:val="0"/>
          <w:color w:val="auto"/>
          <w:kern w:val="44"/>
          <w:sz w:val="28"/>
          <w:szCs w:val="28"/>
          <w:lang w:val="en-US" w:eastAsia="zh-CN" w:bidi="ar-SA"/>
        </w:rPr>
        <w:t xml:space="preserve">he </w:t>
      </w:r>
      <w:r>
        <w:rPr>
          <w:rFonts w:hint="eastAsia" w:eastAsia="宋体" w:cstheme="minorBidi"/>
          <w:bCs/>
          <w:caps w:val="0"/>
          <w:color w:val="auto"/>
          <w:kern w:val="44"/>
          <w:sz w:val="28"/>
          <w:szCs w:val="28"/>
          <w:lang w:val="en-US" w:eastAsia="zh-CN" w:bidi="ar-SA"/>
        </w:rPr>
        <w:t>O</w:t>
      </w:r>
      <w:r>
        <w:rPr>
          <w:rFonts w:hint="eastAsia" w:ascii="Times New Roman" w:hAnsi="Times New Roman" w:eastAsia="宋体" w:cstheme="minorBidi"/>
          <w:bCs/>
          <w:caps w:val="0"/>
          <w:color w:val="auto"/>
          <w:kern w:val="44"/>
          <w:sz w:val="28"/>
          <w:szCs w:val="28"/>
          <w:lang w:val="en-US" w:eastAsia="zh-CN" w:bidi="ar-SA"/>
        </w:rPr>
        <w:t xml:space="preserve">peration </w:t>
      </w:r>
      <w:r>
        <w:rPr>
          <w:rFonts w:hint="eastAsia" w:eastAsia="宋体" w:cstheme="minorBidi"/>
          <w:bCs/>
          <w:caps w:val="0"/>
          <w:color w:val="auto"/>
          <w:kern w:val="44"/>
          <w:sz w:val="28"/>
          <w:szCs w:val="28"/>
          <w:lang w:val="en-US" w:eastAsia="zh-CN" w:bidi="ar-SA"/>
        </w:rPr>
        <w:t>P</w:t>
      </w:r>
      <w:r>
        <w:rPr>
          <w:rFonts w:hint="eastAsia" w:ascii="Times New Roman" w:hAnsi="Times New Roman" w:eastAsia="宋体" w:cstheme="minorBidi"/>
          <w:bCs/>
          <w:caps w:val="0"/>
          <w:color w:val="auto"/>
          <w:kern w:val="44"/>
          <w:sz w:val="28"/>
          <w:szCs w:val="28"/>
          <w:lang w:val="en-US" w:eastAsia="zh-CN" w:bidi="ar-SA"/>
        </w:rPr>
        <w:t>eriod</w:t>
      </w:r>
      <w:r>
        <w:tab/>
      </w:r>
      <w:r>
        <w:rPr>
          <w:rFonts w:hint="eastAsia"/>
          <w:lang w:val="en-US" w:eastAsia="zh-CN"/>
        </w:rPr>
        <w:t>1</w:t>
      </w:r>
      <w:r>
        <w:fldChar w:fldCharType="end"/>
      </w:r>
      <w:r>
        <w:rPr>
          <w:rFonts w:hint="eastAsia"/>
          <w:lang w:val="en-US" w:eastAsia="zh-CN"/>
        </w:rPr>
        <w:t>88</w:t>
      </w:r>
    </w:p>
    <w:p>
      <w:pPr>
        <w:pStyle w:val="15"/>
        <w:tabs>
          <w:tab w:val="right" w:leader="dot" w:pos="8306"/>
          <w:tab w:val="clear" w:pos="284"/>
          <w:tab w:val="clear" w:pos="8296"/>
        </w:tabs>
        <w:rPr>
          <w:rFonts w:hint="default" w:eastAsia="黑体"/>
          <w:lang w:val="en-US" w:eastAsia="zh-CN"/>
        </w:rPr>
      </w:pPr>
      <w:r>
        <w:fldChar w:fldCharType="begin"/>
      </w:r>
      <w:r>
        <w:instrText xml:space="preserve"> HYPERLINK \l _Toc7169 </w:instrText>
      </w:r>
      <w:r>
        <w:fldChar w:fldCharType="separate"/>
      </w:r>
      <w:r>
        <w:rPr>
          <w:rFonts w:hint="eastAsia" w:ascii="Times New Roman" w:hAnsi="Times New Roman" w:eastAsia="宋体" w:cstheme="minorBidi"/>
          <w:bCs/>
          <w:caps w:val="0"/>
          <w:color w:val="auto"/>
          <w:kern w:val="44"/>
          <w:sz w:val="28"/>
          <w:szCs w:val="28"/>
          <w:lang w:val="en-US" w:eastAsia="zh-CN" w:bidi="ar-SA"/>
        </w:rPr>
        <w:t>Appendix</w:t>
      </w:r>
      <w:r>
        <w:tab/>
      </w:r>
      <w:r>
        <w:rPr>
          <w:rFonts w:hint="eastAsia"/>
          <w:lang w:val="en-US" w:eastAsia="zh-CN"/>
        </w:rPr>
        <w:t>1</w:t>
      </w:r>
      <w:r>
        <w:fldChar w:fldCharType="end"/>
      </w:r>
      <w:r>
        <w:rPr>
          <w:rFonts w:hint="eastAsia"/>
          <w:lang w:val="en-US" w:eastAsia="zh-CN"/>
        </w:rPr>
        <w:t>90</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_Toc5931 </w:instrText>
      </w:r>
      <w:r>
        <w:fldChar w:fldCharType="separate"/>
      </w:r>
      <w:r>
        <w:rPr>
          <w:rFonts w:hint="eastAsia" w:ascii="Times New Roman" w:hAnsi="Times New Roman" w:eastAsia="宋体" w:cstheme="minorBidi"/>
          <w:bCs/>
          <w:caps w:val="0"/>
          <w:color w:val="auto"/>
          <w:kern w:val="44"/>
          <w:sz w:val="28"/>
          <w:szCs w:val="28"/>
          <w:lang w:val="en-US" w:eastAsia="zh-CN" w:bidi="ar-SA"/>
        </w:rPr>
        <w:t>A</w:t>
      </w:r>
      <w:r>
        <w:rPr>
          <w:rFonts w:hint="eastAsia"/>
          <w:lang w:val="en-US" w:eastAsia="zh-CN"/>
        </w:rPr>
        <w:t xml:space="preserve"> </w:t>
      </w:r>
      <w:r>
        <w:rPr>
          <w:rFonts w:hint="eastAsia" w:ascii="Times New Roman" w:hAnsi="Times New Roman" w:eastAsia="宋体" w:cstheme="minorBidi"/>
          <w:bCs/>
          <w:caps w:val="0"/>
          <w:color w:val="auto"/>
          <w:kern w:val="44"/>
          <w:sz w:val="28"/>
          <w:szCs w:val="28"/>
          <w:lang w:val="en-US" w:eastAsia="zh-CN" w:bidi="ar-SA"/>
        </w:rPr>
        <w:t>Kernel of Soil Nail Pull Out Test</w:t>
      </w:r>
      <w:r>
        <w:tab/>
      </w:r>
      <w:r>
        <w:rPr>
          <w:rFonts w:hint="eastAsia"/>
          <w:lang w:val="en-US" w:eastAsia="zh-CN"/>
        </w:rPr>
        <w:t>1</w:t>
      </w:r>
      <w:r>
        <w:fldChar w:fldCharType="end"/>
      </w:r>
      <w:r>
        <w:rPr>
          <w:rFonts w:hint="eastAsia"/>
          <w:lang w:val="en-US" w:eastAsia="zh-CN"/>
        </w:rPr>
        <w:t>90</w:t>
      </w:r>
    </w:p>
    <w:p>
      <w:pPr>
        <w:pStyle w:val="16"/>
        <w:tabs>
          <w:tab w:val="right" w:leader="dot" w:pos="8306"/>
          <w:tab w:val="clear" w:pos="284"/>
          <w:tab w:val="clear" w:pos="709"/>
          <w:tab w:val="clear" w:pos="8296"/>
        </w:tabs>
        <w:rPr>
          <w:rFonts w:hint="default" w:eastAsia="黑体"/>
          <w:lang w:val="en-US" w:eastAsia="zh-CN"/>
        </w:rPr>
      </w:pPr>
      <w:r>
        <w:rPr>
          <w:rFonts w:hint="eastAsia" w:ascii="Times New Roman" w:hAnsi="Times New Roman" w:eastAsia="宋体" w:cstheme="minorBidi"/>
          <w:bCs/>
          <w:caps w:val="0"/>
          <w:color w:val="auto"/>
          <w:kern w:val="44"/>
          <w:sz w:val="28"/>
          <w:szCs w:val="28"/>
          <w:lang w:val="en-US" w:eastAsia="zh-CN" w:bidi="ar-SA"/>
        </w:rPr>
        <w:fldChar w:fldCharType="begin"/>
      </w:r>
      <w:r>
        <w:rPr>
          <w:rFonts w:hint="eastAsia" w:ascii="Times New Roman" w:hAnsi="Times New Roman" w:eastAsia="宋体" w:cstheme="minorBidi"/>
          <w:bCs/>
          <w:caps w:val="0"/>
          <w:color w:val="auto"/>
          <w:kern w:val="44"/>
          <w:sz w:val="28"/>
          <w:szCs w:val="28"/>
          <w:lang w:val="en-US" w:eastAsia="zh-CN" w:bidi="ar-SA"/>
        </w:rPr>
        <w:instrText xml:space="preserve"> HYPERLINK \l _Toc1633 </w:instrText>
      </w:r>
      <w:r>
        <w:rPr>
          <w:rFonts w:hint="eastAsia" w:ascii="Times New Roman" w:hAnsi="Times New Roman" w:eastAsia="宋体" w:cstheme="minorBidi"/>
          <w:bCs/>
          <w:caps w:val="0"/>
          <w:color w:val="auto"/>
          <w:kern w:val="44"/>
          <w:sz w:val="28"/>
          <w:szCs w:val="28"/>
          <w:lang w:val="en-US" w:eastAsia="zh-CN" w:bidi="ar-SA"/>
        </w:rPr>
        <w:fldChar w:fldCharType="separate"/>
      </w:r>
      <w:r>
        <w:rPr>
          <w:rFonts w:hint="eastAsia" w:ascii="Times New Roman" w:hAnsi="Times New Roman" w:eastAsia="宋体" w:cstheme="minorBidi"/>
          <w:bCs/>
          <w:caps w:val="0"/>
          <w:color w:val="auto"/>
          <w:kern w:val="44"/>
          <w:sz w:val="28"/>
          <w:szCs w:val="28"/>
          <w:lang w:val="en-US" w:eastAsia="zh-CN" w:bidi="ar-SA"/>
        </w:rPr>
        <w:t>B</w:t>
      </w:r>
      <w:r>
        <w:rPr>
          <w:rFonts w:hint="eastAsia" w:eastAsia="宋体" w:cstheme="minorBidi"/>
          <w:bCs/>
          <w:caps w:val="0"/>
          <w:color w:val="auto"/>
          <w:kern w:val="44"/>
          <w:sz w:val="28"/>
          <w:szCs w:val="28"/>
          <w:lang w:val="en-US" w:eastAsia="zh-CN" w:bidi="ar-SA"/>
        </w:rPr>
        <w:t xml:space="preserve"> </w:t>
      </w:r>
      <w:r>
        <w:rPr>
          <w:rFonts w:hint="eastAsia" w:ascii="Times New Roman" w:hAnsi="Times New Roman" w:eastAsia="宋体" w:cstheme="minorBidi"/>
          <w:bCs/>
          <w:caps w:val="0"/>
          <w:color w:val="auto"/>
          <w:kern w:val="44"/>
          <w:sz w:val="28"/>
          <w:szCs w:val="28"/>
          <w:lang w:val="en-US" w:eastAsia="zh-CN" w:bidi="ar-SA"/>
        </w:rPr>
        <w:t>Kernel of Anchor Pull Out Test</w:t>
      </w:r>
      <w:r>
        <w:tab/>
      </w:r>
      <w:r>
        <w:rPr>
          <w:rFonts w:hint="eastAsia"/>
          <w:lang w:val="en-US" w:eastAsia="zh-CN"/>
        </w:rPr>
        <w:t>1</w:t>
      </w:r>
      <w:r>
        <w:fldChar w:fldCharType="end"/>
      </w:r>
      <w:r>
        <w:rPr>
          <w:rFonts w:hint="eastAsia"/>
          <w:lang w:val="en-US" w:eastAsia="zh-CN"/>
        </w:rPr>
        <w:t>92</w:t>
      </w:r>
    </w:p>
    <w:p>
      <w:pPr>
        <w:pStyle w:val="16"/>
        <w:tabs>
          <w:tab w:val="right" w:leader="dot" w:pos="8306"/>
          <w:tab w:val="clear" w:pos="284"/>
          <w:tab w:val="clear" w:pos="709"/>
          <w:tab w:val="clear" w:pos="8296"/>
        </w:tabs>
        <w:rPr>
          <w:rFonts w:hint="default" w:eastAsia="黑体"/>
          <w:lang w:val="en-US" w:eastAsia="zh-CN"/>
        </w:rPr>
      </w:pPr>
      <w:r>
        <w:fldChar w:fldCharType="begin"/>
      </w:r>
      <w:r>
        <w:instrText xml:space="preserve"> HYPERLINK \l _Toc18256 </w:instrText>
      </w:r>
      <w:r>
        <w:fldChar w:fldCharType="separate"/>
      </w:r>
      <w:r>
        <w:rPr>
          <w:rFonts w:hint="eastAsia" w:ascii="Times New Roman" w:hAnsi="Times New Roman" w:eastAsia="宋体" w:cstheme="minorBidi"/>
          <w:bCs/>
          <w:caps w:val="0"/>
          <w:color w:val="auto"/>
          <w:kern w:val="44"/>
          <w:sz w:val="28"/>
          <w:szCs w:val="28"/>
          <w:lang w:val="en-US" w:eastAsia="zh-CN" w:bidi="ar-SA"/>
        </w:rPr>
        <w:t>C Seepage Stability Analysis</w:t>
      </w:r>
      <w:r>
        <w:tab/>
      </w:r>
      <w:r>
        <w:rPr>
          <w:rFonts w:hint="eastAsia"/>
          <w:lang w:val="en-US" w:eastAsia="zh-CN"/>
        </w:rPr>
        <w:t>1</w:t>
      </w:r>
      <w:r>
        <w:fldChar w:fldCharType="end"/>
      </w:r>
      <w:r>
        <w:rPr>
          <w:rFonts w:hint="eastAsia"/>
          <w:lang w:val="en-US" w:eastAsia="zh-CN"/>
        </w:rPr>
        <w:t>97</w:t>
      </w:r>
    </w:p>
    <w:p>
      <w:r>
        <w:fldChar w:fldCharType="end"/>
      </w:r>
      <w:r>
        <w:br w:type="page"/>
      </w:r>
    </w:p>
    <w:p>
      <w:pPr>
        <w:ind w:firstLine="480"/>
        <w:sectPr>
          <w:footerReference r:id="rId18" w:type="default"/>
          <w:pgSz w:w="11906" w:h="16838"/>
          <w:pgMar w:top="1440" w:right="1800" w:bottom="1440" w:left="1800" w:header="851" w:footer="992" w:gutter="0"/>
          <w:pgNumType w:fmt="upperRoman" w:start="1"/>
          <w:cols w:space="425" w:num="1"/>
          <w:docGrid w:type="lines" w:linePitch="312" w:charSpace="0"/>
        </w:sectPr>
      </w:pPr>
    </w:p>
    <w:p>
      <w:pPr>
        <w:pStyle w:val="2"/>
        <w:numPr>
          <w:ilvl w:val="0"/>
          <w:numId w:val="3"/>
        </w:numPr>
        <w:rPr>
          <w:sz w:val="28"/>
          <w:szCs w:val="28"/>
        </w:rPr>
      </w:pPr>
      <w:bookmarkStart w:id="5" w:name="_Toc17844"/>
      <w:bookmarkStart w:id="6" w:name="_Toc25067895"/>
      <w:bookmarkStart w:id="7" w:name="_Toc30242"/>
      <w:r>
        <w:rPr>
          <w:rFonts w:hint="eastAsia"/>
          <w:sz w:val="28"/>
          <w:szCs w:val="28"/>
        </w:rPr>
        <w:t>总</w:t>
      </w:r>
      <w:r>
        <w:rPr>
          <w:rFonts w:hint="eastAsia"/>
          <w:sz w:val="28"/>
          <w:szCs w:val="28"/>
          <w:lang w:val="en-US" w:eastAsia="zh-CN"/>
        </w:rPr>
        <w:t xml:space="preserve"> </w:t>
      </w:r>
      <w:r>
        <w:rPr>
          <w:rFonts w:hint="eastAsia"/>
          <w:sz w:val="28"/>
          <w:szCs w:val="28"/>
        </w:rPr>
        <w:t>则</w:t>
      </w:r>
      <w:bookmarkEnd w:id="0"/>
      <w:bookmarkEnd w:id="1"/>
      <w:bookmarkEnd w:id="2"/>
      <w:bookmarkEnd w:id="5"/>
      <w:bookmarkEnd w:id="6"/>
      <w:bookmarkEnd w:id="7"/>
    </w:p>
    <w:p>
      <w:pPr>
        <w:pStyle w:val="51"/>
        <w:rPr>
          <w:rFonts w:ascii="Times New Roman" w:hAnsi="Times New Roman" w:cs="Times New Roman" w:eastAsiaTheme="minorEastAsia"/>
          <w:bCs/>
          <w:kern w:val="2"/>
          <w:sz w:val="28"/>
          <w:szCs w:val="28"/>
          <w:lang w:val="en-US" w:eastAsia="zh-CN" w:bidi="ar-SA"/>
        </w:rPr>
      </w:pPr>
      <w:bookmarkStart w:id="8" w:name="_Toc25075813"/>
      <w:bookmarkStart w:id="9" w:name="_Toc15976321"/>
      <w:bookmarkStart w:id="10" w:name="_Toc25076074"/>
      <w:bookmarkStart w:id="11" w:name="_Toc20391178"/>
      <w:bookmarkStart w:id="12" w:name="_Toc26038586"/>
      <w:r>
        <w:rPr>
          <w:rFonts w:hint="eastAsia" w:ascii="Times New Roman" w:hAnsi="Times New Roman" w:cs="Times New Roman" w:eastAsiaTheme="minorEastAsia"/>
          <w:bCs/>
          <w:kern w:val="2"/>
          <w:sz w:val="28"/>
          <w:szCs w:val="28"/>
          <w:lang w:val="en-US" w:eastAsia="zh-CN" w:bidi="ar-SA"/>
        </w:rPr>
        <w:t>为了规范铁路工程基坑支护的勘察、设计、施工和监测工作，做到安全适用、技术先进、经济合理、绿色环保，制定本规程。</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本规程适用于一般地质条件下铁路明挖法隧道的勘察、设计、施工与监测。对岩层、特殊岩土地层及不良地质隧道可根据相关规范规定采取针对性措施后参照执行。</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本规范依据现行国家标准《铁路工程结构可靠性设计统一标准》GB 50216、《工程结构可靠性设计统一标准》GB50153的原则制定，本规范混凝土结构设计依据现行国家标准《混凝土结构设计规范》GB50010执行、钢结构设计依据现行国家标准《钢结构设计标准》GB50017执行。</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铁路明挖法隧道勘察、设计、施工和监测工作除应符合本规程的规定外，尚应符合国家、行业相关标准的规定。</w:t>
      </w:r>
    </w:p>
    <w:p>
      <w:pPr>
        <w:ind w:firstLine="480"/>
      </w:pPr>
    </w:p>
    <w:p>
      <w:pPr>
        <w:ind w:firstLine="480"/>
      </w:pPr>
    </w:p>
    <w:p>
      <w:pPr>
        <w:ind w:firstLine="480"/>
      </w:pPr>
    </w:p>
    <w:p>
      <w:pPr>
        <w:ind w:firstLine="480"/>
      </w:pPr>
    </w:p>
    <w:p>
      <w:pPr>
        <w:ind w:firstLine="480"/>
      </w:pPr>
      <w:r>
        <w:br w:type="page"/>
      </w:r>
    </w:p>
    <w:p>
      <w:pPr>
        <w:pStyle w:val="2"/>
      </w:pPr>
      <w:bookmarkStart w:id="13" w:name="_Toc25067902"/>
      <w:bookmarkStart w:id="14" w:name="_Toc10477"/>
      <w:bookmarkStart w:id="15" w:name="_Toc15239"/>
      <w:r>
        <w:rPr>
          <w:rFonts w:hint="eastAsia"/>
        </w:rPr>
        <w:t>术语</w:t>
      </w:r>
      <w:bookmarkEnd w:id="8"/>
      <w:bookmarkEnd w:id="9"/>
      <w:bookmarkEnd w:id="10"/>
      <w:bookmarkEnd w:id="11"/>
      <w:bookmarkEnd w:id="12"/>
      <w:bookmarkEnd w:id="13"/>
      <w:r>
        <w:rPr>
          <w:rFonts w:hint="eastAsia"/>
        </w:rPr>
        <w:t>及符号</w:t>
      </w:r>
      <w:bookmarkEnd w:id="14"/>
      <w:bookmarkEnd w:id="15"/>
    </w:p>
    <w:p>
      <w:pPr>
        <w:pStyle w:val="3"/>
      </w:pPr>
      <w:bookmarkStart w:id="16" w:name="_Toc4597"/>
      <w:r>
        <w:rPr>
          <w:rFonts w:hint="eastAsia"/>
        </w:rPr>
        <w:t>术 语</w:t>
      </w:r>
      <w:bookmarkEnd w:id="16"/>
    </w:p>
    <w:p>
      <w:pPr>
        <w:pStyle w:val="51"/>
        <w:rPr>
          <w:rFonts w:ascii="Times New Roman" w:hAnsi="Times New Roman" w:cs="Times New Roman" w:eastAsiaTheme="minorEastAsia"/>
          <w:kern w:val="2"/>
          <w:sz w:val="28"/>
          <w:szCs w:val="28"/>
          <w:lang w:val="en-US" w:eastAsia="zh-CN" w:bidi="ar-SA"/>
        </w:rPr>
      </w:pPr>
      <w:r>
        <w:rPr>
          <w:rFonts w:hint="eastAsia" w:ascii="Times New Roman" w:hAnsi="Times New Roman" w:cs="Times New Roman" w:eastAsiaTheme="minorEastAsia"/>
          <w:kern w:val="2"/>
          <w:sz w:val="28"/>
          <w:szCs w:val="28"/>
          <w:lang w:val="zh-CN" w:eastAsia="zh-CN" w:bidi="ar-SA"/>
        </w:rPr>
        <w:t>明挖法</w:t>
      </w:r>
      <w:r>
        <w:rPr>
          <w:rFonts w:hint="eastAsia" w:ascii="Times New Roman" w:hAnsi="Times New Roman" w:cs="Times New Roman" w:eastAsiaTheme="minorEastAsia"/>
          <w:kern w:val="2"/>
          <w:sz w:val="28"/>
          <w:szCs w:val="28"/>
          <w:lang w:val="en-US" w:eastAsia="zh-CN" w:bidi="ar-SA"/>
        </w:rPr>
        <w:t>cut and cover method</w:t>
      </w:r>
    </w:p>
    <w:p>
      <w:pPr>
        <w:autoSpaceDE w:val="0"/>
        <w:autoSpaceDN w:val="0"/>
        <w:adjustRightInd w:val="0"/>
        <w:spacing w:line="360" w:lineRule="auto"/>
        <w:ind w:firstLine="560" w:firstLineChars="200"/>
        <w:jc w:val="left"/>
        <w:rPr>
          <w:rFonts w:ascii="Times New Roman" w:hAnsi="Times New Roman" w:cs="Times New Roman" w:eastAsiaTheme="minorEastAsia"/>
          <w:sz w:val="28"/>
          <w:szCs w:val="28"/>
          <w:lang w:val="zh-CN"/>
        </w:rPr>
      </w:pPr>
      <w:r>
        <w:rPr>
          <w:rFonts w:hint="eastAsia" w:ascii="Times New Roman" w:hAnsi="Times New Roman" w:cs="Times New Roman" w:eastAsiaTheme="minorEastAsia"/>
          <w:sz w:val="28"/>
          <w:szCs w:val="28"/>
          <w:lang w:val="zh-CN"/>
        </w:rPr>
        <w:t>由地面挖开的基坑中修筑地下结构的方法。包括明挖、盖挖顺作和盖挖逆作等工法。</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基坑工程</w:t>
      </w:r>
      <w:r>
        <w:rPr>
          <w:rFonts w:hint="eastAsia" w:cs="Times New Roman" w:eastAsiaTheme="minorEastAsia"/>
          <w:color w:val="000000" w:themeColor="text1"/>
          <w:kern w:val="2"/>
          <w:sz w:val="28"/>
          <w:szCs w:val="28"/>
          <w:lang w:val="en-US" w:eastAsia="zh-CN" w:bidi="ar-SA"/>
          <w14:textFill>
            <w14:solidFill>
              <w14:schemeClr w14:val="tx1"/>
            </w14:solidFill>
          </w14:textFill>
        </w:rPr>
        <w:t>excavation engineering</w:t>
      </w:r>
    </w:p>
    <w:p>
      <w:pPr>
        <w:ind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为保证基坑开挖及基坑内建（构）筑物安全施工，以及周边环境安全使用而采取的基坑支护、地基处理、地下水控制、周边环境保护和土方开挖回填等各种工程措施的总称。这项综合性工程称为基坑工程。</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基坑周边环境</w:t>
      </w:r>
      <w:r>
        <w:rPr>
          <w:rFonts w:hint="eastAsia" w:cs="Times New Roman" w:eastAsiaTheme="minorEastAsia"/>
          <w:color w:val="000000" w:themeColor="text1"/>
          <w:kern w:val="2"/>
          <w:sz w:val="28"/>
          <w:szCs w:val="28"/>
          <w:lang w:val="en-US" w:eastAsia="zh-CN" w:bidi="ar-SA"/>
          <w14:textFill>
            <w14:solidFill>
              <w14:schemeClr w14:val="tx1"/>
            </w14:solidFill>
          </w14:textFill>
        </w:rPr>
        <w:t>surroundings around excavations</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在建筑基坑施工及使用阶段,基坑周围可能受基坑影响的或可能影响基坑的既有建(构)筑物﹑设施﹑管线、道路、岩土体及水系等的统称。</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基坑支护</w:t>
      </w:r>
      <w:r>
        <w:rPr>
          <w:rFonts w:hint="eastAsia" w:cs="Times New Roman" w:eastAsiaTheme="minorEastAsia"/>
          <w:color w:val="000000" w:themeColor="text1"/>
          <w:kern w:val="2"/>
          <w:sz w:val="28"/>
          <w:szCs w:val="28"/>
          <w:lang w:val="en-US" w:eastAsia="zh-CN" w:bidi="ar-SA"/>
          <w14:textFill>
            <w14:solidFill>
              <w14:schemeClr w14:val="tx1"/>
            </w14:solidFill>
          </w14:textFill>
        </w:rPr>
        <w:t>retaining and protection for excavations</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为保证地下主体结构施工及基坑周边环境的安全，对基坑侧壁及周边环境采用支挡、加固与保护的措施。</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排桩</w:t>
      </w:r>
      <w:r>
        <w:rPr>
          <w:rFonts w:hint="eastAsia" w:cs="Times New Roman" w:eastAsiaTheme="minorEastAsia"/>
          <w:color w:val="000000" w:themeColor="text1"/>
          <w:kern w:val="2"/>
          <w:sz w:val="28"/>
          <w:szCs w:val="28"/>
          <w:lang w:val="en-US" w:eastAsia="zh-CN" w:bidi="ar-SA"/>
          <w14:textFill>
            <w14:solidFill>
              <w14:schemeClr w14:val="tx1"/>
            </w14:solidFill>
          </w14:textFill>
        </w:rPr>
        <w:t>soldier piles</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沿基坑侧壁排列设置的支护桩及冠梁组成的支挡式结构部件或悬臂式支挡结构。</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钢板桩</w:t>
      </w:r>
      <w:r>
        <w:rPr>
          <w:rFonts w:hint="eastAsia" w:cs="Times New Roman" w:eastAsiaTheme="minorEastAsia"/>
          <w:color w:val="000000" w:themeColor="text1"/>
          <w:kern w:val="2"/>
          <w:sz w:val="28"/>
          <w:szCs w:val="28"/>
          <w:lang w:val="en-US" w:eastAsia="zh-CN" w:bidi="ar-SA"/>
          <w14:textFill>
            <w14:solidFill>
              <w14:schemeClr w14:val="tx1"/>
            </w14:solidFill>
          </w14:textFill>
        </w:rPr>
        <w:t>steel sheet pile</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边缘带有锁口可以相互搭接形成连续墙体的主要用于支挡岩土体的各种细长钢构件。</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地下连续墙</w:t>
      </w:r>
      <w:r>
        <w:rPr>
          <w:rFonts w:hint="eastAsia" w:cs="Times New Roman" w:eastAsiaTheme="minorEastAsia"/>
          <w:color w:val="000000" w:themeColor="text1"/>
          <w:kern w:val="2"/>
          <w:sz w:val="28"/>
          <w:szCs w:val="28"/>
          <w:lang w:val="en-US" w:eastAsia="zh-CN" w:bidi="ar-SA"/>
          <w14:textFill>
            <w14:solidFill>
              <w14:schemeClr w14:val="tx1"/>
            </w14:solidFill>
          </w14:textFill>
        </w:rPr>
        <w:t>diaphragm wall</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分槽段用专用机械成槽、浇筑钢筋混凝土所形成的连续地下墙体。亦可称为现浇地下连续墙。</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锚杆</w:t>
      </w:r>
      <w:r>
        <w:rPr>
          <w:rFonts w:hint="eastAsia" w:cs="Times New Roman" w:eastAsiaTheme="minorEastAsia"/>
          <w:color w:val="000000" w:themeColor="text1"/>
          <w:kern w:val="2"/>
          <w:sz w:val="28"/>
          <w:szCs w:val="28"/>
          <w:lang w:val="en-US" w:eastAsia="zh-CN" w:bidi="ar-SA"/>
          <w14:textFill>
            <w14:solidFill>
              <w14:schemeClr w14:val="tx1"/>
            </w14:solidFill>
          </w14:textFill>
        </w:rPr>
        <w:t>anchor</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由杆体（钢绞线、螺纹钢筋）、注浆固结体、锚具、套管所组成的一端与支护结构构件连接，另一端锚固在稳定岩土体内的受拉杆件，当采用钢绞线时，也可称为锚索。</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内支撑</w:t>
      </w:r>
      <w:r>
        <w:rPr>
          <w:rFonts w:hint="eastAsia" w:cs="Times New Roman" w:eastAsiaTheme="minorEastAsia"/>
          <w:color w:val="000000" w:themeColor="text1"/>
          <w:kern w:val="2"/>
          <w:sz w:val="28"/>
          <w:szCs w:val="28"/>
          <w:lang w:val="en-US" w:eastAsia="zh-CN" w:bidi="ar-SA"/>
          <w14:textFill>
            <w14:solidFill>
              <w14:schemeClr w14:val="tx1"/>
            </w14:solidFill>
          </w14:textFill>
        </w:rPr>
        <w:t>strut</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设置在基坑内的由钢筋混凝土或钢构件组成的用以支撑挡土构件的结构部件。支撑构件采用钢材、混凝土时，分别称为钢内支撑、混凝土内支撑。</w:t>
      </w:r>
    </w:p>
    <w:p>
      <w:pPr>
        <w:pStyle w:val="51"/>
        <w:ind w:left="284"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冠梁</w:t>
      </w:r>
      <w:r>
        <w:rPr>
          <w:rFonts w:hint="eastAsia" w:cs="Times New Roman" w:eastAsiaTheme="minorEastAsia"/>
          <w:color w:val="000000" w:themeColor="text1"/>
          <w:kern w:val="2"/>
          <w:sz w:val="28"/>
          <w:szCs w:val="28"/>
          <w:lang w:val="en-US" w:eastAsia="zh-CN" w:bidi="ar-SA"/>
          <w14:textFill>
            <w14:solidFill>
              <w14:schemeClr w14:val="tx1"/>
            </w14:solidFill>
          </w14:textFill>
        </w:rPr>
        <w:t>capping beam</w:t>
      </w:r>
    </w:p>
    <w:p>
      <w:pPr>
        <w:ind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设置在挡土构件顶部的将挡土构件连为整体的钢筋混凝土梁。</w:t>
      </w:r>
    </w:p>
    <w:p>
      <w:pPr>
        <w:pStyle w:val="51"/>
        <w:ind w:left="284"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腰梁</w:t>
      </w:r>
      <w:r>
        <w:rPr>
          <w:rFonts w:hint="eastAsia" w:cs="Times New Roman" w:eastAsiaTheme="minorEastAsia"/>
          <w:color w:val="000000" w:themeColor="text1"/>
          <w:kern w:val="2"/>
          <w:sz w:val="28"/>
          <w:szCs w:val="28"/>
          <w:lang w:val="en-US" w:eastAsia="zh-CN" w:bidi="ar-SA"/>
          <w14:textFill>
            <w14:solidFill>
              <w14:schemeClr w14:val="tx1"/>
            </w14:solidFill>
          </w14:textFill>
        </w:rPr>
        <w:t>waling</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设置在挡土构件侧面的连接锚杆或内支撑杆件的钢筋混凝土梁或钢梁。</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土钉</w:t>
      </w:r>
      <w:r>
        <w:rPr>
          <w:rFonts w:hint="eastAsia" w:cs="Times New Roman" w:eastAsiaTheme="minorEastAsia"/>
          <w:color w:val="000000" w:themeColor="text1"/>
          <w:kern w:val="2"/>
          <w:sz w:val="28"/>
          <w:szCs w:val="28"/>
          <w:lang w:val="en-US" w:eastAsia="zh-CN" w:bidi="ar-SA"/>
          <w14:textFill>
            <w14:solidFill>
              <w14:schemeClr w14:val="tx1"/>
            </w14:solidFill>
          </w14:textFill>
        </w:rPr>
        <w:t>soil nail</w:t>
      </w:r>
    </w:p>
    <w:p>
      <w:pPr>
        <w:ind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植入土中并注浆形成的承载拉力与剪力的杆件。例如，钢筋杆体与注浆固结体组成</w:t>
      </w:r>
      <w:r>
        <w:rPr>
          <w:rFonts w:hint="eastAsia"/>
        </w:rPr>
        <w:t>的钢筋土钉，击入土中的钢管土钉。</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土钉墙</w:t>
      </w:r>
      <w:r>
        <w:rPr>
          <w:rFonts w:hint="eastAsia" w:cs="Times New Roman" w:eastAsiaTheme="minorEastAsia"/>
          <w:color w:val="000000" w:themeColor="text1"/>
          <w:kern w:val="2"/>
          <w:sz w:val="28"/>
          <w:szCs w:val="28"/>
          <w:lang w:val="en-US" w:eastAsia="zh-CN" w:bidi="ar-SA"/>
          <w14:textFill>
            <w14:solidFill>
              <w14:schemeClr w14:val="tx1"/>
            </w14:solidFill>
          </w14:textFill>
        </w:rPr>
        <w:t>soil nailing wall</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由随基坑开挖分层设置的、纵横向密布的土钉群、喷射混凝土面层及原位土体所组成的支护结构。</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复合土钉墙</w:t>
      </w:r>
      <w:r>
        <w:rPr>
          <w:rFonts w:hint="eastAsia" w:cs="Times New Roman" w:eastAsiaTheme="minorEastAsia"/>
          <w:color w:val="000000" w:themeColor="text1"/>
          <w:kern w:val="2"/>
          <w:sz w:val="28"/>
          <w:szCs w:val="28"/>
          <w:lang w:val="en-US" w:eastAsia="zh-CN" w:bidi="ar-SA"/>
          <w14:textFill>
            <w14:solidFill>
              <w14:schemeClr w14:val="tx1"/>
            </w14:solidFill>
          </w14:textFill>
        </w:rPr>
        <w:t>composite soil nailing wall</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土钉墙与预应力锚杆、微型桩、旋喷桩、搅拌桩中的一种或多种组成的复合型支护结构。</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坡率法</w:t>
      </w:r>
      <w:r>
        <w:rPr>
          <w:rFonts w:hint="eastAsia" w:cs="Times New Roman" w:eastAsiaTheme="minorEastAsia"/>
          <w:color w:val="000000" w:themeColor="text1"/>
          <w:kern w:val="2"/>
          <w:sz w:val="28"/>
          <w:szCs w:val="28"/>
          <w:lang w:val="en-US" w:eastAsia="zh-CN" w:bidi="ar-SA"/>
          <w14:textFill>
            <w14:solidFill>
              <w14:schemeClr w14:val="tx1"/>
            </w14:solidFill>
          </w14:textFill>
        </w:rPr>
        <w:t>slope method</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通过控制边坡坡率，保证基坑边坡稳定的方法。</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全方位超高压喷射注浆</w:t>
      </w:r>
      <w:r>
        <w:rPr>
          <w:rFonts w:hint="eastAsia" w:cs="Times New Roman" w:eastAsiaTheme="minorEastAsia"/>
          <w:color w:val="000000" w:themeColor="text1"/>
          <w:kern w:val="2"/>
          <w:sz w:val="28"/>
          <w:szCs w:val="28"/>
          <w:lang w:val="en-US" w:eastAsia="zh-CN" w:bidi="ar-SA"/>
          <w14:textFill>
            <w14:solidFill>
              <w14:schemeClr w14:val="tx1"/>
            </w14:solidFill>
          </w14:textFill>
        </w:rPr>
        <w:t>metron jet system</w:t>
      </w:r>
    </w:p>
    <w:p>
      <w:pPr>
        <w:ind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采用超高压水泥浆液和压缩空气切削土体,并使水泥浆液与土体拌和,形成大直径的水泥土加固体;可在水平,垂直和倾斜方向成桩;成桩过程中可对地内压力进行监测,利用气举反循环及喷射真空强制排浆,控制地内压力平衡,以降低施工对周边环境的影响。</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地下水控制</w:t>
      </w:r>
      <w:r>
        <w:rPr>
          <w:rFonts w:hint="eastAsia" w:cs="Times New Roman" w:eastAsiaTheme="minorEastAsia"/>
          <w:color w:val="000000" w:themeColor="text1"/>
          <w:kern w:val="2"/>
          <w:sz w:val="28"/>
          <w:szCs w:val="28"/>
          <w:lang w:val="en-US" w:eastAsia="zh-CN" w:bidi="ar-SA"/>
          <w14:textFill>
            <w14:solidFill>
              <w14:schemeClr w14:val="tx1"/>
            </w14:solidFill>
          </w14:textFill>
        </w:rPr>
        <w:t>groundwater control</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为保证支护结构、基坑开挖、地下结构正常施工，防止地下水变化对基坑周边环境产生影响所采用的截水、降水、排水、回灌等措施。</w:t>
      </w:r>
    </w:p>
    <w:p>
      <w:pPr>
        <w:pStyle w:val="51"/>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截水帷幕</w:t>
      </w:r>
      <w:r>
        <w:rPr>
          <w:rFonts w:hint="eastAsia" w:cs="Times New Roman" w:eastAsiaTheme="minorEastAsia"/>
          <w:color w:val="000000" w:themeColor="text1"/>
          <w:kern w:val="2"/>
          <w:sz w:val="28"/>
          <w:szCs w:val="28"/>
          <w:lang w:val="en-US" w:eastAsia="zh-CN" w:bidi="ar-SA"/>
          <w14:textFill>
            <w14:solidFill>
              <w14:schemeClr w14:val="tx1"/>
            </w14:solidFill>
          </w14:textFill>
        </w:rPr>
        <w:t>curtain for cutting off drains</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用以阻隔或减少地下水通过基坑侧壁与坑底流入基坑和控制基坑外地下水位下降的幕墙状竖向截水体。</w:t>
      </w:r>
    </w:p>
    <w:p>
      <w:pPr>
        <w:pStyle w:val="51"/>
        <w:numPr>
          <w:ilvl w:val="2"/>
          <w:numId w:val="1"/>
        </w:numPr>
        <w:ind w:left="284" w:firstLine="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管涌</w:t>
      </w:r>
      <w:r>
        <w:rPr>
          <w:rFonts w:hint="eastAsia"/>
        </w:rPr>
        <w:t xml:space="preserve"> </w:t>
      </w:r>
      <w:r>
        <w:rPr>
          <w:rFonts w:hint="eastAsia" w:cs="Times New Roman" w:eastAsiaTheme="minorEastAsia"/>
          <w:color w:val="000000" w:themeColor="text1"/>
          <w:kern w:val="2"/>
          <w:sz w:val="28"/>
          <w:szCs w:val="28"/>
          <w:lang w:val="en-US" w:eastAsia="zh-CN" w:bidi="ar-SA"/>
          <w14:textFill>
            <w14:solidFill>
              <w14:schemeClr w14:val="tx1"/>
            </w14:solidFill>
          </w14:textFill>
        </w:rPr>
        <w:t xml:space="preserve">sand boiling  </w:t>
      </w:r>
    </w:p>
    <w:p>
      <w:pPr>
        <w:ind w:firstLine="48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在</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fldChar w:fldCharType="begin"/>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instrText xml:space="preserve"> HYPERLINK "https://baike.baidu.com/item/%E6%B8%97%E6%B5%81/10975956?fromModule=lemma_inlink" \t "_blank" </w:instrTex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fldChar w:fldCharType="separate"/>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渗流</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fldChar w:fldCharType="end"/>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作用下．土体细颗粒沿骨架颗粒形成的孔隙，水在土孔隙中的流速增大引起土的细颗粒被冲刷带走的现象</w:t>
      </w:r>
      <w:r>
        <w:rPr>
          <w:rFonts w:hint="eastAsia"/>
        </w:rPr>
        <w:t>。</w:t>
      </w:r>
    </w:p>
    <w:p>
      <w:pPr>
        <w:pStyle w:val="51"/>
        <w:numPr>
          <w:ilvl w:val="2"/>
          <w:numId w:val="1"/>
        </w:numPr>
        <w:ind w:left="284" w:firstLine="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建筑基坑工程监测</w:t>
      </w:r>
      <w:r>
        <w:rPr>
          <w:rFonts w:hint="eastAsia" w:cs="Times New Roman" w:eastAsiaTheme="minorEastAsia"/>
          <w:color w:val="000000" w:themeColor="text1"/>
          <w:kern w:val="2"/>
          <w:sz w:val="28"/>
          <w:szCs w:val="28"/>
          <w:lang w:val="en-US" w:eastAsia="zh-CN" w:bidi="ar-SA"/>
          <w14:textFill>
            <w14:solidFill>
              <w14:schemeClr w14:val="tx1"/>
            </w14:solidFill>
          </w14:textFill>
        </w:rPr>
        <w:t>monitoring of building excavation engineering</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在建筑基坑施工及使用阶段,对建筑基坑及周边环境实施的检查﹑量测和监视工作。</w:t>
      </w:r>
    </w:p>
    <w:p>
      <w:pPr>
        <w:pStyle w:val="51"/>
        <w:numPr>
          <w:ilvl w:val="2"/>
          <w:numId w:val="1"/>
        </w:numPr>
        <w:ind w:left="284" w:firstLine="0"/>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防水等级</w:t>
      </w:r>
      <w:r>
        <w:rPr>
          <w:rFonts w:hint="eastAsia" w:cs="Times New Roman" w:eastAsiaTheme="minorEastAsia"/>
          <w:color w:val="000000" w:themeColor="text1"/>
          <w:kern w:val="2"/>
          <w:sz w:val="28"/>
          <w:szCs w:val="28"/>
          <w:lang w:val="en-US" w:eastAsia="zh-CN" w:bidi="ar-SA"/>
          <w14:textFill>
            <w14:solidFill>
              <w14:schemeClr w14:val="tx1"/>
            </w14:solidFill>
          </w14:textFill>
        </w:rPr>
        <w:t>grade of waterproof</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根据工程对防水的要求确定的结构允许渗漏水量的等级标准。</w:t>
      </w:r>
    </w:p>
    <w:p>
      <w:pPr>
        <w:ind w:firstLine="480"/>
      </w:pPr>
    </w:p>
    <w:p>
      <w:pPr>
        <w:ind w:firstLine="480"/>
      </w:pPr>
    </w:p>
    <w:p>
      <w:pPr>
        <w:widowControl/>
        <w:spacing w:line="240" w:lineRule="auto"/>
        <w:ind w:firstLine="0" w:firstLineChars="0"/>
      </w:pPr>
    </w:p>
    <w:p>
      <w:pPr>
        <w:pStyle w:val="3"/>
      </w:pPr>
      <w:bookmarkStart w:id="17" w:name="_Toc22967"/>
      <w:r>
        <w:rPr>
          <w:rFonts w:hint="eastAsia"/>
        </w:rPr>
        <w:t>符 号</w:t>
      </w:r>
      <w:bookmarkEnd w:id="17"/>
    </w:p>
    <w:p>
      <w:pPr>
        <w:ind w:firstLine="480"/>
      </w:pPr>
      <w:r>
        <w:rPr>
          <w:rFonts w:hint="eastAsia" w:ascii="Times New Roman" w:hAnsi="Times New Roman" w:cs="Times New Roman" w:eastAsiaTheme="minorEastAsia"/>
          <w:color w:val="000000" w:themeColor="text1"/>
          <w:kern w:val="2"/>
          <w:sz w:val="28"/>
          <w:szCs w:val="28"/>
          <w:lang w:val="en-US" w:eastAsia="zh-CN" w:bidi="ar-SA"/>
          <w14:textFill>
            <w14:solidFill>
              <w14:schemeClr w14:val="tx1"/>
            </w14:solidFill>
          </w14:textFill>
        </w:rPr>
        <w:t>E</w:t>
      </w:r>
      <w:r>
        <w:rPr>
          <w:rFonts w:hint="eastAsia" w:ascii="Times New Roman" w:hAnsi="Times New Roman" w:cs="Times New Roman" w:eastAsiaTheme="minorEastAsia"/>
          <w:color w:val="000000" w:themeColor="text1"/>
          <w:kern w:val="2"/>
          <w:sz w:val="28"/>
          <w:szCs w:val="28"/>
          <w:vertAlign w:val="subscript"/>
          <w:lang w:val="en-US" w:eastAsia="zh-CN" w:bidi="ar-SA"/>
          <w14:textFill>
            <w14:solidFill>
              <w14:schemeClr w14:val="tx1"/>
            </w14:solidFill>
          </w14:textFill>
        </w:rPr>
        <w:t>ak</w:t>
      </w:r>
      <w:r>
        <w:rPr>
          <w:rFonts w:hint="eastAsia" w:ascii="Times New Roman" w:hAnsi="Times New Roman" w:cs="Times New Roman" w:eastAsiaTheme="minorEastAsia"/>
          <w:color w:val="000000" w:themeColor="text1"/>
          <w:kern w:val="2"/>
          <w:sz w:val="28"/>
          <w:szCs w:val="28"/>
          <w:lang w:val="en-US" w:eastAsia="zh-CN" w:bidi="ar-SA"/>
          <w14:textFill>
            <w14:solidFill>
              <w14:schemeClr w14:val="tx1"/>
            </w14:solidFill>
          </w14:textFill>
        </w:rPr>
        <w:t>、E</w:t>
      </w:r>
      <w:r>
        <w:rPr>
          <w:rFonts w:hint="eastAsia" w:ascii="Times New Roman" w:hAnsi="Times New Roman" w:cs="Times New Roman" w:eastAsiaTheme="minorEastAsia"/>
          <w:color w:val="000000" w:themeColor="text1"/>
          <w:kern w:val="2"/>
          <w:sz w:val="28"/>
          <w:szCs w:val="28"/>
          <w:vertAlign w:val="subscript"/>
          <w:lang w:val="en-US" w:eastAsia="zh-CN" w:bidi="ar-SA"/>
          <w14:textFill>
            <w14:solidFill>
              <w14:schemeClr w14:val="tx1"/>
            </w14:solidFill>
          </w14:textFill>
        </w:rPr>
        <w:t>pk</w:t>
      </w:r>
      <w:r>
        <w:rPr>
          <w:rFonts w:hint="eastAsia" w:ascii="Times New Roman" w:hAnsi="Times New Roman" w:cs="Times New Roman" w:eastAsiaTheme="minorEastAsia"/>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主动土压力、被动土压力标准值</w:t>
      </w:r>
      <w:r>
        <w:rPr>
          <w:rFonts w:hint="eastAsia"/>
        </w:rPr>
        <w:t>；</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en-US" w:eastAsia="zh-CN" w:bidi="ar-SA"/>
          <w14:textFill>
            <w14:solidFill>
              <w14:schemeClr w14:val="tx1"/>
            </w14:solidFill>
          </w14:textFill>
        </w:rPr>
        <w:t>G—</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支护结构及土体的自重；</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M—弯矩设计值；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M</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—弯矩标准值；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N—轴力设计值；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N</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—轴力标准值；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V—剪力设计值；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V</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—剪力标准值；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ak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pk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—主动土压力强度、被动土压力强度标准值；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d</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—作用组合的效应设计值；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—作用标准组合的效应或作用标准值的效应；</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R</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d</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—结构构件的抗力设计值；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λ—支撑不动点的调整系数；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γ—土的天然重度；</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c—土的粘聚力；</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φ—土的内摩擦角；</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k—土的渗透系数；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—土的水平反力系数；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—弹性支点轴向刚度系数；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—主动土压力系数；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p</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—被动土压力系数；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m—土的水平反力系数的比例系数；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en-US"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安全系数；</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—土的压缩模量或锚杆体或支撑的弹性模量；</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c</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—锚杆的复合弹性模量；</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m</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—锚杆锚固体的弹性模量；</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R</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—锚杆或土钉的极限抗拔承载力标准值；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sk</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—土与锚杆或土钉的极限粘接强度标准值；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f</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cs</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—水泥土开挖龄期时的轴心抗压强度设计值；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f</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py</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—预应力钢筋抗拉强度设计值；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f</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y</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—钢筋抗拉强度设计值；</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—地下水的重度；</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A—构件的截面面积；</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p</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—预应力钢筋的截面面积；</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—钢筋的截面面积；</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b—截面宽度；</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d—桩、锚杆、土钉的直径或基础埋置深度；</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h—基坑深度或构件截面高度；</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β—土钉墙坡度与水平面的夹角；</w:t>
      </w:r>
    </w:p>
    <w:p>
      <w:pPr>
        <w:ind w:firstLine="480"/>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8"/>
          <w:szCs w:val="28"/>
          <w:lang w:val="zh-CN" w:eastAsia="zh-CN" w:bidi="ar-SA"/>
          <w14:textFill>
            <w14:solidFill>
              <w14:schemeClr w14:val="tx1"/>
            </w14:solidFill>
          </w14:textFill>
        </w:rPr>
        <w:t>α—锚杆、土钉的倾角或支撑轴线与水平面夹角；</w:t>
      </w:r>
    </w:p>
    <w:p>
      <w:pPr>
        <w:ind w:firstLine="480"/>
      </w:pPr>
    </w:p>
    <w:p>
      <w:pPr>
        <w:ind w:firstLine="480"/>
      </w:pPr>
    </w:p>
    <w:p>
      <w:pPr>
        <w:ind w:firstLine="480"/>
      </w:pPr>
    </w:p>
    <w:p>
      <w:r>
        <w:br w:type="page"/>
      </w:r>
    </w:p>
    <w:p>
      <w:pPr>
        <w:ind w:firstLine="480"/>
      </w:pPr>
    </w:p>
    <w:p>
      <w:pPr>
        <w:ind w:firstLine="480"/>
      </w:pPr>
    </w:p>
    <w:p>
      <w:pPr>
        <w:pStyle w:val="2"/>
      </w:pPr>
      <w:bookmarkStart w:id="18" w:name="_Toc25067903"/>
      <w:bookmarkStart w:id="19" w:name="_Toc2322"/>
      <w:bookmarkStart w:id="20" w:name="_Toc25075814"/>
      <w:bookmarkStart w:id="21" w:name="_Toc20391179"/>
      <w:bookmarkStart w:id="22" w:name="_Toc25076075"/>
      <w:bookmarkStart w:id="23" w:name="_Toc8984"/>
      <w:bookmarkStart w:id="24" w:name="_Toc26038587"/>
      <w:bookmarkStart w:id="25" w:name="_Toc15976322"/>
      <w:r>
        <w:rPr>
          <w:rFonts w:hint="eastAsia"/>
        </w:rPr>
        <w:t>基本规定</w:t>
      </w:r>
      <w:bookmarkEnd w:id="18"/>
      <w:bookmarkEnd w:id="19"/>
      <w:bookmarkEnd w:id="20"/>
      <w:bookmarkEnd w:id="21"/>
      <w:bookmarkEnd w:id="22"/>
      <w:bookmarkEnd w:id="23"/>
      <w:bookmarkEnd w:id="24"/>
      <w:bookmarkEnd w:id="25"/>
    </w:p>
    <w:p>
      <w:pPr>
        <w:pStyle w:val="3"/>
      </w:pPr>
      <w:bookmarkStart w:id="26" w:name="_Toc31115"/>
      <w:bookmarkStart w:id="27" w:name="_Hlk25238692"/>
      <w:bookmarkStart w:id="28" w:name="_Hlk25238455"/>
      <w:r>
        <w:rPr>
          <w:rFonts w:hint="eastAsia"/>
        </w:rPr>
        <w:t>一般规定</w:t>
      </w:r>
      <w:bookmarkEnd w:id="26"/>
    </w:p>
    <w:p>
      <w:pPr>
        <w:pStyle w:val="51"/>
        <w:rPr>
          <w:rFonts w:ascii="Times New Roman" w:hAnsi="Times New Roman" w:cs="Times New Roman" w:eastAsiaTheme="minorEastAsia"/>
          <w:bCs/>
          <w:kern w:val="2"/>
          <w:sz w:val="28"/>
          <w:szCs w:val="28"/>
          <w:lang w:val="en-US" w:eastAsia="zh-CN" w:bidi="ar-SA"/>
        </w:rPr>
      </w:pPr>
      <w:r>
        <w:rPr>
          <w:rFonts w:hint="eastAsia" w:ascii="Times New Roman" w:hAnsi="Times New Roman" w:cs="Times New Roman" w:eastAsiaTheme="minorEastAsia"/>
          <w:bCs/>
          <w:kern w:val="2"/>
          <w:sz w:val="28"/>
          <w:szCs w:val="28"/>
          <w:lang w:val="en-US" w:eastAsia="zh-CN" w:bidi="ar-SA"/>
        </w:rPr>
        <w:t>铁路明挖隧道结构设计应以“结构为功能服务”为原则，满足规划、行车运营、环境保护、抗震、防水、防火、防腐蚀及施工等要求。</w:t>
      </w:r>
    </w:p>
    <w:p>
      <w:pPr>
        <w:pStyle w:val="51"/>
        <w:widowControl w:val="0"/>
        <w:numPr>
          <w:ilvl w:val="2"/>
          <w:numId w:val="1"/>
        </w:numPr>
        <w:spacing w:line="360" w:lineRule="auto"/>
        <w:ind w:left="0" w:firstLine="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明挖隧道结构设计，应减少施工中和建成后对环境造成的不利影响，以及规划引起的周边环境的改变对结构的作用。对于分期建设的线路，应结合线网规划，合理确定节点结构形式及是否同步实施或预留远期实施条件。</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明挖隧道结构设计，应根据工程建（构）筑物的特点及其所在的场地具体情况，通过技术、经济、工期、环境影响等多方面综合评价，选择合理的施工方法及结构形式。在含水地层中，应采用可靠的地下水处理和防止措施。</w:t>
      </w:r>
    </w:p>
    <w:p>
      <w:pPr>
        <w:pStyle w:val="51"/>
        <w:widowControl w:val="0"/>
        <w:numPr>
          <w:ilvl w:val="2"/>
          <w:numId w:val="1"/>
        </w:numPr>
        <w:spacing w:line="360" w:lineRule="auto"/>
        <w:ind w:left="0" w:leftChars="0" w:firstLine="5" w:firstLineChars="2"/>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铁路明挖法隧道与地下车站相连时，结构接口、通风、人防、防灾疏散救援等工程应进行统筹设计。</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铁路明挖隧道结构耐久性设计应符合下列规定：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主体结构和使用期间不可更换的结构构件，应根据使用环境类别，按设计使用年限100年的要求进行耐久性设计；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使用期间可更换且不影响运营的次要结构构件，可按设计使用年限50年的要求进行耐久性设计；</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临时结构宜根据其使用性质和结构特点确定其使用年限。</w:t>
      </w:r>
    </w:p>
    <w:p>
      <w:pPr>
        <w:pStyle w:val="51"/>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隧道结构宜采用整体式钢筋混凝土结构。主体结构与支护结构之间构造型式，根据结构形式、受力特点、地层状况、防水要求等因素综合比较，可选用叠合式或复合</w:t>
      </w:r>
      <w:r>
        <w:rPr>
          <w:rFonts w:hint="eastAsia" w:cs="Times New Roman" w:eastAsiaTheme="minorEastAsia"/>
          <w:bCs/>
          <w:color w:val="000000" w:themeColor="text1"/>
          <w:kern w:val="2"/>
          <w:sz w:val="28"/>
          <w:szCs w:val="28"/>
          <w:lang w:val="en-US" w:eastAsia="zh-CN" w:bidi="ar-SA"/>
          <w14:textFill>
            <w14:solidFill>
              <w14:schemeClr w14:val="tx1"/>
            </w14:solidFill>
          </w14:textFill>
        </w:rPr>
        <w:t>式。</w:t>
      </w:r>
    </w:p>
    <w:p>
      <w:pPr>
        <w:pStyle w:val="51"/>
        <w:widowControl w:val="0"/>
        <w:numPr>
          <w:ilvl w:val="2"/>
          <w:numId w:val="1"/>
        </w:numPr>
        <w:spacing w:line="360" w:lineRule="auto"/>
        <w:ind w:left="0" w:firstLine="0"/>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隧道结构内净空应考虑隧道内股道数和线间距、空气动力学效应、机车车辆类型及其密封性、救援疏散、轨道结构型式及其维护方式、牵引受流及悬挂方式、设备空间等使用功能要求综合拟定，满足建筑限界要求，并考虑施工偏差、测量误差、结构变形及后期沉降、机械配套作业等因素。</w:t>
      </w:r>
    </w:p>
    <w:p>
      <w:pPr>
        <w:pStyle w:val="51"/>
        <w:widowControl w:val="0"/>
        <w:numPr>
          <w:ilvl w:val="2"/>
          <w:numId w:val="1"/>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隧道结构抗浮设计应根据《建筑工程抗浮技术标准》JGJ476的有关规定进行验算。</w:t>
      </w:r>
    </w:p>
    <w:p>
      <w:pPr>
        <w:pStyle w:val="51"/>
        <w:widowControl w:val="0"/>
        <w:numPr>
          <w:ilvl w:val="2"/>
          <w:numId w:val="1"/>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隧道结构的耐久性设计应按现行《铁路混凝土结构耐久性设计规范》TB10005的有关规定执行。</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隧道结构的纵向沉降曲率和差异沉降应满足无砟道床和结构自身允许变形要求。</w:t>
      </w:r>
    </w:p>
    <w:p>
      <w:pPr>
        <w:ind w:firstLine="480"/>
        <w:rPr>
          <w:rStyle w:val="37"/>
        </w:rPr>
      </w:pPr>
    </w:p>
    <w:p>
      <w:pPr>
        <w:pStyle w:val="3"/>
      </w:pPr>
      <w:bookmarkStart w:id="29" w:name="_Toc13619"/>
      <w:r>
        <w:rPr>
          <w:rFonts w:hint="eastAsia"/>
        </w:rPr>
        <w:t>荷载分类及荷载组合</w:t>
      </w:r>
      <w:bookmarkEnd w:id="29"/>
    </w:p>
    <w:p>
      <w:pPr>
        <w:pStyle w:val="51"/>
        <w:widowControl w:val="0"/>
        <w:numPr>
          <w:ilvl w:val="2"/>
          <w:numId w:val="1"/>
        </w:numPr>
        <w:spacing w:line="360" w:lineRule="auto"/>
        <w:ind w:left="0" w:hanging="282" w:hangingChars="101"/>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明挖结构设计应考虑下列荷载作用与影响：</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土压力、水压力</w: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地面超载与施工荷载；</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开挖影响区范围内的建（构）筑物荷载；</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邻近工程施工的影响；</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冻胀、温度变化等产生的作用；</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临水基坑应考虑水流、波浪及潮汐荷载等。</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作用在地下结构的荷载，可按表3.2.2进行分类。应根据《建筑结构荷载规范》GB50009等的有关规定，并根据施工和使用阶段可能发生的变化，按可能出现的最不利情况，确定对应荷载、荷载组合及其组合系数。</w:t>
      </w:r>
    </w:p>
    <w:p>
      <w:pPr>
        <w:pStyle w:val="38"/>
      </w:pPr>
      <w:r>
        <w:rPr>
          <w:rFonts w:hint="eastAsia"/>
        </w:rPr>
        <w:t>表3.2.2荷载分类</w:t>
      </w:r>
    </w:p>
    <w:tbl>
      <w:tblPr>
        <w:tblStyle w:val="22"/>
        <w:tblW w:w="81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34"/>
        <w:gridCol w:w="1515"/>
        <w:gridCol w:w="55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tcMar>
              <w:top w:w="6" w:type="dxa"/>
              <w:left w:w="6" w:type="dxa"/>
              <w:bottom w:w="6" w:type="dxa"/>
              <w:right w:w="6" w:type="dxa"/>
            </w:tcMar>
            <w:vAlign w:val="center"/>
          </w:tcPr>
          <w:p>
            <w:pPr>
              <w:pStyle w:val="33"/>
            </w:pPr>
            <w:r>
              <w:rPr>
                <w:rFonts w:hint="eastAsia"/>
              </w:rPr>
              <w:t>序号</w:t>
            </w:r>
          </w:p>
        </w:tc>
        <w:tc>
          <w:tcPr>
            <w:tcW w:w="1515" w:type="dxa"/>
            <w:vAlign w:val="center"/>
          </w:tcPr>
          <w:p>
            <w:pPr>
              <w:pStyle w:val="33"/>
            </w:pPr>
            <w:r>
              <w:rPr>
                <w:rFonts w:hint="eastAsia"/>
              </w:rPr>
              <w:t>荷载分类</w:t>
            </w:r>
          </w:p>
        </w:tc>
        <w:tc>
          <w:tcPr>
            <w:tcW w:w="5509" w:type="dxa"/>
            <w:vAlign w:val="center"/>
          </w:tcPr>
          <w:p>
            <w:pPr>
              <w:pStyle w:val="33"/>
            </w:pPr>
            <w:r>
              <w:rPr>
                <w:rFonts w:hint="eastAsia"/>
              </w:rPr>
              <w:t>结构受力及影响因素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w:t>
            </w:r>
          </w:p>
        </w:tc>
        <w:tc>
          <w:tcPr>
            <w:tcW w:w="1515" w:type="dxa"/>
            <w:vMerge w:val="restart"/>
            <w:vAlign w:val="center"/>
          </w:tcPr>
          <w:p>
            <w:pPr>
              <w:pStyle w:val="33"/>
            </w:pPr>
            <w:r>
              <w:rPr>
                <w:rFonts w:hint="eastAsia"/>
              </w:rPr>
              <w:t>永久</w:t>
            </w:r>
          </w:p>
          <w:p>
            <w:pPr>
              <w:pStyle w:val="33"/>
            </w:pPr>
            <w:r>
              <w:rPr>
                <w:rFonts w:hint="eastAsia"/>
              </w:rPr>
              <w:t>荷载</w:t>
            </w:r>
          </w:p>
        </w:tc>
        <w:tc>
          <w:tcPr>
            <w:tcW w:w="5509" w:type="dxa"/>
            <w:vAlign w:val="center"/>
          </w:tcPr>
          <w:p>
            <w:pPr>
              <w:pStyle w:val="33"/>
            </w:pPr>
            <w:r>
              <w:rPr>
                <w:rFonts w:hint="eastAsia"/>
              </w:rPr>
              <w:t>结构自重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2</w:t>
            </w:r>
          </w:p>
        </w:tc>
        <w:tc>
          <w:tcPr>
            <w:tcW w:w="1515" w:type="dxa"/>
            <w:vMerge w:val="continue"/>
            <w:vAlign w:val="center"/>
          </w:tcPr>
          <w:p>
            <w:pPr>
              <w:pStyle w:val="33"/>
            </w:pPr>
          </w:p>
        </w:tc>
        <w:tc>
          <w:tcPr>
            <w:tcW w:w="5509" w:type="dxa"/>
            <w:vAlign w:val="center"/>
          </w:tcPr>
          <w:p>
            <w:pPr>
              <w:pStyle w:val="33"/>
            </w:pPr>
            <w:r>
              <w:rPr>
                <w:rFonts w:hint="eastAsia"/>
              </w:rPr>
              <w:t>围岩（地层）压力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3</w:t>
            </w:r>
          </w:p>
        </w:tc>
        <w:tc>
          <w:tcPr>
            <w:tcW w:w="1515" w:type="dxa"/>
            <w:vMerge w:val="continue"/>
            <w:vAlign w:val="center"/>
          </w:tcPr>
          <w:p>
            <w:pPr>
              <w:pStyle w:val="33"/>
            </w:pPr>
          </w:p>
        </w:tc>
        <w:tc>
          <w:tcPr>
            <w:tcW w:w="5509" w:type="dxa"/>
            <w:vAlign w:val="center"/>
          </w:tcPr>
          <w:p>
            <w:pPr>
              <w:pStyle w:val="33"/>
            </w:pPr>
            <w:r>
              <w:rPr>
                <w:rFonts w:hint="eastAsia"/>
              </w:rPr>
              <w:t>结构上部和破坏棱体范围内的设施及建（构）筑物压力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4</w:t>
            </w:r>
          </w:p>
        </w:tc>
        <w:tc>
          <w:tcPr>
            <w:tcW w:w="1515" w:type="dxa"/>
            <w:vMerge w:val="continue"/>
            <w:vAlign w:val="center"/>
          </w:tcPr>
          <w:p>
            <w:pPr>
              <w:pStyle w:val="33"/>
            </w:pPr>
          </w:p>
        </w:tc>
        <w:tc>
          <w:tcPr>
            <w:tcW w:w="5509" w:type="dxa"/>
            <w:vAlign w:val="center"/>
          </w:tcPr>
          <w:p>
            <w:pPr>
              <w:pStyle w:val="33"/>
            </w:pPr>
            <w:r>
              <w:rPr>
                <w:rFonts w:hint="eastAsia"/>
              </w:rPr>
              <w:t>水压力及浮力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5</w:t>
            </w:r>
          </w:p>
        </w:tc>
        <w:tc>
          <w:tcPr>
            <w:tcW w:w="1515" w:type="dxa"/>
            <w:vMerge w:val="continue"/>
            <w:vAlign w:val="center"/>
          </w:tcPr>
          <w:p>
            <w:pPr>
              <w:pStyle w:val="33"/>
            </w:pPr>
          </w:p>
        </w:tc>
        <w:tc>
          <w:tcPr>
            <w:tcW w:w="5509" w:type="dxa"/>
            <w:vAlign w:val="center"/>
          </w:tcPr>
          <w:p>
            <w:pPr>
              <w:pStyle w:val="33"/>
            </w:pPr>
            <w:r>
              <w:rPr>
                <w:rFonts w:hint="eastAsia"/>
              </w:rPr>
              <w:t>混凝土收缩和徐变的影响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6</w:t>
            </w:r>
          </w:p>
        </w:tc>
        <w:tc>
          <w:tcPr>
            <w:tcW w:w="1515" w:type="dxa"/>
            <w:vMerge w:val="continue"/>
            <w:vAlign w:val="center"/>
          </w:tcPr>
          <w:p>
            <w:pPr>
              <w:pStyle w:val="33"/>
            </w:pPr>
          </w:p>
        </w:tc>
        <w:tc>
          <w:tcPr>
            <w:tcW w:w="5509" w:type="dxa"/>
            <w:vAlign w:val="center"/>
          </w:tcPr>
          <w:p>
            <w:pPr>
              <w:pStyle w:val="33"/>
            </w:pPr>
            <w:r>
              <w:rPr>
                <w:rFonts w:hint="eastAsia"/>
              </w:rPr>
              <w:t>预加应力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7</w:t>
            </w:r>
          </w:p>
        </w:tc>
        <w:tc>
          <w:tcPr>
            <w:tcW w:w="1515" w:type="dxa"/>
            <w:vMerge w:val="continue"/>
            <w:vAlign w:val="center"/>
          </w:tcPr>
          <w:p>
            <w:pPr>
              <w:pStyle w:val="33"/>
            </w:pPr>
          </w:p>
        </w:tc>
        <w:tc>
          <w:tcPr>
            <w:tcW w:w="5509" w:type="dxa"/>
            <w:vAlign w:val="center"/>
          </w:tcPr>
          <w:p>
            <w:pPr>
              <w:pStyle w:val="33"/>
            </w:pPr>
            <w:r>
              <w:rPr>
                <w:rFonts w:hint="eastAsia"/>
              </w:rPr>
              <w:t>设备荷载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8</w:t>
            </w:r>
          </w:p>
        </w:tc>
        <w:tc>
          <w:tcPr>
            <w:tcW w:w="1515" w:type="dxa"/>
            <w:vMerge w:val="continue"/>
            <w:vAlign w:val="center"/>
          </w:tcPr>
          <w:p>
            <w:pPr>
              <w:pStyle w:val="33"/>
            </w:pPr>
          </w:p>
        </w:tc>
        <w:tc>
          <w:tcPr>
            <w:tcW w:w="5509" w:type="dxa"/>
            <w:vAlign w:val="center"/>
          </w:tcPr>
          <w:p>
            <w:pPr>
              <w:pStyle w:val="33"/>
            </w:pPr>
            <w:r>
              <w:rPr>
                <w:rFonts w:hint="eastAsia"/>
              </w:rPr>
              <w:t>地基变位产生的作用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9</w:t>
            </w:r>
          </w:p>
        </w:tc>
        <w:tc>
          <w:tcPr>
            <w:tcW w:w="1515" w:type="dxa"/>
            <w:vMerge w:val="restart"/>
            <w:vAlign w:val="center"/>
          </w:tcPr>
          <w:p>
            <w:pPr>
              <w:pStyle w:val="33"/>
            </w:pPr>
            <w:r>
              <w:rPr>
                <w:rFonts w:hint="eastAsia"/>
              </w:rPr>
              <w:t>可变</w:t>
            </w:r>
          </w:p>
          <w:p>
            <w:pPr>
              <w:pStyle w:val="33"/>
            </w:pPr>
            <w:r>
              <w:rPr>
                <w:rFonts w:hint="eastAsia"/>
              </w:rPr>
              <w:t>荷载</w:t>
            </w:r>
          </w:p>
        </w:tc>
        <w:tc>
          <w:tcPr>
            <w:tcW w:w="5509" w:type="dxa"/>
            <w:vAlign w:val="center"/>
          </w:tcPr>
          <w:p>
            <w:pPr>
              <w:pStyle w:val="33"/>
            </w:pPr>
            <w:r>
              <w:rPr>
                <w:rFonts w:hint="eastAsia"/>
              </w:rPr>
              <w:t>地面车辆荷载及其动力作用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w:t>
            </w:r>
            <w:r>
              <w:rPr>
                <w:rFonts w:hint="eastAsia"/>
              </w:rPr>
              <w:t>0</w:t>
            </w:r>
          </w:p>
        </w:tc>
        <w:tc>
          <w:tcPr>
            <w:tcW w:w="1515" w:type="dxa"/>
            <w:vMerge w:val="continue"/>
            <w:vAlign w:val="center"/>
          </w:tcPr>
          <w:p>
            <w:pPr>
              <w:pStyle w:val="33"/>
            </w:pPr>
          </w:p>
        </w:tc>
        <w:tc>
          <w:tcPr>
            <w:tcW w:w="5509" w:type="dxa"/>
            <w:vAlign w:val="center"/>
          </w:tcPr>
          <w:p>
            <w:pPr>
              <w:pStyle w:val="33"/>
            </w:pPr>
            <w:r>
              <w:rPr>
                <w:rFonts w:hint="eastAsia"/>
              </w:rPr>
              <w:t>列车活载及其动力作用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11</w:t>
            </w:r>
          </w:p>
        </w:tc>
        <w:tc>
          <w:tcPr>
            <w:tcW w:w="1515" w:type="dxa"/>
            <w:vMerge w:val="continue"/>
            <w:vAlign w:val="center"/>
          </w:tcPr>
          <w:p>
            <w:pPr>
              <w:pStyle w:val="33"/>
            </w:pPr>
          </w:p>
        </w:tc>
        <w:tc>
          <w:tcPr>
            <w:tcW w:w="5509" w:type="dxa"/>
            <w:vAlign w:val="center"/>
          </w:tcPr>
          <w:p>
            <w:pPr>
              <w:pStyle w:val="33"/>
            </w:pPr>
            <w:r>
              <w:rPr>
                <w:rFonts w:hint="eastAsia"/>
              </w:rPr>
              <w:t>人群荷载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12</w:t>
            </w:r>
          </w:p>
        </w:tc>
        <w:tc>
          <w:tcPr>
            <w:tcW w:w="1515" w:type="dxa"/>
            <w:vMerge w:val="continue"/>
            <w:vAlign w:val="center"/>
          </w:tcPr>
          <w:p>
            <w:pPr>
              <w:pStyle w:val="33"/>
            </w:pPr>
          </w:p>
        </w:tc>
        <w:tc>
          <w:tcPr>
            <w:tcW w:w="5509" w:type="dxa"/>
            <w:vAlign w:val="center"/>
          </w:tcPr>
          <w:p>
            <w:pPr>
              <w:pStyle w:val="33"/>
            </w:pPr>
            <w:r>
              <w:rPr>
                <w:rFonts w:hint="eastAsia"/>
              </w:rPr>
              <w:t>渡槽流水压力（设计渡槽明洞时）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13</w:t>
            </w:r>
          </w:p>
        </w:tc>
        <w:tc>
          <w:tcPr>
            <w:tcW w:w="1515" w:type="dxa"/>
            <w:vMerge w:val="continue"/>
            <w:vAlign w:val="center"/>
          </w:tcPr>
          <w:p>
            <w:pPr>
              <w:pStyle w:val="33"/>
            </w:pPr>
          </w:p>
        </w:tc>
        <w:tc>
          <w:tcPr>
            <w:tcW w:w="5509" w:type="dxa"/>
            <w:vAlign w:val="center"/>
          </w:tcPr>
          <w:p>
            <w:pPr>
              <w:pStyle w:val="33"/>
            </w:pPr>
            <w:r>
              <w:rPr>
                <w:rFonts w:hint="eastAsia"/>
              </w:rPr>
              <w:t>列车制动力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14</w:t>
            </w:r>
          </w:p>
        </w:tc>
        <w:tc>
          <w:tcPr>
            <w:tcW w:w="1515" w:type="dxa"/>
            <w:vMerge w:val="continue"/>
            <w:vAlign w:val="center"/>
          </w:tcPr>
          <w:p>
            <w:pPr>
              <w:pStyle w:val="33"/>
            </w:pPr>
          </w:p>
        </w:tc>
        <w:tc>
          <w:tcPr>
            <w:tcW w:w="5509" w:type="dxa"/>
            <w:vAlign w:val="center"/>
          </w:tcPr>
          <w:p>
            <w:pPr>
              <w:pStyle w:val="33"/>
            </w:pPr>
            <w:r>
              <w:rPr>
                <w:rFonts w:hint="eastAsia"/>
              </w:rPr>
              <w:t>温度变化的影响（包含严寒及寒冷地区冻涨力）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15</w:t>
            </w:r>
          </w:p>
        </w:tc>
        <w:tc>
          <w:tcPr>
            <w:tcW w:w="1515" w:type="dxa"/>
            <w:vMerge w:val="continue"/>
            <w:vAlign w:val="center"/>
          </w:tcPr>
          <w:p>
            <w:pPr>
              <w:pStyle w:val="33"/>
            </w:pPr>
          </w:p>
        </w:tc>
        <w:tc>
          <w:tcPr>
            <w:tcW w:w="5509" w:type="dxa"/>
            <w:vAlign w:val="center"/>
          </w:tcPr>
          <w:p>
            <w:pPr>
              <w:pStyle w:val="33"/>
            </w:pPr>
            <w:r>
              <w:rPr>
                <w:rFonts w:hint="eastAsia"/>
              </w:rPr>
              <w:t>灌浆压力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16</w:t>
            </w:r>
          </w:p>
        </w:tc>
        <w:tc>
          <w:tcPr>
            <w:tcW w:w="1515" w:type="dxa"/>
            <w:vMerge w:val="continue"/>
            <w:vAlign w:val="center"/>
          </w:tcPr>
          <w:p>
            <w:pPr>
              <w:pStyle w:val="33"/>
            </w:pPr>
          </w:p>
        </w:tc>
        <w:tc>
          <w:tcPr>
            <w:tcW w:w="5509" w:type="dxa"/>
            <w:vAlign w:val="center"/>
          </w:tcPr>
          <w:p>
            <w:pPr>
              <w:pStyle w:val="33"/>
            </w:pPr>
            <w:r>
              <w:rPr>
                <w:rFonts w:hint="eastAsia"/>
              </w:rPr>
              <w:t>施工荷载（施工阶段的某些外加力）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17</w:t>
            </w:r>
          </w:p>
        </w:tc>
        <w:tc>
          <w:tcPr>
            <w:tcW w:w="1515" w:type="dxa"/>
            <w:vMerge w:val="restart"/>
            <w:vAlign w:val="center"/>
          </w:tcPr>
          <w:p>
            <w:pPr>
              <w:pStyle w:val="33"/>
            </w:pPr>
            <w:r>
              <w:rPr>
                <w:rFonts w:hint="eastAsia"/>
              </w:rPr>
              <w:t>偶然</w:t>
            </w:r>
          </w:p>
          <w:p>
            <w:pPr>
              <w:pStyle w:val="33"/>
            </w:pPr>
            <w:r>
              <w:rPr>
                <w:rFonts w:hint="eastAsia"/>
              </w:rPr>
              <w:t>荷载</w:t>
            </w:r>
          </w:p>
        </w:tc>
        <w:tc>
          <w:tcPr>
            <w:tcW w:w="5509" w:type="dxa"/>
            <w:vAlign w:val="center"/>
          </w:tcPr>
          <w:p>
            <w:pPr>
              <w:pStyle w:val="33"/>
            </w:pPr>
            <w:r>
              <w:rPr>
                <w:rFonts w:hint="eastAsia"/>
              </w:rPr>
              <w:t>落石冲击力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18</w:t>
            </w:r>
          </w:p>
        </w:tc>
        <w:tc>
          <w:tcPr>
            <w:tcW w:w="1515" w:type="dxa"/>
            <w:vMerge w:val="continue"/>
            <w:vAlign w:val="center"/>
          </w:tcPr>
          <w:p>
            <w:pPr>
              <w:pStyle w:val="33"/>
            </w:pPr>
          </w:p>
        </w:tc>
        <w:tc>
          <w:tcPr>
            <w:tcW w:w="5509" w:type="dxa"/>
            <w:vAlign w:val="center"/>
          </w:tcPr>
          <w:p>
            <w:pPr>
              <w:pStyle w:val="33"/>
            </w:pPr>
            <w:r>
              <w:rPr>
                <w:rFonts w:hint="eastAsia"/>
              </w:rPr>
              <w:t>地震力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19</w:t>
            </w:r>
          </w:p>
        </w:tc>
        <w:tc>
          <w:tcPr>
            <w:tcW w:w="1515" w:type="dxa"/>
            <w:vMerge w:val="continue"/>
            <w:vAlign w:val="center"/>
          </w:tcPr>
          <w:p>
            <w:pPr>
              <w:pStyle w:val="33"/>
            </w:pPr>
          </w:p>
        </w:tc>
        <w:tc>
          <w:tcPr>
            <w:tcW w:w="5509" w:type="dxa"/>
            <w:vAlign w:val="center"/>
          </w:tcPr>
          <w:p>
            <w:pPr>
              <w:pStyle w:val="33"/>
            </w:pPr>
            <w:r>
              <w:rPr>
                <w:rFonts w:hint="eastAsia"/>
              </w:rPr>
              <w:t>人防荷载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134" w:type="dxa"/>
            <w:vAlign w:val="center"/>
          </w:tcPr>
          <w:p>
            <w:pPr>
              <w:pStyle w:val="33"/>
            </w:pPr>
            <w:r>
              <w:t>20</w:t>
            </w:r>
          </w:p>
        </w:tc>
        <w:tc>
          <w:tcPr>
            <w:tcW w:w="1515" w:type="dxa"/>
            <w:vMerge w:val="continue"/>
            <w:vAlign w:val="center"/>
          </w:tcPr>
          <w:p>
            <w:pPr>
              <w:pStyle w:val="33"/>
            </w:pPr>
          </w:p>
        </w:tc>
        <w:tc>
          <w:tcPr>
            <w:tcW w:w="5509" w:type="dxa"/>
            <w:vAlign w:val="center"/>
          </w:tcPr>
          <w:p>
            <w:pPr>
              <w:pStyle w:val="33"/>
            </w:pPr>
            <w:r>
              <w:rPr>
                <w:rFonts w:hint="eastAsia"/>
              </w:rPr>
              <w:t>沉船、抛锚或河道疏浚产生的撞击力等灾害性荷载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158" w:type="dxa"/>
            <w:gridSpan w:val="3"/>
            <w:vAlign w:val="center"/>
          </w:tcPr>
          <w:p>
            <w:pPr>
              <w:pStyle w:val="33"/>
              <w:jc w:val="left"/>
            </w:pPr>
            <w:r>
              <w:rPr>
                <w:rFonts w:hint="eastAsia"/>
              </w:rPr>
              <w:t>注：</w:t>
            </w:r>
          </w:p>
          <w:p>
            <w:pPr>
              <w:pStyle w:val="33"/>
              <w:jc w:val="left"/>
            </w:pPr>
            <w:r>
              <w:t>1</w:t>
            </w:r>
            <w:r>
              <w:rPr>
                <w:rFonts w:hint="eastAsia"/>
              </w:rPr>
              <w:t>设计中需考虑的其他荷载，可根据其性质分别列入上述三类荷载中；</w:t>
            </w:r>
          </w:p>
          <w:p>
            <w:pPr>
              <w:pStyle w:val="33"/>
              <w:jc w:val="left"/>
            </w:pPr>
            <w:r>
              <w:t>2</w:t>
            </w:r>
            <w:r>
              <w:rPr>
                <w:rFonts w:hint="eastAsia"/>
              </w:rPr>
              <w:t>表中所列荷载本节未加说明者，可按国家有关规范或根据实际情况确定；</w:t>
            </w:r>
          </w:p>
        </w:tc>
      </w:tr>
    </w:tbl>
    <w:p>
      <w:pPr>
        <w:pStyle w:val="20"/>
        <w:spacing w:line="360" w:lineRule="auto"/>
        <w:rPr>
          <w:rFonts w:ascii="楷体" w:hAnsi="楷体" w:eastAsia="楷体"/>
        </w:rPr>
      </w:pP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基坑支护结构、基坑周边建（构）筑物和地面沉降、地下水控制计算和验算应采用下列设计表达式：建筑基坑设计规程</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承载能力极限状态的设计表达式应满足下列规定：</w:t>
      </w:r>
    </w:p>
    <w:p>
      <w:pPr>
        <w:numPr>
          <w:ilvl w:val="0"/>
          <w:numId w:val="4"/>
        </w:num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支护结构构件或连接因超过材料强度或过度变形的承载能力极限状态设计，应符合下式要求：</w:t>
      </w:r>
    </w:p>
    <w:p>
      <w:pPr>
        <w:pStyle w:val="35"/>
        <w:rPr>
          <w:vanish/>
        </w:rPr>
      </w:pPr>
      <w:r>
        <w:rPr>
          <w:iCs/>
        </w:rPr>
        <w:tab/>
      </w:r>
      <m:oMath>
        <m:sSub>
          <m:sSubPr>
            <m:ctrlPr>
              <w:rPr>
                <w:rFonts w:ascii="Cambria Math" w:hAnsi="Cambria Math"/>
                <w:iCs/>
              </w:rPr>
            </m:ctrlPr>
          </m:sSubPr>
          <m:e>
            <m:r>
              <m:rPr/>
              <w:rPr>
                <w:rFonts w:ascii="Cambria Math" w:hAnsi="Cambria Math"/>
              </w:rPr>
              <m:t>γ</m:t>
            </m:r>
            <m:ctrlPr>
              <w:rPr>
                <w:rFonts w:ascii="Cambria Math" w:hAnsi="Cambria Math"/>
                <w:iCs/>
              </w:rPr>
            </m:ctrlPr>
          </m:e>
          <m:sub>
            <m:r>
              <m:rPr>
                <m:sty m:val="p"/>
              </m:rPr>
              <w:rPr>
                <w:rFonts w:ascii="Cambria Math" w:hAnsi="Cambria Math"/>
              </w:rPr>
              <m:t>0</m:t>
            </m:r>
            <m:ctrlPr>
              <w:rPr>
                <w:rFonts w:ascii="Cambria Math" w:hAnsi="Cambria Math"/>
                <w:iCs/>
              </w:rPr>
            </m:ctrlPr>
          </m:sub>
        </m:sSub>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d</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d</m:t>
            </m:r>
            <m:ctrlPr>
              <w:rPr>
                <w:rFonts w:ascii="Cambria Math" w:hAnsi="Cambria Math"/>
              </w:rPr>
            </m:ctrlPr>
          </m:sub>
        </m:sSub>
      </m:oMath>
      <w:r>
        <w:tab/>
      </w:r>
    </w:p>
    <w:p>
      <w:pPr>
        <w:pStyle w:val="35"/>
      </w:pPr>
      <w:bookmarkStart w:id="30" w:name="_Ref97936872"/>
      <w:r>
        <w:rPr>
          <w:rFonts w:hint="eastAsia"/>
        </w:rPr>
        <w:t>（</w:t>
      </w:r>
      <w:r>
        <w:t>3.2.3-1</w:t>
      </w:r>
      <w:r>
        <w:rPr>
          <w:rFonts w:hint="eastAsia"/>
        </w:rPr>
        <w:t>）</w:t>
      </w:r>
      <w:bookmarkEnd w:id="30"/>
    </w:p>
    <w:p>
      <w:pPr>
        <w:ind w:firstLine="48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m:oMath>
        <m:sSub>
          <m:sSubPr>
            <m:ctrlPr>
              <w:rPr>
                <w:rFonts w:hint="eastAsia" w:ascii="Cambria Math" w:hAnsi="Cambria Math"/>
              </w:rPr>
            </m:ctrlPr>
          </m:sSubPr>
          <m:e>
            <m:r>
              <m:rPr>
                <m:sty m:val="p"/>
              </m:rPr>
              <w:rPr>
                <w:rFonts w:hint="eastAsia" w:ascii="Cambria Math" w:hAnsi="Cambria Math"/>
              </w:rPr>
              <m:t>γ</m:t>
            </m:r>
            <m:ctrlPr>
              <w:rPr>
                <w:rFonts w:hint="eastAsia" w:ascii="Cambria Math" w:hAnsi="Cambria Math"/>
              </w:rPr>
            </m:ctrlPr>
          </m:e>
          <m:sub>
            <m:r>
              <m:rPr>
                <m:sty m:val="p"/>
              </m:rPr>
              <w:rPr>
                <w:rFonts w:hint="eastAsia" w:ascii="Cambria Math" w:hAnsi="Cambria Math"/>
              </w:rPr>
              <m:t>0</m:t>
            </m:r>
            <m:ctrlPr>
              <w:rPr>
                <w:rFonts w:hint="eastAsia" w:ascii="Cambria Math" w:hAnsi="Cambria Math"/>
              </w:rPr>
            </m:ctrlPr>
          </m:sub>
        </m:sSub>
      </m:oMath>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支护结构重要性系数</w:t>
      </w:r>
      <w:r>
        <w:rPr>
          <w:rFonts w:hint="eastAsia"/>
        </w:rPr>
        <w:t>；</w:t>
      </w:r>
    </w:p>
    <w:p>
      <w:pPr>
        <w:ind w:firstLine="480"/>
      </w:pPr>
      <m:oMath>
        <m:sSub>
          <m:sSubPr>
            <m:ctrlPr>
              <w:rPr>
                <w:rFonts w:hint="eastAsia" w:ascii="Cambria Math" w:hAnsi="Cambria Math"/>
              </w:rPr>
            </m:ctrlPr>
          </m:sSubPr>
          <m:e>
            <m:r>
              <m:rPr>
                <m:sty m:val="p"/>
              </m:rPr>
              <w:rPr>
                <w:rFonts w:hint="eastAsia" w:ascii="Cambria Math" w:hAnsi="Cambria Math"/>
              </w:rPr>
              <m:t>S</m:t>
            </m:r>
            <m:ctrlPr>
              <w:rPr>
                <w:rFonts w:hint="eastAsia" w:ascii="Cambria Math" w:hAnsi="Cambria Math"/>
              </w:rPr>
            </m:ctrlPr>
          </m:e>
          <m:sub>
            <m:r>
              <m:rPr>
                <m:sty m:val="p"/>
              </m:rPr>
              <w:rPr>
                <w:rFonts w:hint="eastAsia" w:ascii="Cambria Math" w:hAnsi="Cambria Math"/>
              </w:rPr>
              <m:t>d</m:t>
            </m:r>
            <m:ctrlPr>
              <w:rPr>
                <w:rFonts w:hint="eastAsia" w:ascii="Cambria Math" w:hAnsi="Cambria Math"/>
              </w:rPr>
            </m:ctrlPr>
          </m:sub>
        </m:sSub>
      </m:oMath>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作用基本组合的效应（轴力、弯矩等）设计值</w:t>
      </w:r>
      <w:r>
        <w:rPr>
          <w:rFonts w:hint="eastAsia"/>
        </w:rPr>
        <w:t>；</w:t>
      </w:r>
    </w:p>
    <w:p>
      <w:pPr>
        <w:ind w:firstLine="480"/>
      </w:pPr>
      <m:oMath>
        <m:sSub>
          <m:sSubPr>
            <m:ctrlPr>
              <w:rPr>
                <w:rFonts w:hint="eastAsia" w:ascii="Cambria Math" w:hAnsi="Cambria Math"/>
              </w:rPr>
            </m:ctrlPr>
          </m:sSubPr>
          <m:e>
            <m:r>
              <m:rPr>
                <m:sty m:val="p"/>
              </m:rPr>
              <w:rPr>
                <w:rFonts w:hint="eastAsia" w:ascii="Cambria Math" w:hAnsi="Cambria Math"/>
              </w:rPr>
              <m:t>R</m:t>
            </m:r>
            <m:ctrlPr>
              <w:rPr>
                <w:rFonts w:hint="eastAsia" w:ascii="Cambria Math" w:hAnsi="Cambria Math"/>
              </w:rPr>
            </m:ctrlPr>
          </m:e>
          <m:sub>
            <m:r>
              <m:rPr>
                <m:sty m:val="p"/>
              </m:rPr>
              <w:rPr>
                <w:rFonts w:hint="eastAsia" w:ascii="Cambria Math" w:hAnsi="Cambria Math"/>
              </w:rPr>
              <m:t>d</m:t>
            </m:r>
            <m:ctrlPr>
              <w:rPr>
                <w:rFonts w:hint="eastAsia" w:ascii="Cambria Math" w:hAnsi="Cambria Math"/>
              </w:rPr>
            </m:ctrlPr>
          </m:sub>
        </m:sSub>
      </m:oMath>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结构构件的抗力设计值。</w:t>
      </w:r>
    </w:p>
    <w:p>
      <w:pPr>
        <w:ind w:firstLine="48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对临时性支护结构，作用基本组合的效应设计值应按下式确定：</w:t>
      </w:r>
    </w:p>
    <w:p>
      <w:pPr>
        <w:pStyle w:val="35"/>
        <w:rPr>
          <w:vanish/>
        </w:rPr>
      </w:pPr>
      <w:r>
        <w:rPr>
          <w:iCs/>
        </w:rPr>
        <w:tab/>
      </w:r>
      <m:oMath>
        <m:sSub>
          <m:sSubP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SubPr>
          <m:e>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S</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e>
          <m: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d</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ub>
        </m:s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m:t>
        </m:r>
        <m:sSub>
          <m:sSubP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SubPr>
          <m:e>
            <m:sSub>
              <m:sSubP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SubPr>
              <m:e>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γ</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e>
              <m: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F</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ub>
            </m:s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S</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e>
          <m: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K</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ub>
        </m:sSub>
      </m:oMath>
      <w:r>
        <w:tab/>
      </w:r>
    </w:p>
    <w:p>
      <w:pPr>
        <w:pStyle w:val="35"/>
      </w:pPr>
      <w:r>
        <w:rPr>
          <w:rFonts w:hint="eastAsia"/>
        </w:rPr>
        <w:t>（</w:t>
      </w:r>
      <w:r>
        <w:t>3.2.3-2</w:t>
      </w:r>
      <w:r>
        <w:rPr>
          <w:rFonts w:hint="eastAsia"/>
        </w:rPr>
        <w:t>）</w:t>
      </w:r>
    </w:p>
    <w:p>
      <w:pPr>
        <w:ind w:firstLine="48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m:oMath>
        <m:sSub>
          <m:sSubPr>
            <m:ctrlPr>
              <w:rPr>
                <w:rFonts w:hint="eastAsia" w:ascii="Cambria Math" w:hAnsi="Cambria Math"/>
              </w:rPr>
            </m:ctrlPr>
          </m:sSubPr>
          <m:e>
            <m:r>
              <m:rPr>
                <m:sty m:val="p"/>
              </m:rPr>
              <w:rPr>
                <w:rFonts w:hint="eastAsia" w:ascii="Cambria Math" w:hAnsi="Cambria Math"/>
              </w:rPr>
              <m:t>γ</m:t>
            </m:r>
            <m:ctrlPr>
              <w:rPr>
                <w:rFonts w:hint="eastAsia" w:ascii="Cambria Math" w:hAnsi="Cambria Math"/>
              </w:rPr>
            </m:ctrlPr>
          </m:e>
          <m:sub>
            <m:r>
              <m:rPr>
                <m:sty m:val="p"/>
              </m:rPr>
              <w:rPr>
                <w:rFonts w:hint="eastAsia" w:ascii="Cambria Math" w:hAnsi="Cambria Math"/>
              </w:rPr>
              <m:t>F</m:t>
            </m:r>
            <m:ctrlPr>
              <w:rPr>
                <w:rFonts w:hint="eastAsia" w:ascii="Cambria Math" w:hAnsi="Cambria Math"/>
              </w:rPr>
            </m:ctrlPr>
          </m:sub>
        </m:sSub>
      </m:oMath>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作用基本组合效应的综合分项系数</w:t>
      </w:r>
      <w:r>
        <w:rPr>
          <w:rFonts w:hint="eastAsia"/>
        </w:rPr>
        <w:t>；</w:t>
      </w:r>
    </w:p>
    <w:p>
      <w:pPr>
        <w:ind w:firstLine="480"/>
      </w:pPr>
      <m:oMath>
        <m:sSub>
          <m:sSubPr>
            <m:ctrlPr>
              <w:rPr>
                <w:rFonts w:hint="eastAsia" w:ascii="Cambria Math" w:hAnsi="Cambria Math"/>
              </w:rPr>
            </m:ctrlPr>
          </m:sSubPr>
          <m:e>
            <m:r>
              <m:rPr>
                <m:sty m:val="p"/>
              </m:rPr>
              <w:rPr>
                <w:rFonts w:hint="eastAsia" w:ascii="Cambria Math" w:hAnsi="Cambria Math"/>
              </w:rPr>
              <m:t>S</m:t>
            </m:r>
            <m:ctrlPr>
              <w:rPr>
                <w:rFonts w:hint="eastAsia" w:ascii="Cambria Math" w:hAnsi="Cambria Math"/>
              </w:rPr>
            </m:ctrlPr>
          </m:e>
          <m:sub>
            <m:r>
              <m:rPr>
                <m:sty m:val="p"/>
              </m:rPr>
              <w:rPr>
                <w:rFonts w:hint="eastAsia" w:ascii="Cambria Math" w:hAnsi="Cambria Math"/>
              </w:rPr>
              <m:t>K</m:t>
            </m:r>
            <m:ctrlPr>
              <w:rPr>
                <w:rFonts w:hint="eastAsia" w:ascii="Cambria Math" w:hAnsi="Cambria Math"/>
              </w:rPr>
            </m:ctrlPr>
          </m:sub>
        </m:sSub>
      </m:oMath>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作用标准组合的效应。</w:t>
      </w:r>
    </w:p>
    <w:p>
      <w:pPr>
        <w:numPr>
          <w:ilvl w:val="0"/>
          <w:numId w:val="4"/>
        </w:num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稳定性计算和验算，应符合下式要求：</w:t>
      </w:r>
    </w:p>
    <w:p>
      <w:pPr>
        <w:pStyle w:val="35"/>
        <w:rPr>
          <w:vanish/>
        </w:rPr>
      </w:pPr>
      <w:r>
        <w:rPr>
          <w:iCs/>
        </w:rPr>
        <w:tab/>
      </w:r>
      <m:oMath>
        <m:f>
          <m:fPr>
            <m:type m:val="lin"/>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fPr>
          <m:num>
            <m:sSub>
              <m:sSubP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SubPr>
              <m:e>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R</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e>
              <m: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K</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ub>
            </m:sSub>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num>
          <m:den>
            <m:sSub>
              <m:sSubP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SubPr>
              <m:e>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S</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e>
              <m:sub>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K</m:t>
                </m:r>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sub>
            </m:sSub>
            <m:ctrl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ctrlPr>
          </m:den>
        </m:f>
        <m:r>
          <m:rPr>
            <m:sty m:val="p"/>
          </m:rPr>
          <w:rPr>
            <w:rFonts w:hint="eastAsia" w:ascii="Cambria Math" w:hAnsi="Cambria Math" w:eastAsia="宋体" w:cstheme="minorBidi"/>
            <w:color w:val="000000" w:themeColor="text1"/>
            <w:kern w:val="2"/>
            <w:sz w:val="24"/>
            <w:szCs w:val="21"/>
            <w:lang w:val="en-US" w:eastAsia="zh-CN" w:bidi="ar-SA"/>
            <w14:textFill>
              <w14:solidFill>
                <w14:schemeClr w14:val="tx1"/>
              </w14:solidFill>
            </w14:textFill>
          </w:rPr>
          <m:t>≥K</m:t>
        </m:r>
      </m:oMath>
      <w:r>
        <w:tab/>
      </w:r>
    </w:p>
    <w:p>
      <w:pPr>
        <w:pStyle w:val="35"/>
      </w:pPr>
      <w:r>
        <w:rPr>
          <w:rFonts w:hint="eastAsia"/>
        </w:rPr>
        <w:t>（</w:t>
      </w:r>
      <w:r>
        <w:t>3.2.3-3</w:t>
      </w:r>
      <w:r>
        <w:rPr>
          <w:rFonts w:hint="eastAsia"/>
        </w:rPr>
        <w:t>）</w:t>
      </w:r>
    </w:p>
    <w:p>
      <w:pPr>
        <w:ind w:firstLine="480"/>
      </w:pPr>
      <w:r>
        <w:rPr>
          <w:rFonts w:hint="eastAsia"/>
        </w:rPr>
        <w:t>式中R</w:t>
      </w:r>
      <w:r>
        <w:rPr>
          <w:rFonts w:hint="eastAsia"/>
          <w:vertAlign w:val="subscript"/>
        </w:rPr>
        <w:t>K</w:t>
      </w:r>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稳定分析时的抗力标准值；</w:t>
      </w:r>
    </w:p>
    <w:p>
      <w:pPr>
        <w:ind w:firstLine="48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rPr>
        <w:t>S</w:t>
      </w:r>
      <w:r>
        <w:rPr>
          <w:rFonts w:hint="eastAsia"/>
          <w:vertAlign w:val="subscript"/>
        </w:rPr>
        <w:t>K</w:t>
      </w:r>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稳定分析时作用标准组合的效应；</w:t>
      </w:r>
    </w:p>
    <w:p>
      <w:pPr>
        <w:ind w:firstLine="480"/>
      </w:pPr>
      <w:r>
        <w:rPr>
          <w:rFonts w:hint="eastAsia"/>
        </w:rPr>
        <w:t>K——</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安全系数。</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根据正常使用极限状态设计时，支护结构和土体的变形应符合下式要求：</w:t>
      </w:r>
    </w:p>
    <w:p>
      <w:pPr>
        <w:pStyle w:val="35"/>
        <w:rPr>
          <w:vanish/>
        </w:rPr>
      </w:pPr>
      <w:r>
        <w:rPr>
          <w:iCs/>
        </w:rPr>
        <w:tab/>
      </w:r>
      <m:oMath>
        <m:sSub>
          <m:sSubPr>
            <m:ctrlPr>
              <w:rPr>
                <w:rFonts w:ascii="Cambria Math" w:hAnsi="Cambria Math"/>
              </w:rPr>
            </m:ctrlPr>
          </m:sSubPr>
          <m:e>
            <m:r>
              <m:rPr/>
              <w:rPr>
                <w:rFonts w:ascii="Cambria Math" w:hAnsi="Cambria Math"/>
              </w:rPr>
              <m:t>δ</m:t>
            </m:r>
            <m:ctrlPr>
              <w:rPr>
                <w:rFonts w:ascii="Cambria Math" w:hAnsi="Cambria Math"/>
              </w:rPr>
            </m:ctrlPr>
          </m:e>
          <m:sub>
            <m:r>
              <m:rPr/>
              <w:rPr>
                <w:rFonts w:ascii="Cambria Math" w:hAnsi="Cambria Math"/>
              </w:rPr>
              <m:t>d</m:t>
            </m:r>
            <m:ctrlPr>
              <w:rPr>
                <w:rFonts w:ascii="Cambria Math" w:hAnsi="Cambria Math"/>
              </w:rPr>
            </m:ctrlPr>
          </m:sub>
        </m:sSub>
        <m:r>
          <m:rPr>
            <m:sty m:val="p"/>
          </m:rPr>
          <w:rPr>
            <w:rFonts w:ascii="Cambria Math" w:hAnsi="Cambria Math"/>
          </w:rPr>
          <m:t>≤</m:t>
        </m:r>
        <m:r>
          <m:rPr>
            <m:sty m:val="p"/>
          </m:rPr>
          <w:rPr>
            <w:rFonts w:hint="eastAsia" w:ascii="Cambria Math" w:hAnsi="Cambria Math"/>
          </w:rPr>
          <m:t>C</m:t>
        </m:r>
      </m:oMath>
      <w:r>
        <w:tab/>
      </w:r>
    </w:p>
    <w:p>
      <w:pPr>
        <w:pStyle w:val="35"/>
      </w:pPr>
      <w:r>
        <w:rPr>
          <w:rFonts w:hint="eastAsia"/>
        </w:rPr>
        <w:t>（</w:t>
      </w:r>
      <w:r>
        <w:t>3.2.3-4</w:t>
      </w:r>
      <w:r>
        <w:rPr>
          <w:rFonts w:hint="eastAsia"/>
        </w:rPr>
        <w:t>）</w:t>
      </w:r>
    </w:p>
    <w:p>
      <w:pPr>
        <w:ind w:firstLine="48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w:r>
        <w:rPr>
          <w:rFonts w:hint="eastAsia"/>
        </w:rPr>
        <w:t>δd——</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作用标准组合的效应(位移、沉降等)计算值；</w:t>
      </w:r>
    </w:p>
    <w:p>
      <w:pPr>
        <w:ind w:firstLine="480"/>
      </w:pPr>
      <w:r>
        <w:rPr>
          <w:rFonts w:hint="eastAsia"/>
        </w:rPr>
        <w:t>C——</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位移、沉降等的限值。</w:t>
      </w:r>
    </w:p>
    <w:p>
      <w:pPr>
        <w:pStyle w:val="51"/>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基坑支护结构设计采用以分项系数表达的极限状态设计表达式进行计算：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基坑稳定性验算的作用组合效应，应按承载能力极限状态下作用基本组合的效应，综合分项系数为1.0。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基坑支护结构构件承载能力计算的作用组合效应，应按承载能力极限状态下作用基本组合的效应，综合分项系数不应小于1.25。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基坑支护结构构件正常使用极限状态计算的作用组合效应，应采用作用标准组合的效应。</w:t>
      </w:r>
    </w:p>
    <w:p>
      <w:pPr>
        <w:pStyle w:val="51"/>
        <w:widowControl w:val="0"/>
        <w:numPr>
          <w:ilvl w:val="255"/>
          <w:numId w:val="0"/>
        </w:numPr>
        <w:spacing w:line="360" w:lineRule="auto"/>
        <w:ind w:left="0" w:firstLine="406" w:firstLineChars="145"/>
        <w:rPr>
          <w:highlight w:val="yellow"/>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对安全等级为一级、二级、三级的支护结构，其结构重要性系数分</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别不应小于1.1、1.0、0.9。</w:t>
      </w:r>
    </w:p>
    <w:p>
      <w:pPr>
        <w:pStyle w:val="51"/>
        <w:rPr>
          <w:rFonts w:ascii="宋体" w:hAnsi="Calibri" w:cs="宋体"/>
          <w:lang w:val="zh-CN"/>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设明挖隧道主体结构的荷载组合及分项系数应根据《铁路工程结构可靠性设计统一标准》GB 50216、《建筑结构可靠性计统一标准》GB50068的有关规定选取。</w:t>
      </w:r>
    </w:p>
    <w:p>
      <w:pPr>
        <w:pStyle w:val="51"/>
        <w:numPr>
          <w:ilvl w:val="0"/>
          <w:numId w:val="0"/>
        </w:numPr>
        <w:rPr>
          <w:rFonts w:ascii="宋体" w:hAnsi="Calibri" w:cs="宋体"/>
          <w:lang w:val="zh-CN"/>
        </w:rPr>
      </w:pPr>
    </w:p>
    <w:bookmarkEnd w:id="27"/>
    <w:bookmarkEnd w:id="28"/>
    <w:p>
      <w:pPr>
        <w:pStyle w:val="3"/>
      </w:pPr>
      <w:bookmarkStart w:id="31" w:name="_Toc248"/>
      <w:bookmarkStart w:id="32" w:name="_Toc25075815"/>
      <w:bookmarkStart w:id="33" w:name="_Toc26038588"/>
      <w:bookmarkStart w:id="34" w:name="_Toc25076076"/>
      <w:r>
        <w:rPr>
          <w:rFonts w:hint="eastAsia"/>
        </w:rPr>
        <w:t>结构形式</w:t>
      </w:r>
      <w:bookmarkEnd w:id="31"/>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明挖隧道结构应符合下列规定：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可采用整体式现浇钢筋混凝土框架结构或装配式钢筋混凝土框架结构；</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围护结构的地下连续墙或灌注桩宜作为主体结构侧墙的一部分与主体结构共同受力。墙体的结合方式可选用叠合式或复合式构造；</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作为侧墙一部分利用的围护桩、地下连续墙，应考虑在使用期内围护结构的材料劣化，内力向主体结构转移的影响；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确能满足耐久性要求时，可将地下连续墙作为主体结构单一侧墙。</w:t>
      </w:r>
    </w:p>
    <w:p>
      <w:pPr>
        <w:pStyle w:val="51"/>
      </w:pPr>
      <w:r>
        <w:rPr>
          <w:rFonts w:hint="eastAsia"/>
        </w:rPr>
        <w:t>明挖隧道结构宜设计为闭合式。</w:t>
      </w:r>
      <w:r>
        <w:br w:type="page"/>
      </w:r>
    </w:p>
    <w:p>
      <w:pPr>
        <w:ind w:firstLine="0" w:firstLineChars="0"/>
      </w:pPr>
    </w:p>
    <w:p>
      <w:pPr>
        <w:pStyle w:val="2"/>
      </w:pPr>
      <w:bookmarkStart w:id="35" w:name="_Toc28574"/>
      <w:bookmarkStart w:id="36" w:name="_Toc11671"/>
      <w:r>
        <w:rPr>
          <w:rFonts w:hint="eastAsia"/>
        </w:rPr>
        <w:t>岩土勘察与环境调查</w:t>
      </w:r>
      <w:bookmarkEnd w:id="35"/>
      <w:bookmarkEnd w:id="36"/>
    </w:p>
    <w:bookmarkEnd w:id="32"/>
    <w:bookmarkEnd w:id="33"/>
    <w:bookmarkEnd w:id="34"/>
    <w:p>
      <w:pPr>
        <w:pStyle w:val="3"/>
      </w:pPr>
      <w:bookmarkStart w:id="37" w:name="_Toc824"/>
      <w:bookmarkStart w:id="38" w:name="_Toc25075829"/>
      <w:bookmarkStart w:id="39" w:name="_Toc25076080"/>
      <w:r>
        <w:rPr>
          <w:rFonts w:hint="eastAsia"/>
        </w:rPr>
        <w:t>一般规定</w:t>
      </w:r>
      <w:bookmarkEnd w:id="37"/>
    </w:p>
    <w:p>
      <w:pPr>
        <w:pStyle w:val="51"/>
        <w:widowControl w:val="0"/>
        <w:numPr>
          <w:ilvl w:val="2"/>
          <w:numId w:val="1"/>
        </w:numPr>
        <w:spacing w:line="360" w:lineRule="auto"/>
        <w:ind w:left="0" w:firstLine="0"/>
      </w:pP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法隧道工程地质勘察工作应综合运用工程地质调绘、地质钻探、物探、原位测试等勘察手段，查明明挖区工程地质条件及水文地质条件，进行岩土工程评价，提供设计、施工及岩土治理所需的岩土参数，预测工程实施对周边环境的影响，并提出工程监测、环境保护建议。</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地质勘察遇到下列情况时应进行专项勘察或专题研究：</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水文地质条件特别复杂区域；</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   明挖周边管线及建（构）筑物较多，且邻近环境复杂的区域；</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   岩溶强烈发育带、活动断层带、有害气体或可燃气体发育地段、风化深槽等重大不良地质及构造发育区域；</w:t>
      </w:r>
    </w:p>
    <w:p>
      <w:pPr>
        <w:pStyle w:val="51"/>
        <w:widowControl w:val="0"/>
        <w:numPr>
          <w:ilvl w:val="255"/>
          <w:numId w:val="0"/>
        </w:numPr>
        <w:spacing w:line="360" w:lineRule="auto"/>
        <w:ind w:left="0" w:firstLine="686" w:firstLineChars="245"/>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   遇到新的工程地质问题，没有成熟的工程处理措施和建设经验。</w:t>
      </w:r>
    </w:p>
    <w:p>
      <w:pPr>
        <w:pStyle w:val="51"/>
        <w:widowControl w:val="0"/>
        <w:numPr>
          <w:ilvl w:val="2"/>
          <w:numId w:val="1"/>
        </w:numPr>
        <w:spacing w:line="360" w:lineRule="auto"/>
        <w:ind w:left="0" w:firstLine="0"/>
        <w:rPr>
          <w:rFonts w:ascii="楷体" w:hAnsi="楷体" w:eastAsia="楷体"/>
          <w:iCs/>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观测点、测试点和勘探点的布置应能满足工程建设需求，具有代表性，能判明重要的地质界线并査明工程地质状况，其密度、深度应根据勘察阶段、支护方案及周边环境等确定。</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明挖法隧道工程地质勘察应包含下列内容：</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查明明挖场地内的地层岩性、埋藏条件、均匀性及各层土的物理力学性质指标。</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   查明岩土是否具有膨胀性、湿陷性、触变性、冻胀性及地震液化等不良性状。</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   查明明挖场地内及其附近有无影响工程稳定性的不良地质现象，查明不良地质现象的类型、成因、分布范围，对明挖工程的影响并提出整治方案和建议。</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  查明埋藏的河道、溶洞、沟浜、洞穴、孤石等对工程不利的埋藏物。</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  有地下水时，查明各含水层的埋深、厚度和分布，判定地下水的类型、补给和排泄条件；承压水时，应分层测量水头高度。</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  明挖深度1~2倍范围内相邻构（建）筑物、铁路、道路、管线等类型及其重要性，地下、地面输水等用水设施及其渗漏情况。</w:t>
      </w:r>
    </w:p>
    <w:p>
      <w:pPr>
        <w:pStyle w:val="51"/>
        <w:rPr>
          <w:rStyle w:val="37"/>
          <w:color w:val="auto"/>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法隧道应根据场地复杂程度等级进行勘察。场地复杂程度等级可根据地形地貌、工程地质条件、水文地质条件进行划分，从一级开始，向二级、三级推定，以最先满足的为准。当明挖隧道长度较大时，宜对复杂程度等级进行分段划分。</w:t>
      </w:r>
    </w:p>
    <w:p>
      <w:pPr>
        <w:pStyle w:val="51"/>
        <w:widowControl w:val="0"/>
        <w:numPr>
          <w:ilvl w:val="255"/>
          <w:numId w:val="0"/>
        </w:numPr>
        <w:spacing w:line="360" w:lineRule="auto"/>
        <w:ind w:left="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符合下列条件之一者为一级复杂场地（或复杂场地）</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1）地形地貌复杂。</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2）建筑抗震危险和不利地段。</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3）不良地质作用强烈发育。</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4）需要专项处理的特殊性岩土。</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5）地基、围岩或边坡的岩土性质较差。</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6）地下水对工程的影响较大需要进行专项研究和治理。</w:t>
      </w:r>
    </w:p>
    <w:p>
      <w:pPr>
        <w:pStyle w:val="51"/>
        <w:widowControl w:val="0"/>
        <w:numPr>
          <w:ilvl w:val="255"/>
          <w:numId w:val="0"/>
        </w:numPr>
        <w:spacing w:line="360" w:lineRule="auto"/>
        <w:ind w:left="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符合下列条件之一者为二级复杂场地（或中等复杂场地）</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1）地形地貌较复杂。</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2）建筑抗震一般地段。</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3）不良地质作用一般发育。</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4）需要专项处理的特殊性岩土。</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5）地基、围岩或边坡的岩土性质一般。</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6）地下水对工程的影响较小。</w:t>
      </w:r>
    </w:p>
    <w:p>
      <w:pPr>
        <w:pStyle w:val="51"/>
        <w:widowControl w:val="0"/>
        <w:numPr>
          <w:ilvl w:val="255"/>
          <w:numId w:val="0"/>
        </w:numPr>
        <w:spacing w:line="360" w:lineRule="auto"/>
        <w:ind w:left="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符合下列条件之一者为三级复杂场地（或简单场地）</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1）地形地貌简单。</w:t>
      </w:r>
    </w:p>
    <w:p>
      <w:pPr>
        <w:ind w:firstLine="840" w:firstLineChars="3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2）抗震设防烈度小于或等于6度或对建筑抗震有利地段。</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3）不良地质作用不发育。</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4）地基、围岩或边坡的岩土性质较好。</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5）地下水对工程无影响。</w:t>
      </w:r>
    </w:p>
    <w:p>
      <w:pPr>
        <w:pStyle w:val="51"/>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明挖法隧道工程各个勘察阶段应采用搜集资料、访问调查、现场量测等方法，必要时可以采用物探或人工挖探等勘察手段，查明下列明挖隧道周边环境条件：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既有建（构）筑物的类型、层数、位置、开裂情况、基础形式和尺寸、埋深，使用年限等；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各种既有电缆、管线、地下构筑物的位置、尺寸、埋深、围护结构等；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道路的类型、位置、宽度、道路行驶情况、最大车辆荷载等；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明挖隧道开挖与支护结构使用期内施工材料、设备等临时荷载要求；</w:t>
      </w:r>
    </w:p>
    <w:p>
      <w:pPr>
        <w:pStyle w:val="51"/>
        <w:widowControl w:val="0"/>
        <w:numPr>
          <w:ilvl w:val="255"/>
          <w:numId w:val="0"/>
        </w:numPr>
        <w:spacing w:line="360" w:lineRule="auto"/>
        <w:ind w:left="0" w:firstLine="406" w:firstLineChars="145"/>
        <w:rPr>
          <w:rFonts w:ascii="楷体" w:hAnsi="楷体" w:eastAsia="楷体"/>
          <w:iCs/>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雨期时场地周围地表汇水和排泄条件。</w:t>
      </w:r>
    </w:p>
    <w:p>
      <w:pPr>
        <w:pStyle w:val="51"/>
        <w:rPr>
          <w:rStyle w:val="37"/>
          <w:color w:val="auto"/>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基坑工程应参照现行《建筑基坑支护技术规程》JGJ120的有关规定实施水文地质勘察。地下水较丰富时，应进行抽水试验，并结合长期水文观测资料，提出基坑支护、地下水控制方案中抗浮设计水位建议；水文地质条件复杂时应进行专项的水文地质勘察工作。</w:t>
      </w:r>
    </w:p>
    <w:p>
      <w:pPr>
        <w:pStyle w:val="51"/>
        <w:widowControl w:val="0"/>
        <w:numPr>
          <w:ilvl w:val="2"/>
          <w:numId w:val="1"/>
        </w:numPr>
        <w:spacing w:line="360" w:lineRule="auto"/>
        <w:ind w:left="0" w:hanging="282" w:hangingChars="101"/>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边坡工程应参照现行《建筑边坡工程技术规范》GB50330有关规定进行勘察。</w:t>
      </w:r>
    </w:p>
    <w:p>
      <w:pPr>
        <w:pStyle w:val="51"/>
        <w:numPr>
          <w:ilvl w:val="2"/>
          <w:numId w:val="0"/>
        </w:numPr>
        <w:rPr>
          <w:rStyle w:val="37"/>
          <w:color w:val="auto"/>
        </w:rPr>
      </w:pPr>
    </w:p>
    <w:p>
      <w:pPr>
        <w:pStyle w:val="3"/>
      </w:pPr>
      <w:bookmarkStart w:id="40" w:name="_Toc26999"/>
      <w:r>
        <w:rPr>
          <w:rFonts w:hint="eastAsia"/>
        </w:rPr>
        <w:t>可行性研究勘察</w:t>
      </w:r>
      <w:bookmarkEnd w:id="40"/>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可行性研究阶段勘察应查明铁路明挖隧道工程线路场地的工程地质条件、水文地质条件及周边环境条件，并重点研究控制线路方案的主要工程地质问题和重要的周边环境，为明挖方案比选、设计、设备选型、环境保护、技术经济论证等提供地质资料。</w:t>
      </w:r>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可行性研究阶段勘察应包含下列内容：</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搜集区域内地质、地形、地貌、水文、气象、地灾、地震等资料，以及相关工程建设经验。</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调查线路沿线的地形地貌、地层岩性、地质构造、水文地质特性及工程地质特性条件。划分地貌单元，进行工程地质初步分区，评价场地的稳定性和适宜性。</w:t>
      </w:r>
    </w:p>
    <w:p>
      <w:pPr>
        <w:pStyle w:val="51"/>
        <w:widowControl w:val="0"/>
        <w:numPr>
          <w:ilvl w:val="255"/>
          <w:numId w:val="0"/>
        </w:numPr>
        <w:spacing w:line="360" w:lineRule="auto"/>
        <w:ind w:left="0" w:firstLine="686" w:firstLineChars="2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调查沿线各类不良地质、特殊岩土的类型、性质及分布范围，分析其</w:t>
      </w:r>
      <w:r>
        <w:rPr>
          <w:rFonts w:hint="eastAsia" w:cs="Times New Roman" w:eastAsiaTheme="minorEastAsia"/>
          <w:bCs/>
          <w:color w:val="000000" w:themeColor="text1"/>
          <w:kern w:val="2"/>
          <w:sz w:val="28"/>
          <w:szCs w:val="28"/>
          <w:lang w:val="en-US" w:eastAsia="zh-CN" w:bidi="ar-SA"/>
          <w14:textFill>
            <w14:solidFill>
              <w14:schemeClr w14:val="tx1"/>
            </w14:solidFill>
          </w14:textFill>
        </w:rPr>
        <w:t>对线路的影响，提出规避和防治的初步建议。</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调查地下水类型、埋藏条件、地下水动态变化规律等水文地质条件，必要时按地貌单元选择代表性地段进行水文地质试验，提供水文地质参数。</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调查工程周边环境，对控制线路方案的工程周边环境，分析其相互影响，提出规避和防治的初步建议。</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评价线路方案的工程地质条件，分析其存在的工程地质问题，提出线路方案比选的建议。</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可行性研究勘察的资料收集和分析宜包含以下内容</w:t>
      </w:r>
      <w:r>
        <w:rPr>
          <w:rFonts w:hint="eastAsia"/>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工程所在地的水文、气象资料，以及相关的水利、防洪设施等资料。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区域地质、构造、地震及液化等资料。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沿线的地形、地貌、地层岩性、地下水、特殊岩土、不良地质和地质灾害等资料。</w:t>
      </w:r>
    </w:p>
    <w:p>
      <w:pPr>
        <w:pStyle w:val="51"/>
        <w:widowControl w:val="0"/>
        <w:numPr>
          <w:ilvl w:val="255"/>
          <w:numId w:val="0"/>
        </w:numPr>
        <w:spacing w:line="360" w:lineRule="auto"/>
        <w:ind w:left="0" w:firstLine="406" w:firstLineChars="145"/>
        <w:rPr>
          <w:rFonts w:hint="eastAsia"/>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沿线河、湖、沟、坑的历史变迁及工程活动引起的地质变化等资料。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在收集资料的基础上勘探点间距不宜大于1km。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勘探点的数量应满足工程地质分区的要求，每个工程地质单元均应布置勘探点，在地质条件复杂地段，应加密勘探。</w:t>
      </w:r>
    </w:p>
    <w:p>
      <w:pPr>
        <w:pStyle w:val="51"/>
        <w:numPr>
          <w:ilvl w:val="255"/>
          <w:numId w:val="0"/>
        </w:numPr>
        <w:ind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w:t>
      </w:r>
      <w:r>
        <w:t xml:space="preserve"> </w:t>
      </w:r>
      <w:r>
        <w:rPr>
          <w:rFonts w:hint="eastAsia"/>
          <w:lang w:val="en-US" w:eastAsia="zh-CN"/>
        </w:rPr>
        <w:t xml:space="preserve"> </w:t>
      </w:r>
      <w:r>
        <w:rPr>
          <w:rFonts w:hint="eastAsia" w:cs="Times New Roman" w:eastAsiaTheme="minorEastAsia"/>
          <w:bCs/>
          <w:color w:val="000000" w:themeColor="text1"/>
          <w:kern w:val="2"/>
          <w:sz w:val="28"/>
          <w:szCs w:val="28"/>
          <w:lang w:val="en-US" w:eastAsia="zh-CN" w:bidi="ar-SA"/>
          <w14:textFill>
            <w14:solidFill>
              <w14:schemeClr w14:val="tx1"/>
            </w14:solidFill>
          </w14:textFill>
        </w:rPr>
        <w:t>控制线路方案的江、河、湖等地表水及不良地质和特殊岩土地段应布置勘探点。</w:t>
      </w:r>
    </w:p>
    <w:p>
      <w:pPr>
        <w:pStyle w:val="51"/>
        <w:numPr>
          <w:ilvl w:val="255"/>
          <w:numId w:val="0"/>
        </w:numPr>
        <w:ind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8  勘探孔的深度应满足场地稳定性、适宜性评价和明挖设计、工法选择等需要。</w:t>
      </w:r>
    </w:p>
    <w:p>
      <w:pPr>
        <w:pStyle w:val="3"/>
      </w:pPr>
      <w:bookmarkStart w:id="41" w:name="_Toc21639"/>
      <w:r>
        <w:rPr>
          <w:rFonts w:hint="eastAsia"/>
        </w:rPr>
        <w:t>初步勘察</w:t>
      </w:r>
      <w:bookmarkEnd w:id="41"/>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初步勘察阶段勘察应初步查明明挖场地范围内的不良地质和特殊岩土及周边环境风险，预测可能出现的工程地质问题，为明挖方案比选、支护设计及环境保护等提供地质资料。</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初步勘察阶段应开展以下工作：</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初步查明地形地貌、地层岩性、地质构造。</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初步查明不良地质、特殊岩土及其成因类型、分布规律。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初步查明地下水类型、埋藏条件、地下水动态变化规律等水文地质条件，必要时按地貌单元选择代表性地段进行水文地质试验，提供水文地质参数。</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对抗震设防烈度大于或等于 6 度的场地，应初步评价场地和地基的地震效应。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初步评价水土腐蚀性。</w:t>
      </w:r>
    </w:p>
    <w:p>
      <w:pPr>
        <w:pStyle w:val="51"/>
        <w:rPr>
          <w:lang w:bidi="ar"/>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初步勘察的勘探点宜沿明挖界线周边布置，明挖的主要转角处宜有勘探孔控制，且勘探点间距不宜大于200m。</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初步勘察的勘探工作应符合下列要求：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勘探、测试的重点应是控制和影响明挖段的不良地质、特殊岩土及地质条件复杂地段，一般地段也应布置适当的勘探测试点，避免遗漏隐蔽的工程地质问题。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勘探点间距宜为100~200m，明挖段四周角点、中间均应布置勘探点。在地貌和地层变化较大地段、不良地质发育及特殊岩土发育地段，应加密勘探。</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可行性研究勘察的深度应根据地质条件及设计方案综合确定，并符合以下规定：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一般性勘探孔土质地层勘探深度不应小于明挖深度的2.5倍，且满足基础设置要求；全风化岩质地层应进入结构底板以下不应小于10m；在结构埋深范围内如遇中等风化、微风化岩石地层进入结构底板以下不应不小于5m。</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控制性勘探孔土质地层勘探深度不应小于明挖深度的3倍，并满足</w:t>
      </w:r>
      <w:r>
        <w:rPr>
          <w:rFonts w:hint="eastAsia" w:cs="Times New Roman" w:eastAsiaTheme="minorEastAsia"/>
          <w:bCs/>
          <w:color w:val="000000" w:themeColor="text1"/>
          <w:kern w:val="2"/>
          <w:sz w:val="28"/>
          <w:szCs w:val="28"/>
          <w:lang w:val="en-US" w:eastAsia="zh-CN" w:bidi="ar-SA"/>
          <w14:textFill>
            <w14:solidFill>
              <w14:schemeClr w14:val="tx1"/>
            </w14:solidFill>
          </w14:textFill>
        </w:rPr>
        <w:t>变形验算要求，全风化岩质地层应进入结构底板以下不应小于15m；在结构埋深范围内如遇中等风化、微风化岩石地层进入结构底板以下不应不小于5~8m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明挖底面以下存在软弱土层或承压水含水层时，勘探孔深度应穿过软弱土层或承压水含水层。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地震动峰值加速度为0.1g及以上地区，地基土为饱和砂土、粉土时，勘探孔深度应大于地震可液化层深度。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探明地质构造、水文地质条件以及特殊需要的勘探测试孔深度可视具体情况确定。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遇岩溶和破碎带时勘探孔深度应适当加深。</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可行性研究阶段勘察测试、试验工作应符合下列规定：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每一主要岩土层均应进行取样，取样数量不少于勘探点总数的2/3。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按水文地质单元采取代表性的地表水和地下水样进行测试试验。</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主要岩土层应进行原位测试工作。</w:t>
      </w:r>
    </w:p>
    <w:p>
      <w:pPr>
        <w:pStyle w:val="3"/>
      </w:pPr>
      <w:bookmarkStart w:id="42" w:name="_Toc30494"/>
      <w:r>
        <w:rPr>
          <w:rFonts w:hint="eastAsia"/>
        </w:rPr>
        <w:t>详细勘察</w:t>
      </w:r>
      <w:bookmarkEnd w:id="42"/>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详细勘察阶段勘察应结合明挖法隧道及其附属结构物的类型、结构形式、埋置深度等特点，详细查明工程地质与水文地质条件，预测可能出现的工程地质问题，为明挖施工设计、环境保护提供资料。</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详细勘察阶段勘察工作应包含下列内容：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详细查明工程场地的地形地貌、地层岩性、地质构造等的类型、成因、分布范围和工程特性。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详细查明不良地质和特殊岩土的类型、分布范围、发育特征、发展趋势及其对工程的影响程度。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详细查明地表水体的水位、水深、水质、淤积物及其与地下水的水力联系等。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详细查明明挖段地下水类型、水压、渗透系数等水文地质条件，必要时应查明地下水的流速及流向。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对明挖段的稳定性进行评价，分析明挖、支护可能出现的岩土工程问题，提出防治措施建议。</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分析地下水对工程施工的影响，预测明挖发生渗流破坏和基底突涌</w:t>
      </w:r>
      <w:r>
        <w:rPr>
          <w:rFonts w:hint="eastAsia" w:cs="Times New Roman" w:eastAsiaTheme="minorEastAsia"/>
          <w:bCs/>
          <w:color w:val="000000" w:themeColor="text1"/>
          <w:kern w:val="2"/>
          <w:sz w:val="28"/>
          <w:szCs w:val="28"/>
          <w:lang w:val="en-US" w:eastAsia="zh-CN" w:bidi="ar-SA"/>
          <w14:textFill>
            <w14:solidFill>
              <w14:schemeClr w14:val="tx1"/>
            </w14:solidFill>
          </w14:textFill>
        </w:rPr>
        <w:t>的可能性及危害程度。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分析工程降水、明挖对工程周边环境的影响，提出周边环境保护措施和建议。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8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对抗震设防烈度大于或等于6度的场地，应评价场地和地基的地震效应。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9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判定地下水和地表水对建筑材料的腐蚀性。</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详勘阶段，明挖隧道宜根据场地的复杂程度，按表4.</w:t>
      </w:r>
      <w:r>
        <w:rPr>
          <w:rFonts w:hint="eastAsia" w:cs="Times New Roman" w:eastAsiaTheme="minorEastAsia"/>
          <w:bCs/>
          <w:color w:val="000000" w:themeColor="text1"/>
          <w:kern w:val="2"/>
          <w:sz w:val="28"/>
          <w:szCs w:val="28"/>
          <w:lang w:val="en-US" w:eastAsia="zh-CN" w:bidi="ar-SA"/>
          <w14:textFill>
            <w14:solidFill>
              <w14:schemeClr w14:val="tx1"/>
            </w14:solidFill>
          </w14:textFill>
        </w:rPr>
        <w:t>4</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.1的规定进行孔位布置。</w:t>
      </w:r>
    </w:p>
    <w:p>
      <w:pPr>
        <w:pStyle w:val="38"/>
      </w:pPr>
      <w:r>
        <w:rPr>
          <w:rFonts w:hint="eastAsia"/>
        </w:rPr>
        <w:t>表4</w:t>
      </w:r>
      <w:r>
        <w:t>.</w:t>
      </w:r>
      <w:r>
        <w:rPr>
          <w:rFonts w:hint="eastAsia"/>
          <w:lang w:val="en-US" w:eastAsia="zh-CN"/>
        </w:rPr>
        <w:t>4</w:t>
      </w:r>
      <w:r>
        <w:t xml:space="preserve">.1 </w:t>
      </w:r>
      <w:r>
        <w:rPr>
          <w:rFonts w:hint="eastAsia"/>
        </w:rPr>
        <w:t>明挖隧道布孔原则</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270"/>
        <w:gridCol w:w="4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564" w:type="pct"/>
            <w:shd w:val="clear" w:color="auto" w:fill="auto"/>
            <w:vAlign w:val="center"/>
          </w:tcPr>
          <w:p>
            <w:pPr>
              <w:pStyle w:val="33"/>
              <w:rPr>
                <w:rFonts w:cs="Times New Roman"/>
              </w:rPr>
            </w:pPr>
            <w:r>
              <w:rPr>
                <w:rFonts w:cs="Times New Roman"/>
                <w:lang w:bidi="ar"/>
              </w:rPr>
              <w:t>场地复杂程度</w:t>
            </w:r>
          </w:p>
        </w:tc>
        <w:tc>
          <w:tcPr>
            <w:tcW w:w="2436" w:type="pct"/>
            <w:shd w:val="clear" w:color="auto" w:fill="auto"/>
            <w:vAlign w:val="center"/>
          </w:tcPr>
          <w:p>
            <w:pPr>
              <w:pStyle w:val="33"/>
              <w:rPr>
                <w:rFonts w:cs="Times New Roman"/>
              </w:rPr>
            </w:pPr>
            <w:r>
              <w:rPr>
                <w:rFonts w:cs="Times New Roman"/>
                <w:lang w:bidi="ar"/>
              </w:rPr>
              <w:t>勘探点间距（m）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564" w:type="pct"/>
            <w:shd w:val="clear" w:color="auto" w:fill="auto"/>
            <w:vAlign w:val="center"/>
          </w:tcPr>
          <w:p>
            <w:pPr>
              <w:pStyle w:val="33"/>
              <w:rPr>
                <w:rFonts w:cs="Times New Roman"/>
              </w:rPr>
            </w:pPr>
            <w:r>
              <w:rPr>
                <w:rFonts w:cs="Times New Roman"/>
                <w:lang w:bidi="ar"/>
              </w:rPr>
              <w:t>简单场地</w:t>
            </w:r>
          </w:p>
        </w:tc>
        <w:tc>
          <w:tcPr>
            <w:tcW w:w="2436" w:type="pct"/>
            <w:shd w:val="clear" w:color="auto" w:fill="auto"/>
            <w:vAlign w:val="center"/>
          </w:tcPr>
          <w:p>
            <w:pPr>
              <w:pStyle w:val="33"/>
              <w:rPr>
                <w:rFonts w:cs="Times New Roman"/>
              </w:rPr>
            </w:pPr>
            <w:r>
              <w:rPr>
                <w:rFonts w:cs="Times New Roman"/>
                <w:lang w:bidi="ar"/>
              </w:rPr>
              <w:t>50～60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564" w:type="pct"/>
            <w:shd w:val="clear" w:color="auto" w:fill="auto"/>
            <w:vAlign w:val="center"/>
          </w:tcPr>
          <w:p>
            <w:pPr>
              <w:pStyle w:val="33"/>
              <w:rPr>
                <w:rFonts w:cs="Times New Roman"/>
              </w:rPr>
            </w:pPr>
            <w:r>
              <w:rPr>
                <w:rFonts w:cs="Times New Roman"/>
                <w:lang w:bidi="ar"/>
              </w:rPr>
              <w:t>中等复杂场地</w:t>
            </w:r>
          </w:p>
        </w:tc>
        <w:tc>
          <w:tcPr>
            <w:tcW w:w="2436" w:type="pct"/>
            <w:shd w:val="clear" w:color="auto" w:fill="auto"/>
            <w:vAlign w:val="center"/>
          </w:tcPr>
          <w:p>
            <w:pPr>
              <w:pStyle w:val="33"/>
              <w:rPr>
                <w:rFonts w:cs="Times New Roman"/>
              </w:rPr>
            </w:pPr>
            <w:r>
              <w:rPr>
                <w:rFonts w:cs="Times New Roman"/>
                <w:lang w:bidi="ar"/>
              </w:rPr>
              <w:t>30～50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2564" w:type="pct"/>
            <w:shd w:val="clear" w:color="auto" w:fill="auto"/>
            <w:vAlign w:val="center"/>
          </w:tcPr>
          <w:p>
            <w:pPr>
              <w:pStyle w:val="33"/>
              <w:rPr>
                <w:rFonts w:cs="Times New Roman"/>
              </w:rPr>
            </w:pPr>
            <w:r>
              <w:rPr>
                <w:rFonts w:cs="Times New Roman"/>
                <w:lang w:bidi="ar"/>
              </w:rPr>
              <w:t>复杂场地</w:t>
            </w:r>
          </w:p>
        </w:tc>
        <w:tc>
          <w:tcPr>
            <w:tcW w:w="2436" w:type="pct"/>
            <w:shd w:val="clear" w:color="auto" w:fill="auto"/>
            <w:vAlign w:val="center"/>
          </w:tcPr>
          <w:p>
            <w:pPr>
              <w:pStyle w:val="33"/>
              <w:rPr>
                <w:rFonts w:cs="Times New Roman"/>
              </w:rPr>
            </w:pPr>
            <w:r>
              <w:rPr>
                <w:rFonts w:cs="Times New Roman"/>
                <w:lang w:bidi="ar"/>
              </w:rPr>
              <w:t>10～30</w:t>
            </w:r>
          </w:p>
        </w:tc>
      </w:tr>
    </w:tbl>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勘探点宜沿明挖边界外按开挖深度的1倍~2倍范围内布置勘探点；明挖边界外无法布置勘探点时，应以调查研究、搜集既有资料为主。</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在地貌、地质单元交接部位、地层变化较大地段以及不良地质作用和特殊性岩土发育地段应扩大勘察范围和加密勘探点。</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明挖端头部位应布置勘探横剖面，且每条剖面上勘探孔不少于2个。</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勘探孔深度应符合下列规定：</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勘探孔深度应根据基础类型、基础埋置深度、结构底板深度、地质条件、地下水控制等综合确定。</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控制性勘探孔深度应满足稳定性分析、抗浮设计以及地下水控制的要求，土质地层勘探深度不应小于明挖深度的2~3倍，全风化岩质地层应进入结构底板以下不应小于10m，岩质地层应进入结构底板以下中等风化、微风化岩石不小于5m。</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一般性勘探孔土质地层勘探深度不应小于明挖深度的2.5倍；全风化岩质地层应进入结构底板以下不应小于8m；在结构埋深范围内如遇中等风化、微风化岩石地层进入结构底板以下不应不小于3m。</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当采用立柱桩、抗拔桩时，勘探孔深度应满足其设计要求。</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明挖底面以下存在软弱土层或承压水含水层时，勘探孔深度应穿过软弱土层或承压水含水层。</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地震动峰值加速度为 0.1g及以上地区，地基土为饱和砂土、粉土时，勘探孔深度应大于地震可液化层深度。</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探明地质构造、水文地质条件以及特殊需要的勘探测试孔深度可视具体情况确定。</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取样、原位测试的勘探点数量不应少于勘探点总数的2/3。</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岩、土、水样在送样过工中应注意采取避光、减震等措实，减少对试样的扰动中破坏。原位测试试验应满足现行《铁路工程地质原位测试规程》TB 10018相关规定。</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原位测试和室内试验及各层土的物理性质指标和力学指标应参照现行《岩土工程勘察规范》GB 50021的规定执行；对主要土层和厚度大于3m 的素填土，应按现行《建筑基坑支护技术规程》JGJ120的规定进行抗剪强度试验并提出相应的抗剪强度指标。</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明挖法隧道工程地质勘察宜在明挖范围外布置勘探孔；所有勘探孔在勘探、测试工作结束后，土层地段、岩层地段应分别采用水泥砂浆、微膨胀水泥砂浆进行封填，并详细记录勘探孔内遗留物。</w:t>
      </w:r>
    </w:p>
    <w:p>
      <w:pPr>
        <w:pStyle w:val="3"/>
      </w:pPr>
      <w:bookmarkStart w:id="43" w:name="_Toc27764"/>
      <w:r>
        <w:rPr>
          <w:rFonts w:hint="eastAsia"/>
        </w:rPr>
        <w:t>施工阶段勘察</w:t>
      </w:r>
      <w:bookmarkEnd w:id="43"/>
    </w:p>
    <w:p>
      <w:pPr>
        <w:pStyle w:val="51"/>
        <w:rPr>
          <w:lang w:bidi="ar"/>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阶段勘察应针对施工方法、施工工艺的特殊要求和施工中可能出现的工程地质、水文地质问题等开展工作，满足施工方案调整和风险控制的要求。施工阶段勘察应根据工程问题的复杂程度，结合已有勘察成果及场地条件确定工作方法及工作量。</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施工阶段遇下列情况宜进行施工阶段勘察：</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施工中出现地质异常，影响施工安全或工程稳定。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场地内不良地质、特殊岩土异常发育，影响施工安全或工程稳定。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施工中出现突水、涌泥、失稳、坍塌等工程地质问题。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施工中发生地面沉降过大、地面塌陷、相邻建筑开裂破坏等工程环境问题。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施工方案发生较大变 更或采用了新技术、新工艺、新方法、新材料，详勘和施工图阶段勘察资料不能满足要求。</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需进行施工阶段勘察的其他情况。</w:t>
      </w:r>
    </w:p>
    <w:p>
      <w:pPr>
        <w:pStyle w:val="3"/>
      </w:pPr>
      <w:bookmarkStart w:id="44" w:name="_Toc7125"/>
      <w:r>
        <w:rPr>
          <w:rFonts w:hint="eastAsia"/>
        </w:rPr>
        <w:t>岩土测试</w:t>
      </w:r>
      <w:bookmarkEnd w:id="44"/>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明挖勘察应结合根据开挖方法和支护设计的需要，确定勘察的范围，采用综合勘察手段，查明沿线地质构造、岩土类型及分布、岩土物理力学性质，并按表4.</w:t>
      </w:r>
      <w:r>
        <w:rPr>
          <w:rFonts w:hint="eastAsia" w:cs="Times New Roman" w:eastAsiaTheme="minorEastAsia"/>
          <w:bCs/>
          <w:color w:val="000000" w:themeColor="text1"/>
          <w:kern w:val="2"/>
          <w:sz w:val="28"/>
          <w:szCs w:val="28"/>
          <w:lang w:val="en-US" w:eastAsia="zh-CN" w:bidi="ar-SA"/>
          <w14:textFill>
            <w14:solidFill>
              <w14:schemeClr w14:val="tx1"/>
            </w14:solidFill>
          </w14:textFill>
        </w:rPr>
        <w:t>6</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.1开展岩土测试工作，提供必要的岩土参数。</w:t>
      </w:r>
    </w:p>
    <w:p>
      <w:pPr>
        <w:pStyle w:val="38"/>
        <w:rPr>
          <w:rFonts w:hint="eastAsia"/>
        </w:rPr>
      </w:pPr>
    </w:p>
    <w:p>
      <w:pPr>
        <w:pStyle w:val="38"/>
        <w:rPr>
          <w:rFonts w:hint="eastAsia"/>
        </w:rPr>
      </w:pPr>
    </w:p>
    <w:p>
      <w:pPr>
        <w:pStyle w:val="38"/>
        <w:rPr>
          <w:rFonts w:hint="eastAsia"/>
        </w:rPr>
      </w:pPr>
    </w:p>
    <w:p>
      <w:pPr>
        <w:pStyle w:val="38"/>
        <w:rPr>
          <w:rFonts w:hint="eastAsia"/>
        </w:rPr>
      </w:pPr>
    </w:p>
    <w:p>
      <w:pPr>
        <w:pStyle w:val="38"/>
      </w:pPr>
      <w:r>
        <w:rPr>
          <w:rFonts w:hint="eastAsia"/>
        </w:rPr>
        <w:t>表4</w:t>
      </w:r>
      <w:r>
        <w:t>.</w:t>
      </w:r>
      <w:r>
        <w:rPr>
          <w:rFonts w:hint="eastAsia"/>
          <w:lang w:val="en-US" w:eastAsia="zh-CN"/>
        </w:rPr>
        <w:t>6</w:t>
      </w:r>
      <w:r>
        <w:t xml:space="preserve">.1 </w:t>
      </w:r>
      <w:r>
        <w:rPr>
          <w:rFonts w:hint="eastAsia"/>
        </w:rPr>
        <w:t>明挖法隧道勘察岩土参数选择表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763"/>
        <w:gridCol w:w="592"/>
        <w:gridCol w:w="592"/>
        <w:gridCol w:w="592"/>
        <w:gridCol w:w="592"/>
        <w:gridCol w:w="593"/>
        <w:gridCol w:w="593"/>
        <w:gridCol w:w="593"/>
        <w:gridCol w:w="593"/>
        <w:gridCol w:w="593"/>
        <w:gridCol w:w="593"/>
        <w:gridCol w:w="593"/>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exact"/>
          <w:jc w:val="center"/>
        </w:trPr>
        <w:tc>
          <w:tcPr>
            <w:tcW w:w="1184" w:type="dxa"/>
            <w:gridSpan w:val="2"/>
            <w:vAlign w:val="center"/>
          </w:tcPr>
          <w:p>
            <w:pPr>
              <w:pStyle w:val="33"/>
              <w:rPr>
                <w:sz w:val="20"/>
                <w:szCs w:val="20"/>
              </w:rPr>
            </w:pPr>
            <w:r>
              <w:rPr>
                <w:rFonts w:hint="eastAsia"/>
                <w:sz w:val="20"/>
                <w:szCs w:val="20"/>
              </w:rPr>
              <w:t>开挖施工方法</w:t>
            </w:r>
          </w:p>
        </w:tc>
        <w:tc>
          <w:tcPr>
            <w:tcW w:w="592" w:type="dxa"/>
            <w:vAlign w:val="center"/>
          </w:tcPr>
          <w:p>
            <w:pPr>
              <w:pStyle w:val="33"/>
              <w:rPr>
                <w:sz w:val="20"/>
                <w:szCs w:val="20"/>
              </w:rPr>
            </w:pPr>
            <w:r>
              <w:rPr>
                <w:rFonts w:hint="eastAsia"/>
                <w:sz w:val="20"/>
                <w:szCs w:val="20"/>
              </w:rPr>
              <w:t>密度</w:t>
            </w:r>
          </w:p>
        </w:tc>
        <w:tc>
          <w:tcPr>
            <w:tcW w:w="592" w:type="dxa"/>
            <w:vAlign w:val="center"/>
          </w:tcPr>
          <w:p>
            <w:pPr>
              <w:pStyle w:val="33"/>
              <w:rPr>
                <w:sz w:val="20"/>
                <w:szCs w:val="20"/>
              </w:rPr>
            </w:pPr>
            <w:r>
              <w:rPr>
                <w:rFonts w:hint="eastAsia"/>
                <w:sz w:val="20"/>
                <w:szCs w:val="20"/>
              </w:rPr>
              <w:t>黏聚力</w:t>
            </w:r>
          </w:p>
        </w:tc>
        <w:tc>
          <w:tcPr>
            <w:tcW w:w="592" w:type="dxa"/>
            <w:vAlign w:val="center"/>
          </w:tcPr>
          <w:p>
            <w:pPr>
              <w:pStyle w:val="33"/>
              <w:rPr>
                <w:sz w:val="20"/>
                <w:szCs w:val="20"/>
              </w:rPr>
            </w:pPr>
            <w:r>
              <w:rPr>
                <w:rFonts w:hint="eastAsia"/>
                <w:sz w:val="20"/>
                <w:szCs w:val="20"/>
              </w:rPr>
              <w:t>内摩擦角</w:t>
            </w:r>
          </w:p>
        </w:tc>
        <w:tc>
          <w:tcPr>
            <w:tcW w:w="592" w:type="dxa"/>
            <w:vAlign w:val="center"/>
          </w:tcPr>
          <w:p>
            <w:pPr>
              <w:pStyle w:val="33"/>
              <w:rPr>
                <w:sz w:val="20"/>
                <w:szCs w:val="20"/>
              </w:rPr>
            </w:pPr>
            <w:r>
              <w:rPr>
                <w:rFonts w:hint="eastAsia"/>
                <w:sz w:val="20"/>
                <w:szCs w:val="20"/>
              </w:rPr>
              <w:t>静止侧压力系数</w:t>
            </w:r>
          </w:p>
        </w:tc>
        <w:tc>
          <w:tcPr>
            <w:tcW w:w="593" w:type="dxa"/>
            <w:vAlign w:val="center"/>
          </w:tcPr>
          <w:p>
            <w:pPr>
              <w:pStyle w:val="33"/>
              <w:rPr>
                <w:sz w:val="20"/>
                <w:szCs w:val="20"/>
              </w:rPr>
            </w:pPr>
            <w:r>
              <w:rPr>
                <w:rFonts w:hint="eastAsia"/>
                <w:sz w:val="20"/>
                <w:szCs w:val="20"/>
              </w:rPr>
              <w:t>无侧限抗压强度</w:t>
            </w:r>
          </w:p>
        </w:tc>
        <w:tc>
          <w:tcPr>
            <w:tcW w:w="593" w:type="dxa"/>
            <w:vAlign w:val="center"/>
          </w:tcPr>
          <w:p>
            <w:pPr>
              <w:pStyle w:val="33"/>
              <w:rPr>
                <w:sz w:val="20"/>
                <w:szCs w:val="20"/>
              </w:rPr>
            </w:pPr>
            <w:r>
              <w:rPr>
                <w:rFonts w:hint="eastAsia"/>
                <w:sz w:val="20"/>
                <w:szCs w:val="20"/>
              </w:rPr>
              <w:t>十字板剪切强度</w:t>
            </w:r>
          </w:p>
        </w:tc>
        <w:tc>
          <w:tcPr>
            <w:tcW w:w="593" w:type="dxa"/>
            <w:vAlign w:val="center"/>
          </w:tcPr>
          <w:p>
            <w:pPr>
              <w:pStyle w:val="33"/>
              <w:rPr>
                <w:sz w:val="20"/>
                <w:szCs w:val="20"/>
              </w:rPr>
            </w:pPr>
            <w:r>
              <w:rPr>
                <w:rFonts w:hint="eastAsia"/>
                <w:sz w:val="20"/>
                <w:szCs w:val="20"/>
              </w:rPr>
              <w:t>水平抗力系数的比例系数</w:t>
            </w:r>
          </w:p>
        </w:tc>
        <w:tc>
          <w:tcPr>
            <w:tcW w:w="593" w:type="dxa"/>
            <w:vAlign w:val="center"/>
          </w:tcPr>
          <w:p>
            <w:pPr>
              <w:pStyle w:val="33"/>
              <w:rPr>
                <w:sz w:val="20"/>
                <w:szCs w:val="20"/>
              </w:rPr>
            </w:pPr>
            <w:r>
              <w:rPr>
                <w:rFonts w:hint="eastAsia"/>
                <w:sz w:val="20"/>
                <w:szCs w:val="20"/>
              </w:rPr>
              <w:t>回弹及回弹再压缩模量</w:t>
            </w:r>
          </w:p>
        </w:tc>
        <w:tc>
          <w:tcPr>
            <w:tcW w:w="593" w:type="dxa"/>
            <w:vAlign w:val="center"/>
          </w:tcPr>
          <w:p>
            <w:pPr>
              <w:pStyle w:val="33"/>
              <w:rPr>
                <w:sz w:val="20"/>
                <w:szCs w:val="20"/>
              </w:rPr>
            </w:pPr>
            <w:r>
              <w:rPr>
                <w:rFonts w:hint="eastAsia"/>
                <w:sz w:val="20"/>
                <w:szCs w:val="20"/>
              </w:rPr>
              <w:t>弹性模量</w:t>
            </w:r>
          </w:p>
        </w:tc>
        <w:tc>
          <w:tcPr>
            <w:tcW w:w="593" w:type="dxa"/>
            <w:vAlign w:val="center"/>
          </w:tcPr>
          <w:p>
            <w:pPr>
              <w:pStyle w:val="33"/>
              <w:rPr>
                <w:sz w:val="20"/>
                <w:szCs w:val="20"/>
              </w:rPr>
            </w:pPr>
            <w:r>
              <w:rPr>
                <w:rFonts w:hint="eastAsia"/>
                <w:sz w:val="20"/>
                <w:szCs w:val="20"/>
              </w:rPr>
              <w:t>渗透系数</w:t>
            </w:r>
          </w:p>
        </w:tc>
        <w:tc>
          <w:tcPr>
            <w:tcW w:w="593" w:type="dxa"/>
            <w:vAlign w:val="center"/>
          </w:tcPr>
          <w:p>
            <w:pPr>
              <w:pStyle w:val="33"/>
              <w:rPr>
                <w:sz w:val="20"/>
                <w:szCs w:val="20"/>
              </w:rPr>
            </w:pPr>
            <w:r>
              <w:rPr>
                <w:rFonts w:hint="eastAsia"/>
                <w:sz w:val="20"/>
                <w:szCs w:val="20"/>
              </w:rPr>
              <w:t>土体与锚固体粘结强度</w:t>
            </w:r>
          </w:p>
        </w:tc>
        <w:tc>
          <w:tcPr>
            <w:tcW w:w="593" w:type="dxa"/>
            <w:vAlign w:val="center"/>
          </w:tcPr>
          <w:p>
            <w:pPr>
              <w:pStyle w:val="33"/>
              <w:rPr>
                <w:sz w:val="20"/>
                <w:szCs w:val="20"/>
              </w:rPr>
            </w:pPr>
            <w:r>
              <w:rPr>
                <w:rFonts w:hint="eastAsia"/>
                <w:sz w:val="20"/>
                <w:szCs w:val="20"/>
              </w:rPr>
              <w:t>桩基设计参数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gridSpan w:val="2"/>
            <w:vAlign w:val="center"/>
          </w:tcPr>
          <w:p>
            <w:pPr>
              <w:pStyle w:val="33"/>
              <w:rPr>
                <w:sz w:val="20"/>
                <w:szCs w:val="20"/>
              </w:rPr>
            </w:pPr>
            <w:r>
              <w:rPr>
                <w:rFonts w:hint="eastAsia"/>
                <w:sz w:val="20"/>
                <w:szCs w:val="20"/>
              </w:rPr>
              <w:t>放坡开挖</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restart"/>
            <w:vAlign w:val="center"/>
          </w:tcPr>
          <w:p>
            <w:pPr>
              <w:pStyle w:val="33"/>
              <w:rPr>
                <w:sz w:val="20"/>
                <w:szCs w:val="20"/>
              </w:rPr>
            </w:pPr>
            <w:r>
              <w:rPr>
                <w:rFonts w:hint="eastAsia"/>
                <w:sz w:val="20"/>
                <w:szCs w:val="20"/>
              </w:rPr>
              <w:t>支护开挖</w:t>
            </w:r>
          </w:p>
        </w:tc>
        <w:tc>
          <w:tcPr>
            <w:tcW w:w="763" w:type="dxa"/>
            <w:vAlign w:val="center"/>
          </w:tcPr>
          <w:p>
            <w:pPr>
              <w:pStyle w:val="33"/>
              <w:rPr>
                <w:sz w:val="20"/>
                <w:szCs w:val="20"/>
              </w:rPr>
            </w:pPr>
            <w:r>
              <w:rPr>
                <w:rFonts w:hint="eastAsia"/>
                <w:sz w:val="20"/>
                <w:szCs w:val="20"/>
              </w:rPr>
              <w:t>土钉墙</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pStyle w:val="33"/>
              <w:rPr>
                <w:sz w:val="20"/>
                <w:szCs w:val="20"/>
              </w:rPr>
            </w:pPr>
          </w:p>
        </w:tc>
        <w:tc>
          <w:tcPr>
            <w:tcW w:w="763" w:type="dxa"/>
            <w:vAlign w:val="center"/>
          </w:tcPr>
          <w:p>
            <w:pPr>
              <w:pStyle w:val="33"/>
              <w:rPr>
                <w:sz w:val="20"/>
                <w:szCs w:val="20"/>
              </w:rPr>
            </w:pPr>
            <w:r>
              <w:rPr>
                <w:rFonts w:hint="eastAsia"/>
                <w:sz w:val="20"/>
                <w:szCs w:val="20"/>
              </w:rPr>
              <w:t>排桩</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pStyle w:val="33"/>
              <w:rPr>
                <w:sz w:val="20"/>
                <w:szCs w:val="20"/>
              </w:rPr>
            </w:pPr>
          </w:p>
        </w:tc>
        <w:tc>
          <w:tcPr>
            <w:tcW w:w="763" w:type="dxa"/>
            <w:vAlign w:val="center"/>
          </w:tcPr>
          <w:p>
            <w:pPr>
              <w:pStyle w:val="33"/>
              <w:rPr>
                <w:sz w:val="20"/>
                <w:szCs w:val="20"/>
              </w:rPr>
            </w:pPr>
            <w:r>
              <w:rPr>
                <w:rFonts w:hint="eastAsia"/>
                <w:sz w:val="20"/>
                <w:szCs w:val="20"/>
              </w:rPr>
              <w:t>钢板桩</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21" w:type="dxa"/>
            <w:vMerge w:val="continue"/>
            <w:vAlign w:val="center"/>
          </w:tcPr>
          <w:p>
            <w:pPr>
              <w:pStyle w:val="33"/>
              <w:rPr>
                <w:sz w:val="20"/>
                <w:szCs w:val="20"/>
              </w:rPr>
            </w:pPr>
          </w:p>
        </w:tc>
        <w:tc>
          <w:tcPr>
            <w:tcW w:w="763" w:type="dxa"/>
            <w:vAlign w:val="center"/>
          </w:tcPr>
          <w:p>
            <w:pPr>
              <w:pStyle w:val="33"/>
              <w:rPr>
                <w:sz w:val="20"/>
                <w:szCs w:val="20"/>
              </w:rPr>
            </w:pPr>
            <w:r>
              <w:rPr>
                <w:rFonts w:hint="eastAsia"/>
                <w:sz w:val="20"/>
                <w:szCs w:val="20"/>
              </w:rPr>
              <w:t>地下连续墙</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pStyle w:val="33"/>
              <w:rPr>
                <w:sz w:val="20"/>
                <w:szCs w:val="20"/>
              </w:rPr>
            </w:pPr>
          </w:p>
        </w:tc>
        <w:tc>
          <w:tcPr>
            <w:tcW w:w="763" w:type="dxa"/>
            <w:vAlign w:val="center"/>
          </w:tcPr>
          <w:p>
            <w:pPr>
              <w:pStyle w:val="33"/>
              <w:rPr>
                <w:sz w:val="20"/>
                <w:szCs w:val="20"/>
              </w:rPr>
            </w:pPr>
            <w:r>
              <w:rPr>
                <w:rFonts w:hint="eastAsia"/>
                <w:sz w:val="20"/>
                <w:szCs w:val="20"/>
              </w:rPr>
              <w:t>水泥土挡墙</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gridSpan w:val="2"/>
            <w:vAlign w:val="center"/>
          </w:tcPr>
          <w:p>
            <w:pPr>
              <w:pStyle w:val="33"/>
              <w:rPr>
                <w:sz w:val="20"/>
                <w:szCs w:val="20"/>
              </w:rPr>
            </w:pPr>
            <w:r>
              <w:rPr>
                <w:rFonts w:hint="eastAsia"/>
                <w:sz w:val="20"/>
                <w:szCs w:val="20"/>
              </w:rPr>
              <w:t>盖挖</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2"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c>
          <w:tcPr>
            <w:tcW w:w="593" w:type="dxa"/>
            <w:vAlign w:val="center"/>
          </w:tcPr>
          <w:p>
            <w:pPr>
              <w:pStyle w:val="33"/>
              <w:rPr>
                <w:sz w:val="20"/>
                <w:szCs w:val="20"/>
              </w:rPr>
            </w:pPr>
            <w:r>
              <w:rPr>
                <w:rFonts w:hint="eastAsia"/>
                <w:sz w:val="20"/>
                <w:szCs w:val="20"/>
              </w:rPr>
              <w:t>√</w:t>
            </w:r>
          </w:p>
        </w:tc>
      </w:tr>
    </w:tbl>
    <w:p>
      <w:pPr>
        <w:ind w:firstLine="440"/>
        <w:rPr>
          <w:sz w:val="22"/>
          <w:szCs w:val="20"/>
        </w:rPr>
      </w:pPr>
      <w:r>
        <w:rPr>
          <w:rFonts w:hint="eastAsia"/>
          <w:sz w:val="22"/>
          <w:szCs w:val="20"/>
        </w:rPr>
        <w:t>注：△表示可提供，√表示应提供，—表示可不提供</w:t>
      </w:r>
    </w:p>
    <w:p>
      <w:pPr>
        <w:pStyle w:val="51"/>
        <w:widowControl w:val="0"/>
        <w:numPr>
          <w:ilvl w:val="2"/>
          <w:numId w:val="1"/>
        </w:numPr>
        <w:spacing w:line="360" w:lineRule="auto"/>
        <w:ind w:left="284"/>
        <w:rPr>
          <w:rFonts w:hint="eastAsia" w:ascii="楷体" w:hAnsi="楷体" w:eastAsia="楷体"/>
          <w:szCs w:val="24"/>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土的抗剪强度指标应结合土的性质、支护形式以及基坑开挖等级等合理确定试验方法，也可结合工程经验综合确定。</w:t>
      </w:r>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岩土测试应符合以下要求：</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每一地质单元的主要岩土层原位测试或岩土样试验数据不应少于6件（组）。</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明挖底部压缩层范围内的土层宜进行回弹再压缩试验。</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采取地表水、地下水试样及明挖范围内的岩土试样应进行腐蚀性试</w:t>
      </w:r>
      <w:r>
        <w:rPr>
          <w:rFonts w:hint="eastAsia" w:cs="Times New Roman" w:eastAsiaTheme="minorEastAsia"/>
          <w:bCs/>
          <w:color w:val="000000" w:themeColor="text1"/>
          <w:kern w:val="2"/>
          <w:sz w:val="28"/>
          <w:szCs w:val="28"/>
          <w:lang w:val="en-US" w:eastAsia="zh-CN" w:bidi="ar-SA"/>
          <w14:textFill>
            <w14:solidFill>
              <w14:schemeClr w14:val="tx1"/>
            </w14:solidFill>
          </w14:textFill>
        </w:rPr>
        <w:t>验。</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当地下水对明挖工程影响较大或需进行地下水控制时，宜进行水文地质试验。</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岩石主要测试项目应包括岩石单轴抗压及抗拉强度、抗剪强度、软化系数、弹性模量等。</w:t>
      </w:r>
    </w:p>
    <w:p>
      <w:pPr>
        <w:pStyle w:val="3"/>
      </w:pPr>
      <w:bookmarkStart w:id="45" w:name="_Toc11130"/>
      <w:r>
        <w:rPr>
          <w:rFonts w:hint="eastAsia"/>
        </w:rPr>
        <w:t>勘察成果</w:t>
      </w:r>
      <w:bookmarkEnd w:id="45"/>
    </w:p>
    <w:p>
      <w:pPr>
        <w:pStyle w:val="51"/>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工程地质勘察报告应在搜集已有资料，取得工程地质调绘、勘探、测试、试验等成果的基础上，结合勘察阶段、工程特点、设计方案、施工方法等，进行综合地质分析。</w:t>
      </w:r>
    </w:p>
    <w:p>
      <w:pPr>
        <w:pStyle w:val="51"/>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rPr>
        <w:t>工</w:t>
      </w:r>
      <w:r>
        <w:rPr>
          <w:rFonts w:hint="eastAsia" w:cs="Times New Roman" w:eastAsiaTheme="minorEastAsia"/>
          <w:bCs/>
          <w:color w:val="000000" w:themeColor="text1"/>
          <w:kern w:val="2"/>
          <w:sz w:val="28"/>
          <w:szCs w:val="28"/>
          <w:lang w:val="en-US" w:eastAsia="zh-CN" w:bidi="ar-SA"/>
          <w14:textFill>
            <w14:solidFill>
              <w14:schemeClr w14:val="tx1"/>
            </w14:solidFill>
          </w14:textFill>
        </w:rPr>
        <w:t>程地质与水文地质参数应结合原位测试、室内试验和当地工程经验等综合确定。</w:t>
      </w:r>
    </w:p>
    <w:p>
      <w:pPr>
        <w:pStyle w:val="51"/>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工程地质勘察报告应资料完整、数据真实、内容可靠，工程地质分析评价应论据充分、针对性强。</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工程地质分析评价应包括下列内容</w:t>
      </w:r>
      <w:r>
        <w:rPr>
          <w:rFonts w:hint="eastAsia"/>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评价工程建设场地的稳定性、适宜性。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划分场地土类型和场地类别，评价场地和地基土地震效应。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提出开挖方法、计算参数和支护结构选型的建议。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分析基底隆起、基坑突涌的可能性，提出基坑开挖方式及支护方案的建议。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提供防渗和抗浮设防水位。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软弱结构面的空间分布、特性及其对边坡、坑壁的影响。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评价水和土对建筑材料腐蚀性。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8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根据周边建（构）筑物、地下管线等在施工过程中的安全性，提出迁改、防护等措施建议。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9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预测工程建设对周边环境影响，提出防护措施建议。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10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对不良地质作用和特殊岩土可能引起的明挖法施工风险提出控制性措施的建议。</w:t>
      </w:r>
    </w:p>
    <w:p>
      <w:pPr>
        <w:pStyle w:val="51"/>
        <w:rPr>
          <w:rStyle w:val="37"/>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工程地质勘察报告应包括文字、表格、图件，重要的支持性资料可作为附件。</w:t>
      </w:r>
    </w:p>
    <w:p>
      <w:pPr>
        <w:ind w:firstLine="480"/>
        <w:rPr>
          <w:rStyle w:val="37"/>
        </w:rPr>
      </w:pPr>
    </w:p>
    <w:p>
      <w:pPr>
        <w:pStyle w:val="3"/>
      </w:pPr>
      <w:bookmarkStart w:id="46" w:name="_Toc32607"/>
      <w:r>
        <w:rPr>
          <w:rFonts w:hint="eastAsia"/>
        </w:rPr>
        <w:t>环境调查</w:t>
      </w:r>
      <w:bookmarkEnd w:id="46"/>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工程周边环境风险等级可根据工程周边环境与工程的相互影响成都及破坏后果的严重程度进行划分。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一级环境风险：工程周边环境与工程相互影响很大，破坏后果很严重。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二级环境风险：工程周边环境与工程相互影响大，破坏后果严重。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三级环境风险：工程周边环境与工程相互影响较大，破坏后果较严重。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四级环境风险：工程周边环境与工程相互影响小，破坏后果轻微。</w:t>
      </w:r>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环境调查应调查基坑周边2倍开挖深度范围内建（构）筑物及设施的状况，当在2～4倍开挖深度范围内有优秀历史建筑、有精密仪器与设备的厂房、其它采用天然地基或短桩基础的重要建（构）筑物、轨道交通设施、隧道、防汛墙、共同沟、原水管、自来水总管、煤气总管等重要建（构）筑物或设施时亦应调查这些被保护对象的状况。</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对环境保护等级为一级的基坑应进行专项环境调查工作并提供调查报告，调查报告应能满足环境影响分析与评价的需要。专项环境调查包括如下内容∶</w:t>
      </w:r>
    </w:p>
    <w:p>
      <w:pPr>
        <w:pStyle w:val="51"/>
        <w:widowControl w:val="0"/>
        <w:numPr>
          <w:ilvl w:val="255"/>
          <w:numId w:val="0"/>
        </w:numPr>
        <w:spacing w:line="360" w:lineRule="auto"/>
        <w:ind w:left="0" w:firstLine="280" w:firstLineChars="1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建（构）筑物应查明其用途、平面位置、层数、结构形式、材料类型、基础形式与埋深、历史沿革及现状、荷载、沉降、倾斜、裂缝情况、有关竣工资料（如平面图、立面图和剖面图等）及保护要求等;对优秀历史建筑，应根据有关规定对其进行房屋结构质量检测与鉴定，以估计其抵抗变形的能力。</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隧道、防汛墙、共同沟等建（构）筑物应查明其平面位置、埋深、材料类型、断面尺寸、受力情况及保护要求等。</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管线应协同有关管线单位查明其平面位置、直径、材料类型、埋深、接头形式、压力、输送的物质（油、气、水等）、建造年代及保护要求等。</w:t>
      </w:r>
    </w:p>
    <w:p>
      <w:pPr>
        <w:pStyle w:val="51"/>
        <w:widowControl w:val="0"/>
        <w:numPr>
          <w:ilvl w:val="255"/>
          <w:numId w:val="0"/>
        </w:numPr>
        <w:spacing w:line="360" w:lineRule="auto"/>
        <w:ind w:left="0" w:firstLine="686" w:firstLineChars="245"/>
        <w:rPr>
          <w:rFonts w:hint="eastAsia" w:cs="Times New Roman" w:eastAsiaTheme="minorEastAsia"/>
          <w:bCs/>
          <w:color w:val="000000" w:themeColor="text1"/>
          <w:kern w:val="2"/>
          <w:sz w:val="28"/>
          <w:szCs w:val="28"/>
          <w:lang w:val="zh-CN" w:eastAsia="zh-CN" w:bidi="ar-SA"/>
          <w14:textFill>
            <w14:solidFill>
              <w14:schemeClr w14:val="tx1"/>
            </w14:solidFill>
          </w14:textFill>
        </w:rPr>
      </w:pPr>
    </w:p>
    <w:p>
      <w:pPr>
        <w:pStyle w:val="2"/>
      </w:pPr>
      <w:bookmarkStart w:id="47" w:name="_Toc20788"/>
      <w:bookmarkStart w:id="48" w:name="_Toc9892"/>
      <w:bookmarkStart w:id="49" w:name="_Toc26038592"/>
      <w:r>
        <w:rPr>
          <w:rFonts w:hint="eastAsia"/>
        </w:rPr>
        <w:t>设计荷载</w:t>
      </w:r>
      <w:bookmarkEnd w:id="47"/>
      <w:bookmarkEnd w:id="48"/>
    </w:p>
    <w:bookmarkEnd w:id="38"/>
    <w:bookmarkEnd w:id="39"/>
    <w:bookmarkEnd w:id="49"/>
    <w:p>
      <w:pPr>
        <w:pStyle w:val="3"/>
      </w:pPr>
      <w:bookmarkStart w:id="50" w:name="_Toc1450"/>
      <w:bookmarkStart w:id="51" w:name="_Toc25076086"/>
      <w:bookmarkStart w:id="52" w:name="_Toc25075835"/>
      <w:bookmarkStart w:id="53" w:name="_Toc26038598"/>
      <w:r>
        <w:rPr>
          <w:rFonts w:hint="eastAsia"/>
        </w:rPr>
        <w:t>一般</w:t>
      </w:r>
      <w:r>
        <w:t>规定</w:t>
      </w:r>
      <w:bookmarkEnd w:id="50"/>
    </w:p>
    <w:p>
      <w:pPr>
        <w:pStyle w:val="51"/>
        <w:rPr>
          <w:lang w:val="zh-CN"/>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层压力应根据结构所处工程地质和水文地质条件、埋置深度、结构形式及其工作条件、施工方法及相邻隧道间距等因素，结合已有的试验、测试和研究资料确定。岩质隧道的围岩压力可根据围岩分级，按现行标准《铁路隧道设计规范》（TB 10003）的有关规定确定。</w:t>
      </w: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w:t>
      </w:r>
      <w:r>
        <w:rPr>
          <w:rFonts w:hint="eastAsia" w:cs="Times New Roman" w:eastAsiaTheme="minorEastAsia"/>
          <w:bCs/>
          <w:color w:val="000000" w:themeColor="text1"/>
          <w:kern w:val="2"/>
          <w:sz w:val="28"/>
          <w:szCs w:val="28"/>
          <w:lang w:val="zh-CN" w:eastAsia="zh-CN" w:bidi="ar-SA"/>
          <w14:textFill>
            <w14:solidFill>
              <w14:schemeClr w14:val="tx1"/>
            </w14:solidFill>
          </w14:textFill>
        </w:rPr>
        <w:t>隧道可按下列方法和原则计算土压力：</w:t>
      </w:r>
    </w:p>
    <w:p>
      <w:pPr>
        <w:pStyle w:val="51"/>
        <w:widowControl w:val="0"/>
        <w:numPr>
          <w:ilvl w:val="255"/>
          <w:numId w:val="0"/>
        </w:numPr>
        <w:spacing w:line="360" w:lineRule="auto"/>
        <w:ind w:left="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竖向压力应按下列规定计算：</w:t>
      </w:r>
    </w:p>
    <w:p>
      <w:pPr>
        <w:ind w:firstLine="840" w:firstLineChars="30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1）明、盖挖法施工的结构宜按计算截面以上全部土柱重量计算；</w:t>
      </w:r>
    </w:p>
    <w:p>
      <w:pPr>
        <w:ind w:left="1246" w:leftChars="0" w:hanging="406" w:firstLineChars="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2）竖向荷载应结合地面及临近的任何其他荷载对竖向压力的影响进行计算。</w:t>
      </w:r>
    </w:p>
    <w:p>
      <w:pPr>
        <w:pStyle w:val="51"/>
        <w:widowControl w:val="0"/>
        <w:numPr>
          <w:ilvl w:val="255"/>
          <w:numId w:val="0"/>
        </w:numPr>
        <w:spacing w:line="360" w:lineRule="auto"/>
        <w:ind w:left="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水平压力应按下列规定计算：</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1）施工期间作用在支护结构主动区的土压力宜根据变形控制要求在主动土压力和静止土压力之间选择，在支护结构的非脱离区或给支护结构施加预应力时应计入土体抗力的作用；</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2）明挖结构长期使用阶段或逆作法结构承受的土压力宜按静止土压力计算；</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明挖法的围护结构，应计及100％的土压力作用；当围护结构的地下连续墙或灌注桩宜作为主体结构侧墙的一部分与主体结构共同受力时，主体结构与围护结构共同分担的土压力，分别按最大、最小侧压力两种情况，与其他荷载进行不利组合计算；</w:t>
      </w:r>
    </w:p>
    <w:p>
      <w:pPr>
        <w:ind w:left="1246" w:leftChars="0" w:hanging="406" w:firstLineChars="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4）荷载计算应计及地面荷载和破坏棱体范围的建（构）筑物，以及施工机械等引起的附加水平侧压力。</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作用在地下结构上的水压力，应根据施工阶段和长期使用过程中地下水位的变化，以及不同的地质条件，分别按下列规定计算：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水压力可按静水压力计算，并应根据设防水位以及施工阶段和使用阶段可能发生的地下水最高水位和最低水位两种情况，计算水压力和浮力对结构的作用；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砂性土地层的侧向水、土压力应采用水土分算；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黏性土地层的侧向水、土压力，在施工阶段应采用水土合算，使用阶段应采用水土分算。</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直接承受铁路车辆荷载的楼板等构件，应按铁路车辆的实际轴重和排列计算其产生的竖向荷载作用，并应计入车辆的动力作用。</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疏散平台、楼板和楼梯等部位的人群均布荷载的标准值可采用4.0kPa。</w:t>
      </w:r>
    </w:p>
    <w:p>
      <w:pPr>
        <w:pStyle w:val="51"/>
        <w:numPr>
          <w:ilvl w:val="0"/>
          <w:numId w:val="0"/>
        </w:numPr>
        <w:rPr>
          <w:rFonts w:ascii="楷体" w:hAnsi="楷体" w:eastAsia="楷体"/>
        </w:rPr>
      </w:pPr>
    </w:p>
    <w:p>
      <w:pPr>
        <w:pStyle w:val="51"/>
        <w:rPr>
          <w:lang w:val="zh-CN"/>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地下结构应按下列施工荷载之一或可能发生的组合设计：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设备运输及吊装荷载；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施工机具荷载，不宜超过10kPa；</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地面堆载，宜采用20kPa，盾构井处应根据盾构施工情况取值且不应小于30kPa；</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邻近隧道开挖的影响；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盾构施工及其配套设备对明挖地下结构引起的荷载；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注浆所引起的附加荷载；</w:t>
      </w:r>
    </w:p>
    <w:p>
      <w:pPr>
        <w:pStyle w:val="51"/>
        <w:rPr>
          <w:lang w:val="zh-CN"/>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在道路下方的隧道，应按现行《公路桥涵设计通用规范》JTG D60的有关规定确定地面车辆荷载及排列；铁路下方隧道的荷载，应按现行《铁路桥涵设计规范》TB 10002的有关规定执行。</w:t>
      </w:r>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隧道结构温度变化影响应根据所处地区的气温条件、运营环境及施工条件确定。</w:t>
      </w:r>
    </w:p>
    <w:p>
      <w:pPr>
        <w:ind w:firstLine="480"/>
        <w:rPr>
          <w:rStyle w:val="37"/>
        </w:rPr>
      </w:pPr>
    </w:p>
    <w:p>
      <w:pPr>
        <w:pStyle w:val="3"/>
      </w:pPr>
      <w:bookmarkStart w:id="54" w:name="_Toc28936"/>
      <w:r>
        <w:t>土压力</w:t>
      </w:r>
      <w:bookmarkEnd w:id="54"/>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计算作用在支护结构上的土压力荷载时，应考虑以下因素：</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基坑结构内外土体的自重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基坑周边既有建（构）筑物的荷载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基坑周边材料、机械设备等施工荷载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基坑周边道路车辆荷载</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当位于特殊环境时需考虑土体膨胀、冻胀等荷载左右。</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作用在支护结构上的土压力应按下列规定确定: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支护结构外侧的主动土压力强度标准值、支护结构内侧的被动土压力强度标准值宜按下列公式计算（图5.2.2):</w:t>
      </w:r>
    </w:p>
    <w:p>
      <w:pPr>
        <w:pStyle w:val="43"/>
        <w:numPr>
          <w:ilvl w:val="0"/>
          <w:numId w:val="5"/>
        </w:numPr>
        <w:ind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对地下水位以上或水土合算的土层</w:t>
      </w:r>
    </w:p>
    <w:p>
      <w:pPr>
        <w:pStyle w:val="35"/>
      </w:pPr>
      <w:r>
        <w:object>
          <v:shape id="_x0000_i1025" o:spt="75" type="#_x0000_t75" style="height:22.2pt;width:118.2pt;" o:ole="t" filled="f" o:preferrelative="t" stroked="f" coordsize="21600,21600">
            <v:path/>
            <v:fill on="f" focussize="0,0"/>
            <v:stroke on="f" joinstyle="miter"/>
            <v:imagedata r:id="rId32" o:title=""/>
            <o:lock v:ext="edit" aspectratio="t"/>
            <w10:wrap type="none"/>
            <w10:anchorlock/>
          </v:shape>
          <o:OLEObject Type="Embed" ProgID="Equation.DSMT4" ShapeID="_x0000_i1025" DrawAspect="Content" ObjectID="_1468075725" r:id="rId31">
            <o:LockedField>false</o:LockedField>
          </o:OLEObject>
        </w:object>
      </w:r>
      <w:r>
        <w:t xml:space="preserve">      (5.2.2-1)</w:t>
      </w:r>
    </w:p>
    <w:p>
      <w:pPr>
        <w:pStyle w:val="35"/>
      </w:pPr>
      <w:r>
        <w:object>
          <v:shape id="_x0000_i1026" o:spt="75" type="#_x0000_t75" style="height:34.2pt;width:106.2pt;" o:ole="t" filled="f" o:preferrelative="t" stroked="f" coordsize="21600,21600">
            <v:path/>
            <v:fill on="f" focussize="0,0"/>
            <v:stroke on="f" joinstyle="miter"/>
            <v:imagedata r:id="rId34" o:title=""/>
            <o:lock v:ext="edit" aspectratio="t"/>
            <w10:wrap type="none"/>
            <w10:anchorlock/>
          </v:shape>
          <o:OLEObject Type="Embed" ProgID="Equation.DSMT4" ShapeID="_x0000_i1026" DrawAspect="Content" ObjectID="_1468075726" r:id="rId33">
            <o:LockedField>false</o:LockedField>
          </o:OLEObject>
        </w:object>
      </w:r>
      <w:r>
        <w:t xml:space="preserve">      (5.2.2-2)</w:t>
      </w:r>
    </w:p>
    <w:p>
      <w:pPr>
        <w:pStyle w:val="35"/>
      </w:pPr>
      <w:r>
        <w:object>
          <v:shape id="_x0000_i1027" o:spt="75" type="#_x0000_t75" style="height:22.2pt;width:121.8pt;" o:ole="t" filled="f" o:preferrelative="t" stroked="f" coordsize="21600,21600">
            <v:path/>
            <v:fill on="f" focussize="0,0"/>
            <v:stroke on="f" joinstyle="miter"/>
            <v:imagedata r:id="rId36" o:title=""/>
            <o:lock v:ext="edit" aspectratio="t"/>
            <w10:wrap type="none"/>
            <w10:anchorlock/>
          </v:shape>
          <o:OLEObject Type="Embed" ProgID="Equation.DSMT4" ShapeID="_x0000_i1027" DrawAspect="Content" ObjectID="_1468075727" r:id="rId35">
            <o:LockedField>false</o:LockedField>
          </o:OLEObject>
        </w:object>
      </w:r>
      <w:r>
        <w:t xml:space="preserve">     (5.2.2-3)</w:t>
      </w:r>
    </w:p>
    <w:p>
      <w:pPr>
        <w:pStyle w:val="35"/>
      </w:pPr>
      <w:r>
        <w:rPr>
          <w:position w:val="-28"/>
        </w:rPr>
        <w:object>
          <v:shape id="_x0000_i1028" o:spt="75" type="#_x0000_t75" style="height:34.2pt;width:106.8pt;" o:ole="t" filled="f" o:preferrelative="t" stroked="f" coordsize="21600,21600">
            <v:path/>
            <v:fill on="f" focussize="0,0"/>
            <v:stroke on="f" joinstyle="miter"/>
            <v:imagedata r:id="rId38" o:title=""/>
            <o:lock v:ext="edit" aspectratio="t"/>
            <w10:wrap type="none"/>
            <w10:anchorlock/>
          </v:shape>
          <o:OLEObject Type="Embed" ProgID="Equation.DSMT4" ShapeID="_x0000_i1028" DrawAspect="Content" ObjectID="_1468075728" r:id="rId37">
            <o:LockedField>false</o:LockedField>
          </o:OLEObject>
        </w:object>
      </w:r>
      <w:r>
        <w:t xml:space="preserve">       (5.2.2-4)</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29" o:spt="75" type="#_x0000_t75" style="height:18pt;width:19.2pt;" o:ole="t" filled="f" o:preferrelative="t" stroked="f" coordsize="21600,21600">
            <v:path/>
            <v:fill on="f" focussize="0,0"/>
            <v:stroke on="f" joinstyle="miter"/>
            <v:imagedata r:id="rId40" o:title=""/>
            <o:lock v:ext="edit" aspectratio="t"/>
            <w10:wrap type="none"/>
            <w10:anchorlock/>
          </v:shape>
          <o:OLEObject Type="Embed" ProgID="Equation.DSMT4" ShapeID="_x0000_i1029" DrawAspect="Content" ObjectID="_1468075729" r:id="rId3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——支护结构外侧，第i层土中计算点的主动土压力强度标准值(kPa);当</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0" o:spt="75" type="#_x0000_t75" style="height:18pt;width:19.2pt;" o:ole="t" filled="f" o:preferrelative="t" stroked="f" coordsize="21600,21600">
            <v:path/>
            <v:fill on="f" focussize="0,0"/>
            <v:stroke on="f" joinstyle="miter"/>
            <v:imagedata r:id="rId40" o:title=""/>
            <o:lock v:ext="edit" aspectratio="t"/>
            <w10:wrap type="none"/>
            <w10:anchorlock/>
          </v:shape>
          <o:OLEObject Type="Embed" ProgID="Equation.DSMT4" ShapeID="_x0000_i1030" DrawAspect="Content" ObjectID="_1468075730" r:id="rId4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≤0时，应取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1" o:spt="75" type="#_x0000_t75" style="height:18pt;width:19.2pt;" o:ole="t" filled="f" o:preferrelative="t" stroked="f" coordsize="21600,21600">
            <v:path/>
            <v:fill on="f" focussize="0,0"/>
            <v:stroke on="f" joinstyle="miter"/>
            <v:imagedata r:id="rId40" o:title=""/>
            <o:lock v:ext="edit" aspectratio="t"/>
            <w10:wrap type="none"/>
            <w10:anchorlock/>
          </v:shape>
          <o:OLEObject Type="Embed" ProgID="Equation.DSMT4" ShapeID="_x0000_i1031" DrawAspect="Content" ObjectID="_1468075731" r:id="rId4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2" o:spt="75" type="#_x0000_t75" style="height:18pt;width:19.2pt;" o:ole="t" filled="f" o:preferrelative="t" stroked="f" coordsize="21600,21600">
            <v:path/>
            <v:fill on="f" focussize="0,0"/>
            <v:stroke on="f" joinstyle="miter"/>
            <v:imagedata r:id="rId44" o:title=""/>
            <o:lock v:ext="edit" aspectratio="t"/>
            <w10:wrap type="none"/>
            <w10:anchorlock/>
          </v:shape>
          <o:OLEObject Type="Embed" ProgID="Equation.DSMT4" ShapeID="_x0000_i1032" DrawAspect="Content" ObjectID="_1468075732" r:id="rId4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3" o:spt="75" type="#_x0000_t75" style="height:19.2pt;width:19.8pt;" o:ole="t" filled="f" o:preferrelative="t" stroked="f" coordsize="21600,21600">
            <v:path/>
            <v:fill on="f" focussize="0,0"/>
            <v:stroke on="f" joinstyle="miter"/>
            <v:imagedata r:id="rId46" o:title=""/>
            <o:lock v:ext="edit" aspectratio="t"/>
            <w10:wrap type="none"/>
            <w10:anchorlock/>
          </v:shape>
          <o:OLEObject Type="Embed" ProgID="Equation.DSMT4" ShapeID="_x0000_i1033" DrawAspect="Content" ObjectID="_1468075733" r:id="rId4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——分别为支护结构外侧、内侧计算点的土中竖向应力标准值(kPa)，按本规程第5.2.4条的规定计算﹔</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4" o:spt="75" type="#_x0000_t75" style="height:19.2pt;width:19.8pt;" o:ole="t" filled="f" o:preferrelative="t" stroked="f" coordsize="21600,21600">
            <v:path/>
            <v:fill on="f" focussize="0,0"/>
            <v:stroke on="f" joinstyle="miter"/>
            <v:imagedata r:id="rId48" o:title=""/>
            <o:lock v:ext="edit" aspectratio="t"/>
            <w10:wrap type="none"/>
            <w10:anchorlock/>
          </v:shape>
          <o:OLEObject Type="Embed" ProgID="Equation.DSMT4" ShapeID="_x0000_i1034" DrawAspect="Content" ObjectID="_1468075734" r:id="rId4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5" o:spt="75" type="#_x0000_t75" style="height:19.2pt;width:22.2pt;" o:ole="t" filled="f" o:preferrelative="t" stroked="f" coordsize="21600,21600">
            <v:path/>
            <v:fill on="f" focussize="0,0"/>
            <v:stroke on="f" joinstyle="miter"/>
            <v:imagedata r:id="rId50" o:title=""/>
            <o:lock v:ext="edit" aspectratio="t"/>
            <w10:wrap type="none"/>
            <w10:anchorlock/>
          </v:shape>
          <o:OLEObject Type="Embed" ProgID="Equation.DSMT4" ShapeID="_x0000_i1035" DrawAspect="Content" ObjectID="_1468075735" r:id="rId4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——分别为第i层土的主动土压力系数、被动土压力系数;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6" o:spt="75" type="#_x0000_t75" style="height:18pt;width:10.8pt;" o:ole="t" filled="f" o:preferrelative="t" stroked="f" coordsize="21600,21600">
            <v:path/>
            <v:fill on="f" focussize="0,0"/>
            <v:stroke on="f" joinstyle="miter"/>
            <v:imagedata r:id="rId52" o:title=""/>
            <o:lock v:ext="edit" aspectratio="t"/>
            <w10:wrap type="none"/>
            <w10:anchorlock/>
          </v:shape>
          <o:OLEObject Type="Embed" ProgID="Equation.DSMT4" ShapeID="_x0000_i1036" DrawAspect="Content" ObjectID="_1468075736" r:id="rId5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7" o:spt="75" type="#_x0000_t75" style="height:18pt;width:13.8pt;" o:ole="t" filled="f" o:preferrelative="t" stroked="f" coordsize="21600,21600">
            <v:path/>
            <v:fill on="f" focussize="0,0"/>
            <v:stroke on="f" joinstyle="miter"/>
            <v:imagedata r:id="rId54" o:title=""/>
            <o:lock v:ext="edit" aspectratio="t"/>
            <w10:wrap type="none"/>
            <w10:anchorlock/>
          </v:shape>
          <o:OLEObject Type="Embed" ProgID="Equation.DSMT4" ShapeID="_x0000_i1037" DrawAspect="Content" ObjectID="_1468075737" r:id="rId5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——分别为第i层土的黏聚力（kPa)、内摩擦角（°);按本规程第5.2.5条的规定取值;</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38" o:spt="75" type="#_x0000_t75" style="height:19.2pt;width:19.2pt;" o:ole="t" filled="f" o:preferrelative="t" stroked="f" coordsize="21600,21600">
            <v:path/>
            <v:fill on="f" focussize="0,0"/>
            <v:stroke on="f" joinstyle="miter"/>
            <v:imagedata r:id="rId56" o:title=""/>
            <o:lock v:ext="edit" aspectratio="t"/>
            <w10:wrap type="none"/>
            <w10:anchorlock/>
          </v:shape>
          <o:OLEObject Type="Embed" ProgID="Equation.DSMT4" ShapeID="_x0000_i1038" DrawAspect="Content" ObjectID="_1468075738" r:id="rId5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——支护结构内侧，第i层土中计算点的被动土压力强度标准值（kPa)。</w:t>
      </w:r>
    </w:p>
    <w:p>
      <w:pPr>
        <w:ind w:firstLine="0" w:firstLineChars="0"/>
        <w:jc w:val="center"/>
        <w:rPr>
          <w:rStyle w:val="37"/>
          <w:iCs w:val="0"/>
          <w:color w:val="000000" w:themeColor="text1"/>
          <w14:textFill>
            <w14:solidFill>
              <w14:schemeClr w14:val="tx1"/>
            </w14:solidFill>
          </w14:textFill>
        </w:rPr>
      </w:pPr>
      <w:r>
        <w:rPr>
          <w:rStyle w:val="37"/>
          <w:rFonts w:hint="eastAsia"/>
          <w:iCs w:val="0"/>
          <w:color w:val="000000" w:themeColor="text1"/>
          <w14:textFill>
            <w14:solidFill>
              <w14:schemeClr w14:val="tx1"/>
            </w14:solidFill>
          </w14:textFill>
        </w:rPr>
        <w:drawing>
          <wp:inline distT="0" distB="0" distL="0" distR="0">
            <wp:extent cx="2710180" cy="21869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45727" cy="2215518"/>
                    </a:xfrm>
                    <a:prstGeom prst="rect">
                      <a:avLst/>
                    </a:prstGeom>
                    <a:noFill/>
                    <a:ln>
                      <a:noFill/>
                    </a:ln>
                  </pic:spPr>
                </pic:pic>
              </a:graphicData>
            </a:graphic>
          </wp:inline>
        </w:drawing>
      </w:r>
    </w:p>
    <w:p>
      <w:pPr>
        <w:ind w:firstLine="0" w:firstLineChars="0"/>
        <w:jc w:val="center"/>
        <w:rPr>
          <w:rStyle w:val="37"/>
          <w:iCs w:val="0"/>
          <w:color w:val="000000" w:themeColor="text1"/>
          <w14:textFill>
            <w14:solidFill>
              <w14:schemeClr w14:val="tx1"/>
            </w14:solidFill>
          </w14:textFill>
        </w:rPr>
      </w:pPr>
      <w:r>
        <w:rPr>
          <w:rStyle w:val="37"/>
          <w:rFonts w:hint="eastAsia"/>
          <w:iCs w:val="0"/>
          <w:color w:val="000000" w:themeColor="text1"/>
          <w14:textFill>
            <w14:solidFill>
              <w14:schemeClr w14:val="tx1"/>
            </w14:solidFill>
          </w14:textFill>
        </w:rPr>
        <w:t>图5</w:t>
      </w:r>
      <w:r>
        <w:rPr>
          <w:rStyle w:val="37"/>
          <w:iCs w:val="0"/>
          <w:color w:val="000000" w:themeColor="text1"/>
          <w14:textFill>
            <w14:solidFill>
              <w14:schemeClr w14:val="tx1"/>
            </w14:solidFill>
          </w14:textFill>
        </w:rPr>
        <w:t xml:space="preserve">.2.2 </w:t>
      </w:r>
      <w:r>
        <w:rPr>
          <w:rStyle w:val="37"/>
          <w:rFonts w:hint="eastAsia"/>
          <w:iCs w:val="0"/>
          <w:color w:val="000000" w:themeColor="text1"/>
          <w14:textFill>
            <w14:solidFill>
              <w14:schemeClr w14:val="tx1"/>
            </w14:solidFill>
          </w14:textFill>
        </w:rPr>
        <w:t>土压力计算</w:t>
      </w:r>
    </w:p>
    <w:p>
      <w:pPr>
        <w:pStyle w:val="43"/>
        <w:numPr>
          <w:ilvl w:val="0"/>
          <w:numId w:val="5"/>
        </w:numPr>
        <w:ind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对于水土分算的土层</w:t>
      </w:r>
    </w:p>
    <w:p>
      <w:pPr>
        <w:pStyle w:val="61"/>
        <w:rPr>
          <w:rStyle w:val="37"/>
          <w:iCs w:val="0"/>
          <w:color w:val="000000" w:themeColor="text1"/>
          <w14:textFill>
            <w14:solidFill>
              <w14:schemeClr w14:val="tx1"/>
            </w14:solidFill>
          </w14:textFill>
        </w:rPr>
      </w:pPr>
      <w:r>
        <w:rPr>
          <w:rStyle w:val="37"/>
          <w:iCs w:val="0"/>
          <w:color w:val="000000" w:themeColor="text1"/>
          <w14:textFill>
            <w14:solidFill>
              <w14:schemeClr w14:val="tx1"/>
            </w14:solidFill>
          </w14:textFill>
        </w:rPr>
        <w:tab/>
      </w:r>
    </w:p>
    <w:p>
      <w:pPr>
        <w:pStyle w:val="35"/>
        <w:rPr>
          <w:rStyle w:val="37"/>
          <w:iCs w:val="0"/>
          <w:color w:val="000000" w:themeColor="text1"/>
          <w14:textFill>
            <w14:solidFill>
              <w14:schemeClr w14:val="tx1"/>
            </w14:solidFill>
          </w14:textFill>
        </w:rPr>
      </w:pPr>
      <w:r>
        <w:object>
          <v:shape id="_x0000_i1039" o:spt="75" type="#_x0000_t75" style="height:22.2pt;width:171pt;" o:ole="t" filled="f" o:preferrelative="t" stroked="f" coordsize="21600,21600">
            <v:path/>
            <v:fill on="f" focussize="0,0"/>
            <v:stroke on="f" joinstyle="miter"/>
            <v:imagedata r:id="rId59" o:title=""/>
            <o:lock v:ext="edit" aspectratio="t"/>
            <w10:wrap type="none"/>
            <w10:anchorlock/>
          </v:shape>
          <o:OLEObject Type="Embed" ProgID="Equation.DSMT4" ShapeID="_x0000_i1039" DrawAspect="Content" ObjectID="_1468075739" r:id="rId58">
            <o:LockedField>false</o:LockedField>
          </o:OLEObject>
        </w:object>
      </w:r>
      <w:r>
        <w:rPr>
          <w:rStyle w:val="37"/>
          <w:rFonts w:hint="eastAsia"/>
          <w:iCs w:val="0"/>
          <w:color w:val="000000" w:themeColor="text1"/>
          <w14:textFill>
            <w14:solidFill>
              <w14:schemeClr w14:val="tx1"/>
            </w14:solidFill>
          </w14:textFill>
        </w:rPr>
        <w:t xml:space="preserve"> </w:t>
      </w:r>
      <w:r>
        <w:rPr>
          <w:rFonts w:hint="eastAsia"/>
        </w:rPr>
        <w:t>(</w:t>
      </w:r>
      <w:r>
        <w:t>5</w:t>
      </w:r>
      <w:r>
        <w:rPr>
          <w:rFonts w:hint="eastAsia"/>
        </w:rPr>
        <w:t>.</w:t>
      </w:r>
      <w:r>
        <w:t>2</w:t>
      </w:r>
      <w:r>
        <w:rPr>
          <w:rFonts w:hint="eastAsia"/>
        </w:rPr>
        <w:t>.2-5)</w:t>
      </w:r>
    </w:p>
    <w:p>
      <w:pPr>
        <w:pStyle w:val="35"/>
      </w:pPr>
      <w:r>
        <w:rPr>
          <w:position w:val="-16"/>
        </w:rPr>
        <w:object>
          <v:shape id="_x0000_i1040" o:spt="75" type="#_x0000_t75" style="height:22.2pt;width:177pt;" o:ole="t" filled="f" o:preferrelative="t" stroked="f" coordsize="21600,21600">
            <v:path/>
            <v:fill on="f" focussize="0,0"/>
            <v:stroke on="f" joinstyle="miter"/>
            <v:imagedata r:id="rId61" o:title=""/>
            <o:lock v:ext="edit" aspectratio="t"/>
            <w10:wrap type="none"/>
            <w10:anchorlock/>
          </v:shape>
          <o:OLEObject Type="Embed" ProgID="Equation.DSMT4" ShapeID="_x0000_i1040" DrawAspect="Content" ObjectID="_1468075740" r:id="rId60">
            <o:LockedField>false</o:LockedField>
          </o:OLEObject>
        </w:object>
      </w:r>
      <w:r>
        <w:rPr>
          <w:rStyle w:val="37"/>
          <w:rFonts w:hint="eastAsia"/>
          <w:iCs w:val="0"/>
          <w:color w:val="000000" w:themeColor="text1"/>
          <w14:textFill>
            <w14:solidFill>
              <w14:schemeClr w14:val="tx1"/>
            </w14:solidFill>
          </w14:textFill>
        </w:rPr>
        <w:t xml:space="preserve"> </w:t>
      </w:r>
      <w:r>
        <w:rPr>
          <w:rFonts w:hint="eastAsia"/>
        </w:rPr>
        <w:t>(</w:t>
      </w:r>
      <w:r>
        <w:t>5</w:t>
      </w:r>
      <w:r>
        <w:rPr>
          <w:rFonts w:hint="eastAsia"/>
        </w:rPr>
        <w:t>.</w:t>
      </w:r>
      <w:r>
        <w:t>2</w:t>
      </w:r>
      <w:r>
        <w:rPr>
          <w:rFonts w:hint="eastAsia"/>
        </w:rPr>
        <w:t>.2-6)</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式中: </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41" o:spt="75" type="#_x0000_t75" style="height:18pt;width:13.8pt;" o:ole="t" filled="f" o:preferrelative="t" stroked="f" coordsize="21600,21600">
            <v:path/>
            <v:fill on="f" focussize="0,0"/>
            <v:stroke on="f" joinstyle="miter"/>
            <v:imagedata r:id="rId63" o:title=""/>
            <o:lock v:ext="edit" aspectratio="t"/>
            <w10:wrap type="none"/>
            <w10:anchorlock/>
          </v:shape>
          <o:OLEObject Type="Embed" ProgID="Equation.DSMT4" ShapeID="_x0000_i1041" DrawAspect="Content" ObjectID="_1468075741" r:id="rId6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42" o:spt="75" type="#_x0000_t75" style="height:19.2pt;width:13.8pt;" o:ole="t" filled="f" o:preferrelative="t" stroked="f" coordsize="21600,21600">
            <v:path/>
            <v:fill on="f" focussize="0,0"/>
            <v:stroke on="f" joinstyle="miter"/>
            <v:imagedata r:id="rId65" o:title=""/>
            <o:lock v:ext="edit" aspectratio="t"/>
            <w10:wrap type="none"/>
            <w10:anchorlock/>
          </v:shape>
          <o:OLEObject Type="Embed" ProgID="Equation.DSMT4" ShapeID="_x0000_i1042" DrawAspect="Content" ObjectID="_1468075742" r:id="rId6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——分别为支护结构外侧、内侧计算点的水压力(kPa);对静止地下水，按本规程第5.3.1条的规定取值;当采用悬挂式截水帷幕时，应考虑地下水从帷幕底向基坑内的渗流对水压力的影响。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土压力影响范围内,存在相邻建筑物地下墙体等稳定界面时，可采用库仑土压力理论计算界面内有限滑动楔体产生的主动土压力，此时，同一土层的土压力可采用沿深度线性分布形式，支护结构与土之间的摩擦角宜取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需要严格限制支护结构的水平位移时，支护结构外侧的土压力宜取静止土压力。</w:t>
      </w:r>
    </w:p>
    <w:p>
      <w:pPr>
        <w:pStyle w:val="51"/>
        <w:widowControl w:val="0"/>
        <w:numPr>
          <w:ilvl w:val="255"/>
          <w:numId w:val="0"/>
        </w:numPr>
        <w:spacing w:line="360" w:lineRule="auto"/>
        <w:ind w:left="0" w:firstLine="406" w:firstLineChars="145"/>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有可靠经验时，可采用支护结构与土相互作用的方法计算土压力。</w:t>
      </w:r>
    </w:p>
    <w:p>
      <w:pPr>
        <w:pStyle w:val="51"/>
        <w:ind w:left="0" w:leftChars="0" w:firstLine="0" w:firstLineChars="0"/>
      </w:pPr>
      <w:r>
        <w:rPr>
          <w:rFonts w:hint="eastAsia" w:cs="Times New Roman" w:eastAsiaTheme="minorEastAsia"/>
          <w:bCs/>
          <w:color w:val="000000" w:themeColor="text1"/>
          <w:kern w:val="2"/>
          <w:sz w:val="28"/>
          <w:szCs w:val="28"/>
          <w:lang w:val="zh-CN" w:eastAsia="zh-CN" w:bidi="ar-SA"/>
          <w14:textFill>
            <w14:solidFill>
              <w14:schemeClr w14:val="tx1"/>
            </w14:solidFill>
          </w14:textFill>
        </w:rPr>
        <w:t>对成层土，土压力计算时的各土层计算厚度应符合下列规定: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当土层厚度较均匀、层面坡度较平缓时，宜取邻近勘察孔的各土层厚度,或同一计算剖面内各土层厚度的平均值;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当同一计算剖面内各勘察孔的土层厚度分布不均时，应取最不利勘察孔的各土层厚度;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对复杂地层且距勘探孔较远时，应通过综合分析土层变化趋势后确定土层的计算厚度;</w:t>
      </w:r>
    </w:p>
    <w:p>
      <w:pPr>
        <w:pStyle w:val="51"/>
        <w:widowControl w:val="0"/>
        <w:numPr>
          <w:ilvl w:val="255"/>
          <w:numId w:val="0"/>
        </w:numPr>
        <w:spacing w:line="360" w:lineRule="auto"/>
        <w:ind w:left="0" w:firstLine="406" w:firstLineChars="145"/>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当相邻土层的土性接近，且对土压力的影响可以忽略不计或有利时，可归并为同一计算土层。</w:t>
      </w:r>
    </w:p>
    <w:p>
      <w:pPr>
        <w:pStyle w:val="51"/>
        <w:ind w:left="284" w:leftChars="0" w:hanging="284" w:firstLineChars="0"/>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土中竖向应力标准值应按下式计算:</w:t>
      </w:r>
    </w:p>
    <w:p>
      <w:pPr>
        <w:pStyle w:val="51"/>
        <w:numPr>
          <w:ilvl w:val="0"/>
          <w:numId w:val="0"/>
        </w:numPr>
        <w:jc w:val="center"/>
      </w:pPr>
      <w:r>
        <w:rPr>
          <w:position w:val="-14"/>
        </w:rPr>
        <w:object>
          <v:shape id="_x0000_i1043" o:spt="75" type="#_x0000_t75" style="height:19.8pt;width:97.8pt;" o:ole="t" filled="f" o:preferrelative="t" stroked="f" coordsize="21600,21600">
            <v:path/>
            <v:fill on="f" focussize="0,0"/>
            <v:stroke on="f" joinstyle="miter"/>
            <v:imagedata r:id="rId67" o:title=""/>
            <o:lock v:ext="edit" aspectratio="t"/>
            <w10:wrap type="none"/>
            <w10:anchorlock/>
          </v:shape>
          <o:OLEObject Type="Embed" ProgID="Equation.DSMT4" ShapeID="_x0000_i1043" DrawAspect="Content" ObjectID="_1468075743" r:id="rId66">
            <o:LockedField>false</o:LockedField>
          </o:OLEObject>
        </w:object>
      </w:r>
      <w:r>
        <w:t xml:space="preserve"> (5.2.4-1)</w:t>
      </w:r>
    </w:p>
    <w:p>
      <w:pPr>
        <w:pStyle w:val="51"/>
        <w:numPr>
          <w:ilvl w:val="0"/>
          <w:numId w:val="0"/>
        </w:numPr>
        <w:jc w:val="center"/>
      </w:pPr>
      <w:r>
        <w:rPr>
          <w:position w:val="-14"/>
        </w:rPr>
        <w:object>
          <v:shape id="_x0000_i1044" o:spt="75" type="#_x0000_t75" style="height:19.2pt;width:48pt;" o:ole="t" filled="f" o:preferrelative="t" stroked="f" coordsize="21600,21600">
            <v:path/>
            <v:fill on="f" focussize="0,0"/>
            <v:stroke on="f" joinstyle="miter"/>
            <v:imagedata r:id="rId69" o:title=""/>
            <o:lock v:ext="edit" aspectratio="t"/>
            <w10:wrap type="none"/>
            <w10:anchorlock/>
          </v:shape>
          <o:OLEObject Type="Embed" ProgID="Equation.DSMT4" ShapeID="_x0000_i1044" DrawAspect="Content" ObjectID="_1468075744" r:id="rId68">
            <o:LockedField>false</o:LockedField>
          </o:OLEObject>
        </w:object>
      </w:r>
      <w:r>
        <w:t xml:space="preserve"> (5.2.4-2)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式中: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45" o:spt="75" type="#_x0000_t75" style="height:18pt;width:18pt;" o:ole="t" filled="f" o:preferrelative="t" stroked="f" coordsize="21600,21600">
            <v:path/>
            <v:fill on="f" focussize="0,0"/>
            <v:stroke on="f" joinstyle="miter"/>
            <v:imagedata r:id="rId71" o:title=""/>
            <o:lock v:ext="edit" aspectratio="t"/>
            <w10:wrap type="none"/>
            <w10:anchorlock/>
          </v:shape>
          <o:OLEObject Type="Embed" ProgID="Equation.DSMT4" ShapeID="_x0000_i1045" DrawAspect="Content" ObjectID="_1468075745" r:id="rId7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—支护结构外侧计算点，由土的自重产生的竖向总应力(kPa);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46" o:spt="75" type="#_x0000_t75" style="height:19.2pt;width:19.2pt;" o:ole="t" filled="f" o:preferrelative="t" stroked="f" coordsize="21600,21600">
            <v:path/>
            <v:fill on="f" focussize="0,0"/>
            <v:stroke on="f" joinstyle="miter"/>
            <v:imagedata r:id="rId73" o:title=""/>
            <o:lock v:ext="edit" aspectratio="t"/>
            <w10:wrap type="none"/>
            <w10:anchorlock/>
          </v:shape>
          <o:OLEObject Type="Embed" ProgID="Equation.DSMT4" ShapeID="_x0000_i1046" DrawAspect="Content" ObjectID="_1468075746" r:id="rId7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—支护结构内侧计算点，由土的自重产生的竖向总应力(kPa);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47" o:spt="75" type="#_x0000_t75" style="height:19.2pt;width:28.2pt;" o:ole="t" filled="f" o:preferrelative="t" stroked="f" coordsize="21600,21600">
            <v:path/>
            <v:fill on="f" focussize="0,0"/>
            <v:stroke on="f" joinstyle="miter"/>
            <v:imagedata r:id="rId75" o:title=""/>
            <o:lock v:ext="edit" aspectratio="t"/>
            <w10:wrap type="none"/>
            <w10:anchorlock/>
          </v:shape>
          <o:OLEObject Type="Embed" ProgID="Equation.DSMT4" ShapeID="_x0000_i1047" DrawAspect="Content" ObjectID="_1468075747" r:id="rId7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一支护结构外侧第j个附加荷载作用下计算点的土中附加竖向应力标准值（kPa)，应根据附加荷载类型，按本规程第5.4.1条～第5.4.3条计算。</w:t>
      </w:r>
    </w:p>
    <w:p>
      <w:pPr>
        <w:pStyle w:val="51"/>
        <w:ind w:left="0" w:leftChars="0" w:firstLine="0" w:firstLineChars="0"/>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土压力及水压力计算、土的各类稳定性验算时，土、水压力的分、合算方法及相应的土的抗剪强度指标类别应符合下列规定: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对地下水位以上的黏性土、黏质粉土，土的抗剪强度指标应采用三轴固结不排水抗剪强度指标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48" o:spt="75" type="#_x0000_t75" style="height:18pt;width:16.2pt;" o:ole="t" filled="f" o:preferrelative="t" stroked="f" coordsize="21600,21600">
            <v:path/>
            <v:fill on="f" focussize="0,0"/>
            <v:stroke on="f" joinstyle="miter"/>
            <v:imagedata r:id="rId77" o:title=""/>
            <o:lock v:ext="edit" aspectratio="t"/>
            <w10:wrap type="none"/>
            <w10:anchorlock/>
          </v:shape>
          <o:OLEObject Type="Embed" ProgID="Equation.DSMT4" ShapeID="_x0000_i1048" DrawAspect="Content" ObjectID="_1468075748" r:id="rId7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49" o:spt="75" type="#_x0000_t75" style="height:18pt;width:18pt;" o:ole="t" filled="f" o:preferrelative="t" stroked="f" coordsize="21600,21600">
            <v:path/>
            <v:fill on="f" focussize="0,0"/>
            <v:stroke on="f" joinstyle="miter"/>
            <v:imagedata r:id="rId79" o:title=""/>
            <o:lock v:ext="edit" aspectratio="t"/>
            <w10:wrap type="none"/>
            <w10:anchorlock/>
          </v:shape>
          <o:OLEObject Type="Embed" ProgID="Equation.DSMT4" ShapeID="_x0000_i1049" DrawAspect="Content" ObjectID="_1468075749" r:id="rId7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0" o:spt="75" type="#_x0000_t75" style="height:19.2pt;width:16.2pt;" o:ole="t" filled="f" o:preferrelative="t" stroked="f" coordsize="21600,21600">
            <v:path/>
            <v:fill on="f" focussize="0,0"/>
            <v:stroke on="f" joinstyle="miter"/>
            <v:imagedata r:id="rId81" o:title=""/>
            <o:lock v:ext="edit" aspectratio="t"/>
            <w10:wrap type="none"/>
            <w10:anchorlock/>
          </v:shape>
          <o:OLEObject Type="Embed" ProgID="Equation.DSMT4" ShapeID="_x0000_i1050" DrawAspect="Content" ObjectID="_1468075750" r:id="rId8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1" o:spt="75" type="#_x0000_t75" style="height:19.2pt;width:18pt;" o:ole="t" filled="f" o:preferrelative="t" stroked="f" coordsize="21600,21600">
            <v:path/>
            <v:fill on="f" focussize="0,0"/>
            <v:stroke on="f" joinstyle="miter"/>
            <v:imagedata r:id="rId83" o:title=""/>
            <o:lock v:ext="edit" aspectratio="t"/>
            <w10:wrap type="none"/>
            <w10:anchorlock/>
          </v:shape>
          <o:OLEObject Type="Embed" ProgID="Equation.DSMT4" ShapeID="_x0000_i1051" DrawAspect="Content" ObjectID="_1468075751" r:id="rId8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，对地下水位以上的砂质粉土、砂土、碎石土，土的抗剪强度指标应采用有效应力强度指标c'、</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2" o:spt="75" type="#_x0000_t75" style="height:18pt;width:12pt;" o:ole="t" filled="f" o:preferrelative="t" stroked="f" coordsize="21600,21600">
            <v:path/>
            <v:fill on="f" focussize="0,0"/>
            <v:stroke on="f" joinstyle="miter"/>
            <v:imagedata r:id="rId85" o:title=""/>
            <o:lock v:ext="edit" aspectratio="t"/>
            <w10:wrap type="none"/>
            <w10:anchorlock/>
          </v:shape>
          <o:OLEObject Type="Embed" ProgID="Equation.DSMT4" ShapeID="_x0000_i1052" DrawAspect="Content" ObjectID="_1468075752" r:id="rId8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对地下水位以下的黏性土、黏质粉土，可采用土压力、水压力合算方法;此时，对正常固结和超固结土，土的抗剪强度指标应采用三轴固结不排水抗剪强度指标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3" o:spt="75" type="#_x0000_t75" style="height:18pt;width:16.2pt;" o:ole="t" filled="f" o:preferrelative="t" stroked="f" coordsize="21600,21600">
            <v:path/>
            <v:fill on="f" focussize="0,0"/>
            <v:stroke on="f" joinstyle="miter"/>
            <v:imagedata r:id="rId77" o:title=""/>
            <o:lock v:ext="edit" aspectratio="t"/>
            <w10:wrap type="none"/>
            <w10:anchorlock/>
          </v:shape>
          <o:OLEObject Type="Embed" ProgID="Equation.DSMT4" ShapeID="_x0000_i1053" DrawAspect="Content" ObjectID="_1468075753" r:id="rId8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4" o:spt="75" type="#_x0000_t75" style="height:18pt;width:18pt;" o:ole="t" filled="f" o:preferrelative="t" stroked="f" coordsize="21600,21600">
            <v:path/>
            <v:fill on="f" focussize="0,0"/>
            <v:stroke on="f" joinstyle="miter"/>
            <v:imagedata r:id="rId79" o:title=""/>
            <o:lock v:ext="edit" aspectratio="t"/>
            <w10:wrap type="none"/>
            <w10:anchorlock/>
          </v:shape>
          <o:OLEObject Type="Embed" ProgID="Equation.DSMT4" ShapeID="_x0000_i1054" DrawAspect="Content" ObjectID="_1468075754" r:id="rId87">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5" o:spt="75" type="#_x0000_t75" style="height:19.2pt;width:16.2pt;" o:ole="t" filled="f" o:preferrelative="t" stroked="f" coordsize="21600,21600">
            <v:path/>
            <v:fill on="f" focussize="0,0"/>
            <v:stroke on="f" joinstyle="miter"/>
            <v:imagedata r:id="rId81" o:title=""/>
            <o:lock v:ext="edit" aspectratio="t"/>
            <w10:wrap type="none"/>
            <w10:anchorlock/>
          </v:shape>
          <o:OLEObject Type="Embed" ProgID="Equation.DSMT4" ShapeID="_x0000_i1055" DrawAspect="Content" ObjectID="_1468075755" r:id="rId8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6" o:spt="75" type="#_x0000_t75" style="height:19.2pt;width:18pt;" o:ole="t" filled="f" o:preferrelative="t" stroked="f" coordsize="21600,21600">
            <v:path/>
            <v:fill on="f" focussize="0,0"/>
            <v:stroke on="f" joinstyle="miter"/>
            <v:imagedata r:id="rId83" o:title=""/>
            <o:lock v:ext="edit" aspectratio="t"/>
            <w10:wrap type="none"/>
            <w10:anchorlock/>
          </v:shape>
          <o:OLEObject Type="Embed" ProgID="Equation.DSMT4" ShapeID="_x0000_i1056" DrawAspect="Content" ObjectID="_1468075756" r:id="rId89">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，对欠固结土，宜采用有效自重压力下预固结的三轴不固结不排水抗剪强度指标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7" o:spt="75" type="#_x0000_t75" style="height:18pt;width:16.2pt;" o:ole="t" filled="f" o:preferrelative="t" stroked="f" coordsize="21600,21600">
            <v:path/>
            <v:fill on="f" focussize="0,0"/>
            <v:stroke on="f" joinstyle="miter"/>
            <v:imagedata r:id="rId91" o:title=""/>
            <o:lock v:ext="edit" aspectratio="t"/>
            <w10:wrap type="none"/>
            <w10:anchorlock/>
          </v:shape>
          <o:OLEObject Type="Embed" ProgID="Equation.DSMT4" ShapeID="_x0000_i1057" DrawAspect="Content" ObjectID="_1468075757" r:id="rId9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8" o:spt="75" type="#_x0000_t75" style="height:18pt;width:18pt;" o:ole="t" filled="f" o:preferrelative="t" stroked="f" coordsize="21600,21600">
            <v:path/>
            <v:fill on="f" focussize="0,0"/>
            <v:stroke on="f" joinstyle="miter"/>
            <v:imagedata r:id="rId93" o:title=""/>
            <o:lock v:ext="edit" aspectratio="t"/>
            <w10:wrap type="none"/>
            <w10:anchorlock/>
          </v:shape>
          <o:OLEObject Type="Embed" ProgID="Equation.DSMT4" ShapeID="_x0000_i1058" DrawAspect="Content" ObjectID="_1468075758" r:id="rId9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对地下水位以下的砂质粉土、砂土和碎石土，应采用土压力、水压力分算方法;此时，土的抗剪强度指标应采用有效应力强度指标c'、</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59" o:spt="75" type="#_x0000_t75" style="height:18pt;width:12pt;" o:ole="t" filled="f" o:preferrelative="t" stroked="f" coordsize="21600,21600">
            <v:path/>
            <v:fill on="f" focussize="0,0"/>
            <v:stroke on="f" joinstyle="miter"/>
            <v:imagedata r:id="rId85" o:title=""/>
            <o:lock v:ext="edit" aspectratio="t"/>
            <w10:wrap type="none"/>
            <w10:anchorlock/>
          </v:shape>
          <o:OLEObject Type="Embed" ProgID="Equation.DSMT4" ShapeID="_x0000_i1059" DrawAspect="Content" ObjectID="_1468075759" r:id="rId9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，对砂质粉土，缺少有效应力强度指标时，也可采用三轴固结不排水抗剪强度指标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60" o:spt="75" type="#_x0000_t75" style="height:18pt;width:16.2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95">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61" o:spt="75" type="#_x0000_t75" style="height:18pt;width:18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61" r:id="rId9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62" o:spt="75" type="#_x0000_t75" style="height:19.2pt;width:16.2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2" r:id="rId97">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63" o:spt="75" type="#_x0000_t75" style="height:19.2pt;width:18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3" r:id="rId9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代替，对砂土和碎石土，有效应力强度指标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64" o:spt="75" type="#_x0000_t75" style="height:18pt;width:12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4" r:id="rId99">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根据标准贯入试验实测击数和水下休止角等物理力学指标取值;土压力、水压力采用分算方法时，水压力可按静水压力计算;当地下水渗流时，宜按渗流理论计算水压力和土的竖向有效应力;当存在多个含水层时，应分别计算各含水层的水压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有可靠的地方经验时，土的抗剪强度指标尚可根据室内、原位试验得到的其他物理力学指标，按经验方法确定。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p>
    <w:p>
      <w:pPr>
        <w:pStyle w:val="3"/>
      </w:pPr>
      <w:bookmarkStart w:id="55" w:name="_Toc16588"/>
      <w:r>
        <w:rPr>
          <w:rFonts w:hint="eastAsia"/>
        </w:rPr>
        <w:t>水压力</w:t>
      </w:r>
      <w:bookmarkEnd w:id="55"/>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基坑内外无地下水渗流时，作用于隧道支护结构上的水压力应按静止水压力计算，可通过下列公式计算。</w:t>
      </w:r>
    </w:p>
    <w:p>
      <w:pPr>
        <w:pStyle w:val="35"/>
        <w:rPr>
          <w:rFonts w:ascii="宋体" w:hAnsi="宋体"/>
        </w:rPr>
      </w:pPr>
      <w:r>
        <w:tab/>
      </w:r>
      <w:r>
        <w:rPr>
          <w:position w:val="-12"/>
        </w:rPr>
        <w:object>
          <v:shape id="_x0000_i1065" o:spt="75" type="#_x0000_t75" style="height:18pt;width:52.8pt;" o:ole="t" filled="f" o:preferrelative="t" stroked="f" coordsize="21600,21600">
            <v:path/>
            <v:fill on="f" focussize="0,0"/>
            <v:stroke on="f" joinstyle="miter"/>
            <v:imagedata r:id="rId101" o:title=""/>
            <o:lock v:ext="edit" aspectratio="t"/>
            <w10:wrap type="none"/>
            <w10:anchorlock/>
          </v:shape>
          <o:OLEObject Type="Embed" ProgID="Equation.DSMT4" ShapeID="_x0000_i1065" DrawAspect="Content" ObjectID="_1468075765" r:id="rId100">
            <o:LockedField>false</o:LockedField>
          </o:OLEObject>
        </w:object>
      </w:r>
      <w:r>
        <w:tab/>
      </w:r>
      <w:r>
        <w:rPr>
          <w:rFonts w:hint="eastAsia"/>
        </w:rPr>
        <w:t>（5.3.1-1）</w:t>
      </w:r>
    </w:p>
    <w:p>
      <w:pPr>
        <w:pStyle w:val="35"/>
      </w:pPr>
      <w:r>
        <w:tab/>
      </w:r>
      <w:r>
        <w:rPr>
          <w:position w:val="-14"/>
        </w:rPr>
        <w:object>
          <v:shape id="_x0000_i1066" o:spt="75" type="#_x0000_t75" style="height:18pt;width:54pt;" o:ole="t" filled="f" o:preferrelative="t" stroked="f" coordsize="21600,21600">
            <v:path/>
            <v:fill on="f" focussize="0,0"/>
            <v:stroke on="f" joinstyle="miter"/>
            <v:imagedata r:id="rId103" o:title=""/>
            <o:lock v:ext="edit" aspectratio="t"/>
            <w10:wrap type="none"/>
            <w10:anchorlock/>
          </v:shape>
          <o:OLEObject Type="Embed" ProgID="Equation.DSMT4" ShapeID="_x0000_i1066" DrawAspect="Content" ObjectID="_1468075766" r:id="rId102">
            <o:LockedField>false</o:LockedField>
          </o:OLEObject>
        </w:object>
      </w:r>
      <w:r>
        <w:tab/>
      </w:r>
      <w:r>
        <w:rPr>
          <w:rFonts w:hint="eastAsia" w:ascii="宋体" w:hAnsi="宋体"/>
        </w:rPr>
        <w:t>（</w:t>
      </w:r>
      <w:r>
        <w:t>5.3</w:t>
      </w:r>
      <w:r>
        <w:rPr>
          <w:rFonts w:hint="eastAsia"/>
        </w:rPr>
        <w:t>.1-</w:t>
      </w:r>
      <w:r>
        <w:t>2</w:t>
      </w:r>
      <w:r>
        <w:rPr>
          <w:rFonts w:hint="eastAsia" w:ascii="宋体" w:hAnsi="宋体"/>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67" o:spt="75" type="#_x0000_t75" style="height:16.2pt;width:15pt;" o:ole="t" filled="f" o:preferrelative="t" stroked="f" coordsize="21600,21600">
            <v:path/>
            <v:fill on="f" focussize="0,0"/>
            <v:stroke on="f" joinstyle="miter"/>
            <v:imagedata r:id="rId105" o:title=""/>
            <o:lock v:ext="edit" aspectratio="t"/>
            <w10:wrap type="none"/>
            <w10:anchorlock/>
          </v:shape>
          <o:OLEObject Type="Embed" ProgID="Equation.DSMT4" ShapeID="_x0000_i1067" DrawAspect="Content" ObjectID="_1468075767" r:id="rId10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——水的重度（kN/m3）；</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68" o:spt="75" type="#_x0000_t75" style="height:16.2pt;width:18pt;" o:ole="t" filled="f" o:preferrelative="t" stroked="f" coordsize="21600,21600">
            <v:path/>
            <v:fill on="f" focussize="0,0"/>
            <v:stroke on="f" joinstyle="miter"/>
            <v:imagedata r:id="rId107" o:title=""/>
            <o:lock v:ext="edit" aspectratio="t"/>
            <w10:wrap type="none"/>
            <w10:anchorlock/>
          </v:shape>
          <o:OLEObject Type="Embed" ProgID="Equation.DSMT4" ShapeID="_x0000_i1068" DrawAspect="Content" ObjectID="_1468075768" r:id="rId10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——基坑外侧地下水位至主动土压力强度计算点的垂直距离（m）；对承压水，地下水位取测压管水位；对于多个含水层，应取计算点所在含水层的地下水位；</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69" o:spt="75" type="#_x0000_t75" style="height:18pt;width:18pt;" o:ole="t" filled="f" o:preferrelative="t" stroked="f" coordsize="21600,21600">
            <v:path/>
            <v:fill on="f" focussize="0,0"/>
            <v:stroke on="f" joinstyle="miter"/>
            <v:imagedata r:id="rId109" o:title=""/>
            <o:lock v:ext="edit" aspectratio="t"/>
            <w10:wrap type="none"/>
            <w10:anchorlock/>
          </v:shape>
          <o:OLEObject Type="Embed" ProgID="Equation.DSMT4" ShapeID="_x0000_i1069" DrawAspect="Content" ObjectID="_1468075769" r:id="rId10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——基坑内侧地下水位至被动土压力强度计算点的垂直距离（m）；对承压水，地下水位取测压管水位。</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坑支护结构采用悬挂式止水帷幕，有地下水稳态渗流时，宜按渗流理论计算水压力和土的竖向有效应力。</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基坑范围内有多个含水层时，应分别计算各含水层的水压力。</w:t>
      </w:r>
    </w:p>
    <w:p>
      <w:pPr>
        <w:ind w:firstLine="480"/>
      </w:pPr>
    </w:p>
    <w:p>
      <w:pPr>
        <w:pStyle w:val="3"/>
      </w:pPr>
      <w:bookmarkStart w:id="56" w:name="_Toc23130"/>
      <w:r>
        <w:rPr>
          <w:rFonts w:hint="eastAsia"/>
        </w:rPr>
        <w:t>其它荷载</w:t>
      </w:r>
      <w:bookmarkEnd w:id="56"/>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当基坑支护结构外侧地面作用满布附加荷载q0时，支护结构外侧任意深度附加竖向应力标准值</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70" o:spt="75" type="#_x0000_t75" style="height:18pt;width:24pt;" o:ole="t" filled="f" o:preferrelative="t" stroked="f" coordsize="21600,21600">
            <v:path/>
            <v:fill on="f" focussize="0,0"/>
            <v:stroke on="f" joinstyle="miter"/>
            <v:imagedata r:id="rId111" o:title=""/>
            <o:lock v:ext="edit" aspectratio="t"/>
            <w10:wrap type="none"/>
            <w10:anchorlock/>
          </v:shape>
          <o:OLEObject Type="Embed" ProgID="Equation.DSMT4" ShapeID="_x0000_i1070" DrawAspect="Content" ObjectID="_1468075770" r:id="rId11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可按下式计算：</w:t>
      </w:r>
    </w:p>
    <w:p>
      <w:pPr>
        <w:pStyle w:val="35"/>
      </w:pPr>
      <w:r>
        <w:tab/>
      </w:r>
      <w:r>
        <w:rPr>
          <w:position w:val="-12"/>
        </w:rPr>
        <w:object>
          <v:shape id="_x0000_i1071" o:spt="75" type="#_x0000_t75" style="height:18pt;width:46.2pt;" o:ole="t" filled="f" o:preferrelative="t" stroked="f" coordsize="21600,21600">
            <v:path/>
            <v:fill on="f" focussize="0,0"/>
            <v:stroke on="f" joinstyle="miter"/>
            <v:imagedata r:id="rId113" o:title=""/>
            <o:lock v:ext="edit" aspectratio="t"/>
            <w10:wrap type="none"/>
            <w10:anchorlock/>
          </v:shape>
          <o:OLEObject Type="Embed" ProgID="Equation.DSMT4" ShapeID="_x0000_i1071" DrawAspect="Content" ObjectID="_1468075771" r:id="rId112">
            <o:LockedField>false</o:LockedField>
          </o:OLEObject>
        </w:object>
      </w:r>
      <w:r>
        <w:tab/>
      </w:r>
      <w:r>
        <w:t>（5.</w:t>
      </w:r>
      <w:r>
        <w:rPr>
          <w:rFonts w:hint="eastAsia"/>
        </w:rPr>
        <w:t>4.1</w:t>
      </w:r>
      <w:r>
        <w:t>）</w:t>
      </w:r>
    </w:p>
    <w:p>
      <w:pPr>
        <w:pStyle w:val="40"/>
      </w:pPr>
      <w:r>
        <w:drawing>
          <wp:inline distT="0" distB="0" distL="0" distR="0">
            <wp:extent cx="2324100" cy="2085975"/>
            <wp:effectExtent l="0" t="0" r="0" b="9525"/>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324100" cy="2085975"/>
                    </a:xfrm>
                    <a:prstGeom prst="rect">
                      <a:avLst/>
                    </a:prstGeom>
                    <a:noFill/>
                    <a:ln>
                      <a:noFill/>
                    </a:ln>
                  </pic:spPr>
                </pic:pic>
              </a:graphicData>
            </a:graphic>
          </wp:inline>
        </w:drawing>
      </w:r>
    </w:p>
    <w:p>
      <w:pPr>
        <w:pStyle w:val="38"/>
      </w:pPr>
      <w:r>
        <w:t>图5</w:t>
      </w:r>
      <w:r>
        <w:rPr>
          <w:rFonts w:hint="eastAsia"/>
        </w:rPr>
        <w:t>.4.1</w:t>
      </w:r>
      <w:r>
        <w:t>地面均布荷载时基坑外侧附加竖向应力计算</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当基坑支护结构外侧地面作用局部附加荷载p0时，支护结构外侧任意深度附加竖向应力标准值</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72" o:spt="75" type="#_x0000_t75" style="height:18pt;width:24pt;" o:ole="t" filled="f" o:preferrelative="t" stroked="f" coordsize="21600,21600">
            <v:path/>
            <v:fill on="f" focussize="0,0"/>
            <v:stroke on="f" joinstyle="miter"/>
            <v:imagedata r:id="rId111" o:title=""/>
            <o:lock v:ext="edit" aspectratio="t"/>
            <w10:wrap type="none"/>
            <w10:anchorlock/>
          </v:shape>
          <o:OLEObject Type="Embed" ProgID="Equation.DSMT4" ShapeID="_x0000_i1072" DrawAspect="Content" ObjectID="_1468075772" r:id="rId115">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可按下式计算：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对条形基础下的附加荷载（图5.4.2a）：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3" o:spt="75" type="#_x0000_t75" style="height:19.2pt;width:181.8pt;" o:ole="t" filled="f" o:preferrelative="t" stroked="f" coordsize="21600,21600">
            <v:path/>
            <v:fill on="f" focussize="0,0"/>
            <v:stroke on="f" joinstyle="miter"/>
            <v:imagedata r:id="rId117" o:title=""/>
            <o:lock v:ext="edit" aspectratio="t"/>
            <w10:wrap type="none"/>
            <w10:anchorlock/>
          </v:shape>
          <o:OLEObject Type="Embed" ProgID="Equation.DSMT4" ShapeID="_x0000_i1073" DrawAspect="Content" ObjectID="_1468075773" r:id="rId11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时</w:t>
      </w:r>
    </w:p>
    <w:p>
      <w:pPr>
        <w:pStyle w:val="35"/>
      </w:pPr>
      <w:r>
        <w:object>
          <v:shape id="_x0000_i1074" o:spt="75" type="#_x0000_t75" style="height:31.2pt;width:67.8pt;" o:ole="t" filled="f" o:preferrelative="t" stroked="f" coordsize="21600,21600">
            <v:path/>
            <v:fill on="f" focussize="0,0"/>
            <v:stroke on="f" joinstyle="miter"/>
            <v:imagedata r:id="rId119" o:title=""/>
            <o:lock v:ext="edit" aspectratio="t"/>
            <w10:wrap type="none"/>
            <w10:anchorlock/>
          </v:shape>
          <o:OLEObject Type="Embed" ProgID="Equation.DSMT4" ShapeID="_x0000_i1074" DrawAspect="Content" ObjectID="_1468075774" r:id="rId118">
            <o:LockedField>false</o:LockedField>
          </o:OLEObject>
        </w:object>
      </w:r>
      <w:r>
        <w:rPr>
          <w:rFonts w:hint="eastAsia"/>
        </w:rPr>
        <w:t xml:space="preserve">    （5.4.2-1）</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5" o:spt="75" type="#_x0000_t75" style="height:16.2pt;width:15pt;" o:ole="t" filled="f" o:preferrelative="t" stroked="f" coordsize="21600,21600">
            <v:path/>
            <v:fill on="f" focussize="0,0"/>
            <v:stroke on="f" joinstyle="miter"/>
            <v:imagedata r:id="rId121" o:title=""/>
            <o:lock v:ext="edit" aspectratio="t"/>
            <w10:wrap type="none"/>
            <w10:anchorlock/>
          </v:shape>
          <o:OLEObject Type="Embed" ProgID="Equation.DSMT4" ShapeID="_x0000_i1075" DrawAspect="Content" ObjectID="_1468075775" r:id="rId12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——基础底面附加压力标准值（kPa）；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6" o:spt="75" type="#_x0000_t75" style="height:12pt;width:12pt;" o:ole="t" filled="f" o:preferrelative="t" stroked="f" coordsize="21600,21600">
            <v:path/>
            <v:fill on="f" focussize="0,0"/>
            <v:stroke on="f" joinstyle="miter"/>
            <v:imagedata r:id="rId123" o:title=""/>
            <o:lock v:ext="edit" aspectratio="t"/>
            <w10:wrap type="none"/>
            <w10:anchorlock/>
          </v:shape>
          <o:OLEObject Type="Embed" ProgID="Equation.DSMT4" ShapeID="_x0000_i1076" DrawAspect="Content" ObjectID="_1468075776" r:id="rId12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——基础埋置深度（m）；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7" o:spt="75" type="#_x0000_t75" style="height:12pt;width:9pt;" o:ole="t" filled="f" o:preferrelative="t" stroked="f" coordsize="21600,21600">
            <v:path/>
            <v:fill on="f" focussize="0,0"/>
            <v:stroke on="f" joinstyle="miter"/>
            <v:imagedata r:id="rId125" o:title=""/>
            <o:lock v:ext="edit" aspectratio="t"/>
            <w10:wrap type="none"/>
            <w10:anchorlock/>
          </v:shape>
          <o:OLEObject Type="Embed" ProgID="Equation.DSMT4" ShapeID="_x0000_i1077" DrawAspect="Content" ObjectID="_1468075777" r:id="rId12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——基础宽度（m）；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8" o:spt="75" type="#_x0000_t75" style="height:12pt;width:12pt;" o:ole="t" filled="f" o:preferrelative="t" stroked="f" coordsize="21600,21600">
            <v:path/>
            <v:fill on="f" focussize="0,0"/>
            <v:stroke on="f" joinstyle="miter"/>
            <v:imagedata r:id="rId127" o:title=""/>
            <o:lock v:ext="edit" aspectratio="t"/>
            <w10:wrap type="none"/>
            <w10:anchorlock/>
          </v:shape>
          <o:OLEObject Type="Embed" ProgID="Equation.DSMT4" ShapeID="_x0000_i1078" DrawAspect="Content" ObjectID="_1468075778" r:id="rId12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——支护结构外边缘至基础的水平距离（m）；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79" o:spt="75" type="#_x0000_t75" style="height:12pt;width:12pt;" o:ole="t" filled="f" o:preferrelative="t" stroked="f" coordsize="21600,21600">
            <v:path/>
            <v:fill on="f" focussize="0,0"/>
            <v:stroke on="f" joinstyle="miter"/>
            <v:imagedata r:id="rId129" o:title=""/>
            <o:lock v:ext="edit" aspectratio="t"/>
            <w10:wrap type="none"/>
            <w10:anchorlock/>
          </v:shape>
          <o:OLEObject Type="Embed" ProgID="Equation.DSMT4" ShapeID="_x0000_i1079" DrawAspect="Content" ObjectID="_1468075779" r:id="rId12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——附加荷载的扩散角（°），宜取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0" o:spt="75" type="#_x0000_t75" style="height:12pt;width:37.2pt;" o:ole="t" filled="f" o:preferrelative="t" stroked="f" coordsize="21600,21600">
            <v:path/>
            <v:fill on="f" focussize="0,0"/>
            <v:stroke on="f" joinstyle="miter"/>
            <v:imagedata r:id="rId131" o:title=""/>
            <o:lock v:ext="edit" aspectratio="t"/>
            <w10:wrap type="none"/>
            <w10:anchorlock/>
          </v:shape>
          <o:OLEObject Type="Embed" ProgID="Equation.DSMT4" ShapeID="_x0000_i1080" DrawAspect="Content" ObjectID="_1468075780" r:id="rId130">
            <o:LockedField>false</o:LockedField>
          </o:OLEObject>
        </w:objec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1" o:spt="75" type="#_x0000_t75" style="height:16.2pt;width:12pt;" o:ole="t" filled="f" o:preferrelative="t" stroked="f" coordsize="21600,21600">
            <v:path/>
            <v:fill on="f" focussize="0,0"/>
            <v:stroke on="f" joinstyle="miter"/>
            <v:imagedata r:id="rId133" o:title=""/>
            <o:lock v:ext="edit" aspectratio="t"/>
            <w10:wrap type="none"/>
            <w10:anchorlock/>
          </v:shape>
          <o:OLEObject Type="Embed" ProgID="Equation.DSMT4" ShapeID="_x0000_i1081" DrawAspect="Content" ObjectID="_1468075781" r:id="rId13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——支护结构顶面至土中附加竖向应力计算点的竖向距离。</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2" o:spt="75" type="#_x0000_t75" style="height:18pt;width:81pt;" o:ole="t" filled="f" o:preferrelative="t" stroked="f" coordsize="21600,21600">
            <v:path/>
            <v:fill on="f" focussize="0,0"/>
            <v:stroke on="f" joinstyle="miter"/>
            <v:imagedata r:id="rId135" o:title=""/>
            <o:lock v:ext="edit" aspectratio="t"/>
            <w10:wrap type="none"/>
            <w10:anchorlock/>
          </v:shape>
          <o:OLEObject Type="Embed" ProgID="Equation.DSMT4" ShapeID="_x0000_i1082" DrawAspect="Content" ObjectID="_1468075782" r:id="rId13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3" o:spt="75" type="#_x0000_t75" style="height:19.2pt;width:112.8pt;" o:ole="t" filled="f" o:preferrelative="t" stroked="f" coordsize="21600,21600">
            <v:path/>
            <v:fill on="f" focussize="0,0"/>
            <v:stroke on="f" joinstyle="miter"/>
            <v:imagedata r:id="rId137" o:title=""/>
            <o:lock v:ext="edit" aspectratio="t"/>
            <w10:wrap type="none"/>
            <w10:anchorlock/>
          </v:shape>
          <o:OLEObject Type="Embed" ProgID="Equation.DSMT4" ShapeID="_x0000_i1083" DrawAspect="Content" ObjectID="_1468075783" r:id="rId13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时，</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4" o:spt="75" type="#_x0000_t75" style="height:18pt;width:40.8pt;" o:ole="t" filled="f" o:preferrelative="t" stroked="f" coordsize="21600,21600">
            <v:path/>
            <v:fill on="f" focussize="0,0"/>
            <v:stroke on="f" joinstyle="miter"/>
            <v:imagedata r:id="rId139" o:title=""/>
            <o:lock v:ext="edit" aspectratio="t"/>
            <w10:wrap type="none"/>
            <w10:anchorlock/>
          </v:shape>
          <o:OLEObject Type="Embed" ProgID="Equation.DSMT4" ShapeID="_x0000_i1084" DrawAspect="Content" ObjectID="_1468075784" r:id="rId13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对矩形基础下的附加荷载（图5.4.2a）：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5" o:spt="75" type="#_x0000_t75" style="height:19.2pt;width:181.8pt;" o:ole="t" filled="f" o:preferrelative="t" stroked="f" coordsize="21600,21600">
            <v:path/>
            <v:fill on="f" focussize="0,0"/>
            <v:stroke on="f" joinstyle="miter"/>
            <v:imagedata r:id="rId117" o:title=""/>
            <o:lock v:ext="edit" aspectratio="t"/>
            <w10:wrap type="none"/>
            <w10:anchorlock/>
          </v:shape>
          <o:OLEObject Type="Embed" ProgID="Equation.DSMT4" ShapeID="_x0000_i1085" DrawAspect="Content" ObjectID="_1468075785" r:id="rId14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时</w:t>
      </w:r>
    </w:p>
    <w:p>
      <w:pPr>
        <w:pStyle w:val="35"/>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6" o:spt="75" type="#_x0000_t75" style="height:34.8pt;width:112.8pt;" o:ole="t" filled="f" o:preferrelative="t" stroked="f" coordsize="21600,21600">
            <v:path/>
            <v:fill on="f" focussize="0,0"/>
            <v:stroke on="f" joinstyle="miter"/>
            <v:imagedata r:id="rId142" o:title=""/>
            <o:lock v:ext="edit" aspectratio="t"/>
            <w10:wrap type="none"/>
            <w10:anchorlock/>
          </v:shape>
          <o:OLEObject Type="Embed" ProgID="Equation.DSMT4" ShapeID="_x0000_i1086" DrawAspect="Content" ObjectID="_1468075786" r:id="rId141">
            <o:LockedField>false</o:LockedField>
          </o:OLEObject>
        </w:object>
      </w:r>
      <w:r>
        <w:rPr>
          <w:rFonts w:hint="eastAsia"/>
        </w:rPr>
        <w:t xml:space="preserve">   （5.4.2-2）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7" o:spt="75" type="#_x0000_t75" style="height:12pt;width:9pt;" o:ole="t" filled="f" o:preferrelative="t" stroked="f" coordsize="21600,21600">
            <v:path/>
            <v:fill on="f" focussize="0,0"/>
            <v:stroke on="f" joinstyle="miter"/>
            <v:imagedata r:id="rId144" o:title=""/>
            <o:lock v:ext="edit" aspectratio="t"/>
            <w10:wrap type="none"/>
            <w10:anchorlock/>
          </v:shape>
          <o:OLEObject Type="Embed" ProgID="Equation.DSMT4" ShapeID="_x0000_i1087" DrawAspect="Content" ObjectID="_1468075787" r:id="rId14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——与基坑边垂直方向上的基础尺寸（m）；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8" o:spt="75" type="#_x0000_t75" style="height:12pt;width:7.2pt;" o:ole="t" filled="f" o:preferrelative="t" stroked="f" coordsize="21600,21600">
            <v:path/>
            <v:fill on="f" focussize="0,0"/>
            <v:stroke on="f" joinstyle="miter"/>
            <v:imagedata r:id="rId146" o:title=""/>
            <o:lock v:ext="edit" aspectratio="t"/>
            <w10:wrap type="none"/>
            <w10:anchorlock/>
          </v:shape>
          <o:OLEObject Type="Embed" ProgID="Equation.DSMT4" ShapeID="_x0000_i1088" DrawAspect="Content" ObjectID="_1468075788" r:id="rId14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——与基坑边平行方向上的基础尺寸（m）；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89" o:spt="75" type="#_x0000_t75" style="height:18pt;width:81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4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90" o:spt="75" type="#_x0000_t75" style="height:19.2pt;width:112.8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4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时，</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091" o:spt="75" type="#_x0000_t75" style="height:18pt;width:40.8pt;" o:ole="t" filled="f" o:preferrelative="t" stroked="f" coordsize="21600,21600">
            <v:path/>
            <v:fill on="f" focussize="0,0"/>
            <v:stroke on="f" joinstyle="miter"/>
            <v:imagedata r:id="rId139" o:title=""/>
            <o:lock v:ext="edit" aspectratio="t"/>
            <w10:wrap type="none"/>
            <w10:anchorlock/>
          </v:shape>
          <o:OLEObject Type="Embed" ProgID="Equation.DSMT4" ShapeID="_x0000_i1091" DrawAspect="Content" ObjectID="_1468075791" r:id="rId14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ind w:firstLine="480"/>
      </w:pPr>
    </w:p>
    <w:p>
      <w:pPr>
        <w:pStyle w:val="35"/>
      </w:pPr>
      <w:r>
        <w:drawing>
          <wp:inline distT="0" distB="0" distL="0" distR="0">
            <wp:extent cx="4562475" cy="2538730"/>
            <wp:effectExtent l="0" t="0" r="0" b="0"/>
            <wp:docPr id="36" name="图片 36"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示, 工程绘图&#10;&#10;描述已自动生成"/>
                    <pic:cNvPicPr>
                      <a:picLocks noChangeAspect="1"/>
                    </pic:cNvPicPr>
                  </pic:nvPicPr>
                  <pic:blipFill>
                    <a:blip r:embed="rId150"/>
                    <a:stretch>
                      <a:fillRect/>
                    </a:stretch>
                  </pic:blipFill>
                  <pic:spPr>
                    <a:xfrm>
                      <a:off x="0" y="0"/>
                      <a:ext cx="4564584" cy="2540107"/>
                    </a:xfrm>
                    <a:prstGeom prst="rect">
                      <a:avLst/>
                    </a:prstGeom>
                  </pic:spPr>
                </pic:pic>
              </a:graphicData>
            </a:graphic>
          </wp:inline>
        </w:drawing>
      </w:r>
    </w:p>
    <w:p>
      <w:pPr>
        <w:pStyle w:val="38"/>
      </w:pPr>
      <w:r>
        <w:t>图5</w:t>
      </w:r>
      <w:r>
        <w:rPr>
          <w:rFonts w:hint="eastAsia"/>
        </w:rPr>
        <w:t>.4.2</w:t>
      </w:r>
      <w:r>
        <w:t>地面</w:t>
      </w:r>
      <w:r>
        <w:rPr>
          <w:rFonts w:hint="eastAsia"/>
        </w:rPr>
        <w:t>局部</w:t>
      </w:r>
      <w:r>
        <w:t>荷载时基坑外侧附加竖向应力计算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对作用在地面的条形、矩形附加荷载，按本条第1、2款计算土中附加竖向应力标准值</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92" o:spt="75" type="#_x0000_t75" style="height:18pt;width:24pt;" o:ole="t" filled="f" o:preferrelative="t" stroked="f" coordsize="21600,21600">
            <v:path/>
            <v:fill on="f" focussize="0,0"/>
            <v:stroke on="f" joinstyle="miter"/>
            <v:imagedata r:id="rId111" o:title=""/>
            <o:lock v:ext="edit" aspectratio="t"/>
            <w10:wrap type="none"/>
            <w10:anchorlock/>
          </v:shape>
          <o:OLEObject Type="Embed" ProgID="Equation.DSMT4" ShapeID="_x0000_i1092" DrawAspect="Content" ObjectID="_1468075792" r:id="rId151">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时，应取</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93" o:spt="75" type="#_x0000_t75" style="height:12pt;width:27pt;" o:ole="t" filled="f" o:preferrelative="t" stroked="f" coordsize="21600,21600">
            <v:path/>
            <v:fill on="f" focussize="0,0"/>
            <v:stroke on="f" joinstyle="miter"/>
            <v:imagedata r:id="rId153" o:title=""/>
            <o:lock v:ext="edit" aspectratio="t"/>
            <w10:wrap type="none"/>
            <w10:anchorlock/>
          </v:shape>
          <o:OLEObject Type="Embed" ProgID="Equation.DSMT4" ShapeID="_x0000_i1093" DrawAspect="Content" ObjectID="_1468075793" r:id="rId15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（图5.4.2b）。</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当支护结构顶部低于地面，其上方采用放坡或土钉墙时，支护结构顶面以上土体对支护结构的作用宜按库伦土压力理论计算，也可将其视作附加荷载并按下列公式计算土中附加竖向应力标准值：</w:t>
      </w:r>
    </w:p>
    <w:p>
      <w:pPr>
        <w:pStyle w:val="40"/>
      </w:pPr>
      <w:r>
        <w:drawing>
          <wp:inline distT="0" distB="0" distL="0" distR="0">
            <wp:extent cx="2984500" cy="2999105"/>
            <wp:effectExtent l="0" t="0" r="6350" b="0"/>
            <wp:docPr id="37" name="图片 37"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示, 工程绘图&#10;&#10;描述已自动生成"/>
                    <pic:cNvPicPr>
                      <a:picLocks noChangeAspect="1"/>
                    </pic:cNvPicPr>
                  </pic:nvPicPr>
                  <pic:blipFill>
                    <a:blip r:embed="rId154"/>
                    <a:stretch>
                      <a:fillRect/>
                    </a:stretch>
                  </pic:blipFill>
                  <pic:spPr>
                    <a:xfrm>
                      <a:off x="0" y="0"/>
                      <a:ext cx="2988091" cy="3002616"/>
                    </a:xfrm>
                    <a:prstGeom prst="rect">
                      <a:avLst/>
                    </a:prstGeom>
                  </pic:spPr>
                </pic:pic>
              </a:graphicData>
            </a:graphic>
          </wp:inline>
        </w:drawing>
      </w:r>
    </w:p>
    <w:p>
      <w:pPr>
        <w:pStyle w:val="38"/>
        <w:rPr>
          <w:b/>
        </w:rPr>
      </w:pPr>
      <w:r>
        <w:t>图</w:t>
      </w:r>
      <w:r>
        <w:rPr>
          <w:rFonts w:hint="eastAsia"/>
        </w:rPr>
        <w:t>5.4.3支护结构</w:t>
      </w:r>
      <w:r>
        <w:t>顶部以上采用放坡或土钉墙时土中附加竖向应力计算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94" o:spt="75" type="#_x0000_t75" style="height:19.2pt;width:141pt;" o:ole="t" filled="f" o:preferrelative="t" stroked="f" coordsize="21600,21600">
            <v:path/>
            <v:fill on="f" focussize="0,0"/>
            <v:stroke on="f" joinstyle="miter"/>
            <v:imagedata r:id="rId156" o:title=""/>
            <o:lock v:ext="edit" aspectratio="t"/>
            <w10:wrap type="none"/>
            <w10:anchorlock/>
          </v:shape>
          <o:OLEObject Type="Embed" ProgID="Equation.DSMT4" ShapeID="_x0000_i1094" DrawAspect="Content" ObjectID="_1468075794" r:id="rId155">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w:t>
      </w:r>
    </w:p>
    <w:p>
      <w:pPr>
        <w:pStyle w:val="35"/>
        <w:rPr>
          <w:position w:val="-32"/>
        </w:rPr>
      </w:pPr>
      <w:r>
        <w:object>
          <v:shape id="_x0000_i1095" o:spt="75" type="#_x0000_t75" style="height:37.2pt;width:181.8pt;" o:ole="t" filled="f" o:preferrelative="t" stroked="f" coordsize="21600,21600">
            <v:path/>
            <v:fill on="f" focussize="0,0"/>
            <v:stroke on="f" joinstyle="miter"/>
            <v:imagedata r:id="rId158" o:title=""/>
            <o:lock v:ext="edit" aspectratio="t"/>
            <w10:wrap type="none"/>
            <w10:anchorlock/>
          </v:shape>
          <o:OLEObject Type="Embed" ProgID="Equation.DSMT4" ShapeID="_x0000_i1095" DrawAspect="Content" ObjectID="_1468075795" r:id="rId157">
            <o:LockedField>false</o:LockedField>
          </o:OLEObject>
        </w:object>
      </w:r>
      <w:r>
        <w:rPr>
          <w:rFonts w:hint="eastAsia"/>
        </w:rPr>
        <w:t xml:space="preserve">  （5.4.3-1）</w:t>
      </w:r>
    </w:p>
    <w:p>
      <w:pPr>
        <w:pStyle w:val="35"/>
        <w:rPr>
          <w:position w:val="-32"/>
        </w:rPr>
      </w:pPr>
      <w:r>
        <w:object>
          <v:shape id="_x0000_i1096" o:spt="75" type="#_x0000_t75" style="height:34.8pt;width:157.8pt;" o:ole="t" filled="f" o:preferrelative="t" stroked="f" coordsize="21600,21600">
            <v:path/>
            <v:fill on="f" focussize="0,0"/>
            <v:stroke on="f" joinstyle="miter"/>
            <v:imagedata r:id="rId160" o:title=""/>
            <o:lock v:ext="edit" aspectratio="t"/>
            <w10:wrap type="none"/>
            <w10:anchorlock/>
          </v:shape>
          <o:OLEObject Type="Embed" ProgID="Equation.DSMT4" ShapeID="_x0000_i1096" DrawAspect="Content" ObjectID="_1468075796" r:id="rId159">
            <o:LockedField>false</o:LockedField>
          </o:OLEObject>
        </w:object>
      </w:r>
      <w:r>
        <w:rPr>
          <w:rFonts w:hint="eastAsia"/>
        </w:rPr>
        <w:t xml:space="preserve">    （5.4.3-2）</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97" o:spt="75" type="#_x0000_t75" style="height:19.2pt;width:90pt;" o:ole="t" filled="f" o:preferrelative="t" stroked="f" coordsize="21600,21600">
            <v:path/>
            <v:fill on="f" focussize="0,0"/>
            <v:stroke on="f" joinstyle="miter"/>
            <v:imagedata r:id="rId162" o:title=""/>
            <o:lock v:ext="edit" aspectratio="t"/>
            <w10:wrap type="none"/>
            <w10:anchorlock/>
          </v:shape>
          <o:OLEObject Type="Embed" ProgID="Equation.DSMT4" ShapeID="_x0000_i1097" DrawAspect="Content" ObjectID="_1468075797" r:id="rId161">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w:t>
      </w:r>
    </w:p>
    <w:p>
      <w:pPr>
        <w:pStyle w:val="35"/>
        <w:rPr>
          <w:position w:val="-32"/>
        </w:rPr>
      </w:pPr>
      <w:r>
        <w:object>
          <v:shape id="_x0000_i1098" o:spt="75" type="#_x0000_t75" style="height:18pt;width:49.8pt;" o:ole="t" filled="f" o:preferrelative="t" stroked="f" coordsize="21600,21600">
            <v:path/>
            <v:fill on="f" focussize="0,0"/>
            <v:stroke on="f" joinstyle="miter"/>
            <v:imagedata r:id="rId164" o:title=""/>
            <o:lock v:ext="edit" aspectratio="t"/>
            <w10:wrap type="none"/>
            <w10:anchorlock/>
          </v:shape>
          <o:OLEObject Type="Embed" ProgID="Equation.DSMT4" ShapeID="_x0000_i1098" DrawAspect="Content" ObjectID="_1468075798" r:id="rId163">
            <o:LockedField>false</o:LockedField>
          </o:OLEObject>
        </w:object>
      </w:r>
      <w:r>
        <w:rPr>
          <w:rFonts w:hint="eastAsia"/>
        </w:rPr>
        <w:t xml:space="preserve">    （5.4.3-3）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099" o:spt="75" type="#_x0000_t75" style="height:18pt;width:60pt;" o:ole="t" filled="f" o:preferrelative="t" stroked="f" coordsize="21600,21600">
            <v:path/>
            <v:fill on="f" focussize="0,0"/>
            <v:stroke on="f" joinstyle="miter"/>
            <v:imagedata r:id="rId166" o:title=""/>
            <o:lock v:ext="edit" aspectratio="t"/>
            <w10:wrap type="none"/>
            <w10:anchorlock/>
          </v:shape>
          <o:OLEObject Type="Embed" ProgID="Equation.DSMT4" ShapeID="_x0000_i1099" DrawAspect="Content" ObjectID="_1468075799" r:id="rId165">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w:t>
      </w:r>
    </w:p>
    <w:p>
      <w:pPr>
        <w:pStyle w:val="35"/>
        <w:rPr>
          <w:rFonts w:eastAsia="黑体"/>
          <w:sz w:val="30"/>
        </w:rPr>
      </w:pPr>
      <w:r>
        <w:object>
          <v:shape id="_x0000_i1100" o:spt="75" type="#_x0000_t75" style="height:18pt;width:40.8pt;" o:ole="t" filled="f" o:preferrelative="t" stroked="f" coordsize="21600,21600">
            <v:path/>
            <v:fill on="f" focussize="0,0"/>
            <v:stroke on="f" joinstyle="miter"/>
            <v:imagedata r:id="rId168" o:title=""/>
            <o:lock v:ext="edit" aspectratio="t"/>
            <w10:wrap type="none"/>
            <w10:anchorlock/>
          </v:shape>
          <o:OLEObject Type="Embed" ProgID="Equation.DSMT4" ShapeID="_x0000_i1100" DrawAspect="Content" ObjectID="_1468075800" r:id="rId167">
            <o:LockedField>false</o:LockedField>
          </o:OLEObject>
        </w:object>
      </w:r>
      <w:r>
        <w:rPr>
          <w:rFonts w:hint="eastAsia"/>
        </w:rPr>
        <w:t xml:space="preserve">    （5.4.3-4）</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1" o:spt="75" type="#_x0000_t75" style="height:16.2pt;width:12pt;" o:ole="t" filled="f" o:preferrelative="t" stroked="f" coordsize="21600,21600">
            <v:path/>
            <v:fill on="f" focussize="0,0"/>
            <v:stroke on="f" joinstyle="miter"/>
            <v:imagedata r:id="rId133" o:title=""/>
            <o:lock v:ext="edit" aspectratio="t"/>
            <w10:wrap type="none"/>
            <w10:anchorlock/>
          </v:shape>
          <o:OLEObject Type="Embed" ProgID="Equation.DSMT4" ShapeID="_x0000_i1101" DrawAspect="Content" ObjectID="_1468075801" r:id="rId16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——支护结构顶面至土中附加竖向应力计算点的竖向距离（m）；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2" o:spt="75" type="#_x0000_t75" style="height:12pt;width:12pt;" o:ole="t" filled="f" o:preferrelative="t" stroked="f" coordsize="21600,21600">
            <v:path/>
            <v:fill on="f" focussize="0,0"/>
            <v:stroke on="f" joinstyle="miter"/>
            <v:imagedata r:id="rId127" o:title=""/>
            <o:lock v:ext="edit" aspectratio="t"/>
            <w10:wrap type="none"/>
            <w10:anchorlock/>
          </v:shape>
          <o:OLEObject Type="Embed" ProgID="Equation.DSMT4" ShapeID="_x0000_i1102" DrawAspect="Content" ObjectID="_1468075802" r:id="rId17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——支护结构外边缘至放坡坡脚的水平距离（m）；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3" o:spt="75" type="#_x0000_t75" style="height:16.2pt;width:12pt;" o:ole="t" filled="f" o:preferrelative="t" stroked="f" coordsize="21600,21600">
            <v:path/>
            <v:fill on="f" focussize="0,0"/>
            <v:stroke on="f" joinstyle="miter"/>
            <v:imagedata r:id="rId172" o:title=""/>
            <o:lock v:ext="edit" aspectratio="t"/>
            <w10:wrap type="none"/>
            <w10:anchorlock/>
          </v:shape>
          <o:OLEObject Type="Embed" ProgID="Equation.DSMT4" ShapeID="_x0000_i1103" DrawAspect="Content" ObjectID="_1468075803" r:id="rId17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——放坡坡面的水平尺寸（m）；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4" o:spt="75" type="#_x0000_t75" style="height:12pt;width:12pt;" o:ole="t" filled="f" o:preferrelative="t" stroked="f" coordsize="21600,21600">
            <v:path/>
            <v:fill on="f" focussize="0,0"/>
            <v:stroke on="f" joinstyle="miter"/>
            <v:imagedata r:id="rId129" o:title=""/>
            <o:lock v:ext="edit" aspectratio="t"/>
            <w10:wrap type="none"/>
            <w10:anchorlock/>
          </v:shape>
          <o:OLEObject Type="Embed" ProgID="Equation.DSMT4" ShapeID="_x0000_i1104" DrawAspect="Content" ObjectID="_1468075804" r:id="rId17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——附加荷载的扩散角（°），宜取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5" o:spt="75" type="#_x0000_t75" style="height:12pt;width:37.2pt;" o:ole="t" filled="f" o:preferrelative="t" stroked="f" coordsize="21600,21600">
            <v:path/>
            <v:fill on="f" focussize="0,0"/>
            <v:stroke on="f" joinstyle="miter"/>
            <v:imagedata r:id="rId131" o:title=""/>
            <o:lock v:ext="edit" aspectratio="t"/>
            <w10:wrap type="none"/>
            <w10:anchorlock/>
          </v:shape>
          <o:OLEObject Type="Embed" ProgID="Equation.DSMT4" ShapeID="_x0000_i1105" DrawAspect="Content" ObjectID="_1468075805" r:id="rId174">
            <o:LockedField>false</o:LockedField>
          </o:OLEObject>
        </w:objec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6" o:spt="75" type="#_x0000_t75" style="height:16.2pt;width:12pt;" o:ole="t" filled="f" o:preferrelative="t" stroked="f" coordsize="21600,21600">
            <v:path/>
            <v:fill on="f" focussize="0,0"/>
            <v:stroke on="f" joinstyle="miter"/>
            <v:imagedata r:id="rId176" o:title=""/>
            <o:lock v:ext="edit" aspectratio="t"/>
            <w10:wrap type="none"/>
            <w10:anchorlock/>
          </v:shape>
          <o:OLEObject Type="Embed" ProgID="Equation.DSMT4" ShapeID="_x0000_i1106" DrawAspect="Content" ObjectID="_1468075806" r:id="rId17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——地面至支护结构顶面的竖向距离（m）；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7" o:spt="75" type="#_x0000_t75" style="height:12pt;width:12pt;" o:ole="t" filled="f" o:preferrelative="t" stroked="f" coordsize="21600,21600">
            <v:path/>
            <v:fill on="f" focussize="0,0"/>
            <v:stroke on="f" joinstyle="miter"/>
            <v:imagedata r:id="rId178" o:title=""/>
            <o:lock v:ext="edit" aspectratio="t"/>
            <w10:wrap type="none"/>
            <w10:anchorlock/>
          </v:shape>
          <o:OLEObject Type="Embed" ProgID="Equation.DSMT4" ShapeID="_x0000_i1107" DrawAspect="Content" ObjectID="_1468075807" r:id="rId17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——支护结构顶面以上土的天然重度（kN/m3）；对多层土取各层土按厚度加权的平均值；</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8" o:spt="75" type="#_x0000_t75" style="height:12pt;width:9pt;" o:ole="t" filled="f" o:preferrelative="t" stroked="f" coordsize="21600,21600">
            <v:path/>
            <v:fill on="f" focussize="0,0"/>
            <v:stroke on="f" joinstyle="miter"/>
            <v:imagedata r:id="rId180" o:title=""/>
            <o:lock v:ext="edit" aspectratio="t"/>
            <w10:wrap type="none"/>
            <w10:anchorlock/>
          </v:shape>
          <o:OLEObject Type="Embed" ProgID="Equation.DSMT4" ShapeID="_x0000_i1108" DrawAspect="Content" ObjectID="_1468075808" r:id="rId17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——支护结构顶面以上土的粘聚力（kPa）；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09" o:spt="75" type="#_x0000_t75" style="height:16.2pt;width:16.2pt;" o:ole="t" filled="f" o:preferrelative="t" stroked="f" coordsize="21600,21600">
            <v:path/>
            <v:fill on="f" focussize="0,0"/>
            <v:stroke on="f" joinstyle="miter"/>
            <v:imagedata r:id="rId182" o:title=""/>
            <o:lock v:ext="edit" aspectratio="t"/>
            <w10:wrap type="none"/>
            <w10:anchorlock/>
          </v:shape>
          <o:OLEObject Type="Embed" ProgID="Equation.DSMT4" ShapeID="_x0000_i1109" DrawAspect="Content" ObjectID="_1468075809" r:id="rId18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——支护结构顶面以上土的主动土压力系数；对多层土取各层土按厚度加权的平均值；</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10" o:spt="75" type="#_x0000_t75" style="height:16.2pt;width:19.2pt;" o:ole="t" filled="f" o:preferrelative="t" stroked="f" coordsize="21600,21600">
            <v:path/>
            <v:fill on="f" focussize="0,0"/>
            <v:stroke on="f" joinstyle="miter"/>
            <v:imagedata r:id="rId184" o:title=""/>
            <o:lock v:ext="edit" aspectratio="t"/>
            <w10:wrap type="none"/>
            <w10:anchorlock/>
          </v:shape>
          <o:OLEObject Type="Embed" ProgID="Equation.DSMT4" ShapeID="_x0000_i1110" DrawAspect="Content" ObjectID="_1468075810" r:id="rId18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——支护结构顶面以上土体的自重所产生的单位宽度主动土压力标准值（kN/m）。</w:t>
      </w:r>
    </w:p>
    <w:p>
      <w:pPr>
        <w:ind w:firstLine="480"/>
        <w:rPr>
          <w:rStyle w:val="37"/>
        </w:rPr>
      </w:pPr>
    </w:p>
    <w:p>
      <w:pPr>
        <w:ind w:firstLine="480"/>
        <w:rPr>
          <w:rStyle w:val="37"/>
        </w:rPr>
      </w:pPr>
    </w:p>
    <w:bookmarkEnd w:id="51"/>
    <w:bookmarkEnd w:id="52"/>
    <w:bookmarkEnd w:id="53"/>
    <w:p>
      <w:pPr>
        <w:pStyle w:val="2"/>
      </w:pPr>
      <w:bookmarkStart w:id="57" w:name="_Toc25076087"/>
      <w:bookmarkStart w:id="58" w:name="_Toc26038599"/>
      <w:bookmarkStart w:id="59" w:name="_Toc25075836"/>
      <w:r>
        <w:br w:type="page"/>
      </w:r>
      <w:bookmarkStart w:id="60" w:name="_Toc30675"/>
      <w:bookmarkStart w:id="61" w:name="_Toc18687"/>
      <w:r>
        <w:rPr>
          <w:rFonts w:hint="eastAsia"/>
        </w:rPr>
        <w:t>建筑材料</w:t>
      </w:r>
      <w:bookmarkEnd w:id="60"/>
      <w:bookmarkEnd w:id="61"/>
    </w:p>
    <w:p>
      <w:pPr>
        <w:pStyle w:val="3"/>
      </w:pPr>
      <w:bookmarkStart w:id="62" w:name="_Toc4846"/>
      <w:r>
        <w:rPr>
          <w:rFonts w:hint="eastAsia"/>
        </w:rPr>
        <w:t>一般规定</w:t>
      </w:r>
      <w:bookmarkEnd w:id="62"/>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明挖隧道工程常用的各种建筑材料，按强度等级划分如下。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混凝土：C15、C20、C25、C30、C35、C45、C50、C55、C60；</w:t>
      </w:r>
    </w:p>
    <w:p>
      <w:pPr>
        <w:pStyle w:val="51"/>
        <w:widowControl w:val="0"/>
        <w:numPr>
          <w:ilvl w:val="255"/>
          <w:numId w:val="0"/>
        </w:numPr>
        <w:spacing w:line="360" w:lineRule="auto"/>
        <w:ind w:left="0" w:firstLine="406" w:firstLineChars="145"/>
        <w:rPr>
          <w:sz w:val="21"/>
          <w:szCs w:val="18"/>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钢筋：HPB300、HRB400、HRB500、RRB400、HRBF400、HRBF500。</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工程材料应根据结构类型、受力条件、使用要求和所处环境，并结合其可靠性、耐久性和经济性选用。</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的原材料和配比、最低强度等级、最大水胶比和单方混凝土最小胶凝材料用量等，应符合耐久性要求，满足抗裂、抗渗、抗冻和抗侵蚀的需要。一般环境条件下隧道结构及作为永久结构的地下连续墙或灌注桩的混凝土强度等级不得低于C35，底板填充混凝土等级不得低于C20。</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大体积浇筑的混凝土应避免采用高水化热水泥，并宜适量掺入减水剂、优质粉煤灰或磨细矿渣等，同时应严格控制水泥用量，限制水胶比及混凝土入模温度。</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普通钢筋混凝土和喷锚支护结构中的钢筋应按下列规定选用：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梁、柱纵向受力钢筋应采用HRB400、HRB500、HRBF400、HRBF500钢筋，其他钢筋也可采用HPB300、RRB400钢筋；</w:t>
      </w:r>
    </w:p>
    <w:p>
      <w:pPr>
        <w:pStyle w:val="51"/>
        <w:widowControl w:val="0"/>
        <w:numPr>
          <w:ilvl w:val="255"/>
          <w:numId w:val="0"/>
        </w:numPr>
        <w:spacing w:line="360" w:lineRule="auto"/>
        <w:ind w:left="0" w:firstLine="406" w:firstLineChars="145"/>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箍筋宜采用HRB400、HRBF400、HPB300、HRB500、HRBF500钢筋。</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喷射混凝土应采用湿喷混凝土，最低强度不小于为C25。</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注浆材料宜采用对地下环境无污染及后期收缩小的材料。</w:t>
      </w:r>
    </w:p>
    <w:p>
      <w:pPr>
        <w:pStyle w:val="51"/>
        <w:numPr>
          <w:ilvl w:val="0"/>
          <w:numId w:val="0"/>
        </w:numPr>
      </w:pPr>
    </w:p>
    <w:p>
      <w:pPr>
        <w:pStyle w:val="3"/>
      </w:pPr>
      <w:bookmarkStart w:id="63" w:name="_Toc4414"/>
      <w:r>
        <w:rPr>
          <w:rFonts w:hint="eastAsia"/>
        </w:rPr>
        <w:t>混凝土</w:t>
      </w:r>
      <w:bookmarkEnd w:id="63"/>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混凝土强度等级按照《混凝土结构设计规范》GB 50010-2010 规定分级。</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混凝土轴心抗压强度标准值f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ck</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按下表采用。</w:t>
      </w:r>
    </w:p>
    <w:p>
      <w:pPr>
        <w:pStyle w:val="38"/>
        <w:rPr>
          <w:rFonts w:hint="eastAsia"/>
        </w:rPr>
      </w:pPr>
      <w:r>
        <w:rPr>
          <w:rFonts w:hint="eastAsia"/>
        </w:rPr>
        <w:t>表6.2.2 混凝土轴心抗压强度标准值（N/mm</w:t>
      </w:r>
      <w:r>
        <w:rPr>
          <w:rFonts w:hint="eastAsia"/>
          <w:vertAlign w:val="superscript"/>
        </w:rPr>
        <w:t>2</w:t>
      </w:r>
      <w:r>
        <w:rPr>
          <w:rFonts w:hint="eastAsia"/>
        </w:rPr>
        <w:t>）</w:t>
      </w:r>
    </w:p>
    <w:tbl>
      <w:tblPr>
        <w:tblStyle w:val="22"/>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742"/>
        <w:gridCol w:w="742"/>
        <w:gridCol w:w="742"/>
        <w:gridCol w:w="742"/>
        <w:gridCol w:w="742"/>
        <w:gridCol w:w="742"/>
        <w:gridCol w:w="742"/>
        <w:gridCol w:w="742"/>
        <w:gridCol w:w="742"/>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31" w:type="dxa"/>
            <w:vMerge w:val="restart"/>
            <w:shd w:val="clear" w:color="auto" w:fill="auto"/>
            <w:noWrap/>
            <w:vAlign w:val="center"/>
          </w:tcPr>
          <w:p>
            <w:pPr>
              <w:pStyle w:val="51"/>
              <w:numPr>
                <w:ilvl w:val="2"/>
                <w:numId w:val="0"/>
              </w:numPr>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LINK Excel.Sheet.12 "工作簿1" "Sheet1!R1C1:R3C15" \a \f 4 \h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强度</w:t>
            </w:r>
          </w:p>
        </w:tc>
        <w:tc>
          <w:tcPr>
            <w:tcW w:w="7326" w:type="dxa"/>
            <w:gridSpan w:val="10"/>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031" w:type="dxa"/>
            <w:vMerge w:val="continue"/>
            <w:vAlign w:val="center"/>
          </w:tcPr>
          <w:p>
            <w:pPr>
              <w:pStyle w:val="33"/>
              <w:rPr>
                <w:rFonts w:hint="eastAsia" w:ascii="宋体" w:hAnsi="宋体" w:eastAsia="宋体" w:cs="宋体"/>
                <w:sz w:val="21"/>
                <w:szCs w:val="21"/>
              </w:rPr>
            </w:pP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C15</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C20</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C25</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C30</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C35</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C40</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C45</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C50</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C55</w:t>
            </w:r>
          </w:p>
        </w:tc>
        <w:tc>
          <w:tcPr>
            <w:tcW w:w="643"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31"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f</w:t>
            </w:r>
            <w:r>
              <w:rPr>
                <w:rFonts w:hint="eastAsia" w:ascii="宋体" w:hAnsi="宋体" w:eastAsia="宋体" w:cs="宋体"/>
                <w:sz w:val="21"/>
                <w:szCs w:val="21"/>
                <w:vertAlign w:val="subscript"/>
              </w:rPr>
              <w:t>c</w:t>
            </w:r>
            <w:r>
              <w:rPr>
                <w:rFonts w:hint="eastAsia" w:ascii="宋体" w:hAnsi="宋体" w:eastAsia="宋体" w:cs="宋体"/>
                <w:sz w:val="21"/>
                <w:szCs w:val="21"/>
              </w:rPr>
              <w:t>k</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10.0</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13.4</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16.7</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20.1</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23.4</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26.8</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29.6</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32.4</w:t>
            </w:r>
          </w:p>
        </w:tc>
        <w:tc>
          <w:tcPr>
            <w:tcW w:w="742"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35.5</w:t>
            </w:r>
          </w:p>
        </w:tc>
        <w:tc>
          <w:tcPr>
            <w:tcW w:w="643" w:type="dxa"/>
            <w:shd w:val="clear" w:color="auto" w:fill="auto"/>
            <w:noWrap/>
            <w:vAlign w:val="center"/>
          </w:tcPr>
          <w:p>
            <w:pPr>
              <w:pStyle w:val="33"/>
              <w:rPr>
                <w:rFonts w:hint="eastAsia" w:ascii="宋体" w:hAnsi="宋体" w:eastAsia="宋体" w:cs="宋体"/>
                <w:sz w:val="21"/>
                <w:szCs w:val="21"/>
              </w:rPr>
            </w:pPr>
            <w:r>
              <w:rPr>
                <w:rFonts w:hint="eastAsia" w:ascii="宋体" w:hAnsi="宋体" w:eastAsia="宋体" w:cs="宋体"/>
                <w:sz w:val="21"/>
                <w:szCs w:val="21"/>
              </w:rPr>
              <w:t>38.5</w:t>
            </w:r>
          </w:p>
        </w:tc>
      </w:tr>
    </w:tbl>
    <w:p>
      <w:pPr>
        <w:pStyle w:val="51"/>
        <w:numPr>
          <w:ilvl w:val="2"/>
          <w:numId w:val="0"/>
        </w:numPr>
        <w:jc w:val="center"/>
      </w:pPr>
      <w:r>
        <w:fldChar w:fldCharType="end"/>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混凝土轴心抗拉强度标准值f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tk</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按下表采用。</w:t>
      </w:r>
    </w:p>
    <w:p>
      <w:pPr>
        <w:pStyle w:val="38"/>
        <w:rPr>
          <w:rFonts w:hint="eastAsia"/>
        </w:rPr>
      </w:pPr>
      <w:r>
        <w:rPr>
          <w:rFonts w:hint="eastAsia"/>
        </w:rPr>
        <w:t>表6.2.3 混凝土轴心抗拉强度标准值（N/mm</w:t>
      </w:r>
      <w:r>
        <w:rPr>
          <w:rFonts w:hint="eastAsia"/>
          <w:vertAlign w:val="superscript"/>
        </w:rPr>
        <w:t>2</w:t>
      </w:r>
      <w:r>
        <w:rPr>
          <w:rFonts w:hint="eastAsia"/>
        </w:rPr>
        <w:t>）</w:t>
      </w:r>
    </w:p>
    <w:tbl>
      <w:tblPr>
        <w:tblStyle w:val="22"/>
        <w:tblW w:w="8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761"/>
        <w:gridCol w:w="761"/>
        <w:gridCol w:w="761"/>
        <w:gridCol w:w="761"/>
        <w:gridCol w:w="761"/>
        <w:gridCol w:w="761"/>
        <w:gridCol w:w="761"/>
        <w:gridCol w:w="762"/>
        <w:gridCol w:w="76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110" w:type="dxa"/>
            <w:vMerge w:val="restart"/>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强度</w:t>
            </w:r>
          </w:p>
        </w:tc>
        <w:tc>
          <w:tcPr>
            <w:tcW w:w="7234" w:type="dxa"/>
            <w:gridSpan w:val="10"/>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10" w:type="dxa"/>
            <w:vMerge w:val="continue"/>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C15</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C20</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C25</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C30</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C35</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C40</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C45</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C50</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C55</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10"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ftk</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1.27</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1.54</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1.78</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2.01</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2.20</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2.39</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2.51</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2.64</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2.74</w:t>
            </w:r>
          </w:p>
        </w:tc>
        <w:tc>
          <w:tcPr>
            <w:tcW w:w="722"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2.85</w:t>
            </w:r>
          </w:p>
        </w:tc>
      </w:tr>
    </w:tbl>
    <w:p>
      <w:pPr>
        <w:pStyle w:val="51"/>
        <w:numPr>
          <w:ilvl w:val="2"/>
          <w:numId w:val="0"/>
        </w:numPr>
        <w:ind w:firstLine="480" w:firstLineChars="200"/>
        <w:rPr>
          <w:rFonts w:ascii="楷体" w:hAnsi="楷体" w:eastAsia="楷体"/>
        </w:rPr>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混凝土轴心抗压强度设计值f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c</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按下表采用。</w:t>
      </w:r>
    </w:p>
    <w:p>
      <w:pPr>
        <w:pStyle w:val="38"/>
        <w:rPr>
          <w:rFonts w:hint="eastAsia"/>
        </w:rPr>
      </w:pPr>
      <w:r>
        <w:rPr>
          <w:rFonts w:hint="eastAsia"/>
        </w:rPr>
        <w:t>表6.2.4 混凝土轴心抗压强度设计值（N/mm</w:t>
      </w:r>
      <w:r>
        <w:rPr>
          <w:rFonts w:hint="eastAsia"/>
          <w:vertAlign w:val="superscript"/>
        </w:rPr>
        <w:t>2</w:t>
      </w:r>
      <w:r>
        <w:rPr>
          <w:rFonts w:hint="eastAsia"/>
        </w:rPr>
        <w:t>）</w:t>
      </w:r>
    </w:p>
    <w:tbl>
      <w:tblPr>
        <w:tblStyle w:val="22"/>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695"/>
        <w:gridCol w:w="695"/>
        <w:gridCol w:w="778"/>
        <w:gridCol w:w="778"/>
        <w:gridCol w:w="778"/>
        <w:gridCol w:w="778"/>
        <w:gridCol w:w="778"/>
        <w:gridCol w:w="779"/>
        <w:gridCol w:w="779"/>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79" w:type="dxa"/>
            <w:vMerge w:val="restart"/>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强度</w:t>
            </w:r>
          </w:p>
        </w:tc>
        <w:tc>
          <w:tcPr>
            <w:tcW w:w="6700" w:type="dxa"/>
            <w:gridSpan w:val="10"/>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79" w:type="dxa"/>
            <w:vMerge w:val="continue"/>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56"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C15</w:t>
            </w:r>
          </w:p>
        </w:tc>
        <w:tc>
          <w:tcPr>
            <w:tcW w:w="656"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C20</w:t>
            </w:r>
          </w:p>
        </w:tc>
        <w:tc>
          <w:tcPr>
            <w:tcW w:w="665"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C25</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C30</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C35</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C40</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C45</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C50</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C55</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79"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fc</w:t>
            </w:r>
          </w:p>
        </w:tc>
        <w:tc>
          <w:tcPr>
            <w:tcW w:w="656"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7.2</w:t>
            </w:r>
          </w:p>
        </w:tc>
        <w:tc>
          <w:tcPr>
            <w:tcW w:w="656"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9.6</w:t>
            </w:r>
          </w:p>
        </w:tc>
        <w:tc>
          <w:tcPr>
            <w:tcW w:w="665"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11.9</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14.3</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16.7</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19.1</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21.1</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23.1</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25.3</w:t>
            </w:r>
          </w:p>
        </w:tc>
        <w:tc>
          <w:tcPr>
            <w:tcW w:w="674" w:type="dxa"/>
            <w:shd w:val="clear" w:color="auto" w:fill="auto"/>
            <w:noWrap/>
            <w:vAlign w:val="center"/>
          </w:tcPr>
          <w:p>
            <w:pPr>
              <w:pStyle w:val="51"/>
              <w:widowControl w:val="0"/>
              <w:numPr>
                <w:ilvl w:val="2"/>
                <w:numId w:val="0"/>
              </w:numPr>
              <w:spacing w:line="360" w:lineRule="auto"/>
              <w:ind w:left="284"/>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27.5</w:t>
            </w:r>
          </w:p>
        </w:tc>
      </w:tr>
    </w:tbl>
    <w:p>
      <w:pPr>
        <w:pStyle w:val="51"/>
        <w:numPr>
          <w:ilvl w:val="2"/>
          <w:numId w:val="0"/>
        </w:numPr>
        <w:jc w:val="center"/>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混凝土轴心抗拉强度设计值f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t</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按下表采用。</w:t>
      </w:r>
    </w:p>
    <w:p>
      <w:pPr>
        <w:pStyle w:val="38"/>
        <w:rPr>
          <w:rFonts w:hint="eastAsia"/>
        </w:rPr>
      </w:pPr>
      <w:r>
        <w:rPr>
          <w:rFonts w:hint="eastAsia"/>
        </w:rPr>
        <w:t>表6.2.5 混凝土轴心抗拉强度设计值（N/mm</w:t>
      </w:r>
      <w:r>
        <w:rPr>
          <w:rFonts w:hint="eastAsia"/>
          <w:vertAlign w:val="superscript"/>
        </w:rPr>
        <w:t>2</w:t>
      </w:r>
      <w:r>
        <w:rPr>
          <w:rFonts w:hint="eastAsia"/>
        </w:rPr>
        <w:t>）</w:t>
      </w:r>
    </w:p>
    <w:tbl>
      <w:tblPr>
        <w:tblStyle w:val="22"/>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702"/>
        <w:gridCol w:w="702"/>
        <w:gridCol w:w="702"/>
        <w:gridCol w:w="702"/>
        <w:gridCol w:w="702"/>
        <w:gridCol w:w="702"/>
        <w:gridCol w:w="702"/>
        <w:gridCol w:w="702"/>
        <w:gridCol w:w="702"/>
        <w:gridCol w:w="706"/>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81" w:type="dxa"/>
            <w:vMerge w:val="restart"/>
            <w:shd w:val="clear" w:color="auto" w:fill="auto"/>
            <w:noWrap/>
            <w:vAlign w:val="center"/>
          </w:tcPr>
          <w:p>
            <w:pPr>
              <w:pStyle w:val="33"/>
            </w:pPr>
            <w:r>
              <w:rPr>
                <w:rFonts w:hint="eastAsia"/>
              </w:rPr>
              <w:t>强度</w:t>
            </w:r>
          </w:p>
        </w:tc>
        <w:tc>
          <w:tcPr>
            <w:tcW w:w="7036" w:type="dxa"/>
            <w:gridSpan w:val="11"/>
            <w:shd w:val="clear" w:color="auto" w:fill="auto"/>
            <w:noWrap/>
            <w:vAlign w:val="center"/>
          </w:tcPr>
          <w:p>
            <w:pPr>
              <w:pStyle w:val="33"/>
            </w:pPr>
            <w:r>
              <w:rPr>
                <w:rFonts w:hint="eastAsia"/>
              </w:rPr>
              <w:t>混凝土强度等级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54" w:hRule="atLeast"/>
          <w:jc w:val="center"/>
        </w:trPr>
        <w:tc>
          <w:tcPr>
            <w:tcW w:w="881" w:type="dxa"/>
            <w:vMerge w:val="continue"/>
            <w:vAlign w:val="center"/>
          </w:tcPr>
          <w:p>
            <w:pPr>
              <w:pStyle w:val="33"/>
            </w:pPr>
          </w:p>
        </w:tc>
        <w:tc>
          <w:tcPr>
            <w:tcW w:w="702" w:type="dxa"/>
            <w:shd w:val="clear" w:color="auto" w:fill="auto"/>
            <w:noWrap/>
            <w:vAlign w:val="center"/>
          </w:tcPr>
          <w:p>
            <w:pPr>
              <w:pStyle w:val="33"/>
            </w:pPr>
            <w:r>
              <w:rPr>
                <w:rFonts w:hint="eastAsia"/>
              </w:rPr>
              <w:t>C15</w:t>
            </w:r>
          </w:p>
        </w:tc>
        <w:tc>
          <w:tcPr>
            <w:tcW w:w="702" w:type="dxa"/>
            <w:shd w:val="clear" w:color="auto" w:fill="auto"/>
            <w:noWrap/>
            <w:vAlign w:val="center"/>
          </w:tcPr>
          <w:p>
            <w:pPr>
              <w:pStyle w:val="33"/>
            </w:pPr>
            <w:r>
              <w:rPr>
                <w:rFonts w:hint="eastAsia"/>
              </w:rPr>
              <w:t>C20</w:t>
            </w:r>
          </w:p>
        </w:tc>
        <w:tc>
          <w:tcPr>
            <w:tcW w:w="702" w:type="dxa"/>
            <w:shd w:val="clear" w:color="auto" w:fill="auto"/>
            <w:noWrap/>
            <w:vAlign w:val="center"/>
          </w:tcPr>
          <w:p>
            <w:pPr>
              <w:pStyle w:val="33"/>
            </w:pPr>
            <w:r>
              <w:rPr>
                <w:rFonts w:hint="eastAsia"/>
              </w:rPr>
              <w:t>C25</w:t>
            </w:r>
          </w:p>
        </w:tc>
        <w:tc>
          <w:tcPr>
            <w:tcW w:w="702" w:type="dxa"/>
            <w:shd w:val="clear" w:color="auto" w:fill="auto"/>
            <w:noWrap/>
            <w:vAlign w:val="center"/>
          </w:tcPr>
          <w:p>
            <w:pPr>
              <w:pStyle w:val="33"/>
            </w:pPr>
            <w:r>
              <w:rPr>
                <w:rFonts w:hint="eastAsia"/>
              </w:rPr>
              <w:t>C30</w:t>
            </w:r>
          </w:p>
        </w:tc>
        <w:tc>
          <w:tcPr>
            <w:tcW w:w="702" w:type="dxa"/>
            <w:shd w:val="clear" w:color="auto" w:fill="auto"/>
            <w:noWrap/>
            <w:vAlign w:val="center"/>
          </w:tcPr>
          <w:p>
            <w:pPr>
              <w:pStyle w:val="33"/>
            </w:pPr>
            <w:r>
              <w:rPr>
                <w:rFonts w:hint="eastAsia"/>
              </w:rPr>
              <w:t>C35</w:t>
            </w:r>
          </w:p>
        </w:tc>
        <w:tc>
          <w:tcPr>
            <w:tcW w:w="702" w:type="dxa"/>
            <w:shd w:val="clear" w:color="auto" w:fill="auto"/>
            <w:noWrap/>
            <w:vAlign w:val="center"/>
          </w:tcPr>
          <w:p>
            <w:pPr>
              <w:pStyle w:val="33"/>
            </w:pPr>
            <w:r>
              <w:rPr>
                <w:rFonts w:hint="eastAsia"/>
              </w:rPr>
              <w:t>C40</w:t>
            </w:r>
          </w:p>
        </w:tc>
        <w:tc>
          <w:tcPr>
            <w:tcW w:w="702" w:type="dxa"/>
            <w:shd w:val="clear" w:color="auto" w:fill="auto"/>
            <w:noWrap/>
            <w:vAlign w:val="center"/>
          </w:tcPr>
          <w:p>
            <w:pPr>
              <w:pStyle w:val="33"/>
            </w:pPr>
            <w:r>
              <w:rPr>
                <w:rFonts w:hint="eastAsia"/>
              </w:rPr>
              <w:t>C45</w:t>
            </w:r>
          </w:p>
        </w:tc>
        <w:tc>
          <w:tcPr>
            <w:tcW w:w="702" w:type="dxa"/>
            <w:shd w:val="clear" w:color="auto" w:fill="auto"/>
            <w:noWrap/>
            <w:vAlign w:val="center"/>
          </w:tcPr>
          <w:p>
            <w:pPr>
              <w:pStyle w:val="33"/>
            </w:pPr>
            <w:r>
              <w:rPr>
                <w:rFonts w:hint="eastAsia"/>
              </w:rPr>
              <w:t>C50</w:t>
            </w:r>
          </w:p>
        </w:tc>
        <w:tc>
          <w:tcPr>
            <w:tcW w:w="702" w:type="dxa"/>
            <w:shd w:val="clear" w:color="auto" w:fill="auto"/>
            <w:noWrap/>
            <w:vAlign w:val="center"/>
          </w:tcPr>
          <w:p>
            <w:pPr>
              <w:pStyle w:val="33"/>
            </w:pPr>
            <w:r>
              <w:rPr>
                <w:rFonts w:hint="eastAsia"/>
              </w:rPr>
              <w:t>C55</w:t>
            </w:r>
          </w:p>
        </w:tc>
        <w:tc>
          <w:tcPr>
            <w:tcW w:w="706" w:type="dxa"/>
            <w:shd w:val="clear" w:color="auto" w:fill="auto"/>
            <w:noWrap/>
            <w:vAlign w:val="center"/>
          </w:tcPr>
          <w:p>
            <w:pPr>
              <w:pStyle w:val="33"/>
            </w:pPr>
            <w:r>
              <w:rPr>
                <w:rFonts w:hint="eastAsia"/>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19" w:hRule="atLeast"/>
          <w:jc w:val="center"/>
        </w:trPr>
        <w:tc>
          <w:tcPr>
            <w:tcW w:w="881" w:type="dxa"/>
            <w:shd w:val="clear" w:color="auto" w:fill="auto"/>
            <w:noWrap/>
            <w:vAlign w:val="center"/>
          </w:tcPr>
          <w:p>
            <w:pPr>
              <w:pStyle w:val="33"/>
            </w:pPr>
            <w:r>
              <w:rPr>
                <w:rFonts w:hint="eastAsia"/>
              </w:rPr>
              <w:t>f</w:t>
            </w:r>
            <w:r>
              <w:rPr>
                <w:rFonts w:hint="eastAsia"/>
                <w:vertAlign w:val="subscript"/>
              </w:rPr>
              <w:t>t</w:t>
            </w:r>
          </w:p>
        </w:tc>
        <w:tc>
          <w:tcPr>
            <w:tcW w:w="702" w:type="dxa"/>
            <w:shd w:val="clear" w:color="auto" w:fill="auto"/>
            <w:noWrap/>
            <w:vAlign w:val="center"/>
          </w:tcPr>
          <w:p>
            <w:pPr>
              <w:pStyle w:val="33"/>
            </w:pPr>
            <w:r>
              <w:rPr>
                <w:rFonts w:hint="eastAsia"/>
              </w:rPr>
              <w:t>0.91</w:t>
            </w:r>
          </w:p>
        </w:tc>
        <w:tc>
          <w:tcPr>
            <w:tcW w:w="702" w:type="dxa"/>
            <w:shd w:val="clear" w:color="auto" w:fill="auto"/>
            <w:noWrap/>
            <w:vAlign w:val="center"/>
          </w:tcPr>
          <w:p>
            <w:pPr>
              <w:pStyle w:val="33"/>
            </w:pPr>
            <w:r>
              <w:rPr>
                <w:rFonts w:hint="eastAsia"/>
              </w:rPr>
              <w:t>1.1</w:t>
            </w:r>
            <w:r>
              <w:t>0</w:t>
            </w:r>
          </w:p>
        </w:tc>
        <w:tc>
          <w:tcPr>
            <w:tcW w:w="702" w:type="dxa"/>
            <w:shd w:val="clear" w:color="auto" w:fill="auto"/>
            <w:noWrap/>
            <w:vAlign w:val="center"/>
          </w:tcPr>
          <w:p>
            <w:pPr>
              <w:pStyle w:val="33"/>
            </w:pPr>
            <w:r>
              <w:rPr>
                <w:rFonts w:hint="eastAsia"/>
              </w:rPr>
              <w:t>1.27</w:t>
            </w:r>
          </w:p>
        </w:tc>
        <w:tc>
          <w:tcPr>
            <w:tcW w:w="702" w:type="dxa"/>
            <w:shd w:val="clear" w:color="auto" w:fill="auto"/>
            <w:noWrap/>
            <w:vAlign w:val="center"/>
          </w:tcPr>
          <w:p>
            <w:pPr>
              <w:pStyle w:val="33"/>
            </w:pPr>
            <w:r>
              <w:rPr>
                <w:rFonts w:hint="eastAsia"/>
              </w:rPr>
              <w:t>1.43</w:t>
            </w:r>
          </w:p>
        </w:tc>
        <w:tc>
          <w:tcPr>
            <w:tcW w:w="702" w:type="dxa"/>
            <w:shd w:val="clear" w:color="auto" w:fill="auto"/>
            <w:noWrap/>
            <w:vAlign w:val="center"/>
          </w:tcPr>
          <w:p>
            <w:pPr>
              <w:pStyle w:val="33"/>
            </w:pPr>
            <w:r>
              <w:rPr>
                <w:rFonts w:hint="eastAsia"/>
              </w:rPr>
              <w:t>1.57</w:t>
            </w:r>
          </w:p>
        </w:tc>
        <w:tc>
          <w:tcPr>
            <w:tcW w:w="702" w:type="dxa"/>
            <w:shd w:val="clear" w:color="auto" w:fill="auto"/>
            <w:noWrap/>
            <w:vAlign w:val="center"/>
          </w:tcPr>
          <w:p>
            <w:pPr>
              <w:pStyle w:val="33"/>
            </w:pPr>
            <w:r>
              <w:rPr>
                <w:rFonts w:hint="eastAsia"/>
              </w:rPr>
              <w:t>1.71</w:t>
            </w:r>
          </w:p>
        </w:tc>
        <w:tc>
          <w:tcPr>
            <w:tcW w:w="702" w:type="dxa"/>
            <w:shd w:val="clear" w:color="auto" w:fill="auto"/>
            <w:noWrap/>
            <w:vAlign w:val="center"/>
          </w:tcPr>
          <w:p>
            <w:pPr>
              <w:pStyle w:val="33"/>
            </w:pPr>
            <w:r>
              <w:rPr>
                <w:rFonts w:hint="eastAsia"/>
              </w:rPr>
              <w:t>1.8</w:t>
            </w:r>
            <w:r>
              <w:t>0</w:t>
            </w:r>
          </w:p>
        </w:tc>
        <w:tc>
          <w:tcPr>
            <w:tcW w:w="702" w:type="dxa"/>
            <w:shd w:val="clear" w:color="auto" w:fill="auto"/>
            <w:noWrap/>
            <w:vAlign w:val="center"/>
          </w:tcPr>
          <w:p>
            <w:pPr>
              <w:pStyle w:val="33"/>
            </w:pPr>
            <w:r>
              <w:rPr>
                <w:rFonts w:hint="eastAsia"/>
              </w:rPr>
              <w:t>1.89</w:t>
            </w:r>
          </w:p>
        </w:tc>
        <w:tc>
          <w:tcPr>
            <w:tcW w:w="702" w:type="dxa"/>
            <w:shd w:val="clear" w:color="auto" w:fill="auto"/>
            <w:noWrap/>
            <w:vAlign w:val="center"/>
          </w:tcPr>
          <w:p>
            <w:pPr>
              <w:pStyle w:val="33"/>
            </w:pPr>
            <w:r>
              <w:rPr>
                <w:rFonts w:hint="eastAsia"/>
              </w:rPr>
              <w:t>1.96</w:t>
            </w:r>
          </w:p>
        </w:tc>
        <w:tc>
          <w:tcPr>
            <w:tcW w:w="706" w:type="dxa"/>
            <w:shd w:val="clear" w:color="auto" w:fill="auto"/>
            <w:noWrap/>
            <w:vAlign w:val="center"/>
          </w:tcPr>
          <w:p>
            <w:pPr>
              <w:pStyle w:val="33"/>
            </w:pPr>
            <w:r>
              <w:rPr>
                <w:rFonts w:hint="eastAsia"/>
              </w:rPr>
              <w:t>2.04</w:t>
            </w:r>
          </w:p>
        </w:tc>
      </w:tr>
    </w:tbl>
    <w:p>
      <w:pPr>
        <w:pStyle w:val="20"/>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混凝土受压和受拉的弹性模量E</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c</w:t>
      </w:r>
      <w:r>
        <w:rPr>
          <w:rFonts w:hint="eastAsia" w:cs="Times New Roman" w:eastAsiaTheme="minorEastAsia"/>
          <w:bCs/>
          <w:color w:val="000000" w:themeColor="text1"/>
          <w:kern w:val="2"/>
          <w:sz w:val="28"/>
          <w:szCs w:val="28"/>
          <w:lang w:val="zh-CN" w:eastAsia="zh-CN" w:bidi="ar-SA"/>
          <w14:textFill>
            <w14:solidFill>
              <w14:schemeClr w14:val="tx1"/>
            </w14:solidFill>
          </w14:textFill>
        </w:rPr>
        <w:t>宜按表下表采用。</w:t>
      </w:r>
    </w:p>
    <w:p>
      <w:pPr>
        <w:pStyle w:val="38"/>
        <w:rPr>
          <w:rFonts w:hint="eastAsia"/>
        </w:rPr>
      </w:pPr>
      <w:r>
        <w:rPr>
          <w:rFonts w:hint="eastAsia"/>
        </w:rPr>
        <w:t>表6.2.6 混凝土弹性模量（×10</w:t>
      </w:r>
      <w:r>
        <w:rPr>
          <w:rFonts w:hint="eastAsia"/>
          <w:vertAlign w:val="superscript"/>
        </w:rPr>
        <w:t>4</w:t>
      </w:r>
      <w:r>
        <w:rPr>
          <w:rFonts w:hint="eastAsia"/>
        </w:rPr>
        <w:t>N/mm</w:t>
      </w:r>
      <w:r>
        <w:rPr>
          <w:rFonts w:hint="eastAsia"/>
          <w:vertAlign w:val="superscript"/>
        </w:rPr>
        <w:t>2</w:t>
      </w:r>
      <w:r>
        <w:rPr>
          <w:rFonts w:hint="eastAsia"/>
        </w:rPr>
        <w:t>）</w:t>
      </w:r>
    </w:p>
    <w:tbl>
      <w:tblPr>
        <w:tblStyle w:val="22"/>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642"/>
        <w:gridCol w:w="642"/>
        <w:gridCol w:w="642"/>
        <w:gridCol w:w="642"/>
        <w:gridCol w:w="642"/>
        <w:gridCol w:w="642"/>
        <w:gridCol w:w="642"/>
        <w:gridCol w:w="642"/>
        <w:gridCol w:w="642"/>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88" w:type="dxa"/>
            <w:shd w:val="clear" w:color="auto" w:fill="auto"/>
            <w:noWrap/>
            <w:vAlign w:val="center"/>
          </w:tcPr>
          <w:p>
            <w:pPr>
              <w:pStyle w:val="33"/>
            </w:pPr>
            <w:r>
              <w:rPr>
                <w:rFonts w:hint="eastAsia"/>
              </w:rPr>
              <w:t>混凝土强度等级</w:t>
            </w:r>
          </w:p>
        </w:tc>
        <w:tc>
          <w:tcPr>
            <w:tcW w:w="642" w:type="dxa"/>
            <w:shd w:val="clear" w:color="auto" w:fill="auto"/>
            <w:noWrap/>
            <w:vAlign w:val="center"/>
          </w:tcPr>
          <w:p>
            <w:pPr>
              <w:pStyle w:val="33"/>
            </w:pPr>
            <w:r>
              <w:rPr>
                <w:rFonts w:hint="eastAsia"/>
              </w:rPr>
              <w:t>C15</w:t>
            </w:r>
          </w:p>
        </w:tc>
        <w:tc>
          <w:tcPr>
            <w:tcW w:w="642" w:type="dxa"/>
            <w:shd w:val="clear" w:color="auto" w:fill="auto"/>
            <w:noWrap/>
            <w:vAlign w:val="center"/>
          </w:tcPr>
          <w:p>
            <w:pPr>
              <w:pStyle w:val="33"/>
            </w:pPr>
            <w:r>
              <w:rPr>
                <w:rFonts w:hint="eastAsia"/>
              </w:rPr>
              <w:t>C20</w:t>
            </w:r>
          </w:p>
        </w:tc>
        <w:tc>
          <w:tcPr>
            <w:tcW w:w="642" w:type="dxa"/>
            <w:shd w:val="clear" w:color="auto" w:fill="auto"/>
            <w:noWrap/>
            <w:vAlign w:val="center"/>
          </w:tcPr>
          <w:p>
            <w:pPr>
              <w:pStyle w:val="33"/>
            </w:pPr>
            <w:r>
              <w:rPr>
                <w:rFonts w:hint="eastAsia"/>
              </w:rPr>
              <w:t>C25</w:t>
            </w:r>
          </w:p>
        </w:tc>
        <w:tc>
          <w:tcPr>
            <w:tcW w:w="642" w:type="dxa"/>
            <w:shd w:val="clear" w:color="auto" w:fill="auto"/>
            <w:noWrap/>
            <w:vAlign w:val="center"/>
          </w:tcPr>
          <w:p>
            <w:pPr>
              <w:pStyle w:val="33"/>
            </w:pPr>
            <w:r>
              <w:rPr>
                <w:rFonts w:hint="eastAsia"/>
              </w:rPr>
              <w:t>C30</w:t>
            </w:r>
          </w:p>
        </w:tc>
        <w:tc>
          <w:tcPr>
            <w:tcW w:w="642" w:type="dxa"/>
            <w:shd w:val="clear" w:color="auto" w:fill="auto"/>
            <w:noWrap/>
            <w:vAlign w:val="center"/>
          </w:tcPr>
          <w:p>
            <w:pPr>
              <w:pStyle w:val="33"/>
            </w:pPr>
            <w:r>
              <w:rPr>
                <w:rFonts w:hint="eastAsia"/>
              </w:rPr>
              <w:t>C35</w:t>
            </w:r>
          </w:p>
        </w:tc>
        <w:tc>
          <w:tcPr>
            <w:tcW w:w="642" w:type="dxa"/>
            <w:shd w:val="clear" w:color="auto" w:fill="auto"/>
            <w:noWrap/>
            <w:vAlign w:val="center"/>
          </w:tcPr>
          <w:p>
            <w:pPr>
              <w:pStyle w:val="33"/>
            </w:pPr>
            <w:r>
              <w:rPr>
                <w:rFonts w:hint="eastAsia"/>
              </w:rPr>
              <w:t>C40</w:t>
            </w:r>
          </w:p>
        </w:tc>
        <w:tc>
          <w:tcPr>
            <w:tcW w:w="642" w:type="dxa"/>
            <w:shd w:val="clear" w:color="auto" w:fill="auto"/>
            <w:noWrap/>
            <w:vAlign w:val="center"/>
          </w:tcPr>
          <w:p>
            <w:pPr>
              <w:pStyle w:val="33"/>
            </w:pPr>
            <w:r>
              <w:rPr>
                <w:rFonts w:hint="eastAsia"/>
              </w:rPr>
              <w:t>C45</w:t>
            </w:r>
          </w:p>
        </w:tc>
        <w:tc>
          <w:tcPr>
            <w:tcW w:w="642" w:type="dxa"/>
            <w:shd w:val="clear" w:color="auto" w:fill="auto"/>
            <w:noWrap/>
            <w:vAlign w:val="center"/>
          </w:tcPr>
          <w:p>
            <w:pPr>
              <w:pStyle w:val="33"/>
            </w:pPr>
            <w:r>
              <w:rPr>
                <w:rFonts w:hint="eastAsia"/>
              </w:rPr>
              <w:t>C50</w:t>
            </w:r>
          </w:p>
        </w:tc>
        <w:tc>
          <w:tcPr>
            <w:tcW w:w="642" w:type="dxa"/>
            <w:shd w:val="clear" w:color="auto" w:fill="auto"/>
            <w:noWrap/>
            <w:vAlign w:val="center"/>
          </w:tcPr>
          <w:p>
            <w:pPr>
              <w:pStyle w:val="33"/>
            </w:pPr>
            <w:r>
              <w:rPr>
                <w:rFonts w:hint="eastAsia"/>
              </w:rPr>
              <w:t>C55</w:t>
            </w:r>
          </w:p>
        </w:tc>
        <w:tc>
          <w:tcPr>
            <w:tcW w:w="642" w:type="dxa"/>
            <w:shd w:val="clear" w:color="auto" w:fill="auto"/>
            <w:noWrap/>
            <w:vAlign w:val="center"/>
          </w:tcPr>
          <w:p>
            <w:pPr>
              <w:pStyle w:val="33"/>
            </w:pPr>
            <w:r>
              <w:rPr>
                <w:rFonts w:hint="eastAsia"/>
              </w:rPr>
              <w:t>C60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88" w:type="dxa"/>
            <w:shd w:val="clear" w:color="auto" w:fill="auto"/>
            <w:noWrap/>
            <w:vAlign w:val="center"/>
          </w:tcPr>
          <w:p>
            <w:pPr>
              <w:pStyle w:val="33"/>
            </w:pPr>
            <w:r>
              <w:rPr>
                <w:rFonts w:hint="eastAsia"/>
              </w:rPr>
              <w:t>Ec</w:t>
            </w:r>
          </w:p>
        </w:tc>
        <w:tc>
          <w:tcPr>
            <w:tcW w:w="642" w:type="dxa"/>
            <w:shd w:val="clear" w:color="auto" w:fill="auto"/>
            <w:noWrap/>
            <w:vAlign w:val="center"/>
          </w:tcPr>
          <w:p>
            <w:pPr>
              <w:pStyle w:val="33"/>
            </w:pPr>
            <w:r>
              <w:rPr>
                <w:rFonts w:hint="eastAsia"/>
              </w:rPr>
              <w:t>2.2</w:t>
            </w:r>
            <w:r>
              <w:t>0</w:t>
            </w:r>
          </w:p>
        </w:tc>
        <w:tc>
          <w:tcPr>
            <w:tcW w:w="642" w:type="dxa"/>
            <w:shd w:val="clear" w:color="auto" w:fill="auto"/>
            <w:noWrap/>
            <w:vAlign w:val="center"/>
          </w:tcPr>
          <w:p>
            <w:pPr>
              <w:pStyle w:val="33"/>
            </w:pPr>
            <w:r>
              <w:rPr>
                <w:rFonts w:hint="eastAsia"/>
              </w:rPr>
              <w:t>2.55</w:t>
            </w:r>
          </w:p>
        </w:tc>
        <w:tc>
          <w:tcPr>
            <w:tcW w:w="642" w:type="dxa"/>
            <w:shd w:val="clear" w:color="auto" w:fill="auto"/>
            <w:noWrap/>
            <w:vAlign w:val="center"/>
          </w:tcPr>
          <w:p>
            <w:pPr>
              <w:pStyle w:val="33"/>
            </w:pPr>
            <w:r>
              <w:rPr>
                <w:rFonts w:hint="eastAsia"/>
              </w:rPr>
              <w:t>2.8</w:t>
            </w:r>
            <w:r>
              <w:t>0</w:t>
            </w:r>
          </w:p>
        </w:tc>
        <w:tc>
          <w:tcPr>
            <w:tcW w:w="642" w:type="dxa"/>
            <w:shd w:val="clear" w:color="auto" w:fill="auto"/>
            <w:noWrap/>
            <w:vAlign w:val="center"/>
          </w:tcPr>
          <w:p>
            <w:pPr>
              <w:pStyle w:val="33"/>
            </w:pPr>
            <w:r>
              <w:rPr>
                <w:rFonts w:hint="eastAsia"/>
              </w:rPr>
              <w:t>3</w:t>
            </w:r>
            <w:r>
              <w:t>.00</w:t>
            </w:r>
          </w:p>
        </w:tc>
        <w:tc>
          <w:tcPr>
            <w:tcW w:w="642" w:type="dxa"/>
            <w:shd w:val="clear" w:color="auto" w:fill="auto"/>
            <w:noWrap/>
            <w:vAlign w:val="center"/>
          </w:tcPr>
          <w:p>
            <w:pPr>
              <w:pStyle w:val="33"/>
            </w:pPr>
            <w:r>
              <w:rPr>
                <w:rFonts w:hint="eastAsia"/>
              </w:rPr>
              <w:t>3.15</w:t>
            </w:r>
          </w:p>
        </w:tc>
        <w:tc>
          <w:tcPr>
            <w:tcW w:w="642" w:type="dxa"/>
            <w:shd w:val="clear" w:color="auto" w:fill="auto"/>
            <w:noWrap/>
            <w:vAlign w:val="center"/>
          </w:tcPr>
          <w:p>
            <w:pPr>
              <w:pStyle w:val="33"/>
            </w:pPr>
            <w:r>
              <w:rPr>
                <w:rFonts w:hint="eastAsia"/>
              </w:rPr>
              <w:t>3.25</w:t>
            </w:r>
          </w:p>
        </w:tc>
        <w:tc>
          <w:tcPr>
            <w:tcW w:w="642" w:type="dxa"/>
            <w:shd w:val="clear" w:color="auto" w:fill="auto"/>
            <w:noWrap/>
            <w:vAlign w:val="center"/>
          </w:tcPr>
          <w:p>
            <w:pPr>
              <w:pStyle w:val="33"/>
            </w:pPr>
            <w:r>
              <w:rPr>
                <w:rFonts w:hint="eastAsia"/>
              </w:rPr>
              <w:t>3.35</w:t>
            </w:r>
          </w:p>
        </w:tc>
        <w:tc>
          <w:tcPr>
            <w:tcW w:w="642" w:type="dxa"/>
            <w:shd w:val="clear" w:color="auto" w:fill="auto"/>
            <w:noWrap/>
            <w:vAlign w:val="center"/>
          </w:tcPr>
          <w:p>
            <w:pPr>
              <w:pStyle w:val="33"/>
            </w:pPr>
            <w:r>
              <w:rPr>
                <w:rFonts w:hint="eastAsia"/>
              </w:rPr>
              <w:t>3.45</w:t>
            </w:r>
          </w:p>
        </w:tc>
        <w:tc>
          <w:tcPr>
            <w:tcW w:w="642" w:type="dxa"/>
            <w:shd w:val="clear" w:color="auto" w:fill="auto"/>
            <w:noWrap/>
            <w:vAlign w:val="center"/>
          </w:tcPr>
          <w:p>
            <w:pPr>
              <w:pStyle w:val="33"/>
            </w:pPr>
            <w:r>
              <w:rPr>
                <w:rFonts w:hint="eastAsia"/>
              </w:rPr>
              <w:t>3.55</w:t>
            </w:r>
          </w:p>
        </w:tc>
        <w:tc>
          <w:tcPr>
            <w:tcW w:w="642" w:type="dxa"/>
            <w:shd w:val="clear" w:color="auto" w:fill="auto"/>
            <w:noWrap/>
            <w:vAlign w:val="center"/>
          </w:tcPr>
          <w:p>
            <w:pPr>
              <w:pStyle w:val="33"/>
            </w:pPr>
            <w:r>
              <w:rPr>
                <w:rFonts w:hint="eastAsia"/>
              </w:rPr>
              <w:t>3.6</w:t>
            </w:r>
            <w:r>
              <w:t>0</w:t>
            </w:r>
          </w:p>
        </w:tc>
      </w:tr>
    </w:tbl>
    <w:p>
      <w:pPr>
        <w:ind w:firstLine="400"/>
        <w:rPr>
          <w:sz w:val="20"/>
          <w:szCs w:val="16"/>
        </w:rPr>
      </w:pPr>
      <w:r>
        <w:rPr>
          <w:rFonts w:hint="eastAsia"/>
          <w:sz w:val="20"/>
          <w:szCs w:val="16"/>
        </w:rPr>
        <w:t>注:1当有可靠试验依据时，弹性模量可根据实测数据确定;</w:t>
      </w:r>
    </w:p>
    <w:p>
      <w:pPr>
        <w:ind w:firstLine="400"/>
        <w:rPr>
          <w:sz w:val="20"/>
          <w:szCs w:val="16"/>
        </w:rPr>
      </w:pPr>
      <w:r>
        <w:rPr>
          <w:rFonts w:hint="eastAsia"/>
          <w:sz w:val="20"/>
          <w:szCs w:val="16"/>
        </w:rPr>
        <w:t>2当混凝土中掺有大量矿物掺合料时，弹性模量可按规定龄期根据实测数据确定。</w:t>
      </w:r>
    </w:p>
    <w:p>
      <w:pPr>
        <w:ind w:firstLine="480"/>
      </w:pPr>
      <w:r>
        <w:rPr>
          <w:rFonts w:hint="eastAsia"/>
        </w:rPr>
        <w:t>混凝土的剪切变形模量Gc可按其弹性模量值40%采用。</w:t>
      </w:r>
    </w:p>
    <w:p>
      <w:pPr>
        <w:ind w:firstLine="480"/>
      </w:pPr>
      <w:r>
        <w:rPr>
          <w:rFonts w:hint="eastAsia"/>
        </w:rPr>
        <w:t>混凝土泊松比Vc可取0.2。</w:t>
      </w:r>
    </w:p>
    <w:p>
      <w:pPr>
        <w:pStyle w:val="20"/>
      </w:pPr>
    </w:p>
    <w:p>
      <w:pPr>
        <w:ind w:firstLine="480"/>
      </w:pPr>
    </w:p>
    <w:p>
      <w:pPr>
        <w:pStyle w:val="3"/>
      </w:pPr>
      <w:bookmarkStart w:id="64" w:name="_Toc26839"/>
      <w:r>
        <w:rPr>
          <w:rFonts w:hint="eastAsia"/>
        </w:rPr>
        <w:t>钢筋</w:t>
      </w:r>
      <w:bookmarkEnd w:id="64"/>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普通钢筋的屈服强度标准值f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yk</w:t>
      </w:r>
      <w:r>
        <w:rPr>
          <w:rFonts w:hint="eastAsia" w:cs="Times New Roman" w:eastAsiaTheme="minorEastAsia"/>
          <w:bCs/>
          <w:color w:val="000000" w:themeColor="text1"/>
          <w:kern w:val="2"/>
          <w:sz w:val="28"/>
          <w:szCs w:val="28"/>
          <w:lang w:val="zh-CN" w:eastAsia="zh-CN" w:bidi="ar-SA"/>
          <w14:textFill>
            <w14:solidFill>
              <w14:schemeClr w14:val="tx1"/>
            </w14:solidFill>
          </w14:textFill>
        </w:rPr>
        <w:t>、极限强度标准值f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stk</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应按下表采用。</w:t>
      </w:r>
    </w:p>
    <w:p>
      <w:pPr>
        <w:pStyle w:val="38"/>
        <w:rPr>
          <w:rFonts w:hint="eastAsia"/>
        </w:rPr>
      </w:pPr>
      <w:r>
        <w:rPr>
          <w:rFonts w:hint="eastAsia"/>
        </w:rPr>
        <w:t>表6.3.1 普通钢筋强度标准值（N/mm</w:t>
      </w:r>
      <w:r>
        <w:rPr>
          <w:rFonts w:hint="eastAsia"/>
          <w:vertAlign w:val="superscript"/>
        </w:rPr>
        <w:t>2</w:t>
      </w:r>
      <w:r>
        <w:rPr>
          <w:rFonts w:hint="eastAsia"/>
        </w:rPr>
        <w:t>）</w:t>
      </w:r>
    </w:p>
    <w:tbl>
      <w:tblPr>
        <w:tblStyle w:val="22"/>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960"/>
        <w:gridCol w:w="1680"/>
        <w:gridCol w:w="192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20" w:type="dxa"/>
            <w:vMerge w:val="restart"/>
            <w:shd w:val="clear" w:color="auto" w:fill="auto"/>
            <w:noWrap/>
            <w:vAlign w:val="center"/>
          </w:tcPr>
          <w:p>
            <w:pPr>
              <w:pStyle w:val="33"/>
            </w:pPr>
            <w:r>
              <w:rPr>
                <w:rFonts w:hint="eastAsia"/>
              </w:rPr>
              <w:t>牌号</w:t>
            </w:r>
          </w:p>
        </w:tc>
        <w:tc>
          <w:tcPr>
            <w:tcW w:w="960" w:type="dxa"/>
            <w:vMerge w:val="restart"/>
            <w:shd w:val="clear" w:color="auto" w:fill="auto"/>
            <w:noWrap/>
            <w:vAlign w:val="center"/>
          </w:tcPr>
          <w:p>
            <w:pPr>
              <w:pStyle w:val="33"/>
            </w:pPr>
            <w:r>
              <w:rPr>
                <w:rFonts w:hint="eastAsia"/>
              </w:rPr>
              <w:t>符号</w:t>
            </w:r>
          </w:p>
        </w:tc>
        <w:tc>
          <w:tcPr>
            <w:tcW w:w="1680" w:type="dxa"/>
            <w:vMerge w:val="restart"/>
            <w:shd w:val="clear" w:color="auto" w:fill="auto"/>
            <w:noWrap/>
            <w:vAlign w:val="center"/>
          </w:tcPr>
          <w:p>
            <w:pPr>
              <w:pStyle w:val="33"/>
            </w:pPr>
            <w:r>
              <w:rPr>
                <w:rFonts w:hint="eastAsia"/>
              </w:rPr>
              <w:t>公称直径d(mm)</w:t>
            </w:r>
          </w:p>
        </w:tc>
        <w:tc>
          <w:tcPr>
            <w:tcW w:w="1920" w:type="dxa"/>
            <w:vMerge w:val="restart"/>
            <w:shd w:val="clear" w:color="auto" w:fill="auto"/>
            <w:noWrap/>
            <w:vAlign w:val="center"/>
          </w:tcPr>
          <w:p>
            <w:pPr>
              <w:pStyle w:val="33"/>
            </w:pPr>
            <w:r>
              <w:rPr>
                <w:rFonts w:hint="eastAsia"/>
              </w:rPr>
              <w:t>屈服强度标准值f</w:t>
            </w:r>
            <w:r>
              <w:rPr>
                <w:rFonts w:hint="eastAsia"/>
                <w:vertAlign w:val="subscript"/>
              </w:rPr>
              <w:t>yk</w:t>
            </w:r>
          </w:p>
        </w:tc>
        <w:tc>
          <w:tcPr>
            <w:tcW w:w="1920" w:type="dxa"/>
            <w:vMerge w:val="restart"/>
            <w:shd w:val="clear" w:color="auto" w:fill="auto"/>
            <w:noWrap/>
            <w:vAlign w:val="center"/>
          </w:tcPr>
          <w:p>
            <w:pPr>
              <w:pStyle w:val="33"/>
            </w:pPr>
            <w:r>
              <w:rPr>
                <w:rFonts w:hint="eastAsia"/>
              </w:rPr>
              <w:t>极限强度标准值f</w:t>
            </w:r>
            <w:r>
              <w:rPr>
                <w:rFonts w:hint="eastAsia"/>
                <w:vertAlign w:val="subscript"/>
              </w:rPr>
              <w:t>stk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920" w:type="dxa"/>
            <w:vMerge w:val="continue"/>
            <w:vAlign w:val="center"/>
          </w:tcPr>
          <w:p>
            <w:pPr>
              <w:pStyle w:val="33"/>
            </w:pPr>
          </w:p>
        </w:tc>
        <w:tc>
          <w:tcPr>
            <w:tcW w:w="960" w:type="dxa"/>
            <w:vMerge w:val="continue"/>
            <w:vAlign w:val="center"/>
          </w:tcPr>
          <w:p>
            <w:pPr>
              <w:pStyle w:val="33"/>
            </w:pPr>
          </w:p>
        </w:tc>
        <w:tc>
          <w:tcPr>
            <w:tcW w:w="1680" w:type="dxa"/>
            <w:vMerge w:val="continue"/>
            <w:vAlign w:val="center"/>
          </w:tcPr>
          <w:p>
            <w:pPr>
              <w:pStyle w:val="33"/>
            </w:pPr>
          </w:p>
        </w:tc>
        <w:tc>
          <w:tcPr>
            <w:tcW w:w="1920" w:type="dxa"/>
            <w:vMerge w:val="continue"/>
            <w:vAlign w:val="center"/>
          </w:tcPr>
          <w:p>
            <w:pPr>
              <w:pStyle w:val="33"/>
            </w:pPr>
          </w:p>
        </w:tc>
        <w:tc>
          <w:tcPr>
            <w:tcW w:w="1920"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pPr>
            <w:r>
              <w:rPr>
                <w:rFonts w:hint="eastAsia"/>
              </w:rPr>
              <w:t>HPB300</w:t>
            </w:r>
          </w:p>
        </w:tc>
        <w:tc>
          <w:tcPr>
            <w:tcW w:w="960" w:type="dxa"/>
            <w:shd w:val="clear" w:color="auto" w:fill="auto"/>
            <w:noWrap/>
            <w:vAlign w:val="center"/>
          </w:tcPr>
          <w:p>
            <w:pPr>
              <w:pStyle w:val="33"/>
            </w:pPr>
            <w:r>
              <w:rPr>
                <w:rFonts w:hint="eastAsia"/>
              </w:rPr>
              <w:t></w:t>
            </w:r>
          </w:p>
        </w:tc>
        <w:tc>
          <w:tcPr>
            <w:tcW w:w="1680" w:type="dxa"/>
            <w:shd w:val="clear" w:color="auto" w:fill="auto"/>
            <w:noWrap/>
            <w:vAlign w:val="center"/>
          </w:tcPr>
          <w:p>
            <w:pPr>
              <w:pStyle w:val="33"/>
            </w:pPr>
            <w:r>
              <w:rPr>
                <w:rFonts w:hint="eastAsia"/>
              </w:rPr>
              <w:t>6～14</w:t>
            </w:r>
          </w:p>
        </w:tc>
        <w:tc>
          <w:tcPr>
            <w:tcW w:w="1920" w:type="dxa"/>
            <w:shd w:val="clear" w:color="auto" w:fill="auto"/>
            <w:noWrap/>
            <w:vAlign w:val="center"/>
          </w:tcPr>
          <w:p>
            <w:pPr>
              <w:pStyle w:val="33"/>
            </w:pPr>
            <w:r>
              <w:rPr>
                <w:rFonts w:hint="eastAsia"/>
              </w:rPr>
              <w:t>300</w:t>
            </w:r>
          </w:p>
        </w:tc>
        <w:tc>
          <w:tcPr>
            <w:tcW w:w="1920" w:type="dxa"/>
            <w:shd w:val="clear" w:color="auto" w:fill="auto"/>
            <w:noWrap/>
            <w:vAlign w:val="center"/>
          </w:tcPr>
          <w:p>
            <w:pPr>
              <w:pStyle w:val="33"/>
            </w:pPr>
            <w:r>
              <w:rPr>
                <w:rFonts w:hint="eastAsia"/>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pPr>
            <w:r>
              <w:rPr>
                <w:rFonts w:hint="eastAsia"/>
              </w:rPr>
              <w:t>HRB335</w:t>
            </w:r>
          </w:p>
        </w:tc>
        <w:tc>
          <w:tcPr>
            <w:tcW w:w="960" w:type="dxa"/>
            <w:shd w:val="clear" w:color="auto" w:fill="auto"/>
            <w:noWrap/>
            <w:vAlign w:val="center"/>
          </w:tcPr>
          <w:p>
            <w:pPr>
              <w:pStyle w:val="33"/>
            </w:pPr>
            <w:r>
              <w:rPr>
                <w:rFonts w:hint="eastAsia"/>
              </w:rPr>
              <w:t></w:t>
            </w:r>
          </w:p>
        </w:tc>
        <w:tc>
          <w:tcPr>
            <w:tcW w:w="1680" w:type="dxa"/>
            <w:shd w:val="clear" w:color="auto" w:fill="auto"/>
            <w:noWrap/>
            <w:vAlign w:val="center"/>
          </w:tcPr>
          <w:p>
            <w:pPr>
              <w:pStyle w:val="33"/>
            </w:pPr>
            <w:r>
              <w:rPr>
                <w:rFonts w:hint="eastAsia"/>
              </w:rPr>
              <w:t>6～14</w:t>
            </w:r>
          </w:p>
        </w:tc>
        <w:tc>
          <w:tcPr>
            <w:tcW w:w="1920" w:type="dxa"/>
            <w:shd w:val="clear" w:color="auto" w:fill="auto"/>
            <w:noWrap/>
            <w:vAlign w:val="center"/>
          </w:tcPr>
          <w:p>
            <w:pPr>
              <w:pStyle w:val="33"/>
            </w:pPr>
            <w:r>
              <w:rPr>
                <w:rFonts w:hint="eastAsia"/>
              </w:rPr>
              <w:t>335</w:t>
            </w:r>
          </w:p>
        </w:tc>
        <w:tc>
          <w:tcPr>
            <w:tcW w:w="1920" w:type="dxa"/>
            <w:shd w:val="clear" w:color="auto" w:fill="auto"/>
            <w:noWrap/>
            <w:vAlign w:val="center"/>
          </w:tcPr>
          <w:p>
            <w:pPr>
              <w:pStyle w:val="33"/>
            </w:pPr>
            <w:r>
              <w:rPr>
                <w:rFonts w:hint="eastAsia"/>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vAlign w:val="center"/>
          </w:tcPr>
          <w:p>
            <w:pPr>
              <w:pStyle w:val="33"/>
            </w:pPr>
            <w:r>
              <w:rPr>
                <w:rFonts w:hint="eastAsia"/>
              </w:rPr>
              <w:t>HRB400</w:t>
            </w:r>
          </w:p>
          <w:p>
            <w:pPr>
              <w:pStyle w:val="33"/>
            </w:pPr>
            <w:r>
              <w:rPr>
                <w:rFonts w:hint="eastAsia"/>
              </w:rPr>
              <w:t>HRBF400</w:t>
            </w:r>
          </w:p>
          <w:p>
            <w:pPr>
              <w:pStyle w:val="33"/>
            </w:pPr>
            <w:r>
              <w:rPr>
                <w:rFonts w:hint="eastAsia"/>
              </w:rPr>
              <w:t>RRB400</w:t>
            </w:r>
          </w:p>
        </w:tc>
        <w:tc>
          <w:tcPr>
            <w:tcW w:w="960" w:type="dxa"/>
            <w:shd w:val="clear" w:color="auto" w:fill="auto"/>
            <w:noWrap/>
            <w:vAlign w:val="center"/>
          </w:tcPr>
          <w:p>
            <w:pPr>
              <w:pStyle w:val="33"/>
            </w:pPr>
            <w:r>
              <w:rPr>
                <w:rFonts w:hint="eastAsia"/>
              </w:rPr>
              <w:t></w:t>
            </w:r>
          </w:p>
        </w:tc>
        <w:tc>
          <w:tcPr>
            <w:tcW w:w="1680" w:type="dxa"/>
            <w:vMerge w:val="restart"/>
            <w:shd w:val="clear" w:color="auto" w:fill="auto"/>
            <w:noWrap/>
            <w:vAlign w:val="center"/>
          </w:tcPr>
          <w:p>
            <w:pPr>
              <w:pStyle w:val="33"/>
            </w:pPr>
            <w:r>
              <w:rPr>
                <w:rFonts w:hint="eastAsia"/>
              </w:rPr>
              <w:t>6～50</w:t>
            </w:r>
          </w:p>
        </w:tc>
        <w:tc>
          <w:tcPr>
            <w:tcW w:w="1920" w:type="dxa"/>
            <w:vMerge w:val="restart"/>
            <w:shd w:val="clear" w:color="auto" w:fill="auto"/>
            <w:noWrap/>
            <w:vAlign w:val="center"/>
          </w:tcPr>
          <w:p>
            <w:pPr>
              <w:pStyle w:val="33"/>
            </w:pPr>
            <w:r>
              <w:rPr>
                <w:rFonts w:hint="eastAsia"/>
              </w:rPr>
              <w:t>400</w:t>
            </w:r>
          </w:p>
        </w:tc>
        <w:tc>
          <w:tcPr>
            <w:tcW w:w="1920" w:type="dxa"/>
            <w:vMerge w:val="restart"/>
            <w:shd w:val="clear" w:color="auto" w:fill="auto"/>
            <w:noWrap/>
            <w:vAlign w:val="center"/>
          </w:tcPr>
          <w:p>
            <w:pPr>
              <w:pStyle w:val="33"/>
            </w:pPr>
            <w:r>
              <w:rPr>
                <w:rFonts w:hint="eastAsia"/>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960" w:type="dxa"/>
            <w:shd w:val="clear" w:color="auto" w:fill="auto"/>
            <w:noWrap/>
            <w:vAlign w:val="center"/>
          </w:tcPr>
          <w:p>
            <w:pPr>
              <w:pStyle w:val="33"/>
              <w:rPr>
                <w:vertAlign w:val="superscript"/>
              </w:rPr>
            </w:pPr>
            <w:r>
              <w:rPr>
                <w:rFonts w:hint="eastAsia"/>
              </w:rPr>
              <w:t xml:space="preserve"> </w:t>
            </w:r>
            <w:r>
              <w:rPr>
                <w:rFonts w:hint="eastAsia"/>
                <w:vertAlign w:val="superscript"/>
              </w:rPr>
              <w:t>F</w:t>
            </w:r>
          </w:p>
        </w:tc>
        <w:tc>
          <w:tcPr>
            <w:tcW w:w="1680" w:type="dxa"/>
            <w:vMerge w:val="continue"/>
            <w:vAlign w:val="center"/>
          </w:tcPr>
          <w:p>
            <w:pPr>
              <w:pStyle w:val="33"/>
            </w:pPr>
          </w:p>
        </w:tc>
        <w:tc>
          <w:tcPr>
            <w:tcW w:w="1920" w:type="dxa"/>
            <w:vMerge w:val="continue"/>
            <w:vAlign w:val="center"/>
          </w:tcPr>
          <w:p>
            <w:pPr>
              <w:pStyle w:val="33"/>
            </w:pPr>
          </w:p>
        </w:tc>
        <w:tc>
          <w:tcPr>
            <w:tcW w:w="1920"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960" w:type="dxa"/>
            <w:shd w:val="clear" w:color="auto" w:fill="auto"/>
            <w:noWrap/>
            <w:vAlign w:val="center"/>
          </w:tcPr>
          <w:p>
            <w:pPr>
              <w:pStyle w:val="33"/>
              <w:rPr>
                <w:rFonts w:cs="Times New Roman" w:eastAsiaTheme="minorEastAsia"/>
                <w:color w:val="auto"/>
                <w:sz w:val="20"/>
                <w:szCs w:val="20"/>
                <w:vertAlign w:val="superscript"/>
              </w:rPr>
            </w:pPr>
            <w:r>
              <w:rPr>
                <w:rFonts w:hint="eastAsia" w:cs="Times New Roman" w:eastAsiaTheme="minorEastAsia"/>
                <w:color w:val="auto"/>
                <w:sz w:val="20"/>
                <w:szCs w:val="20"/>
              </w:rPr>
              <w:t xml:space="preserve"> </w:t>
            </w:r>
            <w:r>
              <w:rPr>
                <w:rFonts w:cs="Times New Roman" w:eastAsiaTheme="minorEastAsia"/>
                <w:color w:val="auto"/>
                <w:sz w:val="20"/>
                <w:szCs w:val="20"/>
                <w:vertAlign w:val="superscript"/>
              </w:rPr>
              <w:t>R</w:t>
            </w:r>
          </w:p>
        </w:tc>
        <w:tc>
          <w:tcPr>
            <w:tcW w:w="1680" w:type="dxa"/>
            <w:vMerge w:val="continue"/>
            <w:vAlign w:val="center"/>
          </w:tcPr>
          <w:p>
            <w:pPr>
              <w:pStyle w:val="33"/>
            </w:pPr>
          </w:p>
        </w:tc>
        <w:tc>
          <w:tcPr>
            <w:tcW w:w="1920" w:type="dxa"/>
            <w:vMerge w:val="continue"/>
            <w:vAlign w:val="center"/>
          </w:tcPr>
          <w:p>
            <w:pPr>
              <w:pStyle w:val="33"/>
            </w:pPr>
          </w:p>
        </w:tc>
        <w:tc>
          <w:tcPr>
            <w:tcW w:w="1920"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vAlign w:val="center"/>
          </w:tcPr>
          <w:p>
            <w:pPr>
              <w:pStyle w:val="33"/>
            </w:pPr>
            <w:r>
              <w:rPr>
                <w:rFonts w:hint="eastAsia"/>
              </w:rPr>
              <w:t>HRB500</w:t>
            </w:r>
          </w:p>
          <w:p>
            <w:pPr>
              <w:pStyle w:val="33"/>
            </w:pPr>
            <w:r>
              <w:rPr>
                <w:rFonts w:hint="eastAsia"/>
              </w:rPr>
              <w:t>HRBF500</w:t>
            </w:r>
          </w:p>
        </w:tc>
        <w:tc>
          <w:tcPr>
            <w:tcW w:w="960" w:type="dxa"/>
            <w:shd w:val="clear" w:color="auto" w:fill="auto"/>
            <w:noWrap/>
            <w:vAlign w:val="center"/>
          </w:tcPr>
          <w:p>
            <w:pPr>
              <w:pStyle w:val="33"/>
            </w:pPr>
            <w:r>
              <w:rPr>
                <w:rFonts w:hint="eastAsia"/>
              </w:rPr>
              <w:t></w:t>
            </w:r>
          </w:p>
        </w:tc>
        <w:tc>
          <w:tcPr>
            <w:tcW w:w="1680" w:type="dxa"/>
            <w:vMerge w:val="restart"/>
            <w:shd w:val="clear" w:color="auto" w:fill="auto"/>
            <w:noWrap/>
            <w:vAlign w:val="center"/>
          </w:tcPr>
          <w:p>
            <w:pPr>
              <w:pStyle w:val="33"/>
            </w:pPr>
            <w:r>
              <w:rPr>
                <w:rFonts w:hint="eastAsia"/>
              </w:rPr>
              <w:t>6～50</w:t>
            </w:r>
          </w:p>
        </w:tc>
        <w:tc>
          <w:tcPr>
            <w:tcW w:w="1920" w:type="dxa"/>
            <w:vMerge w:val="restart"/>
            <w:shd w:val="clear" w:color="auto" w:fill="auto"/>
            <w:noWrap/>
            <w:vAlign w:val="center"/>
          </w:tcPr>
          <w:p>
            <w:pPr>
              <w:pStyle w:val="33"/>
            </w:pPr>
            <w:r>
              <w:rPr>
                <w:rFonts w:hint="eastAsia"/>
              </w:rPr>
              <w:t>500</w:t>
            </w:r>
          </w:p>
        </w:tc>
        <w:tc>
          <w:tcPr>
            <w:tcW w:w="1920" w:type="dxa"/>
            <w:vMerge w:val="restart"/>
            <w:shd w:val="clear" w:color="auto" w:fill="auto"/>
            <w:noWrap/>
            <w:vAlign w:val="center"/>
          </w:tcPr>
          <w:p>
            <w:pPr>
              <w:pStyle w:val="33"/>
            </w:pPr>
            <w:r>
              <w:rPr>
                <w:rFonts w:hint="eastAsia"/>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960" w:type="dxa"/>
            <w:shd w:val="clear" w:color="auto" w:fill="auto"/>
            <w:noWrap/>
            <w:vAlign w:val="center"/>
          </w:tcPr>
          <w:p>
            <w:pPr>
              <w:pStyle w:val="33"/>
              <w:rPr>
                <w:vertAlign w:val="superscript"/>
              </w:rPr>
            </w:pPr>
            <w:r>
              <w:rPr>
                <w:rFonts w:hint="eastAsia"/>
              </w:rPr>
              <w:t xml:space="preserve"> </w:t>
            </w:r>
            <w:r>
              <w:rPr>
                <w:rFonts w:hint="eastAsia"/>
                <w:vertAlign w:val="superscript"/>
              </w:rPr>
              <w:t>F</w:t>
            </w:r>
          </w:p>
        </w:tc>
        <w:tc>
          <w:tcPr>
            <w:tcW w:w="1680" w:type="dxa"/>
            <w:vMerge w:val="continue"/>
            <w:vAlign w:val="center"/>
          </w:tcPr>
          <w:p>
            <w:pPr>
              <w:pStyle w:val="33"/>
            </w:pPr>
          </w:p>
        </w:tc>
        <w:tc>
          <w:tcPr>
            <w:tcW w:w="1920" w:type="dxa"/>
            <w:vMerge w:val="continue"/>
            <w:vAlign w:val="center"/>
          </w:tcPr>
          <w:p>
            <w:pPr>
              <w:pStyle w:val="33"/>
            </w:pPr>
          </w:p>
        </w:tc>
        <w:tc>
          <w:tcPr>
            <w:tcW w:w="1920" w:type="dxa"/>
            <w:vMerge w:val="continue"/>
            <w:vAlign w:val="center"/>
          </w:tcPr>
          <w:p>
            <w:pPr>
              <w:pStyle w:val="33"/>
            </w:pPr>
          </w:p>
        </w:tc>
      </w:tr>
    </w:tbl>
    <w:p>
      <w:pPr>
        <w:pStyle w:val="51"/>
        <w:numPr>
          <w:ilvl w:val="2"/>
          <w:numId w:val="0"/>
        </w:numPr>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普通钢筋的抗拉强度设计值f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w:t>
      </w:r>
      <w:r>
        <w:rPr>
          <w:rFonts w:hint="eastAsia" w:cs="Times New Roman" w:eastAsiaTheme="minorEastAsia"/>
          <w:bCs/>
          <w:color w:val="000000" w:themeColor="text1"/>
          <w:kern w:val="2"/>
          <w:sz w:val="28"/>
          <w:szCs w:val="28"/>
          <w:lang w:val="zh-CN" w:eastAsia="zh-CN" w:bidi="ar-SA"/>
          <w14:textFill>
            <w14:solidFill>
              <w14:schemeClr w14:val="tx1"/>
            </w14:solidFill>
          </w14:textFill>
        </w:rPr>
        <w:t>、抗压强度设计值f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应按下表采用。对轴心受压构件，当采用HRB500、HRBF500钢筋时，钢筋的抗压强度设计值f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应取400N/mm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。横向钢筋抗拉强度设计值f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yv</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应取f</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y</w:t>
      </w:r>
      <w:r>
        <w:rPr>
          <w:rFonts w:hint="eastAsia" w:cs="Times New Roman" w:eastAsiaTheme="minorEastAsia"/>
          <w:bCs/>
          <w:color w:val="000000" w:themeColor="text1"/>
          <w:kern w:val="2"/>
          <w:sz w:val="28"/>
          <w:szCs w:val="28"/>
          <w:lang w:val="zh-CN" w:eastAsia="zh-CN" w:bidi="ar-SA"/>
          <w14:textFill>
            <w14:solidFill>
              <w14:schemeClr w14:val="tx1"/>
            </w14:solidFill>
          </w14:textFill>
        </w:rPr>
        <w:t>；用做受剪、受扭、受冲切承载力计算，当数值大于360N/mm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时取360N/mm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38"/>
        <w:rPr>
          <w:rFonts w:hint="eastAsia"/>
        </w:rPr>
      </w:pPr>
      <w:r>
        <w:rPr>
          <w:rFonts w:hint="eastAsia"/>
        </w:rPr>
        <w:t>表6.3.2 普通钢筋强度设计值（N/mm</w:t>
      </w:r>
      <w:r>
        <w:rPr>
          <w:rFonts w:hint="eastAsia"/>
          <w:vertAlign w:val="superscript"/>
        </w:rPr>
        <w:t>2</w:t>
      </w:r>
      <w:r>
        <w:rPr>
          <w:rFonts w:hint="eastAsia"/>
        </w:rPr>
        <w:t>）</w:t>
      </w:r>
    </w:p>
    <w:tbl>
      <w:tblPr>
        <w:tblStyle w:val="22"/>
        <w:tblW w:w="7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2328"/>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8" w:type="dxa"/>
            <w:shd w:val="clear" w:color="auto" w:fill="auto"/>
            <w:noWrap/>
            <w:vAlign w:val="center"/>
          </w:tcPr>
          <w:p>
            <w:pPr>
              <w:pStyle w:val="33"/>
            </w:pPr>
            <w:r>
              <w:rPr>
                <w:rFonts w:hint="eastAsia"/>
              </w:rPr>
              <w:t>牌号</w:t>
            </w:r>
          </w:p>
        </w:tc>
        <w:tc>
          <w:tcPr>
            <w:tcW w:w="2328" w:type="dxa"/>
            <w:shd w:val="clear" w:color="auto" w:fill="auto"/>
            <w:noWrap/>
            <w:vAlign w:val="center"/>
          </w:tcPr>
          <w:p>
            <w:pPr>
              <w:pStyle w:val="33"/>
              <w:rPr>
                <w:vertAlign w:val="subscript"/>
              </w:rPr>
            </w:pPr>
            <w:r>
              <w:rPr>
                <w:rFonts w:hint="eastAsia"/>
              </w:rPr>
              <w:t>抗拉强度设计值</w:t>
            </w:r>
            <w:r>
              <w:rPr>
                <w:position w:val="-14"/>
              </w:rPr>
              <w:object>
                <v:shape id="_x0000_i1111" o:spt="75" type="#_x0000_t75" style="height:19.2pt;width:12pt;" o:ole="t" filled="f" o:preferrelative="t" stroked="f" coordsize="21600,21600">
                  <v:path/>
                  <v:fill on="f" focussize="0,0"/>
                  <v:stroke on="f" joinstyle="miter"/>
                  <v:imagedata r:id="rId186" o:title=""/>
                  <o:lock v:ext="edit" aspectratio="t"/>
                  <w10:wrap type="none"/>
                  <w10:anchorlock/>
                </v:shape>
                <o:OLEObject Type="Embed" ProgID="Equation.DSMT4" ShapeID="_x0000_i1111" DrawAspect="Content" ObjectID="_1468075811" r:id="rId185">
                  <o:LockedField>false</o:LockedField>
                </o:OLEObject>
              </w:object>
            </w:r>
          </w:p>
        </w:tc>
        <w:tc>
          <w:tcPr>
            <w:tcW w:w="2328" w:type="dxa"/>
            <w:shd w:val="clear" w:color="auto" w:fill="auto"/>
            <w:noWrap/>
            <w:vAlign w:val="center"/>
          </w:tcPr>
          <w:p>
            <w:pPr>
              <w:pStyle w:val="33"/>
              <w:rPr>
                <w:vertAlign w:val="superscript"/>
              </w:rPr>
            </w:pPr>
            <w:r>
              <w:rPr>
                <w:rFonts w:hint="eastAsia"/>
              </w:rPr>
              <w:t>抗压强度设计值</w:t>
            </w:r>
            <w:r>
              <w:rPr>
                <w:position w:val="-14"/>
              </w:rPr>
              <w:object>
                <v:shape id="_x0000_i1112" o:spt="75" type="#_x0000_t75" style="height:19.8pt;width:15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2" r:id="rId18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8" w:type="dxa"/>
            <w:shd w:val="clear" w:color="auto" w:fill="auto"/>
            <w:noWrap/>
            <w:vAlign w:val="center"/>
          </w:tcPr>
          <w:p>
            <w:pPr>
              <w:pStyle w:val="33"/>
            </w:pPr>
            <w:r>
              <w:rPr>
                <w:rFonts w:hint="eastAsia"/>
              </w:rPr>
              <w:t>HPB300</w:t>
            </w:r>
          </w:p>
        </w:tc>
        <w:tc>
          <w:tcPr>
            <w:tcW w:w="2328" w:type="dxa"/>
            <w:shd w:val="clear" w:color="auto" w:fill="auto"/>
            <w:noWrap/>
            <w:vAlign w:val="center"/>
          </w:tcPr>
          <w:p>
            <w:pPr>
              <w:pStyle w:val="33"/>
            </w:pPr>
            <w:r>
              <w:rPr>
                <w:rFonts w:hint="eastAsia"/>
              </w:rPr>
              <w:t>270</w:t>
            </w:r>
          </w:p>
        </w:tc>
        <w:tc>
          <w:tcPr>
            <w:tcW w:w="2328" w:type="dxa"/>
            <w:shd w:val="clear" w:color="auto" w:fill="auto"/>
            <w:noWrap/>
            <w:vAlign w:val="center"/>
          </w:tcPr>
          <w:p>
            <w:pPr>
              <w:pStyle w:val="33"/>
            </w:pPr>
            <w:r>
              <w:rPr>
                <w:rFonts w:hint="eastAsia"/>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8" w:type="dxa"/>
            <w:shd w:val="clear" w:color="auto" w:fill="auto"/>
            <w:noWrap/>
            <w:vAlign w:val="center"/>
          </w:tcPr>
          <w:p>
            <w:pPr>
              <w:pStyle w:val="33"/>
            </w:pPr>
            <w:r>
              <w:rPr>
                <w:rFonts w:hint="eastAsia"/>
              </w:rPr>
              <w:t>HRB335</w:t>
            </w:r>
          </w:p>
        </w:tc>
        <w:tc>
          <w:tcPr>
            <w:tcW w:w="2328" w:type="dxa"/>
            <w:shd w:val="clear" w:color="auto" w:fill="auto"/>
            <w:noWrap/>
            <w:vAlign w:val="center"/>
          </w:tcPr>
          <w:p>
            <w:pPr>
              <w:pStyle w:val="33"/>
            </w:pPr>
            <w:r>
              <w:rPr>
                <w:rFonts w:hint="eastAsia"/>
              </w:rPr>
              <w:t>300</w:t>
            </w:r>
          </w:p>
        </w:tc>
        <w:tc>
          <w:tcPr>
            <w:tcW w:w="2328" w:type="dxa"/>
            <w:shd w:val="clear" w:color="auto" w:fill="auto"/>
            <w:noWrap/>
            <w:vAlign w:val="center"/>
          </w:tcPr>
          <w:p>
            <w:pPr>
              <w:pStyle w:val="33"/>
            </w:pPr>
            <w:r>
              <w:rPr>
                <w:rFonts w:hint="eastAsi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8" w:type="dxa"/>
            <w:shd w:val="clear" w:color="auto" w:fill="auto"/>
            <w:noWrap/>
            <w:vAlign w:val="center"/>
          </w:tcPr>
          <w:p>
            <w:pPr>
              <w:pStyle w:val="33"/>
            </w:pPr>
            <w:r>
              <w:rPr>
                <w:rFonts w:hint="eastAsia"/>
              </w:rPr>
              <w:t>HRB400、HRBF400、RRB400</w:t>
            </w:r>
          </w:p>
        </w:tc>
        <w:tc>
          <w:tcPr>
            <w:tcW w:w="2328" w:type="dxa"/>
            <w:shd w:val="clear" w:color="auto" w:fill="auto"/>
            <w:noWrap/>
            <w:vAlign w:val="center"/>
          </w:tcPr>
          <w:p>
            <w:pPr>
              <w:pStyle w:val="33"/>
            </w:pPr>
            <w:r>
              <w:rPr>
                <w:rFonts w:hint="eastAsia"/>
              </w:rPr>
              <w:t>360</w:t>
            </w:r>
          </w:p>
        </w:tc>
        <w:tc>
          <w:tcPr>
            <w:tcW w:w="2328" w:type="dxa"/>
            <w:shd w:val="clear" w:color="auto" w:fill="auto"/>
            <w:noWrap/>
            <w:vAlign w:val="center"/>
          </w:tcPr>
          <w:p>
            <w:pPr>
              <w:pStyle w:val="33"/>
            </w:pPr>
            <w:r>
              <w:rPr>
                <w:rFonts w:hint="eastAsia"/>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8" w:type="dxa"/>
            <w:shd w:val="clear" w:color="auto" w:fill="auto"/>
            <w:noWrap/>
            <w:vAlign w:val="center"/>
          </w:tcPr>
          <w:p>
            <w:pPr>
              <w:pStyle w:val="33"/>
            </w:pPr>
            <w:r>
              <w:rPr>
                <w:rFonts w:hint="eastAsia"/>
              </w:rPr>
              <w:t>HRB500、HRBF500</w:t>
            </w:r>
          </w:p>
        </w:tc>
        <w:tc>
          <w:tcPr>
            <w:tcW w:w="2328" w:type="dxa"/>
            <w:shd w:val="clear" w:color="auto" w:fill="auto"/>
            <w:noWrap/>
            <w:vAlign w:val="center"/>
          </w:tcPr>
          <w:p>
            <w:pPr>
              <w:pStyle w:val="33"/>
            </w:pPr>
            <w:r>
              <w:rPr>
                <w:rFonts w:hint="eastAsia"/>
              </w:rPr>
              <w:t>435</w:t>
            </w:r>
          </w:p>
        </w:tc>
        <w:tc>
          <w:tcPr>
            <w:tcW w:w="2328" w:type="dxa"/>
            <w:shd w:val="clear" w:color="auto" w:fill="auto"/>
            <w:noWrap/>
            <w:vAlign w:val="center"/>
          </w:tcPr>
          <w:p>
            <w:pPr>
              <w:pStyle w:val="33"/>
            </w:pPr>
            <w:r>
              <w:rPr>
                <w:rFonts w:hint="eastAsia"/>
              </w:rPr>
              <w:t>435</w:t>
            </w:r>
          </w:p>
        </w:tc>
      </w:tr>
    </w:tbl>
    <w:p>
      <w:pPr>
        <w:pStyle w:val="51"/>
        <w:numPr>
          <w:ilvl w:val="2"/>
          <w:numId w:val="0"/>
        </w:numPr>
        <w:rPr>
          <w:rFonts w:ascii="楷体" w:hAnsi="楷体" w:eastAsia="楷体"/>
        </w:rPr>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普通钢筋最大力下的总伸长率不应小于下表要求。</w:t>
      </w:r>
    </w:p>
    <w:p>
      <w:pPr>
        <w:pStyle w:val="38"/>
        <w:rPr>
          <w:rFonts w:hint="eastAsia"/>
        </w:rPr>
      </w:pPr>
      <w:r>
        <w:rPr>
          <w:rFonts w:hint="eastAsia"/>
        </w:rPr>
        <w:t>表6.3.3 普通钢筋最大力下的总伸长率限值</w:t>
      </w:r>
    </w:p>
    <w:tbl>
      <w:tblPr>
        <w:tblStyle w:val="22"/>
        <w:tblW w:w="7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1178"/>
        <w:gridCol w:w="3788"/>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94" w:type="dxa"/>
            <w:vMerge w:val="restart"/>
            <w:shd w:val="clear" w:color="auto" w:fill="auto"/>
            <w:noWrap/>
            <w:vAlign w:val="center"/>
          </w:tcPr>
          <w:p>
            <w:pPr>
              <w:pStyle w:val="33"/>
            </w:pPr>
            <w:r>
              <w:rPr>
                <w:rFonts w:hint="eastAsia"/>
              </w:rPr>
              <w:t>钢筋品种</w:t>
            </w:r>
          </w:p>
        </w:tc>
        <w:tc>
          <w:tcPr>
            <w:tcW w:w="6116" w:type="dxa"/>
            <w:gridSpan w:val="3"/>
            <w:shd w:val="clear" w:color="auto" w:fill="auto"/>
            <w:noWrap/>
            <w:vAlign w:val="center"/>
          </w:tcPr>
          <w:p>
            <w:pPr>
              <w:pStyle w:val="33"/>
            </w:pPr>
            <w:r>
              <w:rPr>
                <w:rFonts w:hint="eastAsia"/>
              </w:rPr>
              <w:t>普通钢筋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094" w:type="dxa"/>
            <w:vMerge w:val="continue"/>
            <w:vAlign w:val="center"/>
          </w:tcPr>
          <w:p>
            <w:pPr>
              <w:pStyle w:val="33"/>
            </w:pPr>
          </w:p>
        </w:tc>
        <w:tc>
          <w:tcPr>
            <w:tcW w:w="1178" w:type="dxa"/>
            <w:vMerge w:val="restart"/>
            <w:shd w:val="clear" w:color="auto" w:fill="auto"/>
            <w:noWrap/>
            <w:vAlign w:val="center"/>
          </w:tcPr>
          <w:p>
            <w:pPr>
              <w:pStyle w:val="33"/>
            </w:pPr>
            <w:r>
              <w:rPr>
                <w:rFonts w:hint="eastAsia"/>
              </w:rPr>
              <w:t>HPB300</w:t>
            </w:r>
          </w:p>
        </w:tc>
        <w:tc>
          <w:tcPr>
            <w:tcW w:w="3788" w:type="dxa"/>
            <w:vMerge w:val="restart"/>
            <w:shd w:val="clear" w:color="auto" w:fill="auto"/>
            <w:vAlign w:val="center"/>
          </w:tcPr>
          <w:p>
            <w:pPr>
              <w:pStyle w:val="33"/>
            </w:pPr>
            <w:r>
              <w:rPr>
                <w:rFonts w:hint="eastAsia"/>
              </w:rPr>
              <w:t>HRB335、HPB400</w:t>
            </w:r>
          </w:p>
          <w:p>
            <w:pPr>
              <w:pStyle w:val="33"/>
            </w:pPr>
            <w:r>
              <w:rPr>
                <w:rFonts w:hint="eastAsia"/>
              </w:rPr>
              <w:t>HRBF400、HRB500、HRBF500</w:t>
            </w:r>
          </w:p>
        </w:tc>
        <w:tc>
          <w:tcPr>
            <w:tcW w:w="1150" w:type="dxa"/>
            <w:vMerge w:val="restart"/>
            <w:shd w:val="clear" w:color="auto" w:fill="auto"/>
            <w:noWrap/>
            <w:vAlign w:val="center"/>
          </w:tcPr>
          <w:p>
            <w:pPr>
              <w:pStyle w:val="33"/>
            </w:pPr>
            <w:r>
              <w:rPr>
                <w:rFonts w:hint="eastAsia"/>
              </w:rPr>
              <w:t>RRB400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94" w:type="dxa"/>
            <w:vMerge w:val="continue"/>
            <w:vAlign w:val="center"/>
          </w:tcPr>
          <w:p>
            <w:pPr>
              <w:pStyle w:val="33"/>
            </w:pPr>
          </w:p>
        </w:tc>
        <w:tc>
          <w:tcPr>
            <w:tcW w:w="1178" w:type="dxa"/>
            <w:vMerge w:val="continue"/>
            <w:vAlign w:val="center"/>
          </w:tcPr>
          <w:p>
            <w:pPr>
              <w:pStyle w:val="33"/>
            </w:pPr>
          </w:p>
        </w:tc>
        <w:tc>
          <w:tcPr>
            <w:tcW w:w="3788" w:type="dxa"/>
            <w:vMerge w:val="continue"/>
            <w:vAlign w:val="center"/>
          </w:tcPr>
          <w:p>
            <w:pPr>
              <w:pStyle w:val="33"/>
            </w:pPr>
          </w:p>
        </w:tc>
        <w:tc>
          <w:tcPr>
            <w:tcW w:w="1150"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94" w:type="dxa"/>
            <w:shd w:val="clear" w:color="auto" w:fill="auto"/>
            <w:noWrap/>
            <w:vAlign w:val="center"/>
          </w:tcPr>
          <w:p>
            <w:pPr>
              <w:pStyle w:val="33"/>
              <w:rPr>
                <w:rFonts w:eastAsia="Times New Roman" w:cs="Times New Roman"/>
                <w:color w:val="auto"/>
                <w:sz w:val="20"/>
                <w:szCs w:val="20"/>
              </w:rPr>
            </w:pPr>
            <w:r>
              <w:rPr>
                <w:position w:val="-14"/>
              </w:rPr>
              <w:object>
                <v:shape id="_x0000_i1113" o:spt="75" type="#_x0000_t75" style="height:19.2pt;width:34.2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89">
                  <o:LockedField>false</o:LockedField>
                </o:OLEObject>
              </w:object>
            </w:r>
          </w:p>
        </w:tc>
        <w:tc>
          <w:tcPr>
            <w:tcW w:w="1178" w:type="dxa"/>
            <w:shd w:val="clear" w:color="auto" w:fill="auto"/>
            <w:noWrap/>
            <w:vAlign w:val="center"/>
          </w:tcPr>
          <w:p>
            <w:pPr>
              <w:pStyle w:val="33"/>
            </w:pPr>
            <w:r>
              <w:rPr>
                <w:rFonts w:hint="eastAsia"/>
              </w:rPr>
              <w:t>10</w:t>
            </w:r>
          </w:p>
        </w:tc>
        <w:tc>
          <w:tcPr>
            <w:tcW w:w="3788" w:type="dxa"/>
            <w:shd w:val="clear" w:color="auto" w:fill="auto"/>
            <w:noWrap/>
            <w:vAlign w:val="center"/>
          </w:tcPr>
          <w:p>
            <w:pPr>
              <w:pStyle w:val="33"/>
            </w:pPr>
            <w:r>
              <w:rPr>
                <w:rFonts w:hint="eastAsia"/>
              </w:rPr>
              <w:t>7.5</w:t>
            </w:r>
          </w:p>
        </w:tc>
        <w:tc>
          <w:tcPr>
            <w:tcW w:w="1150" w:type="dxa"/>
            <w:shd w:val="clear" w:color="auto" w:fill="auto"/>
            <w:noWrap/>
            <w:vAlign w:val="center"/>
          </w:tcPr>
          <w:p>
            <w:pPr>
              <w:pStyle w:val="33"/>
            </w:pPr>
            <w:r>
              <w:rPr>
                <w:rFonts w:hint="eastAsia"/>
              </w:rPr>
              <w:t>5</w:t>
            </w:r>
          </w:p>
        </w:tc>
      </w:tr>
    </w:tbl>
    <w:p>
      <w:pPr>
        <w:pStyle w:val="51"/>
        <w:numPr>
          <w:ilvl w:val="0"/>
          <w:numId w:val="0"/>
        </w:numPr>
        <w:rPr>
          <w:rFonts w:ascii="楷体" w:hAnsi="楷体" w:eastAsia="楷体"/>
        </w:rPr>
      </w:pP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普通钢筋弹性模量E</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cs="Times New Roman" w:eastAsiaTheme="minorEastAsia"/>
          <w:bCs/>
          <w:color w:val="000000" w:themeColor="text1"/>
          <w:kern w:val="2"/>
          <w:sz w:val="28"/>
          <w:szCs w:val="28"/>
          <w:lang w:val="zh-CN" w:eastAsia="zh-CN" w:bidi="ar-SA"/>
          <w14:textFill>
            <w14:solidFill>
              <w14:schemeClr w14:val="tx1"/>
            </w14:solidFill>
          </w14:textFill>
        </w:rPr>
        <w:t>除HPB300可取2.1×10</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zh-CN" w:eastAsia="zh-CN" w:bidi="ar-SA"/>
          <w14:textFill>
            <w14:solidFill>
              <w14:schemeClr w14:val="tx1"/>
            </w14:solidFill>
          </w14:textFill>
        </w:rPr>
        <w:t>N/mm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外，其余可取2.0×10</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zh-CN" w:eastAsia="zh-CN" w:bidi="ar-SA"/>
          <w14:textFill>
            <w14:solidFill>
              <w14:schemeClr w14:val="tx1"/>
            </w14:solidFill>
          </w14:textFill>
        </w:rPr>
        <w:t>N/mm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numPr>
          <w:ilvl w:val="2"/>
          <w:numId w:val="0"/>
        </w:numPr>
        <w:rPr>
          <w:rFonts w:eastAsia="黑体"/>
          <w:sz w:val="30"/>
        </w:rPr>
      </w:pPr>
    </w:p>
    <w:p>
      <w:pPr>
        <w:pStyle w:val="3"/>
      </w:pPr>
      <w:bookmarkStart w:id="65" w:name="_Toc26140"/>
      <w:r>
        <w:rPr>
          <w:rFonts w:hint="eastAsia"/>
        </w:rPr>
        <w:t>其他材料</w:t>
      </w:r>
      <w:bookmarkEnd w:id="65"/>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纤维混凝土中的纤维材料可采用钢纤维、合成纤维、纤维素纤维等，纤维混凝土主要性能指标不得低于同等级普通混凝土。</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明挖隧道常用的水泥砂浆标号有M10、M15、M20，其物理新能除应符合现行国家、行业相关标准的规定</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隧道防水板与土工布，其物理新能除应符合现行国家、行业相关标准的规定外，尚应符合下列要求：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防水板宜采用高分子防水材料，不得使用再生料。</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无纺布单位面积质量不应小于300g/m</w:t>
      </w:r>
      <w:r>
        <w:rPr>
          <w:rFonts w:hint="eastAsia"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止水带宜采用橡胶止水带或钢板橡胶止水带，止水条宜采用制品型遇水膨胀橡胶止水条</w:t>
      </w:r>
      <w:r>
        <w:rPr>
          <w:rFonts w:hint="eastAsia"/>
        </w:rPr>
        <w:t>。</w:t>
      </w:r>
    </w:p>
    <w:p>
      <w:r>
        <w:rPr>
          <w:rFonts w:hint="eastAsia"/>
        </w:rPr>
        <w:br w:type="page"/>
      </w:r>
    </w:p>
    <w:p>
      <w:pPr>
        <w:pStyle w:val="51"/>
        <w:numPr>
          <w:ilvl w:val="2"/>
          <w:numId w:val="0"/>
        </w:numPr>
      </w:pPr>
    </w:p>
    <w:bookmarkEnd w:id="57"/>
    <w:bookmarkEnd w:id="58"/>
    <w:bookmarkEnd w:id="59"/>
    <w:p>
      <w:pPr>
        <w:pStyle w:val="2"/>
      </w:pPr>
      <w:bookmarkStart w:id="66" w:name="_Toc30186"/>
      <w:bookmarkStart w:id="67" w:name="_Toc12048"/>
      <w:bookmarkStart w:id="68" w:name="_Toc26038773"/>
      <w:bookmarkStart w:id="69" w:name="_Toc25076249"/>
      <w:bookmarkStart w:id="70" w:name="_Toc25076062"/>
      <w:r>
        <w:rPr>
          <w:rFonts w:hint="eastAsia"/>
        </w:rPr>
        <w:t>基坑支护结构-</w:t>
      </w:r>
      <w:bookmarkEnd w:id="66"/>
      <w:bookmarkEnd w:id="67"/>
    </w:p>
    <w:p>
      <w:pPr>
        <w:pStyle w:val="3"/>
      </w:pPr>
      <w:bookmarkStart w:id="71" w:name="_Toc27414"/>
      <w:r>
        <w:rPr>
          <w:rFonts w:hint="eastAsia"/>
        </w:rPr>
        <w:t>一般规定</w:t>
      </w:r>
      <w:bookmarkEnd w:id="71"/>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明挖隧道基坑根据开挖深度，其安全等级应分为以下三级∶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基坑开挖深度大于等于12m，属一级安全等级基坑工程。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基坑开挖深度小于5m；属三级安全等级基坑工程。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除一级和三级以外的基坑均属二级安全等级基坑工程。</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根据基坑周围环境的重要性程度及其与基坑的距离，基坑工程的环境保护等级应分为以下三级:</w:t>
      </w:r>
    </w:p>
    <w:p>
      <w:pPr>
        <w:pStyle w:val="38"/>
      </w:pPr>
      <w:r>
        <w:rPr>
          <w:rFonts w:hint="eastAsia"/>
        </w:rPr>
        <w:t>表7</w:t>
      </w:r>
      <w:r>
        <w:t>.</w:t>
      </w:r>
      <w:r>
        <w:rPr>
          <w:rFonts w:hint="eastAsia"/>
        </w:rPr>
        <w:t>1</w:t>
      </w:r>
      <w:r>
        <w:t>.</w:t>
      </w:r>
      <w:r>
        <w:rPr>
          <w:rFonts w:hint="eastAsia"/>
        </w:rPr>
        <w:t>2</w:t>
      </w:r>
      <w:r>
        <w:t xml:space="preserve"> </w:t>
      </w:r>
      <w:r>
        <w:rPr>
          <w:rFonts w:hint="eastAsia"/>
          <w:sz w:val="20"/>
          <w:szCs w:val="20"/>
        </w:rPr>
        <w:t>基坑工程的环境保护等级</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4"/>
        <w:gridCol w:w="2000"/>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环境保护对象</w:t>
            </w: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保护对象与基坑距离关系</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基坑工程的环境保护等级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优秀历史建筑，有精密仪器与设备的厂房，采用天然地基或短桩基础的医院、学校和住宅等重要建（构）筑物，轨道交通设施，隧道，防汛墙，原水管，自来水总管，煤气总管，共同沟等重要建（构）筑物或设施</w:t>
            </w: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s≤H</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Merge w:val="continue"/>
            <w:vAlign w:val="center"/>
          </w:tcPr>
          <w:p>
            <w:pPr>
              <w:pStyle w:val="33"/>
              <w:rPr>
                <w:rFonts w:hint="eastAsia" w:ascii="宋体" w:hAnsi="宋体" w:eastAsia="宋体" w:cs="宋体"/>
                <w:sz w:val="21"/>
                <w:szCs w:val="21"/>
              </w:rPr>
            </w:pP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H＜s≤2H</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Merge w:val="continue"/>
            <w:vAlign w:val="center"/>
          </w:tcPr>
          <w:p>
            <w:pPr>
              <w:pStyle w:val="33"/>
              <w:rPr>
                <w:rFonts w:hint="eastAsia" w:ascii="宋体" w:hAnsi="宋体" w:eastAsia="宋体" w:cs="宋体"/>
                <w:sz w:val="21"/>
                <w:szCs w:val="21"/>
              </w:rPr>
            </w:pP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2H＜s≤4H</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较重要的自来水管、煤气管、污水管等市政管线，采用天然地基或短桩基础的建（构）筑物等</w:t>
            </w: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s≤H</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4" w:type="dxa"/>
            <w:vMerge w:val="continue"/>
            <w:vAlign w:val="center"/>
          </w:tcPr>
          <w:p>
            <w:pPr>
              <w:pStyle w:val="33"/>
              <w:rPr>
                <w:rFonts w:hint="eastAsia" w:ascii="宋体" w:hAnsi="宋体" w:eastAsia="宋体" w:cs="宋体"/>
                <w:sz w:val="21"/>
                <w:szCs w:val="21"/>
              </w:rPr>
            </w:pPr>
          </w:p>
        </w:tc>
        <w:tc>
          <w:tcPr>
            <w:tcW w:w="200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H＜s≤2H</w:t>
            </w:r>
          </w:p>
        </w:tc>
        <w:tc>
          <w:tcPr>
            <w:tcW w:w="200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pPr>
              <w:pStyle w:val="33"/>
              <w:jc w:val="left"/>
              <w:rPr>
                <w:rFonts w:hint="eastAsia" w:ascii="宋体" w:hAnsi="宋体" w:eastAsia="宋体" w:cs="宋体"/>
                <w:sz w:val="21"/>
                <w:szCs w:val="21"/>
                <w:lang w:val="zh-CN"/>
              </w:rPr>
            </w:pPr>
            <w:r>
              <w:rPr>
                <w:rFonts w:hint="eastAsia" w:ascii="宋体" w:hAnsi="宋体" w:eastAsia="宋体" w:cs="宋体"/>
                <w:sz w:val="21"/>
                <w:szCs w:val="21"/>
                <w:lang w:val="zh-CN"/>
              </w:rPr>
              <w:t>注：1H为基坑开挖深度，s为保护对象与基坑开挖边线的净距。</w:t>
            </w:r>
          </w:p>
          <w:p>
            <w:pPr>
              <w:pStyle w:val="33"/>
              <w:jc w:val="left"/>
              <w:rPr>
                <w:rFonts w:hint="eastAsia" w:ascii="宋体" w:hAnsi="宋体" w:eastAsia="宋体" w:cs="宋体"/>
                <w:sz w:val="21"/>
                <w:szCs w:val="21"/>
                <w:lang w:val="zh-CN"/>
              </w:rPr>
            </w:pPr>
            <w:r>
              <w:rPr>
                <w:rFonts w:hint="eastAsia" w:ascii="宋体" w:hAnsi="宋体" w:eastAsia="宋体" w:cs="宋体"/>
                <w:sz w:val="21"/>
                <w:szCs w:val="21"/>
                <w:lang w:val="zh-CN"/>
              </w:rPr>
              <w:t>2基坑工程环境保护等级可依据基坑各边的不同环境情况分别确定。</w:t>
            </w:r>
          </w:p>
          <w:p>
            <w:pPr>
              <w:pStyle w:val="33"/>
              <w:jc w:val="left"/>
              <w:rPr>
                <w:rFonts w:hint="eastAsia" w:ascii="宋体" w:hAnsi="宋体" w:eastAsia="宋体" w:cs="宋体"/>
                <w:sz w:val="21"/>
                <w:szCs w:val="21"/>
              </w:rPr>
            </w:pPr>
            <w:r>
              <w:rPr>
                <w:rFonts w:hint="eastAsia" w:ascii="宋体" w:hAnsi="宋体" w:eastAsia="宋体" w:cs="宋体"/>
                <w:sz w:val="21"/>
                <w:szCs w:val="21"/>
                <w:lang w:val="zh-CN"/>
              </w:rPr>
              <w:t>3位于轨道交通设施、优秀历史建筑、重要管线等环境保护对象周边的基坑工程，应遵照政府有关文件和规定执行。</w:t>
            </w:r>
          </w:p>
        </w:tc>
      </w:tr>
    </w:tbl>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支护结构构件重要性系数应根据基坑安全等级及环境保护等级综合确定，安全等级及环境保护等级均为三级时，构件重要性系数不小于0.9；至少有一项为一级时，构件重要性系数取1.1；其余情况下，构件重要性系数取1.0。</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基坑支护结构应满足下列功能要求：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保证基坑周边建（构）筑物、管线、道路等设施的安全与正常使用；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保证地下主体结构的正常施工。</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结构应根据基坑周边环境条件、基坑规模、工程地质与水文地质条件、施工条件、周边相近条件基坑工程经验、施工工期等因素，通过技术与经济比较确定。基坑支护结构可采用放坡开挖、复合土钉墙、重力式挡墙、板式支护体系等。</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基坑支护设计应规定其设计使用期限。基坑支护的设计使用期限应符合工程建设需求，且应满足下列要求：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无支撑基坑工程设计使用年限不应小于一年；</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有支撑基坑工程设计使用年限不应小于二年；</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支护结构作为永久结构的一部分时，应满足永久结构的使用期限和耐久性要求；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当支护结构构件达到其设计使用期限而需继续使用时，应进行安全性评估。</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基坑支护结构应满足承载能力极限状态和正常使用极限状态的设计计算和验算要求，与主体结构相结合的基坑支护结构的设计计算除应符合本规范规定外，尚应符合国家现行有关标准的规定。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基坑工程设计时，应根据支护结构的特性、基坑的使用要求、周边环境及现场施工条件等因素，合理选择土层的物理力学性质指标和计算方法。</w:t>
      </w:r>
    </w:p>
    <w:p>
      <w:pPr>
        <w:pStyle w:val="51"/>
        <w:rPr>
          <w:color w:val="auto"/>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承载能力极限状态应计算或验算以下内容。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支护结构构件的承载能力计算；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稳定性计算和验算，主要包括基坑整体稳定性、支护结构抗倾覆稳定性及抗滑移稳定性、墙底土体抗隆起稳定性、坑底土体抗隆起稳定性、抗渗流稳定性、抗承压水稳定性等；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土钉、锚杆或支撑承载力以及支撑稳定性验算。</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正常使用极限状态应计算或验算以下内容。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支护结构和土体的变形计算</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基坑周边建（构）筑物、管线及其他保护设施的变形计算；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支护结构有耐久性要求时，应验算支护结构构件的裂缝宽度，满足限值规定。</w:t>
      </w:r>
    </w:p>
    <w:p>
      <w:pPr>
        <w:pStyle w:val="51"/>
        <w:rPr>
          <w:rStyle w:val="37"/>
          <w:rFonts w:eastAsiaTheme="minorEastAsia"/>
          <w:bCs/>
          <w:color w:val="auto"/>
        </w:rPr>
      </w:pPr>
      <w:r>
        <w:rPr>
          <w:rStyle w:val="37"/>
          <w:rFonts w:hint="eastAsia" w:eastAsiaTheme="minorEastAsia"/>
          <w:color w:val="auto"/>
          <w:lang w:val="en-US" w:eastAsia="zh-CN"/>
        </w:rPr>
        <w:t xml:space="preserve"> </w:t>
      </w:r>
      <w:r>
        <w:rPr>
          <w:rStyle w:val="37"/>
          <w:rFonts w:hint="eastAsia" w:eastAsiaTheme="minorEastAsia"/>
          <w:color w:val="auto"/>
        </w:rPr>
        <w:t>基坑支护设计计算应遵循以下原则∶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侧壁与主体地下结构的净空间和地下水控制应满足主体地下结构及其防水的施工要求；采用锚杆时，锚杆的锚头及腰梁不应妨碍地下结构外墙的施工；采用内支撑时，内支撑及腰梁的设置应便于地下结构及其防水的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应根据基坑各部位的开挖深度、地质条件和周边环境等条件的不同，划分不同的计算剖面进行计算;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应根据支护结构特点和开挖回筑工序对不同设计工况分别进行计算，确保在施工期和使用期的最不利工况下支护结构均满足设计要求;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滨海地区软土较厚的深基坑设计时，软土参数的选取、计算结果和支护结构选择等应充分论证分析并参考已有相似支护工程的经验，评估基坑可能产生的较大变形对周边环境的影响，并加强监测；采用桩（墙）加内支撑的支护时，应考虑土压力不对称、不平衡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临近高边坡的基坑，应分析高边坡对基坑的影响</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基坑工程设计、施工前应具备以下基本资料：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反映建筑场地及其周边地表至基坑底面下一定深度范围内地层结构、土（岩）的物理力学性质，地下水分布、含水层类型、渗透系数和施工期地下水位可能的变化等岩土工程情况的勘察资料；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标有建筑红线、施工红线的总平面图、地下室及地基与基础结构设计图；</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建筑场地内及周边的地下管线、地下设施的位置、深度、结构形式及使用现状；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已有邻近建筑的位置、层数或高度、结构类型、使用状况、沉降观测资料以及基础类型、埋置深度、主要尺寸、基础距基坑侧壁的净距等；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场地周围地区地表水汇流、排泄情况，地下水管渗漏情况以及对基坑的影响程度；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施工期间基坑周边的地面堆载及车辆、设备的动、静载情况等。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已有相似支护工程的经验性资料。</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基坑工程设计应包括下列内容：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支护结构体系的方案和技术经济比较；</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基坑支护体系的稳定性验算；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支护结构的强度、稳定和变形计算；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地下水控制设计；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对周边环境影响的控制设计；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基坑施工步序设计；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基坑工程的监测要求。</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支护应综合考虑场地工程地质与水文地质条件、基坑开挖深度、降排水条件、基础类型、周边环境对基坑侧壁变形控制的要求、基坑周边荷载、施工季节及施工条件、支护结构使用期限等因素，做到因地制宜、因时制宜、合理选型、优化设计、精心施工、严格监控。</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支护结构选型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支护结构形式主要有支挡式结构、土钉墙、重力式挡墙、放坡等。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支护结构选型时，应综合考虑下列因素。</w:t>
      </w:r>
    </w:p>
    <w:p>
      <w:pPr>
        <w:ind w:left="0" w:leftChars="0"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基坑深度；</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土的性状及地下水条件；</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基坑周边环境对基坑变形的承载能力及支护结构失效的后果；</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主体地下结构和基础形式及施工方法、基坑平面尺寸及形状；</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支护结构施工工艺的可行性；</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施工场地及施工季节；</w:t>
      </w:r>
    </w:p>
    <w:p>
      <w:pPr>
        <w:widowControl/>
        <w:numPr>
          <w:ilvl w:val="-1"/>
          <w:numId w:val="0"/>
        </w:numPr>
        <w:spacing w:line="240" w:lineRule="auto"/>
        <w:ind w:left="0" w:leftChars="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w:t>
      </w:r>
      <w:r>
        <w:rPr>
          <w:rFonts w:hint="eastAsia" w:cs="Times New Roman" w:eastAsiaTheme="minorEastAsia"/>
          <w:bCs/>
          <w:color w:val="000000" w:themeColor="text1"/>
          <w:kern w:val="2"/>
          <w:sz w:val="28"/>
          <w:szCs w:val="28"/>
          <w:lang w:val="zh-CN" w:eastAsia="zh-CN" w:bidi="ar-SA"/>
          <w14:textFill>
            <w14:solidFill>
              <w14:schemeClr w14:val="tx1"/>
            </w14:solidFill>
          </w14:textFill>
        </w:rPr>
        <w:t>经济指标、环保性能和施工工期；</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当基坑不同部位的周边环境条件、地层性状、基坑深度等不同时，可在不同部位分别采用不同的支护形式。支护结构可采用上、下部以不同结构类型组合的形式。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采用多种支护结构形式时，其结合处应考虑相邻支护结构的相互影响，且应有可靠的过渡连接措施。</w:t>
      </w:r>
    </w:p>
    <w:p>
      <w:pPr>
        <w:pStyle w:val="3"/>
      </w:pPr>
      <w:bookmarkStart w:id="72" w:name="_Toc9934"/>
      <w:r>
        <w:rPr>
          <w:rFonts w:hint="eastAsia"/>
        </w:rPr>
        <w:t>支档式结构</w:t>
      </w:r>
      <w:bookmarkEnd w:id="72"/>
    </w:p>
    <w:p>
      <w:pPr>
        <w:pStyle w:val="52"/>
        <w:numPr>
          <w:ilvl w:val="0"/>
          <w:numId w:val="6"/>
        </w:numPr>
      </w:pPr>
      <w:r>
        <w:rPr>
          <w:rStyle w:val="37"/>
          <w:rFonts w:hint="eastAsia"/>
        </w:rPr>
        <w:t>支挡式</w:t>
      </w:r>
      <w:r>
        <w:rPr>
          <w:rFonts w:hint="eastAsia"/>
        </w:rPr>
        <w:t>结构</w:t>
      </w:r>
      <w:r>
        <w:rPr>
          <w:color w:val="000000" w:themeColor="text1"/>
          <w14:textFill>
            <w14:solidFill>
              <w14:schemeClr w14:val="tx1"/>
            </w14:solidFill>
          </w14:textFill>
        </w:rPr>
        <w:t>—结构</w:t>
      </w:r>
      <w:r>
        <w:rPr>
          <w:rFonts w:hint="eastAsia"/>
          <w:color w:val="000000" w:themeColor="text1"/>
          <w14:textFill>
            <w14:solidFill>
              <w14:schemeClr w14:val="tx1"/>
            </w14:solidFill>
          </w14:textFill>
        </w:rPr>
        <w:t>分析</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支挡式结构及受力分析</w:t>
      </w:r>
    </w:p>
    <w:p>
      <w:pPr>
        <w:pStyle w:val="51"/>
        <w:numPr>
          <w:ilvl w:val="255"/>
          <w:numId w:val="0"/>
        </w:numPr>
      </w:pPr>
      <w:r>
        <w:rPr>
          <w:rFonts w:hint="eastAsia"/>
          <w:b/>
          <w:bCs/>
        </w:rPr>
        <w:t>7.2.1.1</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支挡式结构一般用于基坑开挖较深、施工场地有限、地质条件较差、周边环境复杂或基坑变形有较高要求时，常用的支挡式结构有排桩、地下连续墙等。</w:t>
      </w:r>
    </w:p>
    <w:p>
      <w:pPr>
        <w:ind w:firstLine="0" w:firstLineChars="0"/>
        <w:rPr>
          <w:lang w:val="zh-CN"/>
        </w:rPr>
      </w:pPr>
      <w:r>
        <w:rPr>
          <w:rFonts w:hint="eastAsia"/>
          <w:b/>
          <w:bCs/>
        </w:rPr>
        <w:t>7.2.1.2</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支挡式结构应具备可靠的隔水帷幕以保证基坑开挖，隔水帷幕的设置应满足基坑抗渗流及抗突涌稳定性要求，基坑计算应考虑开挖后坑内外地下水位变化的影响。</w:t>
      </w:r>
    </w:p>
    <w:p>
      <w:pPr>
        <w:pStyle w:val="51"/>
        <w:numPr>
          <w:ilvl w:val="255"/>
          <w:numId w:val="0"/>
        </w:numPr>
        <w:rPr>
          <w:lang w:val="zh-CN"/>
        </w:rPr>
      </w:pPr>
      <w:r>
        <w:rPr>
          <w:rFonts w:hint="eastAsia"/>
          <w:b/>
          <w:bCs/>
        </w:rPr>
        <w:t>7.2.1.3</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支挡式结构受力形式</w:t>
      </w:r>
    </w:p>
    <w:p>
      <w:pPr>
        <w:widowControl w:val="0"/>
        <w:numPr>
          <w:ilvl w:val="2"/>
          <w:numId w:val="1"/>
        </w:numPr>
        <w:spacing w:line="360" w:lineRule="auto"/>
        <w:ind w:left="0" w:firstLine="56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支挡式结构应根据结构的具体形式与受力、变形特性等分为以下几种形式：</w:t>
      </w:r>
    </w:p>
    <w:p>
      <w:pPr>
        <w:widowControl/>
        <w:numPr>
          <w:ilvl w:val="-1"/>
          <w:numId w:val="0"/>
        </w:numPr>
        <w:spacing w:line="240" w:lineRule="auto"/>
        <w:ind w:left="939" w:leftChars="233" w:hanging="380" w:hangingChars="136"/>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锚拉式支挡结构，将整个结构分解为挡土结构、锚拉结构进行受力分析；</w:t>
      </w:r>
    </w:p>
    <w:p>
      <w:pPr>
        <w:widowControl/>
        <w:numPr>
          <w:ilvl w:val="-1"/>
          <w:numId w:val="0"/>
        </w:numPr>
        <w:spacing w:line="240" w:lineRule="auto"/>
        <w:ind w:left="939" w:leftChars="233" w:hanging="380" w:hangingChars="136"/>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支撑式支挡结构，将整个结构分解为挡土结构、内支撑结构进行受力分析；</w:t>
      </w:r>
    </w:p>
    <w:p>
      <w:pPr>
        <w:ind w:left="0" w:leftChars="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zh-CN" w:eastAsia="zh-CN" w:bidi="ar-SA"/>
          <w14:textFill>
            <w14:solidFill>
              <w14:schemeClr w14:val="tx1"/>
            </w14:solidFill>
          </w14:textFill>
        </w:rPr>
        <w:t>悬臂式支挡结构。</w:t>
      </w:r>
    </w:p>
    <w:p>
      <w:pPr>
        <w:pStyle w:val="51"/>
        <w:numPr>
          <w:ilvl w:val="255"/>
          <w:numId w:val="0"/>
        </w:numPr>
        <w:rPr>
          <w:lang w:val="zh-CN"/>
        </w:rPr>
      </w:pPr>
      <w:r>
        <w:rPr>
          <w:b/>
          <w:bCs/>
        </w:rPr>
        <w:t>7.2.1.</w:t>
      </w:r>
      <w:r>
        <w:rPr>
          <w:rFonts w:hint="eastAsia"/>
          <w:b/>
          <w:bCs/>
        </w:rPr>
        <w:t>4</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支挡式结构应对以下几种设计工况进行结构分析，按最不利作用效应进行支护结构包络设计。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基坑开挖至坑底工况；</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对锚拉式和支撑式支挡结构，基坑开支至各层锚杆或支撑施工面工况；</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在主体地下结构施工过程中需要以主体结构构件替换支撑或锚杆工况；</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对水平内支撑式支挡结构，基坑各边水平荷载不对等的工况。</w:t>
      </w:r>
    </w:p>
    <w:p>
      <w:pPr>
        <w:pStyle w:val="51"/>
        <w:numPr>
          <w:ilvl w:val="255"/>
          <w:numId w:val="0"/>
        </w:numPr>
      </w:pPr>
      <w:r>
        <w:rPr>
          <w:b/>
          <w:bCs/>
        </w:rPr>
        <w:t>7.2.1.</w:t>
      </w:r>
      <w:r>
        <w:rPr>
          <w:rFonts w:hint="eastAsia"/>
          <w:b/>
          <w:bCs/>
        </w:rPr>
        <w:t>5</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支挡式结构宜采用平面杆系结构弹性支点法进行受力分析，结构分析模型如图，且符合下列规定：</w:t>
      </w:r>
    </w:p>
    <w:p>
      <w:pPr>
        <w:pStyle w:val="51"/>
        <w:numPr>
          <w:ilvl w:val="255"/>
          <w:numId w:val="0"/>
        </w:numPr>
        <w:jc w:val="center"/>
        <w:rPr>
          <w:rFonts w:ascii="宋体" w:hAnsi="宋体" w:cs="宋体"/>
          <w:szCs w:val="24"/>
        </w:rPr>
      </w:pPr>
      <w:r>
        <w:rPr>
          <w:rFonts w:ascii="宋体" w:hAnsi="宋体" w:cs="宋体"/>
          <w:szCs w:val="24"/>
        </w:rPr>
        <w:drawing>
          <wp:inline distT="0" distB="0" distL="114300" distR="114300">
            <wp:extent cx="1739265" cy="2013585"/>
            <wp:effectExtent l="0" t="0" r="13335" b="5715"/>
            <wp:docPr id="21" name="图片 2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9" descr="IMG_256"/>
                    <pic:cNvPicPr>
                      <a:picLocks noChangeAspect="1"/>
                    </pic:cNvPicPr>
                  </pic:nvPicPr>
                  <pic:blipFill>
                    <a:blip r:embed="rId191"/>
                    <a:stretch>
                      <a:fillRect/>
                    </a:stretch>
                  </pic:blipFill>
                  <pic:spPr>
                    <a:xfrm>
                      <a:off x="0" y="0"/>
                      <a:ext cx="1739265" cy="2013585"/>
                    </a:xfrm>
                    <a:prstGeom prst="rect">
                      <a:avLst/>
                    </a:prstGeom>
                    <a:noFill/>
                    <a:ln w="9525">
                      <a:noFill/>
                    </a:ln>
                  </pic:spPr>
                </pic:pic>
              </a:graphicData>
            </a:graphic>
          </wp:inline>
        </w:drawing>
      </w:r>
      <w:r>
        <w:rPr>
          <w:rFonts w:hint="eastAsia" w:ascii="宋体" w:hAnsi="宋体" w:cs="宋体"/>
          <w:szCs w:val="24"/>
        </w:rPr>
        <w:t xml:space="preserve">     </w:t>
      </w:r>
      <w:r>
        <w:rPr>
          <w:rFonts w:ascii="宋体" w:hAnsi="宋体" w:cs="宋体"/>
          <w:szCs w:val="24"/>
        </w:rPr>
        <w:drawing>
          <wp:inline distT="0" distB="0" distL="114300" distR="114300">
            <wp:extent cx="1568450" cy="1971675"/>
            <wp:effectExtent l="0" t="0" r="12700" b="9525"/>
            <wp:docPr id="22" name="图片 2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0" descr="IMG_256"/>
                    <pic:cNvPicPr>
                      <a:picLocks noChangeAspect="1"/>
                    </pic:cNvPicPr>
                  </pic:nvPicPr>
                  <pic:blipFill>
                    <a:blip r:embed="rId192"/>
                    <a:stretch>
                      <a:fillRect/>
                    </a:stretch>
                  </pic:blipFill>
                  <pic:spPr>
                    <a:xfrm>
                      <a:off x="0" y="0"/>
                      <a:ext cx="1568450" cy="1971675"/>
                    </a:xfrm>
                    <a:prstGeom prst="rect">
                      <a:avLst/>
                    </a:prstGeom>
                    <a:noFill/>
                    <a:ln w="9525">
                      <a:noFill/>
                    </a:ln>
                  </pic:spPr>
                </pic:pic>
              </a:graphicData>
            </a:graphic>
          </wp:inline>
        </w:drawing>
      </w:r>
    </w:p>
    <w:p>
      <w:pPr>
        <w:pStyle w:val="51"/>
        <w:numPr>
          <w:ilvl w:val="255"/>
          <w:numId w:val="0"/>
        </w:numPr>
        <w:jc w:val="center"/>
        <w:rPr>
          <w:rFonts w:ascii="宋体" w:hAnsi="宋体" w:cs="宋体"/>
          <w:szCs w:val="24"/>
        </w:rPr>
      </w:pPr>
      <w:r>
        <w:rPr>
          <w:rFonts w:hint="eastAsia" w:ascii="宋体" w:hAnsi="宋体" w:cs="宋体"/>
          <w:szCs w:val="24"/>
        </w:rPr>
        <w:t xml:space="preserve">     </w:t>
      </w:r>
      <w:r>
        <w:rPr>
          <w:rFonts w:ascii="宋体" w:hAnsi="宋体" w:cs="宋体"/>
          <w:szCs w:val="24"/>
        </w:rPr>
        <w:t>(a)悬臂式支挡结构         (b)锚拉式支挡结构或支撑式支挡结构</w:t>
      </w:r>
    </w:p>
    <w:p>
      <w:pPr>
        <w:pStyle w:val="51"/>
        <w:numPr>
          <w:ilvl w:val="255"/>
          <w:numId w:val="0"/>
        </w:numPr>
        <w:jc w:val="center"/>
        <w:rPr>
          <w:rFonts w:ascii="宋体" w:hAnsi="宋体" w:cs="宋体"/>
          <w:szCs w:val="24"/>
        </w:rPr>
      </w:pPr>
      <w:r>
        <w:rPr>
          <w:rFonts w:ascii="宋体" w:hAnsi="宋体" w:cs="宋体"/>
          <w:szCs w:val="24"/>
        </w:rPr>
        <w:t>图</w:t>
      </w:r>
      <w:r>
        <w:rPr>
          <w:rFonts w:hint="eastAsia"/>
        </w:rPr>
        <w:t>7.2.1.5</w:t>
      </w:r>
      <w:r>
        <w:rPr>
          <w:rFonts w:ascii="宋体" w:hAnsi="宋体" w:cs="宋体"/>
          <w:szCs w:val="24"/>
        </w:rPr>
        <w:t>弹性支点法计算</w:t>
      </w:r>
    </w:p>
    <w:p>
      <w:pPr>
        <w:pStyle w:val="51"/>
        <w:numPr>
          <w:ilvl w:val="255"/>
          <w:numId w:val="0"/>
        </w:numPr>
        <w:jc w:val="center"/>
        <w:rPr>
          <w:rFonts w:ascii="宋体" w:hAnsi="宋体" w:cs="宋体"/>
          <w:szCs w:val="24"/>
        </w:rPr>
      </w:pPr>
      <w:r>
        <w:rPr>
          <w:rFonts w:ascii="宋体" w:hAnsi="宋体" w:cs="宋体"/>
          <w:szCs w:val="24"/>
        </w:rPr>
        <w:t>1-挡土结构；2— 由锚杆或支撑简化而成的弹性支座；</w:t>
      </w:r>
    </w:p>
    <w:p>
      <w:pPr>
        <w:pStyle w:val="51"/>
        <w:numPr>
          <w:ilvl w:val="255"/>
          <w:numId w:val="0"/>
        </w:numPr>
        <w:jc w:val="center"/>
        <w:rPr>
          <w:rFonts w:ascii="宋体" w:hAnsi="宋体" w:cs="宋体"/>
          <w:szCs w:val="24"/>
        </w:rPr>
      </w:pPr>
      <w:r>
        <w:rPr>
          <w:rFonts w:ascii="宋体" w:hAnsi="宋体" w:cs="宋体"/>
          <w:szCs w:val="24"/>
        </w:rPr>
        <w:t>3—计算土反力的弹性支座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主动土压力强度标准值可按本规程第5.2节的有关规定确定；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土反力可按本规程第7.2.1.6条确定；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挡土结构采用排桩时，作用在单根支护桩上的主动土压力计算宽度应取排桩间距，土反力计算宽度(bo)应按本规程第7.2.1.8条确定;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挡土结构采用地下连续墙时，作用在单幅地下连续墙上的主动土压力计算宽度和土反力计算宽度(bo)应取包括接头的单幅墙宽度；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锚杆和内支撑对挡土结构的约束作用应按弹性支座考虑，并应按本规程第7.2.1.10条确定。</w:t>
      </w:r>
    </w:p>
    <w:p>
      <w:pPr>
        <w:widowControl/>
        <w:ind w:firstLine="0" w:firstLineChars="0"/>
        <w:rPr>
          <w:rFonts w:ascii="宋体" w:hAnsi="宋体" w:cs="宋体"/>
          <w:kern w:val="0"/>
          <w:szCs w:val="24"/>
          <w:lang w:bidi="ar"/>
        </w:rPr>
      </w:pPr>
      <w:r>
        <w:rPr>
          <w:rFonts w:hint="eastAsia"/>
          <w:b/>
          <w:bCs/>
        </w:rPr>
        <w:t>7.2.1.6</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作用在挡土构件上的分布土反力应符合下列规定：</w:t>
      </w:r>
    </w:p>
    <w:p>
      <w:pPr>
        <w:pStyle w:val="51"/>
        <w:widowControl w:val="0"/>
        <w:numPr>
          <w:ilvl w:val="255"/>
          <w:numId w:val="0"/>
        </w:numPr>
        <w:spacing w:line="360" w:lineRule="auto"/>
        <w:ind w:left="284"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分布土反力可按下式计算：</w:t>
      </w:r>
    </w:p>
    <w:p>
      <w:pPr>
        <w:widowControl/>
        <w:ind w:firstLine="0" w:firstLineChars="0"/>
        <w:jc w:val="center"/>
        <w:rPr>
          <w:rFonts w:ascii="宋体" w:hAnsi="宋体" w:cs="宋体"/>
          <w:kern w:val="0"/>
          <w:szCs w:val="24"/>
          <w:lang w:bidi="ar"/>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s0</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w:t>
      </w:r>
      <w:r>
        <w:rPr>
          <w:rFonts w:ascii="宋体" w:hAnsi="宋体" w:cs="宋体"/>
          <w:kern w:val="0"/>
          <w:szCs w:val="24"/>
          <w:lang w:bidi="ar"/>
        </w:rPr>
        <w:t>   (</w:t>
      </w:r>
      <w:r>
        <w:rPr>
          <w:rFonts w:hint="eastAsia"/>
        </w:rPr>
        <w:t>7.2.1.6</w:t>
      </w:r>
      <w:r>
        <w:rPr>
          <w:rFonts w:ascii="宋体" w:hAnsi="宋体" w:cs="宋体"/>
          <w:kern w:val="0"/>
          <w:szCs w:val="24"/>
          <w:lang w:bidi="ar"/>
        </w:rPr>
        <w:t>-1)</w:t>
      </w:r>
    </w:p>
    <w:p>
      <w:pPr>
        <w:pStyle w:val="51"/>
        <w:widowControl w:val="0"/>
        <w:numPr>
          <w:ilvl w:val="255"/>
          <w:numId w:val="0"/>
        </w:numPr>
        <w:spacing w:line="360" w:lineRule="auto"/>
        <w:ind w:left="284"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挡土构件嵌固段上的基坑内侧土反力应符合下列条件，当不符合时，应增加挡土构件的嵌固长度或取Psk=Epk时的分布土反力。</w:t>
      </w:r>
    </w:p>
    <w:p>
      <w:pPr>
        <w:widowControl/>
        <w:ind w:firstLine="0" w:firstLineChars="0"/>
        <w:jc w:val="center"/>
        <w:rPr>
          <w:rFonts w:ascii="宋体" w:hAnsi="宋体" w:cs="宋体"/>
          <w:kern w:val="0"/>
          <w:szCs w:val="24"/>
          <w:lang w:bidi="ar"/>
        </w:rPr>
      </w:pPr>
      <w:r>
        <w:rPr>
          <w:rFonts w:hint="eastAsia" w:ascii="宋体" w:hAnsi="宋体" w:cs="宋体"/>
          <w:kern w:val="0"/>
          <w:szCs w:val="24"/>
          <w:lang w:bidi="ar"/>
        </w:rPr>
        <w:t>P</w:t>
      </w:r>
      <w:r>
        <w:rPr>
          <w:rFonts w:ascii="宋体" w:hAnsi="宋体" w:cs="宋体"/>
          <w:kern w:val="0"/>
          <w:szCs w:val="24"/>
          <w:vertAlign w:val="subscript"/>
          <w:lang w:bidi="ar"/>
        </w:rPr>
        <w:t>sk</w:t>
      </w:r>
      <w:r>
        <w:rPr>
          <w:rFonts w:ascii="宋体" w:hAnsi="宋体" w:cs="宋体"/>
          <w:kern w:val="0"/>
          <w:szCs w:val="24"/>
          <w:lang w:bidi="ar"/>
        </w:rPr>
        <w:t>≤E</w:t>
      </w:r>
      <w:r>
        <w:rPr>
          <w:rFonts w:ascii="宋体" w:hAnsi="宋体" w:cs="宋体"/>
          <w:kern w:val="0"/>
          <w:szCs w:val="24"/>
          <w:vertAlign w:val="subscript"/>
          <w:lang w:bidi="ar"/>
        </w:rPr>
        <w:t>pk</w:t>
      </w:r>
      <w:r>
        <w:rPr>
          <w:rFonts w:ascii="宋体" w:hAnsi="宋体" w:cs="宋体"/>
          <w:kern w:val="0"/>
          <w:szCs w:val="24"/>
          <w:lang w:bidi="ar"/>
        </w:rPr>
        <w:t>     (</w:t>
      </w:r>
      <w:r>
        <w:rPr>
          <w:rFonts w:hint="eastAsia"/>
        </w:rPr>
        <w:t>7.2.1.6</w:t>
      </w:r>
      <w:r>
        <w:rPr>
          <w:rFonts w:ascii="宋体" w:hAnsi="宋体" w:cs="宋体"/>
          <w:kern w:val="0"/>
          <w:szCs w:val="24"/>
          <w:lang w:bidi="ar"/>
        </w:rPr>
        <w:t>-</w:t>
      </w:r>
      <w:r>
        <w:rPr>
          <w:rFonts w:hint="eastAsia" w:ascii="宋体" w:hAnsi="宋体" w:cs="宋体"/>
          <w:kern w:val="0"/>
          <w:szCs w:val="24"/>
          <w:lang w:bidi="ar"/>
        </w:rPr>
        <w:t>2</w:t>
      </w:r>
      <w:r>
        <w:rPr>
          <w:rFonts w:ascii="宋体" w:hAnsi="宋体" w:cs="宋体"/>
          <w:kern w:val="0"/>
          <w:szCs w:val="24"/>
          <w:lang w:bidi="ar"/>
        </w:rPr>
        <w:t>)</w:t>
      </w:r>
    </w:p>
    <w:p>
      <w:pPr>
        <w:widowControl/>
        <w:ind w:firstLine="0" w:firstLineChars="0"/>
        <w:jc w:val="center"/>
        <w:rPr>
          <w:rFonts w:ascii="宋体" w:hAnsi="宋体" w:cs="宋体"/>
          <w:kern w:val="0"/>
          <w:szCs w:val="24"/>
          <w:lang w:bidi="ar"/>
        </w:rPr>
      </w:pPr>
      <w:r>
        <w:rPr>
          <w:rFonts w:ascii="宋体" w:hAnsi="宋体" w:cs="宋体"/>
          <w:kern w:val="0"/>
          <w:szCs w:val="24"/>
          <w:lang w:bidi="ar"/>
        </w:rPr>
        <w:t>P</w:t>
      </w:r>
      <w:r>
        <w:rPr>
          <w:rFonts w:ascii="宋体" w:hAnsi="宋体" w:cs="宋体"/>
          <w:kern w:val="0"/>
          <w:szCs w:val="24"/>
          <w:vertAlign w:val="subscript"/>
          <w:lang w:bidi="ar"/>
        </w:rPr>
        <w:t>s</w:t>
      </w:r>
      <w:r>
        <w:rPr>
          <w:rFonts w:hint="eastAsia" w:ascii="宋体" w:hAnsi="宋体" w:cs="宋体"/>
          <w:kern w:val="0"/>
          <w:szCs w:val="24"/>
          <w:vertAlign w:val="subscript"/>
          <w:lang w:bidi="ar"/>
        </w:rPr>
        <w:t>0</w:t>
      </w:r>
      <w:r>
        <w:rPr>
          <w:rFonts w:hint="eastAsia" w:ascii="宋体" w:hAnsi="宋体" w:cs="宋体"/>
          <w:kern w:val="0"/>
          <w:szCs w:val="24"/>
          <w:lang w:bidi="ar"/>
        </w:rPr>
        <w:t>=</w:t>
      </w:r>
      <w:r>
        <w:rPr>
          <w:rFonts w:hint="eastAsia"/>
        </w:rPr>
        <w:t>δ</w:t>
      </w:r>
      <w:r>
        <w:rPr>
          <w:vertAlign w:val="subscript"/>
        </w:rPr>
        <w:t>ak</w:t>
      </w:r>
      <w:r>
        <w:rPr>
          <w:rFonts w:hint="eastAsia"/>
        </w:rPr>
        <w:t>K</w:t>
      </w:r>
      <w:r>
        <w:rPr>
          <w:vertAlign w:val="subscript"/>
        </w:rPr>
        <w:t>a</w:t>
      </w:r>
      <w:r>
        <w:rPr>
          <w:rFonts w:hint="eastAsia"/>
          <w:vertAlign w:val="subscript"/>
        </w:rPr>
        <w:t xml:space="preserve">  </w:t>
      </w:r>
      <w:r>
        <w:rPr>
          <w:rFonts w:ascii="宋体" w:hAnsi="宋体" w:cs="宋体"/>
          <w:kern w:val="0"/>
          <w:szCs w:val="24"/>
          <w:lang w:bidi="ar"/>
        </w:rPr>
        <w:t> </w:t>
      </w:r>
      <w:r>
        <w:rPr>
          <w:rFonts w:hint="eastAsia" w:ascii="宋体" w:hAnsi="宋体" w:cs="宋体"/>
          <w:kern w:val="0"/>
          <w:szCs w:val="24"/>
          <w:lang w:bidi="ar"/>
        </w:rPr>
        <w:t xml:space="preserve">     </w:t>
      </w:r>
      <w:r>
        <w:rPr>
          <w:rFonts w:ascii="宋体" w:hAnsi="宋体" w:cs="宋体"/>
          <w:kern w:val="0"/>
          <w:szCs w:val="24"/>
          <w:lang w:bidi="ar"/>
        </w:rPr>
        <w:t>(</w:t>
      </w:r>
      <w:r>
        <w:rPr>
          <w:rFonts w:hint="eastAsia"/>
        </w:rPr>
        <w:t>7.2.1.6</w:t>
      </w:r>
      <w:r>
        <w:rPr>
          <w:rFonts w:ascii="宋体" w:hAnsi="宋体" w:cs="宋体"/>
          <w:kern w:val="0"/>
          <w:szCs w:val="24"/>
          <w:lang w:bidi="ar"/>
        </w:rPr>
        <w:t>-</w:t>
      </w:r>
      <w:r>
        <w:rPr>
          <w:rFonts w:hint="eastAsia" w:ascii="宋体" w:hAnsi="宋体" w:cs="宋体"/>
          <w:kern w:val="0"/>
          <w:szCs w:val="24"/>
          <w:lang w:bidi="ar"/>
        </w:rPr>
        <w:t>3</w:t>
      </w:r>
      <w:r>
        <w:rPr>
          <w:rFonts w:ascii="宋体" w:hAnsi="宋体" w:cs="宋体"/>
          <w:kern w:val="0"/>
          <w:szCs w:val="24"/>
          <w:lang w:bidi="ar"/>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——分布土反力(kPa);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——土的水平反力系数(kN/m3),按本规程第7.2.1.7条的规定取值;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v——挡土构件在分布土反力计算点使土体压缩的水平位移值(m);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s0</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——初始分布土反力(kPa); </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——挡土构件嵌固段上的基坑内侧土反力标准值(kN),通过分布土反力7.2.1.6-1式计算得出；</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——挡土构件嵌固段上的被动土压力标准值(kN),通计算的被动土压力强度标准值得出。</w:t>
      </w:r>
    </w:p>
    <w:p>
      <w:pPr>
        <w:widowControl/>
        <w:ind w:firstLine="0" w:firstLineChars="0"/>
        <w:rPr>
          <w:b/>
          <w:bCs/>
        </w:rPr>
      </w:pPr>
      <w:r>
        <w:rPr>
          <w:rFonts w:hint="eastAsia"/>
          <w:b/>
          <w:bCs/>
        </w:rPr>
        <w:t>7.2.1.7</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基坑内侧土的水平反力系数可按下式计算：</w:t>
      </w:r>
    </w:p>
    <w:p>
      <w:pPr>
        <w:widowControl/>
        <w:ind w:firstLine="720" w:firstLineChars="300"/>
        <w:jc w:val="center"/>
        <w:rPr>
          <w:rFonts w:ascii="宋体" w:hAnsi="宋体" w:cs="宋体"/>
          <w:kern w:val="0"/>
          <w:szCs w:val="24"/>
          <w:lang w:bidi="ar"/>
        </w:rPr>
      </w:pPr>
      <w:r>
        <w:rPr>
          <w:rFonts w:ascii="宋体" w:hAnsi="宋体" w:cs="宋体"/>
          <w:kern w:val="0"/>
          <w:szCs w:val="24"/>
          <w:lang w:bidi="ar"/>
        </w:rPr>
        <w:t>k</w:t>
      </w:r>
      <w:r>
        <w:rPr>
          <w:rFonts w:hint="eastAsia" w:ascii="宋体" w:hAnsi="宋体" w:cs="宋体"/>
          <w:kern w:val="0"/>
          <w:szCs w:val="24"/>
          <w:vertAlign w:val="subscript"/>
          <w:lang w:bidi="ar"/>
        </w:rPr>
        <w:t>s</w:t>
      </w:r>
      <w:r>
        <w:rPr>
          <w:rFonts w:hint="eastAsia" w:ascii="宋体" w:hAnsi="宋体" w:cs="宋体"/>
          <w:kern w:val="0"/>
          <w:szCs w:val="24"/>
          <w:lang w:bidi="ar"/>
        </w:rPr>
        <w:t>=m(z-h)        (</w:t>
      </w:r>
      <w:r>
        <w:rPr>
          <w:rFonts w:hint="eastAsia"/>
        </w:rPr>
        <w:t>7.2.1.7-1</w:t>
      </w:r>
      <w:r>
        <w:rPr>
          <w:rFonts w:hint="eastAsia" w:ascii="宋体" w:hAnsi="宋体" w:cs="宋体"/>
          <w:kern w:val="0"/>
          <w:szCs w:val="24"/>
          <w:lang w:bidi="ar"/>
        </w:rPr>
        <w:t>)</w:t>
      </w:r>
    </w:p>
    <w:p>
      <w:pPr>
        <w:pStyle w:val="35"/>
        <w:rPr>
          <w:rFonts w:ascii="宋体" w:hAnsi="宋体" w:cs="宋体"/>
          <w:kern w:val="0"/>
          <w:szCs w:val="24"/>
          <w:lang w:bidi="ar"/>
        </w:rPr>
      </w:pPr>
      <w:r>
        <w:rPr>
          <w:position w:val="-30"/>
        </w:rPr>
        <w:object>
          <v:shape id="_x0000_i1114" o:spt="75" type="#_x0000_t75" style="height:37.2pt;width:88.2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3">
            <o:LockedField>false</o:LockedField>
          </o:OLEObject>
        </w:object>
      </w:r>
      <w:r>
        <w:rPr>
          <w:rFonts w:hint="eastAsia" w:ascii="宋体" w:hAnsi="宋体" w:cs="宋体"/>
          <w:kern w:val="0"/>
          <w:szCs w:val="24"/>
          <w:lang w:bidi="ar"/>
        </w:rPr>
        <w:t xml:space="preserve">   (</w:t>
      </w:r>
      <w:r>
        <w:rPr>
          <w:rFonts w:hint="eastAsia"/>
        </w:rPr>
        <w:t>7.2.1.7-2</w:t>
      </w:r>
      <w:r>
        <w:rPr>
          <w:rFonts w:hint="eastAsia" w:ascii="宋体" w:hAnsi="宋体" w:cs="宋体"/>
          <w:kern w:val="0"/>
          <w:szCs w:val="24"/>
          <w:lang w:bidi="ar"/>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式中：m—— 土的水平反力系数的比例系数 (kN/m⁴),宜按桩的水平荷载试验及地区经验取值，缺少试验和经验时，可7.2.1.7-2经验公式计算。</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z——计算点距地面的深度(m);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h——计算工况下的基坑开挖深度(m)；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 、φ—分别为土的黏聚力 (kPa) 、内摩擦角(°)；对多层土，按不同土层分别取值；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v</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——挡土构件在坑底处的水平位移量 (mm),当此处的水平位移不大于10mm时，可取v</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=10mm。</w:t>
      </w:r>
    </w:p>
    <w:p>
      <w:pPr>
        <w:widowControl/>
        <w:ind w:firstLine="0" w:firstLineChars="0"/>
        <w:rPr>
          <w:rFonts w:ascii="宋体" w:hAnsi="宋体" w:cs="宋体"/>
          <w:kern w:val="0"/>
          <w:szCs w:val="24"/>
          <w:lang w:bidi="ar"/>
        </w:rPr>
      </w:pPr>
      <w:r>
        <w:rPr>
          <w:rFonts w:hint="eastAsia"/>
          <w:b/>
          <w:bCs/>
        </w:rPr>
        <w:t>7.2.1.8</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排桩的土反力计算宽度应按下列公式计算(图7.2.1.8):</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对圆形桩</w:t>
      </w:r>
    </w:p>
    <w:p>
      <w:pPr>
        <w:widowControl/>
        <w:ind w:firstLine="480"/>
        <w:jc w:val="center"/>
        <w:rPr>
          <w:rFonts w:ascii="宋体" w:hAnsi="宋体" w:cs="宋体"/>
          <w:kern w:val="0"/>
          <w:szCs w:val="24"/>
          <w:lang w:bidi="ar"/>
        </w:rPr>
      </w:pPr>
      <w:r>
        <w:rPr>
          <w:rFonts w:ascii="宋体" w:hAnsi="宋体" w:cs="宋体"/>
          <w:kern w:val="0"/>
          <w:szCs w:val="24"/>
          <w:lang w:bidi="ar"/>
        </w:rPr>
        <w:t>b</w:t>
      </w:r>
      <w:r>
        <w:rPr>
          <w:rFonts w:ascii="宋体" w:hAnsi="宋体" w:cs="宋体"/>
          <w:kern w:val="0"/>
          <w:szCs w:val="24"/>
          <w:vertAlign w:val="subscript"/>
          <w:lang w:bidi="ar"/>
        </w:rPr>
        <w:t>0</w:t>
      </w:r>
      <w:r>
        <w:rPr>
          <w:rFonts w:ascii="宋体" w:hAnsi="宋体" w:cs="宋体"/>
          <w:kern w:val="0"/>
          <w:szCs w:val="24"/>
          <w:lang w:bidi="ar"/>
        </w:rPr>
        <w:t>=0.9(1.5d+0.5)</w:t>
      </w:r>
      <w:r>
        <w:rPr>
          <w:rFonts w:hint="eastAsia" w:ascii="宋体" w:hAnsi="宋体" w:cs="宋体"/>
          <w:kern w:val="0"/>
          <w:szCs w:val="24"/>
          <w:lang w:bidi="ar"/>
        </w:rPr>
        <w:t xml:space="preserve">       </w:t>
      </w:r>
      <w:r>
        <w:rPr>
          <w:rFonts w:ascii="宋体" w:hAnsi="宋体" w:cs="宋体"/>
          <w:kern w:val="0"/>
          <w:szCs w:val="24"/>
          <w:lang w:bidi="ar"/>
        </w:rPr>
        <w:t>(d≤1m)  </w:t>
      </w:r>
      <w:r>
        <w:rPr>
          <w:rFonts w:hint="eastAsia" w:ascii="宋体" w:hAnsi="宋体" w:cs="宋体"/>
          <w:kern w:val="0"/>
          <w:szCs w:val="24"/>
          <w:lang w:bidi="ar"/>
        </w:rPr>
        <w:t xml:space="preserve">    </w:t>
      </w:r>
      <w:r>
        <w:rPr>
          <w:rFonts w:ascii="宋体" w:hAnsi="宋体" w:cs="宋体"/>
          <w:kern w:val="0"/>
          <w:szCs w:val="24"/>
          <w:lang w:bidi="ar"/>
        </w:rPr>
        <w:t>(</w:t>
      </w:r>
      <w:r>
        <w:rPr>
          <w:rFonts w:hint="eastAsia" w:ascii="宋体" w:hAnsi="宋体" w:cs="宋体"/>
          <w:kern w:val="0"/>
          <w:szCs w:val="24"/>
          <w:lang w:bidi="ar"/>
        </w:rPr>
        <w:t>7.2.1.8</w:t>
      </w:r>
      <w:r>
        <w:rPr>
          <w:rFonts w:ascii="宋体" w:hAnsi="宋体" w:cs="宋体"/>
          <w:kern w:val="0"/>
          <w:szCs w:val="24"/>
          <w:lang w:bidi="ar"/>
        </w:rPr>
        <w:t>-1)</w:t>
      </w:r>
    </w:p>
    <w:p>
      <w:pPr>
        <w:widowControl/>
        <w:ind w:firstLine="480"/>
        <w:jc w:val="center"/>
        <w:rPr>
          <w:rFonts w:ascii="宋体" w:hAnsi="宋体" w:cs="宋体"/>
          <w:kern w:val="0"/>
          <w:szCs w:val="24"/>
          <w:lang w:bidi="ar"/>
        </w:rPr>
      </w:pPr>
      <w:r>
        <w:rPr>
          <w:rFonts w:ascii="宋体" w:hAnsi="宋体" w:cs="宋体"/>
          <w:kern w:val="0"/>
          <w:szCs w:val="24"/>
          <w:lang w:bidi="ar"/>
        </w:rPr>
        <w:t>b</w:t>
      </w:r>
      <w:r>
        <w:rPr>
          <w:rFonts w:ascii="宋体" w:hAnsi="宋体" w:cs="宋体"/>
          <w:kern w:val="0"/>
          <w:szCs w:val="24"/>
          <w:vertAlign w:val="subscript"/>
          <w:lang w:bidi="ar"/>
        </w:rPr>
        <w:t>0</w:t>
      </w:r>
      <w:r>
        <w:rPr>
          <w:rFonts w:ascii="宋体" w:hAnsi="宋体" w:cs="宋体"/>
          <w:kern w:val="0"/>
          <w:szCs w:val="24"/>
          <w:lang w:bidi="ar"/>
        </w:rPr>
        <w:t>=0.9(d+1)</w:t>
      </w:r>
      <w:r>
        <w:rPr>
          <w:rFonts w:hint="eastAsia" w:ascii="宋体" w:hAnsi="宋体" w:cs="宋体"/>
          <w:kern w:val="0"/>
          <w:szCs w:val="24"/>
          <w:lang w:bidi="ar"/>
        </w:rPr>
        <w:t xml:space="preserve">         </w:t>
      </w:r>
      <w:r>
        <w:rPr>
          <w:rFonts w:ascii="宋体" w:hAnsi="宋体" w:cs="宋体"/>
          <w:kern w:val="0"/>
          <w:szCs w:val="24"/>
          <w:lang w:bidi="ar"/>
        </w:rPr>
        <w:t>(d&gt;1m)      </w:t>
      </w:r>
      <w:r>
        <w:rPr>
          <w:rFonts w:hint="eastAsia" w:ascii="宋体" w:hAnsi="宋体" w:cs="宋体"/>
          <w:kern w:val="0"/>
          <w:szCs w:val="24"/>
          <w:lang w:bidi="ar"/>
        </w:rPr>
        <w:t>(7.2.1.8-2)</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对矩形桩或工字形桩</w:t>
      </w:r>
    </w:p>
    <w:p>
      <w:pPr>
        <w:widowControl/>
        <w:ind w:firstLine="480"/>
        <w:jc w:val="center"/>
        <w:rPr>
          <w:rFonts w:ascii="宋体" w:hAnsi="宋体" w:cs="宋体"/>
          <w:kern w:val="0"/>
          <w:szCs w:val="24"/>
          <w:lang w:bidi="ar"/>
        </w:rPr>
      </w:pPr>
      <w:r>
        <w:rPr>
          <w:rFonts w:ascii="宋体" w:hAnsi="宋体" w:cs="宋体"/>
          <w:kern w:val="0"/>
          <w:szCs w:val="24"/>
          <w:lang w:bidi="ar"/>
        </w:rPr>
        <w:t>b</w:t>
      </w:r>
      <w:r>
        <w:rPr>
          <w:rFonts w:ascii="宋体" w:hAnsi="宋体" w:cs="宋体"/>
          <w:kern w:val="0"/>
          <w:szCs w:val="24"/>
          <w:vertAlign w:val="subscript"/>
          <w:lang w:bidi="ar"/>
        </w:rPr>
        <w:t>0</w:t>
      </w:r>
      <w:r>
        <w:rPr>
          <w:rFonts w:ascii="宋体" w:hAnsi="宋体" w:cs="宋体"/>
          <w:kern w:val="0"/>
          <w:szCs w:val="24"/>
          <w:lang w:bidi="ar"/>
        </w:rPr>
        <w:t>=1.5b+0.5   (b≤1m)    </w:t>
      </w:r>
      <w:r>
        <w:rPr>
          <w:rFonts w:hint="eastAsia" w:ascii="宋体" w:hAnsi="宋体" w:cs="宋体"/>
          <w:kern w:val="0"/>
          <w:szCs w:val="24"/>
          <w:lang w:bidi="ar"/>
        </w:rPr>
        <w:t>(7.2.1.8-3)</w:t>
      </w:r>
    </w:p>
    <w:p>
      <w:pPr>
        <w:widowControl/>
        <w:ind w:firstLine="480"/>
        <w:jc w:val="center"/>
        <w:rPr>
          <w:rFonts w:ascii="宋体" w:hAnsi="宋体" w:cs="宋体"/>
          <w:kern w:val="0"/>
          <w:szCs w:val="24"/>
          <w:lang w:bidi="ar"/>
        </w:rPr>
      </w:pPr>
      <w:r>
        <w:rPr>
          <w:rFonts w:ascii="宋体" w:hAnsi="宋体" w:cs="宋体"/>
          <w:kern w:val="0"/>
          <w:szCs w:val="24"/>
          <w:lang w:bidi="ar"/>
        </w:rPr>
        <w:t>b</w:t>
      </w:r>
      <w:r>
        <w:rPr>
          <w:rFonts w:ascii="宋体" w:hAnsi="宋体" w:cs="宋体"/>
          <w:kern w:val="0"/>
          <w:szCs w:val="24"/>
          <w:vertAlign w:val="subscript"/>
          <w:lang w:bidi="ar"/>
        </w:rPr>
        <w:t>0</w:t>
      </w:r>
      <w:r>
        <w:rPr>
          <w:rFonts w:ascii="宋体" w:hAnsi="宋体" w:cs="宋体"/>
          <w:kern w:val="0"/>
          <w:szCs w:val="24"/>
          <w:lang w:bidi="ar"/>
        </w:rPr>
        <w:t>=b+1  </w:t>
      </w:r>
      <w:r>
        <w:rPr>
          <w:rFonts w:hint="eastAsia" w:ascii="宋体" w:hAnsi="宋体" w:cs="宋体"/>
          <w:kern w:val="0"/>
          <w:szCs w:val="24"/>
          <w:lang w:bidi="ar"/>
        </w:rPr>
        <w:t xml:space="preserve">      </w:t>
      </w:r>
      <w:r>
        <w:rPr>
          <w:rFonts w:ascii="宋体" w:hAnsi="宋体" w:cs="宋体"/>
          <w:kern w:val="0"/>
          <w:szCs w:val="24"/>
          <w:lang w:bidi="ar"/>
        </w:rPr>
        <w:t> (b&gt;1m)    </w:t>
      </w:r>
      <w:r>
        <w:rPr>
          <w:rFonts w:hint="eastAsia" w:ascii="宋体" w:hAnsi="宋体" w:cs="宋体"/>
          <w:kern w:val="0"/>
          <w:szCs w:val="24"/>
          <w:lang w:bidi="ar"/>
        </w:rPr>
        <w:t>(7.2.1.8-4)</w:t>
      </w:r>
    </w:p>
    <w:p>
      <w:pPr>
        <w:widowControl/>
        <w:ind w:firstLine="0" w:firstLineChars="0"/>
        <w:rPr>
          <w:rFonts w:ascii="宋体" w:hAnsi="宋体" w:cs="宋体"/>
          <w:kern w:val="0"/>
          <w:szCs w:val="24"/>
          <w:lang w:bidi="ar"/>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——单根支护桩上的土反力计算宽度(m);当按公式(7.2.1.8-1)～公式(7.2.1.8-4)计算的b0大于排桩间距时，b0取排桩间距；</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d——桩的直径(m);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b——矩形桩或工字形桩的宽度(m)。</w:t>
      </w:r>
    </w:p>
    <w:p>
      <w:pPr>
        <w:widowControl/>
        <w:ind w:firstLine="480"/>
        <w:jc w:val="center"/>
      </w:pPr>
      <w:r>
        <w:rPr>
          <w:rFonts w:ascii="宋体" w:hAnsi="宋体" w:cs="宋体"/>
          <w:kern w:val="0"/>
          <w:szCs w:val="24"/>
          <w:lang w:bidi="ar"/>
        </w:rPr>
        <w:drawing>
          <wp:inline distT="0" distB="0" distL="114300" distR="114300">
            <wp:extent cx="1892935" cy="1787525"/>
            <wp:effectExtent l="0" t="0" r="12065" b="3175"/>
            <wp:docPr id="26" name="图片 2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7" descr="IMG_256"/>
                    <pic:cNvPicPr>
                      <a:picLocks noChangeAspect="1"/>
                    </pic:cNvPicPr>
                  </pic:nvPicPr>
                  <pic:blipFill>
                    <a:blip r:embed="rId195"/>
                    <a:stretch>
                      <a:fillRect/>
                    </a:stretch>
                  </pic:blipFill>
                  <pic:spPr>
                    <a:xfrm>
                      <a:off x="0" y="0"/>
                      <a:ext cx="1892935" cy="1787525"/>
                    </a:xfrm>
                    <a:prstGeom prst="rect">
                      <a:avLst/>
                    </a:prstGeom>
                    <a:noFill/>
                    <a:ln w="9525">
                      <a:noFill/>
                    </a:ln>
                  </pic:spPr>
                </pic:pic>
              </a:graphicData>
            </a:graphic>
          </wp:inline>
        </w:drawing>
      </w:r>
      <w:r>
        <w:rPr>
          <w:rFonts w:hint="eastAsia" w:ascii="宋体" w:hAnsi="宋体" w:cs="宋体"/>
          <w:kern w:val="0"/>
          <w:szCs w:val="24"/>
          <w:lang w:bidi="ar"/>
        </w:rPr>
        <w:t xml:space="preserve">    </w:t>
      </w:r>
      <w:r>
        <w:rPr>
          <w:rFonts w:ascii="宋体" w:hAnsi="宋体" w:cs="宋体"/>
          <w:kern w:val="0"/>
          <w:szCs w:val="24"/>
          <w:lang w:bidi="ar"/>
        </w:rPr>
        <w:drawing>
          <wp:inline distT="0" distB="0" distL="114300" distR="114300">
            <wp:extent cx="1845945" cy="1665605"/>
            <wp:effectExtent l="0" t="0" r="1905" b="10795"/>
            <wp:docPr id="29" name="图片 2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8" descr="IMG_256"/>
                    <pic:cNvPicPr>
                      <a:picLocks noChangeAspect="1"/>
                    </pic:cNvPicPr>
                  </pic:nvPicPr>
                  <pic:blipFill>
                    <a:blip r:embed="rId196"/>
                    <a:stretch>
                      <a:fillRect/>
                    </a:stretch>
                  </pic:blipFill>
                  <pic:spPr>
                    <a:xfrm>
                      <a:off x="0" y="0"/>
                      <a:ext cx="1845945" cy="1665605"/>
                    </a:xfrm>
                    <a:prstGeom prst="rect">
                      <a:avLst/>
                    </a:prstGeom>
                    <a:noFill/>
                    <a:ln w="9525">
                      <a:noFill/>
                    </a:ln>
                  </pic:spPr>
                </pic:pic>
              </a:graphicData>
            </a:graphic>
          </wp:inline>
        </w:drawing>
      </w:r>
    </w:p>
    <w:p>
      <w:pPr>
        <w:widowControl/>
        <w:ind w:firstLine="480"/>
      </w:pPr>
      <w:r>
        <w:rPr>
          <w:rFonts w:hint="eastAsia"/>
        </w:rPr>
        <w:t>(a) 圆形截面排桩计算宽度         (b) 矩形或工字形截面排桩计算宽度</w:t>
      </w:r>
    </w:p>
    <w:p>
      <w:pPr>
        <w:widowControl/>
        <w:ind w:firstLine="720" w:firstLineChars="300"/>
        <w:jc w:val="center"/>
        <w:rPr>
          <w:rFonts w:ascii="宋体" w:hAnsi="宋体" w:cs="宋体"/>
          <w:kern w:val="0"/>
          <w:szCs w:val="24"/>
          <w:lang w:bidi="ar"/>
        </w:rPr>
      </w:pPr>
      <w:r>
        <w:rPr>
          <w:rFonts w:hint="eastAsia" w:ascii="宋体" w:hAnsi="宋体" w:cs="宋体"/>
          <w:kern w:val="0"/>
          <w:szCs w:val="24"/>
          <w:lang w:bidi="ar"/>
        </w:rPr>
        <w:t>图7.2.1.8 排桩计算宽度</w:t>
      </w:r>
    </w:p>
    <w:p>
      <w:pPr>
        <w:widowControl/>
        <w:ind w:firstLine="720" w:firstLineChars="300"/>
        <w:rPr>
          <w:rFonts w:ascii="宋体" w:hAnsi="宋体" w:cs="宋体"/>
          <w:kern w:val="0"/>
          <w:szCs w:val="24"/>
          <w:lang w:bidi="ar"/>
        </w:rPr>
      </w:pPr>
      <w:r>
        <w:rPr>
          <w:rFonts w:hint="eastAsia" w:ascii="宋体" w:hAnsi="宋体" w:cs="宋体"/>
          <w:kern w:val="0"/>
          <w:szCs w:val="24"/>
          <w:lang w:bidi="ar"/>
        </w:rPr>
        <w:t>1—排桩对称中心线；2—圆形桩；3-矩形桩或工字形桩</w:t>
      </w:r>
    </w:p>
    <w:p>
      <w:pPr>
        <w:ind w:firstLine="0" w:firstLineChars="0"/>
        <w:rPr>
          <w:rFonts w:ascii="宋体" w:cs="宋体"/>
          <w:color w:val="000000"/>
          <w:kern w:val="0"/>
        </w:rPr>
      </w:pPr>
      <w:r>
        <w:rPr>
          <w:rFonts w:hint="eastAsia"/>
          <w:b/>
          <w:bCs/>
        </w:rPr>
        <w:t>7.2.1.9</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w:t>
      </w:r>
      <w:r>
        <w:rPr>
          <w:rFonts w:hint="eastAsia" w:ascii="宋体" w:cs="宋体"/>
          <w:color w:val="000000"/>
          <w:kern w:val="0"/>
        </w:rPr>
        <w:t>拉</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式支挡结构的弹性支点刚度系数应按下列规定确定：</w:t>
      </w:r>
    </w:p>
    <w:p>
      <w:pPr>
        <w:pStyle w:val="51"/>
        <w:widowControl w:val="0"/>
        <w:numPr>
          <w:ilvl w:val="255"/>
          <w:numId w:val="0"/>
        </w:numPr>
        <w:spacing w:line="360" w:lineRule="auto"/>
        <w:ind w:left="284"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采用锚杆时可按下列规定确定：锚拉式支挡结构的弹性支点刚度系数宜通过本规程附录B的锚杆抗拔试验按式（7.2.1.9-1）计算：</w:t>
      </w:r>
    </w:p>
    <w:p>
      <w:pPr>
        <w:pStyle w:val="35"/>
        <w:rPr>
          <w:rFonts w:eastAsia="宋体z胭..饺." w:cs="Times New Roman"/>
          <w:color w:val="000000"/>
          <w:kern w:val="0"/>
          <w:sz w:val="23"/>
          <w:szCs w:val="23"/>
        </w:rPr>
      </w:pPr>
      <w:r>
        <w:object>
          <v:shape id="_x0000_i1115" o:spt="75" type="#_x0000_t75" style="height:31.2pt;width:76.8pt;" o:ole="t" filled="f" o:preferrelative="t" stroked="f" coordsize="21600,21600">
            <v:path/>
            <v:fill on="f" focussize="0,0"/>
            <v:stroke on="f" joinstyle="miter"/>
            <v:imagedata r:id="rId198" o:title=""/>
            <o:lock v:ext="edit" aspectratio="t"/>
            <w10:wrap type="none"/>
            <w10:anchorlock/>
          </v:shape>
          <o:OLEObject Type="Embed" ProgID="Equation.DSMT4" ShapeID="_x0000_i1115" DrawAspect="Content" ObjectID="_1468075815" r:id="rId197">
            <o:LockedField>false</o:LockedField>
          </o:OLEObject>
        </w:object>
      </w:r>
      <w:r>
        <w:rPr>
          <w:rFonts w:hint="eastAsia"/>
        </w:rPr>
        <w:t xml:space="preserve">  （7.2.1.9</w:t>
      </w:r>
      <w:r>
        <w:rPr>
          <w:rFonts w:hint="eastAsia" w:ascii="宋体z胭..饺." w:eastAsia="宋体z胭..饺." w:cs="宋体z胭..饺."/>
          <w:color w:val="000000"/>
          <w:kern w:val="0"/>
        </w:rPr>
        <w:t>-1</w:t>
      </w:r>
      <w:r>
        <w:rPr>
          <w:rFonts w:hint="eastAsia"/>
        </w:rPr>
        <w:t>）</w:t>
      </w:r>
    </w:p>
    <w:p>
      <w:pPr>
        <w:pStyle w:val="51"/>
        <w:widowControl w:val="0"/>
        <w:numPr>
          <w:ilvl w:val="255"/>
          <w:numId w:val="0"/>
        </w:numPr>
        <w:spacing w:line="360" w:lineRule="auto"/>
        <w:ind w:left="284"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1</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──锚杆循环加荷或逐级加荷试验中（Q～s）曲线上对应锚杆锁定值与轴向拉力标准值的荷载值(kN)；对锁定前进行预张拉的锚杆，应取在相当于预张拉荷载的加载量下卸载后的再加载曲线上的荷载值；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1</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──（Q～s）曲线上对应于荷载为Q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1</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的锚头位移值(m)；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──结构计算宽度(m)；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s──锚杆水平间距(m)。</w:t>
      </w:r>
    </w:p>
    <w:p>
      <w:pPr>
        <w:pStyle w:val="51"/>
        <w:widowControl w:val="0"/>
        <w:numPr>
          <w:ilvl w:val="255"/>
          <w:numId w:val="0"/>
        </w:numPr>
        <w:spacing w:line="360" w:lineRule="auto"/>
        <w:ind w:left="284" w:firstLine="560" w:firstLineChars="200"/>
        <w:rPr>
          <w:rFonts w:ascii="宋体" w:cs="宋体"/>
          <w:color w:val="000000"/>
          <w:kern w:val="0"/>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对拉伸型钢绞线锚杆或普通钢筋锚杆，在缺少试验时，弹性支点刚度系数也可按下列公式计算：</w:t>
      </w:r>
    </w:p>
    <w:p>
      <w:pPr>
        <w:pStyle w:val="35"/>
        <w:rPr>
          <w:rFonts w:ascii="宋体" w:cs="宋体"/>
          <w:color w:val="000000"/>
          <w:kern w:val="0"/>
        </w:rPr>
      </w:pPr>
      <w:r>
        <w:rPr>
          <w:position w:val="-34"/>
        </w:rPr>
        <w:object>
          <v:shape id="_x0000_i1116" o:spt="75" type="#_x0000_t75" style="height:37.2pt;width:138pt;" o:ole="t" filled="f" o:preferrelative="t" stroked="f" coordsize="21600,21600">
            <v:path/>
            <v:fill on="f" focussize="0,0"/>
            <v:stroke on="f" joinstyle="miter"/>
            <v:imagedata r:id="rId200" o:title=""/>
            <o:lock v:ext="edit" aspectratio="t"/>
            <w10:wrap type="none"/>
            <w10:anchorlock/>
          </v:shape>
          <o:OLEObject Type="Embed" ProgID="Equation.DSMT4" ShapeID="_x0000_i1116" DrawAspect="Content" ObjectID="_1468075816" r:id="rId199">
            <o:LockedField>false</o:LockedField>
          </o:OLEObject>
        </w:object>
      </w:r>
      <w:r>
        <w:rPr>
          <w:rFonts w:hint="eastAsia"/>
          <w:position w:val="-30"/>
        </w:rPr>
        <w:t xml:space="preserve">   </w:t>
      </w:r>
      <w:r>
        <w:rPr>
          <w:rFonts w:hint="eastAsia"/>
        </w:rPr>
        <w:t>（7.2.1.9</w:t>
      </w:r>
      <w:r>
        <w:rPr>
          <w:rFonts w:hint="eastAsia" w:ascii="宋体z胭..饺." w:eastAsia="宋体z胭..饺." w:cs="宋体z胭..饺."/>
          <w:color w:val="000000"/>
          <w:kern w:val="0"/>
        </w:rPr>
        <w:t>-2</w:t>
      </w:r>
      <w:r>
        <w:rPr>
          <w:rFonts w:hint="eastAsia"/>
        </w:rPr>
        <w:t>）</w:t>
      </w:r>
    </w:p>
    <w:p>
      <w:pPr>
        <w:pStyle w:val="35"/>
        <w:rPr>
          <w:rFonts w:ascii="宋体" w:cs="宋体"/>
          <w:color w:val="000000"/>
          <w:kern w:val="0"/>
        </w:rPr>
      </w:pPr>
      <w:r>
        <w:rPr>
          <w:position w:val="-22"/>
        </w:rPr>
        <w:object>
          <v:shape id="_x0000_i1117" o:spt="75" type="#_x0000_t75" style="height:30pt;width:111pt;" o:ole="t" filled="f" o:preferrelative="t" stroked="f" coordsize="21600,21600">
            <v:path/>
            <v:fill on="f" focussize="0,0"/>
            <v:stroke on="f" joinstyle="miter"/>
            <v:imagedata r:id="rId202" o:title=""/>
            <o:lock v:ext="edit" aspectratio="t"/>
            <w10:wrap type="none"/>
            <w10:anchorlock/>
          </v:shape>
          <o:OLEObject Type="Embed" ProgID="Equation.DSMT4" ShapeID="_x0000_i1117" DrawAspect="Content" ObjectID="_1468075817" r:id="rId201">
            <o:LockedField>false</o:LockedField>
          </o:OLEObject>
        </w:object>
      </w:r>
      <w:r>
        <w:rPr>
          <w:rFonts w:hint="eastAsia"/>
          <w:position w:val="-22"/>
        </w:rPr>
        <w:t xml:space="preserve">   </w:t>
      </w:r>
      <w:r>
        <w:rPr>
          <w:rFonts w:hint="eastAsia"/>
        </w:rPr>
        <w:t>（7.2.1.9</w:t>
      </w:r>
      <w:r>
        <w:rPr>
          <w:rFonts w:hint="eastAsia" w:ascii="宋体z胭..饺." w:eastAsia="宋体z胭..饺." w:cs="宋体z胭..饺."/>
          <w:color w:val="000000"/>
          <w:kern w:val="0"/>
        </w:rPr>
        <w:t>-3</w:t>
      </w:r>
      <w:r>
        <w:rPr>
          <w:rFonts w:hint="eastAsia"/>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──锚杆杆体的弹性模量(kPa)；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c</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──锚杆的复合弹性模量(kPa)；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──锚杆杆体的截面面积(m2)；</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A──锚杆固结体的截面面积(m2)；</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f</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──锚杆的自由段长度(m)；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──锚杆的锚固段长度(m)；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f</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──锚杆长度(m)；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──锚杆固结体的弹性模量(kPa)。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当锚杆腰梁或冠梁的挠度不可忽略不计时，尚应考虑其挠度对弹性支点刚度系数的影响。</w:t>
      </w:r>
    </w:p>
    <w:p>
      <w:pPr>
        <w:pStyle w:val="51"/>
        <w:widowControl w:val="0"/>
        <w:numPr>
          <w:ilvl w:val="255"/>
          <w:numId w:val="0"/>
        </w:numPr>
        <w:spacing w:line="360" w:lineRule="auto"/>
        <w:ind w:left="284" w:firstLine="482"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b/>
          <w:bCs/>
        </w:rPr>
        <w:t>7.2.1.</w:t>
      </w:r>
      <w:r>
        <w:rPr>
          <w:rFonts w:hint="eastAsia"/>
          <w:b/>
          <w:bCs/>
        </w:rPr>
        <w:t>10</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支撑式支挡结构的弹性支点刚度系数应按下列规定确定：</w:t>
      </w:r>
    </w:p>
    <w:p>
      <w:pPr>
        <w:pStyle w:val="51"/>
        <w:widowControl w:val="0"/>
        <w:numPr>
          <w:ilvl w:val="255"/>
          <w:numId w:val="0"/>
        </w:numPr>
        <w:spacing w:line="360" w:lineRule="auto"/>
        <w:ind w:left="284" w:firstLine="560" w:firstLineChars="200"/>
        <w:rPr>
          <w:rFonts w:ascii="宋体" w:cs="宋体"/>
          <w:color w:val="000000"/>
          <w:kern w:val="0"/>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采用内支撑时可按如下规定确定：支撑式支挡结构的弹性支点刚度</w:t>
      </w:r>
      <w:r>
        <w:rPr>
          <w:rFonts w:hint="eastAsia" w:cs="Times New Roman" w:eastAsiaTheme="minorEastAsia"/>
          <w:bCs/>
          <w:color w:val="000000" w:themeColor="text1"/>
          <w:kern w:val="2"/>
          <w:sz w:val="28"/>
          <w:szCs w:val="28"/>
          <w:lang w:val="zh-CN" w:eastAsia="zh-CN" w:bidi="ar-SA"/>
          <w14:textFill>
            <w14:solidFill>
              <w14:schemeClr w14:val="tx1"/>
            </w14:solidFill>
          </w14:textFill>
        </w:rPr>
        <w:t>系数宜通过对内支撑结构整体进行线弹性结构分析得出的支点力与水平位移的关系确定。对水平对撑，当支撑腰梁或冠梁的挠度可忽略不计时，计算宽度内弹性支点刚度系数（k</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）可按下式计算：</w:t>
      </w:r>
    </w:p>
    <w:p>
      <w:pPr>
        <w:pStyle w:val="35"/>
      </w:pPr>
      <w:r>
        <w:object>
          <v:shape id="_x0000_i1118" o:spt="75" type="#_x0000_t75" style="height:31.2pt;width:63pt;" o:ole="t" filled="f" o:preferrelative="t" stroked="f" coordsize="21600,21600">
            <v:path/>
            <v:fill on="f" focussize="0,0"/>
            <v:stroke on="f" joinstyle="miter"/>
            <v:imagedata r:id="rId204" o:title=""/>
            <o:lock v:ext="edit" aspectratio="t"/>
            <w10:wrap type="none"/>
            <w10:anchorlock/>
          </v:shape>
          <o:OLEObject Type="Embed" ProgID="Equation.DSMT4" ShapeID="_x0000_i1118" DrawAspect="Content" ObjectID="_1468075818" r:id="rId203">
            <o:LockedField>false</o:LockedField>
          </o:OLEObject>
        </w:object>
      </w:r>
      <w:r>
        <w:rPr>
          <w:rFonts w:hint="eastAsia"/>
        </w:rPr>
        <w:t xml:space="preserve">   （7.2.1.10）</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λ──支撑不动点调整系数：支撑两对边基坑的土性、深度、周边荷载等条件相近，且分层对称开挖时，取λ＝0.5；支撑两对边基坑的土性、深度、周边荷载等条件或开挖时间有差异时，对土压力较大或先开挖的一侧，取λ＝0.5～1.0，且差异大时取大值，反之取小值；对土压力较小或后开挖的一侧，取（1－λ）；当基坑一侧取λ＝1时，基坑另一侧应按固定支座考虑；对竖向斜撑构件，取λ＝1；</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──支撑松弛系数，对混凝土支撑和预加轴向压力的钢支撑，取α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＝1.0，对不预加支撑轴向压力的钢支撑，取α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＝0.8～1.0；</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E──支撑材料的弹性模量(kPa)；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A──支撑的截面面积(m2)；</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l0──受压支撑构件的长度(m)；</w:t>
      </w:r>
    </w:p>
    <w:p>
      <w:pPr>
        <w:pStyle w:val="51"/>
        <w:widowControl w:val="0"/>
        <w:numPr>
          <w:ilvl w:val="255"/>
          <w:numId w:val="0"/>
        </w:numPr>
        <w:spacing w:line="360" w:lineRule="auto"/>
        <w:ind w:left="284" w:firstLine="560" w:firstLineChars="200"/>
        <w:rPr>
          <w:rFonts w:ascii="宋体" w:cs="宋体"/>
          <w:color w:val="000000"/>
          <w:kern w:val="0"/>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s──支撑水平间距(m)。</w:t>
      </w:r>
    </w:p>
    <w:p>
      <w:pPr>
        <w:widowControl/>
        <w:ind w:firstLine="0"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b/>
          <w:bCs/>
        </w:rPr>
        <w:t>7.2.1.11</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悬臂式支挡结构的嵌固深度应符合下式嵌固稳定性的要求(图7.2.1.11):</w:t>
      </w:r>
    </w:p>
    <w:p>
      <w:pPr>
        <w:pStyle w:val="35"/>
        <w:rPr>
          <w:rFonts w:ascii="宋体" w:hAnsi="宋体" w:cs="宋体"/>
          <w:kern w:val="0"/>
          <w:szCs w:val="24"/>
          <w:lang w:bidi="ar"/>
        </w:rPr>
      </w:pPr>
      <w:r>
        <w:rPr>
          <w:position w:val="-30"/>
        </w:rPr>
        <w:object>
          <v:shape id="_x0000_i1119" o:spt="75" type="#_x0000_t75" style="height:37.2pt;width:60pt;" o:ole="t" filled="f" o:preferrelative="t" stroked="f" coordsize="21600,21600">
            <v:path/>
            <v:fill on="f" focussize="0,0"/>
            <v:stroke on="f" joinstyle="miter"/>
            <v:imagedata r:id="rId206" o:title=""/>
            <o:lock v:ext="edit" aspectratio="t"/>
            <w10:wrap type="none"/>
            <w10:anchorlock/>
          </v:shape>
          <o:OLEObject Type="Embed" ProgID="Equation.DSMT4" ShapeID="_x0000_i1119" DrawAspect="Content" ObjectID="_1468075819" r:id="rId205">
            <o:LockedField>false</o:LockedField>
          </o:OLEObject>
        </w:object>
      </w:r>
      <w:r>
        <w:rPr>
          <w:rFonts w:hint="eastAsia" w:ascii="宋体" w:hAnsi="宋体" w:cs="宋体"/>
          <w:kern w:val="0"/>
          <w:szCs w:val="24"/>
          <w:lang w:bidi="ar"/>
        </w:rPr>
        <w:t xml:space="preserve">     </w:t>
      </w:r>
      <w:r>
        <w:rPr>
          <w:rFonts w:ascii="宋体" w:hAnsi="宋体" w:cs="宋体"/>
          <w:kern w:val="0"/>
          <w:szCs w:val="24"/>
          <w:lang w:bidi="ar"/>
        </w:rPr>
        <w:t>(</w:t>
      </w:r>
      <w:r>
        <w:rPr>
          <w:rFonts w:hint="eastAsia"/>
          <w:b/>
          <w:bCs/>
        </w:rPr>
        <w:t>7.2.1.11</w:t>
      </w:r>
      <w:r>
        <w:rPr>
          <w:rFonts w:ascii="宋体" w:hAnsi="宋体" w:cs="宋体"/>
          <w:kern w:val="0"/>
          <w:szCs w:val="24"/>
          <w:lang w:bidi="ar"/>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——嵌固稳定安全系数；安全等级为一级、二级、三级的悬臂式支挡结构，Ke分别不应小于1.25、1.2、1.15;</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——分别为基坑外侧主动土压力、基坑内侧被动土压力标准值(kN);</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al</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pl</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——分别为基坑外侧主动土压力、基坑内侧被动土压力合力作用点至挡土构件底端的距离(m)。  </w:t>
      </w:r>
    </w:p>
    <w:p>
      <w:pPr>
        <w:widowControl/>
        <w:ind w:firstLine="480"/>
        <w:jc w:val="center"/>
        <w:rPr>
          <w:rFonts w:ascii="宋体" w:hAnsi="宋体" w:cs="宋体"/>
          <w:kern w:val="0"/>
          <w:szCs w:val="24"/>
          <w:lang w:bidi="ar"/>
        </w:rPr>
      </w:pPr>
      <w:r>
        <w:rPr>
          <w:rFonts w:ascii="宋体" w:hAnsi="宋体" w:cs="宋体"/>
          <w:kern w:val="0"/>
          <w:szCs w:val="24"/>
          <w:lang w:bidi="ar"/>
        </w:rPr>
        <w:drawing>
          <wp:inline distT="0" distB="0" distL="114300" distR="114300">
            <wp:extent cx="2802890" cy="1896745"/>
            <wp:effectExtent l="0" t="0" r="16510" b="8255"/>
            <wp:docPr id="31" name="图片 2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9" descr="IMG_256"/>
                    <pic:cNvPicPr>
                      <a:picLocks noChangeAspect="1"/>
                    </pic:cNvPicPr>
                  </pic:nvPicPr>
                  <pic:blipFill>
                    <a:blip r:embed="rId207"/>
                    <a:stretch>
                      <a:fillRect/>
                    </a:stretch>
                  </pic:blipFill>
                  <pic:spPr>
                    <a:xfrm>
                      <a:off x="0" y="0"/>
                      <a:ext cx="2802890" cy="1896745"/>
                    </a:xfrm>
                    <a:prstGeom prst="rect">
                      <a:avLst/>
                    </a:prstGeom>
                    <a:noFill/>
                    <a:ln w="9525">
                      <a:noFill/>
                    </a:ln>
                  </pic:spPr>
                </pic:pic>
              </a:graphicData>
            </a:graphic>
          </wp:inline>
        </w:drawing>
      </w:r>
    </w:p>
    <w:p>
      <w:pPr>
        <w:widowControl/>
        <w:ind w:firstLine="480"/>
        <w:jc w:val="center"/>
        <w:rPr>
          <w:rFonts w:ascii="宋体" w:hAnsi="宋体" w:cs="宋体"/>
          <w:kern w:val="0"/>
          <w:szCs w:val="24"/>
          <w:lang w:bidi="ar"/>
        </w:rPr>
      </w:pPr>
      <w:r>
        <w:rPr>
          <w:rFonts w:ascii="宋体" w:hAnsi="宋体" w:cs="宋体"/>
          <w:kern w:val="0"/>
          <w:szCs w:val="24"/>
          <w:lang w:bidi="ar"/>
        </w:rPr>
        <w:t>图</w:t>
      </w:r>
      <w:r>
        <w:rPr>
          <w:rFonts w:hint="eastAsia" w:ascii="宋体" w:hAnsi="宋体" w:cs="宋体"/>
          <w:kern w:val="0"/>
          <w:szCs w:val="24"/>
          <w:lang w:bidi="ar"/>
        </w:rPr>
        <w:t>7.2.1.11</w:t>
      </w:r>
      <w:r>
        <w:rPr>
          <w:rFonts w:ascii="宋体" w:hAnsi="宋体" w:cs="宋体"/>
          <w:kern w:val="0"/>
          <w:szCs w:val="24"/>
          <w:lang w:bidi="ar"/>
        </w:rPr>
        <w:t> 悬臂式结构嵌固稳定性验算</w:t>
      </w:r>
    </w:p>
    <w:p>
      <w:pPr>
        <w:widowControl/>
        <w:ind w:firstLine="0"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b/>
          <w:bCs/>
        </w:rPr>
        <w:t>7.2.1.12</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单层锚杆和单层支撑的支挡式结构的嵌固深度应符合下式嵌固稳定性的要求(图7.2.1.12):</w:t>
      </w:r>
    </w:p>
    <w:p>
      <w:pPr>
        <w:pStyle w:val="35"/>
        <w:rPr>
          <w:rFonts w:ascii="宋体" w:hAnsi="宋体" w:cs="宋体"/>
          <w:kern w:val="0"/>
          <w:szCs w:val="24"/>
          <w:lang w:bidi="ar"/>
        </w:rPr>
      </w:pPr>
      <w:r>
        <w:rPr>
          <w:position w:val="-32"/>
        </w:rPr>
        <w:object>
          <v:shape id="_x0000_i1120" o:spt="75" type="#_x0000_t75" style="height:37.2pt;width:61.2pt;" o:ole="t" filled="f" o:preferrelative="t" stroked="f" coordsize="21600,21600">
            <v:path/>
            <v:fill on="f" focussize="0,0"/>
            <v:stroke on="f" joinstyle="miter"/>
            <v:imagedata r:id="rId209" o:title=""/>
            <o:lock v:ext="edit" aspectratio="t"/>
            <w10:wrap type="none"/>
            <w10:anchorlock/>
          </v:shape>
          <o:OLEObject Type="Embed" ProgID="Equation.DSMT4" ShapeID="_x0000_i1120" DrawAspect="Content" ObjectID="_1468075820" r:id="rId208">
            <o:LockedField>false</o:LockedField>
          </o:OLEObject>
        </w:object>
      </w:r>
      <w:r>
        <w:rPr>
          <w:rFonts w:hint="eastAsia" w:ascii="宋体" w:hAnsi="宋体" w:cs="宋体"/>
          <w:kern w:val="0"/>
          <w:szCs w:val="24"/>
          <w:lang w:bidi="ar"/>
        </w:rPr>
        <w:t xml:space="preserve">   </w:t>
      </w:r>
      <w:r>
        <w:rPr>
          <w:rFonts w:ascii="宋体" w:hAnsi="宋体" w:cs="宋体"/>
          <w:kern w:val="0"/>
          <w:szCs w:val="24"/>
          <w:lang w:bidi="ar"/>
        </w:rPr>
        <w:t>(</w:t>
      </w:r>
      <w:r>
        <w:rPr>
          <w:rFonts w:hint="eastAsia"/>
          <w:b/>
          <w:bCs/>
        </w:rPr>
        <w:t>7.2.1.12</w:t>
      </w:r>
      <w:r>
        <w:rPr>
          <w:rFonts w:ascii="宋体" w:hAnsi="宋体" w:cs="宋体"/>
          <w:kern w:val="0"/>
          <w:szCs w:val="24"/>
          <w:lang w:bidi="ar"/>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——嵌固稳定安全系数；安全等级为一级、二级、三级的锚拉式支挡结构和支撑式支挡结构，Ke分别不应小于1.25、1.2、1.15;</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——基坑外侧主动土压力、基坑内侧被动土压力合力作用点至支点的距离(m)。</w:t>
      </w:r>
    </w:p>
    <w:p>
      <w:pPr>
        <w:widowControl/>
        <w:ind w:firstLine="480"/>
        <w:jc w:val="center"/>
        <w:rPr>
          <w:rFonts w:ascii="宋体" w:hAnsi="宋体" w:cs="宋体"/>
          <w:kern w:val="0"/>
          <w:szCs w:val="24"/>
          <w:lang w:bidi="ar"/>
        </w:rPr>
      </w:pPr>
      <w:r>
        <w:rPr>
          <w:rFonts w:ascii="宋体" w:hAnsi="宋体" w:cs="宋体"/>
          <w:kern w:val="0"/>
          <w:szCs w:val="24"/>
          <w:lang w:bidi="ar"/>
        </w:rPr>
        <w:drawing>
          <wp:inline distT="0" distB="0" distL="114300" distR="114300">
            <wp:extent cx="2391410" cy="2274570"/>
            <wp:effectExtent l="0" t="0" r="8890" b="11430"/>
            <wp:docPr id="38" name="图片 2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1" descr="IMG_258"/>
                    <pic:cNvPicPr>
                      <a:picLocks noChangeAspect="1"/>
                    </pic:cNvPicPr>
                  </pic:nvPicPr>
                  <pic:blipFill>
                    <a:blip r:embed="rId210"/>
                    <a:stretch>
                      <a:fillRect/>
                    </a:stretch>
                  </pic:blipFill>
                  <pic:spPr>
                    <a:xfrm>
                      <a:off x="0" y="0"/>
                      <a:ext cx="2391410" cy="2274570"/>
                    </a:xfrm>
                    <a:prstGeom prst="rect">
                      <a:avLst/>
                    </a:prstGeom>
                    <a:noFill/>
                    <a:ln w="9525">
                      <a:noFill/>
                    </a:ln>
                  </pic:spPr>
                </pic:pic>
              </a:graphicData>
            </a:graphic>
          </wp:inline>
        </w:drawing>
      </w:r>
    </w:p>
    <w:p>
      <w:pPr>
        <w:widowControl/>
        <w:ind w:firstLine="480"/>
        <w:rPr>
          <w:rFonts w:ascii="宋体" w:hAnsi="宋体" w:cs="宋体"/>
          <w:kern w:val="0"/>
          <w:szCs w:val="24"/>
          <w:lang w:bidi="ar"/>
        </w:rPr>
      </w:pPr>
      <w:r>
        <w:rPr>
          <w:rFonts w:ascii="宋体" w:hAnsi="宋体" w:cs="宋体"/>
          <w:kern w:val="0"/>
          <w:szCs w:val="24"/>
          <w:lang w:bidi="ar"/>
        </w:rPr>
        <w:t>图</w:t>
      </w:r>
      <w:r>
        <w:rPr>
          <w:rFonts w:hint="eastAsia" w:ascii="宋体" w:hAnsi="宋体" w:cs="宋体"/>
          <w:kern w:val="0"/>
          <w:szCs w:val="24"/>
          <w:lang w:bidi="ar"/>
        </w:rPr>
        <w:t>7.2.1.12</w:t>
      </w:r>
      <w:r>
        <w:rPr>
          <w:rFonts w:ascii="宋体" w:hAnsi="宋体" w:cs="宋体"/>
          <w:kern w:val="0"/>
          <w:szCs w:val="24"/>
          <w:lang w:bidi="ar"/>
        </w:rPr>
        <w:t>单支点锚拉式支挡结构和支撑式支挡结构的嵌固稳定性验算</w:t>
      </w:r>
    </w:p>
    <w:p>
      <w:pPr>
        <w:pStyle w:val="51"/>
        <w:widowControl w:val="0"/>
        <w:numPr>
          <w:ilvl w:val="255"/>
          <w:numId w:val="0"/>
        </w:numPr>
        <w:spacing w:line="360" w:lineRule="auto"/>
        <w:ind w:left="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b/>
          <w:bCs/>
        </w:rPr>
        <w:t>7.2.1.13</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锚拉式、悬臂式支挡结构和双排桩应按下列规定进行整体滑动稳定性验算：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整体滑动稳定性可采用圆弧滑动条分法进行验算；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采用圆弧滑动条分法时，其整体滑动稳定性应符合下列规定(图7.2.1.13):</w:t>
      </w:r>
    </w:p>
    <w:p>
      <w:pPr>
        <w:widowControl/>
        <w:ind w:firstLine="480"/>
        <w:jc w:val="center"/>
        <w:rPr>
          <w:rFonts w:ascii="宋体" w:hAnsi="宋体" w:cs="宋体"/>
          <w:kern w:val="0"/>
          <w:szCs w:val="24"/>
          <w:lang w:bidi="ar"/>
        </w:rPr>
      </w:pPr>
      <w:r>
        <w:rPr>
          <w:rFonts w:ascii="宋体" w:hAnsi="宋体" w:cs="宋体"/>
          <w:kern w:val="0"/>
          <w:szCs w:val="24"/>
          <w:lang w:bidi="ar"/>
        </w:rPr>
        <w:t>min{K</w:t>
      </w:r>
      <w:r>
        <w:rPr>
          <w:rFonts w:ascii="宋体" w:hAnsi="宋体" w:cs="宋体"/>
          <w:kern w:val="0"/>
          <w:szCs w:val="24"/>
          <w:vertAlign w:val="subscript"/>
          <w:lang w:bidi="ar"/>
        </w:rPr>
        <w:t>s,1</w:t>
      </w:r>
      <w:r>
        <w:rPr>
          <w:rFonts w:ascii="宋体" w:hAnsi="宋体" w:cs="宋体"/>
          <w:kern w:val="0"/>
          <w:szCs w:val="24"/>
          <w:lang w:bidi="ar"/>
        </w:rPr>
        <w:t>,K</w:t>
      </w:r>
      <w:r>
        <w:rPr>
          <w:rFonts w:ascii="宋体" w:hAnsi="宋体" w:cs="宋体"/>
          <w:kern w:val="0"/>
          <w:szCs w:val="24"/>
          <w:vertAlign w:val="subscript"/>
          <w:lang w:bidi="ar"/>
        </w:rPr>
        <w:t>s,2</w:t>
      </w:r>
      <w:r>
        <w:rPr>
          <w:rFonts w:ascii="宋体" w:hAnsi="宋体" w:cs="宋体"/>
          <w:kern w:val="0"/>
          <w:szCs w:val="24"/>
          <w:lang w:bidi="ar"/>
        </w:rPr>
        <w:t>, …,K</w:t>
      </w:r>
      <w:r>
        <w:rPr>
          <w:rFonts w:ascii="宋体" w:hAnsi="宋体" w:cs="宋体"/>
          <w:kern w:val="0"/>
          <w:szCs w:val="24"/>
          <w:vertAlign w:val="subscript"/>
          <w:lang w:bidi="ar"/>
        </w:rPr>
        <w:t>s,i</w:t>
      </w:r>
      <w:r>
        <w:rPr>
          <w:rFonts w:ascii="宋体" w:hAnsi="宋体" w:cs="宋体"/>
          <w:kern w:val="0"/>
          <w:szCs w:val="24"/>
          <w:lang w:bidi="ar"/>
        </w:rPr>
        <w:t>, … }≥K</w:t>
      </w:r>
      <w:r>
        <w:rPr>
          <w:rFonts w:ascii="宋体" w:hAnsi="宋体" w:cs="宋体"/>
          <w:kern w:val="0"/>
          <w:szCs w:val="24"/>
          <w:vertAlign w:val="subscript"/>
          <w:lang w:bidi="ar"/>
        </w:rPr>
        <w:t>s</w:t>
      </w:r>
      <w:r>
        <w:rPr>
          <w:rFonts w:hint="eastAsia" w:ascii="宋体" w:hAnsi="宋体" w:cs="宋体"/>
          <w:kern w:val="0"/>
          <w:szCs w:val="24"/>
          <w:lang w:bidi="ar"/>
        </w:rPr>
        <w:t xml:space="preserve">    </w:t>
      </w:r>
      <w:r>
        <w:rPr>
          <w:rFonts w:ascii="宋体" w:hAnsi="宋体" w:cs="宋体"/>
          <w:kern w:val="0"/>
          <w:szCs w:val="24"/>
          <w:lang w:bidi="ar"/>
        </w:rPr>
        <w:t>(</w:t>
      </w:r>
      <w:r>
        <w:rPr>
          <w:rFonts w:hint="eastAsia"/>
          <w:b/>
          <w:bCs/>
        </w:rPr>
        <w:t>7.2.1.13-1</w:t>
      </w:r>
      <w:r>
        <w:rPr>
          <w:rFonts w:ascii="宋体" w:hAnsi="宋体" w:cs="宋体"/>
          <w:kern w:val="0"/>
          <w:szCs w:val="24"/>
          <w:lang w:bidi="ar"/>
        </w:rPr>
        <w:t>)</w:t>
      </w:r>
    </w:p>
    <w:p>
      <w:pPr>
        <w:pStyle w:val="35"/>
        <w:rPr>
          <w:rFonts w:ascii="宋体" w:hAnsi="宋体" w:cs="宋体"/>
          <w:kern w:val="0"/>
          <w:szCs w:val="24"/>
          <w:lang w:bidi="ar"/>
        </w:rPr>
      </w:pPr>
      <w:r>
        <w:object>
          <v:shape id="_x0000_i1121" o:spt="75" type="#_x0000_t75" style="height:67.2pt;width:243pt;" o:ole="t" filled="f" o:preferrelative="t" stroked="f" coordsize="21600,21600">
            <v:path/>
            <v:fill on="f" focussize="0,0"/>
            <v:stroke on="f" joinstyle="miter"/>
            <v:imagedata r:id="rId212" o:title=""/>
            <o:lock v:ext="edit" aspectratio="t"/>
            <w10:wrap type="none"/>
            <w10:anchorlock/>
          </v:shape>
          <o:OLEObject Type="Embed" ProgID="Equation.DSMT4" ShapeID="_x0000_i1121" DrawAspect="Content" ObjectID="_1468075821" r:id="rId211">
            <o:LockedField>false</o:LockedField>
          </o:OLEObject>
        </w:object>
      </w:r>
      <w:r>
        <w:rPr>
          <w:rFonts w:hint="eastAsia" w:ascii="宋体" w:hAnsi="宋体" w:cs="宋体"/>
          <w:kern w:val="0"/>
          <w:szCs w:val="24"/>
          <w:lang w:bidi="ar"/>
        </w:rPr>
        <w:t xml:space="preserve"> </w:t>
      </w:r>
      <w:r>
        <w:rPr>
          <w:rFonts w:ascii="宋体" w:hAnsi="宋体" w:cs="宋体"/>
          <w:kern w:val="0"/>
          <w:szCs w:val="24"/>
          <w:lang w:bidi="ar"/>
        </w:rPr>
        <w:t>(</w:t>
      </w:r>
      <w:r>
        <w:rPr>
          <w:rFonts w:hint="eastAsia"/>
          <w:b/>
          <w:bCs/>
        </w:rPr>
        <w:t>7.2.1.13-2</w:t>
      </w:r>
      <w:r>
        <w:rPr>
          <w:rFonts w:ascii="宋体" w:hAnsi="宋体" w:cs="宋体"/>
          <w:kern w:val="0"/>
          <w:szCs w:val="24"/>
          <w:lang w:bidi="ar"/>
        </w:rPr>
        <w:t>)</w:t>
      </w:r>
    </w:p>
    <w:p>
      <w:pPr>
        <w:pStyle w:val="61"/>
        <w:ind w:firstLine="0" w:firstLineChars="0"/>
        <w:jc w:val="left"/>
        <w:rPr>
          <w:rFonts w:ascii="宋体" w:hAnsi="宋体" w:cs="宋体"/>
          <w:kern w:val="0"/>
          <w:szCs w:val="24"/>
          <w:lang w:bidi="ar"/>
        </w:rPr>
      </w:pP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——圆弧滑动稳定安全系数；安全等级为一级、二级、三级的支挡式结构，K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分别不应小于1.35、1.3、1.25;</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——第i个圆弧滑动体的抗滑力矩与滑动力矩的比值；抗滑力矩与滑动力矩之比的最小值宜通过搜索不同圆心及半径的所有潜在滑动圆弧确定；</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——分别为第j土条滑弧面处土的黏聚力(kPa)、内摩擦角(°)；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——第j土条的宽度(m);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——第j土条滑弧面中点处的法线与垂直面的夹角(°);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——第j土条的滑弧长度(m),取l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——第j土条上的附加分布荷载标准值(kPa);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G</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——第j土条的自重(kN),按天然重度计算；</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——第j土条滑弧面上的水压力(kPa);采用落底式截水帷幕时，对地下水位以下的砂土、碎石土、砂质粉土，在基坑外侧，可取u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,在基坑内侧，可取u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;滑弧面在地下水位以上或对地下水位以下的黏性土，取u;=0;</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——地下水重度(kN/m3);</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——基坑外侧第j土条滑弧面中点的压力水头(m);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——基坑内侧第j土条滑弧面中点的压力水头(m);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’——第k层锚杆在滑动面以外的锚固段的极限抗拔承载力标准值与锚杆杆体受拉承载力标准值(f</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)的较小值(kN);锚固段的极限抗拔承载力应按本规本章锚杆的规定计算，但锚固段应取滑动面以外的长度；对悬臂式、双排桩支挡结构，不考虑∑R</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[cos(θ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x</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，k项；</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——第k层锚杆的倾角(°);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——滑弧面在第k层锚杆处的法线与垂直面的夹角(°);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xk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——第k层锚杆的水平间距(m);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——计算系数；可按ψ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=0.5sin(θ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+α</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)tanψ取值；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ψ——第k层锚杆与滑弧交点处土的内摩擦角(°)。</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当挡土构件底端以下存在软弱下卧土层时，整体稳定性验算滑动面中应包括由圆弧与软弱土层层面组成的复合滑动面。</w:t>
      </w:r>
    </w:p>
    <w:p>
      <w:pPr>
        <w:widowControl/>
        <w:ind w:firstLine="480"/>
        <w:rPr>
          <w:rFonts w:ascii="宋体" w:hAnsi="宋体" w:cs="宋体"/>
          <w:kern w:val="0"/>
          <w:szCs w:val="24"/>
          <w:lang w:bidi="ar"/>
        </w:rPr>
      </w:pPr>
      <w:r>
        <w:rPr>
          <w:rFonts w:ascii="宋体" w:hAnsi="宋体" w:cs="宋体"/>
          <w:kern w:val="0"/>
          <w:szCs w:val="24"/>
          <w:lang w:bidi="ar"/>
        </w:rPr>
        <w:t> </w:t>
      </w:r>
      <w:r>
        <w:rPr>
          <w:rFonts w:ascii="宋体" w:hAnsi="宋体" w:cs="宋体"/>
          <w:kern w:val="0"/>
          <w:szCs w:val="24"/>
          <w:lang w:bidi="ar"/>
        </w:rPr>
        <w:drawing>
          <wp:inline distT="0" distB="0" distL="114300" distR="114300">
            <wp:extent cx="3386455" cy="1657350"/>
            <wp:effectExtent l="0" t="0" r="4445" b="0"/>
            <wp:docPr id="40" name="图片 2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4" descr="IMG_261"/>
                    <pic:cNvPicPr>
                      <a:picLocks noChangeAspect="1"/>
                    </pic:cNvPicPr>
                  </pic:nvPicPr>
                  <pic:blipFill>
                    <a:blip r:embed="rId213"/>
                    <a:stretch>
                      <a:fillRect/>
                    </a:stretch>
                  </pic:blipFill>
                  <pic:spPr>
                    <a:xfrm>
                      <a:off x="0" y="0"/>
                      <a:ext cx="3386455" cy="1657350"/>
                    </a:xfrm>
                    <a:prstGeom prst="rect">
                      <a:avLst/>
                    </a:prstGeom>
                    <a:noFill/>
                    <a:ln w="9525">
                      <a:noFill/>
                    </a:ln>
                  </pic:spPr>
                </pic:pic>
              </a:graphicData>
            </a:graphic>
          </wp:inline>
        </w:drawing>
      </w:r>
      <w:r>
        <w:rPr>
          <w:rFonts w:ascii="宋体" w:hAnsi="宋体" w:cs="宋体"/>
          <w:kern w:val="0"/>
          <w:szCs w:val="24"/>
          <w:lang w:bidi="ar"/>
        </w:rPr>
        <w:t>   </w:t>
      </w:r>
    </w:p>
    <w:p>
      <w:pPr>
        <w:widowControl/>
        <w:ind w:firstLine="480"/>
        <w:jc w:val="center"/>
        <w:rPr>
          <w:rFonts w:ascii="宋体" w:hAnsi="宋体" w:cs="宋体"/>
          <w:kern w:val="0"/>
          <w:szCs w:val="24"/>
          <w:lang w:bidi="ar"/>
        </w:rPr>
      </w:pPr>
      <w:r>
        <w:rPr>
          <w:rFonts w:ascii="宋体" w:hAnsi="宋体" w:cs="宋体"/>
          <w:kern w:val="0"/>
          <w:szCs w:val="24"/>
          <w:lang w:bidi="ar"/>
        </w:rPr>
        <w:t>图</w:t>
      </w:r>
      <w:r>
        <w:rPr>
          <w:rFonts w:hint="eastAsia"/>
          <w:b/>
          <w:bCs/>
        </w:rPr>
        <w:t>7.2.1.13</w:t>
      </w:r>
      <w:r>
        <w:rPr>
          <w:rFonts w:ascii="宋体" w:hAnsi="宋体" w:cs="宋体"/>
          <w:kern w:val="0"/>
          <w:szCs w:val="24"/>
          <w:lang w:bidi="ar"/>
        </w:rPr>
        <w:t> 圆弧滑动条分法整体稳定性验算</w:t>
      </w:r>
    </w:p>
    <w:p>
      <w:pPr>
        <w:pStyle w:val="43"/>
        <w:widowControl/>
        <w:numPr>
          <w:ilvl w:val="0"/>
          <w:numId w:val="7"/>
        </w:numPr>
        <w:ind w:firstLineChars="0"/>
        <w:jc w:val="center"/>
        <w:rPr>
          <w:rFonts w:ascii="宋体" w:hAnsi="宋体" w:cs="宋体"/>
          <w:kern w:val="0"/>
          <w:szCs w:val="24"/>
          <w:lang w:bidi="ar"/>
        </w:rPr>
      </w:pPr>
      <w:r>
        <w:rPr>
          <w:rFonts w:ascii="宋体" w:hAnsi="宋体" w:cs="宋体"/>
          <w:kern w:val="0"/>
          <w:szCs w:val="24"/>
          <w:lang w:bidi="ar"/>
        </w:rPr>
        <w:t>任意圆弧滑动面；2—锚杆</w:t>
      </w:r>
    </w:p>
    <w:p>
      <w:pPr>
        <w:widowControl/>
        <w:ind w:firstLine="0" w:firstLineChars="0"/>
        <w:rPr>
          <w:rFonts w:ascii="宋体" w:hAnsi="宋体" w:cs="宋体"/>
          <w:kern w:val="0"/>
          <w:szCs w:val="24"/>
          <w:lang w:bidi="ar"/>
        </w:rPr>
      </w:pPr>
      <w:r>
        <w:rPr>
          <w:rFonts w:hint="eastAsia"/>
          <w:b/>
          <w:bCs/>
        </w:rPr>
        <w:t>7.2.1.14</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支挡式结构的嵌固深度应符合下列坑底隆起稳定性要求：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锚拉式支挡结构和支撑式支挡结构的嵌固深度应符合下列规定(图7.2.1.14-1):</w:t>
      </w:r>
    </w:p>
    <w:p>
      <w:pPr>
        <w:pStyle w:val="35"/>
        <w:rPr>
          <w:rFonts w:ascii="宋体" w:hAnsi="宋体" w:cs="宋体"/>
          <w:kern w:val="0"/>
          <w:szCs w:val="24"/>
          <w:lang w:bidi="ar"/>
        </w:rPr>
      </w:pPr>
      <w:r>
        <w:rPr>
          <w:position w:val="-32"/>
        </w:rPr>
        <w:object>
          <v:shape id="_x0000_i1122" o:spt="75" type="#_x0000_t75" style="height:37.2pt;width:103.2pt;" o:ole="t" filled="f" o:preferrelative="t" stroked="f" coordsize="21600,21600">
            <v:path/>
            <v:fill on="f" focussize="0,0"/>
            <v:stroke on="f" joinstyle="miter"/>
            <v:imagedata r:id="rId215" o:title=""/>
            <o:lock v:ext="edit" aspectratio="t"/>
            <w10:wrap type="none"/>
            <w10:anchorlock/>
          </v:shape>
          <o:OLEObject Type="Embed" ProgID="Equation.DSMT4" ShapeID="_x0000_i1122" DrawAspect="Content" ObjectID="_1468075822" r:id="rId214">
            <o:LockedField>false</o:LockedField>
          </o:OLEObject>
        </w:object>
      </w:r>
      <w:r>
        <w:rPr>
          <w:rFonts w:hint="eastAsia" w:ascii="宋体" w:hAnsi="宋体" w:cs="宋体"/>
          <w:kern w:val="0"/>
          <w:szCs w:val="24"/>
          <w:lang w:bidi="ar"/>
        </w:rPr>
        <w:t xml:space="preserve">         </w:t>
      </w:r>
      <w:r>
        <w:rPr>
          <w:rFonts w:ascii="宋体" w:hAnsi="宋体" w:cs="宋体"/>
          <w:kern w:val="0"/>
          <w:szCs w:val="24"/>
          <w:lang w:bidi="ar"/>
        </w:rPr>
        <w:t>(</w:t>
      </w:r>
      <w:r>
        <w:rPr>
          <w:rFonts w:hint="eastAsia" w:ascii="宋体" w:hAnsi="宋体" w:cs="宋体"/>
          <w:kern w:val="0"/>
          <w:szCs w:val="24"/>
          <w:lang w:bidi="ar"/>
        </w:rPr>
        <w:t>7.2.1.14-1)</w:t>
      </w:r>
    </w:p>
    <w:p>
      <w:pPr>
        <w:pStyle w:val="35"/>
        <w:rPr>
          <w:rFonts w:ascii="宋体" w:hAnsi="宋体" w:cs="宋体"/>
          <w:kern w:val="0"/>
          <w:szCs w:val="24"/>
          <w:lang w:bidi="ar"/>
        </w:rPr>
      </w:pPr>
      <w:r>
        <w:rPr>
          <w:rFonts w:ascii="宋体" w:hAnsi="宋体" w:cs="宋体"/>
          <w:kern w:val="0"/>
          <w:szCs w:val="24"/>
          <w:lang w:bidi="ar"/>
        </w:rPr>
        <w:t> </w:t>
      </w:r>
      <w:r>
        <w:object>
          <v:shape id="_x0000_i1123" o:spt="75" type="#_x0000_t75" style="height:34.2pt;width:127.8pt;" o:ole="t" filled="f" o:preferrelative="t" stroked="f" coordsize="21600,21600">
            <v:path/>
            <v:fill on="f" focussize="0,0"/>
            <v:stroke on="f" joinstyle="miter"/>
            <v:imagedata r:id="rId217" o:title=""/>
            <o:lock v:ext="edit" aspectratio="t"/>
            <w10:wrap type="none"/>
            <w10:anchorlock/>
          </v:shape>
          <o:OLEObject Type="Embed" ProgID="Equation.DSMT4" ShapeID="_x0000_i1123" DrawAspect="Content" ObjectID="_1468075823" r:id="rId216">
            <o:LockedField>false</o:LockedField>
          </o:OLEObject>
        </w:object>
      </w:r>
      <w:r>
        <w:rPr>
          <w:rFonts w:ascii="宋体" w:hAnsi="宋体" w:cs="宋体"/>
          <w:kern w:val="0"/>
          <w:szCs w:val="24"/>
          <w:lang w:bidi="ar"/>
        </w:rPr>
        <w:t xml:space="preserve"> </w:t>
      </w:r>
      <w:r>
        <w:rPr>
          <w:rFonts w:hint="eastAsia" w:ascii="宋体" w:hAnsi="宋体" w:cs="宋体"/>
          <w:kern w:val="0"/>
          <w:szCs w:val="24"/>
          <w:lang w:bidi="ar"/>
        </w:rPr>
        <w:t xml:space="preserve">  </w:t>
      </w:r>
      <w:r>
        <w:rPr>
          <w:rFonts w:ascii="宋体" w:hAnsi="宋体" w:cs="宋体"/>
          <w:kern w:val="0"/>
          <w:szCs w:val="24"/>
          <w:lang w:bidi="ar"/>
        </w:rPr>
        <w:t>(</w:t>
      </w:r>
      <w:r>
        <w:rPr>
          <w:rFonts w:hint="eastAsia" w:ascii="宋体" w:hAnsi="宋体" w:cs="宋体"/>
          <w:kern w:val="0"/>
          <w:szCs w:val="24"/>
          <w:lang w:bidi="ar"/>
        </w:rPr>
        <w:t>7.2.1.14-2)</w:t>
      </w:r>
    </w:p>
    <w:p>
      <w:pPr>
        <w:widowControl/>
        <w:ind w:firstLine="480"/>
        <w:jc w:val="center"/>
        <w:rPr>
          <w:rFonts w:ascii="宋体" w:hAnsi="宋体" w:cs="宋体"/>
          <w:kern w:val="0"/>
          <w:szCs w:val="24"/>
          <w:lang w:bidi="ar"/>
        </w:rPr>
      </w:pPr>
      <w:r>
        <w:rPr>
          <w:rFonts w:ascii="宋体" w:hAnsi="宋体" w:cs="宋体"/>
          <w:kern w:val="0"/>
          <w:szCs w:val="24"/>
          <w:lang w:bidi="ar"/>
        </w:rPr>
        <w:t>Ne=(Nq-1)/tan</w:t>
      </w:r>
      <w:r>
        <w:rPr>
          <w:rFonts w:hint="eastAsia" w:ascii="宋体" w:hAnsi="宋体" w:cs="宋体"/>
          <w:kern w:val="0"/>
          <w:szCs w:val="24"/>
          <w:lang w:bidi="ar"/>
        </w:rPr>
        <w:t xml:space="preserve">ψ        </w:t>
      </w:r>
      <w:r>
        <w:rPr>
          <w:rFonts w:ascii="宋体" w:hAnsi="宋体" w:cs="宋体"/>
          <w:kern w:val="0"/>
          <w:szCs w:val="24"/>
          <w:lang w:bidi="ar"/>
        </w:rPr>
        <w:t>(</w:t>
      </w:r>
      <w:r>
        <w:rPr>
          <w:rFonts w:hint="eastAsia" w:ascii="宋体" w:hAnsi="宋体" w:cs="宋体"/>
          <w:kern w:val="0"/>
          <w:szCs w:val="24"/>
          <w:lang w:bidi="ar"/>
        </w:rPr>
        <w:t>7.2.1.14-3)</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 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——抗隆起安全系数；安全等级为一级、二级、三级的支护结构，K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分别不应小于1.8、1.6、1.4;</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ml</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——分别为基坑外、基坑内挡土构件底面以上土的天然重度(kN/m3);对多层土，取各层土按厚度加权的平均重度；</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——挡土构件的嵌固深度(m);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h——基坑深度(m);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——地面均布荷载(kPa);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c</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--承载力系数；</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c、ψ——分别为挡土构件底面以下土的黏聚力(kPa)、内摩擦角(°)。 </w:t>
      </w:r>
    </w:p>
    <w:p>
      <w:pPr>
        <w:widowControl/>
        <w:ind w:firstLine="0" w:firstLineChars="0"/>
        <w:jc w:val="center"/>
        <w:rPr>
          <w:rFonts w:ascii="宋体" w:hAnsi="宋体" w:cs="宋体"/>
          <w:kern w:val="0"/>
          <w:szCs w:val="24"/>
          <w:lang w:bidi="ar"/>
        </w:rPr>
      </w:pPr>
      <w:r>
        <w:rPr>
          <w:rFonts w:ascii="宋体" w:hAnsi="宋体" w:cs="宋体"/>
          <w:kern w:val="0"/>
          <w:szCs w:val="24"/>
          <w:lang w:bidi="ar"/>
        </w:rPr>
        <w:drawing>
          <wp:inline distT="0" distB="0" distL="114300" distR="114300">
            <wp:extent cx="2736850" cy="1823720"/>
            <wp:effectExtent l="0" t="0" r="6350" b="5080"/>
            <wp:docPr id="45" name="图片 2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6" descr="IMG_263"/>
                    <pic:cNvPicPr>
                      <a:picLocks noChangeAspect="1"/>
                    </pic:cNvPicPr>
                  </pic:nvPicPr>
                  <pic:blipFill>
                    <a:blip r:embed="rId218"/>
                    <a:stretch>
                      <a:fillRect/>
                    </a:stretch>
                  </pic:blipFill>
                  <pic:spPr>
                    <a:xfrm>
                      <a:off x="0" y="0"/>
                      <a:ext cx="2736850" cy="1823720"/>
                    </a:xfrm>
                    <a:prstGeom prst="rect">
                      <a:avLst/>
                    </a:prstGeom>
                    <a:noFill/>
                    <a:ln w="9525">
                      <a:noFill/>
                    </a:ln>
                  </pic:spPr>
                </pic:pic>
              </a:graphicData>
            </a:graphic>
          </wp:inline>
        </w:drawing>
      </w:r>
    </w:p>
    <w:p>
      <w:pPr>
        <w:widowControl/>
        <w:ind w:firstLine="0" w:firstLineChars="0"/>
        <w:jc w:val="center"/>
        <w:rPr>
          <w:rFonts w:ascii="宋体" w:hAnsi="宋体" w:cs="宋体"/>
          <w:kern w:val="0"/>
          <w:szCs w:val="24"/>
          <w:lang w:bidi="ar"/>
        </w:rPr>
      </w:pPr>
      <w:r>
        <w:rPr>
          <w:rFonts w:hint="eastAsia" w:ascii="宋体" w:hAnsi="宋体" w:cs="宋体"/>
          <w:kern w:val="0"/>
          <w:szCs w:val="24"/>
          <w:lang w:bidi="ar"/>
        </w:rPr>
        <w:t>图7.2.1.14-1</w:t>
      </w:r>
      <w:r>
        <w:rPr>
          <w:rFonts w:ascii="宋体" w:hAnsi="宋体" w:cs="宋体"/>
          <w:kern w:val="0"/>
          <w:szCs w:val="24"/>
          <w:lang w:bidi="ar"/>
        </w:rPr>
        <w:t> 挡土构件底端平面下土的隆起稳定性验算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当挡土构件底面以下有软弱下卧层时，坑底隆起稳定性的验算部位尚应包括软弱下卧层。软弱下卧层的隆起稳定性可按公式(7.2.1.14-1)验算，但式中的γ</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ml</w:t>
      </w:r>
      <w:r>
        <w:rPr>
          <w:rFonts w:hint="eastAsia"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m2</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应取软弱下卧层顶面以上土的重度(7.2.1.14-2),l</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d</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应以D代替。</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注：D为基坑底面至软弱下卧层顶面的土层厚度(m)。</w:t>
      </w:r>
    </w:p>
    <w:p>
      <w:pPr>
        <w:widowControl/>
        <w:ind w:firstLine="0" w:firstLineChars="0"/>
        <w:jc w:val="center"/>
        <w:rPr>
          <w:rFonts w:ascii="宋体" w:hAnsi="宋体" w:cs="宋体"/>
          <w:kern w:val="0"/>
          <w:szCs w:val="24"/>
          <w:lang w:bidi="ar"/>
        </w:rPr>
      </w:pPr>
      <w:r>
        <w:rPr>
          <w:rFonts w:ascii="宋体" w:hAnsi="宋体" w:cs="宋体"/>
          <w:kern w:val="0"/>
          <w:szCs w:val="24"/>
          <w:lang w:bidi="ar"/>
        </w:rPr>
        <w:drawing>
          <wp:inline distT="0" distB="0" distL="114300" distR="114300">
            <wp:extent cx="2904490" cy="2058035"/>
            <wp:effectExtent l="0" t="0" r="10160" b="18415"/>
            <wp:docPr id="42" name="图片 22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8" descr="IMG_265"/>
                    <pic:cNvPicPr>
                      <a:picLocks noChangeAspect="1"/>
                    </pic:cNvPicPr>
                  </pic:nvPicPr>
                  <pic:blipFill>
                    <a:blip r:embed="rId219"/>
                    <a:stretch>
                      <a:fillRect/>
                    </a:stretch>
                  </pic:blipFill>
                  <pic:spPr>
                    <a:xfrm>
                      <a:off x="0" y="0"/>
                      <a:ext cx="2904490" cy="2058035"/>
                    </a:xfrm>
                    <a:prstGeom prst="rect">
                      <a:avLst/>
                    </a:prstGeom>
                    <a:noFill/>
                    <a:ln w="9525">
                      <a:noFill/>
                    </a:ln>
                  </pic:spPr>
                </pic:pic>
              </a:graphicData>
            </a:graphic>
          </wp:inline>
        </w:drawing>
      </w:r>
    </w:p>
    <w:p>
      <w:pPr>
        <w:widowControl/>
        <w:ind w:firstLine="0" w:firstLineChars="0"/>
        <w:jc w:val="center"/>
        <w:rPr>
          <w:rFonts w:ascii="宋体" w:hAnsi="宋体" w:cs="宋体"/>
          <w:kern w:val="0"/>
          <w:szCs w:val="24"/>
          <w:lang w:bidi="ar"/>
        </w:rPr>
      </w:pPr>
      <w:r>
        <w:rPr>
          <w:rFonts w:ascii="宋体" w:hAnsi="宋体" w:cs="宋体"/>
          <w:kern w:val="0"/>
          <w:szCs w:val="24"/>
          <w:lang w:bidi="ar"/>
        </w:rPr>
        <w:t>图</w:t>
      </w:r>
      <w:r>
        <w:rPr>
          <w:rFonts w:hint="eastAsia" w:ascii="宋体" w:hAnsi="宋体" w:cs="宋体"/>
          <w:kern w:val="0"/>
          <w:szCs w:val="24"/>
          <w:lang w:bidi="ar"/>
        </w:rPr>
        <w:t>7.2.1.14-2</w:t>
      </w:r>
      <w:r>
        <w:rPr>
          <w:rFonts w:ascii="宋体" w:hAnsi="宋体" w:cs="宋体"/>
          <w:kern w:val="0"/>
          <w:szCs w:val="24"/>
          <w:lang w:bidi="ar"/>
        </w:rPr>
        <w:t> 软弱下卧层的隆起稳定性验算</w:t>
      </w:r>
    </w:p>
    <w:p>
      <w:pPr>
        <w:pStyle w:val="51"/>
        <w:widowControl w:val="0"/>
        <w:numPr>
          <w:ilvl w:val="255"/>
          <w:numId w:val="0"/>
        </w:numPr>
        <w:spacing w:line="360" w:lineRule="auto"/>
        <w:ind w:left="284" w:firstLine="560" w:firstLine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悬臂式支挡结构可不进行隆起稳定性验算。</w:t>
      </w:r>
    </w:p>
    <w:p>
      <w:pPr>
        <w:widowControl/>
        <w:ind w:left="0" w:leftChars="0" w:firstLine="0" w:firstLineChars="0"/>
        <w:rPr>
          <w:rFonts w:ascii="宋体" w:hAnsi="宋体" w:cs="宋体"/>
          <w:kern w:val="0"/>
          <w:szCs w:val="24"/>
          <w:lang w:bidi="ar"/>
        </w:rPr>
      </w:pPr>
      <w:r>
        <w:rPr>
          <w:rFonts w:hint="eastAsia"/>
          <w:b/>
          <w:bCs/>
        </w:rPr>
        <w:t>7.2.1.15</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锚拉式支挡结构和支撑式支挡结构，当坑底以下为软土时，其嵌固深度应符合下列以最下层支点为轴心的圆弧滑动稳定性要求(图7.2.1.15):</w:t>
      </w:r>
    </w:p>
    <w:p>
      <w:pPr>
        <w:pStyle w:val="61"/>
        <w:rPr>
          <w:lang w:bidi="ar"/>
        </w:rPr>
      </w:pPr>
      <w:r>
        <w:rPr>
          <w:lang w:bidi="ar"/>
        </w:rPr>
        <w:tab/>
      </w:r>
    </w:p>
    <w:p>
      <w:pPr>
        <w:pStyle w:val="35"/>
        <w:rPr>
          <w:rFonts w:ascii="宋体" w:hAnsi="宋体" w:cs="宋体"/>
          <w:kern w:val="0"/>
          <w:szCs w:val="24"/>
          <w:lang w:bidi="ar"/>
        </w:rPr>
      </w:pPr>
      <w:r>
        <w:object>
          <v:shape id="_x0000_i1124" o:spt="75" type="#_x0000_t75" style="height:43.8pt;width:202.2pt;" o:ole="t" filled="f" o:preferrelative="t" stroked="f" coordsize="21600,21600">
            <v:path/>
            <v:fill on="f" focussize="0,0"/>
            <v:stroke on="f" joinstyle="miter"/>
            <v:imagedata r:id="rId221" o:title=""/>
            <o:lock v:ext="edit" aspectratio="t"/>
            <w10:wrap type="none"/>
            <w10:anchorlock/>
          </v:shape>
          <o:OLEObject Type="Embed" ProgID="Equation.DSMT4" ShapeID="_x0000_i1124" DrawAspect="Content" ObjectID="_1468075824" r:id="rId220">
            <o:LockedField>false</o:LockedField>
          </o:OLEObject>
        </w:object>
      </w:r>
      <w:r>
        <w:rPr>
          <w:rFonts w:ascii="宋体" w:hAnsi="宋体" w:cs="宋体"/>
          <w:kern w:val="0"/>
          <w:szCs w:val="24"/>
          <w:lang w:bidi="ar"/>
        </w:rPr>
        <w:t>  </w:t>
      </w:r>
      <w:r>
        <w:rPr>
          <w:rFonts w:hint="eastAsia" w:ascii="宋体" w:hAnsi="宋体" w:cs="宋体"/>
          <w:kern w:val="0"/>
          <w:szCs w:val="24"/>
          <w:lang w:bidi="ar"/>
        </w:rPr>
        <w:t xml:space="preserve">  </w:t>
      </w:r>
      <w:r>
        <w:rPr>
          <w:rFonts w:ascii="宋体" w:hAnsi="宋体" w:cs="宋体"/>
          <w:kern w:val="0"/>
          <w:szCs w:val="24"/>
          <w:lang w:bidi="ar"/>
        </w:rPr>
        <w:t>(</w:t>
      </w:r>
      <w:r>
        <w:rPr>
          <w:rFonts w:hint="eastAsia" w:ascii="宋体" w:hAnsi="宋体" w:cs="宋体"/>
          <w:kern w:val="0"/>
          <w:szCs w:val="24"/>
          <w:lang w:bidi="ar"/>
        </w:rPr>
        <w:t>7.2.1.15</w:t>
      </w:r>
      <w:r>
        <w:rPr>
          <w:rFonts w:ascii="宋体" w:hAnsi="宋体" w:cs="宋体"/>
          <w:kern w:val="0"/>
          <w:szCs w:val="24"/>
          <w:lang w:bidi="ar"/>
        </w:rPr>
        <w:t>)</w:t>
      </w:r>
    </w:p>
    <w:p>
      <w:pPr>
        <w:widowControl/>
        <w:ind w:firstLine="0" w:firstLineChars="0"/>
        <w:jc w:val="center"/>
        <w:rPr>
          <w:rFonts w:ascii="宋体" w:hAnsi="宋体" w:cs="宋体"/>
          <w:kern w:val="0"/>
          <w:szCs w:val="24"/>
          <w:lang w:bidi="ar"/>
        </w:rPr>
      </w:pPr>
    </w:p>
    <w:p>
      <w:pPr>
        <w:widowControl/>
        <w:ind w:firstLine="0" w:firstLineChars="0"/>
        <w:jc w:val="center"/>
        <w:rPr>
          <w:rFonts w:ascii="宋体" w:hAnsi="宋体" w:cs="宋体"/>
          <w:kern w:val="0"/>
          <w:szCs w:val="24"/>
          <w:lang w:bidi="ar"/>
        </w:rPr>
      </w:pPr>
      <w:r>
        <w:rPr>
          <w:rFonts w:ascii="宋体" w:hAnsi="宋体" w:cs="宋体"/>
          <w:kern w:val="0"/>
          <w:szCs w:val="24"/>
          <w:lang w:bidi="ar"/>
        </w:rPr>
        <w:drawing>
          <wp:inline distT="0" distB="0" distL="114300" distR="114300">
            <wp:extent cx="3021330" cy="1975485"/>
            <wp:effectExtent l="0" t="0" r="7620" b="5715"/>
            <wp:docPr id="46" name="图片 22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9" descr="IMG_266"/>
                    <pic:cNvPicPr>
                      <a:picLocks noChangeAspect="1"/>
                    </pic:cNvPicPr>
                  </pic:nvPicPr>
                  <pic:blipFill>
                    <a:blip r:embed="rId222"/>
                    <a:stretch>
                      <a:fillRect/>
                    </a:stretch>
                  </pic:blipFill>
                  <pic:spPr>
                    <a:xfrm>
                      <a:off x="0" y="0"/>
                      <a:ext cx="3021330" cy="1975485"/>
                    </a:xfrm>
                    <a:prstGeom prst="rect">
                      <a:avLst/>
                    </a:prstGeom>
                    <a:noFill/>
                    <a:ln w="9525">
                      <a:noFill/>
                    </a:ln>
                  </pic:spPr>
                </pic:pic>
              </a:graphicData>
            </a:graphic>
          </wp:inline>
        </w:drawing>
      </w:r>
      <w:r>
        <w:rPr>
          <w:rFonts w:ascii="宋体" w:hAnsi="宋体" w:cs="宋体"/>
          <w:kern w:val="0"/>
          <w:szCs w:val="24"/>
          <w:lang w:bidi="ar"/>
        </w:rPr>
        <w:t>    </w:t>
      </w:r>
    </w:p>
    <w:p>
      <w:pPr>
        <w:widowControl/>
        <w:ind w:firstLine="0" w:firstLineChars="0"/>
        <w:jc w:val="center"/>
        <w:rPr>
          <w:rFonts w:ascii="宋体" w:hAnsi="宋体" w:cs="宋体"/>
          <w:kern w:val="0"/>
          <w:szCs w:val="24"/>
          <w:lang w:bidi="ar"/>
        </w:rPr>
      </w:pPr>
      <w:r>
        <w:rPr>
          <w:rFonts w:ascii="宋体" w:hAnsi="宋体" w:cs="宋体"/>
          <w:kern w:val="0"/>
          <w:szCs w:val="24"/>
          <w:lang w:bidi="ar"/>
        </w:rPr>
        <w:t>图</w:t>
      </w:r>
      <w:r>
        <w:rPr>
          <w:rFonts w:hint="eastAsia"/>
          <w:b/>
          <w:bCs/>
        </w:rPr>
        <w:t>7.2.1.15</w:t>
      </w:r>
      <w:r>
        <w:rPr>
          <w:rFonts w:ascii="宋体" w:hAnsi="宋体" w:cs="宋体"/>
          <w:kern w:val="0"/>
          <w:szCs w:val="24"/>
          <w:lang w:bidi="ar"/>
        </w:rPr>
        <w:t> 以最下层支点为轴心的圆弧滑动稳定性验算</w:t>
      </w:r>
    </w:p>
    <w:p>
      <w:pPr>
        <w:widowControl/>
        <w:ind w:firstLine="0" w:firstLineChars="0"/>
        <w:jc w:val="center"/>
        <w:rPr>
          <w:rFonts w:ascii="宋体" w:hAnsi="宋体" w:cs="宋体"/>
          <w:kern w:val="0"/>
          <w:szCs w:val="24"/>
          <w:lang w:bidi="ar"/>
        </w:rPr>
      </w:pPr>
      <w:r>
        <w:rPr>
          <w:rFonts w:ascii="宋体" w:hAnsi="宋体" w:cs="宋体"/>
          <w:kern w:val="0"/>
          <w:szCs w:val="24"/>
          <w:lang w:bidi="ar"/>
        </w:rPr>
        <w:t>1—任意圆弧滑动面；2-最下层支点 </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——以最下层支点为轴心的圆弧滑动稳定安全系数；安全等级为一级、二级、三级的支挡式结构，K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r</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分别不应小于2.2、1.9、1.7;</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——分别为第j土条在滑弧面处土的黏聚力(kPa)、内摩擦角(°)；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——第j土条的滑弧长度(m),取l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/cosθ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——第j土条顶面上的竖向压力标准值(kPa);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——第j土条的宽度(m);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——第j土条滑弧面中点处的法线与垂直面的夹角(°);</w:t>
      </w:r>
    </w:p>
    <w:p>
      <w:pPr>
        <w:pStyle w:val="51"/>
        <w:widowControl w:val="0"/>
        <w:numPr>
          <w:ilvl w:val="255"/>
          <w:numId w:val="0"/>
        </w:numPr>
        <w:spacing w:line="360" w:lineRule="auto"/>
        <w:ind w:left="284" w:firstLine="560" w:firstLineChars="200"/>
        <w:rPr>
          <w:rFonts w:ascii="宋体" w:hAnsi="宋体" w:cs="宋体"/>
          <w:kern w:val="0"/>
          <w:szCs w:val="24"/>
          <w:lang w:bidi="ar"/>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G</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cs="Times New Roman" w:eastAsiaTheme="minorEastAsia"/>
          <w:bCs/>
          <w:color w:val="000000" w:themeColor="text1"/>
          <w:kern w:val="2"/>
          <w:sz w:val="28"/>
          <w:szCs w:val="28"/>
          <w:lang w:val="zh-CN" w:eastAsia="zh-CN" w:bidi="ar-SA"/>
          <w14:textFill>
            <w14:solidFill>
              <w14:schemeClr w14:val="tx1"/>
            </w14:solidFill>
          </w14:textFill>
        </w:rPr>
        <w:t>——第j土条的自重(kN),按天然重度计算。</w:t>
      </w:r>
    </w:p>
    <w:p>
      <w:pPr>
        <w:widowControl/>
        <w:ind w:firstLine="0" w:firstLineChars="0"/>
        <w:jc w:val="both"/>
        <w:rPr>
          <w:rFonts w:ascii="宋体" w:hAnsi="宋体" w:cs="宋体"/>
          <w:kern w:val="0"/>
          <w:szCs w:val="24"/>
          <w:lang w:bidi="ar"/>
        </w:rPr>
      </w:pPr>
      <w:r>
        <w:rPr>
          <w:rFonts w:hint="eastAsia"/>
          <w:b/>
          <w:bCs/>
        </w:rPr>
        <w:t>7.2.1.16</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采用悬挂式截水帷幕或坑底以下存在水头高于坑底的承压水含水层时，应按本规程附录C的规定进行地下水渗透稳定性验算。</w:t>
      </w:r>
    </w:p>
    <w:p>
      <w:pPr>
        <w:widowControl/>
        <w:ind w:firstLine="0" w:firstLineChars="0"/>
        <w:jc w:val="both"/>
      </w:pPr>
      <w:r>
        <w:rPr>
          <w:rFonts w:hint="eastAsia"/>
          <w:b/>
          <w:bCs/>
        </w:rPr>
        <w:t>7.2.1.17</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挡土构件的嵌固深度除应满足本规程上述的规定外，对悬臂式结构，尚不宜小于0.8h;对单支点支挡式结构，尚不宜小于0.3h;对多支点支挡式结构，尚不宜小于0.2h。注：h为基坑深度。</w:t>
      </w:r>
    </w:p>
    <w:p>
      <w:pPr>
        <w:pStyle w:val="52"/>
        <w:numPr>
          <w:ilvl w:val="0"/>
          <w:numId w:val="6"/>
        </w:numPr>
      </w:pPr>
      <w:r>
        <w:rPr>
          <w:rStyle w:val="37"/>
          <w:rFonts w:hint="eastAsia"/>
        </w:rPr>
        <w:t>支挡式</w:t>
      </w:r>
      <w:r>
        <w:rPr>
          <w:rFonts w:hint="eastAsia"/>
        </w:rPr>
        <w:t>结构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排桩</w:t>
      </w:r>
    </w:p>
    <w:p>
      <w:pPr>
        <w:pStyle w:val="51"/>
      </w:pPr>
      <w:r>
        <w:rPr>
          <w:rFonts w:hint="eastAsia"/>
        </w:rPr>
        <w:t>支挡</w:t>
      </w:r>
      <w:r>
        <w:t>式</w:t>
      </w:r>
      <w:r>
        <w:rPr>
          <w:rFonts w:hint="eastAsia"/>
        </w:rPr>
        <w:t>结构</w:t>
      </w:r>
      <w:r>
        <w:t>—</w:t>
      </w:r>
      <w:r>
        <w:rPr>
          <w:rFonts w:hint="eastAsia"/>
        </w:rPr>
        <w:t>排桩设计</w:t>
      </w:r>
    </w:p>
    <w:p>
      <w:pPr>
        <w:pStyle w:val="51"/>
        <w:widowControl w:val="0"/>
        <w:numPr>
          <w:ilvl w:val="255"/>
          <w:numId w:val="0"/>
        </w:numPr>
        <w:spacing w:line="360" w:lineRule="auto"/>
        <w:ind w:left="0" w:firstLine="0" w:firstLineChars="0"/>
      </w:pPr>
      <w:r>
        <w:rPr>
          <w:rFonts w:hint="eastAsia"/>
          <w:b/>
          <w:bCs/>
        </w:rPr>
        <w:t>7.2.2.1</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排桩的桩型与成桩工艺应符合下列要求。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应根据土层性质、地下水条件及基坑周边环境要求等选择混凝土灌注桩、型钢桩、钢管桩、钢板桩、型钢水泥土搅拌桩等桩型；</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当支护桩施工影响范围内存在对地基变形敏感、结构性能差的建（构）筑物或管线时，不应采用挤土效应严重、易塌孔的桩型及施工工艺</w:t>
      </w:r>
    </w:p>
    <w:p>
      <w:pPr>
        <w:pStyle w:val="51"/>
        <w:numPr>
          <w:ilvl w:val="255"/>
          <w:numId w:val="0"/>
        </w:numPr>
      </w:pPr>
      <w:r>
        <w:rPr>
          <w:b/>
          <w:bCs/>
        </w:rPr>
        <w:t>7.2.2.2</w:t>
      </w:r>
      <w:r>
        <w:rPr>
          <w:rFonts w:hint="eastAsia"/>
          <w:b/>
          <w:bCs/>
          <w:lang w:val="en-US" w:eastAsia="zh-CN"/>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排桩混凝土支护结构的正截面和斜截面承载力计算及相关规定依照《建筑基坑支护技术规程》JGJ120 4.3.2条执行</w: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numPr>
          <w:ilvl w:val="255"/>
          <w:numId w:val="0"/>
        </w:numPr>
      </w:pPr>
      <w:r>
        <w:rPr>
          <w:b/>
          <w:bCs/>
        </w:rPr>
        <w:t xml:space="preserve">7.2.2.3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型钢、钢管、钢板支护桩的承载力应按照国家标准《钢结构设计标准》GB50017有关规定进行计算。</w:t>
      </w:r>
    </w:p>
    <w:p>
      <w:pPr>
        <w:pStyle w:val="51"/>
        <w:numPr>
          <w:ilvl w:val="255"/>
          <w:numId w:val="0"/>
        </w:numPr>
      </w:pPr>
      <w:r>
        <w:rPr>
          <w:b/>
          <w:bCs/>
        </w:rPr>
        <w:t xml:space="preserve">7.2.2.4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采用混凝土灌注桩时，对悬臂式排桩，支护桩的桩径宜大于或等于600mm；对锚拉式排桩或支撑式排桩，支护桩的桩径宜大于等于400mm；排桩的中心距不宜大于桩径的2倍。</w:t>
      </w:r>
    </w:p>
    <w:p>
      <w:pPr>
        <w:pStyle w:val="51"/>
        <w:numPr>
          <w:ilvl w:val="255"/>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b/>
          <w:bCs/>
        </w:rPr>
        <w:t>7.2.2.5</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采用混凝土灌注桩时，支护桩的桩身混凝土强度等级、钢筋配置和混凝土保护层厚度应符合下列规定：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桩身混凝土强度等级不宜低于C25；</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纵向受力钢筋宜选用HRB400、HRB500钢筋，单桩的纵向受力钢筋不宜少于8根，其净距不应小于60mm；纵向钢筋伸入冠梁的长度宜取冠梁厚度；冠梁按结构受力构件设置时，桩身纵向受力钢筋伸入冠梁的锚固</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长度应符合现行国家标准《混凝土结构设计规范》GB50010对钢筋锚固的相关规定；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箍筋可采用螺旋式箍筋；箍筋直径不应小于纵筋的1/4，且不应小于6mm；箍筋间距宜取100~200mm，且不应大于400mm及桩的直径；</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纵向受力钢筋的保护层厚度不应小于35mm；采用水下灌注混凝土工艺时，不应小于50mm。</w:t>
      </w:r>
    </w:p>
    <w:p>
      <w:pPr>
        <w:pStyle w:val="51"/>
        <w:numPr>
          <w:ilvl w:val="255"/>
          <w:numId w:val="0"/>
        </w:numPr>
      </w:pPr>
      <w:r>
        <w:rPr>
          <w:b/>
          <w:bCs/>
        </w:rPr>
        <w:t xml:space="preserve">7.2.2.6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网的喷射混凝土层面。喷射混凝土面层的厚度不宜小于50mm，混凝土强度等级不宜低于C25，混凝土面层内配置的钢筋网纵横向间距不宜大于200mm。钢筋网宜采用横向拉筋与两侧桩体连接，拉筋的直径不宜小于12mm，拉筋锚固在桩体内的长度不宜小于100mm。</w:t>
      </w:r>
    </w:p>
    <w:p>
      <w:pPr>
        <w:pStyle w:val="51"/>
        <w:numPr>
          <w:ilvl w:val="255"/>
          <w:numId w:val="0"/>
        </w:numPr>
      </w:pPr>
      <w:r>
        <w:rPr>
          <w:b/>
          <w:bCs/>
        </w:rPr>
        <w:t xml:space="preserve">7.2.2.7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采用降水的基坑，在有可能出现渗水的部位应设置泄水管，泄水管应采取防止土颗粒流失的反滤措施。</w:t>
      </w:r>
    </w:p>
    <w:p>
      <w:pPr>
        <w:pStyle w:val="51"/>
        <w:numPr>
          <w:ilvl w:val="255"/>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b/>
          <w:bCs/>
        </w:rPr>
        <w:t xml:space="preserve">7.2.2.8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排桩采用素混凝土桩与钢筋混凝土桩咬合形式时，支护桩的桩径可取800~1500mm，相邻桩咬合长度不宜小于200mm。素混凝土桩应采用塑性混凝土或强度等级不低于C15的超缓凝混凝土。</w:t>
      </w:r>
    </w:p>
    <w:p>
      <w:pPr>
        <w:pStyle w:val="51"/>
      </w:pPr>
      <w:r>
        <w:rPr>
          <w:rFonts w:hint="eastAsia"/>
        </w:rPr>
        <w:t>支挡</w:t>
      </w:r>
      <w:r>
        <w:t>式</w:t>
      </w:r>
      <w:r>
        <w:rPr>
          <w:rFonts w:hint="eastAsia"/>
        </w:rPr>
        <w:t>结构</w:t>
      </w:r>
      <w:r>
        <w:t>—</w:t>
      </w:r>
      <w:r>
        <w:rPr>
          <w:rFonts w:hint="eastAsia"/>
        </w:rPr>
        <w:t>排桩施工与检测</w:t>
      </w:r>
    </w:p>
    <w:p>
      <w:pPr>
        <w:pStyle w:val="51"/>
        <w:numPr>
          <w:ilvl w:val="255"/>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b/>
          <w:bCs/>
        </w:rPr>
        <w:t xml:space="preserve">7.2.3.1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排桩的施工应根据地质条件的适应性等因素选择成桩类型。排桩施工前应进行成桩试验，并应通过试验确定施工工艺及施工参数。</w:t>
      </w:r>
    </w:p>
    <w:p>
      <w:pPr>
        <w:pStyle w:val="51"/>
        <w:numPr>
          <w:ilvl w:val="255"/>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b/>
          <w:bCs/>
        </w:rPr>
        <w:t>7.2.3.2</w:t>
      </w:r>
      <w:r>
        <w:rPr>
          <w:rFonts w:hint="eastAsia"/>
          <w:b/>
          <w:bCs/>
          <w:lang w:val="en-US" w:eastAsia="zh-CN"/>
        </w:rPr>
        <w:t xml:space="preserve"> </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当排桩桩位邻近的既有建（构）筑物、地下管线对地基变形敏感时，应根据其位置、类型、材料特性、使用状况等相应采取下列控制地基变形的防护措施：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宜采取间隔成桩的施工顺序；对混凝土灌注桩，应在混凝土终凝后，再进行相邻桩的成孔施工；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对松散或稍密的砂土、稍密的粉土、软土等易坍塌或流动的软弱土层，对钻孔灌注桩宜采取改善泥浆性能等措施；对人工挖孔桩宜采取减小每节挖孔和护壁的长度、加固孔壁等措施；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支护桩成孔过程出现流砂、涌泥、塌孔、缩径等异常情况时，应暂停成孔并及时采取有针对性的措施进行处理，防止继续塌孔；</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当成孔过程中遇到不明障碍物时，应查明其性质，且在不会危害既有建（构）筑物、地下管线的情况下方可继续施工。</w:t>
      </w:r>
    </w:p>
    <w:p>
      <w:pPr>
        <w:pStyle w:val="51"/>
        <w:numPr>
          <w:ilvl w:val="255"/>
          <w:numId w:val="0"/>
        </w:numPr>
      </w:pPr>
      <w:r>
        <w:rPr>
          <w:b/>
          <w:bCs/>
        </w:rPr>
        <w:t xml:space="preserve">7.2.3.3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混凝土灌注桩的施工应符合下列要求：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对混凝土灌注桩，其纵向受力钢筋的接头不宜设置在内力较大处。同一连接区段内，纵向受力钢筋的连接方式和连接接头面积百分率应符合现行国家标准《混凝土结构设计规范》GB50010对梁类构件的规定；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混凝土灌注桩采用分段配置不同数量的纵向钢筋时，钢筋笼制作和安放时应采取控制非通长钢筋竖向定位的措施；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混凝土灌注桩采用沿桩截面周边非均匀配置纵向受力钢筋时，应按设计的钢筋配置方向进行安放，其偏转角度不得大于10°；</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混凝土灌注桩设有预埋件时，应根据预埋件用途和受力特点的要求，控制其安装位置及方向。</w:t>
      </w:r>
    </w:p>
    <w:p>
      <w:pPr>
        <w:pStyle w:val="51"/>
        <w:numPr>
          <w:ilvl w:val="255"/>
          <w:numId w:val="0"/>
        </w:numPr>
      </w:pPr>
      <w:r>
        <w:rPr>
          <w:b/>
          <w:bCs/>
        </w:rPr>
        <w:t xml:space="preserve">7.2.3.4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钻孔咬合桩的施工可采用液压钢套管全长护壁、机械冲抓成孔工艺，其施工应符合下列要求：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桩顶应设置导墙，导墙宽度宜取3m～4m，导墙厚度宜取0.3m～0.5m；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相邻咬合桩应按先施工素混凝土桩、后施工钢筋混凝土桩的顺序进行；钢筋混凝土桩应在素混凝土桩初凝前，通过成孔时切割部分素混凝土桩身形成与素混凝土桩的互相咬合，但应避免过早切割；</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钻机就位及吊设第一节钢套管时，应采用两个测斜仪贴附在套管外壁并用经纬仪复核套管垂直度，其垂直度允许偏差应为0.3%；液压套管应正反扭动加压下切；抓斗在套管内取土时，套管底部应始终位于抓土面下方，且抓土面与套管底的距离应大于1.0m；</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孔内虚土和沉渣应清除干净，并用抓斗夯实孔底；灌注混凝土时，套管应随混凝土浇筑逐段提拔；套管应垂直提拔，阻力过大时应转动套管同时缓慢提拔。</w:t>
      </w:r>
    </w:p>
    <w:p>
      <w:pPr>
        <w:pStyle w:val="51"/>
        <w:numPr>
          <w:ilvl w:val="255"/>
          <w:numId w:val="0"/>
        </w:numPr>
      </w:pPr>
      <w:r>
        <w:rPr>
          <w:b/>
          <w:bCs/>
        </w:rPr>
        <w:t xml:space="preserve">7.2.3.5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除有特殊要求外，排桩的施工偏差应符合下列规定：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桩位的允许偏差应为50mm；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桩垂直度的允许偏差应为0.5%；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预埋件位置的允许偏差应为20mm；</w:t>
      </w:r>
    </w:p>
    <w:p>
      <w:pPr>
        <w:pStyle w:val="51"/>
        <w:numPr>
          <w:ilvl w:val="255"/>
          <w:numId w:val="0"/>
        </w:numPr>
      </w:pPr>
      <w:r>
        <w:rPr>
          <w:b/>
          <w:bCs/>
        </w:rPr>
        <w:t xml:space="preserve">7.2.3.6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冠梁施工时，应将桩顶浮浆、低强度混凝土及破碎部分清除。冠梁混凝土浇筑采用土模时，土面应修理整平</w:t>
      </w:r>
      <w:r>
        <w:rPr>
          <w:rFonts w:hint="eastAsia"/>
        </w:rPr>
        <w:t>。</w:t>
      </w:r>
    </w:p>
    <w:p>
      <w:pPr>
        <w:pStyle w:val="51"/>
        <w:numPr>
          <w:ilvl w:val="255"/>
          <w:numId w:val="0"/>
        </w:numPr>
      </w:pPr>
      <w:r>
        <w:rPr>
          <w:b/>
          <w:bCs/>
        </w:rPr>
        <w:t xml:space="preserve">7.2.3.7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采用混凝土灌注桩时，其质量检测应符合下列规定：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应采用低应变动测法检测桩身完整性，检测桩数不宜少于总桩数的20%，且不得少于5根；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当根据低应变动测法判定的桩身完整性为Ⅲ类或Ⅳ类时，应采用钻芯法进行验证，并应扩大低应变动测法检测的数量。</w:t>
      </w:r>
    </w:p>
    <w:p>
      <w:pPr>
        <w:ind w:firstLine="480"/>
      </w:pPr>
    </w:p>
    <w:p>
      <w:pPr>
        <w:pStyle w:val="20"/>
      </w:pPr>
    </w:p>
    <w:p>
      <w:pPr>
        <w:pStyle w:val="52"/>
        <w:numPr>
          <w:ilvl w:val="0"/>
          <w:numId w:val="6"/>
        </w:numPr>
        <w:rPr>
          <w:color w:val="000000" w:themeColor="text1"/>
          <w14:textFill>
            <w14:solidFill>
              <w14:schemeClr w14:val="tx1"/>
            </w14:solidFill>
          </w14:textFill>
        </w:rPr>
      </w:pPr>
      <w:r>
        <w:rPr>
          <w:rStyle w:val="37"/>
          <w:rFonts w:hint="eastAsia"/>
        </w:rPr>
        <w:t>支挡式</w:t>
      </w:r>
      <w:r>
        <w:rPr>
          <w:rFonts w:hint="eastAsia"/>
        </w:rPr>
        <w:t>结构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地下连续墙</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支挡式结构—地下连续墙设计</w:t>
      </w:r>
    </w:p>
    <w:p>
      <w:pPr>
        <w:pStyle w:val="51"/>
        <w:numPr>
          <w:ilvl w:val="255"/>
          <w:numId w:val="0"/>
        </w:numPr>
      </w:pPr>
      <w:r>
        <w:rPr>
          <w:b/>
          <w:bCs/>
        </w:rPr>
        <w:t>7.2.4.1</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地下连续墙的设计应符合下列规定：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地下连续墙可根据受力条件分段按平面问题计算，计算单元宽度可取单位宽度或一个槽段；</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地下连续墙正截面受弯及斜截面受剪承载力计算应按现行国家标准《混凝土结构设计规范》GB50010的相关规定执行。</w:t>
      </w:r>
    </w:p>
    <w:p>
      <w:pPr>
        <w:pStyle w:val="51"/>
        <w:numPr>
          <w:ilvl w:val="255"/>
          <w:numId w:val="0"/>
        </w:numPr>
      </w:pPr>
      <w:r>
        <w:rPr>
          <w:b/>
          <w:bCs/>
        </w:rPr>
        <w:t xml:space="preserve">7.2.4.2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地下连续墙的构造应符合下列规定：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地下连续墙墙体和槽段施工接头应满足防渗设计要求，混凝土抗渗等级不宜小于P6级。墙体混凝土设计强度等级不应低于C30，水下浇筑时混凝土强度等级应按相关规范要求提高；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地下连续墙纵向钢筋宜沿墙身均匀配置，并可根据内力分布沿墙体深度分段配置，但应有一半以上纵向钢筋通长配置。纵向钢筋宜采用HRB400或HRB500钢筋，直径不宜小于16mm，钢筋净距不宜小于75mm。水平钢筋可采用HRB400钢筋，直径不宜小于12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地下连续墙钢筋笼封头钢筋形状应与施工接头相匹配，封头钢筋与水平钢筋宜采用焊接。钢筋笼两侧的端部与接头管（箱）或相邻墙段混凝土接头之间应留有不大于150mm的间隙，钢筋笼下端500mm长度范围内宜按1：10收成闭合状，且与槽底之间宜留不小于500mm的间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地下连续墙厚度应根据成槽机的规格、墙体的抗渗要求、墙体的受力和变形计算等综合确定。现浇地下连续墙的墙厚宜为600mm、800mm、1000mm和1200mm。地下连续墙主筋保护层厚度在内侧不宜小于50mm，外侧不宜小于70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地下连续墙顶部应设置钢筋混凝土圈梁将各段墙体连成整体，圈梁宜与地下连续墙外侧平齐；</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地下连续墙单元槽段的平面形状，应根据墙段的结构受力特性、槽壁稳定性、环境条件和施工条件等因素综合确定。单元槽段的平面形状可采用“一”字形、L形、T形等，单元槽段也可组合成格形或圆筒形等形式；</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单元槽段长度应根据施工现场地质条件、成槽设备、槽壁稳定性等因素确定，长度宜为4m～6m；当临近建（构）筑物或重要管线时，宜采用4m的短槽段。</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支挡式结构—地下连续墙施工与检测</w:t>
      </w:r>
    </w:p>
    <w:p>
      <w:pPr>
        <w:pStyle w:val="51"/>
        <w:numPr>
          <w:ilvl w:val="255"/>
          <w:numId w:val="0"/>
        </w:numPr>
      </w:pPr>
      <w:r>
        <w:rPr>
          <w:b/>
          <w:bCs/>
        </w:rPr>
        <w:t xml:space="preserve">7.2.5.1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地下连续墙的施工应根据地质条件的适应性等因素选择成槽设备。成槽施工前应进行成槽试验，并应通过试验确定施工工艺及施工参数。</w:t>
      </w:r>
    </w:p>
    <w:p>
      <w:pPr>
        <w:pStyle w:val="51"/>
        <w:numPr>
          <w:ilvl w:val="255"/>
          <w:numId w:val="0"/>
        </w:numPr>
        <w:rPr>
          <w:szCs w:val="26"/>
        </w:rPr>
      </w:pPr>
      <w:r>
        <w:rPr>
          <w:b/>
          <w:bCs/>
        </w:rPr>
        <w:t xml:space="preserve">7.2.5.2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地下连续墙成槽施工，应满足下列要求：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地下连续墙施工应设置钢筋混凝土导墙，导墙施工应符合下列规定：</w:t>
      </w:r>
    </w:p>
    <w:p>
      <w:pPr>
        <w:widowControl w:val="0"/>
        <w:numPr>
          <w:ilvl w:val="2"/>
          <w:numId w:val="0"/>
        </w:numPr>
        <w:spacing w:line="360" w:lineRule="auto"/>
        <w:ind w:left="84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导墙应采用现浇钢筋混凝土结构，导墙底部应置于原状土层，高度不应小于1.2m，导墙底标高宜低于地下连续墙设计顶标高，且不宜小于200mm；混凝土强度等级不宜低于C20，导墙的强度及稳定性应满足成槽设备及顶拔接头管（箱）施工的要求，导墙的强度和稳定性应满足成槽设备和顶拔接头管施工的要求导墙外侧应采用黏性土填实；</w:t>
      </w:r>
    </w:p>
    <w:p>
      <w:pPr>
        <w:widowControl w:val="0"/>
        <w:numPr>
          <w:ilvl w:val="2"/>
          <w:numId w:val="0"/>
        </w:numPr>
        <w:spacing w:line="360" w:lineRule="auto"/>
        <w:ind w:left="84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2）导墙内侧墙面应垂直，两侧导墙之间的净距应比地下连续墙设计厚度大40mm；导墙面与纵轴线间距离的允许偏差为±10mm。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成槽前，应根据当地材料和地质条件进行护壁泥浆材料的试配及室内性能试验，泥浆配合比应按试验确定。新拌制的泥浆应经充分水化，贮放时间不应小于24h；成槽时，泥浆的供应及处理系统应满足泥浆使用量的要求；</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槽段开挖过程中应经常检测泥浆指标，槽内泥浆应高于地下水位500mm以上，且不应低于导墙顶面300mm；槽段开挖结束后、钢筋笼入槽前，应对槽底泥浆和沉淀物进行置换。</w:t>
      </w:r>
    </w:p>
    <w:p>
      <w:pPr>
        <w:pStyle w:val="51"/>
        <w:numPr>
          <w:ilvl w:val="255"/>
          <w:numId w:val="0"/>
        </w:numPr>
        <w:rPr>
          <w:szCs w:val="26"/>
        </w:rPr>
      </w:pPr>
      <w:r>
        <w:rPr>
          <w:b/>
          <w:bCs/>
        </w:rPr>
        <w:t xml:space="preserve">7.2.5.3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槽段开挖应符合下列要求：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单元槽段宜采用间隔一个或多个槽段的跳幅施工顺序。每个单元槽段，挖槽分段不宜超过3个。成槽时，护壁泥浆液面应高于导墙底面500mm。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槽段接头应满足混凝土浇筑压力对其强度和刚度的要求。安放槽段接头时，应紧贴槽段垂直缓慢沉放至槽底。遇到阻碍时，槽段接头应在清除障碍后入槽。混凝土浇灌过程中应采取防止混凝土产生绕流的措施。</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地下连续墙有防渗要求时，应在吊放钢筋笼前，对槽段接头和相邻墙段混凝土面用刷槽器等方法进行清刷，清刷后的槽段接头和混凝土面不得夹泥。</w:t>
      </w:r>
    </w:p>
    <w:p>
      <w:pPr>
        <w:pStyle w:val="51"/>
        <w:numPr>
          <w:ilvl w:val="255"/>
          <w:numId w:val="0"/>
        </w:numPr>
        <w:rPr>
          <w:szCs w:val="26"/>
        </w:rPr>
      </w:pPr>
      <w:r>
        <w:rPr>
          <w:b/>
          <w:bCs/>
        </w:rPr>
        <w:t xml:space="preserve">7.2.5.4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钢筋笼制作与吊装应符合下列要求：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钢筋笼制作时，纵向受力钢筋的接头不宜设置在受力较大处。同一连接区段内，纵向受力钢筋的连接方式和连接接头面积百分率应符合现行国家标准《混凝土结构设计规范》GB50010对板类构件的规定。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钢筋笼应设置定位垫块，垫块在垂直方向上的间距宜取3m～5m，在水平方向上宜每层设置2块～3块。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单元槽段的钢筋笼宜整体装配和沉放。需要分段装配时，宜采用焊接或机械连接，钢筋接头的位置宜选在受力较小处，并应符合现行国家标准《混凝土结构设计规范》GB50010对钢筋连接的有关规定。</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钢筋笼应根据吊装的要求，设置纵横向起吊桁架；桁架主筋宜采用HRB400级钢筋，钢筋直径不宜小于20mm，且应满足吊装和沉放过程中钢筋笼的整体性及钢筋笼骨架不产生塑性变形的要求。钢筋连接点出现位移、松动或开焊时，钢筋笼不得入槽，应重新制作或修整完好。</w:t>
      </w:r>
    </w:p>
    <w:p>
      <w:pPr>
        <w:pStyle w:val="51"/>
        <w:numPr>
          <w:ilvl w:val="255"/>
          <w:numId w:val="0"/>
        </w:numPr>
      </w:pPr>
      <w:r>
        <w:rPr>
          <w:b/>
          <w:bCs/>
        </w:rPr>
        <w:t xml:space="preserve">7.2.5.5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地下连续墙应采用导管法浇筑混凝土。导管拼接时，其接缝应密闭。混凝土浇筑时，导管内应预先设置隔水栓。</w:t>
      </w:r>
    </w:p>
    <w:p>
      <w:pPr>
        <w:pStyle w:val="51"/>
        <w:numPr>
          <w:ilvl w:val="255"/>
          <w:numId w:val="0"/>
        </w:numPr>
      </w:pPr>
      <w:r>
        <w:rPr>
          <w:b/>
          <w:bCs/>
        </w:rPr>
        <w:t xml:space="preserve">7.2.5.6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槽段长度不大于6m时，混凝土宜采用两根导管同时浇筑；槽段长度大于6m时，混凝土宜采用三根导管同时浇筑。每根导管分担的浇筑面积应基本均等。钢筋笼就位后应及时浇筑混凝土。混凝土浇筑过程中，导管埋入混凝土面的深度宜在2.0m～4.0m之间，浇筑液面的上升速度不宜小于3m/h。混凝土浇筑面宜高于地下连续墙设计顶面500mm。</w:t>
      </w:r>
    </w:p>
    <w:p>
      <w:pPr>
        <w:pStyle w:val="51"/>
        <w:numPr>
          <w:ilvl w:val="255"/>
          <w:numId w:val="0"/>
        </w:numPr>
      </w:pPr>
      <w:r>
        <w:rPr>
          <w:b/>
          <w:bCs/>
        </w:rPr>
        <w:t xml:space="preserve">7.2.5.7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地下连续墙的质量检测应符合下列规定：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应进行槽壁垂直度检测，检测数量不得小于同条件下总槽段数的20%，且不应少于10幅；当地下连续墙作为主体地下结构构件时，应对每个槽段进行槽壁垂直度检测；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应进行槽底沉渣厚度检测；当地下连续墙作为主体地下结构构件时，应对每个槽段进行槽底沉渣厚度检测；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应采用声波透射法对墙体混凝土质量进行检测，检测墙段数量不宜少于同条件下总墙段数的20%，且不得少于3幅，每个检测墙段的预埋超声波管数不应少于4个，且宜布置在墙身截面的四边中点处：</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当根据声波透射法判定的墙身质量不合格时，应采用钻芯法进行验证。</w:t>
      </w:r>
    </w:p>
    <w:p>
      <w:pPr>
        <w:ind w:firstLine="480"/>
      </w:pPr>
    </w:p>
    <w:p>
      <w:pPr>
        <w:pStyle w:val="52"/>
        <w:numPr>
          <w:ilvl w:val="0"/>
          <w:numId w:val="6"/>
        </w:numPr>
        <w:ind w:firstLine="480"/>
      </w:pPr>
      <w:r>
        <w:rPr>
          <w:rStyle w:val="37"/>
          <w:rFonts w:hint="eastAsia"/>
        </w:rPr>
        <w:t>支挡式</w:t>
      </w:r>
      <w:r>
        <w:rPr>
          <w:rFonts w:hint="eastAsia"/>
        </w:rPr>
        <w:t>结构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锚杆</w:t>
      </w:r>
    </w:p>
    <w:p>
      <w:pPr>
        <w:pStyle w:val="51"/>
      </w:pPr>
      <w: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支挡式结构—锚杆设计（中铁咨询）</w:t>
      </w:r>
    </w:p>
    <w:p>
      <w:pPr>
        <w:pStyle w:val="51"/>
        <w:numPr>
          <w:ilvl w:val="255"/>
          <w:numId w:val="0"/>
        </w:numPr>
      </w:pPr>
      <w:r>
        <w:rPr>
          <w:b/>
          <w:bCs/>
        </w:rPr>
        <w:t>7.2.</w:t>
      </w:r>
      <w:r>
        <w:rPr>
          <w:rFonts w:hint="eastAsia"/>
          <w:b/>
          <w:bCs/>
        </w:rPr>
        <w:t>6</w:t>
      </w:r>
      <w:r>
        <w:rPr>
          <w:b/>
          <w:bCs/>
        </w:rPr>
        <w:t xml:space="preserve">.1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锚杆的应用应符合下列规定：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锚拉结构宜采用钢绞线锚杆；当设计的锚杆抗拔承载力较低时，也可采用普通钢筋锚杆；当环境保护不允许在支护结构使用功能完成后锚杆杆体滞留于基坑周边地层内时，应采用可拆芯钢绞线锚杆；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在易塌孔的松散或稍密的砂土、碎石土、粉土层，高液性指数的饱和粘性土层，高水压力的各类土层中，钢绞线锚杆、普通钢筋锚杆宜采用套管护壁成孔工艺；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锚杆注浆宜采用二次压力注浆工艺；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锚杆锚固段不宜设置在淤泥、淤泥质土、泥炭、泥炭质土及松散填土层内；</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在复杂地质条件下，应通过现场试验确定锚杆的适用性。</w:t>
      </w:r>
    </w:p>
    <w:p>
      <w:pPr>
        <w:pStyle w:val="51"/>
        <w:numPr>
          <w:ilvl w:val="255"/>
          <w:numId w:val="0"/>
        </w:numPr>
      </w:pPr>
      <w:r>
        <w:rPr>
          <w:rFonts w:hint="eastAsia"/>
        </w:rPr>
        <w:t xml:space="preserve">7.2.6.2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锚杆的极限抗拔承载力应符合下式要求：</w:t>
      </w:r>
    </w:p>
    <w:p>
      <w:pPr>
        <w:pStyle w:val="35"/>
      </w:pPr>
      <w:r>
        <w:rPr>
          <w:position w:val="-28"/>
        </w:rPr>
        <w:object>
          <v:shape id="_x0000_i1125" o:spt="75" type="#_x0000_t75" style="height:31.2pt;width:42pt;" o:ole="t" filled="f" o:preferrelative="t" stroked="f" coordsize="21600,21600">
            <v:path/>
            <v:fill on="f" focussize="0,0"/>
            <v:stroke on="f" joinstyle="miter"/>
            <v:imagedata r:id="rId224" o:title=""/>
            <o:lock v:ext="edit" aspectratio="t"/>
            <w10:wrap type="none"/>
            <w10:anchorlock/>
          </v:shape>
          <o:OLEObject Type="Embed" ProgID="Equation.DSMT4" ShapeID="_x0000_i1125" DrawAspect="Content" ObjectID="_1468075825" r:id="rId223">
            <o:LockedField>false</o:LockedField>
          </o:OLEObject>
        </w:object>
      </w:r>
      <w:r>
        <w:rPr>
          <w:rFonts w:hint="eastAsia"/>
        </w:rPr>
        <w:t>（7.2.6.2-1）</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26" o:spt="75" type="#_x0000_t75" style="height:16.2pt;width:12pt;" o:ole="t" filled="f" o:preferrelative="t" stroked="f" coordsize="21600,21600">
            <v:path/>
            <v:fill on="f" focussize="0,0"/>
            <v:stroke on="f" joinstyle="miter"/>
            <v:imagedata r:id="rId226" o:title=""/>
            <o:lock v:ext="edit" aspectratio="t"/>
            <w10:wrap type="none"/>
            <w10:anchorlock/>
          </v:shape>
          <o:OLEObject Type="Embed" ProgID="Equation.DSMT4" ShapeID="_x0000_i1126" DrawAspect="Content" ObjectID="_1468075826" r:id="rId22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──锚杆抗拔安全系数；安全等级为一级、二级、三级的支护结构，K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分别不应小于1.8、1.6、1.4；</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27" o:spt="75" type="#_x0000_t75" style="height:16.2pt;width:19.2pt;" o:ole="t" filled="f" o:preferrelative="t" stroked="f" coordsize="21600,21600">
            <v:path/>
            <v:fill on="f" focussize="0,0"/>
            <v:stroke on="f" joinstyle="miter"/>
            <v:imagedata r:id="rId228" o:title=""/>
            <o:lock v:ext="edit" aspectratio="t"/>
            <w10:wrap type="none"/>
            <w10:anchorlock/>
          </v:shape>
          <o:OLEObject Type="Embed" ProgID="Equation.DSMT4" ShapeID="_x0000_i1127" DrawAspect="Content" ObjectID="_1468075827" r:id="rId22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──锚杆轴向拉力标准值(kN)，按本规程第7.2.6.3条的规定计算；</w:t>
      </w:r>
    </w:p>
    <w:p>
      <w:pPr>
        <w:pStyle w:val="51"/>
        <w:widowControl w:val="0"/>
        <w:numPr>
          <w:ilvl w:val="255"/>
          <w:numId w:val="0"/>
        </w:numPr>
        <w:spacing w:line="360" w:lineRule="auto"/>
        <w:ind w:left="284" w:firstLine="560" w:firstLineChars="200"/>
      </w:pP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28" o:spt="75" type="#_x0000_t75" style="height:16.2pt;width:12pt;" o:ole="t" filled="f" o:preferrelative="t" stroked="f" coordsize="21600,21600">
            <v:path/>
            <v:fill on="f" focussize="0,0"/>
            <v:stroke on="f" joinstyle="miter"/>
            <v:imagedata r:id="rId230" o:title=""/>
            <o:lock v:ext="edit" aspectratio="t"/>
            <w10:wrap type="none"/>
            <w10:anchorlock/>
          </v:shape>
          <o:OLEObject Type="Embed" ProgID="Equation.DSMT4" ShapeID="_x0000_i1128" DrawAspect="Content" ObjectID="_1468075828" r:id="rId229">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──锚杆极限抗拔承载力标准值(kN)，按本规程第7.2.6.4条的规定确定。</w:t>
      </w:r>
    </w:p>
    <w:p>
      <w:pPr>
        <w:pStyle w:val="51"/>
        <w:numPr>
          <w:ilvl w:val="255"/>
          <w:numId w:val="0"/>
        </w:numPr>
      </w:pPr>
      <w:r>
        <w:rPr>
          <w:rFonts w:hint="eastAsia"/>
        </w:rPr>
        <w:t xml:space="preserve">7.2.6.3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锚杆的轴向拉力标准值应按下式计算：</w:t>
      </w:r>
    </w:p>
    <w:p>
      <w:pPr>
        <w:pStyle w:val="35"/>
      </w:pPr>
      <w:r>
        <w:rPr>
          <w:position w:val="-28"/>
        </w:rPr>
        <w:object>
          <v:shape id="_x0000_i1129" o:spt="75" type="#_x0000_t75" style="height:31.2pt;width:64.8pt;" o:ole="t" filled="f" o:preferrelative="t" stroked="f" coordsize="21600,21600">
            <v:path/>
            <v:fill on="f" focussize="0,0"/>
            <v:stroke on="f" joinstyle="miter"/>
            <v:imagedata r:id="rId232" o:title=""/>
            <o:lock v:ext="edit" aspectratio="t"/>
            <w10:wrap type="none"/>
            <w10:anchorlock/>
          </v:shape>
          <o:OLEObject Type="Embed" ProgID="Equation.DSMT4" ShapeID="_x0000_i1129" DrawAspect="Content" ObjectID="_1468075829" r:id="rId231">
            <o:LockedField>false</o:LockedField>
          </o:OLEObject>
        </w:object>
      </w:r>
      <w:r>
        <w:rPr>
          <w:rFonts w:hint="eastAsia"/>
        </w:rPr>
        <w:t>（公式7.2.7.3-1）</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0" o:spt="75" type="#_x0000_t75" style="height:16.2pt;width:19.2pt;" o:ole="t" filled="f" o:preferrelative="t" stroked="f" coordsize="21600,21600">
            <v:path/>
            <v:fill on="f" focussize="0,0"/>
            <v:stroke on="f" joinstyle="miter"/>
            <v:imagedata r:id="rId234" o:title=""/>
            <o:lock v:ext="edit" aspectratio="t"/>
            <w10:wrap type="none"/>
            <w10:anchorlock/>
          </v:shape>
          <o:OLEObject Type="Embed" ProgID="Equation.DSMT4" ShapeID="_x0000_i1130" DrawAspect="Content" ObjectID="_1468075830" r:id="rId23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──锚杆的轴向拉力标准值（kN）；</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1" o:spt="75" type="#_x0000_t75" style="height:16.2pt;width:12pt;" o:ole="t" filled="f" o:preferrelative="t" stroked="f" coordsize="21600,21600">
            <v:path/>
            <v:fill on="f" focussize="0,0"/>
            <v:stroke on="f" joinstyle="miter"/>
            <v:imagedata r:id="rId236" o:title=""/>
            <o:lock v:ext="edit" aspectratio="t"/>
            <w10:wrap type="none"/>
            <w10:anchorlock/>
          </v:shape>
          <o:OLEObject Type="Embed" ProgID="Equation.DSMT4" ShapeID="_x0000_i1131" DrawAspect="Content" ObjectID="_1468075831" r:id="rId23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──挡土构件计算宽度内的弹性支点水平反力（kN），按本规程第5章的规定确定；</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2" o:spt="75" type="#_x0000_t75" style="height:9pt;width:9pt;" o:ole="t" filled="f" o:preferrelative="t" stroked="f" coordsize="21600,21600">
            <v:path/>
            <v:fill on="f" focussize="0,0"/>
            <v:stroke on="f" joinstyle="miter"/>
            <v:imagedata r:id="rId238" o:title=""/>
            <o:lock v:ext="edit" aspectratio="t"/>
            <w10:wrap type="none"/>
            <w10:anchorlock/>
          </v:shape>
          <o:OLEObject Type="Embed" ProgID="Equation.DSMT4" ShapeID="_x0000_i1132" DrawAspect="Content" ObjectID="_1468075832" r:id="rId23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──锚杆水平间距(m)；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3" o:spt="75" type="#_x0000_t75" style="height:16.2pt;width:12pt;" o:ole="t" filled="f" o:preferrelative="t" stroked="f" coordsize="21600,21600">
            <v:path/>
            <v:fill on="f" focussize="0,0"/>
            <v:stroke on="f" joinstyle="miter"/>
            <v:imagedata r:id="rId240" o:title=""/>
            <o:lock v:ext="edit" aspectratio="t"/>
            <w10:wrap type="none"/>
            <w10:anchorlock/>
          </v:shape>
          <o:OLEObject Type="Embed" ProgID="Equation.DSMT4" ShapeID="_x0000_i1133" DrawAspect="Content" ObjectID="_1468075833" r:id="rId23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──结构计算宽度(m)；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4" o:spt="75" type="#_x0000_t75" style="height:10.2pt;width:10.2pt;" o:ole="t" filled="f" o:preferrelative="t" stroked="f" coordsize="21600,21600">
            <v:path/>
            <v:fill on="f" focussize="0,0"/>
            <v:stroke on="f" joinstyle="miter"/>
            <v:imagedata r:id="rId242" o:title=""/>
            <o:lock v:ext="edit" aspectratio="t"/>
            <w10:wrap type="none"/>
            <w10:anchorlock/>
          </v:shape>
          <o:OLEObject Type="Embed" ProgID="Equation.DSMT4" ShapeID="_x0000_i1134" DrawAspect="Content" ObjectID="_1468075834" r:id="rId24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──锚杆倾角(°)。</w:t>
      </w:r>
    </w:p>
    <w:p>
      <w:pPr>
        <w:pStyle w:val="51"/>
        <w:numPr>
          <w:ilvl w:val="255"/>
          <w:numId w:val="0"/>
        </w:numPr>
      </w:pPr>
      <w:r>
        <w:rPr>
          <w:b/>
          <w:bCs/>
        </w:rPr>
        <w:t>7.2.</w:t>
      </w:r>
      <w:r>
        <w:rPr>
          <w:rFonts w:hint="eastAsia"/>
          <w:b/>
          <w:bCs/>
        </w:rPr>
        <w:t>6</w:t>
      </w:r>
      <w:r>
        <w:rPr>
          <w:b/>
          <w:bCs/>
        </w:rPr>
        <w:t xml:space="preserve">.4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锚杆极限抗拔承载力的确定应符合下列规定：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锚杆极限抗拔承载力应通过抗拔试验确定，其试验方法应符合本规程附录B的规定。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锚杆极限抗拔承载力标准值也可按下式估算，但应按本规程附录B规定的抗拔试验进行验证：</w:t>
      </w:r>
    </w:p>
    <w:p>
      <w:pPr>
        <w:pStyle w:val="35"/>
      </w:pPr>
      <w:r>
        <w:object>
          <v:shape id="_x0000_i1135" o:spt="75" type="#_x0000_t75" style="height:19.8pt;width:75pt;" o:ole="t" filled="f" o:preferrelative="t" stroked="f" coordsize="21600,21600">
            <v:path/>
            <v:fill on="f" focussize="0,0"/>
            <v:stroke on="f" joinstyle="miter"/>
            <v:imagedata r:id="rId244" o:title=""/>
            <o:lock v:ext="edit" aspectratio="t"/>
            <w10:wrap type="none"/>
            <w10:anchorlock/>
          </v:shape>
          <o:OLEObject Type="Embed" ProgID="Equation.DSMT4" ShapeID="_x0000_i1135" DrawAspect="Content" ObjectID="_1468075835" r:id="rId243">
            <o:LockedField>false</o:LockedField>
          </o:OLEObject>
        </w:object>
      </w:r>
      <w:r>
        <w:rPr>
          <w:rFonts w:hint="eastAsia"/>
        </w:rPr>
        <w:t>（7.2.6.4）</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6" o:spt="75" type="#_x0000_t75" style="height:12pt;width:10.2pt;" o:ole="t" filled="f" o:preferrelative="t" stroked="f" coordsize="21600,21600">
            <v:path/>
            <v:fill on="f" focussize="0,0"/>
            <v:stroke on="f" joinstyle="miter"/>
            <v:imagedata r:id="rId246" o:title=""/>
            <o:lock v:ext="edit" aspectratio="t"/>
            <w10:wrap type="none"/>
            <w10:anchorlock/>
          </v:shape>
          <o:OLEObject Type="Embed" ProgID="Equation.DSMT4" ShapeID="_x0000_i1136" DrawAspect="Content" ObjectID="_1468075836" r:id="rId24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──锚杆的锚固体直径(m)；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7" o:spt="75" type="#_x0000_t75" style="height:16.2pt;width:9pt;" o:ole="t" filled="f" o:preferrelative="t" stroked="f" coordsize="21600,21600">
            <v:path/>
            <v:fill on="f" focussize="0,0"/>
            <v:stroke on="f" joinstyle="miter"/>
            <v:imagedata r:id="rId248" o:title=""/>
            <o:lock v:ext="edit" aspectratio="t"/>
            <w10:wrap type="none"/>
            <w10:anchorlock/>
          </v:shape>
          <o:OLEObject Type="Embed" ProgID="Equation.DSMT4" ShapeID="_x0000_i1137" DrawAspect="Content" ObjectID="_1468075837" r:id="rId24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──锚杆的锚固段在第i土层中的长度(m)；锚固段长度（la）为锚杆在理论直线滑动面以外的长度，理论直线滑动面按本规程第7.2.6.5条的规定确定；</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38" o:spt="75" type="#_x0000_t75" style="height:16.2pt;width:16.2pt;" o:ole="t" filled="f" o:preferrelative="t" stroked="f" coordsize="21600,21600">
            <v:path/>
            <v:fill on="f" focussize="0,0"/>
            <v:stroke on="f" joinstyle="miter"/>
            <v:imagedata r:id="rId250" o:title=""/>
            <o:lock v:ext="edit" aspectratio="t"/>
            <w10:wrap type="none"/>
            <w10:anchorlock/>
          </v:shape>
          <o:OLEObject Type="Embed" ProgID="Equation.DSMT4" ShapeID="_x0000_i1138" DrawAspect="Content" ObjectID="_1468075838" r:id="rId24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──锚固体与第i土层之间的极限粘结强度标准值(kPa)，应根据工程经验并结合表7.2.6.4取值。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38"/>
      </w:pPr>
      <w:r>
        <w:rPr>
          <w:rFonts w:hint="eastAsia"/>
          <w:sz w:val="18"/>
          <w:szCs w:val="18"/>
        </w:rPr>
        <w:t>表7.2.6.4 锚杆的极限粘结强度标准值</w:t>
      </w:r>
    </w:p>
    <w:tbl>
      <w:tblPr>
        <w:tblStyle w:val="2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880"/>
        <w:gridCol w:w="1920"/>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1920" w:type="dxa"/>
            <w:vMerge w:val="restart"/>
            <w:shd w:val="clear" w:color="auto" w:fill="auto"/>
            <w:noWrap/>
            <w:vAlign w:val="center"/>
          </w:tcPr>
          <w:p>
            <w:pPr>
              <w:pStyle w:val="33"/>
            </w:pPr>
            <w:r>
              <w:rPr>
                <w:rFonts w:hint="eastAsia"/>
              </w:rPr>
              <w:t>土的名称</w:t>
            </w:r>
          </w:p>
        </w:tc>
        <w:tc>
          <w:tcPr>
            <w:tcW w:w="2880" w:type="dxa"/>
            <w:vMerge w:val="restart"/>
            <w:shd w:val="clear" w:color="auto" w:fill="auto"/>
            <w:noWrap/>
            <w:vAlign w:val="center"/>
          </w:tcPr>
          <w:p>
            <w:pPr>
              <w:pStyle w:val="33"/>
            </w:pPr>
            <w:r>
              <w:rPr>
                <w:rFonts w:hint="eastAsia"/>
              </w:rPr>
              <w:t>土的状态或密实度</w:t>
            </w:r>
          </w:p>
        </w:tc>
        <w:tc>
          <w:tcPr>
            <w:tcW w:w="3840" w:type="dxa"/>
            <w:gridSpan w:val="2"/>
            <w:shd w:val="clear" w:color="auto" w:fill="auto"/>
            <w:noWrap/>
            <w:vAlign w:val="center"/>
          </w:tcPr>
          <w:p>
            <w:pPr>
              <w:pStyle w:val="33"/>
            </w:pPr>
            <w:r>
              <w:rPr>
                <w:rFonts w:hint="eastAsia"/>
              </w:rPr>
              <w:t>q</w:t>
            </w:r>
            <w:r>
              <w:rPr>
                <w:rFonts w:hint="eastAsia"/>
                <w:vertAlign w:val="subscript"/>
              </w:rPr>
              <w:t>ak</w:t>
            </w:r>
            <w:r>
              <w:rPr>
                <w:rFonts w:hint="eastAsia"/>
              </w:rPr>
              <w:t>(k</w:t>
            </w:r>
            <w:r>
              <w:t>P</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vMerge w:val="continue"/>
            <w:vAlign w:val="center"/>
          </w:tcPr>
          <w:p>
            <w:pPr>
              <w:pStyle w:val="33"/>
            </w:pPr>
          </w:p>
        </w:tc>
        <w:tc>
          <w:tcPr>
            <w:tcW w:w="1920" w:type="dxa"/>
            <w:shd w:val="clear" w:color="auto" w:fill="auto"/>
            <w:noWrap/>
            <w:vAlign w:val="center"/>
          </w:tcPr>
          <w:p>
            <w:pPr>
              <w:pStyle w:val="33"/>
            </w:pPr>
            <w:r>
              <w:rPr>
                <w:rFonts w:hint="eastAsia"/>
              </w:rPr>
              <w:t>一次常压注浆</w:t>
            </w:r>
          </w:p>
        </w:tc>
        <w:tc>
          <w:tcPr>
            <w:tcW w:w="1920" w:type="dxa"/>
            <w:shd w:val="clear" w:color="auto" w:fill="auto"/>
            <w:noWrap/>
            <w:vAlign w:val="center"/>
          </w:tcPr>
          <w:p>
            <w:pPr>
              <w:pStyle w:val="33"/>
            </w:pPr>
            <w:r>
              <w:rPr>
                <w:rFonts w:hint="eastAsia"/>
              </w:rPr>
              <w:t>二次压力注浆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pPr>
            <w:r>
              <w:rPr>
                <w:rFonts w:hint="eastAsia"/>
              </w:rPr>
              <w:t>填土</w:t>
            </w:r>
          </w:p>
        </w:tc>
        <w:tc>
          <w:tcPr>
            <w:tcW w:w="2880" w:type="dxa"/>
            <w:shd w:val="clear" w:color="auto" w:fill="auto"/>
            <w:noWrap/>
            <w:vAlign w:val="center"/>
          </w:tcPr>
          <w:p>
            <w:pPr>
              <w:pStyle w:val="33"/>
            </w:pPr>
          </w:p>
        </w:tc>
        <w:tc>
          <w:tcPr>
            <w:tcW w:w="1920" w:type="dxa"/>
            <w:shd w:val="clear" w:color="auto" w:fill="auto"/>
            <w:noWrap/>
            <w:vAlign w:val="center"/>
          </w:tcPr>
          <w:p>
            <w:pPr>
              <w:pStyle w:val="33"/>
            </w:pPr>
            <w:r>
              <w:rPr>
                <w:rFonts w:hint="eastAsia"/>
              </w:rPr>
              <w:t>16～30</w:t>
            </w:r>
          </w:p>
        </w:tc>
        <w:tc>
          <w:tcPr>
            <w:tcW w:w="1920" w:type="dxa"/>
            <w:shd w:val="clear" w:color="auto" w:fill="auto"/>
            <w:noWrap/>
            <w:vAlign w:val="center"/>
          </w:tcPr>
          <w:p>
            <w:pPr>
              <w:pStyle w:val="33"/>
            </w:pPr>
            <w:r>
              <w:rPr>
                <w:rFonts w:hint="eastAsia"/>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pPr>
            <w:r>
              <w:rPr>
                <w:rFonts w:hint="eastAsia"/>
              </w:rPr>
              <w:t>淤泥质土</w:t>
            </w:r>
          </w:p>
        </w:tc>
        <w:tc>
          <w:tcPr>
            <w:tcW w:w="2880" w:type="dxa"/>
            <w:shd w:val="clear" w:color="auto" w:fill="auto"/>
            <w:noWrap/>
            <w:vAlign w:val="center"/>
          </w:tcPr>
          <w:p>
            <w:pPr>
              <w:pStyle w:val="33"/>
            </w:pPr>
          </w:p>
        </w:tc>
        <w:tc>
          <w:tcPr>
            <w:tcW w:w="1920" w:type="dxa"/>
            <w:shd w:val="clear" w:color="auto" w:fill="auto"/>
            <w:noWrap/>
            <w:vAlign w:val="center"/>
          </w:tcPr>
          <w:p>
            <w:pPr>
              <w:pStyle w:val="33"/>
            </w:pPr>
            <w:r>
              <w:rPr>
                <w:rFonts w:hint="eastAsia"/>
              </w:rPr>
              <w:t>16～20</w:t>
            </w:r>
          </w:p>
        </w:tc>
        <w:tc>
          <w:tcPr>
            <w:tcW w:w="1920" w:type="dxa"/>
            <w:shd w:val="clear" w:color="auto" w:fill="auto"/>
            <w:noWrap/>
            <w:vAlign w:val="center"/>
          </w:tcPr>
          <w:p>
            <w:pPr>
              <w:pStyle w:val="33"/>
            </w:pPr>
            <w:r>
              <w:rPr>
                <w:rFonts w:hint="eastAsia"/>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粘性土</w:t>
            </w:r>
          </w:p>
        </w:tc>
        <w:tc>
          <w:tcPr>
            <w:tcW w:w="2880" w:type="dxa"/>
            <w:shd w:val="clear" w:color="auto" w:fill="auto"/>
            <w:noWrap/>
            <w:vAlign w:val="center"/>
          </w:tcPr>
          <w:p>
            <w:pPr>
              <w:pStyle w:val="33"/>
            </w:pPr>
            <w:r>
              <w:rPr>
                <w:rFonts w:hint="eastAsia"/>
              </w:rPr>
              <w:t>I</w:t>
            </w:r>
            <w:r>
              <w:rPr>
                <w:vertAlign w:val="subscript"/>
              </w:rPr>
              <w:t>L</w:t>
            </w:r>
            <w:r>
              <w:rPr>
                <w:rFonts w:hint="eastAsia"/>
              </w:rPr>
              <w:t>＞1</w:t>
            </w:r>
          </w:p>
        </w:tc>
        <w:tc>
          <w:tcPr>
            <w:tcW w:w="1920" w:type="dxa"/>
            <w:shd w:val="clear" w:color="auto" w:fill="auto"/>
            <w:noWrap/>
            <w:vAlign w:val="center"/>
          </w:tcPr>
          <w:p>
            <w:pPr>
              <w:pStyle w:val="33"/>
            </w:pPr>
            <w:r>
              <w:rPr>
                <w:rFonts w:hint="eastAsia"/>
              </w:rPr>
              <w:t>18～30</w:t>
            </w:r>
          </w:p>
        </w:tc>
        <w:tc>
          <w:tcPr>
            <w:tcW w:w="1920" w:type="dxa"/>
            <w:shd w:val="clear" w:color="auto" w:fill="auto"/>
            <w:noWrap/>
            <w:vAlign w:val="center"/>
          </w:tcPr>
          <w:p>
            <w:pPr>
              <w:pStyle w:val="33"/>
            </w:pPr>
            <w:r>
              <w:rPr>
                <w:rFonts w:hint="eastAsia"/>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0.75＜I</w:t>
            </w:r>
            <w:r>
              <w:rPr>
                <w:vertAlign w:val="subscript"/>
              </w:rPr>
              <w:t>L</w:t>
            </w:r>
            <w:r>
              <w:rPr>
                <w:rFonts w:hint="eastAsia"/>
              </w:rPr>
              <w:t>≤1</w:t>
            </w:r>
          </w:p>
        </w:tc>
        <w:tc>
          <w:tcPr>
            <w:tcW w:w="1920" w:type="dxa"/>
            <w:shd w:val="clear" w:color="auto" w:fill="auto"/>
            <w:noWrap/>
            <w:vAlign w:val="center"/>
          </w:tcPr>
          <w:p>
            <w:pPr>
              <w:pStyle w:val="33"/>
            </w:pPr>
            <w:r>
              <w:rPr>
                <w:rFonts w:hint="eastAsia"/>
              </w:rPr>
              <w:t>30～40</w:t>
            </w:r>
          </w:p>
        </w:tc>
        <w:tc>
          <w:tcPr>
            <w:tcW w:w="1920" w:type="dxa"/>
            <w:shd w:val="clear" w:color="auto" w:fill="auto"/>
            <w:noWrap/>
            <w:vAlign w:val="center"/>
          </w:tcPr>
          <w:p>
            <w:pPr>
              <w:pStyle w:val="33"/>
            </w:pPr>
            <w:r>
              <w:rPr>
                <w:rFonts w:hint="eastAsia"/>
              </w:rPr>
              <w:t>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0.5＜I</w:t>
            </w:r>
            <w:r>
              <w:rPr>
                <w:vertAlign w:val="subscript"/>
              </w:rPr>
              <w:t>L</w:t>
            </w:r>
            <w:r>
              <w:rPr>
                <w:rFonts w:hint="eastAsia"/>
              </w:rPr>
              <w:t>≤</w:t>
            </w:r>
          </w:p>
        </w:tc>
        <w:tc>
          <w:tcPr>
            <w:tcW w:w="1920" w:type="dxa"/>
            <w:shd w:val="clear" w:color="auto" w:fill="auto"/>
            <w:noWrap/>
            <w:vAlign w:val="center"/>
          </w:tcPr>
          <w:p>
            <w:pPr>
              <w:pStyle w:val="33"/>
            </w:pPr>
            <w:r>
              <w:rPr>
                <w:rFonts w:hint="eastAsia"/>
              </w:rPr>
              <w:t>40～53</w:t>
            </w:r>
          </w:p>
        </w:tc>
        <w:tc>
          <w:tcPr>
            <w:tcW w:w="1920" w:type="dxa"/>
            <w:shd w:val="clear" w:color="auto" w:fill="auto"/>
            <w:noWrap/>
            <w:vAlign w:val="center"/>
          </w:tcPr>
          <w:p>
            <w:pPr>
              <w:pStyle w:val="33"/>
            </w:pPr>
            <w:r>
              <w:rPr>
                <w:rFonts w:hint="eastAsia"/>
              </w:rPr>
              <w:t>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0.25＜I</w:t>
            </w:r>
            <w:r>
              <w:rPr>
                <w:vertAlign w:val="subscript"/>
              </w:rPr>
              <w:t>L</w:t>
            </w:r>
            <w:r>
              <w:rPr>
                <w:rFonts w:hint="eastAsia"/>
              </w:rPr>
              <w:t>≤</w:t>
            </w:r>
          </w:p>
        </w:tc>
        <w:tc>
          <w:tcPr>
            <w:tcW w:w="1920" w:type="dxa"/>
            <w:shd w:val="clear" w:color="auto" w:fill="auto"/>
            <w:noWrap/>
            <w:vAlign w:val="center"/>
          </w:tcPr>
          <w:p>
            <w:pPr>
              <w:pStyle w:val="33"/>
            </w:pPr>
            <w:r>
              <w:rPr>
                <w:rFonts w:hint="eastAsia"/>
              </w:rPr>
              <w:t>53～65</w:t>
            </w:r>
          </w:p>
        </w:tc>
        <w:tc>
          <w:tcPr>
            <w:tcW w:w="1920" w:type="dxa"/>
            <w:shd w:val="clear" w:color="auto" w:fill="auto"/>
            <w:noWrap/>
            <w:vAlign w:val="center"/>
          </w:tcPr>
          <w:p>
            <w:pPr>
              <w:pStyle w:val="33"/>
            </w:pPr>
            <w:r>
              <w:rPr>
                <w:rFonts w:hint="eastAsia"/>
              </w:rPr>
              <w:t>70～85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0＜I</w:t>
            </w:r>
            <w:r>
              <w:rPr>
                <w:vertAlign w:val="subscript"/>
              </w:rPr>
              <w:t>L</w:t>
            </w:r>
            <w:r>
              <w:rPr>
                <w:rFonts w:hint="eastAsia"/>
              </w:rPr>
              <w:t>≤</w:t>
            </w:r>
          </w:p>
        </w:tc>
        <w:tc>
          <w:tcPr>
            <w:tcW w:w="1920" w:type="dxa"/>
            <w:shd w:val="clear" w:color="auto" w:fill="auto"/>
            <w:noWrap/>
            <w:vAlign w:val="center"/>
          </w:tcPr>
          <w:p>
            <w:pPr>
              <w:pStyle w:val="33"/>
            </w:pPr>
            <w:r>
              <w:rPr>
                <w:rFonts w:hint="eastAsia"/>
              </w:rPr>
              <w:t>65～73</w:t>
            </w:r>
          </w:p>
        </w:tc>
        <w:tc>
          <w:tcPr>
            <w:tcW w:w="1920" w:type="dxa"/>
            <w:shd w:val="clear" w:color="auto" w:fill="auto"/>
            <w:noWrap/>
            <w:vAlign w:val="center"/>
          </w:tcPr>
          <w:p>
            <w:pPr>
              <w:pStyle w:val="33"/>
            </w:pPr>
            <w:r>
              <w:rPr>
                <w:rFonts w:hint="eastAsia"/>
              </w:rPr>
              <w:t>85～100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I</w:t>
            </w:r>
            <w:r>
              <w:rPr>
                <w:vertAlign w:val="subscript"/>
              </w:rPr>
              <w:t>L</w:t>
            </w:r>
            <w:r>
              <w:rPr>
                <w:rFonts w:hint="eastAsia"/>
              </w:rPr>
              <w:t>≤0</w:t>
            </w:r>
          </w:p>
        </w:tc>
        <w:tc>
          <w:tcPr>
            <w:tcW w:w="1920" w:type="dxa"/>
            <w:shd w:val="clear" w:color="auto" w:fill="auto"/>
            <w:noWrap/>
            <w:vAlign w:val="center"/>
          </w:tcPr>
          <w:p>
            <w:pPr>
              <w:pStyle w:val="33"/>
            </w:pPr>
            <w:r>
              <w:rPr>
                <w:rFonts w:hint="eastAsia"/>
              </w:rPr>
              <w:t>73～90</w:t>
            </w:r>
          </w:p>
        </w:tc>
        <w:tc>
          <w:tcPr>
            <w:tcW w:w="1920" w:type="dxa"/>
            <w:shd w:val="clear" w:color="auto" w:fill="auto"/>
            <w:noWrap/>
            <w:vAlign w:val="center"/>
          </w:tcPr>
          <w:p>
            <w:pPr>
              <w:pStyle w:val="33"/>
            </w:pPr>
            <w:r>
              <w:rPr>
                <w:rFonts w:hint="eastAsia"/>
              </w:rPr>
              <w:t>100～130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粉土</w:t>
            </w:r>
          </w:p>
        </w:tc>
        <w:tc>
          <w:tcPr>
            <w:tcW w:w="2880" w:type="dxa"/>
            <w:shd w:val="clear" w:color="auto" w:fill="auto"/>
            <w:noWrap/>
            <w:vAlign w:val="center"/>
          </w:tcPr>
          <w:p>
            <w:pPr>
              <w:pStyle w:val="33"/>
            </w:pPr>
            <w:r>
              <w:rPr>
                <w:rFonts w:hint="eastAsia"/>
              </w:rPr>
              <w:t>e＞0.90</w:t>
            </w:r>
          </w:p>
        </w:tc>
        <w:tc>
          <w:tcPr>
            <w:tcW w:w="1920" w:type="dxa"/>
            <w:shd w:val="clear" w:color="auto" w:fill="auto"/>
            <w:noWrap/>
            <w:vAlign w:val="center"/>
          </w:tcPr>
          <w:p>
            <w:pPr>
              <w:pStyle w:val="33"/>
            </w:pPr>
            <w:r>
              <w:rPr>
                <w:rFonts w:hint="eastAsia"/>
              </w:rPr>
              <w:t>22～44</w:t>
            </w:r>
          </w:p>
        </w:tc>
        <w:tc>
          <w:tcPr>
            <w:tcW w:w="1920" w:type="dxa"/>
            <w:shd w:val="clear" w:color="auto" w:fill="auto"/>
            <w:noWrap/>
            <w:vAlign w:val="center"/>
          </w:tcPr>
          <w:p>
            <w:pPr>
              <w:pStyle w:val="33"/>
            </w:pPr>
            <w:r>
              <w:rPr>
                <w:rFonts w:hint="eastAsia"/>
              </w:rPr>
              <w: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0.75≤e≤0.90</w:t>
            </w:r>
          </w:p>
        </w:tc>
        <w:tc>
          <w:tcPr>
            <w:tcW w:w="1920" w:type="dxa"/>
            <w:shd w:val="clear" w:color="auto" w:fill="auto"/>
            <w:noWrap/>
            <w:vAlign w:val="center"/>
          </w:tcPr>
          <w:p>
            <w:pPr>
              <w:pStyle w:val="33"/>
            </w:pPr>
            <w:r>
              <w:rPr>
                <w:rFonts w:hint="eastAsia"/>
              </w:rPr>
              <w:t>44～64</w:t>
            </w:r>
          </w:p>
        </w:tc>
        <w:tc>
          <w:tcPr>
            <w:tcW w:w="1920" w:type="dxa"/>
            <w:shd w:val="clear" w:color="auto" w:fill="auto"/>
            <w:noWrap/>
            <w:vAlign w:val="center"/>
          </w:tcPr>
          <w:p>
            <w:pPr>
              <w:pStyle w:val="33"/>
            </w:pPr>
            <w:r>
              <w:rPr>
                <w:rFonts w:hint="eastAsia"/>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e＜0.75</w:t>
            </w:r>
          </w:p>
        </w:tc>
        <w:tc>
          <w:tcPr>
            <w:tcW w:w="1920" w:type="dxa"/>
            <w:shd w:val="clear" w:color="auto" w:fill="auto"/>
            <w:noWrap/>
            <w:vAlign w:val="center"/>
          </w:tcPr>
          <w:p>
            <w:pPr>
              <w:pStyle w:val="33"/>
            </w:pPr>
            <w:r>
              <w:rPr>
                <w:rFonts w:hint="eastAsia"/>
              </w:rPr>
              <w:t>64～100</w:t>
            </w:r>
          </w:p>
        </w:tc>
        <w:tc>
          <w:tcPr>
            <w:tcW w:w="1920" w:type="dxa"/>
            <w:shd w:val="clear" w:color="auto" w:fill="auto"/>
            <w:noWrap/>
            <w:vAlign w:val="center"/>
          </w:tcPr>
          <w:p>
            <w:pPr>
              <w:pStyle w:val="33"/>
            </w:pPr>
            <w:r>
              <w:rPr>
                <w:rFonts w:hint="eastAsia"/>
              </w:rPr>
              <w:t>80～130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粉细砂</w:t>
            </w:r>
          </w:p>
        </w:tc>
        <w:tc>
          <w:tcPr>
            <w:tcW w:w="2880" w:type="dxa"/>
            <w:shd w:val="clear" w:color="auto" w:fill="auto"/>
            <w:noWrap/>
            <w:vAlign w:val="center"/>
          </w:tcPr>
          <w:p>
            <w:pPr>
              <w:pStyle w:val="33"/>
            </w:pPr>
            <w:r>
              <w:rPr>
                <w:rFonts w:hint="eastAsia"/>
              </w:rPr>
              <w:t>精密</w:t>
            </w:r>
          </w:p>
        </w:tc>
        <w:tc>
          <w:tcPr>
            <w:tcW w:w="1920" w:type="dxa"/>
            <w:shd w:val="clear" w:color="auto" w:fill="auto"/>
            <w:noWrap/>
            <w:vAlign w:val="center"/>
          </w:tcPr>
          <w:p>
            <w:pPr>
              <w:pStyle w:val="33"/>
            </w:pPr>
            <w:r>
              <w:rPr>
                <w:rFonts w:hint="eastAsia"/>
              </w:rPr>
              <w:t>22～42</w:t>
            </w:r>
          </w:p>
        </w:tc>
        <w:tc>
          <w:tcPr>
            <w:tcW w:w="1920" w:type="dxa"/>
            <w:shd w:val="clear" w:color="auto" w:fill="auto"/>
            <w:noWrap/>
            <w:vAlign w:val="center"/>
          </w:tcPr>
          <w:p>
            <w:pPr>
              <w:pStyle w:val="33"/>
            </w:pPr>
            <w:r>
              <w:rPr>
                <w:rFonts w:hint="eastAsia"/>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中密</w:t>
            </w:r>
          </w:p>
        </w:tc>
        <w:tc>
          <w:tcPr>
            <w:tcW w:w="1920" w:type="dxa"/>
            <w:shd w:val="clear" w:color="auto" w:fill="auto"/>
            <w:noWrap/>
            <w:vAlign w:val="center"/>
          </w:tcPr>
          <w:p>
            <w:pPr>
              <w:pStyle w:val="33"/>
            </w:pPr>
            <w:r>
              <w:rPr>
                <w:rFonts w:hint="eastAsia"/>
              </w:rPr>
              <w:t>42～63</w:t>
            </w:r>
          </w:p>
        </w:tc>
        <w:tc>
          <w:tcPr>
            <w:tcW w:w="1920" w:type="dxa"/>
            <w:shd w:val="clear" w:color="auto" w:fill="auto"/>
            <w:noWrap/>
            <w:vAlign w:val="center"/>
          </w:tcPr>
          <w:p>
            <w:pPr>
              <w:pStyle w:val="33"/>
            </w:pPr>
            <w:r>
              <w:rPr>
                <w:rFonts w:hint="eastAsia"/>
              </w:rPr>
              <w:t>75～110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密实</w:t>
            </w:r>
          </w:p>
        </w:tc>
        <w:tc>
          <w:tcPr>
            <w:tcW w:w="1920" w:type="dxa"/>
            <w:shd w:val="clear" w:color="auto" w:fill="auto"/>
            <w:noWrap/>
            <w:vAlign w:val="center"/>
          </w:tcPr>
          <w:p>
            <w:pPr>
              <w:pStyle w:val="33"/>
            </w:pPr>
            <w:r>
              <w:rPr>
                <w:rFonts w:hint="eastAsia"/>
              </w:rPr>
              <w:t>63～85</w:t>
            </w:r>
          </w:p>
        </w:tc>
        <w:tc>
          <w:tcPr>
            <w:tcW w:w="1920" w:type="dxa"/>
            <w:shd w:val="clear" w:color="auto" w:fill="auto"/>
            <w:noWrap/>
            <w:vAlign w:val="center"/>
          </w:tcPr>
          <w:p>
            <w:pPr>
              <w:pStyle w:val="33"/>
            </w:pPr>
            <w:r>
              <w:rPr>
                <w:rFonts w:hint="eastAsia"/>
              </w:rPr>
              <w:t>90～130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中砂</w:t>
            </w:r>
          </w:p>
        </w:tc>
        <w:tc>
          <w:tcPr>
            <w:tcW w:w="2880" w:type="dxa"/>
            <w:shd w:val="clear" w:color="auto" w:fill="auto"/>
            <w:noWrap/>
            <w:vAlign w:val="center"/>
          </w:tcPr>
          <w:p>
            <w:pPr>
              <w:pStyle w:val="33"/>
            </w:pPr>
            <w:r>
              <w:rPr>
                <w:rFonts w:hint="eastAsia"/>
              </w:rPr>
              <w:t>精密</w:t>
            </w:r>
          </w:p>
        </w:tc>
        <w:tc>
          <w:tcPr>
            <w:tcW w:w="1920" w:type="dxa"/>
            <w:shd w:val="clear" w:color="auto" w:fill="auto"/>
            <w:noWrap/>
            <w:vAlign w:val="center"/>
          </w:tcPr>
          <w:p>
            <w:pPr>
              <w:pStyle w:val="33"/>
            </w:pPr>
            <w:r>
              <w:rPr>
                <w:rFonts w:hint="eastAsia"/>
              </w:rPr>
              <w:t>54～74</w:t>
            </w:r>
          </w:p>
        </w:tc>
        <w:tc>
          <w:tcPr>
            <w:tcW w:w="1920" w:type="dxa"/>
            <w:shd w:val="clear" w:color="auto" w:fill="auto"/>
            <w:noWrap/>
            <w:vAlign w:val="center"/>
          </w:tcPr>
          <w:p>
            <w:pPr>
              <w:pStyle w:val="33"/>
            </w:pPr>
            <w:r>
              <w:rPr>
                <w:rFonts w:hint="eastAsia"/>
              </w:rPr>
              <w:t>70～100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中密</w:t>
            </w:r>
          </w:p>
        </w:tc>
        <w:tc>
          <w:tcPr>
            <w:tcW w:w="1920" w:type="dxa"/>
            <w:shd w:val="clear" w:color="auto" w:fill="auto"/>
            <w:noWrap/>
            <w:vAlign w:val="center"/>
          </w:tcPr>
          <w:p>
            <w:pPr>
              <w:pStyle w:val="33"/>
            </w:pPr>
            <w:r>
              <w:rPr>
                <w:rFonts w:hint="eastAsia"/>
              </w:rPr>
              <w:t>74～90</w:t>
            </w:r>
          </w:p>
        </w:tc>
        <w:tc>
          <w:tcPr>
            <w:tcW w:w="1920" w:type="dxa"/>
            <w:shd w:val="clear" w:color="auto" w:fill="auto"/>
            <w:noWrap/>
            <w:vAlign w:val="center"/>
          </w:tcPr>
          <w:p>
            <w:pPr>
              <w:pStyle w:val="33"/>
            </w:pPr>
            <w:r>
              <w:rPr>
                <w:rFonts w:hint="eastAsia"/>
              </w:rPr>
              <w:t>100～130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密实</w:t>
            </w:r>
          </w:p>
        </w:tc>
        <w:tc>
          <w:tcPr>
            <w:tcW w:w="1920" w:type="dxa"/>
            <w:shd w:val="clear" w:color="auto" w:fill="auto"/>
            <w:noWrap/>
            <w:vAlign w:val="center"/>
          </w:tcPr>
          <w:p>
            <w:pPr>
              <w:pStyle w:val="33"/>
            </w:pPr>
            <w:r>
              <w:rPr>
                <w:rFonts w:hint="eastAsia"/>
              </w:rPr>
              <w:t>90～120</w:t>
            </w:r>
          </w:p>
        </w:tc>
        <w:tc>
          <w:tcPr>
            <w:tcW w:w="1920" w:type="dxa"/>
            <w:shd w:val="clear" w:color="auto" w:fill="auto"/>
            <w:noWrap/>
            <w:vAlign w:val="center"/>
          </w:tcPr>
          <w:p>
            <w:pPr>
              <w:pStyle w:val="33"/>
            </w:pPr>
            <w:r>
              <w:rPr>
                <w:rFonts w:hint="eastAsia"/>
              </w:rPr>
              <w:t>130～170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粗砂</w:t>
            </w:r>
          </w:p>
        </w:tc>
        <w:tc>
          <w:tcPr>
            <w:tcW w:w="2880" w:type="dxa"/>
            <w:shd w:val="clear" w:color="auto" w:fill="auto"/>
            <w:noWrap/>
            <w:vAlign w:val="center"/>
          </w:tcPr>
          <w:p>
            <w:pPr>
              <w:pStyle w:val="33"/>
            </w:pPr>
            <w:r>
              <w:rPr>
                <w:rFonts w:hint="eastAsia"/>
              </w:rPr>
              <w:t>精密</w:t>
            </w:r>
          </w:p>
        </w:tc>
        <w:tc>
          <w:tcPr>
            <w:tcW w:w="1920" w:type="dxa"/>
            <w:shd w:val="clear" w:color="auto" w:fill="auto"/>
            <w:noWrap/>
            <w:vAlign w:val="center"/>
          </w:tcPr>
          <w:p>
            <w:pPr>
              <w:pStyle w:val="33"/>
            </w:pPr>
            <w:r>
              <w:rPr>
                <w:rFonts w:hint="eastAsia"/>
              </w:rPr>
              <w:t>80～130</w:t>
            </w:r>
          </w:p>
        </w:tc>
        <w:tc>
          <w:tcPr>
            <w:tcW w:w="1920" w:type="dxa"/>
            <w:shd w:val="clear" w:color="auto" w:fill="auto"/>
            <w:noWrap/>
            <w:vAlign w:val="center"/>
          </w:tcPr>
          <w:p>
            <w:pPr>
              <w:pStyle w:val="33"/>
            </w:pPr>
            <w:r>
              <w:rPr>
                <w:rFonts w:hint="eastAsia"/>
              </w:rPr>
              <w:t>100～140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中密</w:t>
            </w:r>
          </w:p>
        </w:tc>
        <w:tc>
          <w:tcPr>
            <w:tcW w:w="1920" w:type="dxa"/>
            <w:shd w:val="clear" w:color="auto" w:fill="auto"/>
            <w:noWrap/>
            <w:vAlign w:val="center"/>
          </w:tcPr>
          <w:p>
            <w:pPr>
              <w:pStyle w:val="33"/>
            </w:pPr>
            <w:r>
              <w:rPr>
                <w:rFonts w:hint="eastAsia"/>
              </w:rPr>
              <w:t>130～170</w:t>
            </w:r>
          </w:p>
        </w:tc>
        <w:tc>
          <w:tcPr>
            <w:tcW w:w="1920" w:type="dxa"/>
            <w:shd w:val="clear" w:color="auto" w:fill="auto"/>
            <w:noWrap/>
            <w:vAlign w:val="center"/>
          </w:tcPr>
          <w:p>
            <w:pPr>
              <w:pStyle w:val="33"/>
            </w:pPr>
            <w:r>
              <w:rPr>
                <w:rFonts w:hint="eastAsia"/>
              </w:rPr>
              <w:t>170～220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密实</w:t>
            </w:r>
          </w:p>
        </w:tc>
        <w:tc>
          <w:tcPr>
            <w:tcW w:w="1920" w:type="dxa"/>
            <w:shd w:val="clear" w:color="auto" w:fill="auto"/>
            <w:noWrap/>
            <w:vAlign w:val="center"/>
          </w:tcPr>
          <w:p>
            <w:pPr>
              <w:pStyle w:val="33"/>
            </w:pPr>
            <w:r>
              <w:rPr>
                <w:rFonts w:hint="eastAsia"/>
              </w:rPr>
              <w:t>170～220</w:t>
            </w:r>
          </w:p>
        </w:tc>
        <w:tc>
          <w:tcPr>
            <w:tcW w:w="1920" w:type="dxa"/>
            <w:shd w:val="clear" w:color="auto" w:fill="auto"/>
            <w:noWrap/>
            <w:vAlign w:val="center"/>
          </w:tcPr>
          <w:p>
            <w:pPr>
              <w:pStyle w:val="33"/>
            </w:pPr>
            <w:r>
              <w:rPr>
                <w:rFonts w:hint="eastAsia"/>
              </w:rPr>
              <w:t>220～250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pPr>
            <w:r>
              <w:rPr>
                <w:rFonts w:hint="eastAsia"/>
              </w:rPr>
              <w:t>砾砂</w:t>
            </w:r>
          </w:p>
        </w:tc>
        <w:tc>
          <w:tcPr>
            <w:tcW w:w="2880" w:type="dxa"/>
            <w:shd w:val="clear" w:color="auto" w:fill="auto"/>
            <w:noWrap/>
            <w:vAlign w:val="center"/>
          </w:tcPr>
          <w:p>
            <w:pPr>
              <w:pStyle w:val="33"/>
            </w:pPr>
            <w:r>
              <w:rPr>
                <w:rFonts w:hint="eastAsia"/>
              </w:rPr>
              <w:t>中密、密实</w:t>
            </w:r>
          </w:p>
        </w:tc>
        <w:tc>
          <w:tcPr>
            <w:tcW w:w="1920" w:type="dxa"/>
            <w:shd w:val="clear" w:color="auto" w:fill="auto"/>
            <w:noWrap/>
            <w:vAlign w:val="center"/>
          </w:tcPr>
          <w:p>
            <w:pPr>
              <w:pStyle w:val="33"/>
            </w:pPr>
            <w:r>
              <w:rPr>
                <w:rFonts w:hint="eastAsia"/>
              </w:rPr>
              <w:t>190～260</w:t>
            </w:r>
          </w:p>
        </w:tc>
        <w:tc>
          <w:tcPr>
            <w:tcW w:w="1920" w:type="dxa"/>
            <w:shd w:val="clear" w:color="auto" w:fill="auto"/>
            <w:noWrap/>
            <w:vAlign w:val="center"/>
          </w:tcPr>
          <w:p>
            <w:pPr>
              <w:pStyle w:val="33"/>
            </w:pPr>
            <w:r>
              <w:rPr>
                <w:rFonts w:hint="eastAsia"/>
              </w:rPr>
              <w:t>240～290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restart"/>
            <w:shd w:val="clear" w:color="auto" w:fill="auto"/>
            <w:noWrap/>
            <w:vAlign w:val="center"/>
          </w:tcPr>
          <w:p>
            <w:pPr>
              <w:pStyle w:val="33"/>
            </w:pPr>
            <w:r>
              <w:rPr>
                <w:rFonts w:hint="eastAsia"/>
              </w:rPr>
              <w:t>风化岩</w:t>
            </w:r>
          </w:p>
        </w:tc>
        <w:tc>
          <w:tcPr>
            <w:tcW w:w="2880" w:type="dxa"/>
            <w:shd w:val="clear" w:color="auto" w:fill="auto"/>
            <w:noWrap/>
            <w:vAlign w:val="center"/>
          </w:tcPr>
          <w:p>
            <w:pPr>
              <w:pStyle w:val="33"/>
            </w:pPr>
            <w:r>
              <w:rPr>
                <w:rFonts w:hint="eastAsia"/>
              </w:rPr>
              <w:t>全风化</w:t>
            </w:r>
          </w:p>
        </w:tc>
        <w:tc>
          <w:tcPr>
            <w:tcW w:w="1920" w:type="dxa"/>
            <w:shd w:val="clear" w:color="auto" w:fill="auto"/>
            <w:noWrap/>
            <w:vAlign w:val="center"/>
          </w:tcPr>
          <w:p>
            <w:pPr>
              <w:pStyle w:val="33"/>
            </w:pPr>
            <w:r>
              <w:rPr>
                <w:rFonts w:hint="eastAsia"/>
              </w:rPr>
              <w:t>80～100</w:t>
            </w:r>
          </w:p>
        </w:tc>
        <w:tc>
          <w:tcPr>
            <w:tcW w:w="1920" w:type="dxa"/>
            <w:shd w:val="clear" w:color="auto" w:fill="auto"/>
            <w:noWrap/>
            <w:vAlign w:val="center"/>
          </w:tcPr>
          <w:p>
            <w:pPr>
              <w:pStyle w:val="33"/>
            </w:pPr>
            <w:r>
              <w:rPr>
                <w:rFonts w:hint="eastAsia"/>
              </w:rPr>
              <w:t>120～150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vMerge w:val="continue"/>
            <w:vAlign w:val="center"/>
          </w:tcPr>
          <w:p>
            <w:pPr>
              <w:pStyle w:val="33"/>
            </w:pPr>
          </w:p>
        </w:tc>
        <w:tc>
          <w:tcPr>
            <w:tcW w:w="2880" w:type="dxa"/>
            <w:shd w:val="clear" w:color="auto" w:fill="auto"/>
            <w:noWrap/>
            <w:vAlign w:val="center"/>
          </w:tcPr>
          <w:p>
            <w:pPr>
              <w:pStyle w:val="33"/>
            </w:pPr>
            <w:r>
              <w:rPr>
                <w:rFonts w:hint="eastAsia"/>
              </w:rPr>
              <w:t>强风化</w:t>
            </w:r>
          </w:p>
        </w:tc>
        <w:tc>
          <w:tcPr>
            <w:tcW w:w="1920" w:type="dxa"/>
            <w:shd w:val="clear" w:color="auto" w:fill="auto"/>
            <w:noWrap/>
            <w:vAlign w:val="center"/>
          </w:tcPr>
          <w:p>
            <w:pPr>
              <w:pStyle w:val="33"/>
            </w:pPr>
            <w:r>
              <w:rPr>
                <w:rFonts w:hint="eastAsia"/>
              </w:rPr>
              <w:t>150～200</w:t>
            </w:r>
          </w:p>
        </w:tc>
        <w:tc>
          <w:tcPr>
            <w:tcW w:w="1920" w:type="dxa"/>
            <w:shd w:val="clear" w:color="auto" w:fill="auto"/>
            <w:noWrap/>
            <w:vAlign w:val="center"/>
          </w:tcPr>
          <w:p>
            <w:pPr>
              <w:pStyle w:val="33"/>
            </w:pPr>
            <w:r>
              <w:rPr>
                <w:rFonts w:hint="eastAsia"/>
              </w:rPr>
              <w:t>200～260</w:t>
            </w:r>
          </w:p>
        </w:tc>
      </w:tr>
    </w:tbl>
    <w:p>
      <w:pPr>
        <w:pStyle w:val="38"/>
        <w:jc w:val="left"/>
        <w:rPr>
          <w:rFonts w:ascii="宋体" w:hAnsi="宋体" w:eastAsia="宋体" w:cs="宋体"/>
          <w:sz w:val="20"/>
          <w:szCs w:val="20"/>
        </w:rPr>
      </w:pPr>
      <w:r>
        <w:rPr>
          <w:rFonts w:hint="eastAsia" w:ascii="宋体" w:hAnsi="宋体" w:eastAsia="宋体" w:cs="宋体"/>
          <w:sz w:val="20"/>
          <w:szCs w:val="20"/>
        </w:rPr>
        <w:t>注：1采用泥浆护壁成孔工艺时，应按表取低值后再根据具体情况适当折减；</w:t>
      </w:r>
    </w:p>
    <w:p>
      <w:pPr>
        <w:pStyle w:val="38"/>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2采用套管护壁成孔工艺时，可取表中的高值；</w:t>
      </w:r>
    </w:p>
    <w:p>
      <w:pPr>
        <w:pStyle w:val="38"/>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3采用扩孔工艺时，可在表中数值基础上适当提高；</w:t>
      </w:r>
    </w:p>
    <w:p>
      <w:pPr>
        <w:pStyle w:val="38"/>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4采用分段劈裂二次压力注浆工艺时，可在表中二次压力注浆数值基础上适当提高；</w:t>
      </w:r>
    </w:p>
    <w:p>
      <w:pPr>
        <w:pStyle w:val="38"/>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5当砂土中的细粒含量超过总质量的30%时，按表取值后应乘以0.75的系数；</w:t>
      </w:r>
    </w:p>
    <w:p>
      <w:pPr>
        <w:pStyle w:val="38"/>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6对有机质含量为5%～10%的有机质土，应按表取值后适当折减；</w:t>
      </w:r>
    </w:p>
    <w:p>
      <w:pPr>
        <w:pStyle w:val="38"/>
        <w:jc w:val="left"/>
        <w:rPr>
          <w:rFonts w:ascii="宋体" w:hAnsi="宋体" w:eastAsia="宋体" w:cs="宋体"/>
          <w:sz w:val="20"/>
          <w:szCs w:val="20"/>
        </w:rPr>
      </w:pPr>
      <w:r>
        <w:rPr>
          <w:rFonts w:hint="eastAsia" w:ascii="宋体" w:hAnsi="宋体" w:eastAsia="宋体" w:cs="宋体"/>
          <w:color w:val="000000"/>
          <w:kern w:val="0"/>
          <w:sz w:val="20"/>
          <w:szCs w:val="20"/>
        </w:rPr>
        <w:t>7当锚杆锚固段长度大于16m时，应对表中数值适当折减。</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当锚杆锚固段主要位于黏土层、淤泥质土层、填土层时，应考虑土的蠕变对锚杆预应力损失的影响，并应根据蠕变试验确定锚杆的极限抗拔承载力。锚杆的蠕变试验应符合按本规程附录B的规定。</w:t>
      </w:r>
    </w:p>
    <w:p>
      <w:pPr>
        <w:pStyle w:val="51"/>
        <w:numPr>
          <w:ilvl w:val="255"/>
          <w:numId w:val="0"/>
        </w:numPr>
      </w:pPr>
      <w:r>
        <w:rPr>
          <w:b/>
          <w:bCs/>
        </w:rPr>
        <w:t>7.2.</w:t>
      </w:r>
      <w:r>
        <w:rPr>
          <w:rFonts w:hint="eastAsia"/>
          <w:b/>
          <w:bCs/>
        </w:rPr>
        <w:t>6</w:t>
      </w:r>
      <w:r>
        <w:rPr>
          <w:b/>
          <w:bCs/>
        </w:rPr>
        <w:t xml:space="preserve">.5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锚杆的自由段长度应按下式确定(图7.2.6.5)：</w:t>
      </w:r>
    </w:p>
    <w:p>
      <w:pPr>
        <w:pStyle w:val="35"/>
      </w:pPr>
      <w:r>
        <w:object>
          <v:shape id="_x0000_i1139" o:spt="75" type="#_x0000_t75" style="height:55.8pt;width:220.2pt;" o:ole="t" filled="f" o:preferrelative="t" stroked="f" coordsize="21600,21600">
            <v:path/>
            <v:fill on="f" focussize="0,0"/>
            <v:stroke on="f" joinstyle="miter"/>
            <v:imagedata r:id="rId252" o:title=""/>
            <o:lock v:ext="edit" aspectratio="t"/>
            <w10:wrap type="none"/>
            <w10:anchorlock/>
          </v:shape>
          <o:OLEObject Type="Embed" ProgID="Equation.DSMT4" ShapeID="_x0000_i1139" DrawAspect="Content" ObjectID="_1468075839" r:id="rId251">
            <o:LockedField>false</o:LockedField>
          </o:OLEObject>
        </w:object>
      </w:r>
      <w:r>
        <w:rPr>
          <w:rFonts w:hint="eastAsia"/>
        </w:rPr>
        <w:t>（</w:t>
      </w:r>
      <w:r>
        <w:rPr>
          <w:rFonts w:hint="eastAsia" w:cs="Times New Roman"/>
        </w:rPr>
        <w:t>7.2.6.5</w:t>
      </w:r>
      <w:r>
        <w:rPr>
          <w:rFonts w:hint="eastAsia"/>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0" o:spt="75" type="#_x0000_t75" style="height:19.2pt;width:10.2pt;" o:ole="t" filled="f" o:preferrelative="t" stroked="f" coordsize="21600,21600">
            <v:path/>
            <v:fill on="f" focussize="0,0"/>
            <v:stroke on="f" joinstyle="miter"/>
            <v:imagedata r:id="rId254" o:title=""/>
            <o:lock v:ext="edit" aspectratio="t"/>
            <w10:wrap type="none"/>
            <w10:anchorlock/>
          </v:shape>
          <o:OLEObject Type="Embed" ProgID="Equation.DSMT4" ShapeID="_x0000_i1140" DrawAspect="Content" ObjectID="_1468075840" r:id="rId25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──锚杆自由段长度（m）；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1" o:spt="75" type="#_x0000_t75" style="height:10.2pt;width:10.2pt;" o:ole="t" filled="f" o:preferrelative="t" stroked="f" coordsize="21600,21600">
            <v:path/>
            <v:fill on="f" focussize="0,0"/>
            <v:stroke on="f" joinstyle="miter"/>
            <v:imagedata r:id="rId256" o:title=""/>
            <o:lock v:ext="edit" aspectratio="t"/>
            <w10:wrap type="none"/>
            <w10:anchorlock/>
          </v:shape>
          <o:OLEObject Type="Embed" ProgID="Equation.DSMT4" ShapeID="_x0000_i1141" DrawAspect="Content" ObjectID="_1468075841" r:id="rId25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──锚杆的倾角（°）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2" o:spt="75" type="#_x0000_t75" style="height:16.2pt;width:10.2pt;" o:ole="t" filled="f" o:preferrelative="t" stroked="f" coordsize="21600,21600">
            <v:path/>
            <v:fill on="f" focussize="0,0"/>
            <v:stroke on="f" joinstyle="miter"/>
            <v:imagedata r:id="rId258" o:title=""/>
            <o:lock v:ext="edit" aspectratio="t"/>
            <w10:wrap type="none"/>
            <w10:anchorlock/>
          </v:shape>
          <o:OLEObject Type="Embed" ProgID="Equation.DSMT4" ShapeID="_x0000_i1142" DrawAspect="Content" ObjectID="_1468075842" r:id="rId25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──锚杆的锚头中点至基坑底面的距离（m）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3" o:spt="75" type="#_x0000_t75" style="height:16.2pt;width:12pt;" o:ole="t" filled="f" o:preferrelative="t" stroked="f" coordsize="21600,21600">
            <v:path/>
            <v:fill on="f" focussize="0,0"/>
            <v:stroke on="f" joinstyle="miter"/>
            <v:imagedata r:id="rId260" o:title=""/>
            <o:lock v:ext="edit" aspectratio="t"/>
            <w10:wrap type="none"/>
            <w10:anchorlock/>
          </v:shape>
          <o:OLEObject Type="Embed" ProgID="Equation.DSMT4" ShapeID="_x0000_i1143" DrawAspect="Content" ObjectID="_1468075843" r:id="rId25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──基坑底面至挡土构件嵌固段上基坑外侧主动土压力强度与基坑内侧被动土压力强度等值点O的距离（m）；对多层土地层，当存在多个等值点时应按其中最深处的等值点计算；</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d──挡土构件的水平尺寸（m）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4" o:spt="75" type="#_x0000_t75" style="height:16.2pt;width:15pt;" o:ole="t" filled="f" o:preferrelative="t" stroked="f" coordsize="21600,21600">
            <v:path/>
            <v:fill on="f" focussize="0,0"/>
            <v:stroke on="f" joinstyle="miter"/>
            <v:imagedata r:id="rId262" o:title=""/>
            <o:lock v:ext="edit" aspectratio="t"/>
            <w10:wrap type="none"/>
            <w10:anchorlock/>
          </v:shape>
          <o:OLEObject Type="Embed" ProgID="Equation.DSMT4" ShapeID="_x0000_i1144" DrawAspect="Content" ObjectID="_1468075844" r:id="rId26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──O点以上各土层按厚度加权的内摩擦角平均值(°)。</w:t>
      </w:r>
    </w:p>
    <w:p>
      <w:pPr>
        <w:pStyle w:val="40"/>
      </w:pPr>
      <w:r>
        <w:drawing>
          <wp:inline distT="0" distB="0" distL="0" distR="0">
            <wp:extent cx="3547745" cy="2388235"/>
            <wp:effectExtent l="0" t="0" r="14605" b="12065"/>
            <wp:docPr id="63" name="图片 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示&#10;&#10;描述已自动生成"/>
                    <pic:cNvPicPr>
                      <a:picLocks noChangeAspect="1"/>
                    </pic:cNvPicPr>
                  </pic:nvPicPr>
                  <pic:blipFill>
                    <a:blip r:embed="rId263"/>
                    <a:stretch>
                      <a:fillRect/>
                    </a:stretch>
                  </pic:blipFill>
                  <pic:spPr>
                    <a:xfrm>
                      <a:off x="0" y="0"/>
                      <a:ext cx="3547745" cy="2388235"/>
                    </a:xfrm>
                    <a:prstGeom prst="rect">
                      <a:avLst/>
                    </a:prstGeom>
                  </pic:spPr>
                </pic:pic>
              </a:graphicData>
            </a:graphic>
          </wp:inline>
        </w:drawing>
      </w:r>
    </w:p>
    <w:p>
      <w:pPr>
        <w:pStyle w:val="38"/>
      </w:pPr>
      <w:r>
        <w:rPr>
          <w:rFonts w:hint="eastAsia"/>
        </w:rPr>
        <w:t>图</w:t>
      </w:r>
      <w:r>
        <w:rPr>
          <w:rFonts w:hint="eastAsia" w:cs="Times New Roman"/>
        </w:rPr>
        <w:t xml:space="preserve">7.2.6.5 </w:t>
      </w:r>
      <w:r>
        <w:rPr>
          <w:rFonts w:hint="eastAsia"/>
        </w:rPr>
        <w:t>理论直线滑动面</w:t>
      </w:r>
    </w:p>
    <w:p>
      <w:pPr>
        <w:pStyle w:val="38"/>
      </w:pPr>
      <w:r>
        <w:rPr>
          <w:rFonts w:hint="eastAsia"/>
        </w:rPr>
        <w:t>1-挡土构件；2-锚杆；3-理论直线滑动面</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锚杆自由段长度除应符合公式（7.2.6.5）的规定外，尚不应小于5.0m。</w:t>
      </w:r>
    </w:p>
    <w:p>
      <w:pPr>
        <w:pStyle w:val="51"/>
        <w:numPr>
          <w:ilvl w:val="255"/>
          <w:numId w:val="0"/>
        </w:numPr>
      </w:pPr>
      <w:r>
        <w:rPr>
          <w:b/>
          <w:bCs/>
        </w:rPr>
        <w:t>7.2.6.6</w:t>
      </w:r>
      <w:r>
        <w:rPr>
          <w:rFonts w:hint="eastAsia"/>
          <w:b/>
          <w:bCs/>
          <w:lang w:val="en-US" w:eastAsia="zh-CN"/>
        </w:rPr>
        <w:t xml:space="preserve"> </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锚杆杆体的受拉承载力应符合下式规定：</w:t>
      </w:r>
    </w:p>
    <w:p>
      <w:pPr>
        <w:pStyle w:val="35"/>
      </w:pPr>
      <w:r>
        <w:rPr>
          <w:position w:val="-14"/>
        </w:rPr>
        <w:object>
          <v:shape id="_x0000_i1145" o:spt="75" type="#_x0000_t75" style="height:19.2pt;width:48pt;" o:ole="t" filled="f" o:preferrelative="t" stroked="f" coordsize="21600,21600">
            <v:path/>
            <v:fill on="f" focussize="0,0"/>
            <v:stroke on="f" joinstyle="miter"/>
            <v:imagedata r:id="rId265" o:title=""/>
            <o:lock v:ext="edit" aspectratio="t"/>
            <w10:wrap type="none"/>
            <w10:anchorlock/>
          </v:shape>
          <o:OLEObject Type="Embed" ProgID="Equation.DSMT4" ShapeID="_x0000_i1145" DrawAspect="Content" ObjectID="_1468075845" r:id="rId264">
            <o:LockedField>false</o:LockedField>
          </o:OLEObject>
        </w:object>
      </w:r>
      <w:r>
        <w:rPr>
          <w:rFonts w:hint="eastAsia"/>
          <w:position w:val="-14"/>
        </w:rPr>
        <w:t xml:space="preserve">    </w:t>
      </w:r>
      <w:r>
        <w:rPr>
          <w:rFonts w:hint="eastAsia"/>
        </w:rPr>
        <w:t>（7.2.6.6-1）</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6" o:spt="75" type="#_x0000_t75" style="height:12pt;width:12pt;" o:ole="t" filled="f" o:preferrelative="t" stroked="f" coordsize="21600,21600">
            <v:path/>
            <v:fill on="f" focussize="0,0"/>
            <v:stroke on="f" joinstyle="miter"/>
            <v:imagedata r:id="rId267" o:title=""/>
            <o:lock v:ext="edit" aspectratio="t"/>
            <w10:wrap type="none"/>
            <w10:anchorlock/>
          </v:shape>
          <o:OLEObject Type="Embed" ProgID="Equation.DSMT4" ShapeID="_x0000_i1146" DrawAspect="Content" ObjectID="_1468075846" r:id="rId26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──锚杆轴向拉力设计值(kN)，支护结构重要性系数与作用基本组合的效应设计值的乘积（γ0Sd）可采用按（公式7.2.6.6-2）计算内力设计值：</w:t>
      </w:r>
    </w:p>
    <w:p>
      <w:pPr>
        <w:pStyle w:val="35"/>
      </w:pPr>
      <w:r>
        <w:rPr>
          <w:position w:val="-10"/>
        </w:rPr>
        <w:object>
          <v:shape id="_x0000_i1147" o:spt="75" type="#_x0000_t75" style="height:16.2pt;width:55.8pt;" o:ole="t" filled="f" o:preferrelative="t" stroked="f" coordsize="21600,21600">
            <v:path/>
            <v:fill on="f" focussize="0,0"/>
            <v:stroke on="f" joinstyle="miter"/>
            <v:imagedata r:id="rId269" o:title=""/>
            <o:lock v:ext="edit" aspectratio="t"/>
            <w10:wrap type="none"/>
            <w10:anchorlock/>
          </v:shape>
          <o:OLEObject Type="Embed" ProgID="Equation.DSMT4" ShapeID="_x0000_i1147" DrawAspect="Content" ObjectID="_1468075847" r:id="rId268">
            <o:LockedField>false</o:LockedField>
          </o:OLEObject>
        </w:object>
      </w:r>
      <w:r>
        <w:rPr>
          <w:rFonts w:hint="eastAsia"/>
          <w:position w:val="-10"/>
        </w:rPr>
        <w:t xml:space="preserve">  </w:t>
      </w:r>
      <w:r>
        <w:rPr>
          <w:rFonts w:hint="eastAsia"/>
        </w:rPr>
        <w:t>（7.2.6.6-2）</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──按作用标准组合计算的轴向拉力或轴向压力值(kN)。</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F</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—作用基本组合的综合分项系数；</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—结构重要性系数；</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8" o:spt="75" type="#_x0000_t75" style="height:18pt;width:16.2pt;" o:ole="t" filled="f" o:preferrelative="t" stroked="f" coordsize="21600,21600">
            <v:path/>
            <v:fill on="f" focussize="0,0"/>
            <v:stroke on="f" joinstyle="miter"/>
            <v:imagedata r:id="rId271" o:title=""/>
            <o:lock v:ext="edit" aspectratio="t"/>
            <w10:wrap type="none"/>
            <w10:anchorlock/>
          </v:shape>
          <o:OLEObject Type="Embed" ProgID="Equation.DSMT4" ShapeID="_x0000_i1148" DrawAspect="Content" ObjectID="_1468075848" r:id="rId27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──预应力钢筋抗拉强度设计值(kPa)；当锚杆杆体采用普通钢筋时，取普通钢筋强度设计值（fy）；</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49" o:spt="75" type="#_x0000_t75" style="height:18pt;width:16.2pt;" o:ole="t" filled="f" o:preferrelative="t" stroked="f" coordsize="21600,21600">
            <v:path/>
            <v:fill on="f" focussize="0,0"/>
            <v:stroke on="f" joinstyle="miter"/>
            <v:imagedata r:id="rId273" o:title=""/>
            <o:lock v:ext="edit" aspectratio="t"/>
            <w10:wrap type="none"/>
            <w10:anchorlock/>
          </v:shape>
          <o:OLEObject Type="Embed" ProgID="Equation.DSMT4" ShapeID="_x0000_i1149" DrawAspect="Content" ObjectID="_1468075849" r:id="rId27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──预应力钢筋的截面面积(m2)。</w:t>
      </w:r>
    </w:p>
    <w:p>
      <w:pPr>
        <w:pStyle w:val="51"/>
        <w:numPr>
          <w:ilvl w:val="255"/>
          <w:numId w:val="0"/>
        </w:numPr>
        <w:rPr>
          <w:rFonts w:ascii="宋体" w:cs="宋体"/>
          <w:color w:val="000000"/>
          <w:kern w:val="0"/>
        </w:rPr>
      </w:pPr>
      <w:r>
        <w:rPr>
          <w:b/>
          <w:bCs/>
        </w:rPr>
        <w:t>7.2.</w:t>
      </w:r>
      <w:r>
        <w:rPr>
          <w:rFonts w:hint="eastAsia"/>
          <w:b/>
          <w:bCs/>
        </w:rPr>
        <w:t>6</w:t>
      </w:r>
      <w:r>
        <w:rPr>
          <w:b/>
          <w:bCs/>
        </w:rPr>
        <w:t xml:space="preserve">.7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锚杆锁定值宜取锚杆轴向拉力标准值的0.75～0.9倍，且应与式（7.2.6.7-1）中的锚杆预加轴向拉力一致。锚杆和内支撑对挡土构件的作用应按下式确定：</w:t>
      </w:r>
    </w:p>
    <w:p>
      <w:pPr>
        <w:pStyle w:val="35"/>
        <w:rPr>
          <w:rFonts w:cs="Times New Roman"/>
          <w:color w:val="000000"/>
          <w:kern w:val="0"/>
        </w:rPr>
      </w:pPr>
      <w:r>
        <w:object>
          <v:shape id="_x0000_i1150" o:spt="75" type="#_x0000_t75" style="height:18pt;width:97.8pt;" o:ole="t" filled="f" o:preferrelative="t" stroked="f" coordsize="21600,21600">
            <v:path/>
            <v:fill on="f" focussize="0,0"/>
            <v:stroke on="f" joinstyle="miter"/>
            <v:imagedata r:id="rId275" o:title=""/>
            <o:lock v:ext="edit" aspectratio="t"/>
            <w10:wrap type="none"/>
            <w10:anchorlock/>
          </v:shape>
          <o:OLEObject Type="Embed" ProgID="Equation.DSMT4" ShapeID="_x0000_i1150" DrawAspect="Content" ObjectID="_1468075850" r:id="rId274">
            <o:LockedField>false</o:LockedField>
          </o:OLEObject>
        </w:object>
      </w:r>
      <w:r>
        <w:rPr>
          <w:rFonts w:hint="eastAsia"/>
        </w:rPr>
        <w:t xml:space="preserve">   （7.2.6.7-1）</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式中：F</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──挡土构件计算宽度内的弹性支点水平反力(kN)；</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1" o:spt="75" type="#_x0000_t75" style="height:16.2pt;width:12pt;" o:ole="t" filled="f" o:preferrelative="t" stroked="f" coordsize="21600,21600">
            <v:path/>
            <v:fill on="f" focussize="0,0"/>
            <v:stroke on="f" joinstyle="miter"/>
            <v:imagedata r:id="rId277" o:title=""/>
            <o:lock v:ext="edit" aspectratio="t"/>
            <w10:wrap type="none"/>
            <w10:anchorlock/>
          </v:shape>
          <o:OLEObject Type="Embed" ProgID="Equation.DSMT4" ShapeID="_x0000_i1151" DrawAspect="Content" ObjectID="_1468075851" r:id="rId27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──挡土构件在支点处的水平位移值(m)；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2" o:spt="75" type="#_x0000_t75" style="height:18pt;width:16.2pt;" o:ole="t" filled="f" o:preferrelative="t" stroked="f" coordsize="21600,21600">
            <v:path/>
            <v:fill on="f" focussize="0,0"/>
            <v:stroke on="f" joinstyle="miter"/>
            <v:imagedata r:id="rId279" o:title=""/>
            <o:lock v:ext="edit" aspectratio="t"/>
            <w10:wrap type="none"/>
            <w10:anchorlock/>
          </v:shape>
          <o:OLEObject Type="Embed" ProgID="Equation.DSMT4" ShapeID="_x0000_i1152" DrawAspect="Content" ObjectID="_1468075852" r:id="rId27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──设置支点时，支点的初始水平位移值(m)；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3" o:spt="75" type="#_x0000_t75" style="height:16.2pt;width:12pt;" o:ole="t" filled="f" o:preferrelative="t" stroked="f" coordsize="21600,21600">
            <v:path/>
            <v:fill on="f" focussize="0,0"/>
            <v:stroke on="f" joinstyle="miter"/>
            <v:imagedata r:id="rId281" o:title=""/>
            <o:lock v:ext="edit" aspectratio="t"/>
            <w10:wrap type="none"/>
            <w10:anchorlock/>
          </v:shape>
          <o:OLEObject Type="Embed" ProgID="Equation.DSMT4" ShapeID="_x0000_i1153" DrawAspect="Content" ObjectID="_1468075853" r:id="rId28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──挡土构件计算宽度内的法向预加力(kN)；采用锚杆或竖向斜撑时，取P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＝P·cosα·b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/s；采用水平对撑时，取P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＝P·b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/s；对不预加轴向压力的支撑，取P</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＝0；锚杆的预加轴向拉力（P）宜取（0.75N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～0.9N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），支撑的预加轴向压力（P）宜取（0.5N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～0.8N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），此处，P为锚杆的预加轴向拉力值或支撑的预加轴向压力值，α为锚杆倾角或支撑仰角，ba为结构计算宽度，s为锚杆或支撑的水平间距，N</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为锚杆轴向拉力标准值或支撑轴向压力标准值。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4" o:spt="75" type="#_x0000_t75" style="height:16.2pt;width:12pt;" o:ole="t" filled="f" o:preferrelative="t" stroked="f" coordsize="21600,21600">
            <v:path/>
            <v:fill on="f" focussize="0,0"/>
            <v:stroke on="f" joinstyle="miter"/>
            <v:imagedata r:id="rId283" o:title=""/>
            <o:lock v:ext="edit" aspectratio="t"/>
            <w10:wrap type="none"/>
            <w10:anchorlock/>
          </v:shape>
          <o:OLEObject Type="Embed" ProgID="Equation.DSMT4" ShapeID="_x0000_i1154" DrawAspect="Content" ObjectID="_1468075854" r:id="rId28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──计算宽度内弹性支点刚度系数(kN/m)；</w:t>
      </w:r>
    </w:p>
    <w:p>
      <w:pPr>
        <w:pStyle w:val="51"/>
        <w:numPr>
          <w:ilvl w:val="255"/>
          <w:numId w:val="0"/>
        </w:numPr>
      </w:pPr>
      <w:r>
        <w:rPr>
          <w:b/>
          <w:bCs/>
        </w:rPr>
        <w:t>7.2.</w:t>
      </w:r>
      <w:r>
        <w:rPr>
          <w:rFonts w:hint="eastAsia"/>
          <w:b/>
          <w:bCs/>
        </w:rPr>
        <w:t>6</w:t>
      </w:r>
      <w:r>
        <w:rPr>
          <w:b/>
          <w:bCs/>
        </w:rPr>
        <w:t xml:space="preserve">.8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锚杆的布置应符合下列规定: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锚杆的水平间距不宜小于1.5m；多层锚杆，其竖向间距不宜小于2.0m；当锚杆的间距小于1.5m时，应根据群锚效应对锚杆抗拔承载力进行折减或相邻锚杆应取不同的倾角；</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锚杆锚固段的上覆土层厚度不宜小于4.0m；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锚杆倾角宜取15°～25°，且不应大于45°，不应小于10°；锚杆的锚固段宜设置在土的粘结强度高的土层内；</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当锚杆穿过的地层上方存在天然地基的建（构）筑物或地下建（构）筑物时，宜避开易塌孔、变形的地层。</w:t>
      </w:r>
    </w:p>
    <w:p>
      <w:pPr>
        <w:pStyle w:val="51"/>
        <w:numPr>
          <w:ilvl w:val="255"/>
          <w:numId w:val="0"/>
        </w:numPr>
      </w:pPr>
      <w:r>
        <w:rPr>
          <w:b/>
          <w:bCs/>
        </w:rPr>
        <w:t>7.2.</w:t>
      </w:r>
      <w:r>
        <w:rPr>
          <w:rFonts w:hint="eastAsia"/>
          <w:b/>
          <w:bCs/>
        </w:rPr>
        <w:t>6</w:t>
      </w:r>
      <w:r>
        <w:rPr>
          <w:b/>
          <w:bCs/>
        </w:rPr>
        <w:t xml:space="preserve">.9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钢绞线锚杆、普通钢筋锚杆的构造应符合下列规定：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锚杆成孔直径宜取100mm～150mm；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锚杆自由段的长度不应小于5m，且穿过潜在滑动面进入稳定土层的长度不应小于1.5m；钢绞线、钢筋杆体在自由段应设置隔离套管；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土层中的锚杆锚固段长度不宜小于6m；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锚杆杆体的外露长度应满足腰梁、台座尺寸及张拉锁定的要求；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锚杆杆体用钢绞线应符合现行国家标准《预应力混凝土用钢绞线》GB/T5224的有关规定；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普通钢筋锚杆的杆体宜选用HRB335、HRB400级螺纹钢筋；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应沿锚杆杆体全长设置定位支架；定位支架应能使相邻定位支架中点处锚杆杆体的注浆固结体保护层厚度不小于10mm，定位支架的间距宜根据锚杆杆体的组装刚度确定，对自由段宜取1.5m～2.0m；对锚固段宜取1.0m～1.5m；定位支架应能使各根钢绞线相互分离；</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钢绞线用锚具应符合现行国家标准《预应力筋用锚具、夹具和连接器》GB/T14370的规定；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普通钢筋锚杆采用千斤顶张拉后对螺栓进行紧固的锁定方法，螺栓与杆体钢筋的连接、螺母的规格应满足锚杆拉力的要求；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10  锚杆注浆应采用水泥浆或水泥砂浆，注浆固结体强度不宜低于20MPa。</w:t>
      </w:r>
    </w:p>
    <w:p>
      <w:pPr>
        <w:pStyle w:val="51"/>
        <w:numPr>
          <w:ilvl w:val="255"/>
          <w:numId w:val="0"/>
        </w:numPr>
      </w:pPr>
      <w:r>
        <w:rPr>
          <w:b/>
          <w:bCs/>
        </w:rPr>
        <w:t>7.2.</w:t>
      </w:r>
      <w:r>
        <w:rPr>
          <w:rFonts w:hint="eastAsia"/>
          <w:b/>
          <w:bCs/>
        </w:rPr>
        <w:t>6</w:t>
      </w:r>
      <w:r>
        <w:rPr>
          <w:b/>
          <w:bCs/>
        </w:rPr>
        <w:t xml:space="preserve">.10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腰梁可采用型钢组合梁或混凝土梁。锚杆腰梁应按受弯构件设计。锚杆腰梁的正截面、斜截面承载力，对混凝土腰梁，应符合现行国家标准《混凝土结构设计规范》BG50010的规定；对型钢组合腰梁，应符合现行国家标准《钢结构设计标准》GB50017的规定。当锚杆锚固在混凝土冠梁上时，冠梁应按受弯构件设计，其截面承载力应符合上述国家标准的规定。</w:t>
      </w:r>
    </w:p>
    <w:p>
      <w:pPr>
        <w:pStyle w:val="51"/>
        <w:numPr>
          <w:ilvl w:val="255"/>
          <w:numId w:val="0"/>
        </w:numPr>
      </w:pPr>
      <w:r>
        <w:rPr>
          <w:b/>
          <w:bCs/>
        </w:rPr>
        <w:t>7.2.</w:t>
      </w:r>
      <w:r>
        <w:rPr>
          <w:rFonts w:hint="eastAsia"/>
          <w:b/>
          <w:bCs/>
        </w:rPr>
        <w:t>6</w:t>
      </w:r>
      <w:r>
        <w:rPr>
          <w:b/>
          <w:bCs/>
        </w:rPr>
        <w:t xml:space="preserve">.11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锚杆腰梁应根据实际约束条件按连续梁或简支梁计算。计算腰梁的内力时，腰梁的荷载应取结构分析时得出的支点力设计值。</w:t>
      </w:r>
    </w:p>
    <w:p>
      <w:pPr>
        <w:pStyle w:val="51"/>
        <w:numPr>
          <w:ilvl w:val="255"/>
          <w:numId w:val="0"/>
        </w:numPr>
      </w:pPr>
      <w:r>
        <w:rPr>
          <w:b/>
          <w:bCs/>
        </w:rPr>
        <w:t>7.2.</w:t>
      </w:r>
      <w:r>
        <w:rPr>
          <w:rFonts w:hint="eastAsia"/>
          <w:b/>
          <w:bCs/>
        </w:rPr>
        <w:t>6</w:t>
      </w:r>
      <w:r>
        <w:rPr>
          <w:b/>
          <w:bCs/>
        </w:rPr>
        <w:t>.1</w:t>
      </w:r>
      <w:r>
        <w:rPr>
          <w:rFonts w:hint="eastAsia"/>
          <w:b/>
          <w:bCs/>
        </w:rPr>
        <w:t>2</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型钢组合腰梁可选用双槽钢或双工字钢，槽钢之间或工字钢之间应用缀板焊接为整体构件，焊缝连接应采用贴角焊。双槽钢或双工字钢之间的净间距应满足锚杆杆体平直穿过的要求。</w:t>
      </w:r>
    </w:p>
    <w:p>
      <w:pPr>
        <w:pStyle w:val="51"/>
        <w:widowControl w:val="0"/>
        <w:numPr>
          <w:ilvl w:val="255"/>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b/>
          <w:bCs/>
        </w:rPr>
        <w:t>7.2.</w:t>
      </w:r>
      <w:r>
        <w:rPr>
          <w:rFonts w:hint="eastAsia"/>
          <w:b/>
          <w:bCs/>
        </w:rPr>
        <w:t>6</w:t>
      </w:r>
      <w:r>
        <w:rPr>
          <w:b/>
          <w:bCs/>
        </w:rPr>
        <w:t>.1</w:t>
      </w:r>
      <w:r>
        <w:rPr>
          <w:rFonts w:hint="eastAsia"/>
          <w:b/>
          <w:bCs/>
        </w:rPr>
        <w:t>3</w:t>
      </w:r>
      <w:r>
        <w:rPr>
          <w:b/>
          <w:bCs/>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型钢组合腰梁可选用双槽钢或双工字钢，槽钢之间或工字钢之间应用缀板焊接为整体构件，焊缝连接应采用贴角焊。双槽钢或双工字钢之间的净间距应满足锚杆杆体平直穿过的要求。采用型钢组合腰梁时，腰梁应满足在锚杆集中荷载作用下的局部受压稳定与受扭稳定的构造要求。当需要增加局部受压和受扭稳定性时，可在型钢翼缘端口处配置加劲肋板。</w:t>
      </w:r>
    </w:p>
    <w:p>
      <w:pPr>
        <w:pStyle w:val="51"/>
        <w:numPr>
          <w:ilvl w:val="255"/>
          <w:numId w:val="0"/>
        </w:numPr>
        <w:ind w:firstLine="480" w:firstLineChars="200"/>
        <w:jc w:val="center"/>
      </w:pPr>
      <w:r>
        <w:rPr>
          <w:rFonts w:ascii="楷体" w:hAnsi="楷体" w:eastAsia="楷体"/>
        </w:rPr>
        <w:drawing>
          <wp:inline distT="0" distB="0" distL="0" distR="0">
            <wp:extent cx="5154295" cy="10223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a:xfrm>
                      <a:off x="0" y="0"/>
                      <a:ext cx="5331990" cy="1058168"/>
                    </a:xfrm>
                    <a:prstGeom prst="rect">
                      <a:avLst/>
                    </a:prstGeom>
                    <a:noFill/>
                    <a:ln>
                      <a:noFill/>
                    </a:ln>
                  </pic:spPr>
                </pic:pic>
              </a:graphicData>
            </a:graphic>
          </wp:inline>
        </w:drawing>
      </w:r>
    </w:p>
    <w:p>
      <w:pPr>
        <w:pStyle w:val="33"/>
      </w:pPr>
      <w:r>
        <w:rPr>
          <w:rFonts w:hint="eastAsia"/>
        </w:rPr>
        <w:t>(</w:t>
      </w:r>
      <w:r>
        <w:t>a)</w:t>
      </w:r>
      <w:r>
        <w:rPr>
          <w:rFonts w:hint="eastAsia"/>
        </w:rPr>
        <w:t>工字钢</w:t>
      </w:r>
      <w:r>
        <w:t xml:space="preserve">                            (</w:t>
      </w:r>
      <w:r>
        <w:rPr>
          <w:rFonts w:hint="eastAsia"/>
        </w:rPr>
        <w:t>b</w:t>
      </w:r>
      <w:r>
        <w:t>)</w:t>
      </w:r>
      <w:r>
        <w:rPr>
          <w:rFonts w:hint="eastAsia"/>
        </w:rPr>
        <w:t>槽钢</w:t>
      </w:r>
    </w:p>
    <w:p>
      <w:pPr>
        <w:pStyle w:val="33"/>
      </w:pPr>
      <w:r>
        <w:t xml:space="preserve"> </w:t>
      </w:r>
      <w:r>
        <w:rPr>
          <w:rFonts w:hint="eastAsia"/>
        </w:rPr>
        <w:t>钢腰梁的局部加强构造形式图</w:t>
      </w:r>
    </w:p>
    <w:p>
      <w:pPr>
        <w:pStyle w:val="33"/>
        <w:rPr>
          <w:sz w:val="20"/>
          <w:szCs w:val="20"/>
        </w:rPr>
      </w:pPr>
      <w:r>
        <w:rPr>
          <w:rFonts w:hint="eastAsia"/>
          <w:sz w:val="20"/>
          <w:szCs w:val="20"/>
        </w:rPr>
        <w:t>1</w:t>
      </w:r>
      <w:r>
        <w:rPr>
          <w:sz w:val="20"/>
          <w:szCs w:val="20"/>
        </w:rPr>
        <w:t>-</w:t>
      </w:r>
      <w:r>
        <w:rPr>
          <w:rFonts w:hint="eastAsia"/>
          <w:sz w:val="20"/>
          <w:szCs w:val="20"/>
        </w:rPr>
        <w:t>加强助板</w:t>
      </w:r>
      <w:r>
        <w:rPr>
          <w:sz w:val="20"/>
          <w:szCs w:val="20"/>
        </w:rPr>
        <w:t>;2-</w:t>
      </w:r>
      <w:r>
        <w:rPr>
          <w:rFonts w:hint="eastAsia"/>
          <w:sz w:val="20"/>
          <w:szCs w:val="20"/>
        </w:rPr>
        <w:t>锚头</w:t>
      </w:r>
      <w:r>
        <w:rPr>
          <w:sz w:val="20"/>
          <w:szCs w:val="20"/>
        </w:rPr>
        <w:t>;3-</w:t>
      </w:r>
      <w:r>
        <w:rPr>
          <w:rFonts w:hint="eastAsia"/>
          <w:sz w:val="20"/>
          <w:szCs w:val="20"/>
        </w:rPr>
        <w:t>工字钢;</w:t>
      </w:r>
      <w:r>
        <w:rPr>
          <w:sz w:val="20"/>
          <w:szCs w:val="20"/>
        </w:rPr>
        <w:t>4-</w:t>
      </w:r>
      <w:r>
        <w:rPr>
          <w:rFonts w:hint="eastAsia"/>
          <w:sz w:val="20"/>
          <w:szCs w:val="20"/>
        </w:rPr>
        <w:t>槽钢</w:t>
      </w:r>
    </w:p>
    <w:p>
      <w:pPr>
        <w:pStyle w:val="51"/>
        <w:numPr>
          <w:ilvl w:val="255"/>
          <w:numId w:val="0"/>
        </w:numPr>
      </w:pPr>
    </w:p>
    <w:p>
      <w:pPr>
        <w:pStyle w:val="51"/>
        <w:numPr>
          <w:ilvl w:val="255"/>
          <w:numId w:val="0"/>
        </w:numPr>
      </w:pPr>
      <w:r>
        <w:rPr>
          <w:b/>
          <w:bCs/>
        </w:rPr>
        <w:t>7.2.</w:t>
      </w:r>
      <w:r>
        <w:rPr>
          <w:rFonts w:hint="eastAsia"/>
          <w:b/>
          <w:bCs/>
        </w:rPr>
        <w:t>6</w:t>
      </w:r>
      <w:r>
        <w:rPr>
          <w:b/>
          <w:bCs/>
        </w:rPr>
        <w:t>.1</w:t>
      </w:r>
      <w:r>
        <w:rPr>
          <w:rFonts w:hint="eastAsia"/>
          <w:b/>
          <w:bCs/>
        </w:rPr>
        <w:t>4</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锚杆的混凝土腰梁、冠梁宜采用斜面与锚杆轴线垂直的梯形截面；腰梁、冠梁的混凝土强度等级不宜低于C25。采用梯形截面时，截面的上边水平尺寸不宜小于250mm。</w:t>
      </w:r>
    </w:p>
    <w:p>
      <w:pPr>
        <w:pStyle w:val="51"/>
        <w:numPr>
          <w:ilvl w:val="255"/>
          <w:numId w:val="0"/>
        </w:numPr>
        <w:rPr>
          <w:rStyle w:val="37"/>
        </w:rPr>
      </w:pPr>
      <w:r>
        <w:rPr>
          <w:b/>
          <w:bCs/>
        </w:rPr>
        <w:t>7.2.</w:t>
      </w:r>
      <w:r>
        <w:rPr>
          <w:rFonts w:hint="eastAsia"/>
          <w:b/>
          <w:bCs/>
        </w:rPr>
        <w:t>6</w:t>
      </w:r>
      <w:r>
        <w:rPr>
          <w:b/>
          <w:bCs/>
        </w:rPr>
        <w:t xml:space="preserve">.15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楔形钢垫块时，楔形钢垫块与挡土构件、腰梁的连接应满足受压稳定性和锚杆垂直分力作用下的受剪承载力要求。采用楔形混凝土垫块时，混凝土垫块应满足抗压强度和锚杆垂直分力作用下的受剪承载力要求，且其强度等级不宜低于C25。</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支挡式结构—锚杆施工与检测：</w:t>
      </w:r>
    </w:p>
    <w:p>
      <w:pPr>
        <w:pStyle w:val="51"/>
        <w:numPr>
          <w:ilvl w:val="255"/>
          <w:numId w:val="0"/>
        </w:numPr>
      </w:pPr>
      <w:r>
        <w:rPr>
          <w:b/>
          <w:bCs/>
        </w:rPr>
        <w:t xml:space="preserve">7.2.7.1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当锚杆穿过的地层附近存在既有地下管线、地下建（构）筑物时，应在调查或探明其位置、走向、类型、使用状况等情况后再进行锚杆施工。</w:t>
      </w:r>
    </w:p>
    <w:p>
      <w:pPr>
        <w:pStyle w:val="51"/>
        <w:numPr>
          <w:ilvl w:val="255"/>
          <w:numId w:val="0"/>
        </w:numPr>
      </w:pPr>
      <w:r>
        <w:rPr>
          <w:b/>
          <w:bCs/>
        </w:rPr>
        <w:t xml:space="preserve">7.2.7.2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锚杆的成孔应符合下列规定：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应根据土层性状和地下水条件选择套管护壁、干成孔或泥浆护壁成孔工艺，成孔工艺应满足孔壁稳定性要求；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对松散和稍密的砂土、粉土，卵石，填土，有机质土，高液性指数的粘性土宜采用套管护壁成孔护壁工艺；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在地下水位以下时，不宜采用干成孔工艺；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在高塑性指数的饱和粘性土层成孔时，不宜采用泥浆护壁成孔工艺；</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当成孔过程中遇不明障碍物时，在查明其性质前不得钻进。</w:t>
      </w:r>
    </w:p>
    <w:p>
      <w:pPr>
        <w:pStyle w:val="51"/>
        <w:numPr>
          <w:ilvl w:val="255"/>
          <w:numId w:val="0"/>
        </w:numPr>
      </w:pPr>
      <w:r>
        <w:rPr>
          <w:b/>
          <w:bCs/>
        </w:rPr>
        <w:t>7.2.7.3</w:t>
      </w:r>
      <w:r>
        <w:rPr>
          <w:rFonts w:hint="eastAsia"/>
          <w:b/>
          <w:bCs/>
          <w:lang w:val="en-US" w:eastAsia="zh-CN"/>
        </w:rPr>
        <w:t xml:space="preserve"> </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钢绞线锚杆和普通钢筋锚杆杆体的制作安装应符合下列规定：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钢绞线锚杆杆体绑扎时，钢绞线应平行、间距均匀；杆体插入孔内时，应避免钢绞线在孔内弯曲或扭转；</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当锚杆杆体采用HRB335、HRB400级钢筋时，其连接宜采用机械连接、双面搭接焊、双面帮条焊；采用双面焊时，焊缝长度不应小于5d，此处，d为杆体钢筋直径；</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杆体制作和安放时应除锈、除油污、避免杆体弯曲；</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采用套管护壁工艺成孔时，应在拔出套管前将杆体插入孔内；采用非套管护壁成孔时，杆体应匀速推送至孔内；</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成孔后应及时插入杆体及注浆。</w:t>
      </w:r>
    </w:p>
    <w:p>
      <w:pPr>
        <w:pStyle w:val="51"/>
        <w:numPr>
          <w:ilvl w:val="255"/>
          <w:numId w:val="0"/>
        </w:numPr>
      </w:pPr>
      <w:r>
        <w:rPr>
          <w:b/>
          <w:bCs/>
        </w:rPr>
        <w:t xml:space="preserve">7.2.7.4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钢绞线锚杆和普通钢筋锚杆的注浆应符合下列规定：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注浆液采用水泥浆时，水灰比宜取0.50～0.55；采用水泥砂浆时，水灰比宜取0.40～0.45,灰砂比宜取0.5～1.0，拌和用砂宜选用中粗砂；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水泥浆或水泥砂浆内可掺入能提高注浆固结体早期强度或微膨胀的外掺剂，其掺入量宜按室内试验确定；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注浆管端部至孔底的距离不宜大于200mm；注浆及拔管过程中，注浆管口应始终埋入注浆液面内，应在水泥浆液从孔口溢出后停止注浆；注浆后，当浆液液面下降时，应进行孔口补浆；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采用二次压力注浆工艺时，二次压力注浆宜采用水灰比0.50～0.55的水泥浆；二次注浆管应牢固绑扎在杆体上，注浆管的出浆口应采取逆止措施；二次压力注浆时，终止注浆的压力不应小于1.5MPa；</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采用分段二次劈裂注浆工艺时，注浆宜在固结体强度达到5MPa后进行，注浆管的出浆孔宜沿锚固段全长设置，注浆顺序应由内向外分段依次进行；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基坑采用截水帷幕时，地下水位以下的锚杆注浆应采取孔口封堵措施；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寒冷地区在冬期施工时，应对注浆液采取保温措施，浆液温度应保持在5°C以上。</w:t>
      </w:r>
    </w:p>
    <w:p>
      <w:pPr>
        <w:pStyle w:val="51"/>
        <w:numPr>
          <w:ilvl w:val="255"/>
          <w:numId w:val="0"/>
        </w:numPr>
      </w:pPr>
      <w:r>
        <w:rPr>
          <w:b/>
          <w:bCs/>
        </w:rPr>
        <w:t xml:space="preserve">7.2.7.5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锚杆的施工偏差应符合下列要求：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钻孔深度宜大于设计深度0.5m；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钻孔孔位的允许偏差应为50mm；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钻孔倾角的允许偏差应为3°；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杆体长度应大于设计长度；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自由段的套管长度允许偏差应为±50mm。</w:t>
      </w:r>
    </w:p>
    <w:p>
      <w:pPr>
        <w:pStyle w:val="51"/>
        <w:numPr>
          <w:ilvl w:val="255"/>
          <w:numId w:val="0"/>
        </w:numPr>
      </w:pPr>
      <w:r>
        <w:rPr>
          <w:b/>
          <w:bCs/>
        </w:rPr>
        <w:t xml:space="preserve">7.2.7.6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组合型钢锚杆腰梁、钢台座的施工应符合现行国家标准《钢结构工程施工质量验收规范》GB50205的有关规定；混凝土锚杆腰梁、混凝土台座的施工应符合现行国家标准《混凝土结构工程施工质量验收规范》GB50204的有关规定。</w:t>
      </w:r>
    </w:p>
    <w:p>
      <w:pPr>
        <w:pStyle w:val="51"/>
        <w:numPr>
          <w:ilvl w:val="255"/>
          <w:numId w:val="0"/>
        </w:numPr>
      </w:pPr>
      <w:r>
        <w:rPr>
          <w:b/>
          <w:bCs/>
        </w:rPr>
        <w:t xml:space="preserve">7.2.7.7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组合型钢锚杆腰梁、钢台座的施工应符合现行国家标准《钢结构工程施预应力锚杆张拉锁定时应符合下列要求：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当锚杆固结体的强度达到设计强度的75%且不小于15MPa后，方可进行锚杆的张拉锁定；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拉力型钢绞线锚杆宜采用钢绞线束整体张拉锁定的方法；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锚杆锁定前，应按表7.2.7.8的张拉值进行锚杆预张拉；锚杆张拉应平缓加载，加载速率不宜大于0.1Nk/min,此处，Nk为锚杆轴向拉力标准值；在张拉值下的锚杆位移和压力表压力应保持稳定当锚头位移不稳定时，应判定此根锚杆不合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锁定时的锚杆拉力应考虑锁定过程的预应力损失量；预应力损失量宜通过对锁定前、后锚杆拉力的测试确定；缺少测试数据时，锁定时的锚杆拉力可取锁定值的1.1倍～1.15倍；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锚杆锁定尚应考虑相邻锚杆张拉锁定引起的预应力损失，当锚杆预应力损失严重时，应进行再次锁定；锚杆出现锚头松弛、脱落、锚具失效等情况时，应及时进行修复并对其进行再次锁定；</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当锚杆需要再次张拉锁定时，锚具外杆体的长度和完好程度应满足张拉要求。</w:t>
      </w:r>
    </w:p>
    <w:p>
      <w:pPr>
        <w:pStyle w:val="51"/>
        <w:numPr>
          <w:ilvl w:val="255"/>
          <w:numId w:val="0"/>
        </w:numPr>
      </w:pPr>
      <w:r>
        <w:rPr>
          <w:b/>
          <w:bCs/>
        </w:rPr>
        <w:t xml:space="preserve">7.2.7.8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锚杆的检测应符合下列规定：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检测数量不应少于锚杆总数的5%，且同一土层中的锚杆检测数量不应少于3根；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检测试验应在锚杆的固结体强度达到设计强度的75%后进行；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检测锚杆应采用随机抽样的方法选取；</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检测试验的张拉值应按本规程表7.2.2.8 取值；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检测试验应按本规程附录B的验收试验方法进行；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当检测的锚杆不合格时，应扩大检测数量。</w:t>
      </w:r>
    </w:p>
    <w:p>
      <w:pPr>
        <w:pStyle w:val="38"/>
      </w:pPr>
      <w:r>
        <w:rPr>
          <w:rFonts w:hint="eastAsia"/>
        </w:rPr>
        <w:t>表</w:t>
      </w:r>
      <w:r>
        <w:rPr>
          <w:rFonts w:hint="eastAsia"/>
          <w:sz w:val="24"/>
        </w:rPr>
        <w:t xml:space="preserve">7.2.7.8 </w:t>
      </w:r>
      <w:r>
        <w:rPr>
          <w:rFonts w:hint="eastAsia"/>
        </w:rPr>
        <w:t>锚杆的张拉值</w:t>
      </w:r>
    </w:p>
    <w:tbl>
      <w:tblPr>
        <w:tblStyle w:val="22"/>
        <w:tblW w:w="7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3943"/>
        <w:gridCol w:w="3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0" w:hRule="atLeast"/>
          <w:jc w:val="center"/>
        </w:trPr>
        <w:tc>
          <w:tcPr>
            <w:tcW w:w="3943" w:type="dxa"/>
            <w:shd w:val="clear" w:color="auto" w:fill="FFFFFF" w:themeFill="background1"/>
            <w:noWrap/>
            <w:vAlign w:val="center"/>
          </w:tcPr>
          <w:p>
            <w:pPr>
              <w:pStyle w:val="33"/>
            </w:pPr>
            <w:r>
              <w:rPr>
                <w:rFonts w:hint="eastAsia"/>
              </w:rPr>
              <w:t>支护结构的安全等级</w:t>
            </w:r>
          </w:p>
        </w:tc>
        <w:tc>
          <w:tcPr>
            <w:tcW w:w="3984" w:type="dxa"/>
            <w:shd w:val="clear" w:color="auto" w:fill="FFFFFF" w:themeFill="background1"/>
            <w:noWrap/>
            <w:vAlign w:val="center"/>
          </w:tcPr>
          <w:p>
            <w:pPr>
              <w:pStyle w:val="33"/>
            </w:pPr>
            <w:r>
              <w:rPr>
                <w:rFonts w:hint="eastAsia"/>
              </w:rPr>
              <w:t>锚张拉值与轴向拉力标准值N</w:t>
            </w:r>
            <w:r>
              <w:rPr>
                <w:rFonts w:hint="eastAsia"/>
                <w:vertAlign w:val="subscript"/>
              </w:rPr>
              <w:t>k</w:t>
            </w:r>
            <w:r>
              <w:rPr>
                <w:rFonts w:hint="eastAsia"/>
              </w:rPr>
              <w:t>的比值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0" w:hRule="atLeast"/>
          <w:jc w:val="center"/>
        </w:trPr>
        <w:tc>
          <w:tcPr>
            <w:tcW w:w="3943" w:type="dxa"/>
            <w:shd w:val="clear" w:color="auto" w:fill="FFFFFF" w:themeFill="background1"/>
            <w:noWrap/>
            <w:vAlign w:val="center"/>
          </w:tcPr>
          <w:p>
            <w:pPr>
              <w:pStyle w:val="33"/>
            </w:pPr>
            <w:r>
              <w:rPr>
                <w:rFonts w:hint="eastAsia"/>
              </w:rPr>
              <w:t>一级</w:t>
            </w:r>
          </w:p>
        </w:tc>
        <w:tc>
          <w:tcPr>
            <w:tcW w:w="3984" w:type="dxa"/>
            <w:shd w:val="clear" w:color="auto" w:fill="FFFFFF" w:themeFill="background1"/>
            <w:noWrap/>
            <w:vAlign w:val="center"/>
          </w:tcPr>
          <w:p>
            <w:pPr>
              <w:pStyle w:val="33"/>
            </w:pPr>
            <w:r>
              <w:rPr>
                <w:rFonts w:hint="eastAsia"/>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90" w:hRule="atLeast"/>
          <w:jc w:val="center"/>
        </w:trPr>
        <w:tc>
          <w:tcPr>
            <w:tcW w:w="3943" w:type="dxa"/>
            <w:shd w:val="clear" w:color="auto" w:fill="FFFFFF" w:themeFill="background1"/>
            <w:noWrap/>
            <w:vAlign w:val="center"/>
          </w:tcPr>
          <w:p>
            <w:pPr>
              <w:pStyle w:val="33"/>
            </w:pPr>
            <w:r>
              <w:rPr>
                <w:rFonts w:hint="eastAsia"/>
              </w:rPr>
              <w:t>二级</w:t>
            </w:r>
          </w:p>
        </w:tc>
        <w:tc>
          <w:tcPr>
            <w:tcW w:w="3984" w:type="dxa"/>
            <w:shd w:val="clear" w:color="auto" w:fill="FFFFFF" w:themeFill="background1"/>
            <w:noWrap/>
            <w:vAlign w:val="center"/>
          </w:tcPr>
          <w:p>
            <w:pPr>
              <w:pStyle w:val="33"/>
            </w:pPr>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943" w:type="dxa"/>
            <w:shd w:val="clear" w:color="auto" w:fill="FFFFFF" w:themeFill="background1"/>
            <w:noWrap/>
            <w:vAlign w:val="center"/>
          </w:tcPr>
          <w:p>
            <w:pPr>
              <w:pStyle w:val="33"/>
            </w:pPr>
            <w:r>
              <w:rPr>
                <w:rFonts w:hint="eastAsia"/>
              </w:rPr>
              <w:t>三级</w:t>
            </w:r>
          </w:p>
        </w:tc>
        <w:tc>
          <w:tcPr>
            <w:tcW w:w="3984" w:type="dxa"/>
            <w:shd w:val="clear" w:color="auto" w:fill="FFFFFF" w:themeFill="background1"/>
            <w:noWrap/>
            <w:vAlign w:val="center"/>
          </w:tcPr>
          <w:p>
            <w:pPr>
              <w:pStyle w:val="33"/>
            </w:pPr>
            <w:r>
              <w:rPr>
                <w:rFonts w:hint="eastAsia"/>
              </w:rPr>
              <w:t>1.2</w:t>
            </w:r>
          </w:p>
        </w:tc>
      </w:tr>
    </w:tbl>
    <w:p>
      <w:pPr>
        <w:pStyle w:val="40"/>
      </w:pPr>
    </w:p>
    <w:p>
      <w:pPr>
        <w:pStyle w:val="51"/>
        <w:numPr>
          <w:ilvl w:val="255"/>
          <w:numId w:val="0"/>
        </w:numPr>
      </w:pPr>
      <w:r>
        <w:rPr>
          <w:b/>
          <w:bCs/>
        </w:rPr>
        <w:t xml:space="preserve">7.2.7.9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锚杆（索）工程所用的原材料的品种、规格、质量必须符合设计要求。检验数量：按进场的批次和产品的抽样检验方案确定。检验方法：检查出厂合格证、试验报告。</w:t>
      </w:r>
    </w:p>
    <w:p>
      <w:pPr>
        <w:pStyle w:val="51"/>
        <w:numPr>
          <w:ilvl w:val="255"/>
          <w:numId w:val="0"/>
        </w:numPr>
      </w:pPr>
      <w:r>
        <w:rPr>
          <w:b/>
          <w:bCs/>
        </w:rPr>
        <w:t xml:space="preserve">7.2.7.10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索）的组装安放和注浆必须符合设计要求。浆体强度必须符合设计要求。检验数量：施工单位每检验批取试件2组，每组试件不少于6块；监理单位按施工单位检查数量的30%作见证检验或10%作平行检验，且不少于1组。检验方法：试件做抗压强度试验。</w:t>
      </w:r>
    </w:p>
    <w:p>
      <w:pPr>
        <w:pStyle w:val="51"/>
        <w:numPr>
          <w:ilvl w:val="255"/>
          <w:numId w:val="0"/>
        </w:numPr>
      </w:pPr>
      <w:r>
        <w:rPr>
          <w:b/>
          <w:bCs/>
        </w:rPr>
        <w:t>7.2.7.11</w:t>
      </w:r>
      <w:r>
        <w:rPr>
          <w:rFonts w:hint="eastAsia"/>
        </w:rPr>
        <w:t xml:space="preserve"> </w:t>
      </w:r>
      <w:r>
        <w:rPr>
          <w:rFonts w:hint="eastAsia"/>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索）的锚固段浆液达到设计要求后，方可进行张拉并锁定，其张拉值及锁定值应符合设计要求。检验数量：施工单位逐根检查，监理单位按施工单位检查数量的30%作见证检验。检验方法：观察、检查施工记录。</w:t>
      </w:r>
    </w:p>
    <w:p>
      <w:pPr>
        <w:pStyle w:val="51"/>
        <w:numPr>
          <w:ilvl w:val="255"/>
          <w:numId w:val="0"/>
        </w:numPr>
      </w:pPr>
      <w:r>
        <w:rPr>
          <w:b/>
          <w:bCs/>
        </w:rPr>
        <w:t xml:space="preserve">7.2.7.12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锚杆（索）注浆量、注浆压力必须符合设计要求。检验数量：施工单位逐孔检查，监理单位按施工单位检查数量的30%作见证检验。检验方法：检查施工记录。</w:t>
      </w:r>
    </w:p>
    <w:p>
      <w:pPr>
        <w:pStyle w:val="51"/>
        <w:numPr>
          <w:ilvl w:val="255"/>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b/>
          <w:bCs/>
        </w:rPr>
        <w:t xml:space="preserve">7.2.7.13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锚杆杆体、锚索插入孔中长度的允许偏差应为±30mm。检验数量：施工单位检查锚杆（索）全数检查，监理单位按施工单位检查数量的30%作见证检验。检验方法：锚索抗拔力检验。</w:t>
      </w:r>
    </w:p>
    <w:p>
      <w:pPr>
        <w:pStyle w:val="51"/>
        <w:numPr>
          <w:ilvl w:val="255"/>
          <w:numId w:val="0"/>
        </w:numPr>
      </w:pPr>
      <w:r>
        <w:rPr>
          <w:b/>
          <w:bCs/>
        </w:rPr>
        <w:t xml:space="preserve">7.2.7.14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锚杆（索）质量允许偏差应符合表7.2.7.14的规定。</w:t>
      </w:r>
    </w:p>
    <w:p>
      <w:pPr>
        <w:pStyle w:val="38"/>
      </w:pPr>
      <w:r>
        <w:rPr>
          <w:rFonts w:cs="Times New Roman" w:asciiTheme="minorEastAsia" w:hAnsiTheme="minorEastAsia"/>
          <w:bCs/>
        </w:rPr>
        <w:t>表</w:t>
      </w:r>
      <w:r>
        <w:rPr>
          <w:rFonts w:hint="eastAsia"/>
          <w:sz w:val="24"/>
        </w:rPr>
        <w:t>7.2.7.14</w:t>
      </w:r>
      <w:r>
        <w:rPr>
          <w:rFonts w:cs="Times New Roman" w:asciiTheme="minorEastAsia" w:hAnsiTheme="minorEastAsia"/>
          <w:bCs/>
        </w:rPr>
        <w:t>锚索质量检查允许偏差</w:t>
      </w:r>
    </w:p>
    <w:tbl>
      <w:tblPr>
        <w:tblStyle w:val="22"/>
        <w:tblW w:w="5000" w:type="pct"/>
        <w:jc w:val="center"/>
        <w:tblLayout w:type="autofit"/>
        <w:tblCellMar>
          <w:top w:w="0" w:type="dxa"/>
          <w:left w:w="0" w:type="dxa"/>
          <w:bottom w:w="0" w:type="dxa"/>
          <w:right w:w="0" w:type="dxa"/>
        </w:tblCellMar>
      </w:tblPr>
      <w:tblGrid>
        <w:gridCol w:w="840"/>
        <w:gridCol w:w="2888"/>
        <w:gridCol w:w="667"/>
        <w:gridCol w:w="1310"/>
        <w:gridCol w:w="1004"/>
        <w:gridCol w:w="1627"/>
      </w:tblGrid>
      <w:tr>
        <w:tblPrEx>
          <w:tblCellMar>
            <w:top w:w="0" w:type="dxa"/>
            <w:left w:w="0" w:type="dxa"/>
            <w:bottom w:w="0" w:type="dxa"/>
            <w:right w:w="0" w:type="dxa"/>
          </w:tblCellMar>
        </w:tblPrEx>
        <w:trPr>
          <w:trHeight w:val="255" w:hRule="atLeast"/>
          <w:jc w:val="center"/>
        </w:trPr>
        <w:tc>
          <w:tcPr>
            <w:tcW w:w="504"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序号</w:t>
            </w:r>
          </w:p>
        </w:tc>
        <w:tc>
          <w:tcPr>
            <w:tcW w:w="1732"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检査项目</w:t>
            </w:r>
          </w:p>
        </w:tc>
        <w:tc>
          <w:tcPr>
            <w:tcW w:w="1186" w:type="pct"/>
            <w:gridSpan w:val="2"/>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tcPr>
          <w:p>
            <w:pPr>
              <w:pStyle w:val="33"/>
            </w:pPr>
            <w:r>
              <w:rPr>
                <w:lang w:bidi="ar"/>
              </w:rPr>
              <w:t>允许偏差</w:t>
            </w:r>
          </w:p>
        </w:tc>
        <w:tc>
          <w:tcPr>
            <w:tcW w:w="602"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pStyle w:val="33"/>
            </w:pPr>
            <w:r>
              <w:rPr>
                <w:lang w:bidi="ar"/>
              </w:rPr>
              <w:t>施工单位检査数量</w:t>
            </w:r>
          </w:p>
        </w:tc>
        <w:tc>
          <w:tcPr>
            <w:tcW w:w="976"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检验方法</w:t>
            </w:r>
          </w:p>
        </w:tc>
      </w:tr>
      <w:tr>
        <w:tblPrEx>
          <w:tblCellMar>
            <w:top w:w="0" w:type="dxa"/>
            <w:left w:w="0" w:type="dxa"/>
            <w:bottom w:w="0" w:type="dxa"/>
            <w:right w:w="0" w:type="dxa"/>
          </w:tblCellMar>
        </w:tblPrEx>
        <w:trPr>
          <w:trHeight w:val="255" w:hRule="atLeast"/>
          <w:jc w:val="center"/>
        </w:trPr>
        <w:tc>
          <w:tcPr>
            <w:tcW w:w="504"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p>
        </w:tc>
        <w:tc>
          <w:tcPr>
            <w:tcW w:w="1732"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p>
        </w:tc>
        <w:tc>
          <w:tcPr>
            <w:tcW w:w="40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tcPr>
          <w:p>
            <w:pPr>
              <w:pStyle w:val="33"/>
            </w:pPr>
            <w:r>
              <w:rPr>
                <w:lang w:bidi="ar"/>
              </w:rPr>
              <w:t>单位</w:t>
            </w:r>
          </w:p>
        </w:tc>
        <w:tc>
          <w:tcPr>
            <w:tcW w:w="78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tcPr>
          <w:p>
            <w:pPr>
              <w:pStyle w:val="33"/>
            </w:pPr>
            <w:r>
              <w:rPr>
                <w:lang w:bidi="ar"/>
              </w:rPr>
              <w:t>数值</w:t>
            </w:r>
          </w:p>
        </w:tc>
        <w:tc>
          <w:tcPr>
            <w:tcW w:w="602" w:type="pct"/>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tcPr>
          <w:p>
            <w:pPr>
              <w:pStyle w:val="33"/>
            </w:pPr>
          </w:p>
        </w:tc>
        <w:tc>
          <w:tcPr>
            <w:tcW w:w="976"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p>
        </w:tc>
      </w:tr>
      <w:tr>
        <w:tblPrEx>
          <w:tblCellMar>
            <w:top w:w="0" w:type="dxa"/>
            <w:left w:w="0" w:type="dxa"/>
            <w:bottom w:w="0" w:type="dxa"/>
            <w:right w:w="0" w:type="dxa"/>
          </w:tblCellMar>
        </w:tblPrEx>
        <w:trPr>
          <w:trHeight w:val="255" w:hRule="atLeast"/>
          <w:jc w:val="center"/>
        </w:trPr>
        <w:tc>
          <w:tcPr>
            <w:tcW w:w="504"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1</w:t>
            </w:r>
          </w:p>
        </w:tc>
        <w:tc>
          <w:tcPr>
            <w:tcW w:w="173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锚杆（索）位置</w:t>
            </w:r>
          </w:p>
        </w:tc>
        <w:tc>
          <w:tcPr>
            <w:tcW w:w="40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min</w:t>
            </w:r>
          </w:p>
        </w:tc>
        <w:tc>
          <w:tcPr>
            <w:tcW w:w="78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±100</w:t>
            </w:r>
          </w:p>
        </w:tc>
        <w:tc>
          <w:tcPr>
            <w:tcW w:w="60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每孔</w:t>
            </w:r>
          </w:p>
        </w:tc>
        <w:tc>
          <w:tcPr>
            <w:tcW w:w="97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全站仪测，尺量</w:t>
            </w:r>
          </w:p>
        </w:tc>
      </w:tr>
      <w:tr>
        <w:tblPrEx>
          <w:tblCellMar>
            <w:top w:w="0" w:type="dxa"/>
            <w:left w:w="0" w:type="dxa"/>
            <w:bottom w:w="0" w:type="dxa"/>
            <w:right w:w="0" w:type="dxa"/>
          </w:tblCellMar>
        </w:tblPrEx>
        <w:trPr>
          <w:trHeight w:val="255" w:hRule="atLeast"/>
          <w:jc w:val="center"/>
        </w:trPr>
        <w:tc>
          <w:tcPr>
            <w:tcW w:w="504"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2</w:t>
            </w:r>
          </w:p>
        </w:tc>
        <w:tc>
          <w:tcPr>
            <w:tcW w:w="173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钻孔倾斜度</w:t>
            </w:r>
          </w:p>
        </w:tc>
        <w:tc>
          <w:tcPr>
            <w:tcW w:w="40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w:t>
            </w:r>
          </w:p>
        </w:tc>
        <w:tc>
          <w:tcPr>
            <w:tcW w:w="78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±3°</w:t>
            </w:r>
          </w:p>
        </w:tc>
        <w:tc>
          <w:tcPr>
            <w:tcW w:w="60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每孔</w:t>
            </w:r>
          </w:p>
        </w:tc>
        <w:tc>
          <w:tcPr>
            <w:tcW w:w="97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测钻机倾角</w:t>
            </w:r>
          </w:p>
        </w:tc>
      </w:tr>
      <w:tr>
        <w:tblPrEx>
          <w:tblCellMar>
            <w:top w:w="0" w:type="dxa"/>
            <w:left w:w="0" w:type="dxa"/>
            <w:bottom w:w="0" w:type="dxa"/>
            <w:right w:w="0" w:type="dxa"/>
          </w:tblCellMar>
        </w:tblPrEx>
        <w:trPr>
          <w:trHeight w:val="255" w:hRule="atLeast"/>
          <w:jc w:val="center"/>
        </w:trPr>
        <w:tc>
          <w:tcPr>
            <w:tcW w:w="504"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3</w:t>
            </w:r>
          </w:p>
        </w:tc>
        <w:tc>
          <w:tcPr>
            <w:tcW w:w="173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钻孔深度</w:t>
            </w:r>
          </w:p>
        </w:tc>
        <w:tc>
          <w:tcPr>
            <w:tcW w:w="40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min</w:t>
            </w:r>
          </w:p>
        </w:tc>
        <w:tc>
          <w:tcPr>
            <w:tcW w:w="78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0</w:t>
            </w:r>
            <w:r>
              <w:rPr>
                <w:rFonts w:hint="eastAsia" w:ascii="微软雅黑" w:hAnsi="微软雅黑" w:eastAsia="微软雅黑" w:cs="微软雅黑"/>
                <w:lang w:bidi="ar"/>
              </w:rPr>
              <w:t>〜</w:t>
            </w:r>
            <w:r>
              <w:rPr>
                <w:lang w:bidi="ar"/>
              </w:rPr>
              <w:t>+100</w:t>
            </w:r>
          </w:p>
        </w:tc>
        <w:tc>
          <w:tcPr>
            <w:tcW w:w="602"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每孔</w:t>
            </w:r>
          </w:p>
        </w:tc>
        <w:tc>
          <w:tcPr>
            <w:tcW w:w="97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尺量</w:t>
            </w:r>
          </w:p>
        </w:tc>
      </w:tr>
    </w:tbl>
    <w:p>
      <w:pPr>
        <w:pStyle w:val="51"/>
        <w:numPr>
          <w:ilvl w:val="2"/>
          <w:numId w:val="0"/>
        </w:numPr>
      </w:pPr>
    </w:p>
    <w:p>
      <w:pPr>
        <w:pStyle w:val="51"/>
        <w:numPr>
          <w:ilvl w:val="2"/>
          <w:numId w:val="0"/>
        </w:numPr>
      </w:pPr>
    </w:p>
    <w:p>
      <w:pPr>
        <w:pStyle w:val="51"/>
        <w:numPr>
          <w:ilvl w:val="2"/>
          <w:numId w:val="0"/>
        </w:numPr>
      </w:pPr>
    </w:p>
    <w:p>
      <w:pPr>
        <w:pStyle w:val="52"/>
        <w:numPr>
          <w:ilvl w:val="0"/>
          <w:numId w:val="6"/>
        </w:numPr>
        <w:ind w:firstLine="480"/>
      </w:pPr>
      <w:r>
        <w:rPr>
          <w:rStyle w:val="37"/>
          <w:rFonts w:hint="eastAsia"/>
        </w:rPr>
        <w:t>支挡式</w:t>
      </w:r>
      <w:r>
        <w:rPr>
          <w:rFonts w:hint="eastAsia"/>
        </w:rPr>
        <w:t>结构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支撑</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支挡式结构—支撑体系。</w:t>
      </w:r>
    </w:p>
    <w:p>
      <w:pPr>
        <w:pStyle w:val="51"/>
        <w:numPr>
          <w:ilvl w:val="255"/>
          <w:numId w:val="0"/>
        </w:numPr>
      </w:pPr>
      <w:r>
        <w:rPr>
          <w:b/>
          <w:bCs/>
        </w:rPr>
        <w:t>7.2.8.</w:t>
      </w:r>
      <w:r>
        <w:rPr>
          <w:rFonts w:hint="eastAsia"/>
          <w:b/>
          <w:bCs/>
        </w:rPr>
        <w:t>1</w:t>
      </w:r>
      <w:r>
        <w:rPr>
          <w:b/>
          <w:bCs/>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支撑结构可选用钢支撑、混凝土支撑、钢与混凝土的混合支撑。</w:t>
      </w:r>
    </w:p>
    <w:p>
      <w:pPr>
        <w:pStyle w:val="51"/>
        <w:numPr>
          <w:ilvl w:val="255"/>
          <w:numId w:val="0"/>
        </w:numPr>
      </w:pPr>
      <w:r>
        <w:rPr>
          <w:b/>
          <w:bCs/>
        </w:rPr>
        <w:t xml:space="preserve">7.2.8.2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支撑结构选型应符合下列原则：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宜采用受力明确、连接可靠、施工方便的结构形式；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宜采用对称平衡性、整体性强的结构形式；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应与主体地下结构的结构形式、施工顺序协调，应便于主体结构施工；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应利于基坑土方开挖和运输；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需要时，可考虑内支撑结构作为施工平台。</w:t>
      </w:r>
    </w:p>
    <w:p>
      <w:pPr>
        <w:pStyle w:val="51"/>
        <w:numPr>
          <w:ilvl w:val="255"/>
          <w:numId w:val="0"/>
        </w:numPr>
      </w:pPr>
      <w:r>
        <w:rPr>
          <w:b/>
          <w:bCs/>
        </w:rPr>
        <w:t xml:space="preserve">7.2.8.3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内支撑结构应综合考虑基坑平面形状及尺寸、开挖深度、周边环境条件、主体结构形式等因素，选用有立柱或无立柱的下列内支撑形式：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水平对撑或斜撑，可采用单杆、桁架、八字形支撑；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正交或斜交的平面杆系支撑；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环形杆系或环形板系支撑；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竖向斜撑。</w:t>
      </w:r>
    </w:p>
    <w:p>
      <w:pPr>
        <w:ind w:firstLine="480"/>
        <w:jc w:val="center"/>
      </w:pPr>
      <w:r>
        <w:rPr>
          <w:rFonts w:ascii="楷体" w:hAnsi="楷体" w:eastAsia="楷体"/>
        </w:rPr>
        <w:drawing>
          <wp:inline distT="0" distB="0" distL="0" distR="0">
            <wp:extent cx="4298950" cy="3648710"/>
            <wp:effectExtent l="0" t="0" r="635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4335192" cy="3679885"/>
                    </a:xfrm>
                    <a:prstGeom prst="rect">
                      <a:avLst/>
                    </a:prstGeom>
                    <a:noFill/>
                    <a:ln>
                      <a:noFill/>
                    </a:ln>
                  </pic:spPr>
                </pic:pic>
              </a:graphicData>
            </a:graphic>
          </wp:inline>
        </w:drawing>
      </w:r>
    </w:p>
    <w:p>
      <w:pPr>
        <w:pStyle w:val="33"/>
      </w:pPr>
      <w:r>
        <w:rPr>
          <w:rFonts w:hint="eastAsia"/>
        </w:rPr>
        <w:t>内支撑结构常用类型图</w:t>
      </w:r>
    </w:p>
    <w:p>
      <w:pPr>
        <w:pStyle w:val="33"/>
      </w:pPr>
      <w:r>
        <w:rPr>
          <w:rFonts w:hint="eastAsia"/>
        </w:rPr>
        <w:t>1—腰梁或冠梁;2—水平单杆支撑;3水平析架支撑;4—水平支撑主杆;5—八字撑杆;6—水平角撑;7—水平正交支撑;8—水平斜交支撑;9—环形支撑﹔</w:t>
      </w:r>
    </w:p>
    <w:p>
      <w:pPr>
        <w:pStyle w:val="33"/>
      </w:pPr>
      <w:r>
        <w:rPr>
          <w:rFonts w:hint="eastAsia"/>
        </w:rPr>
        <w:t>10—支撑杆;11—竖向斜撑;12—竖向斜撑基础;13—挡土构件</w:t>
      </w:r>
    </w:p>
    <w:p>
      <w:pPr>
        <w:ind w:firstLine="480"/>
      </w:pPr>
    </w:p>
    <w:p>
      <w:pPr>
        <w:pStyle w:val="51"/>
        <w:numPr>
          <w:ilvl w:val="255"/>
          <w:numId w:val="0"/>
        </w:numPr>
      </w:pPr>
      <w:r>
        <w:rPr>
          <w:b/>
          <w:bCs/>
        </w:rPr>
        <w:t xml:space="preserve">7.2.8.4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内支撑结构宜采用超静定结构。对个别次要构件失效会引起结构整体破坏的部位宜设置冗余约束。内支撑结构的设计应考虑地质和环境条件的复杂性、基坑开挖步序的偶然变化的影响。</w:t>
      </w:r>
    </w:p>
    <w:p>
      <w:pPr>
        <w:pStyle w:val="51"/>
        <w:numPr>
          <w:ilvl w:val="255"/>
          <w:numId w:val="0"/>
        </w:numPr>
      </w:pPr>
      <w:r>
        <w:rPr>
          <w:b/>
          <w:bCs/>
        </w:rPr>
        <w:t xml:space="preserve">7.2.8.5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内支撑结构分析应符合下列原则：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水平对撑与水平斜撑，应按偏心受压构件进行计算；支撑的轴向压力应取支撑间距内挡土构件的支点力之和；腰梁或冠梁应按以支撑为支座的多跨连续梁计算，计算跨度可取相邻支撑点的中心距；</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矩形基坑的正交平面杆系支撑，可分解为纵横两个方向的结构单元，并分别按偏心受压构件进行计算；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平面杆系支撑、环形杆系支撑，可按平面杆系结构采用平面有限元法进行计算；计算时应考虑基坑不同方向上的荷载不均匀性；建立的计算模型中，约束支座的设置应与支护结构实际位移状态相符，内支撑结构边界向基坑外位移处应设置弹性约束支座，向基坑内位移处不应设置支座，与边界平行方向应根据支护结构实际位移状态设置支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内支撑结构应进行竖向荷载作用下的结构分析；设有立柱时，在竖向荷载作用下内支撑结构宜按空间框架计算，当作用在内支撑结构上的竖向荷载较小时，内支撑结构的水平构件可按连续梁计算，计算跨度可取相邻立柱的中心距；</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竖向斜撑应按偏心受压杆件进行计算；</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当有可靠经验时，宜采用三维结构分析方法，对支撑、腰梁与冠梁、挡土构件进行整体分析。</w:t>
      </w:r>
    </w:p>
    <w:p>
      <w:pPr>
        <w:pStyle w:val="51"/>
        <w:numPr>
          <w:ilvl w:val="255"/>
          <w:numId w:val="0"/>
        </w:numPr>
      </w:pPr>
      <w:r>
        <w:rPr>
          <w:b/>
          <w:bCs/>
        </w:rPr>
        <w:t xml:space="preserve">7.2.8.6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内支撑结构分析时，应同时考虑下列作用：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由挡土构件传至内支撑结构的水平荷载；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支撑结构自重；当支撑作为施工平台时，尚应考虑施工荷载；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当温度改变引起的支撑结构内力不可忽略不计时，应考虑温度应力；</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当支撑立柱下沉或隆起量较大时，应考虑支撑立柱与挡土构件之间差异沉降产生的作用。</w:t>
      </w:r>
    </w:p>
    <w:p>
      <w:pPr>
        <w:pStyle w:val="51"/>
        <w:numPr>
          <w:ilvl w:val="255"/>
          <w:numId w:val="0"/>
        </w:numPr>
      </w:pPr>
      <w:r>
        <w:rPr>
          <w:b/>
          <w:bCs/>
        </w:rPr>
        <w:t xml:space="preserve">7.2.8.7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支撑构件及其连接的受压、受弯、受剪承载力计算应符合现行国家标准《混凝土结构设计规范》GB50010的规定；钢支撑结构构件及其连接的受压、受弯、受剪承载力及各类稳定性计算应符合现行国家标准《钢结构设计标准》GB50017的规定。支撑的承载力计算应考虑施工偏心误差的影响，偏心距取值不宜小于支撑计算长度的1／1000，且对混凝土支撑不宜小于20mm，对钢支撑不宜小于40mm。</w:t>
      </w:r>
    </w:p>
    <w:p>
      <w:pPr>
        <w:pStyle w:val="51"/>
        <w:numPr>
          <w:ilvl w:val="255"/>
          <w:numId w:val="0"/>
        </w:numPr>
      </w:pPr>
      <w:r>
        <w:rPr>
          <w:b/>
          <w:bCs/>
        </w:rPr>
        <w:t xml:space="preserve">7.2.8.8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支撑构件的受压计算长度应按下列规定确定：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水平支撑在竖向平面内的受压计算长度，不设置立柱时，应取支撑的实际长度；设置立柱时，应取相邻立柱的中心间距；</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水平支撑在水平平面内的受压计算长度，对无水平支撑杆件交汇的支撑，应取支撑的实际长度；对有水平支撑杆件交汇的支撑，应取与支撑相交的相邻水平支撑杆件的中心间距；当水平支撑杆件的交汇点不在同一水平面内时，水平平面内的受压计算长度宜取与支撑相交的相邻水平支撑杆件中心间距的1.5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对竖向斜撑，应按本条第1、2款的规定确定受压计算长度。</w:t>
      </w:r>
    </w:p>
    <w:p>
      <w:pPr>
        <w:pStyle w:val="51"/>
        <w:numPr>
          <w:ilvl w:val="255"/>
          <w:numId w:val="0"/>
        </w:numPr>
      </w:pPr>
      <w:r>
        <w:rPr>
          <w:b/>
          <w:bCs/>
        </w:rPr>
        <w:t xml:space="preserve">7.2.8.9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预加轴向压力的支撑，预加力值宜取支撑轴向压力标准值的(0.5～0.8)倍。</w:t>
      </w:r>
    </w:p>
    <w:p>
      <w:pPr>
        <w:pStyle w:val="51"/>
        <w:numPr>
          <w:ilvl w:val="255"/>
          <w:numId w:val="0"/>
        </w:numPr>
      </w:pPr>
      <w:r>
        <w:rPr>
          <w:b/>
          <w:bCs/>
        </w:rPr>
        <w:t xml:space="preserve">7.2.8.10 </w:t>
      </w:r>
      <w:r>
        <w:rPr>
          <w:rFonts w:hint="eastAsia"/>
          <w:b/>
          <w:bCs/>
          <w:lang w:val="en-US" w:eastAsia="zh-CN"/>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立柱的受压承载力可按下列规定计算：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在竖向荷载作用下，内支撑结构按框架计算时，立柱应按偏心受压构件计算；内支撑结构的水平构件按连续梁计算时，立柱可按轴心受压构件计算；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立柱的受压计算长度应按下列规定确定：</w:t>
      </w:r>
    </w:p>
    <w:p>
      <w:pPr>
        <w:ind w:left="1126" w:leftChars="0" w:hanging="406" w:firstLineChars="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1）单层支撑的立柱、多层支撑底层立柱的受压计算长度应取底层支撑至基坑底面的净高度与立柱直径或边长的5倍之和；</w:t>
      </w:r>
    </w:p>
    <w:p>
      <w:pPr>
        <w:ind w:left="1126" w:leftChars="0" w:hanging="406" w:firstLineChars="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2）相邻两层水平支撑间的立柱受压计算长度应取此两层水平支撑的中心间距；</w:t>
      </w:r>
    </w:p>
    <w:p>
      <w:pPr>
        <w:ind w:left="1126" w:leftChars="0" w:hanging="406" w:firstLineChars="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3）立柱的基础应满足抗压和抗拔的要求。</w:t>
      </w:r>
    </w:p>
    <w:p>
      <w:pPr>
        <w:pStyle w:val="51"/>
        <w:numPr>
          <w:ilvl w:val="255"/>
          <w:numId w:val="0"/>
        </w:numPr>
      </w:pPr>
      <w:r>
        <w:rPr>
          <w:b/>
          <w:bCs/>
        </w:rPr>
        <w:t>7.2.8.11</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内支撑的平面布置应符合下列规定：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内支撑的布置应满足主体结构的施工要求，宜避开地下主体结构的墙、柱；</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相邻支撑的水平间距应满足土方开挖的施工要求；采用机械挖土时，应满足挖土机械作业的空间要求，且不宜小于4m；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基坑形状有阳角时，阳角处的支撑应在两边同时设置；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当采用环形支撑时，环梁宜采用圆形、椭圆形等封闭曲线形式，并应按使环梁弯矩、剪力最小的原则布置辐射支撑；环形支撑宜采用与腰梁或冠梁相切的布置形式；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水平支撑与挡土构件之间应设置连接腰梁；当支撑设置在挡土构件顶部时，水平支撑应与冠梁连接；在腰梁或冠梁上支撑点的间距，对钢腰梁不宜大于4m，对混凝土梁不宜大于9m；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当需要采用较大水平间距的支撑时，宜根据支撑冠梁、腰梁的受力和承载力要求，在支撑端部两侧设置八字斜撑杆与冠梁、腰梁连接，八字斜撑杆宜在主撑两侧对称布置，且斜撑杆的长度不宜大于9m，斜撑杆与冠梁、腰梁之间的夹角宜取45°～60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当设置支撑立柱时，临时立柱应避开主体结构的梁、柱及承重墙；对纵横双向交叉的支撑结构，立柱宜设置在支撑的交汇点处；对用作主体结构柱的立柱，立柱在基坑支护阶段的负荷不得超过主体结构的设计要求；立柱与支撑端部及立柱之间的间距应根据支撑构件的稳定要求和竖向荷载的大小确定，且对混凝土支撑不宜大于15m，对钢支撑不宜大于20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当采用竖向斜撑时，应设置斜撑基础，且应考虑与主体结构底板施工的关系。</w:t>
      </w:r>
    </w:p>
    <w:p>
      <w:pPr>
        <w:pStyle w:val="51"/>
        <w:numPr>
          <w:ilvl w:val="255"/>
          <w:numId w:val="0"/>
        </w:numPr>
      </w:pPr>
      <w:r>
        <w:rPr>
          <w:b/>
          <w:bCs/>
        </w:rPr>
        <w:t xml:space="preserve">7.2.8.12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支撑的竖向布置应符合下列规定：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支撑与挡土构件连接处不应出现拉力；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支撑应避开主体地下结构底板和楼板的位置，并应满足主体地下结构施工对墙、柱钢筋连接长度的要求；当支撑下方的主体结构楼板在支撑拆除前施工时，支撑底面与下方主体结构楼板间的净距不宜小于700mm；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支撑至坑底的净高不宜小于3m；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采用多层水平支撑时，各层水平支撑宜布置在同一竖向平面内，层间净高不宜小于3m。</w:t>
      </w:r>
    </w:p>
    <w:p>
      <w:pPr>
        <w:pStyle w:val="51"/>
        <w:numPr>
          <w:ilvl w:val="255"/>
          <w:numId w:val="0"/>
        </w:numPr>
      </w:pPr>
      <w:r>
        <w:rPr>
          <w:b/>
          <w:bCs/>
        </w:rPr>
        <w:t xml:space="preserve">7.2.8.13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混凝土支撑的构造应符合下列规定：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混凝土的强度等级不应低于C25；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支撑构件的截面高度不宜小于其竖向平面内计算长度的1／20；腰梁的截面高度(水平尺寸)不宜小于其水平方向计算跨度的1／10，截面宽度(竖向尺寸)不应小于支撑的截面高度；</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支撑构件的纵向钢筋直径不宜小于16mm，沿截面周边的间距不</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宜大于200mm；箍筋的直径不宜小于8mm，间距不宜大于250mm。</w:t>
      </w:r>
    </w:p>
    <w:p>
      <w:pPr>
        <w:pStyle w:val="51"/>
        <w:numPr>
          <w:ilvl w:val="255"/>
          <w:numId w:val="0"/>
        </w:numPr>
      </w:pPr>
      <w:r>
        <w:rPr>
          <w:b/>
          <w:bCs/>
        </w:rPr>
        <w:t>7.2.</w:t>
      </w:r>
      <w:r>
        <w:rPr>
          <w:rFonts w:hint="eastAsia"/>
          <w:b/>
          <w:bCs/>
          <w:lang w:val="en-US" w:eastAsia="zh-CN"/>
        </w:rPr>
        <w:t>8</w:t>
      </w:r>
      <w:r>
        <w:rPr>
          <w:b/>
          <w:bCs/>
        </w:rPr>
        <w:t xml:space="preserve">.14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钢支撑的构造应符合下列规定：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钢支撑构件可采用钢管、型钢及其组合截面；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钢支撑受压杆件的长细比不应大于150，受拉杆件长细比不应大于200；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钢支撑连接宜采用螺栓连接，必要时可采用焊接连接；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当水平支撑与腰梁斜交时，腰梁上应设置牛腿或采用其他能够承受剪力的连接措施；</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采用竖向斜撑时，腰梁和支撑基础上应设置牛腿或采用其他能够承受剪力的连接措施；腰梁与挡土构件之间应采用能够承受剪力的连接措施；斜撑基础应满足竖向承载力和水平承载力要求。</w:t>
      </w:r>
    </w:p>
    <w:p>
      <w:pPr>
        <w:pStyle w:val="51"/>
        <w:numPr>
          <w:ilvl w:val="255"/>
          <w:numId w:val="0"/>
        </w:numPr>
      </w:pPr>
      <w:r>
        <w:rPr>
          <w:b/>
          <w:bCs/>
        </w:rPr>
        <w:t xml:space="preserve">7.2.8.15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立柱的构造应符合下列规定：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立柱可采用钢格构、钢管、型钢或钢管混凝土等形式；</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当采用灌注桩作为立柱基础时，钢立柱锚入桩内的长度不宜小于</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立柱长边或直径的4倍；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立柱长细比不宜大于25；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立柱与水平支撑的连接可采用铰接；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立柱穿过主体结构底板的部位，应有有效的止水措施。</w:t>
      </w:r>
    </w:p>
    <w:p>
      <w:pPr>
        <w:pStyle w:val="51"/>
        <w:numPr>
          <w:ilvl w:val="255"/>
          <w:numId w:val="0"/>
        </w:numPr>
      </w:pPr>
      <w:r>
        <w:rPr>
          <w:b/>
          <w:bCs/>
        </w:rPr>
        <w:t>7.2.</w:t>
      </w:r>
      <w:r>
        <w:rPr>
          <w:rFonts w:hint="eastAsia"/>
          <w:b/>
          <w:bCs/>
          <w:lang w:val="en-US" w:eastAsia="zh-CN"/>
        </w:rPr>
        <w:t>8</w:t>
      </w:r>
      <w:r>
        <w:rPr>
          <w:b/>
          <w:bCs/>
        </w:rPr>
        <w:t xml:space="preserve">.16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混凝土支撑构件的构造，应符合现行国家标准《混凝土结构设计规范》GB50010的有关规定。钢支撑构件的构造，应符合现行国家标准《钢结构设计标准》GB50017的有关规定。</w:t>
      </w:r>
    </w:p>
    <w:p>
      <w:pPr>
        <w:pStyle w:val="51"/>
        <w:numPr>
          <w:ilvl w:val="255"/>
          <w:numId w:val="0"/>
        </w:numPr>
      </w:pPr>
    </w:p>
    <w:p>
      <w:pPr>
        <w:pStyle w:val="51"/>
        <w:numPr>
          <w:ilvl w:val="255"/>
          <w:numId w:val="0"/>
        </w:numPr>
      </w:pPr>
    </w:p>
    <w:p>
      <w:pPr>
        <w:pStyle w:val="51"/>
        <w:numPr>
          <w:ilvl w:val="255"/>
          <w:numId w:val="0"/>
        </w:numPr>
      </w:pPr>
    </w:p>
    <w:p>
      <w:pPr>
        <w:pStyle w:val="3"/>
      </w:pPr>
      <w:bookmarkStart w:id="73" w:name="_Toc18171"/>
      <w:r>
        <w:rPr>
          <w:rFonts w:hint="eastAsia"/>
        </w:rPr>
        <w:t>土钉墙</w:t>
      </w:r>
      <w:bookmarkEnd w:id="73"/>
    </w:p>
    <w:p>
      <w:pPr>
        <w:pStyle w:val="43"/>
        <w:numPr>
          <w:ilvl w:val="0"/>
          <w:numId w:val="8"/>
        </w:numPr>
        <w:ind w:firstLineChars="0"/>
        <w:jc w:val="center"/>
        <w:rPr>
          <w:rStyle w:val="37"/>
        </w:rPr>
      </w:pPr>
      <w:r>
        <w:rPr>
          <w:rStyle w:val="37"/>
          <w:rFonts w:hint="eastAsia"/>
        </w:rPr>
        <w:t>土钉墙稳定性计算</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土钉墙应按照下列规定对铁路明挖隧道的各开挖项进行整体滑动稳定性验算：</w:t>
      </w:r>
    </w:p>
    <w:p>
      <w:pPr>
        <w:pStyle w:val="40"/>
      </w:pPr>
      <w:r>
        <w:drawing>
          <wp:inline distT="0" distB="0" distL="0" distR="0">
            <wp:extent cx="3609340" cy="2016760"/>
            <wp:effectExtent l="0" t="0" r="2540" b="1016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描述已自动生成"/>
                    <pic:cNvPicPr>
                      <a:picLocks noChangeAspect="1"/>
                    </pic:cNvPicPr>
                  </pic:nvPicPr>
                  <pic:blipFill>
                    <a:blip r:embed="rId286"/>
                    <a:stretch>
                      <a:fillRect/>
                    </a:stretch>
                  </pic:blipFill>
                  <pic:spPr>
                    <a:xfrm>
                      <a:off x="0" y="0"/>
                      <a:ext cx="3609340" cy="2016760"/>
                    </a:xfrm>
                    <a:prstGeom prst="rect">
                      <a:avLst/>
                    </a:prstGeom>
                  </pic:spPr>
                </pic:pic>
              </a:graphicData>
            </a:graphic>
          </wp:inline>
        </w:drawing>
      </w:r>
    </w:p>
    <w:p>
      <w:pPr>
        <w:pStyle w:val="38"/>
      </w:pPr>
      <w:r>
        <w:rPr>
          <w:rFonts w:hint="eastAsia"/>
        </w:rPr>
        <w:t>（a）</w:t>
      </w:r>
    </w:p>
    <w:p>
      <w:pPr>
        <w:pStyle w:val="40"/>
      </w:pPr>
      <w:r>
        <w:drawing>
          <wp:inline distT="0" distB="0" distL="0" distR="0">
            <wp:extent cx="3389630" cy="2021840"/>
            <wp:effectExtent l="0" t="0" r="8890" b="5080"/>
            <wp:docPr id="13" name="图片 13"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卡通人物&#10;&#10;中度可信度描述已自动生成"/>
                    <pic:cNvPicPr>
                      <a:picLocks noChangeAspect="1"/>
                    </pic:cNvPicPr>
                  </pic:nvPicPr>
                  <pic:blipFill>
                    <a:blip r:embed="rId287"/>
                    <a:stretch>
                      <a:fillRect/>
                    </a:stretch>
                  </pic:blipFill>
                  <pic:spPr>
                    <a:xfrm>
                      <a:off x="0" y="0"/>
                      <a:ext cx="3389630" cy="2021840"/>
                    </a:xfrm>
                    <a:prstGeom prst="rect">
                      <a:avLst/>
                    </a:prstGeom>
                  </pic:spPr>
                </pic:pic>
              </a:graphicData>
            </a:graphic>
          </wp:inline>
        </w:drawing>
      </w:r>
    </w:p>
    <w:p>
      <w:pPr>
        <w:pStyle w:val="38"/>
      </w:pPr>
      <w:r>
        <w:rPr>
          <w:rFonts w:hint="eastAsia"/>
        </w:rPr>
        <w:t>（b）</w:t>
      </w:r>
    </w:p>
    <w:p>
      <w:pPr>
        <w:pStyle w:val="38"/>
      </w:pPr>
      <w:r>
        <w:rPr>
          <w:rFonts w:hint="eastAsia"/>
        </w:rPr>
        <w:t>图7.3.1土钉墙整体稳定性验算</w:t>
      </w:r>
    </w:p>
    <w:p>
      <w:pPr>
        <w:pStyle w:val="38"/>
      </w:pPr>
      <w:r>
        <w:rPr>
          <w:rFonts w:hint="eastAsia"/>
        </w:rPr>
        <w:t>（a）土钉墙在地下水位以上；（b）水泥土桩复合土钉墙</w:t>
      </w:r>
    </w:p>
    <w:p>
      <w:pPr>
        <w:pStyle w:val="38"/>
      </w:pPr>
      <w:r>
        <w:rPr>
          <w:rFonts w:hint="eastAsia"/>
        </w:rPr>
        <w:t>1—滑动面；2—土钉或锚杆；3—喷射混凝土面层；4—水泥土桩或微型桩</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1整体滑动稳定性可采用圆弧滑动条分法进行验算：</w:t>
      </w:r>
    </w:p>
    <w:p>
      <w:pPr>
        <w:pStyle w:val="35"/>
      </w:pPr>
      <w:r>
        <w:tab/>
      </w:r>
      <w:r>
        <w:rPr>
          <w:position w:val="-14"/>
        </w:rPr>
        <w:object>
          <v:shape id="_x0000_i1155" o:spt="75" type="#_x0000_t75" style="height:19.8pt;width:105pt;" o:ole="t" filled="f" o:preferrelative="t" stroked="f" coordsize="21600,21600">
            <v:path/>
            <v:fill on="f" focussize="0,0"/>
            <v:stroke on="f" joinstyle="miter"/>
            <v:imagedata r:id="rId289" o:title=""/>
            <o:lock v:ext="edit" aspectratio="t"/>
            <w10:wrap type="none"/>
            <w10:anchorlock/>
          </v:shape>
          <o:OLEObject Type="Embed" ProgID="Equation.DSMT4" ShapeID="_x0000_i1155" DrawAspect="Content" ObjectID="_1468075855" r:id="rId288">
            <o:LockedField>false</o:LockedField>
          </o:OLEObject>
        </w:object>
      </w:r>
      <w:r>
        <w:tab/>
      </w:r>
      <w:r>
        <w:rPr>
          <w:rFonts w:hint="eastAsia"/>
        </w:rPr>
        <w:t>（7.3.1-1）</w:t>
      </w:r>
    </w:p>
    <w:p>
      <w:pPr>
        <w:pStyle w:val="35"/>
      </w:pPr>
      <w:r>
        <w:object>
          <v:shape id="_x0000_i1156" o:spt="75" type="#_x0000_t75" style="height:37.2pt;width:313.2pt;" o:ole="t" filled="f" o:preferrelative="t" stroked="f" coordsize="21600,21600">
            <v:path/>
            <v:fill on="f" focussize="0,0"/>
            <v:stroke on="f" joinstyle="miter"/>
            <v:imagedata r:id="rId291" o:title=""/>
            <o:lock v:ext="edit" aspectratio="t"/>
            <w10:wrap type="none"/>
            <w10:anchorlock/>
          </v:shape>
          <o:OLEObject Type="Embed" ProgID="Equation.DSMT4" ShapeID="_x0000_i1156" DrawAspect="Content" ObjectID="_1468075856" r:id="rId290">
            <o:LockedField>false</o:LockedField>
          </o:OLEObject>
        </w:object>
      </w:r>
      <w:r>
        <w:tab/>
      </w:r>
      <w:r>
        <w:rPr>
          <w:rFonts w:hint="eastAsia"/>
        </w:rPr>
        <w:t>（7.3.1-2）</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──圆弧滑动整体稳定安全系数；安全等级为二级、三级的土钉墙，K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分别不应小于1.3、1.25；</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s,i</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──第i个滑动圆弧的抗滑力矩与滑动力矩的比值；抗滑力矩与滑动力矩之比的最小值宜通过搜索不同圆心及半径的所在潜在滑动圆弧确定；</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7" o:spt="75" type="#_x0000_t75" style="height:18pt;width:12pt;" o:ole="t" filled="f" o:preferrelative="t" stroked="f" coordsize="21600,21600">
            <v:path/>
            <v:fill on="f" focussize="0,0"/>
            <v:stroke on="f" joinstyle="miter"/>
            <v:imagedata r:id="rId293" o:title=""/>
            <o:lock v:ext="edit" aspectratio="t"/>
            <w10:wrap type="none"/>
            <w10:anchorlock/>
          </v:shape>
          <o:OLEObject Type="Embed" ProgID="Equation.DSMT4" ShapeID="_x0000_i1157" DrawAspect="Content" ObjectID="_1468075857" r:id="rId29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58" o:spt="75" type="#_x0000_t75" style="height:18pt;width:12pt;" o:ole="t" filled="f" o:preferrelative="t" stroked="f" coordsize="21600,21600">
            <v:path/>
            <v:fill on="f" focussize="0,0"/>
            <v:stroke on="f" joinstyle="miter"/>
            <v:imagedata r:id="rId295" o:title=""/>
            <o:lock v:ext="edit" aspectratio="t"/>
            <w10:wrap type="none"/>
            <w10:anchorlock/>
          </v:shape>
          <o:OLEObject Type="Embed" ProgID="Equation.DSMT4" ShapeID="_x0000_i1158" DrawAspect="Content" ObjectID="_1468075858" r:id="rId29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──第j土条滑弧面处土的粘聚力(kPa)、内摩擦角（°），取值如下：</w:t>
      </w:r>
    </w:p>
    <w:p>
      <w:pPr>
        <w:pStyle w:val="51"/>
        <w:widowControl w:val="0"/>
        <w:numPr>
          <w:ilvl w:val="255"/>
          <w:numId w:val="0"/>
        </w:numPr>
        <w:spacing w:line="360" w:lineRule="auto"/>
        <w:ind w:left="284" w:firstLine="560" w:firstLineChars="20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土压力及水压力计算、土的各类稳定性验算时，土、水压力的分、合算方法及相应的土的抗剪强度指标类别应符合下列规定：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对地下水位以上的各类土，土压力计算、土的滑动稳定性验算时，对粘性土、粘质粉土，土的抗剪强度指标应采用三轴固结不排水抗剪强度指标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59" o:spt="75" type="#_x0000_t75" style="height:16.2pt;width:16.2pt;" o:ole="t" filled="f" o:preferrelative="t" stroked="f" coordsize="21600,21600">
            <v:path/>
            <v:fill on="f" focussize="0,0"/>
            <v:stroke on="f" joinstyle="miter"/>
            <v:imagedata r:id="rId297" o:title=""/>
            <o:lock v:ext="edit" aspectratio="t"/>
            <w10:wrap type="none"/>
            <w10:anchorlock/>
          </v:shape>
          <o:OLEObject Type="Embed" ProgID="Equation.DSMT4" ShapeID="_x0000_i1159" DrawAspect="Content" ObjectID="_1468075859" r:id="rId29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0" o:spt="75" type="#_x0000_t75" style="height:16.2pt;width:16.2pt;" o:ole="t" filled="f" o:preferrelative="t" stroked="f" coordsize="21600,21600">
            <v:path/>
            <v:fill on="f" focussize="0,0"/>
            <v:stroke on="f" joinstyle="miter"/>
            <v:imagedata r:id="rId299" o:title=""/>
            <o:lock v:ext="edit" aspectratio="t"/>
            <w10:wrap type="none"/>
            <w10:anchorlock/>
          </v:shape>
          <o:OLEObject Type="Embed" ProgID="Equation.DSMT4" ShapeID="_x0000_i1160" DrawAspect="Content" ObjectID="_1468075860" r:id="rId29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1" o:spt="75" type="#_x0000_t75" style="height:18pt;width:16.2pt;" o:ole="t" filled="f" o:preferrelative="t" stroked="f" coordsize="21600,21600">
            <v:path/>
            <v:fill on="f" focussize="0,0"/>
            <v:stroke on="f" joinstyle="miter"/>
            <v:imagedata r:id="rId301" o:title=""/>
            <o:lock v:ext="edit" aspectratio="t"/>
            <w10:wrap type="none"/>
            <w10:anchorlock/>
          </v:shape>
          <o:OLEObject Type="Embed" ProgID="Equation.DSMT4" ShapeID="_x0000_i1161" DrawAspect="Content" ObjectID="_1468075861" r:id="rId30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2" o:spt="75" type="#_x0000_t75" style="height:18pt;width:16.2pt;" o:ole="t" filled="f" o:preferrelative="t" stroked="f" coordsize="21600,21600">
            <v:path/>
            <v:fill on="f" focussize="0,0"/>
            <v:stroke on="f" joinstyle="miter"/>
            <v:imagedata r:id="rId303" o:title=""/>
            <o:lock v:ext="edit" aspectratio="t"/>
            <w10:wrap type="none"/>
            <w10:anchorlock/>
          </v:shape>
          <o:OLEObject Type="Embed" ProgID="Equation.DSMT4" ShapeID="_x0000_i1162" DrawAspect="Content" ObjectID="_1468075862" r:id="rId30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，对砂质粉土、砂土、碎石土，土的抗剪强度指标应采用有效应力强度指标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3" o:spt="75" type="#_x0000_t75" style="height:15pt;width:12pt;" o:ole="t" filled="f" o:preferrelative="t" stroked="f" coordsize="21600,21600">
            <v:path/>
            <v:fill on="f" focussize="0,0"/>
            <v:stroke on="f" joinstyle="miter"/>
            <v:imagedata r:id="rId305" o:title=""/>
            <o:lock v:ext="edit" aspectratio="t"/>
            <w10:wrap type="none"/>
            <w10:anchorlock/>
          </v:shape>
          <o:OLEObject Type="Embed" ProgID="Equation.DSMT4" ShapeID="_x0000_i1163" DrawAspect="Content" ObjectID="_1468075863" r:id="rId30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4" o:spt="75" type="#_x0000_t75" style="height:16.2pt;width:12pt;" o:ole="t" filled="f" o:preferrelative="t" stroked="f" coordsize="21600,21600">
            <v:path/>
            <v:fill on="f" focussize="0,0"/>
            <v:stroke on="f" joinstyle="miter"/>
            <v:imagedata r:id="rId307" o:title=""/>
            <o:lock v:ext="edit" aspectratio="t"/>
            <w10:wrap type="none"/>
            <w10:anchorlock/>
          </v:shape>
          <o:OLEObject Type="Embed" ProgID="Equation.DSMT4" ShapeID="_x0000_i1164" DrawAspect="Content" ObjectID="_1468075864" r:id="rId30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对地下水位以下的粘性土、粘质粉土，可采用土压力、水压力合算方法，土压力计算、土的滑动稳定性验算可采用总应力法；此时，对正常固结和超固结土，土的抗剪强度指标应采用三轴固结不排水抗剪强度指标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5" o:spt="75" type="#_x0000_t75" style="height:16.2pt;width:16.2pt;" o:ole="t" filled="f" o:preferrelative="t" stroked="f" coordsize="21600,21600">
            <v:path/>
            <v:fill on="f" focussize="0,0"/>
            <v:stroke on="f" joinstyle="miter"/>
            <v:imagedata r:id="rId309" o:title=""/>
            <o:lock v:ext="edit" aspectratio="t"/>
            <w10:wrap type="none"/>
            <w10:anchorlock/>
          </v:shape>
          <o:OLEObject Type="Embed" ProgID="Equation.DSMT4" ShapeID="_x0000_i1165" DrawAspect="Content" ObjectID="_1468075865" r:id="rId30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6" o:spt="75" type="#_x0000_t75" style="height:16.2pt;width:16.2pt;" o:ole="t" filled="f" o:preferrelative="t" stroked="f" coordsize="21600,21600">
            <v:path/>
            <v:fill on="f" focussize="0,0"/>
            <v:stroke on="f" joinstyle="miter"/>
            <v:imagedata r:id="rId311" o:title=""/>
            <o:lock v:ext="edit" aspectratio="t"/>
            <w10:wrap type="none"/>
            <w10:anchorlock/>
          </v:shape>
          <o:OLEObject Type="Embed" ProgID="Equation.DSMT4" ShapeID="_x0000_i1166" DrawAspect="Content" ObjectID="_1468075866" r:id="rId31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7" o:spt="75" type="#_x0000_t75" style="height:18pt;width:16.2pt;" o:ole="t" filled="f" o:preferrelative="t" stroked="f" coordsize="21600,21600">
            <v:path/>
            <v:fill on="f" focussize="0,0"/>
            <v:stroke on="f" joinstyle="miter"/>
            <v:imagedata r:id="rId313" o:title=""/>
            <o:lock v:ext="edit" aspectratio="t"/>
            <w10:wrap type="none"/>
            <w10:anchorlock/>
          </v:shape>
          <o:OLEObject Type="Embed" ProgID="Equation.DSMT4" ShapeID="_x0000_i1167" DrawAspect="Content" ObjectID="_1468075867" r:id="rId31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68" o:spt="75" type="#_x0000_t75" style="height:18pt;width:16.2pt;" o:ole="t" filled="f" o:preferrelative="t" stroked="f" coordsize="21600,21600">
            <v:path/>
            <v:fill on="f" focussize="0,0"/>
            <v:stroke on="f" joinstyle="miter"/>
            <v:imagedata r:id="rId315" o:title=""/>
            <o:lock v:ext="edit" aspectratio="t"/>
            <w10:wrap type="none"/>
            <w10:anchorlock/>
          </v:shape>
          <o:OLEObject Type="Embed" ProgID="Equation.DSMT4" ShapeID="_x0000_i1168" DrawAspect="Content" ObjectID="_1468075868" r:id="rId31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，对欠固结土，宜采用有效</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自重压力下预固结的三轴不固结不排水抗剪强度指标</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69" o:spt="75" type="#_x0000_t75" style="height:16.2pt;width:18pt;" o:ole="t" filled="f" o:preferrelative="t" stroked="f" coordsize="21600,21600">
            <v:path/>
            <v:fill on="f" focussize="0,0"/>
            <v:stroke on="f" joinstyle="miter"/>
            <v:imagedata r:id="rId317" o:title=""/>
            <o:lock v:ext="edit" aspectratio="t"/>
            <w10:wrap type="none"/>
            <w10:anchorlock/>
          </v:shape>
          <o:OLEObject Type="Embed" ProgID="Equation.DSMT4" ShapeID="_x0000_i1169" DrawAspect="Content" ObjectID="_1468075869" r:id="rId31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70" o:spt="75" type="#_x0000_t75" style="height:16.2pt;width:16.2pt;" o:ole="t" filled="f" o:preferrelative="t" stroked="f" coordsize="21600,21600">
            <v:path/>
            <v:fill on="f" focussize="0,0"/>
            <v:stroke on="f" joinstyle="miter"/>
            <v:imagedata r:id="rId319" o:title=""/>
            <o:lock v:ext="edit" aspectratio="t"/>
            <w10:wrap type="none"/>
            <w10:anchorlock/>
          </v:shape>
          <o:OLEObject Type="Embed" ProgID="Equation.DSMT4" ShapeID="_x0000_i1170" DrawAspect="Content" ObjectID="_1468075870" r:id="rId31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对地下水位以下的砂质粉土、砂土和碎石土，应采用土压力、水压力分算方法，土压力计算、土的滑动稳定性验算应采用有效应力法；此时，土的抗剪强度指标应采用有效应力强度指标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1" o:spt="75" type="#_x0000_t75" style="height:12pt;width:12pt;" o:ole="t" filled="f" o:preferrelative="t" stroked="f" coordsize="21600,21600">
            <v:path/>
            <v:fill on="f" focussize="0,0"/>
            <v:stroke on="f" joinstyle="miter"/>
            <v:imagedata r:id="rId321" o:title=""/>
            <o:lock v:ext="edit" aspectratio="t"/>
            <w10:wrap type="none"/>
            <w10:anchorlock/>
          </v:shape>
          <o:OLEObject Type="Embed" ProgID="Equation.DSMT4" ShapeID="_x0000_i1171" DrawAspect="Content" ObjectID="_1468075871" r:id="rId32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2" o:spt="75" type="#_x0000_t75" style="height:18pt;width:12pt;" o:ole="t" filled="f" o:preferrelative="t" stroked="f" coordsize="21600,21600">
            <v:path/>
            <v:fill on="f" focussize="0,0"/>
            <v:stroke on="f" joinstyle="miter"/>
            <v:imagedata r:id="rId323" o:title=""/>
            <o:lock v:ext="edit" aspectratio="t"/>
            <w10:wrap type="none"/>
            <w10:anchorlock/>
          </v:shape>
          <o:OLEObject Type="Embed" ProgID="Equation.DSMT4" ShapeID="_x0000_i1172" DrawAspect="Content" ObjectID="_1468075872" r:id="rId32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，对砂质粉土，缺少有效应力强度指标时，也可采用三轴固结不排水抗剪强度指标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3" o:spt="75" type="#_x0000_t75" style="height:16.2pt;width:16.2pt;" o:ole="t" filled="f" o:preferrelative="t" stroked="f" coordsize="21600,21600">
            <v:path/>
            <v:fill on="f" focussize="0,0"/>
            <v:stroke on="f" joinstyle="miter"/>
            <v:imagedata r:id="rId325" o:title=""/>
            <o:lock v:ext="edit" aspectratio="t"/>
            <w10:wrap type="none"/>
            <w10:anchorlock/>
          </v:shape>
          <o:OLEObject Type="Embed" ProgID="Equation.DSMT4" ShapeID="_x0000_i1173" DrawAspect="Content" ObjectID="_1468075873" r:id="rId32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4" o:spt="75" type="#_x0000_t75" style="height:16.2pt;width:16.2pt;" o:ole="t" filled="f" o:preferrelative="t" stroked="f" coordsize="21600,21600">
            <v:path/>
            <v:fill on="f" focussize="0,0"/>
            <v:stroke on="f" joinstyle="miter"/>
            <v:imagedata r:id="rId327" o:title=""/>
            <o:lock v:ext="edit" aspectratio="t"/>
            <w10:wrap type="none"/>
            <w10:anchorlock/>
          </v:shape>
          <o:OLEObject Type="Embed" ProgID="Equation.DSMT4" ShapeID="_x0000_i1174" DrawAspect="Content" ObjectID="_1468075874" r:id="rId32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或直剪固结快剪强度指标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5" o:spt="75" type="#_x0000_t75" style="height:18pt;width:16.2pt;" o:ole="t" filled="f" o:preferrelative="t" stroked="f" coordsize="21600,21600">
            <v:path/>
            <v:fill on="f" focussize="0,0"/>
            <v:stroke on="f" joinstyle="miter"/>
            <v:imagedata r:id="rId329" o:title=""/>
            <o:lock v:ext="edit" aspectratio="t"/>
            <w10:wrap type="none"/>
            <w10:anchorlock/>
          </v:shape>
          <o:OLEObject Type="Embed" ProgID="Equation.DSMT4" ShapeID="_x0000_i1175" DrawAspect="Content" ObjectID="_1468075875" r:id="rId32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6" o:spt="75" type="#_x0000_t75" style="height:18pt;width:16.2pt;" o:ole="t" filled="f" o:preferrelative="t" stroked="f" coordsize="21600,21600">
            <v:path/>
            <v:fill on="f" focussize="0,0"/>
            <v:stroke on="f" joinstyle="miter"/>
            <v:imagedata r:id="rId331" o:title=""/>
            <o:lock v:ext="edit" aspectratio="t"/>
            <w10:wrap type="none"/>
            <w10:anchorlock/>
          </v:shape>
          <o:OLEObject Type="Embed" ProgID="Equation.DSMT4" ShapeID="_x0000_i1176" DrawAspect="Content" ObjectID="_1468075876" r:id="rId330">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代替，对砂土和碎石土，有效应力强度指标</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77" o:spt="75" type="#_x0000_t75" style="height:16.2pt;width:12pt;" o:ole="t" filled="f" o:preferrelative="t" stroked="f" coordsize="21600,21600">
            <v:path/>
            <v:fill on="f" focussize="0,0"/>
            <v:stroke on="f" joinstyle="miter"/>
            <v:imagedata r:id="rId333" o:title=""/>
            <o:lock v:ext="edit" aspectratio="t"/>
            <w10:wrap type="none"/>
            <w10:anchorlock/>
          </v:shape>
          <o:OLEObject Type="Embed" ProgID="Equation.DSMT4" ShapeID="_x0000_i1177" DrawAspect="Content" ObjectID="_1468075877" r:id="rId332">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根据标准贯入试验实测击数和水下休止角等物理力学指标取值；土压力、水压力采用分算方法时，水压力可按静水压力计算；当地下水渗流时，宜按渗流理论计算水压力和土的竖向有效应力；当存在多个含水层时，应分别计算各含水层的水压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有可靠的地方经验时，土的抗剪强度指标尚可根据室内、原位试验得到的其他物理力学指标，按经验方法确定。</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──第j条土条的宽度（m）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──作用在第j土条上的附加分布荷载标准值（kPa）；</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78" o:spt="75" type="#_x0000_t75" style="height:18pt;width:22.2pt;" o:ole="t" filled="f" o:preferrelative="t" stroked="f" coordsize="21600,21600">
            <v:path/>
            <v:fill on="f" focussize="0,0"/>
            <v:stroke on="f" joinstyle="miter"/>
            <v:imagedata r:id="rId335" o:title=""/>
            <o:lock v:ext="edit" aspectratio="t"/>
            <w10:wrap type="none"/>
            <w10:anchorlock/>
          </v:shape>
          <o:OLEObject Type="Embed" ProgID="Equation.DSMT4" ShapeID="_x0000_i1178" DrawAspect="Content" ObjectID="_1468075878" r:id="rId33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──第j土条的自重（kN）,按天然重度计算；</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79" o:spt="75" type="#_x0000_t75" style="height:18pt;width:12pt;" o:ole="t" filled="f" o:preferrelative="t" stroked="f" coordsize="21600,21600">
            <v:path/>
            <v:fill on="f" focussize="0,0"/>
            <v:stroke on="f" joinstyle="miter"/>
            <v:imagedata r:id="rId337" o:title=""/>
            <o:lock v:ext="edit" aspectratio="t"/>
            <w10:wrap type="none"/>
            <w10:anchorlock/>
          </v:shape>
          <o:OLEObject Type="Embed" ProgID="Equation.DSMT4" ShapeID="_x0000_i1179" DrawAspect="Content" ObjectID="_1468075879" r:id="rId33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──第j土条滑弧面中点处的法线与垂直面的夹角（。）；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0" o:spt="75" type="#_x0000_t75" style="height:18pt;width:22.2pt;" o:ole="t" filled="f" o:preferrelative="t" stroked="f" coordsize="21600,21600">
            <v:path/>
            <v:fill on="f" focussize="0,0"/>
            <v:stroke on="f" joinstyle="miter"/>
            <v:imagedata r:id="rId339" o:title=""/>
            <o:lock v:ext="edit" aspectratio="t"/>
            <w10:wrap type="none"/>
            <w10:anchorlock/>
          </v:shape>
          <o:OLEObject Type="Embed" ProgID="Equation.DSMT4" ShapeID="_x0000_i1180" DrawAspect="Content" ObjectID="_1468075880" r:id="rId33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──第k层土钉或锚杆对圆弧滑动体的极限拉力值（kN）；应取土钉或锚杆在滑动面以外的锚固体极限抗拔承载力标准值与杆体受拉承载力标准值（</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1" o:spt="75" type="#_x0000_t75" style="height:18pt;width:28.2pt;" o:ole="t" filled="f" o:preferrelative="t" stroked="f" coordsize="21600,21600">
            <v:path/>
            <v:fill on="f" focussize="0,0"/>
            <v:stroke on="f" joinstyle="miter"/>
            <v:imagedata r:id="rId341" o:title=""/>
            <o:lock v:ext="edit" aspectratio="t"/>
            <w10:wrap type="none"/>
            <w10:anchorlock/>
          </v:shape>
          <o:OLEObject Type="Embed" ProgID="Equation.DSMT4" ShapeID="_x0000_i1181" DrawAspect="Content" ObjectID="_1468075881" r:id="rId34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2" o:spt="75" type="#_x0000_t75" style="height:18pt;width:31.2pt;" o:ole="t" filled="f" o:preferrelative="t" stroked="f" coordsize="21600,21600">
            <v:path/>
            <v:fill on="f" focussize="0,0"/>
            <v:stroke on="f" joinstyle="miter"/>
            <v:imagedata r:id="rId343" o:title=""/>
            <o:lock v:ext="edit" aspectratio="t"/>
            <w10:wrap type="none"/>
            <w10:anchorlock/>
          </v:shape>
          <o:OLEObject Type="Embed" ProgID="Equation.DSMT4" ShapeID="_x0000_i1182" DrawAspect="Content" ObjectID="_1468075882" r:id="rId34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）的较小值；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锚固体的极限抗拔承载力应按照本规程第7.3.2.5条和第7.3.5.4条的规定计算，但锚固段应取圆弧滑动面以外的长度；</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3" o:spt="75" type="#_x0000_t75" style="height:16.2pt;width:12pt;" o:ole="t" filled="f" o:preferrelative="t" stroked="f" coordsize="21600,21600">
            <v:path/>
            <v:fill on="f" focussize="0,0"/>
            <v:stroke on="f" joinstyle="miter"/>
            <v:imagedata r:id="rId345" o:title=""/>
            <o:lock v:ext="edit" aspectratio="t"/>
            <w10:wrap type="none"/>
            <w10:anchorlock/>
          </v:shape>
          <o:OLEObject Type="Embed" ProgID="Equation.DSMT4" ShapeID="_x0000_i1183" DrawAspect="Content" ObjectID="_1468075883" r:id="rId34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──第k层土钉合伙锚杆的倾角（。）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4" o:spt="75" type="#_x0000_t75" style="height:16.2pt;width:12pt;" o:ole="t" filled="f" o:preferrelative="t" stroked="f" coordsize="21600,21600">
            <v:path/>
            <v:fill on="f" focussize="0,0"/>
            <v:stroke on="f" joinstyle="miter"/>
            <v:imagedata r:id="rId347" o:title=""/>
            <o:lock v:ext="edit" aspectratio="t"/>
            <w10:wrap type="none"/>
            <w10:anchorlock/>
          </v:shape>
          <o:OLEObject Type="Embed" ProgID="Equation.DSMT4" ShapeID="_x0000_i1184" DrawAspect="Content" ObjectID="_1468075884" r:id="rId34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──滑弧面在第k层土钉或锚杆处的法线与垂直面的夹角（。）；</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5" o:spt="75" type="#_x0000_t75" style="height:16.2pt;width:16.2pt;" o:ole="t" filled="f" o:preferrelative="t" stroked="f" coordsize="21600,21600">
            <v:path/>
            <v:fill on="f" focussize="0,0"/>
            <v:stroke on="f" joinstyle="miter"/>
            <v:imagedata r:id="rId349" o:title=""/>
            <o:lock v:ext="edit" aspectratio="t"/>
            <w10:wrap type="none"/>
            <w10:anchorlock/>
          </v:shape>
          <o:OLEObject Type="Embed" ProgID="Equation.DSMT4" ShapeID="_x0000_i1185" DrawAspect="Content" ObjectID="_1468075885" r:id="rId34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──第k层土钉或锚杆的水平间距（m）；</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6" o:spt="75" type="#_x0000_t75" style="height:16.2pt;width:12pt;" o:ole="t" filled="f" o:preferrelative="t" stroked="f" coordsize="21600,21600">
            <v:path/>
            <v:fill on="f" focussize="0,0"/>
            <v:stroke on="f" joinstyle="miter"/>
            <v:imagedata r:id="rId351" o:title=""/>
            <o:lock v:ext="edit" aspectratio="t"/>
            <w10:wrap type="none"/>
            <w10:anchorlock/>
          </v:shape>
          <o:OLEObject Type="Embed" ProgID="Equation.DSMT4" ShapeID="_x0000_i1186" DrawAspect="Content" ObjectID="_1468075886" r:id="rId35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──计算系数；可取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7" o:spt="75" type="#_x0000_t75" style="height:16.2pt;width:115.8pt;" o:ole="t" filled="f" o:preferrelative="t" stroked="f" coordsize="21600,21600">
            <v:path/>
            <v:fill on="f" focussize="0,0"/>
            <v:stroke on="f" joinstyle="miter"/>
            <v:imagedata r:id="rId353" o:title=""/>
            <o:lock v:ext="edit" aspectratio="t"/>
            <w10:wrap type="none"/>
            <w10:anchorlock/>
          </v:shape>
          <o:OLEObject Type="Embed" ProgID="Equation.DSMT4" ShapeID="_x0000_i1187" DrawAspect="Content" ObjectID="_1468075887" r:id="rId35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88" o:spt="75" type="#_x0000_t75" style="height:12pt;width:12pt;" o:ole="t" filled="f" o:preferrelative="t" stroked="f" coordsize="21600,21600">
            <v:path/>
            <v:fill on="f" focussize="0,0"/>
            <v:stroke on="f" joinstyle="miter"/>
            <v:imagedata r:id="rId355" o:title=""/>
            <o:lock v:ext="edit" aspectratio="t"/>
            <w10:wrap type="none"/>
            <w10:anchorlock/>
          </v:shape>
          <o:OLEObject Type="Embed" ProgID="Equation.DSMT4" ShapeID="_x0000_i1188" DrawAspect="Content" ObjectID="_1468075888" r:id="rId35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为第k层土钉或锚杆与滑弧交点处土的内摩擦角。</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6水泥土桩复合土钉墙，在考虑地下水压力的作用时，其整体稳定性应按公式（7.3.1-3）、（7.3.1-4）验算，但</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189" o:spt="75" type="#_x0000_t75" style="height:18pt;width:22.2pt;" o:ole="t" filled="f" o:preferrelative="t" stroked="f" coordsize="21600,21600">
            <v:path/>
            <v:fill on="f" focussize="0,0"/>
            <v:stroke on="f" joinstyle="miter"/>
            <v:imagedata r:id="rId357" o:title=""/>
            <o:lock v:ext="edit" aspectratio="t"/>
            <w10:wrap type="none"/>
            <w10:anchorlock/>
          </v:shape>
          <o:OLEObject Type="Embed" ProgID="Equation.DSMT4" ShapeID="_x0000_i1189" DrawAspect="Content" ObjectID="_1468075889" r:id="rId35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应按7.3.1.4条的规定取值。</w:t>
      </w:r>
    </w:p>
    <w:p>
      <w:pPr>
        <w:pStyle w:val="35"/>
      </w:pPr>
      <w:r>
        <w:tab/>
      </w:r>
      <w:r>
        <w:object>
          <v:shape id="_x0000_i1190" o:spt="75" type="#_x0000_t75" style="height:19.8pt;width:99pt;" o:ole="t" filled="f" o:preferrelative="t" stroked="f" coordsize="21600,21600">
            <v:path/>
            <v:fill on="f" focussize="0,0"/>
            <v:stroke on="f" joinstyle="miter"/>
            <v:imagedata r:id="rId359" o:title=""/>
            <o:lock v:ext="edit" aspectratio="t"/>
            <w10:wrap type="none"/>
            <w10:anchorlock/>
          </v:shape>
          <o:OLEObject Type="Embed" ProgID="Equation.DSMT4" ShapeID="_x0000_i1190" DrawAspect="Content" ObjectID="_1468075890" r:id="rId358">
            <o:LockedField>false</o:LockedField>
          </o:OLEObject>
        </w:object>
      </w:r>
      <w:r>
        <w:tab/>
      </w:r>
      <w:r>
        <w:rPr>
          <w:rFonts w:hint="eastAsia"/>
        </w:rPr>
        <w:t>（7.3.1-3）</w:t>
      </w:r>
    </w:p>
    <w:p>
      <w:pPr>
        <w:pStyle w:val="35"/>
      </w:pPr>
      <w:r>
        <w:tab/>
      </w:r>
      <w:r>
        <w:object>
          <v:shape id="_x0000_i1191" o:spt="75" type="#_x0000_t75" style="height:33pt;width:294.6pt;" o:ole="t" filled="f" o:preferrelative="t" stroked="f" coordsize="21600,21600">
            <v:path/>
            <v:fill on="f" focussize="0,0"/>
            <v:stroke on="f" joinstyle="miter"/>
            <v:imagedata r:id="rId361" o:title=""/>
            <o:lock v:ext="edit" aspectratio="t"/>
            <w10:wrap type="none"/>
            <w10:anchorlock/>
          </v:shape>
          <o:OLEObject Type="Embed" ProgID="Equation.DSMT4" ShapeID="_x0000_i1191" DrawAspect="Content" ObjectID="_1468075891" r:id="rId360">
            <o:LockedField>false</o:LockedField>
          </o:OLEObject>
        </w:object>
      </w:r>
      <w:r>
        <w:tab/>
      </w:r>
      <w:r>
        <w:rPr>
          <w:rFonts w:hint="eastAsia"/>
        </w:rPr>
        <w:t>（7.3.1-4）</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──第j土条的滑弧段长度(m)，取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2" o:spt="75" type="#_x0000_t75" style="height:18pt;width:60pt;" o:ole="t" filled="f" o:preferrelative="t" stroked="f" coordsize="21600,21600">
            <v:path/>
            <v:fill on="f" focussize="0,0"/>
            <v:stroke on="f" joinstyle="miter"/>
            <v:imagedata r:id="rId363" o:title=""/>
            <o:lock v:ext="edit" aspectratio="t"/>
            <w10:wrap type="none"/>
            <w10:anchorlock/>
          </v:shape>
          <o:OLEObject Type="Embed" ProgID="Equation.DSMT4" ShapeID="_x0000_i1192" DrawAspect="Content" ObjectID="_1468075892" r:id="rId36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──第j土条在滑弧面上的孔隙水压力(kPa)；基坑采用落底式截水帷幕时，对地下水位以下的砂土、碎石土、粉土，在基坑外侧，可取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3" o:spt="75" type="#_x0000_t75" style="height:18pt;width:52.8pt;" o:ole="t" filled="f" o:preferrelative="t" stroked="f" coordsize="21600,21600">
            <v:path/>
            <v:fill on="f" focussize="0,0"/>
            <v:stroke on="f" joinstyle="miter"/>
            <v:imagedata r:id="rId365" o:title=""/>
            <o:lock v:ext="edit" aspectratio="t"/>
            <w10:wrap type="none"/>
            <w10:anchorlock/>
          </v:shape>
          <o:OLEObject Type="Embed" ProgID="Equation.DSMT4" ShapeID="_x0000_i1193" DrawAspect="Content" ObjectID="_1468075893" r:id="rId36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，在基坑内侧，可取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4" o:spt="75" type="#_x0000_t75" style="height:18pt;width:52.8pt;" o:ole="t" filled="f" o:preferrelative="t" stroked="f" coordsize="21600,21600">
            <v:path/>
            <v:fill on="f" focussize="0,0"/>
            <v:stroke on="f" joinstyle="miter"/>
            <v:imagedata r:id="rId367" o:title=""/>
            <o:lock v:ext="edit" aspectratio="t"/>
            <w10:wrap type="none"/>
            <w10:anchorlock/>
          </v:shape>
          <o:OLEObject Type="Embed" ProgID="Equation.DSMT4" ShapeID="_x0000_i1194" DrawAspect="Content" ObjectID="_1468075894" r:id="rId36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；在地下水位以上或对地下水位以下的粘性土，取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5" o:spt="75" type="#_x0000_t75" style="height:18pt;width:19.8pt;" o:ole="t" filled="f" o:preferrelative="t" stroked="f" coordsize="21600,21600">
            <v:path/>
            <v:fill on="f" focussize="0,0"/>
            <v:stroke on="f" joinstyle="miter"/>
            <v:imagedata r:id="rId369" o:title=""/>
            <o:lock v:ext="edit" aspectratio="t"/>
            <w10:wrap type="none"/>
            <w10:anchorlock/>
          </v:shape>
          <o:OLEObject Type="Embed" ProgID="Equation.DSMT4" ShapeID="_x0000_i1195" DrawAspect="Content" ObjectID="_1468075895" r:id="rId36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6" o:spt="75" type="#_x0000_t75" style="height:16.2pt;width:12pt;" o:ole="t" filled="f" o:preferrelative="t" stroked="f" coordsize="21600,21600">
            <v:path/>
            <v:fill on="f" focussize="0,0"/>
            <v:stroke on="f" joinstyle="miter"/>
            <v:imagedata r:id="rId371" o:title=""/>
            <o:lock v:ext="edit" aspectratio="t"/>
            <w10:wrap type="none"/>
            <w10:anchorlock/>
          </v:shape>
          <o:OLEObject Type="Embed" ProgID="Equation.DSMT4" ShapeID="_x0000_i1196" DrawAspect="Content" ObjectID="_1468075896" r:id="rId37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──地下水重度(kN/m3)；</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──基坑外地下水位至第j土条滑弧面中点的垂直距离(m)；</w:t>
      </w:r>
    </w:p>
    <w:p>
      <w:pPr>
        <w:pStyle w:val="51"/>
        <w:widowControl w:val="0"/>
        <w:numPr>
          <w:ilvl w:val="255"/>
          <w:numId w:val="0"/>
        </w:numPr>
        <w:spacing w:line="360" w:lineRule="auto"/>
        <w:ind w:left="284" w:firstLine="560" w:firstLineChars="200"/>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wp，j</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──基坑内地下水位至第j土条滑弧面中点的垂直距离(m)；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当基坑底面以下存在软弱下卧土层时，整体稳定性验算滑动面中尚应包括由圆弧与软弱土层层面组成的复合滑动面。</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微型桩、水泥土桩复合土钉墙，滑弧穿过其嵌固段的土条可适当考虑桩的抗滑作用。</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基坑底面以下有软土层的土钉墙结构应进行坑底隆起稳定性验算，验算可采用下列公式（图7.3.4）。</w:t>
      </w:r>
    </w:p>
    <w:p>
      <w:pPr>
        <w:pStyle w:val="40"/>
      </w:pPr>
      <w:r>
        <w:drawing>
          <wp:inline distT="0" distB="0" distL="0" distR="0">
            <wp:extent cx="4411980" cy="2400300"/>
            <wp:effectExtent l="0" t="0" r="7620" b="0"/>
            <wp:docPr id="25" name="图片 2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示&#10;&#10;描述已自动生成"/>
                    <pic:cNvPicPr>
                      <a:picLocks noChangeAspect="1"/>
                    </pic:cNvPicPr>
                  </pic:nvPicPr>
                  <pic:blipFill>
                    <a:blip r:embed="rId372"/>
                    <a:srcRect b="10356"/>
                    <a:stretch>
                      <a:fillRect/>
                    </a:stretch>
                  </pic:blipFill>
                  <pic:spPr>
                    <a:xfrm>
                      <a:off x="0" y="0"/>
                      <a:ext cx="4421371" cy="2405409"/>
                    </a:xfrm>
                    <a:prstGeom prst="rect">
                      <a:avLst/>
                    </a:prstGeom>
                    <a:ln>
                      <a:noFill/>
                    </a:ln>
                  </pic:spPr>
                </pic:pic>
              </a:graphicData>
            </a:graphic>
          </wp:inline>
        </w:drawing>
      </w:r>
    </w:p>
    <w:p>
      <w:pPr>
        <w:pStyle w:val="38"/>
      </w:pPr>
      <w:r>
        <w:rPr>
          <w:rFonts w:hint="eastAsia"/>
        </w:rPr>
        <w:t>图7.3.4基坑底面下有软土层的土钉墙抗隆起稳定性验算</w:t>
      </w:r>
    </w:p>
    <w:p>
      <w:pPr>
        <w:pStyle w:val="35"/>
      </w:pPr>
      <w:r>
        <w:tab/>
      </w:r>
      <w:r>
        <w:rPr>
          <w:rFonts w:hint="eastAsia"/>
        </w:rPr>
        <w:t>···</w:t>
      </w:r>
      <w:r>
        <w:object>
          <v:shape id="_x0000_i1197" o:spt="75" type="#_x0000_t75" style="height:112.8pt;width:280.8pt;" o:ole="t" filled="f" o:preferrelative="t" stroked="f" coordsize="21600,21600">
            <v:path/>
            <v:fill on="f" focussize="0,0"/>
            <v:stroke on="f" joinstyle="miter"/>
            <v:imagedata r:id="rId374" o:title=""/>
            <o:lock v:ext="edit" aspectratio="t"/>
            <w10:wrap type="none"/>
            <w10:anchorlock/>
          </v:shape>
          <o:OLEObject Type="Embed" ProgID="Equation.DSMT4" ShapeID="_x0000_i1197" DrawAspect="Content" ObjectID="_1468075897" r:id="rId373">
            <o:LockedField>false</o:LockedField>
          </o:OLEObject>
        </w:object>
      </w:r>
      <w:r>
        <w:tab/>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8" o:spt="75" type="#_x0000_t75" style="height:16.2pt;width:12pt;" o:ole="t" filled="f" o:preferrelative="t" stroked="f" coordsize="21600,21600">
            <v:path/>
            <v:fill on="f" focussize="0,0"/>
            <v:stroke on="f" joinstyle="miter"/>
            <v:imagedata r:id="rId376" o:title=""/>
            <o:lock v:ext="edit" aspectratio="t"/>
            <w10:wrap type="none"/>
            <w10:anchorlock/>
          </v:shape>
          <o:OLEObject Type="Embed" ProgID="Equation.DSMT4" ShapeID="_x0000_i1198" DrawAspect="Content" ObjectID="_1468075898" r:id="rId37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──地面均布荷载（kPa）；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199" o:spt="75" type="#_x0000_t75" style="height:16.2pt;width:16.2pt;" o:ole="t" filled="f" o:preferrelative="t" stroked="f" coordsize="21600,21600">
            <v:path/>
            <v:fill on="f" focussize="0,0"/>
            <v:stroke on="f" joinstyle="miter"/>
            <v:imagedata r:id="rId378" o:title=""/>
            <o:lock v:ext="edit" aspectratio="t"/>
            <w10:wrap type="none"/>
            <w10:anchorlock/>
          </v:shape>
          <o:OLEObject Type="Embed" ProgID="Equation.DSMT4" ShapeID="_x0000_i1199" DrawAspect="Content" ObjectID="_1468075899" r:id="rId37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──隧道轨面以上土的重度（KN/m3）；对多层土取各层土按厚度加权的平均重度；</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h──隧道的高度（m）</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0" o:spt="75" type="#_x0000_t75" style="height:16.2pt;width:18pt;" o:ole="t" filled="f" o:preferrelative="t" stroked="f" coordsize="21600,21600">
            <v:path/>
            <v:fill on="f" focussize="0,0"/>
            <v:stroke on="f" joinstyle="miter"/>
            <v:imagedata r:id="rId380" o:title=""/>
            <o:lock v:ext="edit" aspectratio="t"/>
            <w10:wrap type="none"/>
            <w10:anchorlock/>
          </v:shape>
          <o:OLEObject Type="Embed" ProgID="Equation.DSMT4" ShapeID="_x0000_i1200" DrawAspect="Content" ObjectID="_1468075900" r:id="rId37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──隧道轨面至抗隆起计算平面之间土层的重度（KN/m3）；对多层土取各层土按厚度加权的平均重度；</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D──隧道轨面至抗隆起计算平面之间土层的厚度（m）;当抗隆起计算平面为隧道轨面底平面时，取D等于0；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1" o:spt="75" type="#_x0000_t75" style="height:16.2pt;width:15pt;" o:ole="t" filled="f" o:preferrelative="t" stroked="f" coordsize="21600,21600">
            <v:path/>
            <v:fill on="f" focussize="0,0"/>
            <v:stroke on="f" joinstyle="miter"/>
            <v:imagedata r:id="rId382" o:title=""/>
            <o:lock v:ext="edit" aspectratio="t"/>
            <w10:wrap type="none"/>
            <w10:anchorlock/>
          </v:shape>
          <o:OLEObject Type="Embed" ProgID="Equation.DSMT4" ShapeID="_x0000_i1201" DrawAspect="Content" ObjectID="_1468075901" r:id="rId38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2" o:spt="75" type="#_x0000_t75" style="height:18pt;width:16.2pt;" o:ole="t" filled="f" o:preferrelative="t" stroked="f" coordsize="21600,21600">
            <v:path/>
            <v:fill on="f" focussize="0,0"/>
            <v:stroke on="f" joinstyle="miter"/>
            <v:imagedata r:id="rId384" o:title=""/>
            <o:lock v:ext="edit" aspectratio="t"/>
            <w10:wrap type="none"/>
            <w10:anchorlock/>
          </v:shape>
          <o:OLEObject Type="Embed" ProgID="Equation.DSMT4" ShapeID="_x0000_i1202" DrawAspect="Content" ObjectID="_1468075902" r:id="rId38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──承载力系数；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3" o:spt="75" type="#_x0000_t75" style="height:12pt;width:10.2pt;" o:ole="t" filled="f" o:preferrelative="t" stroked="f" coordsize="21600,21600">
            <v:path/>
            <v:fill on="f" focussize="0,0"/>
            <v:stroke on="f" joinstyle="miter"/>
            <v:imagedata r:id="rId386" o:title=""/>
            <o:lock v:ext="edit" aspectratio="t"/>
            <w10:wrap type="none"/>
            <w10:anchorlock/>
          </v:shape>
          <o:OLEObject Type="Embed" ProgID="Equation.DSMT4" ShapeID="_x0000_i1203" DrawAspect="Content" ObjectID="_1468075903" r:id="rId38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4" o:spt="75" type="#_x0000_t75" style="height:12pt;width:12pt;" o:ole="t" filled="f" o:preferrelative="t" stroked="f" coordsize="21600,21600">
            <v:path/>
            <v:fill on="f" focussize="0,0"/>
            <v:stroke on="f" joinstyle="miter"/>
            <v:imagedata r:id="rId388" o:title=""/>
            <o:lock v:ext="edit" aspectratio="t"/>
            <w10:wrap type="none"/>
            <w10:anchorlock/>
          </v:shape>
          <o:OLEObject Type="Embed" ProgID="Equation.DSMT4" ShapeID="_x0000_i1204" DrawAspect="Content" ObjectID="_1468075904" r:id="rId38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──抗隆起计算平面以下土的粘聚力（kPa）、内摩擦角（</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5" o:spt="75" type="#_x0000_t75" style="height:12pt;width:7.2pt;" o:ole="t" filled="f" o:preferrelative="t" stroked="f" coordsize="21600,21600">
            <v:path/>
            <v:fill on="f" focussize="0,0"/>
            <v:stroke on="f" joinstyle="miter"/>
            <v:imagedata r:id="rId390" o:title=""/>
            <o:lock v:ext="edit" aspectratio="t"/>
            <w10:wrap type="none"/>
            <w10:anchorlock/>
          </v:shape>
          <o:OLEObject Type="Embed" ProgID="Equation.DSMT4" ShapeID="_x0000_i1205" DrawAspect="Content" ObjectID="_1468075905" r:id="rId38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），按照本规程第3.1.14条规定取值；</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6" o:spt="75" type="#_x0000_t75" style="height:16.2pt;width:12pt;" o:ole="t" filled="f" o:preferrelative="t" stroked="f" coordsize="21600,21600">
            <v:path/>
            <v:fill on="f" focussize="0,0"/>
            <v:stroke on="f" joinstyle="miter"/>
            <v:imagedata r:id="rId392" o:title=""/>
            <o:lock v:ext="edit" aspectratio="t"/>
            <w10:wrap type="none"/>
            <w10:anchorlock/>
          </v:shape>
          <o:OLEObject Type="Embed" ProgID="Equation.DSMT4" ShapeID="_x0000_i1206" DrawAspect="Content" ObjectID="_1468075906" r:id="rId39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──土钉墙破面的宽度（m）;当土钉墙坡面垂直时取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7" o:spt="75" type="#_x0000_t75" style="height:16.2pt;width:12pt;" o:ole="t" filled="f" o:preferrelative="t" stroked="f" coordsize="21600,21600">
            <v:path/>
            <v:fill on="f" focussize="0,0"/>
            <v:stroke on="f" joinstyle="miter"/>
            <v:imagedata r:id="rId392" o:title=""/>
            <o:lock v:ext="edit" aspectratio="t"/>
            <w10:wrap type="none"/>
            <w10:anchorlock/>
          </v:shape>
          <o:OLEObject Type="Embed" ProgID="Equation.DSMT4" ShapeID="_x0000_i1207" DrawAspect="Content" ObjectID="_1468075907" r:id="rId39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8" o:spt="75" type="#_x0000_t75" style="height:16.2pt;width:12pt;" o:ole="t" filled="f" o:preferrelative="t" stroked="f" coordsize="21600,21600">
            <v:path/>
            <v:fill on="f" focussize="0,0"/>
            <v:stroke on="f" joinstyle="miter"/>
            <v:imagedata r:id="rId395" o:title=""/>
            <o:lock v:ext="edit" aspectratio="t"/>
            <w10:wrap type="none"/>
            <w10:anchorlock/>
          </v:shape>
          <o:OLEObject Type="Embed" ProgID="Equation.DSMT4" ShapeID="_x0000_i1208" DrawAspect="Content" ObjectID="_1468075908" r:id="rId39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──地面均布荷载的计算宽度（m）,可取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09" o:spt="75" type="#_x0000_t75" style="height:16.2pt;width:12pt;" o:ole="t" filled="f" o:preferrelative="t" stroked="f" coordsize="21600,21600">
            <v:path/>
            <v:fill on="f" focussize="0,0"/>
            <v:stroke on="f" joinstyle="miter"/>
            <v:imagedata r:id="rId397" o:title=""/>
            <o:lock v:ext="edit" aspectratio="t"/>
            <w10:wrap type="none"/>
            <w10:anchorlock/>
          </v:shape>
          <o:OLEObject Type="Embed" ProgID="Equation.DSMT4" ShapeID="_x0000_i1209" DrawAspect="Content" ObjectID="_1468075909" r:id="rId39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0" o:spt="75" type="#_x0000_t75" style="height:16.2pt;width:18pt;" o:ole="t" filled="f" o:preferrelative="t" stroked="f" coordsize="21600,21600">
            <v:path/>
            <v:fill on="f" focussize="0,0"/>
            <v:stroke on="f" joinstyle="miter"/>
            <v:imagedata r:id="rId399" o:title=""/>
            <o:lock v:ext="edit" aspectratio="t"/>
            <w10:wrap type="none"/>
            <w10:anchorlock/>
          </v:shape>
          <o:OLEObject Type="Embed" ProgID="Equation.DSMT4" ShapeID="_x0000_i1210" DrawAspect="Content" ObjectID="_1468075910" r:id="rId39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──抗隆起安全系数；安全等级为二级、三级的土钉墙，</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1" o:spt="75" type="#_x0000_t75" style="height:16.2pt;width:18pt;" o:ole="t" filled="f" o:preferrelative="t" stroked="f" coordsize="21600,21600">
            <v:path/>
            <v:fill on="f" focussize="0,0"/>
            <v:stroke on="f" joinstyle="miter"/>
            <v:imagedata r:id="rId399" o:title=""/>
            <o:lock v:ext="edit" aspectratio="t"/>
            <w10:wrap type="none"/>
            <w10:anchorlock/>
          </v:shape>
          <o:OLEObject Type="Embed" ProgID="Equation.DSMT4" ShapeID="_x0000_i1211" DrawAspect="Content" ObjectID="_1468075911" r:id="rId40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分别不应小于1.6、1.4。</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土钉墙与截水帷幕结合时，应按（建筑基坑支护技术规程JGJ120-2012-基坑支护技术规范）附录C规定进行地下水渗透稳定性验算。</w:t>
      </w:r>
    </w:p>
    <w:p>
      <w:pPr>
        <w:pStyle w:val="51"/>
        <w:numPr>
          <w:ilvl w:val="2"/>
          <w:numId w:val="0"/>
        </w:numPr>
      </w:pPr>
    </w:p>
    <w:p>
      <w:pPr>
        <w:pStyle w:val="43"/>
        <w:numPr>
          <w:ilvl w:val="0"/>
          <w:numId w:val="8"/>
        </w:numPr>
        <w:ind w:firstLineChars="0"/>
        <w:jc w:val="center"/>
        <w:rPr>
          <w:rStyle w:val="37"/>
        </w:rPr>
      </w:pPr>
      <w:r>
        <w:rPr>
          <w:rStyle w:val="37"/>
          <w:rFonts w:hint="eastAsia"/>
        </w:rPr>
        <w:t>土钉承载力计算</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单根土钉的抗拔承载力应符合下式规定：</w:t>
      </w:r>
    </w:p>
    <w:p>
      <w:pPr>
        <w:pStyle w:val="35"/>
      </w:pPr>
      <w:r>
        <w:tab/>
      </w:r>
      <w:r>
        <w:rPr>
          <w:position w:val="-30"/>
        </w:rPr>
        <w:object>
          <v:shape id="_x0000_i1212" o:spt="75" type="#_x0000_t75" style="height:33pt;width:43.8pt;" o:ole="t" filled="f" o:preferrelative="t" stroked="f" coordsize="21600,21600">
            <v:path/>
            <v:fill on="f" focussize="0,0"/>
            <v:stroke on="f" joinstyle="miter"/>
            <v:imagedata r:id="rId402" o:title=""/>
            <o:lock v:ext="edit" aspectratio="t"/>
            <w10:wrap type="none"/>
            <w10:anchorlock/>
          </v:shape>
          <o:OLEObject Type="Embed" ProgID="Equation.DSMT4" ShapeID="_x0000_i1212" DrawAspect="Content" ObjectID="_1468075912" r:id="rId401">
            <o:LockedField>false</o:LockedField>
          </o:OLEObject>
        </w:object>
      </w:r>
      <w:r>
        <w:tab/>
      </w:r>
      <w:r>
        <w:rPr>
          <w:rFonts w:hint="eastAsia"/>
        </w:rPr>
        <w:t>（7.3.2.1）</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3" o:spt="75" type="#_x0000_t75" style="height:16.2pt;width:12pt;" o:ole="t" filled="f" o:preferrelative="t" stroked="f" coordsize="21600,21600">
            <v:path/>
            <v:fill on="f" focussize="0,0"/>
            <v:stroke on="f" joinstyle="miter"/>
            <v:imagedata r:id="rId404" o:title=""/>
            <o:lock v:ext="edit" aspectratio="t"/>
            <w10:wrap type="none"/>
            <w10:anchorlock/>
          </v:shape>
          <o:OLEObject Type="Embed" ProgID="Equation.DSMT4" ShapeID="_x0000_i1213" DrawAspect="Content" ObjectID="_1468075913" r:id="rId40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──土钉抗拔安全系数；安全等级为二级、三级的土钉墙，</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4" o:spt="75" type="#_x0000_t75" style="height:16.2pt;width:12pt;" o:ole="t" filled="f" o:preferrelative="t" stroked="f" coordsize="21600,21600">
            <v:path/>
            <v:fill on="f" focussize="0,0"/>
            <v:stroke on="f" joinstyle="miter"/>
            <v:imagedata r:id="rId404" o:title=""/>
            <o:lock v:ext="edit" aspectratio="t"/>
            <w10:wrap type="none"/>
            <w10:anchorlock/>
          </v:shape>
          <o:OLEObject Type="Embed" ProgID="Equation.DSMT4" ShapeID="_x0000_i1214" DrawAspect="Content" ObjectID="_1468075914" r:id="rId40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分别不应小于1.6、1.4；</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5" o:spt="75" type="#_x0000_t75" style="height:18pt;width:19.2pt;" o:ole="t" filled="f" o:preferrelative="t" stroked="f" coordsize="21600,21600">
            <v:path/>
            <v:fill on="f" focussize="0,0"/>
            <v:stroke on="f" joinstyle="miter"/>
            <v:imagedata r:id="rId407" o:title=""/>
            <o:lock v:ext="edit" aspectratio="t"/>
            <w10:wrap type="none"/>
            <w10:anchorlock/>
          </v:shape>
          <o:OLEObject Type="Embed" ProgID="Equation.DSMT4" ShapeID="_x0000_i1215" DrawAspect="Content" ObjectID="_1468075915" r:id="rId40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──第j层土钉的轴向拉力标准值（kN），应按本规程第7.3.2.2条的规定确定</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6" o:spt="75" type="#_x0000_t75" style="height:18pt;width:19.8pt;" o:ole="t" filled="f" o:preferrelative="t" stroked="f" coordsize="21600,21600">
            <v:path/>
            <v:fill on="f" focussize="0,0"/>
            <v:stroke on="f" joinstyle="miter"/>
            <v:imagedata r:id="rId409" o:title=""/>
            <o:lock v:ext="edit" aspectratio="t"/>
            <w10:wrap type="none"/>
            <w10:anchorlock/>
          </v:shape>
          <o:OLEObject Type="Embed" ProgID="Equation.DSMT4" ShapeID="_x0000_i1216" DrawAspect="Content" ObjectID="_1468075916" r:id="rId40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──第j层土钉的极限抗拔承载力标准值（kN），应按本规程第7.3.2.5条的规定确定。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单根土钉的轴向拉力标准值可按下式计算：</w:t>
      </w:r>
    </w:p>
    <w:p>
      <w:pPr>
        <w:pStyle w:val="35"/>
      </w:pPr>
      <w:r>
        <w:tab/>
      </w:r>
      <w:r>
        <w:object>
          <v:shape id="_x0000_i1217" o:spt="75" type="#_x0000_t75" style="height:33pt;width:115.8pt;" o:ole="t" filled="f" o:preferrelative="t" stroked="f" coordsize="21600,21600">
            <v:path/>
            <v:fill on="f" focussize="0,0"/>
            <v:stroke on="f" joinstyle="miter"/>
            <v:imagedata r:id="rId411" o:title=""/>
            <o:lock v:ext="edit" aspectratio="t"/>
            <w10:wrap type="none"/>
            <w10:anchorlock/>
          </v:shape>
          <o:OLEObject Type="Embed" ProgID="Equation.DSMT4" ShapeID="_x0000_i1217" DrawAspect="Content" ObjectID="_1468075917" r:id="rId410">
            <o:LockedField>false</o:LockedField>
          </o:OLEObject>
        </w:object>
      </w:r>
      <w:r>
        <w:tab/>
      </w:r>
      <w:r>
        <w:rPr>
          <w:rFonts w:hint="eastAsia"/>
        </w:rPr>
        <w:t>（7.3.2.2）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8" o:spt="75" type="#_x0000_t75" style="height:18pt;width:19.2pt;" o:ole="t" filled="f" o:preferrelative="t" stroked="f" coordsize="21600,21600">
            <v:path/>
            <v:fill on="f" focussize="0,0"/>
            <v:stroke on="f" joinstyle="miter"/>
            <v:imagedata r:id="rId413" o:title=""/>
            <o:lock v:ext="edit" aspectratio="t"/>
            <w10:wrap type="none"/>
            <w10:anchorlock/>
          </v:shape>
          <o:OLEObject Type="Embed" ProgID="Equation.DSMT4" ShapeID="_x0000_i1218" DrawAspect="Content" ObjectID="_1468075918" r:id="rId41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──第j层土钉的轴向拉力标准值（kN）;</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19" o:spt="75" type="#_x0000_t75" style="height:18pt;width:12pt;" o:ole="t" filled="f" o:preferrelative="t" stroked="f" coordsize="21600,21600">
            <v:path/>
            <v:fill on="f" focussize="0,0"/>
            <v:stroke on="f" joinstyle="miter"/>
            <v:imagedata r:id="rId415" o:title=""/>
            <o:lock v:ext="edit" aspectratio="t"/>
            <w10:wrap type="none"/>
            <w10:anchorlock/>
          </v:shape>
          <o:OLEObject Type="Embed" ProgID="Equation.DSMT4" ShapeID="_x0000_i1219" DrawAspect="Content" ObjectID="_1468075919" r:id="rId41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──第j层土钉的倾角（</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0" o:spt="75" type="#_x0000_t75" style="height:12pt;width:7.2pt;" o:ole="t" filled="f" o:preferrelative="t" stroked="f" coordsize="21600,21600">
            <v:path/>
            <v:fill on="f" focussize="0,0"/>
            <v:stroke on="f" joinstyle="miter"/>
            <v:imagedata r:id="rId390" o:title=""/>
            <o:lock v:ext="edit" aspectratio="t"/>
            <w10:wrap type="none"/>
            <w10:anchorlock/>
          </v:shape>
          <o:OLEObject Type="Embed" ProgID="Equation.DSMT4" ShapeID="_x0000_i1220" DrawAspect="Content" ObjectID="_1468075920" r:id="rId41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1" o:spt="75" type="#_x0000_t75" style="height:15pt;width:12pt;" o:ole="t" filled="f" o:preferrelative="t" stroked="f" coordsize="21600,21600">
            <v:path/>
            <v:fill on="f" focussize="0,0"/>
            <v:stroke on="f" joinstyle="miter"/>
            <v:imagedata r:id="rId418" o:title=""/>
            <o:lock v:ext="edit" aspectratio="t"/>
            <w10:wrap type="none"/>
            <w10:anchorlock/>
          </v:shape>
          <o:OLEObject Type="Embed" ProgID="Equation.DSMT4" ShapeID="_x0000_i1221" DrawAspect="Content" ObjectID="_1468075921" r:id="rId41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──墙面倾斜时的主动土压力折减系数，可按本规程第7.3.2.3条确定。</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2" o:spt="75" type="#_x0000_t75" style="height:18pt;width:12pt;" o:ole="t" filled="f" o:preferrelative="t" stroked="f" coordsize="21600,21600">
            <v:path/>
            <v:fill on="f" focussize="0,0"/>
            <v:stroke on="f" joinstyle="miter"/>
            <v:imagedata r:id="rId420" o:title=""/>
            <o:lock v:ext="edit" aspectratio="t"/>
            <w10:wrap type="none"/>
            <w10:anchorlock/>
          </v:shape>
          <o:OLEObject Type="Embed" ProgID="Equation.DSMT4" ShapeID="_x0000_i1222" DrawAspect="Content" ObjectID="_1468075922" r:id="rId419">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──第j层土钉轴向拉力调整系数，可按照公式（7.3.2.4）计算；</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3" o:spt="75" type="#_x0000_t75" style="height:18pt;width:12pt;" o:ole="t" filled="f" o:preferrelative="t" stroked="f" coordsize="21600,21600">
            <v:path/>
            <v:fill on="f" focussize="0,0"/>
            <v:stroke on="f" joinstyle="miter"/>
            <v:imagedata r:id="rId422" o:title=""/>
            <o:lock v:ext="edit" aspectratio="t"/>
            <w10:wrap type="none"/>
            <w10:anchorlock/>
          </v:shape>
          <o:OLEObject Type="Embed" ProgID="Equation.DSMT4" ShapeID="_x0000_i1223" DrawAspect="Content" ObjectID="_1468075923" r:id="rId421">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──土钉的水平间距（m）；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4" o:spt="75" type="#_x0000_t75" style="height:18pt;width:12pt;" o:ole="t" filled="f" o:preferrelative="t" stroked="f" coordsize="21600,21600">
            <v:path/>
            <v:fill on="f" focussize="0,0"/>
            <v:stroke on="f" joinstyle="miter"/>
            <v:imagedata r:id="rId424" o:title=""/>
            <o:lock v:ext="edit" aspectratio="t"/>
            <w10:wrap type="none"/>
            <w10:anchorlock/>
          </v:shape>
          <o:OLEObject Type="Embed" ProgID="Equation.DSMT4" ShapeID="_x0000_i1224" DrawAspect="Content" ObjectID="_1468075924" r:id="rId42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──土钉的垂直间距（m）。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5" o:spt="75" type="#_x0000_t75" style="height:18pt;width:19.2pt;" o:ole="t" filled="f" o:preferrelative="t" stroked="f" coordsize="21600,21600">
            <v:path/>
            <v:fill on="f" focussize="0,0"/>
            <v:stroke on="f" joinstyle="miter"/>
            <v:imagedata r:id="rId426" o:title=""/>
            <o:lock v:ext="edit" aspectratio="t"/>
            <w10:wrap type="none"/>
            <w10:anchorlock/>
          </v:shape>
          <o:OLEObject Type="Embed" ProgID="Equation.DSMT4" ShapeID="_x0000_i1225" DrawAspect="Content" ObjectID="_1468075925" r:id="rId42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──第j层土钉处的主动土压力强度标准值（kPa）</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坡面倾斜时的主动土压力折减系数（</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226" o:spt="75" type="#_x0000_t75" style="height:15pt;width:12pt;" o:ole="t" filled="f" o:preferrelative="t" stroked="f" coordsize="21600,21600">
            <v:path/>
            <v:fill on="f" focussize="0,0"/>
            <v:stroke on="f" joinstyle="miter"/>
            <v:imagedata r:id="rId418" o:title=""/>
            <o:lock v:ext="edit" aspectratio="t"/>
            <w10:wrap type="none"/>
            <w10:anchorlock/>
          </v:shape>
          <o:OLEObject Type="Embed" ProgID="Equation.DSMT4" ShapeID="_x0000_i1226" DrawAspect="Content" ObjectID="_1468075926" r:id="rId427">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）可按下式计算：</w:t>
      </w:r>
    </w:p>
    <w:p>
      <w:pPr>
        <w:pStyle w:val="35"/>
      </w:pPr>
      <w:r>
        <w:object>
          <v:shape id="_x0000_i1227" o:spt="75" type="#_x0000_t75" style="height:52.2pt;width:228pt;" o:ole="t" filled="f" o:preferrelative="t" stroked="f" coordsize="21600,21600">
            <v:path/>
            <v:fill on="f" focussize="0,0"/>
            <v:stroke on="f" joinstyle="miter"/>
            <v:imagedata r:id="rId429" o:title=""/>
            <o:lock v:ext="edit" aspectratio="t"/>
            <w10:wrap type="none"/>
            <w10:anchorlock/>
          </v:shape>
          <o:OLEObject Type="Embed" ProgID="Equation.DSMT4" ShapeID="_x0000_i1227" DrawAspect="Content" ObjectID="_1468075927" r:id="rId428">
            <o:LockedField>false</o:LockedField>
          </o:OLEObject>
        </w:object>
      </w:r>
      <w:r>
        <w:rPr>
          <w:rFonts w:hint="eastAsia"/>
        </w:rPr>
        <w:t>（7.3.8）</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8" o:spt="75" type="#_x0000_t75" style="height:15pt;width:12pt;" o:ole="t" filled="f" o:preferrelative="t" stroked="f" coordsize="21600,21600">
            <v:path/>
            <v:fill on="f" focussize="0,0"/>
            <v:stroke on="f" joinstyle="miter"/>
            <v:imagedata r:id="rId431" o:title=""/>
            <o:lock v:ext="edit" aspectratio="t"/>
            <w10:wrap type="none"/>
            <w10:anchorlock/>
          </v:shape>
          <o:OLEObject Type="Embed" ProgID="Equation.DSMT4" ShapeID="_x0000_i1228" DrawAspect="Content" ObjectID="_1468075928" r:id="rId43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──主动土压力折减系数；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29" o:spt="75" type="#_x0000_t75" style="height:15pt;width:12pt;" o:ole="t" filled="f" o:preferrelative="t" stroked="f" coordsize="21600,21600">
            <v:path/>
            <v:fill on="f" focussize="0,0"/>
            <v:stroke on="f" joinstyle="miter"/>
            <v:imagedata r:id="rId433" o:title=""/>
            <o:lock v:ext="edit" aspectratio="t"/>
            <w10:wrap type="none"/>
            <w10:anchorlock/>
          </v:shape>
          <o:OLEObject Type="Embed" ProgID="Equation.DSMT4" ShapeID="_x0000_i1229" DrawAspect="Content" ObjectID="_1468075929" r:id="rId43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──土钉墙坡面与水平面的夹角（</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0" o:spt="75" type="#_x0000_t75" style="height:12pt;width:7.2pt;" o:ole="t" filled="f" o:preferrelative="t" stroked="f" coordsize="21600,21600">
            <v:path/>
            <v:fill on="f" focussize="0,0"/>
            <v:stroke on="f" joinstyle="miter"/>
            <v:imagedata r:id="rId390" o:title=""/>
            <o:lock v:ext="edit" aspectratio="t"/>
            <w10:wrap type="none"/>
            <w10:anchorlock/>
          </v:shape>
          <o:OLEObject Type="Embed" ProgID="Equation.DSMT4" ShapeID="_x0000_i1230" DrawAspect="Content" ObjectID="_1468075930" r:id="rId43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1" o:spt="75" type="#_x0000_t75" style="height:16.2pt;width:15pt;" o:ole="t" filled="f" o:preferrelative="t" stroked="f" coordsize="21600,21600">
            <v:path/>
            <v:fill on="f" focussize="0,0"/>
            <v:stroke on="f" joinstyle="miter"/>
            <v:imagedata r:id="rId436" o:title=""/>
            <o:lock v:ext="edit" aspectratio="t"/>
            <w10:wrap type="none"/>
            <w10:anchorlock/>
          </v:shape>
          <o:OLEObject Type="Embed" ProgID="Equation.DSMT4" ShapeID="_x0000_i1231" DrawAspect="Content" ObjectID="_1468075931" r:id="rId43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──隧道轨面以上各土层按土层厚度加权的内摩擦角平均值（</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2" o:spt="75" type="#_x0000_t75" style="height:12pt;width:7.2pt;" o:ole="t" filled="f" o:preferrelative="t" stroked="f" coordsize="21600,21600">
            <v:path/>
            <v:fill on="f" focussize="0,0"/>
            <v:stroke on="f" joinstyle="miter"/>
            <v:imagedata r:id="rId390" o:title=""/>
            <o:lock v:ext="edit" aspectratio="t"/>
            <w10:wrap type="none"/>
            <w10:anchorlock/>
          </v:shape>
          <o:OLEObject Type="Embed" ProgID="Equation.DSMT4" ShapeID="_x0000_i1232" DrawAspect="Content" ObjectID="_1468075932" r:id="rId43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土钉轴向拉力调整系数（</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233" o:spt="75" type="#_x0000_t75" style="height:18pt;width:12pt;" o:ole="t" filled="f" o:preferrelative="t" stroked="f" coordsize="21600,21600">
            <v:path/>
            <v:fill on="f" focussize="0,0"/>
            <v:stroke on="f" joinstyle="miter"/>
            <v:imagedata r:id="rId439" o:title=""/>
            <o:lock v:ext="edit" aspectratio="t"/>
            <w10:wrap type="none"/>
            <w10:anchorlock/>
          </v:shape>
          <o:OLEObject Type="Embed" ProgID="Equation.DSMT4" ShapeID="_x0000_i1233" DrawAspect="Content" ObjectID="_1468075933" r:id="rId43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）可按下列公式计算：</w:t>
      </w:r>
    </w:p>
    <w:p>
      <w:pPr>
        <w:pStyle w:val="35"/>
      </w:pPr>
      <w:r>
        <w:rPr>
          <w:position w:val="-22"/>
        </w:rPr>
        <w:object>
          <v:shape id="_x0000_i1234" o:spt="75" type="#_x0000_t75" style="height:30pt;width:94.8pt;" o:ole="t" filled="f" o:preferrelative="t" stroked="f" coordsize="21600,21600">
            <v:path/>
            <v:fill on="f" focussize="0,0"/>
            <v:stroke on="f" joinstyle="miter"/>
            <v:imagedata r:id="rId441" o:title=""/>
            <o:lock v:ext="edit" aspectratio="t"/>
            <w10:wrap type="none"/>
            <w10:anchorlock/>
          </v:shape>
          <o:OLEObject Type="Embed" ProgID="Equation.DSMT4" ShapeID="_x0000_i1234" DrawAspect="Content" ObjectID="_1468075934" r:id="rId440">
            <o:LockedField>false</o:LockedField>
          </o:OLEObject>
        </w:object>
      </w:r>
      <w:r>
        <w:rPr>
          <w:rFonts w:hint="eastAsia"/>
        </w:rPr>
        <w:t>（7.3.9-1）</w:t>
      </w:r>
    </w:p>
    <w:p>
      <w:pPr>
        <w:pStyle w:val="35"/>
      </w:pPr>
      <w:r>
        <w:rPr>
          <w:position w:val="-56"/>
        </w:rPr>
        <w:object>
          <v:shape id="_x0000_i1235" o:spt="75" type="#_x0000_t75" style="height:61.8pt;width:102pt;" o:ole="t" filled="f" o:preferrelative="t" stroked="f" coordsize="21600,21600">
            <v:path/>
            <v:fill on="f" focussize="0,0"/>
            <v:stroke on="f" joinstyle="miter"/>
            <v:imagedata r:id="rId443" o:title=""/>
            <o:lock v:ext="edit" aspectratio="t"/>
            <w10:wrap type="none"/>
            <w10:anchorlock/>
          </v:shape>
          <o:OLEObject Type="Embed" ProgID="Equation.DSMT4" ShapeID="_x0000_i1235" DrawAspect="Content" ObjectID="_1468075935" r:id="rId442">
            <o:LockedField>false</o:LockedField>
          </o:OLEObject>
        </w:object>
      </w:r>
      <w:r>
        <w:rPr>
          <w:rFonts w:hint="eastAsia"/>
        </w:rPr>
        <w:t>（7.3.9-2）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6" o:spt="75" type="#_x0000_t75" style="height:18pt;width:12pt;" o:ole="t" filled="f" o:preferrelative="t" stroked="f" coordsize="21600,21600">
            <v:path/>
            <v:fill on="f" focussize="0,0"/>
            <v:stroke on="f" joinstyle="miter"/>
            <v:imagedata r:id="rId445" o:title=""/>
            <o:lock v:ext="edit" aspectratio="t"/>
            <w10:wrap type="none"/>
            <w10:anchorlock/>
          </v:shape>
          <o:OLEObject Type="Embed" ProgID="Equation.DSMT4" ShapeID="_x0000_i1236" DrawAspect="Content" ObjectID="_1468075936" r:id="rId44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──土钉轴向拉力调整系数；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7" o:spt="75" type="#_x0000_t75" style="height:18pt;width:12pt;" o:ole="t" filled="f" o:preferrelative="t" stroked="f" coordsize="21600,21600">
            <v:path/>
            <v:fill on="f" focussize="0,0"/>
            <v:stroke on="f" joinstyle="miter"/>
            <v:imagedata r:id="rId447" o:title=""/>
            <o:lock v:ext="edit" aspectratio="t"/>
            <w10:wrap type="none"/>
            <w10:anchorlock/>
          </v:shape>
          <o:OLEObject Type="Embed" ProgID="Equation.DSMT4" ShapeID="_x0000_i1237" DrawAspect="Content" ObjectID="_1468075937" r:id="rId44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──第j层土钉至隧道顶面的垂直距离（m）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8" o:spt="75" type="#_x0000_t75" style="height:12pt;width:9pt;" o:ole="t" filled="f" o:preferrelative="t" stroked="f" coordsize="21600,21600">
            <v:path/>
            <v:fill on="f" focussize="0,0"/>
            <v:stroke on="f" joinstyle="miter"/>
            <v:imagedata r:id="rId449" o:title=""/>
            <o:lock v:ext="edit" aspectratio="t"/>
            <w10:wrap type="none"/>
            <w10:anchorlock/>
          </v:shape>
          <o:OLEObject Type="Embed" ProgID="Equation.DSMT4" ShapeID="_x0000_i1238" DrawAspect="Content" ObjectID="_1468075938" r:id="rId44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──隧道深度（m）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39" o:spt="75" type="#_x0000_t75" style="height:18pt;width:22.8pt;" o:ole="t" filled="f" o:preferrelative="t" stroked="f" coordsize="21600,21600">
            <v:path/>
            <v:fill on="f" focussize="0,0"/>
            <v:stroke on="f" joinstyle="miter"/>
            <v:imagedata r:id="rId451" o:title=""/>
            <o:lock v:ext="edit" aspectratio="t"/>
            <w10:wrap type="none"/>
            <w10:anchorlock/>
          </v:shape>
          <o:OLEObject Type="Embed" ProgID="Equation.DSMT4" ShapeID="_x0000_i1239" DrawAspect="Content" ObjectID="_1468075939" r:id="rId45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──作用在以</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0" o:spt="75" type="#_x0000_t75" style="height:18pt;width:12pt;" o:ole="t" filled="f" o:preferrelative="t" stroked="f" coordsize="21600,21600">
            <v:path/>
            <v:fill on="f" focussize="0,0"/>
            <v:stroke on="f" joinstyle="miter"/>
            <v:imagedata r:id="rId453" o:title=""/>
            <o:lock v:ext="edit" aspectratio="t"/>
            <w10:wrap type="none"/>
            <w10:anchorlock/>
          </v:shape>
          <o:OLEObject Type="Embed" ProgID="Equation.DSMT4" ShapeID="_x0000_i1240" DrawAspect="Content" ObjectID="_1468075940" r:id="rId45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1" o:spt="75" type="#_x0000_t75" style="height:18pt;width:12pt;" o:ole="t" filled="f" o:preferrelative="t" stroked="f" coordsize="21600,21600">
            <v:path/>
            <v:fill on="f" focussize="0,0"/>
            <v:stroke on="f" joinstyle="miter"/>
            <v:imagedata r:id="rId455" o:title=""/>
            <o:lock v:ext="edit" aspectratio="t"/>
            <w10:wrap type="none"/>
            <w10:anchorlock/>
          </v:shape>
          <o:OLEObject Type="Embed" ProgID="Equation.DSMT4" ShapeID="_x0000_i1241" DrawAspect="Content" ObjectID="_1468075941" r:id="rId45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为边长的面积内的主动土压力标准值（kN）;</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2" o:spt="75" type="#_x0000_t75" style="height:16.2pt;width:12pt;" o:ole="t" filled="f" o:preferrelative="t" stroked="f" coordsize="21600,21600">
            <v:path/>
            <v:fill on="f" focussize="0,0"/>
            <v:stroke on="f" joinstyle="miter"/>
            <v:imagedata r:id="rId457" o:title=""/>
            <o:lock v:ext="edit" aspectratio="t"/>
            <w10:wrap type="none"/>
            <w10:anchorlock/>
          </v:shape>
          <o:OLEObject Type="Embed" ProgID="Equation.DSMT4" ShapeID="_x0000_i1242" DrawAspect="Content" ObjectID="_1468075942" r:id="rId45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3" o:spt="75" type="#_x0000_t75" style="height:16.2pt;width:12pt;" o:ole="t" filled="f" o:preferrelative="t" stroked="f" coordsize="21600,21600">
            <v:path/>
            <v:fill on="f" focussize="0,0"/>
            <v:stroke on="f" joinstyle="miter"/>
            <v:imagedata r:id="rId459" o:title=""/>
            <o:lock v:ext="edit" aspectratio="t"/>
            <w10:wrap type="none"/>
            <w10:anchorlock/>
          </v:shape>
          <o:OLEObject Type="Embed" ProgID="Equation.DSMT4" ShapeID="_x0000_i1243" DrawAspect="Content" ObjectID="_1468075943" r:id="rId45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──经验系数，可取0.6-1.0；</w:t>
      </w:r>
    </w:p>
    <w:p>
      <w:pPr>
        <w:ind w:firstLine="480"/>
        <w:rPr>
          <w:rFonts w:ascii="楷体" w:hAnsi="楷体" w:eastAsia="楷体"/>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4" o:spt="75" type="#_x0000_t75" style="height:9pt;width:9pt;" o:ole="t" filled="f" o:preferrelative="t" stroked="f" coordsize="21600,21600">
            <v:path/>
            <v:fill on="f" focussize="0,0"/>
            <v:stroke on="f" joinstyle="miter"/>
            <v:imagedata r:id="rId461" o:title=""/>
            <o:lock v:ext="edit" aspectratio="t"/>
            <w10:wrap type="none"/>
            <w10:anchorlock/>
          </v:shape>
          <o:OLEObject Type="Embed" ProgID="Equation.DSMT4" ShapeID="_x0000_i1244" DrawAspect="Content" ObjectID="_1468075944" r:id="rId46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──土钉层数。</w:t>
      </w:r>
    </w:p>
    <w:p>
      <w:pPr>
        <w:pStyle w:val="20"/>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单根土钉的极限抗拔承载力应按下列规定确定：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单根土钉的极限抗拔承载力通过抗拔试验确定，其试验方法应符合本规程附录A的规定。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单根土钉的极限抗拔承载力标准值可按下式估算，但应通过本规程附录A规定的土钉抗拔试验进行验证：</w:t>
      </w:r>
    </w:p>
    <w:p>
      <w:pPr>
        <w:pStyle w:val="35"/>
      </w:pPr>
      <w:r>
        <w:object>
          <v:shape id="_x0000_i1245" o:spt="75" type="#_x0000_t75" style="height:19.8pt;width:81pt;" o:ole="t" filled="f" o:preferrelative="t" stroked="f" coordsize="21600,21600">
            <v:path/>
            <v:fill on="f" focussize="0,0"/>
            <v:stroke on="f" joinstyle="miter"/>
            <v:imagedata r:id="rId463" o:title=""/>
            <o:lock v:ext="edit" aspectratio="t"/>
            <w10:wrap type="none"/>
            <w10:anchorlock/>
          </v:shape>
          <o:OLEObject Type="Embed" ProgID="Equation.DSMT4" ShapeID="_x0000_i1245" DrawAspect="Content" ObjectID="_1468075945" r:id="rId462">
            <o:LockedField>false</o:LockedField>
          </o:OLEObject>
        </w:object>
      </w:r>
      <w:r>
        <w:rPr>
          <w:rFonts w:hint="eastAsia"/>
        </w:rPr>
        <w:t>（7.3.10）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6" o:spt="75" type="#_x0000_t75" style="height:19.2pt;width:19.8pt;" o:ole="t" filled="f" o:preferrelative="t" stroked="f" coordsize="21600,21600">
            <v:path/>
            <v:fill on="f" focussize="0,0"/>
            <v:stroke on="f" joinstyle="miter"/>
            <v:imagedata r:id="rId465" o:title=""/>
            <o:lock v:ext="edit" aspectratio="t"/>
            <w10:wrap type="none"/>
            <w10:anchorlock/>
          </v:shape>
          <o:OLEObject Type="Embed" ProgID="Equation.DSMT4" ShapeID="_x0000_i1246" DrawAspect="Content" ObjectID="_1468075946" r:id="rId464">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──第j层土钉的极限抗拔承载力标准值（kN）；</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7" o:spt="75" type="#_x0000_t75" style="height:19.2pt;width:12pt;" o:ole="t" filled="f" o:preferrelative="t" stroked="f" coordsize="21600,21600">
            <v:path/>
            <v:fill on="f" focussize="0,0"/>
            <v:stroke on="f" joinstyle="miter"/>
            <v:imagedata r:id="rId467" o:title=""/>
            <o:lock v:ext="edit" aspectratio="t"/>
            <w10:wrap type="none"/>
            <w10:anchorlock/>
          </v:shape>
          <o:OLEObject Type="Embed" ProgID="Equation.DSMT4" ShapeID="_x0000_i1247" DrawAspect="Content" ObjectID="_1468075947" r:id="rId466">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──第j层土钉的锚固体直径（m）；对成孔注浆土钉，按成孔直径计算，对打入钢管土钉，按钢管直径计算；</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8" o:spt="75" type="#_x0000_t75" style="height:16.2pt;width:16.2pt;" o:ole="t" filled="f" o:preferrelative="t" stroked="f" coordsize="21600,21600">
            <v:path/>
            <v:fill on="f" focussize="0,0"/>
            <v:stroke on="f" joinstyle="miter"/>
            <v:imagedata r:id="rId469" o:title=""/>
            <o:lock v:ext="edit" aspectratio="t"/>
            <w10:wrap type="none"/>
            <w10:anchorlock/>
          </v:shape>
          <o:OLEObject Type="Embed" ProgID="Equation.DSMT4" ShapeID="_x0000_i1248" DrawAspect="Content" ObjectID="_1468075948" r:id="rId468">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──第j层土钉在第i层土的极限粘结强度标准值（kPa）；应由土钉抗拔试验确定，无试验数据时，可根据工程经验并结合表7.3.10取值；</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49" o:spt="75" type="#_x0000_t75" style="height:16.2pt;width:9pt;" o:ole="t" filled="f" o:preferrelative="t" stroked="f" coordsize="21600,21600">
            <v:path/>
            <v:fill on="f" focussize="0,0"/>
            <v:stroke on="f" joinstyle="miter"/>
            <v:imagedata r:id="rId471" o:title=""/>
            <o:lock v:ext="edit" aspectratio="t"/>
            <w10:wrap type="none"/>
            <w10:anchorlock/>
          </v:shape>
          <o:OLEObject Type="Embed" ProgID="Equation.DSMT4" ShapeID="_x0000_i1249" DrawAspect="Content" ObjectID="_1468075949" r:id="rId470">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──第j层土钉在滑动面外第i层中的长度（m）；计算单根土钉极限抗拔承载力时。取图7.3.10所示的直线滑动面，直线滑动面与水平面的夹角取</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50" o:spt="75" type="#_x0000_t75" style="height:27pt;width:37.8pt;" o:ole="t" filled="f" o:preferrelative="t" stroked="f" coordsize="21600,21600">
            <v:path/>
            <v:fill on="f" focussize="0,0"/>
            <v:stroke on="f" joinstyle="miter"/>
            <v:imagedata r:id="rId473" o:title=""/>
            <o:lock v:ext="edit" aspectratio="t"/>
            <w10:wrap type="none"/>
            <w10:anchorlock/>
          </v:shape>
          <o:OLEObject Type="Embed" ProgID="Equation.DSMT4" ShapeID="_x0000_i1250" DrawAspect="Content" ObjectID="_1468075950" r:id="rId472">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38"/>
      </w:pPr>
      <w:r>
        <w:rPr>
          <w:rFonts w:hint="eastAsia"/>
        </w:rPr>
        <w:t>表</w:t>
      </w:r>
      <w:r>
        <w:rPr>
          <w:rFonts w:hint="eastAsia" w:cs="Times New Roman"/>
          <w:bCs/>
        </w:rPr>
        <w:t>7</w:t>
      </w:r>
      <w:r>
        <w:rPr>
          <w:rFonts w:cs="Times New Roman"/>
          <w:bCs/>
        </w:rPr>
        <w:t>.</w:t>
      </w:r>
      <w:r>
        <w:rPr>
          <w:rFonts w:hint="eastAsia" w:cs="Times New Roman"/>
          <w:bCs/>
        </w:rPr>
        <w:t>3</w:t>
      </w:r>
      <w:r>
        <w:rPr>
          <w:rFonts w:cs="Times New Roman"/>
          <w:bCs/>
        </w:rPr>
        <w:t>.</w:t>
      </w:r>
      <w:r>
        <w:rPr>
          <w:rFonts w:hint="eastAsia" w:cs="Times New Roman"/>
          <w:bCs/>
        </w:rPr>
        <w:t>10</w:t>
      </w:r>
      <w:r>
        <w:rPr>
          <w:rFonts w:hint="eastAsia"/>
        </w:rPr>
        <w:t>土钉的极限粘结强度标准值</w:t>
      </w:r>
    </w:p>
    <w:tbl>
      <w:tblPr>
        <w:tblStyle w:val="22"/>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5"/>
        <w:gridCol w:w="2783"/>
        <w:gridCol w:w="1855"/>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restart"/>
            <w:shd w:val="clear" w:color="auto" w:fill="auto"/>
            <w:noWrap/>
            <w:vAlign w:val="center"/>
          </w:tcPr>
          <w:p>
            <w:pPr>
              <w:pStyle w:val="33"/>
            </w:pPr>
            <w:r>
              <w:rPr>
                <w:rFonts w:hint="eastAsia"/>
              </w:rPr>
              <w:t>土的名称</w:t>
            </w:r>
          </w:p>
        </w:tc>
        <w:tc>
          <w:tcPr>
            <w:tcW w:w="2783" w:type="dxa"/>
            <w:vMerge w:val="restart"/>
            <w:shd w:val="clear" w:color="auto" w:fill="auto"/>
            <w:noWrap/>
            <w:vAlign w:val="center"/>
          </w:tcPr>
          <w:p>
            <w:pPr>
              <w:pStyle w:val="33"/>
            </w:pPr>
            <w:r>
              <w:rPr>
                <w:rFonts w:hint="eastAsia"/>
              </w:rPr>
              <w:t>土的状态</w:t>
            </w:r>
          </w:p>
        </w:tc>
        <w:tc>
          <w:tcPr>
            <w:tcW w:w="3711" w:type="dxa"/>
            <w:gridSpan w:val="2"/>
            <w:shd w:val="clear" w:color="auto" w:fill="auto"/>
            <w:noWrap/>
            <w:vAlign w:val="center"/>
          </w:tcPr>
          <w:p>
            <w:pPr>
              <w:pStyle w:val="33"/>
            </w:pPr>
            <w:r>
              <w:rPr>
                <w:rFonts w:hint="eastAsia"/>
              </w:rPr>
              <w:t>q</w:t>
            </w:r>
            <w:r>
              <w:rPr>
                <w:rFonts w:hint="eastAsia"/>
                <w:vertAlign w:val="subscript"/>
              </w:rPr>
              <w:t>ak</w:t>
            </w:r>
            <w:r>
              <w:rPr>
                <w:rFonts w:hint="eastAsia"/>
              </w:rPr>
              <w:t>(k</w:t>
            </w:r>
            <w:r>
              <w:t>P</w:t>
            </w:r>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vMerge w:val="continue"/>
            <w:vAlign w:val="center"/>
          </w:tcPr>
          <w:p>
            <w:pPr>
              <w:pStyle w:val="33"/>
            </w:pPr>
          </w:p>
        </w:tc>
        <w:tc>
          <w:tcPr>
            <w:tcW w:w="1855" w:type="dxa"/>
            <w:shd w:val="clear" w:color="auto" w:fill="auto"/>
            <w:noWrap/>
            <w:vAlign w:val="center"/>
          </w:tcPr>
          <w:p>
            <w:pPr>
              <w:pStyle w:val="33"/>
            </w:pPr>
            <w:r>
              <w:rPr>
                <w:rFonts w:hint="eastAsia"/>
              </w:rPr>
              <w:t>成孔注浆土钉</w:t>
            </w:r>
          </w:p>
        </w:tc>
        <w:tc>
          <w:tcPr>
            <w:tcW w:w="1856" w:type="dxa"/>
            <w:shd w:val="clear" w:color="auto" w:fill="auto"/>
            <w:noWrap/>
            <w:vAlign w:val="center"/>
          </w:tcPr>
          <w:p>
            <w:pPr>
              <w:pStyle w:val="33"/>
            </w:pPr>
            <w:r>
              <w:rPr>
                <w:rFonts w:hint="eastAsia"/>
              </w:rPr>
              <w:t>打入钢管土钉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shd w:val="clear" w:color="auto" w:fill="auto"/>
            <w:noWrap/>
            <w:vAlign w:val="center"/>
          </w:tcPr>
          <w:p>
            <w:pPr>
              <w:pStyle w:val="33"/>
            </w:pPr>
            <w:r>
              <w:rPr>
                <w:rFonts w:hint="eastAsia"/>
              </w:rPr>
              <w:t>填土</w:t>
            </w:r>
          </w:p>
        </w:tc>
        <w:tc>
          <w:tcPr>
            <w:tcW w:w="2783" w:type="dxa"/>
            <w:shd w:val="clear" w:color="auto" w:fill="auto"/>
            <w:noWrap/>
            <w:vAlign w:val="center"/>
          </w:tcPr>
          <w:p>
            <w:pPr>
              <w:pStyle w:val="33"/>
            </w:pPr>
          </w:p>
        </w:tc>
        <w:tc>
          <w:tcPr>
            <w:tcW w:w="1855" w:type="dxa"/>
            <w:shd w:val="clear" w:color="auto" w:fill="auto"/>
            <w:noWrap/>
            <w:vAlign w:val="center"/>
          </w:tcPr>
          <w:p>
            <w:pPr>
              <w:pStyle w:val="33"/>
            </w:pPr>
            <w:r>
              <w:rPr>
                <w:rFonts w:hint="eastAsia"/>
              </w:rPr>
              <w:t>15～30</w:t>
            </w:r>
          </w:p>
        </w:tc>
        <w:tc>
          <w:tcPr>
            <w:tcW w:w="1856" w:type="dxa"/>
            <w:shd w:val="clear" w:color="auto" w:fill="auto"/>
            <w:noWrap/>
            <w:vAlign w:val="center"/>
          </w:tcPr>
          <w:p>
            <w:pPr>
              <w:pStyle w:val="33"/>
            </w:pPr>
            <w:r>
              <w:rPr>
                <w:rFonts w:hint="eastAsia"/>
              </w:rPr>
              <w:t>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shd w:val="clear" w:color="auto" w:fill="auto"/>
            <w:noWrap/>
            <w:vAlign w:val="center"/>
          </w:tcPr>
          <w:p>
            <w:pPr>
              <w:pStyle w:val="33"/>
            </w:pPr>
            <w:r>
              <w:rPr>
                <w:rFonts w:hint="eastAsia"/>
              </w:rPr>
              <w:t>淤泥质土</w:t>
            </w:r>
          </w:p>
        </w:tc>
        <w:tc>
          <w:tcPr>
            <w:tcW w:w="2783" w:type="dxa"/>
            <w:shd w:val="clear" w:color="auto" w:fill="auto"/>
            <w:noWrap/>
            <w:vAlign w:val="center"/>
          </w:tcPr>
          <w:p>
            <w:pPr>
              <w:pStyle w:val="33"/>
            </w:pPr>
          </w:p>
        </w:tc>
        <w:tc>
          <w:tcPr>
            <w:tcW w:w="1855" w:type="dxa"/>
            <w:shd w:val="clear" w:color="auto" w:fill="auto"/>
            <w:noWrap/>
            <w:vAlign w:val="center"/>
          </w:tcPr>
          <w:p>
            <w:pPr>
              <w:pStyle w:val="33"/>
            </w:pPr>
            <w:r>
              <w:rPr>
                <w:rFonts w:hint="eastAsia"/>
              </w:rPr>
              <w:t>10～20</w:t>
            </w:r>
          </w:p>
        </w:tc>
        <w:tc>
          <w:tcPr>
            <w:tcW w:w="1856" w:type="dxa"/>
            <w:shd w:val="clear" w:color="auto" w:fill="auto"/>
            <w:noWrap/>
            <w:vAlign w:val="center"/>
          </w:tcPr>
          <w:p>
            <w:pPr>
              <w:pStyle w:val="33"/>
            </w:pPr>
            <w:r>
              <w:rPr>
                <w:rFonts w:hint="eastAsia"/>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restart"/>
            <w:shd w:val="clear" w:color="auto" w:fill="auto"/>
            <w:noWrap/>
            <w:vAlign w:val="center"/>
          </w:tcPr>
          <w:p>
            <w:pPr>
              <w:pStyle w:val="33"/>
            </w:pPr>
            <w:r>
              <w:rPr>
                <w:rFonts w:hint="eastAsia"/>
              </w:rPr>
              <w:t>粘性土</w:t>
            </w:r>
          </w:p>
        </w:tc>
        <w:tc>
          <w:tcPr>
            <w:tcW w:w="2783" w:type="dxa"/>
            <w:shd w:val="clear" w:color="auto" w:fill="auto"/>
            <w:noWrap/>
            <w:vAlign w:val="center"/>
          </w:tcPr>
          <w:p>
            <w:pPr>
              <w:pStyle w:val="33"/>
            </w:pPr>
            <w:r>
              <w:rPr>
                <w:rFonts w:hint="eastAsia"/>
              </w:rPr>
              <w:t>0.75＜I</w:t>
            </w:r>
            <w:r>
              <w:rPr>
                <w:vertAlign w:val="subscript"/>
              </w:rPr>
              <w:t>L</w:t>
            </w:r>
            <w:r>
              <w:rPr>
                <w:rFonts w:hint="eastAsia"/>
              </w:rPr>
              <w:t>≤1</w:t>
            </w:r>
          </w:p>
        </w:tc>
        <w:tc>
          <w:tcPr>
            <w:tcW w:w="1855" w:type="dxa"/>
            <w:shd w:val="clear" w:color="auto" w:fill="auto"/>
            <w:noWrap/>
            <w:vAlign w:val="center"/>
          </w:tcPr>
          <w:p>
            <w:pPr>
              <w:pStyle w:val="33"/>
            </w:pPr>
            <w:r>
              <w:rPr>
                <w:rFonts w:hint="eastAsia"/>
              </w:rPr>
              <w:t>20～30</w:t>
            </w:r>
          </w:p>
        </w:tc>
        <w:tc>
          <w:tcPr>
            <w:tcW w:w="1856" w:type="dxa"/>
            <w:shd w:val="clear" w:color="auto" w:fill="auto"/>
            <w:noWrap/>
            <w:vAlign w:val="center"/>
          </w:tcPr>
          <w:p>
            <w:pPr>
              <w:pStyle w:val="33"/>
            </w:pPr>
            <w:r>
              <w:rPr>
                <w:rFonts w:hint="eastAsia"/>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0.25＜I</w:t>
            </w:r>
            <w:r>
              <w:rPr>
                <w:vertAlign w:val="subscript"/>
              </w:rPr>
              <w:t>L</w:t>
            </w:r>
            <w:r>
              <w:rPr>
                <w:rFonts w:hint="eastAsia"/>
              </w:rPr>
              <w:t>≤0.75</w:t>
            </w:r>
          </w:p>
        </w:tc>
        <w:tc>
          <w:tcPr>
            <w:tcW w:w="1855" w:type="dxa"/>
            <w:shd w:val="clear" w:color="auto" w:fill="auto"/>
            <w:noWrap/>
            <w:vAlign w:val="center"/>
          </w:tcPr>
          <w:p>
            <w:pPr>
              <w:pStyle w:val="33"/>
            </w:pPr>
            <w:r>
              <w:rPr>
                <w:rFonts w:hint="eastAsia"/>
              </w:rPr>
              <w:t>30～45</w:t>
            </w:r>
          </w:p>
        </w:tc>
        <w:tc>
          <w:tcPr>
            <w:tcW w:w="1856" w:type="dxa"/>
            <w:shd w:val="clear" w:color="auto" w:fill="auto"/>
            <w:noWrap/>
            <w:vAlign w:val="center"/>
          </w:tcPr>
          <w:p>
            <w:pPr>
              <w:pStyle w:val="33"/>
            </w:pPr>
            <w:r>
              <w:rPr>
                <w:rFonts w:hint="eastAsia"/>
              </w:rPr>
              <w:t>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0＜I</w:t>
            </w:r>
            <w:r>
              <w:rPr>
                <w:vertAlign w:val="subscript"/>
              </w:rPr>
              <w:t>L</w:t>
            </w:r>
            <w:r>
              <w:rPr>
                <w:rFonts w:hint="eastAsia"/>
              </w:rPr>
              <w:t>≤0.25</w:t>
            </w:r>
          </w:p>
        </w:tc>
        <w:tc>
          <w:tcPr>
            <w:tcW w:w="1855" w:type="dxa"/>
            <w:shd w:val="clear" w:color="auto" w:fill="auto"/>
            <w:noWrap/>
            <w:vAlign w:val="center"/>
          </w:tcPr>
          <w:p>
            <w:pPr>
              <w:pStyle w:val="33"/>
            </w:pPr>
            <w:r>
              <w:rPr>
                <w:rFonts w:hint="eastAsia"/>
              </w:rPr>
              <w:t>45～60</w:t>
            </w:r>
          </w:p>
        </w:tc>
        <w:tc>
          <w:tcPr>
            <w:tcW w:w="1856" w:type="dxa"/>
            <w:shd w:val="clear" w:color="auto" w:fill="auto"/>
            <w:noWrap/>
            <w:vAlign w:val="center"/>
          </w:tcPr>
          <w:p>
            <w:pPr>
              <w:pStyle w:val="33"/>
            </w:pPr>
            <w:r>
              <w:rPr>
                <w:rFonts w:hint="eastAsia"/>
              </w:rPr>
              <w:t>55～70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I</w:t>
            </w:r>
            <w:r>
              <w:rPr>
                <w:vertAlign w:val="subscript"/>
              </w:rPr>
              <w:t>L</w:t>
            </w:r>
            <w:r>
              <w:rPr>
                <w:rFonts w:hint="eastAsia"/>
              </w:rPr>
              <w:t>≤0</w:t>
            </w:r>
          </w:p>
        </w:tc>
        <w:tc>
          <w:tcPr>
            <w:tcW w:w="1855" w:type="dxa"/>
            <w:shd w:val="clear" w:color="auto" w:fill="auto"/>
            <w:noWrap/>
            <w:vAlign w:val="center"/>
          </w:tcPr>
          <w:p>
            <w:pPr>
              <w:pStyle w:val="33"/>
            </w:pPr>
            <w:r>
              <w:rPr>
                <w:rFonts w:hint="eastAsia"/>
              </w:rPr>
              <w:t>60～70</w:t>
            </w:r>
          </w:p>
        </w:tc>
        <w:tc>
          <w:tcPr>
            <w:tcW w:w="1856" w:type="dxa"/>
            <w:shd w:val="clear" w:color="auto" w:fill="auto"/>
            <w:noWrap/>
            <w:vAlign w:val="center"/>
          </w:tcPr>
          <w:p>
            <w:pPr>
              <w:pStyle w:val="33"/>
            </w:pPr>
            <w:r>
              <w:rPr>
                <w:rFonts w:hint="eastAsia"/>
              </w:rPr>
              <w:t>70～80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shd w:val="clear" w:color="auto" w:fill="auto"/>
            <w:noWrap/>
            <w:vAlign w:val="center"/>
          </w:tcPr>
          <w:p>
            <w:pPr>
              <w:pStyle w:val="33"/>
            </w:pPr>
            <w:r>
              <w:rPr>
                <w:rFonts w:hint="eastAsia"/>
              </w:rPr>
              <w:t>粉土</w:t>
            </w:r>
          </w:p>
        </w:tc>
        <w:tc>
          <w:tcPr>
            <w:tcW w:w="2783" w:type="dxa"/>
            <w:shd w:val="clear" w:color="auto" w:fill="auto"/>
            <w:noWrap/>
            <w:vAlign w:val="center"/>
          </w:tcPr>
          <w:p>
            <w:pPr>
              <w:pStyle w:val="33"/>
            </w:pPr>
          </w:p>
        </w:tc>
        <w:tc>
          <w:tcPr>
            <w:tcW w:w="1855" w:type="dxa"/>
            <w:shd w:val="clear" w:color="auto" w:fill="auto"/>
            <w:noWrap/>
            <w:vAlign w:val="center"/>
          </w:tcPr>
          <w:p>
            <w:pPr>
              <w:pStyle w:val="33"/>
            </w:pPr>
            <w:r>
              <w:rPr>
                <w:rFonts w:hint="eastAsia"/>
              </w:rPr>
              <w:t>40～80</w:t>
            </w:r>
          </w:p>
        </w:tc>
        <w:tc>
          <w:tcPr>
            <w:tcW w:w="1856" w:type="dxa"/>
            <w:shd w:val="clear" w:color="auto" w:fill="auto"/>
            <w:noWrap/>
            <w:vAlign w:val="center"/>
          </w:tcPr>
          <w:p>
            <w:pPr>
              <w:pStyle w:val="33"/>
            </w:pPr>
            <w:r>
              <w:rPr>
                <w:rFonts w:hint="eastAsia"/>
              </w:rPr>
              <w:t>50～90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restart"/>
            <w:shd w:val="clear" w:color="auto" w:fill="auto"/>
            <w:noWrap/>
            <w:vAlign w:val="center"/>
          </w:tcPr>
          <w:p>
            <w:pPr>
              <w:pStyle w:val="33"/>
            </w:pPr>
            <w:r>
              <w:rPr>
                <w:rFonts w:hint="eastAsia"/>
              </w:rPr>
              <w:t>砂土</w:t>
            </w:r>
          </w:p>
        </w:tc>
        <w:tc>
          <w:tcPr>
            <w:tcW w:w="2783" w:type="dxa"/>
            <w:shd w:val="clear" w:color="auto" w:fill="auto"/>
            <w:noWrap/>
            <w:vAlign w:val="center"/>
          </w:tcPr>
          <w:p>
            <w:pPr>
              <w:pStyle w:val="33"/>
            </w:pPr>
            <w:r>
              <w:rPr>
                <w:rFonts w:hint="eastAsia"/>
              </w:rPr>
              <w:t>松散</w:t>
            </w:r>
          </w:p>
        </w:tc>
        <w:tc>
          <w:tcPr>
            <w:tcW w:w="1855" w:type="dxa"/>
            <w:shd w:val="clear" w:color="auto" w:fill="auto"/>
            <w:noWrap/>
            <w:vAlign w:val="center"/>
          </w:tcPr>
          <w:p>
            <w:pPr>
              <w:pStyle w:val="33"/>
            </w:pPr>
            <w:r>
              <w:rPr>
                <w:rFonts w:hint="eastAsia"/>
              </w:rPr>
              <w:t>35～50</w:t>
            </w:r>
          </w:p>
        </w:tc>
        <w:tc>
          <w:tcPr>
            <w:tcW w:w="1856" w:type="dxa"/>
            <w:shd w:val="clear" w:color="auto" w:fill="auto"/>
            <w:noWrap/>
            <w:vAlign w:val="center"/>
          </w:tcPr>
          <w:p>
            <w:pPr>
              <w:pStyle w:val="33"/>
            </w:pPr>
            <w:r>
              <w:rPr>
                <w:rFonts w:hint="eastAsia"/>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稍密</w:t>
            </w:r>
          </w:p>
        </w:tc>
        <w:tc>
          <w:tcPr>
            <w:tcW w:w="1855" w:type="dxa"/>
            <w:shd w:val="clear" w:color="auto" w:fill="auto"/>
            <w:noWrap/>
            <w:vAlign w:val="center"/>
          </w:tcPr>
          <w:p>
            <w:pPr>
              <w:pStyle w:val="33"/>
            </w:pPr>
            <w:r>
              <w:rPr>
                <w:rFonts w:hint="eastAsia"/>
              </w:rPr>
              <w:t>50～65</w:t>
            </w:r>
          </w:p>
        </w:tc>
        <w:tc>
          <w:tcPr>
            <w:tcW w:w="1856" w:type="dxa"/>
            <w:shd w:val="clear" w:color="auto" w:fill="auto"/>
            <w:noWrap/>
            <w:vAlign w:val="center"/>
          </w:tcPr>
          <w:p>
            <w:pPr>
              <w:pStyle w:val="33"/>
            </w:pPr>
            <w:r>
              <w:rPr>
                <w:rFonts w:hint="eastAsia"/>
              </w:rPr>
              <w:t>65～80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中密</w:t>
            </w:r>
          </w:p>
        </w:tc>
        <w:tc>
          <w:tcPr>
            <w:tcW w:w="1855" w:type="dxa"/>
            <w:shd w:val="clear" w:color="auto" w:fill="auto"/>
            <w:noWrap/>
            <w:vAlign w:val="center"/>
          </w:tcPr>
          <w:p>
            <w:pPr>
              <w:pStyle w:val="33"/>
            </w:pPr>
            <w:r>
              <w:rPr>
                <w:rFonts w:hint="eastAsia"/>
              </w:rPr>
              <w:t>65～80</w:t>
            </w:r>
          </w:p>
        </w:tc>
        <w:tc>
          <w:tcPr>
            <w:tcW w:w="1856" w:type="dxa"/>
            <w:shd w:val="clear" w:color="auto" w:fill="auto"/>
            <w:noWrap/>
            <w:vAlign w:val="center"/>
          </w:tcPr>
          <w:p>
            <w:pPr>
              <w:pStyle w:val="33"/>
            </w:pPr>
            <w:r>
              <w:rPr>
                <w:rFonts w:hint="eastAsia"/>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855" w:type="dxa"/>
            <w:vMerge w:val="continue"/>
            <w:vAlign w:val="center"/>
          </w:tcPr>
          <w:p>
            <w:pPr>
              <w:pStyle w:val="33"/>
            </w:pPr>
          </w:p>
        </w:tc>
        <w:tc>
          <w:tcPr>
            <w:tcW w:w="2783" w:type="dxa"/>
            <w:shd w:val="clear" w:color="auto" w:fill="auto"/>
            <w:noWrap/>
            <w:vAlign w:val="center"/>
          </w:tcPr>
          <w:p>
            <w:pPr>
              <w:pStyle w:val="33"/>
            </w:pPr>
            <w:r>
              <w:rPr>
                <w:rFonts w:hint="eastAsia"/>
              </w:rPr>
              <w:t>密实</w:t>
            </w:r>
          </w:p>
        </w:tc>
        <w:tc>
          <w:tcPr>
            <w:tcW w:w="1855" w:type="dxa"/>
            <w:shd w:val="clear" w:color="auto" w:fill="auto"/>
            <w:noWrap/>
            <w:vAlign w:val="center"/>
          </w:tcPr>
          <w:p>
            <w:pPr>
              <w:pStyle w:val="33"/>
            </w:pPr>
            <w:r>
              <w:rPr>
                <w:rFonts w:hint="eastAsia"/>
              </w:rPr>
              <w:t>80～100</w:t>
            </w:r>
          </w:p>
        </w:tc>
        <w:tc>
          <w:tcPr>
            <w:tcW w:w="1856" w:type="dxa"/>
            <w:shd w:val="clear" w:color="auto" w:fill="auto"/>
            <w:noWrap/>
            <w:vAlign w:val="center"/>
          </w:tcPr>
          <w:p>
            <w:pPr>
              <w:pStyle w:val="33"/>
            </w:pPr>
            <w:r>
              <w:rPr>
                <w:rFonts w:hint="eastAsia"/>
              </w:rPr>
              <w:t>100～120</w:t>
            </w:r>
          </w:p>
        </w:tc>
      </w:tr>
    </w:tbl>
    <w:p>
      <w:pPr>
        <w:pStyle w:val="40"/>
        <w:jc w:val="both"/>
      </w:pP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对安全等级为三级的土钉墙，可仅按公式7.3.10确定单根土钉的极限抗拔承载力。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当按本条第1~3款确定的土钉极限抗拔承载力标准值（</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251" o:spt="75" type="#_x0000_t75" style="height:19.2pt;width:19.8pt;" o:ole="t" filled="f" o:preferrelative="t" stroked="f" coordsize="21600,21600">
            <v:path/>
            <v:fill on="f" focussize="0,0"/>
            <v:stroke on="f" joinstyle="miter"/>
            <v:imagedata r:id="rId475" o:title=""/>
            <o:lock v:ext="edit" aspectratio="t"/>
            <w10:wrap type="none"/>
            <w10:anchorlock/>
          </v:shape>
          <o:OLEObject Type="Embed" ProgID="Equation.DSMT4" ShapeID="_x0000_i1251" DrawAspect="Content" ObjectID="_1468075951" r:id="rId474">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）大于</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252" o:spt="75" type="#_x0000_t75" style="height:19.2pt;width:25.8pt;" o:ole="t" filled="f" o:preferrelative="t" stroked="f" coordsize="21600,21600">
            <v:path/>
            <v:fill on="f" focussize="0,0"/>
            <v:stroke on="f" joinstyle="miter"/>
            <v:imagedata r:id="rId477" o:title=""/>
            <o:lock v:ext="edit" aspectratio="t"/>
            <w10:wrap type="none"/>
            <w10:anchorlock/>
          </v:shape>
          <o:OLEObject Type="Embed" ProgID="Equation.DSMT4" ShapeID="_x0000_i1252" DrawAspect="Content" ObjectID="_1468075952" r:id="rId476">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时，应取</w:t>
      </w:r>
      <w:r>
        <w:rPr>
          <w:rFonts w:hint="eastAsia" w:cs="Times New Roman" w:eastAsiaTheme="minorEastAsia"/>
          <w:bCs/>
          <w:color w:val="000000" w:themeColor="text1"/>
          <w:kern w:val="2"/>
          <w:sz w:val="28"/>
          <w:szCs w:val="28"/>
          <w:lang w:val="zh-CN" w:eastAsia="zh-CN" w:bidi="ar-SA"/>
          <w14:textFill>
            <w14:solidFill>
              <w14:schemeClr w14:val="tx1"/>
            </w14:solidFill>
          </w14:textFill>
        </w:rPr>
        <w:object>
          <v:shape id="_x0000_i1253" o:spt="75" type="#_x0000_t75" style="height:19.2pt;width:52.8pt;" o:ole="t" filled="f" o:preferrelative="t" stroked="f" coordsize="21600,21600">
            <v:path/>
            <v:fill on="f" focussize="0,0"/>
            <v:stroke on="f" joinstyle="miter"/>
            <v:imagedata r:id="rId479" o:title=""/>
            <o:lock v:ext="edit" aspectratio="t"/>
            <w10:wrap type="none"/>
            <w10:anchorlock/>
          </v:shape>
          <o:OLEObject Type="Embed" ProgID="Equation.DSMT4" ShapeID="_x0000_i1253" DrawAspect="Content" ObjectID="_1468075953" r:id="rId478">
            <o:LockedField>false</o:LockedField>
          </o:OLEObject>
        </w:object>
      </w: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p>
    <w:p>
      <w:pPr>
        <w:pStyle w:val="40"/>
      </w:pPr>
      <w:r>
        <w:drawing>
          <wp:inline distT="0" distB="0" distL="0" distR="0">
            <wp:extent cx="4260850" cy="2208530"/>
            <wp:effectExtent l="0" t="0" r="6350" b="1270"/>
            <wp:docPr id="28" name="图片 28"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卡通人物&#10;&#10;中度可信度描述已自动生成"/>
                    <pic:cNvPicPr>
                      <a:picLocks noChangeAspect="1"/>
                    </pic:cNvPicPr>
                  </pic:nvPicPr>
                  <pic:blipFill>
                    <a:blip r:embed="rId480"/>
                    <a:stretch>
                      <a:fillRect/>
                    </a:stretch>
                  </pic:blipFill>
                  <pic:spPr>
                    <a:xfrm>
                      <a:off x="0" y="0"/>
                      <a:ext cx="4260850" cy="2208530"/>
                    </a:xfrm>
                    <a:prstGeom prst="rect">
                      <a:avLst/>
                    </a:prstGeom>
                  </pic:spPr>
                </pic:pic>
              </a:graphicData>
            </a:graphic>
          </wp:inline>
        </w:drawing>
      </w:r>
    </w:p>
    <w:p>
      <w:pPr>
        <w:pStyle w:val="38"/>
      </w:pPr>
      <w:r>
        <w:rPr>
          <w:rFonts w:hint="eastAsia"/>
        </w:rPr>
        <w:t>图7.3.10 土钉抗拔承载力计算</w:t>
      </w:r>
    </w:p>
    <w:p>
      <w:pPr>
        <w:pStyle w:val="38"/>
      </w:pPr>
      <w:r>
        <w:rPr>
          <w:rFonts w:hint="eastAsia"/>
        </w:rPr>
        <w:t>1</w:t>
      </w:r>
      <w:r>
        <w:t>—土钉；</w:t>
      </w:r>
      <w:r>
        <w:rPr>
          <w:rFonts w:hint="eastAsia"/>
        </w:rPr>
        <w:t>2</w:t>
      </w:r>
      <w:r>
        <w:t>—喷射混凝土面层</w:t>
      </w:r>
    </w:p>
    <w:p>
      <w:pPr>
        <w:ind w:firstLine="480"/>
      </w:pP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土钉杆体的受拉承载力应符合下列规定：</w:t>
      </w:r>
    </w:p>
    <w:p>
      <w:pPr>
        <w:pStyle w:val="35"/>
      </w:pPr>
      <w:r>
        <w:rPr>
          <w:position w:val="-14"/>
        </w:rPr>
        <w:object>
          <v:shape id="_x0000_i1254" o:spt="75" type="#_x0000_t75" style="height:19.2pt;width:48pt;" o:ole="t" filled="f" o:preferrelative="t" stroked="f" coordsize="21600,21600">
            <v:path/>
            <v:fill on="f" focussize="0,0"/>
            <v:stroke on="f" joinstyle="miter"/>
            <v:imagedata r:id="rId482" o:title=""/>
            <o:lock v:ext="edit" aspectratio="t"/>
            <w10:wrap type="none"/>
            <w10:anchorlock/>
          </v:shape>
          <o:OLEObject Type="Embed" ProgID="Equation.DSMT4" ShapeID="_x0000_i1254" DrawAspect="Content" ObjectID="_1468075954" r:id="rId481">
            <o:LockedField>false</o:LockedField>
          </o:OLEObject>
        </w:object>
      </w:r>
      <w:r>
        <w:rPr>
          <w:rFonts w:hint="eastAsia"/>
        </w:rPr>
        <w:t>（公式7.3.11）</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55" o:spt="75" type="#_x0000_t75" style="height:19.2pt;width:16.2pt;" o:ole="t" filled="f" o:preferrelative="t" stroked="f" coordsize="21600,21600">
            <v:path/>
            <v:fill on="f" focussize="0,0"/>
            <v:stroke on="f" joinstyle="miter"/>
            <v:imagedata r:id="rId484" o:title=""/>
            <o:lock v:ext="edit" aspectratio="t"/>
            <w10:wrap type="none"/>
            <w10:anchorlock/>
          </v:shape>
          <o:OLEObject Type="Embed" ProgID="Equation.DSMT4" ShapeID="_x0000_i1255" DrawAspect="Content" ObjectID="_1468075955" r:id="rId48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—第j层土钉的轴向拉力设计值（kN）；</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56" o:spt="75" type="#_x0000_t75" style="height:19.2pt;width:12pt;" o:ole="t" filled="f" o:preferrelative="t" stroked="f" coordsize="21600,21600">
            <v:path/>
            <v:fill on="f" focussize="0,0"/>
            <v:stroke on="f" joinstyle="miter"/>
            <v:imagedata r:id="rId486" o:title=""/>
            <o:lock v:ext="edit" aspectratio="t"/>
            <w10:wrap type="none"/>
            <w10:anchorlock/>
          </v:shape>
          <o:OLEObject Type="Embed" ProgID="Equation.DSMT4" ShapeID="_x0000_i1256" DrawAspect="Content" ObjectID="_1468075956" r:id="rId48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—（钉杆体的抗拉强度设计值（kPa）；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57" o:spt="75" type="#_x0000_t75" style="height:16.2pt;width:12pt;" o:ole="t" filled="f" o:preferrelative="t" stroked="f" coordsize="21600,21600">
            <v:path/>
            <v:fill on="f" focussize="0,0"/>
            <v:stroke on="f" joinstyle="miter"/>
            <v:imagedata r:id="rId488" o:title=""/>
            <o:lock v:ext="edit" aspectratio="t"/>
            <w10:wrap type="none"/>
            <w10:anchorlock/>
          </v:shape>
          <o:OLEObject Type="Embed" ProgID="Equation.DSMT4" ShapeID="_x0000_i1257" DrawAspect="Content" ObjectID="_1468075957" r:id="rId48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—土钉杆体的截面面积（m2）。</w:t>
      </w:r>
    </w:p>
    <w:p>
      <w:pPr>
        <w:pStyle w:val="20"/>
      </w:pPr>
    </w:p>
    <w:p>
      <w:pPr>
        <w:pStyle w:val="43"/>
        <w:numPr>
          <w:ilvl w:val="0"/>
          <w:numId w:val="8"/>
        </w:numPr>
        <w:ind w:firstLineChars="0"/>
        <w:jc w:val="center"/>
        <w:rPr>
          <w:rStyle w:val="37"/>
        </w:rPr>
      </w:pPr>
      <w:r>
        <w:rPr>
          <w:rStyle w:val="37"/>
          <w:rFonts w:hint="eastAsia"/>
        </w:rPr>
        <w:t>构造</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墙、预应力锚杆复合土钉墙的坡度不宜大于1：0.2；当基坑较深、土的抗剪强度较低时，宜取较小坡度。对砂土、碎石土、松散填土，确定土钉墙坡度时尚应考虑开挖时坡面的局部自稳能力。微型桩、水泥土桩复合土钉墙，应采用微型桩、水泥土桩与土钉墙面层贴合的垂直墙面。</w:t>
      </w:r>
    </w:p>
    <w:p>
      <w:pPr>
        <w:ind w:firstLine="480"/>
      </w:pPr>
      <w:r>
        <w:rPr>
          <w:rFonts w:hint="eastAsia"/>
        </w:rPr>
        <w:t>注：土钉墙坡度指其墙面垂直高度与水平宽度的比值。</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土钉墙宜采用洛阳铲成孔的钢筋土钉。对易塌孔的松散或稍密的砂土、稍密的粉土、填土，或易缩径的软土宜采用打入式钢管土钉。对洛阳铲成孔或钢管土钉打入困难的土层，宜采用机械成孔的钢筋土钉。</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水平间距和竖向间距宜为1m~2m；当基坑较深、土的抗剪强度较低时，土钉间距应取小值。土钉倾角宜为5°~20°，其夹角应根据土性和施工条件确定。土钉长度应按各层土钉受力均匀、各土钉拉力与相应士钉极限承载力的比值近于相等的原则确定。</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成孔注浆型钢筋土钉的构造应符合下列要求：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成孔直径宜取70mm~120mm；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土钉钢筋宜采用HRB400、HRB335级钢筋，钢筋直径应根据土钉抗拔承载力设计要求确定，且宜取16mm~32mm;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应沿土钉全长设置对中定位支架，其间距宜取1.5m~2.5m，土钉钢筋保护层厚度不宜小于20mm;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土钉孔注浆材料可采用水泥浆或水泥砂浆，其强度不宜低于20MPa；</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钢管土钉的构造应符合下列要求：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管的外径不宜小于48mm，壁厚不宜小于3mm；钢管的注浆孔应设置在钢管里端l/2～2l/3范围内，此处，l为钢管土钉的总长度；每个注浆截面的注浆孔宜取2个，且应对称布置，注浆孔的孔径宜取5mm～8mm，注浆孔外应设置保护倒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钢管土钉的连接采用焊接时，接头强度不应低于钢管强度；可采用数量不少于3根、直径不小于16mm的钢筋沿截面均匀分布拼焊，双面焊接时钢筋长度不应小于钢管直径的2倍。</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土钉墙高度不大于12m时，喷射混凝土面层的构造要求应符合下列规定：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喷射混凝土面层厚度宜取80mm～100mm；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喷射混凝土设计强度等级不宜低于C20；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喷射混凝土面层中应配置钢筋网和通长的加强钢筋，钢筋网宜采用HPB235级钢筋，钢筋直径宜取6mm～10mm，钢筋网间距宜取150mm～250mm；钢筋网间的搭接长度应大于300mm；加强钢筋的直径宜取14mm～20mm；当充分利用土钉杆体的抗拉强度时，加强钢筋的截面面积不应小于土钉杆体截面面积的二分之一。</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土钉与加强钢筋宜采用焊接连接，其连接应满足承受土钉拉力的要求；当在土钉拉力作用下喷射混凝土面层的局部受冲切承载力不足时，应采用设置承压钢板等加强措施。</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当土钉墙墙后存在滞水时，应在含水土层部位的墙面设置泄水孔或其它疏水措施。</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采用预应力锚杆复合土钉墙时，预应力锚杆应符合下列要求：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宜采用钢绞线锚杆；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当预应力锚杆用于减小地面变形时，锚杆宜布置在土钉墙的较上部位；用于增强面层抵抗土压力的作用时，锚杆应布置在土压力较大及墙背土层较软弱的部位；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锚杆的拉力设计值不应大于土钉墙墙面的局部受压承载力；</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预应力锚杆应设置自由段，自由段长度应超过土钉墙坡体的潜在滑</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动面；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锚杆与土钉墙的喷射混凝土面层之间应设置腰梁连接，腰梁可采用槽钢腰梁或混凝土腰梁，腰梁与喷射混凝土面层应紧密接触，腰梁规格应根据锚杆拉力设计值确定；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6除符合上述规定外，锚杆的构造尚应符合本规程第7.2.7节有关构造的规定。</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采用微型桩垂直复合土钉墙时，微型桩应符合下列要求：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应根据微型桩施工工艺对土层特性和基坑周边环境条件的适用性选用微型钢管桩、型钢桩或灌注桩等桩型；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采用微型桩时，宜同时采用预应力锚杆；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微型桩的直径、规格应根据对复合墙面的强度要求确定；采用成孔后插入微型钢管桩、型钢桩的工艺时，成孔直径宜取130mm～300mm，对钢管，其直径宜取48mm～250mm，对工字钢，其型号宜取Ⅰ10～Ⅰ22；孔内应灌注水泥浆或水泥砂浆并充填密实；采用微型混凝土桩时，其直径宜取200mm～300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微型桩的间距应满足土钉墙施工时桩间土的稳定性要求；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微型桩伸入基坑底面的长度宜大于桩径的5倍，且不应小于1m；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微型桩应与喷射混凝土面层贴合。</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采用水泥土桩复合土钉墙时，水泥土桩应符合下列要求：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应根据水泥土桩施工工艺对土层特性和基坑周边环境条件的适用性选用搅拌桩、旋喷桩等桩型；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伸入基坑底面的长度宜大于桩径的2倍，且不应小于1m；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水泥土桩应与喷射混凝土面层贴合；</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桩身28d无侧限抗压强度不宜小于1MPa；</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水泥土桩兼作截水帷幕时，尚应符合本规程第9.2节对截水的要求。</w:t>
      </w:r>
    </w:p>
    <w:p>
      <w:pPr>
        <w:pStyle w:val="43"/>
        <w:numPr>
          <w:ilvl w:val="0"/>
          <w:numId w:val="8"/>
        </w:numPr>
        <w:ind w:firstLineChars="0"/>
        <w:jc w:val="center"/>
        <w:rPr>
          <w:rStyle w:val="37"/>
        </w:rPr>
      </w:pPr>
      <w:r>
        <w:rPr>
          <w:rStyle w:val="37"/>
          <w:rFonts w:hint="eastAsia"/>
        </w:rPr>
        <w:t>施工与检测</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土钉墙应按每层土钉及混凝土面层分层设置、分层开挖基坑的步序施工。</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当有地下水时，对易产生流砂或塌孔的砂土、粉土、碎石土等土层，应通过试验确定土钉施工工艺和措施。</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钢筋土钉成孔时应符合下列要求：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土钉成孔范围内存在地下管线等设施时，应在查明其位置并避开后，再进行成孔作业；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应根据土层的性状选择洛阳铲、螺旋钻、冲击钻、地质钻等成孔方法，采用的成孔方法应能保证孔壁的稳定性、减小对孔壁的扰动；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当成孔遇不明障碍物时，应停止成孔作业，在查明障碍物的情况并采取针对性措施后方可继续成孔；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对易塌孔的松散土层宜采用机械成孔工艺；成孔困难时，可采用注入水泥浆等方法进行护壁。</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钢筋土钉杆体的制作安装时应符合下列要求：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钢筋使用前，应调直并清除污锈；</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当钢筋需要连接时，宜采用搭接焊、帮条焊；应采用双面焊，双面焊的搭接长度或帮条长度应不小于主筋直径的5倍，焊缝高度不应小于主筋直径的0.3倍；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对中支架的断面尺寸应符合土钉杆体保护层厚度要求，对中支架可选用直径6mm～8mm的钢筋焊制；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土钉成孔后应及时插入土钉杆体，遇塌孔、缩径时，应在处理后再插入土钉杆体。</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钢筋土钉注浆时应符合下列规定：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注浆材料可选用水泥浆或水泥砂浆；水泥浆的水灰比宜取0.5～0.55；水泥砂浆的水灰比宜取0.40～0.45，同时，灰砂比宜取0.5～1.0，拌和用砂宜选用中粗砂，按重量计的含泥量不得大于3%；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水泥浆或水泥砂浆应拌和均匀，一次拌和的水泥浆或水泥砂浆应在初凝前使用；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注浆前应将孔内残留的虚土清除干净；</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注浆时，宜采用将注浆管与土钉杆体绑扎、同时插入孔内并由孔底注浆的方式；注浆管端部至孔底的距离不宜大于200mm；注浆及拔管时，注浆管口应始终埋入注浆液面内，应在新鲜浆液从孔口溢出后停止注浆；</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注浆后，当浆液液面下降时，应进行补浆。</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打入式钢管土钉施工时应符合下列规定：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钢管端部应制成尖锥状；顶部宜设置防止钢管顶部施打变形的加强构造；</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注浆材料应采用水泥浆；水泥浆的水灰比宜取0.5～0.6；</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注浆压力不宜小于0.6MPa；应在注浆至管顶周围出现返浆后停止注浆；当不出现返浆时，可采用间歇注浆的方法。</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喷射混凝土面层施工应符合下列规定：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细骨料宜选用中粗砂，含泥量应小于3％；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粗骨料宜选用粒径不大于20mm的级配砾石；</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水泥与砂石的重量比宜取1：4～1：4.5，砂率宜取45％～55％，水灰比宜取0.4～0.45；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使用速凝剂等外掺剂时，应做外加剂与水泥的相容性试验及水泥净浆凝结试验，并应通过试验确定外掺剂掺量及掺入方法；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喷射作业应分段依次进行，同一分段内喷射顺序应自下而上均匀喷射，一次喷射厚度宜为30mm～80mm；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喷射混凝土时，喷头与土钉墙墙面应保持垂直，其距离宜为0.6m～1.0m；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喷射混凝土终凝2h后应及时喷水养护；</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钢筋与坡面的间隙应大于20mm；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钢筋网可采用绑扎固定；钢筋连接宜采用搭接焊，焊缝长度不应小于钢筋直径的10倍；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10  采用双层钢筋网时，第二层钢筋网应在第一层钢筋网被喷射混凝土覆盖后铺设。</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土钉墙的施工偏差应符合下列要求：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钢筋土钉的成孔深度应大于设计深度0.1m；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土钉位置的允许偏差应为100mm；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土钉倾角的允许偏差应为3°；</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土钉杆体长度应大于设计长度；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钢筋网间距的允许偏差应为±30mm；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微型桩桩位的允许偏差应为50mm；</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微型桩垂直度的允许偏差应为0.5%。</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复合土钉墙中预应力锚杆的施工应符合本规程第7.2节的有关规定。微型桩的施工应符合现行行业标准《建筑桩基技术规范》JGJ94的有关规定。水泥土桩的施工应符合本规程第8.3节的有关规定。</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土钉墙的质量检测应符合下列规定：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对土钉的抗拔承载力进行检测，抗拔试验可采用逐级加荷法；土钉的检测数量不宜少于土钉总数的1%，且同一土层中的土钉检测数量不应少于3根；试验最大荷载不应小于土钉轴向拉力标准值的1.1倍；检测土钉应按随机抽样的原则选取，并应在土钉固结体强度达到设计强度的70％后进行试验；试验方法应符合本规程附录A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土钉墙面层喷射混凝土应进行现场试块强度试验，每500m2喷射混凝土面积试验数量不应少于一组，每组试块不应少于3个；</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喷射混凝土面层厚度应符合设计要求。允许偏差为±10mm。应对土钉墙的喷射混凝土面层厚度进行检测，施工单位每施工段检查3个断面，每个断面不少于5个检查点，监理单位按施工单位检查数量的30%作见证检验或10%作平行检验。每500m2喷射混凝土面积检测数量不应少于一组，每组的检测点不应少于3个；全部检测点的面层厚度平均值不应小于厚度设计值，最小厚度不应小于厚度设计值的80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喷射混凝土应与坡面、钢筋网紧密结合，其表面应平顺、无裂隙、无露筋。检验数量：施工单位全数检查，监理单位按施工单位检查数量的30%作见证检验。检验方法：观察检查。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钢筋网网格间距允许偏差为±20mm。钢筋网的规格、尺寸、网与土钉的连接应符合设计要求。检验数量：施工单位按网面积的10%进行检查；监理单位按施工单位检查数量的30%作见证检验。检验方法：网的规格采用尺量，挂网与土钉的连接采用观察及查焊接试验报告。</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土钉的布置形式应符合设计要求。检验数量：施工单位、监理单位全数检查。检验方法：观察检查和查阅设计文件。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钉孔锚固砂浆强度等级应符合设计要求。检验数量：施工单位每100m3砂浆取试件1组，不足100m3亦按一批计；监理单位按施工单位检查数量的30%作见证检验或10%作平行检验，且不少于1组。检验方法：砂浆试件做抗压强度试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复合土钉墙中的预应力锚杆，应按本规程第7.3.6条的规定进行抗拔承载力检测；</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复合土钉墙中的水泥土搅拌桩或旋喷桩用作帷幕时，应按本规程第</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9.2.14条的规定进行质量检测。</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一般项目。土钉孔深度、间距、长度允许偏差及检验标准应符合表7.3.33的规定。</w:t>
      </w:r>
    </w:p>
    <w:p>
      <w:pPr>
        <w:pStyle w:val="51"/>
        <w:numPr>
          <w:ilvl w:val="2"/>
          <w:numId w:val="0"/>
        </w:numPr>
        <w:ind w:left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38"/>
        <w:rPr>
          <w:rFonts w:ascii="宋体e眠副浡渀." w:eastAsia="宋体e眠副浡渀." w:cs="宋体e眠副浡渀."/>
        </w:rPr>
      </w:pPr>
      <w:r>
        <w:t>表</w:t>
      </w:r>
      <w:r>
        <w:rPr>
          <w:rFonts w:hint="eastAsia"/>
        </w:rPr>
        <w:t>7.3.33</w:t>
      </w:r>
      <w:r>
        <w:t>土钉孔深度、间距、长度允许偏差和检验方法</w:t>
      </w:r>
    </w:p>
    <w:tbl>
      <w:tblPr>
        <w:tblStyle w:val="22"/>
        <w:tblW w:w="5000" w:type="pct"/>
        <w:jc w:val="center"/>
        <w:tblLayout w:type="autofit"/>
        <w:tblCellMar>
          <w:top w:w="0" w:type="dxa"/>
          <w:left w:w="0" w:type="dxa"/>
          <w:bottom w:w="0" w:type="dxa"/>
          <w:right w:w="0" w:type="dxa"/>
        </w:tblCellMar>
      </w:tblPr>
      <w:tblGrid>
        <w:gridCol w:w="935"/>
        <w:gridCol w:w="1872"/>
        <w:gridCol w:w="1894"/>
        <w:gridCol w:w="2351"/>
        <w:gridCol w:w="1284"/>
      </w:tblGrid>
      <w:tr>
        <w:tblPrEx>
          <w:tblCellMar>
            <w:top w:w="0" w:type="dxa"/>
            <w:left w:w="0" w:type="dxa"/>
            <w:bottom w:w="0" w:type="dxa"/>
            <w:right w:w="0" w:type="dxa"/>
          </w:tblCellMar>
        </w:tblPrEx>
        <w:trPr>
          <w:trHeight w:val="255" w:hRule="atLeast"/>
          <w:jc w:val="center"/>
        </w:trPr>
        <w:tc>
          <w:tcPr>
            <w:tcW w:w="56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序号</w:t>
            </w:r>
          </w:p>
        </w:tc>
        <w:tc>
          <w:tcPr>
            <w:tcW w:w="1123"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项目</w:t>
            </w:r>
          </w:p>
        </w:tc>
        <w:tc>
          <w:tcPr>
            <w:tcW w:w="113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允许偏差（mm）</w:t>
            </w:r>
          </w:p>
        </w:tc>
        <w:tc>
          <w:tcPr>
            <w:tcW w:w="141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监理单位检査数量</w:t>
            </w:r>
          </w:p>
        </w:tc>
        <w:tc>
          <w:tcPr>
            <w:tcW w:w="77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检验方法</w:t>
            </w:r>
          </w:p>
        </w:tc>
      </w:tr>
      <w:tr>
        <w:tblPrEx>
          <w:tblCellMar>
            <w:top w:w="0" w:type="dxa"/>
            <w:left w:w="0" w:type="dxa"/>
            <w:bottom w:w="0" w:type="dxa"/>
            <w:right w:w="0" w:type="dxa"/>
          </w:tblCellMar>
        </w:tblPrEx>
        <w:trPr>
          <w:trHeight w:val="255" w:hRule="atLeast"/>
          <w:jc w:val="center"/>
        </w:trPr>
        <w:tc>
          <w:tcPr>
            <w:tcW w:w="56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1</w:t>
            </w:r>
          </w:p>
        </w:tc>
        <w:tc>
          <w:tcPr>
            <w:tcW w:w="1123"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孔深</w:t>
            </w:r>
          </w:p>
        </w:tc>
        <w:tc>
          <w:tcPr>
            <w:tcW w:w="113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±50</w:t>
            </w:r>
          </w:p>
        </w:tc>
        <w:tc>
          <w:tcPr>
            <w:tcW w:w="141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总数的10%</w:t>
            </w:r>
          </w:p>
        </w:tc>
        <w:tc>
          <w:tcPr>
            <w:tcW w:w="77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尺量</w:t>
            </w:r>
          </w:p>
        </w:tc>
      </w:tr>
      <w:tr>
        <w:tblPrEx>
          <w:tblCellMar>
            <w:top w:w="0" w:type="dxa"/>
            <w:left w:w="0" w:type="dxa"/>
            <w:bottom w:w="0" w:type="dxa"/>
            <w:right w:w="0" w:type="dxa"/>
          </w:tblCellMar>
        </w:tblPrEx>
        <w:trPr>
          <w:trHeight w:val="255" w:hRule="atLeast"/>
          <w:jc w:val="center"/>
        </w:trPr>
        <w:tc>
          <w:tcPr>
            <w:tcW w:w="56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2</w:t>
            </w:r>
          </w:p>
        </w:tc>
        <w:tc>
          <w:tcPr>
            <w:tcW w:w="1123"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间距</w:t>
            </w:r>
          </w:p>
        </w:tc>
        <w:tc>
          <w:tcPr>
            <w:tcW w:w="113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±50</w:t>
            </w:r>
          </w:p>
        </w:tc>
        <w:tc>
          <w:tcPr>
            <w:tcW w:w="141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总数的10%</w:t>
            </w:r>
          </w:p>
        </w:tc>
        <w:tc>
          <w:tcPr>
            <w:tcW w:w="77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尺量</w:t>
            </w:r>
          </w:p>
        </w:tc>
      </w:tr>
      <w:tr>
        <w:tblPrEx>
          <w:tblCellMar>
            <w:top w:w="0" w:type="dxa"/>
            <w:left w:w="0" w:type="dxa"/>
            <w:bottom w:w="0" w:type="dxa"/>
            <w:right w:w="0" w:type="dxa"/>
          </w:tblCellMar>
        </w:tblPrEx>
        <w:trPr>
          <w:trHeight w:val="255" w:hRule="atLeast"/>
          <w:jc w:val="center"/>
        </w:trPr>
        <w:tc>
          <w:tcPr>
            <w:tcW w:w="561"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3</w:t>
            </w:r>
          </w:p>
        </w:tc>
        <w:tc>
          <w:tcPr>
            <w:tcW w:w="1123"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长度</w:t>
            </w:r>
          </w:p>
        </w:tc>
        <w:tc>
          <w:tcPr>
            <w:tcW w:w="1136"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±50</w:t>
            </w:r>
          </w:p>
        </w:tc>
        <w:tc>
          <w:tcPr>
            <w:tcW w:w="141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总数的10%</w:t>
            </w:r>
          </w:p>
        </w:tc>
        <w:tc>
          <w:tcPr>
            <w:tcW w:w="770" w:type="pct"/>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pStyle w:val="33"/>
            </w:pPr>
            <w:r>
              <w:rPr>
                <w:lang w:bidi="ar"/>
              </w:rPr>
              <w:t>尺量</w:t>
            </w:r>
          </w:p>
        </w:tc>
      </w:tr>
    </w:tbl>
    <w:p>
      <w:pPr>
        <w:pStyle w:val="38"/>
        <w:jc w:val="left"/>
      </w:pPr>
      <w:r>
        <w:t>注：施工单位全数检查</w:t>
      </w:r>
    </w:p>
    <w:p>
      <w:pPr>
        <w:ind w:firstLine="480"/>
      </w:pPr>
    </w:p>
    <w:p>
      <w:pPr>
        <w:ind w:firstLine="480"/>
      </w:pPr>
    </w:p>
    <w:p>
      <w:pPr>
        <w:ind w:firstLine="480"/>
      </w:pPr>
    </w:p>
    <w:p>
      <w:pPr>
        <w:ind w:firstLine="480"/>
      </w:pPr>
    </w:p>
    <w:p>
      <w:pPr>
        <w:ind w:firstLine="480"/>
      </w:pPr>
    </w:p>
    <w:p>
      <w:pPr>
        <w:pStyle w:val="3"/>
      </w:pPr>
      <w:bookmarkStart w:id="74" w:name="_Toc17508"/>
      <w:r>
        <w:rPr>
          <w:rFonts w:hint="eastAsia"/>
        </w:rPr>
        <w:t>重力式水泥土墙</w:t>
      </w:r>
      <w:bookmarkEnd w:id="74"/>
    </w:p>
    <w:p>
      <w:pPr>
        <w:pStyle w:val="43"/>
        <w:numPr>
          <w:ilvl w:val="2"/>
          <w:numId w:val="0"/>
        </w:numPr>
        <w:ind w:left="480" w:firstLine="480"/>
        <w:jc w:val="center"/>
        <w:rPr>
          <w:rStyle w:val="37"/>
          <w:rFonts w:cs="Times New Roman"/>
          <w:color w:val="000000" w:themeColor="text1"/>
          <w14:textFill>
            <w14:solidFill>
              <w14:schemeClr w14:val="tx1"/>
            </w14:solidFill>
          </w14:textFill>
        </w:rPr>
      </w:pPr>
      <w:r>
        <w:rPr>
          <w:rStyle w:val="37"/>
          <w:rFonts w:hint="eastAsia" w:cs="Times New Roman"/>
        </w:rPr>
        <w:t>Ⅰ</w:t>
      </w:r>
      <w:r>
        <w:rPr>
          <w:rStyle w:val="37"/>
          <w:rFonts w:hint="eastAsia" w:cs="Times New Roman"/>
          <w:color w:val="000000" w:themeColor="text1"/>
          <w14:textFill>
            <w14:solidFill>
              <w14:schemeClr w14:val="tx1"/>
            </w14:solidFill>
          </w14:textFill>
        </w:rPr>
        <w:t>稳定性与承载力验算</w:t>
      </w:r>
    </w:p>
    <w:p>
      <w:pPr>
        <w:pStyle w:val="51"/>
        <w:ind w:firstLine="480"/>
        <w:rPr>
          <w:shd w:val="clear" w:color="auto" w:fill="FFFFFF"/>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重力式水泥土墙的滑移稳定性应符合下式规定（图7.4.1):</w:t>
      </w:r>
    </w:p>
    <w:p>
      <w:pPr>
        <w:pStyle w:val="35"/>
        <w:jc w:val="left"/>
      </w:pPr>
      <w:r>
        <w:tab/>
      </w:r>
      <w:r>
        <w:object>
          <v:shape id="_x0000_i1258" o:spt="75" type="#_x0000_t75" style="height:37.2pt;width:156pt;" o:ole="t" filled="f" o:preferrelative="t" stroked="f" coordsize="21600,21600">
            <v:path/>
            <v:fill on="f" focussize="0,0"/>
            <v:stroke on="f" joinstyle="miter"/>
            <v:imagedata r:id="rId490" o:title=""/>
            <o:lock v:ext="edit" aspectratio="t"/>
            <w10:wrap type="none"/>
            <w10:anchorlock/>
          </v:shape>
          <o:OLEObject Type="Embed" ProgID="Equation.DSMT4" ShapeID="_x0000_i1258" DrawAspect="Content" ObjectID="_1468075958" r:id="rId489">
            <o:LockedField>false</o:LockedField>
          </o:OLEObject>
        </w:object>
      </w:r>
      <w:r>
        <w:rPr>
          <w:rFonts w:hint="eastAsia"/>
        </w:rPr>
        <w:t xml:space="preserve">   (7.4.1)</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sl</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——抗滑移安全系数，其值不应小于1.2;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、E</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——分别为水泥土墙上的主动土压力、被动土压力标准值(kN/m);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G——水泥土墙的自重(kN/m);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——水泥土墙底面上的水压力(kPa);水泥土墙底位于含水层时，可取u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）/2，在地下水位以上时，取u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c、ψ——分别为水泥土墙底面下土层的黏聚力(kPa)、内摩擦角(°);</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B——水泥土墙的底面宽度（m);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——基坑外侧水泥土墙底处的压力水头(m);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——基坑内侧水泥土墙底处的压力水头(m)。</w:t>
      </w:r>
    </w:p>
    <w:p>
      <w:pPr>
        <w:ind w:firstLine="480"/>
        <w:jc w:val="center"/>
        <w:rPr>
          <w:rFonts w:ascii="宋体" w:hAnsi="宋体" w:cs="宋体"/>
          <w:kern w:val="0"/>
          <w:szCs w:val="24"/>
          <w:lang w:bidi="ar"/>
        </w:rPr>
      </w:pPr>
      <w:r>
        <w:rPr>
          <w:rFonts w:ascii="宋体" w:hAnsi="宋体" w:cs="宋体"/>
          <w:kern w:val="0"/>
          <w:szCs w:val="24"/>
          <w:lang w:bidi="ar"/>
        </w:rPr>
        <w:drawing>
          <wp:inline distT="0" distB="0" distL="114300" distR="114300">
            <wp:extent cx="2275205" cy="1544955"/>
            <wp:effectExtent l="0" t="0" r="10795" b="17145"/>
            <wp:docPr id="56" name="图片 24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2" descr="IMG_262"/>
                    <pic:cNvPicPr>
                      <a:picLocks noChangeAspect="1"/>
                    </pic:cNvPicPr>
                  </pic:nvPicPr>
                  <pic:blipFill>
                    <a:blip r:embed="rId491"/>
                    <a:stretch>
                      <a:fillRect/>
                    </a:stretch>
                  </pic:blipFill>
                  <pic:spPr>
                    <a:xfrm>
                      <a:off x="0" y="0"/>
                      <a:ext cx="2275205" cy="1544955"/>
                    </a:xfrm>
                    <a:prstGeom prst="rect">
                      <a:avLst/>
                    </a:prstGeom>
                    <a:noFill/>
                    <a:ln w="9525">
                      <a:noFill/>
                    </a:ln>
                  </pic:spPr>
                </pic:pic>
              </a:graphicData>
            </a:graphic>
          </wp:inline>
        </w:drawing>
      </w:r>
    </w:p>
    <w:p>
      <w:pPr>
        <w:ind w:firstLine="480"/>
        <w:jc w:val="center"/>
        <w:rPr>
          <w:rFonts w:ascii="宋体" w:hAnsi="宋体" w:cs="宋体"/>
          <w:kern w:val="0"/>
          <w:szCs w:val="24"/>
          <w:lang w:bidi="ar"/>
        </w:rPr>
      </w:pPr>
      <w:r>
        <w:rPr>
          <w:rFonts w:hint="eastAsia" w:ascii="宋体" w:hAnsi="宋体" w:cs="宋体"/>
          <w:kern w:val="0"/>
          <w:szCs w:val="24"/>
          <w:lang w:bidi="ar"/>
        </w:rPr>
        <w:t>图7.4.1滑移稳定性验算</w:t>
      </w:r>
    </w:p>
    <w:p>
      <w:pPr>
        <w:ind w:firstLine="480"/>
        <w:rPr>
          <w:rFonts w:ascii="宋体" w:hAnsi="宋体" w:cs="宋体"/>
          <w:kern w:val="0"/>
          <w:szCs w:val="24"/>
          <w:lang w:bidi="ar"/>
        </w:rPr>
      </w:pPr>
    </w:p>
    <w:p>
      <w:pPr>
        <w:ind w:firstLine="480"/>
        <w:rPr>
          <w:rFonts w:ascii="宋体" w:hAnsi="宋体" w:cs="宋体"/>
          <w:kern w:val="0"/>
          <w:szCs w:val="24"/>
          <w:lang w:bidi="ar"/>
        </w:rPr>
      </w:pPr>
    </w:p>
    <w:p>
      <w:pPr>
        <w:pStyle w:val="51"/>
        <w:ind w:firstLine="480"/>
        <w:rPr>
          <w:shd w:val="clear" w:color="auto" w:fill="FFFFFF"/>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重力式水泥土墙的倾覆稳定性应符合下式规定（图7.4.2):</w:t>
      </w:r>
    </w:p>
    <w:p>
      <w:pPr>
        <w:pStyle w:val="35"/>
      </w:pPr>
      <w:r>
        <w:rPr>
          <w:position w:val="-30"/>
        </w:rPr>
        <w:object>
          <v:shape id="_x0000_i1259" o:spt="75" type="#_x0000_t75" style="height:37.2pt;width:132pt;" o:ole="t" filled="f" o:preferrelative="t" stroked="f" coordsize="21600,21600">
            <v:path/>
            <v:fill on="f" focussize="0,0"/>
            <v:stroke on="f" joinstyle="miter"/>
            <v:imagedata r:id="rId493" o:title=""/>
            <o:lock v:ext="edit" aspectratio="t"/>
            <w10:wrap type="none"/>
            <w10:anchorlock/>
          </v:shape>
          <o:OLEObject Type="Embed" ProgID="Equation.DSMT4" ShapeID="_x0000_i1259" DrawAspect="Content" ObjectID="_1468075959" r:id="rId492">
            <o:LockedField>false</o:LockedField>
          </o:OLEObject>
        </w:object>
      </w:r>
      <w:r>
        <w:rPr>
          <w:rFonts w:hint="eastAsia"/>
        </w:rPr>
        <w:t xml:space="preserve">     (7.4.2)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ov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——抗倾覆安全系数，其值不应小于1.3;</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——水泥土墙外侧主动土压力合力作用点至墙趾的竖向距离(m);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p</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——水泥土墙内侧被动土压力合力作用点至墙趾的竖向距离(m);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a</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G</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——水泥土墙自重与墙底水压力合力作用点至墙趾的水平距离(m)。</w:t>
      </w:r>
    </w:p>
    <w:p>
      <w:pPr>
        <w:ind w:firstLine="480"/>
      </w:pPr>
    </w:p>
    <w:p>
      <w:pPr>
        <w:widowControl/>
        <w:ind w:firstLine="480"/>
        <w:jc w:val="center"/>
        <w:rPr>
          <w:rFonts w:ascii="宋体" w:hAnsi="宋体" w:cs="宋体"/>
          <w:kern w:val="0"/>
          <w:szCs w:val="24"/>
          <w:lang w:bidi="ar"/>
        </w:rPr>
      </w:pPr>
      <w:r>
        <w:rPr>
          <w:rFonts w:ascii="宋体" w:hAnsi="宋体" w:cs="宋体"/>
          <w:kern w:val="0"/>
          <w:szCs w:val="24"/>
          <w:lang w:bidi="ar"/>
        </w:rPr>
        <w:drawing>
          <wp:inline distT="0" distB="0" distL="114300" distR="114300">
            <wp:extent cx="1751965" cy="1551305"/>
            <wp:effectExtent l="0" t="0" r="635" b="10795"/>
            <wp:docPr id="55" name="图片 24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3" descr="IMG_263"/>
                    <pic:cNvPicPr>
                      <a:picLocks noChangeAspect="1"/>
                    </pic:cNvPicPr>
                  </pic:nvPicPr>
                  <pic:blipFill>
                    <a:blip r:embed="rId494"/>
                    <a:stretch>
                      <a:fillRect/>
                    </a:stretch>
                  </pic:blipFill>
                  <pic:spPr>
                    <a:xfrm>
                      <a:off x="0" y="0"/>
                      <a:ext cx="1751965" cy="1551305"/>
                    </a:xfrm>
                    <a:prstGeom prst="rect">
                      <a:avLst/>
                    </a:prstGeom>
                    <a:noFill/>
                    <a:ln w="9525">
                      <a:noFill/>
                    </a:ln>
                  </pic:spPr>
                </pic:pic>
              </a:graphicData>
            </a:graphic>
          </wp:inline>
        </w:drawing>
      </w:r>
    </w:p>
    <w:p>
      <w:pPr>
        <w:widowControl/>
        <w:ind w:firstLine="480"/>
        <w:jc w:val="center"/>
        <w:rPr>
          <w:rFonts w:ascii="宋体" w:hAnsi="宋体" w:cs="宋体"/>
          <w:kern w:val="0"/>
          <w:szCs w:val="24"/>
          <w:lang w:bidi="ar"/>
        </w:rPr>
      </w:pPr>
      <w:r>
        <w:rPr>
          <w:rFonts w:hint="eastAsia" w:ascii="宋体" w:hAnsi="宋体" w:cs="宋体"/>
          <w:kern w:val="0"/>
          <w:szCs w:val="24"/>
          <w:lang w:bidi="ar"/>
        </w:rPr>
        <w:t>图7.4.2倾覆稳定性验算</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重力式水泥土墙应按下列规定进行圆弧滑动稳定性验算: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可釆用圆弧滑动条分法进行验算；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采用圆弧滑动条分法时，其稳定性应符合下列规定（图7.4.3）：</w:t>
      </w:r>
    </w:p>
    <w:p>
      <w:pPr>
        <w:pStyle w:val="51"/>
        <w:numPr>
          <w:ilvl w:val="2"/>
          <w:numId w:val="0"/>
        </w:numPr>
        <w:jc w:val="center"/>
        <w:rPr>
          <w:rFonts w:ascii="宋体" w:hAnsi="宋体" w:cs="宋体"/>
          <w:kern w:val="0"/>
          <w:szCs w:val="24"/>
          <w:lang w:bidi="ar"/>
        </w:rPr>
      </w:pPr>
    </w:p>
    <w:p>
      <w:pPr>
        <w:pStyle w:val="51"/>
        <w:numPr>
          <w:ilvl w:val="2"/>
          <w:numId w:val="0"/>
        </w:numPr>
        <w:jc w:val="center"/>
        <w:rPr>
          <w:rFonts w:ascii="宋体" w:hAnsi="宋体" w:cs="宋体"/>
          <w:kern w:val="0"/>
          <w:szCs w:val="24"/>
          <w:lang w:bidi="ar"/>
        </w:rPr>
      </w:pPr>
      <w:r>
        <w:rPr>
          <w:rFonts w:ascii="宋体" w:hAnsi="宋体" w:cs="宋体"/>
          <w:kern w:val="0"/>
          <w:szCs w:val="24"/>
          <w:lang w:bidi="ar"/>
        </w:rPr>
        <w:drawing>
          <wp:inline distT="0" distB="0" distL="114300" distR="114300">
            <wp:extent cx="3677920" cy="1931035"/>
            <wp:effectExtent l="0" t="0" r="17780" b="12065"/>
            <wp:docPr id="69" name="图片 24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7" descr="IMG_267"/>
                    <pic:cNvPicPr>
                      <a:picLocks noChangeAspect="1"/>
                    </pic:cNvPicPr>
                  </pic:nvPicPr>
                  <pic:blipFill>
                    <a:blip r:embed="rId495"/>
                    <a:stretch>
                      <a:fillRect/>
                    </a:stretch>
                  </pic:blipFill>
                  <pic:spPr>
                    <a:xfrm>
                      <a:off x="0" y="0"/>
                      <a:ext cx="3677920" cy="1931035"/>
                    </a:xfrm>
                    <a:prstGeom prst="rect">
                      <a:avLst/>
                    </a:prstGeom>
                    <a:noFill/>
                    <a:ln w="9525">
                      <a:noFill/>
                    </a:ln>
                  </pic:spPr>
                </pic:pic>
              </a:graphicData>
            </a:graphic>
          </wp:inline>
        </w:drawing>
      </w:r>
    </w:p>
    <w:p>
      <w:pPr>
        <w:pStyle w:val="51"/>
        <w:numPr>
          <w:ilvl w:val="2"/>
          <w:numId w:val="0"/>
        </w:numPr>
        <w:jc w:val="center"/>
        <w:rPr>
          <w:rFonts w:ascii="宋体" w:hAnsi="宋体" w:cs="宋体"/>
          <w:kern w:val="0"/>
          <w:szCs w:val="24"/>
          <w:lang w:bidi="ar"/>
        </w:rPr>
      </w:pPr>
      <w:r>
        <w:rPr>
          <w:rFonts w:hint="eastAsia" w:ascii="宋体" w:hAnsi="宋体" w:cs="宋体"/>
          <w:kern w:val="0"/>
          <w:szCs w:val="24"/>
          <w:lang w:bidi="ar"/>
        </w:rPr>
        <w:t>图7.4.3整体滑动稳定性验算</w:t>
      </w:r>
    </w:p>
    <w:p>
      <w:pPr>
        <w:pStyle w:val="35"/>
      </w:pPr>
    </w:p>
    <w:p>
      <w:pPr>
        <w:pStyle w:val="35"/>
        <w:rPr>
          <w:rFonts w:ascii="宋体" w:hAnsi="宋体" w:cs="宋体"/>
          <w:kern w:val="0"/>
          <w:szCs w:val="24"/>
          <w:lang w:bidi="ar"/>
        </w:rPr>
      </w:pPr>
      <w:r>
        <w:object>
          <v:shape id="_x0000_i1260" o:spt="75" type="#_x0000_t75" style="height:19.2pt;width:148.2pt;" o:ole="t" filled="f" o:preferrelative="t" stroked="f" coordsize="21600,21600">
            <v:path/>
            <v:fill on="f" focussize="0,0"/>
            <v:stroke on="f" joinstyle="miter"/>
            <v:imagedata r:id="rId497" o:title=""/>
            <o:lock v:ext="edit" aspectratio="t"/>
            <w10:wrap type="none"/>
            <w10:anchorlock/>
          </v:shape>
          <o:OLEObject Type="Embed" ProgID="Equation.DSMT4" ShapeID="_x0000_i1260" DrawAspect="Content" ObjectID="_1468075960" r:id="rId496">
            <o:LockedField>false</o:LockedField>
          </o:OLEObject>
        </w:object>
      </w:r>
      <w:r>
        <w:rPr>
          <w:rFonts w:hint="eastAsia"/>
        </w:rPr>
        <w:t xml:space="preserve">       </w:t>
      </w:r>
      <w:r>
        <w:rPr>
          <w:rFonts w:ascii="宋体" w:hAnsi="宋体" w:cs="宋体"/>
          <w:kern w:val="0"/>
          <w:szCs w:val="24"/>
          <w:lang w:bidi="ar"/>
        </w:rPr>
        <w:t>（</w:t>
      </w:r>
      <w:r>
        <w:rPr>
          <w:rFonts w:hint="eastAsia" w:ascii="宋体" w:hAnsi="宋体" w:cs="宋体"/>
          <w:kern w:val="0"/>
          <w:szCs w:val="24"/>
          <w:lang w:bidi="ar"/>
        </w:rPr>
        <w:t>7</w:t>
      </w:r>
      <w:r>
        <w:rPr>
          <w:rFonts w:ascii="宋体" w:hAnsi="宋体" w:cs="宋体"/>
          <w:kern w:val="0"/>
          <w:szCs w:val="24"/>
          <w:lang w:bidi="ar"/>
        </w:rPr>
        <w:t>.</w:t>
      </w:r>
      <w:r>
        <w:rPr>
          <w:rFonts w:hint="eastAsia" w:ascii="宋体" w:hAnsi="宋体" w:cs="宋体"/>
          <w:kern w:val="0"/>
          <w:szCs w:val="24"/>
          <w:lang w:bidi="ar"/>
        </w:rPr>
        <w:t>4</w:t>
      </w:r>
      <w:r>
        <w:rPr>
          <w:rFonts w:ascii="宋体" w:hAnsi="宋体" w:cs="宋体"/>
          <w:kern w:val="0"/>
          <w:szCs w:val="24"/>
          <w:lang w:bidi="ar"/>
        </w:rPr>
        <w:t>.3-</w:t>
      </w:r>
      <w:r>
        <w:rPr>
          <w:rFonts w:hint="eastAsia" w:ascii="宋体" w:hAnsi="宋体" w:cs="宋体"/>
          <w:kern w:val="0"/>
          <w:szCs w:val="24"/>
          <w:lang w:bidi="ar"/>
        </w:rPr>
        <w:t>1</w:t>
      </w:r>
      <w:r>
        <w:rPr>
          <w:rFonts w:ascii="宋体" w:hAnsi="宋体" w:cs="宋体"/>
          <w:kern w:val="0"/>
          <w:szCs w:val="24"/>
          <w:lang w:bidi="ar"/>
        </w:rPr>
        <w:t>）</w:t>
      </w:r>
    </w:p>
    <w:p>
      <w:pPr>
        <w:pStyle w:val="35"/>
        <w:rPr>
          <w:rFonts w:ascii="宋体" w:hAnsi="宋体" w:cs="宋体"/>
          <w:kern w:val="0"/>
          <w:szCs w:val="24"/>
          <w:lang w:bidi="ar"/>
        </w:rPr>
      </w:pPr>
      <w:r>
        <w:rPr>
          <w:position w:val="-36"/>
        </w:rPr>
        <w:object>
          <v:shape id="_x0000_i1261" o:spt="75" type="#_x0000_t75" style="height:46.2pt;width:235.8pt;" o:ole="t" filled="f" o:preferrelative="t" stroked="f" coordsize="21600,21600">
            <v:path/>
            <v:fill on="f" focussize="0,0"/>
            <v:stroke on="f" joinstyle="miter"/>
            <v:imagedata r:id="rId499" o:title=""/>
            <o:lock v:ext="edit" aspectratio="t"/>
            <w10:wrap type="none"/>
            <w10:anchorlock/>
          </v:shape>
          <o:OLEObject Type="Embed" ProgID="Equation.DSMT4" ShapeID="_x0000_i1261" DrawAspect="Content" ObjectID="_1468075961" r:id="rId498">
            <o:LockedField>false</o:LockedField>
          </o:OLEObject>
        </w:object>
      </w:r>
      <w:r>
        <w:rPr>
          <w:rFonts w:hint="eastAsia"/>
        </w:rPr>
        <w:t xml:space="preserve">   </w:t>
      </w:r>
      <w:r>
        <w:rPr>
          <w:rFonts w:ascii="宋体" w:hAnsi="宋体" w:cs="宋体"/>
          <w:kern w:val="0"/>
          <w:szCs w:val="24"/>
          <w:lang w:bidi="ar"/>
        </w:rPr>
        <w:t>（</w:t>
      </w:r>
      <w:r>
        <w:rPr>
          <w:rFonts w:hint="eastAsia" w:ascii="宋体" w:hAnsi="宋体" w:cs="宋体"/>
          <w:kern w:val="0"/>
          <w:szCs w:val="24"/>
          <w:lang w:bidi="ar"/>
        </w:rPr>
        <w:t>7</w:t>
      </w:r>
      <w:r>
        <w:rPr>
          <w:rFonts w:ascii="宋体" w:hAnsi="宋体" w:cs="宋体"/>
          <w:kern w:val="0"/>
          <w:szCs w:val="24"/>
          <w:lang w:bidi="ar"/>
        </w:rPr>
        <w:t>.</w:t>
      </w:r>
      <w:r>
        <w:rPr>
          <w:rFonts w:hint="eastAsia" w:ascii="宋体" w:hAnsi="宋体" w:cs="宋体"/>
          <w:kern w:val="0"/>
          <w:szCs w:val="24"/>
          <w:lang w:bidi="ar"/>
        </w:rPr>
        <w:t>4</w:t>
      </w:r>
      <w:r>
        <w:rPr>
          <w:rFonts w:ascii="宋体" w:hAnsi="宋体" w:cs="宋体"/>
          <w:kern w:val="0"/>
          <w:szCs w:val="24"/>
          <w:lang w:bidi="ar"/>
        </w:rPr>
        <w:t>.3-</w:t>
      </w:r>
      <w:r>
        <w:rPr>
          <w:rFonts w:hint="eastAsia" w:ascii="宋体" w:hAnsi="宋体" w:cs="宋体"/>
          <w:kern w:val="0"/>
          <w:szCs w:val="24"/>
          <w:lang w:bidi="ar"/>
        </w:rPr>
        <w:t>2</w:t>
      </w:r>
      <w:r>
        <w:rPr>
          <w:rFonts w:ascii="宋体" w:hAnsi="宋体" w:cs="宋体"/>
          <w:kern w:val="0"/>
          <w:szCs w:val="24"/>
          <w:lang w:bidi="ar"/>
        </w:rPr>
        <w:t>）</w:t>
      </w:r>
    </w:p>
    <w:p>
      <w:pPr>
        <w:pStyle w:val="51"/>
        <w:numPr>
          <w:ilvl w:val="2"/>
          <w:numId w:val="0"/>
        </w:numPr>
        <w:jc w:val="both"/>
        <w:rPr>
          <w:rFonts w:ascii="宋体" w:hAnsi="宋体" w:cs="宋体"/>
          <w:kern w:val="0"/>
          <w:szCs w:val="24"/>
          <w:lang w:bidi="ar"/>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——圆弧滑动稳定安全系数，其值不应小于1.3；</w:t>
      </w:r>
    </w:p>
    <w:p>
      <w:pPr>
        <w:pStyle w:val="51"/>
        <w:numPr>
          <w:ilvl w:val="2"/>
          <w:numId w:val="0"/>
        </w:numPr>
        <w:rPr>
          <w:rFonts w:ascii="宋体" w:hAnsi="宋体" w:cs="宋体"/>
          <w:kern w:val="0"/>
          <w:szCs w:val="24"/>
          <w:lang w:bidi="ar"/>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 K</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s，i</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——第i个圆弧滑动体的抗滑力矩与滑动力矩的比值;抗滑力矩与滑动力矩之比的最小值宜通过搜索不同圆心及半径的所有潜在滑动圆弧确定;</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、ψ</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——分别为第顶土条滑弧面处土的黏聚力（kPa）、内摩擦角（°）;</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——第j土条的宽度（m）；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——第j土条滑弧面中点处的法线与垂直面的夹角（°）;</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——第j土条的滑弧长度（m）；取l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=b</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/cosθ</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q</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——第j顶土条上的附加分布荷载标准值（kPa）；</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∆G</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——第j顶土条的自重（kN）,按天然重度计算；分条时，水泥土墙可按土体考虑；</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——第j土条滑弧面上的孔隙水压力（kPa）；对地下水位以下的砂土、碎石土、砂质粉土，当地下水是静止的或渗流水力梯度可忽略不计时，在基坑外侧，可取u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wa,j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;在基坑内侧，可取u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;；滑弧面在地下水位以上或对地下水位以下的黏性土，取u</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——地下水重度（kN/m3）；</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宋体" w:hAnsi="宋体" w:eastAsia="宋体" w:cs="宋体"/>
          <w:color w:val="000000" w:themeColor="text1"/>
          <w:kern w:val="0"/>
          <w:sz w:val="24"/>
          <w:szCs w:val="24"/>
          <w:lang w:val="zh-CN" w:eastAsia="zh-CN" w:bidi="ar"/>
          <w14:textFill>
            <w14:solidFill>
              <w14:schemeClr w14:val="tx1"/>
            </w14:solidFill>
          </w14:textFill>
        </w:rPr>
        <w:t>h</w:t>
      </w:r>
      <w:r>
        <w:rPr>
          <w:rFonts w:hint="eastAsia" w:ascii="宋体" w:hAnsi="宋体" w:eastAsia="宋体" w:cs="宋体"/>
          <w:color w:val="000000" w:themeColor="text1"/>
          <w:kern w:val="0"/>
          <w:sz w:val="24"/>
          <w:szCs w:val="24"/>
          <w:vertAlign w:val="subscript"/>
          <w:lang w:val="zh-CN" w:eastAsia="zh-CN" w:bidi="ar"/>
          <w14:textFill>
            <w14:solidFill>
              <w14:schemeClr w14:val="tx1"/>
            </w14:solidFill>
          </w14:textFill>
        </w:rPr>
        <w:t>wa,j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——基坑外侧第j土条滑弧面中点的压力水头（m）；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h</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wp,j</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——基坑内侧第顶土条滑弧面中点的压力水头（m）。</w:t>
      </w:r>
    </w:p>
    <w:p>
      <w:pPr>
        <w:pStyle w:val="51"/>
        <w:widowControl w:val="0"/>
        <w:numPr>
          <w:ilvl w:val="255"/>
          <w:numId w:val="0"/>
        </w:numPr>
        <w:spacing w:line="360" w:lineRule="auto"/>
        <w:ind w:left="0" w:firstLine="406" w:firstLineChars="145"/>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当墙底以下存在软弱下卧土层时，稳定性验算的滑动面中应包括由圆弧与软弱土层层面组成的复合滑动面。</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重力式水泥土墙，其嵌固深度应符合下列坑底隆起稳定性要求：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隆起稳定性可按本规程公式（7.2.1.14-1）〜公式（7.2.1.14-3）验算，但公式中γ</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m1</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应取基坑外墙底面以上土的重度，γ</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m2</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应取基坑内墙底面以上土的重度，l</w:t>
      </w:r>
      <w:r>
        <w:rPr>
          <w:rFonts w:hint="eastAsia" w:cs="Times New Roman" w:eastAsiaTheme="minorEastAsia"/>
          <w:bCs/>
          <w:color w:val="000000" w:themeColor="text1"/>
          <w:kern w:val="2"/>
          <w:sz w:val="28"/>
          <w:szCs w:val="28"/>
          <w:vertAlign w:val="subscript"/>
          <w:lang w:val="zh-CN" w:eastAsia="zh-CN" w:bidi="ar-SA"/>
          <w14:textFill>
            <w14:solidFill>
              <w14:schemeClr w14:val="tx1"/>
            </w14:solidFill>
          </w14:textFill>
        </w:rPr>
        <w:t>d</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应取水泥土墙的嵌固深度，c、ψ应取水泥土墙底面以下土的黏聚力、内摩擦角；</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当重力式水泥土墙底面以下有软弱下卧层时，隆起稳定性验算的部</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位应包括软弱下卧层，此时，公式（7.2.1.14-1）〜公式（7.2.1.14-3）中的γ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m1</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、γ</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m2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应取软弱下卧层顶面以上土的重度,l</w:t>
      </w:r>
      <w:r>
        <w:rPr>
          <w:rFonts w:hint="eastAsia" w:ascii="Times New Roman" w:hAnsi="Times New Roman" w:cs="Times New Roman" w:eastAsiaTheme="minorEastAsia"/>
          <w:bCs/>
          <w:color w:val="000000" w:themeColor="text1"/>
          <w:kern w:val="2"/>
          <w:sz w:val="28"/>
          <w:szCs w:val="28"/>
          <w:vertAlign w:val="subscript"/>
          <w:lang w:val="zh-CN" w:eastAsia="zh-CN" w:bidi="ar-SA"/>
          <w14:textFill>
            <w14:solidFill>
              <w14:schemeClr w14:val="tx1"/>
            </w14:solidFill>
          </w14:textFill>
        </w:rPr>
        <w:t>d</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应以D代替。</w:t>
      </w:r>
    </w:p>
    <w:p>
      <w:pPr>
        <w:pStyle w:val="51"/>
        <w:numPr>
          <w:ilvl w:val="255"/>
          <w:numId w:val="0"/>
        </w:numPr>
        <w:ind w:firstLine="480" w:firstLineChars="200"/>
      </w:pPr>
      <w:r>
        <w:rPr>
          <w:rFonts w:hint="eastAsia"/>
        </w:rPr>
        <w:t>注:D为坑底至软弱下卧层顶面的土层厚度(m)。</w:t>
      </w:r>
    </w:p>
    <w:p>
      <w:pPr>
        <w:pStyle w:val="51"/>
        <w:rPr>
          <w:shd w:val="clear" w:color="auto" w:fill="FFFFFF"/>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重力式水泥土墙墙体的正截面应力应符合下列规定: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1拉应力:</w:t>
      </w:r>
    </w:p>
    <w:p>
      <w:pPr>
        <w:pStyle w:val="35"/>
        <w:rPr>
          <w:rFonts w:ascii="宋体" w:hAnsi="宋体" w:cs="宋体"/>
          <w:kern w:val="0"/>
          <w:szCs w:val="24"/>
          <w:lang w:bidi="ar"/>
        </w:rPr>
      </w:pPr>
      <w:r>
        <w:object>
          <v:shape id="_x0000_i1262" o:spt="75" type="#_x0000_t75" style="height:31.2pt;width:100.2pt;" o:ole="t" filled="f" o:preferrelative="t" stroked="f" coordsize="21600,21600">
            <v:path/>
            <v:fill on="f" focussize="0,0"/>
            <v:stroke on="f" joinstyle="miter"/>
            <v:imagedata r:id="rId501" o:title=""/>
            <o:lock v:ext="edit" aspectratio="t"/>
            <w10:wrap type="none"/>
            <w10:anchorlock/>
          </v:shape>
          <o:OLEObject Type="Embed" ProgID="Equation.DSMT4" ShapeID="_x0000_i1262" DrawAspect="Content" ObjectID="_1468075962" r:id="rId500">
            <o:LockedField>false</o:LockedField>
          </o:OLEObject>
        </w:object>
      </w:r>
      <w:r>
        <w:rPr>
          <w:rFonts w:hint="eastAsia"/>
        </w:rPr>
        <w:t xml:space="preserve">    </w:t>
      </w:r>
      <w:r>
        <w:rPr>
          <w:rFonts w:hint="eastAsia" w:ascii="宋体" w:hAnsi="宋体" w:cs="宋体"/>
          <w:kern w:val="0"/>
          <w:szCs w:val="24"/>
          <w:lang w:bidi="ar"/>
        </w:rPr>
        <w:t>(7.4.5-1)</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2压应力:</w:t>
      </w:r>
    </w:p>
    <w:p>
      <w:pPr>
        <w:pStyle w:val="35"/>
        <w:rPr>
          <w:rFonts w:ascii="宋体" w:hAnsi="宋体" w:cs="宋体"/>
          <w:kern w:val="0"/>
          <w:szCs w:val="24"/>
          <w:lang w:bidi="ar"/>
        </w:rPr>
      </w:pPr>
      <w:r>
        <w:object>
          <v:shape id="_x0000_i1263" o:spt="75" type="#_x0000_t75" style="height:31.2pt;width:100.8pt;" o:ole="t" filled="f" o:preferrelative="t" stroked="f" coordsize="21600,21600">
            <v:path/>
            <v:fill on="f" focussize="0,0"/>
            <v:stroke on="f" joinstyle="miter"/>
            <v:imagedata r:id="rId503" o:title=""/>
            <o:lock v:ext="edit" aspectratio="t"/>
            <w10:wrap type="none"/>
            <w10:anchorlock/>
          </v:shape>
          <o:OLEObject Type="Embed" ProgID="Equation.DSMT4" ShapeID="_x0000_i1263" DrawAspect="Content" ObjectID="_1468075963" r:id="rId502">
            <o:LockedField>false</o:LockedField>
          </o:OLEObject>
        </w:object>
      </w:r>
      <w:r>
        <w:rPr>
          <w:rFonts w:hint="eastAsia"/>
        </w:rPr>
        <w:t xml:space="preserve">      </w:t>
      </w:r>
      <w:r>
        <w:rPr>
          <w:rFonts w:hint="eastAsia" w:ascii="宋体" w:hAnsi="宋体" w:cs="宋体"/>
          <w:kern w:val="0"/>
          <w:szCs w:val="24"/>
          <w:lang w:bidi="ar"/>
        </w:rPr>
        <w:t>(7.4.5-2)</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3剪应力:</w:t>
      </w:r>
    </w:p>
    <w:p>
      <w:pPr>
        <w:pStyle w:val="35"/>
        <w:rPr>
          <w:rFonts w:ascii="宋体" w:hAnsi="宋体" w:cs="宋体"/>
          <w:kern w:val="0"/>
          <w:szCs w:val="24"/>
          <w:lang w:bidi="ar"/>
        </w:rPr>
      </w:pPr>
      <w:r>
        <w:object>
          <v:shape id="_x0000_i1264" o:spt="75" type="#_x0000_t75" style="height:33pt;width:115.2pt;" o:ole="t" filled="f" o:preferrelative="t" stroked="f" coordsize="21600,21600">
            <v:path/>
            <v:fill on="f" focussize="0,0"/>
            <v:stroke on="f" joinstyle="miter"/>
            <v:imagedata r:id="rId505" o:title=""/>
            <o:lock v:ext="edit" aspectratio="t"/>
            <w10:wrap type="none"/>
            <w10:anchorlock/>
          </v:shape>
          <o:OLEObject Type="Embed" ProgID="Equation.DSMT4" ShapeID="_x0000_i1264" DrawAspect="Content" ObjectID="_1468075964" r:id="rId504">
            <o:LockedField>false</o:LockedField>
          </o:OLEObject>
        </w:object>
      </w:r>
      <w:r>
        <w:rPr>
          <w:rFonts w:hint="eastAsia"/>
        </w:rPr>
        <w:t xml:space="preserve">  </w:t>
      </w:r>
      <w:r>
        <w:rPr>
          <w:rFonts w:hint="eastAsia" w:ascii="宋体" w:hAnsi="宋体" w:cs="宋体"/>
          <w:kern w:val="0"/>
          <w:szCs w:val="24"/>
          <w:lang w:bidi="ar"/>
        </w:rPr>
        <w:t>(7.4.5-3)</w:t>
      </w:r>
    </w:p>
    <w:p>
      <w:pPr>
        <w:pStyle w:val="51"/>
        <w:numPr>
          <w:ilvl w:val="2"/>
          <w:numId w:val="0"/>
        </w:numPr>
        <w:rPr>
          <w:rFonts w:ascii="宋体" w:hAnsi="宋体" w:cs="宋体"/>
          <w:kern w:val="0"/>
          <w:szCs w:val="24"/>
          <w:lang w:bidi="ar"/>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ascii="宋体" w:hAnsi="宋体" w:cs="宋体"/>
          <w:kern w:val="0"/>
          <w:szCs w:val="24"/>
          <w:lang w:bidi="ar"/>
        </w:rPr>
        <w:t>:M</w:t>
      </w:r>
      <w:r>
        <w:rPr>
          <w:rFonts w:ascii="宋体" w:hAnsi="宋体" w:cs="宋体"/>
          <w:kern w:val="0"/>
          <w:szCs w:val="24"/>
          <w:vertAlign w:val="subscript"/>
          <w:lang w:bidi="ar"/>
        </w:rPr>
        <w:t>i</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——水泥土墙验算截面的弯矩设计值（kNm/m）；</w:t>
      </w:r>
    </w:p>
    <w:p>
      <w:pPr>
        <w:pStyle w:val="51"/>
        <w:numPr>
          <w:ilvl w:val="2"/>
          <w:numId w:val="0"/>
        </w:numPr>
        <w:rPr>
          <w:rFonts w:ascii="宋体" w:hAnsi="宋体" w:cs="宋体"/>
          <w:kern w:val="0"/>
          <w:szCs w:val="24"/>
          <w:lang w:bidi="ar"/>
        </w:rPr>
      </w:pPr>
      <w:r>
        <w:rPr>
          <w:rFonts w:hint="eastAsia" w:ascii="宋体" w:hAnsi="宋体" w:cs="宋体"/>
          <w:kern w:val="0"/>
          <w:szCs w:val="24"/>
          <w:lang w:bidi="ar"/>
        </w:rPr>
        <w:t>B</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验算截面处水泥土墙的宽度（m）；</w:t>
      </w:r>
    </w:p>
    <w:p>
      <w:pPr>
        <w:pStyle w:val="51"/>
        <w:numPr>
          <w:ilvl w:val="2"/>
          <w:numId w:val="0"/>
        </w:numPr>
        <w:rPr>
          <w:rFonts w:ascii="宋体" w:hAnsi="宋体" w:cs="宋体"/>
          <w:kern w:val="0"/>
          <w:szCs w:val="24"/>
          <w:lang w:bidi="ar"/>
        </w:rPr>
      </w:pPr>
      <w:r>
        <w:rPr>
          <w:rFonts w:hint="eastAsia" w:ascii="宋体" w:hAnsi="宋体" w:cs="宋体"/>
          <w:kern w:val="0"/>
          <w:szCs w:val="24"/>
          <w:lang w:bidi="ar"/>
        </w:rPr>
        <w:t>γ</w:t>
      </w:r>
      <w:r>
        <w:rPr>
          <w:rFonts w:hint="eastAsia" w:ascii="宋体" w:hAnsi="宋体" w:cs="宋体"/>
          <w:kern w:val="0"/>
          <w:szCs w:val="24"/>
          <w:vertAlign w:val="subscript"/>
          <w:lang w:bidi="ar"/>
        </w:rPr>
        <w:t>cs</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水泥土墙的重度（kN/m3）；</w:t>
      </w:r>
      <w:r>
        <w:rPr>
          <w:rFonts w:ascii="宋体" w:hAnsi="宋体" w:cs="宋体"/>
          <w:kern w:val="0"/>
          <w:szCs w:val="24"/>
          <w:lang w:bidi="ar"/>
        </w:rPr>
        <w:t> </w:t>
      </w:r>
    </w:p>
    <w:p>
      <w:pPr>
        <w:pStyle w:val="51"/>
        <w:numPr>
          <w:ilvl w:val="2"/>
          <w:numId w:val="0"/>
        </w:numPr>
        <w:rPr>
          <w:rFonts w:ascii="宋体" w:hAnsi="宋体" w:cs="宋体"/>
          <w:kern w:val="0"/>
          <w:szCs w:val="24"/>
          <w:lang w:bidi="ar"/>
        </w:rPr>
      </w:pPr>
      <w:r>
        <w:rPr>
          <w:rFonts w:hint="eastAsia" w:ascii="宋体" w:hAnsi="宋体" w:cs="宋体"/>
          <w:kern w:val="0"/>
          <w:szCs w:val="24"/>
          <w:lang w:bidi="ar"/>
        </w:rPr>
        <w:t>Z</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验算截面至水泥土墙顶的垂直距离（m）；</w:t>
      </w:r>
    </w:p>
    <w:p>
      <w:pPr>
        <w:pStyle w:val="51"/>
        <w:numPr>
          <w:ilvl w:val="2"/>
          <w:numId w:val="0"/>
        </w:numP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宋体" w:hAnsi="宋体" w:cs="宋体"/>
          <w:kern w:val="0"/>
          <w:szCs w:val="24"/>
          <w:lang w:bidi="ar"/>
        </w:rPr>
        <w:t>f</w:t>
      </w:r>
      <w:r>
        <w:rPr>
          <w:rFonts w:hint="eastAsia" w:ascii="宋体" w:hAnsi="宋体" w:cs="宋体"/>
          <w:kern w:val="0"/>
          <w:szCs w:val="24"/>
          <w:vertAlign w:val="subscript"/>
          <w:lang w:bidi="ar"/>
        </w:rPr>
        <w:t>cs</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水泥土开挖龄期时的轴心抗压强度设计值（kPa）,应根据现场试验或工程经验确定；</w:t>
      </w:r>
    </w:p>
    <w:p>
      <w:pPr>
        <w:pStyle w:val="51"/>
        <w:numPr>
          <w:ilvl w:val="2"/>
          <w:numId w:val="0"/>
        </w:numPr>
        <w:rPr>
          <w:rFonts w:ascii="宋体" w:hAnsi="宋体" w:cs="宋体"/>
          <w:kern w:val="0"/>
          <w:szCs w:val="24"/>
          <w:lang w:bidi="ar"/>
        </w:rPr>
      </w:pPr>
      <w:r>
        <w:rPr>
          <w:rFonts w:hint="eastAsia" w:ascii="宋体" w:hAnsi="宋体" w:cs="宋体"/>
          <w:kern w:val="0"/>
          <w:szCs w:val="24"/>
          <w:lang w:bidi="ar"/>
        </w:rPr>
        <w:t>γ</w:t>
      </w:r>
      <w:r>
        <w:rPr>
          <w:rFonts w:hint="eastAsia" w:ascii="宋体" w:hAnsi="宋体" w:cs="宋体"/>
          <w:kern w:val="0"/>
          <w:szCs w:val="24"/>
          <w:vertAlign w:val="subscript"/>
          <w:lang w:bidi="ar"/>
        </w:rPr>
        <w:t>F</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—荷载综合分项系数；</w:t>
      </w:r>
    </w:p>
    <w:p>
      <w:pPr>
        <w:ind w:left="0" w:leftChars="0" w:firstLine="0"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ascii="宋体" w:hAnsi="宋体" w:cs="宋体"/>
          <w:kern w:val="0"/>
          <w:szCs w:val="24"/>
          <w:lang w:bidi="ar"/>
        </w:rPr>
        <w:t>E</w:t>
      </w:r>
      <w:r>
        <w:rPr>
          <w:rFonts w:hint="eastAsia" w:ascii="宋体" w:hAnsi="宋体" w:cs="宋体"/>
          <w:kern w:val="0"/>
          <w:szCs w:val="24"/>
          <w:vertAlign w:val="subscript"/>
          <w:lang w:bidi="ar"/>
        </w:rPr>
        <w:t>a</w:t>
      </w:r>
      <w:r>
        <w:rPr>
          <w:rFonts w:ascii="宋体" w:hAnsi="宋体" w:cs="宋体"/>
          <w:kern w:val="0"/>
          <w:szCs w:val="24"/>
          <w:vertAlign w:val="subscript"/>
          <w:lang w:bidi="ar"/>
        </w:rPr>
        <w:t>ki</w:t>
      </w:r>
      <w:r>
        <w:rPr>
          <w:rFonts w:ascii="宋体" w:hAnsi="宋体" w:cs="宋体"/>
          <w:spacing w:val="19"/>
          <w:szCs w:val="24"/>
        </w:rPr>
        <w:t>、</w:t>
      </w:r>
      <w:r>
        <w:rPr>
          <w:rFonts w:hint="eastAsia" w:ascii="宋体" w:hAnsi="宋体" w:cs="宋体"/>
          <w:spacing w:val="19"/>
          <w:szCs w:val="24"/>
        </w:rPr>
        <w:t>E</w:t>
      </w:r>
      <w:r>
        <w:rPr>
          <w:rFonts w:hint="eastAsia" w:ascii="宋体" w:hAnsi="宋体" w:cs="宋体"/>
          <w:spacing w:val="19"/>
          <w:szCs w:val="24"/>
          <w:vertAlign w:val="subscript"/>
        </w:rPr>
        <w:t>pki</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分别为验算截面以上的主动土压力标准值、被动土压力标准值（kN/m）；验算截面在坑底以上时,</w:t>
      </w:r>
      <w:r>
        <w:rPr>
          <w:rFonts w:ascii="宋体" w:hAnsi="宋体" w:cs="宋体"/>
          <w:kern w:val="0"/>
          <w:szCs w:val="24"/>
          <w:lang w:bidi="ar"/>
        </w:rPr>
        <w:t>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取</w:t>
      </w:r>
      <w:r>
        <w:rPr>
          <w:rFonts w:ascii="宋体" w:hAnsi="宋体" w:cs="宋体"/>
          <w:kern w:val="0"/>
          <w:szCs w:val="24"/>
          <w:lang w:bidi="ar"/>
        </w:rPr>
        <w:t>E</w:t>
      </w:r>
      <w:r>
        <w:rPr>
          <w:rFonts w:ascii="宋体" w:hAnsi="宋体" w:cs="宋体"/>
          <w:kern w:val="0"/>
          <w:szCs w:val="24"/>
          <w:vertAlign w:val="subscript"/>
          <w:lang w:bidi="ar"/>
        </w:rPr>
        <w:t>pk,i</w:t>
      </w:r>
      <w:r>
        <w:rPr>
          <w:rFonts w:ascii="宋体" w:hAnsi="宋体" w:cs="宋体"/>
          <w:kern w:val="0"/>
          <w:szCs w:val="24"/>
          <w:lang w:bidi="ar"/>
        </w:rPr>
        <w:t>=0;</w:t>
      </w:r>
    </w:p>
    <w:p>
      <w:pPr>
        <w:pStyle w:val="51"/>
        <w:numPr>
          <w:ilvl w:val="2"/>
          <w:numId w:val="0"/>
        </w:numPr>
        <w:rPr>
          <w:rFonts w:ascii="宋体" w:hAnsi="宋体" w:cs="宋体"/>
          <w:kern w:val="0"/>
          <w:szCs w:val="24"/>
          <w:lang w:bidi="ar"/>
        </w:rPr>
      </w:pPr>
      <w:r>
        <w:rPr>
          <w:rFonts w:ascii="宋体" w:hAnsi="宋体" w:cs="宋体"/>
          <w:kern w:val="0"/>
          <w:szCs w:val="24"/>
          <w:lang w:bidi="ar"/>
        </w:rPr>
        <w:t>G</w:t>
      </w:r>
      <w:r>
        <w:rPr>
          <w:rFonts w:hint="eastAsia" w:ascii="宋体" w:hAnsi="宋体" w:cs="宋体"/>
          <w:kern w:val="0"/>
          <w:szCs w:val="24"/>
          <w:vertAlign w:val="subscript"/>
          <w:lang w:bidi="ar"/>
        </w:rPr>
        <w:t>i</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验算截面以上的墙体自重（kN/m）</w:t>
      </w:r>
      <w:r>
        <w:rPr>
          <w:rFonts w:ascii="宋体" w:hAnsi="宋体" w:cs="宋体"/>
          <w:kern w:val="0"/>
          <w:szCs w:val="24"/>
          <w:lang w:bidi="ar"/>
        </w:rPr>
        <w:t>；</w:t>
      </w:r>
    </w:p>
    <w:p>
      <w:pPr>
        <w:pStyle w:val="51"/>
        <w:numPr>
          <w:ilvl w:val="2"/>
          <w:numId w:val="0"/>
        </w:numP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宋体" w:hAnsi="宋体" w:cs="宋体"/>
          <w:kern w:val="0"/>
          <w:szCs w:val="24"/>
          <w:lang w:bidi="ar"/>
        </w:rPr>
        <w:t>μ</w:t>
      </w:r>
      <w:r>
        <w:rPr>
          <w:rFonts w:ascii="宋体" w:hAnsi="宋体" w:cs="宋体"/>
          <w:kern w:val="0"/>
          <w:szCs w:val="24"/>
          <w:lang w:bidi="ar"/>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墙体材料的抗剪断系数，取0.4〜0.5。</w:t>
      </w:r>
    </w:p>
    <w:p>
      <w:pPr>
        <w:pStyle w:val="51"/>
        <w:numPr>
          <w:ilvl w:val="2"/>
          <w:numId w:val="0"/>
        </w:numPr>
        <w:rPr>
          <w:rFonts w:ascii="宋体" w:hAnsi="宋体" w:cs="宋体"/>
          <w:kern w:val="0"/>
          <w:szCs w:val="24"/>
          <w:lang w:bidi="ar"/>
        </w:rPr>
      </w:pP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重力式水泥土墙的正截面应力验算应包括下列部位: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基坑面以下主动、被动土压力强度相等处；</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基坑底面处；</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水泥土墙的截面突变处。</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当地下水位高于坑底时，应按本规程附录C的规定进行地下水渗透稳定性验算。</w:t>
      </w:r>
    </w:p>
    <w:p>
      <w:pPr>
        <w:pStyle w:val="43"/>
        <w:numPr>
          <w:ilvl w:val="2"/>
          <w:numId w:val="0"/>
        </w:numPr>
        <w:ind w:left="480" w:leftChars="200"/>
        <w:jc w:val="center"/>
      </w:pPr>
      <w:r>
        <w:rPr>
          <w:rStyle w:val="37"/>
          <w:rFonts w:hint="eastAsia"/>
        </w:rPr>
        <w:t>Ⅱ构造</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重力式水泥土墙宜采用水泥土搅拌桩相互搭接成格栅状的结构形式，也可釆用水泥土搅拌桩相互搭接成实体的结构形式。搅拌桩的施工工艺宜釆用喷浆搅拌法。</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重力式水泥土墙的嵌固深度，对淤泥质土，不宜小于1.2h,对淤泥，不宜小于1.3h；重力式水泥土墙的宽度，对淤泥质土，不宜小于0. 7h,对淤泥，不宜小于0.8h。</w:t>
      </w:r>
    </w:p>
    <w:p>
      <w:pPr>
        <w:pStyle w:val="51"/>
        <w:numPr>
          <w:ilvl w:val="2"/>
          <w:numId w:val="0"/>
        </w:numPr>
        <w:ind w:firstLine="480" w:firstLineChars="200"/>
      </w:pPr>
      <w:r>
        <w:t>注</w:t>
      </w:r>
      <w:r>
        <w:rPr>
          <w:rFonts w:hint="eastAsia"/>
        </w:rPr>
        <w:t>：h</w:t>
      </w:r>
      <w:r>
        <w:t>为基坑深度。</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重力式水泥土墙采用格栅形式时，格栅的面积置换率,对淤泥质土，不宜小于0.7；对淤泥，不宜小于0.8；对一般黏性土、砂土，不宜小于0.6。格栅内侧的长宽比不宜大于2。每个格栅内的土体面积应符合下式要求:</w:t>
      </w:r>
    </w:p>
    <w:p>
      <w:pPr>
        <w:pStyle w:val="35"/>
        <w:rPr>
          <w:rFonts w:ascii="宋体" w:hAnsi="宋体" w:cs="宋体"/>
          <w:kern w:val="0"/>
          <w:szCs w:val="24"/>
          <w:lang w:bidi="ar"/>
        </w:rPr>
      </w:pPr>
      <w:r>
        <w:object>
          <v:shape id="_x0000_i1265" o:spt="75" type="#_x0000_t75" style="height:34.2pt;width:46.2pt;" o:ole="t" filled="f" o:preferrelative="t" stroked="f" coordsize="21600,21600">
            <v:path/>
            <v:fill on="f" focussize="0,0"/>
            <v:stroke on="f" joinstyle="miter"/>
            <v:imagedata r:id="rId507" o:title=""/>
            <o:lock v:ext="edit" aspectratio="t"/>
            <w10:wrap type="none"/>
            <w10:anchorlock/>
          </v:shape>
          <o:OLEObject Type="Embed" ProgID="Equation.DSMT4" ShapeID="_x0000_i1265" DrawAspect="Content" ObjectID="_1468075965" r:id="rId506">
            <o:LockedField>false</o:LockedField>
          </o:OLEObject>
        </w:object>
      </w:r>
      <w:r>
        <w:rPr>
          <w:rFonts w:hint="eastAsia"/>
        </w:rPr>
        <w:t xml:space="preserve">      </w:t>
      </w:r>
      <w:r>
        <w:rPr>
          <w:rFonts w:hint="eastAsia" w:ascii="宋体" w:hAnsi="宋体" w:cs="宋体"/>
          <w:kern w:val="0"/>
          <w:szCs w:val="24"/>
          <w:lang w:bidi="ar"/>
        </w:rPr>
        <w:t>(7.4.10)</w:t>
      </w:r>
    </w:p>
    <w:p>
      <w:pPr>
        <w:pStyle w:val="35"/>
      </w:pPr>
      <w:r>
        <w:t>式中：</w:t>
      </w:r>
      <w:r>
        <w:rPr>
          <w:rFonts w:hint="eastAsia" w:ascii="宋体" w:hAnsi="宋体" w:cs="宋体"/>
        </w:rPr>
        <w:t>A</w:t>
      </w:r>
      <w:r>
        <w:t>——格栅内的土体面积（</w:t>
      </w:r>
      <w:r>
        <w:rPr>
          <w:rFonts w:hint="eastAsia" w:ascii="宋体" w:hAnsi="宋体" w:cs="宋体"/>
        </w:rPr>
        <w:t>m</w:t>
      </w:r>
      <w:r>
        <w:rPr>
          <w:rFonts w:hint="eastAsia" w:ascii="宋体" w:hAnsi="宋体" w:cs="宋体"/>
          <w:vertAlign w:val="superscript"/>
        </w:rPr>
        <w:t>2</w:t>
      </w:r>
      <w:r>
        <w:rPr>
          <w:rFonts w:hint="eastAsia"/>
        </w:rPr>
        <w:t>）</w:t>
      </w:r>
      <w:r>
        <w:t>；</w:t>
      </w:r>
    </w:p>
    <w:p>
      <w:pPr>
        <w:pStyle w:val="51"/>
        <w:numPr>
          <w:ilvl w:val="2"/>
          <w:numId w:val="0"/>
        </w:numPr>
      </w:pPr>
      <w:r>
        <w:rPr>
          <w:rFonts w:hint="eastAsia" w:ascii="宋体" w:hAnsi="宋体" w:cs="宋体"/>
        </w:rPr>
        <w:t>δ</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计算系数；对黏性土，取δ=0.5；对砂土、粉土, 取</w:t>
      </w:r>
      <w:r>
        <w:rPr>
          <w:rFonts w:hint="eastAsia" w:ascii="宋体" w:hAnsi="宋体" w:cs="宋体"/>
        </w:rPr>
        <w:t>δ</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=0.7</w:t>
      </w:r>
      <w:r>
        <w:t>；</w:t>
      </w:r>
    </w:p>
    <w:p>
      <w:pPr>
        <w:pStyle w:val="51"/>
        <w:numPr>
          <w:ilvl w:val="2"/>
          <w:numId w:val="0"/>
        </w:numPr>
      </w:pPr>
      <w:r>
        <w:rPr>
          <w:rFonts w:hint="eastAsia" w:ascii="宋体" w:hAnsi="宋体" w:cs="宋体"/>
        </w:rPr>
        <w:t>c</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格栅内土的黏聚力（kPa）</w:t>
      </w:r>
      <w:r>
        <w:t>；</w:t>
      </w:r>
    </w:p>
    <w:p>
      <w:pPr>
        <w:pStyle w:val="51"/>
        <w:numPr>
          <w:ilvl w:val="2"/>
          <w:numId w:val="0"/>
        </w:numP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宋体" w:hAnsi="宋体" w:cs="宋体"/>
        </w:rPr>
        <w:t>u</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计算周长（m）,按图7.4.10计算；</w:t>
      </w:r>
    </w:p>
    <w:p>
      <w:pPr>
        <w:pStyle w:val="51"/>
        <w:numPr>
          <w:ilvl w:val="2"/>
          <w:numId w:val="0"/>
        </w:numPr>
      </w:pPr>
      <w:r>
        <w:rPr>
          <w:rFonts w:hint="eastAsia" w:ascii="宋体" w:hAnsi="宋体" w:cs="宋体"/>
          <w:kern w:val="0"/>
          <w:szCs w:val="24"/>
          <w:lang w:bidi="ar"/>
        </w:rPr>
        <w:t>γ</w:t>
      </w:r>
      <w:r>
        <w:rPr>
          <w:rFonts w:hint="eastAsia" w:ascii="宋体" w:hAnsi="宋体" w:cs="宋体"/>
          <w:kern w:val="0"/>
          <w:szCs w:val="24"/>
          <w:vertAlign w:val="subscript"/>
          <w:lang w:bidi="ar"/>
        </w:rPr>
        <w:t>m</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格栅内土的天然重度（kN/m3）对多层土，取水泥土墙深度范围内各层土按厚度加权的平均天然重度。</w:t>
      </w:r>
    </w:p>
    <w:p>
      <w:pPr>
        <w:pStyle w:val="51"/>
        <w:numPr>
          <w:ilvl w:val="2"/>
          <w:numId w:val="0"/>
        </w:numPr>
        <w:jc w:val="center"/>
      </w:pPr>
      <w:r>
        <w:drawing>
          <wp:inline distT="0" distB="0" distL="114300" distR="114300">
            <wp:extent cx="2626360" cy="1662430"/>
            <wp:effectExtent l="0" t="0" r="2540" b="13970"/>
            <wp:docPr id="84" name="图片 26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61" descr="IMG_281"/>
                    <pic:cNvPicPr>
                      <a:picLocks noChangeAspect="1"/>
                    </pic:cNvPicPr>
                  </pic:nvPicPr>
                  <pic:blipFill>
                    <a:blip r:embed="rId508"/>
                    <a:stretch>
                      <a:fillRect/>
                    </a:stretch>
                  </pic:blipFill>
                  <pic:spPr>
                    <a:xfrm>
                      <a:off x="0" y="0"/>
                      <a:ext cx="2626360" cy="1662430"/>
                    </a:xfrm>
                    <a:prstGeom prst="rect">
                      <a:avLst/>
                    </a:prstGeom>
                    <a:noFill/>
                    <a:ln w="9525">
                      <a:noFill/>
                    </a:ln>
                  </pic:spPr>
                </pic:pic>
              </a:graphicData>
            </a:graphic>
          </wp:inline>
        </w:drawing>
      </w:r>
    </w:p>
    <w:p>
      <w:pPr>
        <w:pStyle w:val="51"/>
        <w:numPr>
          <w:ilvl w:val="2"/>
          <w:numId w:val="0"/>
        </w:numPr>
        <w:jc w:val="center"/>
        <w:rPr>
          <w:rFonts w:ascii="宋体" w:hAnsi="宋体" w:cs="宋体"/>
          <w:kern w:val="0"/>
          <w:szCs w:val="24"/>
          <w:lang w:bidi="ar"/>
        </w:rPr>
      </w:pPr>
      <w:r>
        <w:rPr>
          <w:rFonts w:hint="eastAsia" w:ascii="宋体" w:hAnsi="宋体" w:cs="宋体"/>
          <w:kern w:val="0"/>
          <w:szCs w:val="24"/>
          <w:lang w:bidi="ar"/>
        </w:rPr>
        <w:t>图7.4.10格栅式水泥土墙</w:t>
      </w:r>
    </w:p>
    <w:p>
      <w:pPr>
        <w:pStyle w:val="51"/>
        <w:numPr>
          <w:ilvl w:val="2"/>
          <w:numId w:val="0"/>
        </w:numPr>
        <w:jc w:val="center"/>
      </w:pPr>
      <w:r>
        <w:rPr>
          <w:rFonts w:hint="eastAsia"/>
        </w:rPr>
        <w:t>1-水泥土桩;2----水泥土桩中心线;3-计算周长</w:t>
      </w:r>
    </w:p>
    <w:p>
      <w:pPr>
        <w:pStyle w:val="51"/>
        <w:numPr>
          <w:ilvl w:val="2"/>
          <w:numId w:val="0"/>
        </w:numPr>
        <w:jc w:val="center"/>
      </w:pP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水泥土搅拌桩的搭接宽度不宜小于150mm。</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当水泥土墙兼作截水帷幕时，应符合本规程第9章对截水的要求。</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水泥土墙体的28d无侧限抗压强度不宜小于1.0MPa。当需要增强墙体的抗拉性能时，可在水泥土桩内插入杆筋。杆筋可采用钢筋、钢管。杆筋的插入深度宜大于基坑深度。杆筋应锚入面板内。</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水泥土墙顶面宜设置混凝土连接面板，面板厚度不宜小于150mm，混凝土强度等级不宜低于C15。</w:t>
      </w:r>
    </w:p>
    <w:p>
      <w:pPr>
        <w:pStyle w:val="51"/>
        <w:numPr>
          <w:ilvl w:val="0"/>
          <w:numId w:val="0"/>
        </w:numPr>
      </w:pPr>
    </w:p>
    <w:p>
      <w:pPr>
        <w:pStyle w:val="3"/>
      </w:pPr>
      <w:bookmarkStart w:id="75" w:name="_Toc27274"/>
      <w:r>
        <w:rPr>
          <w:rFonts w:hint="eastAsia"/>
        </w:rPr>
        <w:t>重力式挡墙</w:t>
      </w:r>
      <w:bookmarkEnd w:id="75"/>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一般规定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根据墙背倾斜情况，重力式挡墙可分为俯斜式挡墙、仰斜式挡墙、直立式挡墙和衡重式挡墙等类型。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采用重力式挡墙时，土质边坡高度不宜大于10m，岩质边坡高度不宜大于12m。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对变形有严格要求或开挖土石方可能危及边坡稳定的边坡不宜采用重力式挡墙，开挖土石方危及相邻建（构）筑物安全的边坡不应采用重力式挡墙。</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重力式挡墙类型应根据使用要求、地形、地质和施工条件等综合考虑确定，对岩质边坡和挖方形成的土质边坡宜优先采用仰斜式挡墙，高度较大的土质边坡宜采用衡重式或仰斜式挡墙。</w:t>
      </w:r>
    </w:p>
    <w:p>
      <w:pPr>
        <w:pStyle w:val="51"/>
        <w:rPr>
          <w:shd w:val="clear" w:color="auto" w:fill="FFFFFF"/>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设计计算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土质边坡采用重力式挡墙高度不小于5m时，主动土压力应按《建筑边坡技术规范》GB50330计算的主动土压力值乘以增大系数确定。挡墙高度5m～8m时增大系数宜取1.1，挡墙高度大于8m时增大系数宜取1.2。</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重力式挡墙设计应进行抗滑移和抗倾覆稳定性验算。当挡墙地基软弱、有软弱结构面或位于边坡坡顶时，还应按关规定进行地基稳定性验算。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重力式挡墙的抗滑移稳定性应按下列公式验算(图7.5-1)：</w:t>
      </w:r>
    </w:p>
    <w:p>
      <w:pPr>
        <w:pStyle w:val="40"/>
      </w:pPr>
      <w:r>
        <w:rPr>
          <w:rFonts w:hint="eastAsia"/>
          <w:shd w:val="clear" w:color="auto" w:fill="FFFFFF"/>
        </w:rPr>
        <w:drawing>
          <wp:inline distT="0" distB="0" distL="114300" distR="114300">
            <wp:extent cx="2105025" cy="2152650"/>
            <wp:effectExtent l="0" t="0" r="13335" b="11430"/>
            <wp:docPr id="58"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2" descr="IMG_256"/>
                    <pic:cNvPicPr>
                      <a:picLocks noChangeAspect="1"/>
                    </pic:cNvPicPr>
                  </pic:nvPicPr>
                  <pic:blipFill>
                    <a:blip r:embed="rId509"/>
                    <a:stretch>
                      <a:fillRect/>
                    </a:stretch>
                  </pic:blipFill>
                  <pic:spPr>
                    <a:xfrm>
                      <a:off x="0" y="0"/>
                      <a:ext cx="2105025" cy="2152650"/>
                    </a:xfrm>
                    <a:prstGeom prst="rect">
                      <a:avLst/>
                    </a:prstGeom>
                    <a:noFill/>
                    <a:ln w="9525">
                      <a:noFill/>
                    </a:ln>
                  </pic:spPr>
                </pic:pic>
              </a:graphicData>
            </a:graphic>
          </wp:inline>
        </w:drawing>
      </w:r>
    </w:p>
    <w:p>
      <w:pPr>
        <w:pStyle w:val="38"/>
      </w:pPr>
      <w:r>
        <w:rPr>
          <w:rFonts w:hint="eastAsia"/>
          <w:shd w:val="clear" w:color="auto" w:fill="FFFFFF"/>
        </w:rPr>
        <w:t>图7.5-1挡墙抗滑移稳定性验算</w:t>
      </w:r>
    </w:p>
    <w:p>
      <w:pPr>
        <w:pStyle w:val="35"/>
        <w:rPr>
          <w:shd w:val="clear" w:color="auto" w:fill="FFFFFF"/>
        </w:rPr>
      </w:pPr>
      <w:r>
        <w:rPr>
          <w:shd w:val="clear" w:color="auto" w:fill="FFFFFF"/>
        </w:rPr>
        <w:tab/>
      </w:r>
      <w:r>
        <w:rPr>
          <w:rFonts w:hint="eastAsia"/>
          <w:shd w:val="clear" w:color="auto" w:fill="FFFFFF"/>
        </w:rPr>
        <w:object>
          <v:shape id="_x0000_i1266" o:spt="75" type="#_x0000_t75" style="height:34.2pt;width:118.2pt;" o:ole="t" filled="f" o:preferrelative="t" stroked="f" coordsize="21600,21600">
            <v:path/>
            <v:fill on="f" focussize="0,0"/>
            <v:stroke on="f" joinstyle="miter"/>
            <v:imagedata r:id="rId511" o:title=""/>
            <o:lock v:ext="edit" aspectratio="t"/>
            <w10:wrap type="none"/>
            <w10:anchorlock/>
          </v:shape>
          <o:OLEObject Type="Embed" ProgID="Equation.3" ShapeID="_x0000_i1266" DrawAspect="Content" ObjectID="_1468075966" r:id="rId510">
            <o:LockedField>false</o:LockedField>
          </o:OLEObject>
        </w:object>
      </w:r>
      <w:r>
        <w:rPr>
          <w:shd w:val="clear" w:color="auto" w:fill="FFFFFF"/>
        </w:rPr>
        <w:tab/>
      </w:r>
      <w:r>
        <w:rPr>
          <w:rFonts w:hint="eastAsia"/>
          <w:shd w:val="clear" w:color="auto" w:fill="FFFFFF"/>
        </w:rPr>
        <w:t>（7.5.2-1）</w:t>
      </w:r>
    </w:p>
    <w:p>
      <w:pPr>
        <w:pStyle w:val="35"/>
        <w:rPr>
          <w:shd w:val="clear" w:color="auto" w:fill="FFFFFF"/>
        </w:rPr>
      </w:pPr>
      <w:r>
        <w:rPr>
          <w:shd w:val="clear" w:color="auto" w:fill="FFFFFF"/>
        </w:rPr>
        <w:tab/>
      </w:r>
      <w:r>
        <w:rPr>
          <w:rFonts w:hint="eastAsia"/>
          <w:shd w:val="clear" w:color="auto" w:fill="FFFFFF"/>
        </w:rPr>
        <w:object>
          <v:shape id="_x0000_i1267" o:spt="75" type="#_x0000_t75" style="height:18pt;width:67.2pt;" o:ole="t" filled="f" o:preferrelative="t" stroked="f" coordsize="21600,21600">
            <v:path/>
            <v:fill on="f" focussize="0,0"/>
            <v:stroke on="f" joinstyle="miter"/>
            <v:imagedata r:id="rId513" o:title=""/>
            <o:lock v:ext="edit" aspectratio="t"/>
            <w10:wrap type="none"/>
            <w10:anchorlock/>
          </v:shape>
          <o:OLEObject Type="Embed" ProgID="Equation.3" ShapeID="_x0000_i1267" DrawAspect="Content" ObjectID="_1468075967" r:id="rId512">
            <o:LockedField>false</o:LockedField>
          </o:OLEObject>
        </w:object>
      </w:r>
      <w:r>
        <w:rPr>
          <w:shd w:val="clear" w:color="auto" w:fill="FFFFFF"/>
        </w:rPr>
        <w:tab/>
      </w:r>
      <w:r>
        <w:rPr>
          <w:rFonts w:hint="eastAsia"/>
          <w:shd w:val="clear" w:color="auto" w:fill="FFFFFF"/>
        </w:rPr>
        <w:t>（7.5.2-2）</w:t>
      </w:r>
    </w:p>
    <w:p>
      <w:pPr>
        <w:pStyle w:val="35"/>
        <w:rPr>
          <w:shd w:val="clear" w:color="auto" w:fill="FFFFFF"/>
        </w:rPr>
      </w:pPr>
      <w:r>
        <w:rPr>
          <w:shd w:val="clear" w:color="auto" w:fill="FFFFFF"/>
        </w:rPr>
        <w:tab/>
      </w:r>
      <w:r>
        <w:rPr>
          <w:rFonts w:hint="eastAsia"/>
          <w:shd w:val="clear" w:color="auto" w:fill="FFFFFF"/>
        </w:rPr>
        <w:object>
          <v:shape id="_x0000_i1268" o:spt="75" type="#_x0000_t75" style="height:18pt;width:64.8pt;" o:ole="t" filled="f" o:preferrelative="t" stroked="f" coordsize="21600,21600">
            <v:path/>
            <v:fill on="f" focussize="0,0"/>
            <v:stroke on="f" joinstyle="miter"/>
            <v:imagedata r:id="rId515" o:title=""/>
            <o:lock v:ext="edit" aspectratio="t"/>
            <w10:wrap type="none"/>
            <w10:anchorlock/>
          </v:shape>
          <o:OLEObject Type="Embed" ProgID="Equation.3" ShapeID="_x0000_i1268" DrawAspect="Content" ObjectID="_1468075968" r:id="rId514">
            <o:LockedField>false</o:LockedField>
          </o:OLEObject>
        </w:object>
      </w:r>
      <w:r>
        <w:rPr>
          <w:shd w:val="clear" w:color="auto" w:fill="FFFFFF"/>
        </w:rPr>
        <w:tab/>
      </w:r>
      <w:r>
        <w:rPr>
          <w:rFonts w:hint="eastAsia"/>
          <w:shd w:val="clear" w:color="auto" w:fill="FFFFFF"/>
        </w:rPr>
        <w:t>（7.5.2-3）</w:t>
      </w:r>
    </w:p>
    <w:p>
      <w:pPr>
        <w:pStyle w:val="35"/>
        <w:rPr>
          <w:shd w:val="clear" w:color="auto" w:fill="FFFFFF"/>
        </w:rPr>
      </w:pPr>
      <w:r>
        <w:rPr>
          <w:shd w:val="clear" w:color="auto" w:fill="FFFFFF"/>
        </w:rPr>
        <w:tab/>
      </w:r>
      <w:r>
        <w:rPr>
          <w:rFonts w:hint="eastAsia"/>
          <w:shd w:val="clear" w:color="auto" w:fill="FFFFFF"/>
        </w:rPr>
        <w:object>
          <v:shape id="_x0000_i1269" o:spt="75" type="#_x0000_t75" style="height:18pt;width:121.2pt;" o:ole="t" filled="f" o:preferrelative="t" stroked="f" coordsize="21600,21600">
            <v:path/>
            <v:fill on="f" focussize="0,0"/>
            <v:stroke on="f" joinstyle="miter"/>
            <v:imagedata r:id="rId517" o:title=""/>
            <o:lock v:ext="edit" aspectratio="t"/>
            <w10:wrap type="none"/>
            <w10:anchorlock/>
          </v:shape>
          <o:OLEObject Type="Embed" ProgID="Equation.3" ShapeID="_x0000_i1269" DrawAspect="Content" ObjectID="_1468075969" r:id="rId516">
            <o:LockedField>false</o:LockedField>
          </o:OLEObject>
        </w:object>
      </w:r>
      <w:r>
        <w:rPr>
          <w:shd w:val="clear" w:color="auto" w:fill="FFFFFF"/>
        </w:rPr>
        <w:tab/>
      </w:r>
      <w:r>
        <w:rPr>
          <w:rFonts w:hint="eastAsia"/>
          <w:shd w:val="clear" w:color="auto" w:fill="FFFFFF"/>
        </w:rPr>
        <w:t>（7.5.2-4）</w:t>
      </w:r>
    </w:p>
    <w:p>
      <w:pPr>
        <w:pStyle w:val="35"/>
        <w:rPr>
          <w:shd w:val="clear" w:color="auto" w:fill="FFFFFF"/>
        </w:rPr>
      </w:pPr>
      <w:r>
        <w:rPr>
          <w:shd w:val="clear" w:color="auto" w:fill="FFFFFF"/>
        </w:rPr>
        <w:tab/>
      </w:r>
      <w:r>
        <w:rPr>
          <w:rFonts w:hint="eastAsia"/>
          <w:shd w:val="clear" w:color="auto" w:fill="FFFFFF"/>
        </w:rPr>
        <w:object>
          <v:shape id="_x0000_i1270" o:spt="75" type="#_x0000_t75" style="height:18pt;width:124.8pt;" o:ole="t" filled="f" o:preferrelative="t" stroked="f" coordsize="21600,21600">
            <v:path/>
            <v:fill on="f" focussize="0,0"/>
            <v:stroke on="f" joinstyle="miter"/>
            <v:imagedata r:id="rId519" o:title=""/>
            <o:lock v:ext="edit" aspectratio="t"/>
            <w10:wrap type="none"/>
            <w10:anchorlock/>
          </v:shape>
          <o:OLEObject Type="Embed" ProgID="Equation.3" ShapeID="_x0000_i1270" DrawAspect="Content" ObjectID="_1468075970" r:id="rId518">
            <o:LockedField>false</o:LockedField>
          </o:OLEObject>
        </w:object>
      </w:r>
      <w:r>
        <w:rPr>
          <w:shd w:val="clear" w:color="auto" w:fill="FFFFFF"/>
        </w:rPr>
        <w:tab/>
      </w:r>
      <w:r>
        <w:rPr>
          <w:rFonts w:hint="eastAsia"/>
          <w:shd w:val="clear" w:color="auto" w:fill="FFFFFF"/>
        </w:rPr>
        <w:t>（7.5.2-5）</w:t>
      </w:r>
    </w:p>
    <w:p>
      <w:pPr>
        <w:ind w:firstLine="480"/>
      </w:pPr>
      <w:r>
        <w:rPr>
          <w:rFonts w:hint="eastAsia"/>
          <w:shd w:val="clear" w:color="auto" w:fill="FFFFFF"/>
        </w:rPr>
        <w:t>式中：E</w:t>
      </w:r>
      <w:r>
        <w:rPr>
          <w:rFonts w:hint="eastAsia"/>
          <w:sz w:val="27"/>
          <w:szCs w:val="27"/>
          <w:shd w:val="clear" w:color="auto" w:fill="FFFFFF"/>
          <w:vertAlign w:val="subscript"/>
        </w:rPr>
        <w:t>a</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每延米主动岩土压力合力</w:t>
      </w:r>
      <w:r>
        <w:rPr>
          <w:rFonts w:hint="eastAsia"/>
          <w:shd w:val="clear" w:color="auto" w:fill="FFFFFF"/>
        </w:rPr>
        <w:t>(kN/m)；</w:t>
      </w:r>
    </w:p>
    <w:p>
      <w:pPr>
        <w:ind w:firstLine="480"/>
      </w:pPr>
      <w:r>
        <w:rPr>
          <w:rFonts w:hint="eastAsia"/>
          <w:shd w:val="clear" w:color="auto" w:fill="FFFFFF"/>
        </w:rPr>
        <w:t>      F</w:t>
      </w:r>
      <w:r>
        <w:rPr>
          <w:rFonts w:hint="eastAsia"/>
          <w:sz w:val="27"/>
          <w:szCs w:val="27"/>
          <w:shd w:val="clear" w:color="auto" w:fill="FFFFFF"/>
          <w:vertAlign w:val="subscript"/>
        </w:rPr>
        <w:t>s</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挡墙抗滑移稳定系数；</w:t>
      </w:r>
    </w:p>
    <w:p>
      <w:pPr>
        <w:ind w:firstLine="480"/>
      </w:pPr>
      <w:r>
        <w:rPr>
          <w:rFonts w:hint="eastAsia"/>
          <w:shd w:val="clear" w:color="auto" w:fill="FFFFFF"/>
        </w:rPr>
        <w:t>      G——</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挡墙每延米自重</w:t>
      </w:r>
      <w:r>
        <w:rPr>
          <w:rFonts w:hint="eastAsia"/>
          <w:shd w:val="clear" w:color="auto" w:fill="FFFFFF"/>
        </w:rPr>
        <w:t>(kN/m)；</w:t>
      </w:r>
    </w:p>
    <w:p>
      <w:pPr>
        <w:ind w:firstLine="480"/>
      </w:pPr>
      <w:r>
        <w:rPr>
          <w:rFonts w:hint="eastAsia"/>
          <w:shd w:val="clear" w:color="auto" w:fill="FFFFFF"/>
        </w:rPr>
        <w:t>      α——</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墙背与墙底水平投影的夹角</w:t>
      </w:r>
      <w:r>
        <w:rPr>
          <w:rFonts w:hint="eastAsia"/>
          <w:shd w:val="clear" w:color="auto" w:fill="FFFFFF"/>
        </w:rPr>
        <w:t>(°)；</w:t>
      </w:r>
    </w:p>
    <w:p>
      <w:pPr>
        <w:ind w:firstLine="480"/>
      </w:pPr>
      <w:r>
        <w:rPr>
          <w:rFonts w:hint="eastAsia"/>
          <w:shd w:val="clear" w:color="auto" w:fill="FFFFFF"/>
        </w:rPr>
        <w:t>      α</w:t>
      </w:r>
      <w:r>
        <w:rPr>
          <w:rFonts w:hint="eastAsia"/>
          <w:sz w:val="27"/>
          <w:szCs w:val="27"/>
          <w:shd w:val="clear" w:color="auto" w:fill="FFFFFF"/>
          <w:vertAlign w:val="subscript"/>
        </w:rPr>
        <w:t>0</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挡墙底面倾角</w:t>
      </w:r>
      <w:r>
        <w:rPr>
          <w:rFonts w:hint="eastAsia"/>
          <w:shd w:val="clear" w:color="auto" w:fill="FFFFFF"/>
        </w:rPr>
        <w:t>(°)；</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shd w:val="clear" w:color="auto" w:fill="FFFFFF"/>
        </w:rPr>
        <w:t>      δ——</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墙背与岩土的摩擦角(°)，可按本规范的表6.2.3选用；</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shd w:val="clear" w:color="auto" w:fill="FFFFFF"/>
        </w:rPr>
        <w:t>      μ</w:t>
      </w:r>
      <w:bookmarkStart w:id="76" w:name="_Hlk129591520"/>
      <w:r>
        <w:rPr>
          <w:rFonts w:hint="eastAsia"/>
          <w:shd w:val="clear" w:color="auto" w:fill="FFFFFF"/>
        </w:rPr>
        <w:t>——</w:t>
      </w:r>
      <w:bookmarkEnd w:id="76"/>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挡墙底与地基岩土体的摩擦系数，宜由试验确定，也可按表7.5-1选用。</w:t>
      </w:r>
    </w:p>
    <w:p>
      <w:pPr>
        <w:pStyle w:val="38"/>
      </w:pPr>
      <w:r>
        <w:rPr>
          <w:rFonts w:hint="eastAsia"/>
          <w:shd w:val="clear" w:color="auto" w:fill="FFFFFF"/>
        </w:rPr>
        <w:t>表7.5-1 岩土与挡墙底面摩擦系数μ</w:t>
      </w:r>
    </w:p>
    <w:tbl>
      <w:tblPr>
        <w:tblStyle w:val="22"/>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4"/>
        <w:gridCol w:w="1710"/>
        <w:gridCol w:w="4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14" w:type="dxa"/>
            <w:gridSpan w:val="2"/>
            <w:vMerge w:val="restart"/>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岩土类型</w:t>
            </w:r>
          </w:p>
        </w:tc>
        <w:tc>
          <w:tcPr>
            <w:tcW w:w="4214" w:type="dxa"/>
            <w:vMerge w:val="restart"/>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摩擦系数μ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214" w:type="dxa"/>
            <w:gridSpan w:val="2"/>
            <w:vMerge w:val="continue"/>
            <w:vAlign w:val="center"/>
          </w:tcPr>
          <w:p>
            <w:pPr>
              <w:widowControl/>
              <w:spacing w:line="240" w:lineRule="auto"/>
              <w:ind w:firstLine="0" w:firstLineChars="0"/>
              <w:rPr>
                <w:sz w:val="22"/>
                <w:szCs w:val="20"/>
                <w:shd w:val="clear" w:color="auto" w:fill="FFFFFF"/>
              </w:rPr>
            </w:pPr>
          </w:p>
        </w:tc>
        <w:tc>
          <w:tcPr>
            <w:tcW w:w="4214" w:type="dxa"/>
            <w:vMerge w:val="continue"/>
            <w:vAlign w:val="center"/>
          </w:tcPr>
          <w:p>
            <w:pPr>
              <w:widowControl/>
              <w:spacing w:line="240" w:lineRule="auto"/>
              <w:ind w:firstLine="0" w:firstLineChars="0"/>
              <w:rPr>
                <w:sz w:val="22"/>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504" w:type="dxa"/>
            <w:vMerge w:val="restart"/>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粘性土</w:t>
            </w:r>
          </w:p>
        </w:tc>
        <w:tc>
          <w:tcPr>
            <w:tcW w:w="1709"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可塑</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0.20～0.25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504" w:type="dxa"/>
            <w:vMerge w:val="continue"/>
            <w:vAlign w:val="center"/>
          </w:tcPr>
          <w:p>
            <w:pPr>
              <w:widowControl/>
              <w:spacing w:line="240" w:lineRule="auto"/>
              <w:ind w:firstLine="0" w:firstLineChars="0"/>
              <w:rPr>
                <w:sz w:val="22"/>
                <w:szCs w:val="20"/>
                <w:shd w:val="clear" w:color="auto" w:fill="FFFFFF"/>
              </w:rPr>
            </w:pPr>
          </w:p>
        </w:tc>
        <w:tc>
          <w:tcPr>
            <w:tcW w:w="1709"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硬塑</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0.25～0.30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504" w:type="dxa"/>
            <w:vMerge w:val="continue"/>
            <w:vAlign w:val="center"/>
          </w:tcPr>
          <w:p>
            <w:pPr>
              <w:widowControl/>
              <w:spacing w:line="240" w:lineRule="auto"/>
              <w:ind w:firstLine="0" w:firstLineChars="0"/>
              <w:rPr>
                <w:sz w:val="22"/>
                <w:szCs w:val="20"/>
                <w:shd w:val="clear" w:color="auto" w:fill="FFFFFF"/>
              </w:rPr>
            </w:pPr>
          </w:p>
        </w:tc>
        <w:tc>
          <w:tcPr>
            <w:tcW w:w="1709"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坚硬</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0.30～0.40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14" w:type="dxa"/>
            <w:gridSpan w:val="2"/>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粉土</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0.25～0.35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14" w:type="dxa"/>
            <w:gridSpan w:val="2"/>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中砂、粗砂、砾砂</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0.35～0.40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14" w:type="dxa"/>
            <w:gridSpan w:val="2"/>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碎石土</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0.40～0.50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14" w:type="dxa"/>
            <w:gridSpan w:val="2"/>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极软、岩软岩、较软岩</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14" w:type="dxa"/>
            <w:gridSpan w:val="2"/>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表面粗糙的坚硬岩、较硬岩</w:t>
            </w:r>
          </w:p>
        </w:tc>
        <w:tc>
          <w:tcPr>
            <w:tcW w:w="4214" w:type="dxa"/>
            <w:shd w:val="clear" w:color="auto" w:fill="auto"/>
            <w:noWrap/>
            <w:vAlign w:val="center"/>
          </w:tcPr>
          <w:p>
            <w:pPr>
              <w:widowControl/>
              <w:spacing w:line="240" w:lineRule="auto"/>
              <w:ind w:firstLine="0" w:firstLineChars="0"/>
              <w:jc w:val="center"/>
              <w:rPr>
                <w:sz w:val="22"/>
                <w:szCs w:val="20"/>
                <w:shd w:val="clear" w:color="auto" w:fill="FFFFFF"/>
              </w:rPr>
            </w:pPr>
            <w:r>
              <w:rPr>
                <w:rFonts w:hint="eastAsia"/>
                <w:sz w:val="22"/>
                <w:szCs w:val="20"/>
                <w:shd w:val="clear" w:color="auto" w:fill="FFFFFF"/>
              </w:rPr>
              <w:t>0.65～0.75</w:t>
            </w:r>
          </w:p>
        </w:tc>
      </w:tr>
    </w:tbl>
    <w:p>
      <w:pPr>
        <w:pStyle w:val="40"/>
      </w:pPr>
    </w:p>
    <w:p>
      <w:pPr>
        <w:pStyle w:val="51"/>
        <w:numPr>
          <w:ilvl w:val="255"/>
          <w:numId w:val="0"/>
        </w:numPr>
        <w:ind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重力式挡墙的抗倾覆稳定性应按下列公式进行验算(图7.5-2)：</w:t>
      </w:r>
    </w:p>
    <w:p>
      <w:pPr>
        <w:pStyle w:val="40"/>
      </w:pPr>
      <w:r>
        <w:rPr>
          <w:rFonts w:hint="eastAsia"/>
          <w:shd w:val="clear" w:color="auto" w:fill="FFFFFF"/>
        </w:rPr>
        <w:drawing>
          <wp:inline distT="0" distB="0" distL="114300" distR="114300">
            <wp:extent cx="2409825" cy="2847975"/>
            <wp:effectExtent l="0" t="0" r="13335" b="1905"/>
            <wp:docPr id="60"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5" descr="IMG_256"/>
                    <pic:cNvPicPr>
                      <a:picLocks noChangeAspect="1"/>
                    </pic:cNvPicPr>
                  </pic:nvPicPr>
                  <pic:blipFill>
                    <a:blip r:embed="rId520"/>
                    <a:stretch>
                      <a:fillRect/>
                    </a:stretch>
                  </pic:blipFill>
                  <pic:spPr>
                    <a:xfrm>
                      <a:off x="0" y="0"/>
                      <a:ext cx="2409825" cy="2847975"/>
                    </a:xfrm>
                    <a:prstGeom prst="rect">
                      <a:avLst/>
                    </a:prstGeom>
                    <a:noFill/>
                    <a:ln w="9525">
                      <a:noFill/>
                    </a:ln>
                  </pic:spPr>
                </pic:pic>
              </a:graphicData>
            </a:graphic>
          </wp:inline>
        </w:drawing>
      </w:r>
    </w:p>
    <w:p>
      <w:pPr>
        <w:pStyle w:val="38"/>
      </w:pPr>
      <w:r>
        <w:rPr>
          <w:rFonts w:hint="eastAsia"/>
          <w:shd w:val="clear" w:color="auto" w:fill="FFFFFF"/>
        </w:rPr>
        <w:t>图7.5-2挡墙抗倾覆稳定性验算</w:t>
      </w:r>
    </w:p>
    <w:p>
      <w:pPr>
        <w:pStyle w:val="35"/>
        <w:rPr>
          <w:shd w:val="clear" w:color="auto" w:fill="FFFFFF"/>
        </w:rPr>
      </w:pPr>
      <w:r>
        <w:rPr>
          <w:shd w:val="clear" w:color="auto" w:fill="FFFFFF"/>
        </w:rPr>
        <w:tab/>
      </w:r>
      <w:r>
        <w:rPr>
          <w:rFonts w:hint="eastAsia"/>
          <w:shd w:val="clear" w:color="auto" w:fill="FFFFFF"/>
        </w:rPr>
        <w:object>
          <v:shape id="_x0000_i1271" o:spt="75" type="#_x0000_t75" style="height:34.2pt;width:109.8pt;" o:ole="t" filled="f" o:preferrelative="t" stroked="f" coordsize="21600,21600">
            <v:path/>
            <v:fill on="f" focussize="0,0"/>
            <v:stroke on="f" joinstyle="miter"/>
            <v:imagedata r:id="rId522" o:title=""/>
            <o:lock v:ext="edit" aspectratio="t"/>
            <w10:wrap type="none"/>
            <w10:anchorlock/>
          </v:shape>
          <o:OLEObject Type="Embed" ProgID="Equation.3" ShapeID="_x0000_i1271" DrawAspect="Content" ObjectID="_1468075971" r:id="rId521">
            <o:LockedField>false</o:LockedField>
          </o:OLEObject>
        </w:object>
      </w:r>
      <w:r>
        <w:rPr>
          <w:shd w:val="clear" w:color="auto" w:fill="FFFFFF"/>
        </w:rPr>
        <w:tab/>
      </w:r>
      <w:r>
        <w:rPr>
          <w:rFonts w:hint="eastAsia"/>
          <w:shd w:val="clear" w:color="auto" w:fill="FFFFFF"/>
        </w:rPr>
        <w:t>（7.5.2-6）</w:t>
      </w:r>
    </w:p>
    <w:p>
      <w:pPr>
        <w:pStyle w:val="35"/>
        <w:rPr>
          <w:shd w:val="clear" w:color="auto" w:fill="FFFFFF"/>
        </w:rPr>
      </w:pPr>
      <w:r>
        <w:rPr>
          <w:shd w:val="clear" w:color="auto" w:fill="FFFFFF"/>
        </w:rPr>
        <w:tab/>
      </w:r>
      <w:r>
        <w:rPr>
          <w:rFonts w:hint="eastAsia"/>
          <w:position w:val="-12"/>
          <w:shd w:val="clear" w:color="auto" w:fill="FFFFFF"/>
        </w:rPr>
        <w:object>
          <v:shape id="_x0000_i1272" o:spt="75" type="#_x0000_t75" style="height:18pt;width:99pt;" o:ole="t" filled="f" o:preferrelative="t" stroked="f" coordsize="21600,21600">
            <v:path/>
            <v:fill on="f" focussize="0,0"/>
            <v:stroke on="f" joinstyle="miter"/>
            <v:imagedata r:id="rId524" o:title=""/>
            <o:lock v:ext="edit" aspectratio="t"/>
            <w10:wrap type="none"/>
            <w10:anchorlock/>
          </v:shape>
          <o:OLEObject Type="Embed" ProgID="Equation.3" ShapeID="_x0000_i1272" DrawAspect="Content" ObjectID="_1468075972" r:id="rId523">
            <o:LockedField>false</o:LockedField>
          </o:OLEObject>
        </w:object>
      </w:r>
      <w:r>
        <w:rPr>
          <w:shd w:val="clear" w:color="auto" w:fill="FFFFFF"/>
        </w:rPr>
        <w:tab/>
      </w:r>
      <w:r>
        <w:rPr>
          <w:rFonts w:hint="eastAsia"/>
          <w:shd w:val="clear" w:color="auto" w:fill="FFFFFF"/>
        </w:rPr>
        <w:t>（7.5.2-7）</w:t>
      </w:r>
    </w:p>
    <w:p>
      <w:pPr>
        <w:pStyle w:val="35"/>
        <w:rPr>
          <w:shd w:val="clear" w:color="auto" w:fill="FFFFFF"/>
        </w:rPr>
      </w:pPr>
      <w:r>
        <w:rPr>
          <w:shd w:val="clear" w:color="auto" w:fill="FFFFFF"/>
        </w:rPr>
        <w:tab/>
      </w:r>
      <w:r>
        <w:rPr>
          <w:rFonts w:hint="eastAsia"/>
          <w:position w:val="-12"/>
          <w:shd w:val="clear" w:color="auto" w:fill="FFFFFF"/>
        </w:rPr>
        <w:object>
          <v:shape id="_x0000_i1273" o:spt="75" type="#_x0000_t75" style="height:18pt;width:103.2pt;" o:ole="t" filled="f" o:preferrelative="t" stroked="f" coordsize="21600,21600">
            <v:path/>
            <v:fill on="f" focussize="0,0"/>
            <v:stroke on="f" joinstyle="miter"/>
            <v:imagedata r:id="rId526" o:title=""/>
            <o:lock v:ext="edit" aspectratio="t"/>
            <w10:wrap type="none"/>
            <w10:anchorlock/>
          </v:shape>
          <o:OLEObject Type="Embed" ProgID="Equation.3" ShapeID="_x0000_i1273" DrawAspect="Content" ObjectID="_1468075973" r:id="rId525">
            <o:LockedField>false</o:LockedField>
          </o:OLEObject>
        </w:object>
      </w:r>
      <w:r>
        <w:rPr>
          <w:shd w:val="clear" w:color="auto" w:fill="FFFFFF"/>
        </w:rPr>
        <w:tab/>
      </w:r>
      <w:r>
        <w:rPr>
          <w:rFonts w:hint="eastAsia"/>
          <w:shd w:val="clear" w:color="auto" w:fill="FFFFFF"/>
        </w:rPr>
        <w:t>（7.5.2-8）</w:t>
      </w:r>
    </w:p>
    <w:p>
      <w:pPr>
        <w:pStyle w:val="35"/>
        <w:rPr>
          <w:shd w:val="clear" w:color="auto" w:fill="FFFFFF"/>
        </w:rPr>
      </w:pPr>
      <w:r>
        <w:rPr>
          <w:shd w:val="clear" w:color="auto" w:fill="FFFFFF"/>
        </w:rPr>
        <w:tab/>
      </w:r>
      <w:r>
        <w:rPr>
          <w:rFonts w:hint="eastAsia"/>
          <w:position w:val="-10"/>
          <w:shd w:val="clear" w:color="auto" w:fill="FFFFFF"/>
        </w:rPr>
        <w:object>
          <v:shape id="_x0000_i1274" o:spt="75" type="#_x0000_t75" style="height:18pt;width:73.2pt;" o:ole="t" filled="f" o:preferrelative="t" stroked="f" coordsize="21600,21600">
            <v:path/>
            <v:fill on="f" focussize="0,0"/>
            <v:stroke on="f" joinstyle="miter"/>
            <v:imagedata r:id="rId528" o:title=""/>
            <o:lock v:ext="edit" aspectratio="t"/>
            <w10:wrap type="none"/>
            <w10:anchorlock/>
          </v:shape>
          <o:OLEObject Type="Embed" ProgID="Equation.3" ShapeID="_x0000_i1274" DrawAspect="Content" ObjectID="_1468075974" r:id="rId527">
            <o:LockedField>false</o:LockedField>
          </o:OLEObject>
        </w:object>
      </w:r>
      <w:r>
        <w:rPr>
          <w:shd w:val="clear" w:color="auto" w:fill="FFFFFF"/>
        </w:rPr>
        <w:tab/>
      </w:r>
      <w:r>
        <w:rPr>
          <w:rFonts w:hint="eastAsia"/>
          <w:shd w:val="clear" w:color="auto" w:fill="FFFFFF"/>
        </w:rPr>
        <w:t>（7.5.2-9）</w:t>
      </w:r>
    </w:p>
    <w:p>
      <w:pPr>
        <w:pStyle w:val="35"/>
        <w:rPr>
          <w:shd w:val="clear" w:color="auto" w:fill="FFFFFF"/>
        </w:rPr>
      </w:pPr>
      <w:r>
        <w:rPr>
          <w:shd w:val="clear" w:color="auto" w:fill="FFFFFF"/>
        </w:rPr>
        <w:tab/>
      </w:r>
      <w:r>
        <w:rPr>
          <w:rFonts w:hint="eastAsia"/>
          <w:position w:val="-12"/>
          <w:shd w:val="clear" w:color="auto" w:fill="FFFFFF"/>
        </w:rPr>
        <w:object>
          <v:shape id="_x0000_i1275" o:spt="75" type="#_x0000_t75" style="height:18pt;width:75pt;" o:ole="t" filled="f" o:preferrelative="t" stroked="f" coordsize="21600,21600">
            <v:path/>
            <v:fill on="f" focussize="0,0"/>
            <v:stroke on="f" joinstyle="miter"/>
            <v:imagedata r:id="rId530" o:title=""/>
            <o:lock v:ext="edit" aspectratio="t"/>
            <w10:wrap type="none"/>
            <w10:anchorlock/>
          </v:shape>
          <o:OLEObject Type="Embed" ProgID="Equation.3" ShapeID="_x0000_i1275" DrawAspect="Content" ObjectID="_1468075975" r:id="rId529">
            <o:LockedField>false</o:LockedField>
          </o:OLEObject>
        </w:object>
      </w:r>
      <w:r>
        <w:rPr>
          <w:shd w:val="clear" w:color="auto" w:fill="FFFFFF"/>
        </w:rPr>
        <w:tab/>
      </w:r>
      <w:r>
        <w:rPr>
          <w:rFonts w:hint="eastAsia"/>
          <w:shd w:val="clear" w:color="auto" w:fill="FFFFFF"/>
        </w:rPr>
        <w:t>（7.5.2-10）</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shd w:val="clear" w:color="auto" w:fill="FFFFFF"/>
        </w:rPr>
        <w:t>：F</w:t>
      </w:r>
      <w:r>
        <w:rPr>
          <w:rFonts w:hint="eastAsia"/>
          <w:sz w:val="27"/>
          <w:szCs w:val="27"/>
          <w:shd w:val="clear" w:color="auto" w:fill="FFFFFF"/>
          <w:vertAlign w:val="subscript"/>
        </w:rPr>
        <w:t>t</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挡墙抗倾覆稳定系数；</w:t>
      </w:r>
    </w:p>
    <w:p>
      <w:pPr>
        <w:ind w:firstLine="480"/>
      </w:pPr>
      <w:r>
        <w:rPr>
          <w:rFonts w:hint="eastAsia"/>
          <w:shd w:val="clear" w:color="auto" w:fill="FFFFFF"/>
        </w:rPr>
        <w:t>      b——</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挡墙底面水平投影宽度(m)</w:t>
      </w:r>
      <w:r>
        <w:rPr>
          <w:rFonts w:hint="eastAsia"/>
          <w:shd w:val="clear" w:color="auto" w:fill="FFFFFF"/>
        </w:rPr>
        <w:t>；</w:t>
      </w:r>
    </w:p>
    <w:p>
      <w:pPr>
        <w:ind w:firstLine="480"/>
      </w:pPr>
      <w:r>
        <w:rPr>
          <w:rFonts w:hint="eastAsia"/>
          <w:shd w:val="clear" w:color="auto" w:fill="FFFFFF"/>
        </w:rPr>
        <w:t>      χ</w:t>
      </w:r>
      <w:r>
        <w:rPr>
          <w:rFonts w:hint="eastAsia"/>
          <w:sz w:val="27"/>
          <w:szCs w:val="27"/>
          <w:shd w:val="clear" w:color="auto" w:fill="FFFFFF"/>
          <w:vertAlign w:val="subscript"/>
        </w:rPr>
        <w:t>0</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挡墙中心到墙趾的水平距离(m)；</w:t>
      </w:r>
    </w:p>
    <w:p>
      <w:pPr>
        <w:ind w:firstLine="480"/>
      </w:pPr>
      <w:r>
        <w:rPr>
          <w:rFonts w:hint="eastAsia"/>
          <w:shd w:val="clear" w:color="auto" w:fill="FFFFFF"/>
        </w:rPr>
        <w:t>      z——</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岩土压力作用点到墙踵的竖直距离(m)。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地震工况时，重力式挡墙的抗滑移稳定系数不应小于1.10，抗倾覆稳定性不应小于1.30。</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重力式挡墙的地基承载力和结构强度计算，应符合国家现行有关标准的规定。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构造设计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重力式挡墙材料可使用浆砌块石、条石、毛石混凝土或素混凝土。块石、条石的强度等级不应低于MU30，砂浆强度等级不应低于M5.0；混凝土强度等级不应低于C15。</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重力式挡墙基底可做成逆坡。对土质地基，基底逆坡坡度不宜大</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于1：10；对岩质地基，基底逆坡坡度不宜大于1：5。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挡墙地基表面纵坡大于5％时，应将基底设计为台阶式，其最下一级台阶底宽不宜小于1.00m。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块石或条石挡墙的墙顶宽度不宜小于400mm，毛石混凝土、素混凝土挡墙的墙顶宽度不宜小于200mm。 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的基础埋置深度，应根据地基稳定性、地基承载力、冻结深度、水流冲刷情况以及岩石风化程度等因素确定。在土质地基中，基础最小埋置深度不宜小于0.50m，在岩质地基中，基础最小埋置深度不宜小于0.30m。基础埋置深度应从坡脚排水沟底算起。受水流冲刷时，埋深应从预计冲刷底面算起。</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位于稳定斜坡地面的重力式挡墙，其墙趾最小埋入深度和距斜坡面的最小水平距离应符合表7.5-2的规定。</w:t>
      </w:r>
    </w:p>
    <w:p>
      <w:pPr>
        <w:pStyle w:val="38"/>
      </w:pPr>
      <w:r>
        <w:rPr>
          <w:rFonts w:hint="eastAsia"/>
          <w:shd w:val="clear" w:color="auto" w:fill="FFFFFF"/>
        </w:rPr>
        <w:t>表7.5-2 斜坡地面墙趾最小埋入深度和距斜坡地面的最小水平距离(m)</w:t>
      </w:r>
    </w:p>
    <w:tbl>
      <w:tblPr>
        <w:tblStyle w:val="22"/>
        <w:tblW w:w="7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1920"/>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920" w:type="dxa"/>
            <w:shd w:val="clear" w:color="auto" w:fill="auto"/>
            <w:noWrap/>
            <w:vAlign w:val="center"/>
          </w:tcPr>
          <w:p>
            <w:pPr>
              <w:pStyle w:val="33"/>
            </w:pPr>
            <w:r>
              <w:rPr>
                <w:rFonts w:hint="eastAsia"/>
              </w:rPr>
              <w:t>地基情况</w:t>
            </w:r>
          </w:p>
        </w:tc>
        <w:tc>
          <w:tcPr>
            <w:tcW w:w="1920" w:type="dxa"/>
            <w:shd w:val="clear" w:color="auto" w:fill="auto"/>
            <w:noWrap/>
            <w:vAlign w:val="center"/>
          </w:tcPr>
          <w:p>
            <w:pPr>
              <w:pStyle w:val="33"/>
              <w:rPr>
                <w:rFonts w:ascii="等线" w:hAnsi="等线" w:eastAsia="等线"/>
              </w:rPr>
            </w:pPr>
            <w:r>
              <w:rPr>
                <w:rFonts w:hint="eastAsia" w:ascii="等线" w:hAnsi="等线" w:eastAsia="等线"/>
              </w:rPr>
              <w:t>最小埋入深度(m)</w:t>
            </w:r>
          </w:p>
        </w:tc>
        <w:tc>
          <w:tcPr>
            <w:tcW w:w="3840" w:type="dxa"/>
            <w:shd w:val="clear" w:color="auto" w:fill="auto"/>
            <w:noWrap/>
            <w:vAlign w:val="center"/>
          </w:tcPr>
          <w:p>
            <w:pPr>
              <w:pStyle w:val="33"/>
              <w:rPr>
                <w:rFonts w:ascii="等线" w:hAnsi="等线" w:eastAsia="等线"/>
              </w:rPr>
            </w:pPr>
            <w:r>
              <w:rPr>
                <w:rFonts w:hint="eastAsia" w:ascii="等线" w:hAnsi="等线" w:eastAsia="等线"/>
              </w:rPr>
              <w:t>距斜坡地面的最小水平距离(m)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rPr>
                <w:rFonts w:ascii="等线" w:hAnsi="等线" w:eastAsia="等线"/>
              </w:rPr>
            </w:pPr>
            <w:r>
              <w:rPr>
                <w:rFonts w:hint="eastAsia" w:ascii="等线" w:hAnsi="等线" w:eastAsia="等线"/>
              </w:rPr>
              <w:t>硬质岩石</w:t>
            </w:r>
          </w:p>
        </w:tc>
        <w:tc>
          <w:tcPr>
            <w:tcW w:w="1920" w:type="dxa"/>
            <w:shd w:val="clear" w:color="auto" w:fill="auto"/>
            <w:noWrap/>
            <w:vAlign w:val="center"/>
          </w:tcPr>
          <w:p>
            <w:pPr>
              <w:pStyle w:val="33"/>
              <w:rPr>
                <w:rFonts w:ascii="等线" w:hAnsi="等线" w:eastAsia="等线"/>
              </w:rPr>
            </w:pPr>
            <w:r>
              <w:rPr>
                <w:rFonts w:hint="eastAsia" w:ascii="等线" w:hAnsi="等线" w:eastAsia="等线"/>
              </w:rPr>
              <w:t>0.6</w:t>
            </w:r>
          </w:p>
        </w:tc>
        <w:tc>
          <w:tcPr>
            <w:tcW w:w="3840" w:type="dxa"/>
            <w:shd w:val="clear" w:color="auto" w:fill="auto"/>
            <w:noWrap/>
            <w:vAlign w:val="center"/>
          </w:tcPr>
          <w:p>
            <w:pPr>
              <w:pStyle w:val="33"/>
              <w:rPr>
                <w:rFonts w:ascii="等线" w:hAnsi="等线" w:eastAsia="等线"/>
              </w:rPr>
            </w:pPr>
            <w:r>
              <w:rPr>
                <w:rFonts w:hint="eastAsia" w:ascii="等线" w:hAnsi="等线" w:eastAsia="等线"/>
              </w:rPr>
              <w:t>0.6～1.50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rPr>
                <w:rFonts w:ascii="等线" w:hAnsi="等线" w:eastAsia="等线"/>
              </w:rPr>
            </w:pPr>
            <w:r>
              <w:rPr>
                <w:rFonts w:hint="eastAsia" w:ascii="等线" w:hAnsi="等线" w:eastAsia="等线"/>
              </w:rPr>
              <w:t>软质岩石</w:t>
            </w:r>
          </w:p>
        </w:tc>
        <w:tc>
          <w:tcPr>
            <w:tcW w:w="1920" w:type="dxa"/>
            <w:shd w:val="clear" w:color="auto" w:fill="auto"/>
            <w:noWrap/>
            <w:vAlign w:val="center"/>
          </w:tcPr>
          <w:p>
            <w:pPr>
              <w:pStyle w:val="33"/>
              <w:rPr>
                <w:rFonts w:ascii="等线" w:hAnsi="等线" w:eastAsia="等线"/>
              </w:rPr>
            </w:pPr>
            <w:r>
              <w:rPr>
                <w:rFonts w:hint="eastAsia" w:ascii="等线" w:hAnsi="等线" w:eastAsia="等线"/>
              </w:rPr>
              <w:t>1</w:t>
            </w:r>
            <w:r>
              <w:rPr>
                <w:rFonts w:ascii="等线" w:hAnsi="等线" w:eastAsia="等线"/>
              </w:rPr>
              <w:t>.00</w:t>
            </w:r>
          </w:p>
        </w:tc>
        <w:tc>
          <w:tcPr>
            <w:tcW w:w="3840" w:type="dxa"/>
            <w:shd w:val="clear" w:color="auto" w:fill="auto"/>
            <w:noWrap/>
            <w:vAlign w:val="center"/>
          </w:tcPr>
          <w:p>
            <w:pPr>
              <w:pStyle w:val="33"/>
              <w:rPr>
                <w:rFonts w:ascii="等线" w:hAnsi="等线" w:eastAsia="等线"/>
              </w:rPr>
            </w:pPr>
            <w:r>
              <w:rPr>
                <w:rFonts w:hint="eastAsia" w:ascii="等线" w:hAnsi="等线" w:eastAsia="等线"/>
              </w:rPr>
              <w:t>1.50～3.00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20" w:type="dxa"/>
            <w:shd w:val="clear" w:color="auto" w:fill="auto"/>
            <w:noWrap/>
            <w:vAlign w:val="center"/>
          </w:tcPr>
          <w:p>
            <w:pPr>
              <w:pStyle w:val="33"/>
              <w:rPr>
                <w:rFonts w:ascii="等线" w:hAnsi="等线" w:eastAsia="等线"/>
              </w:rPr>
            </w:pPr>
            <w:r>
              <w:rPr>
                <w:rFonts w:hint="eastAsia" w:ascii="等线" w:hAnsi="等线" w:eastAsia="等线"/>
              </w:rPr>
              <w:t>土质</w:t>
            </w:r>
          </w:p>
        </w:tc>
        <w:tc>
          <w:tcPr>
            <w:tcW w:w="1920" w:type="dxa"/>
            <w:shd w:val="clear" w:color="auto" w:fill="auto"/>
            <w:noWrap/>
            <w:vAlign w:val="center"/>
          </w:tcPr>
          <w:p>
            <w:pPr>
              <w:pStyle w:val="33"/>
              <w:rPr>
                <w:rFonts w:ascii="等线" w:hAnsi="等线" w:eastAsia="等线"/>
              </w:rPr>
            </w:pPr>
            <w:r>
              <w:rPr>
                <w:rFonts w:hint="eastAsia" w:ascii="等线" w:hAnsi="等线" w:eastAsia="等线"/>
              </w:rPr>
              <w:t>1</w:t>
            </w:r>
            <w:r>
              <w:rPr>
                <w:rFonts w:ascii="等线" w:hAnsi="等线" w:eastAsia="等线"/>
              </w:rPr>
              <w:t>.00</w:t>
            </w:r>
          </w:p>
        </w:tc>
        <w:tc>
          <w:tcPr>
            <w:tcW w:w="3840" w:type="dxa"/>
            <w:shd w:val="clear" w:color="auto" w:fill="auto"/>
            <w:noWrap/>
            <w:vAlign w:val="center"/>
          </w:tcPr>
          <w:p>
            <w:pPr>
              <w:pStyle w:val="33"/>
              <w:rPr>
                <w:rFonts w:ascii="等线" w:hAnsi="等线" w:eastAsia="等线"/>
              </w:rPr>
            </w:pPr>
            <w:r>
              <w:rPr>
                <w:rFonts w:hint="eastAsia" w:ascii="等线" w:hAnsi="等线" w:eastAsia="等线"/>
              </w:rPr>
              <w:t>3</w:t>
            </w:r>
          </w:p>
        </w:tc>
      </w:tr>
    </w:tbl>
    <w:p>
      <w:pPr>
        <w:pStyle w:val="33"/>
      </w:pPr>
      <w:r>
        <w:rPr>
          <w:rFonts w:hint="eastAsia"/>
          <w:shd w:val="clear" w:color="auto" w:fill="FFFFFF"/>
        </w:rPr>
        <w:t>注：硬质岩指单轴抗压强度大于30MPa的岩石，软质岩指单轴抗压强度小于15MPa的岩石。</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重力式挡墙的伸缩缝间距，对条石、块石挡墙宜为20m～25m，对混凝土挡墙宜为10m～15m。在挡墙高度突变处及与其他建(构)筑物连接处应设置伸缩缝，在地基岩土性状变化处应设置沉降缝。沉降缝、伸缩缝的缝宽宜为20mm～30mm，缝中应填塞沥青麻筋或其他有弹性的防水材料，填塞深度不应小于150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8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挡墙后面的填土，应优先选择抗剪强度高和透水性较强的填料。当采用黏性土作填料时，宜掺入适量的砂砾或碎石。不应采用淤泥质土、耕植土、膨胀性黏土等软弱有害的岩土体作为填料。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9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挡墙的防渗与泄水布置应根据地形、地质、环境、水体来源及填料等因素分析确定。</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10</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挡墙后填土地表应设置排水良好的地表排水系统</w:t>
      </w:r>
    </w:p>
    <w:p>
      <w:pPr>
        <w:pStyle w:val="20"/>
      </w:pPr>
    </w:p>
    <w:p>
      <w:pPr>
        <w:pStyle w:val="20"/>
      </w:pPr>
    </w:p>
    <w:p>
      <w:pPr>
        <w:pStyle w:val="3"/>
      </w:pPr>
      <w:bookmarkStart w:id="77" w:name="_Toc13419"/>
      <w:r>
        <w:rPr>
          <w:rFonts w:hint="eastAsia"/>
        </w:rPr>
        <w:t>放坡</w:t>
      </w:r>
      <w:bookmarkEnd w:id="77"/>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基坑安全等级为三级，施工场地满足放坡条件时，且无不良地质作用时，明挖法基坑开挖可采用放坡开挖法。</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高度较大的边坡应分级开挖放坡,分级放坡时应验算边坡整体的和各级的稳定性。</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质边坡的坡率允许值应根据工程经验，按工程类比的原则并结合已有稳定边坡的坡率值分析确定。当无经验且土质均匀良好、地下水贫乏、无不良地质作用和地质环境条件简单时，边坡坡率允许值可按下表确定。</w:t>
      </w:r>
    </w:p>
    <w:p>
      <w:pPr>
        <w:pStyle w:val="38"/>
        <w:rPr>
          <w:shd w:val="clear" w:color="auto" w:fill="FFFFFF"/>
        </w:rPr>
      </w:pPr>
      <w:r>
        <w:rPr>
          <w:rFonts w:hint="eastAsia"/>
          <w:shd w:val="clear" w:color="auto" w:fill="FFFFFF"/>
        </w:rPr>
        <w:t>表7.6.3 土质边坡坡率允许值</w:t>
      </w:r>
    </w:p>
    <w:tbl>
      <w:tblPr>
        <w:tblStyle w:val="22"/>
        <w:tblW w:w="6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146"/>
        <w:gridCol w:w="2219"/>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边坡土体</w:t>
            </w:r>
          </w:p>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类别</w:t>
            </w:r>
          </w:p>
        </w:tc>
        <w:tc>
          <w:tcPr>
            <w:tcW w:w="1146" w:type="dxa"/>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状态</w:t>
            </w:r>
          </w:p>
        </w:tc>
        <w:tc>
          <w:tcPr>
            <w:tcW w:w="4587" w:type="dxa"/>
            <w:gridSpan w:val="2"/>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坡率允许值(高宽比)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146"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坡高小于5m</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坡高5m～10m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碎石土</w:t>
            </w:r>
          </w:p>
        </w:tc>
        <w:tc>
          <w:tcPr>
            <w:tcW w:w="1146"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密实</w:t>
            </w: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1:0.35～1:0.50</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1:0.50～1:0.75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146"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中密</w:t>
            </w: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1:0.50～1:0.75</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1:0.75～1:1.00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146"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稍密</w:t>
            </w: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1:0.75～1:1.00</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241" w:type="dxa"/>
            <w:vMerge w:val="restart"/>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粘性土</w:t>
            </w:r>
          </w:p>
        </w:tc>
        <w:tc>
          <w:tcPr>
            <w:tcW w:w="1146"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坚硬</w:t>
            </w: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1:0.75～1:1.00</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1:1.00～1:1.25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41"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146"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硬塑</w:t>
            </w:r>
          </w:p>
        </w:tc>
        <w:tc>
          <w:tcPr>
            <w:tcW w:w="2219"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1:1.00～1:1.25</w:t>
            </w:r>
          </w:p>
        </w:tc>
        <w:tc>
          <w:tcPr>
            <w:tcW w:w="2367" w:type="dxa"/>
            <w:shd w:val="clear" w:color="auto" w:fill="auto"/>
            <w:noWrap/>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1:1.25～1:1.50</w:t>
            </w:r>
          </w:p>
        </w:tc>
      </w:tr>
    </w:tbl>
    <w:p>
      <w:pPr>
        <w:pStyle w:val="33"/>
        <w:jc w:val="left"/>
      </w:pPr>
      <w:r>
        <w:t>注：1碎石土的填充物为坚硬或硬塑状态的粘性土</w:t>
      </w:r>
      <w:r>
        <w:rPr>
          <w:rFonts w:hint="eastAsia"/>
        </w:rPr>
        <w:t>;</w:t>
      </w:r>
    </w:p>
    <w:p>
      <w:pPr>
        <w:pStyle w:val="33"/>
        <w:ind w:firstLine="420" w:firstLineChars="200"/>
        <w:jc w:val="left"/>
      </w:pPr>
      <w:r>
        <w:t>2对于砂土或填充物为沙土的碎石土</w:t>
      </w:r>
      <w:r>
        <w:rPr>
          <w:rFonts w:hint="eastAsia"/>
        </w:rPr>
        <w:t>,其边坡率允许值应按砂土或碎石土的自然休止角</w:t>
      </w:r>
    </w:p>
    <w:p>
      <w:pPr>
        <w:pStyle w:val="33"/>
      </w:pPr>
      <w:r>
        <w:rPr>
          <w:rFonts w:hint="eastAsia"/>
        </w:rPr>
        <w:t>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在边坡保持整体稳定的条件下，岩质边坡开挖的坡率允许值应根据工程经验，按工程类比的原则结合已有稳定边坡的坡率值分析确定。对无外倾软弱结构面的边坡，放坡坡率可按下表确定（边坡岩体类型按照《建筑边坡工程技术规范》 GB50330执行）。</w:t>
      </w:r>
    </w:p>
    <w:p>
      <w:pPr>
        <w:pStyle w:val="38"/>
        <w:rPr>
          <w:rFonts w:eastAsia="宋体"/>
          <w:sz w:val="24"/>
        </w:rPr>
      </w:pPr>
      <w:r>
        <w:rPr>
          <w:rFonts w:hint="eastAsia"/>
          <w:shd w:val="clear" w:color="auto" w:fill="FFFFFF"/>
        </w:rPr>
        <w:t>表7.6.4 岩质边坡坡率允许值</w:t>
      </w:r>
    </w:p>
    <w:tbl>
      <w:tblPr>
        <w:tblStyle w:val="22"/>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093"/>
        <w:gridCol w:w="2143"/>
        <w:gridCol w:w="2143"/>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restart"/>
            <w:shd w:val="clear" w:color="auto" w:fill="auto"/>
            <w:vAlign w:val="center"/>
          </w:tcPr>
          <w:p>
            <w:pPr>
              <w:pStyle w:val="33"/>
              <w:rPr>
                <w:rFonts w:hint="eastAsia" w:ascii="宋体" w:hAnsi="宋体" w:eastAsia="宋体" w:cs="宋体"/>
              </w:rPr>
            </w:pPr>
            <w:r>
              <w:rPr>
                <w:rFonts w:hint="eastAsia" w:ascii="宋体" w:hAnsi="宋体" w:eastAsia="宋体" w:cs="宋体"/>
              </w:rPr>
              <w:t>边坡岩体</w:t>
            </w:r>
          </w:p>
          <w:p>
            <w:pPr>
              <w:pStyle w:val="33"/>
              <w:rPr>
                <w:rFonts w:hint="eastAsia" w:ascii="宋体" w:hAnsi="宋体" w:eastAsia="宋体" w:cs="宋体"/>
              </w:rPr>
            </w:pPr>
            <w:r>
              <w:rPr>
                <w:rFonts w:hint="eastAsia" w:ascii="宋体" w:hAnsi="宋体" w:eastAsia="宋体" w:cs="宋体"/>
              </w:rPr>
              <w:t>类型</w:t>
            </w:r>
          </w:p>
        </w:tc>
        <w:tc>
          <w:tcPr>
            <w:tcW w:w="109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风化程度</w:t>
            </w:r>
          </w:p>
        </w:tc>
        <w:tc>
          <w:tcPr>
            <w:tcW w:w="6571" w:type="dxa"/>
            <w:gridSpan w:val="3"/>
            <w:shd w:val="clear" w:color="auto" w:fill="auto"/>
            <w:noWrap/>
            <w:vAlign w:val="center"/>
          </w:tcPr>
          <w:p>
            <w:pPr>
              <w:pStyle w:val="33"/>
              <w:rPr>
                <w:rFonts w:hint="eastAsia" w:ascii="宋体" w:hAnsi="宋体" w:eastAsia="宋体" w:cs="宋体"/>
              </w:rPr>
            </w:pPr>
            <w:r>
              <w:rPr>
                <w:rFonts w:hint="eastAsia" w:ascii="宋体" w:hAnsi="宋体" w:eastAsia="宋体" w:cs="宋体"/>
              </w:rPr>
              <w:t>坡率允许值(高宽比)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continue"/>
            <w:vAlign w:val="center"/>
          </w:tcPr>
          <w:p>
            <w:pPr>
              <w:pStyle w:val="33"/>
              <w:rPr>
                <w:rFonts w:hint="eastAsia" w:ascii="宋体" w:hAnsi="宋体" w:eastAsia="宋体" w:cs="宋体"/>
              </w:rPr>
            </w:pPr>
          </w:p>
        </w:tc>
        <w:tc>
          <w:tcPr>
            <w:tcW w:w="1093" w:type="dxa"/>
            <w:vMerge w:val="continue"/>
            <w:vAlign w:val="center"/>
          </w:tcPr>
          <w:p>
            <w:pPr>
              <w:pStyle w:val="33"/>
              <w:rPr>
                <w:rFonts w:hint="eastAsia" w:ascii="宋体" w:hAnsi="宋体" w:eastAsia="宋体" w:cs="宋体"/>
              </w:rPr>
            </w:pP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H＜8m</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8m≤H＜15m</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15m≤H＜25m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Ⅰ类</w:t>
            </w:r>
          </w:p>
        </w:tc>
        <w:tc>
          <w:tcPr>
            <w:tcW w:w="1093" w:type="dxa"/>
            <w:vMerge w:val="restart"/>
            <w:shd w:val="clear" w:color="auto" w:fill="auto"/>
            <w:vAlign w:val="center"/>
          </w:tcPr>
          <w:p>
            <w:pPr>
              <w:pStyle w:val="33"/>
              <w:rPr>
                <w:rFonts w:hint="eastAsia" w:ascii="宋体" w:hAnsi="宋体" w:eastAsia="宋体" w:cs="宋体"/>
              </w:rPr>
            </w:pPr>
            <w:r>
              <w:rPr>
                <w:rFonts w:hint="eastAsia" w:ascii="宋体" w:hAnsi="宋体" w:eastAsia="宋体" w:cs="宋体"/>
              </w:rPr>
              <w:t>未(微)</w:t>
            </w:r>
          </w:p>
          <w:p>
            <w:pPr>
              <w:pStyle w:val="33"/>
              <w:rPr>
                <w:rFonts w:hint="eastAsia" w:ascii="宋体" w:hAnsi="宋体" w:eastAsia="宋体" w:cs="宋体"/>
              </w:rPr>
            </w:pPr>
            <w:r>
              <w:rPr>
                <w:rFonts w:hint="eastAsia" w:ascii="宋体" w:hAnsi="宋体" w:eastAsia="宋体" w:cs="宋体"/>
              </w:rPr>
              <w:t>风化</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1:0.00～1:0.10</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1:0.10～1:0.15</w:t>
            </w:r>
          </w:p>
        </w:tc>
        <w:tc>
          <w:tcPr>
            <w:tcW w:w="2285"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1:0.15～1:0.25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continue"/>
            <w:vAlign w:val="center"/>
          </w:tcPr>
          <w:p>
            <w:pPr>
              <w:pStyle w:val="33"/>
              <w:rPr>
                <w:rFonts w:hint="eastAsia" w:ascii="宋体" w:hAnsi="宋体" w:eastAsia="宋体" w:cs="宋体"/>
              </w:rPr>
            </w:pPr>
          </w:p>
        </w:tc>
        <w:tc>
          <w:tcPr>
            <w:tcW w:w="109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285" w:type="dxa"/>
            <w:vMerge w:val="continue"/>
            <w:vAlign w:val="center"/>
          </w:tcPr>
          <w:p>
            <w:pPr>
              <w:pStyle w:val="3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continue"/>
            <w:vAlign w:val="center"/>
          </w:tcPr>
          <w:p>
            <w:pPr>
              <w:pStyle w:val="33"/>
              <w:rPr>
                <w:rFonts w:hint="eastAsia" w:ascii="宋体" w:hAnsi="宋体" w:eastAsia="宋体" w:cs="宋体"/>
              </w:rPr>
            </w:pPr>
          </w:p>
        </w:tc>
        <w:tc>
          <w:tcPr>
            <w:tcW w:w="109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中等</w:t>
            </w:r>
          </w:p>
          <w:p>
            <w:pPr>
              <w:pStyle w:val="33"/>
              <w:rPr>
                <w:rFonts w:hint="eastAsia" w:ascii="宋体" w:hAnsi="宋体" w:eastAsia="宋体" w:cs="宋体"/>
              </w:rPr>
            </w:pPr>
            <w:r>
              <w:rPr>
                <w:rFonts w:hint="eastAsia" w:ascii="宋体" w:hAnsi="宋体" w:eastAsia="宋体" w:cs="宋体"/>
              </w:rPr>
              <w:t>风化</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1:0.10～1:0.15</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1:0.15～1:0.25</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1:0.25～1:0.35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Ⅱ类</w:t>
            </w:r>
          </w:p>
        </w:tc>
        <w:tc>
          <w:tcPr>
            <w:tcW w:w="1093" w:type="dxa"/>
            <w:vMerge w:val="restart"/>
            <w:shd w:val="clear" w:color="auto" w:fill="auto"/>
            <w:vAlign w:val="center"/>
          </w:tcPr>
          <w:p>
            <w:pPr>
              <w:pStyle w:val="33"/>
              <w:rPr>
                <w:rFonts w:hint="eastAsia" w:ascii="宋体" w:hAnsi="宋体" w:eastAsia="宋体" w:cs="宋体"/>
              </w:rPr>
            </w:pPr>
            <w:r>
              <w:rPr>
                <w:rFonts w:hint="eastAsia" w:ascii="宋体" w:hAnsi="宋体" w:eastAsia="宋体" w:cs="宋体"/>
              </w:rPr>
              <w:t>未(微)</w:t>
            </w:r>
          </w:p>
          <w:p>
            <w:pPr>
              <w:pStyle w:val="33"/>
              <w:rPr>
                <w:rFonts w:hint="eastAsia" w:ascii="宋体" w:hAnsi="宋体" w:eastAsia="宋体" w:cs="宋体"/>
              </w:rPr>
            </w:pPr>
            <w:r>
              <w:rPr>
                <w:rFonts w:hint="eastAsia" w:ascii="宋体" w:hAnsi="宋体" w:eastAsia="宋体" w:cs="宋体"/>
              </w:rPr>
              <w:t>风化</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1:0.10～1:0.15</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1:0.15～1:0.25</w:t>
            </w:r>
          </w:p>
        </w:tc>
        <w:tc>
          <w:tcPr>
            <w:tcW w:w="2285"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1:0.25～1:0.35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continue"/>
            <w:vAlign w:val="center"/>
          </w:tcPr>
          <w:p>
            <w:pPr>
              <w:pStyle w:val="33"/>
              <w:rPr>
                <w:rFonts w:hint="eastAsia" w:ascii="宋体" w:hAnsi="宋体" w:eastAsia="宋体" w:cs="宋体"/>
              </w:rPr>
            </w:pPr>
          </w:p>
        </w:tc>
        <w:tc>
          <w:tcPr>
            <w:tcW w:w="109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285" w:type="dxa"/>
            <w:vMerge w:val="continue"/>
            <w:vAlign w:val="center"/>
          </w:tcPr>
          <w:p>
            <w:pPr>
              <w:pStyle w:val="3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continue"/>
            <w:vAlign w:val="center"/>
          </w:tcPr>
          <w:p>
            <w:pPr>
              <w:pStyle w:val="33"/>
              <w:rPr>
                <w:rFonts w:hint="eastAsia" w:ascii="宋体" w:hAnsi="宋体" w:eastAsia="宋体" w:cs="宋体"/>
              </w:rPr>
            </w:pPr>
          </w:p>
        </w:tc>
        <w:tc>
          <w:tcPr>
            <w:tcW w:w="109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中等</w:t>
            </w:r>
          </w:p>
          <w:p>
            <w:pPr>
              <w:pStyle w:val="33"/>
              <w:rPr>
                <w:rFonts w:hint="eastAsia" w:ascii="宋体" w:hAnsi="宋体" w:eastAsia="宋体" w:cs="宋体"/>
              </w:rPr>
            </w:pPr>
            <w:r>
              <w:rPr>
                <w:rFonts w:hint="eastAsia" w:ascii="宋体" w:hAnsi="宋体" w:eastAsia="宋体" w:cs="宋体"/>
              </w:rPr>
              <w:t>风化</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1:0.15～1:0.25</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1:0.25～1:0.35</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1:0.35～1:0.50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Ⅲ类</w:t>
            </w:r>
          </w:p>
        </w:tc>
        <w:tc>
          <w:tcPr>
            <w:tcW w:w="1093" w:type="dxa"/>
            <w:vMerge w:val="restart"/>
            <w:shd w:val="clear" w:color="auto" w:fill="auto"/>
            <w:vAlign w:val="center"/>
          </w:tcPr>
          <w:p>
            <w:pPr>
              <w:pStyle w:val="33"/>
              <w:rPr>
                <w:rFonts w:hint="eastAsia" w:ascii="宋体" w:hAnsi="宋体" w:eastAsia="宋体" w:cs="宋体"/>
              </w:rPr>
            </w:pPr>
            <w:r>
              <w:rPr>
                <w:rFonts w:hint="eastAsia" w:ascii="宋体" w:hAnsi="宋体" w:eastAsia="宋体" w:cs="宋体"/>
              </w:rPr>
              <w:t>未(微)</w:t>
            </w:r>
          </w:p>
          <w:p>
            <w:pPr>
              <w:pStyle w:val="33"/>
              <w:rPr>
                <w:rFonts w:hint="eastAsia" w:ascii="宋体" w:hAnsi="宋体" w:eastAsia="宋体" w:cs="宋体"/>
              </w:rPr>
            </w:pPr>
            <w:r>
              <w:rPr>
                <w:rFonts w:hint="eastAsia" w:ascii="宋体" w:hAnsi="宋体" w:eastAsia="宋体" w:cs="宋体"/>
              </w:rPr>
              <w:t>风化</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1:0.25～1:0.35</w:t>
            </w:r>
          </w:p>
        </w:tc>
        <w:tc>
          <w:tcPr>
            <w:tcW w:w="2143"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1:0.35～1:0.50</w:t>
            </w:r>
          </w:p>
        </w:tc>
        <w:tc>
          <w:tcPr>
            <w:tcW w:w="2285"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41" w:type="dxa"/>
            <w:vMerge w:val="continue"/>
            <w:vAlign w:val="center"/>
          </w:tcPr>
          <w:p>
            <w:pPr>
              <w:pStyle w:val="33"/>
              <w:rPr>
                <w:rFonts w:hint="eastAsia" w:ascii="宋体" w:hAnsi="宋体" w:eastAsia="宋体" w:cs="宋体"/>
              </w:rPr>
            </w:pPr>
          </w:p>
        </w:tc>
        <w:tc>
          <w:tcPr>
            <w:tcW w:w="109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143" w:type="dxa"/>
            <w:vMerge w:val="continue"/>
            <w:vAlign w:val="center"/>
          </w:tcPr>
          <w:p>
            <w:pPr>
              <w:pStyle w:val="33"/>
              <w:rPr>
                <w:rFonts w:hint="eastAsia" w:ascii="宋体" w:hAnsi="宋体" w:eastAsia="宋体" w:cs="宋体"/>
              </w:rPr>
            </w:pPr>
          </w:p>
        </w:tc>
        <w:tc>
          <w:tcPr>
            <w:tcW w:w="2285" w:type="dxa"/>
            <w:vMerge w:val="continue"/>
            <w:vAlign w:val="center"/>
          </w:tcPr>
          <w:p>
            <w:pPr>
              <w:pStyle w:val="3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continue"/>
            <w:vAlign w:val="center"/>
          </w:tcPr>
          <w:p>
            <w:pPr>
              <w:pStyle w:val="33"/>
              <w:rPr>
                <w:rFonts w:hint="eastAsia" w:ascii="宋体" w:hAnsi="宋体" w:eastAsia="宋体" w:cs="宋体"/>
              </w:rPr>
            </w:pPr>
          </w:p>
        </w:tc>
        <w:tc>
          <w:tcPr>
            <w:tcW w:w="109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中等</w:t>
            </w:r>
          </w:p>
          <w:p>
            <w:pPr>
              <w:pStyle w:val="33"/>
              <w:rPr>
                <w:rFonts w:hint="eastAsia" w:ascii="宋体" w:hAnsi="宋体" w:eastAsia="宋体" w:cs="宋体"/>
              </w:rPr>
            </w:pPr>
            <w:r>
              <w:rPr>
                <w:rFonts w:hint="eastAsia" w:ascii="宋体" w:hAnsi="宋体" w:eastAsia="宋体" w:cs="宋体"/>
              </w:rPr>
              <w:t>风化</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1:0.35～1:0.50</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1:0.50～1:0.75</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Ⅳ类</w:t>
            </w:r>
          </w:p>
        </w:tc>
        <w:tc>
          <w:tcPr>
            <w:tcW w:w="109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中等</w:t>
            </w:r>
          </w:p>
          <w:p>
            <w:pPr>
              <w:pStyle w:val="33"/>
              <w:rPr>
                <w:rFonts w:hint="eastAsia" w:ascii="宋体" w:hAnsi="宋体" w:eastAsia="宋体" w:cs="宋体"/>
              </w:rPr>
            </w:pPr>
            <w:r>
              <w:rPr>
                <w:rFonts w:hint="eastAsia" w:ascii="宋体" w:hAnsi="宋体" w:eastAsia="宋体" w:cs="宋体"/>
              </w:rPr>
              <w:t>风化</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1:0.50～1:0.75</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1:0.75～1:1.00</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41" w:type="dxa"/>
            <w:vMerge w:val="continue"/>
            <w:vAlign w:val="center"/>
          </w:tcPr>
          <w:p>
            <w:pPr>
              <w:pStyle w:val="33"/>
              <w:rPr>
                <w:rFonts w:hint="eastAsia" w:ascii="宋体" w:hAnsi="宋体" w:eastAsia="宋体" w:cs="宋体"/>
              </w:rPr>
            </w:pPr>
          </w:p>
        </w:tc>
        <w:tc>
          <w:tcPr>
            <w:tcW w:w="109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强风化</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1:0.75～1:1.00</w:t>
            </w:r>
          </w:p>
        </w:tc>
        <w:tc>
          <w:tcPr>
            <w:tcW w:w="214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一</w:t>
            </w:r>
          </w:p>
        </w:tc>
        <w:tc>
          <w:tcPr>
            <w:tcW w:w="2285"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一</w:t>
            </w:r>
          </w:p>
        </w:tc>
      </w:tr>
    </w:tbl>
    <w:p>
      <w:pPr>
        <w:pStyle w:val="33"/>
        <w:jc w:val="left"/>
      </w:pPr>
      <w:r>
        <w:t>注：1</w:t>
      </w:r>
      <w:r>
        <w:rPr>
          <w:rFonts w:hint="eastAsia"/>
        </w:rPr>
        <w:t>H一边坡高度;</w:t>
      </w:r>
    </w:p>
    <w:p>
      <w:pPr>
        <w:pStyle w:val="33"/>
        <w:ind w:firstLine="420" w:firstLineChars="200"/>
        <w:jc w:val="left"/>
      </w:pPr>
      <w:r>
        <w:t>2</w:t>
      </w:r>
      <w:r>
        <w:rPr>
          <w:rFonts w:hint="eastAsia"/>
        </w:rPr>
        <w:t>Ⅳ类强风化包括类风化程度的极软岩;</w:t>
      </w:r>
    </w:p>
    <w:p>
      <w:pPr>
        <w:pStyle w:val="33"/>
        <w:ind w:firstLine="420" w:firstLineChars="200"/>
        <w:jc w:val="left"/>
      </w:pPr>
      <w:r>
        <w:t>3</w:t>
      </w:r>
      <w:r>
        <w:rPr>
          <w:rFonts w:hint="eastAsia"/>
        </w:rPr>
        <w:t>全风化岩体可按土质边坡坡率取值;</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下列边坡的坡率允许值应通过稳定性计算分析确定: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有外倾软弱结构面的岩质边坡;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土质较软的边坡;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坡顶边缘附近有较大荷载的边坡;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边坡高度超过本规范表7.6.3和表7.6.4范围的边坡。 </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土质边坡稳定性计算应考虑边坡影响范围内的建(构) 筑物和边坡支护处理对地下水运动等水文地质条件的影响，以及由此而引起的对边坡稳定性的影响。</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有下列情况之一的边坡不应单独采用放坡法，应与其他边坡支护方法联合使用: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放坡开挖对相邻建(构)筑物有不利影响的边坡;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地下水发育的边坡;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软弱土层等稳定性差的边坡;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坡体内有外倾软弱结构面或深层滑动面的边坡;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单独采用坡率法不能有效改善整体稳定性的边坡;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地质条件复杂的一级边坡。</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方式可与锚拉式结构、支撑式结构、悬臂式结构、双排桩、支护结构与主体结构结合的逆作法、单一土钉墙、预应力锚杆复合土钉墙、水泥土桩垂直复合土钉墙、微型桩垂直复合土钉墙、重力式水泥土墙等支护结构形式相结合。</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不同支护形式的结合处，应考虑相邻支护结构的相互影响，其过渡段应有可靠的连接措施。</w:t>
      </w:r>
    </w:p>
    <w:p>
      <w:pPr>
        <w:pStyle w:val="51"/>
      </w:pPr>
      <w:r>
        <w:rPr>
          <w:rFonts w:hint="eastAsia"/>
        </w:rPr>
        <w:t>支</w:t>
      </w:r>
      <w:r>
        <w:rPr>
          <w:rFonts w:hint="eastAsia" w:cs="Times New Roman" w:eastAsiaTheme="minorEastAsia"/>
          <w:bCs/>
          <w:color w:val="000000" w:themeColor="text1"/>
          <w:kern w:val="2"/>
          <w:sz w:val="28"/>
          <w:szCs w:val="28"/>
          <w:lang w:val="zh-CN" w:eastAsia="zh-CN" w:bidi="ar-SA"/>
          <w14:textFill>
            <w14:solidFill>
              <w14:schemeClr w14:val="tx1"/>
            </w14:solidFill>
          </w14:textFill>
        </w:rPr>
        <w:t>护结构上部采用土钉墙或放坡、下部采用支挡式结构时，上部土钉墙或放坡应符合本规程对其支护结构形式的规定，支挡式结构应按整体结构考虑。</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基坑开挖采用放坡或支护结构上部采用放坡时，应按照本规程的第7.3.4规定验算边坡的滑动稳定性，边坡的圆弧滑动稳定安全系数Ks不应小于1.2。放坡破面应设置防护层。</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基坑放坡开挖时，必要时应进行抗承压水突涌验算。</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边坡开挖应纵向分段、竖向分层，自上而下逐段开挖，随挖随护；</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土质临时边坡一般采用长土钉加钢筋网、喷射混凝土形成土钉墙防护；石质临时边坡可采用喷射混凝土封闭、锚喷、锚网喷等防护措施；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永久边坡宜采用工程加固和植被防护相结合的措施；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坡顶、坡脚应采取截排水措施。</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ind w:firstLine="480"/>
      </w:pPr>
    </w:p>
    <w:p>
      <w:pPr>
        <w:ind w:firstLine="480"/>
      </w:pPr>
    </w:p>
    <w:p>
      <w:pPr>
        <w:pStyle w:val="3"/>
      </w:pPr>
      <w:bookmarkStart w:id="78" w:name="_Toc7039"/>
      <w:r>
        <w:rPr>
          <w:rFonts w:hint="eastAsia"/>
        </w:rPr>
        <w:t>土方开挖及回填</w:t>
      </w:r>
      <w:bookmarkEnd w:id="78"/>
    </w:p>
    <w:p>
      <w:pPr>
        <w:pStyle w:val="52"/>
        <w:numPr>
          <w:ilvl w:val="255"/>
          <w:numId w:val="0"/>
        </w:numPr>
        <w:rPr>
          <w:rStyle w:val="37"/>
          <w:rFonts w:cstheme="majorBidi"/>
          <w:bCs/>
          <w:szCs w:val="32"/>
        </w:rPr>
      </w:pPr>
      <w:r>
        <w:rPr>
          <w:rStyle w:val="37"/>
          <w:rFonts w:hint="eastAsia"/>
        </w:rPr>
        <w:t>Ⅰ一般规定</w:t>
      </w:r>
    </w:p>
    <w:p>
      <w:pPr>
        <w:pStyle w:val="51"/>
        <w:rPr>
          <w:rFonts w:ascii="仿宋" w:hAnsi="仿宋" w:eastAsia="仿宋"/>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土方开挖方案应考虑工程地质与水文地质条件、环境保护要求、基坑平面尺寸、开挖深度、支护形式、施工方法等因素。</w:t>
      </w:r>
    </w:p>
    <w:p>
      <w:pPr>
        <w:pStyle w:val="51"/>
        <w:rPr>
          <w:rFonts w:ascii="仿宋" w:hAnsi="仿宋" w:eastAsia="仿宋"/>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土方开挖应按照分层、分段、分块，限时的方法确定开挖顺序。土方开挖前，支护结构、土体加固、降水应分别达到设计和施工要求。</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施工便道布置时应考虑挖土机械、支撑施工设备及车辆行驶路线。现场材料堆放、挖土顺序与方法等应减少对周边环境、支护结构、工程桩等的不利影响。</w:t>
      </w:r>
    </w:p>
    <w:p>
      <w:pPr>
        <w:pStyle w:val="51"/>
        <w:rPr>
          <w:rFonts w:ascii="仿宋" w:hAnsi="仿宋" w:eastAsia="仿宋"/>
        </w:rPr>
      </w:pPr>
      <w:r>
        <w:t>土</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方开挖机械、车辆等进行施工作业时，应采取措施来保证坡道稳定，坡道的宽度应满足车辆行驶要求。</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开挖出来的土方不应在邻近建筑及基坑周边影响范围内堆放，在2倍开挖深度范围内不得大量堆土，应及时外运。</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土方开挖应采用全面分层开挖或台阶式分层开挖的方式；分层厚度结合地质条件进行合理设置，软土地区分层厚度不宜大于4m，开挖过程中的临时边坡坡度不宜大于1：1.5。</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机械挖土时，坑底以上200mm~300mm范围内的土方应采用人工修底的方式挖除，放坡开挖的基坑边坡应采用人工修坡方式挖除，严禁超挖；土方开挖至基坑底标高应及时进行垫层施工，垫层应浇筑到围护结构边或放坡开挖的基坑坡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挖土机械严禁碰撞工程桩、围护墙、支撑、立柱桩、降水井管、监测点等基坑内保护性构件，其周边200mm~300mm范围内的土方应采用人工挖除。</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当坑底局部深坑落低深度大于1.5m时，不得采取放坡的形式进行开挖，应对局部深坑区域采取地基加固等措施保证周边土体稳定；对于深度超过5m的局部深坑，还应增设支护结构。</w:t>
      </w:r>
    </w:p>
    <w:p>
      <w:pPr>
        <w:pStyle w:val="51"/>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基坑开挖应采用信息化施工和动态控制的方法，根据基坑支护体系和周边环境监测数据情况来调整土方开挖的顺序和施工方法。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基坑开挖完毕后，在浇筑垫层前应组织地基验槽，对坑底超挖、受扰动地基、软弱地基等情况应进行回填或换填处理。在垫层浇筑后，底板制作前应组织桩基验收。</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基坑开挖的质量验收应符合现行国家标准《建筑地基基础工程施工质量验收标准》GB50202的相关要求。</w:t>
      </w:r>
    </w:p>
    <w:p>
      <w:pPr>
        <w:pStyle w:val="51"/>
        <w:numPr>
          <w:ilvl w:val="2"/>
          <w:numId w:val="0"/>
        </w:numPr>
      </w:pPr>
    </w:p>
    <w:p>
      <w:pPr>
        <w:pStyle w:val="52"/>
        <w:numPr>
          <w:ilvl w:val="255"/>
          <w:numId w:val="0"/>
        </w:numPr>
        <w:rPr>
          <w:rStyle w:val="37"/>
          <w:rFonts w:cs="Times New Roman"/>
        </w:rPr>
      </w:pPr>
      <w:r>
        <w:rPr>
          <w:rStyle w:val="37"/>
          <w:rFonts w:hint="eastAsia"/>
        </w:rPr>
        <w:t>Ⅱ</w:t>
      </w:r>
      <w:r>
        <w:rPr>
          <w:rStyle w:val="37"/>
          <w:rFonts w:hint="eastAsia" w:cs="Times New Roman"/>
        </w:rPr>
        <w:t>无支护放坡开挖</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放坡开挖的基坑，施工应保证边坡整体稳定性。多级放坡时应同时保证各级边坡和整体边坡的稳定性。基坑坡脚附近有局部深坑时，且坡脚与局部深坑的距离小于2倍深坑的深度，应按深坑的深度验算边坡稳定性。</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放坡开挖的基坑边坡坡度应根据土层性质、开挖深度确定。各级边坡坡度不宜大于l:1.5，淤泥质土层中不宜大于1:2.0；多级放坡开挖的基坑，坡间放坡平台宽度不宜小于3.0m，且不应小于1.5m。</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的基坑应结合地质勘查资料，如地下水位较高时应采用降水等土体固结措施。单级放坡基坑的降水井宜设置在坡顶，多级放坡基坑的降水井宜设置在坡顶、放坡平台；基坑边坡位于淤泥、暗浜、暗塘等极软弱的土层时，应进行土体加固。</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的基坑，当土质条件良好，地下水位较低时，基坑开挖坡面可不进行护坡处理；当基坑边坡裸露时间较长、地下水位较高，为防止边坡受雨水冲刷和地下水侵入，可采取必要的护坡措施。护坡可采用钢丝网水泥砂浆、钢丝网细石混凝土、钢丝网喷射混凝土、土体加固等方式。</w:t>
      </w:r>
    </w:p>
    <w:p>
      <w:pPr>
        <w:pStyle w:val="51"/>
        <w:numPr>
          <w:ilvl w:val="0"/>
          <w:numId w:val="0"/>
        </w:numPr>
        <w:rPr>
          <w:rFonts w:ascii="仿宋" w:hAnsi="仿宋" w:eastAsia="仿宋"/>
          <w:b/>
        </w:rPr>
      </w:pPr>
    </w:p>
    <w:p>
      <w:pPr>
        <w:pStyle w:val="52"/>
        <w:numPr>
          <w:ilvl w:val="255"/>
          <w:numId w:val="0"/>
        </w:numPr>
        <w:rPr>
          <w:rStyle w:val="37"/>
          <w:rFonts w:cs="Times New Roman"/>
        </w:rPr>
      </w:pPr>
      <w:r>
        <w:rPr>
          <w:rStyle w:val="37"/>
          <w:rFonts w:hint="eastAsia"/>
        </w:rPr>
        <w:t>Ⅲ</w:t>
      </w:r>
      <w:r>
        <w:rPr>
          <w:rStyle w:val="37"/>
          <w:rFonts w:hint="eastAsia" w:cs="Times New Roman"/>
        </w:rPr>
        <w:t>有支护无内支撑的土方开挖</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复合土钉墙支护基坑开挖要求：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隔水帷幕的强度和龄期应达到设计要求后方可进行土方开挖。</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土方开挖应与土钉施工分层交替进行，应缩短无支护暴露时间。</w:t>
      </w:r>
    </w:p>
    <w:p>
      <w:pPr>
        <w:pStyle w:val="51"/>
        <w:widowControl w:val="0"/>
        <w:numPr>
          <w:ilvl w:val="255"/>
          <w:numId w:val="0"/>
        </w:numPr>
        <w:spacing w:line="360" w:lineRule="auto"/>
        <w:ind w:left="0" w:firstLine="406" w:firstLineChars="145"/>
        <w:rPr>
          <w:rFonts w:ascii="宋体" w:hAnsi="宋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应采用分层分段方法进行土方开挖，每层土方开挖的底标高应低</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于相应土钉位置，且距离不宜大于200mm，每层分段长度不应大于30m。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应在土钉养护时间达到设计要求后开挖下一层土方。</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水泥土重力式挡墙支护基坑开挖要求：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水泥土重力式挡墙的强度和龄期应达到设计要求后方可进行土方开挖。</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开挖深度超过4m的基坑应采用分层开挖的方法；边长超过50m的基坑应采用分段开挖的方法。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面积较大的基坑宜采用盆式开挖方式，盆边留土平台宽度不应小于8m。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土方开挖至坑底后应及时浇筑垫层，减少基坑暴露时间。</w:t>
      </w:r>
    </w:p>
    <w:p>
      <w:pPr>
        <w:ind w:firstLine="480"/>
        <w:rPr>
          <w:rFonts w:ascii="宋体" w:hAnsi="宋体"/>
        </w:rPr>
      </w:pPr>
    </w:p>
    <w:p>
      <w:pPr>
        <w:pStyle w:val="52"/>
        <w:numPr>
          <w:ilvl w:val="255"/>
          <w:numId w:val="0"/>
        </w:numPr>
        <w:rPr>
          <w:rStyle w:val="37"/>
        </w:rPr>
      </w:pPr>
      <w:r>
        <w:rPr>
          <w:rStyle w:val="37"/>
          <w:rFonts w:hint="eastAsia" w:cs="Times New Roman"/>
        </w:rPr>
        <w:t>Ⅳ</w:t>
      </w:r>
      <w:r>
        <w:rPr>
          <w:rStyle w:val="37"/>
          <w:rFonts w:hint="eastAsia"/>
        </w:rPr>
        <w:t>有支护有内支撑的土方开挖</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土方开挖应按照先撑后挖、限时支撑、分层开挖、严禁超挖的方法确定开挖顺序，应减小基坑无支撑暴露时间和空间。</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混凝土支撑应在达到设计要求的强度后进行下层土方开挖；钢支撑应在质量验收并施加预应力后进行下层土方开挖。</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土方开挖过程中应对坑内立柱与降水井管采取保护措施，应对称、均匀开挖其周围土体。</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狭长型基坑开挖的具体要求：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采用钢支撑的狭长形基坑可采用纵向斜面分层分段开挖的方法，斜面应设置多级边坡；分段长度宜为3m~8m，分层厚度宜为3m~4m。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纵向斜面边坡总坡度不应大于1：3.0，各级边坡坡度不应大于1:1.5，各级边坡平台宽度不应小于3.0m；多级边坡超过二级应设置加宽平台，加宽平台宽度不应小于9.0m，加宽平台之间的上方边坡不应超过二级；纵向斜面边坡长时间暴露时宜采取护坡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每层每段开挖和支撑形成的时间应符合设计要求。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狭长形基坑可采用一端向另一端开挖的方法，也可采用从中间向两端开挖的方法。</w:t>
      </w:r>
    </w:p>
    <w:p>
      <w:pPr>
        <w:pStyle w:val="52"/>
        <w:numPr>
          <w:ilvl w:val="255"/>
          <w:numId w:val="0"/>
        </w:numPr>
        <w:rPr>
          <w:rStyle w:val="37"/>
          <w:rFonts w:cs="Times New Roman"/>
        </w:rPr>
      </w:pPr>
      <w:r>
        <w:rPr>
          <w:rStyle w:val="37"/>
          <w:rFonts w:hint="eastAsia" w:cs="Times New Roman"/>
        </w:rPr>
        <w:t>Ⅴ土方回填</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土石方回填前，应考虑回填区域国土空间规划因素，根据设计要求和不同质量等级标准来确定施工工艺和方法。</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永久性土方回填的边坡坡度应符合设计要求。使用时间较长的临时性土方回填的边坡坡度，应根据当地经验或通过稳定性计算确定。</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填料应符合设计要求，不同填料不应混填。当设计无要求时，应符合下列规定：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宜优先利用基坑中挖出的优质土，不得使用腐殖土、淤泥、垃圾等。回填土内不得含有有机杂质，粒径不应大于50mm。不同土类应分别经过击实试验测定填料的最大干密度和最佳含水量，填料含水量与最佳含水量的偏差控制在±2％范围</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采用黏土回填，施工含水量与最优含水量之差可控制为-4％～＋2％，使用振动辗时，可控制为-6％～＋2％。当含水量偏高，可采用翻松晾晒或均匀掺入干土或生石灰等措施；当含水量偏低，可采用预先洒水湿润。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碎石类土或爆破石渣，可用于表层以下回填，采用碾压法或强夯法施工。采用分层碾压时，厚度应根据压实机具通过试验确定，一般不宜超过500mm，其最大粒径不得超过每层厚度的3/4；</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淤泥和淤泥质土不宜作为填料，经过处理且符合压实要求后，可用于回填次要部位或无压实要求的区域；</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基坑采用混凝土回填时，强度等级应满足设计要求；</w:t>
      </w:r>
    </w:p>
    <w:p>
      <w:pPr>
        <w:pStyle w:val="51"/>
        <w:widowControl w:val="0"/>
        <w:numPr>
          <w:ilvl w:val="2"/>
          <w:numId w:val="1"/>
        </w:numPr>
        <w:spacing w:line="360" w:lineRule="auto"/>
        <w:ind w:left="0" w:firstLine="0" w:firstLineChars="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采用分层回填时，应在下层的压实系数经试验合格后，才能进行上层施工。回土方回填应填筑压实，且压实系数应满足设计要求，当设计无要求时应取0.9~0.98。</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填土应水平分层找平夯实，分层厚度和压实遍数参照《建筑地基与基础工程施工质量验收标准》（GB50202）有关规定。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土方回填施工时应符合下列规定：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土方回填前，地下结构与防水层、保护层等隐蔽工程应验收完毕合格后方可回填。</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宜对称、均衡地进行土方回填，回填较深的基坑，土方回填应控制降落高度。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土方压实过程中，轮(夯)迹应相互搭接，辗迹应重叠0.5m～1.0m。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回填面积较大的区域，应采取分块(段)回填压实的方法。交接处阶梯型填筑，每层相互搭接，搭接不小于土体厚度2倍。</w:t>
      </w:r>
    </w:p>
    <w:p>
      <w:pPr>
        <w:pStyle w:val="51"/>
        <w:widowControl w:val="0"/>
        <w:numPr>
          <w:ilvl w:val="2"/>
          <w:numId w:val="1"/>
        </w:numPr>
        <w:spacing w:line="360" w:lineRule="auto"/>
        <w:ind w:left="0" w:firstLine="0"/>
      </w:pPr>
      <w:r>
        <w:rPr>
          <w:rFonts w:hint="eastAsia" w:cs="Times New Roman" w:eastAsiaTheme="minorEastAsia"/>
          <w:bCs/>
          <w:color w:val="000000" w:themeColor="text1"/>
          <w:kern w:val="2"/>
          <w:sz w:val="28"/>
          <w:szCs w:val="28"/>
          <w:lang w:val="zh-CN" w:eastAsia="zh-CN" w:bidi="ar-SA"/>
          <w14:textFill>
            <w14:solidFill>
              <w14:schemeClr w14:val="tx1"/>
            </w14:solidFill>
          </w14:textFill>
        </w:rPr>
        <w:t>非道路红线内土方回填：顶板以上300mm范围内采用不透水性黏土回填。</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道路红线内的土方回填：顶板以上500mm用密实度87%粘性土；道路结构层以下800mm用密实度95%灰土回填，石灰掺量6%；其他部分用密实度87～95%灰土回填，石灰掺量4%。道路红线内的基坑回填至路面下面层。</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园林等绿化用地的土方回填，应对回填土的理化性质进行化验分析，采取相应的土壤改良、置换客土等措施。回填前将现场内的渣土、工程废料、树根及其有害污染物清除干净。绿化栽植土壤有效土层下不得有不透水层。回填土壤应分层适度夯实，或自然沉降达到基本稳定，严禁用机械反复碾压。</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回填涉及铁路、公路以及城市道路路基范围，土方回填工艺应满足相关规范要求《铁路路基工程施工质量验收标准》（TB10414-2018）《公路路基施工技术规范》（JTG/T3610-2019）《城市道路路基设计规范》（CJJ194-2013）</w:t>
      </w:r>
    </w:p>
    <w:p>
      <w:pPr>
        <w:pStyle w:val="3"/>
      </w:pPr>
      <w:bookmarkStart w:id="79" w:name="_Toc27404"/>
      <w:r>
        <w:rPr>
          <w:rFonts w:hint="eastAsia"/>
        </w:rPr>
        <w:t>应急响应及措施</w:t>
      </w:r>
      <w:bookmarkEnd w:id="79"/>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一般规定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工程开工前，应根据工程难点、特点编制基坑施工总体应急预案。针对风险源辨识结果，提供应对措施。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基坑开挖前现场设置应急抢险物资仓库，落实各项应急抢险设备及物资，并编制清单，每月检查及时更新。</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建立应急抢险小组，定期组织应急演练、人员逃生，提高现场人员应急能力。</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应急响应程序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依据《铁路建设工程质量事故调查处理规定》，铁路建设工程事故分为特别重大事故、重大事故、较大事故和一般事故四个等级，其应急救援响应等级应与事故等级相匹配。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发生险情，快速启动应急响应，逐层上报。具体参照《铁路建设项目安全生产管理办法》。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风险分类及应对措施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支护结构失稳：开挖过程中出现围护结构变形超过报警值，应立即停止挖土，并进行土方回填反压以控制围护结构变形的趋势，在基坑变形稳定的情况下在围护结构外采取压密注浆或高压旋喷的方式，对坑外土体进行有效固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围护或坑底渗漏、流砂、管涌等：开挖过程中出现围护结构或坑底漏水、流砂、管涌等险情时，应立即停止基坑开挖并采取应急措施，待险情排除，经检查确认安全后才能恢复开挖施工。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边坡滑动：因边坡土体承载力不足或支护结构设计内力和移位及稳定计算不足,导致边坡失稳或者支护结构失稳引起基坑边坡滑动。按照要求立即停止开挖，停止施工；组织对边坡处进行回填土方或在坡脚位置打设锁脚桩等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基底隆起：由于支护结构滑移造成的坑内土体隆起，应采取处理支护结构滑移的措施，同时用重物（沙袋、回填土）压制隆起的土体。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地面开裂、塌陷：由于基坑边坡位移、涌水涌砂、坍塌、失稳等因素造成地面开裂、塌陷。应立即停止开挖，进行基坑堆料或回填反压,减缓或抑制路面开裂或塌陷情况；加强支护体系，减小基坑变形量；如果路面下土质或出现空洞，立即采取注浆加固、填充。</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建（构）筑物变形过大：应停止开挖，对建（构）筑物周边土体采取注浆等措施进行加固,提高地层的承载能力、调整其变形；加强监测，优化基坑开挖、支护施工参数和工艺。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管线变形过大：立即联系管线产权单位并与其共同进行原因分析,决定应急处理措施,并据此进行应急处理。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8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其它</w:t>
      </w:r>
    </w:p>
    <w:p>
      <w:pPr>
        <w:widowControl/>
        <w:numPr>
          <w:ilvl w:val="-1"/>
          <w:numId w:val="0"/>
        </w:numPr>
        <w:spacing w:line="240" w:lineRule="auto"/>
        <w:ind w:left="1246"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控制基坑变形的常用措施有：增加临时支撑或抛撑、提高支撑结构强度或增大轴力、采用钢支撑轴力自补偿系统、减小围护无支撑暴露长度、缩短围护无支撑暴露时间、降低基坑周边堆载、调整重型车辆行走路线、优化开挖顺序等方法。</w:t>
      </w:r>
    </w:p>
    <w:p>
      <w:pPr>
        <w:widowControl/>
        <w:numPr>
          <w:ilvl w:val="-1"/>
          <w:numId w:val="0"/>
        </w:numPr>
        <w:spacing w:line="240" w:lineRule="auto"/>
        <w:ind w:left="1246" w:hanging="406" w:firstLineChars="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现场应配备双快水泥、袋装水泥、聚氨酯、注浆泵、抽水泵等抢险材料和设备，平时例行检查和保养，确保险情发生时能立即使用。</w:t>
      </w:r>
    </w:p>
    <w:p>
      <w:pPr>
        <w:ind w:firstLine="480"/>
        <w:rPr>
          <w:rFonts w:eastAsia="黑体"/>
          <w:sz w:val="30"/>
        </w:rPr>
      </w:pPr>
      <w:r>
        <w:br w:type="page"/>
      </w:r>
    </w:p>
    <w:p>
      <w:pPr>
        <w:pStyle w:val="2"/>
      </w:pPr>
      <w:bookmarkStart w:id="80" w:name="_Toc15797"/>
      <w:bookmarkStart w:id="81" w:name="_Toc13628"/>
      <w:r>
        <w:t>土体加固</w:t>
      </w:r>
      <w:bookmarkEnd w:id="80"/>
      <w:bookmarkEnd w:id="81"/>
    </w:p>
    <w:p>
      <w:pPr>
        <w:pStyle w:val="3"/>
      </w:pPr>
      <w:bookmarkStart w:id="82" w:name="_Toc5780"/>
      <w:r>
        <w:rPr>
          <w:rFonts w:hint="eastAsia"/>
        </w:rPr>
        <w:t>一般</w:t>
      </w:r>
      <w:r>
        <w:t>规定</w:t>
      </w:r>
      <w:bookmarkEnd w:id="82"/>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为满足基坑稳定、变形控制要求及围护结构施工辅助需要，可采用土体加固措施对基坑坑内被动区、坑内局部深坑区、放坡开挖区、基坑施工便道等区域进行软弱土体加固。</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基坑土体加固可采用深层搅拌法、高压旋喷法、注浆法等。加固方法的选择应综合考虑土质条件、加固深度、加固体性能要求、变形控制与环境保护要求、场地条件及工期等因素。</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基坑土体加固施工前应进行现场试验，验证加固方法的适用性，确定施工工艺和施工参数。</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基坑土体加固施工的时序安排和施工组织应满足设计要求、场地条件和工期要求，加固施工宜在基坑开挖前进行。</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加固施工期间根据需要对周边环境进行监测，实行信息化施工。</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应在达到规定龄期后基坑开挖前，对加固体进行相关加固指标检测。</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基坑土体加固设计需确定加固工法、加固范围、加固体布置、置换率、水泥掺量、加固体强度等参数指标。</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基坑安全等级或变形保护等级为一级时，宜通过现场试验确定加固工艺的适用性和水泥掺量等参数，并满足设计强度要求。</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在含少量有机质或淤泥的土层中，进行基坑土体加固应适当增加水泥掺量；可掺加外掺剂改善水泥土加固体的性能和提高早期强度；当采用新型固化剂材料时，应通过现场试验确定其适用性。</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坑内被动区土体加固的应符合下列要求：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基坑平面长宽尺寸较大时，宜采用裙边或裙边结合墩式布置。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基坑平面形状为狭长形，且短边尺寸适中时，宜采用裙边结合抽条形式布置。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基坑平面尺寸较小，变形控制要求严格时，宜采用满堂加固布置。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当所需加固的平面范围较大时，可采用格栅形加固桩排列形式，加固体的强度及面积置换率应满足加固体设计指标要求。加固体搭接长度不宜小于150mm，并使被加固土体在平面和深度范围内连成整体。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加固体的宽度不宜小于基坑开挖深度的0.4倍，并不宜小于4m；加固体顶标高宜取为基础底板底标高，加固体的深度不宜小于3m，并宜根据基坑变形控制要求适当加深。</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基坑变形保护等级为一级的基坑被动区土体加固宜采用深层搅拌法、高压旋喷法、超高压旋喷法等。</w:t>
      </w:r>
    </w:p>
    <w:p>
      <w:pPr>
        <w:pStyle w:val="63"/>
        <w:ind w:firstLine="480"/>
        <w:rPr>
          <w:sz w:val="24"/>
        </w:rPr>
      </w:pP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坑内局部深坑的土体加固应根据深坑的深度、范围、与围护墙关系、土层特性、基坑支护形式及环境条件等综合确定，并应满足稳定性要求。当坑内深坑与基坑内壁较近时，深坑加固宜与基坑被动区加固连成整体；坑内深坑高差大、形状复杂、面积较小以及水文地质条件差时，可采用满堂加固措施处理。</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放坡开挖的边坡区域土体加固应根据开挖深度、范围、土层条件、环境条件综合确定，并满足边坡稳定性和地基承载力要求。在大面积放坡、坡顶邻近施工道路、坡体位于或邻近暗浜区等软弱土层等情况时宜采用土体加固；放坡开挖较深且坡脚位于淤泥质黏土层时，宜对坡脚部位采取土体加固措施。</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单轴或双轴水泥土搅拌桩加固深度不宜超过15m；三轴水泥土搅拌桩加固深度不宜超过25m；当搅拌桩为提高土体稳定性设置时，桩长应超过危险滑动面以下不小于2m。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下列情况可选用高压旋喷法加固：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施工场地狭小；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地下障碍物厚度大、成分复杂；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截水帷幕接缝止水</w:t>
      </w:r>
    </w:p>
    <w:p>
      <w:pPr>
        <w:pStyle w:val="51"/>
        <w:widowControl w:val="0"/>
        <w:numPr>
          <w:ilvl w:val="255"/>
          <w:numId w:val="0"/>
        </w:numPr>
        <w:spacing w:line="360" w:lineRule="auto"/>
        <w:ind w:left="0" w:firstLine="406" w:firstLineChars="145"/>
        <w:rPr>
          <w:bCs/>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根据需要和土质条件选用单重管、双重管和三重管法，旋喷加固体有效桩径应根据现场试验确定。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下列情况可选用注浆法加固：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浅层地基加固；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地基填充和提高抗渗性；</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对基坑周边保护对象的加固。</w:t>
      </w:r>
    </w:p>
    <w:p>
      <w:pPr>
        <w:pStyle w:val="3"/>
      </w:pPr>
      <w:bookmarkStart w:id="83" w:name="_Toc13187"/>
      <w:r>
        <w:rPr>
          <w:rFonts w:hint="eastAsia"/>
        </w:rPr>
        <w:t>注浆法</w:t>
      </w:r>
      <w:bookmarkEnd w:id="83"/>
    </w:p>
    <w:p>
      <w:pPr>
        <w:pStyle w:val="51"/>
      </w:pPr>
      <w:bookmarkStart w:id="84" w:name="_Hlk96746142"/>
      <w:r>
        <w:rPr>
          <w:rFonts w:hint="eastAsia" w:cs="Times New Roman" w:eastAsiaTheme="minorEastAsia"/>
          <w:bCs/>
          <w:color w:val="000000" w:themeColor="text1"/>
          <w:kern w:val="2"/>
          <w:sz w:val="28"/>
          <w:szCs w:val="28"/>
          <w:lang w:val="zh-CN" w:eastAsia="zh-CN" w:bidi="ar-SA"/>
          <w14:textFill>
            <w14:solidFill>
              <w14:schemeClr w14:val="tx1"/>
            </w14:solidFill>
          </w14:textFill>
        </w:rPr>
        <w:t>对于软弱地层的加固注浆，宜采用等距布置或梅花型布置，若加固区域与加固目的特殊，也可采用长条形等其他形式。</w:t>
      </w:r>
    </w:p>
    <w:p>
      <w:pPr>
        <w:pStyle w:val="51"/>
        <w:widowControl w:val="0"/>
        <w:numPr>
          <w:ilvl w:val="2"/>
          <w:numId w:val="1"/>
        </w:numPr>
        <w:spacing w:line="360" w:lineRule="auto"/>
        <w:ind w:left="284"/>
      </w:pPr>
      <w:r>
        <w:rPr>
          <w:rFonts w:hint="eastAsia" w:cs="Times New Roman" w:eastAsiaTheme="minorEastAsia"/>
          <w:bCs/>
          <w:color w:val="000000" w:themeColor="text1"/>
          <w:kern w:val="2"/>
          <w:sz w:val="28"/>
          <w:szCs w:val="28"/>
          <w:lang w:val="zh-CN" w:eastAsia="zh-CN" w:bidi="ar-SA"/>
          <w14:textFill>
            <w14:solidFill>
              <w14:schemeClr w14:val="tx1"/>
            </w14:solidFill>
          </w14:textFill>
        </w:rPr>
        <w:t>注浆管可采用塑料管或金属管，一般一次性注浆采用塑料管，分层注浆采用金属管；若地层复杂，深层注浆时，可采用钻杆注浆。</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注浆充填率应根据加固土要求达到的强度指标、加固深度、注浆流量、土体的孔隙率和渗透系数等因素确定，饱和软黏土的一次注浆充填率不宜大于0.15~0.17。</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用作防渗的注浆液应选用水玻璃或水玻璃与水泥的混合液；用作提高土体强度的注浆液宜选用以水泥为主剂的悬浊液。</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品种应按设计要求选用，宜采用32.5级和42.5级普通硅酸盐水泥。在满足强度要求的条件下，可用磨细粉煤灰部分代替水泥，以增加浆液的触变性能并节约成本。掺入量应通过试验确定，一般掺入量约为水泥的20%~50%。</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灌浆压力是指灌浆段所受的全压力，即孔口处压力表上指示的压力，所用压力大小视钻孔深度、岩土性质以及水泥浆的浓度等而定，一般沙土中为0.2-0.5MPa，粘性土为0.1-0.3MPa。</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浆液的配合比：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水泥浆的水灰比可取0.6~2.0，常用的水灰比为1.0。</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封闭泥浆7d立方体试块（边长为7.07cm）的抗压强度应为0.3~0.5MPa，浆液粘度应为80~90s。</w:t>
      </w:r>
    </w:p>
    <w:p>
      <w:pPr>
        <w:pStyle w:val="51"/>
        <w:widowControl w:val="0"/>
        <w:numPr>
          <w:ilvl w:val="255"/>
          <w:numId w:val="0"/>
        </w:numPr>
        <w:spacing w:line="360" w:lineRule="auto"/>
        <w:ind w:left="0" w:firstLine="406" w:firstLineChars="145"/>
        <w:rPr>
          <w:rFonts w:ascii="楷体" w:hAnsi="楷体" w:eastAsia="楷体"/>
          <w:i w:val="0"/>
          <w:color w:val="000000" w:themeColor="text1"/>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根据工程需要，可在浆液拌制时加入速凝剂、减水剂和防析水剂。用量通过应试验确定。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场内外应畅通无阻，施工用临设应就绪，水泥等材料应进场验收并复检。</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加固地基前，应通过试验确定灌浆量、灌浆孔距、灌浆压力等有关技术参数。</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注浆前，应选取一部分为先导孔，进一步了解所注地层的岩土特性，必要时测试相关参数，同时进行试验性注浆以确定注浆施工参数。施工中，应根据钻进的施工记录调整注浆参数，并采取必要的措施，以确保注浆效果。</w:t>
      </w:r>
    </w:p>
    <w:p>
      <w:pPr>
        <w:pStyle w:val="3"/>
      </w:pPr>
      <w:bookmarkStart w:id="85" w:name="_Toc22466"/>
      <w:r>
        <w:t>高压旋喷法</w:t>
      </w:r>
      <w:bookmarkEnd w:id="84"/>
      <w:bookmarkEnd w:id="85"/>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高压喷射注浆法分成单重管、双重管、三重管、MJS（全方位高压旋喷）等多种工艺。对于基坑加固宜采用大直径的旋喷或摆喷。</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高压喷射注浆用于提高土体的强度，或形成止水帷幕，适用于加固软弱粘性土、砂性土及填土。</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当用于止水帷幕或坑底加固时，须保持相邻喷射注浆加固体的搭接大于30cm。当用于灌注桩之间止水时，注浆加固体应与灌注桩密切结合。施工顺序可以根据施工现场条件确定。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加固土体的有效直径或范围应根据现场试验或工程经验确定。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对于不同土质和不同加固要求，采用喷射注浆法时，应因地制宜地确定加固设计、施工方案。</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喷射注浆法的施工必须严格按照确定的施工参数进行，确保泵及空压机的压力、流量、水灰比、提升速度等，并应保持钻孔垂直度。</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喷射注浆加固的检验，应根据工程要求而有所区别。用于基坑侧壁挡水时，应做好开挖期间的检测和准备好可能局部漏水的堵漏措施。</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根据不同地层及成桩深度,MJS桩体直径宜取2000mm~2600mm。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设计应结合成桩目的、桩径﹑搭接要求﹑深度等综合因素设定成孔轴线允许偏差﹐且不应大于1/150。</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桩间搭接应考虑隔水要求﹑成桩直径、土体不均匀性﹑成孔轴线允许偏差﹑加固土有效厚度等因素。有隔水要求时﹐桩间有效搭接长度不宜小于500mm。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桩间搭接应考虑隔水要求﹑成桩直径、土体不均匀性﹑成孔轴线允许偏差﹑加固土有效厚度等因素。有隔水要求时﹐桩间有效搭接长度不宜小于500mm。</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成桩方向与竖直方向夹角大于等于30°时,宜采用不大于180°的扇形截面形式向下喷射成桩。当全圆成桩时可采用不带同轴压缩空气的方式,桩体直径宜取800mm～1400mm。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全方位高压喷射注浆与地下连续墙﹑排桩、芯材等结构结合施工时,尚应符合下列规定: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用作地下连续墙槽壁加固时﹐宜采用背向地下连续墙摆喷的成桩形式,其桩心与地下连续墙的净距应根据成桩深度和垂直度偏差确定﹐且不宜小于100mm。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用作排桩支护的隔水帷幕时﹐宜采用正对桩缝扇形摆喷成桩形式,桩心间距应与排桩桩心间距一致。</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当全方位高压唢射注浆内插芯材作为围护结构时﹐宜先插芯材,后在芯材间背向基坑摆喷的成桩形式。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用作地下连续墙接缝止水时,宜采用不小于180°的正对接缝摆喷成桩形式,扇形桩体直径方向与地下连续墙虚拟搭接不得小于500mm。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采用水平方向施工时,加固区范围应结合工作井尺寸和设备限界条件确定。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单重管、双重管、三重管注浆量可根据地层条件、施工工艺及浆液配合比确定。浆液量可按以下两种方法估算:</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喷量法</w:t>
      </w:r>
    </w:p>
    <w:p>
      <w:pPr>
        <w:pStyle w:val="35"/>
      </w:pPr>
      <m:oMath>
        <m:r>
          <m:rPr>
            <m:sty m:val="p"/>
          </m:rPr>
          <w:rPr>
            <w:rFonts w:ascii="Cambria Math" w:hAnsi="Cambria Math"/>
          </w:rPr>
          <m:t>Q=</m:t>
        </m:r>
        <m:f>
          <m:fPr>
            <m:ctrlPr>
              <w:rPr>
                <w:rFonts w:ascii="Cambria Math" w:hAnsi="Cambria Math"/>
              </w:rPr>
            </m:ctrlPr>
          </m:fPr>
          <m:num>
            <m:sSub>
              <m:sSubPr>
                <m:ctrlPr>
                  <w:rPr>
                    <w:rFonts w:ascii="Cambria Math" w:hAnsi="Cambria Math"/>
                  </w:rPr>
                </m:ctrlPr>
              </m:sSubPr>
              <m:e>
                <m:r>
                  <m:rPr>
                    <m:sty m:val="p"/>
                  </m:rPr>
                  <w:rPr>
                    <w:rFonts w:ascii="Cambria Math" w:hAnsi="Cambria Math"/>
                  </w:rPr>
                  <m:t>H</m:t>
                </m:r>
                <m:ctrlPr>
                  <w:rPr>
                    <w:rFonts w:ascii="Cambria Math" w:hAnsi="Cambria Math"/>
                  </w:rPr>
                </m:ctrlPr>
              </m:e>
              <m:sub>
                <m:r>
                  <m:rPr>
                    <m:sty m:val="p"/>
                  </m:rPr>
                  <w:rPr>
                    <w:rFonts w:ascii="Cambria Math" w:hAnsi="Cambria Math"/>
                  </w:rPr>
                  <m:t>1</m:t>
                </m:r>
                <m:ctrlPr>
                  <w:rPr>
                    <w:rFonts w:ascii="Cambria Math" w:hAnsi="Cambria Math"/>
                  </w:rPr>
                </m:ctrlPr>
              </m:sub>
            </m:sSub>
            <m:ctrlPr>
              <w:rPr>
                <w:rFonts w:ascii="Cambria Math" w:hAnsi="Cambria Math"/>
              </w:rPr>
            </m:ctrlPr>
          </m:num>
          <m:den>
            <m:r>
              <m:rPr>
                <m:sty m:val="p"/>
              </m:rPr>
              <w:rPr>
                <w:rFonts w:ascii="Cambria Math" w:hAnsi="Cambria Math"/>
              </w:rPr>
              <m:t>v</m:t>
            </m:r>
            <m:ctrlPr>
              <w:rPr>
                <w:rFonts w:ascii="Cambria Math" w:hAnsi="Cambria Math"/>
              </w:rPr>
            </m:ctrlPr>
          </m:den>
        </m:f>
        <m:r>
          <m:rPr>
            <m:sty m:val="p"/>
          </m:rPr>
          <w:rPr>
            <w:rFonts w:ascii="Cambria Math" w:hAnsi="Cambria Math"/>
          </w:rPr>
          <m:t>q(1+</m:t>
        </m:r>
        <m:sSub>
          <m:sSubPr>
            <m:ctrlPr>
              <w:rPr>
                <w:rFonts w:ascii="Cambria Math" w:hAnsi="Cambria Math"/>
              </w:rPr>
            </m:ctrlPr>
          </m:sSubPr>
          <m:e>
            <m:r>
              <m:rPr>
                <m:sty m:val="p"/>
              </m:rPr>
              <w:rPr>
                <w:rFonts w:hint="eastAsia" w:ascii="Cambria Math" w:hAnsi="Cambria Math"/>
              </w:rPr>
              <m:t>β</m:t>
            </m:r>
            <m:ctrlPr>
              <w:rPr>
                <w:rFonts w:ascii="Cambria Math" w:hAnsi="Cambria Math"/>
              </w:rPr>
            </m:ctrlPr>
          </m:e>
          <m:sub>
            <m:r>
              <m:rPr>
                <m:sty m:val="p"/>
              </m:rPr>
              <w:rPr>
                <w:rFonts w:hint="eastAsia" w:ascii="Cambria Math" w:hAnsi="Cambria Math"/>
              </w:rPr>
              <m:t>1</m:t>
            </m:r>
            <m:ctrlPr>
              <w:rPr>
                <w:rFonts w:ascii="Cambria Math" w:hAnsi="Cambria Math"/>
              </w:rPr>
            </m:ctrlPr>
          </m:sub>
        </m:sSub>
        <m:r>
          <m:rPr>
            <m:sty m:val="p"/>
          </m:rPr>
          <w:rPr>
            <w:rFonts w:hint="eastAsia" w:ascii="Cambria Math" w:hAnsi="Cambria Math"/>
          </w:rPr>
          <m:t>）</m:t>
        </m:r>
      </m:oMath>
      <w:r>
        <w:rPr>
          <w:rFonts w:hint="eastAsia" w:hAnsi="Cambria Math"/>
        </w:rPr>
        <w:t xml:space="preserve">   </w:t>
      </w:r>
      <w:r>
        <w:rPr>
          <w:rFonts w:hint="eastAsia" w:ascii="宋体" w:hAnsi="宋体" w:cs="宋体"/>
          <w:lang w:bidi="en-US"/>
        </w:rPr>
        <w:t>（</w:t>
      </w:r>
      <w:r>
        <w:rPr>
          <w:rFonts w:hint="eastAsia"/>
          <w:lang w:bidi="en-US"/>
        </w:rPr>
        <w:t>8</w:t>
      </w:r>
      <w:r>
        <w:rPr>
          <w:lang w:bidi="en-US"/>
        </w:rPr>
        <w:t>.</w:t>
      </w:r>
      <w:r>
        <w:rPr>
          <w:rFonts w:hint="eastAsia"/>
          <w:lang w:bidi="en-US"/>
        </w:rPr>
        <w:t>3</w:t>
      </w:r>
      <w:r>
        <w:rPr>
          <w:lang w:bidi="en-US"/>
        </w:rPr>
        <w:t>.</w:t>
      </w:r>
      <w:r>
        <w:rPr>
          <w:rFonts w:hint="eastAsia"/>
          <w:lang w:bidi="en-US"/>
        </w:rPr>
        <w:t>15</w:t>
      </w:r>
      <w:r>
        <w:rPr>
          <w:lang w:bidi="en-US"/>
        </w:rPr>
        <w:t>-1</w:t>
      </w:r>
      <w:r>
        <w:rPr>
          <w:rFonts w:hint="eastAsia" w:ascii="宋体" w:hAnsi="宋体" w:cs="宋体"/>
          <w:lang w:bidi="en-US"/>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p>
    <w:p>
      <w:pPr>
        <w:ind w:firstLine="480"/>
      </w:pPr>
      <w:r>
        <w:rPr>
          <w:rFonts w:hint="eastAsia"/>
        </w:rPr>
        <w:t>Q——</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浆量</w:t>
      </w:r>
      <w:r>
        <w:rPr>
          <w:rFonts w:hint="eastAsia"/>
        </w:rPr>
        <w:t>（m³）</w:t>
      </w:r>
    </w:p>
    <w:p>
      <w:pPr>
        <w:ind w:firstLine="480"/>
      </w:pPr>
      <w:r>
        <w:rPr>
          <w:rFonts w:hint="eastAsia"/>
        </w:rPr>
        <w:t>H</w:t>
      </w:r>
      <w:r>
        <w:rPr>
          <w:rFonts w:hint="eastAsia"/>
          <w:vertAlign w:val="subscript"/>
        </w:rPr>
        <w:t>1</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喷射段长度</w:t>
      </w:r>
      <w:r>
        <w:rPr>
          <w:rFonts w:hint="eastAsia"/>
        </w:rPr>
        <w:t>（m)</w:t>
      </w:r>
    </w:p>
    <w:p>
      <w:pPr>
        <w:ind w:firstLine="480"/>
      </w:pPr>
      <w:r>
        <w:rPr>
          <w:rFonts w:hint="eastAsia"/>
        </w:rPr>
        <w:t>V——</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提升速度</w:t>
      </w:r>
      <w:r>
        <w:rPr>
          <w:rFonts w:hint="eastAsia"/>
        </w:rPr>
        <w:t>（m/min)</w:t>
      </w:r>
    </w:p>
    <w:p>
      <w:pPr>
        <w:ind w:firstLine="480"/>
      </w:pPr>
      <w:r>
        <w:rPr>
          <w:rFonts w:hint="eastAsia"/>
        </w:rPr>
        <w:t>q——</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单位时间喷射量</w:t>
      </w:r>
      <w:r>
        <w:rPr>
          <w:rFonts w:hint="eastAsia"/>
        </w:rPr>
        <w:t>（m³/min)</w:t>
      </w:r>
    </w:p>
    <w:p>
      <w:pPr>
        <w:ind w:firstLine="480"/>
      </w:pPr>
      <w:r>
        <w:rPr>
          <w:rFonts w:hint="eastAsia"/>
        </w:rPr>
        <w:t>β</w:t>
      </w:r>
      <w:r>
        <w:rPr>
          <w:rFonts w:hint="eastAsia"/>
          <w:vertAlign w:val="subscript"/>
        </w:rPr>
        <w:t>1</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浆液量损失系数</w:t>
      </w:r>
      <w:r>
        <w:rPr>
          <w:rFonts w:hint="eastAsia"/>
        </w:rPr>
        <w:t>(0.03～0.10）</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体积法</w:t>
      </w:r>
    </w:p>
    <w:p>
      <w:pPr>
        <w:pStyle w:val="35"/>
      </w:pPr>
      <m:oMath>
        <m:r>
          <m:rPr>
            <m:sty m:val="p"/>
          </m:rPr>
          <w:rPr>
            <w:rFonts w:ascii="Cambria Math" w:hAnsi="Cambria Math"/>
          </w:rPr>
          <m:t>Q=</m:t>
        </m:r>
        <m:f>
          <m:fPr>
            <m:ctrlPr>
              <w:rPr>
                <w:rFonts w:ascii="Cambria Math" w:hAnsi="Cambria Math"/>
              </w:rPr>
            </m:ctrlPr>
          </m:fPr>
          <m:num>
            <m:r>
              <m:rPr>
                <m:sty m:val="p"/>
              </m:rPr>
              <w:rPr>
                <w:rFonts w:hint="eastAsia" w:ascii="Cambria Math" w:hAnsi="Cambria Math"/>
              </w:rPr>
              <m:t>Π</m:t>
            </m:r>
            <m:ctrlPr>
              <w:rPr>
                <w:rFonts w:ascii="Cambria Math" w:hAnsi="Cambria Math"/>
              </w:rPr>
            </m:ctrlPr>
          </m:num>
          <m:den>
            <m:r>
              <m:rPr>
                <m:sty m:val="p"/>
              </m:rPr>
              <w:rPr>
                <w:rFonts w:hint="eastAsia" w:ascii="Cambria Math" w:hAnsi="Cambria Math"/>
              </w:rPr>
              <m:t>4</m:t>
            </m:r>
            <m:ctrlPr>
              <w:rPr>
                <w:rFonts w:ascii="Cambria Math" w:hAnsi="Cambria Math"/>
              </w:rPr>
            </m:ctrlPr>
          </m:den>
        </m:f>
        <m:sSubSup>
          <m:sSubSupPr>
            <m:ctrlPr>
              <w:rPr>
                <w:rFonts w:ascii="Cambria Math" w:hAnsi="Cambria Math"/>
              </w:rPr>
            </m:ctrlPr>
          </m:sSubSupPr>
          <m:e>
            <m:r>
              <m:rPr>
                <m:sty m:val="p"/>
              </m:rPr>
              <w:rPr>
                <w:rFonts w:ascii="Cambria Math" w:hAnsi="Cambria Math"/>
              </w:rPr>
              <m:t>D</m:t>
            </m:r>
            <m:ctrlPr>
              <w:rPr>
                <w:rFonts w:ascii="Cambria Math" w:hAnsi="Cambria Math"/>
              </w:rPr>
            </m:ctrlPr>
          </m:e>
          <m:sub>
            <m:r>
              <m:rPr>
                <m:sty m:val="p"/>
              </m:rPr>
              <w:rPr>
                <w:rFonts w:ascii="Cambria Math" w:hAnsi="Cambria Math"/>
              </w:rPr>
              <m:t>e</m:t>
            </m:r>
            <m:ctrlPr>
              <w:rPr>
                <w:rFonts w:ascii="Cambria Math" w:hAnsi="Cambria Math"/>
              </w:rPr>
            </m:ctrlPr>
          </m:sub>
          <m:sup>
            <m:r>
              <m:rPr>
                <m:sty m:val="p"/>
              </m:rPr>
              <w:rPr>
                <w:rFonts w:hint="eastAsia" w:ascii="Cambria Math" w:hAnsi="Cambria Math"/>
              </w:rPr>
              <m:t>2</m:t>
            </m:r>
            <m:ctrlPr>
              <w:rPr>
                <w:rFonts w:ascii="Cambria Math" w:hAnsi="Cambria Math"/>
              </w:rPr>
            </m:ctrlPr>
          </m:sup>
        </m:sSubSup>
        <m:r>
          <m:rPr>
            <m:sty m:val="p"/>
          </m:rPr>
          <w:rPr>
            <w:rFonts w:ascii="Cambria Math" w:hAnsi="Cambria Math"/>
          </w:rPr>
          <m:t>K</m:t>
        </m:r>
        <m:sSub>
          <m:sSubPr>
            <m:ctrlPr>
              <w:rPr>
                <w:rFonts w:ascii="Cambria Math" w:hAnsi="Cambria Math"/>
              </w:rPr>
            </m:ctrlPr>
          </m:sSubPr>
          <m:e>
            <m:r>
              <m:rPr>
                <m:sty m:val="p"/>
              </m:rPr>
              <w:rPr>
                <w:rFonts w:ascii="Cambria Math" w:hAnsi="Cambria Math"/>
              </w:rPr>
              <m:t>H</m:t>
            </m:r>
            <m:ctrlPr>
              <w:rPr>
                <w:rFonts w:ascii="Cambria Math" w:hAnsi="Cambria Math"/>
              </w:rPr>
            </m:ctrlPr>
          </m:e>
          <m:sub>
            <m:r>
              <m:rPr>
                <m:sty m:val="p"/>
              </m:rPr>
              <w:rPr>
                <w:rFonts w:ascii="Cambria Math" w:hAnsi="Cambria Math"/>
              </w:rPr>
              <m:t>1</m:t>
            </m:r>
            <m:ctrlPr>
              <w:rPr>
                <w:rFonts w:ascii="Cambria Math" w:hAnsi="Cambria Math"/>
              </w:rPr>
            </m:ctrlPr>
          </m:sub>
        </m:sSub>
      </m:oMath>
      <w:r>
        <w:rPr>
          <w:rFonts w:hint="eastAsia"/>
        </w:rPr>
        <w:t>(1+β</w:t>
      </w:r>
      <w:r>
        <w:rPr>
          <w:rFonts w:hint="eastAsia"/>
          <w:vertAlign w:val="subscript"/>
        </w:rPr>
        <w:t>1</w:t>
      </w:r>
      <w:r>
        <w:rPr>
          <w:rFonts w:hint="eastAsia"/>
        </w:rPr>
        <w:t>)+</w:t>
      </w:r>
      <m:oMath>
        <m:f>
          <m:fPr>
            <m:ctrlPr>
              <w:rPr>
                <w:rFonts w:ascii="Cambria Math" w:hAnsi="Cambria Math"/>
                <w:i/>
              </w:rPr>
            </m:ctrlPr>
          </m:fPr>
          <m:num>
            <m:r>
              <m:rPr/>
              <w:rPr>
                <w:rFonts w:ascii="Cambria Math" w:hAnsi="Cambria Math"/>
              </w:rPr>
              <m:t>Π</m:t>
            </m:r>
            <m:ctrlPr>
              <w:rPr>
                <w:rFonts w:ascii="Cambria Math" w:hAnsi="Cambria Math"/>
                <w:i/>
              </w:rPr>
            </m:ctrlPr>
          </m:num>
          <m:den>
            <m:r>
              <m:rPr/>
              <w:rPr>
                <w:rFonts w:hint="eastAsia" w:ascii="Cambria Math" w:hAnsi="Cambria Math"/>
              </w:rPr>
              <m:t>4</m:t>
            </m:r>
            <m:ctrlPr>
              <w:rPr>
                <w:rFonts w:ascii="Cambria Math" w:hAnsi="Cambria Math"/>
                <w:i/>
              </w:rPr>
            </m:ctrlPr>
          </m:den>
        </m:f>
        <m:sSubSup>
          <m:sSubSupPr>
            <m:ctrlPr>
              <w:rPr>
                <w:rFonts w:ascii="Cambria Math" w:hAnsi="Cambria Math"/>
                <w:i/>
              </w:rPr>
            </m:ctrlPr>
          </m:sSubSupPr>
          <m:e>
            <m:r>
              <m:rPr/>
              <w:rPr>
                <w:rFonts w:ascii="Cambria Math" w:hAnsi="Cambria Math"/>
              </w:rPr>
              <m:t>D</m:t>
            </m:r>
            <m:ctrlPr>
              <w:rPr>
                <w:rFonts w:ascii="Cambria Math" w:hAnsi="Cambria Math"/>
                <w:i/>
              </w:rPr>
            </m:ctrlPr>
          </m:e>
          <m:sub>
            <m:r>
              <m:rPr/>
              <w:rPr>
                <w:rFonts w:ascii="Cambria Math" w:hAnsi="Cambria Math"/>
              </w:rPr>
              <m:t>k</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α</m:t>
        </m:r>
        <m:sSub>
          <m:sSubPr>
            <m:ctrlPr>
              <w:rPr>
                <w:rFonts w:ascii="Cambria Math" w:hAnsi="Cambria Math"/>
                <w:i/>
              </w:rPr>
            </m:ctrlPr>
          </m:sSubPr>
          <m:e>
            <m:r>
              <m:rPr/>
              <w:rPr>
                <w:rFonts w:ascii="Cambria Math" w:hAnsi="Cambria Math"/>
              </w:rPr>
              <m:t>H</m:t>
            </m:r>
            <m:ctrlPr>
              <w:rPr>
                <w:rFonts w:ascii="Cambria Math" w:hAnsi="Cambria Math"/>
                <w:i/>
              </w:rPr>
            </m:ctrlPr>
          </m:e>
          <m:sub>
            <m:r>
              <m:rPr/>
              <w:rPr>
                <w:rFonts w:hint="eastAsia" w:ascii="Cambria Math" w:hAnsi="Cambria Math"/>
              </w:rPr>
              <m:t>2</m:t>
            </m:r>
            <m:ctrlPr>
              <w:rPr>
                <w:rFonts w:ascii="Cambria Math" w:hAnsi="Cambria Math"/>
                <w:i/>
              </w:rPr>
            </m:ctrlPr>
          </m:sub>
        </m:sSub>
      </m:oMath>
      <w:r>
        <w:rPr>
          <w:rFonts w:hint="eastAsia" w:hAnsi="Cambria Math"/>
        </w:rPr>
        <w:t xml:space="preserve">   </w:t>
      </w:r>
      <w:r>
        <w:rPr>
          <w:rFonts w:hint="eastAsia" w:ascii="宋体" w:hAnsi="宋体" w:cs="宋体"/>
          <w:lang w:bidi="en-US"/>
        </w:rPr>
        <w:t>（</w:t>
      </w:r>
      <w:r>
        <w:rPr>
          <w:rFonts w:hint="eastAsia"/>
          <w:lang w:bidi="en-US"/>
        </w:rPr>
        <w:t>8</w:t>
      </w:r>
      <w:r>
        <w:rPr>
          <w:lang w:bidi="en-US"/>
        </w:rPr>
        <w:t>.</w:t>
      </w:r>
      <w:r>
        <w:rPr>
          <w:rFonts w:hint="eastAsia"/>
          <w:lang w:bidi="en-US"/>
        </w:rPr>
        <w:t>3</w:t>
      </w:r>
      <w:r>
        <w:rPr>
          <w:lang w:bidi="en-US"/>
        </w:rPr>
        <w:t>.</w:t>
      </w:r>
      <w:r>
        <w:rPr>
          <w:rFonts w:hint="eastAsia"/>
          <w:lang w:bidi="en-US"/>
        </w:rPr>
        <w:t>15</w:t>
      </w:r>
      <w:r>
        <w:rPr>
          <w:lang w:bidi="en-US"/>
        </w:rPr>
        <w:t>-</w:t>
      </w:r>
      <w:r>
        <w:rPr>
          <w:rFonts w:hint="eastAsia"/>
          <w:lang w:bidi="en-US"/>
        </w:rPr>
        <w:t>2</w:t>
      </w:r>
      <w:r>
        <w:rPr>
          <w:rFonts w:hint="eastAsia" w:ascii="宋体" w:hAnsi="宋体" w:cs="宋体"/>
          <w:lang w:bidi="en-US"/>
        </w:rPr>
        <w:t>）</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p>
    <w:p>
      <w:pPr>
        <w:ind w:firstLine="480"/>
      </w:pPr>
      <w:r>
        <w:rPr>
          <w:rFonts w:hint="eastAsia"/>
        </w:rPr>
        <w:t>D</w:t>
      </w:r>
      <w:r>
        <w:rPr>
          <w:rFonts w:hint="eastAsia"/>
          <w:vertAlign w:val="subscript"/>
        </w:rPr>
        <w:t>e</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高压喷射注浆固结体直径</w:t>
      </w:r>
      <w:r>
        <w:rPr>
          <w:rFonts w:hint="eastAsia"/>
        </w:rPr>
        <w:t>（m)</w:t>
      </w:r>
    </w:p>
    <w:p>
      <w:pPr>
        <w:ind w:firstLine="480"/>
      </w:pPr>
      <w:r>
        <w:rPr>
          <w:rFonts w:hint="eastAsia"/>
        </w:rPr>
        <w:t>K——</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置换率</w:t>
      </w:r>
      <w:r>
        <w:rPr>
          <w:rFonts w:hint="eastAsia"/>
        </w:rPr>
        <w:t>（0.75～0.90）</w:t>
      </w:r>
    </w:p>
    <w:p>
      <w:pPr>
        <w:ind w:firstLine="480"/>
      </w:pPr>
      <w:r>
        <w:rPr>
          <w:rFonts w:hint="eastAsia"/>
        </w:rPr>
        <w:t>Β</w:t>
      </w:r>
      <w:r>
        <w:rPr>
          <w:rFonts w:hint="eastAsia"/>
          <w:vertAlign w:val="subscript"/>
        </w:rPr>
        <w:t>2</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孔口返奖损失系数</w:t>
      </w:r>
      <w:r>
        <w:rPr>
          <w:rFonts w:hint="eastAsia"/>
        </w:rPr>
        <w:t>（0.1～0.2）</w:t>
      </w:r>
    </w:p>
    <w:p>
      <w:pPr>
        <w:ind w:firstLine="480"/>
      </w:pPr>
      <w:r>
        <w:rPr>
          <w:rFonts w:hint="eastAsia"/>
        </w:rPr>
        <w:t>D</w:t>
      </w:r>
      <w:r>
        <w:rPr>
          <w:rFonts w:hint="eastAsia"/>
          <w:vertAlign w:val="subscript"/>
        </w:rPr>
        <w:t>k</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造孔直径</w:t>
      </w:r>
      <w:r>
        <w:rPr>
          <w:rFonts w:hint="eastAsia"/>
        </w:rPr>
        <w:t>（m）</w:t>
      </w:r>
    </w:p>
    <w:p>
      <w:pPr>
        <w:ind w:firstLine="480"/>
      </w:pPr>
      <w:r>
        <w:rPr>
          <w:rFonts w:hint="eastAsia"/>
        </w:rPr>
        <w:t>α——</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未喷射段孔内浆液与岩土碎屑的混合率</w:t>
      </w:r>
      <w:r>
        <w:rPr>
          <w:rFonts w:hint="eastAsia"/>
        </w:rPr>
        <w:t>（0.50～0.75）</w:t>
      </w:r>
    </w:p>
    <w:p>
      <w:pPr>
        <w:ind w:firstLine="480"/>
      </w:pPr>
      <w:r>
        <w:rPr>
          <w:rFonts w:hint="eastAsia"/>
        </w:rPr>
        <w:t>H</w:t>
      </w:r>
      <w:r>
        <w:rPr>
          <w:rFonts w:hint="eastAsia"/>
          <w:vertAlign w:val="subscript"/>
        </w:rPr>
        <w:t>2</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未喷射段长度</w:t>
      </w:r>
      <w:r>
        <w:rPr>
          <w:rFonts w:hint="eastAsia"/>
        </w:rPr>
        <w:t>（m）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MJS注浆量可根据地层条件、施工工艺及浆液配合比确定。喷射注浆每延米水泥用量，可按下列公式进行计算：</w:t>
      </w:r>
    </w:p>
    <w:p>
      <w:pPr>
        <w:pStyle w:val="35"/>
      </w:pPr>
      <w:r>
        <w:rPr>
          <w:lang w:bidi="en-US"/>
        </w:rPr>
        <w:tab/>
      </w:r>
      <w:r>
        <w:rPr>
          <w:lang w:eastAsia="en-US" w:bidi="en-US"/>
        </w:rPr>
        <w:t>m</w:t>
      </w:r>
      <w:r>
        <w:rPr>
          <w:vertAlign w:val="subscript"/>
          <w:lang w:eastAsia="en-US" w:bidi="en-US"/>
        </w:rPr>
        <w:t>c</w:t>
      </w:r>
      <w:r>
        <w:rPr>
          <w:lang w:eastAsia="en-US" w:bidi="en-US"/>
        </w:rPr>
        <w:t>=a•</w:t>
      </w:r>
      <w:r>
        <w:rPr>
          <w:rFonts w:hint="eastAsia"/>
          <w:lang w:bidi="en-US"/>
        </w:rPr>
        <w:t>β</w:t>
      </w:r>
      <w:r>
        <w:rPr>
          <w:lang w:eastAsia="en-US" w:bidi="en-US"/>
        </w:rPr>
        <w:t>•</w:t>
      </w:r>
      <w:r>
        <w:rPr>
          <w:rFonts w:hint="eastAsia"/>
          <w:lang w:bidi="en-US"/>
        </w:rPr>
        <w:t>m</w:t>
      </w:r>
      <w:r>
        <w:rPr>
          <w:rFonts w:hint="eastAsia"/>
          <w:vertAlign w:val="subscript"/>
          <w:lang w:bidi="en-US"/>
        </w:rPr>
        <w:t>1</w:t>
      </w:r>
      <w:r>
        <w:rPr>
          <w:lang w:eastAsia="en-US" w:bidi="en-US"/>
        </w:rPr>
        <w:t>•Q•v</w:t>
      </w:r>
      <w:r>
        <w:rPr>
          <w:lang w:eastAsia="en-US" w:bidi="en-US"/>
        </w:rPr>
        <w:tab/>
      </w:r>
      <w:r>
        <w:rPr>
          <w:rFonts w:hint="eastAsia" w:ascii="宋体" w:hAnsi="宋体" w:cs="宋体"/>
          <w:lang w:eastAsia="en-US" w:bidi="en-US"/>
        </w:rPr>
        <w:t>（</w:t>
      </w:r>
      <w:r>
        <w:rPr>
          <w:rFonts w:hint="eastAsia"/>
          <w:lang w:bidi="en-US"/>
        </w:rPr>
        <w:t>8</w:t>
      </w:r>
      <w:r>
        <w:rPr>
          <w:lang w:eastAsia="en-US" w:bidi="en-US"/>
        </w:rPr>
        <w:t>.</w:t>
      </w:r>
      <w:r>
        <w:rPr>
          <w:rFonts w:hint="eastAsia"/>
          <w:lang w:bidi="en-US"/>
        </w:rPr>
        <w:t>3</w:t>
      </w:r>
      <w:r>
        <w:rPr>
          <w:lang w:eastAsia="en-US" w:bidi="en-US"/>
        </w:rPr>
        <w:t>.</w:t>
      </w:r>
      <w:r>
        <w:rPr>
          <w:rFonts w:hint="eastAsia"/>
          <w:lang w:bidi="en-US"/>
        </w:rPr>
        <w:t>16</w:t>
      </w:r>
      <w:r>
        <w:rPr>
          <w:lang w:eastAsia="en-US" w:bidi="en-US"/>
        </w:rPr>
        <w:t>-1</w:t>
      </w:r>
      <w:r>
        <w:rPr>
          <w:rFonts w:hint="eastAsia" w:ascii="宋体" w:hAnsi="宋体" w:cs="宋体"/>
          <w:lang w:eastAsia="en-US" w:bidi="en-US"/>
        </w:rPr>
        <w:t>）</w:t>
      </w:r>
    </w:p>
    <w:p>
      <w:pPr>
        <w:pStyle w:val="35"/>
      </w:pPr>
      <w:r>
        <w:rPr>
          <w:i/>
          <w:iCs/>
          <w:lang w:bidi="en-US"/>
        </w:rPr>
        <w:tab/>
      </w:r>
      <w:r>
        <w:rPr>
          <w:rFonts w:hint="eastAsia"/>
          <w:i/>
          <w:iCs/>
          <w:lang w:bidi="en-US"/>
        </w:rPr>
        <w:t>α</w:t>
      </w:r>
      <w:r>
        <w:rPr>
          <w:i/>
          <w:iCs/>
          <w:lang w:eastAsia="en-US" w:bidi="en-US"/>
        </w:rPr>
        <w:t>=</w:t>
      </w:r>
      <w:r>
        <w:rPr>
          <w:rFonts w:hint="eastAsia"/>
          <w:i/>
          <w:iCs/>
          <w:lang w:bidi="en-US"/>
        </w:rPr>
        <w:t>1</w:t>
      </w:r>
      <w:r>
        <w:rPr>
          <w:i/>
          <w:iCs/>
          <w:lang w:eastAsia="en-US" w:bidi="en-US"/>
        </w:rPr>
        <w:t>+d</w:t>
      </w:r>
      <w:r>
        <w:rPr>
          <w:i/>
          <w:iCs/>
          <w:vertAlign w:val="subscript"/>
          <w:lang w:eastAsia="en-US" w:bidi="en-US"/>
        </w:rPr>
        <w:t>1</w:t>
      </w:r>
      <w:r>
        <w:rPr>
          <w:i/>
          <w:iCs/>
          <w:lang w:eastAsia="en-US" w:bidi="en-US"/>
        </w:rPr>
        <w:t>/L</w:t>
      </w:r>
      <w:r>
        <w:rPr>
          <w:lang w:eastAsia="en-US" w:bidi="en-US"/>
        </w:rPr>
        <w:tab/>
      </w:r>
      <w:r>
        <w:rPr>
          <w:rFonts w:hint="eastAsia" w:ascii="宋体" w:hAnsi="宋体" w:cs="宋体"/>
          <w:lang w:eastAsia="en-US" w:bidi="en-US"/>
        </w:rPr>
        <w:t>（</w:t>
      </w:r>
      <w:r>
        <w:rPr>
          <w:rFonts w:hint="eastAsia"/>
          <w:lang w:bidi="en-US"/>
        </w:rPr>
        <w:t>8</w:t>
      </w:r>
      <w:r>
        <w:rPr>
          <w:lang w:eastAsia="en-US" w:bidi="en-US"/>
        </w:rPr>
        <w:t>.</w:t>
      </w:r>
      <w:r>
        <w:rPr>
          <w:rFonts w:hint="eastAsia"/>
          <w:lang w:bidi="en-US"/>
        </w:rPr>
        <w:t>3</w:t>
      </w:r>
      <w:r>
        <w:rPr>
          <w:lang w:eastAsia="en-US" w:bidi="en-US"/>
        </w:rPr>
        <w:t>.</w:t>
      </w:r>
      <w:r>
        <w:rPr>
          <w:rFonts w:hint="eastAsia"/>
          <w:lang w:bidi="en-US"/>
        </w:rPr>
        <w:t>16</w:t>
      </w:r>
      <w:r>
        <w:rPr>
          <w:lang w:eastAsia="en-US" w:bidi="en-US"/>
        </w:rPr>
        <w:t>-2</w:t>
      </w:r>
      <w:r>
        <w:rPr>
          <w:rFonts w:hint="eastAsia" w:ascii="宋体" w:hAnsi="宋体" w:cs="宋体"/>
          <w:lang w:eastAsia="en-US" w:bidi="en-US"/>
        </w:rPr>
        <w:t>）</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t>：m</w:t>
      </w:r>
      <w:r>
        <w:rPr>
          <w:vertAlign w:val="subscript"/>
        </w:rPr>
        <w:t>c</w:t>
      </w:r>
      <w:r>
        <w:tab/>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每延米设计水泥用量</w:t>
      </w:r>
      <w:r>
        <w:t>（kg/m）；</w:t>
      </w:r>
    </w:p>
    <w:p>
      <w:pPr>
        <w:ind w:firstLine="480"/>
      </w:pPr>
      <w:r>
        <w:rPr>
          <w:rFonts w:hint="eastAsia"/>
        </w:rPr>
        <w:t>α</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分节拆装钻杆重复喷射水泥土增强体的搭接系数；</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rPr>
        <w:t>β</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损耗经验系数，根据施工工艺、地质条件等取值,宜取1.10~1.15,黏性土宜取大值；</w:t>
      </w:r>
    </w:p>
    <w:p>
      <w:pPr>
        <w:ind w:firstLine="480"/>
      </w:pPr>
      <w:r>
        <w:rPr>
          <w:rFonts w:hint="eastAsia"/>
        </w:rPr>
        <w:t>m</w:t>
      </w:r>
      <w:r>
        <w:rPr>
          <w:rFonts w:hint="eastAsia"/>
          <w:vertAlign w:val="subscript"/>
        </w:rPr>
        <w:t>1</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每升水泥浆液中水泥含量</w:t>
      </w:r>
      <w:r>
        <w:t>（kg/L）；</w:t>
      </w:r>
    </w:p>
    <w:p>
      <w:pPr>
        <w:ind w:firstLine="480"/>
      </w:pPr>
      <w:r>
        <w:t>Q</w:t>
      </w:r>
      <w:r>
        <w:rPr>
          <w:rFonts w:hint="eastAsia"/>
        </w:rPr>
        <w:t>——</w:t>
      </w:r>
      <w:r>
        <w:tab/>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喷射流流量</w:t>
      </w:r>
      <w:r>
        <w:t>（I/min）；</w:t>
      </w:r>
    </w:p>
    <w:p>
      <w:pPr>
        <w:ind w:firstLine="480"/>
      </w:pPr>
      <w:r>
        <w:rPr>
          <w:rFonts w:hint="eastAsia"/>
        </w:rPr>
        <w:t>V——</w:t>
      </w:r>
      <w:r>
        <w:tab/>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步进提升速度</w:t>
      </w:r>
      <w:r>
        <w:t>（min/m）；</w:t>
      </w:r>
    </w:p>
    <w:p>
      <w:pPr>
        <w:ind w:firstLine="480"/>
      </w:pPr>
      <w:r>
        <w:rPr>
          <w:rFonts w:hint="eastAsia"/>
        </w:rPr>
        <w:t>d</w:t>
      </w:r>
      <w:r>
        <w:rPr>
          <w:rFonts w:hint="eastAsia"/>
          <w:vertAlign w:val="subscript"/>
        </w:rPr>
        <w:t>1</w:t>
      </w:r>
      <w: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分节拆装钻杆重复喷射的距离</w:t>
      </w:r>
      <w:r>
        <w:t>（m）；</w:t>
      </w:r>
    </w:p>
    <w:p>
      <w:pPr>
        <w:ind w:firstLine="480"/>
        <w:rPr>
          <w:color w:val="auto"/>
        </w:rPr>
      </w:pPr>
      <w:r>
        <w:t>L——</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分节拆装钻杆的长度</w:t>
      </w:r>
      <w:r>
        <w:t>（m）。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旋喷桩施工应符合下列规定：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施工前应根据现场环境和地下埋设物的位置等情况，复核高压喷射注浆的设计孔位。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高压旋喷注桩的施工参数应根据土质条件、加固要求通过试验或根据工程经验确定，并在施工中严格加以控制。单管法及双管法的高压水泥浆和三管法高压水的压力宜大于 30MPa，流量大于 30L/min，气流压力宜取 0.7MPa，提升速度可取 0.1～0.2m/min。</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高压喷射注浆，对于无特殊要求的工程宜采用强度等级为 P.O.32.5 级及以上的普通硅酸盐水泥，根据需要可加入适量的外加剂及掺合料。外加剂和掺合料的用量，应通过试验确定。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水泥浆液的水灰比应按工程要求确定，可取 0.8～1.2，常用 0.9。</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高压喷射注浆的施工工序为机具就位、贯入喷射管、喷射注浆、拔管和冲洗等。</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喷射孔与高压注浆泵的距离不宜大于50m。钻孔的位置与设计位置的偏差不得大于50㎜。垂直度偏差不大于 1%。实际孔位、孔深和每个钻孔内的地下障碍物、洞穴、涌水、漏水及岩土工程勘察报告不符等情况均应详细记录。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当喷射注浆管贯入土中，喷嘴达到设计标高时，即可喷射注浆。在喷射注浆参数达到规定值后，随即按旋喷的工艺要求，提升喷射管，由下而上旋转喷射注浆。喷射管分段提升的搭接长度不得小于100mm。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8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对需要局部扩大加固范围或提高强度的部位，可采用复喷措施。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9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在高压喷射注浆过程中出现压力骤然下降、上升或冒浆异常时，应查明原因并及时采取措施。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10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高压喷射注浆完毕，应迅速拔出喷射管。为防止浆液凝固收缩影响桩顶高程，必要时可在原孔位采用冒浆回灌或第二次注浆等措施。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施工中应做好泥浆处理，及时将泥浆运出或在现场短期堆放后作土方运出。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12 施工中应严格按照施工参数和材料用量施工，用浆量和提升速度应采用自动记录装置，并如实做好各项施工记录。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旋喷桩质量检验应符合下列要求：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高压旋喷桩可根据工程要求和当地经验采用开挖检查、取芯（常规取芯或软取芯）、标准贯入试验、动力触探载荷试验等方法进行检验。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检验点应布置在下列部位：</w:t>
      </w:r>
    </w:p>
    <w:p>
      <w:pPr>
        <w:widowControl w:val="0"/>
        <w:numPr>
          <w:ilvl w:val="0"/>
          <w:numId w:val="9"/>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有代表性的桩位；</w:t>
      </w:r>
    </w:p>
    <w:p>
      <w:pPr>
        <w:numPr>
          <w:ilvl w:val="0"/>
          <w:numId w:val="9"/>
        </w:numPr>
        <w:ind w:left="1119" w:leftChars="233" w:hanging="560" w:hanging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施工中出现异常情况的部位；</w:t>
      </w:r>
    </w:p>
    <w:p>
      <w:pPr>
        <w:widowControl w:val="0"/>
        <w:numPr>
          <w:ilvl w:val="0"/>
          <w:numId w:val="9"/>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地基情况复杂，可能对高压喷射注浆质量产生影响的部位。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检验点的数量为施工孔数的 2%，并不应少于 5 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质量检验宜在高压喷射注浆结束 28d 后进行。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旋喷桩地基竣工验收时，承载力检验可采用复合地基载荷试验和单桩载荷试验。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载荷试验必须在桩身强度满足试验条件时，并宜在成桩 28d 后进行。检验数量为桩总数的 0.5%～1%，且每项单体工程不应少于 3 点。</w:t>
      </w:r>
    </w:p>
    <w:p>
      <w:pPr>
        <w:pStyle w:val="3"/>
      </w:pPr>
      <w:bookmarkStart w:id="86" w:name="_Toc17"/>
      <w:r>
        <w:t>深层搅拌法</w:t>
      </w:r>
      <w:bookmarkEnd w:id="86"/>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深层搅拌桩处理应符合下列规定：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水泥土搅拌形成水泥土加固体，用于基坑工程围护挡墙、被动区加固、防渗帷幕、大面积水泥稳定土等的设计、施工可按本节规定使用。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桩的施工工艺分为浆液搅拌法(以下简称湿法)和粉体搅拌法(以下简称干法)。适用于处理淤泥、淤泥质土、素填土、软—可塑粘性土、松散—中密粉细砂、稍密—中密粉土、松散—稍密中粗砂和砾砂、黄土等土层。不适用于含大孤石或障碍物较多且不易清除的杂填土，硬塑及坚硬的粘性土、密实的砂类土以及地下水渗流影响成桩质量的土层。当地基土的天然含水量小于 30%(黄土含水量小于 25%)、大于 70%时不应采用干法。寒冷地区冬季施工时，应考虑负温对处理效果的影响。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水泥土搅拌法用于处理泥炭土、有机质含量较高或 PH 值小于 4 的酸性土、塑性指数大于 25 的黏土或在腐蚀性环境中以及无工程经验的地区采用水泥土搅拌法时，必须通过现场和室内试验确定其适用性。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水泥土搅拌法可采用单头、双头、多头搅拌或连续成槽搅拌形成水泥土加固体；湿法搅拌可插入型钢形成排桩(墙)。加固体形状可分为柱状、壁状、格栅状或块状等。</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拟采用水泥土搅拌法处理地基的工程，除按现行规范规定进行岩土工程详勘外，尚应查明拟处理土层的 PH 值、有机质含量、地下障碍物及软土分布情况、地下水及其运动规律等。 </w:t>
      </w:r>
    </w:p>
    <w:p>
      <w:pPr>
        <w:pStyle w:val="51"/>
        <w:widowControl w:val="0"/>
        <w:numPr>
          <w:ilvl w:val="255"/>
          <w:numId w:val="0"/>
        </w:numPr>
        <w:spacing w:line="360" w:lineRule="auto"/>
        <w:ind w:left="0" w:firstLine="406" w:firstLineChars="145"/>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设计前应进行拟处理土的室内配比试验。针对现场拟处理的软弱层软土的性质，选择合适的固化剂、外掺剂及其掺量，为设计提供不同龄期、不同配比的强度参数。对竖向承载的水泥土强度宜取 90d 龄期试块的立方体抗压强度平均值；对承受水平荷载的水泥土强度宜取28d 龄</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期试块的立方体抗压强度平均值。 </w:t>
      </w:r>
    </w:p>
    <w:p>
      <w:pPr>
        <w:pStyle w:val="51"/>
        <w:widowControl w:val="0"/>
        <w:numPr>
          <w:ilvl w:val="255"/>
          <w:numId w:val="0"/>
        </w:numPr>
        <w:spacing w:line="360" w:lineRule="auto"/>
        <w:ind w:left="0" w:firstLine="406" w:firstLineChars="145"/>
        <w:rPr>
          <w:rFonts w:ascii="楷体" w:hAnsi="楷体" w:eastAsia="楷体"/>
          <w:i w:val="0"/>
          <w:color w:val="000000" w:themeColor="text1"/>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固化剂宜选用强度等级不低于 32.5 级的普通硅酸盐水泥(型钢水泥土搅拌墙不低于P.0.42.5 级)。水泥掺量应根据设计要求的水泥土强度经试验确定；块状加固时水泥掺量不应小于被加固天然土质量的 7%，作为复合地基增强体时不应小于 12%，型钢水泥土搅拌墙(桩)不应小于 20%。湿法的水泥浆水灰比可选用 0.45～0.55，应根据工程需要和土质条件选用具有早强、缓凝、减水以及节约水泥等作用的外掺剂；干法可掺加二级粉煤灰等材料。 </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水泥土搅拌桩施工应符合下列规定： </w:t>
      </w:r>
    </w:p>
    <w:p>
      <w:pPr>
        <w:pStyle w:val="51"/>
        <w:widowControl w:val="0"/>
        <w:numPr>
          <w:ilvl w:val="255"/>
          <w:numId w:val="0"/>
        </w:numPr>
        <w:spacing w:line="360" w:lineRule="auto"/>
        <w:ind w:left="283" w:leftChars="118" w:firstLine="140" w:firstLineChars="5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1  水泥土搅拌法施工现场事先应予以平整，必须清除地上和地下的障碍物。遇有明浜、池塘及洼地时应抽水和清淤，回填土料应压实，不得回填生活垃圾。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水泥土搅拌桩施工前应根据设计进行工艺性试桩，数量不得少于 3 根，多头搅拌不得少于 3 组。应对工艺试桩的质量进行必要的检验。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搅拌头翼片的枚数、宽度、与搅拌轴的垂直夹角、搅拌头的回转数、提升速度应相互匹配，钻头每转一圈的提升(或下沉)量以 1.0～1.5cm 为宜，以确保加固深度范围内土体的任何一点均能经过 20 次以上的搅拌。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竖向承载搅拌桩施工时，停浆(灰)面应高于桩顶设计标高 300～500mm。在开挖基坑时，应将桩顶以上 500mm 土层及搅拌桩顶端施工质量较差的桩段用人工挖除。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 施工中应保持搅拌桩机底盘的水平和导向架的竖直，搅拌桩的垂直偏差不得超过 1%；桩位的偏差不得大于 50mm；成桩直径和桩长不得小于设计值。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6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水泥土搅拌法施工主要步骤应为：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搅拌机械就位、调平；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预搅下沉至设计加固深度；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边喷浆(粉)、边搅拌提升直至预定的停浆(灰)面；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重复搅拌下沉至设计加固深度；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根据设计要求，喷浆(粉)或仅搅拌提升直至预定的停浆(灰)面； </w:t>
      </w:r>
    </w:p>
    <w:p>
      <w:pPr>
        <w:widowControl w:val="0"/>
        <w:numPr>
          <w:ilvl w:val="0"/>
          <w:numId w:val="10"/>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关闭搅拌机械。 </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在预(复)搅下沉时，也可采用喷浆(粉)的施工工艺，必须确保全桩长上下至少再重复搅拌一次。对地基土进行干法咬合加固时，如复搅困难，可采用慢速搅拌，保证搅拌的均匀性。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7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湿法施工应符合下列要求: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水泥浆液到达喷浆口的出口压力不应小于 10Mpa;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施工前应确定灰浆泵输浆量、灰浆经输浆管到达搅拌机喷浆口的时间和起吊设备提升速度等施工参数，并根据设计要求通过工艺性成桩试验确定施工工艺;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所使用的水泥都应过筛，制备好的浆液不得离析，泵送必须连续。拌制水泥浆液的罐数、水泥和外掺剂用量以及泵送浆液的时间等应有专人记录；喷浆量及搅拌深度必须采用经国家计量部门认证的监测仪器进行自动记录;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搅拌机喷浆提升的速度和次数必须符合施工工艺的要求，并应有专人记录;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当水泥浆液到达出浆口后，应喷浆搅拌 30s，在水泥浆与桩端土充分搅拌后，再开始提升搅拌头;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搅拌机预搅下沉时不宜冲水，当遇到硬土层下沉太慢时，方可适量冲水，但应考虑冲水对桩身强度的影响; </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施工时如因故停浆，应将搅拌头下沉至停浆点以下0.5m 处，待恢复供浆时再喷浆搅拌提升。若停机超过三小时，宜先拆卸输浆管路，并妥加清洗;</w:t>
      </w:r>
    </w:p>
    <w:p>
      <w:pPr>
        <w:widowControl w:val="0"/>
        <w:numPr>
          <w:ilvl w:val="0"/>
          <w:numId w:val="11"/>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壁状加固时，相邻桩的施工时间间隔不宜超过24h。如间隔时间太长，与相邻桩无法搭接时，应采取局部补桩或注浆等补强措施。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干法施工应符合下列要求：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喷粉施工前应仔细检查搅拌机械、供粉泵、送气(粉)管路、接头和阀门的密封性、可靠性。送气(粉)管路的长度不宜大于60m。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水泥土搅拌法(干法)喷粉施工机械必须配置经国家计量部门确认的具有能瞬时检测并记录出粉体计量装置及搅拌深度自动记录仪。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搅拌头每旋转一周，其提升高度不得超过16mm。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搅拌头的直径应定期复核检查，其磨耗量不得大于10mm。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当搅拌头到达设计桩底以上1.5m 时，应即开启喷粉机提前进行喷粉作业。当搅拌头提升至地面下500mm 时，喷粉机应停止喷粉。 </w:t>
      </w:r>
    </w:p>
    <w:p>
      <w:pPr>
        <w:widowControl w:val="0"/>
        <w:numPr>
          <w:ilvl w:val="0"/>
          <w:numId w:val="12"/>
        </w:numPr>
        <w:spacing w:line="360" w:lineRule="auto"/>
        <w:ind w:left="1119" w:leftChars="233" w:hanging="560" w:hangingChars="20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成桩过程中因故停止喷粉，应将搅拌头下沉至停灰面以下1m 处，待恢复喷粉时再喷粉搅拌提升。</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水泥土搅拌桩质量检验应符合下列规定：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水泥土搅拌桩的质量应进行施工全过程的施工质量控制。施工过程中应作施工记录和计量记录，并对照规定的施工工艺对每根桩进行质量评定。检查重点是：喷浆压力、水泥用量、桩长、搅拌头转数和提升速度、复搅次数和复搅深度、停浆处理方法等。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2 水泥土搅拌桩的施工质量检验可采用以下方法： </w:t>
      </w:r>
    </w:p>
    <w:p>
      <w:pPr>
        <w:pStyle w:val="51"/>
        <w:widowControl w:val="0"/>
        <w:numPr>
          <w:ilvl w:val="255"/>
          <w:numId w:val="0"/>
        </w:numPr>
        <w:spacing w:line="360" w:lineRule="auto"/>
        <w:ind w:left="283" w:leftChars="118" w:firstLine="140" w:firstLineChars="5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zh-CN" w:eastAsia="zh-CN" w:bidi="ar-SA"/>
          <w14:textFill>
            <w14:solidFill>
              <w14:schemeClr w14:val="tx1"/>
            </w14:solidFill>
          </w14:textFill>
        </w:rPr>
        <w:t>成桩7d后，采用浅部开挖桩头进行检查，开挖深度宜超过停浆(灰)</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面下 0.5m，目测检查搅拌的均匀性，量测成桩直径。检查量为总桩数的5%。 </w:t>
      </w:r>
    </w:p>
    <w:p>
      <w:pPr>
        <w:pStyle w:val="51"/>
        <w:widowControl w:val="0"/>
        <w:numPr>
          <w:ilvl w:val="255"/>
          <w:numId w:val="0"/>
        </w:numPr>
        <w:spacing w:line="360" w:lineRule="auto"/>
        <w:ind w:left="283" w:leftChars="118" w:firstLine="140" w:firstLineChars="5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成桩后3d内，可用轻型动力触探(N10)检查上部桩身的均匀性。检验数量为施工总桩数的1%，且不少于3根。 </w:t>
      </w:r>
    </w:p>
    <w:p>
      <w:pPr>
        <w:pStyle w:val="51"/>
        <w:widowControl w:val="0"/>
        <w:numPr>
          <w:ilvl w:val="255"/>
          <w:numId w:val="0"/>
        </w:numPr>
        <w:spacing w:line="360" w:lineRule="auto"/>
        <w:ind w:left="283" w:leftChars="118" w:firstLine="140" w:firstLineChars="5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桩身强度检验应在成桩28d后，用双管单动取样器钻取芯样作搅拌均匀性和水泥土抗压强度检验，检验数量为施工总桩(组)数的 0.5%，且不少于6点。钻芯有困难时，可采用单桩抗压静载荷试验检验桩身质量。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竖向承载水泥土搅拌桩复合地基竣工验收时，承载力检验应采用复合地基载荷试验和单桩载荷试验。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载荷试验必须在桩身强度满足试验荷载条件时，并宜在成桩28d后进行。验收检测检验数量为桩总数的0.5%～1%，其中每单项工程单桩复合地基载荷试验的数量不应少于3根(多头搅拌为3组)，其余可进行单桩静载荷试验或单桩、多桩复合地基载荷试验。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基槽开挖后，应检验桩位、桩数与桩顶质量，如不符合设计要求，应采取有效补强措施。</w:t>
      </w:r>
    </w:p>
    <w:p>
      <w:pPr>
        <w:rPr>
          <w:rFonts w:ascii="楷体" w:hAnsi="楷体" w:eastAsia="楷体"/>
          <w:i w:val="0"/>
          <w:color w:val="000000" w:themeColor="text1"/>
          <w14:textFill>
            <w14:solidFill>
              <w14:schemeClr w14:val="tx1"/>
            </w14:solidFill>
          </w14:textFill>
        </w:rPr>
      </w:pPr>
      <w:r>
        <w:rPr>
          <w:rFonts w:ascii="楷体" w:hAnsi="楷体" w:eastAsia="楷体"/>
          <w:i w:val="0"/>
          <w:color w:val="000000" w:themeColor="text1"/>
          <w14:textFill>
            <w14:solidFill>
              <w14:schemeClr w14:val="tx1"/>
            </w14:solidFill>
          </w14:textFill>
        </w:rPr>
        <w:br w:type="page"/>
      </w:r>
    </w:p>
    <w:p>
      <w:pPr>
        <w:pStyle w:val="49"/>
        <w:ind w:firstLine="480"/>
        <w:rPr>
          <w:rFonts w:ascii="楷体" w:hAnsi="楷体" w:eastAsia="楷体"/>
          <w:i w:val="0"/>
          <w:color w:val="000000" w:themeColor="text1"/>
          <w14:textFill>
            <w14:solidFill>
              <w14:schemeClr w14:val="tx1"/>
            </w14:solidFill>
          </w14:textFill>
        </w:rPr>
      </w:pPr>
    </w:p>
    <w:p>
      <w:pPr>
        <w:pStyle w:val="2"/>
      </w:pPr>
      <w:bookmarkStart w:id="87" w:name="_Toc30063"/>
      <w:bookmarkStart w:id="88" w:name="_Toc6241"/>
      <w:r>
        <w:rPr>
          <w:rFonts w:hint="eastAsia"/>
        </w:rPr>
        <w:t>基坑地下水</w:t>
      </w:r>
      <w:r>
        <w:t>控制</w:t>
      </w:r>
      <w:bookmarkEnd w:id="87"/>
      <w:bookmarkEnd w:id="88"/>
    </w:p>
    <w:p>
      <w:pPr>
        <w:pStyle w:val="3"/>
      </w:pPr>
      <w:bookmarkStart w:id="89" w:name="_Toc551"/>
      <w:r>
        <w:rPr>
          <w:rFonts w:hint="eastAsia"/>
        </w:rPr>
        <w:t>一般</w:t>
      </w:r>
      <w:r>
        <w:t>规定</w:t>
      </w:r>
      <w:bookmarkEnd w:id="89"/>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地下水控制应根据工程地质和水文地质条件、基坑周边环境要求及支护结构形式选用截水、降水、集水明排或其组合方法。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降水会对基坑周边建（构）筑物、道路、铁路、轨道交通、地下管线等造成危害或对环境造成长期不利影响时，应采用截水方法控制地下水。采用悬挂式帷幕时，应同时采用坑内降水，并宜根据水文地质条件结合坑外回灌措施。</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地下水控制设计应满足基坑周边建（构）筑物、地下管线、道路等沉降控制值的要求。基坑支护设计应按下列要求设定支护结构的水平位移控制值和基坑周边环境的沉降控制值：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当基坑开挖影响范围内有建（构）筑物时，支护结构水平位移控制值、建（构）筑物的沉降控制值应按不影响其正常使用的要求确定，并应符合现行国家标准《建筑地基基础设计规范》GB50007中对地基变形允许值的规定；当基坑开挖影响范围内有地下管线、地下建（构）筑物、道路时，支护结构水平位移控制值、地面沉降控制值应按不影响其正常使用的要求确定，并应符合现行相关规范对其允许变形的规定；</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当支护结构构件同时用作主体地下结构构件时，支护结构水平位移控制值不应大于主体结构设计对其变形的限值；当坑底以下有水头高于坑底的承压水含水层时，各类支护结构均应按本规程第C.0.1条的规定进行承压水作用下的坑底突涌稳定性验算。当不满足突涌稳定性要求时，应对该承压水含水层采取截水、减压措施。</w:t>
      </w:r>
    </w:p>
    <w:p>
      <w:pPr>
        <w:pStyle w:val="3"/>
      </w:pPr>
      <w:bookmarkStart w:id="90" w:name="_Toc11897"/>
      <w:r>
        <w:rPr>
          <w:rFonts w:hint="eastAsia"/>
        </w:rPr>
        <w:t>基坑隔水（截水、隔水帷幕）</w:t>
      </w:r>
      <w:bookmarkEnd w:id="90"/>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截水方法应根据工程地质条件、水文地质条件及施工条件等，选用水泥土搅拌桩帷幕、高压旋喷或摆喷注浆帷幕、搅拌-喷射注浆帷幕、地下连续墙或咬合式排桩。支护结构采用排桩时，可采用高压喷射注浆与排桩相互咬合的组合帷幕。对碎石土、杂填土、泥炭质土或地下水流速较大时，宜通过试验确定高压喷射注浆帷幕的适用性。</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当坑底以下存在连续分布、埋深较浅的隔水层时，应采用落底式帷幕。落底式帷幕进入下卧隔水层的深度应满足式（9.2.2）要求，且不宜小于1.5m：</w:t>
      </w:r>
    </w:p>
    <w:p>
      <w:pPr>
        <w:pStyle w:val="51"/>
        <w:widowControl w:val="0"/>
        <w:numPr>
          <w:ilvl w:val="2"/>
          <w:numId w:val="0"/>
        </w:numPr>
        <w:spacing w:line="360" w:lineRule="auto"/>
        <w:ind w:firstLine="480" w:firstLineChars="200"/>
      </w:pPr>
      <w:r>
        <w:object>
          <v:shape id="_x0000_i1276" o:spt="75" type="#_x0000_t75" style="height:19.2pt;width:82.8pt;" o:ole="t" filled="f" o:preferrelative="t" stroked="f" coordsize="21600,21600">
            <v:path/>
            <v:fill on="f" focussize="0,0"/>
            <v:stroke on="f" joinstyle="miter"/>
            <v:imagedata r:id="rId532" o:title=""/>
            <o:lock v:ext="edit" aspectratio="t"/>
            <w10:wrap type="none"/>
            <w10:anchorlock/>
          </v:shape>
          <o:OLEObject Type="Embed" ProgID="Equation.DSMT4" ShapeID="_x0000_i1276" DrawAspect="Content" ObjectID="_1468075976" r:id="rId531">
            <o:LockedField>false</o:LockedField>
          </o:OLEObject>
        </w:object>
      </w:r>
      <w:r>
        <w:rPr>
          <w:rFonts w:hint="eastAsia"/>
        </w:rPr>
        <w:t xml:space="preserve">  </w:t>
      </w:r>
      <w:r>
        <w:rPr>
          <w:rFonts w:hint="eastAsia"/>
          <w:lang w:val="en-US" w:eastAsia="zh-CN"/>
        </w:rPr>
        <w:t xml:space="preserve">    </w:t>
      </w:r>
      <w:r>
        <w:rPr>
          <w:rFonts w:hint="eastAsia"/>
        </w:rPr>
        <w:t xml:space="preserve"> （9.2.2）</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77" o:spt="75" type="#_x0000_t75" style="height:12pt;width:7.2pt;" o:ole="t" filled="f" o:preferrelative="t" stroked="f" coordsize="21600,21600">
            <v:path/>
            <v:fill on="f" focussize="0,0"/>
            <v:stroke on="f" joinstyle="miter"/>
            <v:imagedata r:id="rId534" o:title=""/>
            <o:lock v:ext="edit" aspectratio="t"/>
            <w10:wrap type="none"/>
            <w10:anchorlock/>
          </v:shape>
          <o:OLEObject Type="Embed" ProgID="Equation.DSMT4" ShapeID="_x0000_i1277" DrawAspect="Content" ObjectID="_1468075977" r:id="rId533">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──帷幕进入隔水层的深度(m)；</w:t>
      </w:r>
    </w:p>
    <w:p>
      <w:pPr>
        <w:ind w:firstLine="48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78" o:spt="75" type="#_x0000_t75" style="height:19.2pt;width:21pt;" o:ole="t" filled="f" o:preferrelative="t" stroked="f" coordsize="21600,21600">
            <v:path/>
            <v:fill on="f" focussize="0,0"/>
            <v:stroke on="f" joinstyle="miter"/>
            <v:imagedata r:id="rId536" o:title=""/>
            <o:lock v:ext="edit" aspectratio="t"/>
            <w10:wrap type="none"/>
            <w10:anchorlock/>
          </v:shape>
          <o:OLEObject Type="Embed" ProgID="Equation.DSMT4" ShapeID="_x0000_i1278" DrawAspect="Content" ObjectID="_1468075978" r:id="rId535">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──基坑内外的水头差值(m)；</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object>
          <v:shape id="_x0000_i1279" o:spt="75" type="#_x0000_t75" style="height:12pt;width:10.2pt;" o:ole="t" filled="f" o:preferrelative="t" stroked="f" coordsize="21600,21600">
            <v:path/>
            <v:fill on="f" focussize="0,0"/>
            <v:stroke on="f" joinstyle="miter"/>
            <v:imagedata r:id="rId538" o:title=""/>
            <o:lock v:ext="edit" aspectratio="t"/>
            <w10:wrap type="none"/>
            <w10:anchorlock/>
          </v:shape>
          <o:OLEObject Type="Embed" ProgID="Equation.DSMT4" ShapeID="_x0000_i1279" DrawAspect="Content" ObjectID="_1468075979" r:id="rId537">
            <o:LockedField>false</o:LockedField>
          </o:OLEObject>
        </w:objec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──帷幕的厚度(m)。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坑底以下含水层厚度大而需采用悬挂式帷幕时，帷幕进入透水层的深度应满足《建筑基坑支护技术规程》JGJ120附录C对地下水沿帷幕底端绕流的渗透稳定性要求，并应对帷幕外地下水位下降引起的基坑周边建（构）筑物、地下管线、地下建（构）筑物沉降进行分析。当不满足渗透稳定性要求时，应采取增加帷幕深度、设置减压井等防止渗透破坏的措施。</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截水帷幕宜采用沿基坑周边闭合的平面布置形式。当采用沿基坑周边非闭合的平面布置形式时，应对地下水沿帷幕两端绕流引起的基坑周边建（构）筑物、地下管线、地下建（构）筑物的沉降进行分析。</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采用水泥土搅拌桩帷幕时，搅拌桩桩径宜取450mm～800mm，搅拌桩的搭接宽度应符合下列规定：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单排搅拌桩帷幕的搭接宽度，当搅拌深度不大于10m时，不应小于150mm；当搅拌深度为10m～15m时，不应小于200mm；当搅拌深度大于15m时，不应小于250mm；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对地下水位较高、渗透性较强的地层，宜采用双排搅拌桩截水帷幕；搅拌桩的搭接宽度，当搅拌深度不大于10m时，不应小于100mm；当搅拌深度为10m～15m时，不应小于150mm；当搅拌深度大于15m时，不应小于200mm。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搅拌桩水泥浆液的水灰比宜取0.6～0.8。搅拌桩的水泥掺量宜取土的天然质量的15%～20%。</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水泥土搅拌桩帷幕的施工应符合现行行业标准《建筑地基处理技术规范》JGJ79的有关规定。</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搅拌桩的施工偏差应符合下列要求：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桩位的允许偏差应为50mm；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垂直度的允许偏差应为1.0%。</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高压旋喷、摆喷注浆帷幕时，旋喷注浆固结体的有效直径、摆喷注浆固结体的有效半径宜通过试验确定；缺少试验时，可根据土的类别及其密实程度、高压喷射注浆工艺，按工程经验采用。摆喷帷幕的喷射方向与摆喷点连线的夹角宜取10°～25°，摆动角度宜取20°～30°。帷幕的水泥土固结体搭接宽度，当注浆孔深度不大于10m时，不应小于150mm；当注浆孔深度为10m～20m时，不应小于250mm；当注浆孔深度为20m～30m时，不应小于350mm。对地下水位较高、渗透性较强的地层，可采用双排高压喷射注浆帷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高压喷射注浆水泥浆液的水灰比宜取0.9～1.1，水泥掺量宜取土的天然质量的25%～40%。当土层中地下水流速高时，宜掺入外加剂改善水泥浆液的稳定性与固结性。</w:t>
      </w:r>
    </w:p>
    <w:p>
      <w:pPr>
        <w:pStyle w:val="51"/>
        <w:rPr>
          <w:highlight w:val="none"/>
        </w:rPr>
      </w:pPr>
      <w:r>
        <w:rPr>
          <w:rFonts w:hint="eastAsia" w:cs="Times New Roman" w:eastAsiaTheme="minorEastAsia"/>
          <w:bCs/>
          <w:color w:val="000000" w:themeColor="text1"/>
          <w:kern w:val="2"/>
          <w:sz w:val="28"/>
          <w:szCs w:val="28"/>
          <w:highlight w:val="none"/>
          <w:lang w:val="zh-CN" w:eastAsia="zh-CN" w:bidi="ar-SA"/>
          <w14:textFill>
            <w14:solidFill>
              <w14:schemeClr w14:val="tx1"/>
            </w14:solidFill>
          </w14:textFill>
        </w:rPr>
        <w:t>高压喷射注浆应按水泥土固结体的设计有效半径与土的性状选择喷射压力、注浆流量、提升速度、旋转速度等工艺参数，对较硬的粘性土、密实的砂土和碎石土宜取较小提升速度、较大喷射压力。当缺少类似土层条件下的施工经验时，应通过现场工艺试验确定施工工艺参数。</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高压喷射注浆截水帷幕施工时应符合下列规定：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采用与排桩咬合的高压喷射注浆截水帷幕时，应先进行排桩施工，后进行高压喷射注浆施工；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高压喷射注浆的施工作业顺序应采用隔孔分序方式，相邻孔喷射注浆的间隔时间不宜小于24h；</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喷射注浆时，应由下而上均匀喷射，停止喷射的位置宜高于帷幕设计顶面标高1m；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可采用复喷工艺增大固结体半径、提高固结体强度；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喷射注浆时，当孔口的返浆量大于注浆量的20％时，可采用提高喷射压力、增加提升速度等措施；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当因喷射注浆的浆液渗漏而出现孔口不返浆的情况时，应在漏浆部位停止提升注浆管进行喷射注浆，并宜同时采用从孔口填入中粗砂、注浆液掺入速凝剂等措施，直至出现孔口返浆；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喷射注浆后，当浆液析水、液面下降时，应进行补浆；</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当喷射注浆因故中途停喷后，继续注浆时应与停喷前的注浆体搭接，其搭接长度不应小于500mm；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当注浆孔邻近既有建（构）筑物时，宜采用速凝浆液进行喷射注浆；</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10  高压旋喷、摆喷注浆帷幕的施工尚应符合现行行业标准《建筑地基处理技术规范》JGJ79的有关规定。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高压喷射注浆的施工允许偏差应符合下列要求：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孔位允许偏差应为50mm；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注浆孔垂直度允许偏差应为1.0%。</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截水帷幕的质量检测应符合下列规定：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与排桩咬合的水泥土搅拌桩、高压喷射注浆帷幕，与土钉墙面层贴合的水泥土搅拌桩帷幕，应在基坑开挖前或开挖时，检测水泥土固结体的表面轮廓、搭接接缝；检测点应按随机方法选取或选取施工中出现异常、开挖中出现漏水的部位；对支护结构外侧独立的截水帷幕，其质量可通过开挖后的截水效果判断；</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施工质量有怀疑时，可在搅拌桩、高压喷射注浆液固结后，采用钻芯法检测帷幕固结体的范围、单轴抗压强度、连续性及深度；检测点应针对怀疑部位选取帷幕的偏心、中心或搭接处，检测点的数量不应少于3处。</w:t>
      </w:r>
    </w:p>
    <w:p>
      <w:pPr>
        <w:pStyle w:val="3"/>
      </w:pPr>
      <w:bookmarkStart w:id="91" w:name="_Toc10048"/>
      <w:r>
        <w:rPr>
          <w:rFonts w:hint="eastAsia"/>
        </w:rPr>
        <w:t>基坑降排水</w:t>
      </w:r>
      <w:bookmarkEnd w:id="91"/>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降水应按照场地条件、周围地层的水文地质条件、降水深度及设备条件等进行设计专项方案。降水设计方案应包括降水设备、降水井布置、降水井深度、沉淀池布置、管路布置以及保护措施等。</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降水可采用管井、真空井点、喷射井点等方法，并宜按表9.3.2的适用条件选用。</w:t>
      </w:r>
    </w:p>
    <w:p>
      <w:pPr>
        <w:pStyle w:val="38"/>
      </w:pPr>
      <w:r>
        <w:rPr>
          <w:rFonts w:hint="eastAsia"/>
        </w:rPr>
        <w:t>表9.3.2各种降水方法的适用条件</w:t>
      </w:r>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2653"/>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pPr>
              <w:pStyle w:val="33"/>
            </w:pPr>
            <w:r>
              <w:rPr>
                <w:rFonts w:hint="eastAsia"/>
              </w:rPr>
              <w:t>方法</w:t>
            </w:r>
          </w:p>
        </w:tc>
        <w:tc>
          <w:tcPr>
            <w:tcW w:w="2653" w:type="dxa"/>
            <w:vAlign w:val="center"/>
          </w:tcPr>
          <w:p>
            <w:pPr>
              <w:pStyle w:val="33"/>
            </w:pPr>
            <w:r>
              <w:rPr>
                <w:rFonts w:hint="eastAsia"/>
              </w:rPr>
              <w:t>土类</w:t>
            </w:r>
          </w:p>
        </w:tc>
        <w:tc>
          <w:tcPr>
            <w:tcW w:w="2131" w:type="dxa"/>
            <w:vAlign w:val="center"/>
          </w:tcPr>
          <w:p>
            <w:pPr>
              <w:pStyle w:val="33"/>
            </w:pPr>
            <w:r>
              <w:rPr>
                <w:rFonts w:hint="eastAsia"/>
              </w:rPr>
              <w:t>渗透系数（m/d）</w:t>
            </w:r>
          </w:p>
        </w:tc>
        <w:tc>
          <w:tcPr>
            <w:tcW w:w="2131" w:type="dxa"/>
            <w:vAlign w:val="center"/>
          </w:tcPr>
          <w:p>
            <w:pPr>
              <w:pStyle w:val="33"/>
            </w:pPr>
            <w:r>
              <w:rPr>
                <w:rFonts w:hint="eastAsia"/>
              </w:rPr>
              <w:t>降水深度（m）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pPr>
              <w:pStyle w:val="33"/>
            </w:pPr>
            <w:r>
              <w:rPr>
                <w:rFonts w:hint="eastAsia"/>
              </w:rPr>
              <w:t>管井</w:t>
            </w:r>
          </w:p>
        </w:tc>
        <w:tc>
          <w:tcPr>
            <w:tcW w:w="2653" w:type="dxa"/>
            <w:vAlign w:val="center"/>
          </w:tcPr>
          <w:p>
            <w:pPr>
              <w:pStyle w:val="33"/>
            </w:pPr>
            <w:r>
              <w:rPr>
                <w:rFonts w:hint="eastAsia"/>
              </w:rPr>
              <w:t>粉土、砂土、碎石土</w:t>
            </w:r>
          </w:p>
        </w:tc>
        <w:tc>
          <w:tcPr>
            <w:tcW w:w="2131" w:type="dxa"/>
            <w:vAlign w:val="center"/>
          </w:tcPr>
          <w:p>
            <w:pPr>
              <w:pStyle w:val="33"/>
            </w:pPr>
            <w:r>
              <w:rPr>
                <w:rFonts w:hint="eastAsia"/>
              </w:rPr>
              <w:t>0.1～200.0</w:t>
            </w:r>
          </w:p>
        </w:tc>
        <w:tc>
          <w:tcPr>
            <w:tcW w:w="2131" w:type="dxa"/>
            <w:vAlign w:val="center"/>
          </w:tcPr>
          <w:p>
            <w:pPr>
              <w:pStyle w:val="33"/>
            </w:pPr>
            <w:r>
              <w:rPr>
                <w:rFonts w:hint="eastAsia"/>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pPr>
              <w:pStyle w:val="33"/>
            </w:pPr>
            <w:r>
              <w:rPr>
                <w:rFonts w:hint="eastAsia"/>
              </w:rPr>
              <w:t>真空井点</w:t>
            </w:r>
          </w:p>
        </w:tc>
        <w:tc>
          <w:tcPr>
            <w:tcW w:w="2653" w:type="dxa"/>
            <w:vAlign w:val="center"/>
          </w:tcPr>
          <w:p>
            <w:pPr>
              <w:pStyle w:val="33"/>
            </w:pPr>
            <w:r>
              <w:rPr>
                <w:rFonts w:hint="eastAsia"/>
              </w:rPr>
              <w:t>粘性土、粉土、砂土</w:t>
            </w:r>
          </w:p>
        </w:tc>
        <w:tc>
          <w:tcPr>
            <w:tcW w:w="2131" w:type="dxa"/>
            <w:vAlign w:val="center"/>
          </w:tcPr>
          <w:p>
            <w:pPr>
              <w:pStyle w:val="33"/>
            </w:pPr>
            <w:r>
              <w:rPr>
                <w:rFonts w:hint="eastAsia"/>
              </w:rPr>
              <w:t>0.005～20.0</w:t>
            </w:r>
          </w:p>
        </w:tc>
        <w:tc>
          <w:tcPr>
            <w:tcW w:w="2131" w:type="dxa"/>
            <w:vAlign w:val="center"/>
          </w:tcPr>
          <w:p>
            <w:pPr>
              <w:pStyle w:val="33"/>
            </w:pPr>
            <w:r>
              <w:rPr>
                <w:rFonts w:hint="eastAsia"/>
              </w:rPr>
              <w:t>单级井点&lt;6</w:t>
            </w:r>
          </w:p>
          <w:p>
            <w:pPr>
              <w:pStyle w:val="33"/>
            </w:pPr>
            <w:r>
              <w:rPr>
                <w:rFonts w:hint="eastAsia"/>
              </w:rPr>
              <w:t>多级井点&lt;20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dxa"/>
            <w:vAlign w:val="center"/>
          </w:tcPr>
          <w:p>
            <w:pPr>
              <w:pStyle w:val="33"/>
            </w:pPr>
            <w:r>
              <w:rPr>
                <w:rFonts w:hint="eastAsia"/>
              </w:rPr>
              <w:t>喷射井点</w:t>
            </w:r>
          </w:p>
        </w:tc>
        <w:tc>
          <w:tcPr>
            <w:tcW w:w="2653" w:type="dxa"/>
            <w:vAlign w:val="center"/>
          </w:tcPr>
          <w:p>
            <w:pPr>
              <w:pStyle w:val="33"/>
            </w:pPr>
            <w:r>
              <w:rPr>
                <w:rFonts w:hint="eastAsia"/>
              </w:rPr>
              <w:t>粘性土、粉土、砂土</w:t>
            </w:r>
          </w:p>
        </w:tc>
        <w:tc>
          <w:tcPr>
            <w:tcW w:w="2131" w:type="dxa"/>
            <w:vAlign w:val="center"/>
          </w:tcPr>
          <w:p>
            <w:pPr>
              <w:pStyle w:val="33"/>
            </w:pPr>
            <w:r>
              <w:rPr>
                <w:rFonts w:hint="eastAsia"/>
              </w:rPr>
              <w:t>0.005～20.0</w:t>
            </w:r>
          </w:p>
        </w:tc>
        <w:tc>
          <w:tcPr>
            <w:tcW w:w="2131" w:type="dxa"/>
            <w:vAlign w:val="center"/>
          </w:tcPr>
          <w:p>
            <w:pPr>
              <w:pStyle w:val="33"/>
            </w:pPr>
            <w:r>
              <w:rPr>
                <w:rFonts w:hint="eastAsia"/>
              </w:rPr>
              <w:t>&lt;20</w:t>
            </w:r>
          </w:p>
        </w:tc>
      </w:tr>
    </w:tbl>
    <w:p>
      <w:pPr>
        <w:ind w:firstLine="480"/>
      </w:pP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井点降水应使地下水位保持在隧道底板以下1.0 m。停止降水时，应验算涌水量和隧道主体结构在施工期间的抗浮稳定性，当不能满足要求时，不得停泵。</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对坑底汇水、周边地表汇水及降水井抽出的地下水，可采用明沟排水；对坑底渗出的地下水，可采用盲沟排水；当隧道主体结构与支护结构间不能设置明沟时，也可采用盲沟排水。</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降水应加强监测并有相应的保护措施，防止地表及周围建（构）筑物沉降超限。降水危及基坑及周边环境安全时，宜采用截水或回灌措施。采用回灌时应化验水质，防止污染地下水。截水后基坑中水量或水压较大时，应采用基坑内降水或坑内外降水相结合的方式。</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管井的构造宜符合下列要求：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管井的滤管宜采用无砂混凝土滤管、钢筋笼、钢管或铸铁管。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滤管内径应按满足单井设计流量要求而配置的水泵规格确定，宜大于水泵外径50mm。滤管外径不宜小于200mm。管井成孔直径应满足填充滤料的要求。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井管与孔壁之间填充的滤料宜选用磨圆度好的硬质岩石成分的圆砾，不宜采用棱角形石渣料、风化料或其他黏质岩石成分的砾石。</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采用深井泵或深井潜水泵抽水时，水泵的出水量应根据单井出水能力确定，水泵的出水量应大于单井出水能力的1.2倍。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井管的底部应设置沉砂段。</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真空井点的构造宜符合下列要求：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井管宜采用金属管，管壁上渗水孔宜按梅花状布置，渗水孔直径宜取12mm～18mm，渗水孔的孔隙率应大于15%，渗水段长度应大于1.0m；管壁外应根据土层的粒径设置滤网；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真空井管的直径应根据单井设计流量确定。井管直径宜取38mm～110mm；井的成孔直径应满足填充滤料的要求，且不大于300mm；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孔壁与井管之间的滤料宜采用中粗砂。滤料上方应使用黏土封堵，封堵至地面的厚度应大于1m。</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喷射井点的构造宜符合下列要求：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喷射井点过滤器的构造应符合本规程第9.3.7条第1款的规定；喷射器混合室直径可取14mm，喷嘴直径可取6.5mm；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井的成孔直径宜取400mm～600mm，井孔应比滤管底部深1m以上；</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孔壁与井管之间填充滤料的要求应符合本规程第9.3.7条第3款的规定；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工作水泵可采用多级泵，水泵压力宜大于2MPa。</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抽水系统在使用期的维护应符合下列要求：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降水期间，应留设观测井，通过水位观测井观测地下水位是否满足施工要求。正式降水前应进行生产性抽水试验；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采用管井时，应对井口采取防护措施，井口宜高于地面200mm 以上，应防止物体坠入井内；</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冬季负温环境下，应对抽排水系统采取防冻措施。</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排水设施构造应符合下列要求：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明沟和盲沟的坡度不宜小于0.3%。采用明沟排水时，沟底应采取防渗措施。采用盲沟排出隧底渗出的地下水时，其构造、填充料及其密实度应满足主体结构的要求。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沿排水沟宜每隔30m～50m设置一口集水井；集水井的净截面尺寸应根据排水流量确定。集水井应采取防渗措施。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采用管道排水时，排水管道的直径应根据排水量确定。排水管的坡度不宜小于0.5%。排水管道材料可选用钢管、PVC管。排水管道上宜设置清淤孔，清淤孔的间距不宜大于10m。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排水设施与市政管网连接口之间应设置检测井，达到排水城市下水道水质标准方可排放。含砂率小于1/100000。</w:t>
      </w:r>
    </w:p>
    <w:p>
      <w:pPr>
        <w:pStyle w:val="3"/>
      </w:pPr>
      <w:bookmarkStart w:id="92" w:name="_Toc9252"/>
      <w:r>
        <w:rPr>
          <w:rFonts w:hint="eastAsia"/>
        </w:rPr>
        <w:t>回灌</w:t>
      </w:r>
      <w:bookmarkEnd w:id="92"/>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地下水回灌工程应满足下列要求：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保证基坑周边既有建（构）筑物、既有道路及既有地下设施等的安全和正常使用；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满足基坑抗渗流稳定性要求；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满足基坑坑底抗突涌稳定性要求；</w:t>
      </w:r>
    </w:p>
    <w:p>
      <w:pPr>
        <w:pStyle w:val="51"/>
        <w:widowControl w:val="0"/>
        <w:numPr>
          <w:ilvl w:val="255"/>
          <w:numId w:val="0"/>
        </w:numPr>
        <w:spacing w:line="360" w:lineRule="auto"/>
        <w:ind w:left="0" w:firstLine="406" w:firstLineChars="145"/>
        <w:rPr>
          <w:lang w:bidi="ar"/>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回灌前可进行回灌压水(注水)试验； </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5  回灌井的设置应因地制宜，距离降水井点不应小于6m,避免因回灌形成局部反漏斗，增加基坑壁外侧的水头高度：回灌时应防止井点堵塞及造成地下水污染。 </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地下水回灌工程应进行回灌工程勘察及专项基坑地下水回灌工程设计，设计方案应通过技术论证后实施。</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确定采用回灌措施的基坑工程，应验证回灌设计及施工运行参数的可靠性。</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地下水回灌工程等级的确定应综合考虑基坑深度、基坑周边环境、水文地质条件的复杂程度等因素。</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回灌试验应在抽水试验基础上进行，获得回灌压力、回灌量、回灌期间水位上升等相关回灌设计参数，并对抽水及回灌过程中的场地地面标高进行监测，提出回灌工程的建议。</w:t>
      </w:r>
    </w:p>
    <w:p>
      <w:pPr>
        <w:pStyle w:val="51"/>
        <w:widowControl/>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基坑地下水回灌工程方式可根据水位回灌上升高度要求、场地含水层岩性和渗透性、周边环境的变形控制要求等选用常压回灌、加压回灌或常压与加压组合回灌。</w:t>
      </w:r>
    </w:p>
    <w:p>
      <w:pPr>
        <w:pStyle w:val="51"/>
        <w:widowControl/>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宜开展长期地下水及地面沉降动态监测，并逐步建立地下水长期回灌机制，控制区域性地面沉降。基坑回灌阶段，应配合土方开挖和结构施工对抽排水量、地下水位、环境条件变化进行控制，以求达到最佳状态。</w:t>
      </w:r>
    </w:p>
    <w:p>
      <w:pPr>
        <w:pStyle w:val="43"/>
        <w:numPr>
          <w:ilvl w:val="0"/>
          <w:numId w:val="13"/>
        </w:numPr>
        <w:ind w:firstLineChars="0"/>
        <w:rPr>
          <w:rFonts w:eastAsia="黑体"/>
          <w:sz w:val="30"/>
        </w:rPr>
      </w:pPr>
      <w:r>
        <w:br w:type="page"/>
      </w:r>
    </w:p>
    <w:p>
      <w:pPr>
        <w:pStyle w:val="2"/>
      </w:pPr>
      <w:bookmarkStart w:id="93" w:name="_Toc22820"/>
      <w:bookmarkStart w:id="94" w:name="_Toc5761"/>
      <w:r>
        <w:rPr>
          <w:rFonts w:hint="eastAsia"/>
        </w:rPr>
        <w:t>基坑监测</w:t>
      </w:r>
      <w:bookmarkEnd w:id="93"/>
      <w:bookmarkEnd w:id="94"/>
    </w:p>
    <w:p>
      <w:pPr>
        <w:pStyle w:val="3"/>
      </w:pPr>
      <w:bookmarkStart w:id="95" w:name="_Toc26689"/>
      <w:r>
        <w:rPr>
          <w:rFonts w:hint="eastAsia"/>
        </w:rPr>
        <w:t>一般要求</w:t>
      </w:r>
      <w:bookmarkEnd w:id="95"/>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铁路明挖法隧道应在施工阶段对支护结构、周围岩土体及周边环境进行监测。</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基坑工程现场监测应采用仪器监测与现场巡视检查相结合的方法。</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对于超过5m的基坑应引入第三方监测单位进行专业监测管理，第三方监测单位由建设单位负责委托，费用由建设单位承担。</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鼓励监测单位积极采用自动化、智能化、信息化的监测手段，能够实现远程视频和远程自动化监测，提高基坑监测的安全性和效率。</w:t>
      </w:r>
    </w:p>
    <w:p>
      <w:pPr>
        <w:pStyle w:val="3"/>
      </w:pPr>
      <w:bookmarkStart w:id="96" w:name="_Toc3241"/>
      <w:r>
        <w:rPr>
          <w:rFonts w:hint="eastAsia"/>
        </w:rPr>
        <w:t>监测方法及测点布置</w:t>
      </w:r>
      <w:bookmarkEnd w:id="96"/>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监测范围应根据基坑设计深度、施工工法、支护结构形式、地质条件、周边环境条件等综合确定，并应包括主要影响区和次要影响区。基坑工程影响分区划分标准参见《城市轨道交通工程监测技术规范》。</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监测范围确定后，要根据影响区与基坑距离绘制施工现场基坑周边影响区划分图，确定周边建（构）筑物与基坑的位置关系及影响范围关系。</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采用爆破开挖岩土体的地下工程，爆破震动的监测范围应根据工程实际情况通过爆破试验确定。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基坑监测等级根据基坑自身风险等级、周边环境等级及地基复杂程度划分为三级。基坑、隧道工程的自身风险等级，周边环境风险等级参见《城市轨道交通工程监测技术规范》。</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明挖法基坑支护结构和周围岩土体监测项目选择如下表所示：</w:t>
      </w:r>
    </w:p>
    <w:p>
      <w:pPr>
        <w:pStyle w:val="38"/>
      </w:pPr>
      <w:r>
        <w:rPr>
          <w:rFonts w:hint="eastAsia"/>
        </w:rPr>
        <w:t>表10</w:t>
      </w:r>
      <w:r>
        <w:t>.2</w:t>
      </w:r>
      <w:r>
        <w:rPr>
          <w:rFonts w:hint="eastAsia"/>
        </w:rPr>
        <w:t>.5-1明挖法基坑支护结构和周围岩土体监测项目</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3284"/>
        <w:gridCol w:w="1252"/>
        <w:gridCol w:w="144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序号</w:t>
            </w:r>
          </w:p>
        </w:tc>
        <w:tc>
          <w:tcPr>
            <w:tcW w:w="3284"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监测项目</w:t>
            </w:r>
          </w:p>
        </w:tc>
        <w:tc>
          <w:tcPr>
            <w:tcW w:w="4117" w:type="dxa"/>
            <w:gridSpan w:val="3"/>
            <w:vAlign w:val="center"/>
          </w:tcPr>
          <w:p>
            <w:pPr>
              <w:pStyle w:val="33"/>
              <w:rPr>
                <w:rFonts w:hint="eastAsia" w:ascii="宋体" w:hAnsi="宋体" w:eastAsia="宋体" w:cs="宋体"/>
                <w:sz w:val="21"/>
                <w:szCs w:val="21"/>
              </w:rPr>
            </w:pPr>
            <w:r>
              <w:rPr>
                <w:rFonts w:hint="eastAsia" w:ascii="宋体" w:hAnsi="宋体" w:eastAsia="宋体" w:cs="宋体"/>
                <w:sz w:val="21"/>
                <w:szCs w:val="21"/>
              </w:rPr>
              <w:t>监测等级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Merge w:val="continue"/>
            <w:vAlign w:val="center"/>
          </w:tcPr>
          <w:p>
            <w:pPr>
              <w:pStyle w:val="33"/>
              <w:rPr>
                <w:rFonts w:hint="eastAsia" w:ascii="宋体" w:hAnsi="宋体" w:eastAsia="宋体" w:cs="宋体"/>
                <w:sz w:val="21"/>
                <w:szCs w:val="21"/>
              </w:rPr>
            </w:pPr>
          </w:p>
        </w:tc>
        <w:tc>
          <w:tcPr>
            <w:tcW w:w="3284" w:type="dxa"/>
            <w:vMerge w:val="continue"/>
            <w:vAlign w:val="center"/>
          </w:tcPr>
          <w:p>
            <w:pPr>
              <w:pStyle w:val="33"/>
              <w:rPr>
                <w:rFonts w:hint="eastAsia" w:ascii="宋体" w:hAnsi="宋体" w:eastAsia="宋体" w:cs="宋体"/>
                <w:sz w:val="21"/>
                <w:szCs w:val="21"/>
              </w:rPr>
            </w:pP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一级</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二级</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w:t>
            </w:r>
          </w:p>
        </w:tc>
        <w:tc>
          <w:tcPr>
            <w:tcW w:w="3284"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支护桩（墙）、</w:t>
            </w:r>
          </w:p>
          <w:p>
            <w:pPr>
              <w:pStyle w:val="33"/>
              <w:rPr>
                <w:rFonts w:hint="eastAsia" w:ascii="宋体" w:hAnsi="宋体" w:eastAsia="宋体" w:cs="宋体"/>
                <w:sz w:val="21"/>
                <w:szCs w:val="21"/>
              </w:rPr>
            </w:pPr>
            <w:r>
              <w:rPr>
                <w:rFonts w:hint="eastAsia" w:ascii="宋体" w:hAnsi="宋体" w:eastAsia="宋体" w:cs="宋体"/>
                <w:sz w:val="21"/>
                <w:szCs w:val="21"/>
              </w:rPr>
              <w:t>边坡顶部水平位移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2</w:t>
            </w:r>
          </w:p>
        </w:tc>
        <w:tc>
          <w:tcPr>
            <w:tcW w:w="3284"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支护桩（墙）、</w:t>
            </w:r>
          </w:p>
          <w:p>
            <w:pPr>
              <w:pStyle w:val="33"/>
              <w:rPr>
                <w:rFonts w:hint="eastAsia" w:ascii="宋体" w:hAnsi="宋体" w:eastAsia="宋体" w:cs="宋体"/>
                <w:sz w:val="21"/>
                <w:szCs w:val="21"/>
              </w:rPr>
            </w:pPr>
            <w:r>
              <w:rPr>
                <w:rFonts w:hint="eastAsia" w:ascii="宋体" w:hAnsi="宋体" w:eastAsia="宋体" w:cs="宋体"/>
                <w:sz w:val="21"/>
                <w:szCs w:val="21"/>
              </w:rPr>
              <w:t>边坡顶部竖向位移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3</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支护桩(墙）体深层水平位移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4</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支护桩(墙)结构应力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5</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立柱结构竖向位移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6</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立柱结构水平位移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7</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立柱结构应力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8</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支撑轴力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9</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锚杆拉力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10</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土钉拉力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11</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地表沉降</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12</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土体深层水平位移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13</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土体分层竖向位移</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14</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坑底隆起(回弹)</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15</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支护桩(墙）侧向土压力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16</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地下水位</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17</w:t>
            </w:r>
          </w:p>
        </w:tc>
        <w:tc>
          <w:tcPr>
            <w:tcW w:w="3284" w:type="dxa"/>
          </w:tcPr>
          <w:p>
            <w:pPr>
              <w:pStyle w:val="33"/>
              <w:rPr>
                <w:rFonts w:hint="eastAsia" w:ascii="宋体" w:hAnsi="宋体" w:eastAsia="宋体" w:cs="宋体"/>
                <w:sz w:val="21"/>
                <w:szCs w:val="21"/>
              </w:rPr>
            </w:pPr>
            <w:r>
              <w:rPr>
                <w:rFonts w:hint="eastAsia" w:ascii="宋体" w:hAnsi="宋体" w:eastAsia="宋体" w:cs="宋体"/>
                <w:sz w:val="21"/>
                <w:szCs w:val="21"/>
              </w:rPr>
              <w:t>孔隙水压力</w:t>
            </w:r>
          </w:p>
        </w:tc>
        <w:tc>
          <w:tcPr>
            <w:tcW w:w="1252"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4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bl>
    <w:p>
      <w:pPr>
        <w:pStyle w:val="33"/>
        <w:jc w:val="left"/>
        <w:rPr>
          <w:rFonts w:hint="eastAsia"/>
          <w:sz w:val="20"/>
          <w:szCs w:val="20"/>
        </w:rPr>
      </w:pPr>
      <w:r>
        <w:rPr>
          <w:rFonts w:hint="eastAsia"/>
          <w:sz w:val="20"/>
          <w:szCs w:val="20"/>
        </w:rPr>
        <w:t>注：☆——应测项目，△——宜测项目，○——可测项目。</w:t>
      </w:r>
    </w:p>
    <w:p>
      <w:pPr>
        <w:rPr>
          <w:rFonts w:hint="eastAsia"/>
          <w:sz w:val="20"/>
          <w:szCs w:val="20"/>
        </w:rPr>
      </w:pPr>
    </w:p>
    <w:p>
      <w:pPr>
        <w:rPr>
          <w:rFonts w:hint="eastAsia"/>
          <w:sz w:val="20"/>
          <w:szCs w:val="20"/>
        </w:rPr>
      </w:pPr>
    </w:p>
    <w:p>
      <w:pPr>
        <w:pStyle w:val="38"/>
      </w:pPr>
      <w:r>
        <w:rPr>
          <w:rFonts w:hint="eastAsia"/>
        </w:rPr>
        <w:t>表10</w:t>
      </w:r>
      <w:r>
        <w:t>.2</w:t>
      </w:r>
      <w:r>
        <w:rPr>
          <w:rFonts w:hint="eastAsia"/>
        </w:rPr>
        <w:t>.5-2周边环境监测项目</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268"/>
        <w:gridCol w:w="2410"/>
        <w:gridCol w:w="155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序号</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监测对象</w:t>
            </w:r>
          </w:p>
        </w:tc>
        <w:tc>
          <w:tcPr>
            <w:tcW w:w="2410"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监测项目</w:t>
            </w:r>
          </w:p>
        </w:tc>
        <w:tc>
          <w:tcPr>
            <w:tcW w:w="3027"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工程影响分区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pStyle w:val="33"/>
              <w:rPr>
                <w:rFonts w:hint="eastAsia" w:ascii="宋体" w:hAnsi="宋体" w:eastAsia="宋体" w:cs="宋体"/>
                <w:sz w:val="21"/>
                <w:szCs w:val="21"/>
              </w:rPr>
            </w:pPr>
          </w:p>
        </w:tc>
        <w:tc>
          <w:tcPr>
            <w:tcW w:w="2268" w:type="dxa"/>
            <w:vMerge w:val="continue"/>
            <w:vAlign w:val="center"/>
          </w:tcPr>
          <w:p>
            <w:pPr>
              <w:pStyle w:val="33"/>
              <w:rPr>
                <w:rFonts w:hint="eastAsia" w:ascii="宋体" w:hAnsi="宋体" w:eastAsia="宋体" w:cs="宋体"/>
                <w:sz w:val="21"/>
                <w:szCs w:val="21"/>
              </w:rPr>
            </w:pPr>
          </w:p>
        </w:tc>
        <w:tc>
          <w:tcPr>
            <w:tcW w:w="2410" w:type="dxa"/>
            <w:vMerge w:val="continue"/>
            <w:vAlign w:val="center"/>
          </w:tcPr>
          <w:p>
            <w:pPr>
              <w:pStyle w:val="33"/>
              <w:rPr>
                <w:rFonts w:hint="eastAsia" w:ascii="宋体" w:hAnsi="宋体" w:eastAsia="宋体" w:cs="宋体"/>
                <w:sz w:val="21"/>
                <w:szCs w:val="21"/>
              </w:rPr>
            </w:pP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主要影响区</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次要影响区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建（构）筑物</w:t>
            </w: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2</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水平位移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3</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倾斜</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4</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裂缝</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5</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地下管线</w:t>
            </w: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6</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水平位移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7</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高速公路与城市道路</w:t>
            </w: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路面路基竖向位移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8</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挡墙竖向位移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9</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挡墙倾斜</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10</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桥梁</w:t>
            </w: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墩台竖向位移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11</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墩台差异沉降</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12</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墩柱倾斜</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13</w:t>
            </w:r>
          </w:p>
        </w:tc>
        <w:tc>
          <w:tcPr>
            <w:tcW w:w="2268"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既有铁路</w:t>
            </w: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路基竖向位移</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14</w:t>
            </w:r>
          </w:p>
        </w:tc>
        <w:tc>
          <w:tcPr>
            <w:tcW w:w="2268" w:type="dxa"/>
            <w:vMerge w:val="continue"/>
            <w:vAlign w:val="center"/>
          </w:tcPr>
          <w:p>
            <w:pPr>
              <w:pStyle w:val="33"/>
              <w:rPr>
                <w:rFonts w:hint="eastAsia" w:ascii="宋体" w:hAnsi="宋体" w:eastAsia="宋体" w:cs="宋体"/>
                <w:sz w:val="21"/>
                <w:szCs w:val="21"/>
              </w:rPr>
            </w:pPr>
          </w:p>
        </w:tc>
        <w:tc>
          <w:tcPr>
            <w:tcW w:w="241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轨道静态几何形位（轨距、轨向、高低、水平）</w:t>
            </w:r>
          </w:p>
        </w:tc>
        <w:tc>
          <w:tcPr>
            <w:tcW w:w="155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46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r>
    </w:tbl>
    <w:p>
      <w:pPr>
        <w:pStyle w:val="33"/>
        <w:jc w:val="left"/>
        <w:rPr>
          <w:sz w:val="20"/>
          <w:szCs w:val="20"/>
        </w:rPr>
      </w:pPr>
      <w:r>
        <w:rPr>
          <w:rFonts w:hint="eastAsia"/>
          <w:sz w:val="20"/>
          <w:szCs w:val="20"/>
        </w:rPr>
        <w:t>注：☆——应测项目，○——可测项目。</w:t>
      </w:r>
    </w:p>
    <w:p>
      <w:pPr>
        <w:pStyle w:val="33"/>
        <w:jc w:val="left"/>
        <w:rPr>
          <w:sz w:val="20"/>
          <w:szCs w:val="20"/>
        </w:rPr>
      </w:pPr>
      <w:r>
        <w:rPr>
          <w:rFonts w:hint="eastAsia"/>
          <w:sz w:val="20"/>
          <w:szCs w:val="20"/>
        </w:rPr>
        <w:t>当工程周边存在既有铁路或管线时，应当与相关管理部门或产权单位共同协商确定监测对象、监测点位及监测项目。</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巡视内容包括自然条件、基坑支护结构、施工工况、周边环境、监测设施，具体要求参见《建筑基坑工程监测技术标准》。</w:t>
      </w:r>
    </w:p>
    <w:p>
      <w:pPr>
        <w:pStyle w:val="51"/>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明挖法的支护桩（墙）、边坡顶部水平位移和竖向位移监测点布设应符合下列规定：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监测点应沿基坑周边布设，且监测等级为一级、二级时，布设间距宜为l0m-20m，监测等级为三级时，布设间距宜为20m-30m；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基坑各边中间部位、阳角部位、深度变化部位、邻近建（构）筑物及地下管线等重要环境部位、地质条件复杂部位等，应布设监测点；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对于出入口、风井等附属工程的基坑，每侧的监视l点不应少于1个；</w:t>
      </w:r>
    </w:p>
    <w:p>
      <w:pPr>
        <w:pStyle w:val="51"/>
        <w:widowControl w:val="0"/>
        <w:numPr>
          <w:ilvl w:val="255"/>
          <w:numId w:val="0"/>
        </w:numPr>
        <w:spacing w:line="360" w:lineRule="auto"/>
        <w:ind w:left="0" w:firstLine="406" w:firstLineChars="145"/>
        <w:rPr>
          <w:rFonts w:ascii="楷体" w:hAnsi="楷体" w:eastAsia="楷体"/>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水平和竖向位移监测点宜为共用点，监测点应布设在支护桩（墙）顶或基坑坡顶上。</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明挖法支护桩（墙）体水平位移监测点布设应符合下列规定：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监测点应沿基坑周边的桩（墙）体布设，且监测等级为一级、二级时，布设间距宜为20m-40m，监测等级为三级时，布设间距宜为40m-50m；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基坑各边中间部位、阳角部位及其他代表性部位的桩（墙）体应布设监测点；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监测点的布设位置宜与支护桩（墙）顶部水平位移和竖向位移监测点处于同一监测断面。</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明挖法支护桩（墙）结构应力监测断面及监测点布设应符合下列规定：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基坑各边中间部位、深度变化部位、桩（墙）体背后水土压力较大部位、地面荷载较大或其他变形较大部位、受力条件复杂部位等，应布设竖向监测断面；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监测断面的布设位置与支护桩（墙）体水平位移监测点宜共同组成监测断面；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监测点的竖向间距应根据桩（墙）体的弯矩大小及土层分布情况确定，且监测点竖向间距不宜大5m，在弯矩最大处应布设监测点。</w:t>
      </w:r>
    </w:p>
    <w:p>
      <w:pPr>
        <w:pStyle w:val="51"/>
        <w:numPr>
          <w:ilvl w:val="2"/>
          <w:numId w:val="0"/>
        </w:numPr>
        <w:ind w:leftChars="0"/>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10.2.10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桥梁墩台竖向位移及差异沉降监测点应布设在墩柱或承</w:t>
      </w:r>
      <w:r>
        <w:rPr>
          <w:rFonts w:hint="eastAsia"/>
        </w:rPr>
        <w:t>台上，每个</w:t>
      </w:r>
      <w:r>
        <w:rPr>
          <w:rFonts w:hint="eastAsia" w:cs="Times New Roman" w:eastAsiaTheme="minorEastAsia"/>
          <w:bCs/>
          <w:color w:val="000000" w:themeColor="text1"/>
          <w:kern w:val="2"/>
          <w:sz w:val="28"/>
          <w:szCs w:val="28"/>
          <w:lang w:val="zh-CN" w:eastAsia="zh-CN" w:bidi="ar-SA"/>
          <w14:textFill>
            <w14:solidFill>
              <w14:schemeClr w14:val="tx1"/>
            </w14:solidFill>
          </w14:textFill>
        </w:rPr>
        <w:t>墩柱和承台的监测点不应少于1个，群桩承台宜适当增加监测点。</w:t>
      </w:r>
    </w:p>
    <w:p>
      <w:pPr>
        <w:pStyle w:val="51"/>
        <w:numPr>
          <w:ilvl w:val="2"/>
          <w:numId w:val="0"/>
        </w:numPr>
        <w:ind w:leftChars="0"/>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10.2.11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既有铁路应根据结构类型布设监测点位置。路基竖向位移监测断应按监测断面布设，当既有铁路位于主要影响区时，监测断面间距不宜大于5m；位于次要影响区时，监测断面间距不宜大于10m。</w:t>
      </w:r>
    </w:p>
    <w:p>
      <w:pPr>
        <w:pStyle w:val="51"/>
        <w:numPr>
          <w:ilvl w:val="2"/>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10.2.12 </w:t>
      </w:r>
      <w:r>
        <w:rPr>
          <w:rFonts w:hint="eastAsia" w:cs="Times New Roman" w:eastAsiaTheme="minorEastAsia"/>
          <w:bCs/>
          <w:color w:val="000000" w:themeColor="text1"/>
          <w:kern w:val="2"/>
          <w:sz w:val="28"/>
          <w:szCs w:val="28"/>
          <w:lang w:val="zh-CN" w:eastAsia="zh-CN" w:bidi="ar-SA"/>
          <w14:textFill>
            <w14:solidFill>
              <w14:schemeClr w14:val="tx1"/>
            </w14:solidFill>
          </w14:textFill>
        </w:rPr>
        <w:t>既有铁路轨道静态几何形位（轨距、轨向、高低、水平）应按照铁路工务维修、养护要求进行确定。既有铁路监测可采用自动化监控系统。</w:t>
      </w:r>
    </w:p>
    <w:p>
      <w:pPr>
        <w:pStyle w:val="51"/>
        <w:numPr>
          <w:ilvl w:val="2"/>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10.2.13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变形监测的方法参见《城市轨道交通工程监测技术规范》。</w:t>
      </w:r>
    </w:p>
    <w:p>
      <w:pPr>
        <w:pStyle w:val="51"/>
        <w:numPr>
          <w:ilvl w:val="2"/>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10.2.14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变形监测的基准点、工作基点布设应考虑施工影响、便于使用，并应定期进行复测。基准点和工作基点应在工程施工前埋设，经观测稳定后再使用。</w:t>
      </w:r>
    </w:p>
    <w:p>
      <w:pPr>
        <w:ind w:firstLine="480"/>
      </w:pPr>
    </w:p>
    <w:p>
      <w:pPr>
        <w:pStyle w:val="3"/>
      </w:pPr>
      <w:bookmarkStart w:id="97" w:name="_Toc21988"/>
      <w:r>
        <w:rPr>
          <w:rFonts w:hint="eastAsia"/>
        </w:rPr>
        <w:t>监测频率及控制值</w:t>
      </w:r>
      <w:bookmarkEnd w:id="97"/>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监测频率应根据施工方法、施工进度、监测对象、监测项目、地质条件等情况和特点，并结合当地工程经验进行确定。在工况特殊部位或发生突变期间，应针对性的提高监测评率。</w:t>
      </w:r>
    </w:p>
    <w:p>
      <w:pPr>
        <w:pStyle w:val="38"/>
      </w:pPr>
      <w:r>
        <w:rPr>
          <w:rFonts w:hint="eastAsia"/>
        </w:rPr>
        <w:t>表</w:t>
      </w:r>
      <w:r>
        <w:t>1</w:t>
      </w:r>
      <w:r>
        <w:rPr>
          <w:rFonts w:hint="eastAsia"/>
        </w:rPr>
        <w:t>0</w:t>
      </w:r>
      <w:r>
        <w:t>.3.</w:t>
      </w:r>
      <w:r>
        <w:rPr>
          <w:rFonts w:hint="eastAsia"/>
        </w:rPr>
        <w:t>1监测频率一览表</w:t>
      </w:r>
    </w:p>
    <w:tbl>
      <w:tblPr>
        <w:tblStyle w:val="22"/>
        <w:tblW w:w="72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932"/>
        <w:gridCol w:w="1595"/>
        <w:gridCol w:w="2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1466" w:type="dxa"/>
            <w:vAlign w:val="center"/>
          </w:tcPr>
          <w:p>
            <w:pPr>
              <w:pStyle w:val="33"/>
              <w:rPr>
                <w:sz w:val="20"/>
                <w:szCs w:val="20"/>
              </w:rPr>
            </w:pPr>
            <w:r>
              <w:rPr>
                <w:rFonts w:hint="eastAsia"/>
                <w:sz w:val="20"/>
                <w:szCs w:val="20"/>
              </w:rPr>
              <w:t>基坑设计</w:t>
            </w:r>
          </w:p>
          <w:p>
            <w:pPr>
              <w:pStyle w:val="33"/>
              <w:rPr>
                <w:sz w:val="20"/>
                <w:szCs w:val="20"/>
              </w:rPr>
            </w:pPr>
            <w:r>
              <w:rPr>
                <w:rFonts w:hint="eastAsia"/>
                <w:sz w:val="20"/>
                <w:szCs w:val="20"/>
              </w:rPr>
              <w:t>安全等级</w:t>
            </w:r>
          </w:p>
        </w:tc>
        <w:tc>
          <w:tcPr>
            <w:tcW w:w="3527" w:type="dxa"/>
            <w:gridSpan w:val="2"/>
            <w:vAlign w:val="center"/>
          </w:tcPr>
          <w:p>
            <w:pPr>
              <w:pStyle w:val="33"/>
              <w:rPr>
                <w:sz w:val="20"/>
                <w:szCs w:val="20"/>
              </w:rPr>
            </w:pPr>
            <w:r>
              <w:rPr>
                <w:sz w:val="20"/>
                <w:szCs w:val="20"/>
              </w:rPr>
              <w:t>施工过程</w:t>
            </w:r>
          </w:p>
        </w:tc>
        <w:tc>
          <w:tcPr>
            <w:tcW w:w="2274" w:type="dxa"/>
            <w:vAlign w:val="center"/>
          </w:tcPr>
          <w:p>
            <w:pPr>
              <w:pStyle w:val="33"/>
              <w:rPr>
                <w:sz w:val="20"/>
                <w:szCs w:val="20"/>
              </w:rPr>
            </w:pPr>
            <w:r>
              <w:rPr>
                <w:sz w:val="20"/>
                <w:szCs w:val="20"/>
              </w:rPr>
              <w:t>正常施工期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restart"/>
            <w:vAlign w:val="center"/>
          </w:tcPr>
          <w:p>
            <w:pPr>
              <w:pStyle w:val="33"/>
              <w:rPr>
                <w:sz w:val="20"/>
                <w:szCs w:val="20"/>
              </w:rPr>
            </w:pPr>
            <w:r>
              <w:rPr>
                <w:rFonts w:hint="eastAsia"/>
                <w:sz w:val="20"/>
                <w:szCs w:val="20"/>
              </w:rPr>
              <w:t>一级</w:t>
            </w:r>
          </w:p>
        </w:tc>
        <w:tc>
          <w:tcPr>
            <w:tcW w:w="1932" w:type="dxa"/>
            <w:vMerge w:val="restart"/>
            <w:vAlign w:val="center"/>
          </w:tcPr>
          <w:p>
            <w:pPr>
              <w:pStyle w:val="33"/>
              <w:rPr>
                <w:sz w:val="20"/>
                <w:szCs w:val="20"/>
              </w:rPr>
            </w:pPr>
            <w:r>
              <w:rPr>
                <w:sz w:val="20"/>
                <w:szCs w:val="20"/>
              </w:rPr>
              <w:t>开挖深度（m）</w:t>
            </w:r>
          </w:p>
        </w:tc>
        <w:tc>
          <w:tcPr>
            <w:tcW w:w="1595" w:type="dxa"/>
            <w:vAlign w:val="center"/>
          </w:tcPr>
          <w:p>
            <w:pPr>
              <w:pStyle w:val="33"/>
              <w:rPr>
                <w:sz w:val="20"/>
                <w:szCs w:val="20"/>
              </w:rPr>
            </w:pPr>
            <w:r>
              <w:rPr>
                <w:sz w:val="20"/>
                <w:szCs w:val="20"/>
              </w:rPr>
              <w:t>≤5</w:t>
            </w:r>
          </w:p>
        </w:tc>
        <w:tc>
          <w:tcPr>
            <w:tcW w:w="2274" w:type="dxa"/>
            <w:vAlign w:val="center"/>
          </w:tcPr>
          <w:p>
            <w:pPr>
              <w:pStyle w:val="33"/>
              <w:rPr>
                <w:sz w:val="20"/>
                <w:szCs w:val="20"/>
              </w:rPr>
            </w:pPr>
            <w:r>
              <w:rPr>
                <w:sz w:val="20"/>
                <w:szCs w:val="20"/>
              </w:rPr>
              <w:t>1次/3d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5~10</w:t>
            </w:r>
          </w:p>
        </w:tc>
        <w:tc>
          <w:tcPr>
            <w:tcW w:w="2274" w:type="dxa"/>
            <w:vAlign w:val="center"/>
          </w:tcPr>
          <w:p>
            <w:pPr>
              <w:pStyle w:val="33"/>
              <w:rPr>
                <w:sz w:val="20"/>
                <w:szCs w:val="20"/>
              </w:rPr>
            </w:pPr>
            <w:r>
              <w:rPr>
                <w:sz w:val="20"/>
                <w:szCs w:val="20"/>
              </w:rPr>
              <w:t>1次/2d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rFonts w:hint="eastAsia"/>
                <w:sz w:val="20"/>
                <w:szCs w:val="20"/>
              </w:rPr>
              <w:t>10</w:t>
            </w:r>
            <w:r>
              <w:rPr>
                <w:sz w:val="20"/>
                <w:szCs w:val="20"/>
              </w:rPr>
              <w:t>~1</w:t>
            </w:r>
            <w:r>
              <w:rPr>
                <w:rFonts w:hint="eastAsia"/>
                <w:sz w:val="20"/>
                <w:szCs w:val="20"/>
              </w:rPr>
              <w:t>5</w:t>
            </w:r>
          </w:p>
        </w:tc>
        <w:tc>
          <w:tcPr>
            <w:tcW w:w="2274" w:type="dxa"/>
            <w:vAlign w:val="center"/>
          </w:tcPr>
          <w:p>
            <w:pPr>
              <w:pStyle w:val="33"/>
              <w:rPr>
                <w:sz w:val="20"/>
                <w:szCs w:val="20"/>
              </w:rPr>
            </w:pPr>
            <w:r>
              <w:rPr>
                <w:rFonts w:hint="eastAsia"/>
                <w:sz w:val="20"/>
                <w:szCs w:val="20"/>
              </w:rPr>
              <w:t>1</w:t>
            </w:r>
            <w:r>
              <w:rPr>
                <w:sz w:val="20"/>
                <w:szCs w:val="20"/>
              </w:rPr>
              <w:t>次/</w:t>
            </w:r>
            <w:r>
              <w:rPr>
                <w:rFonts w:hint="eastAsia"/>
                <w:sz w:val="20"/>
                <w:szCs w:val="20"/>
              </w:rPr>
              <w:t>2</w:t>
            </w:r>
            <w:r>
              <w:rPr>
                <w:sz w:val="20"/>
                <w:szCs w:val="20"/>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1</w:t>
            </w:r>
            <w:r>
              <w:rPr>
                <w:rFonts w:hint="eastAsia"/>
                <w:sz w:val="20"/>
                <w:szCs w:val="20"/>
              </w:rPr>
              <w:t>5</w:t>
            </w:r>
            <w:r>
              <w:rPr>
                <w:sz w:val="20"/>
                <w:szCs w:val="20"/>
              </w:rPr>
              <w:t>~</w:t>
            </w:r>
            <w:r>
              <w:rPr>
                <w:rFonts w:hint="eastAsia"/>
                <w:sz w:val="20"/>
                <w:szCs w:val="20"/>
              </w:rPr>
              <w:t>20</w:t>
            </w:r>
          </w:p>
        </w:tc>
        <w:tc>
          <w:tcPr>
            <w:tcW w:w="2274" w:type="dxa"/>
            <w:vAlign w:val="center"/>
          </w:tcPr>
          <w:p>
            <w:pPr>
              <w:pStyle w:val="33"/>
              <w:rPr>
                <w:sz w:val="20"/>
                <w:szCs w:val="20"/>
              </w:rPr>
            </w:pPr>
            <w:r>
              <w:rPr>
                <w:sz w:val="20"/>
                <w:szCs w:val="20"/>
              </w:rPr>
              <w:t>（1</w:t>
            </w:r>
            <w:r>
              <w:rPr>
                <w:rFonts w:hint="eastAsia"/>
                <w:sz w:val="20"/>
                <w:szCs w:val="20"/>
              </w:rPr>
              <w:t>次</w:t>
            </w:r>
            <w:r>
              <w:rPr>
                <w:sz w:val="20"/>
                <w:szCs w:val="20"/>
              </w:rPr>
              <w:t>~2</w:t>
            </w:r>
            <w:r>
              <w:rPr>
                <w:rFonts w:hint="eastAsia"/>
                <w:sz w:val="20"/>
                <w:szCs w:val="20"/>
              </w:rPr>
              <w:t>次）/1d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rFonts w:hint="eastAsia"/>
                <w:sz w:val="20"/>
                <w:szCs w:val="20"/>
              </w:rPr>
              <w:t>＞20</w:t>
            </w:r>
          </w:p>
        </w:tc>
        <w:tc>
          <w:tcPr>
            <w:tcW w:w="2274" w:type="dxa"/>
            <w:vAlign w:val="center"/>
          </w:tcPr>
          <w:p>
            <w:pPr>
              <w:pStyle w:val="33"/>
              <w:rPr>
                <w:sz w:val="20"/>
                <w:szCs w:val="20"/>
              </w:rPr>
            </w:pPr>
            <w:r>
              <w:rPr>
                <w:sz w:val="20"/>
                <w:szCs w:val="20"/>
              </w:rPr>
              <w:t>2</w:t>
            </w:r>
            <w:r>
              <w:rPr>
                <w:rFonts w:hint="eastAsia"/>
                <w:sz w:val="20"/>
                <w:szCs w:val="20"/>
              </w:rPr>
              <w:t>次/1d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restart"/>
            <w:vAlign w:val="center"/>
          </w:tcPr>
          <w:p>
            <w:pPr>
              <w:pStyle w:val="33"/>
              <w:rPr>
                <w:sz w:val="20"/>
                <w:szCs w:val="20"/>
              </w:rPr>
            </w:pPr>
            <w:r>
              <w:rPr>
                <w:sz w:val="20"/>
                <w:szCs w:val="20"/>
              </w:rPr>
              <w:t>底板浇筑后（d）</w:t>
            </w:r>
          </w:p>
        </w:tc>
        <w:tc>
          <w:tcPr>
            <w:tcW w:w="1595" w:type="dxa"/>
            <w:vAlign w:val="center"/>
          </w:tcPr>
          <w:p>
            <w:pPr>
              <w:pStyle w:val="33"/>
              <w:rPr>
                <w:sz w:val="20"/>
                <w:szCs w:val="20"/>
              </w:rPr>
            </w:pPr>
            <w:r>
              <w:rPr>
                <w:sz w:val="20"/>
                <w:szCs w:val="20"/>
              </w:rPr>
              <w:t>≤7</w:t>
            </w:r>
          </w:p>
        </w:tc>
        <w:tc>
          <w:tcPr>
            <w:tcW w:w="2274" w:type="dxa"/>
            <w:vAlign w:val="center"/>
          </w:tcPr>
          <w:p>
            <w:pPr>
              <w:pStyle w:val="33"/>
              <w:rPr>
                <w:sz w:val="20"/>
                <w:szCs w:val="20"/>
              </w:rPr>
            </w:pPr>
            <w:r>
              <w:rPr>
                <w:rFonts w:hint="eastAsia"/>
                <w:sz w:val="20"/>
                <w:szCs w:val="20"/>
              </w:rPr>
              <w:t>1</w:t>
            </w:r>
            <w:r>
              <w:rPr>
                <w:sz w:val="20"/>
                <w:szCs w:val="20"/>
              </w:rPr>
              <w:t>次/1d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7~14</w:t>
            </w:r>
          </w:p>
        </w:tc>
        <w:tc>
          <w:tcPr>
            <w:tcW w:w="2274" w:type="dxa"/>
            <w:vAlign w:val="center"/>
          </w:tcPr>
          <w:p>
            <w:pPr>
              <w:pStyle w:val="33"/>
              <w:rPr>
                <w:sz w:val="20"/>
                <w:szCs w:val="20"/>
              </w:rPr>
            </w:pPr>
            <w:r>
              <w:rPr>
                <w:sz w:val="20"/>
                <w:szCs w:val="20"/>
              </w:rPr>
              <w:t>1次/</w:t>
            </w:r>
            <w:r>
              <w:rPr>
                <w:rFonts w:hint="eastAsia"/>
                <w:sz w:val="20"/>
                <w:szCs w:val="20"/>
              </w:rPr>
              <w:t>2</w:t>
            </w:r>
            <w:r>
              <w:rPr>
                <w:sz w:val="20"/>
                <w:szCs w:val="20"/>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14~28</w:t>
            </w:r>
          </w:p>
        </w:tc>
        <w:tc>
          <w:tcPr>
            <w:tcW w:w="2274" w:type="dxa"/>
            <w:vAlign w:val="center"/>
          </w:tcPr>
          <w:p>
            <w:pPr>
              <w:pStyle w:val="33"/>
              <w:rPr>
                <w:sz w:val="20"/>
                <w:szCs w:val="20"/>
              </w:rPr>
            </w:pPr>
            <w:r>
              <w:rPr>
                <w:sz w:val="20"/>
                <w:szCs w:val="20"/>
              </w:rPr>
              <w:t>1次/</w:t>
            </w:r>
            <w:r>
              <w:rPr>
                <w:rFonts w:hint="eastAsia"/>
                <w:sz w:val="20"/>
                <w:szCs w:val="20"/>
              </w:rPr>
              <w:t>3</w:t>
            </w:r>
            <w:r>
              <w:rPr>
                <w:sz w:val="20"/>
                <w:szCs w:val="20"/>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＞28</w:t>
            </w:r>
          </w:p>
        </w:tc>
        <w:tc>
          <w:tcPr>
            <w:tcW w:w="2274" w:type="dxa"/>
            <w:vAlign w:val="center"/>
          </w:tcPr>
          <w:p>
            <w:pPr>
              <w:pStyle w:val="33"/>
              <w:rPr>
                <w:sz w:val="20"/>
                <w:szCs w:val="20"/>
              </w:rPr>
            </w:pPr>
            <w:r>
              <w:rPr>
                <w:sz w:val="20"/>
                <w:szCs w:val="20"/>
              </w:rPr>
              <w:t>1次/</w:t>
            </w:r>
            <w:r>
              <w:rPr>
                <w:rFonts w:hint="eastAsia"/>
                <w:sz w:val="20"/>
                <w:szCs w:val="20"/>
              </w:rPr>
              <w:t>7</w:t>
            </w:r>
            <w:r>
              <w:rPr>
                <w:sz w:val="20"/>
                <w:szCs w:val="20"/>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restart"/>
            <w:vAlign w:val="center"/>
          </w:tcPr>
          <w:p>
            <w:pPr>
              <w:pStyle w:val="33"/>
              <w:rPr>
                <w:sz w:val="20"/>
                <w:szCs w:val="20"/>
              </w:rPr>
            </w:pPr>
            <w:r>
              <w:rPr>
                <w:rFonts w:hint="eastAsia"/>
                <w:sz w:val="20"/>
                <w:szCs w:val="20"/>
              </w:rPr>
              <w:t>二级</w:t>
            </w:r>
          </w:p>
        </w:tc>
        <w:tc>
          <w:tcPr>
            <w:tcW w:w="1932" w:type="dxa"/>
            <w:vMerge w:val="restart"/>
            <w:vAlign w:val="center"/>
          </w:tcPr>
          <w:p>
            <w:pPr>
              <w:pStyle w:val="33"/>
              <w:rPr>
                <w:sz w:val="20"/>
                <w:szCs w:val="20"/>
              </w:rPr>
            </w:pPr>
            <w:r>
              <w:rPr>
                <w:sz w:val="20"/>
                <w:szCs w:val="20"/>
              </w:rPr>
              <w:t>开挖深度（m）</w:t>
            </w:r>
          </w:p>
        </w:tc>
        <w:tc>
          <w:tcPr>
            <w:tcW w:w="1595" w:type="dxa"/>
            <w:vAlign w:val="center"/>
          </w:tcPr>
          <w:p>
            <w:pPr>
              <w:pStyle w:val="33"/>
              <w:rPr>
                <w:sz w:val="20"/>
                <w:szCs w:val="20"/>
              </w:rPr>
            </w:pPr>
            <w:r>
              <w:rPr>
                <w:sz w:val="20"/>
                <w:szCs w:val="20"/>
              </w:rPr>
              <w:t>≤5</w:t>
            </w:r>
          </w:p>
        </w:tc>
        <w:tc>
          <w:tcPr>
            <w:tcW w:w="2274" w:type="dxa"/>
            <w:vAlign w:val="center"/>
          </w:tcPr>
          <w:p>
            <w:pPr>
              <w:pStyle w:val="33"/>
              <w:rPr>
                <w:sz w:val="20"/>
                <w:szCs w:val="20"/>
              </w:rPr>
            </w:pPr>
            <w:r>
              <w:rPr>
                <w:sz w:val="20"/>
                <w:szCs w:val="20"/>
              </w:rPr>
              <w:t>1次/2d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5~10</w:t>
            </w:r>
          </w:p>
        </w:tc>
        <w:tc>
          <w:tcPr>
            <w:tcW w:w="2274" w:type="dxa"/>
            <w:vAlign w:val="center"/>
          </w:tcPr>
          <w:p>
            <w:pPr>
              <w:pStyle w:val="33"/>
              <w:rPr>
                <w:sz w:val="20"/>
                <w:szCs w:val="20"/>
              </w:rPr>
            </w:pPr>
            <w:r>
              <w:rPr>
                <w:sz w:val="20"/>
                <w:szCs w:val="20"/>
              </w:rPr>
              <w:t>1次/1d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restart"/>
            <w:vAlign w:val="center"/>
          </w:tcPr>
          <w:p>
            <w:pPr>
              <w:pStyle w:val="33"/>
              <w:rPr>
                <w:sz w:val="20"/>
                <w:szCs w:val="20"/>
              </w:rPr>
            </w:pPr>
            <w:r>
              <w:rPr>
                <w:sz w:val="20"/>
                <w:szCs w:val="20"/>
              </w:rPr>
              <w:t>底板浇筑后（d）</w:t>
            </w:r>
          </w:p>
        </w:tc>
        <w:tc>
          <w:tcPr>
            <w:tcW w:w="1595" w:type="dxa"/>
            <w:vAlign w:val="center"/>
          </w:tcPr>
          <w:p>
            <w:pPr>
              <w:pStyle w:val="33"/>
              <w:rPr>
                <w:sz w:val="20"/>
                <w:szCs w:val="20"/>
              </w:rPr>
            </w:pPr>
            <w:r>
              <w:rPr>
                <w:sz w:val="20"/>
                <w:szCs w:val="20"/>
              </w:rPr>
              <w:t>≤7</w:t>
            </w:r>
          </w:p>
        </w:tc>
        <w:tc>
          <w:tcPr>
            <w:tcW w:w="2274" w:type="dxa"/>
            <w:vAlign w:val="center"/>
          </w:tcPr>
          <w:p>
            <w:pPr>
              <w:pStyle w:val="33"/>
              <w:rPr>
                <w:sz w:val="20"/>
                <w:szCs w:val="20"/>
              </w:rPr>
            </w:pPr>
            <w:r>
              <w:rPr>
                <w:rFonts w:hint="eastAsia"/>
                <w:sz w:val="20"/>
                <w:szCs w:val="20"/>
              </w:rPr>
              <w:t>1</w:t>
            </w:r>
            <w:r>
              <w:rPr>
                <w:sz w:val="20"/>
                <w:szCs w:val="20"/>
              </w:rPr>
              <w:t>次/2d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7~14</w:t>
            </w:r>
          </w:p>
        </w:tc>
        <w:tc>
          <w:tcPr>
            <w:tcW w:w="2274" w:type="dxa"/>
            <w:vAlign w:val="center"/>
          </w:tcPr>
          <w:p>
            <w:pPr>
              <w:pStyle w:val="33"/>
              <w:rPr>
                <w:sz w:val="20"/>
                <w:szCs w:val="20"/>
              </w:rPr>
            </w:pPr>
            <w:r>
              <w:rPr>
                <w:sz w:val="20"/>
                <w:szCs w:val="20"/>
              </w:rPr>
              <w:t>1次/3d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14~28</w:t>
            </w:r>
          </w:p>
        </w:tc>
        <w:tc>
          <w:tcPr>
            <w:tcW w:w="2274" w:type="dxa"/>
            <w:vAlign w:val="center"/>
          </w:tcPr>
          <w:p>
            <w:pPr>
              <w:pStyle w:val="33"/>
              <w:rPr>
                <w:sz w:val="20"/>
                <w:szCs w:val="20"/>
              </w:rPr>
            </w:pPr>
            <w:r>
              <w:rPr>
                <w:sz w:val="20"/>
                <w:szCs w:val="20"/>
              </w:rPr>
              <w:t>1次/7d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＞28</w:t>
            </w:r>
          </w:p>
        </w:tc>
        <w:tc>
          <w:tcPr>
            <w:tcW w:w="2274" w:type="dxa"/>
            <w:vAlign w:val="center"/>
          </w:tcPr>
          <w:p>
            <w:pPr>
              <w:pStyle w:val="33"/>
              <w:rPr>
                <w:sz w:val="20"/>
                <w:szCs w:val="20"/>
              </w:rPr>
            </w:pPr>
            <w:r>
              <w:rPr>
                <w:sz w:val="20"/>
                <w:szCs w:val="20"/>
              </w:rPr>
              <w:t>1次/10d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restart"/>
            <w:vAlign w:val="center"/>
          </w:tcPr>
          <w:p>
            <w:pPr>
              <w:pStyle w:val="33"/>
              <w:rPr>
                <w:sz w:val="20"/>
                <w:szCs w:val="20"/>
              </w:rPr>
            </w:pPr>
            <w:r>
              <w:rPr>
                <w:rFonts w:hint="eastAsia"/>
                <w:sz w:val="20"/>
                <w:szCs w:val="20"/>
              </w:rPr>
              <w:t>三级</w:t>
            </w:r>
          </w:p>
        </w:tc>
        <w:tc>
          <w:tcPr>
            <w:tcW w:w="1932" w:type="dxa"/>
            <w:vMerge w:val="restart"/>
            <w:vAlign w:val="center"/>
          </w:tcPr>
          <w:p>
            <w:pPr>
              <w:pStyle w:val="33"/>
              <w:rPr>
                <w:sz w:val="20"/>
                <w:szCs w:val="20"/>
              </w:rPr>
            </w:pPr>
            <w:r>
              <w:rPr>
                <w:sz w:val="20"/>
                <w:szCs w:val="20"/>
              </w:rPr>
              <w:t>开挖深度（m）</w:t>
            </w:r>
          </w:p>
        </w:tc>
        <w:tc>
          <w:tcPr>
            <w:tcW w:w="1595" w:type="dxa"/>
            <w:vAlign w:val="center"/>
          </w:tcPr>
          <w:p>
            <w:pPr>
              <w:pStyle w:val="33"/>
              <w:rPr>
                <w:sz w:val="20"/>
                <w:szCs w:val="20"/>
              </w:rPr>
            </w:pPr>
            <w:r>
              <w:rPr>
                <w:sz w:val="20"/>
                <w:szCs w:val="20"/>
              </w:rPr>
              <w:t>≤5</w:t>
            </w:r>
          </w:p>
        </w:tc>
        <w:tc>
          <w:tcPr>
            <w:tcW w:w="2274" w:type="dxa"/>
            <w:vAlign w:val="center"/>
          </w:tcPr>
          <w:p>
            <w:pPr>
              <w:pStyle w:val="33"/>
              <w:rPr>
                <w:sz w:val="20"/>
                <w:szCs w:val="20"/>
              </w:rPr>
            </w:pPr>
            <w:r>
              <w:rPr>
                <w:sz w:val="20"/>
                <w:szCs w:val="20"/>
              </w:rPr>
              <w:t>1次/3d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5~7</w:t>
            </w:r>
          </w:p>
        </w:tc>
        <w:tc>
          <w:tcPr>
            <w:tcW w:w="2274" w:type="dxa"/>
            <w:vAlign w:val="center"/>
          </w:tcPr>
          <w:p>
            <w:pPr>
              <w:pStyle w:val="33"/>
              <w:rPr>
                <w:sz w:val="20"/>
                <w:szCs w:val="20"/>
              </w:rPr>
            </w:pPr>
            <w:r>
              <w:rPr>
                <w:sz w:val="20"/>
                <w:szCs w:val="20"/>
              </w:rPr>
              <w:t>1次/2d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restart"/>
            <w:vAlign w:val="center"/>
          </w:tcPr>
          <w:p>
            <w:pPr>
              <w:pStyle w:val="33"/>
              <w:rPr>
                <w:sz w:val="20"/>
                <w:szCs w:val="20"/>
              </w:rPr>
            </w:pPr>
            <w:r>
              <w:rPr>
                <w:sz w:val="20"/>
                <w:szCs w:val="20"/>
              </w:rPr>
              <w:t>底板浇筑后（d）</w:t>
            </w:r>
          </w:p>
        </w:tc>
        <w:tc>
          <w:tcPr>
            <w:tcW w:w="1595" w:type="dxa"/>
            <w:vAlign w:val="center"/>
          </w:tcPr>
          <w:p>
            <w:pPr>
              <w:pStyle w:val="33"/>
              <w:rPr>
                <w:sz w:val="20"/>
                <w:szCs w:val="20"/>
              </w:rPr>
            </w:pPr>
            <w:r>
              <w:rPr>
                <w:sz w:val="20"/>
                <w:szCs w:val="20"/>
              </w:rPr>
              <w:t>≤7</w:t>
            </w:r>
          </w:p>
        </w:tc>
        <w:tc>
          <w:tcPr>
            <w:tcW w:w="2274" w:type="dxa"/>
            <w:vAlign w:val="center"/>
          </w:tcPr>
          <w:p>
            <w:pPr>
              <w:pStyle w:val="33"/>
              <w:rPr>
                <w:sz w:val="20"/>
                <w:szCs w:val="20"/>
              </w:rPr>
            </w:pPr>
            <w:r>
              <w:rPr>
                <w:rFonts w:hint="eastAsia"/>
                <w:sz w:val="20"/>
                <w:szCs w:val="20"/>
              </w:rPr>
              <w:t>1</w:t>
            </w:r>
            <w:r>
              <w:rPr>
                <w:sz w:val="20"/>
                <w:szCs w:val="20"/>
              </w:rPr>
              <w:t>次/3d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7~10</w:t>
            </w:r>
          </w:p>
        </w:tc>
        <w:tc>
          <w:tcPr>
            <w:tcW w:w="2274" w:type="dxa"/>
            <w:vAlign w:val="center"/>
          </w:tcPr>
          <w:p>
            <w:pPr>
              <w:pStyle w:val="33"/>
              <w:rPr>
                <w:sz w:val="20"/>
                <w:szCs w:val="20"/>
              </w:rPr>
            </w:pPr>
            <w:r>
              <w:rPr>
                <w:sz w:val="20"/>
                <w:szCs w:val="20"/>
              </w:rPr>
              <w:t>1次/7d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66" w:type="dxa"/>
            <w:vMerge w:val="continue"/>
            <w:vAlign w:val="center"/>
          </w:tcPr>
          <w:p>
            <w:pPr>
              <w:pStyle w:val="33"/>
              <w:rPr>
                <w:sz w:val="20"/>
                <w:szCs w:val="20"/>
              </w:rPr>
            </w:pPr>
          </w:p>
        </w:tc>
        <w:tc>
          <w:tcPr>
            <w:tcW w:w="1932" w:type="dxa"/>
            <w:vMerge w:val="continue"/>
            <w:vAlign w:val="center"/>
          </w:tcPr>
          <w:p>
            <w:pPr>
              <w:pStyle w:val="33"/>
              <w:rPr>
                <w:sz w:val="20"/>
                <w:szCs w:val="20"/>
              </w:rPr>
            </w:pPr>
          </w:p>
        </w:tc>
        <w:tc>
          <w:tcPr>
            <w:tcW w:w="1595" w:type="dxa"/>
            <w:vAlign w:val="center"/>
          </w:tcPr>
          <w:p>
            <w:pPr>
              <w:pStyle w:val="33"/>
              <w:rPr>
                <w:sz w:val="20"/>
                <w:szCs w:val="20"/>
              </w:rPr>
            </w:pPr>
            <w:r>
              <w:rPr>
                <w:sz w:val="20"/>
                <w:szCs w:val="20"/>
              </w:rPr>
              <w:t>14~28</w:t>
            </w:r>
          </w:p>
        </w:tc>
        <w:tc>
          <w:tcPr>
            <w:tcW w:w="2274" w:type="dxa"/>
            <w:vAlign w:val="center"/>
          </w:tcPr>
          <w:p>
            <w:pPr>
              <w:pStyle w:val="33"/>
              <w:rPr>
                <w:sz w:val="20"/>
                <w:szCs w:val="20"/>
              </w:rPr>
            </w:pPr>
            <w:r>
              <w:rPr>
                <w:sz w:val="20"/>
                <w:szCs w:val="20"/>
              </w:rPr>
              <w:t>1次/10d</w:t>
            </w:r>
          </w:p>
        </w:tc>
      </w:tr>
    </w:tbl>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当出现下列特殊应急情况之一时，应加强监测，提高监测频率，并及时通知参建单位并报告监测结果：</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监测数据达到报警值；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监测数据变化量较大或者速率过快；</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存在勘察中未发现的不良地质条件；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基坑周边大量积水、长时间连续降雨、市政管道出现泄漏；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支护结构出现开裂；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周边地面出现突然较大沉降或严重开裂；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基坑底部、坡体或支护结构出现管涌、渗漏或流沙现象；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基坑工程发生事故后重新组织施工；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出现其他影响基坑及周边环境安全的异常情况。</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基坑监测预警控制值应满足基坑支护结构、周边环境的变形和安全控制要求，监测预警值应由基坑工程设计方确定。变形监测的预警控制值应包括监测项目的累计变化预警控制值和变化速率预警值。基坑监测预警控制值还应与建（构）筑物、管线等监测对象的主管部门或产权单位的相关要求或建筑检测报告的结论相结合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明挖隧道基坑支护结构和周围岩土体监测项目控制值参见《城市轨道交通工程监测技术规范》。</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建（构）筑物监测项目控制值应符合下列规定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建（构）筑物监测项目控制值应在调查分析建（构）筑物使用功能、建筑规模、修建年代、结构形式、基础类型、地质条件等基础上，结合其与工程的空间位置关系、已有沉降、差异沉降和倾斜以及当地工程经验进行确定，并应符合现行国家标准《建筑地基基础设计规范》GB50007的有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对风险等级为一级、二级的建（构）筑物，宜通过结构检测、计算。分析和安全性评估等确定建(构）筑物的沉降、差异沉降和倾斜控制值；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当无地方工程经验时，对于风险等级较低且无特殊要求的建（构)筑物，沉降控制值宜为10mm～30mm，变化速率控制值宜为lmm/d～3mm/d，差异沉降控制值宜为0.001l～0.002l(l为相邻基础的中心距离)。</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桥梁监测项目控制值的确定应符合下列规定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桥梁监测项目控制值应在调查分析桥梁规模、结构形式、基础类型、建筑材料、养护情况等的基础上，结合其与工程的空间位置关系、已有沉降、差异沉降和倾斜以及当地工程经验进行确定，并应符合现行国家标准的有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桥梁的沉降、差异沉降和倾斜控制值宜通过结构检测、计算分析和安全性评估确定。</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地下管线监测项目控制值的确定应符合下列规定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地下管线监测项目控制值应在调查分析管线功能、材质、工作压力、管径、接口形式、埋置深度、铺设方法、铺设年代等的基础上，结合其与工程的空间位置关系和当地工程经验进行确定;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对风险等级较高的地下管线，宜通过专项调查、计算分析和安全性评估确定其沉降和差异沉降控制值;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当无地方工程经验时，应充分考虑管道压力，对风险等级较低且无特殊要求的地下管线沉降及差异沉降控制值可下表确定。</w:t>
      </w:r>
    </w:p>
    <w:p>
      <w:pPr>
        <w:pStyle w:val="38"/>
      </w:pPr>
      <w:r>
        <w:rPr>
          <w:rFonts w:hint="eastAsia"/>
        </w:rPr>
        <w:t>表10</w:t>
      </w:r>
      <w:r>
        <w:t>.3</w:t>
      </w:r>
      <w:r>
        <w:rPr>
          <w:rFonts w:hint="eastAsia"/>
        </w:rPr>
        <w:t>.7地下管线沉降及差异沉降控制值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130" w:type="dxa"/>
            <w:vMerge w:val="restart"/>
            <w:vAlign w:val="center"/>
          </w:tcPr>
          <w:p>
            <w:pPr>
              <w:pStyle w:val="33"/>
              <w:rPr>
                <w:sz w:val="20"/>
                <w:szCs w:val="20"/>
              </w:rPr>
            </w:pPr>
            <w:r>
              <w:rPr>
                <w:rFonts w:hint="eastAsia"/>
                <w:sz w:val="20"/>
                <w:szCs w:val="20"/>
              </w:rPr>
              <w:t>管线类型</w:t>
            </w:r>
          </w:p>
        </w:tc>
        <w:tc>
          <w:tcPr>
            <w:tcW w:w="4261" w:type="dxa"/>
            <w:gridSpan w:val="2"/>
            <w:vAlign w:val="center"/>
          </w:tcPr>
          <w:p>
            <w:pPr>
              <w:pStyle w:val="33"/>
              <w:rPr>
                <w:sz w:val="20"/>
                <w:szCs w:val="20"/>
              </w:rPr>
            </w:pPr>
            <w:r>
              <w:rPr>
                <w:rFonts w:hint="eastAsia"/>
                <w:sz w:val="20"/>
                <w:szCs w:val="20"/>
              </w:rPr>
              <w:t>沉降</w:t>
            </w:r>
          </w:p>
        </w:tc>
        <w:tc>
          <w:tcPr>
            <w:tcW w:w="2131" w:type="dxa"/>
            <w:vMerge w:val="restart"/>
            <w:vAlign w:val="center"/>
          </w:tcPr>
          <w:p>
            <w:pPr>
              <w:pStyle w:val="33"/>
              <w:rPr>
                <w:sz w:val="20"/>
                <w:szCs w:val="20"/>
              </w:rPr>
            </w:pPr>
            <w:r>
              <w:rPr>
                <w:rFonts w:hint="eastAsia"/>
                <w:sz w:val="20"/>
                <w:szCs w:val="20"/>
              </w:rPr>
              <w:t>差异沉降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pStyle w:val="33"/>
              <w:rPr>
                <w:sz w:val="20"/>
                <w:szCs w:val="20"/>
              </w:rPr>
            </w:pPr>
          </w:p>
        </w:tc>
        <w:tc>
          <w:tcPr>
            <w:tcW w:w="2130" w:type="dxa"/>
            <w:vAlign w:val="center"/>
          </w:tcPr>
          <w:p>
            <w:pPr>
              <w:pStyle w:val="33"/>
              <w:rPr>
                <w:sz w:val="20"/>
                <w:szCs w:val="20"/>
              </w:rPr>
            </w:pPr>
            <w:r>
              <w:rPr>
                <w:rFonts w:hint="eastAsia"/>
                <w:sz w:val="20"/>
                <w:szCs w:val="20"/>
              </w:rPr>
              <w:t>累计值（mm）</w:t>
            </w:r>
          </w:p>
        </w:tc>
        <w:tc>
          <w:tcPr>
            <w:tcW w:w="2131" w:type="dxa"/>
            <w:vAlign w:val="center"/>
          </w:tcPr>
          <w:p>
            <w:pPr>
              <w:pStyle w:val="33"/>
              <w:rPr>
                <w:sz w:val="20"/>
                <w:szCs w:val="20"/>
              </w:rPr>
            </w:pPr>
            <w:r>
              <w:rPr>
                <w:rFonts w:hint="eastAsia"/>
                <w:sz w:val="20"/>
                <w:szCs w:val="20"/>
              </w:rPr>
              <w:t>变化速率（mm</w:t>
            </w:r>
            <w:r>
              <w:rPr>
                <w:sz w:val="20"/>
                <w:szCs w:val="20"/>
              </w:rPr>
              <w:t>/d</w:t>
            </w:r>
            <w:r>
              <w:rPr>
                <w:rFonts w:hint="eastAsia"/>
                <w:sz w:val="20"/>
                <w:szCs w:val="20"/>
              </w:rPr>
              <w:t>）</w:t>
            </w:r>
          </w:p>
        </w:tc>
        <w:tc>
          <w:tcPr>
            <w:tcW w:w="2131" w:type="dxa"/>
            <w:vMerge w:val="continue"/>
            <w:vAlign w:val="center"/>
          </w:tcPr>
          <w:p>
            <w:pPr>
              <w:pStyle w:val="33"/>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33"/>
              <w:rPr>
                <w:sz w:val="20"/>
                <w:szCs w:val="20"/>
              </w:rPr>
            </w:pPr>
            <w:r>
              <w:rPr>
                <w:rFonts w:hint="eastAsia"/>
                <w:sz w:val="20"/>
                <w:szCs w:val="20"/>
              </w:rPr>
              <w:t>燃气管道</w:t>
            </w:r>
          </w:p>
        </w:tc>
        <w:tc>
          <w:tcPr>
            <w:tcW w:w="2130" w:type="dxa"/>
            <w:vAlign w:val="center"/>
          </w:tcPr>
          <w:p>
            <w:pPr>
              <w:pStyle w:val="33"/>
            </w:pPr>
            <w:r>
              <w:rPr>
                <w:rFonts w:hint="eastAsia"/>
              </w:rPr>
              <w:t>1</w:t>
            </w:r>
            <w:r>
              <w:t>0～</w:t>
            </w:r>
            <w:r>
              <w:rPr>
                <w:rFonts w:hint="eastAsia"/>
              </w:rPr>
              <w:t>2</w:t>
            </w:r>
            <w:r>
              <w:t>0</w:t>
            </w:r>
            <w:r>
              <w:rPr>
                <w:rFonts w:hint="eastAsia"/>
              </w:rPr>
              <w:t>（刚性）</w:t>
            </w:r>
          </w:p>
          <w:p>
            <w:pPr>
              <w:pStyle w:val="33"/>
            </w:pPr>
            <w:r>
              <w:rPr>
                <w:rFonts w:hint="eastAsia"/>
              </w:rPr>
              <w:t>1</w:t>
            </w:r>
            <w:r>
              <w:t>0～</w:t>
            </w:r>
            <w:r>
              <w:rPr>
                <w:rFonts w:hint="eastAsia"/>
              </w:rPr>
              <w:t>3</w:t>
            </w:r>
            <w:r>
              <w:t>0</w:t>
            </w:r>
            <w:r>
              <w:rPr>
                <w:rFonts w:hint="eastAsia"/>
              </w:rPr>
              <w:t>（柔性）</w:t>
            </w:r>
          </w:p>
        </w:tc>
        <w:tc>
          <w:tcPr>
            <w:tcW w:w="2131" w:type="dxa"/>
            <w:vAlign w:val="center"/>
          </w:tcPr>
          <w:p>
            <w:pPr>
              <w:pStyle w:val="33"/>
              <w:rPr>
                <w:sz w:val="20"/>
                <w:szCs w:val="20"/>
              </w:rPr>
            </w:pPr>
            <w:r>
              <w:rPr>
                <w:rFonts w:hint="eastAsia"/>
                <w:sz w:val="20"/>
                <w:szCs w:val="20"/>
              </w:rPr>
              <w:t>1</w:t>
            </w:r>
          </w:p>
        </w:tc>
        <w:tc>
          <w:tcPr>
            <w:tcW w:w="2131" w:type="dxa"/>
            <w:vAlign w:val="center"/>
          </w:tcPr>
          <w:p>
            <w:pPr>
              <w:pStyle w:val="33"/>
              <w:rPr>
                <w:sz w:val="20"/>
                <w:szCs w:val="20"/>
              </w:rPr>
            </w:pPr>
            <w:r>
              <w:rPr>
                <w:rFonts w:hint="eastAsia"/>
                <w:sz w:val="20"/>
                <w:szCs w:val="20"/>
              </w:rPr>
              <w:t>0</w:t>
            </w:r>
            <w:r>
              <w:rPr>
                <w:sz w:val="20"/>
                <w:szCs w:val="20"/>
              </w:rPr>
              <w:t>.</w:t>
            </w:r>
            <w:r>
              <w:rPr>
                <w:rFonts w:hint="eastAsia"/>
                <w:sz w:val="20"/>
                <w:szCs w:val="20"/>
              </w:rPr>
              <w:t>2</w:t>
            </w:r>
            <w:r>
              <w:rPr>
                <w:sz w:val="20"/>
                <w:szCs w:val="20"/>
              </w:rPr>
              <w:t>%Lg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33"/>
              <w:rPr>
                <w:sz w:val="20"/>
                <w:szCs w:val="20"/>
              </w:rPr>
            </w:pPr>
            <w:r>
              <w:rPr>
                <w:rFonts w:hint="eastAsia"/>
                <w:sz w:val="20"/>
                <w:szCs w:val="20"/>
              </w:rPr>
              <w:t>雨污水管</w:t>
            </w:r>
          </w:p>
        </w:tc>
        <w:tc>
          <w:tcPr>
            <w:tcW w:w="2130" w:type="dxa"/>
            <w:vAlign w:val="center"/>
          </w:tcPr>
          <w:p>
            <w:pPr>
              <w:pStyle w:val="33"/>
              <w:rPr>
                <w:sz w:val="20"/>
                <w:szCs w:val="20"/>
              </w:rPr>
            </w:pPr>
            <w:r>
              <w:rPr>
                <w:rFonts w:hint="eastAsia"/>
                <w:sz w:val="20"/>
                <w:szCs w:val="20"/>
              </w:rPr>
              <w:t>1</w:t>
            </w:r>
            <w:r>
              <w:rPr>
                <w:sz w:val="20"/>
                <w:szCs w:val="20"/>
              </w:rPr>
              <w:t>0～</w:t>
            </w:r>
            <w:r>
              <w:rPr>
                <w:rFonts w:hint="eastAsia"/>
                <w:sz w:val="20"/>
                <w:szCs w:val="20"/>
              </w:rPr>
              <w:t>2</w:t>
            </w:r>
            <w:r>
              <w:rPr>
                <w:sz w:val="20"/>
                <w:szCs w:val="20"/>
              </w:rPr>
              <w:t>0</w:t>
            </w:r>
          </w:p>
        </w:tc>
        <w:tc>
          <w:tcPr>
            <w:tcW w:w="2131" w:type="dxa"/>
            <w:vAlign w:val="center"/>
          </w:tcPr>
          <w:p>
            <w:pPr>
              <w:pStyle w:val="33"/>
              <w:rPr>
                <w:sz w:val="20"/>
                <w:szCs w:val="20"/>
              </w:rPr>
            </w:pPr>
            <w:r>
              <w:rPr>
                <w:rFonts w:hint="eastAsia"/>
                <w:sz w:val="20"/>
                <w:szCs w:val="20"/>
              </w:rPr>
              <w:t>3</w:t>
            </w:r>
          </w:p>
        </w:tc>
        <w:tc>
          <w:tcPr>
            <w:tcW w:w="2131" w:type="dxa"/>
            <w:vAlign w:val="center"/>
          </w:tcPr>
          <w:p>
            <w:pPr>
              <w:pStyle w:val="33"/>
              <w:rPr>
                <w:sz w:val="20"/>
                <w:szCs w:val="20"/>
              </w:rPr>
            </w:pPr>
            <w:r>
              <w:rPr>
                <w:rFonts w:hint="eastAsia"/>
                <w:sz w:val="20"/>
                <w:szCs w:val="20"/>
              </w:rPr>
              <w:t>0</w:t>
            </w:r>
            <w:r>
              <w:rPr>
                <w:sz w:val="20"/>
                <w:szCs w:val="20"/>
              </w:rPr>
              <w:t>.</w:t>
            </w:r>
            <w:r>
              <w:rPr>
                <w:rFonts w:hint="eastAsia"/>
                <w:sz w:val="20"/>
                <w:szCs w:val="20"/>
              </w:rPr>
              <w:t>4</w:t>
            </w:r>
            <w:r>
              <w:rPr>
                <w:sz w:val="20"/>
                <w:szCs w:val="20"/>
              </w:rPr>
              <w:t>%Lg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33"/>
              <w:rPr>
                <w:sz w:val="20"/>
                <w:szCs w:val="20"/>
              </w:rPr>
            </w:pPr>
            <w:r>
              <w:rPr>
                <w:rFonts w:hint="eastAsia"/>
                <w:sz w:val="20"/>
                <w:szCs w:val="20"/>
              </w:rPr>
              <w:t>供水管</w:t>
            </w:r>
          </w:p>
        </w:tc>
        <w:tc>
          <w:tcPr>
            <w:tcW w:w="2130" w:type="dxa"/>
            <w:vAlign w:val="center"/>
          </w:tcPr>
          <w:p>
            <w:pPr>
              <w:pStyle w:val="33"/>
            </w:pPr>
            <w:r>
              <w:rPr>
                <w:rFonts w:hint="eastAsia"/>
              </w:rPr>
              <w:t>1</w:t>
            </w:r>
            <w:r>
              <w:t>0～</w:t>
            </w:r>
            <w:r>
              <w:rPr>
                <w:rFonts w:hint="eastAsia"/>
              </w:rPr>
              <w:t>2</w:t>
            </w:r>
            <w:r>
              <w:t>0</w:t>
            </w:r>
            <w:r>
              <w:rPr>
                <w:rFonts w:hint="eastAsia"/>
              </w:rPr>
              <w:t>（刚性）</w:t>
            </w:r>
          </w:p>
          <w:p>
            <w:pPr>
              <w:pStyle w:val="33"/>
              <w:rPr>
                <w:sz w:val="20"/>
                <w:szCs w:val="20"/>
              </w:rPr>
            </w:pPr>
            <w:r>
              <w:rPr>
                <w:rFonts w:hint="eastAsia"/>
              </w:rPr>
              <w:t>1</w:t>
            </w:r>
            <w:r>
              <w:t>0～</w:t>
            </w:r>
            <w:r>
              <w:rPr>
                <w:rFonts w:hint="eastAsia"/>
              </w:rPr>
              <w:t>3</w:t>
            </w:r>
            <w:r>
              <w:t>0</w:t>
            </w:r>
            <w:r>
              <w:rPr>
                <w:rFonts w:hint="eastAsia"/>
              </w:rPr>
              <w:t>（柔性）</w:t>
            </w:r>
          </w:p>
        </w:tc>
        <w:tc>
          <w:tcPr>
            <w:tcW w:w="2131" w:type="dxa"/>
            <w:vAlign w:val="center"/>
          </w:tcPr>
          <w:p>
            <w:pPr>
              <w:pStyle w:val="33"/>
              <w:rPr>
                <w:sz w:val="20"/>
                <w:szCs w:val="20"/>
              </w:rPr>
            </w:pPr>
            <w:r>
              <w:rPr>
                <w:rFonts w:hint="eastAsia"/>
                <w:sz w:val="20"/>
                <w:szCs w:val="20"/>
              </w:rPr>
              <w:t>2</w:t>
            </w:r>
          </w:p>
        </w:tc>
        <w:tc>
          <w:tcPr>
            <w:tcW w:w="2131" w:type="dxa"/>
            <w:vAlign w:val="center"/>
          </w:tcPr>
          <w:p>
            <w:pPr>
              <w:pStyle w:val="33"/>
              <w:rPr>
                <w:sz w:val="20"/>
                <w:szCs w:val="20"/>
              </w:rPr>
            </w:pPr>
            <w:r>
              <w:rPr>
                <w:rFonts w:hint="eastAsia"/>
                <w:sz w:val="20"/>
                <w:szCs w:val="20"/>
              </w:rPr>
              <w:t>0</w:t>
            </w:r>
            <w:r>
              <w:rPr>
                <w:sz w:val="20"/>
                <w:szCs w:val="20"/>
              </w:rPr>
              <w:t>.3%Lg</w:t>
            </w:r>
          </w:p>
        </w:tc>
      </w:tr>
    </w:tbl>
    <w:p>
      <w:pPr>
        <w:ind w:firstLine="440"/>
        <w:rPr>
          <w:sz w:val="22"/>
          <w:szCs w:val="20"/>
        </w:rPr>
      </w:pPr>
      <w:r>
        <w:rPr>
          <w:rFonts w:hint="eastAsia"/>
          <w:sz w:val="22"/>
          <w:szCs w:val="20"/>
        </w:rPr>
        <w:t>注：1、燃气管道的变形控制值适用于1</w:t>
      </w:r>
      <w:r>
        <w:rPr>
          <w:sz w:val="22"/>
          <w:szCs w:val="20"/>
        </w:rPr>
        <w:t>00</w:t>
      </w:r>
      <w:r>
        <w:rPr>
          <w:rFonts w:hint="eastAsia"/>
          <w:sz w:val="22"/>
          <w:szCs w:val="20"/>
        </w:rPr>
        <w:t>mm～4</w:t>
      </w:r>
      <w:r>
        <w:rPr>
          <w:sz w:val="22"/>
          <w:szCs w:val="20"/>
        </w:rPr>
        <w:t>00</w:t>
      </w:r>
      <w:r>
        <w:rPr>
          <w:rFonts w:hint="eastAsia"/>
          <w:sz w:val="22"/>
          <w:szCs w:val="20"/>
        </w:rPr>
        <w:t>mm的管径；</w:t>
      </w:r>
    </w:p>
    <w:p>
      <w:pPr>
        <w:ind w:firstLine="440"/>
        <w:rPr>
          <w:sz w:val="22"/>
          <w:szCs w:val="20"/>
        </w:rPr>
      </w:pPr>
      <w:r>
        <w:rPr>
          <w:rFonts w:hint="eastAsia"/>
          <w:sz w:val="22"/>
          <w:szCs w:val="20"/>
        </w:rPr>
        <w:t>2、Lg——管节长度。</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高速公路与城市道路监测项目控制值的确定应符合写列规定：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高速公路与城市道路监测项目控制值应在调查分析道路等级、路基路面材料、道路现状情况和养护周期等的基础上，结合其与工程的空间位置关系和当地工程经验等进行确定，并应符合现行行业标准《公路沥青路面养护技术规范》JTJ073.2和《公路水泥混凝土路面养护技术规范》JTJ073.1的有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对风险等级较高或有特殊要求的高速公路与城市道路，宜通过现场探测和安全性评估等确定其沉降控制值；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当无地方工程经验时，对风险等级较低且无特殊要求的高速公路与城市道路，路基沉降控制值可按下表确定。</w:t>
      </w:r>
    </w:p>
    <w:p>
      <w:pPr>
        <w:pStyle w:val="38"/>
      </w:pPr>
      <w:r>
        <w:rPr>
          <w:rFonts w:hint="eastAsia"/>
        </w:rPr>
        <w:t>表10</w:t>
      </w:r>
      <w:r>
        <w:t>.3</w:t>
      </w:r>
      <w:r>
        <w:rPr>
          <w:rFonts w:hint="eastAsia"/>
        </w:rPr>
        <w:t>.8路基沉降控制值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018"/>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pStyle w:val="33"/>
              <w:rPr>
                <w:sz w:val="20"/>
                <w:szCs w:val="20"/>
              </w:rPr>
            </w:pPr>
            <w:r>
              <w:rPr>
                <w:rFonts w:hint="eastAsia"/>
                <w:sz w:val="20"/>
                <w:szCs w:val="20"/>
              </w:rPr>
              <w:t>监测项目</w:t>
            </w:r>
          </w:p>
        </w:tc>
        <w:tc>
          <w:tcPr>
            <w:tcW w:w="2131" w:type="dxa"/>
            <w:vAlign w:val="center"/>
          </w:tcPr>
          <w:p>
            <w:pPr>
              <w:pStyle w:val="33"/>
              <w:rPr>
                <w:sz w:val="20"/>
                <w:szCs w:val="20"/>
              </w:rPr>
            </w:pPr>
            <w:r>
              <w:rPr>
                <w:rFonts w:hint="eastAsia"/>
                <w:sz w:val="20"/>
                <w:szCs w:val="20"/>
              </w:rPr>
              <w:t>累计值（mm）</w:t>
            </w:r>
          </w:p>
        </w:tc>
        <w:tc>
          <w:tcPr>
            <w:tcW w:w="2131" w:type="dxa"/>
            <w:vAlign w:val="center"/>
          </w:tcPr>
          <w:p>
            <w:pPr>
              <w:pStyle w:val="33"/>
              <w:rPr>
                <w:sz w:val="20"/>
                <w:szCs w:val="20"/>
              </w:rPr>
            </w:pPr>
            <w:r>
              <w:rPr>
                <w:rFonts w:hint="eastAsia"/>
                <w:sz w:val="20"/>
                <w:szCs w:val="20"/>
              </w:rPr>
              <w:t>变化速率（mm</w:t>
            </w:r>
            <w:r>
              <w:rPr>
                <w:sz w:val="20"/>
                <w:szCs w:val="20"/>
              </w:rPr>
              <w:t>/</w:t>
            </w:r>
            <w:r>
              <w:rPr>
                <w:rFonts w:hint="eastAsia"/>
                <w:sz w:val="20"/>
                <w:szCs w:val="2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33"/>
              <w:rPr>
                <w:sz w:val="20"/>
                <w:szCs w:val="20"/>
              </w:rPr>
            </w:pPr>
            <w:r>
              <w:rPr>
                <w:rFonts w:hint="eastAsia"/>
                <w:sz w:val="20"/>
                <w:szCs w:val="20"/>
              </w:rPr>
              <w:t>路基沉降</w:t>
            </w:r>
          </w:p>
        </w:tc>
        <w:tc>
          <w:tcPr>
            <w:tcW w:w="3018" w:type="dxa"/>
            <w:vAlign w:val="center"/>
          </w:tcPr>
          <w:p>
            <w:pPr>
              <w:pStyle w:val="33"/>
              <w:rPr>
                <w:sz w:val="20"/>
                <w:szCs w:val="20"/>
              </w:rPr>
            </w:pPr>
            <w:r>
              <w:rPr>
                <w:rFonts w:hint="eastAsia"/>
                <w:sz w:val="20"/>
                <w:szCs w:val="20"/>
              </w:rPr>
              <w:t>高速公路、城市主干道</w:t>
            </w:r>
          </w:p>
        </w:tc>
        <w:tc>
          <w:tcPr>
            <w:tcW w:w="2131" w:type="dxa"/>
            <w:vAlign w:val="center"/>
          </w:tcPr>
          <w:p>
            <w:pPr>
              <w:pStyle w:val="33"/>
              <w:rPr>
                <w:sz w:val="20"/>
                <w:szCs w:val="20"/>
              </w:rPr>
            </w:pPr>
            <w:r>
              <w:rPr>
                <w:rFonts w:hint="eastAsia"/>
                <w:sz w:val="20"/>
                <w:szCs w:val="20"/>
              </w:rPr>
              <w:t>1</w:t>
            </w:r>
            <w:r>
              <w:rPr>
                <w:sz w:val="20"/>
                <w:szCs w:val="20"/>
              </w:rPr>
              <w:t>0</w:t>
            </w:r>
            <w:r>
              <w:rPr>
                <w:rFonts w:hint="eastAsia"/>
                <w:sz w:val="20"/>
                <w:szCs w:val="20"/>
              </w:rPr>
              <w:t>～3</w:t>
            </w:r>
            <w:r>
              <w:rPr>
                <w:sz w:val="20"/>
                <w:szCs w:val="20"/>
              </w:rPr>
              <w:t>0</w:t>
            </w:r>
          </w:p>
        </w:tc>
        <w:tc>
          <w:tcPr>
            <w:tcW w:w="2131" w:type="dxa"/>
            <w:vAlign w:val="center"/>
          </w:tcPr>
          <w:p>
            <w:pPr>
              <w:pStyle w:val="33"/>
              <w:rPr>
                <w:sz w:val="20"/>
                <w:szCs w:val="20"/>
              </w:rPr>
            </w:pPr>
            <w:r>
              <w:rPr>
                <w:rFonts w:hint="eastAsia"/>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33"/>
              <w:rPr>
                <w:sz w:val="20"/>
                <w:szCs w:val="20"/>
              </w:rPr>
            </w:pPr>
          </w:p>
        </w:tc>
        <w:tc>
          <w:tcPr>
            <w:tcW w:w="3018" w:type="dxa"/>
            <w:vAlign w:val="center"/>
          </w:tcPr>
          <w:p>
            <w:pPr>
              <w:pStyle w:val="33"/>
              <w:rPr>
                <w:sz w:val="20"/>
                <w:szCs w:val="20"/>
              </w:rPr>
            </w:pPr>
            <w:r>
              <w:rPr>
                <w:rFonts w:hint="eastAsia"/>
                <w:sz w:val="20"/>
                <w:szCs w:val="20"/>
              </w:rPr>
              <w:t>一般城市道路</w:t>
            </w:r>
          </w:p>
        </w:tc>
        <w:tc>
          <w:tcPr>
            <w:tcW w:w="2131" w:type="dxa"/>
            <w:vAlign w:val="center"/>
          </w:tcPr>
          <w:p>
            <w:pPr>
              <w:pStyle w:val="33"/>
              <w:rPr>
                <w:sz w:val="20"/>
                <w:szCs w:val="20"/>
              </w:rPr>
            </w:pPr>
            <w:r>
              <w:rPr>
                <w:rFonts w:hint="eastAsia"/>
                <w:sz w:val="20"/>
                <w:szCs w:val="20"/>
              </w:rPr>
              <w:t>2</w:t>
            </w:r>
            <w:r>
              <w:rPr>
                <w:sz w:val="20"/>
                <w:szCs w:val="20"/>
              </w:rPr>
              <w:t>0</w:t>
            </w:r>
            <w:r>
              <w:rPr>
                <w:rFonts w:hint="eastAsia"/>
                <w:sz w:val="20"/>
                <w:szCs w:val="20"/>
              </w:rPr>
              <w:t>～4</w:t>
            </w:r>
            <w:r>
              <w:rPr>
                <w:sz w:val="20"/>
                <w:szCs w:val="20"/>
              </w:rPr>
              <w:t>0</w:t>
            </w:r>
          </w:p>
        </w:tc>
        <w:tc>
          <w:tcPr>
            <w:tcW w:w="2131" w:type="dxa"/>
            <w:vAlign w:val="center"/>
          </w:tcPr>
          <w:p>
            <w:pPr>
              <w:pStyle w:val="33"/>
              <w:rPr>
                <w:sz w:val="20"/>
                <w:szCs w:val="20"/>
              </w:rPr>
            </w:pPr>
            <w:r>
              <w:rPr>
                <w:rFonts w:hint="eastAsia"/>
                <w:sz w:val="20"/>
                <w:szCs w:val="20"/>
              </w:rPr>
              <w:t>3</w:t>
            </w:r>
          </w:p>
        </w:tc>
      </w:tr>
    </w:tbl>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既有铁路监测项目控制值的确定应符合下列规定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既有铁路监测项目控制值应在调查分析地质条件、线路结构形式、轨道结构形式、线路现状情况等的基础上，结合其与工程的空间位置关系、当地工程经验，进行必要的结构检测、计算分析和安全性评估后确定；对高速铁路应在专项评估后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既有铁路线路结构及轨道几何形位的监测项目控制值应符合现行行业标准《铁路轨道工程施工质量验收标准》TB10413的有关规定，并应满足线路维修的要求；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当无地方工程经验时，对风险等级较低且无特殊要求的既有铁路路基沉降控制值可按下表确定，且路基差异沉降控制值宜小于0.04%L。(Lt为沿铁路走向两监测点间距)。</w:t>
      </w:r>
    </w:p>
    <w:p>
      <w:pPr>
        <w:pStyle w:val="38"/>
      </w:pPr>
      <w:r>
        <w:rPr>
          <w:rFonts w:hint="eastAsia"/>
        </w:rPr>
        <w:t>表10</w:t>
      </w:r>
      <w:r>
        <w:t>.3</w:t>
      </w:r>
      <w:r>
        <w:rPr>
          <w:rFonts w:hint="eastAsia"/>
        </w:rPr>
        <w:t>.9既有铁路路基沉降控制值</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3018"/>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监测项目</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累计值（mm）</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变化速率（mm/d）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路基沉降</w:t>
            </w:r>
          </w:p>
        </w:tc>
        <w:tc>
          <w:tcPr>
            <w:tcW w:w="30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整体道床</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10～20</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pPr>
              <w:pStyle w:val="33"/>
              <w:rPr>
                <w:rFonts w:hint="eastAsia" w:ascii="宋体" w:hAnsi="宋体" w:eastAsia="宋体" w:cs="宋体"/>
                <w:sz w:val="21"/>
                <w:szCs w:val="21"/>
              </w:rPr>
            </w:pPr>
          </w:p>
        </w:tc>
        <w:tc>
          <w:tcPr>
            <w:tcW w:w="301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碎石道床</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20～30</w:t>
            </w:r>
          </w:p>
        </w:tc>
        <w:tc>
          <w:tcPr>
            <w:tcW w:w="213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1.5</w:t>
            </w:r>
          </w:p>
        </w:tc>
      </w:tr>
    </w:tbl>
    <w:p>
      <w:pPr>
        <w:pStyle w:val="51"/>
        <w:numPr>
          <w:ilvl w:val="2"/>
          <w:numId w:val="0"/>
        </w:num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10.3.10 </w:t>
      </w: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监测预警</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预警控制应按照“分区、分级、分阶段”的原则指定监控量测控制标准，并按黄色、橙色和红色三级预警进行反馈和控制，提前发现问题、分析问题并采取措施。三级预警控制值参见《城市轨道交通工程监测技术规范》。</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p>
    <w:p>
      <w:pPr>
        <w:ind w:firstLine="480"/>
      </w:pPr>
    </w:p>
    <w:p>
      <w:pPr>
        <w:pStyle w:val="3"/>
      </w:pPr>
      <w:bookmarkStart w:id="98" w:name="_Toc3215"/>
      <w:r>
        <w:rPr>
          <w:rFonts w:hint="eastAsia"/>
        </w:rPr>
        <w:t>监测资料及成果文件编制</w:t>
      </w:r>
      <w:bookmarkEnd w:id="98"/>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工程监测资料包括外业观测记录、现场巡查记录、记事项目以及仪器、视频等电子数据资料。</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取得现场监测资料后，应及时对监测资料进行整理、分析和校对，监测数据出现异常时，应分析原因，必要时应进行现场核对和复测。</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监测数据分析应结合施工工况、地质条件、环境条件以及相关监测项目监测数据的变化进行，对监测数据及时计算累计变化值和变化速率值，并绘制时程曲线，必要时绘制断面曲线图、等值线图等，对其发展趋势做出预测。</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监测成果包括现场监测资料、计算分析资料、图表、曲线等，最终形成统一形式的文字报告；监测报告包括日报、警情快报、周报、月报和总结报告。</w:t>
      </w:r>
    </w:p>
    <w:p>
      <w:pPr>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br w:type="page"/>
      </w:r>
    </w:p>
    <w:p>
      <w:pPr>
        <w:pStyle w:val="2"/>
      </w:pPr>
      <w:bookmarkStart w:id="99" w:name="_Toc12208"/>
      <w:bookmarkStart w:id="100" w:name="_Toc20588"/>
      <w:r>
        <w:rPr>
          <w:rFonts w:hint="eastAsia"/>
        </w:rPr>
        <w:t>主体结构及防水</w:t>
      </w:r>
      <w:bookmarkEnd w:id="99"/>
      <w:bookmarkEnd w:id="100"/>
    </w:p>
    <w:p>
      <w:pPr>
        <w:pStyle w:val="3"/>
      </w:pPr>
      <w:bookmarkStart w:id="101" w:name="_Toc12393"/>
      <w:r>
        <w:t>隧道</w:t>
      </w:r>
      <w:r>
        <w:rPr>
          <w:rFonts w:hint="eastAsia"/>
        </w:rPr>
        <w:t>主体结构设计</w:t>
      </w:r>
      <w:bookmarkEnd w:id="101"/>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明挖法结构计算应符合《混凝土结构设计规范》GB50010、《工程结构通用规范》GB55001、《混凝土结构通用规范》GB55008等规范要求。</w:t>
      </w:r>
    </w:p>
    <w:p>
      <w:pPr>
        <w:pStyle w:val="51"/>
        <w:widowControl w:val="0"/>
        <w:numPr>
          <w:ilvl w:val="2"/>
          <w:numId w:val="1"/>
        </w:numPr>
        <w:spacing w:line="360" w:lineRule="auto"/>
        <w:ind w:left="0" w:firstLine="0"/>
        <w:rPr>
          <w:shd w:val="clear" w:color="auto" w:fill="FFFF00"/>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隧道结构应按施工阶段和正常使用阶段分别进行结构强度、刚度和稳定性计算。对于钢筋混凝土结构，尚应对使用阶段进行裂缝宽度验算；偶然荷载参与组合时，不验算结构的裂缝宽度。</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对于正常使用极限状态，结构构件应分别按作用的标准组合或准永久组合并考虑长期作用的影响进行验算，并应保证变形、裂缝等计算值不超过相应的规定限值。</w:t>
      </w:r>
    </w:p>
    <w:p>
      <w:pPr>
        <w:pStyle w:val="51"/>
        <w:widowControl w:val="0"/>
        <w:numPr>
          <w:ilvl w:val="2"/>
          <w:numId w:val="1"/>
        </w:numPr>
        <w:spacing w:line="360" w:lineRule="auto"/>
        <w:ind w:left="0" w:firstLine="0"/>
      </w:pPr>
      <w:r>
        <w:rPr>
          <w:rFonts w:hint="eastAsia" w:cs="Times New Roman" w:eastAsiaTheme="minorEastAsia"/>
          <w:bCs/>
          <w:color w:val="000000" w:themeColor="text1"/>
          <w:kern w:val="2"/>
          <w:sz w:val="28"/>
          <w:szCs w:val="28"/>
          <w:lang w:val="zh-CN" w:eastAsia="zh-CN" w:bidi="ar-SA"/>
          <w14:textFill>
            <w14:solidFill>
              <w14:schemeClr w14:val="tx1"/>
            </w14:solidFill>
          </w14:textFill>
        </w:rPr>
        <w:t>处于一般环境中的结构，按荷载准永久组合并计及长期作用影响计算时，普通钢筋混凝土结构的最大计算裂缝宽度允许值迎土侧不大于0.2mm、背土侧不大于0.3mm；处于侵蚀环境等不利条件下的结构，其最大计算裂缝宽度允许值应根据具体情况另行确定。当构件保护层厚度超过30mm时，裂缝验算时保护层厚度计算值可取30mm。</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隧道结构空间受力作用明显的区段，宜按空间结构进行分析，其余区段可简化为平面应力模型进行验算。</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明挖隧道的回填覆土厚度应结合场址处的规划地面高程进行设计，无规划时应结合地形地貌以及排水要求综合确定。</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当地基承载力及地基变形不满足设计要求时，应考虑隧道结构、基础和地基的共同作用，进行多种方案的技术经济比选，采用地基处理或加强隧道结构与地基处理相结合的方案，以满足地基承载力及隧道变形限值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经处理后的地基，当在受力层范围内仍存在软弱下卧层时，应进行软弱下卧层地基承载力验算。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进行地基处理的建（构）筑物，应对处理后的地基进行变形验算。</w:t>
      </w:r>
    </w:p>
    <w:p>
      <w:pPr>
        <w:pStyle w:val="3"/>
      </w:pPr>
      <w:bookmarkStart w:id="102" w:name="_Toc9258"/>
      <w:r>
        <w:rPr>
          <w:rFonts w:hint="eastAsia"/>
        </w:rPr>
        <w:t>抗震设计</w:t>
      </w:r>
      <w:bookmarkEnd w:id="102"/>
    </w:p>
    <w:p>
      <w:pPr>
        <w:pStyle w:val="51"/>
        <w:widowControl w:val="0"/>
        <w:numPr>
          <w:ilvl w:val="2"/>
          <w:numId w:val="1"/>
        </w:numPr>
        <w:spacing w:line="360" w:lineRule="auto"/>
        <w:ind w:left="0" w:firstLine="0"/>
      </w:pPr>
      <w:r>
        <w:rPr>
          <w:rFonts w:hint="eastAsia" w:cs="Times New Roman" w:eastAsiaTheme="minorEastAsia"/>
          <w:bCs/>
          <w:color w:val="000000" w:themeColor="text1"/>
          <w:kern w:val="2"/>
          <w:sz w:val="28"/>
          <w:szCs w:val="28"/>
          <w:lang w:val="zh-CN" w:eastAsia="zh-CN" w:bidi="ar-SA"/>
          <w14:textFill>
            <w14:solidFill>
              <w14:schemeClr w14:val="tx1"/>
            </w14:solidFill>
          </w14:textFill>
        </w:rPr>
        <w:t>抗震设防地震动加速度为0.1g（0.15g）及以上的隧道，应进行结构抗震性能的验算。</w:t>
      </w:r>
    </w:p>
    <w:p>
      <w:pPr>
        <w:pStyle w:val="51"/>
      </w:pPr>
      <w:r>
        <w:rPr>
          <w:rFonts w:hint="eastAsia" w:cs="Times New Roman" w:eastAsiaTheme="minorEastAsia"/>
          <w:bCs/>
          <w:color w:val="000000" w:themeColor="text1"/>
          <w:kern w:val="2"/>
          <w:sz w:val="28"/>
          <w:szCs w:val="28"/>
          <w:lang w:val="zh-CN" w:eastAsia="zh-CN" w:bidi="ar-SA"/>
          <w14:textFill>
            <w14:solidFill>
              <w14:schemeClr w14:val="tx1"/>
            </w14:solidFill>
          </w14:textFill>
        </w:rPr>
        <w:t>应根据隧道结构的特性、使用条件和重要性程度，确定结构的抗震等级。隧道结构的抗震等级应符合下表的规定；当地层中包含有可液化土层或基底处于可产生震陷的软黏土地层中时，应采取抗液化及防震陷处理措施，保证地震作用下结构物的安全；隧道位于软弱地层或地震后易产生液化的砂性地层时，结构施工接缝宜采用抗剪措施；</w:t>
      </w:r>
    </w:p>
    <w:p>
      <w:pPr>
        <w:pStyle w:val="51"/>
        <w:numPr>
          <w:ilvl w:val="2"/>
          <w:numId w:val="0"/>
        </w:numPr>
        <w:ind w:leftChars="0"/>
      </w:pPr>
    </w:p>
    <w:p>
      <w:pPr>
        <w:pStyle w:val="38"/>
      </w:pPr>
      <w:r>
        <w:rPr>
          <w:rFonts w:hint="eastAsia"/>
        </w:rPr>
        <w:t>表11</w:t>
      </w:r>
      <w:r>
        <w:t>.2.</w:t>
      </w:r>
      <w:r>
        <w:rPr>
          <w:rFonts w:hint="eastAsia"/>
        </w:rPr>
        <w:t>2</w:t>
      </w:r>
      <w:r>
        <w:t xml:space="preserve"> </w:t>
      </w:r>
      <w:r>
        <w:rPr>
          <w:rFonts w:hint="eastAsia"/>
        </w:rPr>
        <w:t>隧道结构的抗震等级</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41"/>
        <w:gridCol w:w="2074"/>
        <w:gridCol w:w="2244"/>
        <w:gridCol w:w="17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0" w:hRule="atLeast"/>
          <w:jc w:val="center"/>
        </w:trPr>
        <w:tc>
          <w:tcPr>
            <w:tcW w:w="1841" w:type="dxa"/>
            <w:shd w:val="clear" w:color="auto" w:fill="auto"/>
            <w:vAlign w:val="center"/>
          </w:tcPr>
          <w:p>
            <w:pPr>
              <w:pStyle w:val="33"/>
              <w:rPr>
                <w:sz w:val="20"/>
                <w:szCs w:val="20"/>
                <w:lang w:val="zh-CN"/>
              </w:rPr>
            </w:pPr>
          </w:p>
        </w:tc>
        <w:tc>
          <w:tcPr>
            <w:tcW w:w="6065" w:type="dxa"/>
            <w:gridSpan w:val="3"/>
            <w:shd w:val="clear" w:color="auto" w:fill="auto"/>
            <w:vAlign w:val="center"/>
          </w:tcPr>
          <w:p>
            <w:pPr>
              <w:pStyle w:val="33"/>
              <w:rPr>
                <w:sz w:val="20"/>
                <w:szCs w:val="20"/>
              </w:rPr>
            </w:pPr>
            <w:r>
              <w:rPr>
                <w:rFonts w:hint="eastAsia"/>
                <w:sz w:val="20"/>
                <w:szCs w:val="20"/>
              </w:rPr>
              <w:t>设防烈度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0" w:hRule="atLeast"/>
          <w:jc w:val="center"/>
        </w:trPr>
        <w:tc>
          <w:tcPr>
            <w:tcW w:w="1841" w:type="dxa"/>
            <w:shd w:val="clear" w:color="auto" w:fill="auto"/>
            <w:vAlign w:val="center"/>
          </w:tcPr>
          <w:p>
            <w:pPr>
              <w:pStyle w:val="33"/>
              <w:rPr>
                <w:sz w:val="20"/>
                <w:szCs w:val="20"/>
                <w:lang w:val="zh-CN"/>
              </w:rPr>
            </w:pPr>
            <w:r>
              <w:rPr>
                <w:rFonts w:hint="eastAsia"/>
                <w:snapToGrid w:val="0"/>
                <w:sz w:val="20"/>
                <w:szCs w:val="20"/>
                <w:lang w:val="zh-CN"/>
              </w:rPr>
              <w:t>结构型式</w:t>
            </w:r>
          </w:p>
        </w:tc>
        <w:tc>
          <w:tcPr>
            <w:tcW w:w="2074" w:type="dxa"/>
            <w:shd w:val="clear" w:color="auto" w:fill="auto"/>
            <w:vAlign w:val="center"/>
          </w:tcPr>
          <w:p>
            <w:pPr>
              <w:pStyle w:val="33"/>
              <w:rPr>
                <w:sz w:val="20"/>
                <w:szCs w:val="20"/>
                <w:lang w:val="zh-CN"/>
              </w:rPr>
            </w:pPr>
            <w:r>
              <w:rPr>
                <w:snapToGrid w:val="0"/>
                <w:sz w:val="20"/>
                <w:szCs w:val="20"/>
                <w:lang w:val="zh-CN"/>
              </w:rPr>
              <w:t>6</w:t>
            </w:r>
            <w:r>
              <w:rPr>
                <w:rFonts w:hint="eastAsia"/>
                <w:snapToGrid w:val="0"/>
                <w:sz w:val="20"/>
                <w:szCs w:val="20"/>
                <w:lang w:val="zh-CN"/>
              </w:rPr>
              <w:t>度</w:t>
            </w:r>
          </w:p>
        </w:tc>
        <w:tc>
          <w:tcPr>
            <w:tcW w:w="2244" w:type="dxa"/>
            <w:shd w:val="clear" w:color="auto" w:fill="auto"/>
            <w:vAlign w:val="center"/>
          </w:tcPr>
          <w:p>
            <w:pPr>
              <w:pStyle w:val="33"/>
              <w:rPr>
                <w:snapToGrid w:val="0"/>
                <w:sz w:val="20"/>
                <w:szCs w:val="20"/>
                <w:lang w:val="zh-CN"/>
              </w:rPr>
            </w:pPr>
            <w:r>
              <w:rPr>
                <w:snapToGrid w:val="0"/>
                <w:sz w:val="20"/>
                <w:szCs w:val="20"/>
                <w:lang w:val="zh-CN"/>
              </w:rPr>
              <w:t>7</w:t>
            </w:r>
            <w:r>
              <w:rPr>
                <w:rFonts w:hint="eastAsia"/>
                <w:snapToGrid w:val="0"/>
                <w:sz w:val="20"/>
                <w:szCs w:val="20"/>
                <w:lang w:val="zh-CN"/>
              </w:rPr>
              <w:t>度</w:t>
            </w:r>
          </w:p>
        </w:tc>
        <w:tc>
          <w:tcPr>
            <w:tcW w:w="1747" w:type="dxa"/>
            <w:vAlign w:val="center"/>
          </w:tcPr>
          <w:p>
            <w:pPr>
              <w:pStyle w:val="33"/>
              <w:rPr>
                <w:snapToGrid w:val="0"/>
                <w:sz w:val="20"/>
                <w:szCs w:val="20"/>
                <w:lang w:val="zh-CN"/>
              </w:rPr>
            </w:pPr>
            <w:r>
              <w:rPr>
                <w:snapToGrid w:val="0"/>
                <w:sz w:val="20"/>
                <w:szCs w:val="20"/>
                <w:lang w:val="zh-CN"/>
              </w:rPr>
              <w:t>8</w:t>
            </w:r>
            <w:r>
              <w:rPr>
                <w:rFonts w:hint="eastAsia"/>
                <w:snapToGrid w:val="0"/>
                <w:sz w:val="20"/>
                <w:szCs w:val="20"/>
                <w:lang w:val="zh-CN"/>
              </w:rPr>
              <w:t>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0" w:hRule="atLeast"/>
          <w:jc w:val="center"/>
        </w:trPr>
        <w:tc>
          <w:tcPr>
            <w:tcW w:w="1841" w:type="dxa"/>
            <w:shd w:val="clear" w:color="auto" w:fill="auto"/>
            <w:vAlign w:val="center"/>
          </w:tcPr>
          <w:p>
            <w:pPr>
              <w:pStyle w:val="33"/>
              <w:rPr>
                <w:snapToGrid w:val="0"/>
                <w:sz w:val="20"/>
                <w:szCs w:val="20"/>
                <w:lang w:val="zh-CN"/>
              </w:rPr>
            </w:pPr>
            <w:r>
              <w:rPr>
                <w:rFonts w:hint="eastAsia"/>
                <w:snapToGrid w:val="0"/>
                <w:sz w:val="20"/>
                <w:szCs w:val="20"/>
                <w:lang w:val="zh-CN"/>
              </w:rPr>
              <w:t>明挖隧道结构</w:t>
            </w:r>
          </w:p>
        </w:tc>
        <w:tc>
          <w:tcPr>
            <w:tcW w:w="2074" w:type="dxa"/>
            <w:shd w:val="clear" w:color="auto" w:fill="auto"/>
            <w:vAlign w:val="center"/>
          </w:tcPr>
          <w:p>
            <w:pPr>
              <w:pStyle w:val="33"/>
              <w:rPr>
                <w:snapToGrid w:val="0"/>
                <w:sz w:val="20"/>
                <w:szCs w:val="20"/>
                <w:lang w:val="zh-CN"/>
              </w:rPr>
            </w:pPr>
            <w:r>
              <w:rPr>
                <w:rFonts w:hint="eastAsia"/>
                <w:snapToGrid w:val="0"/>
                <w:sz w:val="20"/>
                <w:szCs w:val="20"/>
                <w:lang w:val="zh-CN"/>
              </w:rPr>
              <w:t>四级</w:t>
            </w:r>
          </w:p>
        </w:tc>
        <w:tc>
          <w:tcPr>
            <w:tcW w:w="2244" w:type="dxa"/>
            <w:shd w:val="clear" w:color="auto" w:fill="auto"/>
            <w:vAlign w:val="center"/>
          </w:tcPr>
          <w:p>
            <w:pPr>
              <w:pStyle w:val="33"/>
              <w:rPr>
                <w:snapToGrid w:val="0"/>
                <w:sz w:val="20"/>
                <w:szCs w:val="20"/>
                <w:lang w:val="zh-CN"/>
              </w:rPr>
            </w:pPr>
            <w:r>
              <w:rPr>
                <w:rFonts w:hint="eastAsia"/>
                <w:snapToGrid w:val="0"/>
                <w:sz w:val="20"/>
                <w:szCs w:val="20"/>
                <w:lang w:val="zh-CN"/>
              </w:rPr>
              <w:t>四级</w:t>
            </w:r>
          </w:p>
        </w:tc>
        <w:tc>
          <w:tcPr>
            <w:tcW w:w="1747" w:type="dxa"/>
            <w:vAlign w:val="center"/>
          </w:tcPr>
          <w:p>
            <w:pPr>
              <w:pStyle w:val="33"/>
              <w:rPr>
                <w:snapToGrid w:val="0"/>
                <w:sz w:val="20"/>
                <w:szCs w:val="20"/>
                <w:lang w:val="zh-CN"/>
              </w:rPr>
            </w:pPr>
            <w:r>
              <w:rPr>
                <w:rFonts w:hint="eastAsia"/>
                <w:snapToGrid w:val="0"/>
                <w:sz w:val="20"/>
                <w:szCs w:val="20"/>
                <w:lang w:val="zh-CN"/>
              </w:rPr>
              <w:t>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310" w:hRule="atLeast"/>
          <w:jc w:val="center"/>
        </w:trPr>
        <w:tc>
          <w:tcPr>
            <w:tcW w:w="7906" w:type="dxa"/>
            <w:gridSpan w:val="4"/>
            <w:shd w:val="clear" w:color="auto" w:fill="auto"/>
            <w:vAlign w:val="center"/>
          </w:tcPr>
          <w:p>
            <w:pPr>
              <w:pStyle w:val="33"/>
              <w:jc w:val="left"/>
              <w:rPr>
                <w:sz w:val="20"/>
                <w:szCs w:val="20"/>
              </w:rPr>
            </w:pPr>
            <w:r>
              <w:rPr>
                <w:rFonts w:hint="eastAsia"/>
                <w:sz w:val="20"/>
                <w:szCs w:val="20"/>
              </w:rPr>
              <w:t>注：</w:t>
            </w:r>
            <w:r>
              <w:rPr>
                <w:sz w:val="20"/>
                <w:szCs w:val="20"/>
              </w:rPr>
              <w:t>1</w:t>
            </w:r>
            <w:r>
              <w:rPr>
                <w:rFonts w:hint="eastAsia"/>
                <w:sz w:val="20"/>
                <w:szCs w:val="20"/>
              </w:rPr>
              <w:t>隧道结构与地面结构结合设计时，隧道结构抗震设计应与地面结构抗震设计相协调。隧道结构的抗震等级不应低于地面结构的抗震等级。</w:t>
            </w:r>
          </w:p>
          <w:p>
            <w:pPr>
              <w:pStyle w:val="33"/>
              <w:jc w:val="left"/>
              <w:rPr>
                <w:sz w:val="20"/>
                <w:szCs w:val="20"/>
              </w:rPr>
            </w:pPr>
            <w:r>
              <w:rPr>
                <w:sz w:val="20"/>
                <w:szCs w:val="20"/>
              </w:rPr>
              <w:t>2</w:t>
            </w:r>
            <w:r>
              <w:rPr>
                <w:rFonts w:hint="eastAsia"/>
                <w:sz w:val="20"/>
                <w:szCs w:val="20"/>
              </w:rPr>
              <w:t>设计位于设防烈度</w:t>
            </w:r>
            <w:r>
              <w:rPr>
                <w:sz w:val="20"/>
                <w:szCs w:val="20"/>
              </w:rPr>
              <w:t>6</w:t>
            </w:r>
            <w:r>
              <w:rPr>
                <w:rFonts w:hint="eastAsia"/>
                <w:sz w:val="20"/>
                <w:szCs w:val="20"/>
              </w:rPr>
              <w:t>度及以上地区的隧道结构时，应根据设防要求、场地条件、结构类型和埋深等因素选用能反映其地震工作性状的计算分析方法，并应采取提高结构和接头处的整体抗震能力的构造措施。除应进行抗震设防等级条件下的结构抗震分析外，隧道主体结构尚应进行罕遇地震工况下的结构抗震验算。</w:t>
            </w:r>
          </w:p>
          <w:p>
            <w:pPr>
              <w:pStyle w:val="33"/>
              <w:jc w:val="left"/>
              <w:rPr>
                <w:sz w:val="20"/>
                <w:szCs w:val="20"/>
              </w:rPr>
            </w:pPr>
            <w:r>
              <w:rPr>
                <w:sz w:val="20"/>
                <w:szCs w:val="20"/>
              </w:rPr>
              <w:t>3</w:t>
            </w:r>
            <w:r>
              <w:rPr>
                <w:rFonts w:hint="eastAsia"/>
                <w:sz w:val="20"/>
                <w:szCs w:val="20"/>
              </w:rPr>
              <w:t>隧道结构施工阶段，可不计地震作用的影响。</w:t>
            </w:r>
          </w:p>
        </w:tc>
      </w:tr>
    </w:tbl>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隧道结构应计入下列地震作用：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地震时随地层变形而发生的结构整体变形；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地震时的土压力，包括地震时水平方向和铅垂方向的土体压力；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隧道结构本身和地层的惯性力；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地层液化的影响。</w:t>
      </w:r>
    </w:p>
    <w:p>
      <w:pPr>
        <w:pStyle w:val="51"/>
        <w:widowControl w:val="0"/>
        <w:numPr>
          <w:ilvl w:val="2"/>
          <w:numId w:val="1"/>
        </w:numPr>
        <w:spacing w:line="360" w:lineRule="auto"/>
        <w:ind w:left="284"/>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隧道结构应分析地震对隧道横向的影响，遇有下述情况时，还应在一定范围内分析地震对隧道纵向的影响：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隧道纵向断面变化较大或隧道在横向有结构连接时；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地质条件沿隧道纵向变化较大，软硬不均时；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隧道位于线路小半径曲线地段时；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遇有可液化地层时。</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隧道结构可采用下列抗震分析方法：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隧道结构的地震反应宜采用反应位移法或惯性静力法计算，结构体系复杂、体形不规则以及结构断面变化较大时，宜采用动力分析法计算结构的地震反应；</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隧道结构与地面建、建（构）筑物结合设计时，隧道结构抗震设计应与地面结构抗震设计相协调，宜根据地面建、建（构）筑物的抗震分析要求与地面建、建（构）筑物进行整体计算；</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采用惯性静力法计算地震作用时，可按《铁路工程抗震设计规范》GB50111的有关规定执行；</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采用反应位移法计算地震作用时，可按《地下结构抗震设计标准》GBT51336、《城市轨道交通结构抗震设计规范》GB50909的有关规定执行。</w:t>
      </w:r>
    </w:p>
    <w:p>
      <w:pPr>
        <w:pStyle w:val="3"/>
      </w:pPr>
      <w:bookmarkStart w:id="103" w:name="_Toc2672"/>
      <w:r>
        <w:rPr>
          <w:rFonts w:hint="eastAsia"/>
        </w:rPr>
        <w:t>抗浮设计</w:t>
      </w:r>
      <w:bookmarkEnd w:id="103"/>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隧道工程抗浮设防水位应结合使用年限内地下水的最高水位和场址地形地势及内涝等因素综合确定。</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隧道工程施工期和使用期的稳定状态应根据地下结构形式及埋置深度、结构荷载分布、抗浮设防水位等条件，按最不利组合工况确定。抗浮不稳定时，应根据影响稳定状态的因素采取相应的抗浮措施。</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隧道工程抗浮稳定性应按下式计算：</w:t>
      </w:r>
    </w:p>
    <w:p>
      <w:pPr>
        <w:pStyle w:val="35"/>
      </w:pPr>
      <w:r>
        <w:tab/>
      </w:r>
      <w:r>
        <w:rPr>
          <w:rFonts w:hint="eastAsia"/>
        </w:rPr>
        <w:t>G／N</w:t>
      </w:r>
      <w:r>
        <w:rPr>
          <w:rFonts w:hint="eastAsia"/>
          <w:vertAlign w:val="subscript"/>
        </w:rPr>
        <w:t>w,k</w:t>
      </w:r>
      <w:r>
        <w:rPr>
          <w:rFonts w:hint="eastAsia"/>
        </w:rPr>
        <w:t>≥K</w:t>
      </w:r>
      <w:r>
        <w:rPr>
          <w:rFonts w:hint="eastAsia"/>
          <w:vertAlign w:val="subscript"/>
        </w:rPr>
        <w:t>w</w:t>
      </w:r>
      <w:r>
        <w:tab/>
      </w:r>
      <w:r>
        <w:rPr>
          <w:rFonts w:hint="eastAsia"/>
        </w:rPr>
        <w:t>(6.3.1)</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式中：G——隧道结构自重、附加结构自重、抗浮结构及构件抗力设计值总和</w:t>
      </w:r>
      <w:r>
        <w:rPr>
          <w:rFonts w:hint="eastAsia"/>
        </w:rPr>
        <w:t>(kN)；</w:t>
      </w:r>
    </w:p>
    <w:p>
      <w:pPr>
        <w:ind w:firstLine="480"/>
      </w:pPr>
      <w:r>
        <w:rPr>
          <w:rFonts w:hint="eastAsia"/>
        </w:rPr>
        <w:t>N</w:t>
      </w:r>
      <w:r>
        <w:rPr>
          <w:rFonts w:hint="eastAsia"/>
          <w:vertAlign w:val="subscript"/>
        </w:rPr>
        <w:t>w,k</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浮力设计值</w:t>
      </w:r>
      <w:r>
        <w:rPr>
          <w:rFonts w:hint="eastAsia"/>
        </w:rPr>
        <w:t>(kN)；</w:t>
      </w:r>
    </w:p>
    <w:p>
      <w:pPr>
        <w:ind w:firstLine="480"/>
      </w:pPr>
      <w:r>
        <w:rPr>
          <w:rFonts w:hint="eastAsia"/>
        </w:rPr>
        <w:t>K</w:t>
      </w:r>
      <w:r>
        <w:rPr>
          <w:rFonts w:hint="eastAsia"/>
          <w:vertAlign w:val="subscript"/>
        </w:rPr>
        <w:t>w</w:t>
      </w:r>
      <w:r>
        <w:rPr>
          <w:rFonts w:hint="eastAsia"/>
        </w:rPr>
        <w:t>——</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抗浮稳定安全系数，按下表确定。</w:t>
      </w:r>
    </w:p>
    <w:p>
      <w:pPr>
        <w:pStyle w:val="38"/>
        <w:ind w:firstLine="2100" w:firstLineChars="1000"/>
      </w:pPr>
      <w:r>
        <w:rPr>
          <w:rFonts w:hint="eastAsia"/>
        </w:rPr>
        <w:t>表</w:t>
      </w:r>
      <w:r>
        <w:t>6.3.2</w:t>
      </w:r>
      <w:r>
        <w:rPr>
          <w:rFonts w:hint="eastAsia"/>
        </w:rPr>
        <w:t xml:space="preserve"> 抗浮稳定安全系数</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3305"/>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pStyle w:val="33"/>
              <w:ind w:firstLine="200" w:firstLineChars="100"/>
              <w:rPr>
                <w:sz w:val="20"/>
                <w:szCs w:val="20"/>
              </w:rPr>
            </w:pPr>
            <w:r>
              <w:rPr>
                <w:rFonts w:hint="eastAsia"/>
                <w:sz w:val="20"/>
                <w:szCs w:val="20"/>
              </w:rPr>
              <w:t>抗浮工程设计等级</w:t>
            </w:r>
          </w:p>
        </w:tc>
        <w:tc>
          <w:tcPr>
            <w:tcW w:w="3305" w:type="dxa"/>
          </w:tcPr>
          <w:p>
            <w:pPr>
              <w:pStyle w:val="33"/>
              <w:rPr>
                <w:sz w:val="20"/>
                <w:szCs w:val="20"/>
              </w:rPr>
            </w:pPr>
            <w:r>
              <w:rPr>
                <w:rFonts w:hint="eastAsia"/>
                <w:sz w:val="20"/>
                <w:szCs w:val="20"/>
              </w:rPr>
              <w:t>施工期抗浮稳定安全系数K</w:t>
            </w:r>
            <w:r>
              <w:rPr>
                <w:rFonts w:hint="eastAsia"/>
                <w:sz w:val="20"/>
                <w:szCs w:val="20"/>
                <w:vertAlign w:val="subscript"/>
              </w:rPr>
              <w:t>w</w:t>
            </w:r>
          </w:p>
        </w:tc>
        <w:tc>
          <w:tcPr>
            <w:tcW w:w="2841" w:type="dxa"/>
          </w:tcPr>
          <w:p>
            <w:pPr>
              <w:pStyle w:val="33"/>
              <w:rPr>
                <w:sz w:val="20"/>
                <w:szCs w:val="20"/>
              </w:rPr>
            </w:pPr>
            <w:r>
              <w:rPr>
                <w:rFonts w:hint="eastAsia"/>
                <w:sz w:val="20"/>
                <w:szCs w:val="20"/>
              </w:rPr>
              <w:t>使用期抗浮稳定安全系数K</w:t>
            </w:r>
            <w:r>
              <w:rPr>
                <w:rFonts w:hint="eastAsia"/>
                <w:sz w:val="20"/>
                <w:szCs w:val="20"/>
                <w:vertAlign w:val="subscript"/>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pStyle w:val="33"/>
              <w:rPr>
                <w:sz w:val="20"/>
                <w:szCs w:val="20"/>
              </w:rPr>
            </w:pPr>
            <w:r>
              <w:rPr>
                <w:rFonts w:hint="eastAsia"/>
                <w:sz w:val="20"/>
                <w:szCs w:val="20"/>
              </w:rPr>
              <w:t>甲级</w:t>
            </w:r>
          </w:p>
        </w:tc>
        <w:tc>
          <w:tcPr>
            <w:tcW w:w="3305" w:type="dxa"/>
          </w:tcPr>
          <w:p>
            <w:pPr>
              <w:pStyle w:val="33"/>
              <w:rPr>
                <w:sz w:val="20"/>
                <w:szCs w:val="20"/>
              </w:rPr>
            </w:pPr>
            <w:r>
              <w:rPr>
                <w:rFonts w:hint="eastAsia"/>
                <w:sz w:val="20"/>
                <w:szCs w:val="20"/>
              </w:rPr>
              <w:t>1.05</w:t>
            </w:r>
          </w:p>
        </w:tc>
        <w:tc>
          <w:tcPr>
            <w:tcW w:w="2841" w:type="dxa"/>
          </w:tcPr>
          <w:p>
            <w:pPr>
              <w:pStyle w:val="33"/>
              <w:rPr>
                <w:sz w:val="20"/>
                <w:szCs w:val="20"/>
              </w:rPr>
            </w:pPr>
            <w:r>
              <w:rPr>
                <w:rFonts w:hint="eastAsia"/>
                <w:sz w:val="20"/>
                <w:szCs w:val="20"/>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pStyle w:val="33"/>
              <w:rPr>
                <w:sz w:val="20"/>
                <w:szCs w:val="20"/>
              </w:rPr>
            </w:pPr>
            <w:r>
              <w:rPr>
                <w:rFonts w:hint="eastAsia"/>
                <w:sz w:val="20"/>
                <w:szCs w:val="20"/>
              </w:rPr>
              <w:t>乙级</w:t>
            </w:r>
          </w:p>
        </w:tc>
        <w:tc>
          <w:tcPr>
            <w:tcW w:w="3305" w:type="dxa"/>
          </w:tcPr>
          <w:p>
            <w:pPr>
              <w:pStyle w:val="33"/>
              <w:rPr>
                <w:sz w:val="20"/>
                <w:szCs w:val="20"/>
              </w:rPr>
            </w:pPr>
            <w:r>
              <w:rPr>
                <w:rFonts w:hint="eastAsia"/>
                <w:sz w:val="20"/>
                <w:szCs w:val="20"/>
              </w:rPr>
              <w:t>1.00</w:t>
            </w:r>
          </w:p>
        </w:tc>
        <w:tc>
          <w:tcPr>
            <w:tcW w:w="2841" w:type="dxa"/>
          </w:tcPr>
          <w:p>
            <w:pPr>
              <w:pStyle w:val="33"/>
              <w:rPr>
                <w:sz w:val="20"/>
                <w:szCs w:val="20"/>
              </w:rPr>
            </w:pPr>
            <w:r>
              <w:rPr>
                <w:rFonts w:hint="eastAsia"/>
                <w:sz w:val="20"/>
                <w:szCs w:val="20"/>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pStyle w:val="33"/>
              <w:rPr>
                <w:sz w:val="20"/>
                <w:szCs w:val="20"/>
              </w:rPr>
            </w:pPr>
            <w:r>
              <w:rPr>
                <w:rFonts w:hint="eastAsia"/>
                <w:sz w:val="20"/>
                <w:szCs w:val="20"/>
              </w:rPr>
              <w:t>丙级</w:t>
            </w:r>
          </w:p>
        </w:tc>
        <w:tc>
          <w:tcPr>
            <w:tcW w:w="3305" w:type="dxa"/>
          </w:tcPr>
          <w:p>
            <w:pPr>
              <w:pStyle w:val="33"/>
              <w:rPr>
                <w:sz w:val="20"/>
                <w:szCs w:val="20"/>
              </w:rPr>
            </w:pPr>
            <w:r>
              <w:rPr>
                <w:rFonts w:hint="eastAsia"/>
                <w:sz w:val="20"/>
                <w:szCs w:val="20"/>
              </w:rPr>
              <w:t>0.95</w:t>
            </w:r>
          </w:p>
        </w:tc>
        <w:tc>
          <w:tcPr>
            <w:tcW w:w="2841" w:type="dxa"/>
          </w:tcPr>
          <w:p>
            <w:pPr>
              <w:pStyle w:val="33"/>
              <w:rPr>
                <w:sz w:val="20"/>
                <w:szCs w:val="20"/>
              </w:rPr>
            </w:pPr>
            <w:r>
              <w:rPr>
                <w:rFonts w:hint="eastAsia"/>
                <w:sz w:val="20"/>
                <w:szCs w:val="20"/>
              </w:rPr>
              <w:t>1.00</w:t>
            </w:r>
          </w:p>
        </w:tc>
      </w:tr>
    </w:tbl>
    <w:p>
      <w:pPr>
        <w:pStyle w:val="33"/>
        <w:jc w:val="left"/>
      </w:pPr>
      <w:r>
        <w:rPr>
          <w:rFonts w:hint="eastAsia"/>
          <w:sz w:val="20"/>
          <w:szCs w:val="20"/>
        </w:rPr>
        <w:t>注：抗浮工程设计等级按照《建筑工程抗浮技术标准》JGJ476执行。</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抗浮结构和构件的承载力、变形及抗浮设施有效性应符合抗浮性能及结构设计要求，抗浮构件及设施的耐久性年限不应少于隧道结构设计使用年限。</w:t>
      </w:r>
    </w:p>
    <w:p>
      <w:pPr>
        <w:pStyle w:val="3"/>
      </w:pPr>
      <w:bookmarkStart w:id="104" w:name="_Toc23791"/>
      <w:r>
        <w:rPr>
          <w:rFonts w:hint="eastAsia"/>
        </w:rPr>
        <w:t>附属及洞口设计</w:t>
      </w:r>
      <w:bookmarkEnd w:id="104"/>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专用洞室应根据相关专业要求设置，可结合隧道内的横通道统筹设置或多个洞室合并设置。</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管线可采用挂墙或沟槽敷设方式。当隧道净空具备轨旁设置沟槽时，宜采用沟槽敷设方式，并符合下列规定：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应综合考虑与轨道结构、排水沟槽的相互关系。</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宜设置双侧电缆槽，电缆槽盖板应平整，铺设稳固。</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排水沟或电缆槽结构靠近道床一侧的沟（槽）身应增设构造钢筋。</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隧道内可根据接触网设计要求在洞内设置下锚区段。</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隧道内应按照相关专业要求预埋综合接地系统设施。电缆过轨通道宜采用预埋过轨管方式，过轨管转弯半径应满足电缆铺设要求。</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隧道内附属建（构）筑物及安装设计应考虑列车风压的影响，并应按照最不利情况组合考虑。</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隧道洞口、紧急出入口、风井及泵房检修口等标高应满足防洪、防淹要求，并应符合以下规定：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1  隧道设施位于可能被洪水淹没地带、水库回水影响范围、受山洪威胁地段时，其防洪设防高程应按高出设计水位加波浪侵袭高度和雍水高度不小于0.5m设计。 </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隧道设施受内涝水位影响时，洞门及敞开段边墙顶高程应高出内涝设计水位不小于0.5m设计，应在邻近洞口的暗埋段设置截水沟及雨水泵房，并考虑预留极端条件下实施紧急防淹措施的条件。</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隧道设施设计水位的洪水频率标准为1/100；当观测洪水（包括调查可靠的有重现期可能的历史洪水）高于上述设计洪水频率标准时，应按观测洪水设计。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隧道敞开段宜设置雨棚防止雨水流入隧道，雨棚应结合城市景观设计。</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隧道洞口上方有道路跨越或邻近洞口路堑顶部有并行道路时，应在靠近铁路的道路侧设置防护措施。防护措施和防护等级应符合有关规定。</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隧道洞口宜结合所处环境进行景观设计。</w:t>
      </w:r>
    </w:p>
    <w:p>
      <w:pPr>
        <w:pStyle w:val="3"/>
      </w:pPr>
      <w:bookmarkStart w:id="105" w:name="_Toc14251"/>
      <w:r>
        <w:rPr>
          <w:rFonts w:hint="eastAsia"/>
        </w:rPr>
        <w:t>构造</w:t>
      </w:r>
      <w:bookmarkEnd w:id="105"/>
    </w:p>
    <w:p>
      <w:pPr>
        <w:pStyle w:val="51"/>
        <w:widowControl w:val="0"/>
        <w:numPr>
          <w:ilvl w:val="2"/>
          <w:numId w:val="1"/>
        </w:numPr>
        <w:spacing w:line="360" w:lineRule="auto"/>
        <w:ind w:left="284"/>
        <w:rPr>
          <w:rFonts w:hint="eastAsia" w:ascii="Times New Roman" w:hAnsi="Times New Roman" w:cs="Times New Roman" w:eastAsiaTheme="minorEastAsia"/>
          <w:bCs/>
          <w:color w:val="auto"/>
          <w:kern w:val="2"/>
          <w:sz w:val="28"/>
          <w:szCs w:val="28"/>
          <w:lang w:val="zh-CN" w:eastAsia="zh-CN" w:bidi="ar-SA"/>
        </w:rPr>
      </w:pPr>
      <w:commentRangeStart w:id="0"/>
      <w:r>
        <w:rPr>
          <w:rFonts w:hint="eastAsia" w:ascii="Times New Roman" w:hAnsi="Times New Roman" w:cs="Times New Roman" w:eastAsiaTheme="minorEastAsia"/>
          <w:bCs/>
          <w:color w:val="auto"/>
          <w:kern w:val="2"/>
          <w:sz w:val="28"/>
          <w:szCs w:val="28"/>
          <w:lang w:val="zh-CN" w:eastAsia="zh-CN" w:bidi="ar-SA"/>
        </w:rPr>
        <w:t>明挖隧道钢筋混凝土结构的构造设计应符合下列规定：</w:t>
      </w:r>
      <w:commentRangeEnd w:id="0"/>
      <w:r>
        <w:rPr>
          <w:rFonts w:hint="eastAsia" w:ascii="Times New Roman" w:hAnsi="Times New Roman" w:cs="Times New Roman" w:eastAsiaTheme="minorEastAsia"/>
          <w:bCs/>
          <w:color w:val="auto"/>
          <w:kern w:val="2"/>
          <w:sz w:val="28"/>
          <w:szCs w:val="28"/>
          <w:lang w:val="zh-CN" w:eastAsia="zh-CN" w:bidi="ar-SA"/>
        </w:rPr>
        <w:commentReference w:id="0"/>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隧道钢筋混凝土结构一侧受力钢筋的配筋率不小于0.2%，同时分布钢筋的间距不宜大于150mm。当混凝土标号大于C60时，分布钢筋的最小配筋率宜增加0.1%。全部受力钢筋最小配筋率不小于0.4%。</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后砌的内部承重墙和隔墙等应与主体结构可靠拉结，轻质隔墙应与主体结构连结。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隧道结构截面最小厚度应不小于25cm。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钢筋混凝土构件中最外侧钢筋的混凝土保护层厚度应符合现行《铁路混凝土结构耐久性设计规范》TB10005的规定。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受拉区域的钢筋可单根或２～３根成束布置，钢筋的净距不得小于d（d为钢筋的直径，带肋钢筋d为钢筋的计算直径）或30mm。当钢筋（包括成束钢筋）层数等于或多于3层，其净距横向（环向）不得小于1.5d或45mm，竖向（纵向）不得小于d或30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钢筋的锚固长度及最小弯曲半径应符合现行《铁路工程混凝土配筋设计规范》TB10064的相关规定。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钢筋连接应符合下列规定</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1）隧道结构受力钢筋接头宜设置在受力较小处，受拉钢筋宜采用套筒机械连接方式，其他钢筋可采用绑扎搭接。</w:t>
      </w:r>
    </w:p>
    <w:p>
      <w:pPr>
        <w:ind w:left="1246" w:leftChars="0" w:hanging="406"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2）隧道衬砌拱部及边墙钢筋接头不宜采用焊接，不可避免时应有保证安全的措施。</w:t>
      </w:r>
    </w:p>
    <w:p>
      <w:pPr>
        <w:ind w:left="1246" w:leftChars="0" w:hanging="406" w:firstLineChars="0"/>
        <w:rPr>
          <w:highlight w:val="yellow"/>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3）钢筋的连接还应满足《混凝土结构设计规范》GB50010相关规定。</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明挖隧道结构缝的设计应符合下列规定：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现浇钢筋混凝土结构分段浇注的施工缝位置及间距应结合结构形式、受力要求、施工方法、气象条件及变形缝的间距等因素确定。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变形缝可分为伸缩缝和沉降缝。</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伸缩缝的形式和间距可根据围岩条件、施工工艺、使用要求以及运营期间隧道内部温度相对于结构施工时的变化等，按类似工程的经验确定。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对于结构地基、基础或荷载变化处，可能产生较大的差异沉降时，宜通过地基处理、结构措施或设置后浇带等方法，将结构的纵向沉降曲率和沉降差控制在无砟道床和地下结构的允许变形范围内。</w:t>
      </w:r>
    </w:p>
    <w:p>
      <w:pPr>
        <w:pStyle w:val="20"/>
      </w:pPr>
    </w:p>
    <w:p>
      <w:pPr>
        <w:pStyle w:val="3"/>
      </w:pPr>
      <w:bookmarkStart w:id="106" w:name="_Toc19008"/>
      <w:r>
        <w:rPr>
          <w:rFonts w:hint="eastAsia"/>
        </w:rPr>
        <w:t>防水</w:t>
      </w:r>
      <w:bookmarkEnd w:id="106"/>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隧道防水应遵循以防为主、刚柔结合、因地制宜、综合治理的原则，采取与其适应的防水措施；隧道防水工程设计应做到定级准确、方案可行、便于施工。        </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 xml:space="preserve">隧道防水设计应以结构自防水为主，以接缝防水为重点。        </w:t>
      </w:r>
      <w:r>
        <w:rPr>
          <w:rFonts w:hint="eastAsia"/>
        </w:rPr>
        <w:t xml:space="preserve">         </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隧道防排水工程设计应符合以下规定：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明挖隧道防排水工程设计，应根据工程的特点收集以下资料：最高地下水位高程及变化情况、工程地质构造、历年气温变化情况、降水量、地表水、洪水和给水排水系统资料、工程所有区域的地震烈度、地热、腐蚀性物质、氡含量及含瓦斯等有害物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明挖隧道防排水工程的设计应根据气候条件、工程地质、水文地质、地下水保护、结构特点、施工方法、使用功能等要求，并考虑人为作用引起的水位变化、市政管线渗漏等因素综合确定。</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3  下穿河流、湖泊、海洋及城市等地区的隧道，宜按全封闭不排水原则设计。   </w:t>
      </w:r>
      <w:r>
        <w:rPr>
          <w:rFonts w:hint="eastAsia"/>
        </w:rPr>
        <w:t xml:space="preserve">      </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明挖隧道防排水工程设计内容应包括：</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防水等级和设防标准要求；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防、排、降水系统，防水混凝土的抗渗等级和其他技术指标；</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防水层选用的材料及其技术指标；</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 xml:space="preserve">4  防水工程细部构造的防水措施，技术质量保证措施及施工后地面挡水、截水系统及工程各种洞口的防倒灌措施。                                </w:t>
      </w:r>
      <w:r>
        <w:rPr>
          <w:rFonts w:hint="eastAsia"/>
        </w:rPr>
        <w:t xml:space="preserve">              </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铁路明挖隧道防水等级可分为一、二、三级，各等级的防水标准应符合下表的规定。</w:t>
      </w:r>
    </w:p>
    <w:p>
      <w:pPr>
        <w:pStyle w:val="38"/>
      </w:pPr>
      <w:r>
        <w:rPr>
          <w:rFonts w:hint="eastAsia"/>
        </w:rPr>
        <w:t xml:space="preserve">11.6.5 </w:t>
      </w:r>
      <w:r>
        <w:t>防水等级标准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9"/>
        <w:gridCol w:w="5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9" w:type="dxa"/>
          </w:tcPr>
          <w:p>
            <w:pPr>
              <w:pStyle w:val="33"/>
              <w:ind w:firstLine="200" w:firstLineChars="100"/>
              <w:rPr>
                <w:sz w:val="20"/>
                <w:szCs w:val="20"/>
              </w:rPr>
            </w:pPr>
            <w:r>
              <w:rPr>
                <w:rFonts w:hint="eastAsia" w:ascii="宋体" w:hAnsi="宋体" w:cs="宋体"/>
                <w:sz w:val="20"/>
                <w:szCs w:val="20"/>
                <w:lang w:val="zh-TW" w:eastAsia="zh-TW" w:bidi="zh-TW"/>
              </w:rPr>
              <w:t>防水等级</w:t>
            </w:r>
          </w:p>
        </w:tc>
        <w:tc>
          <w:tcPr>
            <w:tcW w:w="5350" w:type="dxa"/>
          </w:tcPr>
          <w:p>
            <w:pPr>
              <w:pStyle w:val="33"/>
              <w:rPr>
                <w:sz w:val="20"/>
                <w:szCs w:val="20"/>
              </w:rPr>
            </w:pPr>
            <w:r>
              <w:rPr>
                <w:rFonts w:hint="eastAsia" w:ascii="宋体" w:hAnsi="宋体" w:cs="宋体"/>
                <w:sz w:val="20"/>
                <w:szCs w:val="20"/>
                <w:lang w:val="zh-TW" w:eastAsia="zh-TW" w:bidi="zh-TW"/>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9" w:type="dxa"/>
          </w:tcPr>
          <w:p>
            <w:pPr>
              <w:pStyle w:val="33"/>
              <w:rPr>
                <w:sz w:val="20"/>
                <w:szCs w:val="20"/>
              </w:rPr>
            </w:pPr>
            <w:r>
              <w:rPr>
                <w:rFonts w:hint="eastAsia" w:ascii="宋体" w:hAnsi="宋体" w:cs="宋体"/>
                <w:sz w:val="20"/>
                <w:szCs w:val="20"/>
                <w:lang w:val="zh-TW" w:eastAsia="zh-TW" w:bidi="zh-TW"/>
              </w:rPr>
              <w:t>一级</w:t>
            </w:r>
          </w:p>
        </w:tc>
        <w:tc>
          <w:tcPr>
            <w:tcW w:w="5350" w:type="dxa"/>
          </w:tcPr>
          <w:p>
            <w:pPr>
              <w:pStyle w:val="33"/>
              <w:rPr>
                <w:sz w:val="20"/>
                <w:szCs w:val="20"/>
              </w:rPr>
            </w:pPr>
            <w:r>
              <w:rPr>
                <w:rFonts w:hint="eastAsia" w:ascii="宋体" w:hAnsi="宋体" w:cs="宋体"/>
                <w:sz w:val="20"/>
                <w:szCs w:val="20"/>
                <w:lang w:val="zh-TW" w:eastAsia="zh-TW" w:bidi="zh-TW"/>
              </w:rPr>
              <w:t>不允许渗水</w:t>
            </w:r>
            <w:r>
              <w:rPr>
                <w:rFonts w:hint="eastAsia" w:ascii="宋体" w:hAnsi="宋体" w:cs="宋体"/>
                <w:sz w:val="20"/>
                <w:szCs w:val="20"/>
                <w:lang w:val="zh-TW" w:bidi="zh-TW"/>
              </w:rPr>
              <w:t>，</w:t>
            </w:r>
            <w:r>
              <w:rPr>
                <w:rFonts w:hint="eastAsia" w:ascii="宋体" w:hAnsi="宋体" w:cs="宋体"/>
                <w:sz w:val="20"/>
                <w:szCs w:val="20"/>
                <w:lang w:val="zh-TW" w:eastAsia="zh-TW" w:bidi="zh-TW"/>
              </w:rPr>
              <w:t>结构内缘表面无湿渍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9" w:type="dxa"/>
          </w:tcPr>
          <w:p>
            <w:pPr>
              <w:pStyle w:val="33"/>
              <w:rPr>
                <w:sz w:val="20"/>
                <w:szCs w:val="20"/>
              </w:rPr>
            </w:pPr>
            <w:r>
              <w:rPr>
                <w:rFonts w:hint="eastAsia" w:ascii="宋体" w:hAnsi="宋体" w:cs="宋体"/>
                <w:sz w:val="20"/>
                <w:szCs w:val="20"/>
                <w:lang w:val="zh-TW" w:eastAsia="zh-TW" w:bidi="zh-TW"/>
              </w:rPr>
              <w:t>二级</w:t>
            </w:r>
          </w:p>
        </w:tc>
        <w:tc>
          <w:tcPr>
            <w:tcW w:w="5350" w:type="dxa"/>
          </w:tcPr>
          <w:p>
            <w:pPr>
              <w:pStyle w:val="33"/>
              <w:jc w:val="left"/>
              <w:rPr>
                <w:sz w:val="20"/>
                <w:szCs w:val="20"/>
              </w:rPr>
            </w:pPr>
            <w:r>
              <w:rPr>
                <w:rFonts w:hint="eastAsia" w:ascii="宋体" w:hAnsi="宋体" w:cs="宋体"/>
                <w:sz w:val="20"/>
                <w:szCs w:val="20"/>
                <w:lang w:val="zh-TW" w:eastAsia="zh-TW" w:bidi="zh-TW"/>
              </w:rPr>
              <w:t>不允许漏水，结构内缘表面可有少量因渗水形成的湿渍或水膜</w:t>
            </w:r>
            <w:r>
              <w:rPr>
                <w:rFonts w:hint="eastAsia" w:ascii="宋体" w:hAnsi="宋体" w:cs="宋体"/>
                <w:sz w:val="20"/>
                <w:szCs w:val="20"/>
                <w:lang w:val="zh-TW" w:bidi="zh-TW"/>
              </w:rPr>
              <w:t>；</w:t>
            </w:r>
            <w:r>
              <w:rPr>
                <w:rFonts w:hint="eastAsia" w:ascii="宋体" w:hAnsi="宋体" w:cs="宋体"/>
                <w:sz w:val="20"/>
                <w:szCs w:val="20"/>
                <w:lang w:val="zh-TW" w:eastAsia="zh-TW" w:bidi="zh-TW"/>
              </w:rPr>
              <w:t>总湿渍面积不大于总防水面积的2/1000；任意100</w:t>
            </w:r>
            <w:r>
              <w:rPr>
                <w:rFonts w:hint="eastAsia" w:ascii="宋体" w:hAnsi="宋体" w:cs="宋体"/>
                <w:sz w:val="20"/>
                <w:szCs w:val="20"/>
                <w:lang w:bidi="en-US"/>
              </w:rPr>
              <w:t>m</w:t>
            </w:r>
            <w:r>
              <w:rPr>
                <w:rFonts w:hint="eastAsia" w:ascii="宋体" w:hAnsi="宋体" w:cs="宋体"/>
                <w:sz w:val="20"/>
                <w:szCs w:val="20"/>
                <w:vertAlign w:val="superscript"/>
                <w:lang w:bidi="en-US"/>
              </w:rPr>
              <w:t>2</w:t>
            </w:r>
            <w:r>
              <w:rPr>
                <w:rFonts w:hint="eastAsia" w:ascii="宋体" w:hAnsi="宋体" w:cs="宋体"/>
                <w:sz w:val="20"/>
                <w:szCs w:val="20"/>
                <w:lang w:val="zh-TW" w:eastAsia="zh-TW" w:bidi="zh-TW"/>
              </w:rPr>
              <w:t>防水面积上的渗水不超过3处，其单个形成的湿渍或水膜面积不大于</w:t>
            </w:r>
            <w:r>
              <w:rPr>
                <w:rFonts w:hint="eastAsia" w:ascii="宋体" w:hAnsi="宋体" w:cs="宋体"/>
                <w:sz w:val="20"/>
                <w:szCs w:val="20"/>
                <w:lang w:bidi="en-US"/>
              </w:rPr>
              <w:t>0.</w:t>
            </w:r>
            <w:r>
              <w:rPr>
                <w:rFonts w:hint="eastAsia" w:ascii="宋体" w:hAnsi="宋体" w:cs="宋体"/>
                <w:sz w:val="20"/>
                <w:szCs w:val="20"/>
                <w:lang w:val="zh-TW" w:eastAsia="zh-TW" w:bidi="zh-TW"/>
              </w:rPr>
              <w:t>2</w:t>
            </w:r>
            <w:r>
              <w:rPr>
                <w:rFonts w:hint="eastAsia" w:ascii="宋体" w:hAnsi="宋体" w:cs="宋体"/>
                <w:sz w:val="20"/>
                <w:szCs w:val="20"/>
                <w:lang w:bidi="en-US"/>
              </w:rPr>
              <w:t>m</w:t>
            </w:r>
            <w:r>
              <w:rPr>
                <w:rFonts w:hint="eastAsia" w:ascii="宋体" w:hAnsi="宋体" w:cs="宋体"/>
                <w:sz w:val="20"/>
                <w:szCs w:val="20"/>
                <w:vertAlign w:val="superscript"/>
                <w:lang w:bidi="en-US"/>
              </w:rPr>
              <w:t>2</w:t>
            </w:r>
            <w:r>
              <w:rPr>
                <w:rFonts w:hint="eastAsia" w:ascii="宋体" w:hAnsi="宋体" w:cs="宋体"/>
                <w:sz w:val="20"/>
                <w:szCs w:val="20"/>
                <w:lang w:val="zh-TW" w:bidi="zh-TW"/>
              </w:rPr>
              <w:t>；</w:t>
            </w:r>
            <w:r>
              <w:rPr>
                <w:rFonts w:hint="eastAsia" w:ascii="宋体" w:hAnsi="宋体" w:cs="宋体"/>
                <w:sz w:val="20"/>
                <w:szCs w:val="20"/>
                <w:lang w:val="zh-TW" w:eastAsia="zh-TW" w:bidi="zh-TW"/>
              </w:rPr>
              <w:t>平均渗入水量不大于</w:t>
            </w:r>
            <w:r>
              <w:rPr>
                <w:rFonts w:hint="eastAsia" w:ascii="宋体" w:hAnsi="宋体" w:cs="宋体"/>
                <w:sz w:val="20"/>
                <w:szCs w:val="20"/>
                <w:lang w:bidi="en-US"/>
              </w:rPr>
              <w:t>0.05L/（m</w:t>
            </w:r>
            <w:r>
              <w:rPr>
                <w:rFonts w:hint="eastAsia" w:ascii="宋体" w:hAnsi="宋体" w:cs="宋体"/>
                <w:sz w:val="20"/>
                <w:szCs w:val="20"/>
                <w:vertAlign w:val="superscript"/>
                <w:lang w:bidi="en-US"/>
              </w:rPr>
              <w:t>2</w:t>
            </w:r>
            <w:r>
              <w:rPr>
                <w:rFonts w:hint="eastAsia" w:ascii="宋体" w:hAnsi="宋体" w:cs="宋体"/>
                <w:sz w:val="20"/>
                <w:szCs w:val="20"/>
                <w:lang w:bidi="en-US"/>
              </w:rPr>
              <w:t>·d），</w:t>
            </w:r>
            <w:r>
              <w:rPr>
                <w:rFonts w:hint="eastAsia" w:ascii="宋体" w:hAnsi="宋体" w:cs="宋体"/>
                <w:sz w:val="20"/>
                <w:szCs w:val="20"/>
                <w:lang w:val="zh-TW" w:eastAsia="zh-TW" w:bidi="zh-TW"/>
              </w:rPr>
              <w:t>任意100</w:t>
            </w:r>
            <w:r>
              <w:rPr>
                <w:rFonts w:hint="eastAsia" w:ascii="宋体" w:hAnsi="宋体" w:cs="宋体"/>
                <w:sz w:val="20"/>
                <w:szCs w:val="20"/>
                <w:lang w:bidi="en-US"/>
              </w:rPr>
              <w:t>m</w:t>
            </w:r>
            <w:r>
              <w:rPr>
                <w:rFonts w:hint="eastAsia" w:ascii="宋体" w:hAnsi="宋体" w:cs="宋体"/>
                <w:sz w:val="20"/>
                <w:szCs w:val="20"/>
                <w:vertAlign w:val="superscript"/>
                <w:lang w:bidi="en-US"/>
              </w:rPr>
              <w:t>2</w:t>
            </w:r>
            <w:r>
              <w:rPr>
                <w:rFonts w:hint="eastAsia" w:ascii="宋体" w:hAnsi="宋体" w:cs="宋体"/>
                <w:sz w:val="20"/>
                <w:szCs w:val="20"/>
                <w:lang w:val="zh-TW" w:eastAsia="zh-TW" w:bidi="zh-TW"/>
              </w:rPr>
              <w:t>防水面积上的渗入水量不大于</w:t>
            </w:r>
            <w:r>
              <w:rPr>
                <w:rFonts w:hint="eastAsia" w:ascii="宋体" w:hAnsi="宋体" w:cs="宋体"/>
                <w:sz w:val="20"/>
                <w:szCs w:val="20"/>
                <w:lang w:bidi="en-US"/>
              </w:rPr>
              <w:t>0.</w:t>
            </w:r>
            <w:r>
              <w:rPr>
                <w:rFonts w:hint="eastAsia" w:ascii="宋体" w:hAnsi="宋体" w:cs="宋体"/>
                <w:sz w:val="20"/>
                <w:szCs w:val="20"/>
                <w:lang w:val="zh-TW" w:eastAsia="zh-TW" w:bidi="zh-TW"/>
              </w:rPr>
              <w:t>15</w:t>
            </w:r>
            <w:r>
              <w:rPr>
                <w:rFonts w:hint="eastAsia" w:ascii="宋体" w:hAnsi="宋体" w:cs="宋体"/>
                <w:sz w:val="20"/>
                <w:szCs w:val="20"/>
                <w:lang w:bidi="en-US"/>
              </w:rPr>
              <w:t>L/（m</w:t>
            </w:r>
            <w:r>
              <w:rPr>
                <w:rFonts w:hint="eastAsia" w:ascii="宋体" w:hAnsi="宋体" w:cs="宋体"/>
                <w:sz w:val="20"/>
                <w:szCs w:val="20"/>
                <w:vertAlign w:val="superscript"/>
                <w:lang w:bidi="en-US"/>
              </w:rPr>
              <w:t>2</w:t>
            </w:r>
            <w:r>
              <w:rPr>
                <w:rFonts w:hint="eastAsia" w:ascii="宋体" w:hAnsi="宋体" w:cs="宋体"/>
                <w:sz w:val="20"/>
                <w:szCs w:val="20"/>
                <w:lang w:bidi="en-US"/>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9" w:type="dxa"/>
          </w:tcPr>
          <w:p>
            <w:pPr>
              <w:pStyle w:val="33"/>
              <w:rPr>
                <w:sz w:val="20"/>
                <w:szCs w:val="20"/>
              </w:rPr>
            </w:pPr>
            <w:r>
              <w:rPr>
                <w:rFonts w:hint="eastAsia" w:ascii="宋体" w:hAnsi="宋体" w:cs="宋体"/>
                <w:sz w:val="20"/>
                <w:szCs w:val="20"/>
                <w:lang w:val="zh-TW" w:eastAsia="zh-TW" w:bidi="zh-TW"/>
              </w:rPr>
              <w:t>三级</w:t>
            </w:r>
          </w:p>
        </w:tc>
        <w:tc>
          <w:tcPr>
            <w:tcW w:w="5350" w:type="dxa"/>
          </w:tcPr>
          <w:p>
            <w:pPr>
              <w:pStyle w:val="33"/>
              <w:jc w:val="left"/>
              <w:rPr>
                <w:sz w:val="20"/>
                <w:szCs w:val="20"/>
              </w:rPr>
            </w:pPr>
            <w:r>
              <w:rPr>
                <w:rFonts w:hint="eastAsia" w:ascii="宋体" w:hAnsi="宋体" w:cs="宋体"/>
                <w:sz w:val="20"/>
                <w:szCs w:val="20"/>
                <w:lang w:val="zh-TW" w:eastAsia="zh-TW" w:bidi="zh-TW"/>
              </w:rPr>
              <w:t>有少量漏水点，不得有线流和漏泥沙，安装设备的孔眼不渗水</w:t>
            </w:r>
            <w:r>
              <w:rPr>
                <w:rFonts w:hint="eastAsia" w:ascii="宋体" w:hAnsi="宋体" w:cs="宋体"/>
                <w:sz w:val="20"/>
                <w:szCs w:val="20"/>
                <w:lang w:val="zh-TW" w:bidi="zh-TW"/>
              </w:rPr>
              <w:t>；</w:t>
            </w:r>
            <w:r>
              <w:rPr>
                <w:rFonts w:hint="eastAsia" w:ascii="宋体" w:hAnsi="宋体" w:cs="宋体"/>
                <w:sz w:val="20"/>
                <w:szCs w:val="20"/>
                <w:lang w:val="zh-TW" w:eastAsia="zh-TW" w:bidi="zh-TW"/>
              </w:rPr>
              <w:t>任意100</w:t>
            </w:r>
            <w:r>
              <w:rPr>
                <w:rFonts w:hint="eastAsia" w:ascii="宋体" w:hAnsi="宋体" w:cs="宋体"/>
                <w:sz w:val="20"/>
                <w:szCs w:val="20"/>
                <w:lang w:bidi="en-US"/>
              </w:rPr>
              <w:t>m</w:t>
            </w:r>
            <w:r>
              <w:rPr>
                <w:rFonts w:hint="eastAsia" w:ascii="宋体" w:hAnsi="宋体" w:cs="宋体"/>
                <w:sz w:val="20"/>
                <w:szCs w:val="20"/>
                <w:vertAlign w:val="superscript"/>
                <w:lang w:bidi="en-US"/>
              </w:rPr>
              <w:t>2</w:t>
            </w:r>
            <w:r>
              <w:rPr>
                <w:rFonts w:hint="eastAsia" w:ascii="宋体" w:hAnsi="宋体" w:cs="宋体"/>
                <w:sz w:val="20"/>
                <w:szCs w:val="20"/>
                <w:lang w:val="zh-TW" w:eastAsia="zh-TW" w:bidi="zh-TW"/>
              </w:rPr>
              <w:t>防水面积上的漏水点、渗水形成的水膜或湿渍不超过7处</w:t>
            </w:r>
            <w:r>
              <w:rPr>
                <w:rFonts w:hint="eastAsia" w:ascii="宋体" w:hAnsi="宋体" w:cs="宋体"/>
                <w:sz w:val="20"/>
                <w:szCs w:val="20"/>
                <w:lang w:val="zh-TW" w:bidi="zh-TW"/>
              </w:rPr>
              <w:t>；</w:t>
            </w:r>
            <w:r>
              <w:rPr>
                <w:rFonts w:hint="eastAsia" w:ascii="宋体" w:hAnsi="宋体" w:cs="宋体"/>
                <w:sz w:val="20"/>
                <w:szCs w:val="20"/>
                <w:lang w:val="zh-TW" w:eastAsia="zh-TW" w:bidi="zh-TW"/>
              </w:rPr>
              <w:t>单个湿渍或水膜面积不大于</w:t>
            </w:r>
            <w:r>
              <w:rPr>
                <w:rFonts w:hint="eastAsia" w:ascii="宋体" w:hAnsi="宋体" w:cs="宋体"/>
                <w:sz w:val="20"/>
                <w:szCs w:val="20"/>
                <w:lang w:bidi="en-US"/>
              </w:rPr>
              <w:t>0.</w:t>
            </w:r>
            <w:r>
              <w:rPr>
                <w:rFonts w:hint="eastAsia" w:ascii="宋体" w:hAnsi="宋体" w:cs="宋体"/>
                <w:sz w:val="20"/>
                <w:szCs w:val="20"/>
                <w:lang w:val="zh-TW" w:eastAsia="zh-TW" w:bidi="zh-TW"/>
              </w:rPr>
              <w:t>3</w:t>
            </w:r>
            <w:r>
              <w:rPr>
                <w:rFonts w:hint="eastAsia" w:ascii="宋体" w:hAnsi="宋体" w:cs="宋体"/>
                <w:sz w:val="20"/>
                <w:szCs w:val="20"/>
                <w:lang w:bidi="zh-TW"/>
              </w:rPr>
              <w:t>m</w:t>
            </w:r>
            <w:r>
              <w:rPr>
                <w:rFonts w:hint="eastAsia" w:ascii="宋体" w:hAnsi="宋体" w:cs="宋体"/>
                <w:sz w:val="20"/>
                <w:szCs w:val="20"/>
                <w:vertAlign w:val="superscript"/>
                <w:lang w:bidi="zh-TW"/>
              </w:rPr>
              <w:t>2</w:t>
            </w:r>
            <w:r>
              <w:rPr>
                <w:rFonts w:hint="eastAsia" w:ascii="宋体" w:hAnsi="宋体" w:cs="宋体"/>
                <w:sz w:val="20"/>
                <w:szCs w:val="20"/>
                <w:lang w:val="zh-TW" w:bidi="zh-TW"/>
              </w:rPr>
              <w:t>，</w:t>
            </w:r>
            <w:r>
              <w:rPr>
                <w:rFonts w:hint="eastAsia" w:ascii="宋体" w:hAnsi="宋体" w:cs="宋体"/>
                <w:sz w:val="20"/>
                <w:szCs w:val="20"/>
                <w:lang w:val="zh-TW" w:eastAsia="zh-TW" w:bidi="zh-TW"/>
              </w:rPr>
              <w:t>单点漏水量不得大于</w:t>
            </w:r>
            <w:r>
              <w:rPr>
                <w:rFonts w:hint="eastAsia" w:ascii="宋体" w:hAnsi="宋体" w:cs="宋体"/>
                <w:sz w:val="20"/>
                <w:szCs w:val="20"/>
                <w:lang w:bidi="en-US"/>
              </w:rPr>
              <w:t>2.</w:t>
            </w:r>
            <w:r>
              <w:rPr>
                <w:rFonts w:hint="eastAsia" w:ascii="宋体" w:hAnsi="宋体" w:cs="宋体"/>
                <w:sz w:val="20"/>
                <w:szCs w:val="20"/>
                <w:lang w:val="zh-TW" w:eastAsia="zh-TW" w:bidi="zh-TW"/>
              </w:rPr>
              <w:t>5</w:t>
            </w:r>
            <w:r>
              <w:rPr>
                <w:rFonts w:hint="eastAsia" w:ascii="宋体" w:hAnsi="宋体" w:cs="宋体"/>
                <w:sz w:val="20"/>
                <w:szCs w:val="20"/>
                <w:lang w:bidi="en-US"/>
              </w:rPr>
              <w:t>L/d</w:t>
            </w:r>
          </w:p>
        </w:tc>
      </w:tr>
    </w:tbl>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铁路明挖隧道的防水等级，应根据工程的重要性、运营安全保障、使用功能等要求，按下列规定设计：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一级防水：①高速铁路隧道主体结构；②隧道内供人员长期工作的洞室；③因少量湿渍而影响设备正常运转、危及运营安全的设备洞室；④因少量湿渍使贮存物质变质、失效的贮物洞室。</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二级防水：①一般铁路隧道主体结构；②有人员经常活动的场所；③安装一般电气设备的洞室、置放无防潮要求器材物料的洞室；④辅助坑道内安装电动防火门、风机及其控制设备的段落。</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三级防水：①运营期间作为防灾救援通道、检修通道、通风排烟通道的辅助坑道；②人员临时活动场所；③安装非电气设备的洞室。</w:t>
      </w:r>
    </w:p>
    <w:p>
      <w:pPr>
        <w:pStyle w:val="51"/>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明挖隧道工程迎水面主体结构和内部储水区域的结构应采用防水混凝土，并应根据防水等级的要求采取其他防水措施。</w:t>
      </w:r>
    </w:p>
    <w:p>
      <w:pPr>
        <w:ind w:firstLine="480"/>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防水混凝土抗渗等级应根据使用功能和地下工程埋深确定，并不低于P8，地下水发育段、抗冻设防段抗渗等级不低于P10。</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明挖隧道衬砌防水层、施工缝、变形缝应按下表选用防水措施。</w:t>
      </w:r>
    </w:p>
    <w:p>
      <w:pPr>
        <w:pStyle w:val="51"/>
        <w:numPr>
          <w:ilvl w:val="2"/>
          <w:numId w:val="0"/>
        </w:numPr>
        <w:ind w:left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51"/>
        <w:numPr>
          <w:ilvl w:val="2"/>
          <w:numId w:val="0"/>
        </w:numPr>
        <w:ind w:left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51"/>
        <w:numPr>
          <w:ilvl w:val="2"/>
          <w:numId w:val="0"/>
        </w:numPr>
        <w:ind w:left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51"/>
        <w:numPr>
          <w:ilvl w:val="2"/>
          <w:numId w:val="0"/>
        </w:numPr>
        <w:ind w:left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p>
    <w:p>
      <w:pPr>
        <w:pStyle w:val="38"/>
      </w:pPr>
      <w:r>
        <w:rPr>
          <w:rFonts w:hint="eastAsia"/>
        </w:rPr>
        <w:t>表11.6.8 明挖隧道衬砌结构设防要求</w:t>
      </w:r>
    </w:p>
    <w:tbl>
      <w:tblPr>
        <w:tblStyle w:val="22"/>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525"/>
        <w:gridCol w:w="519"/>
        <w:gridCol w:w="523"/>
        <w:gridCol w:w="519"/>
        <w:gridCol w:w="523"/>
        <w:gridCol w:w="519"/>
        <w:gridCol w:w="519"/>
        <w:gridCol w:w="553"/>
        <w:gridCol w:w="498"/>
        <w:gridCol w:w="1025"/>
        <w:gridCol w:w="644"/>
        <w:gridCol w:w="681"/>
        <w:gridCol w:w="700"/>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49"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工程部位</w:t>
            </w:r>
          </w:p>
        </w:tc>
        <w:tc>
          <w:tcPr>
            <w:tcW w:w="1042"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拱墙</w:t>
            </w:r>
          </w:p>
        </w:tc>
        <w:tc>
          <w:tcPr>
            <w:tcW w:w="1042"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仰拱（底板）</w:t>
            </w:r>
          </w:p>
        </w:tc>
        <w:tc>
          <w:tcPr>
            <w:tcW w:w="3114" w:type="dxa"/>
            <w:gridSpan w:val="5"/>
            <w:vAlign w:val="center"/>
          </w:tcPr>
          <w:p>
            <w:pPr>
              <w:pStyle w:val="33"/>
              <w:rPr>
                <w:rFonts w:hint="eastAsia" w:ascii="宋体" w:hAnsi="宋体" w:eastAsia="宋体" w:cs="宋体"/>
                <w:sz w:val="21"/>
                <w:szCs w:val="21"/>
              </w:rPr>
            </w:pPr>
            <w:r>
              <w:rPr>
                <w:rFonts w:hint="eastAsia" w:ascii="宋体" w:hAnsi="宋体" w:eastAsia="宋体" w:cs="宋体"/>
                <w:sz w:val="21"/>
                <w:szCs w:val="21"/>
              </w:rPr>
              <w:t>施工缝</w:t>
            </w:r>
          </w:p>
        </w:tc>
        <w:tc>
          <w:tcPr>
            <w:tcW w:w="2775" w:type="dxa"/>
            <w:gridSpan w:val="4"/>
          </w:tcPr>
          <w:p>
            <w:pPr>
              <w:pStyle w:val="33"/>
              <w:rPr>
                <w:rFonts w:hint="eastAsia" w:ascii="宋体" w:hAnsi="宋体" w:eastAsia="宋体" w:cs="宋体"/>
                <w:sz w:val="21"/>
                <w:szCs w:val="21"/>
              </w:rPr>
            </w:pPr>
            <w:r>
              <w:rPr>
                <w:rFonts w:hint="eastAsia" w:ascii="宋体" w:hAnsi="宋体" w:eastAsia="宋体" w:cs="宋体"/>
                <w:sz w:val="21"/>
                <w:szCs w:val="21"/>
              </w:rPr>
              <w:t>变形缝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1049"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防水措施</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防水板</w:t>
            </w:r>
          </w:p>
        </w:tc>
        <w:tc>
          <w:tcPr>
            <w:tcW w:w="52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防水涂料</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防水板</w:t>
            </w:r>
          </w:p>
        </w:tc>
        <w:tc>
          <w:tcPr>
            <w:tcW w:w="52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预埋注浆管</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中埋式止水带</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预埋注浆管</w:t>
            </w:r>
          </w:p>
        </w:tc>
        <w:tc>
          <w:tcPr>
            <w:tcW w:w="55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背贴式止水带</w:t>
            </w:r>
          </w:p>
        </w:tc>
        <w:tc>
          <w:tcPr>
            <w:tcW w:w="498"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防水密封材料</w:t>
            </w:r>
          </w:p>
        </w:tc>
        <w:tc>
          <w:tcPr>
            <w:tcW w:w="1025"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水泥基渗透结晶型防水涂料</w:t>
            </w:r>
          </w:p>
        </w:tc>
        <w:tc>
          <w:tcPr>
            <w:tcW w:w="644"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中埋式止水带</w:t>
            </w:r>
          </w:p>
        </w:tc>
        <w:tc>
          <w:tcPr>
            <w:tcW w:w="681"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背贴式止水带</w:t>
            </w:r>
          </w:p>
        </w:tc>
        <w:tc>
          <w:tcPr>
            <w:tcW w:w="700" w:type="dxa"/>
          </w:tcPr>
          <w:p>
            <w:pPr>
              <w:pStyle w:val="33"/>
              <w:rPr>
                <w:rFonts w:hint="eastAsia" w:ascii="宋体" w:hAnsi="宋体" w:eastAsia="宋体" w:cs="宋体"/>
                <w:sz w:val="21"/>
                <w:szCs w:val="21"/>
              </w:rPr>
            </w:pPr>
          </w:p>
          <w:p>
            <w:pPr>
              <w:pStyle w:val="33"/>
              <w:rPr>
                <w:rFonts w:hint="eastAsia" w:ascii="宋体" w:hAnsi="宋体" w:eastAsia="宋体" w:cs="宋体"/>
                <w:sz w:val="21"/>
                <w:szCs w:val="21"/>
              </w:rPr>
            </w:pPr>
          </w:p>
          <w:p>
            <w:pPr>
              <w:pStyle w:val="33"/>
              <w:rPr>
                <w:rFonts w:hint="eastAsia" w:ascii="宋体" w:hAnsi="宋体" w:eastAsia="宋体" w:cs="宋体"/>
                <w:sz w:val="21"/>
                <w:szCs w:val="21"/>
              </w:rPr>
            </w:pPr>
            <w:r>
              <w:rPr>
                <w:rFonts w:hint="eastAsia" w:ascii="宋体" w:hAnsi="宋体" w:eastAsia="宋体" w:cs="宋体"/>
                <w:sz w:val="21"/>
                <w:szCs w:val="21"/>
              </w:rPr>
              <w:t>防水加强层</w:t>
            </w:r>
          </w:p>
        </w:tc>
        <w:tc>
          <w:tcPr>
            <w:tcW w:w="750"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4" w:type="dxa"/>
            <w:vMerge w:val="restart"/>
            <w:vAlign w:val="center"/>
          </w:tcPr>
          <w:p>
            <w:pPr>
              <w:pStyle w:val="33"/>
              <w:rPr>
                <w:rFonts w:hint="eastAsia" w:ascii="宋体" w:hAnsi="宋体" w:eastAsia="宋体" w:cs="宋体"/>
                <w:sz w:val="21"/>
                <w:szCs w:val="21"/>
              </w:rPr>
            </w:pPr>
            <w:r>
              <w:rPr>
                <w:rFonts w:hint="eastAsia" w:ascii="宋体" w:hAnsi="宋体" w:eastAsia="宋体" w:cs="宋体"/>
                <w:sz w:val="21"/>
                <w:szCs w:val="21"/>
              </w:rPr>
              <w:t>防水等级</w:t>
            </w:r>
          </w:p>
        </w:tc>
        <w:tc>
          <w:tcPr>
            <w:tcW w:w="525"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一级</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应选</w:t>
            </w:r>
          </w:p>
        </w:tc>
        <w:tc>
          <w:tcPr>
            <w:tcW w:w="52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可选</w:t>
            </w:r>
          </w:p>
        </w:tc>
        <w:tc>
          <w:tcPr>
            <w:tcW w:w="1042"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必要时选一种</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应选</w:t>
            </w:r>
          </w:p>
        </w:tc>
        <w:tc>
          <w:tcPr>
            <w:tcW w:w="2595" w:type="dxa"/>
            <w:gridSpan w:val="4"/>
            <w:vAlign w:val="center"/>
          </w:tcPr>
          <w:p>
            <w:pPr>
              <w:pStyle w:val="33"/>
              <w:rPr>
                <w:rFonts w:hint="eastAsia" w:ascii="宋体" w:hAnsi="宋体" w:eastAsia="宋体" w:cs="宋体"/>
                <w:sz w:val="21"/>
                <w:szCs w:val="21"/>
              </w:rPr>
            </w:pPr>
            <w:r>
              <w:rPr>
                <w:rFonts w:hint="eastAsia" w:ascii="宋体" w:hAnsi="宋体" w:eastAsia="宋体" w:cs="宋体"/>
                <w:sz w:val="21"/>
                <w:szCs w:val="21"/>
              </w:rPr>
              <w:t>至少选一种</w:t>
            </w:r>
          </w:p>
        </w:tc>
        <w:tc>
          <w:tcPr>
            <w:tcW w:w="644" w:type="dxa"/>
            <w:vMerge w:val="restart"/>
          </w:tcPr>
          <w:p>
            <w:pPr>
              <w:pStyle w:val="33"/>
              <w:rPr>
                <w:rFonts w:hint="eastAsia" w:ascii="宋体" w:hAnsi="宋体" w:eastAsia="宋体" w:cs="宋体"/>
                <w:sz w:val="21"/>
                <w:szCs w:val="21"/>
              </w:rPr>
            </w:pPr>
            <w:r>
              <w:rPr>
                <w:rFonts w:hint="eastAsia" w:ascii="宋体" w:hAnsi="宋体" w:eastAsia="宋体" w:cs="宋体"/>
                <w:sz w:val="21"/>
                <w:szCs w:val="21"/>
              </w:rPr>
              <w:t>应选</w:t>
            </w:r>
          </w:p>
        </w:tc>
        <w:tc>
          <w:tcPr>
            <w:tcW w:w="2131" w:type="dxa"/>
            <w:gridSpan w:val="3"/>
            <w:vAlign w:val="center"/>
          </w:tcPr>
          <w:p>
            <w:pPr>
              <w:pStyle w:val="33"/>
              <w:rPr>
                <w:rFonts w:hint="eastAsia" w:ascii="宋体" w:hAnsi="宋体" w:eastAsia="宋体" w:cs="宋体"/>
                <w:sz w:val="21"/>
                <w:szCs w:val="21"/>
              </w:rPr>
            </w:pPr>
            <w:r>
              <w:rPr>
                <w:rFonts w:hint="eastAsia" w:ascii="宋体" w:hAnsi="宋体" w:eastAsia="宋体" w:cs="宋体"/>
                <w:sz w:val="21"/>
                <w:szCs w:val="21"/>
              </w:rPr>
              <w:t>应选两种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4" w:type="dxa"/>
            <w:vMerge w:val="continue"/>
            <w:vAlign w:val="center"/>
          </w:tcPr>
          <w:p>
            <w:pPr>
              <w:pStyle w:val="33"/>
              <w:rPr>
                <w:rFonts w:hint="eastAsia" w:ascii="宋体" w:hAnsi="宋体" w:eastAsia="宋体" w:cs="宋体"/>
                <w:sz w:val="21"/>
                <w:szCs w:val="21"/>
              </w:rPr>
            </w:pPr>
          </w:p>
        </w:tc>
        <w:tc>
          <w:tcPr>
            <w:tcW w:w="525"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二级</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应选</w:t>
            </w:r>
          </w:p>
        </w:tc>
        <w:tc>
          <w:tcPr>
            <w:tcW w:w="52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1042"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必要时选一种</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应选</w:t>
            </w:r>
          </w:p>
        </w:tc>
        <w:tc>
          <w:tcPr>
            <w:tcW w:w="2595" w:type="dxa"/>
            <w:gridSpan w:val="4"/>
            <w:vAlign w:val="center"/>
          </w:tcPr>
          <w:p>
            <w:pPr>
              <w:pStyle w:val="33"/>
              <w:rPr>
                <w:rFonts w:hint="eastAsia" w:ascii="宋体" w:hAnsi="宋体" w:eastAsia="宋体" w:cs="宋体"/>
                <w:sz w:val="21"/>
                <w:szCs w:val="21"/>
              </w:rPr>
            </w:pPr>
            <w:r>
              <w:rPr>
                <w:rFonts w:hint="eastAsia" w:ascii="宋体" w:hAnsi="宋体" w:eastAsia="宋体" w:cs="宋体"/>
                <w:sz w:val="21"/>
                <w:szCs w:val="21"/>
              </w:rPr>
              <w:t>可选一种</w:t>
            </w:r>
          </w:p>
        </w:tc>
        <w:tc>
          <w:tcPr>
            <w:tcW w:w="644" w:type="dxa"/>
            <w:vMerge w:val="continue"/>
            <w:vAlign w:val="center"/>
          </w:tcPr>
          <w:p>
            <w:pPr>
              <w:pStyle w:val="33"/>
              <w:rPr>
                <w:rFonts w:hint="eastAsia" w:ascii="宋体" w:hAnsi="宋体" w:eastAsia="宋体" w:cs="宋体"/>
                <w:sz w:val="21"/>
                <w:szCs w:val="21"/>
              </w:rPr>
            </w:pPr>
          </w:p>
        </w:tc>
        <w:tc>
          <w:tcPr>
            <w:tcW w:w="2131" w:type="dxa"/>
            <w:gridSpan w:val="3"/>
          </w:tcPr>
          <w:p>
            <w:pPr>
              <w:pStyle w:val="33"/>
              <w:rPr>
                <w:rFonts w:hint="eastAsia" w:ascii="宋体" w:hAnsi="宋体" w:eastAsia="宋体" w:cs="宋体"/>
                <w:sz w:val="21"/>
                <w:szCs w:val="21"/>
              </w:rPr>
            </w:pPr>
            <w:r>
              <w:rPr>
                <w:rFonts w:hint="eastAsia" w:ascii="宋体" w:hAnsi="宋体" w:eastAsia="宋体" w:cs="宋体"/>
                <w:sz w:val="21"/>
                <w:szCs w:val="21"/>
              </w:rPr>
              <w:t>至少选一种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24" w:type="dxa"/>
            <w:vMerge w:val="continue"/>
            <w:vAlign w:val="center"/>
          </w:tcPr>
          <w:p>
            <w:pPr>
              <w:pStyle w:val="33"/>
              <w:rPr>
                <w:rFonts w:hint="eastAsia" w:ascii="宋体" w:hAnsi="宋体" w:eastAsia="宋体" w:cs="宋体"/>
                <w:sz w:val="21"/>
                <w:szCs w:val="21"/>
              </w:rPr>
            </w:pPr>
          </w:p>
        </w:tc>
        <w:tc>
          <w:tcPr>
            <w:tcW w:w="525"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三级</w:t>
            </w:r>
          </w:p>
        </w:tc>
        <w:tc>
          <w:tcPr>
            <w:tcW w:w="1042" w:type="dxa"/>
            <w:gridSpan w:val="2"/>
            <w:vAlign w:val="center"/>
          </w:tcPr>
          <w:p>
            <w:pPr>
              <w:pStyle w:val="33"/>
              <w:rPr>
                <w:rFonts w:hint="eastAsia" w:ascii="宋体" w:hAnsi="宋体" w:eastAsia="宋体" w:cs="宋体"/>
                <w:sz w:val="21"/>
                <w:szCs w:val="21"/>
              </w:rPr>
            </w:pPr>
            <w:r>
              <w:rPr>
                <w:rFonts w:hint="eastAsia" w:ascii="宋体" w:hAnsi="宋体" w:eastAsia="宋体" w:cs="宋体"/>
                <w:sz w:val="21"/>
                <w:szCs w:val="21"/>
              </w:rPr>
              <w:t>可选一种</w:t>
            </w:r>
          </w:p>
        </w:tc>
        <w:tc>
          <w:tcPr>
            <w:tcW w:w="519"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523" w:type="dxa"/>
            <w:vAlign w:val="center"/>
          </w:tcPr>
          <w:p>
            <w:pPr>
              <w:pStyle w:val="33"/>
              <w:rPr>
                <w:rFonts w:hint="eastAsia" w:ascii="宋体" w:hAnsi="宋体" w:eastAsia="宋体" w:cs="宋体"/>
                <w:sz w:val="21"/>
                <w:szCs w:val="21"/>
              </w:rPr>
            </w:pPr>
            <w:r>
              <w:rPr>
                <w:rFonts w:hint="eastAsia" w:ascii="宋体" w:hAnsi="宋体" w:eastAsia="宋体" w:cs="宋体"/>
                <w:sz w:val="21"/>
                <w:szCs w:val="21"/>
              </w:rPr>
              <w:t>-</w:t>
            </w:r>
          </w:p>
        </w:tc>
        <w:tc>
          <w:tcPr>
            <w:tcW w:w="3114" w:type="dxa"/>
            <w:gridSpan w:val="5"/>
            <w:vAlign w:val="center"/>
          </w:tcPr>
          <w:p>
            <w:pPr>
              <w:pStyle w:val="33"/>
              <w:rPr>
                <w:rFonts w:hint="eastAsia" w:ascii="宋体" w:hAnsi="宋体" w:eastAsia="宋体" w:cs="宋体"/>
                <w:sz w:val="21"/>
                <w:szCs w:val="21"/>
              </w:rPr>
            </w:pPr>
            <w:r>
              <w:rPr>
                <w:rFonts w:hint="eastAsia" w:ascii="宋体" w:hAnsi="宋体" w:eastAsia="宋体" w:cs="宋体"/>
                <w:sz w:val="21"/>
                <w:szCs w:val="21"/>
              </w:rPr>
              <w:t>可选一种</w:t>
            </w:r>
          </w:p>
        </w:tc>
        <w:tc>
          <w:tcPr>
            <w:tcW w:w="644" w:type="dxa"/>
            <w:vMerge w:val="continue"/>
          </w:tcPr>
          <w:p>
            <w:pPr>
              <w:pStyle w:val="33"/>
              <w:rPr>
                <w:rFonts w:hint="eastAsia" w:ascii="宋体" w:hAnsi="宋体" w:eastAsia="宋体" w:cs="宋体"/>
                <w:sz w:val="21"/>
                <w:szCs w:val="21"/>
              </w:rPr>
            </w:pPr>
          </w:p>
        </w:tc>
        <w:tc>
          <w:tcPr>
            <w:tcW w:w="2131" w:type="dxa"/>
            <w:gridSpan w:val="3"/>
            <w:vAlign w:val="center"/>
          </w:tcPr>
          <w:p>
            <w:pPr>
              <w:pStyle w:val="33"/>
              <w:rPr>
                <w:rFonts w:hint="eastAsia" w:ascii="宋体" w:hAnsi="宋体" w:eastAsia="宋体" w:cs="宋体"/>
                <w:sz w:val="21"/>
                <w:szCs w:val="21"/>
              </w:rPr>
            </w:pPr>
            <w:r>
              <w:rPr>
                <w:rFonts w:hint="eastAsia" w:ascii="宋体" w:hAnsi="宋体" w:eastAsia="宋体" w:cs="宋体"/>
                <w:sz w:val="21"/>
                <w:szCs w:val="21"/>
              </w:rPr>
              <w:t>可选一种</w:t>
            </w:r>
          </w:p>
        </w:tc>
      </w:tr>
    </w:tbl>
    <w:p>
      <w:pPr>
        <w:pStyle w:val="33"/>
        <w:jc w:val="left"/>
      </w:pPr>
      <w:r>
        <w:t>注</w:t>
      </w:r>
      <w:r>
        <w:rPr>
          <w:rFonts w:hint="eastAsia"/>
        </w:rPr>
        <w:t>：</w:t>
      </w:r>
      <w:r>
        <w:t>明挖隧道无外模板部分变形缝可不采用背贴式止水带</w:t>
      </w:r>
      <w:r>
        <w:rPr>
          <w:rFonts w:hint="eastAsia"/>
        </w:rPr>
        <w:t>。</w:t>
      </w:r>
    </w:p>
    <w:p>
      <w:pPr>
        <w:pStyle w:val="51"/>
      </w:pP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防水混凝土根据抗压、抗裂、密实和抗渗性能的需要，可掺入减水剂、防水剂及膨胀剂，掺入的外渗剂品种及掺量应经试验确定，其性能应符合国家现行有关标准的要求。</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防水混凝土的施工配合比应通过试验确定，试配混凝土的抗渗等级应比设计要求提高一级。</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防水混凝土的环境温度不得高于80°C；当结构处于侵蚀性地层中时，防水混凝土的氯离子扩散系数不宜大于4×10</w:t>
      </w:r>
      <w:r>
        <w:rPr>
          <w:rFonts w:hint="eastAsia" w:ascii="Times New Roman" w:hAnsi="Times New Roman" w:cs="Times New Roman" w:eastAsiaTheme="minorEastAsia"/>
          <w:bCs/>
          <w:color w:val="000000" w:themeColor="text1"/>
          <w:kern w:val="2"/>
          <w:sz w:val="28"/>
          <w:szCs w:val="28"/>
          <w:vertAlign w:val="superscript"/>
          <w:lang w:val="zh-CN" w:eastAsia="zh-CN" w:bidi="ar-SA"/>
          <w14:textFill>
            <w14:solidFill>
              <w14:schemeClr w14:val="tx1"/>
            </w14:solidFill>
          </w14:textFill>
        </w:rPr>
        <w:t>-12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m</w:t>
      </w:r>
      <w:r>
        <w:rPr>
          <w:rFonts w:hint="eastAsia" w:ascii="Times New Roman" w:hAnsi="Times New Roman" w:cs="Times New Roman" w:eastAsiaTheme="minorEastAsia"/>
          <w:bCs/>
          <w:color w:val="000000" w:themeColor="text1"/>
          <w:kern w:val="2"/>
          <w:sz w:val="28"/>
          <w:szCs w:val="28"/>
          <w:vertAlign w:val="superscript"/>
          <w:lang w:val="zh-CN" w:eastAsia="zh-CN" w:bidi="ar-SA"/>
          <w14:textFill>
            <w14:solidFill>
              <w14:schemeClr w14:val="tx1"/>
            </w14:solidFill>
          </w14:textFill>
        </w:rPr>
        <w:t>2</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/s。</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防水混凝土结构底板的混凝土垫层，强度等级不应小于C15，厚度不应小于100mm，在软弱土层中不应小于150mm。</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隧道结构的防水应根据施工环境条件、结构构造型式、防水等级要求，选用卷材防水层、涂料防水层、塑料防水板防水层、膨润土防水层等。防水层应设置在主体结构迎水面。</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防水板及卷材防水层的设置方式应符合下列要求：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塑料防水板的（均质片）厚度不宜小于1.0mm、整体厚度不宜小于1.2mm；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卷材防水层宜为1层或2层；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高聚物改性沥青防水卷材应采用双层做法，总厚度不宜小于7mm；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自粘聚合物改性沥青防水卷材宜采用双层做法，无胎基卷材的各层厚度不宜小于1.5mm，聚酯胎基卷材的各层厚度不宜小于3.0mm；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合成高分子防水卷材单层使用时，厚度不宜小于1.5mm；双层使用时，总厚度不宜小于2.4mm；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沥青基聚酯胎预铺防水卷材的厚度不宜小于4mm；合成高分子预铺防水卷材的厚度不宜小于1.5mm；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聚乙烯丙纶复合防水卷材应釆用双层做法，各层材料的芯材厚度不得小于0.5mm；</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卷材及其胶粘剂应具有良好的耐水性、耐久性、耐穿刺性、耐侵蚀性和耐菌性，其胶粘剂的粘结质量应符合现行国家标准《地下工程防水技术规范》GB50108的有关规定；</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涂料防水层应根据工程环境、气候条件、施工方法、结构构造型式、工程防水等级要求选择防水涂料品种，并应符合下列规定：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潮湿基层宜选用与潮湿基面粘结力大的有机防水涂料或水泥基渗透结晶型防水涂料、聚合物改性水泥基等无机防水涂料，或釆用先涂无机防水涂料而后涂有机防水涂料的复合涂层。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有腐蚀性的地下环境宜选用耐腐蚀性好的反应型涂料，涂料防水层的保护层应根据结构具体部位确定。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选用的涂料品种应具有良好的耐水性、耐久性、耐腐蚀性及耐菌性，且无毒或低毒、难燃、低污染；无机防水涂料应具有良好的湿干粘结性、耐磨性，有机防水涂料应具有较好的延伸性及适应基层变形的能力；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无机防水涂料厚度宜为2mm〜4mm，有机防水涂料厚度宜为1.2mm~2.5mm。</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新材料、新技术、新工艺，应经过试验、检测和鉴定，并应具有工程应用实际效果后再釆用，防水材料的厚度应根据其物理力学性能结合施工工艺等因素确定。</w:t>
      </w:r>
    </w:p>
    <w:p>
      <w:pPr>
        <w:pStyle w:val="51"/>
        <w:widowControl w:val="0"/>
        <w:numPr>
          <w:ilvl w:val="2"/>
          <w:numId w:val="1"/>
        </w:numPr>
        <w:spacing w:line="360" w:lineRule="auto"/>
        <w:ind w:left="0" w:firstLine="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防水混凝土结构厚度不宜小于300mm；防水混凝土结构最大裂缝宽度、钢筋保护层最小厚度应符合国家和行业标准相关规定。</w:t>
      </w:r>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隧道施工缝、变形缝等细部构造防水应满足以下规定：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隧道衬砌的纵向施工缝不应留在剪力和弯矩较大处，最下道纵向施工缝宜设在水沟盖板面以下、侧沟过水面以上，纵向施工缝设置高度应与基坑支护体系设计相匹配。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隧道环向施工缝设置间距应综合考虑衬砌的施工工艺、工效及质量控制等要求，明挖隧道宜采用跳仓浇筑。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隧道变形缝防水措施应满足密封防水、适应变形、施工方便、安全运营等要求，在满足主体结构正常使用功能前提下，宜少设变形缝。</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变形缝的宽度宜为20~30mm，变形缝防排水及密封件、填充物等设计使用年限与隧道主体结构一致，变形缝拱部范围构件应有可靠的防掉落措施。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后浇带宜用于不允许留设变形缝的工程部位。后浇带应在其两侧混凝土龄期达到42d后再施工，宽度宜为700~1000mm，并应采用补偿收缩混凝土浇筑，其抗渗和抗压强度等级不应低于两侧混凝土。</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后浇带采用掺膨胀剂的补偿收缩混凝土时，水中养护14d后的限值膨胀率不应小于0.015%，膨胀剂的掺量应根据不同部位的限制膨胀率设定值经试验确定。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隧道阴阳角处防水卷材或涂料基层应做倒角处理，半径不宜小于50mm，并应设置防水卷材或涂料加强层。</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桩头所用防水材料应具有良好的粘结性、湿固化性，桩头防水材料应于垫层防水层连为一体。</w:t>
      </w:r>
    </w:p>
    <w:p>
      <w:pPr>
        <w:pStyle w:val="51"/>
        <w:widowControl w:val="0"/>
        <w:numPr>
          <w:ilvl w:val="2"/>
          <w:numId w:val="1"/>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zh-CN" w:eastAsia="zh-CN" w:bidi="ar-SA"/>
          <w14:textFill>
            <w14:solidFill>
              <w14:schemeClr w14:val="tx1"/>
            </w14:solidFill>
          </w14:textFill>
        </w:rPr>
        <w:t>明挖隧道工程排水应形成汇集、径流和排出等完整的排水系统，排水系统设计应满足以下规定：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隧道的排水系统包括地表截排水沟，洞内侧沟及中心水沟，衬砌背后环向盲管（沟），纵向盲管（沟），横向排水管、泄水孔组成，必要时可设泄水洞或隧底设排水管（沟）。</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洞内纵向排水沟宜与线路坡度一致。在隧道内线路平坡段、车站隧道段，排水沟泄水底面排水坡不得小于1‰。道床积水应通过纵横向排水管引入排水沟；电缆槽应设置泄水孔接入侧沟。中心排水沟可采用盖板明沟或暗埋管沟。采用暗埋管沟时，应设置满足养护、维修需要的检查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隧道内宜采用自然排水，不能自然排水的隧道应采用机械排水，采用机械排水的隧道，地下水丰富地段宜采用全包不排水设计。</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采用机械排水的隧道应设集水池及机械排水设施，排水能力应满足设计排水量要求，并配备备用泵。排水设施应配有控制、监控系统。集水池宜与正洞隔离，机械排水系统应设检修通道，检修通道宜直通地面。</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机械排水隧道设计排水量应考虑隧道渗漏水和消防瞬时排水，并适当考虑冗余。</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隧道洞口应考虑截水和排水措施，明洞结构回填土表面均应铺设隔水层，隔水层应优先选用黏土层，洞口截水措施应考虑平原地区的内涝水位和邻近水域的洪水位高程。</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洞外汇水不应流入隧道。</w:t>
      </w:r>
    </w:p>
    <w:p>
      <w:pPr>
        <w:ind w:firstLine="480"/>
      </w:pPr>
    </w:p>
    <w:p>
      <w:pPr>
        <w:ind w:firstLine="480"/>
        <w:rPr>
          <w:rFonts w:eastAsia="黑体"/>
          <w:sz w:val="30"/>
        </w:rPr>
      </w:pPr>
      <w:r>
        <w:br w:type="page"/>
      </w:r>
    </w:p>
    <w:p>
      <w:pPr>
        <w:pStyle w:val="2"/>
      </w:pPr>
      <w:bookmarkStart w:id="107" w:name="_Toc7636"/>
      <w:bookmarkStart w:id="108" w:name="_Toc32767"/>
      <w:r>
        <w:rPr>
          <w:rFonts w:hint="eastAsia"/>
        </w:rPr>
        <w:t>环境</w:t>
      </w:r>
      <w:r>
        <w:t>保护</w:t>
      </w:r>
      <w:bookmarkEnd w:id="107"/>
      <w:bookmarkEnd w:id="108"/>
    </w:p>
    <w:p>
      <w:pPr>
        <w:pStyle w:val="3"/>
      </w:pPr>
      <w:bookmarkStart w:id="109" w:name="_Toc26123"/>
      <w:r>
        <w:rPr>
          <w:rFonts w:hint="eastAsia"/>
        </w:rPr>
        <w:t>一般规定</w:t>
      </w:r>
      <w:bookmarkEnd w:id="109"/>
    </w:p>
    <w:p>
      <w:pPr>
        <w:pStyle w:val="51"/>
      </w:pPr>
      <w:r>
        <w:rPr>
          <w:rFonts w:hint="eastAsia" w:cs="Times New Roman" w:eastAsiaTheme="minorEastAsia"/>
          <w:bCs/>
          <w:color w:val="000000" w:themeColor="text1"/>
          <w:kern w:val="2"/>
          <w:sz w:val="28"/>
          <w:szCs w:val="28"/>
          <w:lang w:val="en-US" w:eastAsia="zh-CN" w:bidi="ar-SA"/>
          <w14:textFill>
            <w14:solidFill>
              <w14:schemeClr w14:val="tx1"/>
            </w14:solidFill>
          </w14:textFill>
        </w:rPr>
        <w:t>环境保护工作的主要内容包括防治扬尘、噪声控制、水污染控制、光污染控制、土壤污染控制。</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工程施工组织设计方案中应有环境保护措施，并在施工作业中认真组织实施。</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施工现场管理应建立环境保护体系，并成立环境保护领导小组，责任到人，保证有效实施。</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施工现场环保基础设施应按当地要求建立健全，避免污染物体外泄出施工场地以外。</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施工现场应对噪音、扬尘、排放液体、排放气体等进行检测和监控。</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施工期间排放气体或液体、外弃材料等需达标后才能排放或外弃至当地环保部门指定位置。</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对施工现场的环保保护措施应定期进行检查，并形成整改措施。</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定期对施工管理人员进行环境保护相关要求及措施进行培训，提高环境保护意识。</w:t>
      </w:r>
    </w:p>
    <w:p>
      <w:pPr>
        <w:ind w:firstLine="480"/>
      </w:pPr>
    </w:p>
    <w:p>
      <w:pPr>
        <w:pStyle w:val="3"/>
      </w:pPr>
      <w:bookmarkStart w:id="110" w:name="_Toc21952"/>
      <w:r>
        <w:rPr>
          <w:rFonts w:hint="eastAsia"/>
        </w:rPr>
        <w:t>环境影响分析</w:t>
      </w:r>
      <w:bookmarkEnd w:id="110"/>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环境影响分析对象为建设项目环境影响分析，包括对大气环境影响分析、地表水环境影响分析、地下水环境影响分析、声环境影响分析、固体废物环境影响分析。按照时间顺序可分为环境质量现状评价、环境影响预测分析、环境影响后评价。通过环境影响分析，提出环境保护影响因素、影响程度，并提出对应预防措施，加强环境保护。</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环境影响分析应根据《中华人民共和国环境影响评价法》，由建设单位按照下列规定组织编制环境影响报告书、环境影响报告表或者填报环境影响登记表。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可能造成重大环境影响的，应当编制环境影响报告书，对产生的环境影响进行全面评价；</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可能造成轻度环境影响的，应当编制环境影响报告表，对产生的环境影响进行分析或者专项评价；</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对环境影响很小、不需要进行环境影响评价的，应当填报环境影响登记表。</w:t>
      </w:r>
    </w:p>
    <w:p>
      <w:pPr>
        <w:pStyle w:val="51"/>
        <w:widowControl w:val="0"/>
        <w:numPr>
          <w:ilvl w:val="2"/>
          <w:numId w:val="1"/>
        </w:numPr>
        <w:spacing w:line="360" w:lineRule="auto"/>
        <w:ind w:left="0" w:hanging="282" w:hangingChars="101"/>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大气环境质量功能区分为一类、二类、三类。分类标准参见《环境空气质量标准》。</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在各分区之间设置一定宽度的缓冲带，一类区与三类区之间的缓冲带宽度不小于500米，其他类别功能区之间的缓冲带宽度不小于300米。</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大气环境质量现状调查评估参见《环境空气质量标准》。</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水环境质量可划分为一、二、三级。明挖隧道工程涉及的地下水工作评价等级分为二级、三级。评价标准及要求参见《环境影响评价技术导则地下水环境》。</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声环境影响评价工作等级一般分为三级，功能区分类及评价等级参见《环境影响评价技术导则声环境》。</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声环境现状调查包括声波传播的环境要素，如风速、风向、气温、湿度等；以及声环境功能区划、敏感目标、现状声源等。调查可采用搜集资料、现场调查、现场测量等方法。</w:t>
      </w:r>
    </w:p>
    <w:p>
      <w:pPr>
        <w:pStyle w:val="51"/>
        <w:widowControl w:val="0"/>
        <w:numPr>
          <w:ilvl w:val="2"/>
          <w:numId w:val="1"/>
        </w:numPr>
        <w:spacing w:line="360" w:lineRule="auto"/>
        <w:ind w:left="0" w:firstLine="0" w:firstLineChars="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施工场地噪声预测依据施工场地、调车场、停车场等的范围；固定声源主要设备名称、型号、数量、声源源强、运行方式和运行时间；流动声源主要设备型号、数量、声源源强、运行方式、运行时间、移动范围和路径。</w:t>
      </w:r>
    </w:p>
    <w:p>
      <w:pPr>
        <w:ind w:firstLine="480"/>
      </w:pPr>
    </w:p>
    <w:p>
      <w:pPr>
        <w:pStyle w:val="3"/>
      </w:pPr>
      <w:bookmarkStart w:id="111" w:name="_Toc14854"/>
      <w:r>
        <w:rPr>
          <w:rFonts w:hint="eastAsia"/>
        </w:rPr>
        <w:t>环境保护措施</w:t>
      </w:r>
      <w:bookmarkEnd w:id="111"/>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防治大气污染措施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施工现场主要道路必须进行硬化处理。施工现场采取覆盖、固化、绿化、洒水等有效措施，做到不泥泞、不扬尘。施工现场的材料存放区、大模板存放区等场地必须平整夯实。</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遇有四级风以上天气不得进行土方回填、转运以及其他可能产生扬尘污染的施工。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施工现场有专人负责环保工作，配备相应的洒水设备，及时洒水，减少扬尘污染。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建（构）筑物内的施工垃圾清运必须采用封闭式容器吊运，严禁凌空抛撒。施工现场设密闭式垃圾站，施工垃圾、生活垃圾分类存放。施工垃圾清运时提前适量洒水，并按规定及时清运消纳。</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5  水泥和其它易飞扬的细颗粒建筑材料密闭存放，使用过程中采取有效措施防止扬尘。施工现场土方集中堆放，采取覆盖措施。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6  土方、渣土和施工垃圾的运输，必须使用密闭式运输车辆，并与持有消纳证的运输单位签定防遗撒、扬尘、乱倒协议书。施工现场出入口处设置冲洗车辆的设施，出场时必须将车辆清理干净．不得将泥沙带出现场。</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7  施工道路铣刨作业时，采用冲洗等措施，控制扬尘污染。灰土和无机料拌合，采用预拌进场，碾压过程中要洒水降尘。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8  施工现场混凝土浇注使用预拌混凝土，施工现场装修阶段设置搅拌机的机棚必须封闭，并配备有效的降尘防尘装置。</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9  施工现场使用的热水茶炉，炊事炉灶及冬施取暖等必须使用清洁燃料。施工机械、车辆尾气排放应符合环保要求。</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10  拆除旧有和大临建筑时，随时洒水，减少扬尘污染。渣土要在拆除施工完成之日起三日内清运完毕，并遵守拆除工程的有关规定。</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防治水污染措施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搅拌机前台、混凝土输送泵及运输车辆清洗处设置二级沉淀池，废水不得直接排入市政污水管网，经二次沉淀后用于洒水降尘。</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现场存放油料、油质脱模剂，必须对库房进行防渗漏处理，储存和使用采取防泄漏措施，防止油料泄漏，污染土壤水体。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施工现场设置的食堂，设置简易有效的隔油池，加强管理，专人负责定期掏油，防止污染。</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防治施工噪声污染措施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施工现场遵照《中华人民共和国建筑施工场界噪声限值》制定降噪措施。建筑施工过程中使用的设备，可能产生噪声污染的，按有关规定向工程所在地的环保部门申报。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施工现场的电锯、电刨、搅拌机、固定式混凝土输送泵、大型空气压缩机等强噪声设备搭设封闭式机棚，并尽可能设置在远离居民区的一侧，以减少噪声污染。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有夜间施工许可证进行夜间施工作业时，应采取措施，最大限度减少施工噪声，采用低噪声震捣棒等方法。</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对人为的施工噪声，建立教育管理制度和降噪措施，并进行严格控制。施工现场进行噪声值监测，监测方法执行《建筑施工场界噪声测量方法》，噪声值不超过国家或地方噪声排放标准。</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严格控制固体废弃物的产生和处理措施防止固体废弃物的产生对环境造成影响，单位根据施工特点，树立节能减废的思想，严格执行限额领料制度，减少材料浪费，控制无毒、无害不可利用固体废弃物的产生量。严格控制有毒、有害固体废弃物的排放量。提高各类无毒、无害可利用物资的使用量。建立建筑垃圾分拣站和封闭式固体废弃物回收站。对所有固体废弃物按规定消纳。防止污染环境。</w:t>
      </w:r>
    </w:p>
    <w:p>
      <w:pPr>
        <w:pStyle w:val="51"/>
        <w:widowControl w:val="0"/>
        <w:numPr>
          <w:ilvl w:val="2"/>
          <w:numId w:val="1"/>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防止泥浆、污水、废水外流或堵塞下水道措施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施工现场设冲洗车辆处，并设沉淀池，冲车轮、泵车、泵管废水沉淀后排入市政管网，沉淀池定期清掏。</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工地临时食堂下水道设隔油池，定期清掏污渣，经隔油沉淀后排至市政管网。</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  厕所设化粪池，经沉淀后排入部队内部的市政管网，化粪池定期清理。</w:t>
      </w:r>
    </w:p>
    <w:p>
      <w:pPr>
        <w:pStyle w:val="51"/>
        <w:widowControl w:val="0"/>
        <w:numPr>
          <w:ilvl w:val="255"/>
          <w:numId w:val="0"/>
        </w:numPr>
        <w:spacing w:line="360" w:lineRule="auto"/>
        <w:ind w:left="0" w:firstLine="406" w:firstLineChars="145"/>
      </w:pPr>
      <w:r>
        <w:rPr>
          <w:rFonts w:hint="eastAsia" w:cs="Times New Roman" w:eastAsiaTheme="minorEastAsia"/>
          <w:bCs/>
          <w:color w:val="000000" w:themeColor="text1"/>
          <w:kern w:val="2"/>
          <w:sz w:val="28"/>
          <w:szCs w:val="28"/>
          <w:lang w:val="zh-CN" w:eastAsia="zh-CN" w:bidi="ar-SA"/>
          <w14:textFill>
            <w14:solidFill>
              <w14:schemeClr w14:val="tx1"/>
            </w14:solidFill>
          </w14:textFill>
        </w:rPr>
        <w:t>4  下水管一律采用陶瓷对接，防渗水泥滴浆抹管，以防污水渗入地下，污染地下水。</w:t>
      </w:r>
    </w:p>
    <w:p>
      <w:pPr>
        <w:ind w:firstLine="480"/>
        <w:rPr>
          <w:rStyle w:val="37"/>
        </w:rPr>
      </w:pPr>
    </w:p>
    <w:p>
      <w:pPr>
        <w:ind w:firstLine="480"/>
        <w:rPr>
          <w:rFonts w:eastAsia="黑体"/>
          <w:sz w:val="30"/>
        </w:rPr>
      </w:pPr>
      <w:r>
        <w:br w:type="page"/>
      </w:r>
    </w:p>
    <w:p>
      <w:pPr>
        <w:pStyle w:val="2"/>
      </w:pPr>
      <w:bookmarkStart w:id="112" w:name="_Toc30702"/>
      <w:bookmarkStart w:id="113" w:name="_Toc3506"/>
      <w:r>
        <w:rPr>
          <w:rFonts w:hint="eastAsia"/>
        </w:rPr>
        <w:t>运营期隧道安全保护</w:t>
      </w:r>
      <w:bookmarkEnd w:id="112"/>
      <w:bookmarkEnd w:id="113"/>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在隧道周边进行外部作业时，应制定安全可靠的作业方案和保护措施，外部作业不得影响隧道结构的正常使用功能、承载能力、耐久性和其他特殊功能。</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隧道沿线应设置控制保护区，设置范围一般应符合下列规定：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  明挖暗埋段隧道结构外边线外侧50m内；</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  敞口段结构外边线外侧30m内。</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任何单位和个人不得在铁路隧道上方中心线两侧各200米范围内，建造、设立生产、加工、储存和销售易燃、易爆或者放射性物品等危险物品的场所、仓库，根据国家有关规定设立的为铁路运输工具补充燃料的设施及办理危险货物运输的除外，在铁路隧道上方中心线两侧各1000米范围内，禁止从事采矿、采石及爆破作业，当隧道控制保护区遇特殊的工程地质或特殊的外部作业时，应适当扩大控制保护区范围。</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在地铁运营安全保护区内进行下列作业的，除应急抢险外，作业单位应当委托专业机构对应急预案、勘察、设计、施工、监测方案进行地铁安全影响及防范措施可行性评估，根据评估意见进行修改并送我司审查同意后，方可报行政管理部门予以规划、施工许可。在已铺轨完毕的建设规划控制区进行下列作业的，也应按本条规定进行地铁安全影响及防范措施可行性评估。作业包括但不限于下列内容：</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zh-CN" w:eastAsia="zh-CN" w:bidi="ar-SA"/>
          <w14:textFill>
            <w14:solidFill>
              <w14:schemeClr w14:val="tx1"/>
            </w14:solidFill>
          </w14:textFill>
        </w:rPr>
        <w:t>）新建、扩建、改建或者拆除建（构）筑物、建（构）筑物；</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zh-CN" w:eastAsia="zh-CN" w:bidi="ar-SA"/>
          <w14:textFill>
            <w14:solidFill>
              <w14:schemeClr w14:val="tx1"/>
            </w14:solidFill>
          </w14:textFill>
        </w:rPr>
        <w:t>）爆破和机械振动、挖掘、地基加固、钻探、打桩、顶进、打井、抽水施工；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zh-CN" w:eastAsia="zh-CN" w:bidi="ar-SA"/>
          <w14:textFill>
            <w14:solidFill>
              <w14:schemeClr w14:val="tx1"/>
            </w14:solidFill>
          </w14:textFill>
        </w:rPr>
        <w:t>）大面积增加或减少载荷活动；</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4</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）在过江（河）隧道段挖沙、疏浚河道；</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5</w:t>
      </w:r>
      <w:r>
        <w:rPr>
          <w:rFonts w:hint="eastAsia" w:cs="Times New Roman" w:eastAsiaTheme="minorEastAsia"/>
          <w:bCs/>
          <w:color w:val="000000" w:themeColor="text1"/>
          <w:kern w:val="2"/>
          <w:sz w:val="28"/>
          <w:szCs w:val="28"/>
          <w:lang w:val="zh-CN" w:eastAsia="zh-CN" w:bidi="ar-SA"/>
          <w14:textFill>
            <w14:solidFill>
              <w14:schemeClr w14:val="tx1"/>
            </w14:solidFill>
          </w14:textFill>
        </w:rPr>
        <w:t>）架设、埋设管线，地下坑道穿越地铁设施；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6</w:t>
      </w:r>
      <w:r>
        <w:rPr>
          <w:rFonts w:hint="eastAsia" w:cs="Times New Roman" w:eastAsiaTheme="minorEastAsia"/>
          <w:bCs/>
          <w:color w:val="000000" w:themeColor="text1"/>
          <w:kern w:val="2"/>
          <w:sz w:val="28"/>
          <w:szCs w:val="28"/>
          <w:lang w:val="zh-CN" w:eastAsia="zh-CN" w:bidi="ar-SA"/>
          <w14:textFill>
            <w14:solidFill>
              <w14:schemeClr w14:val="tx1"/>
            </w14:solidFill>
          </w14:textFill>
        </w:rPr>
        <w:t>）移动、拆除和搬迁地铁设施；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7</w:t>
      </w:r>
      <w:r>
        <w:rPr>
          <w:rFonts w:hint="eastAsia" w:cs="Times New Roman" w:eastAsiaTheme="minorEastAsia"/>
          <w:bCs/>
          <w:color w:val="000000" w:themeColor="text1"/>
          <w:kern w:val="2"/>
          <w:sz w:val="28"/>
          <w:szCs w:val="28"/>
          <w:lang w:val="zh-CN" w:eastAsia="zh-CN" w:bidi="ar-SA"/>
          <w14:textFill>
            <w14:solidFill>
              <w14:schemeClr w14:val="tx1"/>
            </w14:solidFill>
          </w14:textFill>
        </w:rPr>
        <w:t>）对地铁出入口、风亭、冷却塔、变电站等设施设备进行围圈施工；</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8</w:t>
      </w:r>
      <w:r>
        <w:rPr>
          <w:rFonts w:hint="eastAsia" w:cs="Times New Roman" w:eastAsiaTheme="minorEastAsia"/>
          <w:bCs/>
          <w:color w:val="000000" w:themeColor="text1"/>
          <w:kern w:val="2"/>
          <w:sz w:val="28"/>
          <w:szCs w:val="28"/>
          <w:lang w:val="zh-CN" w:eastAsia="zh-CN" w:bidi="ar-SA"/>
          <w14:textFill>
            <w14:solidFill>
              <w14:schemeClr w14:val="tx1"/>
            </w14:solidFill>
          </w14:textFill>
        </w:rPr>
        <w:t>）其它可能危害地铁设施安全与运营安全的行为。</w:t>
      </w:r>
    </w:p>
    <w:p>
      <w:pPr>
        <w:pStyle w:val="51"/>
        <w:widowControl w:val="0"/>
        <w:numPr>
          <w:ilvl w:val="2"/>
          <w:numId w:val="1"/>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当铁路交通线网中相交、平行、邻近的铁路工程不同期建设时，先期建设工程应充分考虑后建工程的影响，后建工程对既有结构的安全保护应按本规范的相关规定执行。</w:t>
      </w:r>
    </w:p>
    <w:p>
      <w:pPr>
        <w:ind w:firstLine="480"/>
      </w:pPr>
    </w:p>
    <w:p>
      <w:pPr>
        <w:ind w:firstLine="480"/>
        <w:rPr>
          <w:rFonts w:eastAsia="黑体"/>
          <w:sz w:val="30"/>
        </w:rPr>
      </w:pPr>
      <w:r>
        <w:br w:type="page"/>
      </w:r>
    </w:p>
    <w:p>
      <w:pPr>
        <w:pStyle w:val="2"/>
        <w:numPr>
          <w:ilvl w:val="0"/>
          <w:numId w:val="0"/>
        </w:numPr>
      </w:pPr>
      <w:bookmarkStart w:id="114" w:name="_Toc26492"/>
      <w:bookmarkStart w:id="115" w:name="_Toc300"/>
      <w:r>
        <w:rPr>
          <w:rFonts w:hint="eastAsia"/>
        </w:rPr>
        <w:t>附录</w:t>
      </w:r>
      <w:bookmarkEnd w:id="114"/>
      <w:bookmarkEnd w:id="115"/>
    </w:p>
    <w:p>
      <w:pPr>
        <w:pStyle w:val="3"/>
        <w:numPr>
          <w:ilvl w:val="0"/>
          <w:numId w:val="0"/>
        </w:numPr>
      </w:pPr>
      <w:bookmarkStart w:id="116" w:name="_Toc19315"/>
      <w:r>
        <w:rPr>
          <w:rFonts w:hint="eastAsia"/>
        </w:rPr>
        <w:t>A土钉抗拔试验要点</w:t>
      </w:r>
      <w:bookmarkEnd w:id="116"/>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 xml:space="preserve">A.0.1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试验土钉的参数、材料及施工工艺应与工程土钉相同。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 xml:space="preserve">A.0.2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土钉抗拔试验应在注浆固结体强度达到10MPa或达到设计强度等级的70%后进行。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 xml:space="preserve">A.0.3 </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加载装置(千斤顶、油泵)的额定压力必须大于试验压力，且试验前应进行标定。</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加荷反力装置的承载力和刚度应满足最大试验荷载的要求，并应使千斤顶与土钉同轴。</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计量仪表(测力计、位移计、压力表)的精度应满足试验要求。</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在土钉墙面层上进行试验时，试验土钉应与喷射混凝土面层分离。</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A.0.7</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土钉试验时应分级加载。每级加载增量宜取最大试验荷载的1/8～1/12。</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A.0.8</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分级加荷前，土钉应预先施加初始荷载。初始荷载宜取最大试验荷载的10%。</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A.0.9</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确定土钉极限抗拔承载力的试验应以预估破坏荷载作为最大试验荷载。土钉抗拔承载力检验应以抗拔承载力检验值作为最大试验荷载。</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A.0.10</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最大试验荷载下的土钉杆体应力不应超过其屈服强度标准值。</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土钉抗拔承载力试验可采用逐级加载试验方法，加载等级和土钉位移测读间隔应按表A.0.11确定。</w:t>
      </w:r>
    </w:p>
    <w:p>
      <w:pPr>
        <w:pStyle w:val="38"/>
      </w:pPr>
      <w:r>
        <w:rPr>
          <w:rFonts w:hint="eastAsia"/>
        </w:rPr>
        <w:t>表</w:t>
      </w:r>
      <w:r>
        <w:rPr>
          <w:rFonts w:cs="Times New Roman"/>
          <w:bCs/>
        </w:rPr>
        <w:t>A.0.11</w:t>
      </w:r>
      <w:r>
        <w:rPr>
          <w:rFonts w:hint="eastAsia"/>
        </w:rPr>
        <w:t>逐级加载试验加载等级与土钉头位移测读间隔</w:t>
      </w:r>
    </w:p>
    <w:tbl>
      <w:tblPr>
        <w:tblStyle w:val="22"/>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
      <w:tblGrid>
        <w:gridCol w:w="1420"/>
        <w:gridCol w:w="1087"/>
        <w:gridCol w:w="970"/>
        <w:gridCol w:w="1027"/>
        <w:gridCol w:w="1027"/>
        <w:gridCol w:w="1027"/>
        <w:gridCol w:w="1027"/>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218" w:hRule="atLeast"/>
          <w:jc w:val="center"/>
        </w:trPr>
        <w:tc>
          <w:tcPr>
            <w:tcW w:w="2507" w:type="dxa"/>
            <w:gridSpan w:val="2"/>
            <w:shd w:val="clear" w:color="auto" w:fill="auto"/>
            <w:noWrap/>
            <w:vAlign w:val="center"/>
          </w:tcPr>
          <w:p>
            <w:pPr>
              <w:pStyle w:val="33"/>
            </w:pPr>
            <w:r>
              <w:rPr>
                <w:rFonts w:hint="eastAsia"/>
              </w:rPr>
              <w:t>测读间隔(min)</w:t>
            </w:r>
          </w:p>
        </w:tc>
        <w:tc>
          <w:tcPr>
            <w:tcW w:w="970" w:type="dxa"/>
            <w:shd w:val="clear" w:color="auto" w:fill="auto"/>
            <w:noWrap/>
            <w:vAlign w:val="center"/>
          </w:tcPr>
          <w:p>
            <w:pPr>
              <w:pStyle w:val="33"/>
            </w:pPr>
            <w:r>
              <w:rPr>
                <w:rFonts w:hint="eastAsia"/>
              </w:rPr>
              <w:t>5</w:t>
            </w:r>
          </w:p>
        </w:tc>
        <w:tc>
          <w:tcPr>
            <w:tcW w:w="1027" w:type="dxa"/>
            <w:shd w:val="clear" w:color="auto" w:fill="auto"/>
            <w:noWrap/>
            <w:vAlign w:val="center"/>
          </w:tcPr>
          <w:p>
            <w:pPr>
              <w:pStyle w:val="33"/>
            </w:pPr>
            <w:r>
              <w:rPr>
                <w:rFonts w:hint="eastAsia"/>
              </w:rPr>
              <w:t>5</w:t>
            </w:r>
          </w:p>
        </w:tc>
        <w:tc>
          <w:tcPr>
            <w:tcW w:w="1027" w:type="dxa"/>
            <w:shd w:val="clear" w:color="auto" w:fill="auto"/>
            <w:noWrap/>
            <w:vAlign w:val="center"/>
          </w:tcPr>
          <w:p>
            <w:pPr>
              <w:pStyle w:val="33"/>
            </w:pPr>
            <w:r>
              <w:rPr>
                <w:rFonts w:hint="eastAsia"/>
              </w:rPr>
              <w:t>5</w:t>
            </w:r>
          </w:p>
        </w:tc>
        <w:tc>
          <w:tcPr>
            <w:tcW w:w="1027" w:type="dxa"/>
            <w:shd w:val="clear" w:color="auto" w:fill="auto"/>
            <w:noWrap/>
            <w:vAlign w:val="center"/>
          </w:tcPr>
          <w:p>
            <w:pPr>
              <w:pStyle w:val="33"/>
            </w:pPr>
            <w:r>
              <w:rPr>
                <w:rFonts w:hint="eastAsia"/>
              </w:rPr>
              <w:t>5</w:t>
            </w:r>
          </w:p>
        </w:tc>
        <w:tc>
          <w:tcPr>
            <w:tcW w:w="1027" w:type="dxa"/>
            <w:shd w:val="clear" w:color="auto" w:fill="auto"/>
            <w:noWrap/>
            <w:vAlign w:val="center"/>
          </w:tcPr>
          <w:p>
            <w:pPr>
              <w:pStyle w:val="33"/>
            </w:pPr>
            <w:r>
              <w:rPr>
                <w:rFonts w:hint="eastAsia"/>
              </w:rPr>
              <w:t>5</w:t>
            </w:r>
          </w:p>
        </w:tc>
        <w:tc>
          <w:tcPr>
            <w:tcW w:w="1027" w:type="dxa"/>
            <w:shd w:val="clear" w:color="auto" w:fill="auto"/>
            <w:noWrap/>
            <w:vAlign w:val="center"/>
          </w:tcPr>
          <w:p>
            <w:pPr>
              <w:pStyle w:val="33"/>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restart"/>
            <w:shd w:val="clear" w:color="auto" w:fill="auto"/>
            <w:vAlign w:val="center"/>
          </w:tcPr>
          <w:p>
            <w:pPr>
              <w:pStyle w:val="33"/>
            </w:pPr>
            <w:r>
              <w:rPr>
                <w:rFonts w:hint="eastAsia"/>
              </w:rPr>
              <w:t>加载量与最大试验荷载的百分比(％)</w:t>
            </w:r>
          </w:p>
        </w:tc>
        <w:tc>
          <w:tcPr>
            <w:tcW w:w="1087" w:type="dxa"/>
            <w:vMerge w:val="restart"/>
            <w:shd w:val="clear" w:color="auto" w:fill="auto"/>
            <w:noWrap/>
            <w:vAlign w:val="center"/>
          </w:tcPr>
          <w:p>
            <w:pPr>
              <w:pStyle w:val="33"/>
            </w:pPr>
            <w:r>
              <w:rPr>
                <w:rFonts w:hint="eastAsia"/>
              </w:rPr>
              <w:t>初始荷载</w:t>
            </w:r>
          </w:p>
        </w:tc>
        <w:tc>
          <w:tcPr>
            <w:tcW w:w="970" w:type="dxa"/>
            <w:vMerge w:val="restart"/>
            <w:shd w:val="clear" w:color="auto" w:fill="auto"/>
            <w:noWrap/>
            <w:vAlign w:val="center"/>
          </w:tcPr>
          <w:p>
            <w:pPr>
              <w:pStyle w:val="33"/>
            </w:pPr>
            <w:r>
              <w:rPr>
                <w:rFonts w:hint="eastAsia"/>
              </w:rPr>
              <w:t>一</w:t>
            </w:r>
          </w:p>
        </w:tc>
        <w:tc>
          <w:tcPr>
            <w:tcW w:w="1027" w:type="dxa"/>
            <w:vMerge w:val="restart"/>
            <w:shd w:val="clear" w:color="auto" w:fill="auto"/>
            <w:noWrap/>
            <w:vAlign w:val="center"/>
          </w:tcPr>
          <w:p>
            <w:pPr>
              <w:pStyle w:val="33"/>
            </w:pPr>
            <w:r>
              <w:rPr>
                <w:rFonts w:hint="eastAsia"/>
              </w:rPr>
              <w:t>一</w:t>
            </w:r>
          </w:p>
        </w:tc>
        <w:tc>
          <w:tcPr>
            <w:tcW w:w="1027" w:type="dxa"/>
            <w:vMerge w:val="restart"/>
            <w:shd w:val="clear" w:color="auto" w:fill="auto"/>
            <w:noWrap/>
            <w:vAlign w:val="center"/>
          </w:tcPr>
          <w:p>
            <w:pPr>
              <w:pStyle w:val="33"/>
            </w:pPr>
            <w:r>
              <w:rPr>
                <w:rFonts w:hint="eastAsia"/>
              </w:rPr>
              <w:t>一</w:t>
            </w:r>
          </w:p>
        </w:tc>
        <w:tc>
          <w:tcPr>
            <w:tcW w:w="1027" w:type="dxa"/>
            <w:vMerge w:val="restart"/>
            <w:shd w:val="clear" w:color="auto" w:fill="auto"/>
            <w:noWrap/>
            <w:vAlign w:val="center"/>
          </w:tcPr>
          <w:p>
            <w:pPr>
              <w:pStyle w:val="33"/>
            </w:pPr>
            <w:r>
              <w:rPr>
                <w:rFonts w:hint="eastAsia"/>
              </w:rPr>
              <w:t>一</w:t>
            </w:r>
          </w:p>
        </w:tc>
        <w:tc>
          <w:tcPr>
            <w:tcW w:w="1027" w:type="dxa"/>
            <w:vMerge w:val="restart"/>
            <w:shd w:val="clear" w:color="auto" w:fill="auto"/>
            <w:noWrap/>
            <w:vAlign w:val="center"/>
          </w:tcPr>
          <w:p>
            <w:pPr>
              <w:pStyle w:val="33"/>
            </w:pPr>
            <w:r>
              <w:rPr>
                <w:rFonts w:hint="eastAsia"/>
              </w:rPr>
              <w:t>一</w:t>
            </w:r>
          </w:p>
        </w:tc>
        <w:tc>
          <w:tcPr>
            <w:tcW w:w="1027" w:type="dxa"/>
            <w:vMerge w:val="restart"/>
            <w:shd w:val="clear" w:color="auto" w:fill="auto"/>
            <w:noWrap/>
            <w:vAlign w:val="center"/>
          </w:tcPr>
          <w:p>
            <w:pPr>
              <w:pStyle w:val="33"/>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continue"/>
            <w:vAlign w:val="center"/>
          </w:tcPr>
          <w:p>
            <w:pPr>
              <w:pStyle w:val="33"/>
            </w:pPr>
          </w:p>
        </w:tc>
        <w:tc>
          <w:tcPr>
            <w:tcW w:w="1087" w:type="dxa"/>
            <w:vMerge w:val="continue"/>
            <w:vAlign w:val="center"/>
          </w:tcPr>
          <w:p>
            <w:pPr>
              <w:pStyle w:val="33"/>
            </w:pPr>
          </w:p>
        </w:tc>
        <w:tc>
          <w:tcPr>
            <w:tcW w:w="970"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continue"/>
            <w:vAlign w:val="center"/>
          </w:tcPr>
          <w:p>
            <w:pPr>
              <w:pStyle w:val="33"/>
            </w:pPr>
          </w:p>
        </w:tc>
        <w:tc>
          <w:tcPr>
            <w:tcW w:w="1087" w:type="dxa"/>
            <w:vMerge w:val="restart"/>
            <w:shd w:val="clear" w:color="auto" w:fill="auto"/>
            <w:noWrap/>
            <w:vAlign w:val="center"/>
          </w:tcPr>
          <w:p>
            <w:pPr>
              <w:pStyle w:val="33"/>
            </w:pPr>
            <w:r>
              <w:rPr>
                <w:rFonts w:hint="eastAsia"/>
              </w:rPr>
              <w:t>加载</w:t>
            </w:r>
          </w:p>
        </w:tc>
        <w:tc>
          <w:tcPr>
            <w:tcW w:w="970" w:type="dxa"/>
            <w:vMerge w:val="restart"/>
            <w:shd w:val="clear" w:color="auto" w:fill="auto"/>
            <w:noWrap/>
            <w:vAlign w:val="center"/>
          </w:tcPr>
          <w:p>
            <w:pPr>
              <w:pStyle w:val="33"/>
            </w:pPr>
            <w:r>
              <w:rPr>
                <w:rFonts w:hint="eastAsia"/>
              </w:rPr>
              <w:t>10</w:t>
            </w:r>
          </w:p>
        </w:tc>
        <w:tc>
          <w:tcPr>
            <w:tcW w:w="1027" w:type="dxa"/>
            <w:vMerge w:val="restart"/>
            <w:shd w:val="clear" w:color="auto" w:fill="auto"/>
            <w:noWrap/>
            <w:vAlign w:val="center"/>
          </w:tcPr>
          <w:p>
            <w:pPr>
              <w:pStyle w:val="33"/>
            </w:pPr>
            <w:r>
              <w:rPr>
                <w:rFonts w:hint="eastAsia"/>
              </w:rPr>
              <w:t>50</w:t>
            </w:r>
          </w:p>
        </w:tc>
        <w:tc>
          <w:tcPr>
            <w:tcW w:w="1027" w:type="dxa"/>
            <w:vMerge w:val="restart"/>
            <w:shd w:val="clear" w:color="auto" w:fill="auto"/>
            <w:noWrap/>
            <w:vAlign w:val="center"/>
          </w:tcPr>
          <w:p>
            <w:pPr>
              <w:pStyle w:val="33"/>
            </w:pPr>
            <w:r>
              <w:rPr>
                <w:rFonts w:hint="eastAsia"/>
              </w:rPr>
              <w:t>70</w:t>
            </w:r>
          </w:p>
        </w:tc>
        <w:tc>
          <w:tcPr>
            <w:tcW w:w="1027" w:type="dxa"/>
            <w:vMerge w:val="restart"/>
            <w:shd w:val="clear" w:color="auto" w:fill="auto"/>
            <w:noWrap/>
            <w:vAlign w:val="center"/>
          </w:tcPr>
          <w:p>
            <w:pPr>
              <w:pStyle w:val="33"/>
            </w:pPr>
            <w:r>
              <w:rPr>
                <w:rFonts w:hint="eastAsia"/>
              </w:rPr>
              <w:t>80</w:t>
            </w:r>
          </w:p>
        </w:tc>
        <w:tc>
          <w:tcPr>
            <w:tcW w:w="1027" w:type="dxa"/>
            <w:vMerge w:val="restart"/>
            <w:shd w:val="clear" w:color="auto" w:fill="auto"/>
            <w:noWrap/>
            <w:vAlign w:val="center"/>
          </w:tcPr>
          <w:p>
            <w:pPr>
              <w:pStyle w:val="33"/>
            </w:pPr>
            <w:r>
              <w:rPr>
                <w:rFonts w:hint="eastAsia"/>
              </w:rPr>
              <w:t>90</w:t>
            </w:r>
          </w:p>
        </w:tc>
        <w:tc>
          <w:tcPr>
            <w:tcW w:w="1027" w:type="dxa"/>
            <w:vMerge w:val="restart"/>
            <w:shd w:val="clear" w:color="auto" w:fill="auto"/>
            <w:noWrap/>
            <w:vAlign w:val="center"/>
          </w:tcPr>
          <w:p>
            <w:pPr>
              <w:pStyle w:val="3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continue"/>
            <w:vAlign w:val="center"/>
          </w:tcPr>
          <w:p>
            <w:pPr>
              <w:pStyle w:val="33"/>
            </w:pPr>
          </w:p>
        </w:tc>
        <w:tc>
          <w:tcPr>
            <w:tcW w:w="1087" w:type="dxa"/>
            <w:vMerge w:val="continue"/>
            <w:vAlign w:val="center"/>
          </w:tcPr>
          <w:p>
            <w:pPr>
              <w:pStyle w:val="33"/>
            </w:pPr>
          </w:p>
        </w:tc>
        <w:tc>
          <w:tcPr>
            <w:tcW w:w="970"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continue"/>
            <w:vAlign w:val="center"/>
          </w:tcPr>
          <w:p>
            <w:pPr>
              <w:pStyle w:val="33"/>
            </w:pPr>
          </w:p>
        </w:tc>
        <w:tc>
          <w:tcPr>
            <w:tcW w:w="1087" w:type="dxa"/>
            <w:vMerge w:val="restart"/>
            <w:shd w:val="clear" w:color="auto" w:fill="auto"/>
            <w:noWrap/>
            <w:vAlign w:val="center"/>
          </w:tcPr>
          <w:p>
            <w:pPr>
              <w:pStyle w:val="33"/>
            </w:pPr>
            <w:r>
              <w:rPr>
                <w:rFonts w:hint="eastAsia"/>
              </w:rPr>
              <w:t>卸载</w:t>
            </w:r>
          </w:p>
        </w:tc>
        <w:tc>
          <w:tcPr>
            <w:tcW w:w="970" w:type="dxa"/>
            <w:vMerge w:val="restart"/>
            <w:shd w:val="clear" w:color="auto" w:fill="auto"/>
            <w:noWrap/>
            <w:vAlign w:val="center"/>
          </w:tcPr>
          <w:p>
            <w:pPr>
              <w:pStyle w:val="33"/>
            </w:pPr>
            <w:r>
              <w:rPr>
                <w:rFonts w:hint="eastAsia"/>
              </w:rPr>
              <w:t>10</w:t>
            </w:r>
          </w:p>
        </w:tc>
        <w:tc>
          <w:tcPr>
            <w:tcW w:w="1027" w:type="dxa"/>
            <w:vMerge w:val="restart"/>
            <w:shd w:val="clear" w:color="auto" w:fill="auto"/>
            <w:noWrap/>
            <w:vAlign w:val="center"/>
          </w:tcPr>
          <w:p>
            <w:pPr>
              <w:pStyle w:val="33"/>
            </w:pPr>
            <w:r>
              <w:rPr>
                <w:rFonts w:hint="eastAsia"/>
              </w:rPr>
              <w:t>20</w:t>
            </w:r>
          </w:p>
        </w:tc>
        <w:tc>
          <w:tcPr>
            <w:tcW w:w="1027" w:type="dxa"/>
            <w:vMerge w:val="restart"/>
            <w:shd w:val="clear" w:color="auto" w:fill="auto"/>
            <w:noWrap/>
            <w:vAlign w:val="center"/>
          </w:tcPr>
          <w:p>
            <w:pPr>
              <w:pStyle w:val="33"/>
            </w:pPr>
            <w:r>
              <w:rPr>
                <w:rFonts w:hint="eastAsia"/>
              </w:rPr>
              <w:t>50</w:t>
            </w:r>
          </w:p>
        </w:tc>
        <w:tc>
          <w:tcPr>
            <w:tcW w:w="1027" w:type="dxa"/>
            <w:vMerge w:val="restart"/>
            <w:shd w:val="clear" w:color="auto" w:fill="auto"/>
            <w:noWrap/>
            <w:vAlign w:val="center"/>
          </w:tcPr>
          <w:p>
            <w:pPr>
              <w:pStyle w:val="33"/>
            </w:pPr>
            <w:r>
              <w:rPr>
                <w:rFonts w:hint="eastAsia"/>
              </w:rPr>
              <w:t>80</w:t>
            </w:r>
          </w:p>
        </w:tc>
        <w:tc>
          <w:tcPr>
            <w:tcW w:w="1027" w:type="dxa"/>
            <w:vMerge w:val="restart"/>
            <w:shd w:val="clear" w:color="auto" w:fill="auto"/>
            <w:noWrap/>
            <w:vAlign w:val="center"/>
          </w:tcPr>
          <w:p>
            <w:pPr>
              <w:pStyle w:val="33"/>
            </w:pPr>
            <w:r>
              <w:rPr>
                <w:rFonts w:hint="eastAsia"/>
              </w:rPr>
              <w:t>90</w:t>
            </w:r>
          </w:p>
        </w:tc>
        <w:tc>
          <w:tcPr>
            <w:tcW w:w="1027" w:type="dxa"/>
            <w:vMerge w:val="restart"/>
            <w:shd w:val="clear" w:color="auto" w:fill="auto"/>
            <w:noWrap/>
            <w:vAlign w:val="center"/>
          </w:tcPr>
          <w:p>
            <w:pPr>
              <w:pStyle w:val="33"/>
            </w:pPr>
            <w:r>
              <w:rPr>
                <w:rFonts w:hint="eastAsia"/>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08" w:type="dxa"/>
            <w:bottom w:w="0" w:type="dxa"/>
            <w:right w:w="108" w:type="dxa"/>
          </w:tblCellMar>
        </w:tblPrEx>
        <w:trPr>
          <w:trHeight w:val="326" w:hRule="atLeast"/>
          <w:jc w:val="center"/>
        </w:trPr>
        <w:tc>
          <w:tcPr>
            <w:tcW w:w="1420" w:type="dxa"/>
            <w:vMerge w:val="continue"/>
            <w:vAlign w:val="center"/>
          </w:tcPr>
          <w:p>
            <w:pPr>
              <w:pStyle w:val="33"/>
            </w:pPr>
          </w:p>
        </w:tc>
        <w:tc>
          <w:tcPr>
            <w:tcW w:w="1087" w:type="dxa"/>
            <w:vMerge w:val="continue"/>
            <w:vAlign w:val="center"/>
          </w:tcPr>
          <w:p>
            <w:pPr>
              <w:pStyle w:val="33"/>
            </w:pPr>
          </w:p>
        </w:tc>
        <w:tc>
          <w:tcPr>
            <w:tcW w:w="970"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c>
          <w:tcPr>
            <w:tcW w:w="1027" w:type="dxa"/>
            <w:vMerge w:val="continue"/>
            <w:vAlign w:val="center"/>
          </w:tcPr>
          <w:p>
            <w:pPr>
              <w:pStyle w:val="33"/>
            </w:pPr>
          </w:p>
        </w:tc>
      </w:tr>
    </w:tbl>
    <w:p>
      <w:pPr>
        <w:pStyle w:val="40"/>
        <w:jc w:val="left"/>
      </w:pPr>
    </w:p>
    <w:p>
      <w:pPr>
        <w:pStyle w:val="38"/>
        <w:jc w:val="left"/>
      </w:pPr>
      <w:r>
        <w:rPr>
          <w:rFonts w:hint="eastAsia"/>
        </w:rPr>
        <w:t>注：逐级加载试验用于土钉质量检测时，加至最大试验荷载后，可一次卸载至最大试验荷载的</w:t>
      </w:r>
      <w:r>
        <w:rPr>
          <w:rFonts w:cs="Times New Roman"/>
        </w:rPr>
        <w:t>10%</w:t>
      </w:r>
      <w:r>
        <w:rPr>
          <w:rFonts w:hint="eastAsia"/>
        </w:rPr>
        <w:t>。</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A.0.12  在每级加、卸载观测时间内，测读土钉位移不应少于3次；在每级加、卸载观测时间内，当土钉位移增量不大于1.0mm时，可视为位移稳定，方可施加下一级荷载。当土钉位移增量大于1.0mm时，应延长观测时间，并应每隔30min测读3次。当连续两次在每30min内位移增量小于1.0mm时，可视为位移稳定，方可再施加下一级荷载。</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A.0.13  土钉试验时，遇下列情况之一时，应终止继续加载：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从第二循环开始，后一级荷载产生的土钉位移增量达到或超过前一级荷载产生位移增量的2倍；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土钉位移不稳定；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土钉杆体破坏。</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试验时应绘制土钉的荷载～位移(Q～s)曲线。土钉的位移不应包括试验反力装置的变形。</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A.0.15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土钉试验用于确定极限抗拔承载力时，应符合下列规定：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土钉极限抗拔承载力，在最大试验荷载下出现本规程A.0.13规定的终止继续加载情况时，应取最大试验荷载的前一级荷载；未出现时，应取最大试验荷载。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参加统计的试验土钉，当满足其级差不超过平均值的30%时，土钉极限抗拔承载力可取其平均值；当级差超过平均值的30%时，宜增加试验土钉数量，并应根据级差过大的原因，按实际情况重新进行统计后确定土钉极限抗拔承载力。</w:t>
      </w:r>
    </w:p>
    <w:p>
      <w:pPr>
        <w:ind w:firstLine="480"/>
      </w:pPr>
    </w:p>
    <w:p>
      <w:pPr>
        <w:ind w:firstLine="480"/>
      </w:pPr>
    </w:p>
    <w:p>
      <w:pPr>
        <w:pStyle w:val="3"/>
        <w:numPr>
          <w:ilvl w:val="0"/>
          <w:numId w:val="0"/>
        </w:numPr>
      </w:pPr>
      <w:bookmarkStart w:id="117" w:name="_Toc28143"/>
      <w:r>
        <w:rPr>
          <w:rFonts w:hint="eastAsia"/>
        </w:rPr>
        <w:t>B锚杆抗拔试验要点</w:t>
      </w:r>
      <w:bookmarkEnd w:id="117"/>
    </w:p>
    <w:p>
      <w:pPr>
        <w:ind w:firstLine="480"/>
        <w:jc w:val="center"/>
        <w:rPr>
          <w:rStyle w:val="37"/>
        </w:rPr>
      </w:pPr>
      <w:r>
        <w:rPr>
          <w:rStyle w:val="37"/>
          <w:rFonts w:hint="eastAsia"/>
        </w:rPr>
        <w:t>B.1一般规定</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试验锚杆的参数、材料、施工工艺及其所处的地质条件应与工程锚杆相同。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锚杆抗拔试验应在锚固段注浆固结体强度达到15MPa或达到设计强度的75%后进行。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加载装置(千斤顶、油泵)的额定压力必须大于最大试验压力，且试验前应进行标定。</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加载反力装置的承载力和刚度应满足最大试验荷载的要求，加载时千斤顶应与锚杆同轴。</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计量仪表(测力计、位移计、压力表)的精度应满足试验要求。</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试验锚杆宜在自由段与锚固段之间设置消除自由段摩阻力的装置。</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B.1.7</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最大试验荷载下的锚杆杆体应力，对预应力钢筋，不应超过其抗拉强度标准值的0.9倍；对普通钢筋，不应超过其屈服强度标准值。</w:t>
      </w:r>
    </w:p>
    <w:p>
      <w:pPr>
        <w:ind w:firstLine="480"/>
        <w:jc w:val="center"/>
        <w:rPr>
          <w:rStyle w:val="37"/>
        </w:rPr>
      </w:pPr>
      <w:r>
        <w:rPr>
          <w:rStyle w:val="37"/>
          <w:rFonts w:hint="eastAsia"/>
        </w:rPr>
        <w:t>B.2基本试验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同一条件下的极限抗拔承载力试验的锚杆数量不应少于3根。</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确定锚杆极限抗拔承载力的试验，最大试验荷载应大于预估破坏荷载，且试验锚杆杆体截面面积应符合本规程第B.1.7条的规定；不符合时，应按本规程第B.1.7条对钢筋强度的要求确定最大试验荷载。必要时，可增加试验锚杆的杆体截面面积。</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锚杆极限抗拔承载力试验宜采用循环加载法，其加载分级和锚头位移观测时间应按表B.2.3确定。</w:t>
      </w:r>
    </w:p>
    <w:p>
      <w:pPr>
        <w:pStyle w:val="20"/>
      </w:pPr>
    </w:p>
    <w:p>
      <w:pPr>
        <w:pStyle w:val="38"/>
      </w:pPr>
      <w:r>
        <w:rPr>
          <w:rFonts w:hint="eastAsia"/>
        </w:rPr>
        <w:t>表B.2.3循环加载试验的加载分级与锚头位移观测时间</w:t>
      </w:r>
    </w:p>
    <w:tbl>
      <w:tblPr>
        <w:tblStyle w:val="22"/>
        <w:tblW w:w="8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2474"/>
        <w:gridCol w:w="711"/>
        <w:gridCol w:w="711"/>
        <w:gridCol w:w="1029"/>
        <w:gridCol w:w="711"/>
        <w:gridCol w:w="711"/>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vMerge w:val="restart"/>
            <w:shd w:val="clear" w:color="auto" w:fill="auto"/>
            <w:noWrap/>
            <w:vAlign w:val="center"/>
          </w:tcPr>
          <w:p>
            <w:pPr>
              <w:pStyle w:val="33"/>
              <w:rPr>
                <w:rFonts w:hint="eastAsia" w:ascii="宋体" w:hAnsi="宋体" w:eastAsia="宋体" w:cs="宋体"/>
              </w:rPr>
            </w:pPr>
            <w:r>
              <w:rPr>
                <w:rFonts w:hint="eastAsia" w:ascii="宋体" w:hAnsi="宋体" w:eastAsia="宋体" w:cs="宋体"/>
              </w:rPr>
              <w:t>循环次数</w:t>
            </w:r>
          </w:p>
        </w:tc>
        <w:tc>
          <w:tcPr>
            <w:tcW w:w="7063" w:type="dxa"/>
            <w:gridSpan w:val="7"/>
            <w:shd w:val="clear" w:color="auto" w:fill="auto"/>
            <w:noWrap/>
            <w:vAlign w:val="center"/>
          </w:tcPr>
          <w:p>
            <w:pPr>
              <w:pStyle w:val="33"/>
              <w:rPr>
                <w:rFonts w:hint="eastAsia" w:ascii="宋体" w:hAnsi="宋体" w:eastAsia="宋体" w:cs="宋体"/>
              </w:rPr>
            </w:pPr>
            <w:r>
              <w:rPr>
                <w:rFonts w:hint="eastAsia" w:ascii="宋体" w:hAnsi="宋体" w:eastAsia="宋体" w:cs="宋体"/>
              </w:rPr>
              <w:t>分级荷载与最大试验荷载的百分比(％)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vMerge w:val="continue"/>
            <w:vAlign w:val="center"/>
          </w:tcPr>
          <w:p>
            <w:pPr>
              <w:pStyle w:val="33"/>
              <w:rPr>
                <w:rFonts w:hint="eastAsia" w:ascii="宋体" w:hAnsi="宋体" w:eastAsia="宋体" w:cs="宋体"/>
              </w:rPr>
            </w:pP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初始荷载</w:t>
            </w:r>
          </w:p>
        </w:tc>
        <w:tc>
          <w:tcPr>
            <w:tcW w:w="2451" w:type="dxa"/>
            <w:gridSpan w:val="3"/>
            <w:shd w:val="clear" w:color="auto" w:fill="auto"/>
            <w:noWrap/>
            <w:vAlign w:val="center"/>
          </w:tcPr>
          <w:p>
            <w:pPr>
              <w:pStyle w:val="33"/>
              <w:rPr>
                <w:rFonts w:hint="eastAsia" w:ascii="宋体" w:hAnsi="宋体" w:eastAsia="宋体" w:cs="宋体"/>
              </w:rPr>
            </w:pPr>
            <w:r>
              <w:rPr>
                <w:rFonts w:hint="eastAsia" w:ascii="宋体" w:hAnsi="宋体" w:eastAsia="宋体" w:cs="宋体"/>
              </w:rPr>
              <w:t>加载过程</w:t>
            </w:r>
          </w:p>
        </w:tc>
        <w:tc>
          <w:tcPr>
            <w:tcW w:w="2137" w:type="dxa"/>
            <w:gridSpan w:val="3"/>
            <w:shd w:val="clear" w:color="auto" w:fill="auto"/>
            <w:noWrap/>
            <w:vAlign w:val="center"/>
          </w:tcPr>
          <w:p>
            <w:pPr>
              <w:pStyle w:val="33"/>
              <w:rPr>
                <w:rFonts w:hint="eastAsia" w:ascii="宋体" w:hAnsi="宋体" w:eastAsia="宋体" w:cs="宋体"/>
              </w:rPr>
            </w:pPr>
            <w:r>
              <w:rPr>
                <w:rFonts w:hint="eastAsia" w:ascii="宋体" w:hAnsi="宋体" w:eastAsia="宋体" w:cs="宋体"/>
              </w:rPr>
              <w:t>卸载过程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第一循环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20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40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40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20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第二循环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30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60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30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第三循环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40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60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70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60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40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第四循环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70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80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70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第五循环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60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80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90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80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60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92"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第六循环</w:t>
            </w:r>
          </w:p>
        </w:tc>
        <w:tc>
          <w:tcPr>
            <w:tcW w:w="2474"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70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90</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90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70</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66" w:type="dxa"/>
            <w:gridSpan w:val="2"/>
            <w:shd w:val="clear" w:color="auto" w:fill="auto"/>
            <w:noWrap/>
            <w:vAlign w:val="center"/>
          </w:tcPr>
          <w:p>
            <w:pPr>
              <w:pStyle w:val="33"/>
              <w:rPr>
                <w:rFonts w:hint="eastAsia" w:ascii="宋体" w:hAnsi="宋体" w:eastAsia="宋体" w:cs="宋体"/>
              </w:rPr>
            </w:pPr>
            <w:r>
              <w:rPr>
                <w:rFonts w:hint="eastAsia" w:ascii="宋体" w:hAnsi="宋体" w:eastAsia="宋体" w:cs="宋体"/>
              </w:rPr>
              <w:t>观测时间(min)</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w:t>
            </w:r>
          </w:p>
        </w:tc>
        <w:tc>
          <w:tcPr>
            <w:tcW w:w="1028"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10</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w:t>
            </w:r>
          </w:p>
        </w:tc>
        <w:tc>
          <w:tcPr>
            <w:tcW w:w="711"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w:t>
            </w:r>
          </w:p>
        </w:tc>
        <w:tc>
          <w:tcPr>
            <w:tcW w:w="713" w:type="dxa"/>
            <w:shd w:val="clear" w:color="auto" w:fill="auto"/>
            <w:noWrap/>
            <w:vAlign w:val="center"/>
          </w:tcPr>
          <w:p>
            <w:pPr>
              <w:pStyle w:val="33"/>
              <w:rPr>
                <w:rFonts w:hint="eastAsia" w:ascii="宋体" w:hAnsi="宋体" w:eastAsia="宋体" w:cs="宋体"/>
              </w:rPr>
            </w:pPr>
            <w:r>
              <w:rPr>
                <w:rFonts w:hint="eastAsia" w:ascii="宋体" w:hAnsi="宋体" w:eastAsia="宋体" w:cs="宋体"/>
              </w:rPr>
              <w:t>5</w:t>
            </w:r>
          </w:p>
        </w:tc>
      </w:tr>
    </w:tbl>
    <w:p>
      <w:pPr>
        <w:pStyle w:val="38"/>
        <w:jc w:val="left"/>
      </w:pPr>
      <w:r>
        <w:rPr>
          <w:rFonts w:hint="eastAsia"/>
        </w:rPr>
        <w:t>注:</w:t>
      </w:r>
      <w:r>
        <w:t>1</w:t>
      </w:r>
      <w:r>
        <w:rPr>
          <w:rFonts w:hint="eastAsia"/>
        </w:rPr>
        <w:t>锚杆加载前应预先施加初始荷载，初始荷载应取锚杆轴向拉力标准值的</w:t>
      </w:r>
      <w:r>
        <w:t>10</w:t>
      </w:r>
      <w:r>
        <w:rPr>
          <w:rFonts w:hint="eastAsia"/>
        </w:rPr>
        <w:t>％；</w:t>
      </w:r>
    </w:p>
    <w:p>
      <w:pPr>
        <w:pStyle w:val="38"/>
        <w:ind w:firstLine="210" w:firstLineChars="100"/>
        <w:jc w:val="left"/>
        <w:rPr>
          <w:color w:val="000000"/>
          <w:kern w:val="0"/>
        </w:rPr>
      </w:pPr>
      <w:r>
        <w:rPr>
          <w:rFonts w:cs="Times New Roman"/>
          <w:color w:val="000000"/>
          <w:kern w:val="0"/>
        </w:rPr>
        <w:t>2</w:t>
      </w:r>
      <w:r>
        <w:rPr>
          <w:rFonts w:hint="eastAsia"/>
          <w:color w:val="000000"/>
          <w:kern w:val="0"/>
        </w:rPr>
        <w:t>每级加、卸荷载稳定后，在观测时间内测读锚头位移不应少于</w:t>
      </w:r>
      <w:r>
        <w:rPr>
          <w:rFonts w:cs="Times New Roman"/>
          <w:color w:val="000000"/>
          <w:kern w:val="0"/>
        </w:rPr>
        <w:t>3</w:t>
      </w:r>
      <w:r>
        <w:rPr>
          <w:rFonts w:hint="eastAsia"/>
          <w:color w:val="000000"/>
          <w:kern w:val="0"/>
        </w:rPr>
        <w:t>次；</w:t>
      </w:r>
    </w:p>
    <w:p>
      <w:pPr>
        <w:pStyle w:val="38"/>
        <w:ind w:firstLine="210" w:firstLineChars="100"/>
        <w:jc w:val="left"/>
      </w:pPr>
      <w:r>
        <w:rPr>
          <w:rFonts w:cs="Times New Roman"/>
          <w:color w:val="000000"/>
          <w:kern w:val="0"/>
        </w:rPr>
        <w:t>3</w:t>
      </w:r>
      <w:r>
        <w:rPr>
          <w:rFonts w:hint="eastAsia"/>
          <w:color w:val="000000"/>
          <w:kern w:val="0"/>
        </w:rPr>
        <w:t>在每级荷载的观测时间内，当锚头位移增量不大于</w:t>
      </w:r>
      <w:r>
        <w:rPr>
          <w:rFonts w:cs="Times New Roman"/>
          <w:color w:val="000000"/>
          <w:kern w:val="0"/>
        </w:rPr>
        <w:t>1.0mm</w:t>
      </w:r>
      <w:r>
        <w:rPr>
          <w:rFonts w:hint="eastAsia"/>
          <w:color w:val="000000"/>
          <w:kern w:val="0"/>
        </w:rPr>
        <w:t>时，可视为位移稳定；当观测时间内锚头位移增量大于</w:t>
      </w:r>
      <w:r>
        <w:rPr>
          <w:rFonts w:cs="Times New Roman"/>
          <w:color w:val="000000"/>
          <w:kern w:val="0"/>
        </w:rPr>
        <w:t>1.0mm</w:t>
      </w:r>
      <w:r>
        <w:rPr>
          <w:rFonts w:hint="eastAsia"/>
          <w:color w:val="000000"/>
          <w:kern w:val="0"/>
        </w:rPr>
        <w:t>时，应在该级荷载下再延长观测时间</w:t>
      </w:r>
      <w:r>
        <w:rPr>
          <w:rFonts w:cs="Times New Roman"/>
          <w:color w:val="000000"/>
          <w:kern w:val="0"/>
        </w:rPr>
        <w:t>60min</w:t>
      </w:r>
      <w:r>
        <w:rPr>
          <w:rFonts w:hint="eastAsia"/>
          <w:color w:val="000000"/>
          <w:kern w:val="0"/>
        </w:rPr>
        <w:t>，并应每隔</w:t>
      </w:r>
      <w:r>
        <w:rPr>
          <w:rFonts w:cs="Times New Roman"/>
          <w:color w:val="000000"/>
          <w:kern w:val="0"/>
        </w:rPr>
        <w:t>10min</w:t>
      </w:r>
      <w:r>
        <w:rPr>
          <w:rFonts w:hint="eastAsia"/>
          <w:color w:val="000000"/>
          <w:kern w:val="0"/>
        </w:rPr>
        <w:t>测读锚头位移</w:t>
      </w:r>
      <w:r>
        <w:rPr>
          <w:rFonts w:cs="Times New Roman"/>
          <w:color w:val="000000"/>
          <w:kern w:val="0"/>
        </w:rPr>
        <w:t>1</w:t>
      </w:r>
      <w:r>
        <w:rPr>
          <w:rFonts w:hint="eastAsia"/>
          <w:color w:val="000000"/>
          <w:kern w:val="0"/>
        </w:rPr>
        <w:t>次；当该</w:t>
      </w:r>
      <w:r>
        <w:rPr>
          <w:rFonts w:cs="Times New Roman"/>
          <w:color w:val="000000"/>
          <w:kern w:val="0"/>
        </w:rPr>
        <w:t>60min</w:t>
      </w:r>
      <w:r>
        <w:rPr>
          <w:rFonts w:hint="eastAsia"/>
          <w:color w:val="000000"/>
          <w:kern w:val="0"/>
        </w:rPr>
        <w:t>内锚头位移增量小于</w:t>
      </w:r>
      <w:r>
        <w:rPr>
          <w:rFonts w:cs="Times New Roman"/>
          <w:color w:val="000000"/>
          <w:kern w:val="0"/>
        </w:rPr>
        <w:t>2.0mm</w:t>
      </w:r>
      <w:r>
        <w:rPr>
          <w:rFonts w:hint="eastAsia"/>
          <w:color w:val="000000"/>
          <w:kern w:val="0"/>
        </w:rPr>
        <w:t>时，可视为锚头位移收敛；当锚头位移稳定或收敛后，方可施加下一级荷载；</w:t>
      </w:r>
    </w:p>
    <w:p>
      <w:pPr>
        <w:pStyle w:val="38"/>
        <w:jc w:val="left"/>
      </w:pPr>
      <w:r>
        <w:t>4</w:t>
      </w:r>
      <w:r>
        <w:rPr>
          <w:rFonts w:hint="eastAsia"/>
        </w:rPr>
        <w:t>加至最大试验荷载后，当锚杆尚未出现本规程第</w:t>
      </w:r>
      <w:r>
        <w:rPr>
          <w:bCs/>
        </w:rPr>
        <w:t>B.2.5</w:t>
      </w:r>
      <w:r>
        <w:rPr>
          <w:rFonts w:hint="eastAsia"/>
        </w:rPr>
        <w:t>条规定的终止加载情况，且继续加载后满足本规程第</w:t>
      </w:r>
      <w:r>
        <w:rPr>
          <w:bCs/>
        </w:rPr>
        <w:t>B.1.7</w:t>
      </w:r>
      <w:r>
        <w:rPr>
          <w:rFonts w:hint="eastAsia"/>
        </w:rPr>
        <w:t>条对钢筋强度的要求时，宜按最大试验荷载</w:t>
      </w:r>
      <w:r>
        <w:t>10</w:t>
      </w:r>
      <w:r>
        <w:rPr>
          <w:rFonts w:hint="eastAsia"/>
        </w:rPr>
        <w:t>％的荷载增量继续进行下一循环加载，此时，每级加载中间过程的分级荷载与最大试验荷载的百分比应分别相应增加</w:t>
      </w:r>
      <w:r>
        <w:t>10</w:t>
      </w:r>
      <w:r>
        <w:rPr>
          <w:rFonts w:hint="eastAsia"/>
        </w:rPr>
        <w:t>％，其观测时间应为</w:t>
      </w:r>
      <w:r>
        <w:t>10min</w:t>
      </w:r>
      <w:r>
        <w:rPr>
          <w:rFonts w:hint="eastAsia"/>
        </w:rPr>
        <w:t>。</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当锚杆极限抗拔承载力试验采用逐级加载法时，其加载分级和锚头位移观测时间应按表B.2.3中每一循环的最大荷载及相应的观测时间逐级加载和卸载。</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锚杆试验中遇下列情况之一时，应终止继续加载：</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从第二级加载开始，后一级荷载产生的锚头位移增量达到或超过前一级荷载产生位移增量的2倍；</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锚头位移不收敛；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锚杆杆体破坏。</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循环加载试验应绘制锚杆的荷载～位移(Q～s)曲线、荷载～弹性位移(Q～se)曲线和荷载～塑性位移(Q～sp)曲线。锚杆的位移不应包括试验反力装置的变形。</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B.2.7</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锚杆极限抗拔承载力应按下列方法确定：</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单根锚杆的极限抗拔承载力，在某级试验荷载下出现本规程第B.2.5条规定的终止继续加载情况时，应取终止加载的前一级荷载值；未出现时，应取最大试验荷载值。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参加统计的试验锚杆，当极限抗拔承载力的极差不超过其平均值的30%时，锚杆极限抗拔承载力标准值可取平均值；当级差超过其平均值的30%时，宜增加试验锚杆数量，并应根据级差过大的原因，按实际情况重新进行统计后确定锚杆极限抗拔承载力标准值。</w:t>
      </w:r>
    </w:p>
    <w:p>
      <w:pPr>
        <w:ind w:firstLine="480"/>
        <w:jc w:val="center"/>
        <w:rPr>
          <w:rStyle w:val="37"/>
        </w:rPr>
      </w:pPr>
    </w:p>
    <w:p>
      <w:pPr>
        <w:ind w:firstLine="480"/>
        <w:jc w:val="center"/>
        <w:rPr>
          <w:rStyle w:val="37"/>
        </w:rPr>
      </w:pPr>
      <w:r>
        <w:rPr>
          <w:rStyle w:val="37"/>
        </w:rPr>
        <w:t>B.3</w:t>
      </w:r>
      <w:r>
        <w:rPr>
          <w:rStyle w:val="37"/>
          <w:rFonts w:hint="eastAsia"/>
        </w:rPr>
        <w:t>蠕变试验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B.3.1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蠕变试验的锚杆数量不应少于三根。</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B.3.2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蠕变试验的加载分级和锚头位移观测时间应按表B.3.2确定。在观测时间内荷载必须保持恒定。</w:t>
      </w:r>
    </w:p>
    <w:p>
      <w:pPr>
        <w:pStyle w:val="38"/>
      </w:pPr>
      <w:r>
        <w:rPr>
          <w:rFonts w:hint="eastAsia"/>
        </w:rPr>
        <w:t>表</w:t>
      </w:r>
      <w:r>
        <w:rPr>
          <w:rFonts w:cs="Times New Roman"/>
          <w:bCs/>
        </w:rPr>
        <w:t>B.3.2</w:t>
      </w:r>
      <w:r>
        <w:rPr>
          <w:rFonts w:hint="eastAsia"/>
        </w:rPr>
        <w:t>蠕变试验加载分级与锚头位移观测时间</w:t>
      </w:r>
    </w:p>
    <w:tbl>
      <w:tblPr>
        <w:tblStyle w:val="22"/>
        <w:tblW w:w="7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1121"/>
        <w:gridCol w:w="1121"/>
        <w:gridCol w:w="1121"/>
        <w:gridCol w:w="1121"/>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35" w:type="dxa"/>
            <w:shd w:val="clear" w:color="auto" w:fill="auto"/>
            <w:noWrap/>
            <w:vAlign w:val="center"/>
          </w:tcPr>
          <w:p>
            <w:pPr>
              <w:pStyle w:val="33"/>
            </w:pPr>
            <w:r>
              <w:rPr>
                <w:rFonts w:hint="eastAsia"/>
              </w:rPr>
              <w:t>加载分级</w:t>
            </w:r>
          </w:p>
        </w:tc>
        <w:tc>
          <w:tcPr>
            <w:tcW w:w="1121" w:type="dxa"/>
            <w:shd w:val="clear" w:color="auto" w:fill="auto"/>
            <w:noWrap/>
            <w:vAlign w:val="center"/>
          </w:tcPr>
          <w:p>
            <w:pPr>
              <w:pStyle w:val="33"/>
              <w:rPr>
                <w:vertAlign w:val="subscript"/>
              </w:rPr>
            </w:pPr>
            <w:r>
              <w:rPr>
                <w:rFonts w:hint="eastAsia"/>
              </w:rPr>
              <w:t>0.50N</w:t>
            </w:r>
            <w:r>
              <w:rPr>
                <w:vertAlign w:val="subscript"/>
              </w:rPr>
              <w:t>K</w:t>
            </w:r>
          </w:p>
        </w:tc>
        <w:tc>
          <w:tcPr>
            <w:tcW w:w="1121" w:type="dxa"/>
            <w:shd w:val="clear" w:color="auto" w:fill="auto"/>
            <w:noWrap/>
            <w:vAlign w:val="center"/>
          </w:tcPr>
          <w:p>
            <w:pPr>
              <w:pStyle w:val="33"/>
            </w:pPr>
            <w:r>
              <w:rPr>
                <w:rFonts w:hint="eastAsia"/>
              </w:rPr>
              <w:t>0.75 N</w:t>
            </w:r>
            <w:r>
              <w:rPr>
                <w:vertAlign w:val="subscript"/>
              </w:rPr>
              <w:t>K</w:t>
            </w:r>
          </w:p>
        </w:tc>
        <w:tc>
          <w:tcPr>
            <w:tcW w:w="1121" w:type="dxa"/>
            <w:shd w:val="clear" w:color="auto" w:fill="auto"/>
            <w:noWrap/>
            <w:vAlign w:val="center"/>
          </w:tcPr>
          <w:p>
            <w:pPr>
              <w:pStyle w:val="33"/>
            </w:pPr>
            <w:r>
              <w:rPr>
                <w:rFonts w:hint="eastAsia"/>
              </w:rPr>
              <w:t>1.00 N</w:t>
            </w:r>
            <w:r>
              <w:rPr>
                <w:vertAlign w:val="subscript"/>
              </w:rPr>
              <w:t>K</w:t>
            </w:r>
          </w:p>
        </w:tc>
        <w:tc>
          <w:tcPr>
            <w:tcW w:w="1121" w:type="dxa"/>
            <w:shd w:val="clear" w:color="auto" w:fill="auto"/>
            <w:noWrap/>
            <w:vAlign w:val="center"/>
          </w:tcPr>
          <w:p>
            <w:pPr>
              <w:pStyle w:val="33"/>
            </w:pPr>
            <w:r>
              <w:rPr>
                <w:rFonts w:hint="eastAsia"/>
              </w:rPr>
              <w:t>1.20 N</w:t>
            </w:r>
            <w:r>
              <w:rPr>
                <w:vertAlign w:val="subscript"/>
              </w:rPr>
              <w:t>K</w:t>
            </w:r>
          </w:p>
        </w:tc>
        <w:tc>
          <w:tcPr>
            <w:tcW w:w="1121" w:type="dxa"/>
            <w:shd w:val="clear" w:color="auto" w:fill="auto"/>
            <w:noWrap/>
            <w:vAlign w:val="center"/>
          </w:tcPr>
          <w:p>
            <w:pPr>
              <w:pStyle w:val="33"/>
            </w:pPr>
            <w:r>
              <w:rPr>
                <w:rFonts w:hint="eastAsia"/>
              </w:rPr>
              <w:t>1.50 N</w:t>
            </w:r>
            <w:r>
              <w:rPr>
                <w:vertAlign w:val="subscript"/>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35" w:type="dxa"/>
            <w:shd w:val="clear" w:color="auto" w:fill="auto"/>
            <w:noWrap/>
            <w:vAlign w:val="center"/>
          </w:tcPr>
          <w:p>
            <w:pPr>
              <w:pStyle w:val="33"/>
            </w:pPr>
            <w:r>
              <w:rPr>
                <w:rFonts w:hint="eastAsia"/>
              </w:rPr>
              <w:t>观测时间t</w:t>
            </w:r>
            <w:r>
              <w:rPr>
                <w:vertAlign w:val="subscript"/>
              </w:rPr>
              <w:t>2</w:t>
            </w:r>
            <w:r>
              <w:rPr>
                <w:rFonts w:hint="eastAsia"/>
              </w:rPr>
              <w:t>(min)</w:t>
            </w:r>
          </w:p>
        </w:tc>
        <w:tc>
          <w:tcPr>
            <w:tcW w:w="1121" w:type="dxa"/>
            <w:shd w:val="clear" w:color="auto" w:fill="auto"/>
            <w:noWrap/>
            <w:vAlign w:val="center"/>
          </w:tcPr>
          <w:p>
            <w:pPr>
              <w:pStyle w:val="33"/>
            </w:pPr>
            <w:r>
              <w:rPr>
                <w:rFonts w:hint="eastAsia"/>
              </w:rPr>
              <w:t>10</w:t>
            </w:r>
          </w:p>
        </w:tc>
        <w:tc>
          <w:tcPr>
            <w:tcW w:w="1121" w:type="dxa"/>
            <w:shd w:val="clear" w:color="auto" w:fill="auto"/>
            <w:noWrap/>
            <w:vAlign w:val="center"/>
          </w:tcPr>
          <w:p>
            <w:pPr>
              <w:pStyle w:val="33"/>
            </w:pPr>
            <w:r>
              <w:rPr>
                <w:rFonts w:hint="eastAsia"/>
              </w:rPr>
              <w:t>30</w:t>
            </w:r>
          </w:p>
        </w:tc>
        <w:tc>
          <w:tcPr>
            <w:tcW w:w="1121" w:type="dxa"/>
            <w:shd w:val="clear" w:color="auto" w:fill="auto"/>
            <w:noWrap/>
            <w:vAlign w:val="center"/>
          </w:tcPr>
          <w:p>
            <w:pPr>
              <w:pStyle w:val="33"/>
            </w:pPr>
            <w:r>
              <w:rPr>
                <w:rFonts w:hint="eastAsia"/>
              </w:rPr>
              <w:t>60</w:t>
            </w:r>
          </w:p>
        </w:tc>
        <w:tc>
          <w:tcPr>
            <w:tcW w:w="1121" w:type="dxa"/>
            <w:shd w:val="clear" w:color="auto" w:fill="auto"/>
            <w:noWrap/>
            <w:vAlign w:val="center"/>
          </w:tcPr>
          <w:p>
            <w:pPr>
              <w:pStyle w:val="33"/>
            </w:pPr>
            <w:r>
              <w:rPr>
                <w:rFonts w:hint="eastAsia"/>
              </w:rPr>
              <w:t>90</w:t>
            </w:r>
          </w:p>
        </w:tc>
        <w:tc>
          <w:tcPr>
            <w:tcW w:w="1121" w:type="dxa"/>
            <w:shd w:val="clear" w:color="auto" w:fill="auto"/>
            <w:noWrap/>
            <w:vAlign w:val="center"/>
          </w:tcPr>
          <w:p>
            <w:pPr>
              <w:pStyle w:val="33"/>
            </w:pPr>
            <w:r>
              <w:rPr>
                <w:rFonts w:hint="eastAsi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35" w:type="dxa"/>
            <w:shd w:val="clear" w:color="auto" w:fill="auto"/>
            <w:noWrap/>
            <w:vAlign w:val="center"/>
          </w:tcPr>
          <w:p>
            <w:pPr>
              <w:pStyle w:val="33"/>
            </w:pPr>
            <w:r>
              <w:rPr>
                <w:rFonts w:hint="eastAsia"/>
              </w:rPr>
              <w:t>观测时间t</w:t>
            </w:r>
            <w:r>
              <w:rPr>
                <w:vertAlign w:val="subscript"/>
              </w:rPr>
              <w:t>1</w:t>
            </w:r>
            <w:r>
              <w:rPr>
                <w:rFonts w:hint="eastAsia"/>
              </w:rPr>
              <w:t>(min)</w:t>
            </w:r>
          </w:p>
        </w:tc>
        <w:tc>
          <w:tcPr>
            <w:tcW w:w="1121" w:type="dxa"/>
            <w:shd w:val="clear" w:color="auto" w:fill="auto"/>
            <w:noWrap/>
            <w:vAlign w:val="center"/>
          </w:tcPr>
          <w:p>
            <w:pPr>
              <w:pStyle w:val="33"/>
            </w:pPr>
            <w:r>
              <w:rPr>
                <w:rFonts w:hint="eastAsia"/>
              </w:rPr>
              <w:t>5</w:t>
            </w:r>
          </w:p>
        </w:tc>
        <w:tc>
          <w:tcPr>
            <w:tcW w:w="1121" w:type="dxa"/>
            <w:shd w:val="clear" w:color="auto" w:fill="auto"/>
            <w:noWrap/>
            <w:vAlign w:val="center"/>
          </w:tcPr>
          <w:p>
            <w:pPr>
              <w:pStyle w:val="33"/>
            </w:pPr>
            <w:r>
              <w:rPr>
                <w:rFonts w:hint="eastAsia"/>
              </w:rPr>
              <w:t>15</w:t>
            </w:r>
          </w:p>
        </w:tc>
        <w:tc>
          <w:tcPr>
            <w:tcW w:w="1121" w:type="dxa"/>
            <w:shd w:val="clear" w:color="auto" w:fill="auto"/>
            <w:noWrap/>
            <w:vAlign w:val="center"/>
          </w:tcPr>
          <w:p>
            <w:pPr>
              <w:pStyle w:val="33"/>
            </w:pPr>
            <w:r>
              <w:rPr>
                <w:rFonts w:hint="eastAsia"/>
              </w:rPr>
              <w:t>30</w:t>
            </w:r>
          </w:p>
        </w:tc>
        <w:tc>
          <w:tcPr>
            <w:tcW w:w="1121" w:type="dxa"/>
            <w:shd w:val="clear" w:color="auto" w:fill="auto"/>
            <w:noWrap/>
            <w:vAlign w:val="center"/>
          </w:tcPr>
          <w:p>
            <w:pPr>
              <w:pStyle w:val="33"/>
            </w:pPr>
            <w:r>
              <w:rPr>
                <w:rFonts w:hint="eastAsia"/>
              </w:rPr>
              <w:t>45</w:t>
            </w:r>
          </w:p>
        </w:tc>
        <w:tc>
          <w:tcPr>
            <w:tcW w:w="1121" w:type="dxa"/>
            <w:shd w:val="clear" w:color="auto" w:fill="auto"/>
            <w:noWrap/>
            <w:vAlign w:val="center"/>
          </w:tcPr>
          <w:p>
            <w:pPr>
              <w:pStyle w:val="33"/>
            </w:pPr>
            <w:r>
              <w:rPr>
                <w:rFonts w:hint="eastAsia"/>
              </w:rPr>
              <w:t>60</w:t>
            </w:r>
          </w:p>
        </w:tc>
      </w:tr>
    </w:tbl>
    <w:p>
      <w:pPr>
        <w:pStyle w:val="38"/>
        <w:ind w:firstLine="630" w:firstLineChars="300"/>
        <w:jc w:val="both"/>
      </w:pPr>
      <w:r>
        <w:rPr>
          <w:rFonts w:hint="eastAsia"/>
        </w:rPr>
        <w:t>注:表中</w:t>
      </w:r>
      <w:r>
        <w:rPr>
          <w:position w:val="-12"/>
        </w:rPr>
        <w:object>
          <v:shape id="_x0000_i1280" o:spt="75" type="#_x0000_t75" style="height:18pt;width:16.2pt;" o:ole="t" filled="f" o:preferrelative="t" stroked="f" coordsize="21600,21600">
            <v:path/>
            <v:fill on="f" focussize="0,0"/>
            <v:stroke on="f" joinstyle="miter"/>
            <v:imagedata r:id="rId540" o:title=""/>
            <o:lock v:ext="edit" aspectratio="t"/>
            <w10:wrap type="none"/>
            <w10:anchorlock/>
          </v:shape>
          <o:OLEObject Type="Embed" ProgID="Equation.DSMT4" ShapeID="_x0000_i1280" DrawAspect="Content" ObjectID="_1468075980" r:id="rId539">
            <o:LockedField>false</o:LockedField>
          </o:OLEObject>
        </w:object>
      </w:r>
      <w:r>
        <w:rPr>
          <w:rFonts w:hint="eastAsia"/>
        </w:rPr>
        <w:t>为锚杆轴向拉力标准值。</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B.3.3每级荷载按时间间隔1min、5min、10min、15min、30min、45min、60min、90min、120min记录蠕变量。</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B.3.4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试验时应绘制每级荷载下锚杆的蠕变量～时间对数(s～lgt)曲线。蠕变率应按下列公式计算：</w:t>
      </w:r>
    </w:p>
    <w:p>
      <w:pPr>
        <w:pStyle w:val="35"/>
      </w:pPr>
      <w:r>
        <w:object>
          <v:shape id="_x0000_i1281" o:spt="75" type="#_x0000_t75" style="height:34.2pt;width:75pt;" o:ole="t" filled="f" o:preferrelative="t" stroked="f" coordsize="21600,21600">
            <v:path/>
            <v:fill on="f" focussize="0,0"/>
            <v:stroke on="f" joinstyle="miter"/>
            <v:imagedata r:id="rId542" o:title=""/>
            <o:lock v:ext="edit" aspectratio="t"/>
            <w10:wrap type="none"/>
            <w10:anchorlock/>
          </v:shape>
          <o:OLEObject Type="Embed" ProgID="Equation.DSMT4" ShapeID="_x0000_i1281" DrawAspect="Content" ObjectID="_1468075981" r:id="rId541">
            <o:LockedField>false</o:LockedField>
          </o:OLEObject>
        </w:object>
      </w:r>
      <w:r>
        <w:rPr>
          <w:rFonts w:hint="eastAsia"/>
        </w:rPr>
        <w:t>（B3.4-1）</w:t>
      </w:r>
    </w:p>
    <w:p>
      <w:pPr>
        <w:ind w:firstLine="480"/>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w:r>
        <w:rPr>
          <w:rFonts w:hint="eastAsia"/>
        </w:rPr>
        <w:t>:</w:t>
      </w:r>
      <w:r>
        <w:rPr>
          <w:position w:val="-12"/>
        </w:rPr>
        <w:object>
          <v:shape id="_x0000_i1282" o:spt="75" type="#_x0000_t75" style="height:18pt;width:12pt;" o:ole="t" filled="f" o:preferrelative="t" stroked="f" coordsize="21600,21600">
            <v:path/>
            <v:fill on="f" focussize="0,0"/>
            <v:stroke on="f" joinstyle="miter"/>
            <v:imagedata r:id="rId544" o:title=""/>
            <o:lock v:ext="edit" aspectratio="t"/>
            <w10:wrap type="none"/>
            <w10:anchorlock/>
          </v:shape>
          <o:OLEObject Type="Embed" ProgID="Equation.DSMT4" ShapeID="_x0000_i1282" DrawAspect="Content" ObjectID="_1468075982" r:id="rId543">
            <o:LockedField>false</o:LockedField>
          </o:OLEObject>
        </w:object>
      </w:r>
      <w:r>
        <w:rPr>
          <w:rFonts w:hint="eastAsia"/>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锚杆蠕变率；</w:t>
      </w:r>
    </w:p>
    <w:p>
      <w:pPr>
        <w:ind w:firstLine="480"/>
      </w:pPr>
      <w:r>
        <w:rPr>
          <w:position w:val="-12"/>
        </w:rPr>
        <w:object>
          <v:shape id="_x0000_i1283" o:spt="75" type="#_x0000_t75" style="height:18pt;width:12pt;" o:ole="t" filled="f" o:preferrelative="t" stroked="f" coordsize="21600,21600">
            <v:path/>
            <v:fill on="f" focussize="0,0"/>
            <v:stroke on="f" joinstyle="miter"/>
            <v:imagedata r:id="rId546" o:title=""/>
            <o:lock v:ext="edit" aspectratio="t"/>
            <w10:wrap type="none"/>
            <w10:anchorlock/>
          </v:shape>
          <o:OLEObject Type="Embed" ProgID="Equation.DSMT4" ShapeID="_x0000_i1283" DrawAspect="Content" ObjectID="_1468075983" r:id="rId545">
            <o:LockedField>false</o:LockedField>
          </o:OLEObject>
        </w:object>
      </w:r>
      <w:r>
        <w:rPr>
          <w:rFonts w:hint="eastAsia"/>
        </w:rPr>
        <w:t>──</w:t>
      </w:r>
      <w:r>
        <w:rPr>
          <w:position w:val="-12"/>
        </w:rPr>
        <w:object>
          <v:shape id="_x0000_i1284" o:spt="75" type="#_x0000_t75" style="height:18pt;width:9pt;" o:ole="t" filled="f" o:preferrelative="t" stroked="f" coordsize="21600,21600">
            <v:path/>
            <v:fill on="f" focussize="0,0"/>
            <v:stroke on="f" joinstyle="miter"/>
            <v:imagedata r:id="rId548" o:title=""/>
            <o:lock v:ext="edit" aspectratio="t"/>
            <w10:wrap type="none"/>
            <w10:anchorlock/>
          </v:shape>
          <o:OLEObject Type="Embed" ProgID="Equation.DSMT4" ShapeID="_x0000_i1284" DrawAspect="Content" ObjectID="_1468075984" r:id="rId547">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时间测得的蠕变量（mm）；</w:t>
      </w:r>
    </w:p>
    <w:p>
      <w:pPr>
        <w:ind w:firstLine="48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position w:val="-12"/>
        </w:rPr>
        <w:object>
          <v:shape id="_x0000_i1285" o:spt="75" type="#_x0000_t75" style="height:18pt;width:12pt;" o:ole="t" filled="f" o:preferrelative="t" stroked="f" coordsize="21600,21600">
            <v:path/>
            <v:fill on="f" focussize="0,0"/>
            <v:stroke on="f" joinstyle="miter"/>
            <v:imagedata r:id="rId550" o:title=""/>
            <o:lock v:ext="edit" aspectratio="t"/>
            <w10:wrap type="none"/>
            <w10:anchorlock/>
          </v:shape>
          <o:OLEObject Type="Embed" ProgID="Equation.DSMT4" ShapeID="_x0000_i1285" DrawAspect="Content" ObjectID="_1468075985" r:id="rId549">
            <o:LockedField>false</o:LockedField>
          </o:OLEObject>
        </w:object>
      </w:r>
      <w:r>
        <w:rPr>
          <w:rFonts w:hint="eastAsia"/>
        </w:rPr>
        <w:t>──</w:t>
      </w:r>
      <w:r>
        <w:rPr>
          <w:position w:val="-12"/>
        </w:rPr>
        <w:object>
          <v:shape id="_x0000_i1286" o:spt="75" type="#_x0000_t75" style="height:18pt;width:12pt;" o:ole="t" filled="f" o:preferrelative="t" stroked="f" coordsize="21600,21600">
            <v:path/>
            <v:fill on="f" focussize="0,0"/>
            <v:stroke on="f" joinstyle="miter"/>
            <v:imagedata r:id="rId552" o:title=""/>
            <o:lock v:ext="edit" aspectratio="t"/>
            <w10:wrap type="none"/>
            <w10:anchorlock/>
          </v:shape>
          <o:OLEObject Type="Embed" ProgID="Equation.DSMT4" ShapeID="_x0000_i1286" DrawAspect="Content" ObjectID="_1468075986" r:id="rId551">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时间测得的蠕变量（mm）。</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B.3.5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锚杆的蠕变率不应大于2.0mm。</w:t>
      </w:r>
    </w:p>
    <w:p>
      <w:pPr>
        <w:ind w:firstLine="480"/>
        <w:jc w:val="center"/>
        <w:rPr>
          <w:rStyle w:val="37"/>
        </w:rPr>
      </w:pPr>
      <w:r>
        <w:rPr>
          <w:rStyle w:val="37"/>
        </w:rPr>
        <w:t>B.4</w:t>
      </w:r>
      <w:r>
        <w:rPr>
          <w:rStyle w:val="37"/>
          <w:rFonts w:hint="eastAsia"/>
        </w:rPr>
        <w:t>验收试验</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B.4.1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锚杆抗拔承载力检测试验的最大试验荷载，应按本规程第7.3.6.8条的规定取值，同时尚应符合本规程第B.1.7条对锚杆杆体钢筋强度的要求。</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B.4.2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锚杆抗拔承载力检测试验可采用逐级加载法，其加载分级和锚头位移观测时间应按表B.4.2确定。</w:t>
      </w:r>
    </w:p>
    <w:p>
      <w:pPr>
        <w:pStyle w:val="38"/>
      </w:pPr>
      <w:r>
        <w:rPr>
          <w:rFonts w:hint="eastAsia"/>
        </w:rPr>
        <w:t>表</w:t>
      </w:r>
      <w:r>
        <w:rPr>
          <w:rFonts w:cs="Times New Roman"/>
          <w:bCs/>
        </w:rPr>
        <w:t>B.4.2</w:t>
      </w:r>
      <w:r>
        <w:rPr>
          <w:rFonts w:hint="eastAsia"/>
        </w:rPr>
        <w:t>逐级加载试验的加载分级与锚头位移观测时间</w:t>
      </w:r>
    </w:p>
    <w:tbl>
      <w:tblPr>
        <w:tblStyle w:val="22"/>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1361"/>
        <w:gridCol w:w="759"/>
        <w:gridCol w:w="759"/>
        <w:gridCol w:w="759"/>
        <w:gridCol w:w="759"/>
        <w:gridCol w:w="1095"/>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1002" w:type="dxa"/>
            <w:vMerge w:val="restart"/>
            <w:shd w:val="clear" w:color="auto" w:fill="auto"/>
            <w:vAlign w:val="center"/>
          </w:tcPr>
          <w:p>
            <w:pPr>
              <w:pStyle w:val="33"/>
            </w:pPr>
            <w:r>
              <w:rPr>
                <w:rFonts w:hint="eastAsia"/>
              </w:rPr>
              <w:t>最大试验</w:t>
            </w:r>
          </w:p>
          <w:p>
            <w:pPr>
              <w:pStyle w:val="33"/>
            </w:pPr>
            <w:r>
              <w:rPr>
                <w:rFonts w:hint="eastAsia"/>
              </w:rPr>
              <w:t>荷载</w:t>
            </w:r>
          </w:p>
        </w:tc>
        <w:tc>
          <w:tcPr>
            <w:tcW w:w="7682" w:type="dxa"/>
            <w:gridSpan w:val="8"/>
            <w:vMerge w:val="restart"/>
            <w:shd w:val="clear" w:color="auto" w:fill="auto"/>
            <w:noWrap/>
            <w:vAlign w:val="center"/>
          </w:tcPr>
          <w:p>
            <w:pPr>
              <w:pStyle w:val="33"/>
            </w:pPr>
            <w:r>
              <w:rPr>
                <w:rFonts w:hint="eastAsia"/>
              </w:rPr>
              <w:t>分级荷载与锚杆轴向拉力标准值N</w:t>
            </w:r>
            <w:r>
              <w:t>K</w:t>
            </w:r>
            <w:r>
              <w:rPr>
                <w:rFonts w:hint="eastAsia"/>
              </w:rPr>
              <w:t>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02" w:type="dxa"/>
            <w:vMerge w:val="continue"/>
            <w:vAlign w:val="center"/>
          </w:tcPr>
          <w:p>
            <w:pPr>
              <w:pStyle w:val="33"/>
            </w:pPr>
          </w:p>
        </w:tc>
        <w:tc>
          <w:tcPr>
            <w:tcW w:w="7682" w:type="dxa"/>
            <w:gridSpan w:val="8"/>
            <w:vMerge w:val="continue"/>
            <w:vAlign w:val="center"/>
          </w:tcPr>
          <w:p>
            <w:pPr>
              <w:pStyle w:val="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restart"/>
            <w:shd w:val="clear" w:color="auto" w:fill="auto"/>
            <w:noWrap/>
            <w:vAlign w:val="center"/>
          </w:tcPr>
          <w:p>
            <w:pPr>
              <w:pStyle w:val="33"/>
            </w:pPr>
            <w:r>
              <w:rPr>
                <w:rFonts w:hint="eastAsia"/>
              </w:rPr>
              <w:t>1.4N</w:t>
            </w:r>
            <w:r>
              <w:t>K</w:t>
            </w:r>
          </w:p>
        </w:tc>
        <w:tc>
          <w:tcPr>
            <w:tcW w:w="1361" w:type="dxa"/>
            <w:shd w:val="clear" w:color="auto" w:fill="auto"/>
            <w:noWrap/>
            <w:vAlign w:val="center"/>
          </w:tcPr>
          <w:p>
            <w:pPr>
              <w:pStyle w:val="33"/>
            </w:pPr>
            <w:r>
              <w:rPr>
                <w:rFonts w:hint="eastAsia"/>
              </w:rPr>
              <w:t>加载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40</w:t>
            </w:r>
          </w:p>
        </w:tc>
        <w:tc>
          <w:tcPr>
            <w:tcW w:w="759" w:type="dxa"/>
            <w:shd w:val="clear" w:color="auto" w:fill="auto"/>
            <w:noWrap/>
            <w:vAlign w:val="center"/>
          </w:tcPr>
          <w:p>
            <w:pPr>
              <w:pStyle w:val="33"/>
            </w:pPr>
            <w:r>
              <w:rPr>
                <w:rFonts w:hint="eastAsia"/>
              </w:rPr>
              <w:t>60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120</w:t>
            </w:r>
          </w:p>
        </w:tc>
        <w:tc>
          <w:tcPr>
            <w:tcW w:w="1095" w:type="dxa"/>
            <w:shd w:val="clear" w:color="auto" w:fill="auto"/>
            <w:noWrap/>
            <w:vAlign w:val="center"/>
          </w:tcPr>
          <w:p>
            <w:pPr>
              <w:pStyle w:val="33"/>
            </w:pPr>
            <w:r>
              <w:rPr>
                <w:rFonts w:hint="eastAsi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continue"/>
            <w:vAlign w:val="center"/>
          </w:tcPr>
          <w:p>
            <w:pPr>
              <w:pStyle w:val="33"/>
            </w:pPr>
          </w:p>
        </w:tc>
        <w:tc>
          <w:tcPr>
            <w:tcW w:w="1361" w:type="dxa"/>
            <w:shd w:val="clear" w:color="auto" w:fill="auto"/>
            <w:noWrap/>
            <w:vAlign w:val="center"/>
          </w:tcPr>
          <w:p>
            <w:pPr>
              <w:pStyle w:val="33"/>
            </w:pPr>
            <w:r>
              <w:rPr>
                <w:rFonts w:hint="eastAsia"/>
              </w:rPr>
              <w:t>卸载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30</w:t>
            </w:r>
          </w:p>
        </w:tc>
        <w:tc>
          <w:tcPr>
            <w:tcW w:w="759" w:type="dxa"/>
            <w:shd w:val="clear" w:color="auto" w:fill="auto"/>
            <w:noWrap/>
            <w:vAlign w:val="center"/>
          </w:tcPr>
          <w:p>
            <w:pPr>
              <w:pStyle w:val="33"/>
            </w:pPr>
            <w:r>
              <w:rPr>
                <w:rFonts w:hint="eastAsia"/>
              </w:rPr>
              <w:t>50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120</w:t>
            </w:r>
          </w:p>
        </w:tc>
        <w:tc>
          <w:tcPr>
            <w:tcW w:w="1095" w:type="dxa"/>
            <w:shd w:val="clear" w:color="auto" w:fill="auto"/>
            <w:noWrap/>
            <w:vAlign w:val="center"/>
          </w:tcPr>
          <w:p>
            <w:pPr>
              <w:pStyle w:val="33"/>
            </w:pPr>
            <w:r>
              <w:rPr>
                <w:rFonts w:hint="eastAsia"/>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restart"/>
            <w:shd w:val="clear" w:color="auto" w:fill="auto"/>
            <w:noWrap/>
            <w:vAlign w:val="center"/>
          </w:tcPr>
          <w:p>
            <w:pPr>
              <w:pStyle w:val="33"/>
            </w:pPr>
            <w:r>
              <w:rPr>
                <w:rFonts w:hint="eastAsia"/>
              </w:rPr>
              <w:t>1.3N</w:t>
            </w:r>
            <w:r>
              <w:t>K</w:t>
            </w:r>
          </w:p>
        </w:tc>
        <w:tc>
          <w:tcPr>
            <w:tcW w:w="1361" w:type="dxa"/>
            <w:shd w:val="clear" w:color="auto" w:fill="auto"/>
            <w:noWrap/>
            <w:vAlign w:val="center"/>
          </w:tcPr>
          <w:p>
            <w:pPr>
              <w:pStyle w:val="33"/>
            </w:pPr>
            <w:r>
              <w:rPr>
                <w:rFonts w:hint="eastAsia"/>
              </w:rPr>
              <w:t>加载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40</w:t>
            </w:r>
          </w:p>
        </w:tc>
        <w:tc>
          <w:tcPr>
            <w:tcW w:w="759" w:type="dxa"/>
            <w:shd w:val="clear" w:color="auto" w:fill="auto"/>
            <w:noWrap/>
            <w:vAlign w:val="center"/>
          </w:tcPr>
          <w:p>
            <w:pPr>
              <w:pStyle w:val="33"/>
            </w:pPr>
            <w:r>
              <w:rPr>
                <w:rFonts w:hint="eastAsia"/>
              </w:rPr>
              <w:t>60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120</w:t>
            </w:r>
          </w:p>
        </w:tc>
        <w:tc>
          <w:tcPr>
            <w:tcW w:w="1095" w:type="dxa"/>
            <w:shd w:val="clear" w:color="auto" w:fill="auto"/>
            <w:noWrap/>
            <w:vAlign w:val="center"/>
          </w:tcPr>
          <w:p>
            <w:pPr>
              <w:pStyle w:val="33"/>
            </w:pPr>
            <w:r>
              <w:rPr>
                <w:rFonts w:hint="eastAsia"/>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continue"/>
            <w:vAlign w:val="center"/>
          </w:tcPr>
          <w:p>
            <w:pPr>
              <w:pStyle w:val="33"/>
            </w:pPr>
          </w:p>
        </w:tc>
        <w:tc>
          <w:tcPr>
            <w:tcW w:w="1361" w:type="dxa"/>
            <w:shd w:val="clear" w:color="auto" w:fill="auto"/>
            <w:noWrap/>
            <w:vAlign w:val="center"/>
          </w:tcPr>
          <w:p>
            <w:pPr>
              <w:pStyle w:val="33"/>
            </w:pPr>
            <w:r>
              <w:rPr>
                <w:rFonts w:hint="eastAsia"/>
              </w:rPr>
              <w:t>卸载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30</w:t>
            </w:r>
          </w:p>
        </w:tc>
        <w:tc>
          <w:tcPr>
            <w:tcW w:w="759" w:type="dxa"/>
            <w:shd w:val="clear" w:color="auto" w:fill="auto"/>
            <w:noWrap/>
            <w:vAlign w:val="center"/>
          </w:tcPr>
          <w:p>
            <w:pPr>
              <w:pStyle w:val="33"/>
            </w:pPr>
            <w:r>
              <w:rPr>
                <w:rFonts w:hint="eastAsia"/>
              </w:rPr>
              <w:t>50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120</w:t>
            </w:r>
          </w:p>
        </w:tc>
        <w:tc>
          <w:tcPr>
            <w:tcW w:w="1095" w:type="dxa"/>
            <w:shd w:val="clear" w:color="auto" w:fill="auto"/>
            <w:noWrap/>
            <w:vAlign w:val="center"/>
          </w:tcPr>
          <w:p>
            <w:pPr>
              <w:pStyle w:val="33"/>
            </w:pPr>
            <w:r>
              <w:rPr>
                <w:rFonts w:hint="eastAsia"/>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restart"/>
            <w:shd w:val="clear" w:color="auto" w:fill="auto"/>
            <w:noWrap/>
            <w:vAlign w:val="center"/>
          </w:tcPr>
          <w:p>
            <w:pPr>
              <w:pStyle w:val="33"/>
            </w:pPr>
            <w:r>
              <w:rPr>
                <w:rFonts w:hint="eastAsia"/>
              </w:rPr>
              <w:t>1.2N</w:t>
            </w:r>
            <w:r>
              <w:t>K</w:t>
            </w:r>
          </w:p>
        </w:tc>
        <w:tc>
          <w:tcPr>
            <w:tcW w:w="1361" w:type="dxa"/>
            <w:shd w:val="clear" w:color="auto" w:fill="auto"/>
            <w:noWrap/>
            <w:vAlign w:val="center"/>
          </w:tcPr>
          <w:p>
            <w:pPr>
              <w:pStyle w:val="33"/>
            </w:pPr>
            <w:r>
              <w:rPr>
                <w:rFonts w:hint="eastAsia"/>
              </w:rPr>
              <w:t>加载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40</w:t>
            </w:r>
          </w:p>
        </w:tc>
        <w:tc>
          <w:tcPr>
            <w:tcW w:w="759" w:type="dxa"/>
            <w:shd w:val="clear" w:color="auto" w:fill="auto"/>
            <w:noWrap/>
            <w:vAlign w:val="center"/>
          </w:tcPr>
          <w:p>
            <w:pPr>
              <w:pStyle w:val="33"/>
            </w:pPr>
            <w:r>
              <w:rPr>
                <w:rFonts w:hint="eastAsia"/>
              </w:rPr>
              <w:t>60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一</w:t>
            </w:r>
          </w:p>
        </w:tc>
        <w:tc>
          <w:tcPr>
            <w:tcW w:w="1095" w:type="dxa"/>
            <w:shd w:val="clear" w:color="auto" w:fill="auto"/>
            <w:noWrap/>
            <w:vAlign w:val="center"/>
          </w:tcPr>
          <w:p>
            <w:pPr>
              <w:pStyle w:val="33"/>
            </w:pPr>
            <w:r>
              <w:rPr>
                <w:rFonts w:hint="eastAsia"/>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2" w:type="dxa"/>
            <w:vMerge w:val="continue"/>
            <w:vAlign w:val="center"/>
          </w:tcPr>
          <w:p>
            <w:pPr>
              <w:pStyle w:val="33"/>
            </w:pPr>
          </w:p>
        </w:tc>
        <w:tc>
          <w:tcPr>
            <w:tcW w:w="1361" w:type="dxa"/>
            <w:shd w:val="clear" w:color="auto" w:fill="auto"/>
            <w:noWrap/>
            <w:vAlign w:val="center"/>
          </w:tcPr>
          <w:p>
            <w:pPr>
              <w:pStyle w:val="33"/>
            </w:pPr>
            <w:r>
              <w:rPr>
                <w:rFonts w:hint="eastAsia"/>
              </w:rPr>
              <w:t>卸载</w:t>
            </w:r>
          </w:p>
        </w:tc>
        <w:tc>
          <w:tcPr>
            <w:tcW w:w="759" w:type="dxa"/>
            <w:shd w:val="clear" w:color="auto" w:fill="auto"/>
            <w:noWrap/>
            <w:vAlign w:val="center"/>
          </w:tcPr>
          <w:p>
            <w:pPr>
              <w:pStyle w:val="33"/>
            </w:pPr>
            <w:r>
              <w:rPr>
                <w:rFonts w:hint="eastAsia"/>
              </w:rPr>
              <w:t>10</w:t>
            </w:r>
          </w:p>
        </w:tc>
        <w:tc>
          <w:tcPr>
            <w:tcW w:w="759" w:type="dxa"/>
            <w:shd w:val="clear" w:color="auto" w:fill="auto"/>
            <w:noWrap/>
            <w:vAlign w:val="center"/>
          </w:tcPr>
          <w:p>
            <w:pPr>
              <w:pStyle w:val="33"/>
            </w:pPr>
            <w:r>
              <w:rPr>
                <w:rFonts w:hint="eastAsia"/>
              </w:rPr>
              <w:t>30</w:t>
            </w:r>
          </w:p>
        </w:tc>
        <w:tc>
          <w:tcPr>
            <w:tcW w:w="759" w:type="dxa"/>
            <w:shd w:val="clear" w:color="auto" w:fill="auto"/>
            <w:noWrap/>
            <w:vAlign w:val="center"/>
          </w:tcPr>
          <w:p>
            <w:pPr>
              <w:pStyle w:val="33"/>
            </w:pPr>
            <w:r>
              <w:rPr>
                <w:rFonts w:hint="eastAsia"/>
              </w:rPr>
              <w:t>50</w:t>
            </w:r>
          </w:p>
        </w:tc>
        <w:tc>
          <w:tcPr>
            <w:tcW w:w="759" w:type="dxa"/>
            <w:shd w:val="clear" w:color="auto" w:fill="auto"/>
            <w:noWrap/>
            <w:vAlign w:val="center"/>
          </w:tcPr>
          <w:p>
            <w:pPr>
              <w:pStyle w:val="33"/>
            </w:pPr>
            <w:r>
              <w:rPr>
                <w:rFonts w:hint="eastAsia"/>
              </w:rPr>
              <w:t>80</w:t>
            </w:r>
          </w:p>
        </w:tc>
        <w:tc>
          <w:tcPr>
            <w:tcW w:w="1095" w:type="dxa"/>
            <w:shd w:val="clear" w:color="auto" w:fill="auto"/>
            <w:noWrap/>
            <w:vAlign w:val="center"/>
          </w:tcPr>
          <w:p>
            <w:pPr>
              <w:pStyle w:val="33"/>
            </w:pPr>
            <w:r>
              <w:rPr>
                <w:rFonts w:hint="eastAsia"/>
              </w:rPr>
              <w:t>100</w:t>
            </w:r>
          </w:p>
        </w:tc>
        <w:tc>
          <w:tcPr>
            <w:tcW w:w="1095" w:type="dxa"/>
            <w:shd w:val="clear" w:color="auto" w:fill="auto"/>
            <w:noWrap/>
            <w:vAlign w:val="center"/>
          </w:tcPr>
          <w:p>
            <w:pPr>
              <w:pStyle w:val="33"/>
            </w:pPr>
            <w:r>
              <w:rPr>
                <w:rFonts w:hint="eastAsia"/>
              </w:rPr>
              <w:t>一</w:t>
            </w:r>
          </w:p>
        </w:tc>
        <w:tc>
          <w:tcPr>
            <w:tcW w:w="1095" w:type="dxa"/>
            <w:shd w:val="clear" w:color="auto" w:fill="auto"/>
            <w:noWrap/>
            <w:vAlign w:val="center"/>
          </w:tcPr>
          <w:p>
            <w:pPr>
              <w:pStyle w:val="33"/>
            </w:pPr>
            <w:r>
              <w:rPr>
                <w:rFonts w:hint="eastAsia"/>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363" w:type="dxa"/>
            <w:gridSpan w:val="2"/>
            <w:shd w:val="clear" w:color="auto" w:fill="auto"/>
            <w:noWrap/>
            <w:vAlign w:val="center"/>
          </w:tcPr>
          <w:p>
            <w:pPr>
              <w:pStyle w:val="33"/>
            </w:pPr>
            <w:r>
              <w:rPr>
                <w:rFonts w:hint="eastAsia"/>
              </w:rPr>
              <w:t>观测时间(min)</w:t>
            </w:r>
          </w:p>
        </w:tc>
        <w:tc>
          <w:tcPr>
            <w:tcW w:w="759" w:type="dxa"/>
            <w:shd w:val="clear" w:color="auto" w:fill="auto"/>
            <w:noWrap/>
            <w:vAlign w:val="center"/>
          </w:tcPr>
          <w:p>
            <w:pPr>
              <w:pStyle w:val="33"/>
            </w:pPr>
            <w:r>
              <w:rPr>
                <w:rFonts w:hint="eastAsia"/>
              </w:rPr>
              <w:t>5</w:t>
            </w:r>
          </w:p>
        </w:tc>
        <w:tc>
          <w:tcPr>
            <w:tcW w:w="759" w:type="dxa"/>
            <w:shd w:val="clear" w:color="auto" w:fill="auto"/>
            <w:noWrap/>
            <w:vAlign w:val="center"/>
          </w:tcPr>
          <w:p>
            <w:pPr>
              <w:pStyle w:val="33"/>
            </w:pPr>
            <w:r>
              <w:rPr>
                <w:rFonts w:hint="eastAsia"/>
              </w:rPr>
              <w:t>5</w:t>
            </w:r>
          </w:p>
        </w:tc>
        <w:tc>
          <w:tcPr>
            <w:tcW w:w="759" w:type="dxa"/>
            <w:shd w:val="clear" w:color="auto" w:fill="auto"/>
            <w:noWrap/>
            <w:vAlign w:val="center"/>
          </w:tcPr>
          <w:p>
            <w:pPr>
              <w:pStyle w:val="33"/>
            </w:pPr>
            <w:r>
              <w:rPr>
                <w:rFonts w:hint="eastAsia"/>
              </w:rPr>
              <w:t>5</w:t>
            </w:r>
          </w:p>
        </w:tc>
        <w:tc>
          <w:tcPr>
            <w:tcW w:w="759" w:type="dxa"/>
            <w:shd w:val="clear" w:color="auto" w:fill="auto"/>
            <w:noWrap/>
            <w:vAlign w:val="center"/>
          </w:tcPr>
          <w:p>
            <w:pPr>
              <w:pStyle w:val="33"/>
            </w:pPr>
            <w:r>
              <w:rPr>
                <w:rFonts w:hint="eastAsia"/>
              </w:rPr>
              <w:t>5</w:t>
            </w:r>
          </w:p>
        </w:tc>
        <w:tc>
          <w:tcPr>
            <w:tcW w:w="1095" w:type="dxa"/>
            <w:shd w:val="clear" w:color="auto" w:fill="auto"/>
            <w:noWrap/>
            <w:vAlign w:val="center"/>
          </w:tcPr>
          <w:p>
            <w:pPr>
              <w:pStyle w:val="33"/>
            </w:pPr>
            <w:r>
              <w:rPr>
                <w:rFonts w:hint="eastAsia"/>
              </w:rPr>
              <w:t>5</w:t>
            </w:r>
          </w:p>
        </w:tc>
        <w:tc>
          <w:tcPr>
            <w:tcW w:w="1095" w:type="dxa"/>
            <w:shd w:val="clear" w:color="auto" w:fill="auto"/>
            <w:noWrap/>
            <w:vAlign w:val="center"/>
          </w:tcPr>
          <w:p>
            <w:pPr>
              <w:pStyle w:val="33"/>
            </w:pPr>
            <w:r>
              <w:rPr>
                <w:rFonts w:hint="eastAsia"/>
              </w:rPr>
              <w:t>5</w:t>
            </w:r>
          </w:p>
        </w:tc>
        <w:tc>
          <w:tcPr>
            <w:tcW w:w="1095" w:type="dxa"/>
            <w:shd w:val="clear" w:color="auto" w:fill="auto"/>
            <w:noWrap/>
            <w:vAlign w:val="center"/>
          </w:tcPr>
          <w:p>
            <w:pPr>
              <w:pStyle w:val="33"/>
            </w:pPr>
            <w:r>
              <w:rPr>
                <w:rFonts w:hint="eastAsia"/>
              </w:rPr>
              <w:t>10</w:t>
            </w:r>
          </w:p>
        </w:tc>
      </w:tr>
    </w:tbl>
    <w:p>
      <w:pPr>
        <w:pStyle w:val="38"/>
      </w:pPr>
      <w:r>
        <w:rPr>
          <w:rFonts w:hint="eastAsia"/>
        </w:rPr>
        <w:t>注：</w:t>
      </w:r>
      <w:r>
        <w:rPr>
          <w:rFonts w:cs="Times New Roman"/>
        </w:rPr>
        <w:t>1</w:t>
      </w:r>
      <w:r>
        <w:rPr>
          <w:rFonts w:hint="eastAsia"/>
        </w:rPr>
        <w:t>锚杆加载前应预先施加初始荷载，初始荷载应取锚杆轴向拉力标准值的</w:t>
      </w:r>
      <w:r>
        <w:rPr>
          <w:rFonts w:cs="Times New Roman"/>
        </w:rPr>
        <w:t>10</w:t>
      </w:r>
      <w:r>
        <w:rPr>
          <w:rFonts w:hint="eastAsia"/>
        </w:rPr>
        <w:t>％；</w:t>
      </w:r>
    </w:p>
    <w:p>
      <w:pPr>
        <w:pStyle w:val="38"/>
      </w:pPr>
      <w:r>
        <w:rPr>
          <w:rFonts w:cs="Times New Roman"/>
        </w:rPr>
        <w:t>2</w:t>
      </w:r>
      <w:r>
        <w:rPr>
          <w:rFonts w:hint="eastAsia"/>
        </w:rPr>
        <w:t>每级加、卸荷载稳定后，在观测时间内测读锚头位移不应少于</w:t>
      </w:r>
      <w:r>
        <w:rPr>
          <w:rFonts w:cs="Times New Roman"/>
        </w:rPr>
        <w:t>3</w:t>
      </w:r>
      <w:r>
        <w:rPr>
          <w:rFonts w:hint="eastAsia"/>
        </w:rPr>
        <w:t>次；</w:t>
      </w:r>
    </w:p>
    <w:p>
      <w:pPr>
        <w:pStyle w:val="38"/>
      </w:pPr>
      <w:r>
        <w:rPr>
          <w:rFonts w:cs="Times New Roman"/>
        </w:rPr>
        <w:t>3</w:t>
      </w:r>
      <w:r>
        <w:rPr>
          <w:rFonts w:hint="eastAsia"/>
        </w:rPr>
        <w:t>在每级荷载的观测时间内，当锚头位移增量不大于</w:t>
      </w:r>
      <w:r>
        <w:rPr>
          <w:rFonts w:cs="Times New Roman"/>
        </w:rPr>
        <w:t>1.0mm</w:t>
      </w:r>
      <w:r>
        <w:rPr>
          <w:rFonts w:hint="eastAsia"/>
        </w:rPr>
        <w:t>时，可视为位移稳定；当观测时间内锚头位移增量大于</w:t>
      </w:r>
      <w:r>
        <w:rPr>
          <w:rFonts w:cs="Times New Roman"/>
        </w:rPr>
        <w:t>1.0mm</w:t>
      </w:r>
      <w:r>
        <w:rPr>
          <w:rFonts w:hint="eastAsia"/>
        </w:rPr>
        <w:t>时，应在该级荷载下再延长观测时间</w:t>
      </w:r>
      <w:r>
        <w:rPr>
          <w:rFonts w:cs="Times New Roman"/>
        </w:rPr>
        <w:t>60min</w:t>
      </w:r>
      <w:r>
        <w:rPr>
          <w:rFonts w:hint="eastAsia"/>
        </w:rPr>
        <w:t>，并应每隔</w:t>
      </w:r>
      <w:r>
        <w:rPr>
          <w:rFonts w:cs="Times New Roman"/>
        </w:rPr>
        <w:t>10min</w:t>
      </w:r>
      <w:r>
        <w:rPr>
          <w:rFonts w:hint="eastAsia"/>
        </w:rPr>
        <w:t>测读锚头位移</w:t>
      </w:r>
      <w:r>
        <w:rPr>
          <w:rFonts w:cs="Times New Roman"/>
        </w:rPr>
        <w:t>1</w:t>
      </w:r>
      <w:r>
        <w:rPr>
          <w:rFonts w:hint="eastAsia"/>
        </w:rPr>
        <w:t>次；当该</w:t>
      </w:r>
      <w:r>
        <w:rPr>
          <w:rFonts w:cs="Times New Roman"/>
        </w:rPr>
        <w:t>60min</w:t>
      </w:r>
      <w:r>
        <w:rPr>
          <w:rFonts w:hint="eastAsia"/>
        </w:rPr>
        <w:t>内锚头位移增量小于</w:t>
      </w:r>
      <w:r>
        <w:rPr>
          <w:rFonts w:cs="Times New Roman"/>
        </w:rPr>
        <w:t>2.0mm</w:t>
      </w:r>
      <w:r>
        <w:rPr>
          <w:rFonts w:hint="eastAsia"/>
        </w:rPr>
        <w:t>时，可视为锚头位移收敛；当锚头位移稳定或收敛后，方可施加下一级荷载；</w:t>
      </w:r>
    </w:p>
    <w:p>
      <w:pPr>
        <w:pStyle w:val="38"/>
      </w:pPr>
      <w:r>
        <w:rPr>
          <w:rFonts w:cs="Times New Roman"/>
        </w:rPr>
        <w:t>4</w:t>
      </w:r>
      <w:r>
        <w:rPr>
          <w:rFonts w:hint="eastAsia"/>
        </w:rPr>
        <w:t>锚杆验收试验，也可在逐级加载至最大试验荷载后一次卸载至初始荷载。</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B.4.3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锚杆试验时，当遇本规程第B.2.5条规定的终止继续加载情况时，应终止继续加载。单根锚杆的极限抗拔承载力应按本规程第B.2.7条第1款的规定确定。</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B.4.4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逐级加载试验应绘制锚杆的荷载～位移(Q～s)曲线。锚杆的位移不应包括试验反力装置的变形。</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B.4.5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验收试验中，符合下列要求的锚杆应判定合格：</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1在最大试验荷载下，锚杆位移稳定或收敛；</w:t>
      </w:r>
    </w:p>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2对拉力型锚杆，在最大试验荷载下测得的总位移量应大于自由段长度理论弹性伸长量的80%，且应小于自由段长度与1/2锚固段长度之和的理论弹性伸长量。</w:t>
      </w:r>
    </w:p>
    <w:bookmarkEnd w:id="68"/>
    <w:bookmarkEnd w:id="69"/>
    <w:bookmarkEnd w:id="70"/>
    <w:p>
      <w:pPr>
        <w:pStyle w:val="51"/>
        <w:widowControl w:val="0"/>
        <w:numPr>
          <w:ilvl w:val="255"/>
          <w:numId w:val="0"/>
        </w:numPr>
        <w:spacing w:line="360" w:lineRule="auto"/>
        <w:ind w:left="0" w:firstLine="406" w:firstLineChars="145"/>
        <w:rPr>
          <w:rFonts w:hint="eastAsia" w:cs="Times New Roman" w:eastAsiaTheme="minorEastAsia"/>
          <w:bCs/>
          <w:color w:val="000000" w:themeColor="text1"/>
          <w:kern w:val="2"/>
          <w:sz w:val="28"/>
          <w:szCs w:val="28"/>
          <w:lang w:val="zh-CN" w:eastAsia="zh-CN" w:bidi="ar-SA"/>
          <w14:textFill>
            <w14:solidFill>
              <w14:schemeClr w14:val="tx1"/>
            </w14:solidFill>
          </w14:textFill>
        </w:rPr>
      </w:pPr>
      <w:bookmarkStart w:id="118" w:name="_Toc102806847"/>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pStyle w:val="20"/>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ind w:firstLine="480"/>
        <w:rPr>
          <w:rFonts w:eastAsia="宋体e眠副浡渀." w:cs="Times New Roman"/>
          <w:bCs/>
          <w:color w:val="000000"/>
          <w:kern w:val="0"/>
        </w:rPr>
      </w:pPr>
    </w:p>
    <w:p>
      <w:pPr>
        <w:pStyle w:val="3"/>
        <w:numPr>
          <w:ilvl w:val="0"/>
          <w:numId w:val="0"/>
        </w:numPr>
      </w:pPr>
      <w:bookmarkStart w:id="119" w:name="_Toc29753"/>
      <w:r>
        <w:rPr>
          <w:rFonts w:hint="eastAsia"/>
        </w:rPr>
        <w:t>C 基坑</w:t>
      </w:r>
      <w:bookmarkEnd w:id="118"/>
      <w:r>
        <w:rPr>
          <w:rFonts w:hint="eastAsia"/>
        </w:rPr>
        <w:t>渗流稳定性验算</w:t>
      </w:r>
      <w:bookmarkEnd w:id="119"/>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C.0.1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坑底以下有水头高于坑底的承压水含水层，且未用截水 帷幕隔断其基坑内外的水力联系时，承压水作用下的坑底突涌稳 定性应符合下式规定(图C.0.1):</w:t>
      </w:r>
    </w:p>
    <w:p>
      <w:pPr>
        <w:spacing w:before="34" w:line="3120" w:lineRule="exact"/>
        <w:ind w:left="0" w:leftChars="0" w:right="2966" w:rightChars="1236" w:firstLine="0" w:firstLineChars="0"/>
        <w:jc w:val="right"/>
        <w:textAlignment w:val="center"/>
      </w:pPr>
      <w:r>
        <w:rPr>
          <w:rFonts w:hint="eastAsia"/>
          <w:lang w:val="en-US" w:eastAsia="zh-CN"/>
        </w:rPr>
        <w:t xml:space="preserve">     </w:t>
      </w:r>
      <w:r>
        <w:drawing>
          <wp:inline distT="0" distB="0" distL="0" distR="0">
            <wp:extent cx="2095500" cy="1981200"/>
            <wp:effectExtent l="0" t="0" r="0" b="0"/>
            <wp:docPr id="73" name="图片 73"/>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553"/>
                    <a:stretch>
                      <a:fillRect/>
                    </a:stretch>
                  </pic:blipFill>
                  <pic:spPr>
                    <a:xfrm>
                      <a:off x="0" y="0"/>
                      <a:ext cx="2095519" cy="1981200"/>
                    </a:xfrm>
                    <a:prstGeom prst="rect">
                      <a:avLst/>
                    </a:prstGeom>
                  </pic:spPr>
                </pic:pic>
              </a:graphicData>
            </a:graphic>
          </wp:inline>
        </w:drawing>
      </w:r>
    </w:p>
    <w:p>
      <w:pPr>
        <w:pStyle w:val="38"/>
      </w:pPr>
      <w:r>
        <w:t>图C.0.1</w:t>
      </w:r>
      <w:r>
        <w:rPr>
          <w:spacing w:val="94"/>
        </w:rPr>
        <w:t xml:space="preserve"> </w:t>
      </w:r>
      <w:r>
        <w:t>坑底土体的突涌稳定性验算</w:t>
      </w:r>
    </w:p>
    <w:p>
      <w:pPr>
        <w:pStyle w:val="33"/>
        <w:rPr>
          <w:sz w:val="24"/>
        </w:rPr>
      </w:pPr>
      <w:r>
        <w:rPr>
          <w:sz w:val="24"/>
        </w:rPr>
        <w:t>1一截水帷幕；2—基底；3—承压水测管水位；</w:t>
      </w:r>
    </w:p>
    <w:p>
      <w:pPr>
        <w:pStyle w:val="33"/>
        <w:rPr>
          <w:sz w:val="24"/>
        </w:rPr>
      </w:pPr>
      <w:r>
        <w:rPr>
          <w:sz w:val="24"/>
        </w:rPr>
        <w:t>4—承压水含水层；5-隔水层</w:t>
      </w:r>
    </w:p>
    <w:p>
      <w:pPr>
        <w:pStyle w:val="35"/>
      </w:pPr>
      <w:r>
        <w:object>
          <v:shape id="_x0000_i1287" o:spt="75" type="#_x0000_t75" style="height:34.2pt;width:52.8pt;" o:ole="t" filled="f" o:preferrelative="t" stroked="f" coordsize="21600,21600">
            <v:path/>
            <v:fill on="f" focussize="0,0"/>
            <v:stroke on="f" joinstyle="miter"/>
            <v:imagedata r:id="rId555" o:title=""/>
            <o:lock v:ext="edit" aspectratio="t"/>
            <w10:wrap type="none"/>
            <w10:anchorlock/>
          </v:shape>
          <o:OLEObject Type="Embed" ProgID="Equation.DSMT4" ShapeID="_x0000_i1287" DrawAspect="Content" ObjectID="_1468075987" r:id="rId554">
            <o:LockedField>false</o:LockedField>
          </o:OLEObject>
        </w:object>
      </w:r>
      <w:r>
        <w:t xml:space="preserve">                      (C.0.</w:t>
      </w:r>
      <w:r>
        <w:rPr>
          <w:spacing w:val="-23"/>
        </w:rPr>
        <w:t xml:space="preserve"> </w:t>
      </w:r>
      <w:r>
        <w:t>1)</w:t>
      </w:r>
    </w:p>
    <w:p>
      <w:pPr>
        <w:ind w:firstLine="480"/>
        <w:rPr>
          <w:shd w:val="clear" w:color="auto" w:fill="FFFFFF"/>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w:r>
        <w:rPr>
          <w:shd w:val="clear" w:color="auto" w:fill="FFFFFF"/>
        </w:rPr>
        <w:t>K</w:t>
      </w:r>
      <w:r>
        <w:rPr>
          <w:rFonts w:hint="eastAsia"/>
          <w:shd w:val="clear" w:color="auto" w:fill="FFFFFF"/>
          <w:vertAlign w:val="subscript"/>
        </w:rPr>
        <w:t>h</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突涌稳定安全系数；</w:t>
      </w:r>
      <w:r>
        <w:rPr>
          <w:shd w:val="clear" w:color="auto" w:fill="FFFFFF"/>
        </w:rPr>
        <w:t>K</w:t>
      </w:r>
      <w:r>
        <w:rPr>
          <w:rFonts w:hint="eastAsia"/>
          <w:shd w:val="clear" w:color="auto" w:fill="FFFFFF"/>
          <w:vertAlign w:val="subscript"/>
        </w:rPr>
        <w:t>h</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不应小于1.1;</w:t>
      </w:r>
    </w:p>
    <w:p>
      <w:pPr>
        <w:ind w:firstLine="480"/>
        <w:rPr>
          <w:shd w:val="clear" w:color="auto" w:fill="FFFFFF"/>
        </w:rPr>
      </w:pPr>
      <w:r>
        <w:rPr>
          <w:shd w:val="clear" w:color="auto" w:fill="FFFFFF"/>
        </w:rPr>
        <w:t xml:space="preserve">      D</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承压水含水层顶面至坑底的土层厚度(m);</w:t>
      </w:r>
    </w:p>
    <w:p>
      <w:pPr>
        <w:ind w:left="1920" w:leftChars="500" w:hanging="720" w:hangingChars="300"/>
        <w:rPr>
          <w:shd w:val="clear" w:color="auto" w:fill="FFFFFF"/>
        </w:rPr>
      </w:pPr>
      <w:r>
        <w:rPr>
          <w:shd w:val="clear" w:color="auto" w:fill="FFFFFF"/>
        </w:rPr>
        <w:t>y</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承压水含水层顶面至坑底土层的天然重度(kN/m³);对多层土，取按土层厚度加权的平均天然重度；</w:t>
      </w:r>
    </w:p>
    <w:p>
      <w:pPr>
        <w:ind w:firstLine="1200" w:firstLineChars="500"/>
        <w:rPr>
          <w:shd w:val="clear" w:color="auto" w:fill="FFFFFF"/>
        </w:rPr>
      </w:pPr>
      <w:r>
        <w:rPr>
          <w:shd w:val="clear" w:color="auto" w:fill="FFFFFF"/>
        </w:rPr>
        <w:t>h</w:t>
      </w:r>
      <w:r>
        <w:rPr>
          <w:rFonts w:hint="eastAsia"/>
          <w:shd w:val="clear" w:color="auto" w:fill="FFFFFF"/>
          <w:vertAlign w:val="subscript"/>
        </w:rPr>
        <w:t>w</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承压水含水层顶面的压力水头高度</w:t>
      </w:r>
      <w:r>
        <w:rPr>
          <w:shd w:val="clear" w:color="auto" w:fill="FFFFFF"/>
        </w:rPr>
        <w:t>(m);</w:t>
      </w:r>
    </w:p>
    <w:p>
      <w:pPr>
        <w:ind w:firstLine="1200" w:firstLineChars="500"/>
        <w:rPr>
          <w:shd w:val="clear" w:color="auto" w:fill="FFFFFF"/>
        </w:rPr>
      </w:pPr>
      <w:r>
        <w:rPr>
          <w:shd w:val="clear" w:color="auto" w:fill="FFFFFF"/>
        </w:rPr>
        <w:t>γ</w:t>
      </w:r>
      <w:r>
        <w:rPr>
          <w:rFonts w:hint="eastAsia"/>
          <w:shd w:val="clear" w:color="auto" w:fill="FFFFFF"/>
          <w:vertAlign w:val="subscript"/>
        </w:rPr>
        <w:t>w</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水的重度</w:t>
      </w:r>
      <w:r>
        <w:rPr>
          <w:shd w:val="clear" w:color="auto" w:fill="FFFFFF"/>
        </w:rPr>
        <w:t>(kN/m³)。</w:t>
      </w:r>
    </w:p>
    <w:p>
      <w:pPr>
        <w:ind w:firstLine="480"/>
        <w:rPr>
          <w:shd w:val="clear" w:color="auto" w:fill="FFFFFF"/>
        </w:rPr>
      </w:pPr>
    </w:p>
    <w:p>
      <w:pPr>
        <w:ind w:firstLine="480"/>
        <w:rPr>
          <w:shd w:val="clear" w:color="auto" w:fill="FFFFFF"/>
        </w:rPr>
      </w:pPr>
    </w:p>
    <w:p>
      <w:pPr>
        <w:pStyle w:val="20"/>
      </w:pP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C.0.2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悬挂式截水帷幕底端位于碎石土、砂土或粉土含水层时，对均质含水层，地下水渗流的流土稳定性应符合下式规定(图C.0.2),对渗透系数不同的非均质含水层，宜采用数值方法进行渗流稳定性分析。</w:t>
      </w:r>
    </w:p>
    <w:p>
      <w:pPr>
        <w:ind w:right="600" w:rightChars="250" w:firstLine="480"/>
        <w:jc w:val="center"/>
        <w:rPr>
          <w:rFonts w:cs="Times New Roman"/>
          <w:bCs/>
          <w:color w:val="000000"/>
          <w:kern w:val="0"/>
        </w:rPr>
      </w:pPr>
      <w:r>
        <w:rPr>
          <w:rFonts w:cs="Times New Roman"/>
          <w:bCs/>
          <w:color w:val="000000"/>
          <w:kern w:val="0"/>
        </w:rPr>
        <w:drawing>
          <wp:inline distT="0" distB="0" distL="0" distR="0">
            <wp:extent cx="1718945" cy="1579245"/>
            <wp:effectExtent l="0" t="0" r="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a:xfrm>
                      <a:off x="0" y="0"/>
                      <a:ext cx="1718945" cy="1579245"/>
                    </a:xfrm>
                    <a:prstGeom prst="rect">
                      <a:avLst/>
                    </a:prstGeom>
                    <a:noFill/>
                  </pic:spPr>
                </pic:pic>
              </a:graphicData>
            </a:graphic>
          </wp:inline>
        </w:drawing>
      </w:r>
      <w:r>
        <w:rPr>
          <w:rFonts w:cs="Times New Roman"/>
          <w:bCs/>
          <w:color w:val="000000"/>
          <w:kern w:val="0"/>
        </w:rPr>
        <w:drawing>
          <wp:inline distT="0" distB="0" distL="0" distR="0">
            <wp:extent cx="1779905" cy="15849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a:xfrm>
                      <a:off x="0" y="0"/>
                      <a:ext cx="1779905" cy="1584960"/>
                    </a:xfrm>
                    <a:prstGeom prst="rect">
                      <a:avLst/>
                    </a:prstGeom>
                    <a:noFill/>
                  </pic:spPr>
                </pic:pic>
              </a:graphicData>
            </a:graphic>
          </wp:inline>
        </w:drawing>
      </w:r>
    </w:p>
    <w:p>
      <w:pPr>
        <w:pStyle w:val="38"/>
      </w:pPr>
      <w:r>
        <w:t xml:space="preserve">      </w:t>
      </w:r>
      <w:r>
        <w:rPr>
          <w:rFonts w:hint="eastAsia"/>
        </w:rPr>
        <w:t xml:space="preserve">(a)潜水 </w:t>
      </w:r>
      <w:r>
        <w:t xml:space="preserve">               </w:t>
      </w:r>
      <w:r>
        <w:rPr>
          <w:rFonts w:hint="eastAsia"/>
        </w:rPr>
        <w:t>(b)承压水</w:t>
      </w:r>
    </w:p>
    <w:p>
      <w:pPr>
        <w:pStyle w:val="38"/>
      </w:pPr>
      <w:r>
        <w:t xml:space="preserve"> </w:t>
      </w:r>
      <w:r>
        <w:rPr>
          <w:rFonts w:hint="eastAsia"/>
        </w:rPr>
        <w:t>图C.0.2 采用悬挂式帷幕截水时的流土稳定性验算</w:t>
      </w:r>
    </w:p>
    <w:p>
      <w:pPr>
        <w:pStyle w:val="33"/>
        <w:rPr>
          <w:sz w:val="24"/>
        </w:rPr>
      </w:pPr>
      <w:r>
        <w:rPr>
          <w:rFonts w:hint="eastAsia"/>
          <w:sz w:val="24"/>
        </w:rPr>
        <w:t>1—截水帷幕；2—基坑底面；3—含水层；</w:t>
      </w:r>
    </w:p>
    <w:p>
      <w:pPr>
        <w:pStyle w:val="33"/>
        <w:rPr>
          <w:sz w:val="24"/>
        </w:rPr>
      </w:pPr>
      <w:r>
        <w:rPr>
          <w:rFonts w:hint="eastAsia"/>
          <w:sz w:val="24"/>
        </w:rPr>
        <w:t>4—潜水水位；5—承压水测管水位；</w:t>
      </w:r>
    </w:p>
    <w:p>
      <w:pPr>
        <w:pStyle w:val="33"/>
        <w:rPr>
          <w:sz w:val="24"/>
        </w:rPr>
      </w:pPr>
      <w:r>
        <w:rPr>
          <w:rFonts w:hint="eastAsia"/>
          <w:sz w:val="24"/>
        </w:rPr>
        <w:t>6—承压水含水层顶面</w:t>
      </w:r>
    </w:p>
    <w:p>
      <w:pPr>
        <w:pStyle w:val="35"/>
      </w:pPr>
      <w:r>
        <w:t xml:space="preserve">                </w:t>
      </w:r>
      <w:r>
        <w:object>
          <v:shape id="_x0000_i1288" o:spt="75" type="#_x0000_t75" style="height:34.2pt;width:99pt;" o:ole="t" filled="f" o:preferrelative="t" stroked="f" coordsize="21600,21600">
            <v:path/>
            <v:fill on="f" focussize="0,0"/>
            <v:stroke on="f" joinstyle="miter"/>
            <v:imagedata r:id="rId559" o:title=""/>
            <o:lock v:ext="edit" aspectratio="t"/>
            <w10:wrap type="none"/>
            <w10:anchorlock/>
          </v:shape>
          <o:OLEObject Type="Embed" ProgID="Equation.DSMT4" ShapeID="_x0000_i1288" DrawAspect="Content" ObjectID="_1468075988" r:id="rId558">
            <o:LockedField>false</o:LockedField>
          </o:OLEObject>
        </w:object>
      </w:r>
      <w:r>
        <w:t xml:space="preserve">            (C.0.2)</w:t>
      </w:r>
    </w:p>
    <w:p>
      <w:pPr>
        <w:ind w:left="2440" w:leftChars="200" w:hanging="1960" w:hangingChars="7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式中：</w:t>
      </w:r>
      <w:r>
        <w:rPr>
          <w:shd w:val="clear" w:color="auto" w:fill="FFFFFF"/>
        </w:rPr>
        <w:t>K</w:t>
      </w:r>
      <w:r>
        <w:rPr>
          <w:rFonts w:hint="eastAsia"/>
          <w:shd w:val="clear" w:color="auto" w:fill="FFFFFF"/>
          <w:vertAlign w:val="subscript"/>
        </w:rPr>
        <w:t>f</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流土稳定性安全系数；安全等级为一、二、三级的支护结构，</w:t>
      </w:r>
      <w:r>
        <w:rPr>
          <w:shd w:val="clear" w:color="auto" w:fill="FFFFFF"/>
        </w:rPr>
        <w:t>K</w:t>
      </w:r>
      <w:r>
        <w:rPr>
          <w:rFonts w:hint="eastAsia"/>
          <w:shd w:val="clear" w:color="auto" w:fill="FFFFFF"/>
          <w:vertAlign w:val="subscript"/>
        </w:rPr>
        <w:t>f</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分别不应小于1.6、1.5、1.4;</w:t>
      </w:r>
    </w:p>
    <w:p>
      <w:pPr>
        <w:ind w:firstLine="1200" w:firstLineChars="500"/>
        <w:rPr>
          <w:shd w:val="clear" w:color="auto" w:fill="FFFFFF"/>
        </w:rPr>
      </w:pPr>
      <w:r>
        <w:rPr>
          <w:rFonts w:hint="eastAsia"/>
          <w:shd w:val="clear" w:color="auto" w:fill="FFFFFF"/>
        </w:rPr>
        <w:t>l</w:t>
      </w:r>
      <w:r>
        <w:rPr>
          <w:rFonts w:hint="eastAsia"/>
          <w:shd w:val="clear" w:color="auto" w:fill="FFFFFF"/>
          <w:vertAlign w:val="subscript"/>
        </w:rPr>
        <w:t>d</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截水帷幕在坑底以下的插入深度(</w:t>
      </w:r>
      <w:r>
        <w:rPr>
          <w:shd w:val="clear" w:color="auto" w:fill="FFFFFF"/>
        </w:rPr>
        <w:t>m);</w:t>
      </w:r>
    </w:p>
    <w:p>
      <w:pPr>
        <w:ind w:firstLine="1200" w:firstLineChars="500"/>
        <w:rPr>
          <w:shd w:val="clear" w:color="auto" w:fill="FFFFFF"/>
        </w:rPr>
      </w:pPr>
      <w:r>
        <w:rPr>
          <w:shd w:val="clear" w:color="auto" w:fill="FFFFFF"/>
        </w:rPr>
        <w:t>D₁</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潜水面或承压水含水层顶面至基坑底面的土层厚度</w:t>
      </w:r>
      <w:r>
        <w:rPr>
          <w:shd w:val="clear" w:color="auto" w:fill="FFFFFF"/>
        </w:rPr>
        <w:t>(m);</w:t>
      </w:r>
    </w:p>
    <w:p>
      <w:pPr>
        <w:ind w:firstLine="1200" w:firstLineChars="500"/>
        <w:rPr>
          <w:shd w:val="clear" w:color="auto" w:fill="FFFFFF"/>
        </w:rPr>
      </w:pPr>
      <w:bookmarkStart w:id="120" w:name="_Hlk129591208"/>
      <w:r>
        <w:rPr>
          <w:shd w:val="clear" w:color="auto" w:fill="FFFFFF"/>
        </w:rPr>
        <w:t>γ</w:t>
      </w:r>
      <w:bookmarkEnd w:id="120"/>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土的浮重度</w:t>
      </w:r>
      <w:r>
        <w:rPr>
          <w:shd w:val="clear" w:color="auto" w:fill="FFFFFF"/>
        </w:rPr>
        <w:t>(kN/m³);</w:t>
      </w:r>
    </w:p>
    <w:p>
      <w:pPr>
        <w:ind w:firstLine="1159" w:firstLineChars="483"/>
        <w:rPr>
          <w:shd w:val="clear" w:color="auto" w:fill="FFFFFF"/>
        </w:rPr>
      </w:pPr>
      <w:r>
        <w:rPr>
          <w:rFonts w:hint="eastAsia"/>
          <w:shd w:val="clear" w:color="auto" w:fill="FFFFFF"/>
        </w:rPr>
        <w:t>△</w:t>
      </w:r>
      <w:r>
        <w:rPr>
          <w:shd w:val="clear" w:color="auto" w:fill="FFFFFF"/>
        </w:rPr>
        <w:t>h</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基坑内外的水头差</w:t>
      </w:r>
      <w:r>
        <w:rPr>
          <w:shd w:val="clear" w:color="auto" w:fill="FFFFFF"/>
        </w:rPr>
        <w:t>(m);</w:t>
      </w:r>
    </w:p>
    <w:p>
      <w:pPr>
        <w:ind w:firstLine="1200" w:firstLineChars="500"/>
        <w:rPr>
          <w:shd w:val="clear" w:color="auto" w:fill="FFFFFF"/>
        </w:rPr>
      </w:pPr>
      <w:r>
        <w:rPr>
          <w:shd w:val="clear" w:color="auto" w:fill="FFFFFF"/>
        </w:rPr>
        <w:t>γ</w:t>
      </w:r>
      <w:r>
        <w:rPr>
          <w:rFonts w:hint="eastAsia"/>
          <w:shd w:val="clear" w:color="auto" w:fill="FFFFFF"/>
          <w:vertAlign w:val="subscript"/>
        </w:rPr>
        <w:t>w</w:t>
      </w:r>
      <w:r>
        <w:rPr>
          <w:rFonts w:hint="eastAsia"/>
          <w:shd w:val="clear" w:color="auto" w:fill="FFFFFF"/>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水的重度</w:t>
      </w:r>
      <w:r>
        <w:rPr>
          <w:shd w:val="clear" w:color="auto" w:fill="FFFFFF"/>
        </w:rPr>
        <w:t>(kN/m³)。</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C.0.3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坑底以下为级配不连续的砂土、碎石土含水层时，应进行土的管涌可能性判别。</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ind w:firstLine="482"/>
        <w:rPr>
          <w:rFonts w:hint="eastAsia" w:ascii="楷体" w:hAnsi="楷体" w:eastAsia="楷体"/>
        </w:rPr>
      </w:pPr>
    </w:p>
    <w:p>
      <w:pPr>
        <w:jc w:val="center"/>
        <w:outlineLvl w:val="0"/>
        <w:rPr>
          <w:rFonts w:ascii="Times New Roman" w:hAnsi="Times New Roman" w:cs="Times New Roman"/>
          <w:b/>
          <w:bCs/>
          <w:sz w:val="28"/>
          <w:szCs w:val="28"/>
        </w:rPr>
      </w:pPr>
      <w:bookmarkStart w:id="121" w:name="_Toc141794047"/>
      <w:bookmarkStart w:id="122" w:name="_Toc143759418"/>
      <w:bookmarkStart w:id="123" w:name="_Toc143759340"/>
      <w:bookmarkStart w:id="124" w:name="_Toc143763248"/>
      <w:r>
        <w:rPr>
          <w:rFonts w:ascii="Times New Roman" w:hAnsi="Times New Roman" w:cs="Times New Roman"/>
          <w:b/>
          <w:bCs/>
          <w:sz w:val="28"/>
          <w:szCs w:val="28"/>
        </w:rPr>
        <w:t>本技术规程用词说明</w:t>
      </w:r>
      <w:bookmarkEnd w:id="121"/>
      <w:bookmarkEnd w:id="122"/>
      <w:bookmarkEnd w:id="123"/>
      <w:bookmarkEnd w:id="124"/>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执行本技术规程条文时，对于要求严格程度的用词说明如下，以便在执行中区别对待。</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（1）表示很严格，非这样做不可的用词：</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正面词采用“必须”；</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反面词采用“严禁”。</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（2）表示严格，在正常情况均应这样做的用词：</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正面词采用“应”；</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反面词采用“不应”或“不得”。</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（3）表示允许稍有选择，在条件许可时首先应这样做的用词：</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正面词采用“宜”；</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反面词采用“不宜”。</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（4）表示有选择，在一定条件下可以这样做的，采用“可”。</w:t>
      </w: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sectPr>
          <w:footerReference r:id="rId19" w:type="default"/>
          <w:pgSz w:w="11906" w:h="16838"/>
          <w:pgMar w:top="1440" w:right="1800" w:bottom="1440" w:left="1800" w:header="851" w:footer="992" w:gutter="0"/>
          <w:pgNumType w:start="1"/>
          <w:cols w:space="425" w:num="1"/>
          <w:docGrid w:type="lines" w:linePitch="312" w:charSpace="0"/>
        </w:sectPr>
      </w:pPr>
    </w:p>
    <w:p>
      <w:pPr>
        <w:spacing w:line="300" w:lineRule="auto"/>
        <w:ind w:left="0" w:leftChars="0" w:firstLine="0" w:firstLineChars="0"/>
        <w:jc w:val="center"/>
        <w:outlineLvl w:val="0"/>
        <w:rPr>
          <w:rFonts w:ascii="Times New Roman" w:hAnsi="Times New Roman" w:eastAsia="黑体" w:cs="Times New Roman"/>
          <w:spacing w:val="30"/>
          <w:sz w:val="32"/>
          <w:szCs w:val="32"/>
        </w:rPr>
      </w:pPr>
      <w:bookmarkStart w:id="125" w:name="_Toc24997"/>
      <w:bookmarkStart w:id="126" w:name="_Toc2347"/>
      <w:bookmarkStart w:id="127" w:name="_Toc7405"/>
      <w:bookmarkStart w:id="128" w:name="_Toc22500"/>
      <w:r>
        <w:rPr>
          <w:rFonts w:ascii="Times New Roman" w:hAnsi="Times New Roman" w:eastAsia="仿宋_GB2312" w:cs="Times New Roman"/>
          <w:b/>
          <w:sz w:val="30"/>
          <w:szCs w:val="30"/>
        </w:rPr>
        <w:t>中国工程建设标准化协会标准</w:t>
      </w:r>
      <w:bookmarkEnd w:id="125"/>
      <w:bookmarkEnd w:id="126"/>
      <w:bookmarkEnd w:id="127"/>
      <w:bookmarkEnd w:id="128"/>
    </w:p>
    <w:p>
      <w:pPr>
        <w:spacing w:line="300" w:lineRule="auto"/>
        <w:ind w:firstLine="0" w:firstLineChars="0"/>
        <w:jc w:val="center"/>
        <w:rPr>
          <w:rFonts w:ascii="Times New Roman" w:hAnsi="Times New Roman" w:eastAsia="黑体" w:cs="Times New Roman"/>
          <w:spacing w:val="30"/>
          <w:sz w:val="32"/>
          <w:szCs w:val="32"/>
        </w:rPr>
      </w:pPr>
    </w:p>
    <w:p>
      <w:pPr>
        <w:spacing w:line="300" w:lineRule="auto"/>
        <w:ind w:firstLine="0" w:firstLineChars="0"/>
        <w:jc w:val="center"/>
        <w:rPr>
          <w:rFonts w:ascii="Times New Roman" w:hAnsi="Times New Roman" w:eastAsia="黑体" w:cs="Times New Roman"/>
          <w:spacing w:val="30"/>
          <w:sz w:val="32"/>
          <w:szCs w:val="32"/>
        </w:rPr>
      </w:pPr>
      <w:r>
        <w:rPr>
          <w:rFonts w:ascii="Times New Roman" w:hAnsi="Times New Roman" w:eastAsia="黑体" w:cs="Times New Roman"/>
          <w:spacing w:val="30"/>
          <w:sz w:val="32"/>
          <w:szCs w:val="32"/>
        </w:rPr>
        <w:t>《</w:t>
      </w:r>
      <w:r>
        <w:rPr>
          <w:rFonts w:hint="eastAsia" w:ascii="Times New Roman" w:hAnsi="Times New Roman" w:eastAsia="黑体" w:cs="Times New Roman"/>
          <w:spacing w:val="30"/>
          <w:sz w:val="32"/>
          <w:szCs w:val="32"/>
        </w:rPr>
        <w:t>铁路隧道明挖法技术规程</w:t>
      </w:r>
      <w:r>
        <w:rPr>
          <w:rFonts w:ascii="Times New Roman" w:hAnsi="Times New Roman" w:eastAsia="黑体" w:cs="Times New Roman"/>
          <w:spacing w:val="30"/>
          <w:sz w:val="32"/>
          <w:szCs w:val="32"/>
        </w:rPr>
        <w:t>》</w:t>
      </w:r>
    </w:p>
    <w:p>
      <w:pPr>
        <w:spacing w:before="156" w:after="156" w:line="280" w:lineRule="exact"/>
        <w:ind w:firstLine="0" w:firstLineChars="0"/>
        <w:jc w:val="center"/>
        <w:rPr>
          <w:rFonts w:ascii="Times New Roman" w:hAnsi="Times New Roman" w:cs="Times New Roman" w:eastAsiaTheme="minorEastAsia"/>
          <w:sz w:val="21"/>
          <w:szCs w:val="22"/>
        </w:rPr>
      </w:pPr>
      <w:r>
        <w:rPr>
          <w:rFonts w:hint="eastAsia" w:ascii="Times New Roman" w:hAnsi="Times New Roman" w:cs="Times New Roman" w:eastAsiaTheme="minorEastAsia"/>
          <w:sz w:val="21"/>
          <w:szCs w:val="22"/>
        </w:rPr>
        <w:t>Technical regulations for open excavation method of railway tunnel</w:t>
      </w:r>
    </w:p>
    <w:p>
      <w:pPr>
        <w:spacing w:before="156" w:after="156" w:line="280" w:lineRule="exact"/>
        <w:ind w:firstLine="0" w:firstLineChars="0"/>
        <w:jc w:val="center"/>
        <w:outlineLvl w:val="0"/>
        <w:rPr>
          <w:rFonts w:ascii="Times New Roman" w:hAnsi="Times New Roman" w:cs="Times New Roman" w:eastAsiaTheme="minorEastAsia"/>
          <w:b/>
          <w:bCs/>
          <w:sz w:val="32"/>
          <w:szCs w:val="32"/>
        </w:rPr>
      </w:pPr>
      <w:bookmarkStart w:id="129" w:name="_Toc3961"/>
      <w:bookmarkStart w:id="130" w:name="_Toc24310"/>
      <w:bookmarkStart w:id="131" w:name="_Toc18857"/>
      <w:bookmarkStart w:id="132" w:name="_Toc4542"/>
      <w:r>
        <w:rPr>
          <w:rFonts w:ascii="Times New Roman" w:hAnsi="Times New Roman" w:cs="Times New Roman" w:eastAsiaTheme="minorEastAsia"/>
          <w:b/>
          <w:bCs/>
          <w:sz w:val="32"/>
          <w:szCs w:val="32"/>
        </w:rPr>
        <w:t>（T/CECS***-202*）</w:t>
      </w:r>
      <w:bookmarkEnd w:id="129"/>
      <w:bookmarkEnd w:id="130"/>
      <w:bookmarkEnd w:id="131"/>
      <w:bookmarkEnd w:id="132"/>
    </w:p>
    <w:p>
      <w:pPr>
        <w:spacing w:before="156" w:after="156" w:line="280" w:lineRule="exact"/>
        <w:ind w:firstLine="0" w:firstLineChars="0"/>
        <w:jc w:val="center"/>
        <w:rPr>
          <w:rFonts w:hint="eastAsia" w:ascii="Times New Roman" w:hAnsi="Times New Roman" w:cs="Times New Roman" w:eastAsiaTheme="minorEastAsia"/>
          <w:b/>
          <w:bCs/>
          <w:sz w:val="32"/>
          <w:szCs w:val="32"/>
          <w:lang w:val="en-US" w:eastAsia="zh-CN"/>
        </w:rPr>
      </w:pPr>
    </w:p>
    <w:p>
      <w:pPr>
        <w:spacing w:line="300" w:lineRule="auto"/>
        <w:ind w:left="0" w:leftChars="0" w:firstLine="0" w:firstLineChars="0"/>
        <w:jc w:val="center"/>
        <w:rPr>
          <w:rFonts w:ascii="Times New Roman" w:hAnsi="Times New Roman" w:eastAsia="黑体" w:cs="Times New Roman"/>
          <w:spacing w:val="30"/>
          <w:sz w:val="32"/>
          <w:szCs w:val="32"/>
        </w:rPr>
      </w:pPr>
      <w:r>
        <w:rPr>
          <w:rFonts w:ascii="Times New Roman" w:hAnsi="Times New Roman" w:eastAsia="黑体" w:cs="Times New Roman"/>
          <w:spacing w:val="30"/>
          <w:sz w:val="32"/>
          <w:szCs w:val="32"/>
        </w:rPr>
        <w:t>（条文说明）</w:t>
      </w: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center"/>
        <w:rPr>
          <w:rFonts w:eastAsia="黑体"/>
          <w:sz w:val="32"/>
          <w:szCs w:val="32"/>
        </w:rPr>
      </w:pPr>
    </w:p>
    <w:p>
      <w:pPr>
        <w:ind w:firstLine="0" w:firstLineChars="0"/>
        <w:jc w:val="both"/>
        <w:rPr>
          <w:rFonts w:eastAsia="黑体"/>
          <w:b/>
          <w:bCs/>
          <w:sz w:val="32"/>
          <w:szCs w:val="32"/>
        </w:rPr>
      </w:pPr>
    </w:p>
    <w:p>
      <w:pPr>
        <w:ind w:firstLine="0" w:firstLineChars="0"/>
        <w:jc w:val="center"/>
        <w:rPr>
          <w:rFonts w:eastAsia="黑体"/>
          <w:b/>
          <w:bCs/>
          <w:sz w:val="32"/>
          <w:szCs w:val="32"/>
        </w:rPr>
      </w:pPr>
    </w:p>
    <w:p>
      <w:pPr>
        <w:ind w:firstLine="0" w:firstLineChars="0"/>
        <w:jc w:val="center"/>
        <w:rPr>
          <w:rFonts w:eastAsia="黑体"/>
          <w:b/>
          <w:bCs/>
          <w:sz w:val="32"/>
          <w:szCs w:val="32"/>
        </w:rPr>
      </w:pPr>
    </w:p>
    <w:p>
      <w:pPr>
        <w:ind w:firstLine="0" w:firstLineChars="0"/>
        <w:jc w:val="center"/>
        <w:rPr>
          <w:rFonts w:eastAsia="黑体"/>
          <w:b/>
          <w:bCs/>
          <w:sz w:val="32"/>
          <w:szCs w:val="32"/>
        </w:rPr>
        <w:sectPr>
          <w:headerReference r:id="rId22" w:type="first"/>
          <w:footerReference r:id="rId25" w:type="first"/>
          <w:headerReference r:id="rId20" w:type="default"/>
          <w:footerReference r:id="rId23" w:type="default"/>
          <w:headerReference r:id="rId21" w:type="even"/>
          <w:footerReference r:id="rId24" w:type="even"/>
          <w:pgSz w:w="11906" w:h="16838"/>
          <w:pgMar w:top="1440" w:right="1800" w:bottom="1440" w:left="1800" w:header="851" w:footer="992" w:gutter="0"/>
          <w:pgNumType w:fmt="upperRoman"/>
          <w:cols w:space="425" w:num="1"/>
          <w:docGrid w:type="lines" w:linePitch="312" w:charSpace="0"/>
        </w:sectPr>
      </w:pPr>
      <w:r>
        <w:rPr>
          <w:rFonts w:eastAsia="黑体"/>
          <w:b/>
          <w:bCs/>
          <w:sz w:val="32"/>
          <w:szCs w:val="32"/>
        </w:rPr>
        <w:t>XXXX</w:t>
      </w:r>
      <w:r>
        <w:rPr>
          <w:rFonts w:hint="eastAsia" w:eastAsia="黑体"/>
          <w:b/>
          <w:bCs/>
          <w:sz w:val="32"/>
          <w:szCs w:val="32"/>
        </w:rPr>
        <w:t>年．*</w:t>
      </w:r>
      <w:r>
        <w:rPr>
          <w:rFonts w:eastAsia="黑体"/>
          <w:b/>
          <w:bCs/>
          <w:sz w:val="32"/>
          <w:szCs w:val="32"/>
        </w:rPr>
        <w:t>*</w:t>
      </w:r>
      <w:bookmarkStart w:id="176" w:name="_GoBack"/>
      <w:bookmarkEnd w:id="176"/>
    </w:p>
    <w:sdt>
      <w:sdtPr>
        <w:rPr>
          <w:rFonts w:eastAsia="黑体"/>
          <w:caps/>
          <w:lang w:val="en-US" w:eastAsia="zh-CN"/>
        </w:rPr>
        <w:id w:val="147470865"/>
        <w15:color w:val="DBDBDB"/>
        <w:docPartObj>
          <w:docPartGallery w:val="Table of Contents"/>
          <w:docPartUnique/>
        </w:docPartObj>
      </w:sdtPr>
      <w:sdtEndPr>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sdtEndPr>
      <w:sdtContent>
        <w:sdt>
          <w:sdtPr>
            <w:rPr>
              <w:rFonts w:eastAsia="黑体"/>
              <w:caps/>
              <w:lang w:val="en-US" w:eastAsia="zh-CN"/>
            </w:rPr>
            <w:id w:val="147470865"/>
            <w15:color w:val="DBDBDB"/>
            <w:docPartObj>
              <w:docPartGallery w:val="Table of Contents"/>
              <w:docPartUnique/>
            </w:docPartObj>
          </w:sdtPr>
          <w:sdtEndPr>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sdtEndPr>
          <w:sdtContent>
            <w:p>
              <w:pPr>
                <w:pStyle w:val="15"/>
                <w:tabs>
                  <w:tab w:val="right" w:leader="dot" w:pos="8306"/>
                  <w:tab w:val="clear" w:pos="284"/>
                  <w:tab w:val="clear" w:pos="8296"/>
                </w:tabs>
                <w:ind w:firstLine="0" w:firstLineChars="0"/>
                <w:jc w:val="center"/>
                <w:rPr>
                  <w:rFonts w:ascii="Times New Roman" w:hAnsi="Times New Roman" w:eastAsia="黑体" w:cstheme="minorBidi"/>
                  <w:caps/>
                  <w:color w:val="000000" w:themeColor="text1"/>
                  <w:kern w:val="2"/>
                  <w:sz w:val="24"/>
                  <w:szCs w:val="21"/>
                  <w:lang w:val="en-US" w:eastAsia="zh-CN" w:bidi="ar-SA"/>
                  <w14:textFill>
                    <w14:solidFill>
                      <w14:schemeClr w14:val="tx1"/>
                    </w14:solidFill>
                  </w14:textFill>
                </w:rPr>
              </w:pPr>
              <w:r>
                <w:rPr>
                  <w:rFonts w:eastAsia="黑体"/>
                  <w:caps/>
                </w:rPr>
                <w:t>目</w:t>
              </w:r>
              <w:r>
                <w:rPr>
                  <w:rFonts w:hint="eastAsia" w:eastAsia="黑体"/>
                  <w:caps/>
                  <w:lang w:val="en-US" w:eastAsia="zh-CN"/>
                </w:rPr>
                <w:t xml:space="preserve"> </w:t>
              </w:r>
              <w:r>
                <w:rPr>
                  <w:rFonts w:eastAsia="黑体"/>
                  <w:caps/>
                </w:rPr>
                <w:t>录</w:t>
              </w:r>
              <w:r>
                <w:rPr>
                  <w:rFonts w:eastAsia="黑体"/>
                  <w:caps/>
                </w:rPr>
                <w:fldChar w:fldCharType="begin"/>
              </w:r>
              <w:r>
                <w:rPr>
                  <w:rFonts w:eastAsia="黑体"/>
                  <w:caps/>
                </w:rPr>
                <w:instrText xml:space="preserve">TOC \o "1-1" \h \u </w:instrText>
              </w:r>
              <w:r>
                <w:rPr>
                  <w:rFonts w:eastAsia="黑体"/>
                  <w:caps/>
                </w:rPr>
                <w:fldChar w:fldCharType="separate"/>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_Toc20369 </w:instrText>
              </w:r>
              <w:r>
                <w:rPr>
                  <w:rFonts w:eastAsia="黑体"/>
                  <w:caps/>
                </w:rPr>
                <w:fldChar w:fldCharType="separate"/>
              </w:r>
              <w:r>
                <w:rPr>
                  <w:rFonts w:hint="eastAsia" w:ascii="Times New Roman" w:hAnsi="Times New Roman" w:eastAsia="黑体" w:cstheme="minorBidi"/>
                  <w:bCs/>
                  <w:color w:val="0000BF" w:themeColor="hyperlink" w:themeShade="BF"/>
                  <w:kern w:val="44"/>
                  <w:szCs w:val="32"/>
                  <w:lang w:val="en-US" w:eastAsia="zh-CN" w:bidi="ar-SA"/>
                </w:rPr>
                <w:t>1总 则</w:t>
              </w:r>
              <w:r>
                <w:tab/>
              </w:r>
              <w:r>
                <w:fldChar w:fldCharType="begin"/>
              </w:r>
              <w:r>
                <w:instrText xml:space="preserve"> PAGEREF _Toc20369 \h </w:instrText>
              </w:r>
              <w:r>
                <w:fldChar w:fldCharType="separate"/>
              </w:r>
              <w:r>
                <w:t>1</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_Toc28212 </w:instrText>
              </w:r>
              <w:r>
                <w:rPr>
                  <w:rFonts w:eastAsia="黑体"/>
                  <w:caps/>
                </w:rPr>
                <w:fldChar w:fldCharType="separate"/>
              </w:r>
              <w:r>
                <w:rPr>
                  <w:rFonts w:hint="eastAsia"/>
                  <w:lang w:val="en-US" w:eastAsia="zh-CN"/>
                </w:rPr>
                <w:t>3基本规定</w:t>
              </w:r>
              <w:r>
                <w:tab/>
              </w:r>
              <w:r>
                <w:fldChar w:fldCharType="begin"/>
              </w:r>
              <w:r>
                <w:instrText xml:space="preserve"> PAGEREF _Toc28212 \h </w:instrText>
              </w:r>
              <w:r>
                <w:fldChar w:fldCharType="separate"/>
              </w:r>
              <w:r>
                <w:t>2</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_Toc17191 </w:instrText>
              </w:r>
              <w:r>
                <w:rPr>
                  <w:rFonts w:eastAsia="黑体"/>
                  <w:caps/>
                </w:rPr>
                <w:fldChar w:fldCharType="separate"/>
              </w:r>
              <w:r>
                <w:rPr>
                  <w:rFonts w:hint="eastAsia"/>
                  <w:lang w:val="en-US" w:eastAsia="zh-CN"/>
                </w:rPr>
                <w:t>4</w:t>
              </w:r>
              <w:r>
                <w:rPr>
                  <w:rFonts w:hint="eastAsia"/>
                </w:rPr>
                <w:t>岩土勘察与环境调查</w:t>
              </w:r>
              <w:r>
                <w:tab/>
              </w:r>
              <w:r>
                <w:fldChar w:fldCharType="begin"/>
              </w:r>
              <w:r>
                <w:instrText xml:space="preserve"> PAGEREF _Toc17191 \h </w:instrText>
              </w:r>
              <w:r>
                <w:fldChar w:fldCharType="separate"/>
              </w:r>
              <w:r>
                <w:t>12</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_Toc17966 </w:instrText>
              </w:r>
              <w:r>
                <w:rPr>
                  <w:rFonts w:eastAsia="黑体"/>
                  <w:caps/>
                </w:rPr>
                <w:fldChar w:fldCharType="separate"/>
              </w:r>
              <w:r>
                <w:rPr>
                  <w:rFonts w:hint="eastAsia"/>
                  <w:lang w:val="en-US" w:eastAsia="zh-CN"/>
                </w:rPr>
                <w:t>5</w:t>
              </w:r>
              <w:r>
                <w:rPr>
                  <w:rFonts w:hint="eastAsia"/>
                </w:rPr>
                <w:t>设计荷载</w:t>
              </w:r>
              <w:r>
                <w:tab/>
              </w:r>
              <w:r>
                <w:fldChar w:fldCharType="begin"/>
              </w:r>
              <w:r>
                <w:instrText xml:space="preserve"> PAGEREF _Toc17966 \h </w:instrText>
              </w:r>
              <w:r>
                <w:fldChar w:fldCharType="separate"/>
              </w:r>
              <w:r>
                <w:t>15</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_Toc14886 </w:instrText>
              </w:r>
              <w:r>
                <w:rPr>
                  <w:rFonts w:eastAsia="黑体"/>
                  <w:caps/>
                </w:rPr>
                <w:fldChar w:fldCharType="separate"/>
              </w:r>
              <w:r>
                <w:rPr>
                  <w:rFonts w:hint="eastAsia"/>
                  <w:lang w:val="en-US" w:eastAsia="zh-CN"/>
                </w:rPr>
                <w:t>6</w:t>
              </w:r>
              <w:r>
                <w:rPr>
                  <w:rFonts w:hint="eastAsia"/>
                </w:rPr>
                <w:t>建筑材料</w:t>
              </w:r>
              <w:r>
                <w:tab/>
              </w:r>
              <w:r>
                <w:fldChar w:fldCharType="begin"/>
              </w:r>
              <w:r>
                <w:instrText xml:space="preserve"> PAGEREF _Toc14886 \h </w:instrText>
              </w:r>
              <w:r>
                <w:fldChar w:fldCharType="separate"/>
              </w:r>
              <w:r>
                <w:t>23</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_Toc7942 </w:instrText>
              </w:r>
              <w:r>
                <w:rPr>
                  <w:rFonts w:eastAsia="黑体"/>
                  <w:caps/>
                </w:rPr>
                <w:fldChar w:fldCharType="separate"/>
              </w:r>
              <w:r>
                <w:rPr>
                  <w:rFonts w:hint="eastAsia"/>
                  <w:lang w:val="en-US" w:eastAsia="zh-CN"/>
                </w:rPr>
                <w:t>7基坑支护结构</w:t>
              </w:r>
              <w:r>
                <w:tab/>
              </w:r>
              <w:r>
                <w:fldChar w:fldCharType="begin"/>
              </w:r>
              <w:r>
                <w:instrText xml:space="preserve"> PAGEREF _Toc7942 \h </w:instrText>
              </w:r>
              <w:r>
                <w:fldChar w:fldCharType="separate"/>
              </w:r>
              <w:r>
                <w:t>28</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_Toc17981 </w:instrText>
              </w:r>
              <w:r>
                <w:rPr>
                  <w:rFonts w:eastAsia="黑体"/>
                  <w:caps/>
                </w:rPr>
                <w:fldChar w:fldCharType="separate"/>
              </w:r>
              <w:r>
                <w:rPr>
                  <w:rFonts w:hint="eastAsia"/>
                  <w:lang w:val="en-US" w:eastAsia="zh-CN"/>
                </w:rPr>
                <w:t>8</w:t>
              </w:r>
              <w:r>
                <w:t>土体加固</w:t>
              </w:r>
              <w:r>
                <w:tab/>
              </w:r>
              <w:r>
                <w:fldChar w:fldCharType="begin"/>
              </w:r>
              <w:r>
                <w:instrText xml:space="preserve"> PAGEREF _Toc17981 \h </w:instrText>
              </w:r>
              <w:r>
                <w:fldChar w:fldCharType="separate"/>
              </w:r>
              <w:r>
                <w:t>58</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_Toc18050 </w:instrText>
              </w:r>
              <w:r>
                <w:rPr>
                  <w:rFonts w:eastAsia="黑体"/>
                  <w:caps/>
                </w:rPr>
                <w:fldChar w:fldCharType="separate"/>
              </w:r>
              <w:r>
                <w:rPr>
                  <w:rFonts w:hint="eastAsia"/>
                  <w:lang w:val="en-US" w:eastAsia="zh-CN"/>
                </w:rPr>
                <w:t>9</w:t>
              </w:r>
              <w:r>
                <w:rPr>
                  <w:rFonts w:hint="eastAsia"/>
                </w:rPr>
                <w:t>基坑地下水</w:t>
              </w:r>
              <w:r>
                <w:t>控制</w:t>
              </w:r>
              <w:r>
                <w:tab/>
              </w:r>
              <w:r>
                <w:fldChar w:fldCharType="begin"/>
              </w:r>
              <w:r>
                <w:instrText xml:space="preserve"> PAGEREF _Toc18050 \h </w:instrText>
              </w:r>
              <w:r>
                <w:fldChar w:fldCharType="separate"/>
              </w:r>
              <w:r>
                <w:t>69</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_Toc15779 </w:instrText>
              </w:r>
              <w:r>
                <w:rPr>
                  <w:rFonts w:eastAsia="黑体"/>
                  <w:caps/>
                </w:rPr>
                <w:fldChar w:fldCharType="separate"/>
              </w:r>
              <w:r>
                <w:rPr>
                  <w:rFonts w:hint="eastAsia"/>
                  <w:lang w:val="en-US" w:eastAsia="zh-CN"/>
                </w:rPr>
                <w:t>10</w:t>
              </w:r>
              <w:r>
                <w:rPr>
                  <w:rFonts w:hint="eastAsia"/>
                </w:rPr>
                <w:t>基坑监测</w:t>
              </w:r>
              <w:r>
                <w:tab/>
              </w:r>
              <w:r>
                <w:fldChar w:fldCharType="begin"/>
              </w:r>
              <w:r>
                <w:instrText xml:space="preserve"> PAGEREF _Toc15779 \h </w:instrText>
              </w:r>
              <w:r>
                <w:fldChar w:fldCharType="separate"/>
              </w:r>
              <w:r>
                <w:t>74</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_Toc9056 </w:instrText>
              </w:r>
              <w:r>
                <w:rPr>
                  <w:rFonts w:eastAsia="黑体"/>
                  <w:caps/>
                </w:rPr>
                <w:fldChar w:fldCharType="separate"/>
              </w:r>
              <w:r>
                <w:rPr>
                  <w:rFonts w:hint="eastAsia"/>
                  <w:lang w:val="en-US" w:eastAsia="zh-CN"/>
                </w:rPr>
                <w:t>11</w:t>
              </w:r>
              <w:r>
                <w:rPr>
                  <w:rFonts w:hint="eastAsia"/>
                </w:rPr>
                <w:t>主体结构及防水</w:t>
              </w:r>
              <w:r>
                <w:tab/>
              </w:r>
              <w:r>
                <w:fldChar w:fldCharType="begin"/>
              </w:r>
              <w:r>
                <w:instrText xml:space="preserve"> PAGEREF _Toc9056 \h </w:instrText>
              </w:r>
              <w:r>
                <w:fldChar w:fldCharType="separate"/>
              </w:r>
              <w:r>
                <w:t>75</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_Toc14331 </w:instrText>
              </w:r>
              <w:r>
                <w:rPr>
                  <w:rFonts w:eastAsia="黑体"/>
                  <w:caps/>
                </w:rPr>
                <w:fldChar w:fldCharType="separate"/>
              </w:r>
              <w:r>
                <w:rPr>
                  <w:rFonts w:hint="eastAsia"/>
                  <w:lang w:val="en-US" w:eastAsia="zh-CN"/>
                </w:rPr>
                <w:t>12</w:t>
              </w:r>
              <w:r>
                <w:rPr>
                  <w:rFonts w:hint="eastAsia"/>
                </w:rPr>
                <w:t>环境</w:t>
              </w:r>
              <w:r>
                <w:t>保护</w:t>
              </w:r>
              <w:r>
                <w:tab/>
              </w:r>
              <w:r>
                <w:fldChar w:fldCharType="begin"/>
              </w:r>
              <w:r>
                <w:instrText xml:space="preserve"> PAGEREF _Toc14331 \h </w:instrText>
              </w:r>
              <w:r>
                <w:fldChar w:fldCharType="separate"/>
              </w:r>
              <w:r>
                <w:t>85</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_Toc29481 </w:instrText>
              </w:r>
              <w:r>
                <w:rPr>
                  <w:rFonts w:eastAsia="黑体"/>
                  <w:caps/>
                </w:rPr>
                <w:fldChar w:fldCharType="separate"/>
              </w:r>
              <w:r>
                <w:rPr>
                  <w:rFonts w:hint="eastAsia"/>
                </w:rPr>
                <w:t>附</w:t>
              </w:r>
              <w:r>
                <w:rPr>
                  <w:rFonts w:hint="eastAsia"/>
                  <w:lang w:val="en-US" w:eastAsia="zh-CN"/>
                </w:rPr>
                <w:t xml:space="preserve"> </w:t>
              </w:r>
              <w:r>
                <w:rPr>
                  <w:rFonts w:hint="eastAsia"/>
                </w:rPr>
                <w:t>录</w:t>
              </w:r>
              <w:r>
                <w:tab/>
              </w:r>
              <w:r>
                <w:fldChar w:fldCharType="begin"/>
              </w:r>
              <w:r>
                <w:instrText xml:space="preserve"> PAGEREF _Toc29481 \h </w:instrText>
              </w:r>
              <w:r>
                <w:fldChar w:fldCharType="separate"/>
              </w:r>
              <w:r>
                <w:t>86</w:t>
              </w:r>
              <w:r>
                <w:fldChar w:fldCharType="end"/>
              </w:r>
              <w:r>
                <w:rPr>
                  <w:rFonts w:eastAsia="黑体"/>
                  <w:caps/>
                </w:rPr>
                <w:fldChar w:fldCharType="end"/>
              </w:r>
            </w:p>
            <w:p>
              <w:pPr>
                <w:pStyle w:val="15"/>
                <w:tabs>
                  <w:tab w:val="right" w:leader="dot" w:pos="8306"/>
                  <w:tab w:val="clear" w:pos="284"/>
                  <w:tab w:val="clear" w:pos="8296"/>
                </w:tabs>
                <w:ind w:firstLine="0" w:firstLineChars="0"/>
                <w:sectPr>
                  <w:footerReference r:id="rId26" w:type="default"/>
                  <w:pgSz w:w="11906" w:h="16838"/>
                  <w:pgMar w:top="1440" w:right="1800" w:bottom="1440" w:left="1800" w:header="851" w:footer="992" w:gutter="0"/>
                  <w:pgNumType w:fmt="upperRoman" w:start="1"/>
                  <w:cols w:space="425" w:num="1"/>
                  <w:docGrid w:type="lines" w:linePitch="312" w:charSpace="0"/>
                </w:sectPr>
              </w:pPr>
              <w:r>
                <w:rPr>
                  <w:rFonts w:eastAsia="黑体"/>
                  <w:caps/>
                </w:rPr>
                <w:fldChar w:fldCharType="end"/>
              </w:r>
            </w:p>
          </w:sdtContent>
        </w:sdt>
      </w:sdtContent>
    </w:sdt>
    <w:sdt>
      <w:sdtPr>
        <w:rPr>
          <w:rFonts w:eastAsia="黑体"/>
          <w:caps/>
          <w:lang w:val="en-US" w:eastAsia="zh-CN"/>
        </w:rPr>
        <w:id w:val="147470865"/>
        <w15:color w:val="DBDBDB"/>
        <w:docPartObj>
          <w:docPartGallery w:val="Table of Contents"/>
          <w:docPartUnique/>
        </w:docPartObj>
      </w:sdtPr>
      <w:sdtEndPr>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sdtEndPr>
      <w:sdtContent>
        <w:sdt>
          <w:sdtPr>
            <w:rPr>
              <w:rFonts w:eastAsia="黑体"/>
              <w:caps/>
              <w:lang w:val="en-US" w:eastAsia="zh-CN"/>
            </w:rPr>
            <w:id w:val="147470865"/>
            <w15:color w:val="DBDBDB"/>
            <w:docPartObj>
              <w:docPartGallery w:val="Table of Contents"/>
              <w:docPartUnique/>
            </w:docPartObj>
          </w:sdtPr>
          <w:sdtEndPr>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sdtEndPr>
          <w:sdtContent>
            <w:p>
              <w:pPr>
                <w:ind w:left="0" w:leftChars="0" w:firstLine="0" w:firstLineChars="0"/>
                <w:jc w:val="center"/>
                <w:outlineLvl w:val="9"/>
                <w:rPr>
                  <w:rFonts w:ascii="Times New Roman" w:hAnsi="Times New Roman" w:eastAsia="黑体" w:cstheme="minorBidi"/>
                  <w:caps/>
                  <w:color w:val="000000" w:themeColor="text1"/>
                  <w:kern w:val="2"/>
                  <w:sz w:val="24"/>
                  <w:szCs w:val="21"/>
                  <w:lang w:val="en-US" w:eastAsia="zh-CN" w:bidi="ar-SA"/>
                  <w14:textFill>
                    <w14:solidFill>
                      <w14:schemeClr w14:val="tx1"/>
                    </w14:solidFill>
                  </w14:textFill>
                </w:rPr>
              </w:pPr>
              <w:bookmarkStart w:id="133" w:name="_Toc16570"/>
              <w:r>
                <w:rPr>
                  <w:rFonts w:hint="eastAsia"/>
                  <w:bCs/>
                  <w:color w:val="953735" w:themeColor="accent2" w:themeShade="BF"/>
                  <w:kern w:val="44"/>
                  <w:sz w:val="32"/>
                  <w:szCs w:val="32"/>
                  <w:lang w:val="en-US" w:eastAsia="zh-CN"/>
                </w:rPr>
                <w:t>C</w:t>
              </w:r>
              <w:r>
                <w:rPr>
                  <w:rFonts w:hint="eastAsia"/>
                  <w:bCs/>
                  <w:color w:val="953735" w:themeColor="accent2" w:themeShade="BF"/>
                  <w:kern w:val="44"/>
                  <w:sz w:val="32"/>
                  <w:szCs w:val="32"/>
                </w:rPr>
                <w:t>ontents</w:t>
              </w:r>
              <w:r>
                <w:rPr>
                  <w:rFonts w:eastAsia="黑体"/>
                  <w:caps/>
                </w:rPr>
                <w:fldChar w:fldCharType="begin"/>
              </w:r>
              <w:r>
                <w:rPr>
                  <w:rFonts w:eastAsia="黑体"/>
                  <w:caps/>
                </w:rPr>
                <w:instrText xml:space="preserve">TOC \o "1-1" \h \u </w:instrText>
              </w:r>
              <w:r>
                <w:rPr>
                  <w:rFonts w:eastAsia="黑体"/>
                  <w:caps/>
                </w:rPr>
                <w:fldChar w:fldCharType="separate"/>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_Toc9531 </w:instrText>
              </w:r>
              <w:r>
                <w:rPr>
                  <w:rFonts w:eastAsia="黑体"/>
                  <w:caps/>
                </w:rPr>
                <w:fldChar w:fldCharType="separate"/>
              </w:r>
              <w:r>
                <w:rPr>
                  <w:rFonts w:hint="eastAsia" w:ascii="Times New Roman" w:hAnsi="Times New Roman" w:eastAsia="黑体" w:cstheme="minorBidi"/>
                  <w:bCs/>
                  <w:color w:val="0000BF" w:themeColor="hyperlink" w:themeShade="BF"/>
                  <w:kern w:val="44"/>
                  <w:szCs w:val="32"/>
                  <w:lang w:val="en-US" w:eastAsia="zh-CN" w:bidi="ar-SA"/>
                </w:rPr>
                <w:t>1</w:t>
              </w:r>
              <w:r>
                <w:rPr>
                  <w:rFonts w:hint="eastAsia" w:eastAsia="黑体" w:cstheme="minorBidi"/>
                  <w:bCs/>
                  <w:color w:val="0000BF" w:themeColor="hyperlink" w:themeShade="BF"/>
                  <w:kern w:val="44"/>
                  <w:szCs w:val="32"/>
                  <w:lang w:val="en-US" w:eastAsia="zh-CN" w:bidi="ar-SA"/>
                </w:rPr>
                <w:t xml:space="preserve"> </w:t>
              </w:r>
              <w:r>
                <w:rPr>
                  <w:rFonts w:hint="eastAsia"/>
                  <w:i w:val="0"/>
                  <w:color w:val="auto"/>
                  <w:w w:val="100"/>
                  <w:sz w:val="28"/>
                  <w:szCs w:val="28"/>
                  <w:lang w:val="en-US" w:eastAsia="zh-CN"/>
                </w:rPr>
                <w:t>G</w:t>
              </w:r>
              <w:r>
                <w:rPr>
                  <w:rFonts w:hint="eastAsia" w:ascii="Times New Roman" w:hAnsi="Times New Roman" w:eastAsia="宋体" w:cstheme="minorBidi"/>
                  <w:bCs/>
                  <w:caps w:val="0"/>
                  <w:color w:val="auto"/>
                  <w:kern w:val="44"/>
                  <w:sz w:val="28"/>
                  <w:szCs w:val="28"/>
                  <w:lang w:val="en-US" w:eastAsia="zh-CN" w:bidi="ar-SA"/>
                </w:rPr>
                <w:t xml:space="preserve">eneral </w:t>
              </w:r>
              <w:r>
                <w:rPr>
                  <w:rFonts w:hint="eastAsia" w:eastAsia="宋体" w:cstheme="minorBidi"/>
                  <w:bCs/>
                  <w:caps w:val="0"/>
                  <w:color w:val="auto"/>
                  <w:kern w:val="44"/>
                  <w:sz w:val="28"/>
                  <w:szCs w:val="28"/>
                  <w:lang w:val="en-US" w:eastAsia="zh-CN" w:bidi="ar-SA"/>
                </w:rPr>
                <w:t>P</w:t>
              </w:r>
              <w:r>
                <w:rPr>
                  <w:rFonts w:hint="eastAsia" w:ascii="Times New Roman" w:hAnsi="Times New Roman" w:eastAsia="宋体" w:cstheme="minorBidi"/>
                  <w:bCs/>
                  <w:caps w:val="0"/>
                  <w:color w:val="auto"/>
                  <w:kern w:val="44"/>
                  <w:sz w:val="28"/>
                  <w:szCs w:val="28"/>
                  <w:lang w:val="en-US" w:eastAsia="zh-CN" w:bidi="ar-SA"/>
                </w:rPr>
                <w:t>rovisions</w:t>
              </w:r>
              <w:r>
                <w:tab/>
              </w:r>
              <w:r>
                <w:fldChar w:fldCharType="begin"/>
              </w:r>
              <w:r>
                <w:instrText xml:space="preserve"> PAGEREF _Toc9531 \h </w:instrText>
              </w:r>
              <w:r>
                <w:fldChar w:fldCharType="separate"/>
              </w:r>
              <w:r>
                <w:t>1</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_Toc1638 </w:instrText>
              </w:r>
              <w:r>
                <w:rPr>
                  <w:rFonts w:eastAsia="黑体"/>
                  <w:caps/>
                </w:rPr>
                <w:fldChar w:fldCharType="separate"/>
              </w:r>
              <w:r>
                <w:rPr>
                  <w:rFonts w:hint="eastAsia"/>
                  <w:lang w:val="en-US" w:eastAsia="zh-CN"/>
                </w:rPr>
                <w:t xml:space="preserve">3 </w:t>
              </w:r>
              <w:r>
                <w:rPr>
                  <w:rFonts w:hint="eastAsia" w:eastAsia="宋体" w:cstheme="minorBidi"/>
                  <w:bCs/>
                  <w:caps w:val="0"/>
                  <w:color w:val="auto"/>
                  <w:kern w:val="44"/>
                  <w:sz w:val="28"/>
                  <w:szCs w:val="28"/>
                  <w:lang w:val="en-US" w:eastAsia="zh-CN" w:bidi="ar-SA"/>
                </w:rPr>
                <w:t>B</w:t>
              </w:r>
              <w:r>
                <w:rPr>
                  <w:rFonts w:hint="eastAsia" w:ascii="Times New Roman" w:hAnsi="Times New Roman" w:eastAsia="宋体" w:cstheme="minorBidi"/>
                  <w:bCs/>
                  <w:caps w:val="0"/>
                  <w:color w:val="auto"/>
                  <w:kern w:val="44"/>
                  <w:sz w:val="28"/>
                  <w:szCs w:val="28"/>
                  <w:lang w:val="en-US" w:eastAsia="zh-CN" w:bidi="ar-SA"/>
                </w:rPr>
                <w:t xml:space="preserve">asic </w:t>
              </w:r>
              <w:r>
                <w:rPr>
                  <w:rFonts w:hint="eastAsia" w:eastAsia="宋体" w:cstheme="minorBidi"/>
                  <w:bCs/>
                  <w:caps w:val="0"/>
                  <w:color w:val="auto"/>
                  <w:kern w:val="44"/>
                  <w:sz w:val="28"/>
                  <w:szCs w:val="28"/>
                  <w:lang w:val="en-US" w:eastAsia="zh-CN" w:bidi="ar-SA"/>
                </w:rPr>
                <w:t>R</w:t>
              </w:r>
              <w:r>
                <w:rPr>
                  <w:rFonts w:hint="eastAsia" w:ascii="Times New Roman" w:hAnsi="Times New Roman" w:eastAsia="宋体" w:cstheme="minorBidi"/>
                  <w:bCs/>
                  <w:caps w:val="0"/>
                  <w:color w:val="auto"/>
                  <w:kern w:val="44"/>
                  <w:sz w:val="28"/>
                  <w:szCs w:val="28"/>
                  <w:lang w:val="en-US" w:eastAsia="zh-CN" w:bidi="ar-SA"/>
                </w:rPr>
                <w:t>egulations</w:t>
              </w:r>
              <w:r>
                <w:tab/>
              </w:r>
              <w:r>
                <w:fldChar w:fldCharType="begin"/>
              </w:r>
              <w:r>
                <w:instrText xml:space="preserve"> PAGEREF _Toc1638 \h </w:instrText>
              </w:r>
              <w:r>
                <w:fldChar w:fldCharType="separate"/>
              </w:r>
              <w:r>
                <w:t>2</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_Toc27757 </w:instrText>
              </w:r>
              <w:r>
                <w:rPr>
                  <w:rFonts w:eastAsia="黑体"/>
                  <w:caps/>
                </w:rPr>
                <w:fldChar w:fldCharType="separate"/>
              </w:r>
              <w:r>
                <w:rPr>
                  <w:rFonts w:hint="eastAsia"/>
                  <w:lang w:val="en-US" w:eastAsia="zh-CN"/>
                </w:rPr>
                <w:t xml:space="preserve">4 </w:t>
              </w:r>
              <w:r>
                <w:rPr>
                  <w:rFonts w:hint="eastAsia" w:ascii="Times New Roman" w:hAnsi="Times New Roman" w:eastAsia="宋体" w:cstheme="minorBidi"/>
                  <w:bCs/>
                  <w:caps w:val="0"/>
                  <w:color w:val="auto"/>
                  <w:kern w:val="44"/>
                  <w:sz w:val="28"/>
                  <w:szCs w:val="28"/>
                  <w:lang w:val="en-US" w:eastAsia="zh-CN" w:bidi="ar-SA"/>
                </w:rPr>
                <w:t xml:space="preserve">Geotechnical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urvey </w:t>
              </w:r>
              <w:r>
                <w:rPr>
                  <w:rFonts w:hint="eastAsia" w:eastAsia="宋体" w:cstheme="minorBidi"/>
                  <w:bCs/>
                  <w:caps w:val="0"/>
                  <w:color w:val="auto"/>
                  <w:kern w:val="44"/>
                  <w:sz w:val="28"/>
                  <w:szCs w:val="28"/>
                  <w:lang w:val="en-US" w:eastAsia="zh-CN" w:bidi="ar-SA"/>
                </w:rPr>
                <w:t>a</w:t>
              </w:r>
              <w:r>
                <w:rPr>
                  <w:rFonts w:hint="eastAsia" w:ascii="Times New Roman" w:hAnsi="Times New Roman" w:eastAsia="宋体" w:cstheme="minorBidi"/>
                  <w:bCs/>
                  <w:caps w:val="0"/>
                  <w:color w:val="auto"/>
                  <w:kern w:val="44"/>
                  <w:sz w:val="28"/>
                  <w:szCs w:val="28"/>
                  <w:lang w:val="en-US" w:eastAsia="zh-CN" w:bidi="ar-SA"/>
                </w:rPr>
                <w:t xml:space="preserve">nd </w:t>
              </w:r>
              <w:r>
                <w:rPr>
                  <w:rFonts w:hint="eastAsia" w:eastAsia="宋体" w:cstheme="minorBidi"/>
                  <w:bCs/>
                  <w:caps w:val="0"/>
                  <w:color w:val="auto"/>
                  <w:kern w:val="44"/>
                  <w:sz w:val="28"/>
                  <w:szCs w:val="28"/>
                  <w:lang w:val="en-US" w:eastAsia="zh-CN" w:bidi="ar-SA"/>
                </w:rPr>
                <w:t>E</w:t>
              </w:r>
              <w:r>
                <w:rPr>
                  <w:rFonts w:hint="eastAsia" w:ascii="Times New Roman" w:hAnsi="Times New Roman" w:eastAsia="宋体" w:cstheme="minorBidi"/>
                  <w:bCs/>
                  <w:caps w:val="0"/>
                  <w:color w:val="auto"/>
                  <w:kern w:val="44"/>
                  <w:sz w:val="28"/>
                  <w:szCs w:val="28"/>
                  <w:lang w:val="en-US" w:eastAsia="zh-CN" w:bidi="ar-SA"/>
                </w:rPr>
                <w:t xml:space="preserve">nvironmental </w:t>
              </w:r>
              <w:r>
                <w:rPr>
                  <w:rFonts w:hint="eastAsia" w:eastAsia="宋体" w:cstheme="minorBidi"/>
                  <w:bCs/>
                  <w:caps w:val="0"/>
                  <w:color w:val="auto"/>
                  <w:kern w:val="44"/>
                  <w:sz w:val="28"/>
                  <w:szCs w:val="28"/>
                  <w:lang w:val="en-US" w:eastAsia="zh-CN" w:bidi="ar-SA"/>
                </w:rPr>
                <w:t>I</w:t>
              </w:r>
              <w:r>
                <w:rPr>
                  <w:rFonts w:hint="eastAsia" w:ascii="Times New Roman" w:hAnsi="Times New Roman" w:eastAsia="宋体" w:cstheme="minorBidi"/>
                  <w:bCs/>
                  <w:caps w:val="0"/>
                  <w:color w:val="auto"/>
                  <w:kern w:val="44"/>
                  <w:sz w:val="28"/>
                  <w:szCs w:val="28"/>
                  <w:lang w:val="en-US" w:eastAsia="zh-CN" w:bidi="ar-SA"/>
                </w:rPr>
                <w:t>nvestigation</w:t>
              </w:r>
              <w:r>
                <w:tab/>
              </w:r>
              <w:r>
                <w:fldChar w:fldCharType="begin"/>
              </w:r>
              <w:r>
                <w:instrText xml:space="preserve"> PAGEREF _Toc27757 \h </w:instrText>
              </w:r>
              <w:r>
                <w:fldChar w:fldCharType="separate"/>
              </w:r>
              <w:r>
                <w:t>12</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_Toc31857 </w:instrText>
              </w:r>
              <w:r>
                <w:rPr>
                  <w:rFonts w:eastAsia="黑体"/>
                  <w:caps/>
                </w:rPr>
                <w:fldChar w:fldCharType="separate"/>
              </w:r>
              <w:r>
                <w:rPr>
                  <w:rFonts w:hint="eastAsia"/>
                  <w:lang w:val="en-US" w:eastAsia="zh-CN"/>
                </w:rPr>
                <w:t xml:space="preserve">5 </w:t>
              </w:r>
              <w:r>
                <w:rPr>
                  <w:rFonts w:hint="eastAsia"/>
                  <w:i w:val="0"/>
                  <w:color w:val="0000BF" w:themeColor="hyperlink" w:themeShade="BF"/>
                  <w:w w:val="100"/>
                  <w:lang w:val="en-US" w:eastAsia="zh-CN"/>
                </w:rPr>
                <w:t>D</w:t>
              </w:r>
              <w:r>
                <w:rPr>
                  <w:rFonts w:hint="eastAsia" w:ascii="Times New Roman" w:hAnsi="Times New Roman" w:eastAsia="宋体" w:cstheme="minorBidi"/>
                  <w:bCs/>
                  <w:caps w:val="0"/>
                  <w:color w:val="auto"/>
                  <w:kern w:val="44"/>
                  <w:sz w:val="28"/>
                  <w:szCs w:val="28"/>
                  <w:lang w:val="en-US" w:eastAsia="zh-CN" w:bidi="ar-SA"/>
                </w:rPr>
                <w:t xml:space="preserve">esign </w:t>
              </w:r>
              <w:r>
                <w:rPr>
                  <w:rFonts w:hint="eastAsia" w:eastAsia="宋体" w:cstheme="minorBidi"/>
                  <w:bCs/>
                  <w:caps w:val="0"/>
                  <w:color w:val="auto"/>
                  <w:kern w:val="44"/>
                  <w:sz w:val="28"/>
                  <w:szCs w:val="28"/>
                  <w:lang w:val="en-US" w:eastAsia="zh-CN" w:bidi="ar-SA"/>
                </w:rPr>
                <w:t>L</w:t>
              </w:r>
              <w:r>
                <w:rPr>
                  <w:rFonts w:hint="eastAsia" w:ascii="Times New Roman" w:hAnsi="Times New Roman" w:eastAsia="宋体" w:cstheme="minorBidi"/>
                  <w:bCs/>
                  <w:caps w:val="0"/>
                  <w:color w:val="auto"/>
                  <w:kern w:val="44"/>
                  <w:sz w:val="28"/>
                  <w:szCs w:val="28"/>
                  <w:lang w:val="en-US" w:eastAsia="zh-CN" w:bidi="ar-SA"/>
                </w:rPr>
                <w:t>oad</w:t>
              </w:r>
              <w:r>
                <w:tab/>
              </w:r>
              <w:r>
                <w:fldChar w:fldCharType="begin"/>
              </w:r>
              <w:r>
                <w:instrText xml:space="preserve"> PAGEREF _Toc31857 \h </w:instrText>
              </w:r>
              <w:r>
                <w:fldChar w:fldCharType="separate"/>
              </w:r>
              <w:r>
                <w:t>15</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_Toc10765 </w:instrText>
              </w:r>
              <w:r>
                <w:rPr>
                  <w:rFonts w:eastAsia="黑体"/>
                  <w:caps/>
                </w:rPr>
                <w:fldChar w:fldCharType="separate"/>
              </w:r>
              <w:r>
                <w:rPr>
                  <w:rFonts w:hint="eastAsia"/>
                  <w:lang w:val="en-US" w:eastAsia="zh-CN"/>
                </w:rPr>
                <w:t xml:space="preserve">6 </w:t>
              </w:r>
              <w:r>
                <w:rPr>
                  <w:rFonts w:hint="eastAsia"/>
                  <w:i w:val="0"/>
                  <w:color w:val="0000BF" w:themeColor="hyperlink" w:themeShade="BF"/>
                  <w:w w:val="100"/>
                  <w:lang w:val="en-US" w:eastAsia="zh-CN"/>
                </w:rPr>
                <w:t>C</w:t>
              </w:r>
              <w:r>
                <w:rPr>
                  <w:rFonts w:hint="eastAsia" w:ascii="Times New Roman" w:hAnsi="Times New Roman" w:eastAsia="宋体" w:cstheme="minorBidi"/>
                  <w:bCs/>
                  <w:caps w:val="0"/>
                  <w:color w:val="auto"/>
                  <w:kern w:val="44"/>
                  <w:sz w:val="28"/>
                  <w:szCs w:val="28"/>
                  <w:lang w:val="en-US" w:eastAsia="zh-CN" w:bidi="ar-SA"/>
                </w:rPr>
                <w:t xml:space="preserve">onstruction </w:t>
              </w:r>
              <w:r>
                <w:rPr>
                  <w:rFonts w:hint="eastAsia" w:eastAsia="宋体" w:cstheme="minorBidi"/>
                  <w:bCs/>
                  <w:caps w:val="0"/>
                  <w:color w:val="auto"/>
                  <w:kern w:val="44"/>
                  <w:sz w:val="28"/>
                  <w:szCs w:val="28"/>
                  <w:lang w:val="en-US" w:eastAsia="zh-CN" w:bidi="ar-SA"/>
                </w:rPr>
                <w:t>M</w:t>
              </w:r>
              <w:r>
                <w:rPr>
                  <w:rFonts w:hint="eastAsia" w:ascii="Times New Roman" w:hAnsi="Times New Roman" w:eastAsia="宋体" w:cstheme="minorBidi"/>
                  <w:bCs/>
                  <w:caps w:val="0"/>
                  <w:color w:val="auto"/>
                  <w:kern w:val="44"/>
                  <w:sz w:val="28"/>
                  <w:szCs w:val="28"/>
                  <w:lang w:val="en-US" w:eastAsia="zh-CN" w:bidi="ar-SA"/>
                </w:rPr>
                <w:t>ateria</w:t>
              </w:r>
              <w:r>
                <w:rPr>
                  <w:rFonts w:hint="eastAsia"/>
                </w:rPr>
                <w:t>l</w:t>
              </w:r>
              <w:r>
                <w:tab/>
              </w:r>
              <w:r>
                <w:fldChar w:fldCharType="begin"/>
              </w:r>
              <w:r>
                <w:instrText xml:space="preserve"> PAGEREF _Toc10765 \h </w:instrText>
              </w:r>
              <w:r>
                <w:fldChar w:fldCharType="separate"/>
              </w:r>
              <w:r>
                <w:t>23</w:t>
              </w:r>
              <w:r>
                <w:fldChar w:fldCharType="end"/>
              </w:r>
              <w:r>
                <w:rPr>
                  <w:rFonts w:eastAsia="黑体"/>
                  <w:caps/>
                </w:rPr>
                <w:fldChar w:fldCharType="end"/>
              </w:r>
            </w:p>
            <w:p>
              <w:pPr>
                <w:pStyle w:val="15"/>
                <w:tabs>
                  <w:tab w:val="right" w:leader="dot" w:pos="8306"/>
                  <w:tab w:val="clear" w:pos="284"/>
                  <w:tab w:val="clear" w:pos="8296"/>
                </w:tabs>
              </w:pPr>
              <w:r>
                <w:rPr>
                  <w:rFonts w:eastAsia="黑体"/>
                  <w:caps/>
                </w:rPr>
                <w:fldChar w:fldCharType="begin"/>
              </w:r>
              <w:r>
                <w:rPr>
                  <w:rFonts w:eastAsia="黑体"/>
                  <w:caps/>
                </w:rPr>
                <w:instrText xml:space="preserve"> HYPERLINK \l _Toc23667 </w:instrText>
              </w:r>
              <w:r>
                <w:rPr>
                  <w:rFonts w:eastAsia="黑体"/>
                  <w:caps/>
                </w:rPr>
                <w:fldChar w:fldCharType="separate"/>
              </w:r>
              <w:r>
                <w:rPr>
                  <w:rFonts w:hint="eastAsia"/>
                  <w:lang w:val="en-US" w:eastAsia="zh-CN"/>
                </w:rPr>
                <w:t xml:space="preserve">7 </w:t>
              </w:r>
              <w:r>
                <w:rPr>
                  <w:rFonts w:hint="eastAsia"/>
                  <w:i w:val="0"/>
                  <w:color w:val="0000BF" w:themeColor="hyperlink" w:themeShade="BF"/>
                  <w:w w:val="100"/>
                  <w:lang w:val="en-US" w:eastAsia="zh-CN"/>
                </w:rPr>
                <w:t>S</w:t>
              </w:r>
              <w:r>
                <w:rPr>
                  <w:rFonts w:hint="eastAsia" w:ascii="Times New Roman" w:hAnsi="Times New Roman" w:eastAsia="宋体" w:cstheme="minorBidi"/>
                  <w:bCs/>
                  <w:caps w:val="0"/>
                  <w:color w:val="auto"/>
                  <w:kern w:val="44"/>
                  <w:sz w:val="28"/>
                  <w:szCs w:val="28"/>
                  <w:lang w:val="en-US" w:eastAsia="zh-CN" w:bidi="ar-SA"/>
                </w:rPr>
                <w:t xml:space="preserve">upporting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tructure</w:t>
              </w:r>
              <w:r>
                <w:tab/>
              </w:r>
              <w:r>
                <w:fldChar w:fldCharType="begin"/>
              </w:r>
              <w:r>
                <w:instrText xml:space="preserve"> PAGEREF _Toc23667 \h </w:instrText>
              </w:r>
              <w:r>
                <w:fldChar w:fldCharType="separate"/>
              </w:r>
              <w:r>
                <w:t>28</w:t>
              </w:r>
              <w:r>
                <w:fldChar w:fldCharType="end"/>
              </w:r>
              <w:r>
                <w:rPr>
                  <w:rFonts w:eastAsia="黑体"/>
                  <w:caps/>
                </w:rPr>
                <w:fldChar w:fldCharType="end"/>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_Toc22274 </w:instrText>
              </w:r>
              <w:r>
                <w:rPr>
                  <w:rFonts w:eastAsia="黑体"/>
                  <w:caps/>
                </w:rPr>
                <w:fldChar w:fldCharType="separate"/>
              </w:r>
              <w:r>
                <w:rPr>
                  <w:rFonts w:hint="eastAsia"/>
                  <w:lang w:val="en-US" w:eastAsia="zh-CN"/>
                </w:rPr>
                <w:t xml:space="preserve">8 </w:t>
              </w:r>
              <w:r>
                <w:rPr>
                  <w:rFonts w:hint="eastAsia" w:ascii="Times New Roman" w:hAnsi="Times New Roman" w:eastAsia="宋体" w:cstheme="minorBidi"/>
                  <w:bCs/>
                  <w:caps w:val="0"/>
                  <w:color w:val="auto"/>
                  <w:kern w:val="44"/>
                  <w:sz w:val="28"/>
                  <w:szCs w:val="28"/>
                  <w:lang w:val="en-US" w:eastAsia="zh-CN" w:bidi="ar-SA"/>
                </w:rPr>
                <w:t xml:space="preserve">soil </w:t>
              </w:r>
              <w:r>
                <w:rPr>
                  <w:rFonts w:hint="default" w:ascii="Times New Roman" w:hAnsi="Times New Roman" w:eastAsia="宋体" w:cstheme="minorBidi"/>
                  <w:bCs/>
                  <w:caps w:val="0"/>
                  <w:color w:val="auto"/>
                  <w:kern w:val="44"/>
                  <w:sz w:val="28"/>
                  <w:szCs w:val="28"/>
                  <w:lang w:val="en-US" w:eastAsia="zh-CN" w:bidi="ar-SA"/>
                </w:rPr>
                <w:t>consolidation</w:t>
              </w:r>
              <w:r>
                <w:tab/>
              </w:r>
              <w:r>
                <w:rPr>
                  <w:rFonts w:hint="eastAsia"/>
                  <w:lang w:val="en-US" w:eastAsia="zh-CN"/>
                </w:rPr>
                <w:t>5</w:t>
              </w:r>
              <w:r>
                <w:rPr>
                  <w:rFonts w:eastAsia="黑体"/>
                  <w:caps/>
                </w:rPr>
                <w:fldChar w:fldCharType="end"/>
              </w:r>
              <w:r>
                <w:rPr>
                  <w:rFonts w:hint="eastAsia"/>
                  <w:caps/>
                  <w:lang w:val="en-US" w:eastAsia="zh-CN"/>
                </w:rPr>
                <w:t>8</w:t>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_Toc10177 </w:instrText>
              </w:r>
              <w:r>
                <w:rPr>
                  <w:rFonts w:eastAsia="黑体"/>
                  <w:caps/>
                </w:rPr>
                <w:fldChar w:fldCharType="separate"/>
              </w:r>
              <w:r>
                <w:rPr>
                  <w:rFonts w:hint="eastAsia"/>
                  <w:lang w:val="en-US" w:eastAsia="zh-CN"/>
                </w:rPr>
                <w:t xml:space="preserve">9 </w:t>
              </w:r>
              <w:r>
                <w:rPr>
                  <w:rFonts w:hint="eastAsia" w:eastAsia="宋体" w:cstheme="minorBidi"/>
                  <w:bCs/>
                  <w:caps w:val="0"/>
                  <w:color w:val="auto"/>
                  <w:kern w:val="44"/>
                  <w:sz w:val="28"/>
                  <w:szCs w:val="28"/>
                  <w:lang w:val="en-US" w:eastAsia="zh-CN" w:bidi="ar-SA"/>
                </w:rPr>
                <w:t>G</w:t>
              </w:r>
              <w:r>
                <w:rPr>
                  <w:rFonts w:hint="eastAsia" w:ascii="Times New Roman" w:hAnsi="Times New Roman" w:eastAsia="宋体" w:cstheme="minorBidi"/>
                  <w:bCs/>
                  <w:caps w:val="0"/>
                  <w:color w:val="auto"/>
                  <w:kern w:val="44"/>
                  <w:sz w:val="28"/>
                  <w:szCs w:val="28"/>
                  <w:lang w:val="en-US" w:eastAsia="zh-CN" w:bidi="ar-SA"/>
                </w:rPr>
                <w:t xml:space="preserve">roundwater </w:t>
              </w:r>
              <w:r>
                <w:rPr>
                  <w:rFonts w:hint="eastAsia" w:eastAsia="宋体" w:cstheme="minorBidi"/>
                  <w:bCs/>
                  <w:caps w:val="0"/>
                  <w:color w:val="auto"/>
                  <w:kern w:val="44"/>
                  <w:sz w:val="28"/>
                  <w:szCs w:val="28"/>
                  <w:lang w:val="en-US" w:eastAsia="zh-CN" w:bidi="ar-SA"/>
                </w:rPr>
                <w:t>C</w:t>
              </w:r>
              <w:r>
                <w:rPr>
                  <w:rFonts w:hint="eastAsia" w:ascii="Times New Roman" w:hAnsi="Times New Roman" w:eastAsia="宋体" w:cstheme="minorBidi"/>
                  <w:bCs/>
                  <w:caps w:val="0"/>
                  <w:color w:val="auto"/>
                  <w:kern w:val="44"/>
                  <w:sz w:val="28"/>
                  <w:szCs w:val="28"/>
                  <w:lang w:val="en-US" w:eastAsia="zh-CN" w:bidi="ar-SA"/>
                </w:rPr>
                <w:t>ontrol</w:t>
              </w:r>
              <w:r>
                <w:tab/>
              </w:r>
              <w:r>
                <w:rPr>
                  <w:rFonts w:hint="eastAsia"/>
                  <w:lang w:val="en-US" w:eastAsia="zh-CN"/>
                </w:rPr>
                <w:t>6</w:t>
              </w:r>
              <w:r>
                <w:rPr>
                  <w:rFonts w:eastAsia="黑体"/>
                  <w:caps/>
                </w:rPr>
                <w:fldChar w:fldCharType="end"/>
              </w:r>
              <w:r>
                <w:rPr>
                  <w:rFonts w:hint="eastAsia"/>
                  <w:caps/>
                  <w:lang w:val="en-US" w:eastAsia="zh-CN"/>
                </w:rPr>
                <w:t>9</w:t>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_Toc21300 </w:instrText>
              </w:r>
              <w:r>
                <w:rPr>
                  <w:rFonts w:eastAsia="黑体"/>
                  <w:caps/>
                </w:rPr>
                <w:fldChar w:fldCharType="separate"/>
              </w:r>
              <w:r>
                <w:rPr>
                  <w:rFonts w:hint="eastAsia"/>
                  <w:lang w:val="en-US" w:eastAsia="zh-CN"/>
                </w:rPr>
                <w:t xml:space="preserve">10 </w:t>
              </w:r>
              <w:r>
                <w:rPr>
                  <w:rFonts w:hint="eastAsia" w:ascii="Times New Roman" w:hAnsi="Times New Roman" w:eastAsia="宋体" w:cstheme="minorBidi"/>
                  <w:bCs/>
                  <w:caps w:val="0"/>
                  <w:color w:val="auto"/>
                  <w:kern w:val="44"/>
                  <w:sz w:val="28"/>
                  <w:szCs w:val="28"/>
                  <w:lang w:val="en-US" w:eastAsia="zh-CN" w:bidi="ar-SA"/>
                </w:rPr>
                <w:t>Monitoring</w:t>
              </w:r>
              <w:r>
                <w:tab/>
              </w:r>
              <w:r>
                <w:rPr>
                  <w:rFonts w:hint="eastAsia"/>
                  <w:lang w:val="en-US" w:eastAsia="zh-CN"/>
                </w:rPr>
                <w:t>7</w:t>
              </w:r>
              <w:r>
                <w:rPr>
                  <w:rFonts w:eastAsia="黑体"/>
                  <w:caps/>
                </w:rPr>
                <w:fldChar w:fldCharType="end"/>
              </w:r>
              <w:r>
                <w:rPr>
                  <w:rFonts w:hint="eastAsia"/>
                  <w:caps/>
                  <w:lang w:val="en-US" w:eastAsia="zh-CN"/>
                </w:rPr>
                <w:t>4</w:t>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_Toc6909 </w:instrText>
              </w:r>
              <w:r>
                <w:rPr>
                  <w:rFonts w:eastAsia="黑体"/>
                  <w:caps/>
                </w:rPr>
                <w:fldChar w:fldCharType="separate"/>
              </w:r>
              <w:r>
                <w:rPr>
                  <w:rFonts w:hint="eastAsia"/>
                  <w:lang w:val="en-US" w:eastAsia="zh-CN"/>
                </w:rPr>
                <w:t xml:space="preserve">11 </w:t>
              </w:r>
              <w:r>
                <w:rPr>
                  <w:rFonts w:hint="eastAsia"/>
                  <w:i w:val="0"/>
                  <w:color w:val="0000BF" w:themeColor="hyperlink" w:themeShade="BF"/>
                  <w:w w:val="100"/>
                  <w:lang w:val="en-US" w:eastAsia="zh-CN"/>
                </w:rPr>
                <w:t>M</w:t>
              </w:r>
              <w:r>
                <w:rPr>
                  <w:rFonts w:hint="eastAsia" w:ascii="Times New Roman" w:hAnsi="Times New Roman" w:eastAsia="宋体" w:cstheme="minorBidi"/>
                  <w:bCs/>
                  <w:caps w:val="0"/>
                  <w:color w:val="auto"/>
                  <w:kern w:val="44"/>
                  <w:sz w:val="28"/>
                  <w:szCs w:val="28"/>
                  <w:lang w:val="en-US" w:eastAsia="zh-CN" w:bidi="ar-SA"/>
                </w:rPr>
                <w:t xml:space="preserve">ajor </w:t>
              </w:r>
              <w:r>
                <w:rPr>
                  <w:rFonts w:hint="eastAsia" w:eastAsia="宋体" w:cstheme="minorBidi"/>
                  <w:bCs/>
                  <w:caps w:val="0"/>
                  <w:color w:val="auto"/>
                  <w:kern w:val="44"/>
                  <w:sz w:val="28"/>
                  <w:szCs w:val="28"/>
                  <w:lang w:val="en-US" w:eastAsia="zh-CN" w:bidi="ar-SA"/>
                </w:rPr>
                <w:t>S</w:t>
              </w:r>
              <w:r>
                <w:rPr>
                  <w:rFonts w:hint="eastAsia" w:ascii="Times New Roman" w:hAnsi="Times New Roman" w:eastAsia="宋体" w:cstheme="minorBidi"/>
                  <w:bCs/>
                  <w:caps w:val="0"/>
                  <w:color w:val="auto"/>
                  <w:kern w:val="44"/>
                  <w:sz w:val="28"/>
                  <w:szCs w:val="28"/>
                  <w:lang w:val="en-US" w:eastAsia="zh-CN" w:bidi="ar-SA"/>
                </w:rPr>
                <w:t xml:space="preserve">tructure and </w:t>
              </w:r>
              <w:r>
                <w:rPr>
                  <w:rFonts w:hint="eastAsia" w:eastAsia="宋体" w:cstheme="minorBidi"/>
                  <w:bCs/>
                  <w:caps w:val="0"/>
                  <w:color w:val="auto"/>
                  <w:kern w:val="44"/>
                  <w:sz w:val="28"/>
                  <w:szCs w:val="28"/>
                  <w:lang w:val="en-US" w:eastAsia="zh-CN" w:bidi="ar-SA"/>
                </w:rPr>
                <w:t>W</w:t>
              </w:r>
              <w:r>
                <w:rPr>
                  <w:rFonts w:hint="eastAsia" w:ascii="Times New Roman" w:hAnsi="Times New Roman" w:eastAsia="宋体" w:cstheme="minorBidi"/>
                  <w:bCs/>
                  <w:caps w:val="0"/>
                  <w:color w:val="auto"/>
                  <w:kern w:val="44"/>
                  <w:sz w:val="28"/>
                  <w:szCs w:val="28"/>
                  <w:lang w:val="en-US" w:eastAsia="zh-CN" w:bidi="ar-SA"/>
                </w:rPr>
                <w:t>aterproof</w:t>
              </w:r>
              <w:r>
                <w:tab/>
              </w:r>
              <w:r>
                <w:rPr>
                  <w:rFonts w:hint="eastAsia"/>
                  <w:lang w:val="en-US" w:eastAsia="zh-CN"/>
                </w:rPr>
                <w:t>7</w:t>
              </w:r>
              <w:r>
                <w:rPr>
                  <w:rFonts w:eastAsia="黑体"/>
                  <w:caps/>
                </w:rPr>
                <w:fldChar w:fldCharType="end"/>
              </w:r>
              <w:r>
                <w:rPr>
                  <w:rFonts w:hint="eastAsia"/>
                  <w:caps/>
                  <w:lang w:val="en-US" w:eastAsia="zh-CN"/>
                </w:rPr>
                <w:t>5</w:t>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_Toc15272 </w:instrText>
              </w:r>
              <w:r>
                <w:rPr>
                  <w:rFonts w:eastAsia="黑体"/>
                  <w:caps/>
                </w:rPr>
                <w:fldChar w:fldCharType="separate"/>
              </w:r>
              <w:r>
                <w:rPr>
                  <w:rFonts w:hint="eastAsia"/>
                  <w:lang w:val="en-US" w:eastAsia="zh-CN"/>
                </w:rPr>
                <w:t xml:space="preserve">12 </w:t>
              </w:r>
              <w:r>
                <w:rPr>
                  <w:rFonts w:hint="eastAsia" w:ascii="Times New Roman" w:hAnsi="Times New Roman" w:eastAsia="宋体" w:cstheme="minorBidi"/>
                  <w:bCs/>
                  <w:caps w:val="0"/>
                  <w:color w:val="auto"/>
                  <w:kern w:val="44"/>
                  <w:sz w:val="28"/>
                  <w:szCs w:val="28"/>
                  <w:lang w:val="en-US" w:eastAsia="zh-CN" w:bidi="ar-SA"/>
                </w:rPr>
                <w:t>Soil Sailing Wall</w:t>
              </w:r>
              <w:r>
                <w:tab/>
              </w:r>
              <w:r>
                <w:rPr>
                  <w:rFonts w:hint="eastAsia"/>
                  <w:lang w:val="en-US" w:eastAsia="zh-CN"/>
                </w:rPr>
                <w:t>8</w:t>
              </w:r>
              <w:r>
                <w:rPr>
                  <w:rFonts w:eastAsia="黑体"/>
                  <w:caps/>
                </w:rPr>
                <w:fldChar w:fldCharType="end"/>
              </w:r>
              <w:r>
                <w:rPr>
                  <w:rFonts w:hint="eastAsia"/>
                  <w:caps/>
                  <w:lang w:val="en-US" w:eastAsia="zh-CN"/>
                </w:rPr>
                <w:t>5</w:t>
              </w:r>
            </w:p>
            <w:p>
              <w:pPr>
                <w:pStyle w:val="15"/>
                <w:tabs>
                  <w:tab w:val="right" w:leader="dot" w:pos="8306"/>
                  <w:tab w:val="clear" w:pos="284"/>
                  <w:tab w:val="clear" w:pos="8296"/>
                </w:tabs>
                <w:rPr>
                  <w:rFonts w:hint="eastAsia" w:eastAsia="黑体"/>
                  <w:lang w:val="en-US" w:eastAsia="zh-CN"/>
                </w:rPr>
              </w:pPr>
              <w:r>
                <w:rPr>
                  <w:rFonts w:eastAsia="黑体"/>
                  <w:caps/>
                </w:rPr>
                <w:fldChar w:fldCharType="begin"/>
              </w:r>
              <w:r>
                <w:rPr>
                  <w:rFonts w:eastAsia="黑体"/>
                  <w:caps/>
                </w:rPr>
                <w:instrText xml:space="preserve"> HYPERLINK \l _Toc11842 </w:instrText>
              </w:r>
              <w:r>
                <w:rPr>
                  <w:rFonts w:eastAsia="黑体"/>
                  <w:caps/>
                </w:rPr>
                <w:fldChar w:fldCharType="separate"/>
              </w:r>
              <w:r>
                <w:rPr>
                  <w:rFonts w:hint="eastAsia" w:ascii="Times New Roman" w:hAnsi="Times New Roman" w:eastAsia="宋体" w:cstheme="minorBidi"/>
                  <w:bCs/>
                  <w:caps w:val="0"/>
                  <w:color w:val="auto"/>
                  <w:kern w:val="44"/>
                  <w:sz w:val="28"/>
                  <w:szCs w:val="28"/>
                  <w:lang w:val="en-US" w:eastAsia="zh-CN" w:bidi="ar-SA"/>
                </w:rPr>
                <w:t>Appendix</w:t>
              </w:r>
              <w:r>
                <w:tab/>
              </w:r>
              <w:r>
                <w:rPr>
                  <w:rFonts w:hint="eastAsia"/>
                  <w:lang w:val="en-US" w:eastAsia="zh-CN"/>
                </w:rPr>
                <w:t>8</w:t>
              </w:r>
              <w:r>
                <w:rPr>
                  <w:rFonts w:eastAsia="黑体"/>
                  <w:caps/>
                </w:rPr>
                <w:fldChar w:fldCharType="end"/>
              </w:r>
              <w:r>
                <w:rPr>
                  <w:rFonts w:hint="eastAsia"/>
                  <w:caps/>
                  <w:lang w:val="en-US" w:eastAsia="zh-CN"/>
                </w:rPr>
                <w:t>6</w:t>
              </w:r>
            </w:p>
            <w:p>
              <w:pPr>
                <w:ind w:left="0" w:leftChars="0" w:firstLine="0" w:firstLineChars="0"/>
                <w:jc w:val="center"/>
                <w:outlineLvl w:val="9"/>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pPr>
              <w:r>
                <w:rPr>
                  <w:rFonts w:eastAsia="黑体"/>
                  <w:caps/>
                </w:rPr>
                <w:fldChar w:fldCharType="end"/>
              </w:r>
            </w:p>
          </w:sdtContent>
        </w:sdt>
        <w:p>
          <w:pPr>
            <w:ind w:left="0" w:leftChars="0" w:firstLine="0" w:firstLineChars="0"/>
            <w:jc w:val="center"/>
            <w:outlineLvl w:val="9"/>
            <w:rPr>
              <w:rFonts w:ascii="Times New Roman" w:hAnsi="Times New Roman" w:eastAsia="宋体" w:cstheme="minorBidi"/>
              <w:caps/>
              <w:color w:val="000000" w:themeColor="text1"/>
              <w:kern w:val="2"/>
              <w:sz w:val="24"/>
              <w:szCs w:val="21"/>
              <w:lang w:val="en-US" w:eastAsia="zh-CN" w:bidi="ar-SA"/>
              <w14:textFill>
                <w14:solidFill>
                  <w14:schemeClr w14:val="tx1"/>
                </w14:solidFill>
              </w14:textFill>
            </w:rPr>
          </w:pPr>
        </w:p>
      </w:sdtContent>
    </w:sdt>
    <w:p>
      <w:pPr>
        <w:ind w:left="0" w:leftChars="0" w:firstLine="0" w:firstLineChars="0"/>
        <w:jc w:val="center"/>
        <w:outlineLvl w:val="9"/>
        <w:rPr>
          <w:rFonts w:hint="eastAsia" w:ascii="Times New Roman" w:hAnsi="Times New Roman" w:eastAsia="宋体" w:cstheme="minorBidi"/>
          <w:caps/>
          <w:color w:val="000000" w:themeColor="text1"/>
          <w:kern w:val="2"/>
          <w:sz w:val="24"/>
          <w:szCs w:val="21"/>
          <w:lang w:val="en-US" w:eastAsia="zh-CN" w:bidi="ar-SA"/>
          <w14:textFill>
            <w14:solidFill>
              <w14:schemeClr w14:val="tx1"/>
            </w14:solidFill>
          </w14:textFill>
        </w:rPr>
        <w:sectPr>
          <w:footerReference r:id="rId27" w:type="default"/>
          <w:pgSz w:w="11906" w:h="16838"/>
          <w:pgMar w:top="1440" w:right="1800" w:bottom="1440" w:left="1800" w:header="851" w:footer="992" w:gutter="0"/>
          <w:pgNumType w:fmt="upperRoman" w:start="2"/>
          <w:cols w:space="425" w:num="1"/>
          <w:docGrid w:type="lines" w:linePitch="312" w:charSpace="0"/>
        </w:sectPr>
      </w:pPr>
    </w:p>
    <w:p>
      <w:pPr>
        <w:ind w:left="0" w:leftChars="0" w:firstLine="0" w:firstLineChars="0"/>
        <w:rPr>
          <w:rFonts w:ascii="Times New Roman" w:hAnsi="Times New Roman" w:eastAsia="华文楷体" w:cs="Times New Roman"/>
          <w:sz w:val="28"/>
          <w:szCs w:val="28"/>
        </w:rPr>
      </w:pPr>
      <w:bookmarkStart w:id="134" w:name="_Toc20369"/>
      <w:bookmarkStart w:id="135" w:name="_Toc5591"/>
      <w:r>
        <w:rPr>
          <w:rFonts w:ascii="Times New Roman" w:hAnsi="Times New Roman" w:eastAsia="华文楷体" w:cs="Times New Roman"/>
          <w:sz w:val="28"/>
          <w:szCs w:val="28"/>
        </w:rPr>
        <w:t>（本条文说明系对重点条文的编制依据、存在的问题以及在执行中应注意的事项等予以说明，不具备与规范正文同等的效力，仅供使用者作为理解和把握暂行规范的参考。为了减少篇幅，只列条文号，未抄录原条文。）</w:t>
      </w:r>
    </w:p>
    <w:p>
      <w:pPr>
        <w:ind w:left="0" w:leftChars="0" w:firstLine="0" w:firstLineChars="0"/>
        <w:jc w:val="center"/>
        <w:outlineLvl w:val="0"/>
        <w:rPr>
          <w:rFonts w:hint="eastAsia" w:eastAsia="宋体"/>
          <w:lang w:val="en-US" w:eastAsia="zh-CN"/>
        </w:rPr>
      </w:pPr>
      <w:r>
        <w:rPr>
          <w:rFonts w:hint="eastAsia" w:ascii="Times New Roman" w:hAnsi="Times New Roman" w:eastAsia="黑体" w:cstheme="minorBidi"/>
          <w:bCs/>
          <w:color w:val="953735" w:themeColor="accent2" w:themeShade="BF"/>
          <w:kern w:val="44"/>
          <w:sz w:val="32"/>
          <w:szCs w:val="32"/>
          <w:lang w:val="en-US" w:eastAsia="zh-CN" w:bidi="ar-SA"/>
        </w:rPr>
        <w:t>1总 则</w:t>
      </w:r>
      <w:bookmarkEnd w:id="133"/>
      <w:bookmarkEnd w:id="134"/>
      <w:bookmarkEnd w:id="135"/>
    </w:p>
    <w:p>
      <w:pPr>
        <w:autoSpaceDE w:val="0"/>
        <w:autoSpaceDN w:val="0"/>
        <w:adjustRightInd w:val="0"/>
        <w:spacing w:line="360" w:lineRule="auto"/>
        <w:ind w:firstLine="0" w:firstLineChars="0"/>
        <w:jc w:val="left"/>
        <w:rPr>
          <w:rFonts w:hint="eastAsia"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t>1.0.4</w:t>
      </w:r>
      <w:r>
        <w:rPr>
          <w:rFonts w:hint="eastAsia" w:cs="Times New Roman" w:eastAsiaTheme="minorEastAsia"/>
          <w:sz w:val="28"/>
          <w:szCs w:val="28"/>
          <w:lang w:val="en-US" w:eastAsia="zh-CN"/>
        </w:rPr>
        <w:t xml:space="preserve"> </w:t>
      </w:r>
      <w:r>
        <w:rPr>
          <w:rFonts w:hint="eastAsia" w:ascii="Times New Roman" w:hAnsi="Times New Roman" w:cs="Times New Roman" w:eastAsiaTheme="minorEastAsia"/>
          <w:sz w:val="28"/>
          <w:szCs w:val="28"/>
          <w:lang w:val="en-US" w:eastAsia="zh-CN"/>
        </w:rPr>
        <w:t>针对</w:t>
      </w:r>
      <w:r>
        <w:rPr>
          <w:rFonts w:hint="eastAsia" w:cs="Times New Roman" w:eastAsiaTheme="minorEastAsia"/>
          <w:sz w:val="28"/>
          <w:szCs w:val="28"/>
          <w:lang w:val="en-US" w:eastAsia="zh-CN"/>
        </w:rPr>
        <w:t>铁路明挖法隧道</w:t>
      </w:r>
      <w:r>
        <w:rPr>
          <w:rFonts w:hint="eastAsia" w:ascii="Times New Roman" w:hAnsi="Times New Roman" w:cs="Times New Roman" w:eastAsiaTheme="minorEastAsia"/>
          <w:sz w:val="28"/>
          <w:szCs w:val="28"/>
          <w:lang w:val="en-US" w:eastAsia="zh-CN"/>
        </w:rPr>
        <w:t>中存在的主要问题，制定了</w:t>
      </w:r>
      <w:r>
        <w:rPr>
          <w:rFonts w:hint="eastAsia" w:cs="Times New Roman" w:eastAsiaTheme="minorEastAsia"/>
          <w:sz w:val="28"/>
          <w:szCs w:val="28"/>
          <w:lang w:val="en-US" w:eastAsia="zh-CN"/>
        </w:rPr>
        <w:t>相关</w:t>
      </w:r>
      <w:r>
        <w:rPr>
          <w:rFonts w:hint="eastAsia" w:ascii="Times New Roman" w:hAnsi="Times New Roman" w:cs="Times New Roman" w:eastAsiaTheme="minorEastAsia"/>
          <w:sz w:val="28"/>
          <w:szCs w:val="28"/>
          <w:lang w:val="en-US" w:eastAsia="zh-CN"/>
        </w:rPr>
        <w:t>规定，内容涉及到勘察、设计、施工与监测等，这些规定充分结合了</w:t>
      </w:r>
      <w:r>
        <w:rPr>
          <w:rFonts w:hint="eastAsia" w:cs="Times New Roman" w:eastAsiaTheme="minorEastAsia"/>
          <w:sz w:val="28"/>
          <w:szCs w:val="28"/>
          <w:lang w:val="en-US" w:eastAsia="zh-CN"/>
        </w:rPr>
        <w:t>铁路工程</w:t>
      </w:r>
      <w:r>
        <w:rPr>
          <w:rFonts w:hint="eastAsia" w:ascii="Times New Roman" w:hAnsi="Times New Roman" w:cs="Times New Roman" w:eastAsiaTheme="minorEastAsia"/>
          <w:sz w:val="28"/>
          <w:szCs w:val="28"/>
          <w:lang w:val="en-US" w:eastAsia="zh-CN"/>
        </w:rPr>
        <w:t>特点，对提高</w:t>
      </w:r>
      <w:r>
        <w:rPr>
          <w:rFonts w:hint="eastAsia" w:cs="Times New Roman" w:eastAsiaTheme="minorEastAsia"/>
          <w:sz w:val="28"/>
          <w:szCs w:val="28"/>
          <w:lang w:val="en-US" w:eastAsia="zh-CN"/>
        </w:rPr>
        <w:t>铁路明挖法隧道质量</w:t>
      </w:r>
      <w:r>
        <w:rPr>
          <w:rFonts w:hint="eastAsia" w:ascii="Times New Roman" w:hAnsi="Times New Roman" w:cs="Times New Roman" w:eastAsiaTheme="minorEastAsia"/>
          <w:sz w:val="28"/>
          <w:szCs w:val="28"/>
          <w:lang w:val="en-US" w:eastAsia="zh-CN"/>
        </w:rPr>
        <w:t>、减少事故等具有重要作用。</w:t>
      </w:r>
    </w:p>
    <w:p>
      <w:pPr>
        <w:rPr>
          <w:rFonts w:hint="eastAsia" w:ascii="Times New Roman" w:hAnsi="Times New Roman" w:cs="Times New Roman" w:eastAsiaTheme="minorEastAsia"/>
          <w:sz w:val="28"/>
          <w:szCs w:val="28"/>
          <w:lang w:val="en-US" w:eastAsia="zh-CN"/>
        </w:rPr>
      </w:pPr>
      <w:r>
        <w:rPr>
          <w:rFonts w:hint="eastAsia" w:ascii="Times New Roman" w:hAnsi="Times New Roman" w:cs="Times New Roman" w:eastAsiaTheme="minorEastAsia"/>
          <w:sz w:val="28"/>
          <w:szCs w:val="28"/>
          <w:lang w:val="en-US" w:eastAsia="zh-CN"/>
        </w:rPr>
        <w:br w:type="page"/>
      </w:r>
    </w:p>
    <w:p>
      <w:pPr>
        <w:pStyle w:val="2"/>
        <w:numPr>
          <w:ilvl w:val="0"/>
          <w:numId w:val="0"/>
        </w:numPr>
        <w:ind w:left="0" w:leftChars="0" w:firstLine="0" w:firstLineChars="0"/>
        <w:rPr>
          <w:rFonts w:hint="eastAsia"/>
          <w:lang w:val="en-US" w:eastAsia="zh-CN"/>
        </w:rPr>
      </w:pPr>
      <w:bookmarkStart w:id="136" w:name="_Toc20842"/>
      <w:bookmarkStart w:id="137" w:name="_Toc6431"/>
      <w:bookmarkStart w:id="138" w:name="_Toc28212"/>
      <w:r>
        <w:rPr>
          <w:rFonts w:hint="eastAsia"/>
          <w:lang w:val="en-US" w:eastAsia="zh-CN"/>
        </w:rPr>
        <w:t>3基本规定</w:t>
      </w:r>
      <w:bookmarkEnd w:id="136"/>
      <w:bookmarkEnd w:id="137"/>
      <w:bookmarkEnd w:id="138"/>
    </w:p>
    <w:p>
      <w:pPr>
        <w:autoSpaceDE w:val="0"/>
        <w:autoSpaceDN w:val="0"/>
        <w:adjustRightInd w:val="0"/>
        <w:spacing w:line="360" w:lineRule="auto"/>
        <w:ind w:firstLine="0" w:firstLineChars="0"/>
        <w:jc w:val="left"/>
        <w:rPr>
          <w:rFonts w:ascii="Times New Roman" w:hAnsi="Times New Roman" w:cs="Times New Roman" w:eastAsiaTheme="minorEastAsia"/>
          <w:sz w:val="28"/>
          <w:szCs w:val="28"/>
        </w:rPr>
      </w:pPr>
      <w:r>
        <w:rPr>
          <w:rFonts w:hint="eastAsia" w:ascii="Times New Roman" w:hAnsi="Times New Roman" w:cs="Times New Roman" w:eastAsiaTheme="minorEastAsia"/>
          <w:sz w:val="28"/>
          <w:szCs w:val="28"/>
          <w:lang w:val="en-US" w:eastAsia="zh-CN"/>
        </w:rPr>
        <w:t>3.1.2</w:t>
      </w:r>
      <w:r>
        <w:rPr>
          <w:rFonts w:hint="eastAsia" w:cs="Times New Roman" w:eastAsiaTheme="minorEastAsia"/>
          <w:sz w:val="28"/>
          <w:szCs w:val="28"/>
          <w:lang w:val="en-US" w:eastAsia="zh-CN"/>
        </w:rPr>
        <w:t xml:space="preserve">  </w:t>
      </w:r>
      <w:r>
        <w:rPr>
          <w:rFonts w:hint="eastAsia" w:ascii="Times New Roman" w:hAnsi="Times New Roman" w:cs="Times New Roman" w:eastAsiaTheme="minorEastAsia"/>
          <w:sz w:val="28"/>
          <w:szCs w:val="28"/>
        </w:rPr>
        <w:t>铁路地下工程的修建，不可避免地对周围环境产生不利影响。当铁路线路通过城市中心地区时，还会遇到与既有的建、构筑物处于接近或超接近的状态，个别情况还需要下穿建、构筑物或既有轨道交通结构物等。地铁工程设计，在经济合理的条件下，应力求把地铁施工中及建成后对城市居民生活、邻近建、构筑物、地下管线、地下水和总体环境的影响减至最小。</w:t>
      </w:r>
    </w:p>
    <w:p>
      <w:pPr>
        <w:widowControl w:val="0"/>
        <w:numPr>
          <w:ilvl w:val="2"/>
          <w:numId w:val="1"/>
        </w:numPr>
        <w:autoSpaceDE w:val="0"/>
        <w:autoSpaceDN w:val="0"/>
        <w:adjustRightInd w:val="0"/>
        <w:spacing w:line="360" w:lineRule="auto"/>
        <w:ind w:left="0" w:firstLineChars="0"/>
        <w:rPr>
          <w:rFonts w:hint="eastAsia" w:ascii="Times New Roman" w:hAnsi="Times New Roman" w:cs="Times New Roman" w:eastAsiaTheme="minorEastAsia"/>
          <w:sz w:val="28"/>
          <w:szCs w:val="28"/>
          <w:lang w:val="zh-CN" w:eastAsia="zh-CN"/>
        </w:rPr>
      </w:pPr>
      <w:bookmarkStart w:id="139" w:name="_Toc2991"/>
      <w:r>
        <w:rPr>
          <w:rFonts w:hint="eastAsia" w:ascii="Times New Roman" w:hAnsi="Times New Roman" w:cs="Times New Roman" w:eastAsiaTheme="minorEastAsia"/>
          <w:sz w:val="28"/>
          <w:szCs w:val="28"/>
          <w:lang w:val="zh-CN" w:eastAsia="zh-CN"/>
        </w:rPr>
        <w:t>1</w:t>
      </w:r>
      <w:r>
        <w:rPr>
          <w:rFonts w:hint="eastAsia" w:ascii="Times New Roman" w:hAnsi="Times New Roman" w:cs="Times New Roman" w:eastAsiaTheme="minorEastAsia"/>
          <w:sz w:val="28"/>
          <w:szCs w:val="28"/>
          <w:lang w:val="en-US" w:eastAsia="zh-CN"/>
        </w:rPr>
        <w:t xml:space="preserve"> </w:t>
      </w:r>
      <w:r>
        <w:rPr>
          <w:rFonts w:hint="eastAsia" w:ascii="Times New Roman" w:hAnsi="Times New Roman" w:cs="Times New Roman" w:eastAsiaTheme="minorEastAsia"/>
          <w:sz w:val="28"/>
          <w:szCs w:val="28"/>
          <w:lang w:val="zh-CN" w:eastAsia="zh-CN"/>
        </w:rPr>
        <w:t>环境影响的主要方面。</w:t>
      </w:r>
      <w:bookmarkEnd w:id="139"/>
    </w:p>
    <w:p>
      <w:pPr>
        <w:numPr>
          <w:ilvl w:val="0"/>
          <w:numId w:val="14"/>
        </w:numPr>
        <w:ind w:left="0" w:leftChars="0" w:firstLine="0" w:firstLineChars="0"/>
        <w:rPr>
          <w:rFonts w:hint="eastAsia" w:ascii="Times New Roman" w:hAnsi="Times New Roman" w:cs="Times New Roman" w:eastAsiaTheme="minorEastAsia"/>
          <w:bCs/>
          <w:sz w:val="28"/>
          <w:szCs w:val="28"/>
          <w:lang w:val="en-US" w:eastAsia="zh-CN"/>
        </w:rPr>
      </w:pPr>
      <w:r>
        <w:rPr>
          <w:rFonts w:hint="eastAsia" w:ascii="Times New Roman" w:hAnsi="Times New Roman" w:cs="Times New Roman" w:eastAsiaTheme="minorEastAsia"/>
          <w:bCs/>
          <w:sz w:val="28"/>
          <w:szCs w:val="28"/>
          <w:lang w:val="en-US" w:eastAsia="zh-CN"/>
        </w:rPr>
        <w:t>由于铁路隧道施工造成的影响:如对居民正常生活环境的影响，主要表现在施工中环境质量的恶化和对交通的影响;对邻近建、构筑物和地下管线的影响;地下水状态的变化;</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sz w:val="28"/>
          <w:szCs w:val="28"/>
          <w:lang w:val="en-US" w:eastAsia="zh-CN"/>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隧道建成后对周围环境可能造成的影响:如由于隧道渗漏造成细颗粒含水地层（如含水粉细砂地层)水土流失引起周围地层的下沉;列车振动及噪声对城市居民生活的影响;</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隧道建成投入运营后由于列车振动引起地层的进一步固结或变形对临近建、构筑物的影响等。必须从工程的设计阶段就对修建地铁可能造成的环境影响进行调查、预测，选择合适的施工方法和辅助施工措施,采用合理的结构形式和支护方案,并提出保护环境的具体方法;</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在铁路线网规划确定后,规划部门应对沿线控制用地范围内及可能影响区域的规划建设加以控制，尽量减少今后铁路隧道建设的困难;</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当规划建筑物先于铁路隧道实施且位于施工相互影响范围以内时，应充分考虑远期铁路隧道施工可能对其造成的不利影响而在建筑物的设计中采取必要的措施。例如，将建筑物的基础置于地铁隧道开挖形成的破裂面之下:位于沉降槽范围之内的桩基应考虑负摩擦力对其承载力的影响;当建筑物桩基距远期盾构隧道很近时，要考虑盾构推力和隧道开挖后土体侧向卸载对桩受力的影响等。当远期铁路隧道可能下穿建筑物时，应在建筑物的桩基中预留走廊供其通过,避免以后采取基础托换等方法而增加铁路隧道的工程投资﹔</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在设计铁路隧道结构时，要根据城市规划条件，尽可能考虑规划建筑物实施时的影响;</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cs="Times New Roman" w:eastAsiaTheme="minorEastAsia"/>
          <w:bCs/>
          <w:color w:val="000000" w:themeColor="text1"/>
          <w:kern w:val="2"/>
          <w:sz w:val="28"/>
          <w:szCs w:val="28"/>
          <w:lang w:val="zh-CN" w:eastAsia="zh-CN" w:bidi="ar-SA"/>
          <w14:textFill>
            <w14:solidFill>
              <w14:schemeClr w14:val="tx1"/>
            </w14:solidFill>
          </w14:textFill>
        </w:rPr>
        <w:t>铁路隧道的结构设计,应根据城市轨道交通线网规划，考虑发展的可能性，必要时在近期工程中做出适当的预留。预留方式和预留工程的规模视工程建设期的远近、远期工程规划方案的稳定性、所处的工程地质及水文地质条件和工程实尴的影响大小而定，应以尽量减小远期工程实施对地铁安全运营的影响为原则。</w:t>
      </w:r>
    </w:p>
    <w:p>
      <w:pPr>
        <w:pStyle w:val="51"/>
        <w:numPr>
          <w:ilvl w:val="0"/>
          <w:numId w:val="0"/>
        </w:num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3.1.3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施工方法和结构形式的选择，不仅受沿线工程地质和水文地质条件、环境条件、隧道埋置深度和城市规划等因素的制约,而且对地下车站的建筑布局和使用功能、地下空间的开发利用、线路的平面和纵断面、工程的实施难度、工期、造价及施工期间的城市居民生活、经济活动和周围环境等都会产生直接影响。地铁沿线情况千差万别，结构功能要求也各不相同。因此，对地下结构施工方法和结构形式的选择，必须贯彻因地制宜的原则，通过综合比较，选择经济效益、社会效益和环境效益较好的方案。由于地下结构的形式与施工方法有一定的依从关系，所以施工方法的选择尤为重要。</w:t>
      </w:r>
    </w:p>
    <w:p>
      <w:pPr>
        <w:pStyle w:val="51"/>
        <w:numPr>
          <w:ilvl w:val="0"/>
          <w:numId w:val="0"/>
        </w:numPr>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区间隧道除埋深较浅且地面有条件的地段宜采用明挖法施工外，一般情况下宜采用暗挖法施工（应进行矿山法和盾构法的比选)。布置于车站端部的折返线或渡线隧道应进行明挖法和矿山法的比选。</w:t>
      </w:r>
    </w:p>
    <w:p>
      <w:pPr>
        <w:pStyle w:val="51"/>
        <w:numPr>
          <w:ilvl w:val="0"/>
          <w:numId w:val="0"/>
        </w:numPr>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地下车站应优先采用常规的明挖法施工;当不允许长期占用既有道路施工时，可采用盖挖顺作法或盖挖逆作法，盖挖递作法尤其适用于环境要求较高、必须严格控制开挖引起的地面沉降等影响的情况﹔仅当不具备明挖条件或当车站埋置过深,采用明挖法施工很不经济时，方可考虑采用暗挖法施工。</w:t>
      </w:r>
    </w:p>
    <w:p>
      <w:pPr>
        <w:pStyle w:val="51"/>
        <w:numPr>
          <w:ilvl w:val="0"/>
          <w:numId w:val="0"/>
        </w:numPr>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位于岩石地层中的区间隧道一般采用矿山法或TBM法施工,地下车站一般采用矿山法施工。</w:t>
      </w:r>
    </w:p>
    <w:p>
      <w:pPr>
        <w:pStyle w:val="51"/>
        <w:numPr>
          <w:ilvl w:val="255"/>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3.1.5  地下结构的主体结构主要指直接和间接承担地层荷载和运营车辆荷载，保证地铁结构体稳定的结构构件;使用期间不可更换的结构构件是指直接承受地铁设备和人群荷载，在使用期间无法更换或更换会影响运营的结构构件。上述结构应严格按照100年的设计使用年限设计，以保证在设计使用年限内的地铁使用安全。</w:t>
      </w:r>
    </w:p>
    <w:p>
      <w:pPr>
        <w:pStyle w:val="51"/>
        <w:widowControl w:val="0"/>
        <w:numPr>
          <w:ilvl w:val="255"/>
          <w:numId w:val="0"/>
        </w:numPr>
        <w:spacing w:line="360" w:lineRule="auto"/>
        <w:ind w:left="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使用期间可以更换的次要构件主要指在地下结构内部的、位于次要部位且更换不影响使用功能和王常运营的结构构件。这些构件原则上可以按照50年的设计使用年限进行设计。</w:t>
      </w:r>
    </w:p>
    <w:p>
      <w:pPr>
        <w:pStyle w:val="51"/>
        <w:widowControl w:val="0"/>
        <w:numPr>
          <w:ilvl w:val="255"/>
          <w:numId w:val="0"/>
        </w:numPr>
        <w:spacing w:line="360" w:lineRule="auto"/>
        <w:ind w:left="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不作为使用期间主要受力结构的围护结构,主要指基坑围护结构中的围护桩、围护墙和其他挡土结构，可不考虑耐久性要求,仅满足施工期间的使用即可。但对于可能在设计中部分考虑其承载作用的围护结构（如灌注桩和连续墙等）来讲，应满足本规范耐久性规定中对材料和构造的要求。</w:t>
      </w:r>
    </w:p>
    <w:p>
      <w:pPr>
        <w:pStyle w:val="51"/>
        <w:widowControl w:val="0"/>
        <w:numPr>
          <w:ilvl w:val="255"/>
          <w:numId w:val="0"/>
        </w:numPr>
        <w:spacing w:line="360" w:lineRule="auto"/>
        <w:ind w:left="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矿山法隧道的喷射混凝土韧期支护(包含单纯锚杆喷射混凝土和带有钢拱架的喷射混凝土支护）由于截面厚度小，抗渗性能差以及施工质量和稳定性不易控制等，可按照临时支护考虑。</w:t>
      </w:r>
    </w:p>
    <w:p>
      <w:pPr>
        <w:pStyle w:val="51"/>
        <w:widowControl w:val="0"/>
        <w:numPr>
          <w:ilvl w:val="255"/>
          <w:numId w:val="0"/>
        </w:numPr>
        <w:spacing w:line="360" w:lineRule="auto"/>
        <w:ind w:left="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地下结构的耐久性,主要与使用环境、材料、构造、混凝土的裂缝、施工质量和使用阶段的维护等方面有关。耐久性设计的内容包括:</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1确定结构和构件的设计使用年限,环境作用类别和作用等级;进行有利于减轻环境作用的概念设计，包括结构选型、布置和构造;</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2选用混凝土材料和钢筋,提出材料的耐久性质量要求;</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3根据耐久性要求确定混凝土保护层厚度;</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4设置防水、排水等构造措施;</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5提出混凝土裂缝控制要求;</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6必要时提出针对严重环境作用的多重防护措施与防腐蚀附加措施;</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7提出针对耐久性要求的施工工艺与质量验收要求;</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8提出使用阶段的维护与检测要求。</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混凝士结构的环境作用等级可参照国家标准《混凝土结构耐久性设计规范》GB/T 50476的规定执行。对处于一般环境条件下且厚度不小于300mm的钢筋混凝土内衬可不按薄壁构件考虑,在一面临水另一面干燥的环境条件下，可不考虑干湿交替作用，其主要理由是:</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bookmarkStart w:id="140" w:name="_Toc17206"/>
      <w:r>
        <w:rPr>
          <w:rFonts w:hint="eastAsia" w:cs="Times New Roman" w:eastAsiaTheme="minorEastAsia"/>
          <w:bCs/>
          <w:color w:val="000000" w:themeColor="text1"/>
          <w:kern w:val="2"/>
          <w:sz w:val="28"/>
          <w:szCs w:val="28"/>
          <w:lang w:val="zh-CN" w:eastAsia="zh-CN" w:bidi="ar-SA"/>
          <w14:textFill>
            <w14:solidFill>
              <w14:schemeClr w14:val="tx1"/>
            </w14:solidFill>
          </w14:textFill>
        </w:rPr>
        <w:t>1内衬在防水层的保护之下;</w:t>
      </w:r>
      <w:bookmarkEnd w:id="140"/>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2即使防水层局部漏水，但隧道整体上还有防水层的包裹，能够涵养部分地下水，不至于使结构环境形成完全的干湿交替效果;</w:t>
      </w:r>
    </w:p>
    <w:p>
      <w:pPr>
        <w:pStyle w:val="51"/>
        <w:widowControl w:val="0"/>
        <w:numPr>
          <w:ilvl w:val="255"/>
          <w:numId w:val="0"/>
        </w:numPr>
        <w:spacing w:line="360" w:lineRule="auto"/>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3盾构隧道管片的混凝土标号和抗渗等级高,渗透深度一般不易达到隧道内表面(空气侧)。素混凝土构件在一般环境中可按I-A考虑。</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zh-CN" w:eastAsia="zh-CN" w:bidi="ar-SA"/>
          <w14:textFill>
            <w14:solidFill>
              <w14:schemeClr w14:val="tx1"/>
            </w14:solidFill>
          </w14:textFill>
        </w:rPr>
        <w:t>地下结构混凝土材料应严格控制对耐久性不利的成分含量，一般环境下的混凝土中水溶性氯离子含量应不大于0.08%、三氧化硫含量应不大于胶凝材料重量的4%，碱含量应不大于3kg。</w:t>
      </w:r>
    </w:p>
    <w:p>
      <w:pPr>
        <w:pStyle w:val="51"/>
        <w:widowControl w:val="0"/>
        <w:numPr>
          <w:ilvl w:val="255"/>
          <w:numId w:val="0"/>
        </w:numPr>
        <w:spacing w:line="360" w:lineRule="auto"/>
        <w:ind w:left="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3.1.7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矿山法施工的隧道内轮廓需选择合适的高(矢)跨比，使隧道结构处于合理受力状态。隧道内采用有砟轨道并且需要进行大型机械化养护时,隧道内轮廓需满足养护机械作业要求。</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隧道轨面以上净空面积需同时满足建筑限界和列车进人隧道诱发的空气动力学效应,并取其中较大值。列车动态密封指数5s&lt;T&lt;6s时,隧道轨面以上最小净空横断面面积需符合说明表3.1.7的规定。</w:t>
      </w:r>
    </w:p>
    <w:p>
      <w:pPr>
        <w:pStyle w:val="51"/>
        <w:numPr>
          <w:ilvl w:val="0"/>
          <w:numId w:val="0"/>
        </w:numPr>
        <w:ind w:firstLine="480" w:firstLineChars="200"/>
        <w:jc w:val="center"/>
        <w:rPr>
          <w:rFonts w:ascii="楷体" w:hAnsi="楷体" w:eastAsia="楷体"/>
        </w:rPr>
      </w:pPr>
      <w:r>
        <w:rPr>
          <w:rFonts w:hint="eastAsia" w:ascii="楷体" w:hAnsi="楷体" w:eastAsia="楷体"/>
        </w:rPr>
        <w:t>说明表</w:t>
      </w:r>
      <w:r>
        <w:rPr>
          <w:rFonts w:ascii="楷体" w:hAnsi="楷体" w:eastAsia="楷体"/>
        </w:rPr>
        <w:t>3</w:t>
      </w:r>
      <w:r>
        <w:rPr>
          <w:rFonts w:hint="eastAsia" w:ascii="楷体" w:hAnsi="楷体" w:eastAsia="楷体"/>
        </w:rPr>
        <w:t>.1.</w:t>
      </w:r>
      <w:r>
        <w:rPr>
          <w:rFonts w:ascii="楷体" w:hAnsi="楷体" w:eastAsia="楷体"/>
        </w:rPr>
        <w:t>7</w:t>
      </w:r>
      <w:r>
        <w:rPr>
          <w:rFonts w:hint="eastAsia" w:ascii="楷体" w:hAnsi="楷体" w:eastAsia="楷体"/>
        </w:rPr>
        <w:t>隧道轨面以上最小净空横断面面积</w:t>
      </w:r>
    </w:p>
    <w:tbl>
      <w:tblPr>
        <w:tblStyle w:val="22"/>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1484"/>
        <w:gridCol w:w="2796"/>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车辆类型</w:t>
            </w:r>
          </w:p>
        </w:tc>
        <w:tc>
          <w:tcPr>
            <w:tcW w:w="1484" w:type="dxa"/>
            <w:shd w:val="clear" w:color="auto" w:fill="auto"/>
            <w:noWrap/>
            <w:vAlign w:val="bottom"/>
          </w:tcPr>
          <w:p>
            <w:pPr>
              <w:widowControl/>
              <w:spacing w:line="240" w:lineRule="auto"/>
              <w:ind w:firstLine="0" w:firstLineChars="0"/>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隧道类型</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设计行车速度(km/h)</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面积(m²)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市域A型</w:t>
            </w:r>
          </w:p>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市域B型</w:t>
            </w: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120及以下</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140</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双线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restart"/>
            <w:shd w:val="clear" w:color="auto" w:fill="auto"/>
            <w:vAlign w:val="center"/>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市域C型</w:t>
            </w:r>
          </w:p>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市域D型</w:t>
            </w: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120及以下</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140/160</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39" w:type="dxa"/>
            <w:vMerge w:val="continue"/>
            <w:vAlign w:val="center"/>
          </w:tcPr>
          <w:p>
            <w:pPr>
              <w:widowControl/>
              <w:spacing w:line="240" w:lineRule="auto"/>
              <w:ind w:firstLine="0" w:firstLineChars="0"/>
              <w:rPr>
                <w:rFonts w:hint="eastAsia" w:ascii="宋体" w:hAnsi="宋体" w:eastAsia="宋体" w:cs="宋体"/>
                <w:color w:val="000000"/>
                <w:kern w:val="0"/>
                <w:sz w:val="21"/>
                <w:szCs w:val="21"/>
              </w:rPr>
            </w:pPr>
          </w:p>
        </w:tc>
        <w:tc>
          <w:tcPr>
            <w:tcW w:w="1484"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双线</w:t>
            </w:r>
          </w:p>
        </w:tc>
        <w:tc>
          <w:tcPr>
            <w:tcW w:w="2796"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w:t>
            </w:r>
          </w:p>
        </w:tc>
        <w:tc>
          <w:tcPr>
            <w:tcW w:w="1369" w:type="dxa"/>
            <w:shd w:val="clear" w:color="auto" w:fill="auto"/>
            <w:noWrap/>
            <w:vAlign w:val="bottom"/>
          </w:tcPr>
          <w:p>
            <w:pPr>
              <w:widowControl/>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64</w:t>
            </w:r>
          </w:p>
        </w:tc>
      </w:tr>
    </w:tbl>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说明表3.1.7中,隧道轨面以上最小净空横断面面积是根据《城际铁路设计规范隧道断面研究》《市域(郊)铁路国铁和城轨制式隧道内净空设计标准研究》《市域(郊)铁路隧道内净空设计标准研究》等成果,针对市域车辆动态密封指数大于5s且满足各速度目标值下相应车内瞬变压力幅度单线单车800Pa/3s,双线会车1250Pa/3s的舒适度标准进行取值。</w:t>
      </w:r>
    </w:p>
    <w:p>
      <w:pPr>
        <w:pStyle w:val="51"/>
        <w:widowControl w:val="0"/>
        <w:numPr>
          <w:ilvl w:val="255"/>
          <w:numId w:val="0"/>
        </w:numPr>
        <w:spacing w:line="360" w:lineRule="auto"/>
        <w:ind w:left="284"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采用列车动态密封指数T&lt;5s或T&gt;6s或非密闭性列车时，在满足列车运行动态限界和乘客舒适度标准基础上,根据机车车辆类型、设计时速隧道长度等因素综合确定隧道轨面以上最小净空横断面面积。</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3.2.2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荷载组合需考虑施工和使用年限内可能发生的变化,根据《建筑结构荷载规范》GB50009——2012及《铁路隧道设计规范》TB 10003——2016等相关规范,按照可能出现的最不利情况计算。结构计算方法优先应用极限状态法,根据具体工程条件,采用容许应力法或破损阶段法。</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施工荷载是指结构构件在就地建造、安装时,作用在构件上的临时荷载。该类荷载主要用于施工阶段的验算,其取值需根据施工阶段,施工方法和施工条件的实际情况确定。部分施工荷载建议取值:施工机具荷载,不大于10 kPa;地面堆载选用20 kPa,盾构井处根据盾构吊装实际情况考虑,但不小于30 kPa。</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3.2.3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本条的极限状态设计方法的通用表达式依据国家标准《工程结构可靠性设计统一标准》GB50153- 2008而定，是本规程各章各种支护结构统一的设计表达式。</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承载能力极限状态，由材料强度控制的结构构件的破坏类型采用极限状态设计法，按公式(3.2.3-1)给出的表达式进行设计计算和验算，荷载效应采用荷载基本组合的设计值,抗力采用结构构件的承载力设计值并考虑结构构件的重要性系数。涉及岩土稳定性的承载能力极限状态,采用单一安全系数法,按公式(3.2.3-3)给出的表达式进行计算和验算。本规程的修订,对岩土稳定性的承载能力极限状态问题恢复了传统的单一安全系数法，一是由于新制定的国家标准《工程结构可靠性设计统一标准》GB 50153-2008中明确提出了可以采用单一安全系数法，不会造成与基本规范不协调统一的问题;二是由于国内岩土工程界目前仍普遍认可单一安全系数法，单一安全系数法适于岩土工程问题。</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以支护结构水平位移限值等为控制指标的正常使用极限状态的设计表达式也与有关结构设计规范保持一致。</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3.2.4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随着我国建筑结构可靠度设计标准的提高,国家标准《建筑结构荷载规范》GB 50009-2001已将永久荷载、可变荷载的分项系数调高，对由永久荷载效应控制的永久荷载分项系数取</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object>
          <v:shape id="_x0000_i1289" o:spt="75" type="#_x0000_t75" style="height:18pt;width:18pt;" o:ole="t" filled="f" o:preferrelative="t" stroked="f" coordsize="21600,21600">
            <v:path/>
            <v:fill on="f" focussize="0,0"/>
            <v:stroke on="f" joinstyle="miter"/>
            <v:imagedata r:id="rId561" o:title=""/>
            <o:lock v:ext="edit" aspectratio="t"/>
            <w10:wrap type="none"/>
            <w10:anchorlock/>
          </v:shape>
          <o:OLEObject Type="Embed" ProgID="Equation.DSMT4" ShapeID="_x0000_i1289" DrawAspect="Content" ObjectID="_1468075989" r:id="rId560">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1.35。各结构规范也均相应对此进行了调整。由于本规程对象是临时性支护结构，在修订时，也研究讨论了荷载分项系数如何取值问题。如荷载综合分项系数由1.25调为1.35，这样将会大大增加支护结构的工程造价。在征求了国内--些专家、学者的意见后，认为还是维持原规程的规定为好，支护结构构件按承载能力极限状态设计时的作用基本组合综合分项系数</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object>
          <v:shape id="_x0000_i1290" o:spt="75" type="#_x0000_t75" style="height:18pt;width:18pt;" o:ole="t" filled="f" o:preferrelative="t" stroked="f" coordsize="21600,21600">
            <v:path/>
            <v:fill on="f" focussize="0,0"/>
            <v:stroke on="f" joinstyle="miter"/>
            <v:imagedata r:id="rId563" o:title=""/>
            <o:lock v:ext="edit" aspectratio="t"/>
            <w10:wrap type="none"/>
            <w10:anchorlock/>
          </v:shape>
          <o:OLEObject Type="Embed" ProgID="Equation.DSMT4" ShapeID="_x0000_i1290" DrawAspect="Content" ObjectID="_1468075990" r:id="rId562">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仍取1.25。其理由如下:其一，支护结构是临时性结构，一般来说，支护结构使用时间不会超过一年，正常施工条件下最长的工程也小于两年，在安全储备上与主体建筑结构应有所区别。其二，荷载综合分项系数的调高只影响支护结构构件的承载力设计，如增加挡土构件的截面配筋、锚杆的钢绞线数量等，并未提高有关岩土的稳定性安全系数，如圆弧滑动稳定性、隆起稳定性、锚杆抗拔力、倾覆稳定性等，而大部分基坑工程事故主要还是岩土类型的破坏形式。为避免与《工程结构可靠性设计统一标准》GB 50153及《建筑结构荷载规范》GB 50009-2001的荷载分项系数取值不一致带来的不统一问题，其系数称为荷载综合分项系数，荷载综合分项系数中包括了临时性结构对荷载基本组合下的调整。</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支护结构的重要性系数，遵循《工程结构可靠性设计统一标准》GB 50153的规定，对安全等级为一级、二级、三级的支护结构可分别取1.1、1.0及0.9。当需要提高安全标准时，支护结构的重要性系数可以根据具体工程的实际情况取大于上述数值。</w:t>
      </w:r>
    </w:p>
    <w:p>
      <w:pPr>
        <w:pStyle w:val="51"/>
        <w:numPr>
          <w:ilvl w:val="0"/>
          <w:numId w:val="0"/>
        </w:numPr>
        <w:rPr>
          <w:rFonts w:ascii="楷体" w:hAnsi="楷体" w:eastAsia="楷体"/>
          <w:b/>
          <w:bCs/>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3.3.1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明挖施工的结构衬砌</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装配式衬砌具有工业化程度高、施工速度快等优点，在前苏联地铁的车站及区间隧道中已被广泛采用，我国铁路工程中也已经有研究和应用。装配式结构的构件在现场应连接成整体，以利于防水、抗震,并提高隧道抵抗纵向不均匀沉降的能力。装配式衬砌因其施工不受低温天气的影响，在我国东北的寒冷地区应对冬季施工有一定的意义;</w:t>
      </w:r>
    </w:p>
    <w:p>
      <w:pPr>
        <w:pStyle w:val="51"/>
        <w:widowControl w:val="0"/>
        <w:numPr>
          <w:ilvl w:val="255"/>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把地下连续墙和灌注桩等基坑支护作为主体结构的一部分加以利用，既可以节约工程投资，又减少了资源的消耗,符合可持续发展的要求。我国大多数明挖地铁车站都是按照这一原则设计的。此时，主体结构的侧墙可有单一-墙、叠合墙和复合墙等三种形式。</w:t>
      </w:r>
    </w:p>
    <w:p>
      <w:pPr>
        <w:numPr>
          <w:ilvl w:val="0"/>
          <w:numId w:val="15"/>
        </w:num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单一墙:围护结构直接作为主体结构的侧墙，不另作参与结构受力的内衬墙,多采用现浇地下连续墙，槽段之间的接头需作特殊处理。一般顺筑法施工时可采用柔性防水接头;逆作法施工时采用能传递竖向剪力的刚性防水接头或整体接头。由于灌注桩各柱列之间无构造上的联系，整体性差，防水性能也不可靠,故不宜单独作为主体结构的侧墙使用;</w:t>
      </w:r>
    </w:p>
    <w:p>
      <w:pPr>
        <w:numPr>
          <w:ilvl w:val="0"/>
          <w:numId w:val="0"/>
        </w:numPr>
        <w:ind w:left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2)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叠合墙:围护结构作为主体结构侧墙的一部分，与内衬墙组合成叠合式结构</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通过结构和施工措施，保证叠合面的剪力传递，叠合后可把二者视为整体墙。此种形式的围护结构也多采用地下连续墙;</w:t>
      </w:r>
    </w:p>
    <w:p>
      <w:pPr>
        <w:numPr>
          <w:ilvl w:val="0"/>
          <w:numId w:val="0"/>
        </w:num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复合墙:围护结构作为主体结构侧墙的一部分，与内衬墙组咸复合式结构,墙面之间不能传递剪力和弯矩,只能传递法向压力。围护结构可采用地下连续墙、钻孔灌注桩或人工挖孔桩等。在围护墙和内衬墙之间可敷设隔离层或封闭的防水层。用分离式灌注桩作为基坑支护时，虽然其与内衬墙之间有时也通过设置拉接钢筋传递一定的拉力，但由于连接较弱，也应视为复合墙。在含水地层中,灌注桩的外侧一般须设止水帷幕，因此施工阶段的水土压力由围护墙承受。长期使用阶段需考虑止水帷幕失效和地下水绕流等因素，水压力作用在内衬墙上。侧墙形式对工程投资、结构受力、施工和使用等有较大影响，应结合使用要求、围护结构的形式、工程地质与水文地质条件及场地条件等通过技术经济比较确定。当无可靠依据和措施解决泥浆中浇注的混凝土的耐久性问题时，不应采用单一墙。采用叠合墙或复合墙形式时，也应考虑在使用期内围护结构的材料劣化影响，一般情况下围护结构可按刚度折减到60%～70%后与内衬墙共同承载。</w:t>
      </w:r>
    </w:p>
    <w:p>
      <w:pPr>
        <w:pStyle w:val="51"/>
        <w:numPr>
          <w:ilvl w:val="0"/>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3.3.2  从保证隧道长期稳定、确保地铁无碎道床正常工作的角度考虑，原则上衬砌结构宜采用闭合式。当隧道位于无地下水的I级围岩中时，可不设受力底板，但仍应用厚度不小于200mm的混凝土铺底。</w:t>
      </w:r>
    </w:p>
    <w:p>
      <w:pPr>
        <w:rPr>
          <w:rFonts w:hint="eastAsia" w:ascii="楷体" w:hAnsi="楷体" w:eastAsia="楷体"/>
        </w:rPr>
      </w:pPr>
      <w:r>
        <w:rPr>
          <w:rFonts w:hint="eastAsia" w:ascii="楷体" w:hAnsi="楷体" w:eastAsia="楷体"/>
        </w:rPr>
        <w:br w:type="page"/>
      </w:r>
    </w:p>
    <w:p>
      <w:pPr>
        <w:pStyle w:val="2"/>
        <w:numPr>
          <w:ilvl w:val="0"/>
          <w:numId w:val="0"/>
        </w:numPr>
        <w:ind w:left="0" w:leftChars="0" w:firstLine="0" w:firstLineChars="0"/>
      </w:pPr>
      <w:bookmarkStart w:id="141" w:name="_Toc17191"/>
      <w:bookmarkStart w:id="142" w:name="_Toc10156"/>
      <w:bookmarkStart w:id="143" w:name="_Toc30718"/>
      <w:r>
        <w:rPr>
          <w:rFonts w:hint="eastAsia"/>
          <w:lang w:val="en-US" w:eastAsia="zh-CN"/>
        </w:rPr>
        <w:t>4</w:t>
      </w:r>
      <w:r>
        <w:rPr>
          <w:rFonts w:hint="eastAsia"/>
        </w:rPr>
        <w:t>岩土勘察与环境调查</w:t>
      </w:r>
      <w:bookmarkEnd w:id="141"/>
      <w:bookmarkEnd w:id="142"/>
      <w:bookmarkEnd w:id="143"/>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4.1.1 勘察之前充分收集、分析既有明挖隧道资料，可以了解拟建场地的区域地质情况和以往的工程建设经验，从而明确工作重点，合理确定勘察工作量，节约勘察成本，提高勘察质量。</w:t>
      </w:r>
    </w:p>
    <w:p>
      <w:pPr>
        <w:pStyle w:val="51"/>
        <w:widowControl w:val="0"/>
        <w:numPr>
          <w:ilvl w:val="0"/>
          <w:numId w:val="0"/>
        </w:numPr>
        <w:spacing w:line="360" w:lineRule="auto"/>
        <w:ind w:left="284"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地质条件复杂地段，采用单一的勘探方法，往往由于场地条件的限制难以实施，在短时间内难以查清场地的工程地质条件。而采用多种勘察手段相结合，使几种勘察手段相关验证，取长补短，可以提高勘察的效果，也有利于勘察技术的改进。</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4.1.2 明挖工程的水文地质勘察应包含两个方面：一是满足降水设计（包括降水井的布置和井管设计）需要，二是满足对环境影响评估的需要。降水对环境影响评估的需要对明挖外围渗流进行分析，研究流场优化的各种措施，考虑降水延续时间长短的影响。</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4.1.3 目前大多数的基坑工程的勘察，其勘探孔均在基坑内，只能根据坑内钻孔的地质剖面判定坑外地层的分布情况。当场地地层分布较均匀时，采用坑内的勘探孔是可以的，但当场地土层分布起伏较大或局部存在软弱层时，会使明挖支护的设计的岩土依据与实际不符，从而造成明挖工程风险。因此，有条件的场地因按本条要求增设勘察孔。</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4.1.4 （1）按现行国家标准《岩土工勘察规范》（GB50021）的规定进行原位测试和室内试验并提出各层土的物理力学性质指标和力学指标；对主要土层和厚度大于3m的素填土，应进行抗剪强度试验并提出相应的抗剪强度指标。</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（2）含有承压水的砂土层：由于承压水的作用，易产生突发性涌水和流砂，引起地面较大范围的突然塌陷和沉降。因此，明挖面以下存在承压水时，勘探孔深度应可以满足能测出承压含水层水头的需要。</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4.1.6 明挖周边环境条件是支护结构设计的重要依据之一。明挖周边通常存在既有建筑物、管线、铁路、道路等，明挖工程的支护的作用主要是保护周边环境不受损害。同时，明挖周边既有建筑物、铁路、道路等荷载会增加作用在明挖支护结构上的荷载，支护结构的施工也需要考虑对周边建筑物、地下管线、地下构筑物等影响。因此，应查明明挖周边的环境条件，并按这些环境条件进行设计。</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4.2.3 水文地质试验孔一般布置在对工程有影响的主要含水层。当明挖段需要降水时，宜采用抽水试验测定各含水层的渗透系数与影响半径。</w:t>
      </w:r>
    </w:p>
    <w:p>
      <w:pPr>
        <w:pStyle w:val="51"/>
        <w:widowControl w:val="0"/>
        <w:numPr>
          <w:ilvl w:val="0"/>
          <w:numId w:val="0"/>
        </w:numPr>
        <w:spacing w:line="360" w:lineRule="auto"/>
        <w:ind w:left="284"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明挖区不良地质及特殊岩土发育的地段、地质条件复杂的地段是明挖隧道可行性研究阶段需重点调查的内容。</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4.3.5 原位测试基本上是在原位的应力条件下对岩土体进行测试，其测试结果具有较好的可靠性和代表性，但原位测试评定岩土参数主要是建立在统计的经验基础上，有很强的地区性和岩土类的局限性。因此，在选择原位测试方法时应根据岩土条件、设计对参数的要求、地区经验和测试方法的适用性等综合确定。</w:t>
      </w:r>
    </w:p>
    <w:p>
      <w:pPr>
        <w:pStyle w:val="51"/>
        <w:widowControl w:val="0"/>
        <w:numPr>
          <w:ilvl w:val="0"/>
          <w:numId w:val="0"/>
        </w:numPr>
        <w:spacing w:line="360" w:lineRule="auto"/>
        <w:ind w:left="284"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勘探取样的数量和质量、取样的位置，试验方法的选择，是保证室内试验成果资料质量的前提，而室内试验成果资料准确、可靠、适用又是保证地质勘察资料质量的基础。</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4.5.2 施工中需特别重视因地质和环境原因引发的问题，如岩溶地区突然发生的地面塌陷或地表水的漏失，有害气体的燃烧或爆炸等、液化土区由于地基局部液化产生盾构机姿态变形等。在施工的整个过程中应对施工影响范围内地质条件变化和地质灾害发生的可能性进行监测和预报，以确保施工安全和人员安全；对施工影响范围内的建（构）筑物、地下管线等周边环境进行监测，确保周边环境安全。</w:t>
      </w:r>
    </w:p>
    <w:p>
      <w:pPr>
        <w:pStyle w:val="51"/>
        <w:widowControl w:val="0"/>
        <w:numPr>
          <w:ilvl w:val="0"/>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4.6.2 抗剪强度是明挖支护设计最重要参数，但不同的试验方法（直剪或三轴、UU或CU）可能得出不同的结果。勘察时应根据设计所依据的规范、标准的要求进行，提供数据。</w:t>
      </w:r>
    </w:p>
    <w:p>
      <w:pPr>
        <w:rPr>
          <w:rFonts w:hint="eastAsia" w:ascii="楷体" w:hAnsi="楷体" w:eastAsia="楷体"/>
        </w:rPr>
      </w:pPr>
      <w:r>
        <w:rPr>
          <w:rFonts w:hint="eastAsia" w:ascii="楷体" w:hAnsi="楷体" w:eastAsia="楷体"/>
        </w:rPr>
        <w:br w:type="page"/>
      </w:r>
    </w:p>
    <w:p>
      <w:pPr>
        <w:pStyle w:val="2"/>
        <w:numPr>
          <w:ilvl w:val="0"/>
          <w:numId w:val="0"/>
        </w:numPr>
        <w:ind w:left="0" w:leftChars="0" w:firstLine="0" w:firstLineChars="0"/>
      </w:pPr>
      <w:bookmarkStart w:id="144" w:name="_Toc19078"/>
      <w:bookmarkStart w:id="145" w:name="_Toc28436"/>
      <w:bookmarkStart w:id="146" w:name="_Toc17966"/>
      <w:r>
        <w:rPr>
          <w:rFonts w:hint="eastAsia"/>
          <w:lang w:val="en-US" w:eastAsia="zh-CN"/>
        </w:rPr>
        <w:t>5</w:t>
      </w:r>
      <w:r>
        <w:rPr>
          <w:rFonts w:hint="eastAsia"/>
        </w:rPr>
        <w:t>设计荷载</w:t>
      </w:r>
      <w:bookmarkEnd w:id="144"/>
      <w:bookmarkEnd w:id="145"/>
      <w:bookmarkEnd w:id="146"/>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5.1.1 地层压力是地下结构承受的主要荷载。由于影响地层压力分布、大小和性质的因素很多，应根据隧道的具体条件,结合已有的试验、测试和研究资料慎重确定。--般情况下,岩质隧道可根据围岩分级依工程类比确定围岩作用和支护参数，土质隧道可按下述通用方法计算土压力:</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竖向压力:填土隧道及浅埋暗挖隧道―般按计算截面以上全部土柱重量考虑;深埋暗挖隧道按泰沙基公式、普罗托季雅柯诺夫公式或其他经验公式计算;</w:t>
      </w:r>
    </w:p>
    <w:p>
      <w:pPr>
        <w:pStyle w:val="51"/>
        <w:numPr>
          <w:ilvl w:val="0"/>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 水平压力:根据结构受力过程中墙体位移与地层间的相互关系，分别按主动土压力、静止土压力或被动土压力理论计算﹔在黏性土中应考虑粘聚力影响。计算土层的侧压力时，一般有两种方法，一种是将土压力与水压力分开计算(水土分算)，另一种是将水压力作为土压力的一部分进行计算（水土合算)。两种方法的适用条件详见5.1.2条说明。</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5.1.2 条文说明: 水压力的确定应注意以下问题:</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1作用在地下结构上的水压力，原则上应采用孔隙水压力，但孔隙水压力的确定比较困难,从实用和偏于安全考虑,设计水压力一般都按静水压力计算;</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2在评价地下水位对地下结构的作用时，最重要的三个条件是水头、地层特性和时间因素。具体计算方法如下:</w:t>
      </w:r>
    </w:p>
    <w:p>
      <w:pPr>
        <w:pStyle w:val="51"/>
        <w:widowControl w:val="0"/>
        <w:numPr>
          <w:ilvl w:val="0"/>
          <w:numId w:val="16"/>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使用阶段:</w:t>
      </w:r>
    </w:p>
    <w:p>
      <w:pPr>
        <w:pStyle w:val="51"/>
        <w:widowControl w:val="0"/>
        <w:numPr>
          <w:ilvl w:val="0"/>
          <w:numId w:val="0"/>
        </w:numPr>
        <w:spacing w:line="360" w:lineRule="auto"/>
        <w:ind w:left="0" w:firstLine="0" w:firstLineChars="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①无论砂性土或黏性土，都应根据设计地下水位按全水头和水土分算的原则确定;②应考虑地下水位在使用期的变化可能的不利组合。</w:t>
      </w:r>
    </w:p>
    <w:p>
      <w:pPr>
        <w:numPr>
          <w:ilvl w:val="0"/>
          <w:numId w:val="16"/>
        </w:num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施工阶段可根据围岩情况区别对待:</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置于渗透系数较小的黏性土地层中的隧道,在进行抗浮稳定性分析时，可结合当地工程经验，对浮力作适当折减或把地下结构底板以下的黏性土层作为压重考虑﹔并可按水土合算的原则确定作用在地下结构上的侧向水压力;</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2置于砂性土地层中的隧道，应按全水头确定作用在地下结构上的浮力，按水土分算的原则确定作用在地下结构上的侧向水土压力。</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bookmarkStart w:id="147" w:name="_Toc14513"/>
      <w:r>
        <w:rPr>
          <w:rFonts w:hint="eastAsia" w:cs="Times New Roman" w:eastAsiaTheme="minorEastAsia"/>
          <w:bCs/>
          <w:color w:val="000000" w:themeColor="text1"/>
          <w:kern w:val="2"/>
          <w:sz w:val="28"/>
          <w:szCs w:val="28"/>
          <w:lang w:val="en-US" w:eastAsia="zh-CN" w:bidi="ar-SA"/>
          <w14:textFill>
            <w14:solidFill>
              <w14:schemeClr w14:val="tx1"/>
            </w14:solidFill>
          </w14:textFill>
        </w:rPr>
        <w:t>3确定设计地下水位时应注意的问题;</w:t>
      </w:r>
      <w:bookmarkEnd w:id="147"/>
    </w:p>
    <w:p>
      <w:pPr>
        <w:pStyle w:val="51"/>
        <w:widowControl w:val="0"/>
        <w:numPr>
          <w:ilvl w:val="0"/>
          <w:numId w:val="17"/>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由于季节和人为的工程活动〔如邻近场地工程降水影响)等都可能使地下水位发生变动,所以在确定设计地下水位时，不能仅凭地质勘察取得的当前结果,必须估计到将来可能发生的变化。尤其近年来对水资源保护的力度加大，需要考虑结构在长期使用过程中城市地下水回灌的可能性;</w:t>
      </w:r>
    </w:p>
    <w:p>
      <w:pPr>
        <w:pStyle w:val="51"/>
        <w:numPr>
          <w:ilvl w:val="0"/>
          <w:numId w:val="17"/>
        </w:numPr>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地形影响:在盆地和山麓等处,有时会出现不透水层下面的水压力变高的情况，使地下水压力从上到下按线性增大的常规形态发生变化;</w:t>
      </w:r>
    </w:p>
    <w:p>
      <w:pPr>
        <w:pStyle w:val="51"/>
        <w:numPr>
          <w:ilvl w:val="0"/>
          <w:numId w:val="17"/>
        </w:numPr>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符合结构受力的最不利荷载组合原则:由于超静定结构某些构件中的某些截面是按侧压力或底板水反力最小的情况控制设计的，所以在确定设计地下水位时，应分别考虑最高水位和最低水位两种情况。</w:t>
      </w:r>
    </w:p>
    <w:p>
      <w:pPr>
        <w:pStyle w:val="51"/>
        <w:numPr>
          <w:ilvl w:val="2"/>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5.1.3 铁路列车的动力作用参数，可参照《铁路桥涵设计基本规范》TB 10002.1关于动力参数的计算公式来取值，并乘以0.8的折减系数。当轨道铺设在结构底板上时，一般来说,车辆荷载对结构应力影响不大，并且为有利作用，铁路车辆荷载及其动力作用的影响可路去不计。</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5.1.4 综合国内外各种规范有关人群荷载的取值,本规范采用了中间值。</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设备区的计算荷载应根据设备安装、检修和正常使用的实际情况(包括动力效应)确定，可按标准值8.0kPa进行设计，重型设备尚应依据设备的实际重量、动力影响、安装运输途径等确定其荷载大小与范围。</w:t>
      </w:r>
    </w:p>
    <w:p>
      <w:pPr>
        <w:pStyle w:val="51"/>
        <w:widowControl w:val="0"/>
        <w:numPr>
          <w:ilvl w:val="2"/>
          <w:numId w:val="0"/>
        </w:numPr>
        <w:spacing w:line="360" w:lineRule="auto"/>
        <w:ind w:left="284"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对于设备区一般情况下荷载标准值的取值，参考地铁等轨道交通规范取值为8.0kPa，主要考虑了以下因素:</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参考对现状多数地铁车站楼板设计参数的分析，采用8.0kPa的荷载标准值,一般不会对结构设计参数带来较大影响;</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 采用较大的荷载标准值有利于提高设备区灵活布置的结构适用性;</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zh-CN"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3 实际采用8.0kPa荷载标准值的情况比较普遍;</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4 对于大型设备,楼板设计时应考虑其运输过程的影响。</w:t>
      </w:r>
    </w:p>
    <w:p>
      <w:pPr>
        <w:pStyle w:val="51"/>
        <w:numPr>
          <w:ilvl w:val="0"/>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5.2.1 支护结构作为分析对象时，作用在支护结构上的力或间接作用为荷载。除土体直接作用在支护结构上形成土压力之外，周边建筑物、施工材料、设备、车辆等荷载虽未直接作用在支护结构上，但其作用通过土体传递到支护结构上，也对支护结构上土压力的大小产生影响。土的冻胀、温度变化也会使土压力发生改变。本条列出影响土压力的常见因素，其目的是为了在土压力计算时，要把各种影响因素考虑全。基坑周边建筑物、施工材料、设备、车辆等附加荷载传递到支护结构上的附加竖向应力的计算，本规程第5.4.1条、第5.4.2条给出了简化的具体计算公式。</w:t>
      </w:r>
    </w:p>
    <w:p>
      <w:pPr>
        <w:pStyle w:val="51"/>
        <w:widowControl w:val="0"/>
        <w:numPr>
          <w:ilvl w:val="0"/>
          <w:numId w:val="0"/>
        </w:numPr>
        <w:spacing w:line="360" w:lineRule="auto"/>
        <w:ind w:left="0" w:firstLine="0" w:firstLineChars="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5.2.2 挡土结构上的土压力计算是个比较复杂的问题，从土力学这门学科的土压力理论上讲，根据不同的计算理论和假定，得出了多种土压力计算方法，其中有代表性的经典理论如朗肯土压力、库仑土压力。由于每种土压力计算方法都有各自的适用条件与局限性，也就没有一种统一的且普遍适用的土压力计算方法。</w:t>
      </w:r>
    </w:p>
    <w:p>
      <w:pPr>
        <w:pStyle w:val="51"/>
        <w:widowControl w:val="0"/>
        <w:numPr>
          <w:ilvl w:val="0"/>
          <w:numId w:val="0"/>
        </w:numPr>
        <w:spacing w:line="360" w:lineRule="auto"/>
        <w:ind w:left="0" w:leftChars="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由于朗肯土压力方法的假定概念明确，与库仑土压力理论相比具有能直接得出土压力的分布，从而适合结构计算的优点，受到工程设计人员的普遍接受。因此，本规程采用的是朗肯土压力。经过十多年国内基坑工程应用的考验，实践证明朗肯土压力是可行的。但是，由于朗肯土压力是建立在半无限土体的假定之上，在实际基坑工程中基坑的边界条件有时不符合这一假定，如基坑邻近有建筑物的地下室时，支护结构与地下室之间是有限宽度的土体;再如，对排桩顶面低于自然地面的支护结构，是将桩顶以上土的自重化作均布荷载作用在桩顶平面上，然后再按朗肯公式计算土压力。但是当桩顶位置较低时，将桩顶以上土层的自重折算成荷载后计算的士压力会明显小于这部分土重实际产生的土压力。对于这类基坑边界条件，按朗肯土压力计算会有较大误差。所以，当朗肯土压力方法不能适用时，应考虑采用其他计算方法解决土压力的计算精度问题。</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库仑土压力理论（滑动楔体法）的假定适用范围较广，对上面提到的两种情况，库仑方法能够计算出土压力的合力。但其缺点是如何解决成层土的土压力分布问题。为此，本规程规定在不符合按朗肯土压力计算条件下，可采用库仑方法计算土压力。但库仑方法在考虑墙背摩擦角时计算的被动土压力偏大，不应用于被动土压力的计算。</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考虑结构与土相互作用的土压力计算方法，理论上更科学，从长远考虑该方法应是岩土工程中支挡结构计算技术的一个发展方向。从促进技术发展角度，对先进的计算方法不应加以限制。但是，目前考虑结构与土相互作用的土压力计算方法在工程应用上尚不够成熟，现阶段只有在有经验时才能采用，如方法使用不当反而会弄巧成拙。</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总之，本规程考虑到适应实际工程特殊情况及土压力计算技术发展的需要，对土压力计算方法适当放宽，但同时对几种计算方法的适用条件也作了原则规定。本规程未采纳一些土力学书中的经验土压力方法。</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本条各公式是朗肯土压力理论的主动、被动土压力计算公式。水土合算与水土分算时，其公式采用不同的形式。</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5.2.3 天然形成的成层土，各土层的分布和厚度是不均习的。为尽量使土压力的计算准确，应按土层分布和厚度的变化情况将土层沿基坑划分为不同的剖面分别计算土压力。但场地任意位置的土层标高及厚度是由岩土勘察相邻钻探孔的各土层层面实测标高及通过分析土层分布趋势，在相邻勘察孔之间连线而成。即使土层计算剖面划分的再细，各土层的计算厚度还是会与实际地层存在-定差异，本条规定的划分土层厚度的原则，其目的是要求做到计算的土压力不小于实际的土压力。</w:t>
      </w:r>
    </w:p>
    <w:p>
      <w:pPr>
        <w:pStyle w:val="51"/>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5.2.5 本条对各章土压力、土的各种稳定性验算公式中涉及的土的抗剪强度指标的试验方法进行了归纳并作出统-规定。因为土的抗剪强度指标随排水、固结条件及试验方法的不同有多种类型的参数，不同试验方法做出的抗剪强度指标的结果差异很大，计算和验算时不能任意取用，应采用与基坑开挖过程土中孔隙水的排水和应力路径基本-一致的试验方法得到的指标。由于本规范有关公式很多，在各个公式中一一指明其试验方法和指标类型难免重复累赘，因此，在这里作出统一说明，应用具体的公式计算时，应与此对照，防止误用。根据土的有效应力原理，理论上对各种土均采用水土分算方法计算土压力更合理，但实际工程应用时，黏性土的孔隙水压力计算问题难以解决，因此对黏性土采用总应力法更为实用，可以通过将土与水作为一体的总应力强度指标反映孔隙水压力的作用。砂土采用水土分算计算土压力是可以做到的，因此本规程对砂土采用水土分算方法。黏质粉土用水土合算，砂质粉土用水土分算。</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根据土力学中有效应力原理，土的抗剪强度与有效应力存在相关关系，也就是说只有有效抗剪强度指标才能真实地反映土的抗剪强度。但在实际工程中，黏性土无法通过计算得到孔隙水压力随基坑开挖过程的变化情况，从而也就难以采用有效应力法计算支护结构的土压力、水压力和进行基坑稳定性分析。从实际情况出发，本条规定在计算土压力与进行土的稳定分析时，黏性土应采用总应力法。采用总应力法时，土的强度指标按排水条件是采用不排水强度指标还是固结不排水强度指标应根据基坑开挖过程的应力路径和实际排水情况确定。由于基坑开挖过程是卸载过程，基坑外侧的土中总应力是小主应力减小，大主应力不增加，基坑内侧的土中竖向总应力减小，同时，黏性土在剪切过程可看作是不排水的。因此认为，土压力计算与稳定性分析时，均采用固结快剪较符合实际情况。</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对于地下水位以下的砂土，可认为剪切过程水能排出而不出现超静水压力。对静止地下水，孔隙水压力可按水头高度计算。所以，采用有效应力方法并取相应的有效强度指标较为符合实际情况,但砂土难以用三轴剪切试验与直接剪切试验得到原状土的抗剪强度指标,要通过其他方法测得。</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土的抗剪强度指标试验方法有三轴剪切试验与直接剪切试验。理论上讲，用三轴试验更科学合理，但目前大量工程勘察仅提供了直接剪切试验的抗剪强度指标，致使采用直接剪切试验强度指标设计计算的基坑工程为数不少，在支护结构设计上积累了丰富的工程经验。从目前的岩土工程试验技术的实际发展状况看，直接剪切试验尚会与三轴剪切试验并存，不会被三轴剪切试验完全取代。同时，相关的勘察规范也未对采用哪种抗剪强度试验方法作出明确规定。因此，为适应目前的现实状况，本规程采用了上述两种试验方法均可选用的处理办法。但从发展的角度，应提倡用三轴剪切试验强度指标，但应与已有成熟工程应用经验的直接剪切试验指标进行对比。目前，在缺少三轴剪切试验强度指标的情况下，用直接剪切试验强度指标计算土压力和验算土的稳定性是符合我国现实情况的。</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为避免个别工程勘察项目抗剪强度试验数据粗糙对直接取用抗剪强度试验参数所带来的设计不安全或不合理,选取土的抗剪强度指标时，尚需将剪切试验的抗剪强度指标与土的其他室内与原位试验的物理力学参数进行对比分析，判断其试验指标的可靠性，防止误用。当抗剪强度指标与其他物理力学参数的相关性较差，或岩土勘察资料中缺少符合实际基坑开挖条件的试验方法的抗剪强度指标时,在有经验时应结合类似工程经验和相邻、相近场地的岩土勘察试验数据并通过可靠的综合分析判断后合理取值。缺少经验时，则应取偏于安全的试验方法得出的抗剪强度指标。</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5.3.1 对于地下水位以下的采用水土分算的砂性土层，可认为基坑开挖土体剪切过程水能排出而不出现超静水压力。对于静止地下水，孔隙水压力可按水头高度计算。</w:t>
      </w:r>
    </w:p>
    <w:p>
      <w:pPr>
        <w:pStyle w:val="51"/>
        <w:numPr>
          <w:ilvl w:val="0"/>
          <w:numId w:val="0"/>
        </w:numPr>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5.3.2 地下水渗流将导致水压力和土层竖向有效应力的分布与静水压力下不一致，宜进行地下水流网分析，按渗流理论计算基坑内外侧支护结构上的水压力。对于二、三级基坑，也可取平均水力坡降，按一维稳态渗流近似计算水土压力。</w:t>
      </w:r>
    </w:p>
    <w:p>
      <w:pPr>
        <w:rPr>
          <w:rFonts w:hint="eastAsia" w:ascii="楷体" w:hAnsi="楷体" w:eastAsia="楷体"/>
        </w:rPr>
      </w:pPr>
      <w:r>
        <w:rPr>
          <w:rFonts w:hint="eastAsia" w:ascii="楷体" w:hAnsi="楷体" w:eastAsia="楷体"/>
        </w:rPr>
        <w:br w:type="page"/>
      </w:r>
    </w:p>
    <w:p>
      <w:pPr>
        <w:pStyle w:val="2"/>
        <w:widowControl w:val="0"/>
        <w:numPr>
          <w:ilvl w:val="0"/>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bookmarkStart w:id="148" w:name="_Toc10765"/>
      <w:bookmarkStart w:id="149" w:name="_Toc16850"/>
      <w:bookmarkStart w:id="150" w:name="_Toc14886"/>
      <w:r>
        <w:rPr>
          <w:rFonts w:hint="eastAsia"/>
          <w:lang w:val="en-US" w:eastAsia="zh-CN"/>
        </w:rPr>
        <w:t>6</w:t>
      </w:r>
      <w:r>
        <w:rPr>
          <w:rFonts w:hint="eastAsia"/>
        </w:rPr>
        <w:t>建筑材料</w:t>
      </w:r>
      <w:bookmarkEnd w:id="148"/>
      <w:bookmarkEnd w:id="149"/>
      <w:bookmarkEnd w:id="150"/>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6.1.1 （1）根据国际标准ISO 3893及现行《铁路混凝土强度检验评定标准》TB10425的规定,混凝土标号的名称为混凝土强度等级(以符号C表示),并对混凝土试件的标准尺寸为15 cm立方体。</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（2）2012年1月,工信部和住建部联合印发了《关于加快应用高强钢筋的指导意见》,其中明确指出,到2013年底,在建筑工程中淘汰335 MPa级钢筋;2013年2月,国家发改委又发布《国家发展改革委关于修改《产业结构调整指导目录(2011年本)》有关条款的决定,该决定强调,自2013年5月1日起,不得再生产、销售HRB335、HPB235钢筋。</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6.1.2 地下结构采用钢筋混凝土结构有利于提高耐久性,地下结构的主要受力构件，尤其是直接与地层接触的结构应采用钢筋混凝土。位于隧道内部的构件（包括主要受力构件和次要受力构件）根据需要也可采用其他结构材料和型式，包括钢与混凝土共同组合形成的结构（如钢管混凝土结构、钢骨混凝土结构和组合构件等)、单纯的金属结构以及其他材料等,所选用的材料应满足耐久性要求。</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6.1.3 地下结构中混凝土的最低强度等级大多是从满足工程的耐久性要求考虑的。根据《混凝土结构耐久性设计规范》GB/T 50476，一般环境条件结构处于干湿交替环境时，混凝土最低强度等级要求为C40。但考虑到铁路隧道地下结构在防水措施等方面的有利，以及地下结构的厚度较大（将小于300mm 的钢筋混凝土结构视为薄壁构件)，因此放宽了对混凝土最低强度等级的要求。</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混凝土强度等级的提高会导致超长结构混凝土的收缩应力和温度应力增大，因此，设计时不宜盲目提高混凝土的强度等级，且宜适当采取措施控制混凝土的涨缩影响。</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6.1.5 为了有利于高强钢筋的应用，《混凝土结构设计规范》GB50010对裂缝宽度计算有关的参数（如构件受力特征系数）和取用荷载（将标准组合改为准永久组合）进行了调整,解决了高强钢筋应用的经济性问题。另外，钢筋产业产品在今后一段时间肯定会有相应的调整,传统钢筋的生产和供应会受到一些限制，因此本规范建议在铁路工程中应重点采用高强钢筋。</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在铁路地下结构中，有部分构件当耐久性要求不高时是可以放宽裂缝控制要求的，如基坑的围护结构和其他临时性的支护结构等，应用HRB400级等高强钢筋的优势更加明显。</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根据住房和城乡建设部、工业和信息化部《关于加快应用高强钢筋的指导意见》建标[2012] 1号的精神，明确淘汰335MPa级螺纹钢筋,因此本规范不再规定可以采用HRB335钢筋。</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6.1.6 本条是为提高喷射混凝土的耐久性和改善作业环境而提出的要求，铁路地下工程中应采用湿喷混凝土工艺，本规范在强调采用湿喷混凝土工艺的情况下，将喷射混凝土的最低强度等级提高到了C25。</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随着喷射混凝土工艺及混凝土添加剂材料的进步,喷射混凝土的性能能够较以往传统工艺有大幅度的提高，尤其在抗渗性能方面,国内已经有研究证明采用湿喷工艺和混凝土新型添加剂的喷射混凝土能够达到P12以上抗渗指标。</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掺入钢纤维的喷射混凝土可以大大改善喷射混凝土的性能，具备和易性好、坍落度损失少、回弹量低、后期强度高、抗渗性和耐久性好以及使用中腐蚀性风险低等优点，已在地铁工程中推广，掺入钢纤维的喷射混凝土的强度等级可适当提高。</w:t>
      </w:r>
    </w:p>
    <w:p>
      <w:pPr>
        <w:pStyle w:val="51"/>
        <w:numPr>
          <w:ilvl w:val="2"/>
          <w:numId w:val="0"/>
        </w:numPr>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6.2.2~6.2.3 混凝土的强度标准值由立方体抗压强度标准值f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cu,k</w:t>
      </w:r>
      <w:r>
        <w:rPr>
          <w:rFonts w:hint="eastAsia" w:cs="Times New Roman" w:eastAsiaTheme="minorEastAsia"/>
          <w:bCs/>
          <w:color w:val="000000" w:themeColor="text1"/>
          <w:kern w:val="2"/>
          <w:sz w:val="28"/>
          <w:szCs w:val="28"/>
          <w:lang w:val="en-US" w:eastAsia="zh-CN" w:bidi="ar-SA"/>
          <w14:textFill>
            <w14:solidFill>
              <w14:schemeClr w14:val="tx1"/>
            </w14:solidFill>
          </w14:textFill>
        </w:rPr>
        <w:t>经计算确定。</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轴心抗压强度标准值 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ck</w: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考虑到结构中混凝土的实体强度与立方体试件混凝土强度之间的差异,根据以往的经验，结合试验数据分析并参考其他国家的有关规定，对试件混凝土强度的修正系数取为0.88。</w:t>
      </w:r>
    </w:p>
    <w:p>
      <w:pPr>
        <w:pStyle w:val="51"/>
        <w:numPr>
          <w:ilvl w:val="2"/>
          <w:numId w:val="0"/>
        </w:numPr>
        <w:ind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棱柱强度与立方强度之比值</w:t>
      </w:r>
      <w:r>
        <w:rPr>
          <w:rFonts w:hint="eastAsia" w:ascii="楷体" w:hAnsi="楷体" w:eastAsia="楷体"/>
        </w:rPr>
        <w:t>α</w:t>
      </w:r>
      <w:r>
        <w:rPr>
          <w:rFonts w:ascii="楷体" w:hAnsi="楷体" w:eastAsia="楷体"/>
          <w:vertAlign w:val="subscript"/>
        </w:rPr>
        <w:t>c1</w:t>
      </w:r>
      <w:r>
        <w:rPr>
          <w:rFonts w:hint="eastAsia" w:ascii="楷体" w:hAnsi="楷体" w:eastAsia="楷体"/>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对C50及以下普通混凝土取0.76;对高强混凝土C80取0.82，中间按线性插值;</w:t>
      </w:r>
    </w:p>
    <w:p>
      <w:pPr>
        <w:pStyle w:val="51"/>
        <w:numPr>
          <w:ilvl w:val="2"/>
          <w:numId w:val="0"/>
        </w:numPr>
        <w:ind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C40以上的混凝土考虑脆性折减系数</w:t>
      </w:r>
      <w:r>
        <w:rPr>
          <w:rFonts w:hint="eastAsia" w:ascii="楷体" w:hAnsi="楷体" w:eastAsia="楷体"/>
        </w:rPr>
        <w:t>α</w:t>
      </w:r>
      <w:r>
        <w:rPr>
          <w:rFonts w:ascii="楷体" w:hAnsi="楷体" w:eastAsia="楷体"/>
          <w:vertAlign w:val="subscript"/>
        </w:rPr>
        <w:t>c2</w:t>
      </w:r>
      <w:r>
        <w:rPr>
          <w:rFonts w:hint="eastAsia" w:ascii="楷体" w:hAnsi="楷体" w:eastAsia="楷体"/>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对C40取1.00，对高强混凝土 C80取0.87，中间按线性插值。</w:t>
      </w:r>
    </w:p>
    <w:p>
      <w:pPr>
        <w:pStyle w:val="51"/>
        <w:numPr>
          <w:ilvl w:val="2"/>
          <w:numId w:val="0"/>
        </w:numPr>
        <w:ind w:firstLine="560" w:firstLineChars="200"/>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轴心抗压强度标准值</w:t>
      </w:r>
      <w:r>
        <w:rPr>
          <w:rFonts w:hint="eastAsia"/>
        </w:rPr>
        <w:t>f</w:t>
      </w:r>
      <w:r>
        <w:rPr>
          <w:rFonts w:hint="eastAsia"/>
          <w:vertAlign w:val="subscript"/>
        </w:rPr>
        <w:t>ck</w:t>
      </w:r>
      <w:r>
        <w:rPr>
          <w:rFonts w:hint="eastAsia" w:cs="Times New Roman" w:eastAsiaTheme="minorEastAsia"/>
          <w:bCs/>
          <w:color w:val="000000" w:themeColor="text1"/>
          <w:kern w:val="2"/>
          <w:sz w:val="28"/>
          <w:szCs w:val="28"/>
          <w:lang w:val="en-US" w:eastAsia="zh-CN" w:bidi="ar-SA"/>
          <w14:textFill>
            <w14:solidFill>
              <w14:schemeClr w14:val="tx1"/>
            </w14:solidFill>
          </w14:textFill>
        </w:rPr>
        <w:t>按</w:t>
      </w:r>
      <w:r>
        <w:rPr>
          <w:rFonts w:hint="eastAsia" w:ascii="楷体" w:hAnsi="楷体" w:eastAsia="楷体"/>
        </w:rPr>
        <w:t>0.88α</w:t>
      </w:r>
      <w:r>
        <w:rPr>
          <w:rFonts w:ascii="楷体" w:hAnsi="楷体" w:eastAsia="楷体"/>
          <w:vertAlign w:val="subscript"/>
        </w:rPr>
        <w:t>c1</w:t>
      </w:r>
      <w:r>
        <w:rPr>
          <w:rFonts w:hint="eastAsia" w:ascii="楷体" w:hAnsi="楷体" w:eastAsia="楷体"/>
        </w:rPr>
        <w:t>α</w:t>
      </w:r>
      <w:r>
        <w:rPr>
          <w:rFonts w:ascii="楷体" w:hAnsi="楷体" w:eastAsia="楷体"/>
          <w:vertAlign w:val="subscript"/>
        </w:rPr>
        <w:t>c2</w:t>
      </w:r>
      <w:r>
        <w:rPr>
          <w:rFonts w:hint="eastAsia" w:ascii="楷体" w:hAnsi="楷体" w:eastAsia="楷体"/>
        </w:rPr>
        <w:t>f</w:t>
      </w:r>
      <w:r>
        <w:rPr>
          <w:rFonts w:ascii="楷体" w:hAnsi="楷体" w:eastAsia="楷体"/>
          <w:vertAlign w:val="subscript"/>
        </w:rPr>
        <w:t>cu,k</w:t>
      </w:r>
      <w:r>
        <w:rPr>
          <w:rFonts w:hint="eastAsia" w:cs="Times New Roman" w:eastAsiaTheme="minorEastAsia"/>
          <w:bCs/>
          <w:color w:val="000000" w:themeColor="text1"/>
          <w:kern w:val="2"/>
          <w:sz w:val="28"/>
          <w:szCs w:val="28"/>
          <w:lang w:val="en-US" w:eastAsia="zh-CN" w:bidi="ar-SA"/>
          <w14:textFill>
            <w14:solidFill>
              <w14:schemeClr w14:val="tx1"/>
            </w14:solidFill>
          </w14:textFill>
        </w:rPr>
        <w:t>计算，结果见表6.2.2。</w:t>
      </w:r>
    </w:p>
    <w:p>
      <w:pPr>
        <w:pStyle w:val="51"/>
        <w:numPr>
          <w:ilvl w:val="2"/>
          <w:numId w:val="0"/>
        </w:numPr>
        <w:ind w:firstLine="560" w:firstLineChars="200"/>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轴心抗拉强度标准值</w:t>
      </w:r>
      <w:r>
        <w:rPr>
          <w:rFonts w:hint="eastAsia"/>
        </w:rPr>
        <w:t>f</w:t>
      </w:r>
      <w:r>
        <w:rPr>
          <w:rFonts w:hint="eastAsia"/>
          <w:vertAlign w:val="subscript"/>
        </w:rPr>
        <w:t>tk</w:t>
      </w:r>
    </w:p>
    <w:p>
      <w:pPr>
        <w:pStyle w:val="51"/>
        <w:numPr>
          <w:ilvl w:val="2"/>
          <w:numId w:val="0"/>
        </w:numPr>
        <w:ind w:left="0" w:leftChars="0" w:firstLine="560" w:firstLineChars="0"/>
        <w:rPr>
          <w:rFonts w:hint="eastAsia"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轴心抗拉强度标准值</w:t>
      </w:r>
      <w:r>
        <w:rPr>
          <w:rFonts w:hint="eastAsia"/>
        </w:rPr>
        <w:t>f</w:t>
      </w:r>
      <w:r>
        <w:rPr>
          <w:rFonts w:hint="eastAsia"/>
          <w:vertAlign w:val="subscript"/>
        </w:rPr>
        <w:t>tk</w:t>
      </w:r>
      <w:r>
        <w:rPr>
          <w:rFonts w:hint="eastAsia" w:cs="Times New Roman" w:eastAsiaTheme="minorEastAsia"/>
          <w:bCs/>
          <w:color w:val="000000" w:themeColor="text1"/>
          <w:kern w:val="2"/>
          <w:sz w:val="28"/>
          <w:szCs w:val="28"/>
          <w:lang w:val="en-US" w:eastAsia="zh-CN" w:bidi="ar-SA"/>
          <w14:textFill>
            <w14:solidFill>
              <w14:schemeClr w14:val="tx1"/>
            </w14:solidFill>
          </w14:textFill>
        </w:rPr>
        <w:t>按</w:t>
      </w:r>
      <w:r>
        <w:rPr>
          <w:rFonts w:hint="eastAsia" w:ascii="楷体" w:hAnsi="楷体" w:eastAsia="楷体"/>
        </w:rPr>
        <w:t>0.88 × 0.395</w:t>
      </w:r>
      <w:r>
        <w:rPr>
          <w:position w:val="-14"/>
        </w:rPr>
        <w:object>
          <v:shape id="_x0000_i1291" o:spt="75" type="#_x0000_t75" style="height:22.2pt;width:120pt;" o:ole="t" filled="f" o:preferrelative="t" stroked="f" coordsize="21600,21600">
            <v:path/>
            <v:fill on="f" focussize="0,0"/>
            <v:stroke on="f" joinstyle="miter"/>
            <v:imagedata r:id="rId565" o:title=""/>
            <o:lock v:ext="edit" aspectratio="t"/>
            <w10:wrap type="none"/>
            <w10:anchorlock/>
          </v:shape>
          <o:OLEObject Type="Embed" ProgID="Equation.DSMT4" ShapeID="_x0000_i1291" DrawAspect="Content" ObjectID="_1468075991" r:id="rId564">
            <o:LockedField>false</o:LockedField>
          </o:OLEObject>
        </w:object>
      </w:r>
      <w:r>
        <w:rPr>
          <w:rFonts w:hint="eastAsia" w:cs="Times New Roman" w:eastAsiaTheme="minorEastAsia"/>
          <w:bCs/>
          <w:color w:val="000000" w:themeColor="text1"/>
          <w:kern w:val="2"/>
          <w:sz w:val="28"/>
          <w:szCs w:val="28"/>
          <w:lang w:val="en-US" w:eastAsia="zh-CN" w:bidi="ar-SA"/>
          <w14:textFill>
            <w14:solidFill>
              <w14:schemeClr w14:val="tx1"/>
            </w14:solidFill>
          </w14:textFill>
        </w:rPr>
        <w:t>计算，其中系数0.395和指数0.55为轴心抗拉强度与立方体抗压强度的折算关系，是根据试验数据进行统计分析以后确定的</w:t>
      </w:r>
      <w:r>
        <w:rPr>
          <w:rFonts w:hint="eastAsia" w:ascii="楷体" w:hAnsi="楷体" w:eastAsia="楷体"/>
        </w:rPr>
        <w:t>。</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6.2.4-6.2.5 混凝土的强度设计值由强度标准值除混凝土材料分项系数γ。确定。混凝土的材料分项系数取为1.40。</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bookmarkStart w:id="151" w:name="_Toc5094"/>
      <w:bookmarkStart w:id="152" w:name="_Toc25653"/>
      <w:r>
        <w:rPr>
          <w:rFonts w:hint="eastAsia" w:cs="Times New Roman" w:eastAsiaTheme="minorEastAsia"/>
          <w:bCs/>
          <w:color w:val="000000" w:themeColor="text1"/>
          <w:kern w:val="2"/>
          <w:sz w:val="28"/>
          <w:szCs w:val="28"/>
          <w:lang w:val="en-US" w:eastAsia="zh-CN" w:bidi="ar-SA"/>
          <w14:textFill>
            <w14:solidFill>
              <w14:schemeClr w14:val="tx1"/>
            </w14:solidFill>
          </w14:textFill>
        </w:rPr>
        <w:t>1轴心抗压强度设计值f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c</w:t>
      </w:r>
      <w:bookmarkEnd w:id="151"/>
      <w:bookmarkEnd w:id="152"/>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轴心抗压强度设计值等于f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ck</w:t>
      </w:r>
      <w:r>
        <w:rPr>
          <w:rFonts w:hint="eastAsia" w:cs="Times New Roman" w:eastAsiaTheme="minorEastAsia"/>
          <w:bCs/>
          <w:color w:val="000000" w:themeColor="text1"/>
          <w:kern w:val="2"/>
          <w:sz w:val="28"/>
          <w:szCs w:val="28"/>
          <w:lang w:val="en-US" w:eastAsia="zh-CN" w:bidi="ar-SA"/>
          <w14:textFill>
            <w14:solidFill>
              <w14:schemeClr w14:val="tx1"/>
            </w14:solidFill>
          </w14:textFill>
        </w:rPr>
        <w:t>/1.40，结果见表6.2.4。</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bookmarkStart w:id="153" w:name="_Toc13477"/>
      <w:bookmarkStart w:id="154" w:name="_Toc9721"/>
      <w:r>
        <w:rPr>
          <w:rFonts w:hint="eastAsia" w:cs="Times New Roman" w:eastAsiaTheme="minorEastAsia"/>
          <w:bCs/>
          <w:color w:val="000000" w:themeColor="text1"/>
          <w:kern w:val="2"/>
          <w:sz w:val="28"/>
          <w:szCs w:val="28"/>
          <w:lang w:val="en-US" w:eastAsia="zh-CN" w:bidi="ar-SA"/>
          <w14:textFill>
            <w14:solidFill>
              <w14:schemeClr w14:val="tx1"/>
            </w14:solidFill>
          </w14:textFill>
        </w:rPr>
        <w:t>2轴心抗拉强度设计值f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t</w:t>
      </w:r>
      <w:bookmarkEnd w:id="153"/>
      <w:bookmarkEnd w:id="154"/>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轴心抗拉强度设计值等于f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tk</w:t>
      </w:r>
      <w:r>
        <w:rPr>
          <w:rFonts w:hint="eastAsia" w:cs="Times New Roman" w:eastAsiaTheme="minorEastAsia"/>
          <w:bCs/>
          <w:color w:val="000000" w:themeColor="text1"/>
          <w:kern w:val="2"/>
          <w:sz w:val="28"/>
          <w:szCs w:val="28"/>
          <w:lang w:val="en-US" w:eastAsia="zh-CN" w:bidi="ar-SA"/>
          <w14:textFill>
            <w14:solidFill>
              <w14:schemeClr w14:val="tx1"/>
            </w14:solidFill>
          </w14:textFill>
        </w:rPr>
        <w:t>/1.40，结果见表6.2.5。</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6.2.6 混凝土的弹性模量、剪切变形模量及泊松比依据《混凝土结构设计规范》GB50010。混凝土的弹性模量Ec以其强度等级值（f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cu,k</w:t>
      </w:r>
      <w:r>
        <w:rPr>
          <w:rFonts w:hint="eastAsia" w:cs="Times New Roman" w:eastAsiaTheme="minorEastAsia"/>
          <w:bCs/>
          <w:color w:val="000000" w:themeColor="text1"/>
          <w:kern w:val="2"/>
          <w:sz w:val="28"/>
          <w:szCs w:val="28"/>
          <w:lang w:val="en-US" w:eastAsia="zh-CN" w:bidi="ar-SA"/>
          <w14:textFill>
            <w14:solidFill>
              <w14:schemeClr w14:val="tx1"/>
            </w14:solidFill>
          </w14:textFill>
        </w:rPr>
        <w:t>为代表)按下列公式计算:</w:t>
      </w:r>
    </w:p>
    <w:p>
      <w:pPr>
        <w:pStyle w:val="61"/>
      </w:pPr>
      <w:r>
        <w:rPr>
          <w:position w:val="-62"/>
        </w:rPr>
        <w:object>
          <v:shape id="_x0000_i1292" o:spt="75" type="#_x0000_t75" style="height:52.2pt;width:127.8pt;" o:ole="t" filled="f" o:preferrelative="t" stroked="f" coordsize="21600,21600">
            <v:path/>
            <v:fill on="f" focussize="0,0"/>
            <v:stroke on="f" joinstyle="miter"/>
            <v:imagedata r:id="rId567" o:title=""/>
            <o:lock v:ext="edit" aspectratio="t"/>
            <w10:wrap type="none"/>
            <w10:anchorlock/>
          </v:shape>
          <o:OLEObject Type="Embed" ProgID="Equation.DSMT4" ShapeID="_x0000_i1292" DrawAspect="Content" ObjectID="_1468075992" r:id="rId566">
            <o:LockedField>false</o:LockedField>
          </o:OLEObject>
        </w:object>
      </w:r>
    </w:p>
    <w:p>
      <w:pPr>
        <w:pStyle w:val="51"/>
        <w:widowControl w:val="0"/>
        <w:numPr>
          <w:ilvl w:val="0"/>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由于混凝土组成成分不同(掺入粉煤灰等）而导致变形性能的不确定性,增加了表注，强调在必要时可根据试验确定弹性模量。</w:t>
      </w:r>
    </w:p>
    <w:p>
      <w:pPr>
        <w:pStyle w:val="51"/>
        <w:widowControl w:val="0"/>
        <w:numPr>
          <w:ilvl w:val="0"/>
          <w:numId w:val="0"/>
        </w:numPr>
        <w:spacing w:line="360" w:lineRule="auto"/>
        <w:ind w:left="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6.3.1 普通钢筋采用屈服强度标志。屈服强度标准值f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yk</w:t>
      </w:r>
      <w:r>
        <w:rPr>
          <w:rFonts w:hint="eastAsia" w:cs="Times New Roman" w:eastAsiaTheme="minorEastAsia"/>
          <w:bCs/>
          <w:color w:val="000000" w:themeColor="text1"/>
          <w:kern w:val="2"/>
          <w:sz w:val="28"/>
          <w:szCs w:val="28"/>
          <w:lang w:val="en-US" w:eastAsia="zh-CN" w:bidi="ar-SA"/>
          <w14:textFill>
            <w14:solidFill>
              <w14:schemeClr w14:val="tx1"/>
            </w14:solidFill>
          </w14:textFill>
        </w:rPr>
        <w:t>相当于钢筋标准中的屈服强度特征值R</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el</w:t>
      </w:r>
      <w:r>
        <w:rPr>
          <w:rFonts w:hint="eastAsia" w:cs="Times New Roman" w:eastAsiaTheme="minorEastAsia"/>
          <w:bCs/>
          <w:color w:val="000000" w:themeColor="text1"/>
          <w:kern w:val="2"/>
          <w:sz w:val="28"/>
          <w:szCs w:val="28"/>
          <w:lang w:val="en-US" w:eastAsia="zh-CN" w:bidi="ar-SA"/>
          <w14:textFill>
            <w14:solidFill>
              <w14:schemeClr w14:val="tx1"/>
            </w14:solidFill>
          </w14:textFill>
        </w:rPr>
        <w:t>。由于结构抗倒塌设计的需要，列出了钢筋极限强度(即钢筋拉断前相应于最大拉力下的强度）标准值f</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stk</w:t>
      </w:r>
      <w:r>
        <w:rPr>
          <w:rFonts w:hint="eastAsia" w:cs="Times New Roman" w:eastAsiaTheme="minorEastAsia"/>
          <w:bCs/>
          <w:color w:val="000000" w:themeColor="text1"/>
          <w:kern w:val="2"/>
          <w:sz w:val="28"/>
          <w:szCs w:val="28"/>
          <w:lang w:val="en-US" w:eastAsia="zh-CN" w:bidi="ar-SA"/>
          <w14:textFill>
            <w14:solidFill>
              <w14:schemeClr w14:val="tx1"/>
            </w14:solidFill>
          </w14:textFill>
        </w:rPr>
        <w:t>，相当于钢筋标准中的抗拉强度特征值R</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m</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p>
    <w:p>
      <w:pPr>
        <w:pStyle w:val="51"/>
        <w:numPr>
          <w:ilvl w:val="2"/>
          <w:numId w:val="0"/>
        </w:numPr>
        <w:rPr>
          <w:rFonts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6.3.2 普通钢筋抗压强度设计值</w:t>
      </w:r>
      <w:r>
        <w:rPr>
          <w:rFonts w:ascii="楷体" w:hAnsi="楷体" w:eastAsia="楷体"/>
        </w:rPr>
        <w:object>
          <v:shape id="_x0000_i1293" o:spt="75" type="#_x0000_t75" style="height:19.8pt;width:15pt;" o:ole="t" filled="f" o:preferrelative="t" stroked="f" coordsize="21600,21600">
            <v:path/>
            <v:fill on="f" focussize="0,0"/>
            <v:stroke on="f" joinstyle="miter"/>
            <v:imagedata r:id="rId188" o:title=""/>
            <o:lock v:ext="edit" aspectratio="t"/>
            <w10:wrap type="none"/>
            <w10:anchorlock/>
          </v:shape>
          <o:OLEObject Type="Embed" ProgID="Equation.DSMT4" ShapeID="_x0000_i1293" DrawAspect="Content" ObjectID="_1468075993" r:id="rId568">
            <o:LockedField>false</o:LockedField>
          </o:OLEObject>
        </w:object>
      </w:r>
      <w:r>
        <w:rPr>
          <w:rFonts w:hint="eastAsia" w:ascii="楷体" w:hAnsi="楷体" w:eastAsia="楷体"/>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取与抗拉强度相同。在偏心受压状态下，混凝土所能达到的压应变可以保证500MPa级钢筋的抗压强度达到与抗拉强度相同的值,因此500MPa级钢筋的抗压强度设计值为435N/mm</w:t>
      </w:r>
      <w:r>
        <w:rPr>
          <w:rFonts w:hint="eastAsia" w:ascii="楷体" w:hAnsi="楷体" w:eastAsia="楷体"/>
          <w:vertAlign w:val="superscript"/>
        </w:rPr>
        <w:t>2</w:t>
      </w:r>
      <w:r>
        <w:rPr>
          <w:rFonts w:hint="eastAsia" w:ascii="楷体" w:hAnsi="楷体" w:eastAsia="楷体"/>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对轴心受压构件，由于混凝土压应力达到</w:t>
      </w:r>
      <w:r>
        <w:rPr>
          <w:rFonts w:hint="eastAsia" w:ascii="楷体" w:hAnsi="楷体" w:eastAsia="楷体"/>
        </w:rPr>
        <w:t>fc</w:t>
      </w:r>
      <w:r>
        <w:rPr>
          <w:rFonts w:hint="eastAsia" w:cs="Times New Roman" w:eastAsiaTheme="minorEastAsia"/>
          <w:bCs/>
          <w:color w:val="000000" w:themeColor="text1"/>
          <w:kern w:val="2"/>
          <w:sz w:val="28"/>
          <w:szCs w:val="28"/>
          <w:lang w:val="en-US" w:eastAsia="zh-CN" w:bidi="ar-SA"/>
          <w14:textFill>
            <w14:solidFill>
              <w14:schemeClr w14:val="tx1"/>
            </w14:solidFill>
          </w14:textFill>
        </w:rPr>
        <w:t>时混凝土压应变为0.002，当采用500MPa级钢筋时，其钢筋的抗压强度设计值取为400N/mm</w:t>
      </w:r>
      <w:r>
        <w:rPr>
          <w:rFonts w:hint="eastAsia" w:ascii="楷体" w:hAnsi="楷体" w:eastAsia="楷体"/>
          <w:vertAlign w:val="superscript"/>
        </w:rPr>
        <w:t>2</w:t>
      </w:r>
      <w:r>
        <w:rPr>
          <w:rFonts w:hint="eastAsia" w:ascii="楷体" w:hAnsi="楷体" w:eastAsia="楷体"/>
        </w:rPr>
        <w:t>。</w:t>
      </w:r>
    </w:p>
    <w:p>
      <w:pPr>
        <w:pStyle w:val="51"/>
        <w:numPr>
          <w:ilvl w:val="2"/>
          <w:numId w:val="0"/>
        </w:numPr>
        <w:ind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根据试验研究结果，限定受剪、受扭、受冲切箍筋的抗拉强度设计值</w:t>
      </w:r>
      <w:r>
        <w:rPr>
          <w:rFonts w:ascii="楷体" w:hAnsi="楷体" w:eastAsia="楷体"/>
        </w:rPr>
        <w:object>
          <v:shape id="_x0000_i1294" o:spt="75" type="#_x0000_t75" style="height:19.2pt;width:15pt;" o:ole="t" filled="f" o:preferrelative="t" stroked="f" coordsize="21600,21600">
            <v:path/>
            <v:fill on="f" focussize="0,0"/>
            <v:stroke on="f" joinstyle="miter"/>
            <v:imagedata r:id="rId570" o:title=""/>
            <o:lock v:ext="edit" aspectratio="t"/>
            <w10:wrap type="none"/>
            <w10:anchorlock/>
          </v:shape>
          <o:OLEObject Type="Embed" ProgID="Equation.DSMT4" ShapeID="_x0000_i1294" DrawAspect="Content" ObjectID="_1468075994" r:id="rId569">
            <o:LockedField>false</o:LockedField>
          </o:OLEObject>
        </w:object>
      </w:r>
      <w:r>
        <w:rPr>
          <w:rFonts w:hint="eastAsia" w:cs="Times New Roman" w:eastAsiaTheme="minorEastAsia"/>
          <w:bCs/>
          <w:color w:val="000000" w:themeColor="text1"/>
          <w:kern w:val="2"/>
          <w:sz w:val="28"/>
          <w:szCs w:val="28"/>
          <w:lang w:val="en-US" w:eastAsia="zh-CN" w:bidi="ar-SA"/>
          <w14:textFill>
            <w14:solidFill>
              <w14:schemeClr w14:val="tx1"/>
            </w14:solidFill>
          </w14:textFill>
        </w:rPr>
        <w:t>不大于360N/mm</w:t>
      </w:r>
      <w:r>
        <w:rPr>
          <w:rFonts w:hint="eastAsia" w:ascii="楷体" w:hAnsi="楷体" w:eastAsia="楷体"/>
          <w:vertAlign w:val="superscript"/>
        </w:rPr>
        <w:t>2</w:t>
      </w:r>
      <w:r>
        <w:rPr>
          <w:rFonts w:hint="eastAsia" w:ascii="楷体" w:hAnsi="楷体" w:eastAsia="楷体"/>
        </w:rPr>
        <w:t>;</w:t>
      </w:r>
      <w:r>
        <w:rPr>
          <w:rFonts w:hint="eastAsia" w:cs="Times New Roman" w:eastAsiaTheme="minorEastAsia"/>
          <w:bCs/>
          <w:color w:val="000000" w:themeColor="text1"/>
          <w:kern w:val="2"/>
          <w:sz w:val="28"/>
          <w:szCs w:val="28"/>
          <w:lang w:val="en-US" w:eastAsia="zh-CN" w:bidi="ar-SA"/>
          <w14:textFill>
            <w14:solidFill>
              <w14:schemeClr w14:val="tx1"/>
            </w14:solidFill>
          </w14:textFill>
        </w:rPr>
        <w:t>但用作围箍约束混凝土的间接配筋时,其强度设计值不受此限。</w:t>
      </w:r>
    </w:p>
    <w:p>
      <w:pPr>
        <w:pStyle w:val="51"/>
        <w:numPr>
          <w:ilvl w:val="2"/>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6.3.3 本条明确提出了对钢筋延性的要求。根据我国钢筋标准，将最大力下总伸长率</w:t>
      </w:r>
      <w:r>
        <w:rPr>
          <w:rFonts w:ascii="楷体" w:hAnsi="楷体" w:eastAsia="楷体"/>
        </w:rPr>
        <w:object>
          <v:shape id="_x0000_i1295" o:spt="75" type="#_x0000_t75" style="height:19.2pt;width:16.2pt;" o:ole="t" filled="f" o:preferrelative="t" stroked="f" coordsize="21600,21600">
            <v:path/>
            <v:fill on="f" focussize="0,0"/>
            <v:stroke on="f" joinstyle="miter"/>
            <v:imagedata r:id="rId572" o:title=""/>
            <o:lock v:ext="edit" aspectratio="t"/>
            <w10:wrap type="none"/>
            <w10:anchorlock/>
          </v:shape>
          <o:OLEObject Type="Embed" ProgID="Equation.DSMT4" ShapeID="_x0000_i1295" DrawAspect="Content" ObjectID="_1468075995" r:id="rId571">
            <o:LockedField>false</o:LockedField>
          </o:OLEObject>
        </w:object>
      </w:r>
      <w:r>
        <w:rPr>
          <w:rFonts w:hint="eastAsia" w:cs="Times New Roman" w:eastAsiaTheme="minorEastAsia"/>
          <w:bCs/>
          <w:color w:val="000000" w:themeColor="text1"/>
          <w:kern w:val="2"/>
          <w:sz w:val="28"/>
          <w:szCs w:val="28"/>
          <w:lang w:val="en-US" w:eastAsia="zh-CN" w:bidi="ar-SA"/>
          <w14:textFill>
            <w14:solidFill>
              <w14:schemeClr w14:val="tx1"/>
            </w14:solidFill>
          </w14:textFill>
        </w:rPr>
        <w:t>(相当于钢筋标准中的</w:t>
      </w:r>
      <w:r>
        <w:rPr>
          <w:rFonts w:ascii="楷体" w:hAnsi="楷体" w:eastAsia="楷体"/>
        </w:rPr>
        <w:object>
          <v:shape id="_x0000_i1296" o:spt="75" type="#_x0000_t75" style="height:19.2pt;width:16.2pt;" o:ole="t" filled="f" o:preferrelative="t" stroked="f" coordsize="21600,21600">
            <v:path/>
            <v:fill on="f" focussize="0,0"/>
            <v:stroke on="f" joinstyle="miter"/>
            <v:imagedata r:id="rId574" o:title=""/>
            <o:lock v:ext="edit" aspectratio="t"/>
            <w10:wrap type="none"/>
            <w10:anchorlock/>
          </v:shape>
          <o:OLEObject Type="Embed" ProgID="Equation.DSMT4" ShapeID="_x0000_i1296" DrawAspect="Content" ObjectID="_1468075996" r:id="rId573">
            <o:LockedField>false</o:LockedField>
          </o:OLEObject>
        </w:object>
      </w:r>
      <w:r>
        <w:rPr>
          <w:rFonts w:hint="eastAsia" w:cs="Times New Roman" w:eastAsiaTheme="minorEastAsia"/>
          <w:bCs/>
          <w:color w:val="000000" w:themeColor="text1"/>
          <w:kern w:val="2"/>
          <w:sz w:val="28"/>
          <w:szCs w:val="28"/>
          <w:lang w:val="en-US" w:eastAsia="zh-CN" w:bidi="ar-SA"/>
          <w14:textFill>
            <w14:solidFill>
              <w14:schemeClr w14:val="tx1"/>
            </w14:solidFill>
          </w14:textFill>
        </w:rPr>
        <w:t>）作为控制钢筋延性的指标。最大力下总伸长率</w:t>
      </w:r>
      <w:r>
        <w:rPr>
          <w:rFonts w:ascii="楷体" w:hAnsi="楷体" w:eastAsia="楷体"/>
        </w:rPr>
        <w:object>
          <v:shape id="_x0000_i1297" o:spt="75" type="#_x0000_t75" style="height:19.2pt;width:16.2pt;" o:ole="t" filled="f" o:preferrelative="t" stroked="f" coordsize="21600,21600">
            <v:path/>
            <v:fill on="f" focussize="0,0"/>
            <v:stroke on="f" joinstyle="miter"/>
            <v:imagedata r:id="rId576" o:title=""/>
            <o:lock v:ext="edit" aspectratio="t"/>
            <w10:wrap type="none"/>
            <w10:anchorlock/>
          </v:shape>
          <o:OLEObject Type="Embed" ProgID="Equation.DSMT4" ShapeID="_x0000_i1297" DrawAspect="Content" ObjectID="_1468075997" r:id="rId575">
            <o:LockedField>false</o:LockedField>
          </o:OLEObject>
        </w:object>
      </w:r>
      <w:r>
        <w:rPr>
          <w:rFonts w:hint="eastAsia" w:cs="Times New Roman" w:eastAsiaTheme="minorEastAsia"/>
          <w:bCs/>
          <w:color w:val="000000" w:themeColor="text1"/>
          <w:kern w:val="2"/>
          <w:sz w:val="28"/>
          <w:szCs w:val="28"/>
          <w:lang w:val="en-US" w:eastAsia="zh-CN" w:bidi="ar-SA"/>
          <w14:textFill>
            <w14:solidFill>
              <w14:schemeClr w14:val="tx1"/>
            </w14:solidFill>
          </w14:textFill>
        </w:rPr>
        <w:t>不受断口-颈缩区域局部变形的影响，反映了钢筋拉断前达到最大力（极限强度）时的均匀应变，故又称均匀伸长率。</w:t>
      </w:r>
    </w:p>
    <w:p>
      <w:pPr>
        <w:pStyle w:val="51"/>
        <w:widowControl w:val="0"/>
        <w:numPr>
          <w:ilvl w:val="2"/>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6.3.4 钢筋由于制作偏差、基圆面积率不同以及钢绞线捻绞紧度差异等因素的影响，实际钢筋受力后的变形模量存在一定的不确定性,而且通常不同程度地偏小。因此，必要时可通过试验测定钢筋的实际弹性模量，用于设计计算。</w:t>
      </w:r>
    </w:p>
    <w:p>
      <w:pPr>
        <w:pStyle w:val="51"/>
        <w:widowControl w:val="0"/>
        <w:numPr>
          <w:ilvl w:val="2"/>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6.4.1 条文引自《纤维混凝土应用技术规程》TJ/T 221。</w:t>
      </w:r>
    </w:p>
    <w:p>
      <w:pPr>
        <w:pStyle w:val="51"/>
        <w:widowControl w:val="0"/>
        <w:numPr>
          <w:ilvl w:val="2"/>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6.4.2 水泥砂浆的强度等级与现行《砌体结构设计规范》GB50003相同。</w:t>
      </w:r>
    </w:p>
    <w:p>
      <w:pPr>
        <w:pStyle w:val="51"/>
        <w:widowControl w:val="0"/>
        <w:numPr>
          <w:ilvl w:val="2"/>
          <w:numId w:val="0"/>
        </w:numPr>
        <w:spacing w:line="360" w:lineRule="auto"/>
        <w:ind w:left="284"/>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6.4.3 隧道防水板幅宽越大,搭接越少,当然防水板幅宽的选择要和铺设工艺、施工工序相匹配。</w:t>
      </w:r>
    </w:p>
    <w:p>
      <w:pPr>
        <w:pStyle w:val="51"/>
        <w:numPr>
          <w:ilvl w:val="2"/>
          <w:numId w:val="0"/>
        </w:num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6.4.4 实际工程设计中也有选用腻子型及膨润土遇水膨胀橡胶止水条的,但有的地方用后效果不佳,其效果不佳的原因是由于降雨或施工用水等使止水腻子或膨润土条过早膨胀,另外这两种止水条材料远期质量、耐久性、可靠性不好评定,为确保隧道工程防水质量,故条文选用遇水膨胀橡胶止水条。橡胶制品型遇水膨胀止水条质量规定、材料参数一般根据GB/T18173.3标准.</w:t>
      </w:r>
    </w:p>
    <w:p>
      <w:pPr>
        <w:rPr>
          <w:rFonts w:hint="eastAsia" w:ascii="楷体" w:hAnsi="楷体" w:eastAsia="楷体"/>
        </w:rPr>
      </w:pPr>
      <w:r>
        <w:rPr>
          <w:rFonts w:hint="eastAsia" w:ascii="楷体" w:hAnsi="楷体" w:eastAsia="楷体"/>
        </w:rPr>
        <w:br w:type="page"/>
      </w:r>
    </w:p>
    <w:p>
      <w:pPr>
        <w:pStyle w:val="2"/>
        <w:numPr>
          <w:ilvl w:val="0"/>
          <w:numId w:val="0"/>
        </w:numPr>
        <w:ind w:left="0" w:leftChars="0" w:firstLine="0" w:firstLineChars="0"/>
        <w:rPr>
          <w:rFonts w:hint="eastAsia"/>
          <w:lang w:val="en-US" w:eastAsia="zh-CN"/>
        </w:rPr>
      </w:pPr>
      <w:bookmarkStart w:id="155" w:name="_Toc19495"/>
      <w:bookmarkStart w:id="156" w:name="_Toc2488"/>
      <w:bookmarkStart w:id="157" w:name="_Toc7942"/>
      <w:r>
        <w:rPr>
          <w:rFonts w:hint="eastAsia"/>
          <w:lang w:val="en-US" w:eastAsia="zh-CN"/>
        </w:rPr>
        <w:t>7基坑支护结构</w:t>
      </w:r>
      <w:bookmarkEnd w:id="155"/>
      <w:bookmarkEnd w:id="156"/>
      <w:bookmarkEnd w:id="157"/>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7.2.1.3 支挡式结构应根据具体形式与受力、变形特性等采用下列分析方法:</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第1～3款方法的分析对象为支护结构本身，不包括土体。土体对支护结构的作用视作荷载或约束。这种分析方法将支护结构看作杆系结构，一般都按线弹性考虑，是目前最常用和成熟的支护结构分析方法，适用于大部分支挡式结构。</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本条第1款针对锚拉式支挡结构，是对如何将空间结构分解为两类平面结构的规定。首先将结构的挡土构件部分（如:排桩、地下连续墙)取作分析对象，按梁计算。挡土结构宜采用平面杆系结构弹性支点法进行分析。</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由于挡土结构端部嵌入土中，土对结构变形的约束作用与通常结构支承不同，土的变形影响不可忽略，不能看作固支端。锚杆作为梁的支承，其变形的影响同样不可忽略，也不能作为饺支座或滚轴支座。因此，挡土结构按梁计算时，土和锚杆对挡土结构的支承应简化为弹性支座，应采用本节规定的弹性支点法计算简图。经计算分析比较，分别用弹性支点法和非弹性支座计算的挡土结构内力和位移相差较大，说明按非弹性支座进行简化是不合适的。</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腰梁、冠梁的计算较为简单，只需以挡土结构分析时得出的支点力作为荷载，根据腰梁、冠梁的实际约束情况，按简支梁或连续梁算出其内力，将支点力转换为锚杅轴力。</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本条第2款针对支撑式支挡结构，其结构的分解简化原则与锚拉式支挡结构相同。同样，首先将结构的挡土构件部分（如:排桩、地下连续墙)取作分析对象，按梁计算。挡土结构宜采用平面杆系结构弹性支点法进行分析。分解出的内支撑结构按平面结构进行分析，将挡土结构分析时得出的支点力作为荷载反向加至内支撑上。值得注意的是，将支撑式支挡结构分解为挡土结构和内支撑结构并分别独立计算时，在其连接处是应满足变形协调条件的。当计算的变形不协调时，应调整在其连接处简化的弹性支座的弹簧刚度等约束条件，直至满足变形协调。</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本条第3款悬臂式支挡结构是支撑式和锚拉式支挡结构的特例，对挡土结构而言，只是将锚杆或支撑所简化的弹性支座取消即可。</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7.2.1.4 基坑支护结构的有些构件，如锚杆与支撑，是随基坑开挖过程逐步设置的，基坑需按锚杆或支撑的位置逐层开挖。支护结构设计状况，是指设计时就要拟定锚杆和支撑与基坑开挖的关系，设计好开挖与锚杆或支撑设置的步骤，对每一开挖过程支护结构的受力与变形状态进行分析。因此，支护结构施工和基坑开挖时，只有按设计的开挖步骤才能满足符合设计受力状况的要求。-般情况下，基坑开挖到基底时受力与变形最大，但有时也会出现开挖中间过程支护结构内力最大，支护结构构件的截面或锚杆抗拔力按开挖中间过程确定的情况。特别是，当用结构楼板作为支撑替代锚杆或支护结构的支撑时，此时支护结构构件的内力可能会是最大的。</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7.2.1.5-7.2.1.10 这几条是对弹性支点法计算方法的规定。弹性支点法的计算要求:</w:t>
      </w:r>
    </w:p>
    <w:p>
      <w:pPr>
        <w:pStyle w:val="51"/>
        <w:widowControl w:val="0"/>
        <w:numPr>
          <w:ilvl w:val="2"/>
          <w:numId w:val="0"/>
        </w:numPr>
        <w:spacing w:line="360" w:lineRule="auto"/>
        <w:ind w:left="0" w:firstLine="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1 土的反力项为P</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s</w:t>
      </w:r>
      <w:r>
        <w:rPr>
          <w:rFonts w:hint="eastAsia" w:cs="Times New Roman" w:eastAsiaTheme="minorEastAsia"/>
          <w:bCs/>
          <w:color w:val="000000" w:themeColor="text1"/>
          <w:kern w:val="2"/>
          <w:sz w:val="28"/>
          <w:szCs w:val="28"/>
          <w:lang w:val="en-US" w:eastAsia="zh-CN" w:bidi="ar-SA"/>
          <w14:textFill>
            <w14:solidFill>
              <w14:schemeClr w14:val="tx1"/>
            </w14:solidFill>
          </w14:textFill>
        </w:rPr>
        <w:t>=k</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s</w:t>
      </w:r>
      <w:r>
        <w:rPr>
          <w:rFonts w:hint="eastAsia" w:cs="Times New Roman" w:eastAsiaTheme="minorEastAsia"/>
          <w:bCs/>
          <w:color w:val="000000" w:themeColor="text1"/>
          <w:kern w:val="2"/>
          <w:sz w:val="28"/>
          <w:szCs w:val="28"/>
          <w:lang w:val="en-US" w:eastAsia="zh-CN" w:bidi="ar-SA"/>
          <w14:textFill>
            <w14:solidFill>
              <w14:schemeClr w14:val="tx1"/>
            </w14:solidFill>
          </w14:textFill>
        </w:rPr>
        <w:t>v</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s</w:t>
      </w:r>
      <w:r>
        <w:rPr>
          <w:rFonts w:hint="eastAsia" w:cs="Times New Roman" w:eastAsiaTheme="minorEastAsia"/>
          <w:bCs/>
          <w:color w:val="000000" w:themeColor="text1"/>
          <w:kern w:val="2"/>
          <w:sz w:val="28"/>
          <w:szCs w:val="28"/>
          <w:lang w:val="en-US" w:eastAsia="zh-CN" w:bidi="ar-SA"/>
          <w14:textFill>
            <w14:solidFill>
              <w14:schemeClr w14:val="tx1"/>
            </w14:solidFill>
          </w14:textFill>
        </w:rPr>
        <w:t>+P</w:t>
      </w:r>
      <w:r>
        <w:rPr>
          <w:rFonts w:hint="eastAsia" w:cs="Times New Roman" w:eastAsiaTheme="minorEastAsia"/>
          <w:bCs/>
          <w:color w:val="000000" w:themeColor="text1"/>
          <w:kern w:val="2"/>
          <w:sz w:val="28"/>
          <w:szCs w:val="28"/>
          <w:vertAlign w:val="subscript"/>
          <w:lang w:val="en-US" w:eastAsia="zh-CN" w:bidi="ar-SA"/>
          <w14:textFill>
            <w14:solidFill>
              <w14:schemeClr w14:val="tx1"/>
            </w14:solidFill>
          </w14:textFill>
        </w:rPr>
        <w:t>s0</w:t>
      </w:r>
      <w:r>
        <w:rPr>
          <w:rFonts w:hint="eastAsia" w:cs="Times New Roman" w:eastAsiaTheme="minorEastAsia"/>
          <w:bCs/>
          <w:color w:val="000000" w:themeColor="text1"/>
          <w:kern w:val="2"/>
          <w:sz w:val="28"/>
          <w:szCs w:val="28"/>
          <w:lang w:val="en-US" w:eastAsia="zh-CN" w:bidi="ar-SA"/>
          <w14:textFill>
            <w14:solidFill>
              <w14:schemeClr w14:val="tx1"/>
            </w14:solidFill>
          </w14:textFill>
        </w:rPr>
        <w:t>，基坑面以下的土压力分布因自重作用的随深度线性增长的三角形分布。挡土结构嵌固段两侧的土压力按郎肯土压力计算时，基坑外侧基坑面上方和下方均采用主动土压力荷载，形式上直观。</w:t>
      </w:r>
    </w:p>
    <w:p>
      <w:pPr>
        <w:ind w:left="0" w:leftChars="0" w:firstLine="0" w:firstLineChars="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挡土构件嵌固段的土反力上限值控制条件</w:t>
      </w:r>
      <w:r>
        <w:rPr>
          <w:rFonts w:ascii="宋体" w:hAnsi="宋体" w:cs="宋体"/>
          <w:kern w:val="0"/>
          <w:szCs w:val="24"/>
          <w:lang w:bidi="ar"/>
        </w:rPr>
        <w:t>P</w:t>
      </w:r>
      <w:r>
        <w:rPr>
          <w:rFonts w:ascii="宋体" w:hAnsi="宋体" w:cs="宋体"/>
          <w:kern w:val="0"/>
          <w:szCs w:val="24"/>
          <w:vertAlign w:val="subscript"/>
          <w:lang w:bidi="ar"/>
        </w:rPr>
        <w:t>s</w:t>
      </w:r>
      <w:r>
        <w:rPr>
          <w:rFonts w:hint="eastAsia" w:ascii="宋体" w:hAnsi="宋体" w:cs="宋体"/>
          <w:kern w:val="0"/>
          <w:szCs w:val="24"/>
          <w:vertAlign w:val="subscript"/>
          <w:lang w:bidi="ar"/>
        </w:rPr>
        <w:t>k</w:t>
      </w:r>
      <w:r>
        <w:rPr>
          <w:rFonts w:hint="eastAsia" w:ascii="楷体" w:hAnsi="楷体" w:eastAsia="楷体"/>
        </w:rPr>
        <w:t>≤</w:t>
      </w:r>
      <w:r>
        <w:rPr>
          <w:rFonts w:ascii="宋体" w:hAnsi="宋体" w:cs="宋体"/>
          <w:kern w:val="0"/>
          <w:szCs w:val="24"/>
          <w:lang w:bidi="ar"/>
        </w:rPr>
        <w:t>E</w:t>
      </w:r>
      <w:r>
        <w:rPr>
          <w:rFonts w:hint="eastAsia" w:ascii="宋体" w:hAnsi="宋体" w:cs="宋体"/>
          <w:kern w:val="0"/>
          <w:szCs w:val="24"/>
          <w:vertAlign w:val="subscript"/>
          <w:lang w:bidi="ar"/>
        </w:rPr>
        <w:t>pk</w:t>
      </w:r>
      <w:r>
        <w:rPr>
          <w:rFonts w:hint="eastAsia" w:ascii="楷体" w:hAnsi="楷体" w:eastAsia="楷体"/>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由于土反力与土的水平反力系数的关系采用线弹性模型，计算出的土反力将随位移v增加线性增长。但实际上土的抗力是有限的，如采用摩尔一库仑强度准则，则不应超过被动土压力，即以</w:t>
      </w:r>
      <w:r>
        <w:rPr>
          <w:rFonts w:ascii="宋体" w:hAnsi="宋体" w:cs="宋体"/>
          <w:kern w:val="0"/>
          <w:szCs w:val="24"/>
          <w:lang w:bidi="ar"/>
        </w:rPr>
        <w:t>P</w:t>
      </w:r>
      <w:r>
        <w:rPr>
          <w:rFonts w:ascii="宋体" w:hAnsi="宋体" w:cs="宋体"/>
          <w:kern w:val="0"/>
          <w:szCs w:val="24"/>
          <w:vertAlign w:val="subscript"/>
          <w:lang w:bidi="ar"/>
        </w:rPr>
        <w:t>s</w:t>
      </w:r>
      <w:r>
        <w:rPr>
          <w:rFonts w:hint="eastAsia" w:ascii="宋体" w:hAnsi="宋体" w:cs="宋体"/>
          <w:kern w:val="0"/>
          <w:szCs w:val="24"/>
          <w:vertAlign w:val="subscript"/>
          <w:lang w:bidi="ar"/>
        </w:rPr>
        <w:t>k</w:t>
      </w:r>
      <w:r>
        <w:rPr>
          <w:rFonts w:hint="eastAsia" w:ascii="楷体" w:hAnsi="楷体" w:eastAsia="楷体"/>
        </w:rPr>
        <w:t>=</w:t>
      </w:r>
      <w:r>
        <w:rPr>
          <w:rFonts w:ascii="宋体" w:hAnsi="宋体" w:cs="宋体"/>
          <w:kern w:val="0"/>
          <w:szCs w:val="24"/>
          <w:lang w:bidi="ar"/>
        </w:rPr>
        <w:t>E</w:t>
      </w:r>
      <w:r>
        <w:rPr>
          <w:rFonts w:hint="eastAsia" w:ascii="宋体" w:hAnsi="宋体" w:cs="宋体"/>
          <w:kern w:val="0"/>
          <w:szCs w:val="24"/>
          <w:vertAlign w:val="subscript"/>
          <w:lang w:bidi="ar"/>
        </w:rPr>
        <w:t>pk</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作为土反力的上限。</w:t>
      </w:r>
    </w:p>
    <w:p>
      <w:pPr>
        <w:ind w:left="0" w:leftChars="0" w:firstLine="0" w:firstLineChars="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计算土的水平反力系数的比例m值的经验公式(7.2.1.7-2)，是根据大量实际工程的单桩水平载荷试验，按公式</w:t>
      </w:r>
      <w:r>
        <w:rPr>
          <w:position w:val="-32"/>
        </w:rPr>
        <w:object>
          <v:shape id="_x0000_i1298" o:spt="75" type="#_x0000_t75" style="height:46.2pt;width:106.8pt;" o:ole="t" filled="f" o:preferrelative="t" stroked="f" coordsize="21600,21600">
            <v:path/>
            <v:fill on="f" focussize="0,0"/>
            <v:stroke on="f" joinstyle="miter"/>
            <v:imagedata r:id="rId578" o:title=""/>
            <o:lock v:ext="edit" aspectratio="t"/>
            <w10:wrap type="none"/>
            <w10:anchorlock/>
          </v:shape>
          <o:OLEObject Type="Embed" ProgID="Equation.DSMT4" ShapeID="_x0000_i1298" DrawAspect="Content" ObjectID="_1468075998" r:id="rId577">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计,经与土层的</w:t>
      </w:r>
      <w:r>
        <w:rPr>
          <w:rFonts w:hint="eastAsia" w:ascii="楷体" w:hAnsi="楷体" w:eastAsia="楷体"/>
        </w:rPr>
        <w:t>c、</w:t>
      </w:r>
      <w:r>
        <w:rPr>
          <w:position w:val="-10"/>
        </w:rPr>
        <w:object>
          <v:shape id="_x0000_i1299" o:spt="75" type="#_x0000_t75" style="height:12pt;width:10.8pt;" o:ole="t" filled="f" o:preferrelative="t" stroked="f" coordsize="21600,21600">
            <v:path/>
            <v:fill on="f" focussize="0,0"/>
            <v:stroke on="f" joinstyle="miter"/>
            <v:imagedata r:id="rId580" o:title=""/>
            <o:lock v:ext="edit" aspectratio="t"/>
            <w10:wrap type="none"/>
            <w10:anchorlock/>
          </v:shape>
          <o:OLEObject Type="Embed" ProgID="Equation.DSMT4" ShapeID="_x0000_i1299" DrawAspect="Content" ObjectID="_1468075999" r:id="rId579">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值进行统计建立的</w:t>
      </w:r>
      <w:r>
        <w:rPr>
          <w:rFonts w:hint="eastAsia" w:ascii="楷体" w:hAnsi="楷体" w:eastAsia="楷体"/>
        </w:rPr>
        <w:t>。</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排桩嵌固段土反力的计算宽度，适用于矩形桩及工字形桩，适用范围较广。同时，对桩径或桩的宽度大于1m的情况,用公式(7.2.1.2-2)和公式(7.2.1.2-4）计算。</w:t>
      </w:r>
    </w:p>
    <w:p>
      <w:pPr>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在水平对撑的弹性支点刚度系数的计算公式中，考虑了基坑两对边荷载不对称的情况。</w:t>
      </w:r>
    </w:p>
    <w:p>
      <w:pPr>
        <w:pStyle w:val="51"/>
        <w:widowControl w:val="0"/>
        <w:numPr>
          <w:ilvl w:val="2"/>
          <w:numId w:val="0"/>
        </w:numPr>
        <w:spacing w:line="360" w:lineRule="auto"/>
        <w:ind w:left="0" w:firstLine="0"/>
        <w:rPr>
          <w:rFonts w:hint="eastAsia" w:ascii="楷体" w:hAnsi="楷体" w:eastAsia="楷体"/>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7.2.1.12 第7.2.1.11条是对悬臂结构嵌固深度验算的规定，是绕挡土构件底部转动的整体极限平衡，控制的是挡土构件的倾覆稳定性。第7.2.1.12条对单支点结构嵌固深度验算的规定，是绕支点转动的整体极限平衡，控制的是挡土构件嵌固段的踢脚稳定性。悬臂结构绕挡土构件底部转动的力矩平衡和单支点结构绕支点转动的力矩平衡都是嵌固段土的抗力对转动点的抵抗力矩起稳定性控制作用，因此，其安全系数称为嵌固稳定安全系数。重力式水泥土墙绕墙底转动的力矩平衡，抵抗力矩中墙体重力占一定比例，因此其安全系数称为抗倾覆安全系数。双排桩绕挡土构件底部转动的力矩平衡，抵抗力矩包括嵌固段土的抗力对转动点的力矩和重力对转动点的力矩两部分，但由于嵌固段土的抗力作用在总的抵抗力矩中占主要部分，因此其安全系数也称为嵌固稳定安全系数</w:t>
      </w:r>
      <w:r>
        <w:rPr>
          <w:rFonts w:hint="eastAsia" w:ascii="楷体" w:hAnsi="楷体" w:eastAsia="楷体"/>
        </w:rPr>
        <w:t>K</w:t>
      </w:r>
      <w:r>
        <w:rPr>
          <w:rFonts w:hint="eastAsia" w:ascii="楷体" w:hAnsi="楷体" w:eastAsia="楷体"/>
          <w:vertAlign w:val="subscript"/>
        </w:rPr>
        <w:t>em</w:t>
      </w:r>
      <w:r>
        <w:rPr>
          <w:rFonts w:hint="eastAsia" w:ascii="楷体" w:hAnsi="楷体" w:eastAsia="楷体"/>
        </w:rPr>
        <w:t>。</w:t>
      </w:r>
    </w:p>
    <w:p>
      <w:pPr>
        <w:widowControl/>
        <w:ind w:left="0" w:leftChars="0" w:firstLine="0" w:firstLineChars="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7.2.1.13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拉式支挡结构的整体滑动稳定性验算公式(7.2.1.13-2)以瑞典条分法边坡稳定性计算公式为基础，在力的极限平衡关系上，增加了锚杆拉力对圆弧滑动体圆心的抗滑力矩项。极限平衡状态分析时，仍以圆弧滑动土体为分析对象，假定滑动面上土的剪力达到极限强度的同时，滑动面外锚杆拉力也达到极限拉力(正常设计情况下，锚杆极限拉力由锚杆与土之间的粘结力达到极限强度控制，但有时由锚杆杆体强度或锚杆注浆固结体对杆体的握裹力控制)。</w:t>
      </w:r>
    </w:p>
    <w:p>
      <w:pPr>
        <w:pStyle w:val="51"/>
        <w:widowControl w:val="0"/>
        <w:numPr>
          <w:ilvl w:val="2"/>
          <w:numId w:val="0"/>
        </w:numPr>
        <w:spacing w:line="360" w:lineRule="auto"/>
        <w:ind w:left="0" w:firstLine="560" w:firstLineChars="2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滑弧稳定性验算应采用搜索的方法寻找最危险滑弧。由于目前程序计算已能满足在很短时间对圆心及圆弧半径以微小步长变化的所有滑动体完成搜索，所以不提倡采用经典教科书中先设定辅助线，然后在辅助线上寻找最危险滑弧圆心的简易方法。最危险滑弧的搜索范围限于通过挡土构件底端和在挡土构件下方的各个滑弧。因支护结构的平衡性和结构强度已通过结构分析解决，在截面抗剪强度满足剪应力作用下的抗剪要求后，挡土构件不会被剪断。因此，穿过挡土构件的各滑弧不需验算。</w:t>
      </w:r>
    </w:p>
    <w:p>
      <w:pPr>
        <w:pStyle w:val="51"/>
        <w:widowControl w:val="0"/>
        <w:numPr>
          <w:ilvl w:val="2"/>
          <w:numId w:val="0"/>
        </w:numPr>
        <w:spacing w:line="360" w:lineRule="auto"/>
        <w:ind w:left="0" w:leftChars="0" w:firstLine="280" w:firstLineChars="100"/>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t>为了适用于地下水位以下的圆弧滑动体，并考虑到滑弧同时穿过砂土、黏性土的计算问题。在滑弧面上，黏性土的抗剪强度指标需要采用总应力强度指标，砂土的抗剪强度指标需要采用有效应力强度指标，并应考虑水压力的作用。公式（7.2.1.13-2)是通过将土骨架与孔隙水一起取为隔离体进行静力平衡分析的方法，可用于滑弧同时穿过砂土、黏性土的整体稳定性验算公式，验算公式考虑孔隙水压力一项。</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7.2.1.14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深度较大的基坑，当嵌固深度较小、土的强度较低时，土体从挡土构件底端以下向基坑内隆起挤出是锚拉式支挡结构和支撑式支挡结构的一种破坏模式。这是一种土体丧失竖向平衡状态的破坏模式，由于锚杆和支撑只能对支护结构提供水平方向的平衡力，对隆起破坏不起作用，对特定基坑深度和土性，只能通过增加挡土构件嵌固深度来提高抗隆起稳定性。</w:t>
      </w:r>
    </w:p>
    <w:p>
      <w:pPr>
        <w:widowControl/>
        <w:ind w:firstLine="48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规程抗隆起稳定性的验算方法，采用目前常用的地基极限承载力的Prandtl（普朗德尔）极限平衡理论公式，但Prandtl理论公式的有些假定与实际情况存在差异，具体应用有一定局限性。如:对无黏性土，当嵌固深度为零时，计算的抗隆起安全系数</w:t>
      </w:r>
      <w:r>
        <w:rPr>
          <w:rFonts w:hint="eastAsia" w:ascii="楷体" w:hAnsi="楷体" w:eastAsia="楷体"/>
        </w:rPr>
        <w:t>K</w:t>
      </w:r>
      <w:r>
        <w:rPr>
          <w:rFonts w:hint="eastAsia" w:ascii="楷体" w:hAnsi="楷体" w:eastAsia="楷体"/>
          <w:vertAlign w:val="subscript"/>
        </w:rPr>
        <w:t>he</w:t>
      </w:r>
      <w:r>
        <w:rPr>
          <w:rFonts w:ascii="楷体" w:hAnsi="楷体" w:eastAsia="楷体"/>
        </w:rPr>
        <w:t>=</w:t>
      </w:r>
      <w:r>
        <w:rPr>
          <w:rFonts w:hint="eastAsia" w:ascii="楷体" w:hAnsi="楷体" w:eastAsia="楷体"/>
        </w:rPr>
        <w:t>0，</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而实际上在一定基坑深度内是不会出现隆起的。因此，当挡土构件嵌固深度很小时，不能采用该公式验算坑底隆起稳定性。</w:t>
      </w:r>
    </w:p>
    <w:p>
      <w:pPr>
        <w:widowControl/>
        <w:ind w:firstLine="48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抗隆起稳定性计算是一个复杂的问题。需要说明的是，当按本规程抗隆起稳定性验算公式计算的安全系数不满足要求时，虽然不一定发生隆起破坏，但可能会带来其他不利后果。由于Prandtl理论公式忽略了支护结构底以下滑动区内土的重力对隆起的抵抗作用，抗隆起安全系数与滑移线深度无关，对浅部滑移体和深部滑移体得出的安全系数是一样的，与实际情况有一定偏差。基坑外挡土构件底部以上的土体重量简化为作用在该平面上的柔性均布荷载，并忽略了该部分土中剪应力对隆起的抵抗作用。对浅部滑移体,如果考虑挡土构件底端平面以上土中剪应力,抗隆起安全系数会有明显提高;当滑移体逐步向深层扩展时，虽然该剪应力抵抗隆起的作用在总抗力中所占比例随之逐渐减小，但滑动区内土的重力抵抗隆起的作用则会逐渐增加。</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7.2.1.15 本条以最下层支点为转动轴心的圆弧滑动模式的稳定性验算方法是我国软土地区习惯采用的方法。特别是上海地区，在这方面积累了大量工程经验，实际工程中常常以这种方法作为挡土构件嵌固深度的控制条件。该方法假定破坏面为通过桩、墙底的圆弧形，以力矩平衡条件进行分析。现有资料中，力矩平衡的转动点有的取在最下道支撑或锚拉点处，有的取在开挖面处。本规程验算公式取转动点在最下道支撑或锚拉点处。</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上海市标准《基坑工程设计规程》DBJ08- 61 -97中抗隆起分项系数的取值，对安全等级为一级、二级、三级的基坑分别取2.5、2.0和1.7，工程实践表明，这些抗隆起分项系数偏大，很多工程都难以达到。新编制的上海基坑工程技术规范，根据几十个实际基坑工程抗隆起验算结果，拟将安全等级为一级、二级、三级的支护结构抗隆起分项系数分别调整为2.2、1.9和1.7。因此本规程参照上海规范，对安全等级为一级、二级、三级的支挡结构，其安全系数分别取2.2、1.9和1.7。</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7.2.1.16 地下水渗透稳定性的验算方法和规定，对本章支挡式结构和本规程其他章的复合土钉墙、重力式水泥土墙是相同的，故统一放在本规程附录。</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7.2.2.1 国内实际基坑工程中，排桩的桩型采用混凝土灌注桩的占绝大多数，但有些情况下，适合采用型钢桩、钢管桩、钢板桩或预制桩等，有时也可以采用SMW工法施工的内置型钢水泥土搅拌桩。这些桩型用作挡土构件时，与混凝土灌注桩的结构受力类型是相同的，可按本章支挡式支护结构进行设计计算。但采用这些桩型时，应考虑其刚度、构造及施工工艺上的不同特点，不能盲目使用。</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7.2.2.4 本条规定悬臂桩桩径不宜小于600mm、锚拉式排桩与支撑式排桩桩径不宜小于400mm，是通常情况下桩径的下限，桩径的选取主要还是应按弯矩大小与变形要求确定，以达到受力与桩承载力匹配，同时还要满足经济合理和施工条件的要求。特殊情况下,排桩间距的确定还要考虑桩间土的稳定性要求。根据工程经验，对大桩径或黏性土，排桩的净间距在900mm以内，对小桩径或砂土，排桩的净间距在600mm以内较常见。</w:t>
      </w:r>
    </w:p>
    <w:p>
      <w:pPr>
        <w:widowControl/>
        <w:ind w:left="0" w:leftChars="0" w:firstLine="0" w:firstLineChars="0"/>
        <w:rPr>
          <w:rFonts w:hint="eastAsia"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7.2.2.5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该条对混凝土灌注桩的构造规定，以保证排桩作为混凝土构件的基本受力性能。有些情况下支护桩不宜采用非均匀配置纵向钢筋，如，采用泥浆护壁水下灌注混凝土成桩工艺而钢筋笼顶端低于泥浆面，钢筋笼顶与桩的孔口高差较大等难以控制钢筋笼方向的情况</w:t>
      </w:r>
      <w:r>
        <w:rPr>
          <w:rFonts w:hint="eastAsia" w:ascii="楷体" w:hAnsi="楷体" w:eastAsia="楷体"/>
        </w:rPr>
        <w:t>。</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7.2.2.7 泄水管的构造与规格应根据土的性状及地下水特点确定。一些实际工程中，泄水管采用长度不小于300mm，内径不小于40mm的塑料或竹制管，泄水管外壁包裹土工布并按含水土层的粒径大小设置反滤层。</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7.2.3.2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条是对当桩的附近存在既有建筑物、地下管线等环境且需要保护时，应注意的一些桩的施工问题。这些问题处理不当，经常会造成基坑周边建筑物、地下管线等被损害的工程事故。因具体工程的条件不同，应具体问题具体分析，结合实际情况采取相应的有效保护措施。</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7.2.3.3 支护桩的截面配筋一般由受弯或受剪承载力控制，为保证内力较大截面的纵向受拉钢筋的强度要求，接头不宜设置在该处。同一连接区段内，纵向受力钢筋的连接方式和连接接头面积百分率应符合现行国家标准《混凝土结构设计规范》GB 50010对梁类构件的规定。</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7.2.3.4 条文说明：咬合桩为相互咬合形成竖向连续体的排桩。排桩采用咬合的形式，其目的是使排桩既能作为挡土构件，又能起到截水作用，从而不用另设截水帷幕。由于需要达到截水的效果，对咬合排桩的施工垂直度就有严格的要求，否则，当桩与桩之间产生间隙,将会影响截水效果。通常咬合排桩是采用钢筋混凝土桩与素混凝土桩相互搭接，由配有钢筋的桩承受土压力荷载，素混凝土桩只用于截水。目前，这种兼作截水的支护结构形式已在一些工程上采用，施工质量能够得到保证时，其截水效果是良好的。</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液压钢套管护壁、机械冲抓成孔工艺是咬合排桩的一种形式，其施工要点如下:</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1在桩顶预先设置导墙，导墙宽度取(3～4 )m，厚度取(0.3～0.5)m;</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2先施作素混凝土桩,并在混凝土接近初凝时施作与其相交的钢筋混凝土桩;</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3压入第一节钢套管时，在钢套管相互垂直的两个竖向平面上进行垂直度控制，其垂直度偏差不得大于0.3%;</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4抓土过程中，套管内抓斗取土与套管压入同步进行，抓土面在套管底面以上的高度应始终大于1.</w:t>
      </w:r>
      <w:r>
        <w:rPr>
          <w:rFonts w:hint="eastAsia" w:cs="Times New Roman" w:eastAsiaTheme="minorEastAsia"/>
          <w:bCs/>
          <w:color w:val="000000" w:themeColor="text1"/>
          <w:kern w:val="2"/>
          <w:sz w:val="28"/>
          <w:szCs w:val="28"/>
          <w:lang w:val="en-US"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m;</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5成孔后，夯实孔底;混凝土浇筑过程中，浇筑混凝土与提拔套管同步进行，混凝土面应始终高于套管底面;套管应垂直提拔;提拔阻力大时,可转动套管并缓慢提拔。</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7.2.3.6 冠梁通过传递剪力调整桩与桩之间力的分配，当锚杆或支撑设置在冠梁上时，通过冠梁将排桩上的土压力传递到锚杆与支撑上。由于冠梁与桩的连接处是混凝土两次浇筑的结合面，如该结合面薄弱或钢筋锚固不够时，会剪切破坏不能传递剪力。因此，应保证冠梁与桩结合面的施工质量。</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7.2.4.1 地下连续墙作为混凝土受弯构件，可直接按现行国家标准《混凝土结构设计规范》GB 50010的有关规定进行截面与配筋设计，但因为支护结构与永久性结构的内力设计值取值规定不同，荷载分项系数不同，按上述规范的有关公式计算截面承载力时，内力应按本规程的有关规定取值。</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7.2.4.2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目前地下连续墙在基坑工程中已有广泛的应用，尤其在深大基坑和环境条件要求严格的基坑工程，以及支护结构与主体结构相结合的工程。按现有施工设备能力，现浇地下连续墙最大墙厚可达1500mm，采用特制挖槽机械的薄层地下连续墙，最小墙厚仅450mm。常用成槽机的规格为600mm、800mm、1000mm或1200mm墙厚。</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7.2.5.2 护壁泥浆的配比试验、室内性能试验、现场成槽试验对保证槽璧稳定性是很有必要的，尤其在松散或渗透系数较大的土层中成槽，更应注意适当增大泥浆黏度，调整好泥浆配合比。对槽底稠泥浆和沉淀渣土的清除可以采用底部抽吸同时上部补浆的方法，使底部泥浆比重降至1.2，减少槽底沉渣厚度。当泥浆配比不合适时，可能会出现槽壁较严重的坍塌，这时应将槽段回填,调整施工参数后再重新成槽。有时，调整泥浆配比能解决槽壁坍塌问题。</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7.2.5.3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每幅槽段的长度，决定挖槽的幅数和次序。常用作法是:对三抓成槽的槽段,采用先抓两边后抓中间的顺序;相邻两幅地下连续墙槽段深度不一致时，先施工深的槽段，后施工浅的槽段。</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地下连续墙水下浇筑混凝土时，因成槽时槽壁坍塌或槽段接头安放不到位等原因都会导致混凝土绕流，混凝土一旦形成绕流会对相邻幅槽段的成槽和墙体质量产生不良影响，因此在工程中要重视混凝土绕流问题。</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7.2.5.4 当单元槽段的钢筋笼必须分段装配沉放时，上下段钢筋笼的连接在保证质量的情况下应尽量采用连接快速的方式。</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7.2.6.1 锚杆有多种类型，基坑工程中主要采用钢绞线锚杆，当设计的锚杆承载力较低时，有时也采用钢筋锚杆。有些地区也采用过自钻式锚杆，将钻杆留在孔内作为锚杆杆体。自钻式锚杆不需要预先成孔，与先成孔再置入杆体的钢绞线、钢筋锚杆相比，施工对地层变形影响小，但其承载力较低，目前很少采用。从锚杆杆体材料上讲，钢绞线锚杆杆体为预应力钢绞线，具有强度高、性能好、运输安装方便等优点，由于其抗拉强度设计值是普通热轧钢筋的4倍左右，是性价比最好的杆体材料。预应力钢绞线锚杆在张拉锁定的可操作性、施加预应力的稳定性方面均优于钢筋。因此，预应力钢绞线锚杆应用最多、也最有发展前景。随着锚杆技术的发展，钢绞线锚杆又可细分为多种类型，最常用的是拉力型预应力锚杆，还有拉力分散型锚杆、压力型预应力锚杆、压力分散型锚杆，压力型锚杆可应用钢绞线回收技术，适应愈来愈引起人们关注的环境保护的要求。这些内容可参见中国工程建设标准化协会标准《岩土锚杆（索）技术规程》CECS22: 2005。</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成孔工艺主要有套管护壁成孔、螺旋钻杆干成孔、浆液护壁成孔等。套管护壁成孔工艺下的锚杆孔壁松弛小、对土体扰动小、对周边环境的影响最小。工程实践中，螺旋钻杆成孔、浆液护壁成孔工艺锚杆承载力低、成孔施工导致周边建筑物地基沉降的情况时有发生。设计和施工时应根据锚杆所处的土质、承载力大小等因素，选定锚杆的成孔工艺。</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目前常用的锚杆注浆工艺有一次常压注浆和二次压力注浆。一次常压注浆是浆液在自重压力作用下充填锚杆孔。二次压力注浆需满足两个指标，一是第二次注浆时的注浆压力，一般需不小于1.5MPa，二是第二次注浆时的注浆量。满足这两个指标的关键是控制浆液不从孔口流失。一般的做法是:在一次注浆液初凝后一定时间，开始进行二次注浆，或者在锚杅锚固段起点处设置止浆装置。可重复分段劈裂注浆工艺（袖阀管注浆工艺)是一种较好的注浆方法，可增加二次压力注浆量和沿锚固段的注浆均匀性,并可对锚杆实施多次注浆，但这种方法目前在工程中的应用还不普遍。</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7.2.6.2 锚杆长度设计采用了传统的安全系数法。规定临时支护结构中的锚杆抗拔安全系数对于安全等级为-级、二级、三级的支护结构分别取1.8、1.6、1.4。需要注意的是，当锚杆为永久结构构件时，其安全系数取值不能按照本规程的规定，需符合其他有关技术标准的规定。</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7.2.6.4 本条强调了锚杆极限抗拔力应通过现场抗拔试验确定的取值原则。由于锚杆抗拔试验的目的是确定或验证在特定土层条件、施工工艺下锚固体与土体之间的粘结强度、锚杆长度等设计参数是否正确，因而试验时应使锚杆在极限承载力下，其破坏形式是锚杆摩阻力达到极限粘结强度时的拔出破坏，而不应是锚杆杆体被拉断。为防止锚杆杆体应力达到极限抗拉强度先于锚杆摩阻力达到极限粘结强度，必要时，试验锚杆可适当增加预应力筋的截面面积。</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规程表7.2.6.4需要注意的是，由于我国各地区相同土类的土性亦存在差异，施工水平也参差不齐，因此，使用该表数值时应根据当地经验和不同的施工工艺合理使用。二次高压注浆的注浆压力、注浆量、注浆方法（普通二次压力注浆和可重复分段压力注浆）的不同，均会影响土体与锚固体的实际极限粘结强度的数值。</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7.2.6.5 条文说明：锚杆自由段长度是锚杆杆体不受注浆固结体约束可自由伸长的部分，也就是杆体用套管与注浆固结体隔离的部分。锚杆的非锚杆段是理论滑动面以内的部分，与锚杆自由段有所区别。锚杆自由段应超过理论滑动面(大于非锚固段长度)。锚杆总长度为非锚固段长度加上锚固段长度。</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的自由段长度越长，预应力损失越小，锚杆拉力越稳定。自由段长度过小，锚杆张拉锁定后的弹性伸长较小，锚具变形、预应力筋回缩等因素引起的预应力损失较大，同时，受支护结构位移的影响也越敏感，锚杆拉力会随支护结构位移有较大幅度增加，严重时锚杆会因杆体应力超过其强度发生脆性破坏。因此，锚杆的自由段长度除了满足本条规定外，尚需满足不小于5m的规定。自由段越长，锚杆拉力对锚头位移越不敏感。在实际基坑工程设计时，如计算的自由段较短，宜适当增加自由段长度。</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7.2.6.8 锚杆布置是以排和列的群体形式出现的，如果其间距太小，会引起锚杆周围的高应力区叠加，从而影响锚杆抗拔力和增加锚杆位移，即产生“群锚效应”，所以本条规定了锚杆的最小水平间距和竖向间距。</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为了使锚杆与周围土层有足够的接触应力，本条规定锚固体上覆土层厚度不宜小于4.0m，上覆土层厚度太小，其接触应力也小，锚杆与土的粘结强度会较低。当锚杆采用二次高压注浆时，上覆土层有一定厚度才能保证在较高注浆压力作用下注浆不会从地表溢出或流入地下管线内。</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理论上讲，锚杆水平倾角越小，锚杆拉力的水平分力所占比例越大。但是锚杆水平倾角太小，会降低浆液向锚杆周围土层内渗透，影响注浆效果。锚杆水平倾角越大，锚杆拉力的水平分力所占比例越小，锚杆拉力的有效部分减小或需要更长的锚杆长度，也就越不经济。同时锚杆的竖向分力较大，对锚头连接要求更高并使挡土构件有向下变形的趋势。本条规定了适宜的水平倾角的范围值，设计时，应按尽量</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使锚杆锚固段进入粘结强度较高土层的原则确定锚杆倾角。</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锚杆施工时的塌孔、对地层的扰动，会引起锚杆上部土体的下沉，若锚杆之上存在建筑物、构筑物等,锚杆成孔造成的地基变形可能使其发生沉降甚至损坏，此类事故在实际工程中时有发生。因此，设置锚杆需避开易塌孔、变形的地层。</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根据有关参考资料，当土层锚杆间距为1.0m时，考虑群锚效应的锚杆抗拔力折减系数可取0.8，锚杆间距在1.</w:t>
      </w:r>
      <w:r>
        <w:rPr>
          <w:rFonts w:hint="eastAsia" w:cs="Times New Roman" w:eastAsiaTheme="minorEastAsia"/>
          <w:bCs/>
          <w:color w:val="000000" w:themeColor="text1"/>
          <w:kern w:val="2"/>
          <w:sz w:val="28"/>
          <w:szCs w:val="28"/>
          <w:lang w:val="en-US"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m~1.5m之间时，锚杆抗拔力折减系数可按此内插。</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7.6.2.11 腰梁是锚杆与挡土结构之间的传力构件。钢筋混凝土腰梁一般是整体现浇，梁的长度较长，应按连续梁设计。组合型钢腰梁需在现场安装拼接，每节---般按简支梁设计，腰梁较长时，则可按连续梁设计。</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7.2.6.12 根据工程经验，在常用的锚杆拉力、锚杆间距条件下，槽钢的规格常在[18~[36之间选用，工字钢的规格常在I16～I32之间选用。具体工程中锚杆腰梁规格取值与锚杆的设计拉力和锚杆间距有关，应根据按第7.2.6.11条规定计算的腰梁内力确定。锚杆的设计拉力或锚杆间距越大，内力越大，腰梁型钢的规格也就会越大。组合型钢腰梁的双型钢焊接为整体，可增加腰梁的整体稳定性，保证双型钢共同受力。</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7.2.6.13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于组合型钢腰梁,锚杆拉力通过锚具、垫板以集中力的形式作用在型钢上。当垫板厚度不够大时，在较大的局部压力作用下，型钢腹板会出现局部失稳，型钢翼缘会出现局部弯曲，从而导致腰梁失效，进而引起整个支护结构的破坏。因此，设计需考虑腰梁的局部受压稳定性。加强型钢腰梁的受扭承载力及局部受压稳定性有多种措施和方法，如:可在型钢翼缘端口、锚杆锚具位置处配置加劲肋，肋板厚度一般不小于8mm。</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7.2.6.14 混凝土腰梁截面的上边水平尺寸不宜小于250mm，是考虑到混凝土浇筑、振捣的施工要求而定。</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7.2.6.15 组合型钢腰梁与挡土构件之间的连接构造,需有足够的承载力和刚度。连接构造一般不能有变形，或者变形相对于腰梁的变形可忽略不计。</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7.2.7.2 锚杆成孔是锚杆施工的一个关键环节，主要应注意以下问题:①塌孔。造成锚杆杆体不能插入，使注浆液掺入杂物而影响固结体完整性和强度、影响握裹力和粘结强度，使钻孔周围土体塌落、建筑物基础下沉等。②遇障碍物。使锚杆达不到设计长度，如果碰到电力、通信、煤气管线等地下管线会使其损坏并酿成严重后果。③孔壁形成泥皮。在高塑性指数的饱和黏性土层及采用螺旋钻杆成孔时易出现这种情况，使粘结强度和锚杆抗拔力大幅度降低。④涌水涌砂。当采用帷幕截水时，在地下水位以下特别是承压水土层成孔会出现孔内向外涌水冒砂，造成无法成孔、钻孔周围土体坍塌、地面或建筑物基础下沉、注浆液被水稀释不能形成固结体、锚头部位长期漏水等。</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7.2.7.7 锚杆张拉锁定时，张拉值大于锚杆轴向拉力标准值，然后将拉力在锁定值的 （1.1～1.15）倍进行锁定。第一，是为了在锚杆锁定时对每根锚杆进行过程检验，当锚杆抗拔力不足时可事先发现，减少锚杆的质量隐患。第二，通过张拉可检验在设计荷载下锚杆各连接节点的可靠性。第三，可减小锁定后锚杆的预应力损失。</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工程实测表明，锚杆张拉锁定后一般预应力损失较大，造成预应力损失的主要因素有土体蠕变、锚头及连接的变形、相邻锚杆影响等。锚杆锁定时的预应力损失约为10%～15%。当采用的张拉千斤顶在锁定时不会产生预应力损失，则锁定时的拉力不需提高10%～15%。</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钢绞线多余部分宜采用冷切割方法切除，采用热切割时，钢绞线过热会使锚具夹片表面硬度降低，造成钢绞线滑动，降低锚杆预应力。当锚杆需要再次张拉锁定时，锚具外的杆体预留长度应满足张拉要求。确保锚杆不用再张拉时，冷切割的锚具外的杆体保留长度一般不小于50mm，热切割时，一般不小于80mm。</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 xml:space="preserve">7.2.8.1 </w:t>
      </w:r>
      <w:bookmarkStart w:id="158" w:name="_Hlk129791778"/>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钢支撑，不仅具有自重轻、安装和拆除方便、施工速度快、可以重复利用等优点，而且安装后能立即发挥支撑作用，对减小由于时间效应而产生的支护结构位移十分有效，因此，对形状规则的基坑常采用钢支撑。但钢支撑节点构造和安装相对复杂，需要具有一定的施工技术水平。</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混凝土支撑是在基坑内现浇而成的结构体系，布置形式和方式基本不受基坑平面形状的限制，具有刚度大、整体性好、施工技术相对简单等优点，所以，应用范围较广。但混凝土支撑需要较长的制作和养护时间，制作后不能立即发挥支撑作用，需要达到一定的材料强度后，才能进行其下的土方开挖。此外，拆除混凝土支撑工作量大，支撑材料不能重复使用，从而产生大量的废弃混凝土垃圾需要处理。</w:t>
      </w:r>
    </w:p>
    <w:bookmarkEnd w:id="158"/>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7.2.8.3 内支撑结构形式很多，从结构受力形式划分，可主要归纳为以下几类:①水平对撑或斜撑，包括单杆、榆架、八字形支撑。②正交或斜交的平面杆系支撑。③环形杆系或板系支撑。④竖向斜撑。每类内支撑形式又可根据具体情况有多种布置形式。一般来说，对面积不大、形状规则的基坑常采用水平对撑或斜撑;对面积较大或形状不规则的基坑有时需采用正交或斜交的平面杆系支撑;对圆形、方形及近似圆形的多边形的基坑，为能形成较大开挖空间，可采用环形杆系或环形板系支撑;对深度较浅、面积较大基坑，可采用竖向斜撑，但需注意，在设置斜撑基础、安装竖向斜撑前，无撑支护结构应能够满足承载力、变形和整体稳定要求。对各类支撑形式，支撑结构的布置要重视支撑体系总体刚度的分布,避免突变，尽可能使水平力作用中心与支撑刚度中心保持一致。</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7.2.8.5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实际工程中支撑和冠梁及腰梁、排桩或地下连续墙以及立柱等连接成一体并形成空间结构。因此，在一般情况下应考虑支撑体系在平面上各点的不同变形与排桩、地下连续墙的变形协调作用而优先采用整体分析的空间分析方法。但是，支护结构的空间分析方法由于建立模型相对复杂，部分模型参数的确定也没有积累足够的经验，因此，目前将空间支护结构简化为平面结构的分析方法和平面有限元法应用较为广泛。</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7.2.8.6 温度变化会引起钢支撑轴力改变，但由于对钢支撑温度应力的研究较少，目前对此尚无成熟的计算方法。温度变化对钢支撑的影响程度与支撑构件的长度有较大的关系，根据经验，对长度超过40m的支撑，认为可考虑10%～20%的支撑内力变化。</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目前，内支撑的计算一般不考虑支撑立柱与挡土构件之间、各支撑立柱之间的差异沉降，但支撑立柱下沉或隆起，会使支撑立柱与排桩、地下连续墙之间，立柱与立柱之间产生一定的差异沉降。当差异沉降较大时，在支撑构件上增加的偏心距，会使水平支撑产生次应力。因此，当预估或实测差异沉降较大时，应按此差异沉降量对内支撑进行计算分析并采取相应措施。</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7.2.8.9 预加轴向压力可减小基坑开挖后支护结构的水平位移、检验支撑连接结点的可靠性。但如果预加轴向力过大，可能会使支挡结构产生反向变形、增大基坑开挖后的支撑轴力。根据以往的设计和施工经验，预加轴向力取支撑轴向压力标准值的(0.5～0.8）倍较合适。但特殊条件下，不一定受此限制。</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7.2.8.14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钢支撑的整体刚度依赖于构件之间的合理连接，其构件的拼接尚应满足截面等强度的要求。常用的连接方法有螺栓连接和焊接。螺栓连接施工方便，速度快，但整体性不如焊接好。焊接一般在现场拼接，由于焊接条件差，对焊接技术水平要求较高。</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7.3.1  土钉墙是分层开挖、分层设置土钉及面层形成的。每一开挖状况都可能是不利工况，也就需要对每一开挖工况进行土钉墙整体滑动稳定性验算。本条的圆弧滑动条分法保持原规程的方法，该方法在原规程颁布以来，一直广泛采用，大量工程应用证明是符合实际情况的,本次修订继续采用。由于本规程在设计方法上，对土的稳定性一类极限状态由分项系数表示法改为单一安全系数法，公式(7.3.1-2）在具体形式上与原规程公式不同，但公式的实质没变。</w:t>
      </w:r>
    </w:p>
    <w:p>
      <w:pPr>
        <w:pStyle w:val="51"/>
        <w:numPr>
          <w:ilvl w:val="255"/>
          <w:numId w:val="0"/>
        </w:numPr>
        <w:ind w:firstLine="560" w:firstLineChars="20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考虑到圆弧滑动条分法需要适用于复合土钉墙这一要求，公式(7.3.1-2）增加了锚杆作用下的抗滑力矩项，因锚杆和土钉对滑动稳定性的作用是—样的，公式中将锚杆和土钉的极限拉力用同一符号</w:t>
      </w:r>
      <w:r>
        <w:rPr>
          <w:rFonts w:hint="eastAsia" w:ascii="楷体" w:hAnsi="楷体" w:eastAsia="楷体"/>
        </w:rPr>
        <w:object>
          <v:shape id="_x0000_i1300" o:spt="75" type="#_x0000_t75" style="height:19.8pt;width:25.2pt;" o:ole="t" filled="f" o:preferrelative="t" stroked="f" coordsize="21600,21600">
            <v:path/>
            <v:fill on="f" focussize="0,0"/>
            <v:stroke on="f" joinstyle="miter"/>
            <v:imagedata r:id="rId582" o:title=""/>
            <o:lock v:ext="edit" aspectratio="t"/>
            <w10:wrap type="none"/>
            <w10:anchorlock/>
          </v:shape>
          <o:OLEObject Type="Embed" ProgID="Equation.DSMT4" ShapeID="_x0000_i1300" DrawAspect="Content" ObjectID="_1468076000" r:id="rId581">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表示。由于土钉墙整体稳定性验算采用的是极限平衡法，假定锚杆和土钉同时达到极限状态，与锚杆预加力无关，因而，验算公式中不含锚杆预应力项。</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复合土钉墙中锚杆应施加预应力,预应力的大小应考虑土钉与锚杆的变形协调，土钉在基坑有一定变形发生后才受力，预应力锚杆随基坑变形拉力也会增长。土钉和锚杆同时达到极限状态是最理想的,选取锚杆长度和确定锚杆预加力时，应按此原则考虑。</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在复合土钉墙中,微型桩、搅拌桩或旋喷桩对总抗滑力矩是有贡献的,但难以定量。对水泥土桩，其截面的抗剪强度不能按全部考虑。因为水泥土桩比土的刚度大的多，当水泥土桩达到强度极限时，土的抗剪强度还未充分发挥，而土达到极限强度时，水泥土桩在此之前已被剪断，即两者不能同时达到极限。对微型钢管桩,当土达到极限强度时，微型钢管桩是有上拔趋势的，而不是剪切强度控制。因此,尚不能定量给出水泥土桩、微型桩的抵抗力矩，需要考虑其作用时，只能根据经验和水泥土桩、微型桩的设计参数，适当考虑其抗滑作用。当无经验时，最好不考虑其抗滑作用，当作安全储备来处理。</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7.3.6~7.3.9</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按本规程公式(7.3.2.1）的要求确定土钉抗拔承载力，目的是控制单根土钉拔出或土钉杆体拉断所造成的土钉墙局部破坏。单根土钉拉力取分配到每根土钉的土钉墙墙面面积上的土压力，单根土钉抗拔承载力为图7.3.10所示的假定直线滑动面外土钉的抗拔承载力。由于土钉墙结构具有土与土钉共同工作的特性，受力状态复杂，目前尚没有研究清楚土钉的受力机理，土钉拉力计算方法也不成熟。因此，本节的土钉抗拔承载力计算方法只是近似的。</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由于土钉墙墙面可以是倾斜的,倾斜墙面上的土压力比同样高度的垂直墙面上的土压力小。用朗肯方法计算时，需要按墙面倾斜情况对土压力进行修正。本规程采用的是对按垂直墙面计算的土压力乘以折减系数的修正方法。折减系数计算公式与原规程相同。</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压力沿墙面的分布形式，原规程直接采用朗肯土压力线性分布。原规程施行后，根据一些实际工程设计情况，人们发现按朗肯土压力线性分布计算土钉承载力时，往往土钉墙底部的土钉需要长度很长才能满足承载力要求。土钉墙底部的土钉过长，其承载力不一定能充分发挥，使土钉墙面层强度或土钉端部的连接强度成为控制条件，土钉墙面层或土钉端部连接会在土钉达到设计拉力前破坏。因此，一些实际工程设计中土钉墙底部土钉长度往往会做些折减。工程实际表明，适当减短土钉墙底部土钉长度后，并没有出现土钉被拔出破坏的现象。土钉长度计算不合理的问题主要原因在于所采用的朗肯土压力按线性分布是否合理。由于土钉墙墙面是柔性的，且分层开挖裸露面上土压力是零，建立新的力平衡使土压力向周围转移，墙面上的土压力则重新分布。为解决土钉计算长度不合理的问题，本次修订考虑了墙面上土压力会存在重分布的规律，对按朗肯公式计算的土压力线性分布进行了修正，即在计算每根土钉轴向拉力时，分别乘以由公式(7.3.9-1）和公式(7.3.9-2)给出的调整系数</w:t>
      </w:r>
      <w:r>
        <w:rPr>
          <w:rFonts w:hint="eastAsia" w:ascii="楷体" w:hAnsi="楷体" w:eastAsia="楷体"/>
        </w:rPr>
        <w:object>
          <v:shape id="_x0000_i1301" o:spt="75" type="#_x0000_t75" style="height:19.2pt;width:13.8pt;" o:ole="t" filled="f" o:preferrelative="t" stroked="f" coordsize="21600,21600">
            <v:path/>
            <v:fill on="f" focussize="0,0"/>
            <v:stroke on="f" joinstyle="miter"/>
            <v:imagedata r:id="rId584" o:title=""/>
            <o:lock v:ext="edit" aspectratio="t"/>
            <w10:wrap type="none"/>
            <w10:anchorlock/>
          </v:shape>
          <o:OLEObject Type="Embed" ProgID="Equation.DSMT4" ShapeID="_x0000_i1301" DrawAspect="Content" ObjectID="_1468076001" r:id="rId583">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。每根土钉的轴向拉力调整系数</w:t>
      </w:r>
      <w:r>
        <w:rPr>
          <w:rFonts w:hint="eastAsia" w:ascii="楷体" w:hAnsi="楷体" w:eastAsia="楷体"/>
        </w:rPr>
        <w:object>
          <v:shape id="_x0000_i1302" o:spt="75" type="#_x0000_t75" style="height:19.2pt;width:13.8pt;" o:ole="t" filled="f" o:preferrelative="t" stroked="f" coordsize="21600,21600">
            <v:path/>
            <v:fill on="f" focussize="0,0"/>
            <v:stroke on="f" joinstyle="miter"/>
            <v:imagedata r:id="rId584" o:title=""/>
            <o:lock v:ext="edit" aspectratio="t"/>
            <w10:wrap type="none"/>
            <w10:anchorlock/>
          </v:shape>
          <o:OLEObject Type="Embed" ProgID="Equation.DSMT4" ShapeID="_x0000_i1302" DrawAspect="Content" ObjectID="_1468076002" r:id="rId585">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值是不同的,每根土钉乘以轴向拉力调整系数</w:t>
      </w:r>
      <w:r>
        <w:rPr>
          <w:rFonts w:hint="eastAsia" w:ascii="楷体" w:hAnsi="楷体" w:eastAsia="楷体"/>
        </w:rPr>
        <w:object>
          <v:shape id="_x0000_i1303" o:spt="75" type="#_x0000_t75" style="height:19.2pt;width:13.8pt;" o:ole="t" filled="f" o:preferrelative="t" stroked="f" coordsize="21600,21600">
            <v:path/>
            <v:fill on="f" focussize="0,0"/>
            <v:stroke on="f" joinstyle="miter"/>
            <v:imagedata r:id="rId584" o:title=""/>
            <o:lock v:ext="edit" aspectratio="t"/>
            <w10:wrap type="none"/>
            <w10:anchorlock/>
          </v:shape>
          <o:OLEObject Type="Embed" ProgID="Equation.DSMT4" ShapeID="_x0000_i1303" DrawAspect="Content" ObjectID="_1468076003" r:id="rId586">
            <o:LockedField>false</o:LockedField>
          </o:OLEObject>
        </w:objec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后,各土钉轴向拉力之和与调整前的各土钉轴向拉力之和相等。该调整方法在概念上虽然可行，但存在一定近似性,还需要做进一步研究和试验工作,以使通过计算得到的土压力分布规律和数值与实际情况更接近。</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7.3.9</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表7.3.10中土钉的极限粘结强度标准值数值是根据原规程施行以来对大量实际工程土钉抗拔试验数据统计并结合已有的资料作出的。同时，表7.3.10中包含了打入式钢管土钉的极限粘结强度标准值。锚固体与土层之间的粘结强度大小与很多因素有关，主要包括土层条件、注浆工艺及注浆量、成孔工艺等，在采用表7.3.10数值时，还应根据这些因素及施工经验合理选择。</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7.3.10 土钉的承载力由以土的粘结强度控制的抗拔承载力和以杆体强度控制的受拉承载力两者的较小值决定。当土钉注浆固结体强度不足时,可能还会由固结体对杆体的握裹力控制。一般在确定了按土的粘结强度控制的土钉抗拔承载力后,再按本规程公式(7.3.11）配置杆体截面。</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7.3.12~7.3.22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土钉墙和复合土钉墙的构造要求，是实际工程中总结的经验数据，应根据具体工程的土质、基坑深度、土钉拉力和间距等因素选用。</w:t>
      </w:r>
    </w:p>
    <w:p>
      <w:pPr>
        <w:ind w:firstLine="48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采用洛阳铲成孔比较经济，同时施工速度快，对一般土层宜优先使用。打入式钢管土钉可以克服洛阳铲成孔时塌孔、缩径的问题,避免因塌孔、缩径带来的土体扰动和沉陷,对保护基坑周边环境有利，此时可以用打入式钢管土钉。机械成孔的钢筋土钉成本高，且土钉数量一般都很多，需要配备一定数量的钻机，只有在其他方法无法实施的情况下才适合采用。</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7.2.3.22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土钉墙是分层分段施工形成的,每完成一层土钉和土钉位置以上的喷射混凝土面层后，基坑才能挖至下一层土钉施工标高。设计和施工都必须重视土钉墙这一形成特点。设计时，应验算每形成一层土钉并开挖至下一层土钉面标高时土钉墙的稳定性和土钉拉力是否满足要求。施工时，应在每层土钉及相应混凝土面层完成并达到设计要求的强度后才能开挖下一层土钉施工面以上的土方，挖土严禁超过下一层土钉施工面。超挖会造成土钉墙的受力状况超过设计状态。因超挖引起的基坑坍塌和位移过大的工程事故屡见不鲜。</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7.3.25~7.3.28 本节钢筋土钉的成孔、制作和注浆要求,打入式钢管土钉的制作和注浆要求是多年来施工经验的总结，是保证施工质量的关键环节。</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7.3.28</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混凝土面层是土钉墙结构的重要组成部分之一，喷射混凝土的施工方法与现场浇筑混凝土不同,也是一项专门的施工技术，在隧道、井巷和洞室等地下工程应用普遍且技术成熟。土钉墙用于基坑支护工程，也采用了这一施工技术。本条规定了喷射混凝土施工的基本要求。按现有施工技术水平和常用操作程序，一般采用以下做法和要求:</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1混凝土喷射机设备能力的允许输送粒径一般需大于25mm，允许输送水平距离一般不小于100m，允许垂直距离一般不小于30m;</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2根据喷射机工作风压和耗风量的要求，空压机耗风量一般需达到9m3/min;</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3输料管的承受压力需不小于0.8MPa;</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4供水设施需满足喷头水压不小于0.2MPa的要求;</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5喷射混凝土的回弹率不大于15%;</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6喷射混凝土的养护时间根据环境的气温条件确定，一般为3d~7d;</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7上层混凝土终凝超过1h后，再进行下层混凝土喷射，下层混凝土喷射时应先对上层喷射混凝土表面喷水。</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7.3.29 土钉墙中，土钉群是共同受力、以整体作用考虑的。对单根土钉的要求不像锚杆那样受力明确,各自承担荷载。但土钉仍有必要进行抗拔力检测,只是对其离散性要求可比锚杆略放松。土钉抗拔检测是工程质量竣工验收依据，本条规定了试验数量和要求,试验方法见本规程附录A。</w:t>
      </w:r>
    </w:p>
    <w:p>
      <w:pPr>
        <w:widowControl/>
        <w:ind w:left="0" w:leftChars="0"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抗压强度是喷射混凝土的主要指标，一般能反映施工质量的优劣。喷射混凝土试块最好采用在喷射混凝土板件上切取制作，它与实际比较接近。但由于在目前实际工程中受切割加工条件限制，因此，也就允许使用150mm 的立方体无底试模，喷射混凝土制作试块。喷射混凝土厚度是质量控制的主要内容，喷射混凝土厚度的检测最好在施工中随时进行，也可喷射混凝土施工完成后统一检查。</w:t>
      </w:r>
    </w:p>
    <w:p>
      <w:pPr>
        <w:widowControl/>
        <w:ind w:left="0" w:leftChars="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7.4.3 按重力式设计的水泥土墙，其破坏形式包括以下几类:①墙整体倾覆;②墙整体滑移;③沿墙体以外土中某一滑动面的土体整体滑动;④墙下地基承载力不足而使墙体下沉并伴随基坑隆起;⑤墙身材料的应力超过抗拉、抗压或抗剪强度而使墙体断裂;⑥地下水渗流造成的土体渗透破坏。重力式水泥土墙的设计，墙的嵌固深度和墙的宽度是两个主要设计参数，土体整体滑动稳定性、基坑隆起稳定性与嵌固深度密切相关，而基本与墙宽无关。墙的倾覆稳定性、墙的滑移稳定性不仅与嵌固深度有关，而且与墙宽有关。有关资料的分析研究结果表明，一般情况下，当墙的嵌固深度满足整体稳定条件时，抗隆起条件也会满足。因此，常常是整体稳定性条件决定嵌固深度下限。采用按整体稳定条件确定的嵌固深度，再按墙的抗倾覆条件计算墙宽，此墙宽一般自然能够同时满足抗滑移条件。</w:t>
      </w:r>
    </w:p>
    <w:p>
      <w:pPr>
        <w:pStyle w:val="51"/>
        <w:numPr>
          <w:ilvl w:val="2"/>
          <w:numId w:val="0"/>
        </w:num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7.4.5 水泥土墙的上述各种稳定性验算基于重力式结构的假定，应保证墙为整体。墙体满足抗拉、抗压和抗剪要求是保证墙为整体条件。</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7.4.6 在验算截面的选择上，需选择内力最不利的截面、墙身水泥土强度较低的截面，本条规定的计算截面，是应力较大处和墙体截面薄弱处，作为验算的重点部位。</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7.4.10 水泥土墙常布置成格栅形，以降低成本、工期。格栅形布置的水泥土墙应保证墙体的整体性,设计时一般按土的置换率控制，即水泥土面积与水泥土墙的总面积的比值。淤泥土的强度指标差，呈流塑状，要求的置换率也较大，淤泥质土次之。同时要求格栅的格子长宽比不宜大于2。格栅形水泥土墙，应限制格栅内土体所占面积。格栅内土体对四周格栅的压力可按谷仓压力的原理计算，通过公式（7.4.10)使其压力控制在水泥土墙承受范围内。</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7.4.11 搅拌桩重力式水泥土墙靠桩与桩的搭接形成整体，桩施工应保证垂直度偏差要求，以满足搭接宽度要求。桩的搭接宽度不小于150mm，是最低要求。当搅拌桩较长时，应考虑施工时垂直度偏差问题，增加设计搭接宽度。</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7.4.13 水泥土标准养护龄期为90d，基坑工程一般不可能等到90d养护期后再开挖，故设计时以龄期28d的无侧限抗压强度为标准。一些试验资料表明，一般情况下，水泥土强度随龄期的增长规律为，7d的强度可达标准强度的30%～50%，30d的强度可达标准强度的60%~75%，90d的强度为180d强度的80%左右，180d以后水泥土强度仍在增长。水泥强度等级也影响水泥土强度，一般水泥强度等级提高10后，水泥土的标准强度可提高20%～30%。</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7.4.14 为加强整体性,减少变形，水泥土墙顶需设置钢筋混凝土面板，设置面板不但可便利后期施工，同时可防止因雨水从墙顶渗人水泥土格栅。</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7.5.1 重力式挡墙基础底面大、体积大。如高度过大，则既不利于土地的开发利用，也往往是不经济的。当土质边坡高度大于10m、岩质边坡高度大于12m时，上述状况已明显存在,故本条对挡墙高度作了限制。</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2、一般情况下,重力式挡墙位移较大，难以满足对变形的严格要求。</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挖方挡墙施工难以采用逆作法,开挖面形成后边坡稳定性相对较低,有时可能危及边坡稳定及相邻建筑物安全。因此本条对重力式挡墙适用范围作了限制。</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重力式挡墙形式的选择对挡墙的安全与经济影响较大。在同等条件下，挡墙中主动土压力以仰斜最小，直立居中，俯斜最大，因此仰斜式挡墙较为合理。但不同的墙型往往使挡墙条件(如挡墙高度、填土质量)不同。故重力式挡墙形式应综合考虑多种因素而确定。</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4、挖方边坡采用仰斜式挡墙时,墙背可与边坡坡面紧贴，不存在填方施工不便、质量受影响的问题，仰斜当是首选墙型。挡墙高度较大时，土压力较大,降低土压力已成为突出问题，故宜采用衡重式或仰斜式。</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7.5.2</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1、对于高大挡土墙,通常不允许出现达到极限状态的位移值，因此土压力计算时考虑增大系数，同时也与现行国家标准《建筑地基基础设计规范》GB 50007一致。</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抗滑移稳定性及抗倾覆稳定性验算是重力式挡墙设计中十分重要的一环，式(7.5.2-1)及式（7.5.2-6)应得到满足。当抗滑移稳定性不满足要求时，可采取增大挡墙断面尺寸、墙底做成逆坡、换土做砂石垫层等措施使抗滑移稳定性满足要求。当抗倾覆稳定性不满足要求时，可采取增大挡墙断面尺寸、增长墙趾或改变墙背做法(如在直立墙背上做卸荷台）等措施使抗倾覆稳定性满足要求。</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3、土质地基有软弱层或岩质地基有软弱结构面时,存在着挡墙地基整体失稳破坏的可能性,故需进行地基稳定性验算。</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7.5.3 1、条石、块石及素混凝土是重力式挡墙的常用材料，也有采用砖及其他材料的。</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2、挡墙基底做成逆坡对增加挡墙的稳定性有利，但基底逆坡坡度过大，将导致墙踵陷入地基中，也会使保持挡墙墙身的整体性变得困难。为避免这一情况，本条对基底逆坡坡度作了限制。</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规定了稳足斜坡地面基础埋置条件。其中距斜坡地面水平距离的上、下限值的采用，可根据地基的地质情况，斜坡坡度等综合确定。如较完整的硬质岩，节理不发育、微风化的、坡度较缓的可取上限值0.6m;节理发育的、坡度较陡时可取下限值1.5m;对岩石单轴抗压强度在15MPa~30MPa的岩石，可根据具体环境情况取中间值。</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7.7.1 土方开挖前应综合考虑多种因素，主要是为了达到基坑土方施工安全、保护周边环境和方便施工的目的。土方开挖施工方案的主要内容一般包括工程概况和特点、地质勘察资料、周边环境调查、支护设计、施工平面布置及场内交通组织、挖土机械选型、挖土方法、降排水措施、季节性施工措施、支护变形控制和环境保护措施、监测方案、安全技术措施和应急预案等，施工方案应按照相关规定履行逐级审批手续，超规模危大工程履行专家评审制度。</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7.7.2 合理确定每块开挖空间的大小、相对位置关系、开挖的先后顺序，严格控制每块开挖步骤的时间，减少无支撑暴露时间，是控制基坑变形和保护周边环境的有效手段。基坑土方开挖在深度范围内进行合理分层，在平面上进行合理分块，确定各分块开挖的先后顺序，可利用未开挖部分土体的抵抗能力，有效控制土体位移，以达到减缓基坑变形、保护周边环境的目的。基坑限时开挖一般是指根据基坑挖土分块情况，对无支撑暴露时间采取控制的一种方式。</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7.7.4 如机械设备直接进入基坑内进行施工作业时，其入坑坡道除考虑其本身的稳定性外，还需考虑机械设备的外形尺寸及爬坡能力。根据目前常用施工机械所具备的爬坡能力，一般可以满足1：8的坡道坡度要求，对于一些特殊的机械，应根据机械爬坡性能确定合适的坡道坡度。</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7.7.5</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本条说明基坑开挖应符合的要求。</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基坑周边及放坡平台的施工荷载将直接关系到基坑施工安全，合理控制相应的施工荷载，是保证基坑施工安全的关键。基坑开挖的土方应及时外运，若需在场地内进行部分堆土时，应经设计单位同意，并采取相应的技术措施，合理确定堆土平面范围和高度，以免对基坑和周边环境产生不利影响。</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规定全面分层开挖或台阶式分层开挖有利于基坑变形，也有利于临时土坡的稳定。为防止开挖面的坡度过陡而引起土体位移、桩基侧移等异常现象发生，开挖过程中的临时边坡应保持稳定，规定了临时边坡坡度不宜大于1：1.5。若基坑内存在软弱土层时，机械作业可采取铺设路基箱等处理措施，以保证挖土机械正常作业。</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坑底以上200mm~300mm范围内的土方采用人工修底，放坡开挖基坑的边坡采用人工修坡，主要是为了防止机械超挖和机械扰动坑底或边坡土体，并加强对工程桩的保护。为减少基坑暴露时间，开挖至坑底标高后应及时进行垫层施工，通常坑底暴露200m2时即应及时浇筑垫层；若基坑变形过大，或周边环境保护要求较高时，也可根据设计要求设置加强垫层。</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为避免机械挖土造成工程桩位移和损伤，在工程桩区域挖土应设专人进行监护，挖土机械应避让工程桩，工程桩周边土体应采用人工挖除的方法。如工程桩较密或现场条件限制，而需在桩顶进行挖土作业时，应在桩顶覆土并铺设路基箱进行保护，以防止工程桩承受侧向荷载。</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7.7.6 基坑开挖阶段的信息化施工既是检验设计与施工合理性，也是动态指导设计与施工的有效方法。通过信息化施工技术的运用，可及时了解基坑开挖期间的各种变化，及时比较设计所预期的状态与监测结果的差别，对原设计成果和施工方案进行评价，预期可能出现的险情，对围护设计和施工方案进行针对性的调整，有效控制可能出现的险情，以确保基坑施工安全。</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7.7.9 放坡开挖的基坑边坡通常可以按照规范构造耍求加以设置，但为安全起见，采用规范要求的构造措施进行边坡设计外，还必须对各种边坡类型进行稳定性验算。</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7.7.10 对于多级放坡的基坑边坡，坡间放坡平台的宽度将直接关系到总坡度的整体稳定性，坡间放坡平台宽度在正常情况下均宜按大于3m设计，在较好的条件下，并具有相应的措施时，坡间放坡平台宽度应按大于1.5m进行设计。</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7.7.11 地下水位较高，放坡开挖可采取隔水帷幕、降水等措施。对于无隔水帷幕的多级放坡基坑，在满足降水深度要求和边坡稳定的条件下，降水系统可设置在放坡平台或坡顶；当不能满足降水探度要求或边坡稳定时，坡顶和放坡平台应分别设置降水系统。</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7.7.15 基坑土方开挖及支撑施工过程中，选定科学合理的施工参数，对基坑的稳定和变形控制、周边环境保护均会产生重要的影响。实践证明，每一个开挖步骤过程中围护墙体暴露空间和时间越小，则控制基坑变形的效果越好，先撑后挖、限时支撑、分层开挖、严禁超挖就是基于上述理论经过长时间工程实践总结得出的。</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7.7.18</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1）对于各道支撑均采用钢支撑的狭长形基坑，可采用斜面分层分段开挖的方法。每小段长度－般按照1~2个同层支撑水平间距确定，约3m~8m；每层厚度一般按支撑竖向间距确定，约3m~4m。</w:t>
      </w:r>
    </w:p>
    <w:p>
      <w:pPr>
        <w:pStyle w:val="51"/>
        <w:widowControl w:val="0"/>
        <w:numPr>
          <w:ilvl w:val="2"/>
          <w:numId w:val="0"/>
        </w:numPr>
        <w:spacing w:line="360" w:lineRule="auto"/>
        <w:ind w:left="0" w:firstLine="0" w:firstLineChars="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2）斜面分层分段开挖的各种施工参数被大量工程实践证明是安全可靠的。由于支撑的水平间距一般为3m，而坡间加宽平台宽度9.0m的规定，是根据4道支撑间距而定，这样便于平台上的支撑安装施工。</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每层每段开挖和支撑形成的时间应符合设计要求，一般情况下每小段开挖和支撑形成时间为12h~36h。对于狭长形的基坑，考虑到钢支撑受力的特点和纵向斜面分层分段开挖的特性，基础底板及时浇筑对改善围护结构的受力特征和保证基坑的稳定十分重要。</w:t>
      </w:r>
    </w:p>
    <w:p>
      <w:pPr>
        <w:pStyle w:val="51"/>
        <w:widowControl w:val="0"/>
        <w:numPr>
          <w:ilvl w:val="2"/>
          <w:numId w:val="0"/>
        </w:numPr>
        <w:spacing w:line="360" w:lineRule="auto"/>
        <w:ind w:left="0" w:firstLine="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4）狭长形基坑可采用一端向另一端开挖的方法，也可采用从中间向两端开挖的方法。从中间向两端开挖方式适用于长度较长，或为加快施工速度而增加挖土工作面的方式。</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7.7.21 基底不得有垃圾、树根等杂物，基底处理应符合设计要求。土方回填施工前应将回填料的性质和条件通过试验来分析，然后根据施工区域土料特性确定其回填部位和方法。回填料的施工含水量与最佳含水量之差可控制在规定的范围内（-6%~+2%），取样的频率宜为5000m3取1次，或土质发生变化时取样。</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7.7.22 回填每层压实系数应符合设计要求。检测回填料压实系数的方法一般采用环刀法、灌砂法、灌水法。</w:t>
      </w:r>
    </w:p>
    <w:p>
      <w:pPr>
        <w:rPr>
          <w:rFonts w:hint="eastAsia" w:ascii="楷体" w:hAnsi="楷体" w:eastAsia="楷体"/>
        </w:rPr>
      </w:pPr>
      <w:r>
        <w:rPr>
          <w:rFonts w:hint="eastAsia" w:ascii="楷体" w:hAnsi="楷体" w:eastAsia="楷体"/>
        </w:rPr>
        <w:br w:type="page"/>
      </w:r>
    </w:p>
    <w:p>
      <w:pPr>
        <w:pStyle w:val="2"/>
        <w:numPr>
          <w:ilvl w:val="0"/>
          <w:numId w:val="0"/>
        </w:numPr>
        <w:jc w:val="center"/>
      </w:pPr>
      <w:bookmarkStart w:id="159" w:name="_Toc22274"/>
      <w:bookmarkStart w:id="160" w:name="_Toc17981"/>
      <w:bookmarkStart w:id="161" w:name="_Toc12230"/>
      <w:r>
        <w:rPr>
          <w:rFonts w:hint="eastAsia"/>
          <w:lang w:val="en-US" w:eastAsia="zh-CN"/>
        </w:rPr>
        <w:t>8</w:t>
      </w:r>
      <w:r>
        <w:t>土体加固</w:t>
      </w:r>
      <w:bookmarkEnd w:id="159"/>
      <w:bookmarkEnd w:id="160"/>
      <w:bookmarkEnd w:id="161"/>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8.1.2 常用的基坑土体加固方法，包括注浆（各种注浆工艺、双液速凝注浆等）、双轴搅拌桩、三轴搅拌桩、高压旋喷桩等方式。加固方法对各类土层的适用性可参照下</w:t>
      </w:r>
    </w:p>
    <w:p>
      <w:pPr>
        <w:pStyle w:val="20"/>
        <w:spacing w:line="360" w:lineRule="auto"/>
        <w:rPr>
          <w:color w:val="FF0000"/>
        </w:rPr>
      </w:pPr>
      <w:r>
        <w:rPr>
          <w:color w:val="FF0000"/>
        </w:rPr>
        <w:drawing>
          <wp:inline distT="0" distB="0" distL="0" distR="0">
            <wp:extent cx="5166360" cy="1799590"/>
            <wp:effectExtent l="0" t="0" r="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87"/>
                    <a:stretch>
                      <a:fillRect/>
                    </a:stretch>
                  </pic:blipFill>
                  <pic:spPr>
                    <a:xfrm>
                      <a:off x="0" y="0"/>
                      <a:ext cx="5166360" cy="1799590"/>
                    </a:xfrm>
                    <a:prstGeom prst="rect">
                      <a:avLst/>
                    </a:prstGeom>
                  </pic:spPr>
                </pic:pic>
              </a:graphicData>
            </a:graphic>
          </wp:inline>
        </w:drawing>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w:t>
      </w:r>
      <w:r>
        <w:rPr>
          <w:rFonts w:hint="eastAsia" w:cs="Times New Roman" w:eastAsiaTheme="minorEastAsia"/>
          <w:bCs/>
          <w:color w:val="000000" w:themeColor="text1"/>
          <w:kern w:val="2"/>
          <w:sz w:val="28"/>
          <w:szCs w:val="28"/>
          <w:lang w:val="en-US" w:eastAsia="zh-CN" w:bidi="ar-SA"/>
          <w14:textFill>
            <w14:solidFill>
              <w14:schemeClr w14:val="tx1"/>
            </w14:solidFill>
          </w14:textFill>
        </w:rPr>
        <w:t>1</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由于影响加固体质量的不确定因素较多，通过现场试验可检验加固效果，并针对存在的问题改进施工参数和施工工艺，保证正式加固施工后的环境安全和加固效果。</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8.1.5 土体加固施工过程中会对原始土层产生一定程度的扰动，在加固体未达到设计强度前，施工会对周边环境产生影响。当场地周边存在重要建构筑物时，应根据监测情况动态施工，尽量减少对周边环境的不利影响。</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8.1.6 加固效果受施工时的环境影响、地质条件、施工参数和施工工艺等多重因素的影响，应在基坑开挖前对加固体设计指标进行抽检。加固指标不满足设计要求时，应采取补救措施。</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8.1.10 加固体的深度和宽度目前一般根据地区经验确定；采用格栅形加固体布置形式时，加固体截面的面积置换率不宜低于0.6。</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8.1.11 加固体平面外围边线宜在坑边坡坡顶线外侧，加固体深度宜低于坑底面下不小于1m；当局部深坑邻近基坑内壁、局部深坑区域为流塑状的淤泥质土、松散的砂土时等软弱土层条件下，坑底宜进行封闭加固。</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8.2.3 渗透注浆效果好坏取决于渗透半径内体积土的空隙填充程度和固结程度。填充率越高，注浆的效果越好。劈裂注浆的注浆量与注浆范围内桨脉的多少有关，桨脉越多，注浆量也越多，注浆效果也越好，但浆液有个最佳注浆量。压密注浆的注浆量和浆泡的直径有关。压密范围越大，要求的浆泡直径也就越大。但在不产生劈裂的条件下，浆泡直径是有限的，注浆量亦有限，一般应根据试验决定。</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8.2.4 水玻璃在实际应用时，需分批经室内试验并检验其效果后决定其数值，在通常条件下，最好选用以工业纯碱为原料生产的水玻璃，其性质比较稳定；以土硷和元明粉（NA2SO4）生产的水玻璃其性能不甚稳定，建议谨慎采用。</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8.2.5 注浆时，应根据注浆目的和环境水的腐蚀性等因素选择符合现行国家标准《通用硅酸盐水泥》GB175规定的普通硅酸盐水泥。实施双液注浆宜优先采用普通硅酸盐水泥，因为水玻璃与普通硅酸盐水泥反应的活性较好，而与矿渣水泥的反应活性不是很理想；在充填注浆时，对活性及强度要求不高，可用矿渣硅酸盐水泥、火山灰质硅酸盐水泥等，但效果不及普通硅酸盐水泥。</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8.2.7 为了达到不同的注浆规定，往往在水泥中加入外加剂和掺合料，这样不仅扩大了水泥注浆材料的应用范围，也提高了固结体的技术性能。</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 单重管工艺只喷水泥浆，桩径最小，桩径一般≤0.6m，一般用于松散稍密砂层中，水泥一般&lt;200kg/m,正常施工速度一般在20cm/min。</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双重管工艺喷射水泥浆和空气，桩径一般在0.6m～0.8m，一般用在中密砂层中，水泥一般&lt;300kg/m，正常施工速度一般在10～20cm/min。</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三重管工艺喷射水泥浆和空气及高压水，机理是用高压水去切割土体，然后由水泥浆在去充填切割后的土体，桩径一般1.0～1.2m，可以在圆砾层施工，水泥用量一般在400kg/m，正常施工速度一般在10～20cm/min。</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8.3.8 根据不同土层条件，在MJS标准施工参数下桩径如表</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8.3-1所示：</w:t>
      </w:r>
    </w:p>
    <w:p>
      <w:pPr>
        <w:pStyle w:val="49"/>
        <w:ind w:firstLine="480"/>
        <w:jc w:val="center"/>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表8.3-1 不同土层条件下MJS工艺桩径参数表</w:t>
      </w:r>
    </w:p>
    <w:tbl>
      <w:tblPr>
        <w:tblStyle w:val="22"/>
        <w:tblW w:w="0" w:type="auto"/>
        <w:jc w:val="center"/>
        <w:tblLayout w:type="autofit"/>
        <w:tblCellMar>
          <w:top w:w="0" w:type="dxa"/>
          <w:left w:w="10" w:type="dxa"/>
          <w:bottom w:w="0" w:type="dxa"/>
          <w:right w:w="10" w:type="dxa"/>
        </w:tblCellMar>
      </w:tblPr>
      <w:tblGrid>
        <w:gridCol w:w="1280"/>
        <w:gridCol w:w="920"/>
        <w:gridCol w:w="1235"/>
        <w:gridCol w:w="1025"/>
        <w:gridCol w:w="1025"/>
        <w:gridCol w:w="920"/>
        <w:gridCol w:w="1235"/>
        <w:gridCol w:w="1025"/>
      </w:tblGrid>
      <w:tr>
        <w:tblPrEx>
          <w:tblCellMar>
            <w:top w:w="0" w:type="dxa"/>
            <w:left w:w="10" w:type="dxa"/>
            <w:bottom w:w="0" w:type="dxa"/>
            <w:right w:w="10" w:type="dxa"/>
          </w:tblCellMar>
        </w:tblPrEx>
        <w:trPr>
          <w:trHeight w:val="652" w:hRule="exact"/>
          <w:jc w:val="center"/>
        </w:trPr>
        <w:tc>
          <w:tcPr>
            <w:tcW w:w="0" w:type="auto"/>
            <w:vMerge w:val="restart"/>
            <w:tcBorders>
              <w:top w:val="single" w:color="auto" w:sz="4" w:space="0"/>
              <w:left w:val="single" w:color="auto" w:sz="4" w:space="0"/>
            </w:tcBorders>
            <w:shd w:val="clear" w:color="auto" w:fill="FFFFFF"/>
            <w:vAlign w:val="center"/>
          </w:tcPr>
          <w:p>
            <w:pPr>
              <w:pStyle w:val="49"/>
              <w:ind w:firstLine="0" w:firstLineChars="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土质条件</w:t>
            </w:r>
          </w:p>
        </w:tc>
        <w:tc>
          <w:tcPr>
            <w:tcW w:w="0" w:type="auto"/>
            <w:gridSpan w:val="4"/>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 xml:space="preserve">砂土 </w:t>
            </w:r>
            <w:r>
              <w:rPr>
                <w:rFonts w:hint="eastAsia" w:ascii="宋体" w:hAnsi="宋体" w:eastAsia="宋体" w:cs="宋体"/>
                <w:i w:val="0"/>
                <w:color w:val="000000" w:themeColor="text1"/>
                <w:sz w:val="21"/>
                <w:szCs w:val="18"/>
                <w:lang w:eastAsia="en-US"/>
                <w14:textFill>
                  <w14:solidFill>
                    <w14:schemeClr w14:val="tx1"/>
                  </w14:solidFill>
                </w14:textFill>
              </w:rPr>
              <w:t>N</w:t>
            </w:r>
            <w:r>
              <w:rPr>
                <w:rFonts w:hint="eastAsia" w:ascii="宋体" w:hAnsi="宋体" w:eastAsia="宋体" w:cs="宋体"/>
                <w:i w:val="0"/>
                <w:color w:val="000000" w:themeColor="text1"/>
                <w:sz w:val="21"/>
                <w:szCs w:val="18"/>
                <w14:textFill>
                  <w14:solidFill>
                    <w14:schemeClr w14:val="tx1"/>
                  </w14:solidFill>
                </w14:textFill>
              </w:rPr>
              <w:t>(击)</w:t>
            </w:r>
          </w:p>
        </w:tc>
        <w:tc>
          <w:tcPr>
            <w:tcW w:w="0" w:type="auto"/>
            <w:gridSpan w:val="3"/>
            <w:tcBorders>
              <w:top w:val="single" w:color="auto" w:sz="4" w:space="0"/>
              <w:left w:val="single" w:color="auto" w:sz="4" w:space="0"/>
              <w:righ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 xml:space="preserve">黏性土 </w:t>
            </w:r>
            <w:r>
              <w:rPr>
                <w:rFonts w:hint="eastAsia" w:ascii="宋体" w:hAnsi="宋体" w:eastAsia="宋体" w:cs="宋体"/>
                <w:i w:val="0"/>
                <w:color w:val="000000" w:themeColor="text1"/>
                <w:sz w:val="21"/>
                <w:szCs w:val="18"/>
                <w:lang w:eastAsia="en-US"/>
                <w14:textFill>
                  <w14:solidFill>
                    <w14:schemeClr w14:val="tx1"/>
                  </w14:solidFill>
                </w14:textFill>
              </w:rPr>
              <w:t>c(kPa)</w:t>
            </w:r>
          </w:p>
        </w:tc>
      </w:tr>
      <w:tr>
        <w:tblPrEx>
          <w:tblCellMar>
            <w:top w:w="0" w:type="dxa"/>
            <w:left w:w="10" w:type="dxa"/>
            <w:bottom w:w="0" w:type="dxa"/>
            <w:right w:w="10" w:type="dxa"/>
          </w:tblCellMar>
        </w:tblPrEx>
        <w:trPr>
          <w:trHeight w:val="632" w:hRule="exact"/>
          <w:jc w:val="center"/>
        </w:trPr>
        <w:tc>
          <w:tcPr>
            <w:tcW w:w="0" w:type="auto"/>
            <w:vMerge w:val="continue"/>
            <w:tcBorders>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&lt;15</w:t>
            </w: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15 〜30</w:t>
            </w: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30-50</w:t>
            </w: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50-70</w:t>
            </w: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&lt;10</w:t>
            </w:r>
          </w:p>
        </w:tc>
        <w:tc>
          <w:tcPr>
            <w:tcW w:w="0" w:type="auto"/>
            <w:tcBorders>
              <w:top w:val="single" w:color="auto" w:sz="4" w:space="0"/>
              <w:lef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10 〜30</w:t>
            </w:r>
          </w:p>
        </w:tc>
        <w:tc>
          <w:tcPr>
            <w:tcW w:w="0" w:type="auto"/>
            <w:tcBorders>
              <w:top w:val="single" w:color="auto" w:sz="4" w:space="0"/>
              <w:left w:val="single" w:color="auto" w:sz="4" w:space="0"/>
              <w:righ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30-50</w:t>
            </w:r>
          </w:p>
        </w:tc>
      </w:tr>
      <w:tr>
        <w:tblPrEx>
          <w:tblCellMar>
            <w:top w:w="0" w:type="dxa"/>
            <w:left w:w="10" w:type="dxa"/>
            <w:bottom w:w="0" w:type="dxa"/>
            <w:right w:w="10" w:type="dxa"/>
          </w:tblCellMar>
        </w:tblPrEx>
        <w:trPr>
          <w:trHeight w:val="729" w:hRule="exact"/>
          <w:jc w:val="center"/>
        </w:trPr>
        <w:tc>
          <w:tcPr>
            <w:tcW w:w="0" w:type="auto"/>
            <w:tcBorders>
              <w:top w:val="single" w:color="auto" w:sz="4" w:space="0"/>
              <w:left w:val="single" w:color="auto" w:sz="4" w:space="0"/>
              <w:bottom w:val="single" w:color="auto" w:sz="4" w:space="0"/>
            </w:tcBorders>
            <w:shd w:val="clear" w:color="auto" w:fill="FFFFFF"/>
            <w:vAlign w:val="center"/>
          </w:tcPr>
          <w:p>
            <w:pPr>
              <w:pStyle w:val="49"/>
              <w:ind w:firstLine="0" w:firstLineChars="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14:textFill>
                  <w14:solidFill>
                    <w14:schemeClr w14:val="tx1"/>
                  </w14:solidFill>
                </w14:textFill>
              </w:rPr>
              <w:t>有效直径</w:t>
            </w:r>
            <w:r>
              <w:rPr>
                <w:rFonts w:hint="eastAsia" w:ascii="宋体" w:hAnsi="宋体" w:eastAsia="宋体" w:cs="宋体"/>
                <w:i w:val="0"/>
                <w:color w:val="000000" w:themeColor="text1"/>
                <w:sz w:val="21"/>
                <w:szCs w:val="18"/>
                <w:lang w:eastAsia="en-US"/>
                <w14:textFill>
                  <w14:solidFill>
                    <w14:schemeClr w14:val="tx1"/>
                  </w14:solidFill>
                </w14:textFill>
              </w:rPr>
              <w:t>(mm)</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2600</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2400</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2200</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2000</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2400</w:t>
            </w:r>
          </w:p>
        </w:tc>
        <w:tc>
          <w:tcPr>
            <w:tcW w:w="0" w:type="auto"/>
            <w:tcBorders>
              <w:top w:val="single" w:color="auto" w:sz="4" w:space="0"/>
              <w:left w:val="single" w:color="auto" w:sz="4" w:space="0"/>
              <w:bottom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2200</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pPr>
              <w:pStyle w:val="49"/>
              <w:ind w:firstLine="420"/>
              <w:jc w:val="center"/>
              <w:rPr>
                <w:rFonts w:hint="eastAsia" w:ascii="宋体" w:hAnsi="宋体" w:eastAsia="宋体" w:cs="宋体"/>
                <w:i w:val="0"/>
                <w:color w:val="000000" w:themeColor="text1"/>
                <w:sz w:val="21"/>
                <w:szCs w:val="18"/>
                <w14:textFill>
                  <w14:solidFill>
                    <w14:schemeClr w14:val="tx1"/>
                  </w14:solidFill>
                </w14:textFill>
              </w:rPr>
            </w:pPr>
            <w:r>
              <w:rPr>
                <w:rFonts w:hint="eastAsia" w:ascii="宋体" w:hAnsi="宋体" w:eastAsia="宋体" w:cs="宋体"/>
                <w:i w:val="0"/>
                <w:color w:val="000000" w:themeColor="text1"/>
                <w:sz w:val="21"/>
                <w:szCs w:val="18"/>
                <w:lang w:eastAsia="en-US"/>
                <w14:textFill>
                  <w14:solidFill>
                    <w14:schemeClr w14:val="tx1"/>
                  </w14:solidFill>
                </w14:textFill>
              </w:rPr>
              <w:t>2000</w:t>
            </w:r>
          </w:p>
        </w:tc>
      </w:tr>
    </w:tbl>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8.3.12 水平MJS加固，在采用全圆加固方式时，由于向上喷射气体回收困难，容易在加固体中形成气泡，无法形成有效的全圆加固体，所以通常采用向下180°的半圆加固，若要采用全圆加固，则不带气施工，但是成桩直径会减小。</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8.3.14 MJS工艺受设备限界限制，使用水平基座时，桩位中心距离底板不宜小于70cm，距离侧墙不宜小于90cm。</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8.3.15 浆液用量的计算方法有两种，即按高压喷射注浆工艺参数要求式1计算，按固结体的体积需用量式2计算。</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 式中的置换率K是通过工程实践经验定出的，一般取0.75~0.90，主要考虑了下面的因素:</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1）固结体的硬壳比实际有效直径大，不但外表不平滑、外周围有一些嵌入土体的不规则部分，而且黏性土硬壳外面有一个压缩部分，砂类土硬壳外面有一个渗透部分;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2)由于喷射压力的不稳定（有一个变化幅度)、可能使单根固结体的体积减少(由于离析的原因);</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3)由于喷射压应力作用、使土颗粒重新排列组合，土的数量减少（胀缩性)。</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 α是未喷射段孔内浆液与岩土碎屑的混合率。由于该段未进行喷射，主要是喷射段切割下的岩土碎屑与浆液混合后沿该段上返至孔口，浆液在该段的填充程度相应较低，目前常取0.5~0.75。</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 式中的损失系数β1和β2、其大小与土体性质、固结体尺寸、施工机具类型和操作技术等有关。一般黏性土较砂类土小，大尺寸固结体比小尺寸固结体小。机具状态良好和操作熟练程度都可以使损失系数减少．根据国内施工经验，β1值为0.03~0.1、β2值为0.1～0.2。</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 若遇到有漏浆现象或采用双液分喷法工艺，浆液量在计算的基础上增加10%~15%。α与β1和β2系数一样，它们的大小取值与土体性质、施工机具、施工技术参数、操作技术等有关。特别是土体性质和施工技术参数中的压力、旋转速度、提升速度、喷嘴直径，这些参数的不同组合对系数的取值有很大的影响。所以，系数的取大或取小应由施工单位根据具体工程情况凭工程经验选取。</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8.3.16 喷射注浆每延米水泥用量应与设计水泥用量相符，计算实例：</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加固土层为砂质土，N&lt;30,设计直径取2400mm。喷射角 度为360。时，每延米喷射施工时间40min/m,浆液流量901/min, 水胶比取1.0时，浆液比重1.51,每升水泥浆液中水泥含量 0. 755kg/L,每根钻管1.5m,搭接100mm时，损耗经验系数6取 1. 12,每延米设计水泥用量为：</w:t>
      </w:r>
    </w:p>
    <w:p>
      <w:pPr>
        <w:pStyle w:val="49"/>
        <w:ind w:firstLine="480"/>
        <w:rPr>
          <w:color w:val="auto"/>
        </w:rPr>
      </w:pPr>
      <w:r>
        <w:rPr>
          <w:color w:val="auto"/>
          <w:lang w:eastAsia="en-US"/>
        </w:rPr>
        <w:t xml:space="preserve">a </w:t>
      </w:r>
      <w:r>
        <w:rPr>
          <w:color w:val="auto"/>
          <w:lang w:val="zh-TW" w:eastAsia="zh-TW"/>
        </w:rPr>
        <w:t xml:space="preserve">=1 </w:t>
      </w:r>
      <w:r>
        <w:rPr>
          <w:color w:val="auto"/>
          <w:lang w:eastAsia="en-US"/>
        </w:rPr>
        <w:t>+d/L</w:t>
      </w:r>
    </w:p>
    <w:p>
      <w:pPr>
        <w:pStyle w:val="49"/>
        <w:ind w:firstLine="480"/>
        <w:rPr>
          <w:color w:val="auto"/>
        </w:rPr>
      </w:pPr>
      <w:r>
        <w:rPr>
          <w:color w:val="auto"/>
          <w:lang w:eastAsia="en-US"/>
        </w:rPr>
        <w:t>= 1+0. 1/1.5</w:t>
      </w:r>
    </w:p>
    <w:p>
      <w:pPr>
        <w:pStyle w:val="49"/>
        <w:ind w:firstLine="480"/>
        <w:rPr>
          <w:color w:val="auto"/>
        </w:rPr>
      </w:pPr>
      <w:r>
        <w:rPr>
          <w:rFonts w:hint="eastAsia"/>
          <w:color w:val="auto"/>
        </w:rPr>
        <w:t xml:space="preserve">  </w:t>
      </w:r>
      <w:r>
        <w:rPr>
          <w:color w:val="auto"/>
          <w:lang w:eastAsia="en-US"/>
        </w:rPr>
        <w:t>= 1.07</w:t>
      </w:r>
    </w:p>
    <w:p>
      <w:pPr>
        <w:pStyle w:val="49"/>
        <w:ind w:firstLine="480"/>
        <w:rPr>
          <w:color w:val="auto"/>
        </w:rPr>
      </w:pPr>
      <w:r>
        <w:rPr>
          <w:color w:val="auto"/>
          <w:lang w:eastAsia="en-US"/>
        </w:rPr>
        <w:t>m</w:t>
      </w:r>
      <w:r>
        <w:rPr>
          <w:color w:val="auto"/>
          <w:vertAlign w:val="subscript"/>
          <w:lang w:eastAsia="en-US"/>
        </w:rPr>
        <w:t>c</w:t>
      </w:r>
      <w:r>
        <w:rPr>
          <w:color w:val="auto"/>
          <w:lang w:eastAsia="en-US"/>
        </w:rPr>
        <w:t xml:space="preserve"> =a • </w:t>
      </w:r>
      <w:r>
        <w:rPr>
          <w:rFonts w:hint="eastAsia"/>
          <w:color w:val="auto"/>
        </w:rPr>
        <w:t>β</w:t>
      </w:r>
      <w:r>
        <w:rPr>
          <w:color w:val="auto"/>
          <w:lang w:eastAsia="en-US"/>
        </w:rPr>
        <w:t xml:space="preserve"> ・</w:t>
      </w:r>
      <w:r>
        <w:rPr>
          <w:rFonts w:hint="eastAsia"/>
          <w:color w:val="auto"/>
        </w:rPr>
        <w:t>m</w:t>
      </w:r>
      <w:r>
        <w:rPr>
          <w:rFonts w:hint="eastAsia"/>
          <w:color w:val="auto"/>
          <w:vertAlign w:val="subscript"/>
        </w:rPr>
        <w:t>1</w:t>
      </w:r>
      <w:r>
        <w:rPr>
          <w:color w:val="auto"/>
          <w:lang w:eastAsia="en-US"/>
        </w:rPr>
        <w:t>• Q • v</w:t>
      </w:r>
    </w:p>
    <w:p>
      <w:pPr>
        <w:pStyle w:val="49"/>
        <w:ind w:firstLine="480"/>
        <w:rPr>
          <w:color w:val="auto"/>
        </w:rPr>
      </w:pPr>
      <w:r>
        <w:rPr>
          <w:color w:val="auto"/>
          <w:lang w:eastAsia="en-US"/>
        </w:rPr>
        <w:t>=1. 07x1. 12x0. 755kg/Lx90L/minx40min/m</w:t>
      </w:r>
    </w:p>
    <w:p>
      <w:pPr>
        <w:pStyle w:val="49"/>
        <w:ind w:firstLine="480"/>
        <w:rPr>
          <w:color w:val="auto"/>
          <w:lang w:eastAsia="en-US"/>
        </w:rPr>
      </w:pPr>
      <w:r>
        <w:rPr>
          <w:color w:val="auto"/>
          <w:lang w:eastAsia="en-US"/>
        </w:rPr>
        <w:t>= 3257kg/m</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8.3.17 造孔过程中出现倾斜度超过设计允许偏差后将会形成斜孔，注浆管沿斜孔下入后．将导致高压喷射注浆过程中形成倾斜的固结体，严重影响固结体的竖向或水平承载力。</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8.4.1 条文说明：水泥土搅拌法是利用水泥等材料作为固化剂通过特制的搅拌机械，就地将软土和固化剂(浆液或粉体)强制搅拌，使软土硬结成具有整体性，水稳性和一定强度的水泥加固土，从而提高地基土强度和增大变形模量。根据固化剂掺入状态的不同，它可分为浆液搅拌和粉体喷射搅拌两种。前者是用浆液和地基土搅拌，后者是用粉体和地基土搅拌。</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水泥固化剂一般适用于正常固结的淤泥与淤泥质土、黏性土、粉土、素填土(包括冲填土)、饱和黄土、粉砂以及中粗砂，砂砾(当加固粗粒土时，应注意有无明显的流动地下水)等地基加固。对于硬塑、坚硬的黏性土，含孤石及大块建筑垃圾的土层，机械能力仍然受到限制，不能使用水泥土搅拌法。</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 xml:space="preserve">根据室内试验，一般认为用水泥作加固料，对含有高岭石、多水高岭石、蒙脱石等黏土矿物的软土加固效果较好;而对含有伊利石、氯化物和水铝石英等矿物的黏性土以及有机质含量高pH值较低的酸性土加固效果较差。当黏土的塑性指数Ip大于25时，容易在搅拌头叶片上形成泥团。无法完成水泥土的拌和。当地基土的天然含水量小于30%时，由于不能保证水泥充分水化，故不宜采用干法。 </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在我国北纬40°以南的冬季负温条件下，冰冻对水泥土的结构损害甚微。在负温时，由于水泥与黏土矿物的各种反应减弱，水泥土的强度增长缓慢(甚至停止);但正温后，随着水泥水化等反应的继续深人，水泥土的强度可接近标准养护强度。</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 xml:space="preserve"> 对于泥炭土、有机质含量大于5%或pH 值小于4的酸性土，如前述水泥在上述土层有可能不凝固或发生后期崩解。因此，必须进行现场和室内试验确定其适用性。</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采用水泥作为固化剂材料，在其他条件相同时，在同一土层中水泥掺人比不同时，水泥土强度将不同。由于块状加固对于水泥土的强度要求不高，因此为了节约水泥，降低成本，根据工程需要可选用 32.5 级水泥，7%~12%的水泥掺量。水泥掺人比大于10%时，水泥土强度可达 0.3MPa~2MPa 以上。一般水泥掺人比α</w:t>
      </w:r>
      <w:r>
        <w:rPr>
          <w:rFonts w:hint="eastAsia" w:ascii="Times New Roman" w:hAnsi="Times New Roman" w:cs="Times New Roman" w:eastAsiaTheme="minorEastAsia"/>
          <w:bCs/>
          <w:i w:val="0"/>
          <w:color w:val="000000" w:themeColor="text1"/>
          <w:kern w:val="2"/>
          <w:sz w:val="21"/>
          <w:szCs w:val="21"/>
          <w:lang w:val="en-US" w:eastAsia="zh-CN" w:bidi="ar-SA"/>
          <w14:textFill>
            <w14:solidFill>
              <w14:schemeClr w14:val="tx1"/>
            </w14:solidFill>
          </w14:textFill>
        </w:rPr>
        <w:t>w</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采用12%~20%，对于型钢水泥土搅拌桩(墙)，由于其水灰比较大(1.5~2.0)为保证水泥土的强度，应选用不低于42.5级的水泥，目掺量不少于 20%。水泥土的抗压强度随其相应的水泥掺人比的增加而增大，但因场地土质与施工条件的差异，掺人比的提高与水泥土增加的百分比是不完全一致的。水泥强度直接影响水泥土的强度，水泥强度等级提高10MPa，水泥土强度f约增大20%~30%。</w:t>
      </w:r>
    </w:p>
    <w:p>
      <w:pPr>
        <w:pStyle w:val="49"/>
        <w:ind w:firstLine="48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外掺剂对水泥土强度有着不同的影响。木质素磺酸钙对水泥土强度的增长影响不大，主要起减水作用;三乙醇胺、氯化钙、碳酸钠、水玻璃和石膏等材料对水泥土强度有增强作用，其效果对不同土质和不同水泥掺人比又有所不同。当掺人与水泥等量的粉煤灰后，水泥土强度可提高 10%左右。故在加固软土时掺人粉煤灰不仅可消耗工业废料，水泥土强度还可有所提高。</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8.4.2 条文说明：国产水泥土搅拌机的搅拌头大都采用双层(多层)十字杆形或叶片螺旋形。这类搅拌头切削和搅拌加固软土十分合适，但对块径大于 100mm的石块、树根和生活垃圾等大块物的切割能力较差，即使将搅拌头作了加强处理后已能穿过块石层，但施工效率较低，机械磨损严重。因此，施工时应予以挖除后再填素土为宜，增加的工程量不大，但施工效率却可大大提高。如遇有明浜、池塘及洼地时应抽水和清淤，回填土料并予以压实，不得回填生活垃圾。</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搅拌桩施工时，搅拌次数越多，则拌和越为均匀，水泥土强度也越高，但施工效率就降低。试验证明，当加固范围内土体任一点的水泥土每遍经过20次的拌合，其强度即可达到较高值。每遍搅拌次数 N由下式计算:</w:t>
      </w:r>
    </w:p>
    <w:p>
      <w:pPr>
        <w:pStyle w:val="20"/>
        <w:spacing w:line="360" w:lineRule="auto"/>
        <w:ind w:firstLine="480" w:firstLineChars="200"/>
        <w:jc w:val="center"/>
        <w:rPr>
          <w:rFonts w:ascii="宋体" w:hAnsi="宋体" w:cs="宋体"/>
          <w:i/>
          <w:iCs/>
          <w:color w:val="FF0000"/>
        </w:rPr>
      </w:pPr>
      <w:r>
        <w:rPr>
          <w:rFonts w:hint="eastAsia" w:ascii="宋体" w:hAnsi="宋体" w:cs="宋体"/>
          <w:i/>
          <w:iCs/>
          <w:color w:val="auto"/>
          <w:position w:val="-24"/>
        </w:rPr>
        <w:object>
          <v:shape id="_x0000_i1304" o:spt="75" type="#_x0000_t75" style="height:31.2pt;width:88.2pt;" o:ole="t" filled="f" o:preferrelative="t" stroked="f" coordsize="21600,21600">
            <v:path/>
            <v:fill on="f" focussize="0,0"/>
            <v:stroke on="f" joinstyle="miter"/>
            <v:imagedata r:id="rId589" o:title=""/>
            <o:lock v:ext="edit" aspectratio="t"/>
            <w10:wrap type="none"/>
            <w10:anchorlock/>
          </v:shape>
          <o:OLEObject Type="Embed" ProgID="Equation.3" ShapeID="_x0000_i1304" DrawAspect="Content" ObjectID="_1468076004" r:id="rId588">
            <o:LockedField>false</o:LockedField>
          </o:OLEObject>
        </w:objec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式中:h--搅拌叶片的宽度</w:t>
      </w:r>
      <w:r>
        <w:rPr>
          <w:rFonts w:hint="eastAsia" w:ascii="楷体" w:hAnsi="楷体" w:eastAsia="楷体"/>
          <w:i w:val="0"/>
          <w:color w:val="000000" w:themeColor="text1"/>
          <w14:textFill>
            <w14:solidFill>
              <w14:schemeClr w14:val="tx1"/>
            </w14:solidFill>
          </w14:textFill>
        </w:rPr>
        <w:t>(m);</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β--</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搅拌叶片与搅拌轴的垂直夹角</w:t>
      </w:r>
      <w:r>
        <w:rPr>
          <w:rFonts w:hint="eastAsia" w:ascii="楷体" w:hAnsi="楷体" w:eastAsia="楷体"/>
          <w:i w:val="0"/>
          <w:color w:val="000000" w:themeColor="text1"/>
          <w14:textFill>
            <w14:solidFill>
              <w14:schemeClr w14:val="tx1"/>
            </w14:solidFill>
          </w14:textFill>
        </w:rPr>
        <w:t>(°);</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∑Z--</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搅拌叶片的总枚数;</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n--</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搅拌头的回转数</w:t>
      </w:r>
      <w:r>
        <w:rPr>
          <w:rFonts w:hint="eastAsia" w:ascii="楷体" w:hAnsi="楷体" w:eastAsia="楷体"/>
          <w:i w:val="0"/>
          <w:color w:val="000000" w:themeColor="text1"/>
          <w14:textFill>
            <w14:solidFill>
              <w14:schemeClr w14:val="tx1"/>
            </w14:solidFill>
          </w14:textFill>
        </w:rPr>
        <w:t xml:space="preserve">(rev/min); </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V--</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搅拌头的提升速度</w:t>
      </w:r>
      <w:r>
        <w:rPr>
          <w:rFonts w:hint="eastAsia" w:ascii="楷体" w:hAnsi="楷体" w:eastAsia="楷体"/>
          <w:i w:val="0"/>
          <w:color w:val="000000" w:themeColor="text1"/>
          <w14:textFill>
            <w14:solidFill>
              <w14:schemeClr w14:val="tx1"/>
            </w14:solidFill>
          </w14:textFill>
        </w:rPr>
        <w:t>(m/min)。</w: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根据实际施工经验，搅拌法在施工到顶端0.3m~0.5m范围时，因上覆土压力较小，搅拌质量较差。因此，其场地整平标高应比设计确定的桩顶标高再高出0.3m~0.5m，桩制作时仍施工到地面。待开挖基坑时，再将上部 0.3m~0.5m的桩身质量较差的桩段挖去。根据现场实践表明，当搅拌桩作为承重桩进行基坑开挖时，拼身水泥土已有一定的强度，若用机械开挖基坑，往往容易碰撞损坏桩顶，因此基底标高以上 0.3m 宜采用人工开挖，以保护桩头质量。</w:t>
      </w:r>
    </w:p>
    <w:p>
      <w:pPr>
        <w:pStyle w:val="49"/>
        <w:ind w:firstLine="48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水泥土搅拌桩施工前应进行工艺性试成桩，提供提钻速度、喷灰(浆)量等参数，验证搅拌均匀程度及成桩首径，同时了解下钻及提升的阻力情况、工作效率等。</w:t>
      </w:r>
    </w:p>
    <w:p>
      <w:pPr>
        <w:pStyle w:val="49"/>
        <w:ind w:firstLine="48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湿法施工应注意以下事项。</w:t>
      </w:r>
    </w:p>
    <w:p>
      <w:pPr>
        <w:pStyle w:val="49"/>
        <w:numPr>
          <w:ilvl w:val="0"/>
          <w:numId w:val="0"/>
        </w:numP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1）</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每个水泥土搅拌桩的施工现场，由于土质有差异、水泥的品种和标号不同，因而搅拌加固质量有较大的差别。所以在正式搅拌桩施工前，均应按施工组织设计确定的搅拌施工工艺制作数根试桩，再最后确定水泥浆的水灰比、泵送时间、搅拌机提升速度和复搅深度等参数。制桩质量的优劣直接关系到地基处理的效果。其中的关键是注浆量、水泥浆与软土搅拌的均匀程度。因此，施工中应严格控制喷浆提升速度V，可按下式计算:</w:t>
      </w:r>
    </w:p>
    <w:p>
      <w:pPr>
        <w:pStyle w:val="20"/>
        <w:spacing w:line="360" w:lineRule="auto"/>
        <w:ind w:firstLine="480" w:firstLineChars="200"/>
        <w:jc w:val="center"/>
        <w:rPr>
          <w:rFonts w:ascii="宋体" w:hAnsi="宋体" w:cs="宋体"/>
          <w:i/>
          <w:iCs/>
          <w:color w:val="FF0000"/>
        </w:rPr>
      </w:pPr>
      <w:r>
        <w:rPr>
          <w:rFonts w:hint="eastAsia" w:ascii="宋体" w:hAnsi="宋体" w:cs="宋体"/>
          <w:i/>
          <w:iCs/>
          <w:color w:val="FF0000"/>
          <w:position w:val="-30"/>
        </w:rPr>
        <w:object>
          <v:shape id="_x0000_i1305" o:spt="75" type="#_x0000_t75" style="height:34.2pt;width:91.2pt;" o:ole="t" filled="f" o:preferrelative="t" stroked="f" coordsize="21600,21600">
            <v:path/>
            <v:fill on="f" focussize="0,0"/>
            <v:stroke on="f"/>
            <v:imagedata r:id="rId591" o:title=""/>
            <o:lock v:ext="edit" aspectratio="t"/>
            <w10:wrap type="none"/>
            <w10:anchorlock/>
          </v:shape>
          <o:OLEObject Type="Embed" ProgID="Equation.3" ShapeID="_x0000_i1305" DrawAspect="Content" ObjectID="_1468076005" r:id="rId590">
            <o:LockedField>false</o:LockedField>
          </o:OLEObject>
        </w:object>
      </w:r>
    </w:p>
    <w:p>
      <w:pPr>
        <w:pStyle w:val="49"/>
        <w:ind w:firstLine="480"/>
        <w:rPr>
          <w:rFonts w:ascii="楷体" w:hAnsi="楷体" w:eastAsia="楷体"/>
          <w:i w:val="0"/>
          <w:color w:val="000000" w:themeColor="text1"/>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式中</w:t>
      </w:r>
      <w:r>
        <w:rPr>
          <w:rFonts w:hint="eastAsia" w:ascii="楷体" w:hAnsi="楷体" w:eastAsia="楷体"/>
          <w:i w:val="0"/>
          <w:color w:val="000000" w:themeColor="text1"/>
          <w14:textFill>
            <w14:solidFill>
              <w14:schemeClr w14:val="tx1"/>
            </w14:solidFill>
          </w14:textFill>
        </w:rPr>
        <w:t>:V-一</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搅拌头喷浆提升速度</w:t>
      </w:r>
      <w:r>
        <w:rPr>
          <w:rFonts w:hint="eastAsia" w:ascii="楷体" w:hAnsi="楷体" w:eastAsia="楷体"/>
          <w:i w:val="0"/>
          <w:color w:val="000000" w:themeColor="text1"/>
          <w14:textFill>
            <w14:solidFill>
              <w14:schemeClr w14:val="tx1"/>
            </w14:solidFill>
          </w14:textFill>
        </w:rPr>
        <w:t>(m/min):</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γ</w:t>
      </w:r>
      <w:r>
        <w:rPr>
          <w:rFonts w:hint="eastAsia" w:ascii="楷体" w:hAnsi="楷体" w:eastAsia="楷体"/>
          <w:i w:val="0"/>
          <w:color w:val="000000" w:themeColor="text1"/>
          <w:vertAlign w:val="subscript"/>
          <w14:textFill>
            <w14:solidFill>
              <w14:schemeClr w14:val="tx1"/>
            </w14:solidFill>
          </w14:textFill>
        </w:rPr>
        <w:t>d</w:t>
      </w:r>
      <w:r>
        <w:rPr>
          <w:rFonts w:hint="eastAsia" w:ascii="楷体" w:hAnsi="楷体" w:eastAsia="楷体"/>
          <w:i w:val="0"/>
          <w:color w:val="000000" w:themeColor="text1"/>
          <w14:textFill>
            <w14:solidFill>
              <w14:schemeClr w14:val="tx1"/>
            </w14:solidFill>
          </w14:textFill>
        </w:rPr>
        <w:t>、γ--</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分别为水泥浆和土的重度</w:t>
      </w:r>
      <w:r>
        <w:rPr>
          <w:rFonts w:hint="eastAsia" w:ascii="楷体" w:hAnsi="楷体" w:eastAsia="楷体"/>
          <w:i w:val="0"/>
          <w:color w:val="000000" w:themeColor="text1"/>
          <w14:textFill>
            <w14:solidFill>
              <w14:schemeClr w14:val="tx1"/>
            </w14:solidFill>
          </w14:textFill>
        </w:rPr>
        <w:t>(kN/m3)</w:t>
      </w:r>
    </w:p>
    <w:p>
      <w:pPr>
        <w:pStyle w:val="49"/>
        <w:ind w:firstLine="480"/>
        <w:rPr>
          <w:rFonts w:ascii="楷体" w:hAnsi="楷体" w:eastAsia="楷体"/>
          <w:i w:val="0"/>
          <w:color w:val="000000" w:themeColor="text1"/>
          <w14:textFill>
            <w14:solidFill>
              <w14:schemeClr w14:val="tx1"/>
            </w14:solidFill>
          </w14:textFill>
        </w:rPr>
      </w:pPr>
      <w:r>
        <w:drawing>
          <wp:inline distT="0" distB="0" distL="114300" distR="114300">
            <wp:extent cx="142875" cy="200025"/>
            <wp:effectExtent l="0" t="0" r="9525" b="1333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592"/>
                    <a:stretch>
                      <a:fillRect/>
                    </a:stretch>
                  </pic:blipFill>
                  <pic:spPr>
                    <a:xfrm>
                      <a:off x="0" y="0"/>
                      <a:ext cx="142875" cy="200025"/>
                    </a:xfrm>
                    <a:prstGeom prst="rect">
                      <a:avLst/>
                    </a:prstGeom>
                    <a:noFill/>
                    <a:ln>
                      <a:noFill/>
                    </a:ln>
                  </pic:spPr>
                </pic:pic>
              </a:graphicData>
            </a:graphic>
          </wp:inline>
        </w:drawing>
      </w:r>
      <w:r>
        <w:rPr>
          <w:rFonts w:hint="eastAsia" w:ascii="楷体" w:hAnsi="楷体" w:eastAsia="楷体"/>
          <w:i w:val="0"/>
          <w:color w:val="000000" w:themeColor="text1"/>
          <w14:textFill>
            <w14:solidFill>
              <w14:schemeClr w14:val="tx1"/>
            </w14:solidFill>
          </w14:textFill>
        </w:rPr>
        <w:t>--</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灰浆泵的排量</w:t>
      </w:r>
      <w:r>
        <w:rPr>
          <w:rFonts w:hint="eastAsia" w:ascii="楷体" w:hAnsi="楷体" w:eastAsia="楷体"/>
          <w:i w:val="0"/>
          <w:color w:val="000000" w:themeColor="text1"/>
          <w14:textFill>
            <w14:solidFill>
              <w14:schemeClr w14:val="tx1"/>
            </w14:solidFill>
          </w14:textFill>
        </w:rPr>
        <w:t>(m3/min);</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a</w:t>
      </w:r>
      <w:r>
        <w:rPr>
          <w:rFonts w:hint="eastAsia" w:ascii="楷体" w:hAnsi="楷体" w:eastAsia="楷体"/>
          <w:i w:val="0"/>
          <w:color w:val="000000" w:themeColor="text1"/>
          <w:vertAlign w:val="subscript"/>
          <w14:textFill>
            <w14:solidFill>
              <w14:schemeClr w14:val="tx1"/>
            </w14:solidFill>
          </w14:textFill>
        </w:rPr>
        <w:t>w</w:t>
      </w:r>
      <w:r>
        <w:rPr>
          <w:rFonts w:hint="eastAsia" w:ascii="楷体" w:hAnsi="楷体" w:eastAsia="楷体"/>
          <w:i w:val="0"/>
          <w:color w:val="000000" w:themeColor="text1"/>
          <w14:textFill>
            <w14:solidFill>
              <w14:schemeClr w14:val="tx1"/>
            </w14:solidFill>
          </w14:textFill>
        </w:rPr>
        <w:t>--</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 xml:space="preserve">水泥掺入比; </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a</w:t>
      </w:r>
      <w:r>
        <w:rPr>
          <w:rFonts w:hint="eastAsia" w:ascii="楷体" w:hAnsi="楷体" w:eastAsia="楷体"/>
          <w:i w:val="0"/>
          <w:color w:val="000000" w:themeColor="text1"/>
          <w:vertAlign w:val="subscript"/>
          <w14:textFill>
            <w14:solidFill>
              <w14:schemeClr w14:val="tx1"/>
            </w14:solidFill>
          </w14:textFill>
        </w:rPr>
        <w:t>c</w:t>
      </w:r>
      <w:r>
        <w:rPr>
          <w:rFonts w:hint="eastAsia" w:ascii="楷体" w:hAnsi="楷体" w:eastAsia="楷体"/>
          <w:i w:val="0"/>
          <w:color w:val="000000" w:themeColor="text1"/>
          <w14:textFill>
            <w14:solidFill>
              <w14:schemeClr w14:val="tx1"/>
            </w14:solidFill>
          </w14:textFill>
        </w:rPr>
        <w:t>--</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水泥浆水灰比;</w:t>
      </w:r>
    </w:p>
    <w:p>
      <w:pPr>
        <w:pStyle w:val="49"/>
        <w:ind w:firstLine="480"/>
        <w:rPr>
          <w:rFonts w:ascii="楷体" w:hAnsi="楷体" w:eastAsia="楷体"/>
          <w:i w:val="0"/>
          <w:color w:val="000000" w:themeColor="text1"/>
          <w14:textFill>
            <w14:solidFill>
              <w14:schemeClr w14:val="tx1"/>
            </w14:solidFill>
          </w14:textFill>
        </w:rPr>
      </w:pPr>
      <w:r>
        <w:rPr>
          <w:rFonts w:hint="eastAsia" w:ascii="楷体" w:hAnsi="楷体" w:eastAsia="楷体"/>
          <w:i w:val="0"/>
          <w:color w:val="000000" w:themeColor="text1"/>
          <w14:textFill>
            <w14:solidFill>
              <w14:schemeClr w14:val="tx1"/>
            </w14:solidFill>
          </w14:textFill>
        </w:rPr>
        <w:t>F--</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搅拌桩截面积</w:t>
      </w:r>
      <w:r>
        <w:rPr>
          <w:rFonts w:hint="eastAsia" w:ascii="楷体" w:hAnsi="楷体" w:eastAsia="楷体"/>
          <w:i w:val="0"/>
          <w:color w:val="000000" w:themeColor="text1"/>
          <w14:textFill>
            <w14:solidFill>
              <w14:schemeClr w14:val="tx1"/>
            </w14:solidFill>
          </w14:textFill>
        </w:rPr>
        <w:t>(m²)。</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2)</w:t>
      </w: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由于搅拌机械通常采用定量泵输送水泥浆，转速大多又是恒定的，因此灌人地基中的水泥量完全取决于搅拌机的提升速度和复搅次数，施工过程中不能随意变更，并应保证水泥浆能定量不间断供应。采用自动记录是为了降低人为干扰施工质量，目前市售的记录仪必须有国家计量部门的认证。严禁采用由施工单位自制的记录仪。</w:t>
      </w:r>
    </w:p>
    <w:p>
      <w:pPr>
        <w:pStyle w:val="49"/>
        <w:ind w:firstLine="48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由于固化剂从灰浆泵到达搅拌机出浆口需通过较长的输浆管，必须考虑水泥浆到达桩端的泵送时间。一般可通过试打桩确定其输送时间。</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3)</w:t>
      </w: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凡成桩过程中，由于电压过低或其他原因造成停机使成桩工艺中断时，应将搅拌机下沉至停浆点以下0.5m，等恢复供浆时再喷浆提升继续制桩;凡中途停止输浆 3h 以上者，将会使水泥浆在整个输浆管路中凝固，因此必须排清全部水泥浆，清洗管路。</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4)</w:t>
      </w: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壁状或块状加固宜采用湿法，水泥土的终凝时间约为24h，所以需要相邻单桩搭接施工的时间间隔不宜超过12h。</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5)</w:t>
      </w: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搅拌机预搅下沉时不宜冲水，当遇到硬土层下沉太慢时，方可适量冲水，但应考虑冲水对桩身强度的影响。</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6)</w:t>
      </w: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壁状加固时，相邻桩的施工时间间隔不官超过 12h。如间隔时间太长，与相邻桩无法搭接时，应采取局部补桩或注浆等补强措施。</w:t>
      </w:r>
    </w:p>
    <w:p>
      <w:pPr>
        <w:pStyle w:val="49"/>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干法施工应注意以下事项:</w:t>
      </w:r>
    </w:p>
    <w:p>
      <w:pPr>
        <w:pStyle w:val="49"/>
        <w:numPr>
          <w:ilvl w:val="0"/>
          <w:numId w:val="18"/>
        </w:numPr>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每个场地开工前的成桩工艺试验必不可少，由于制桩喷灰量与土性、孔深、气流量等多种因素有关，故应根据设计要求逐步调试，确定施工有关参数(如土层的可钻性、提升速度等)，以便正式施工时能顺利进行。施工经验表明送粉管路长度超过 60m后，送粉阻力明显增大，送粉量也不易稳定。</w:t>
      </w:r>
    </w:p>
    <w:p>
      <w:pPr>
        <w:pStyle w:val="49"/>
        <w:numPr>
          <w:ilvl w:val="0"/>
          <w:numId w:val="18"/>
        </w:numPr>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由于干法喷粉搅拌不易严格控制，所以要认真操作粉体自动计量装置，严格控制固化剂的喷人量，满足设计要求。</w:t>
      </w:r>
    </w:p>
    <w:p>
      <w:pPr>
        <w:pStyle w:val="49"/>
        <w:numPr>
          <w:ilvl w:val="0"/>
          <w:numId w:val="18"/>
        </w:numPr>
        <w:ind w:left="0" w:leftChars="0" w:firstLine="0" w:firstLineChars="0"/>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合格的粉喷桩机一般均已考虑提升速度与搅拌头转速的匹配，钻头均约每搅拌一圈提升 15mm，从而保证成桩搅拌的均匀性。</w:t>
      </w:r>
    </w:p>
    <w:p>
      <w:pPr>
        <w:pStyle w:val="49"/>
        <w:numPr>
          <w:ilvl w:val="0"/>
          <w:numId w:val="0"/>
        </w:numPr>
        <w:rPr>
          <w:rFonts w:ascii="楷体" w:hAnsi="楷体" w:eastAsia="楷体"/>
          <w:i w:val="0"/>
          <w:color w:val="000000" w:themeColor="text1"/>
          <w14:textFill>
            <w14:solidFill>
              <w14:schemeClr w14:val="tx1"/>
            </w14:solidFill>
          </w14:textFill>
        </w:rPr>
      </w:pP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4）</w:t>
      </w:r>
      <w:r>
        <w:rPr>
          <w:rFonts w:hint="eastAsia" w:ascii="Times New Roman" w:hAnsi="Times New Roman" w:cs="Times New Roman" w:eastAsiaTheme="minorEastAsia"/>
          <w:bCs/>
          <w:i w:val="0"/>
          <w:color w:val="000000" w:themeColor="text1"/>
          <w:kern w:val="2"/>
          <w:sz w:val="28"/>
          <w:szCs w:val="28"/>
          <w:lang w:val="en-US" w:eastAsia="zh-CN" w:bidi="ar-SA"/>
          <w14:textFill>
            <w14:solidFill>
              <w14:schemeClr w14:val="tx1"/>
            </w14:solidFill>
          </w14:textFill>
        </w:rPr>
        <w:t>每次搅拌时，桩体将出现极薄软弱结构面，这对承受水平剪力是不利的。一般可通过复搅的方法来提高桩体的均匀性，消除软弱结构面，提高桩体抗剪强</w:t>
      </w:r>
      <w:r>
        <w:rPr>
          <w:rFonts w:hint="eastAsia" w:ascii="楷体" w:hAnsi="楷体" w:eastAsia="楷体"/>
          <w:i w:val="0"/>
          <w:color w:val="000000" w:themeColor="text1"/>
          <w14:textFill>
            <w14:solidFill>
              <w14:schemeClr w14:val="tx1"/>
            </w14:solidFill>
          </w14:textFill>
        </w:rPr>
        <w:t>度。</w:t>
      </w:r>
    </w:p>
    <w:p>
      <w:pPr>
        <w:pStyle w:val="49"/>
        <w:numPr>
          <w:ilvl w:val="0"/>
          <w:numId w:val="0"/>
        </w:numPr>
        <w:rPr>
          <w:rFonts w:hint="eastAsia"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5) 定时检查成桩直径及搅拌的均匀程度。粉喷桩桩长大于10m时，其底部喷粉阻力较大，应适当减慢钻机提升速度，以确保固化剂的设计喷人量。</w:t>
      </w:r>
    </w:p>
    <w:p>
      <w:pPr>
        <w:pStyle w:val="49"/>
        <w:numPr>
          <w:ilvl w:val="0"/>
          <w:numId w:val="0"/>
        </w:numPr>
        <w:rPr>
          <w:rFonts w:hint="eastAsia" w:cs="Times New Roman" w:eastAsiaTheme="minorEastAsia"/>
          <w:bCs/>
          <w:i w:val="0"/>
          <w:color w:val="000000" w:themeColor="text1"/>
          <w:kern w:val="2"/>
          <w:sz w:val="28"/>
          <w:szCs w:val="28"/>
          <w:lang w:val="en-US" w:eastAsia="zh-CN" w:bidi="ar-SA"/>
          <w14:textFill>
            <w14:solidFill>
              <w14:schemeClr w14:val="tx1"/>
            </w14:solidFill>
          </w14:textFill>
        </w:rPr>
      </w:pPr>
      <w:r>
        <w:rPr>
          <w:rFonts w:hint="eastAsia" w:cs="Times New Roman" w:eastAsiaTheme="minorEastAsia"/>
          <w:bCs/>
          <w:i w:val="0"/>
          <w:color w:val="000000" w:themeColor="text1"/>
          <w:kern w:val="2"/>
          <w:sz w:val="28"/>
          <w:szCs w:val="28"/>
          <w:lang w:val="en-US" w:eastAsia="zh-CN" w:bidi="ar-SA"/>
          <w14:textFill>
            <w14:solidFill>
              <w14:schemeClr w14:val="tx1"/>
            </w14:solidFill>
          </w14:textFill>
        </w:rPr>
        <w:t>6) 固化剂从料罐到喷灰口有一定的时间延迟，严禁在没有喷粉的情况进行钻机提升作业。</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8.4.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3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国内的水泥土搅拌桩大多采用国产的轻型机械施工，这些机械的质量控制装置较为简陋，施工质量的保证很大程度上取决于机组人员的素质和责任心。因此，加强全过程的施工监理，严格检查施工记录和计量记录是控制施工质量的重要手段，检查重点为水泥用量、桩长、搅拌头转数和提升速度、复搅次数和复搅深度、停浆处理方法等。</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水泥土搅拌桩复合地基承载力的检验应进行单桩或多桩复合地基静载荷试验和单桩静载荷试验。检测分两个阶段，第一阶段为施工前为设计提供依据的承载力检测，试验数量每单项工程不少于3根，如单项工程中地质情况不均匀，应加大试验数量。第二阶段为施工完成后的验收检验，数量为总桩数的1%，每单项工程不少于3根。上述两个阶段的检验均不可少，应严格执行。</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对重要的、变形要求严格的工程或经触探和静载荷试验检验后对桩身质量有怀疑时，应在成桩 28d 后，采用双管单动取样器钻取芯样作水泥土抗压强度检验。水泥搅拌桩的桩身质量检验目前尚无成熟的方法，特别是对常用的直径500mm干法桩遇到的困难更大，采用钻芯法检测时应采用双管单动取样器，避免过大扰动芯样使检验失真。当钻芯困难时，可采用单桩竖向抗压静载荷试验的方法检测桩身质量，加载量宜为(2.5~3.0)倍单桩承载力特征值，卸载后挖开桩头，检查桩头是否破坏。</w:t>
      </w:r>
    </w:p>
    <w:p>
      <w:p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br w:type="page"/>
      </w:r>
    </w:p>
    <w:p>
      <w:pPr>
        <w:pStyle w:val="2"/>
        <w:numPr>
          <w:ilvl w:val="0"/>
          <w:numId w:val="0"/>
        </w:numPr>
        <w:jc w:val="cente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bookmarkStart w:id="162" w:name="_Toc10177"/>
      <w:bookmarkStart w:id="163" w:name="_Toc18050"/>
      <w:r>
        <w:rPr>
          <w:rFonts w:hint="eastAsia"/>
          <w:lang w:val="en-US" w:eastAsia="zh-CN"/>
        </w:rPr>
        <w:t>9</w:t>
      </w:r>
      <w:r>
        <w:rPr>
          <w:rFonts w:hint="eastAsia"/>
        </w:rPr>
        <w:t>基坑地下水</w:t>
      </w:r>
      <w:r>
        <w:t>控制</w:t>
      </w:r>
      <w:bookmarkEnd w:id="162"/>
      <w:bookmarkEnd w:id="163"/>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9.1.1 地下水控制方法包括:截水、降水、集水明排，地下水回灌不作为独立的地下水控制方法，但可作为一种补充措施与其他方法一同使用。仅从支护结构安全性、经济性的角度，降水可消除水压力从而降低作用在支护结构上的荷载，减少地下水渗透破坏的风险，降低支护结构施工难度等。但降水后，随之带来对周边环境的影响问题。在有些地质条件下，降水会造成基坑周边建筑物、市政设施等的沉降而影响其正常使用甚至损坏。降水引起的基坑周边建筑物、市政设施等沉降、开裂、不能正常使用的工程事故时有发生。另外，有些城市地下水资源紧缺，降水造成地下水大量流失、浪费，从环境保护的角度，在这些地方采用基坑降水不利于城市的综合发展。为此，有的城市的地方政府已实施限制基坑降水的地方行政法规。</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根据具体工程的特点，基坑工程可采用单一地下水控制方法，也可采用多种地下水控制方法相结合的形式。如悬挂式截水帷幕＋坑内降水，基坑周边控制降深的降水＋截水帷幕，截水或降水＋回灌，部分基坑边截水＋部分基坑边降水等。一般情况，降水或截水都要结合集水明排。</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9.1.2~9.1.4</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采用哪种地下水控制的方式是基坑周边环境条件的客观要求，基坑支护设计时应首先确定地下水控制方法，然后再根据选定的地下水控制方法，选择支护结构形式。地下水控制应符合国家和地方法规对地下水资源、区域环境的保护要求，符合基坑周边建筑物、市政设施保护的要求。当降水不会对基坑周边环境造成损害且国家和地方法规允许时，可优先考虑采用降水，否则应采用基坑截水。采用截水时，对支护结构的要求更高，增加排桩、地下连续墙、锚杆等的受力，需采取防止土的流砂、管涌、渗透破坏的措施。当坑底以下有承压水时，还要考虑坑底突涌问题。</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9.2.1 水泥土搅拌桩、高压喷射注浆常用普通硅酸盐水泥,也可采用矿渣硅酸盐水泥、火山灰质硅酸盐水泥。需要注意的是，当地下水流速高时,需在水泥浆液中掺入适量的外加剂，如氯化钙、水玻璃、三乙醇胺或氯化钠等。由于不同地区，即使土的基本性状相同，但成分也会有所差异，对水泥的固结性产生不同影响。因此，当缺少实际经验时，水泥掺量和外加剂品种及掺量应通过试验确定。</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9.2.2 落底式截水帷幕进入下卧隔水层一定长度，是为了满足地下水绕过帷幕底部的渗透稳定性要求。公式(9.2.2）是验算帷幕进入隔水层的长度能否满足渗透稳定性的经验公式。隔水层是相对的，相对所隔含水层而言其渗透系数较小。在有水头差时，隔水层内也会有水的渗流，也应满足渗流和渗透稳定性要求。</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9.2.5、9.2.9</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搅拌桩、旋喷桩帷幕一般采用单排或双排布置形式(说明图9.2.5-1)，理论上,单排搅拌桩、旋喷桩帷幕只要桩体能够相互搭接、桩体连续、渗透系数小于10—6 cm/s是可以起到截水效果的,但受施工偏差制约,很难达到理想的搭接宽度要求。假设桩长15m，设计搭接200mm，当位置偏差为50mm、垂直度偏差为1%时，则帷幕底部在平面上会偏差200mm。此时，实际上桩之间就不能形成有效搭接。如桩的设计搭接过大，则桩的间距减小、桩的有效部分过少，造成浪费和增加工期。所以帷幕超过15m时,单排桩难免出现搭接不上的情况。说明图9.2.5-1中的双排桩帷幕形式可以克服施工偏差的搭接不足，对较深基坑双排桩帷幕比单排桩帷幕的截水效果要好得多。</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摆喷帷幕―般采用说明图9.2.5-2所示的平面布置形式。由于射流范围集中，摆喷注浆的喷射长度比旋喷注浆的喷射长度大，喷射范围内固结体的均匀性也更好。实际工程中高压喷射注浆帷幕采用单排布置时常采用摆喷形式。</w:t>
      </w:r>
    </w:p>
    <w:p>
      <w:pPr>
        <w:ind w:firstLine="480"/>
        <w:jc w:val="center"/>
      </w:pPr>
      <w:r>
        <w:drawing>
          <wp:inline distT="0" distB="0" distL="0" distR="0">
            <wp:extent cx="1350010" cy="829310"/>
            <wp:effectExtent l="0" t="0" r="635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3"/>
                    <a:srcRect l="20119" r="4733"/>
                    <a:stretch>
                      <a:fillRect/>
                    </a:stretch>
                  </pic:blipFill>
                  <pic:spPr>
                    <a:xfrm>
                      <a:off x="0" y="0"/>
                      <a:ext cx="1352662" cy="830769"/>
                    </a:xfrm>
                    <a:prstGeom prst="rect">
                      <a:avLst/>
                    </a:prstGeom>
                    <a:ln>
                      <a:noFill/>
                    </a:ln>
                  </pic:spPr>
                </pic:pic>
              </a:graphicData>
            </a:graphic>
          </wp:inline>
        </w:drawing>
      </w:r>
      <w:r>
        <w:rPr>
          <w:rFonts w:hint="eastAsia"/>
        </w:rPr>
        <w:t xml:space="preserve">         </w:t>
      </w:r>
      <w:r>
        <w:drawing>
          <wp:inline distT="0" distB="0" distL="0" distR="0">
            <wp:extent cx="1594485" cy="1009650"/>
            <wp:effectExtent l="0" t="0" r="571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94"/>
                    <a:srcRect l="7101" r="4142"/>
                    <a:stretch>
                      <a:fillRect/>
                    </a:stretch>
                  </pic:blipFill>
                  <pic:spPr>
                    <a:xfrm>
                      <a:off x="0" y="0"/>
                      <a:ext cx="1597634" cy="1011835"/>
                    </a:xfrm>
                    <a:prstGeom prst="rect">
                      <a:avLst/>
                    </a:prstGeom>
                    <a:ln>
                      <a:noFill/>
                    </a:ln>
                  </pic:spPr>
                </pic:pic>
              </a:graphicData>
            </a:graphic>
          </wp:inline>
        </w:drawing>
      </w:r>
    </w:p>
    <w:p>
      <w:pPr>
        <w:ind w:firstLine="420"/>
        <w:jc w:val="center"/>
        <w:rPr>
          <w:sz w:val="21"/>
        </w:rPr>
      </w:pPr>
      <w:r>
        <w:rPr>
          <w:rFonts w:hint="eastAsia"/>
          <w:sz w:val="21"/>
        </w:rPr>
        <w:t>(a)单排搅拌桩或旋喷桩帷幕     (b)双排搅拌桩或旋喷桩帷幕</w:t>
      </w:r>
    </w:p>
    <w:p>
      <w:pPr>
        <w:ind w:firstLine="480"/>
        <w:jc w:val="center"/>
      </w:pPr>
      <w:r>
        <w:rPr>
          <w:rFonts w:hint="eastAsia"/>
        </w:rPr>
        <w:t>说明图9.2.5-1  搅拌桩、旋喷桩帷幕平面布置形式</w:t>
      </w:r>
    </w:p>
    <w:p>
      <w:pPr>
        <w:ind w:firstLine="420"/>
        <w:jc w:val="center"/>
        <w:rPr>
          <w:sz w:val="21"/>
        </w:rPr>
      </w:pPr>
      <w:r>
        <w:rPr>
          <w:rFonts w:hint="eastAsia"/>
          <w:sz w:val="21"/>
        </w:rPr>
        <w:t>1—旋喷桩或搅拌桩</w:t>
      </w:r>
    </w:p>
    <w:p>
      <w:pPr>
        <w:ind w:firstLine="480"/>
        <w:jc w:val="center"/>
      </w:pPr>
      <w:r>
        <w:drawing>
          <wp:inline distT="0" distB="0" distL="0" distR="0">
            <wp:extent cx="4114165" cy="1180465"/>
            <wp:effectExtent l="0" t="0" r="63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95"/>
                    <a:stretch>
                      <a:fillRect/>
                    </a:stretch>
                  </pic:blipFill>
                  <pic:spPr>
                    <a:xfrm>
                      <a:off x="0" y="0"/>
                      <a:ext cx="4114286" cy="1180952"/>
                    </a:xfrm>
                    <a:prstGeom prst="rect">
                      <a:avLst/>
                    </a:prstGeom>
                  </pic:spPr>
                </pic:pic>
              </a:graphicData>
            </a:graphic>
          </wp:inline>
        </w:drawing>
      </w:r>
    </w:p>
    <w:p>
      <w:pPr>
        <w:ind w:firstLine="420"/>
        <w:jc w:val="center"/>
        <w:rPr>
          <w:sz w:val="21"/>
        </w:rPr>
      </w:pPr>
      <w:r>
        <w:rPr>
          <w:rFonts w:hint="eastAsia"/>
          <w:sz w:val="21"/>
        </w:rPr>
        <w:t>说明图9.2.5-2   摆喷帷幕平面形式</w:t>
      </w:r>
    </w:p>
    <w:p>
      <w:pPr>
        <w:ind w:firstLine="420"/>
        <w:jc w:val="center"/>
        <w:rPr>
          <w:sz w:val="21"/>
        </w:rPr>
      </w:pPr>
      <w:r>
        <w:rPr>
          <w:rFonts w:hint="eastAsia"/>
          <w:sz w:val="21"/>
        </w:rPr>
        <w:t>1—摆喷帷幕</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旋喷固结体的直径、摆喷固结体的半径受施工工艺、喷射压力、提升速度、土类和土性等因素影响，根据国内一些有关资料介绍,旋喷固结体的直径一般在表3的范围，摆喷固结体的半径约为旋喷固结体半径的1.0~1.5倍。</w:t>
      </w:r>
    </w:p>
    <w:p>
      <w:pPr>
        <w:ind w:firstLine="182" w:firstLineChars="83"/>
        <w:jc w:val="center"/>
        <w:rPr>
          <w:sz w:val="22"/>
          <w:szCs w:val="20"/>
        </w:rPr>
      </w:pPr>
      <w:r>
        <w:rPr>
          <w:rFonts w:hint="eastAsia"/>
          <w:sz w:val="22"/>
          <w:szCs w:val="20"/>
        </w:rPr>
        <w:t>说明表</w:t>
      </w:r>
      <w:r>
        <w:rPr>
          <w:sz w:val="22"/>
          <w:szCs w:val="20"/>
        </w:rPr>
        <w:t>9.2.5-</w:t>
      </w:r>
      <w:r>
        <w:rPr>
          <w:rFonts w:hint="eastAsia"/>
          <w:sz w:val="22"/>
          <w:szCs w:val="20"/>
        </w:rPr>
        <w:t>1 旋喷注浆固结体有限直径经验值</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7"/>
        <w:gridCol w:w="1857"/>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3714" w:type="dxa"/>
            <w:gridSpan w:val="2"/>
            <w:tcBorders>
              <w:tl2br w:val="single" w:color="auto" w:sz="4" w:space="0"/>
            </w:tcBorders>
          </w:tcPr>
          <w:p>
            <w:pPr>
              <w:ind w:firstLine="0" w:firstLineChars="0"/>
              <w:jc w:val="right"/>
              <w:rPr>
                <w:sz w:val="21"/>
                <w:szCs w:val="21"/>
              </w:rPr>
            </w:pPr>
            <w:r>
              <w:rPr>
                <w:rFonts w:hint="eastAsia"/>
                <w:sz w:val="21"/>
                <w:szCs w:val="21"/>
              </w:rPr>
              <w:t>方法</w:t>
            </w:r>
          </w:p>
          <w:p>
            <w:pPr>
              <w:ind w:firstLine="0" w:firstLineChars="0"/>
              <w:rPr>
                <w:sz w:val="21"/>
                <w:szCs w:val="21"/>
              </w:rPr>
            </w:pPr>
            <w:r>
              <w:rPr>
                <w:rFonts w:hint="eastAsia"/>
                <w:sz w:val="21"/>
                <w:szCs w:val="21"/>
              </w:rPr>
              <w:t xml:space="preserve">土类                 </w:t>
            </w:r>
          </w:p>
        </w:tc>
        <w:tc>
          <w:tcPr>
            <w:tcW w:w="1857" w:type="dxa"/>
            <w:vAlign w:val="center"/>
          </w:tcPr>
          <w:p>
            <w:pPr>
              <w:ind w:firstLine="0" w:firstLineChars="0"/>
              <w:jc w:val="center"/>
              <w:rPr>
                <w:sz w:val="21"/>
                <w:szCs w:val="21"/>
              </w:rPr>
            </w:pPr>
            <w:r>
              <w:rPr>
                <w:rFonts w:hint="eastAsia"/>
                <w:sz w:val="21"/>
                <w:szCs w:val="21"/>
              </w:rPr>
              <w:t>单管法</w:t>
            </w:r>
          </w:p>
        </w:tc>
        <w:tc>
          <w:tcPr>
            <w:tcW w:w="1857" w:type="dxa"/>
            <w:vAlign w:val="center"/>
          </w:tcPr>
          <w:p>
            <w:pPr>
              <w:ind w:firstLine="0" w:firstLineChars="0"/>
              <w:jc w:val="center"/>
              <w:rPr>
                <w:sz w:val="21"/>
                <w:szCs w:val="21"/>
              </w:rPr>
            </w:pPr>
            <w:r>
              <w:rPr>
                <w:rFonts w:hint="eastAsia"/>
                <w:sz w:val="21"/>
                <w:szCs w:val="21"/>
              </w:rPr>
              <w:t>二重管法</w:t>
            </w:r>
          </w:p>
        </w:tc>
        <w:tc>
          <w:tcPr>
            <w:tcW w:w="1858" w:type="dxa"/>
            <w:vAlign w:val="center"/>
          </w:tcPr>
          <w:p>
            <w:pPr>
              <w:ind w:firstLine="0" w:firstLineChars="0"/>
              <w:jc w:val="center"/>
              <w:rPr>
                <w:sz w:val="21"/>
                <w:szCs w:val="21"/>
              </w:rPr>
            </w:pPr>
            <w:r>
              <w:rPr>
                <w:rFonts w:hint="eastAsia"/>
                <w:sz w:val="21"/>
                <w:szCs w:val="21"/>
              </w:rPr>
              <w:t>三重管法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vAlign w:val="center"/>
          </w:tcPr>
          <w:p>
            <w:pPr>
              <w:ind w:firstLine="0" w:firstLineChars="0"/>
              <w:jc w:val="center"/>
              <w:rPr>
                <w:sz w:val="21"/>
                <w:szCs w:val="21"/>
              </w:rPr>
            </w:pPr>
            <w:r>
              <w:rPr>
                <w:rFonts w:hint="eastAsia"/>
                <w:sz w:val="21"/>
                <w:szCs w:val="21"/>
              </w:rPr>
              <w:t>黏性土</w:t>
            </w:r>
          </w:p>
        </w:tc>
        <w:tc>
          <w:tcPr>
            <w:tcW w:w="1857" w:type="dxa"/>
            <w:vAlign w:val="center"/>
          </w:tcPr>
          <w:p>
            <w:pPr>
              <w:ind w:firstLine="0" w:firstLineChars="0"/>
              <w:jc w:val="center"/>
              <w:rPr>
                <w:sz w:val="21"/>
                <w:szCs w:val="21"/>
              </w:rPr>
            </w:pPr>
            <w:r>
              <w:rPr>
                <w:position w:val="-6"/>
                <w:sz w:val="21"/>
                <w:szCs w:val="21"/>
              </w:rPr>
              <w:object>
                <v:shape id="_x0000_i1306" o:spt="75" type="#_x0000_t75" style="height:13.8pt;width:49.8pt;" o:ole="t" filled="f" o:preferrelative="t" stroked="f" coordsize="21600,21600">
                  <v:path/>
                  <v:fill on="f" focussize="0,0"/>
                  <v:stroke on="f" joinstyle="miter"/>
                  <v:imagedata r:id="rId597" o:title=""/>
                  <o:lock v:ext="edit" aspectratio="t"/>
                  <w10:wrap type="none"/>
                  <w10:anchorlock/>
                </v:shape>
                <o:OLEObject Type="Embed" ProgID="Equation.DSMT4" ShapeID="_x0000_i1306" DrawAspect="Content" ObjectID="_1468076006" r:id="rId596">
                  <o:LockedField>false</o:LockedField>
                </o:OLEObject>
              </w:object>
            </w:r>
          </w:p>
        </w:tc>
        <w:tc>
          <w:tcPr>
            <w:tcW w:w="1857" w:type="dxa"/>
            <w:vAlign w:val="center"/>
          </w:tcPr>
          <w:p>
            <w:pPr>
              <w:ind w:firstLine="0" w:firstLineChars="0"/>
              <w:jc w:val="center"/>
              <w:rPr>
                <w:sz w:val="21"/>
                <w:szCs w:val="21"/>
              </w:rPr>
            </w:pPr>
            <w:r>
              <w:rPr>
                <w:rFonts w:hint="eastAsia"/>
                <w:sz w:val="21"/>
                <w:szCs w:val="21"/>
              </w:rPr>
              <w:t>0.5~0.8</w:t>
            </w:r>
          </w:p>
        </w:tc>
        <w:tc>
          <w:tcPr>
            <w:tcW w:w="1857" w:type="dxa"/>
            <w:vAlign w:val="center"/>
          </w:tcPr>
          <w:p>
            <w:pPr>
              <w:ind w:firstLine="0" w:firstLineChars="0"/>
              <w:jc w:val="center"/>
              <w:rPr>
                <w:sz w:val="21"/>
                <w:szCs w:val="21"/>
              </w:rPr>
            </w:pPr>
            <w:r>
              <w:rPr>
                <w:rFonts w:hint="eastAsia"/>
                <w:sz w:val="21"/>
                <w:szCs w:val="21"/>
              </w:rPr>
              <w:t>0.8~1.2</w:t>
            </w:r>
          </w:p>
        </w:tc>
        <w:tc>
          <w:tcPr>
            <w:tcW w:w="1858" w:type="dxa"/>
            <w:vAlign w:val="center"/>
          </w:tcPr>
          <w:p>
            <w:pPr>
              <w:ind w:firstLine="0" w:firstLineChars="0"/>
              <w:jc w:val="center"/>
              <w:rPr>
                <w:sz w:val="21"/>
                <w:szCs w:val="21"/>
              </w:rPr>
            </w:pPr>
            <w:r>
              <w:rPr>
                <w:rFonts w:hint="eastAsia"/>
                <w:sz w:val="21"/>
                <w:szCs w:val="21"/>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vAlign w:val="center"/>
          </w:tcPr>
          <w:p>
            <w:pPr>
              <w:ind w:firstLine="0" w:firstLineChars="0"/>
              <w:jc w:val="center"/>
              <w:rPr>
                <w:sz w:val="21"/>
                <w:szCs w:val="21"/>
              </w:rPr>
            </w:pPr>
          </w:p>
        </w:tc>
        <w:tc>
          <w:tcPr>
            <w:tcW w:w="1857" w:type="dxa"/>
            <w:vAlign w:val="center"/>
          </w:tcPr>
          <w:p>
            <w:pPr>
              <w:ind w:firstLine="0" w:firstLineChars="0"/>
              <w:jc w:val="center"/>
              <w:rPr>
                <w:sz w:val="21"/>
                <w:szCs w:val="21"/>
              </w:rPr>
            </w:pPr>
            <w:r>
              <w:rPr>
                <w:position w:val="-6"/>
                <w:sz w:val="21"/>
                <w:szCs w:val="21"/>
              </w:rPr>
              <w:object>
                <v:shape id="_x0000_i1307" o:spt="75" type="#_x0000_t75" style="height:13.8pt;width:52.8pt;" o:ole="t" filled="f" o:preferrelative="t" stroked="f" coordsize="21600,21600">
                  <v:path/>
                  <v:fill on="f" focussize="0,0"/>
                  <v:stroke on="f" joinstyle="miter"/>
                  <v:imagedata r:id="rId599" o:title=""/>
                  <o:lock v:ext="edit" aspectratio="t"/>
                  <w10:wrap type="none"/>
                  <w10:anchorlock/>
                </v:shape>
                <o:OLEObject Type="Embed" ProgID="Equation.DSMT4" ShapeID="_x0000_i1307" DrawAspect="Content" ObjectID="_1468076007" r:id="rId598">
                  <o:LockedField>false</o:LockedField>
                </o:OLEObject>
              </w:object>
            </w:r>
          </w:p>
        </w:tc>
        <w:tc>
          <w:tcPr>
            <w:tcW w:w="1857" w:type="dxa"/>
            <w:vAlign w:val="center"/>
          </w:tcPr>
          <w:p>
            <w:pPr>
              <w:ind w:firstLine="0" w:firstLineChars="0"/>
              <w:jc w:val="center"/>
              <w:rPr>
                <w:sz w:val="21"/>
                <w:szCs w:val="21"/>
              </w:rPr>
            </w:pPr>
            <w:r>
              <w:rPr>
                <w:rFonts w:hint="eastAsia"/>
                <w:sz w:val="21"/>
                <w:szCs w:val="21"/>
              </w:rPr>
              <w:t>0.4~0.7</w:t>
            </w:r>
          </w:p>
        </w:tc>
        <w:tc>
          <w:tcPr>
            <w:tcW w:w="1857" w:type="dxa"/>
            <w:vAlign w:val="center"/>
          </w:tcPr>
          <w:p>
            <w:pPr>
              <w:ind w:firstLine="0" w:firstLineChars="0"/>
              <w:jc w:val="center"/>
              <w:rPr>
                <w:sz w:val="21"/>
                <w:szCs w:val="21"/>
              </w:rPr>
            </w:pPr>
            <w:r>
              <w:rPr>
                <w:rFonts w:hint="eastAsia"/>
                <w:sz w:val="21"/>
                <w:szCs w:val="21"/>
              </w:rPr>
              <w:t>0.7~1.1</w:t>
            </w:r>
          </w:p>
        </w:tc>
        <w:tc>
          <w:tcPr>
            <w:tcW w:w="1858" w:type="dxa"/>
            <w:vAlign w:val="center"/>
          </w:tcPr>
          <w:p>
            <w:pPr>
              <w:ind w:firstLine="0" w:firstLineChars="0"/>
              <w:jc w:val="center"/>
              <w:rPr>
                <w:sz w:val="21"/>
                <w:szCs w:val="21"/>
              </w:rPr>
            </w:pPr>
            <w:r>
              <w:rPr>
                <w:rFonts w:hint="eastAsia"/>
                <w:sz w:val="21"/>
                <w:szCs w:val="21"/>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restart"/>
            <w:vAlign w:val="center"/>
          </w:tcPr>
          <w:p>
            <w:pPr>
              <w:ind w:firstLine="0" w:firstLineChars="0"/>
              <w:jc w:val="center"/>
              <w:rPr>
                <w:sz w:val="21"/>
                <w:szCs w:val="21"/>
              </w:rPr>
            </w:pPr>
            <w:r>
              <w:rPr>
                <w:rFonts w:hint="eastAsia"/>
                <w:sz w:val="21"/>
                <w:szCs w:val="21"/>
              </w:rPr>
              <w:t>砂土</w:t>
            </w:r>
          </w:p>
        </w:tc>
        <w:tc>
          <w:tcPr>
            <w:tcW w:w="1857" w:type="dxa"/>
            <w:vAlign w:val="center"/>
          </w:tcPr>
          <w:p>
            <w:pPr>
              <w:ind w:firstLine="0" w:firstLineChars="0"/>
              <w:jc w:val="center"/>
              <w:rPr>
                <w:sz w:val="21"/>
                <w:szCs w:val="21"/>
              </w:rPr>
            </w:pPr>
            <w:r>
              <w:rPr>
                <w:position w:val="-6"/>
                <w:sz w:val="21"/>
                <w:szCs w:val="21"/>
              </w:rPr>
              <w:object>
                <v:shape id="_x0000_i1308" o:spt="75" type="#_x0000_t75" style="height:13.8pt;width:54pt;" o:ole="t" filled="f" o:preferrelative="t" stroked="f" coordsize="21600,21600">
                  <v:path/>
                  <v:fill on="f" focussize="0,0"/>
                  <v:stroke on="f" joinstyle="miter"/>
                  <v:imagedata r:id="rId601" o:title=""/>
                  <o:lock v:ext="edit" aspectratio="t"/>
                  <w10:wrap type="none"/>
                  <w10:anchorlock/>
                </v:shape>
                <o:OLEObject Type="Embed" ProgID="Equation.DSMT4" ShapeID="_x0000_i1308" DrawAspect="Content" ObjectID="_1468076008" r:id="rId600">
                  <o:LockedField>false</o:LockedField>
                </o:OLEObject>
              </w:object>
            </w:r>
          </w:p>
        </w:tc>
        <w:tc>
          <w:tcPr>
            <w:tcW w:w="1857" w:type="dxa"/>
            <w:vAlign w:val="center"/>
          </w:tcPr>
          <w:p>
            <w:pPr>
              <w:ind w:firstLine="0" w:firstLineChars="0"/>
              <w:jc w:val="center"/>
              <w:rPr>
                <w:sz w:val="21"/>
                <w:szCs w:val="21"/>
              </w:rPr>
            </w:pPr>
            <w:r>
              <w:rPr>
                <w:rFonts w:hint="eastAsia"/>
                <w:sz w:val="21"/>
                <w:szCs w:val="21"/>
              </w:rPr>
              <w:t>0.6~1.0</w:t>
            </w:r>
          </w:p>
        </w:tc>
        <w:tc>
          <w:tcPr>
            <w:tcW w:w="1857" w:type="dxa"/>
            <w:vAlign w:val="center"/>
          </w:tcPr>
          <w:p>
            <w:pPr>
              <w:ind w:firstLine="0" w:firstLineChars="0"/>
              <w:jc w:val="center"/>
              <w:rPr>
                <w:sz w:val="21"/>
                <w:szCs w:val="21"/>
              </w:rPr>
            </w:pPr>
            <w:r>
              <w:rPr>
                <w:rFonts w:hint="eastAsia"/>
                <w:sz w:val="21"/>
                <w:szCs w:val="21"/>
              </w:rPr>
              <w:t>1.0~1.4</w:t>
            </w:r>
          </w:p>
        </w:tc>
        <w:tc>
          <w:tcPr>
            <w:tcW w:w="1858" w:type="dxa"/>
            <w:vAlign w:val="center"/>
          </w:tcPr>
          <w:p>
            <w:pPr>
              <w:ind w:firstLine="0" w:firstLineChars="0"/>
              <w:jc w:val="center"/>
              <w:rPr>
                <w:sz w:val="21"/>
                <w:szCs w:val="21"/>
              </w:rPr>
            </w:pPr>
            <w:r>
              <w:rPr>
                <w:rFonts w:hint="eastAsia"/>
                <w:sz w:val="21"/>
                <w:szCs w:val="21"/>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vAlign w:val="center"/>
          </w:tcPr>
          <w:p>
            <w:pPr>
              <w:ind w:firstLine="0" w:firstLineChars="0"/>
              <w:jc w:val="center"/>
              <w:rPr>
                <w:sz w:val="21"/>
                <w:szCs w:val="21"/>
              </w:rPr>
            </w:pPr>
          </w:p>
        </w:tc>
        <w:tc>
          <w:tcPr>
            <w:tcW w:w="1857" w:type="dxa"/>
            <w:vAlign w:val="center"/>
          </w:tcPr>
          <w:p>
            <w:pPr>
              <w:ind w:firstLine="0" w:firstLineChars="0"/>
              <w:jc w:val="center"/>
              <w:rPr>
                <w:sz w:val="21"/>
                <w:szCs w:val="21"/>
              </w:rPr>
            </w:pPr>
            <w:r>
              <w:rPr>
                <w:position w:val="-6"/>
                <w:sz w:val="21"/>
                <w:szCs w:val="21"/>
              </w:rPr>
              <w:object>
                <v:shape id="_x0000_i1309" o:spt="75" type="#_x0000_t75" style="height:13.8pt;width:60pt;" o:ole="t" filled="f" o:preferrelative="t" stroked="f" coordsize="21600,21600">
                  <v:path/>
                  <v:fill on="f" focussize="0,0"/>
                  <v:stroke on="f" joinstyle="miter"/>
                  <v:imagedata r:id="rId603" o:title=""/>
                  <o:lock v:ext="edit" aspectratio="t"/>
                  <w10:wrap type="none"/>
                  <w10:anchorlock/>
                </v:shape>
                <o:OLEObject Type="Embed" ProgID="Equation.DSMT4" ShapeID="_x0000_i1309" DrawAspect="Content" ObjectID="_1468076009" r:id="rId602">
                  <o:LockedField>false</o:LockedField>
                </o:OLEObject>
              </w:object>
            </w:r>
          </w:p>
        </w:tc>
        <w:tc>
          <w:tcPr>
            <w:tcW w:w="1857" w:type="dxa"/>
            <w:vAlign w:val="center"/>
          </w:tcPr>
          <w:p>
            <w:pPr>
              <w:ind w:firstLine="0" w:firstLineChars="0"/>
              <w:jc w:val="center"/>
              <w:rPr>
                <w:sz w:val="21"/>
                <w:szCs w:val="21"/>
              </w:rPr>
            </w:pPr>
            <w:r>
              <w:rPr>
                <w:rFonts w:hint="eastAsia"/>
                <w:sz w:val="21"/>
                <w:szCs w:val="21"/>
              </w:rPr>
              <w:t>0.5~0.9</w:t>
            </w:r>
          </w:p>
        </w:tc>
        <w:tc>
          <w:tcPr>
            <w:tcW w:w="1857" w:type="dxa"/>
            <w:vAlign w:val="center"/>
          </w:tcPr>
          <w:p>
            <w:pPr>
              <w:ind w:firstLine="0" w:firstLineChars="0"/>
              <w:jc w:val="center"/>
              <w:rPr>
                <w:sz w:val="21"/>
                <w:szCs w:val="21"/>
              </w:rPr>
            </w:pPr>
            <w:r>
              <w:rPr>
                <w:rFonts w:hint="eastAsia"/>
                <w:sz w:val="21"/>
                <w:szCs w:val="21"/>
              </w:rPr>
              <w:t>0.9~1.3</w:t>
            </w:r>
          </w:p>
        </w:tc>
        <w:tc>
          <w:tcPr>
            <w:tcW w:w="1858" w:type="dxa"/>
            <w:vAlign w:val="center"/>
          </w:tcPr>
          <w:p>
            <w:pPr>
              <w:ind w:firstLine="0" w:firstLineChars="0"/>
              <w:jc w:val="center"/>
              <w:rPr>
                <w:sz w:val="21"/>
                <w:szCs w:val="21"/>
              </w:rPr>
            </w:pPr>
            <w:r>
              <w:rPr>
                <w:rFonts w:hint="eastAsia"/>
                <w:sz w:val="21"/>
                <w:szCs w:val="21"/>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vMerge w:val="continue"/>
            <w:vAlign w:val="center"/>
          </w:tcPr>
          <w:p>
            <w:pPr>
              <w:ind w:firstLine="0" w:firstLineChars="0"/>
              <w:jc w:val="center"/>
              <w:rPr>
                <w:sz w:val="21"/>
                <w:szCs w:val="21"/>
              </w:rPr>
            </w:pPr>
          </w:p>
        </w:tc>
        <w:tc>
          <w:tcPr>
            <w:tcW w:w="1857" w:type="dxa"/>
            <w:vAlign w:val="center"/>
          </w:tcPr>
          <w:p>
            <w:pPr>
              <w:ind w:firstLine="0" w:firstLineChars="0"/>
              <w:jc w:val="center"/>
              <w:rPr>
                <w:sz w:val="21"/>
                <w:szCs w:val="21"/>
              </w:rPr>
            </w:pPr>
            <w:r>
              <w:rPr>
                <w:position w:val="-6"/>
                <w:sz w:val="21"/>
                <w:szCs w:val="21"/>
              </w:rPr>
              <w:object>
                <v:shape id="_x0000_i1310" o:spt="75" type="#_x0000_t75" style="height:13.8pt;width:61.2pt;" o:ole="t" filled="f" o:preferrelative="t" stroked="f" coordsize="21600,21600">
                  <v:path/>
                  <v:fill on="f" focussize="0,0"/>
                  <v:stroke on="f" joinstyle="miter"/>
                  <v:imagedata r:id="rId605" o:title=""/>
                  <o:lock v:ext="edit" aspectratio="t"/>
                  <w10:wrap type="none"/>
                  <w10:anchorlock/>
                </v:shape>
                <o:OLEObject Type="Embed" ProgID="Equation.DSMT4" ShapeID="_x0000_i1310" DrawAspect="Content" ObjectID="_1468076010" r:id="rId604">
                  <o:LockedField>false</o:LockedField>
                </o:OLEObject>
              </w:object>
            </w:r>
          </w:p>
        </w:tc>
        <w:tc>
          <w:tcPr>
            <w:tcW w:w="1857" w:type="dxa"/>
            <w:vAlign w:val="center"/>
          </w:tcPr>
          <w:p>
            <w:pPr>
              <w:ind w:firstLine="0" w:firstLineChars="0"/>
              <w:jc w:val="center"/>
              <w:rPr>
                <w:sz w:val="21"/>
                <w:szCs w:val="21"/>
              </w:rPr>
            </w:pPr>
            <w:r>
              <w:rPr>
                <w:rFonts w:hint="eastAsia"/>
                <w:sz w:val="21"/>
                <w:szCs w:val="21"/>
              </w:rPr>
              <w:t>0.4~0.8</w:t>
            </w:r>
          </w:p>
        </w:tc>
        <w:tc>
          <w:tcPr>
            <w:tcW w:w="1857" w:type="dxa"/>
            <w:vAlign w:val="center"/>
          </w:tcPr>
          <w:p>
            <w:pPr>
              <w:ind w:firstLine="0" w:firstLineChars="0"/>
              <w:jc w:val="center"/>
              <w:rPr>
                <w:sz w:val="21"/>
                <w:szCs w:val="21"/>
              </w:rPr>
            </w:pPr>
            <w:r>
              <w:rPr>
                <w:rFonts w:hint="eastAsia"/>
                <w:sz w:val="21"/>
                <w:szCs w:val="21"/>
              </w:rPr>
              <w:t>0.8~1.2</w:t>
            </w:r>
          </w:p>
        </w:tc>
        <w:tc>
          <w:tcPr>
            <w:tcW w:w="1858" w:type="dxa"/>
            <w:vAlign w:val="center"/>
          </w:tcPr>
          <w:p>
            <w:pPr>
              <w:ind w:firstLine="0" w:firstLineChars="0"/>
              <w:jc w:val="center"/>
              <w:rPr>
                <w:sz w:val="21"/>
                <w:szCs w:val="21"/>
              </w:rPr>
            </w:pPr>
            <w:r>
              <w:rPr>
                <w:rFonts w:hint="eastAsia"/>
                <w:sz w:val="21"/>
                <w:szCs w:val="21"/>
              </w:rPr>
              <w:t>0.9~1.5</w:t>
            </w:r>
          </w:p>
        </w:tc>
      </w:tr>
    </w:tbl>
    <w:p>
      <w:pPr>
        <w:ind w:firstLine="440"/>
        <w:rPr>
          <w:rFonts w:ascii="楷体" w:hAnsi="楷体" w:eastAsia="楷体"/>
          <w:sz w:val="22"/>
          <w:szCs w:val="20"/>
        </w:rPr>
      </w:pPr>
      <w:r>
        <w:rPr>
          <w:rFonts w:hint="eastAsia" w:ascii="楷体" w:hAnsi="楷体" w:eastAsia="楷体"/>
          <w:sz w:val="22"/>
          <w:szCs w:val="20"/>
        </w:rPr>
        <w:t>注:N为标准灌入试验锤击数。</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说明图9.2.5-3是搅拌桩、高压喷射注浆与排桩常见的连接形式。高压喷射注浆与排桩组合的帷幕,高压喷射注浆可采用旋喷、摆喷形式。组合帷幕中支护桩与旋喷、摆喷桩的平面轴线关系应使旋喷、摆喷固结体受力后与支护桩之间有一定的压合面。</w:t>
      </w:r>
    </w:p>
    <w:p>
      <w:pPr>
        <w:ind w:firstLine="480"/>
        <w:jc w:val="center"/>
      </w:pPr>
      <w:r>
        <w:drawing>
          <wp:inline distT="0" distB="0" distL="0" distR="0">
            <wp:extent cx="3895090" cy="999490"/>
            <wp:effectExtent l="0" t="0" r="635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06"/>
                    <a:stretch>
                      <a:fillRect/>
                    </a:stretch>
                  </pic:blipFill>
                  <pic:spPr>
                    <a:xfrm>
                      <a:off x="0" y="0"/>
                      <a:ext cx="3895238" cy="1000000"/>
                    </a:xfrm>
                    <a:prstGeom prst="rect">
                      <a:avLst/>
                    </a:prstGeom>
                  </pic:spPr>
                </pic:pic>
              </a:graphicData>
            </a:graphic>
          </wp:inline>
        </w:drawing>
      </w:r>
    </w:p>
    <w:p>
      <w:pPr>
        <w:ind w:firstLine="420"/>
        <w:jc w:val="center"/>
        <w:rPr>
          <w:sz w:val="21"/>
        </w:rPr>
      </w:pPr>
      <w:r>
        <w:rPr>
          <w:rFonts w:hint="eastAsia"/>
          <w:sz w:val="21"/>
        </w:rPr>
        <w:t>(a)旋喷固结体或搅拌桩与排桩组合帷幕        (b)摆喷固结体与排桩组合帷幕</w:t>
      </w:r>
    </w:p>
    <w:p>
      <w:pPr>
        <w:ind w:firstLine="420"/>
        <w:jc w:val="center"/>
        <w:rPr>
          <w:sz w:val="21"/>
        </w:rPr>
      </w:pPr>
      <w:r>
        <w:rPr>
          <w:rFonts w:hint="eastAsia"/>
          <w:sz w:val="21"/>
        </w:rPr>
        <w:t>说明图9.2.5-3 截水帷幕平面形式</w:t>
      </w:r>
    </w:p>
    <w:p>
      <w:pPr>
        <w:numPr>
          <w:ilvl w:val="0"/>
          <w:numId w:val="19"/>
        </w:numPr>
        <w:ind w:firstLine="420"/>
        <w:jc w:val="center"/>
        <w:rPr>
          <w:rFonts w:hint="eastAsia"/>
          <w:sz w:val="21"/>
        </w:rPr>
      </w:pPr>
      <w:r>
        <w:rPr>
          <w:rFonts w:hint="eastAsia"/>
          <w:sz w:val="21"/>
        </w:rPr>
        <w:t>-支护桩;2--旋喷固结体或搅拌桩;3—摆喷固结体;4-基坑方向</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9.2.11 旋喷帷幕和摆喷帷幕一般采用双喷嘴喷射注浆。与排桩咬合的截水帷幕,当采用半圆形、扇形摆喷时，一般采用单喷嘴喷射注浆。根据目前国内的设备性能,实际工程中常见的高压喷射注浆的施工工艺参数见表说明表9.2.11。</w:t>
      </w:r>
    </w:p>
    <w:p>
      <w:pPr>
        <w:ind w:firstLine="182" w:firstLineChars="83"/>
        <w:jc w:val="center"/>
        <w:rPr>
          <w:rFonts w:hint="eastAsia"/>
          <w:sz w:val="22"/>
          <w:szCs w:val="20"/>
        </w:rPr>
      </w:pPr>
      <w:r>
        <w:rPr>
          <w:rFonts w:hint="eastAsia"/>
          <w:sz w:val="22"/>
          <w:szCs w:val="20"/>
        </w:rPr>
        <w:t>说明表9.2.11 常用的高压喷射注浆工艺参数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center"/>
          </w:tcPr>
          <w:p>
            <w:pPr>
              <w:ind w:firstLine="0" w:firstLineChars="0"/>
              <w:jc w:val="center"/>
              <w:rPr>
                <w:rFonts w:hint="eastAsia"/>
                <w:sz w:val="21"/>
                <w:szCs w:val="21"/>
              </w:rPr>
            </w:pPr>
            <w:r>
              <w:rPr>
                <w:rFonts w:hint="eastAsia"/>
                <w:sz w:val="21"/>
                <w:szCs w:val="21"/>
              </w:rPr>
              <w:t>工艺</w:t>
            </w:r>
          </w:p>
        </w:tc>
        <w:tc>
          <w:tcPr>
            <w:tcW w:w="1326" w:type="dxa"/>
            <w:vAlign w:val="center"/>
          </w:tcPr>
          <w:p>
            <w:pPr>
              <w:ind w:firstLine="0" w:firstLineChars="0"/>
              <w:jc w:val="center"/>
              <w:rPr>
                <w:rFonts w:hint="eastAsia"/>
                <w:sz w:val="21"/>
                <w:szCs w:val="21"/>
              </w:rPr>
            </w:pPr>
            <w:r>
              <w:rPr>
                <w:rFonts w:hint="eastAsia"/>
                <w:sz w:val="21"/>
                <w:szCs w:val="21"/>
              </w:rPr>
              <w:t>水压</w:t>
            </w:r>
          </w:p>
          <w:p>
            <w:pPr>
              <w:ind w:firstLine="0" w:firstLineChars="0"/>
              <w:jc w:val="center"/>
              <w:rPr>
                <w:rFonts w:hint="eastAsia"/>
                <w:sz w:val="21"/>
                <w:szCs w:val="21"/>
              </w:rPr>
            </w:pPr>
            <w:r>
              <w:rPr>
                <w:rFonts w:hint="eastAsia"/>
                <w:sz w:val="21"/>
                <w:szCs w:val="21"/>
              </w:rPr>
              <w:t>(MPa)</w:t>
            </w:r>
          </w:p>
        </w:tc>
        <w:tc>
          <w:tcPr>
            <w:tcW w:w="1326" w:type="dxa"/>
            <w:vAlign w:val="center"/>
          </w:tcPr>
          <w:p>
            <w:pPr>
              <w:ind w:firstLine="0" w:firstLineChars="0"/>
              <w:jc w:val="center"/>
              <w:rPr>
                <w:rFonts w:hint="eastAsia"/>
                <w:sz w:val="21"/>
                <w:szCs w:val="21"/>
              </w:rPr>
            </w:pPr>
            <w:r>
              <w:rPr>
                <w:rFonts w:hint="eastAsia"/>
                <w:sz w:val="21"/>
                <w:szCs w:val="21"/>
              </w:rPr>
              <w:t>气压</w:t>
            </w:r>
          </w:p>
          <w:p>
            <w:pPr>
              <w:ind w:firstLine="0" w:firstLineChars="0"/>
              <w:jc w:val="center"/>
              <w:rPr>
                <w:rFonts w:hint="eastAsia"/>
                <w:sz w:val="21"/>
                <w:szCs w:val="21"/>
              </w:rPr>
            </w:pPr>
            <w:r>
              <w:rPr>
                <w:rFonts w:hint="eastAsia"/>
                <w:sz w:val="21"/>
                <w:szCs w:val="21"/>
              </w:rPr>
              <w:t>(MPa)</w:t>
            </w:r>
          </w:p>
        </w:tc>
        <w:tc>
          <w:tcPr>
            <w:tcW w:w="1327" w:type="dxa"/>
            <w:vAlign w:val="center"/>
          </w:tcPr>
          <w:p>
            <w:pPr>
              <w:ind w:firstLine="0" w:firstLineChars="0"/>
              <w:jc w:val="center"/>
              <w:rPr>
                <w:rFonts w:hint="eastAsia"/>
                <w:sz w:val="21"/>
                <w:szCs w:val="21"/>
              </w:rPr>
            </w:pPr>
            <w:r>
              <w:rPr>
                <w:rFonts w:hint="eastAsia"/>
                <w:sz w:val="21"/>
                <w:szCs w:val="21"/>
              </w:rPr>
              <w:t>浆压</w:t>
            </w:r>
          </w:p>
          <w:p>
            <w:pPr>
              <w:ind w:firstLine="0" w:firstLineChars="0"/>
              <w:jc w:val="center"/>
              <w:rPr>
                <w:rFonts w:hint="eastAsia"/>
                <w:sz w:val="21"/>
                <w:szCs w:val="21"/>
              </w:rPr>
            </w:pPr>
            <w:r>
              <w:rPr>
                <w:rFonts w:hint="eastAsia"/>
                <w:sz w:val="21"/>
                <w:szCs w:val="21"/>
              </w:rPr>
              <w:t>(MPa)</w:t>
            </w:r>
          </w:p>
        </w:tc>
        <w:tc>
          <w:tcPr>
            <w:tcW w:w="1327" w:type="dxa"/>
            <w:vAlign w:val="center"/>
          </w:tcPr>
          <w:p>
            <w:pPr>
              <w:ind w:firstLine="0" w:firstLineChars="0"/>
              <w:jc w:val="center"/>
              <w:rPr>
                <w:rFonts w:hint="eastAsia"/>
                <w:sz w:val="21"/>
                <w:szCs w:val="21"/>
              </w:rPr>
            </w:pPr>
            <w:r>
              <w:rPr>
                <w:rFonts w:hint="eastAsia"/>
                <w:sz w:val="21"/>
                <w:szCs w:val="21"/>
              </w:rPr>
              <w:t>注浆流量</w:t>
            </w:r>
          </w:p>
          <w:p>
            <w:pPr>
              <w:ind w:firstLine="0" w:firstLineChars="0"/>
              <w:jc w:val="center"/>
              <w:rPr>
                <w:rFonts w:hint="eastAsia"/>
                <w:sz w:val="21"/>
                <w:szCs w:val="21"/>
              </w:rPr>
            </w:pPr>
            <w:r>
              <w:rPr>
                <w:rFonts w:hint="eastAsia"/>
                <w:sz w:val="21"/>
                <w:szCs w:val="21"/>
              </w:rPr>
              <w:t>(L/min)</w:t>
            </w:r>
          </w:p>
        </w:tc>
        <w:tc>
          <w:tcPr>
            <w:tcW w:w="1327" w:type="dxa"/>
            <w:vAlign w:val="center"/>
          </w:tcPr>
          <w:p>
            <w:pPr>
              <w:ind w:firstLine="0" w:firstLineChars="0"/>
              <w:jc w:val="center"/>
              <w:rPr>
                <w:rFonts w:hint="eastAsia"/>
                <w:sz w:val="21"/>
                <w:szCs w:val="21"/>
              </w:rPr>
            </w:pPr>
            <w:r>
              <w:rPr>
                <w:rFonts w:hint="eastAsia"/>
                <w:sz w:val="21"/>
                <w:szCs w:val="21"/>
              </w:rPr>
              <w:t>提升速度</w:t>
            </w:r>
          </w:p>
          <w:p>
            <w:pPr>
              <w:ind w:firstLine="0" w:firstLineChars="0"/>
              <w:jc w:val="center"/>
              <w:rPr>
                <w:rFonts w:hint="eastAsia"/>
                <w:sz w:val="21"/>
                <w:szCs w:val="21"/>
              </w:rPr>
            </w:pPr>
            <w:r>
              <w:rPr>
                <w:rFonts w:hint="eastAsia"/>
                <w:sz w:val="21"/>
                <w:szCs w:val="21"/>
              </w:rPr>
              <w:t>(m/min)</w:t>
            </w:r>
          </w:p>
        </w:tc>
        <w:tc>
          <w:tcPr>
            <w:tcW w:w="1327" w:type="dxa"/>
            <w:vAlign w:val="center"/>
          </w:tcPr>
          <w:p>
            <w:pPr>
              <w:ind w:firstLine="0" w:firstLineChars="0"/>
              <w:jc w:val="center"/>
              <w:rPr>
                <w:rFonts w:hint="eastAsia"/>
                <w:sz w:val="21"/>
                <w:szCs w:val="21"/>
              </w:rPr>
            </w:pPr>
            <w:r>
              <w:rPr>
                <w:rFonts w:hint="eastAsia"/>
                <w:sz w:val="21"/>
                <w:szCs w:val="21"/>
              </w:rPr>
              <w:t>旋转速度</w:t>
            </w:r>
          </w:p>
          <w:p>
            <w:pPr>
              <w:ind w:firstLine="0" w:firstLineChars="0"/>
              <w:jc w:val="center"/>
              <w:rPr>
                <w:rFonts w:hint="eastAsia"/>
                <w:sz w:val="21"/>
                <w:szCs w:val="21"/>
              </w:rPr>
            </w:pPr>
            <w:r>
              <w:rPr>
                <w:rFonts w:hint="eastAsia"/>
                <w:sz w:val="21"/>
                <w:szCs w:val="21"/>
              </w:rPr>
              <w:t>(r/min)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center"/>
          </w:tcPr>
          <w:p>
            <w:pPr>
              <w:ind w:firstLine="0" w:firstLineChars="0"/>
              <w:jc w:val="center"/>
              <w:rPr>
                <w:rFonts w:hint="eastAsia"/>
                <w:sz w:val="21"/>
                <w:szCs w:val="21"/>
              </w:rPr>
            </w:pPr>
            <w:r>
              <w:rPr>
                <w:rFonts w:hint="eastAsia"/>
                <w:sz w:val="21"/>
                <w:szCs w:val="21"/>
              </w:rPr>
              <w:t>单管法</w:t>
            </w:r>
          </w:p>
        </w:tc>
        <w:tc>
          <w:tcPr>
            <w:tcW w:w="1326" w:type="dxa"/>
            <w:vAlign w:val="center"/>
          </w:tcPr>
          <w:p>
            <w:pPr>
              <w:ind w:firstLine="0" w:firstLineChars="0"/>
              <w:jc w:val="center"/>
              <w:rPr>
                <w:rFonts w:hint="eastAsia"/>
                <w:sz w:val="21"/>
                <w:szCs w:val="21"/>
              </w:rPr>
            </w:pPr>
          </w:p>
        </w:tc>
        <w:tc>
          <w:tcPr>
            <w:tcW w:w="1326" w:type="dxa"/>
            <w:vAlign w:val="center"/>
          </w:tcPr>
          <w:p>
            <w:pPr>
              <w:ind w:firstLine="0" w:firstLineChars="0"/>
              <w:jc w:val="center"/>
              <w:rPr>
                <w:rFonts w:hint="eastAsia"/>
                <w:sz w:val="21"/>
                <w:szCs w:val="21"/>
              </w:rPr>
            </w:pPr>
          </w:p>
        </w:tc>
        <w:tc>
          <w:tcPr>
            <w:tcW w:w="1327" w:type="dxa"/>
            <w:vAlign w:val="center"/>
          </w:tcPr>
          <w:p>
            <w:pPr>
              <w:ind w:firstLine="0" w:firstLineChars="0"/>
              <w:jc w:val="center"/>
              <w:rPr>
                <w:rFonts w:hint="eastAsia"/>
                <w:sz w:val="21"/>
                <w:szCs w:val="21"/>
              </w:rPr>
            </w:pPr>
            <w:r>
              <w:rPr>
                <w:rFonts w:hint="eastAsia"/>
                <w:sz w:val="21"/>
                <w:szCs w:val="21"/>
              </w:rPr>
              <w:t>20~28</w:t>
            </w:r>
          </w:p>
        </w:tc>
        <w:tc>
          <w:tcPr>
            <w:tcW w:w="1327" w:type="dxa"/>
            <w:vAlign w:val="center"/>
          </w:tcPr>
          <w:p>
            <w:pPr>
              <w:ind w:firstLine="0" w:firstLineChars="0"/>
              <w:jc w:val="center"/>
              <w:rPr>
                <w:rFonts w:hint="eastAsia"/>
                <w:sz w:val="21"/>
                <w:szCs w:val="21"/>
              </w:rPr>
            </w:pPr>
            <w:r>
              <w:rPr>
                <w:rFonts w:hint="eastAsia"/>
                <w:sz w:val="21"/>
                <w:szCs w:val="21"/>
              </w:rPr>
              <w:t>80~120</w:t>
            </w:r>
          </w:p>
        </w:tc>
        <w:tc>
          <w:tcPr>
            <w:tcW w:w="1327" w:type="dxa"/>
            <w:vAlign w:val="center"/>
          </w:tcPr>
          <w:p>
            <w:pPr>
              <w:ind w:firstLine="0" w:firstLineChars="0"/>
              <w:jc w:val="center"/>
              <w:rPr>
                <w:rFonts w:hint="eastAsia"/>
                <w:sz w:val="21"/>
                <w:szCs w:val="21"/>
              </w:rPr>
            </w:pPr>
            <w:r>
              <w:rPr>
                <w:rFonts w:hint="eastAsia"/>
                <w:sz w:val="21"/>
                <w:szCs w:val="21"/>
              </w:rPr>
              <w:t>0.15~0.2</w:t>
            </w:r>
          </w:p>
        </w:tc>
        <w:tc>
          <w:tcPr>
            <w:tcW w:w="1327" w:type="dxa"/>
            <w:vAlign w:val="center"/>
          </w:tcPr>
          <w:p>
            <w:pPr>
              <w:ind w:firstLine="0" w:firstLineChars="0"/>
              <w:jc w:val="center"/>
              <w:rPr>
                <w:rFonts w:hint="eastAsia"/>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center"/>
          </w:tcPr>
          <w:p>
            <w:pPr>
              <w:ind w:firstLine="0" w:firstLineChars="0"/>
              <w:jc w:val="center"/>
              <w:rPr>
                <w:rFonts w:hint="eastAsia"/>
                <w:sz w:val="21"/>
                <w:szCs w:val="21"/>
              </w:rPr>
            </w:pPr>
            <w:r>
              <w:rPr>
                <w:rFonts w:hint="eastAsia"/>
                <w:sz w:val="21"/>
                <w:szCs w:val="21"/>
              </w:rPr>
              <w:t>二重管法</w:t>
            </w:r>
          </w:p>
        </w:tc>
        <w:tc>
          <w:tcPr>
            <w:tcW w:w="1326" w:type="dxa"/>
            <w:vAlign w:val="center"/>
          </w:tcPr>
          <w:p>
            <w:pPr>
              <w:ind w:firstLine="0" w:firstLineChars="0"/>
              <w:jc w:val="center"/>
              <w:rPr>
                <w:rFonts w:hint="eastAsia"/>
                <w:sz w:val="21"/>
                <w:szCs w:val="21"/>
              </w:rPr>
            </w:pPr>
          </w:p>
        </w:tc>
        <w:tc>
          <w:tcPr>
            <w:tcW w:w="1326" w:type="dxa"/>
            <w:vAlign w:val="center"/>
          </w:tcPr>
          <w:p>
            <w:pPr>
              <w:ind w:firstLine="0" w:firstLineChars="0"/>
              <w:jc w:val="center"/>
              <w:rPr>
                <w:rFonts w:hint="eastAsia"/>
                <w:sz w:val="21"/>
                <w:szCs w:val="21"/>
              </w:rPr>
            </w:pPr>
            <w:r>
              <w:rPr>
                <w:rFonts w:hint="eastAsia"/>
                <w:sz w:val="21"/>
                <w:szCs w:val="21"/>
              </w:rPr>
              <w:t>0.7</w:t>
            </w:r>
          </w:p>
        </w:tc>
        <w:tc>
          <w:tcPr>
            <w:tcW w:w="1327" w:type="dxa"/>
            <w:vAlign w:val="center"/>
          </w:tcPr>
          <w:p>
            <w:pPr>
              <w:ind w:firstLine="0" w:firstLineChars="0"/>
              <w:jc w:val="center"/>
              <w:rPr>
                <w:rFonts w:hint="eastAsia"/>
                <w:sz w:val="21"/>
                <w:szCs w:val="21"/>
              </w:rPr>
            </w:pPr>
            <w:r>
              <w:rPr>
                <w:rFonts w:hint="eastAsia"/>
                <w:sz w:val="21"/>
                <w:szCs w:val="21"/>
              </w:rPr>
              <w:t>20~28</w:t>
            </w:r>
          </w:p>
        </w:tc>
        <w:tc>
          <w:tcPr>
            <w:tcW w:w="1327" w:type="dxa"/>
            <w:vAlign w:val="center"/>
          </w:tcPr>
          <w:p>
            <w:pPr>
              <w:ind w:firstLine="0" w:firstLineChars="0"/>
              <w:jc w:val="center"/>
              <w:rPr>
                <w:rFonts w:hint="eastAsia"/>
                <w:sz w:val="21"/>
                <w:szCs w:val="21"/>
              </w:rPr>
            </w:pPr>
            <w:r>
              <w:rPr>
                <w:rFonts w:hint="eastAsia"/>
                <w:sz w:val="21"/>
                <w:szCs w:val="21"/>
              </w:rPr>
              <w:t>80~120</w:t>
            </w:r>
          </w:p>
        </w:tc>
        <w:tc>
          <w:tcPr>
            <w:tcW w:w="1327" w:type="dxa"/>
            <w:vAlign w:val="center"/>
          </w:tcPr>
          <w:p>
            <w:pPr>
              <w:ind w:firstLine="0" w:firstLineChars="0"/>
              <w:jc w:val="center"/>
              <w:rPr>
                <w:rFonts w:hint="eastAsia"/>
                <w:sz w:val="21"/>
                <w:szCs w:val="21"/>
              </w:rPr>
            </w:pPr>
            <w:r>
              <w:rPr>
                <w:rFonts w:hint="eastAsia"/>
                <w:sz w:val="21"/>
                <w:szCs w:val="21"/>
              </w:rPr>
              <w:t>0.12~0.25</w:t>
            </w:r>
          </w:p>
        </w:tc>
        <w:tc>
          <w:tcPr>
            <w:tcW w:w="1327" w:type="dxa"/>
            <w:vAlign w:val="center"/>
          </w:tcPr>
          <w:p>
            <w:pPr>
              <w:ind w:firstLine="0" w:firstLineChars="0"/>
              <w:jc w:val="center"/>
              <w:rPr>
                <w:rFonts w:hint="eastAsia"/>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6" w:type="dxa"/>
            <w:vAlign w:val="center"/>
          </w:tcPr>
          <w:p>
            <w:pPr>
              <w:ind w:firstLine="0" w:firstLineChars="0"/>
              <w:jc w:val="center"/>
              <w:rPr>
                <w:rFonts w:hint="eastAsia"/>
                <w:sz w:val="21"/>
                <w:szCs w:val="21"/>
              </w:rPr>
            </w:pPr>
            <w:r>
              <w:rPr>
                <w:rFonts w:hint="eastAsia"/>
                <w:sz w:val="21"/>
                <w:szCs w:val="21"/>
              </w:rPr>
              <w:t>三重管法</w:t>
            </w:r>
          </w:p>
        </w:tc>
        <w:tc>
          <w:tcPr>
            <w:tcW w:w="1326" w:type="dxa"/>
            <w:vAlign w:val="center"/>
          </w:tcPr>
          <w:p>
            <w:pPr>
              <w:ind w:firstLine="0" w:firstLineChars="0"/>
              <w:jc w:val="center"/>
              <w:rPr>
                <w:rFonts w:hint="eastAsia"/>
                <w:sz w:val="21"/>
                <w:szCs w:val="21"/>
              </w:rPr>
            </w:pPr>
            <w:r>
              <w:rPr>
                <w:rFonts w:hint="eastAsia"/>
                <w:sz w:val="21"/>
                <w:szCs w:val="21"/>
              </w:rPr>
              <w:t>25~32</w:t>
            </w:r>
          </w:p>
        </w:tc>
        <w:tc>
          <w:tcPr>
            <w:tcW w:w="1326" w:type="dxa"/>
            <w:vAlign w:val="center"/>
          </w:tcPr>
          <w:p>
            <w:pPr>
              <w:ind w:firstLine="0" w:firstLineChars="0"/>
              <w:jc w:val="center"/>
              <w:rPr>
                <w:rFonts w:hint="eastAsia"/>
                <w:sz w:val="21"/>
                <w:szCs w:val="21"/>
              </w:rPr>
            </w:pPr>
            <w:r>
              <w:rPr>
                <w:rFonts w:hint="eastAsia"/>
                <w:sz w:val="21"/>
                <w:szCs w:val="21"/>
              </w:rPr>
              <w:t>0.7</w:t>
            </w:r>
          </w:p>
        </w:tc>
        <w:tc>
          <w:tcPr>
            <w:tcW w:w="1327" w:type="dxa"/>
            <w:vAlign w:val="center"/>
          </w:tcPr>
          <w:p>
            <w:pPr>
              <w:ind w:firstLine="0" w:firstLineChars="0"/>
              <w:jc w:val="center"/>
              <w:rPr>
                <w:rFonts w:hint="eastAsia"/>
                <w:sz w:val="21"/>
                <w:szCs w:val="21"/>
              </w:rPr>
            </w:pPr>
            <w:r>
              <w:rPr>
                <w:rFonts w:hint="eastAsia"/>
                <w:sz w:val="21"/>
                <w:szCs w:val="21"/>
              </w:rPr>
              <w:object>
                <v:shape id="_x0000_i1311" o:spt="75" type="#_x0000_t75" style="height:13.8pt;width:27pt;" o:ole="t" filled="f" o:preferrelative="t" stroked="f" coordsize="21600,21600">
                  <v:path/>
                  <v:fill on="f" focussize="0,0"/>
                  <v:stroke on="f" joinstyle="miter"/>
                  <v:imagedata r:id="rId608" o:title=""/>
                  <o:lock v:ext="edit" aspectratio="t"/>
                  <w10:wrap type="none"/>
                  <w10:anchorlock/>
                </v:shape>
                <o:OLEObject Type="Embed" ProgID="Equation.DSMT4" ShapeID="_x0000_i1311" DrawAspect="Content" ObjectID="_1468076011" r:id="rId607">
                  <o:LockedField>false</o:LockedField>
                </o:OLEObject>
              </w:object>
            </w:r>
          </w:p>
        </w:tc>
        <w:tc>
          <w:tcPr>
            <w:tcW w:w="1327" w:type="dxa"/>
            <w:vAlign w:val="center"/>
          </w:tcPr>
          <w:p>
            <w:pPr>
              <w:ind w:firstLine="0" w:firstLineChars="0"/>
              <w:jc w:val="center"/>
              <w:rPr>
                <w:rFonts w:hint="eastAsia"/>
                <w:sz w:val="21"/>
                <w:szCs w:val="21"/>
              </w:rPr>
            </w:pPr>
            <w:r>
              <w:rPr>
                <w:rFonts w:hint="eastAsia"/>
                <w:sz w:val="21"/>
                <w:szCs w:val="21"/>
              </w:rPr>
              <w:t>80~150</w:t>
            </w:r>
          </w:p>
        </w:tc>
        <w:tc>
          <w:tcPr>
            <w:tcW w:w="1327" w:type="dxa"/>
            <w:vAlign w:val="center"/>
          </w:tcPr>
          <w:p>
            <w:pPr>
              <w:ind w:firstLine="0" w:firstLineChars="0"/>
              <w:jc w:val="center"/>
              <w:rPr>
                <w:rFonts w:hint="eastAsia"/>
                <w:sz w:val="21"/>
                <w:szCs w:val="21"/>
              </w:rPr>
            </w:pPr>
            <w:r>
              <w:rPr>
                <w:rFonts w:hint="eastAsia"/>
                <w:sz w:val="21"/>
                <w:szCs w:val="21"/>
              </w:rPr>
              <w:t>0.08~0.15</w:t>
            </w:r>
          </w:p>
        </w:tc>
        <w:tc>
          <w:tcPr>
            <w:tcW w:w="1327" w:type="dxa"/>
            <w:vAlign w:val="center"/>
          </w:tcPr>
          <w:p>
            <w:pPr>
              <w:ind w:firstLine="0" w:firstLineChars="0"/>
              <w:jc w:val="center"/>
              <w:rPr>
                <w:rFonts w:hint="eastAsia"/>
                <w:sz w:val="21"/>
                <w:szCs w:val="21"/>
              </w:rPr>
            </w:pPr>
            <w:r>
              <w:rPr>
                <w:rFonts w:hint="eastAsia"/>
                <w:sz w:val="21"/>
                <w:szCs w:val="21"/>
              </w:rPr>
              <w:t>5~15</w:t>
            </w:r>
          </w:p>
        </w:tc>
      </w:tr>
    </w:tbl>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9.2.13 根据工程经验,在标准贯入锤击数N&gt;12的黏性土、标准贯入锤击数N&gt;20的砂土中，最好采用复喷工艺，以增大固结体半径、提高固结体强度。</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9.3.10 《污水排水城市下水道水质》（CJ3082-1999）要求易沉固体最高允许浓度不大于10mg/L。《基坑工程技术规程》（DB159-2012）要求管井抽水应取水样进行含砂量测试，其含砂量应小于1/100000。《武汉市深厚软土区域市政与建筑工程地面沉降防控技术导则》要求全部降水井抽水水样进行见证取样检测，保证含砂率小于1/100000。</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9.4.1 《基坑工程技术规程》（DB159-2012）要求现场抽水试验应模拟工程降水时的特点，合理布置试验井和水位观测井，以求得含水层的有关水文地质参数；抽水试验宜采用群井干扰试验求得含水层的参数以及水位干扰变化的规律：必要时可进行回灌压水(注水)试验。《基坑工程技术规程》（DB159-2012）要求基坑周边有建筑物及地下管线需要保护或坑外水位降低较多时，宜采用回灌措施，设置回灌井点。回灌井的设置应因地制宜，距离降水井点不宜小于6m,避免因回灌形成局部反漏斗，增加基坑壁外侧的水头高度：回灌时应防止井点堵塞及造成地下水污染。</w:t>
      </w:r>
    </w:p>
    <w:p>
      <w:pPr>
        <w:pStyle w:val="20"/>
        <w:spacing w:line="360" w:lineRule="auto"/>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9.4.7</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参考《武汉市深厚软土区域市政与建筑工程地面沉降防控技术导则》要求，在防控区内应逐步建立健全全市区域性地下水位及地面沉降监测网，开展长期地下水及地面沉降动态监测，并逐步建立地下水长期回灌机制，控制区域性地面沉降</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p>
    <w:p>
      <w:pPr>
        <w:rPr>
          <w:rFonts w:hint="eastAsia" w:cs="Times New Roman" w:eastAsiaTheme="minorEastAsia"/>
          <w:bCs/>
          <w:color w:val="000000" w:themeColor="text1"/>
          <w:kern w:val="2"/>
          <w:sz w:val="28"/>
          <w:szCs w:val="28"/>
          <w:lang w:val="en-US" w:eastAsia="zh-CN" w:bidi="ar-SA"/>
          <w14:textFill>
            <w14:solidFill>
              <w14:schemeClr w14:val="tx1"/>
            </w14:solidFill>
          </w14:textFill>
        </w:rPr>
      </w:pPr>
      <w:r>
        <w:rPr>
          <w:rFonts w:hint="eastAsia" w:cs="Times New Roman" w:eastAsiaTheme="minorEastAsia"/>
          <w:bCs/>
          <w:color w:val="000000" w:themeColor="text1"/>
          <w:kern w:val="2"/>
          <w:sz w:val="28"/>
          <w:szCs w:val="28"/>
          <w:lang w:val="en-US" w:eastAsia="zh-CN" w:bidi="ar-SA"/>
          <w14:textFill>
            <w14:solidFill>
              <w14:schemeClr w14:val="tx1"/>
            </w14:solidFill>
          </w14:textFill>
        </w:rPr>
        <w:br w:type="page"/>
      </w:r>
    </w:p>
    <w:p>
      <w:pPr>
        <w:pStyle w:val="2"/>
        <w:numPr>
          <w:ilvl w:val="0"/>
          <w:numId w:val="0"/>
        </w:numPr>
        <w:ind w:leftChars="0"/>
        <w:jc w:val="center"/>
        <w:rPr>
          <w:rFonts w:hint="eastAsia"/>
        </w:rPr>
      </w:pPr>
      <w:bookmarkStart w:id="164" w:name="_Toc9340"/>
      <w:bookmarkStart w:id="165" w:name="_Toc21300"/>
      <w:bookmarkStart w:id="166" w:name="_Toc15779"/>
      <w:r>
        <w:rPr>
          <w:rFonts w:hint="eastAsia"/>
          <w:lang w:val="en-US" w:eastAsia="zh-CN"/>
        </w:rPr>
        <w:t>10</w:t>
      </w:r>
      <w:r>
        <w:rPr>
          <w:rFonts w:hint="eastAsia"/>
        </w:rPr>
        <w:t>基坑监测</w:t>
      </w:r>
      <w:bookmarkEnd w:id="164"/>
      <w:bookmarkEnd w:id="165"/>
      <w:bookmarkEnd w:id="166"/>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10.2.1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当临近明挖隧道区域有重点保护构筑物、水源地或其他溶洞断裂带时，应根据其重要性将其特别纳入监测范围内，并根据实际情况考虑监测频率和监测项目。</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10.2.7 当对于工程风险较大，或有条件的施工现场，可设置远程视频监控系统，采用多人实时监控，增加出现隐患时处置的及时性，以及时候分析问题时调查资料的可靠完整性。</w:t>
      </w:r>
    </w:p>
    <w:p>
      <w:p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br w:type="page"/>
      </w:r>
    </w:p>
    <w:p>
      <w:pPr>
        <w:pStyle w:val="2"/>
        <w:numPr>
          <w:ilvl w:val="0"/>
          <w:numId w:val="0"/>
        </w:numPr>
        <w:ind w:leftChars="0"/>
        <w:jc w:val="cente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bookmarkStart w:id="167" w:name="_Toc6909"/>
      <w:bookmarkStart w:id="168" w:name="_Toc19886"/>
      <w:bookmarkStart w:id="169" w:name="_Toc9056"/>
      <w:r>
        <w:rPr>
          <w:rFonts w:hint="eastAsia"/>
          <w:lang w:val="en-US" w:eastAsia="zh-CN"/>
        </w:rPr>
        <w:t>11</w:t>
      </w:r>
      <w:r>
        <w:rPr>
          <w:rFonts w:hint="eastAsia"/>
        </w:rPr>
        <w:t>主体结构及防水</w:t>
      </w:r>
      <w:bookmarkEnd w:id="167"/>
      <w:bookmarkEnd w:id="168"/>
      <w:bookmarkEnd w:id="169"/>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11.1.2 持久设计状况、短暂设计状况及偶然设计状况均应进行承载能力极限状态设计。持久设计状况应进行正常使用极限状态设计；短暂设计状况可根据需要进行正常使用极限状态设计；偶然设计状况可不进行正常使用极限状态设计。</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11.1.4 根据《混凝土结构耐久性设计标准》GB/T50476-2019第3.5.5条和《地下工程防水技术规范》GB50108-2008第4.1.7条，在地下工程中宽度小于0.2mm的裂缝多数可以自行愈合，且可以有效隔断临水侧水份的迁移供给。因此，对于有自防水要求的混凝土构件，其表面裂缝计算宽度限值宜按外侧0.2mm、内侧0.3mm取值。考虑到区间隧道均设置有利于保护混凝土结构的防水层，且结构的厚度也比较大，因此本条文对于干湿交替条件下的裂缝宽度进行了有条件放宽，即厚度不小于300mm的钢筋混凝土结构可不计干湿交替作用，最小裂缝宽度按0.3mm控制。当混凝土保护层厚度较大时，虽然裂缝宽度的计算值也较大，但从总体上看，较大的混凝土保护层厚度对防止钢筋锈蚀是有利的，当设计采用的最大裂缝宽度计算式中保护层的实际厚度超过30mm时，可将保护层厚度的计算值取为30mm。</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11.2.1 抗震性能验算是根据结构物的类型和地震动的等级对结构的抗震能力进行检验，地面结构抗震验算规定不对抗震设防地震动分档0.05g及以下的结构进行抗震验算，但应符合有关抗震措施的要求。地下结构的抗震性能优于地面结构，但考虑到铁路隧道的重要性较高修复困难，本规范规定对抗震设防地震动分档0.10(0.15)g及以上的铁路隧道进行抗震验算，抗震设防地震动分档</w:t>
      </w:r>
      <w:r>
        <w:rPr>
          <w:rFonts w:hint="eastAsia" w:cs="Times New Roman" w:eastAsiaTheme="minorEastAsia"/>
          <w:bCs/>
          <w:color w:val="000000" w:themeColor="text1"/>
          <w:kern w:val="2"/>
          <w:sz w:val="28"/>
          <w:szCs w:val="28"/>
          <w:lang w:val="en-US" w:eastAsia="zh-CN" w:bidi="ar-SA"/>
          <w14:textFill>
            <w14:solidFill>
              <w14:schemeClr w14:val="tx1"/>
            </w14:solidFill>
          </w14:textFill>
        </w:rPr>
        <w:t>0.</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10(0.15)g以下的地下结构采取构造措施处理。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11.4.1 隧道的养护、维修应该在天窗时间内完成，动车组运行过程中禁止人员进入，因此可以不设置大、小避车洞及绝缘梯洞。设备洞室与正洞连接处易出现应力集中导致衬砌开裂并出现渗漏。因此，为了最大限度保证施工与结构安全，应统筹考虑设备洞室，尽量减少在隧道结构上开孔作业。</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11.4.2 隧道管线敷设需要根据专业需求，结合隧道结构形式，充分利用隧道空间。一般情况下，根据断面空间可以将电缆置于电缆槽内，其他情况如盾构隧道空间形式特殊性，可以考虑将电缆统筹规划后采用悬挂方式放置。电缆槽水沟盖板作为救援通道一级维修养护通道的行走面，需要平整稳固。水沟电缆沟槽侧壁较薄，由于混凝土收缩作用容易产生裂纹，构造配筋可以对裂纹起到抑制作用。</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11.4.3 隧道下锚区段衬砌断面较大，隧道正常断面与下锚扩大断面过渡转换处，钢架设置以及施工状态不连续，施工时具有一定风险，因此尽量选择设置在地质条件较好的区域；隧道下锚区段不应占用疏散通道宽度。</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11.4.5国内相关计算研究结构表明空气动力学效应引起的隧道附加荷载对附属构筑物安装影响是副作用的，不容忽视。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11.5.1 参照《铁路隧道设计规范》（TB10003-2016）设置。</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11.5.2 明挖隧道结构缝设置应确保结构延纵向整体受力。当变形缝处可能发生较大差异变形时，可考虑设置抗剪键。</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11.6.1 勘察、设计、施工、管理和围护保养的每一个环节都考虑防排水要求，根据地质与气候条件、线路纵断面、结构型式、施工技术、防水等级、材料来源和价格因素，因地制宜的选择相适应的防排水措施。为避免过分要求高指标或片面降低防水标准，造成工程造价高或维修施工困难，因此隧道防水应做到定级准确、方案可靠、经济合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11.6.2 强调混凝土结构自防水的重要性，参照《铁路隧道设计规范》（TB10003-2016）设置本条。</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11.6.3 1 明挖隧道防水工程不单纯地以最高地下水位而定，还应综合分析历年水位</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 地质资料、根据工程重要性、工程建成后地下水位变化的可能性等因素而定。明挖隧道工程不仅受地下水、上层滞水、毛细管水等作用，也受地表水的作用，同时随着人们对水资源保护意识的加强，合理开发利用水资源的人为活动将会引起水文地质条件的改变，也会对明挖隧道工程造成影响，因此地下工程不能单纯以地下最高水位来确定工程防水标高。</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 全封闭不排水隧道的设置原则参照《铁路隧道设计规范》（TB10003-2016）</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11.6.4 明确明挖隧道防水工程设计内容，避免了工程防水设计时的随意性，使防水设计规范化，在明挖隧道工程建设设计阶段就对防水有明确的要求，为确保明挖隧道工程正常使用打下良好的基础。</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11.6.5~11.6</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.6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隧道漏水会造成衬砌腐蚀、轨道及零配件锈蚀、隧底道床翻浆、挂冰侵限、电力牵引地段漏电等病害加剧，危害隧道结构的耐久性，影响行车及人身安全。</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参考《地下工程防水技术规范》GB50108和《建筑与市政工程通用防水规范》GB55030的规定，制定了铁路明挖隧道防水等级标准及适用范围。考虑了I级、Ⅱ级铁路年货运量及功能的差异要求，车站隧道、机电设备安装洞室、电化与非电化铁路隧道、隧道间联络通道等对环境防水要求的不同，本规范防水等级标准略高于公路隧道、地铁的防排水技术标准。</w:t>
      </w:r>
    </w:p>
    <w:p>
      <w:pPr>
        <w:pStyle w:val="20"/>
        <w:spacing w:line="360" w:lineRule="auto"/>
        <w:ind w:firstLine="560" w:firstLineChars="200"/>
        <w:rPr>
          <w:rFonts w:ascii="楷体" w:hAnsi="楷体" w:eastAsia="楷体"/>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一级：《地下工程防水技术规范》GB50108中的“一级”规定适用范围为“极重要的战备工程、地铁车站”，其适用范围为：“办公用房属人员长期停留场所，档案库、文物库属少量湿渍会使物品变质、失效的贮物场所，配电间、地下铁道车站顶部属少量湿渍会严重影响设备正常运转和危及工程安全运营的场所或部位，指挥工程属极重要的战备工程，都应定为一级”。由于铁路隧道所处的地质、水文地质条件环境较城市地下工程更为复杂多变，而运行速度高，对设备的可靠性依赖性强，为保证在设计使用年限内运营的安全，故本规范确定一级防水适用于：</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（1）有客运作业或装修要求的车站隧道：属人员活动密集区，段内关系运营安全的较高精度机电控制设备安装及装修对湿度的要求较高，同时有人员长期停留或作业，其拱墙衬砌釆用一级防水标准。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（2）高速铁路隧道：由于运行速度高，需保证其设备的高可靠性，防止衬砌结构因渗水而岀现异变，其拱墙衬砌采用一级防水标准。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（3）寒冷地区的隧道：渗水将可能导致衬砌因冻害而破坏，更易出现挂冰侵限危及运营安全，故规定隧道防冻害设防段衬砌采用一级防水标准。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（4）隧道内供人员长期工作的洞室指：车站隧道内用作办公室、有人值守的控制室、工作人员休息室的洞室。</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5）因少量湿渍而影响设备正常运转、危及运营安全的设备洞室：隧道内设置车站或信号中继站时的信号机械室；地下车站、特长隧道、隧道群、隧道内救援站内设置的电力变电所室；电气化开关设备、控制设备室。</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内设置车站、信号中继站时，信号机械室用于安装信号控制系统的核心设备，其工作环境要求达到计算机机房环境，即无湿渍。地下车站、特长隧道、隧道群内设置的电力变电所承担着向隧道通风机械、防灾救援设备、车站通信、信号、BAS、FAS、SCADA、应急电源、照明等重要负荷供电，主要设备有变压器、高低压开关柜、控制保护、远动装置等，长期处于潮湿环境可能影响供电安全和设备使用寿命。特定情况下（如由于外部地质环境、防水体系的瑕疵、防水技术或投资原因等），可以釆取在洞内建设房屋（如釆用密闭式套衬的形式）或设备本体釆用电气密闭等防护措施来适应环境。故电力变电所洞室釆用一级防水。电气化开关设备、控制设备室内安装有控制保护设备，为设备控制提供操作电源，对牵引供电设备及线路进行停送电及短路保护，要求环境达到计算机机房环境要求，即无水渍，在洞室环境不能达到正常工作环境的要求时还需暖通专业设置空调以满足洞内大气环境温、湿度条件要求，故采用一级防水等级。</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二级：《地下工程防水技术规范》GB50108—2008中对应的“二级”适用范围为“一般生产车间属人员经常活动的场所，地下车库属有少量湿渍不会使物品变质、失效的场所，电气化隧道、地铁隧道、城市公路隧道、公路隧道侧墙属有少量湿渍基本不影响设备正常运转和工程安全运营的场所或部位，人员掩蔽工程属重要的战备工程，故应定为“二级”。按照以较高标准保证运营安全的理念，本规范确定二级防水用于：</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（1）电气化铁路隧道、内燃机车牵引的铁路隧道拱墙衬砌：对于普通电气化铁路隧道和内燃机车牵引的隧道衬砌，少量湿渍或不流淌的水膜不会影响其使用功能，衬砌拱墙采用二级防水标准。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隧底结构：隧底结构少量湿渍或不流淌的水膜不会携带下部围岩的固体物质而诱发翻浆冒泥等病害，在洞内良好的排水系统的保障下，也不会导致积水等不利现象。铁路隧道多年的运营实践表明，隧底结构的病害往往是由于隧底结构本身的强度不够造成结构破损，疏于水沟清理而造成水沟淤积、排水不畅，施工缝、变形缝部位防水失效造成地下水排不岀去或积聚在基底以下，在列车动荷载和地下积水的作用下基底软化，沟墙开裂或倾倒，铺底或仰拱破损，从而导致了道床翻浆、线路走形部位变形等，究其原因，其更强调结构的安全性和排水系统的有效性，而与隧底结构的防水等级无关。在当前我国铁路隧道建设中，隧底结构主要采用了抗渗等级不低于P8的钢筋混凝土底板或仰拱，施工缝、变形缝主要采用止水带、止水条等防水措施，实践表明在施工质量达到设计要求的情况下，不会出现漏水和积水等现象，故隧底结构釆用二级防水标准。</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（3）安装一般电气设备的洞室指：信号的集装箱式机房室；电力的箱式变电站室；综合配电箱室；机械专业的电气设备控制室；电气化的变压器室。</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信号专业的集装箱式机房虽然安装了信号控制系统的核心设备，但防水要求达到无水浸泡即可保证设备的正常运转；电力专业在普速、高速铁路、客货共线铁路、地铁中大量使用的箱式变电站、综合洞室对防水的要求较低，只要洞室顶部、侧壁不漏水、基础无积水即可满足设备使用要求；机械专业安装控制防火门、风机运行的设备控制室的防护等级为IP44JP65，其要求是防止飞溅、喷射水的侵入，二级防水完全可满足其工作环境要求；电化专业变压器在洞室表面有湿渍、渗水的情况下，能够正常工作。故将上述设备列为一般电气设备，其安装洞室采用二级防水。</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4）辅助坑道内安装电动防火门、风机及其控制设备的段落：辅助坑道内安装防火门、风机及其控制设备段落的防护等级为IP44JP65，主要是防止飞溅（喷射）的水侵入，防止来自各方向飞溅而来（由喷嘴喷射出）的水进入灯具造成损坏，其对环境的要求主要限于湿度，在结构表面有水渍和渗水的情况下，设备仍能够正常地运转，故釆用二级防水标准。</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三级：适用于运营期间有人员通行的、作为防灾救援、逃逸、通风排烟、检修通道的辅助坑道或专设通道，以及安装非电气设备的洞室。</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对隧道的不同部位、不同功能根据渗漏水对隧道运营的影响，本规范釆取了不同的防水等级，这主要是从隧道防水工程的经济性、必要性和技术可行性上综合考虑的，这与《地下工程防水技术规范》GB50108中“对于一个工程（特别是大型工程），因工程内部各部分的用途不同，其防水等级可以有所差别”的理念是相同的。由于隧道的防水是多种工程措施和材料构建的系统工程、防水等级是隧道所釆用的防排水措施综合作用下防水功能的体现，不能理解为不同的防水等级单纯依靠某一种材料采用不同抗渗指标来实现。</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一般说来，隧道的防水与排水是对立统一的，隧道的防水效果与其排水的方式、方法及控制直接相关。在此基础上，隧道的防水效果是依靠防水系统采用防水材料、防水材料组合的综合作用实现的。但是，隧道的防水等级是根据运营需要确定的防、排水系统综合能力的体现，而不是直接确定防水材料或其组合方式。在隧道的防水设计中，同一防水等级是根据不同的地下水环境、不同的排水条件采用不同的防水材料或其组合方式得以实现。</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11.6.7 隧道衬砌混凝土抗渗等级的确定与防水要求、衬砌后水压、衬砌厚度等有直接关系，本条文仅对不同防水等级条件下的混凝土最小抗渗等级做了规定。</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11.6.8 明挖隧道施工缝与变形缝的渗漏水是较为常见且难以根治的一个环节，通过设置多道防水措施来达到施工缝和变形缝不漏水的目的。</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根据施工缝、变形缝的结构特征、不同的防水等级选用不同的防水措施，防水等级越高，拟采用的措施越多，一方面是为了解决缝的渗漏率高的问题，另一方面是防止因结构变形而出现防水能力退化，保证工程整体的防水质量。</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防水密封材料是一些能使建筑上的接缝保持水密、气密性能，并且具有一定强度，能连接结构件的填充材料。常用的密封材料有硅酮、聚氨酯、聚硫、丙烯酸酯等密封材料。</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11.6.9 外加剂种类多样，包括减水剂、防水剂、膨胀剂等，通过外加剂的加入补偿收缩混凝土配合比设计，经试验确定外加剂的掺量。</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6.4.10</w:t>
      </w:r>
      <w:r>
        <w:rPr>
          <w:rFonts w:hint="eastAsia" w:cs="Times New Roman" w:eastAsiaTheme="minorEastAsia"/>
          <w:bCs/>
          <w:color w:val="000000" w:themeColor="text1"/>
          <w:kern w:val="2"/>
          <w:sz w:val="28"/>
          <w:szCs w:val="28"/>
          <w:lang w:val="en-US" w:eastAsia="zh-CN" w:bidi="ar-SA"/>
          <w14:textFill>
            <w14:solidFill>
              <w14:schemeClr w14:val="tx1"/>
            </w14:solidFill>
          </w14:textFill>
        </w:rPr>
        <w:t>~</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6.4.11</w:t>
      </w:r>
      <w:r>
        <w:rPr>
          <w:rFonts w:hint="eastAsia" w:cs="Times New Roman" w:eastAsiaTheme="minorEastAsia"/>
          <w:bCs/>
          <w:color w:val="000000" w:themeColor="text1"/>
          <w:kern w:val="2"/>
          <w:sz w:val="28"/>
          <w:szCs w:val="28"/>
          <w:lang w:val="en-US" w:eastAsia="zh-CN" w:bidi="ar-SA"/>
          <w14:textFill>
            <w14:solidFill>
              <w14:schemeClr w14:val="tx1"/>
            </w14:solidFill>
          </w14:textFill>
        </w:rPr>
        <w:t xml:space="preserve"> </w:t>
      </w: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铁路明挖隧道主体结构的耐久性要求高于一般地下工程，而防水混凝土的耐久性与混凝土的抗渗等级和氯离子扩散系数密切相关，因此除了提出混凝土的抗渗等级要求外，参考现行《混凝土结构耐久性设计规范》GB/T 50476的相关条款，增加了现浇防水混凝土处于氯化物环境中的氯离子扩散系数指标。</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明挖隧道所处的环境较为复杂、恶劣，结构主体长期浸泡在水中或受到各种侵蚀介质的侵蚀以及冻融、干湿交替的作用，易使混凝土结构随着时间的推移，逐渐产生劣化，各种侵蚀介质对混凝土的破坏与混凝土自身的透水性和吸水性密切相关。一旦结构抗渗性能下降，易发生结构渗漏水现象，导致接触网等四电设备故障、轨道及附属金属构件锈蚀，同时地下水中的侵蚀性介质使结构劣化，使混凝土结构开裂、剥落，导致结构的耐久性下降，影响铁路的安全运营。故防水混凝土的配制首先应以满足抗渗等级要求作为主要设计依据，同时也应根据工程所处环境条件和工作条件需要，相应满足抗压、抗裂、抗冻和抗侵蚀性等耐久性要求。</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11.6.18 针对纵缝设置的位置，《地下工程防水技术规范》中要求墙体水平施工缝不应留在剪力最大处或底板与侧墙的交接处，应留在高出底板表面不小于300mm的墙体上。拱（板）墙结合的水平施工缝，宜留在拱（板）墙接缝线以下150~300mm处，墙体有预留孔洞时，施工缝距空洞边缘不应小于300mm。《铁路隧道设计规范》8.2.7中要求隧道衬砌纵向施工缝应设在水沟盖板面以下、侧沟过水面以上。</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考虑到明挖法隧道衬砌轮廓的多样性，对于常规的、标准的区间断面，应优先执行《铁路隧道设计规范》要求，对于特殊断面，例如盾构始发段扩大结构、盾构井、疏散井、风井等，应根据结构受力情况另行研究确定。当基坑支护采用内支撑时，应考虑支撑架设高程对施工缝位置的影响，统筹主体结构和基坑支护结构设计。</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隧道衬砌环向施工缝间距过大，会导致一次浇筑段落过长，混凝土浇筑质量难以控制，已发生不均匀沉降裂缝和干缩裂缝，间距过小则会导致施工工效降低，并增加渗漏风险点，采用跳仓浇筑可有效降低不均匀沉降裂缝、温度应力裂缝的影响。</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11.6.19 采用机械排水的隧道，为减少水泵负荷，降低极端情况下泵站排水能力不足的风险，地下水丰富地段宜采用全包不排水设计。</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根据运营铁路的管理经验，泵站设置直通地面的检修通道有利于快速进入泵站检修，且在极端情况下便于吊装备用泵。</w:t>
      </w: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设计排水量应综合考虑渗漏水和消防瞬时排水，隧道渗漏水量可参照周边类似工程运营期最大渗漏水量并留有冗余，或建议按以下假设估算并留有冗余：</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（1）衬砌表面渗漏水量按设计防水等级降低一级考虑；</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（2）施工缝、变形缝渗漏水量按接缝防水措施全部失效考虑。</w:t>
      </w:r>
    </w:p>
    <w:p>
      <w:p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br w:type="page"/>
      </w:r>
    </w:p>
    <w:p>
      <w:pPr>
        <w:pStyle w:val="2"/>
        <w:numPr>
          <w:ilvl w:val="0"/>
          <w:numId w:val="0"/>
        </w:numPr>
        <w:ind w:leftChars="0"/>
        <w:jc w:val="center"/>
      </w:pPr>
      <w:bookmarkStart w:id="170" w:name="_Toc14331"/>
      <w:bookmarkStart w:id="171" w:name="_Toc15272"/>
      <w:bookmarkStart w:id="172" w:name="_Toc18504"/>
      <w:r>
        <w:rPr>
          <w:rFonts w:hint="eastAsia"/>
          <w:lang w:val="en-US" w:eastAsia="zh-CN"/>
        </w:rPr>
        <w:t>12</w:t>
      </w:r>
      <w:r>
        <w:rPr>
          <w:rFonts w:hint="eastAsia"/>
        </w:rPr>
        <w:t>环境</w:t>
      </w:r>
      <w:r>
        <w:t>保护</w:t>
      </w:r>
      <w:bookmarkEnd w:id="170"/>
      <w:bookmarkEnd w:id="171"/>
      <w:bookmarkEnd w:id="172"/>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12.2.1 对大气环境质量要求中根据一般要求，环境空气质量功能区分为一类、二类、三类，其中一般规定主要参考《环境空气质量标准》（GB3095-2012）。</w:t>
      </w:r>
    </w:p>
    <w:p>
      <w:pP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br w:type="page"/>
      </w:r>
    </w:p>
    <w:p>
      <w:pPr>
        <w:pStyle w:val="2"/>
        <w:numPr>
          <w:ilvl w:val="0"/>
          <w:numId w:val="0"/>
        </w:numPr>
        <w:rPr>
          <w:rFonts w:hint="eastAsia"/>
        </w:rPr>
      </w:pPr>
      <w:bookmarkStart w:id="173" w:name="_Toc11842"/>
      <w:bookmarkStart w:id="174" w:name="_Toc4443"/>
      <w:bookmarkStart w:id="175" w:name="_Toc29481"/>
      <w:r>
        <w:rPr>
          <w:rFonts w:hint="eastAsia"/>
        </w:rPr>
        <w:t>附</w:t>
      </w:r>
      <w:r>
        <w:rPr>
          <w:rFonts w:hint="eastAsia"/>
          <w:lang w:val="en-US" w:eastAsia="zh-CN"/>
        </w:rPr>
        <w:t xml:space="preserve"> </w:t>
      </w:r>
      <w:r>
        <w:rPr>
          <w:rFonts w:hint="eastAsia"/>
        </w:rPr>
        <w:t>录</w:t>
      </w:r>
      <w:bookmarkEnd w:id="173"/>
      <w:bookmarkEnd w:id="174"/>
      <w:bookmarkEnd w:id="175"/>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r>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t>C.0.3 条文说明：C.0.1、C. 0.2本规程公式(C.0.1)、公式(C.0.2）是两种典型渗流模型的渗透稳定性验算公式。其中公式（(C.0.2)用于渗透系数为常数的均质含水层的渗透稳定性验算，公式(C.0.1)用于基底下有水平向连续分布的相对隔水层，而其下方为承压含水层的渗透稳定性验算（即所谓突涌)。如该相对隔水层顶板低于基底，其上方为砂土等渗透性较强的土层，其重量对相对隔水层起到压重的作用，所以，按公式(C.0.1）验算时，隔水层上方的砂土等应按天然重度取值。</w:t>
      </w: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pStyle w:val="20"/>
        <w:spacing w:line="360" w:lineRule="auto"/>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pStyle w:val="20"/>
        <w:spacing w:line="360" w:lineRule="auto"/>
        <w:rPr>
          <w:rFonts w:hint="default" w:cs="Times New Roman" w:eastAsiaTheme="minorEastAsia"/>
          <w:bCs/>
          <w:color w:val="000000" w:themeColor="text1"/>
          <w:kern w:val="2"/>
          <w:sz w:val="28"/>
          <w:szCs w:val="28"/>
          <w:lang w:val="en-US" w:eastAsia="zh-CN" w:bidi="ar-SA"/>
          <w14:textFill>
            <w14:solidFill>
              <w14:schemeClr w14:val="tx1"/>
            </w14:solidFill>
          </w14:textFill>
        </w:rPr>
      </w:pPr>
    </w:p>
    <w:p>
      <w:pPr>
        <w:pStyle w:val="20"/>
        <w:spacing w:line="360" w:lineRule="auto"/>
        <w:ind w:firstLine="560" w:firstLineChars="200"/>
        <w:rPr>
          <w:rFonts w:hint="eastAsia" w:ascii="Times New Roman" w:hAnsi="Times New Roman" w:cs="Times New Roman" w:eastAsiaTheme="minorEastAsia"/>
          <w:bCs/>
          <w:color w:val="000000" w:themeColor="text1"/>
          <w:kern w:val="2"/>
          <w:sz w:val="28"/>
          <w:szCs w:val="28"/>
          <w:lang w:val="en-US" w:eastAsia="zh-CN" w:bidi="ar-SA"/>
          <w14:textFill>
            <w14:solidFill>
              <w14:schemeClr w14:val="tx1"/>
            </w14:solidFill>
          </w14:textFill>
        </w:rPr>
      </w:pPr>
    </w:p>
    <w:p>
      <w:pPr>
        <w:ind w:firstLine="482"/>
        <w:rPr>
          <w:rFonts w:hint="eastAsia" w:ascii="楷体" w:hAnsi="楷体" w:eastAsia="楷体"/>
        </w:rPr>
      </w:pPr>
    </w:p>
    <w:p>
      <w:pPr>
        <w:spacing w:before="62" w:line="254" w:lineRule="auto"/>
        <w:ind w:right="24" w:firstLine="480"/>
        <w:rPr>
          <w:rFonts w:cs="Times New Roman"/>
          <w:color w:val="000000"/>
          <w:kern w:val="0"/>
        </w:rPr>
      </w:pPr>
    </w:p>
    <w:p>
      <w:pPr>
        <w:spacing w:before="62" w:line="254" w:lineRule="auto"/>
        <w:ind w:right="24" w:firstLine="480"/>
        <w:rPr>
          <w:rFonts w:cs="Times New Roman"/>
          <w:bCs/>
          <w:color w:val="000000"/>
          <w:kern w:val="0"/>
        </w:rPr>
      </w:pPr>
    </w:p>
    <w:sectPr>
      <w:footerReference r:id="rId28" w:type="default"/>
      <w:pgSz w:w="11906" w:h="16838"/>
      <w:pgMar w:top="1418" w:right="1418" w:bottom="1418" w:left="1418" w:header="851" w:footer="992" w:gutter="0"/>
      <w:pgNumType w:fmt="decimal" w:start="1"/>
      <w:cols w:space="425" w:num="1"/>
      <w:docGrid w:type="lines"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叶少敏" w:date="2023-03-21T11:45:00Z" w:initials="ye">
    <w:p w14:paraId="18015C91">
      <w:pPr>
        <w:pStyle w:val="8"/>
        <w:ind w:firstLine="480"/>
      </w:pPr>
      <w:r>
        <w:rPr>
          <w:rFonts w:hint="eastAsia"/>
        </w:rPr>
        <w:t>1</w:t>
      </w:r>
      <w:r>
        <w:t>1.5.1与</w:t>
      </w:r>
      <w:r>
        <w:rPr>
          <w:rFonts w:hint="eastAsia"/>
        </w:rPr>
        <w:t>1</w:t>
      </w:r>
      <w:r>
        <w:t>1.5.2调整了下顺序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8015C9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宋体z胭..饺.">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e眠副浡渀.">
    <w:altName w:val="宋体"/>
    <w:panose1 w:val="00000000000000000000"/>
    <w:charset w:val="86"/>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2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81"/>
        <w:tab w:val="clear" w:pos="4153"/>
      </w:tabs>
      <w:ind w:left="0" w:leftChars="0" w:firstLine="0" w:firstLineChars="0"/>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II</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81"/>
        <w:tab w:val="clear" w:pos="4153"/>
      </w:tabs>
      <w:ind w:left="0" w:leftChars="0" w:firstLine="0" w:firstLineChars="0"/>
      <w:rPr>
        <w:rFonts w:hint="eastAsia" w:eastAsia="宋体"/>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81"/>
        <w:tab w:val="clear" w:pos="4153"/>
      </w:tabs>
      <w:ind w:left="0" w:leftChars="0" w:firstLine="0" w:firstLineChars="0"/>
      <w:rPr>
        <w:rFonts w:hint="eastAsia" w:eastAsia="宋体"/>
        <w:lang w:val="en-US" w:eastAsia="zh-CN"/>
      </w:rPr>
    </w:pPr>
    <w:r>
      <w:rPr>
        <w:sz w:val="18"/>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3"/>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2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2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fldChar w:fldCharType="begin"/>
    </w:r>
    <w:r>
      <w:instrText xml:space="preserve"> PAGE   \* MERGEFORMAT </w:instrText>
    </w:r>
    <w:r>
      <w:fldChar w:fldCharType="separate"/>
    </w:r>
    <w:r>
      <w:rPr>
        <w:lang w:val="zh-CN"/>
      </w:rPr>
      <w:t>13</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w:fldChar w:fldCharType="begin"/>
    </w:r>
    <w:r>
      <w:instrText xml:space="preserve"> PAGE   \* MERGEFORMAT </w:instrText>
    </w:r>
    <w:r>
      <w:fldChar w:fldCharType="separate"/>
    </w:r>
    <w:r>
      <w:rPr>
        <w:lang w:val="zh-CN"/>
      </w:rPr>
      <w:t>13</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581"/>
        <w:tab w:val="clear" w:pos="4153"/>
      </w:tabs>
      <w:ind w:left="0" w:leftChars="0" w:firstLine="0" w:firstLineChars="0"/>
      <w:rPr>
        <w:rFonts w:hint="eastAsia" w:eastAsia="宋体"/>
        <w:lang w:val="en-US"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3"/>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0"/>
      <w:spacing w:before="120" w:after="120"/>
    </w:pPr>
    <w:r>
      <w:t>xx/T 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8AA4B"/>
    <w:multiLevelType w:val="singleLevel"/>
    <w:tmpl w:val="B718AA4B"/>
    <w:lvl w:ilvl="0" w:tentative="0">
      <w:start w:val="1"/>
      <w:numFmt w:val="decimal"/>
      <w:suff w:val="space"/>
      <w:lvlText w:val="%1）"/>
      <w:lvlJc w:val="left"/>
    </w:lvl>
  </w:abstractNum>
  <w:abstractNum w:abstractNumId="1">
    <w:nsid w:val="BCF802FC"/>
    <w:multiLevelType w:val="singleLevel"/>
    <w:tmpl w:val="BCF802FC"/>
    <w:lvl w:ilvl="0" w:tentative="0">
      <w:start w:val="1"/>
      <w:numFmt w:val="decimal"/>
      <w:suff w:val="space"/>
      <w:lvlText w:val="%1）"/>
      <w:lvlJc w:val="left"/>
    </w:lvl>
  </w:abstractNum>
  <w:abstractNum w:abstractNumId="2">
    <w:nsid w:val="BDDDA834"/>
    <w:multiLevelType w:val="singleLevel"/>
    <w:tmpl w:val="BDDDA834"/>
    <w:lvl w:ilvl="0" w:tentative="0">
      <w:start w:val="1"/>
      <w:numFmt w:val="decimal"/>
      <w:suff w:val="space"/>
      <w:lvlText w:val="%1）"/>
      <w:lvlJc w:val="left"/>
    </w:lvl>
  </w:abstractNum>
  <w:abstractNum w:abstractNumId="3">
    <w:nsid w:val="CF4B76DC"/>
    <w:multiLevelType w:val="singleLevel"/>
    <w:tmpl w:val="CF4B76DC"/>
    <w:lvl w:ilvl="0" w:tentative="0">
      <w:start w:val="1"/>
      <w:numFmt w:val="decimal"/>
      <w:suff w:val="space"/>
      <w:lvlText w:val="%1)"/>
      <w:lvlJc w:val="left"/>
    </w:lvl>
  </w:abstractNum>
  <w:abstractNum w:abstractNumId="4">
    <w:nsid w:val="FC4E51F2"/>
    <w:multiLevelType w:val="singleLevel"/>
    <w:tmpl w:val="FC4E51F2"/>
    <w:lvl w:ilvl="0" w:tentative="0">
      <w:start w:val="1"/>
      <w:numFmt w:val="decimal"/>
      <w:suff w:val="space"/>
      <w:lvlText w:val="%1）"/>
      <w:lvlJc w:val="left"/>
    </w:lvl>
  </w:abstractNum>
  <w:abstractNum w:abstractNumId="5">
    <w:nsid w:val="FCFE6EF1"/>
    <w:multiLevelType w:val="singleLevel"/>
    <w:tmpl w:val="FCFE6EF1"/>
    <w:lvl w:ilvl="0" w:tentative="0">
      <w:start w:val="1"/>
      <w:numFmt w:val="decimal"/>
      <w:suff w:val="nothing"/>
      <w:lvlText w:val="%1-"/>
      <w:lvlJc w:val="left"/>
    </w:lvl>
  </w:abstractNum>
  <w:abstractNum w:abstractNumId="6">
    <w:nsid w:val="06593EA6"/>
    <w:multiLevelType w:val="multilevel"/>
    <w:tmpl w:val="06593EA6"/>
    <w:lvl w:ilvl="0" w:tentative="0">
      <w:start w:val="1"/>
      <w:numFmt w:val="upperRoman"/>
      <w:lvlText w:val="%1."/>
      <w:lvlJc w:val="center"/>
      <w:pPr>
        <w:ind w:left="420" w:hanging="420"/>
      </w:pPr>
      <w:rPr>
        <w:rFonts w:hint="default" w:ascii="Times New Roman" w:hAnsi="Times New Roman" w:eastAsia="宋体"/>
        <w:b w:val="0"/>
        <w:i w:val="0"/>
        <w:color w:val="0070C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EF206C4"/>
    <w:multiLevelType w:val="multilevel"/>
    <w:tmpl w:val="0EF206C4"/>
    <w:lvl w:ilvl="0" w:tentative="0">
      <w:start w:val="1"/>
      <w:numFmt w:val="decimal"/>
      <w:lvlText w:val="%1)"/>
      <w:lvlJc w:val="left"/>
      <w:pPr>
        <w:ind w:left="840" w:hanging="360"/>
      </w:pPr>
      <w:rPr>
        <w:rFonts w:hint="default"/>
        <w:sz w:val="28"/>
        <w:szCs w:val="28"/>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11359729"/>
    <w:multiLevelType w:val="singleLevel"/>
    <w:tmpl w:val="11359729"/>
    <w:lvl w:ilvl="0" w:tentative="0">
      <w:start w:val="1"/>
      <w:numFmt w:val="decimal"/>
      <w:suff w:val="space"/>
      <w:lvlText w:val="%1)"/>
      <w:lvlJc w:val="left"/>
    </w:lvl>
  </w:abstractNum>
  <w:abstractNum w:abstractNumId="9">
    <w:nsid w:val="19267B6F"/>
    <w:multiLevelType w:val="multilevel"/>
    <w:tmpl w:val="19267B6F"/>
    <w:lvl w:ilvl="0" w:tentative="0">
      <w:start w:val="1"/>
      <w:numFmt w:val="upperRoman"/>
      <w:pStyle w:val="52"/>
      <w:lvlText w:val="%1."/>
      <w:lvlJc w:val="center"/>
      <w:pPr>
        <w:ind w:left="420" w:hanging="420"/>
      </w:pPr>
      <w:rPr>
        <w:rFonts w:hint="default" w:ascii="Times New Roman" w:hAnsi="Times New Roman" w:eastAsia="宋体"/>
        <w:b w:val="0"/>
        <w:i w:val="0"/>
        <w:color w:val="0070C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9A33260"/>
    <w:multiLevelType w:val="multilevel"/>
    <w:tmpl w:val="19A33260"/>
    <w:lvl w:ilvl="0" w:tentative="0">
      <w:start w:val="1"/>
      <w:numFmt w:val="upperRoman"/>
      <w:lvlText w:val="%1."/>
      <w:lvlJc w:val="center"/>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1A0040C2"/>
    <w:multiLevelType w:val="singleLevel"/>
    <w:tmpl w:val="1A0040C2"/>
    <w:lvl w:ilvl="0" w:tentative="0">
      <w:start w:val="1"/>
      <w:numFmt w:val="decimal"/>
      <w:suff w:val="space"/>
      <w:lvlText w:val="%1）"/>
      <w:lvlJc w:val="left"/>
    </w:lvl>
  </w:abstractNum>
  <w:abstractNum w:abstractNumId="12">
    <w:nsid w:val="29C5E076"/>
    <w:multiLevelType w:val="singleLevel"/>
    <w:tmpl w:val="29C5E076"/>
    <w:lvl w:ilvl="0" w:tentative="0">
      <w:start w:val="1"/>
      <w:numFmt w:val="decimal"/>
      <w:suff w:val="space"/>
      <w:lvlText w:val="%1)"/>
      <w:lvlJc w:val="left"/>
    </w:lvl>
  </w:abstractNum>
  <w:abstractNum w:abstractNumId="13">
    <w:nsid w:val="3D0D6DB9"/>
    <w:multiLevelType w:val="multilevel"/>
    <w:tmpl w:val="3D0D6DB9"/>
    <w:lvl w:ilvl="0" w:tentative="0">
      <w:start w:val="1"/>
      <w:numFmt w:val="decimal"/>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4">
    <w:nsid w:val="4E067708"/>
    <w:multiLevelType w:val="multilevel"/>
    <w:tmpl w:val="4E067708"/>
    <w:lvl w:ilvl="0" w:tentative="0">
      <w:start w:val="1"/>
      <w:numFmt w:val="decimal"/>
      <w:pStyle w:val="2"/>
      <w:lvlText w:val="%1"/>
      <w:lvlJc w:val="left"/>
      <w:pPr>
        <w:ind w:left="0" w:firstLine="0"/>
      </w:pPr>
      <w:rPr>
        <w:rFonts w:hint="default" w:ascii="Times New Roman" w:hAnsi="Times New Roman" w:eastAsia="黑体"/>
        <w:b w:val="0"/>
        <w:i w:val="0"/>
        <w:color w:val="953735" w:themeColor="accent2" w:themeShade="BF"/>
        <w:w w:val="100"/>
        <w:sz w:val="32"/>
      </w:rPr>
    </w:lvl>
    <w:lvl w:ilvl="1" w:tentative="0">
      <w:start w:val="1"/>
      <w:numFmt w:val="decimal"/>
      <w:pStyle w:val="3"/>
      <w:lvlText w:val="%1.%2"/>
      <w:lvlJc w:val="left"/>
      <w:pPr>
        <w:ind w:left="0" w:firstLine="0"/>
      </w:pPr>
      <w:rPr>
        <w:rFonts w:hint="eastAsia" w:eastAsia="黑体"/>
        <w:b w:val="0"/>
        <w:i w:val="0"/>
        <w:color w:val="31859C" w:themeColor="accent5" w:themeShade="BF"/>
        <w:w w:val="100"/>
        <w:sz w:val="28"/>
      </w:rPr>
    </w:lvl>
    <w:lvl w:ilvl="2" w:tentative="0">
      <w:start w:val="1"/>
      <w:numFmt w:val="decimal"/>
      <w:pStyle w:val="51"/>
      <w:lvlText w:val="%1.%2.%3"/>
      <w:lvlJc w:val="left"/>
      <w:pPr>
        <w:ind w:left="0" w:firstLine="0"/>
      </w:pPr>
      <w:rPr>
        <w:rFonts w:hint="default"/>
        <w:sz w:val="28"/>
        <w:szCs w:val="28"/>
      </w:rPr>
    </w:lvl>
    <w:lvl w:ilvl="3" w:tentative="0">
      <w:start w:val="1"/>
      <w:numFmt w:val="decimal"/>
      <w:pStyle w:val="5"/>
      <w:lvlText w:val="%1.%2.%3.%4"/>
      <w:lvlJc w:val="left"/>
      <w:pPr>
        <w:ind w:left="0" w:firstLine="0"/>
      </w:pPr>
      <w:rPr>
        <w:rFonts w:hint="default" w:ascii="Times New Roman" w:hAnsi="Times New Roman" w:eastAsia="宋体"/>
        <w:b w:val="0"/>
        <w:i w:val="0"/>
        <w:w w:val="100"/>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5">
    <w:nsid w:val="531F7ED4"/>
    <w:multiLevelType w:val="singleLevel"/>
    <w:tmpl w:val="531F7ED4"/>
    <w:lvl w:ilvl="0" w:tentative="0">
      <w:start w:val="1"/>
      <w:numFmt w:val="decimal"/>
      <w:suff w:val="space"/>
      <w:lvlText w:val="%1)"/>
      <w:lvlJc w:val="left"/>
    </w:lvl>
  </w:abstractNum>
  <w:abstractNum w:abstractNumId="16">
    <w:nsid w:val="646EC2F3"/>
    <w:multiLevelType w:val="singleLevel"/>
    <w:tmpl w:val="646EC2F3"/>
    <w:lvl w:ilvl="0" w:tentative="0">
      <w:start w:val="1"/>
      <w:numFmt w:val="decimal"/>
      <w:suff w:val="space"/>
      <w:lvlText w:val="%1)"/>
      <w:lvlJc w:val="left"/>
    </w:lvl>
  </w:abstractNum>
  <w:abstractNum w:abstractNumId="17">
    <w:nsid w:val="73560372"/>
    <w:multiLevelType w:val="multilevel"/>
    <w:tmpl w:val="73560372"/>
    <w:lvl w:ilvl="0" w:tentative="0">
      <w:start w:val="1"/>
      <w:numFmt w:val="decimal"/>
      <w:lvlText w:val="%1"/>
      <w:lvlJc w:val="left"/>
      <w:pPr>
        <w:ind w:left="0" w:firstLine="0"/>
      </w:pPr>
      <w:rPr>
        <w:rFonts w:hint="eastAsia"/>
        <w:b/>
        <w:i w:val="0"/>
      </w:rPr>
    </w:lvl>
    <w:lvl w:ilvl="1" w:tentative="0">
      <w:start w:val="1"/>
      <w:numFmt w:val="decimal"/>
      <w:lvlText w:val="%1.%2"/>
      <w:lvlJc w:val="left"/>
      <w:pPr>
        <w:ind w:left="0" w:firstLine="0"/>
      </w:pPr>
      <w:rPr>
        <w:rFonts w:hint="eastAsia"/>
        <w:b/>
        <w:i w:val="0"/>
      </w:rPr>
    </w:lvl>
    <w:lvl w:ilvl="2" w:tentative="0">
      <w:start w:val="1"/>
      <w:numFmt w:val="decimal"/>
      <w:lvlText w:val="%1.%2.%3"/>
      <w:lvlJc w:val="left"/>
      <w:pPr>
        <w:ind w:left="0" w:firstLine="0"/>
      </w:pPr>
      <w:rPr>
        <w:rFonts w:hint="eastAsia"/>
        <w:b/>
        <w:i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4"/>
  </w:num>
  <w:num w:numId="2">
    <w:abstractNumId w:val="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6"/>
  </w:num>
  <w:num w:numId="7">
    <w:abstractNumId w:val="13"/>
  </w:num>
  <w:num w:numId="8">
    <w:abstractNumId w:val="10"/>
  </w:num>
  <w:num w:numId="9">
    <w:abstractNumId w:val="2"/>
  </w:num>
  <w:num w:numId="10">
    <w:abstractNumId w:val="1"/>
  </w:num>
  <w:num w:numId="11">
    <w:abstractNumId w:val="4"/>
  </w:num>
  <w:num w:numId="12">
    <w:abstractNumId w:val="11"/>
  </w:num>
  <w:num w:numId="13">
    <w:abstractNumId w:val="17"/>
  </w:num>
  <w:num w:numId="14">
    <w:abstractNumId w:val="8"/>
  </w:num>
  <w:num w:numId="15">
    <w:abstractNumId w:val="3"/>
  </w:num>
  <w:num w:numId="16">
    <w:abstractNumId w:val="16"/>
  </w:num>
  <w:num w:numId="17">
    <w:abstractNumId w:val="15"/>
  </w:num>
  <w:num w:numId="18">
    <w:abstractNumId w:val="12"/>
  </w:num>
  <w:num w:numId="19">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叶少敏">
    <w15:presenceInfo w15:providerId="None" w15:userId="叶少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kZjM4NWQzNWFmMmVlNjdlNzQwZDQ2Y2MyM2JiNWUifQ=="/>
  </w:docVars>
  <w:rsids>
    <w:rsidRoot w:val="00971D15"/>
    <w:rsid w:val="00000E20"/>
    <w:rsid w:val="00001C7B"/>
    <w:rsid w:val="00002E08"/>
    <w:rsid w:val="0000389F"/>
    <w:rsid w:val="00004873"/>
    <w:rsid w:val="00004881"/>
    <w:rsid w:val="00005E86"/>
    <w:rsid w:val="00007017"/>
    <w:rsid w:val="00011C41"/>
    <w:rsid w:val="00013882"/>
    <w:rsid w:val="00013BC6"/>
    <w:rsid w:val="00014682"/>
    <w:rsid w:val="00015B69"/>
    <w:rsid w:val="00020C07"/>
    <w:rsid w:val="00021469"/>
    <w:rsid w:val="00022A30"/>
    <w:rsid w:val="00023B87"/>
    <w:rsid w:val="000255F3"/>
    <w:rsid w:val="00027A23"/>
    <w:rsid w:val="000303D6"/>
    <w:rsid w:val="0003288B"/>
    <w:rsid w:val="00033CEE"/>
    <w:rsid w:val="0003430A"/>
    <w:rsid w:val="00034320"/>
    <w:rsid w:val="00035B0D"/>
    <w:rsid w:val="00035EA2"/>
    <w:rsid w:val="00040FDE"/>
    <w:rsid w:val="000503AD"/>
    <w:rsid w:val="00051359"/>
    <w:rsid w:val="00052C1D"/>
    <w:rsid w:val="0005389C"/>
    <w:rsid w:val="0005482E"/>
    <w:rsid w:val="00064325"/>
    <w:rsid w:val="00064DA8"/>
    <w:rsid w:val="00065807"/>
    <w:rsid w:val="000664A0"/>
    <w:rsid w:val="00067F8A"/>
    <w:rsid w:val="000700BA"/>
    <w:rsid w:val="000759E8"/>
    <w:rsid w:val="000763C1"/>
    <w:rsid w:val="0007729A"/>
    <w:rsid w:val="00077C1A"/>
    <w:rsid w:val="00077E59"/>
    <w:rsid w:val="0008021A"/>
    <w:rsid w:val="00082252"/>
    <w:rsid w:val="00082BC6"/>
    <w:rsid w:val="00083BC2"/>
    <w:rsid w:val="00084161"/>
    <w:rsid w:val="00084745"/>
    <w:rsid w:val="00085859"/>
    <w:rsid w:val="000906DD"/>
    <w:rsid w:val="00091017"/>
    <w:rsid w:val="00091588"/>
    <w:rsid w:val="00095537"/>
    <w:rsid w:val="000A42B9"/>
    <w:rsid w:val="000A7B6A"/>
    <w:rsid w:val="000B013C"/>
    <w:rsid w:val="000B0527"/>
    <w:rsid w:val="000B0909"/>
    <w:rsid w:val="000B1160"/>
    <w:rsid w:val="000B1A28"/>
    <w:rsid w:val="000B2F96"/>
    <w:rsid w:val="000B45F4"/>
    <w:rsid w:val="000B60F8"/>
    <w:rsid w:val="000C0989"/>
    <w:rsid w:val="000C1CF1"/>
    <w:rsid w:val="000C3FC4"/>
    <w:rsid w:val="000C5439"/>
    <w:rsid w:val="000C5A08"/>
    <w:rsid w:val="000C6D3D"/>
    <w:rsid w:val="000C7FB7"/>
    <w:rsid w:val="000D47EE"/>
    <w:rsid w:val="000D575F"/>
    <w:rsid w:val="000D6010"/>
    <w:rsid w:val="000E090C"/>
    <w:rsid w:val="000E23C7"/>
    <w:rsid w:val="000E31A6"/>
    <w:rsid w:val="000E4B13"/>
    <w:rsid w:val="000E79FA"/>
    <w:rsid w:val="000F340E"/>
    <w:rsid w:val="000F5F4C"/>
    <w:rsid w:val="000F7776"/>
    <w:rsid w:val="000F77A4"/>
    <w:rsid w:val="001029AC"/>
    <w:rsid w:val="00104361"/>
    <w:rsid w:val="00105721"/>
    <w:rsid w:val="0010572F"/>
    <w:rsid w:val="001075B6"/>
    <w:rsid w:val="00107AEC"/>
    <w:rsid w:val="001110D2"/>
    <w:rsid w:val="001125EA"/>
    <w:rsid w:val="00112709"/>
    <w:rsid w:val="00113836"/>
    <w:rsid w:val="00113C0F"/>
    <w:rsid w:val="00114488"/>
    <w:rsid w:val="0011543D"/>
    <w:rsid w:val="00117EF0"/>
    <w:rsid w:val="00120BB8"/>
    <w:rsid w:val="00121156"/>
    <w:rsid w:val="0012190D"/>
    <w:rsid w:val="001225F3"/>
    <w:rsid w:val="00130BFD"/>
    <w:rsid w:val="0013258C"/>
    <w:rsid w:val="001328C9"/>
    <w:rsid w:val="00133347"/>
    <w:rsid w:val="00133758"/>
    <w:rsid w:val="00135EF8"/>
    <w:rsid w:val="0013619A"/>
    <w:rsid w:val="00136B5E"/>
    <w:rsid w:val="0013753A"/>
    <w:rsid w:val="00143940"/>
    <w:rsid w:val="00144AC8"/>
    <w:rsid w:val="00144C8D"/>
    <w:rsid w:val="00144D19"/>
    <w:rsid w:val="00144E18"/>
    <w:rsid w:val="00147259"/>
    <w:rsid w:val="001478AB"/>
    <w:rsid w:val="0015389A"/>
    <w:rsid w:val="001547D8"/>
    <w:rsid w:val="00154AAD"/>
    <w:rsid w:val="00154E47"/>
    <w:rsid w:val="00155965"/>
    <w:rsid w:val="00157542"/>
    <w:rsid w:val="0015785C"/>
    <w:rsid w:val="00160EEB"/>
    <w:rsid w:val="0016172B"/>
    <w:rsid w:val="00164AC3"/>
    <w:rsid w:val="00166228"/>
    <w:rsid w:val="00170BA1"/>
    <w:rsid w:val="0017178F"/>
    <w:rsid w:val="00172537"/>
    <w:rsid w:val="00172B44"/>
    <w:rsid w:val="001732DD"/>
    <w:rsid w:val="00174646"/>
    <w:rsid w:val="001801C1"/>
    <w:rsid w:val="001810A2"/>
    <w:rsid w:val="00181994"/>
    <w:rsid w:val="00182E20"/>
    <w:rsid w:val="001846D4"/>
    <w:rsid w:val="001859F6"/>
    <w:rsid w:val="0018661A"/>
    <w:rsid w:val="00186E56"/>
    <w:rsid w:val="0019137A"/>
    <w:rsid w:val="0019155F"/>
    <w:rsid w:val="00193109"/>
    <w:rsid w:val="00193779"/>
    <w:rsid w:val="0019682E"/>
    <w:rsid w:val="00197738"/>
    <w:rsid w:val="001978F0"/>
    <w:rsid w:val="001A0369"/>
    <w:rsid w:val="001A0439"/>
    <w:rsid w:val="001A0BF1"/>
    <w:rsid w:val="001A27C1"/>
    <w:rsid w:val="001A4ADF"/>
    <w:rsid w:val="001A515D"/>
    <w:rsid w:val="001A53DB"/>
    <w:rsid w:val="001A58C0"/>
    <w:rsid w:val="001B0F94"/>
    <w:rsid w:val="001B14F0"/>
    <w:rsid w:val="001B19EF"/>
    <w:rsid w:val="001B2CD4"/>
    <w:rsid w:val="001C04F1"/>
    <w:rsid w:val="001C2AC6"/>
    <w:rsid w:val="001C53FC"/>
    <w:rsid w:val="001C558D"/>
    <w:rsid w:val="001C64CD"/>
    <w:rsid w:val="001C65C3"/>
    <w:rsid w:val="001C695A"/>
    <w:rsid w:val="001D0118"/>
    <w:rsid w:val="001D1AF0"/>
    <w:rsid w:val="001D204E"/>
    <w:rsid w:val="001D247C"/>
    <w:rsid w:val="001D45D6"/>
    <w:rsid w:val="001D693C"/>
    <w:rsid w:val="001D6C21"/>
    <w:rsid w:val="001E27AD"/>
    <w:rsid w:val="001E663E"/>
    <w:rsid w:val="001E79FD"/>
    <w:rsid w:val="001F0694"/>
    <w:rsid w:val="001F0F67"/>
    <w:rsid w:val="001F16E7"/>
    <w:rsid w:val="001F39BF"/>
    <w:rsid w:val="001F4081"/>
    <w:rsid w:val="001F7C98"/>
    <w:rsid w:val="00206A82"/>
    <w:rsid w:val="00206B4D"/>
    <w:rsid w:val="002075E1"/>
    <w:rsid w:val="00207996"/>
    <w:rsid w:val="00207A46"/>
    <w:rsid w:val="0021132E"/>
    <w:rsid w:val="00211E11"/>
    <w:rsid w:val="0021263A"/>
    <w:rsid w:val="002126F4"/>
    <w:rsid w:val="002131DD"/>
    <w:rsid w:val="002135DC"/>
    <w:rsid w:val="00213F6D"/>
    <w:rsid w:val="00214F05"/>
    <w:rsid w:val="00221DE9"/>
    <w:rsid w:val="00224052"/>
    <w:rsid w:val="0022415F"/>
    <w:rsid w:val="0022574A"/>
    <w:rsid w:val="002302A8"/>
    <w:rsid w:val="0023053D"/>
    <w:rsid w:val="00232B0B"/>
    <w:rsid w:val="002334CD"/>
    <w:rsid w:val="00233DDA"/>
    <w:rsid w:val="00235592"/>
    <w:rsid w:val="002362BE"/>
    <w:rsid w:val="002375C9"/>
    <w:rsid w:val="002378D1"/>
    <w:rsid w:val="00241878"/>
    <w:rsid w:val="00242145"/>
    <w:rsid w:val="002428B9"/>
    <w:rsid w:val="00242A73"/>
    <w:rsid w:val="00243D35"/>
    <w:rsid w:val="00244478"/>
    <w:rsid w:val="00246FE2"/>
    <w:rsid w:val="00247013"/>
    <w:rsid w:val="00247E48"/>
    <w:rsid w:val="00250279"/>
    <w:rsid w:val="00251653"/>
    <w:rsid w:val="002518EE"/>
    <w:rsid w:val="002529D1"/>
    <w:rsid w:val="00252B34"/>
    <w:rsid w:val="002531CC"/>
    <w:rsid w:val="00254356"/>
    <w:rsid w:val="00257B24"/>
    <w:rsid w:val="00261F8C"/>
    <w:rsid w:val="0026207A"/>
    <w:rsid w:val="00264574"/>
    <w:rsid w:val="00264D0C"/>
    <w:rsid w:val="00264F62"/>
    <w:rsid w:val="00265E44"/>
    <w:rsid w:val="00273067"/>
    <w:rsid w:val="00274696"/>
    <w:rsid w:val="00274EA0"/>
    <w:rsid w:val="00274EF9"/>
    <w:rsid w:val="00275D86"/>
    <w:rsid w:val="00275F5E"/>
    <w:rsid w:val="002767F9"/>
    <w:rsid w:val="00277BC0"/>
    <w:rsid w:val="0028146E"/>
    <w:rsid w:val="0028280B"/>
    <w:rsid w:val="00282E83"/>
    <w:rsid w:val="002846F6"/>
    <w:rsid w:val="00285B21"/>
    <w:rsid w:val="00287269"/>
    <w:rsid w:val="002905B1"/>
    <w:rsid w:val="0029102F"/>
    <w:rsid w:val="00291324"/>
    <w:rsid w:val="00294EE5"/>
    <w:rsid w:val="002A3BBA"/>
    <w:rsid w:val="002A3E43"/>
    <w:rsid w:val="002A4DE5"/>
    <w:rsid w:val="002A71A4"/>
    <w:rsid w:val="002B1432"/>
    <w:rsid w:val="002B2D30"/>
    <w:rsid w:val="002B3E59"/>
    <w:rsid w:val="002B611E"/>
    <w:rsid w:val="002B63BF"/>
    <w:rsid w:val="002B6D37"/>
    <w:rsid w:val="002C1E8F"/>
    <w:rsid w:val="002C3695"/>
    <w:rsid w:val="002C452F"/>
    <w:rsid w:val="002D040E"/>
    <w:rsid w:val="002D2E43"/>
    <w:rsid w:val="002D30EB"/>
    <w:rsid w:val="002D3370"/>
    <w:rsid w:val="002D3EED"/>
    <w:rsid w:val="002E36AA"/>
    <w:rsid w:val="002E6109"/>
    <w:rsid w:val="002E69B5"/>
    <w:rsid w:val="002E6F28"/>
    <w:rsid w:val="002E7869"/>
    <w:rsid w:val="002E7EF8"/>
    <w:rsid w:val="002F081B"/>
    <w:rsid w:val="002F37C0"/>
    <w:rsid w:val="002F6414"/>
    <w:rsid w:val="0030037C"/>
    <w:rsid w:val="00301A91"/>
    <w:rsid w:val="00302106"/>
    <w:rsid w:val="003027C3"/>
    <w:rsid w:val="00304152"/>
    <w:rsid w:val="00305AB7"/>
    <w:rsid w:val="0030606D"/>
    <w:rsid w:val="0031411D"/>
    <w:rsid w:val="00314AA3"/>
    <w:rsid w:val="003167A5"/>
    <w:rsid w:val="00316EE9"/>
    <w:rsid w:val="00317E5C"/>
    <w:rsid w:val="00322CCB"/>
    <w:rsid w:val="00324497"/>
    <w:rsid w:val="00324A69"/>
    <w:rsid w:val="00325DA2"/>
    <w:rsid w:val="00333F58"/>
    <w:rsid w:val="003348A9"/>
    <w:rsid w:val="00337E69"/>
    <w:rsid w:val="00343691"/>
    <w:rsid w:val="00345568"/>
    <w:rsid w:val="00351C56"/>
    <w:rsid w:val="00354A84"/>
    <w:rsid w:val="00354B32"/>
    <w:rsid w:val="00354C6E"/>
    <w:rsid w:val="00357377"/>
    <w:rsid w:val="0035752A"/>
    <w:rsid w:val="00360134"/>
    <w:rsid w:val="003612D4"/>
    <w:rsid w:val="003615D2"/>
    <w:rsid w:val="00363385"/>
    <w:rsid w:val="00363F54"/>
    <w:rsid w:val="00370DC6"/>
    <w:rsid w:val="003745CF"/>
    <w:rsid w:val="003753E3"/>
    <w:rsid w:val="00377415"/>
    <w:rsid w:val="00380270"/>
    <w:rsid w:val="003816C8"/>
    <w:rsid w:val="003820E2"/>
    <w:rsid w:val="0038245B"/>
    <w:rsid w:val="00382732"/>
    <w:rsid w:val="00384874"/>
    <w:rsid w:val="00386E66"/>
    <w:rsid w:val="00390D6B"/>
    <w:rsid w:val="003914DF"/>
    <w:rsid w:val="003930D0"/>
    <w:rsid w:val="00393386"/>
    <w:rsid w:val="003937DA"/>
    <w:rsid w:val="00393F3E"/>
    <w:rsid w:val="003A09EC"/>
    <w:rsid w:val="003A0B90"/>
    <w:rsid w:val="003A1069"/>
    <w:rsid w:val="003A124A"/>
    <w:rsid w:val="003A3B33"/>
    <w:rsid w:val="003A4BA4"/>
    <w:rsid w:val="003A59E1"/>
    <w:rsid w:val="003A68ED"/>
    <w:rsid w:val="003A6C76"/>
    <w:rsid w:val="003A7807"/>
    <w:rsid w:val="003A7ACC"/>
    <w:rsid w:val="003A7BF1"/>
    <w:rsid w:val="003A7C66"/>
    <w:rsid w:val="003B1163"/>
    <w:rsid w:val="003B1729"/>
    <w:rsid w:val="003B4B0C"/>
    <w:rsid w:val="003B5B98"/>
    <w:rsid w:val="003B6AA5"/>
    <w:rsid w:val="003C0630"/>
    <w:rsid w:val="003C65F2"/>
    <w:rsid w:val="003C701B"/>
    <w:rsid w:val="003D271F"/>
    <w:rsid w:val="003D2B6A"/>
    <w:rsid w:val="003D457D"/>
    <w:rsid w:val="003D511E"/>
    <w:rsid w:val="003E0362"/>
    <w:rsid w:val="003E086F"/>
    <w:rsid w:val="003E0BED"/>
    <w:rsid w:val="003E14FE"/>
    <w:rsid w:val="003E3CA7"/>
    <w:rsid w:val="003E694D"/>
    <w:rsid w:val="003F0410"/>
    <w:rsid w:val="003F098D"/>
    <w:rsid w:val="003F0C7D"/>
    <w:rsid w:val="003F20A5"/>
    <w:rsid w:val="003F28CC"/>
    <w:rsid w:val="003F3243"/>
    <w:rsid w:val="003F3DA3"/>
    <w:rsid w:val="003F4661"/>
    <w:rsid w:val="003F49A2"/>
    <w:rsid w:val="003F5645"/>
    <w:rsid w:val="003F7E27"/>
    <w:rsid w:val="003F7E7C"/>
    <w:rsid w:val="00401A82"/>
    <w:rsid w:val="00402511"/>
    <w:rsid w:val="00402992"/>
    <w:rsid w:val="00402CFD"/>
    <w:rsid w:val="004037D3"/>
    <w:rsid w:val="00404491"/>
    <w:rsid w:val="00404A15"/>
    <w:rsid w:val="00406E0B"/>
    <w:rsid w:val="0041274D"/>
    <w:rsid w:val="004129FD"/>
    <w:rsid w:val="0041309A"/>
    <w:rsid w:val="00415635"/>
    <w:rsid w:val="0041720A"/>
    <w:rsid w:val="004203BB"/>
    <w:rsid w:val="004209A6"/>
    <w:rsid w:val="004222D8"/>
    <w:rsid w:val="004245CE"/>
    <w:rsid w:val="00424B0B"/>
    <w:rsid w:val="0042578C"/>
    <w:rsid w:val="00425BE6"/>
    <w:rsid w:val="00427629"/>
    <w:rsid w:val="004304D6"/>
    <w:rsid w:val="0043207C"/>
    <w:rsid w:val="004367F8"/>
    <w:rsid w:val="00436D24"/>
    <w:rsid w:val="0044047E"/>
    <w:rsid w:val="00440E04"/>
    <w:rsid w:val="00441637"/>
    <w:rsid w:val="00441D97"/>
    <w:rsid w:val="00445550"/>
    <w:rsid w:val="00445BEB"/>
    <w:rsid w:val="00450E4C"/>
    <w:rsid w:val="00452EB7"/>
    <w:rsid w:val="00456533"/>
    <w:rsid w:val="00457535"/>
    <w:rsid w:val="004603F7"/>
    <w:rsid w:val="00461051"/>
    <w:rsid w:val="00471429"/>
    <w:rsid w:val="0047166E"/>
    <w:rsid w:val="00473680"/>
    <w:rsid w:val="00474349"/>
    <w:rsid w:val="00475957"/>
    <w:rsid w:val="0047791C"/>
    <w:rsid w:val="0048157B"/>
    <w:rsid w:val="004819CA"/>
    <w:rsid w:val="00481E33"/>
    <w:rsid w:val="00481EFB"/>
    <w:rsid w:val="0048353F"/>
    <w:rsid w:val="00484922"/>
    <w:rsid w:val="00486A22"/>
    <w:rsid w:val="00486CF7"/>
    <w:rsid w:val="0049153F"/>
    <w:rsid w:val="00491637"/>
    <w:rsid w:val="00492476"/>
    <w:rsid w:val="00492FD5"/>
    <w:rsid w:val="00493E78"/>
    <w:rsid w:val="004957EE"/>
    <w:rsid w:val="00496883"/>
    <w:rsid w:val="00496966"/>
    <w:rsid w:val="00497B83"/>
    <w:rsid w:val="004A04D4"/>
    <w:rsid w:val="004A0CF6"/>
    <w:rsid w:val="004A52DA"/>
    <w:rsid w:val="004B095E"/>
    <w:rsid w:val="004B3351"/>
    <w:rsid w:val="004B469F"/>
    <w:rsid w:val="004B6EEE"/>
    <w:rsid w:val="004B7971"/>
    <w:rsid w:val="004C24A5"/>
    <w:rsid w:val="004C758E"/>
    <w:rsid w:val="004D2C54"/>
    <w:rsid w:val="004D32F2"/>
    <w:rsid w:val="004D397F"/>
    <w:rsid w:val="004D3FC5"/>
    <w:rsid w:val="004D4365"/>
    <w:rsid w:val="004E1547"/>
    <w:rsid w:val="004E43A4"/>
    <w:rsid w:val="004E4424"/>
    <w:rsid w:val="004F0EE8"/>
    <w:rsid w:val="004F10A7"/>
    <w:rsid w:val="004F1B5D"/>
    <w:rsid w:val="004F45EE"/>
    <w:rsid w:val="004F653D"/>
    <w:rsid w:val="004F7626"/>
    <w:rsid w:val="00500118"/>
    <w:rsid w:val="0050087E"/>
    <w:rsid w:val="005025D6"/>
    <w:rsid w:val="0050552A"/>
    <w:rsid w:val="00506549"/>
    <w:rsid w:val="00506BEE"/>
    <w:rsid w:val="00512B49"/>
    <w:rsid w:val="00512DEF"/>
    <w:rsid w:val="00514318"/>
    <w:rsid w:val="00515FB1"/>
    <w:rsid w:val="005162D7"/>
    <w:rsid w:val="0052067E"/>
    <w:rsid w:val="00520B2E"/>
    <w:rsid w:val="0052159E"/>
    <w:rsid w:val="00523410"/>
    <w:rsid w:val="00523517"/>
    <w:rsid w:val="005238B6"/>
    <w:rsid w:val="00524CE0"/>
    <w:rsid w:val="00524E2D"/>
    <w:rsid w:val="0052750C"/>
    <w:rsid w:val="00527E59"/>
    <w:rsid w:val="00530FCE"/>
    <w:rsid w:val="00531612"/>
    <w:rsid w:val="00531F0D"/>
    <w:rsid w:val="00532B23"/>
    <w:rsid w:val="0053367D"/>
    <w:rsid w:val="005345B3"/>
    <w:rsid w:val="00535CF7"/>
    <w:rsid w:val="00536F4F"/>
    <w:rsid w:val="00544168"/>
    <w:rsid w:val="00546081"/>
    <w:rsid w:val="00550136"/>
    <w:rsid w:val="00550833"/>
    <w:rsid w:val="00550ED6"/>
    <w:rsid w:val="005512B7"/>
    <w:rsid w:val="00552F1F"/>
    <w:rsid w:val="00554B0B"/>
    <w:rsid w:val="00555683"/>
    <w:rsid w:val="00556A49"/>
    <w:rsid w:val="005671F2"/>
    <w:rsid w:val="005701E2"/>
    <w:rsid w:val="0057143F"/>
    <w:rsid w:val="005731E0"/>
    <w:rsid w:val="00573470"/>
    <w:rsid w:val="005738F3"/>
    <w:rsid w:val="00574432"/>
    <w:rsid w:val="00574663"/>
    <w:rsid w:val="005766C3"/>
    <w:rsid w:val="005817CF"/>
    <w:rsid w:val="00582C4F"/>
    <w:rsid w:val="00585DB9"/>
    <w:rsid w:val="00586F44"/>
    <w:rsid w:val="005875A5"/>
    <w:rsid w:val="00590D2C"/>
    <w:rsid w:val="005922B4"/>
    <w:rsid w:val="0059616E"/>
    <w:rsid w:val="005972ED"/>
    <w:rsid w:val="005974DF"/>
    <w:rsid w:val="005979A5"/>
    <w:rsid w:val="00597EEB"/>
    <w:rsid w:val="005A0123"/>
    <w:rsid w:val="005A1BF0"/>
    <w:rsid w:val="005A25D2"/>
    <w:rsid w:val="005A375F"/>
    <w:rsid w:val="005A38A2"/>
    <w:rsid w:val="005A4C6E"/>
    <w:rsid w:val="005A5093"/>
    <w:rsid w:val="005A5285"/>
    <w:rsid w:val="005A5934"/>
    <w:rsid w:val="005A5DC2"/>
    <w:rsid w:val="005A7252"/>
    <w:rsid w:val="005A7E3A"/>
    <w:rsid w:val="005B0FCD"/>
    <w:rsid w:val="005B1429"/>
    <w:rsid w:val="005B1939"/>
    <w:rsid w:val="005B1DCF"/>
    <w:rsid w:val="005B217C"/>
    <w:rsid w:val="005B298E"/>
    <w:rsid w:val="005B343B"/>
    <w:rsid w:val="005B6369"/>
    <w:rsid w:val="005B6698"/>
    <w:rsid w:val="005B6C18"/>
    <w:rsid w:val="005B6E4A"/>
    <w:rsid w:val="005B6FF4"/>
    <w:rsid w:val="005B71B7"/>
    <w:rsid w:val="005C0FB2"/>
    <w:rsid w:val="005C1187"/>
    <w:rsid w:val="005C2BC0"/>
    <w:rsid w:val="005C42EC"/>
    <w:rsid w:val="005C4A67"/>
    <w:rsid w:val="005C51E9"/>
    <w:rsid w:val="005C5B48"/>
    <w:rsid w:val="005C7201"/>
    <w:rsid w:val="005D06E7"/>
    <w:rsid w:val="005D4411"/>
    <w:rsid w:val="005D5256"/>
    <w:rsid w:val="005D54E1"/>
    <w:rsid w:val="005D63EB"/>
    <w:rsid w:val="005D7620"/>
    <w:rsid w:val="005E2CBF"/>
    <w:rsid w:val="005E3840"/>
    <w:rsid w:val="005E5E25"/>
    <w:rsid w:val="005E68C3"/>
    <w:rsid w:val="005E71A3"/>
    <w:rsid w:val="005F0A4B"/>
    <w:rsid w:val="005F19DA"/>
    <w:rsid w:val="005F2595"/>
    <w:rsid w:val="005F3271"/>
    <w:rsid w:val="005F742B"/>
    <w:rsid w:val="005F7C6B"/>
    <w:rsid w:val="00601323"/>
    <w:rsid w:val="0060168B"/>
    <w:rsid w:val="00601BCE"/>
    <w:rsid w:val="006064FB"/>
    <w:rsid w:val="00606D3C"/>
    <w:rsid w:val="00607C48"/>
    <w:rsid w:val="00607E1C"/>
    <w:rsid w:val="00611B5F"/>
    <w:rsid w:val="00612E5D"/>
    <w:rsid w:val="006143E3"/>
    <w:rsid w:val="00617204"/>
    <w:rsid w:val="00617388"/>
    <w:rsid w:val="006174F4"/>
    <w:rsid w:val="00620911"/>
    <w:rsid w:val="00620DAA"/>
    <w:rsid w:val="006248F3"/>
    <w:rsid w:val="00625FCE"/>
    <w:rsid w:val="00627182"/>
    <w:rsid w:val="006275B6"/>
    <w:rsid w:val="00630388"/>
    <w:rsid w:val="00631059"/>
    <w:rsid w:val="0063287E"/>
    <w:rsid w:val="00634938"/>
    <w:rsid w:val="00640A87"/>
    <w:rsid w:val="00640ED3"/>
    <w:rsid w:val="006421EB"/>
    <w:rsid w:val="00642E4D"/>
    <w:rsid w:val="00643418"/>
    <w:rsid w:val="0064518B"/>
    <w:rsid w:val="00645EC1"/>
    <w:rsid w:val="0064629C"/>
    <w:rsid w:val="006477CC"/>
    <w:rsid w:val="00647DB8"/>
    <w:rsid w:val="00650C75"/>
    <w:rsid w:val="006521FB"/>
    <w:rsid w:val="0065224C"/>
    <w:rsid w:val="00652C5D"/>
    <w:rsid w:val="00652E7E"/>
    <w:rsid w:val="00653487"/>
    <w:rsid w:val="00655601"/>
    <w:rsid w:val="0065562F"/>
    <w:rsid w:val="0065749C"/>
    <w:rsid w:val="00657A6A"/>
    <w:rsid w:val="006600A8"/>
    <w:rsid w:val="00661439"/>
    <w:rsid w:val="006621FE"/>
    <w:rsid w:val="00662A15"/>
    <w:rsid w:val="00662EFC"/>
    <w:rsid w:val="0066360D"/>
    <w:rsid w:val="00665255"/>
    <w:rsid w:val="0066605C"/>
    <w:rsid w:val="006719B9"/>
    <w:rsid w:val="006722DC"/>
    <w:rsid w:val="00676825"/>
    <w:rsid w:val="00680285"/>
    <w:rsid w:val="0068161B"/>
    <w:rsid w:val="00681CD5"/>
    <w:rsid w:val="00682414"/>
    <w:rsid w:val="00686036"/>
    <w:rsid w:val="00686F3E"/>
    <w:rsid w:val="00687ED5"/>
    <w:rsid w:val="006907AD"/>
    <w:rsid w:val="00695EF0"/>
    <w:rsid w:val="00696144"/>
    <w:rsid w:val="00696960"/>
    <w:rsid w:val="006A291A"/>
    <w:rsid w:val="006A2CC1"/>
    <w:rsid w:val="006A32C0"/>
    <w:rsid w:val="006A519B"/>
    <w:rsid w:val="006B2715"/>
    <w:rsid w:val="006B3E69"/>
    <w:rsid w:val="006B473A"/>
    <w:rsid w:val="006C1CF2"/>
    <w:rsid w:val="006C2D2F"/>
    <w:rsid w:val="006C4179"/>
    <w:rsid w:val="006C457B"/>
    <w:rsid w:val="006C4632"/>
    <w:rsid w:val="006C790A"/>
    <w:rsid w:val="006D0D5C"/>
    <w:rsid w:val="006D25FF"/>
    <w:rsid w:val="006D5C19"/>
    <w:rsid w:val="006E0391"/>
    <w:rsid w:val="006E04BD"/>
    <w:rsid w:val="006E12E7"/>
    <w:rsid w:val="006E1DB2"/>
    <w:rsid w:val="006E2263"/>
    <w:rsid w:val="006E4F39"/>
    <w:rsid w:val="006E52D4"/>
    <w:rsid w:val="006E5F10"/>
    <w:rsid w:val="006E611D"/>
    <w:rsid w:val="006E701E"/>
    <w:rsid w:val="006F0494"/>
    <w:rsid w:val="006F07DB"/>
    <w:rsid w:val="006F343A"/>
    <w:rsid w:val="006F5F9E"/>
    <w:rsid w:val="006F6D91"/>
    <w:rsid w:val="006F7905"/>
    <w:rsid w:val="00700665"/>
    <w:rsid w:val="00700DBF"/>
    <w:rsid w:val="007011FA"/>
    <w:rsid w:val="007021AE"/>
    <w:rsid w:val="00702343"/>
    <w:rsid w:val="0070255A"/>
    <w:rsid w:val="0070388F"/>
    <w:rsid w:val="00706621"/>
    <w:rsid w:val="0070776D"/>
    <w:rsid w:val="00711833"/>
    <w:rsid w:val="0071311B"/>
    <w:rsid w:val="007152F5"/>
    <w:rsid w:val="0071690C"/>
    <w:rsid w:val="007206FE"/>
    <w:rsid w:val="00726D43"/>
    <w:rsid w:val="00727D78"/>
    <w:rsid w:val="00727DA2"/>
    <w:rsid w:val="00727F98"/>
    <w:rsid w:val="007303A2"/>
    <w:rsid w:val="00733467"/>
    <w:rsid w:val="00736413"/>
    <w:rsid w:val="00740EC5"/>
    <w:rsid w:val="007429D5"/>
    <w:rsid w:val="00746667"/>
    <w:rsid w:val="007473CF"/>
    <w:rsid w:val="00747683"/>
    <w:rsid w:val="00747FB0"/>
    <w:rsid w:val="00750079"/>
    <w:rsid w:val="0075011A"/>
    <w:rsid w:val="00752A49"/>
    <w:rsid w:val="00755E35"/>
    <w:rsid w:val="00756D3A"/>
    <w:rsid w:val="00760D22"/>
    <w:rsid w:val="00761E6C"/>
    <w:rsid w:val="007653B1"/>
    <w:rsid w:val="007654BF"/>
    <w:rsid w:val="007660A2"/>
    <w:rsid w:val="00766E4C"/>
    <w:rsid w:val="007677F3"/>
    <w:rsid w:val="00770633"/>
    <w:rsid w:val="00770ADE"/>
    <w:rsid w:val="007721A8"/>
    <w:rsid w:val="00772A6C"/>
    <w:rsid w:val="00772F56"/>
    <w:rsid w:val="00773D07"/>
    <w:rsid w:val="00774CE6"/>
    <w:rsid w:val="0077516E"/>
    <w:rsid w:val="0077534F"/>
    <w:rsid w:val="00780B19"/>
    <w:rsid w:val="00782644"/>
    <w:rsid w:val="007923C4"/>
    <w:rsid w:val="00794FC5"/>
    <w:rsid w:val="007953FC"/>
    <w:rsid w:val="00796D77"/>
    <w:rsid w:val="0079739F"/>
    <w:rsid w:val="007975D3"/>
    <w:rsid w:val="007A4BE7"/>
    <w:rsid w:val="007A7A5D"/>
    <w:rsid w:val="007B0E60"/>
    <w:rsid w:val="007B4346"/>
    <w:rsid w:val="007B62F6"/>
    <w:rsid w:val="007B7909"/>
    <w:rsid w:val="007C2453"/>
    <w:rsid w:val="007C2784"/>
    <w:rsid w:val="007C71A6"/>
    <w:rsid w:val="007C77A2"/>
    <w:rsid w:val="007D2208"/>
    <w:rsid w:val="007D415B"/>
    <w:rsid w:val="007D46DE"/>
    <w:rsid w:val="007D5E59"/>
    <w:rsid w:val="007D729E"/>
    <w:rsid w:val="007E07C0"/>
    <w:rsid w:val="007E2747"/>
    <w:rsid w:val="007E655F"/>
    <w:rsid w:val="007E7700"/>
    <w:rsid w:val="007F19AE"/>
    <w:rsid w:val="007F1C86"/>
    <w:rsid w:val="007F2765"/>
    <w:rsid w:val="007F4C29"/>
    <w:rsid w:val="007F6B4A"/>
    <w:rsid w:val="008008A0"/>
    <w:rsid w:val="00803E20"/>
    <w:rsid w:val="008049F5"/>
    <w:rsid w:val="00805189"/>
    <w:rsid w:val="0080629B"/>
    <w:rsid w:val="00806526"/>
    <w:rsid w:val="00806DBB"/>
    <w:rsid w:val="00814C5B"/>
    <w:rsid w:val="008160C7"/>
    <w:rsid w:val="00817048"/>
    <w:rsid w:val="00820976"/>
    <w:rsid w:val="008212C7"/>
    <w:rsid w:val="00822382"/>
    <w:rsid w:val="00822E24"/>
    <w:rsid w:val="008250DE"/>
    <w:rsid w:val="0082593B"/>
    <w:rsid w:val="00825C18"/>
    <w:rsid w:val="008306CE"/>
    <w:rsid w:val="0083167B"/>
    <w:rsid w:val="00833BF9"/>
    <w:rsid w:val="00835EB5"/>
    <w:rsid w:val="0084211F"/>
    <w:rsid w:val="00843993"/>
    <w:rsid w:val="0084442D"/>
    <w:rsid w:val="00844D8B"/>
    <w:rsid w:val="00850F3C"/>
    <w:rsid w:val="0085280D"/>
    <w:rsid w:val="00852F1D"/>
    <w:rsid w:val="00853F33"/>
    <w:rsid w:val="00854437"/>
    <w:rsid w:val="00854F2F"/>
    <w:rsid w:val="00856395"/>
    <w:rsid w:val="00860D31"/>
    <w:rsid w:val="00861B6A"/>
    <w:rsid w:val="008621EA"/>
    <w:rsid w:val="0086236A"/>
    <w:rsid w:val="00862645"/>
    <w:rsid w:val="0086282D"/>
    <w:rsid w:val="0086346D"/>
    <w:rsid w:val="00870ABC"/>
    <w:rsid w:val="0087146F"/>
    <w:rsid w:val="00871930"/>
    <w:rsid w:val="0087271B"/>
    <w:rsid w:val="00872DCE"/>
    <w:rsid w:val="00873DE9"/>
    <w:rsid w:val="008740D7"/>
    <w:rsid w:val="008741E3"/>
    <w:rsid w:val="00874E9B"/>
    <w:rsid w:val="00876141"/>
    <w:rsid w:val="008768EC"/>
    <w:rsid w:val="00877725"/>
    <w:rsid w:val="00877849"/>
    <w:rsid w:val="00880BC5"/>
    <w:rsid w:val="00881454"/>
    <w:rsid w:val="008829A1"/>
    <w:rsid w:val="008839D6"/>
    <w:rsid w:val="00886CE8"/>
    <w:rsid w:val="008875DC"/>
    <w:rsid w:val="00890580"/>
    <w:rsid w:val="00891F99"/>
    <w:rsid w:val="008929DD"/>
    <w:rsid w:val="00893FC0"/>
    <w:rsid w:val="0089461D"/>
    <w:rsid w:val="0089616E"/>
    <w:rsid w:val="00896CDC"/>
    <w:rsid w:val="00897F83"/>
    <w:rsid w:val="008A0F5F"/>
    <w:rsid w:val="008A1ECA"/>
    <w:rsid w:val="008A3A46"/>
    <w:rsid w:val="008A43DD"/>
    <w:rsid w:val="008A5A11"/>
    <w:rsid w:val="008A646D"/>
    <w:rsid w:val="008B0C2A"/>
    <w:rsid w:val="008B2E01"/>
    <w:rsid w:val="008B449F"/>
    <w:rsid w:val="008B4D19"/>
    <w:rsid w:val="008B5230"/>
    <w:rsid w:val="008B623F"/>
    <w:rsid w:val="008B65CD"/>
    <w:rsid w:val="008B7BEF"/>
    <w:rsid w:val="008C2A39"/>
    <w:rsid w:val="008C4314"/>
    <w:rsid w:val="008C7FDC"/>
    <w:rsid w:val="008D2674"/>
    <w:rsid w:val="008D2827"/>
    <w:rsid w:val="008D3B51"/>
    <w:rsid w:val="008E0060"/>
    <w:rsid w:val="008E07F9"/>
    <w:rsid w:val="008E2DA7"/>
    <w:rsid w:val="008F169D"/>
    <w:rsid w:val="008F1C68"/>
    <w:rsid w:val="008F48C8"/>
    <w:rsid w:val="008F4B65"/>
    <w:rsid w:val="008F537A"/>
    <w:rsid w:val="008F56EF"/>
    <w:rsid w:val="009005FF"/>
    <w:rsid w:val="00902ABC"/>
    <w:rsid w:val="00903F9C"/>
    <w:rsid w:val="0090623F"/>
    <w:rsid w:val="009063E6"/>
    <w:rsid w:val="00906B4B"/>
    <w:rsid w:val="009136B2"/>
    <w:rsid w:val="00913E41"/>
    <w:rsid w:val="00914440"/>
    <w:rsid w:val="00914CEC"/>
    <w:rsid w:val="00922637"/>
    <w:rsid w:val="00922D35"/>
    <w:rsid w:val="009231FF"/>
    <w:rsid w:val="00923EF2"/>
    <w:rsid w:val="009254A3"/>
    <w:rsid w:val="00925640"/>
    <w:rsid w:val="0093056C"/>
    <w:rsid w:val="009307D3"/>
    <w:rsid w:val="00931CDF"/>
    <w:rsid w:val="00932C5D"/>
    <w:rsid w:val="009420A1"/>
    <w:rsid w:val="009422DD"/>
    <w:rsid w:val="00943105"/>
    <w:rsid w:val="00943106"/>
    <w:rsid w:val="00943F83"/>
    <w:rsid w:val="00944BC0"/>
    <w:rsid w:val="0095084C"/>
    <w:rsid w:val="00950EBA"/>
    <w:rsid w:val="0095313D"/>
    <w:rsid w:val="00954831"/>
    <w:rsid w:val="009563C9"/>
    <w:rsid w:val="00957796"/>
    <w:rsid w:val="009608AE"/>
    <w:rsid w:val="009616B7"/>
    <w:rsid w:val="00961CB7"/>
    <w:rsid w:val="00963F8D"/>
    <w:rsid w:val="00963FEC"/>
    <w:rsid w:val="00964D7B"/>
    <w:rsid w:val="0096607C"/>
    <w:rsid w:val="00966E72"/>
    <w:rsid w:val="00971D15"/>
    <w:rsid w:val="00971E51"/>
    <w:rsid w:val="009733B1"/>
    <w:rsid w:val="00973A0D"/>
    <w:rsid w:val="009755FD"/>
    <w:rsid w:val="00981A5E"/>
    <w:rsid w:val="0098362E"/>
    <w:rsid w:val="009842E3"/>
    <w:rsid w:val="00985107"/>
    <w:rsid w:val="00987C73"/>
    <w:rsid w:val="009903EE"/>
    <w:rsid w:val="00991921"/>
    <w:rsid w:val="00996CA1"/>
    <w:rsid w:val="009A0065"/>
    <w:rsid w:val="009A1449"/>
    <w:rsid w:val="009A267B"/>
    <w:rsid w:val="009A42AB"/>
    <w:rsid w:val="009A45B7"/>
    <w:rsid w:val="009A4941"/>
    <w:rsid w:val="009A67EC"/>
    <w:rsid w:val="009B0E1D"/>
    <w:rsid w:val="009B19B3"/>
    <w:rsid w:val="009B29DD"/>
    <w:rsid w:val="009B5318"/>
    <w:rsid w:val="009B6DA9"/>
    <w:rsid w:val="009C1322"/>
    <w:rsid w:val="009C1BC1"/>
    <w:rsid w:val="009C38AA"/>
    <w:rsid w:val="009C7F3F"/>
    <w:rsid w:val="009D0AD9"/>
    <w:rsid w:val="009D1141"/>
    <w:rsid w:val="009D17EE"/>
    <w:rsid w:val="009D4C36"/>
    <w:rsid w:val="009D6CC2"/>
    <w:rsid w:val="009D6EAF"/>
    <w:rsid w:val="009E1C9A"/>
    <w:rsid w:val="009E2731"/>
    <w:rsid w:val="009E3575"/>
    <w:rsid w:val="009F0AD5"/>
    <w:rsid w:val="009F20DF"/>
    <w:rsid w:val="009F2FF5"/>
    <w:rsid w:val="009F31FB"/>
    <w:rsid w:val="009F554E"/>
    <w:rsid w:val="009F5945"/>
    <w:rsid w:val="009F5A48"/>
    <w:rsid w:val="009F7100"/>
    <w:rsid w:val="00A023E7"/>
    <w:rsid w:val="00A024F4"/>
    <w:rsid w:val="00A05283"/>
    <w:rsid w:val="00A063B5"/>
    <w:rsid w:val="00A12B5D"/>
    <w:rsid w:val="00A14FD8"/>
    <w:rsid w:val="00A15BE0"/>
    <w:rsid w:val="00A20B5B"/>
    <w:rsid w:val="00A2192C"/>
    <w:rsid w:val="00A2194D"/>
    <w:rsid w:val="00A23F73"/>
    <w:rsid w:val="00A243BC"/>
    <w:rsid w:val="00A32709"/>
    <w:rsid w:val="00A32D88"/>
    <w:rsid w:val="00A35A10"/>
    <w:rsid w:val="00A35C49"/>
    <w:rsid w:val="00A40276"/>
    <w:rsid w:val="00A43A25"/>
    <w:rsid w:val="00A46B17"/>
    <w:rsid w:val="00A46BE2"/>
    <w:rsid w:val="00A47E6D"/>
    <w:rsid w:val="00A47E91"/>
    <w:rsid w:val="00A513D2"/>
    <w:rsid w:val="00A5301D"/>
    <w:rsid w:val="00A53398"/>
    <w:rsid w:val="00A53431"/>
    <w:rsid w:val="00A55175"/>
    <w:rsid w:val="00A62239"/>
    <w:rsid w:val="00A62274"/>
    <w:rsid w:val="00A63AA0"/>
    <w:rsid w:val="00A66C0C"/>
    <w:rsid w:val="00A66DAE"/>
    <w:rsid w:val="00A6701D"/>
    <w:rsid w:val="00A74010"/>
    <w:rsid w:val="00A76450"/>
    <w:rsid w:val="00A81260"/>
    <w:rsid w:val="00A81F1A"/>
    <w:rsid w:val="00A86BB8"/>
    <w:rsid w:val="00A86FFE"/>
    <w:rsid w:val="00A8729A"/>
    <w:rsid w:val="00A873E6"/>
    <w:rsid w:val="00A903BB"/>
    <w:rsid w:val="00A90EBA"/>
    <w:rsid w:val="00A93680"/>
    <w:rsid w:val="00A954B6"/>
    <w:rsid w:val="00A9693E"/>
    <w:rsid w:val="00A96DE9"/>
    <w:rsid w:val="00AA00A6"/>
    <w:rsid w:val="00AA060B"/>
    <w:rsid w:val="00AA2F3D"/>
    <w:rsid w:val="00AA3870"/>
    <w:rsid w:val="00AA3C80"/>
    <w:rsid w:val="00AA3F9C"/>
    <w:rsid w:val="00AA6EFD"/>
    <w:rsid w:val="00AB0449"/>
    <w:rsid w:val="00AB3F24"/>
    <w:rsid w:val="00AB49D4"/>
    <w:rsid w:val="00AB502A"/>
    <w:rsid w:val="00AB5358"/>
    <w:rsid w:val="00AB56EC"/>
    <w:rsid w:val="00AB5718"/>
    <w:rsid w:val="00AB5783"/>
    <w:rsid w:val="00AB5A20"/>
    <w:rsid w:val="00AB7726"/>
    <w:rsid w:val="00AC293C"/>
    <w:rsid w:val="00AC2BE0"/>
    <w:rsid w:val="00AC3A32"/>
    <w:rsid w:val="00AD2BFA"/>
    <w:rsid w:val="00AD3543"/>
    <w:rsid w:val="00AD4999"/>
    <w:rsid w:val="00AD546D"/>
    <w:rsid w:val="00AE103A"/>
    <w:rsid w:val="00AE1B74"/>
    <w:rsid w:val="00AE4F63"/>
    <w:rsid w:val="00AE7DAD"/>
    <w:rsid w:val="00AF1B5A"/>
    <w:rsid w:val="00AF1D3E"/>
    <w:rsid w:val="00AF42DF"/>
    <w:rsid w:val="00B00A3D"/>
    <w:rsid w:val="00B0138B"/>
    <w:rsid w:val="00B03055"/>
    <w:rsid w:val="00B04EE9"/>
    <w:rsid w:val="00B05A1D"/>
    <w:rsid w:val="00B0649A"/>
    <w:rsid w:val="00B064C5"/>
    <w:rsid w:val="00B102B8"/>
    <w:rsid w:val="00B119DE"/>
    <w:rsid w:val="00B11DE2"/>
    <w:rsid w:val="00B12630"/>
    <w:rsid w:val="00B143BD"/>
    <w:rsid w:val="00B15DE0"/>
    <w:rsid w:val="00B166B0"/>
    <w:rsid w:val="00B166F0"/>
    <w:rsid w:val="00B167BC"/>
    <w:rsid w:val="00B168D1"/>
    <w:rsid w:val="00B16B04"/>
    <w:rsid w:val="00B16EBD"/>
    <w:rsid w:val="00B17024"/>
    <w:rsid w:val="00B1780C"/>
    <w:rsid w:val="00B17B10"/>
    <w:rsid w:val="00B203E3"/>
    <w:rsid w:val="00B247C2"/>
    <w:rsid w:val="00B2517B"/>
    <w:rsid w:val="00B25EDB"/>
    <w:rsid w:val="00B2642F"/>
    <w:rsid w:val="00B266F2"/>
    <w:rsid w:val="00B2698A"/>
    <w:rsid w:val="00B269AD"/>
    <w:rsid w:val="00B27108"/>
    <w:rsid w:val="00B273D0"/>
    <w:rsid w:val="00B33F14"/>
    <w:rsid w:val="00B363D7"/>
    <w:rsid w:val="00B37187"/>
    <w:rsid w:val="00B43159"/>
    <w:rsid w:val="00B44D09"/>
    <w:rsid w:val="00B450C4"/>
    <w:rsid w:val="00B457FD"/>
    <w:rsid w:val="00B45A29"/>
    <w:rsid w:val="00B47B7B"/>
    <w:rsid w:val="00B525D1"/>
    <w:rsid w:val="00B52A34"/>
    <w:rsid w:val="00B53363"/>
    <w:rsid w:val="00B53F01"/>
    <w:rsid w:val="00B55749"/>
    <w:rsid w:val="00B55CAD"/>
    <w:rsid w:val="00B563CF"/>
    <w:rsid w:val="00B626AA"/>
    <w:rsid w:val="00B62AA2"/>
    <w:rsid w:val="00B657D4"/>
    <w:rsid w:val="00B65A63"/>
    <w:rsid w:val="00B65DF3"/>
    <w:rsid w:val="00B66B05"/>
    <w:rsid w:val="00B67053"/>
    <w:rsid w:val="00B67B5D"/>
    <w:rsid w:val="00B716FC"/>
    <w:rsid w:val="00B74A53"/>
    <w:rsid w:val="00B75263"/>
    <w:rsid w:val="00B75350"/>
    <w:rsid w:val="00B76043"/>
    <w:rsid w:val="00B76410"/>
    <w:rsid w:val="00B76885"/>
    <w:rsid w:val="00B771B0"/>
    <w:rsid w:val="00B7752E"/>
    <w:rsid w:val="00B77C06"/>
    <w:rsid w:val="00B8035D"/>
    <w:rsid w:val="00B803FC"/>
    <w:rsid w:val="00B80891"/>
    <w:rsid w:val="00B817EF"/>
    <w:rsid w:val="00B8259E"/>
    <w:rsid w:val="00B82FBF"/>
    <w:rsid w:val="00B83328"/>
    <w:rsid w:val="00B85653"/>
    <w:rsid w:val="00B86175"/>
    <w:rsid w:val="00B86848"/>
    <w:rsid w:val="00B91C12"/>
    <w:rsid w:val="00B92C02"/>
    <w:rsid w:val="00B92D39"/>
    <w:rsid w:val="00B92E85"/>
    <w:rsid w:val="00B950E1"/>
    <w:rsid w:val="00BA1989"/>
    <w:rsid w:val="00BA4F21"/>
    <w:rsid w:val="00BA5722"/>
    <w:rsid w:val="00BA57A8"/>
    <w:rsid w:val="00BA5873"/>
    <w:rsid w:val="00BB2E9D"/>
    <w:rsid w:val="00BB369C"/>
    <w:rsid w:val="00BB42A2"/>
    <w:rsid w:val="00BB631B"/>
    <w:rsid w:val="00BB6D63"/>
    <w:rsid w:val="00BB71FE"/>
    <w:rsid w:val="00BB785D"/>
    <w:rsid w:val="00BC054B"/>
    <w:rsid w:val="00BC541D"/>
    <w:rsid w:val="00BC6CF0"/>
    <w:rsid w:val="00BC71D9"/>
    <w:rsid w:val="00BD0C53"/>
    <w:rsid w:val="00BD474A"/>
    <w:rsid w:val="00BD49A6"/>
    <w:rsid w:val="00BD5358"/>
    <w:rsid w:val="00BD644B"/>
    <w:rsid w:val="00BD7212"/>
    <w:rsid w:val="00BD7272"/>
    <w:rsid w:val="00BD7AF0"/>
    <w:rsid w:val="00BD7F7A"/>
    <w:rsid w:val="00BE1AFC"/>
    <w:rsid w:val="00BE56E0"/>
    <w:rsid w:val="00BE638E"/>
    <w:rsid w:val="00BF0605"/>
    <w:rsid w:val="00BF1F78"/>
    <w:rsid w:val="00BF2CE1"/>
    <w:rsid w:val="00BF4EEB"/>
    <w:rsid w:val="00BF63FD"/>
    <w:rsid w:val="00BF64D1"/>
    <w:rsid w:val="00BF677D"/>
    <w:rsid w:val="00BF6B04"/>
    <w:rsid w:val="00BF6E73"/>
    <w:rsid w:val="00BF7362"/>
    <w:rsid w:val="00C00C39"/>
    <w:rsid w:val="00C0133F"/>
    <w:rsid w:val="00C019E8"/>
    <w:rsid w:val="00C03D60"/>
    <w:rsid w:val="00C04BFA"/>
    <w:rsid w:val="00C057BA"/>
    <w:rsid w:val="00C069D1"/>
    <w:rsid w:val="00C07F59"/>
    <w:rsid w:val="00C12AC0"/>
    <w:rsid w:val="00C16E54"/>
    <w:rsid w:val="00C17EBB"/>
    <w:rsid w:val="00C21DDA"/>
    <w:rsid w:val="00C22609"/>
    <w:rsid w:val="00C23B2D"/>
    <w:rsid w:val="00C24220"/>
    <w:rsid w:val="00C24778"/>
    <w:rsid w:val="00C2528A"/>
    <w:rsid w:val="00C26D92"/>
    <w:rsid w:val="00C31FF9"/>
    <w:rsid w:val="00C32899"/>
    <w:rsid w:val="00C35B09"/>
    <w:rsid w:val="00C370B0"/>
    <w:rsid w:val="00C37C52"/>
    <w:rsid w:val="00C402D4"/>
    <w:rsid w:val="00C40557"/>
    <w:rsid w:val="00C420AC"/>
    <w:rsid w:val="00C4374C"/>
    <w:rsid w:val="00C44301"/>
    <w:rsid w:val="00C44417"/>
    <w:rsid w:val="00C451F7"/>
    <w:rsid w:val="00C47AE4"/>
    <w:rsid w:val="00C510F9"/>
    <w:rsid w:val="00C51EA4"/>
    <w:rsid w:val="00C532D7"/>
    <w:rsid w:val="00C5399A"/>
    <w:rsid w:val="00C53D5E"/>
    <w:rsid w:val="00C5457C"/>
    <w:rsid w:val="00C5484A"/>
    <w:rsid w:val="00C55324"/>
    <w:rsid w:val="00C55574"/>
    <w:rsid w:val="00C60E63"/>
    <w:rsid w:val="00C61AE2"/>
    <w:rsid w:val="00C64F76"/>
    <w:rsid w:val="00C65025"/>
    <w:rsid w:val="00C6536E"/>
    <w:rsid w:val="00C65B44"/>
    <w:rsid w:val="00C65B4C"/>
    <w:rsid w:val="00C65CDD"/>
    <w:rsid w:val="00C65D66"/>
    <w:rsid w:val="00C66418"/>
    <w:rsid w:val="00C667F2"/>
    <w:rsid w:val="00C66AF8"/>
    <w:rsid w:val="00C6705A"/>
    <w:rsid w:val="00C7263D"/>
    <w:rsid w:val="00C75876"/>
    <w:rsid w:val="00C768F8"/>
    <w:rsid w:val="00C77732"/>
    <w:rsid w:val="00C77D20"/>
    <w:rsid w:val="00C8042A"/>
    <w:rsid w:val="00C807E9"/>
    <w:rsid w:val="00C810CC"/>
    <w:rsid w:val="00C8122E"/>
    <w:rsid w:val="00C8136C"/>
    <w:rsid w:val="00C837FB"/>
    <w:rsid w:val="00C85A9C"/>
    <w:rsid w:val="00C9150C"/>
    <w:rsid w:val="00C91AAF"/>
    <w:rsid w:val="00C91C8F"/>
    <w:rsid w:val="00C91D7B"/>
    <w:rsid w:val="00C929CC"/>
    <w:rsid w:val="00C95648"/>
    <w:rsid w:val="00C96823"/>
    <w:rsid w:val="00C96DFE"/>
    <w:rsid w:val="00CA02BC"/>
    <w:rsid w:val="00CA1265"/>
    <w:rsid w:val="00CA433E"/>
    <w:rsid w:val="00CA5028"/>
    <w:rsid w:val="00CA591C"/>
    <w:rsid w:val="00CA7150"/>
    <w:rsid w:val="00CB0159"/>
    <w:rsid w:val="00CB0B35"/>
    <w:rsid w:val="00CB17EE"/>
    <w:rsid w:val="00CB5161"/>
    <w:rsid w:val="00CB5DDE"/>
    <w:rsid w:val="00CB7407"/>
    <w:rsid w:val="00CC04D0"/>
    <w:rsid w:val="00CC255C"/>
    <w:rsid w:val="00CC3970"/>
    <w:rsid w:val="00CC3D07"/>
    <w:rsid w:val="00CC4530"/>
    <w:rsid w:val="00CD1A97"/>
    <w:rsid w:val="00CD3BAE"/>
    <w:rsid w:val="00CD4576"/>
    <w:rsid w:val="00CD5757"/>
    <w:rsid w:val="00CD6E11"/>
    <w:rsid w:val="00CD7708"/>
    <w:rsid w:val="00CE0D26"/>
    <w:rsid w:val="00CE4AA5"/>
    <w:rsid w:val="00CE5E12"/>
    <w:rsid w:val="00CF08E0"/>
    <w:rsid w:val="00CF15C2"/>
    <w:rsid w:val="00CF36C0"/>
    <w:rsid w:val="00CF63EF"/>
    <w:rsid w:val="00D00C32"/>
    <w:rsid w:val="00D0235F"/>
    <w:rsid w:val="00D027D3"/>
    <w:rsid w:val="00D0301A"/>
    <w:rsid w:val="00D04161"/>
    <w:rsid w:val="00D04664"/>
    <w:rsid w:val="00D0498E"/>
    <w:rsid w:val="00D04C35"/>
    <w:rsid w:val="00D06FC7"/>
    <w:rsid w:val="00D11670"/>
    <w:rsid w:val="00D1169A"/>
    <w:rsid w:val="00D118DC"/>
    <w:rsid w:val="00D11BC4"/>
    <w:rsid w:val="00D12C0B"/>
    <w:rsid w:val="00D157BC"/>
    <w:rsid w:val="00D17CA4"/>
    <w:rsid w:val="00D206FC"/>
    <w:rsid w:val="00D2125A"/>
    <w:rsid w:val="00D21BEE"/>
    <w:rsid w:val="00D22C8D"/>
    <w:rsid w:val="00D230EF"/>
    <w:rsid w:val="00D244E7"/>
    <w:rsid w:val="00D24F35"/>
    <w:rsid w:val="00D25493"/>
    <w:rsid w:val="00D26E1E"/>
    <w:rsid w:val="00D27B71"/>
    <w:rsid w:val="00D30318"/>
    <w:rsid w:val="00D3097E"/>
    <w:rsid w:val="00D31019"/>
    <w:rsid w:val="00D3117F"/>
    <w:rsid w:val="00D31382"/>
    <w:rsid w:val="00D31627"/>
    <w:rsid w:val="00D33DCB"/>
    <w:rsid w:val="00D37428"/>
    <w:rsid w:val="00D43183"/>
    <w:rsid w:val="00D434FB"/>
    <w:rsid w:val="00D4382D"/>
    <w:rsid w:val="00D43B16"/>
    <w:rsid w:val="00D44A33"/>
    <w:rsid w:val="00D45CF3"/>
    <w:rsid w:val="00D50797"/>
    <w:rsid w:val="00D51121"/>
    <w:rsid w:val="00D524E3"/>
    <w:rsid w:val="00D52587"/>
    <w:rsid w:val="00D5294B"/>
    <w:rsid w:val="00D5456B"/>
    <w:rsid w:val="00D54D20"/>
    <w:rsid w:val="00D56583"/>
    <w:rsid w:val="00D6060A"/>
    <w:rsid w:val="00D62A8B"/>
    <w:rsid w:val="00D63EE2"/>
    <w:rsid w:val="00D647CA"/>
    <w:rsid w:val="00D65463"/>
    <w:rsid w:val="00D6553A"/>
    <w:rsid w:val="00D668AB"/>
    <w:rsid w:val="00D71639"/>
    <w:rsid w:val="00D7414B"/>
    <w:rsid w:val="00D74DAE"/>
    <w:rsid w:val="00D76148"/>
    <w:rsid w:val="00D7668E"/>
    <w:rsid w:val="00D77205"/>
    <w:rsid w:val="00D824FD"/>
    <w:rsid w:val="00D82EA2"/>
    <w:rsid w:val="00D836FA"/>
    <w:rsid w:val="00D860A6"/>
    <w:rsid w:val="00D865FD"/>
    <w:rsid w:val="00D90B64"/>
    <w:rsid w:val="00D92C7F"/>
    <w:rsid w:val="00D939AB"/>
    <w:rsid w:val="00D947F8"/>
    <w:rsid w:val="00D9486B"/>
    <w:rsid w:val="00D95521"/>
    <w:rsid w:val="00D96252"/>
    <w:rsid w:val="00D96BD0"/>
    <w:rsid w:val="00DA169F"/>
    <w:rsid w:val="00DA19FB"/>
    <w:rsid w:val="00DA2820"/>
    <w:rsid w:val="00DA39C6"/>
    <w:rsid w:val="00DA4577"/>
    <w:rsid w:val="00DA4F21"/>
    <w:rsid w:val="00DA6147"/>
    <w:rsid w:val="00DB03CA"/>
    <w:rsid w:val="00DB245E"/>
    <w:rsid w:val="00DB379A"/>
    <w:rsid w:val="00DB3DED"/>
    <w:rsid w:val="00DB4E64"/>
    <w:rsid w:val="00DB51A4"/>
    <w:rsid w:val="00DB5F32"/>
    <w:rsid w:val="00DB622F"/>
    <w:rsid w:val="00DB7EE4"/>
    <w:rsid w:val="00DC4BCB"/>
    <w:rsid w:val="00DC5279"/>
    <w:rsid w:val="00DC5F85"/>
    <w:rsid w:val="00DD013F"/>
    <w:rsid w:val="00DD0E64"/>
    <w:rsid w:val="00DD154F"/>
    <w:rsid w:val="00DD31DA"/>
    <w:rsid w:val="00DD41FF"/>
    <w:rsid w:val="00DD4264"/>
    <w:rsid w:val="00DD6401"/>
    <w:rsid w:val="00DD7A96"/>
    <w:rsid w:val="00DD7ECA"/>
    <w:rsid w:val="00DE12AB"/>
    <w:rsid w:val="00DE2D7D"/>
    <w:rsid w:val="00DE445E"/>
    <w:rsid w:val="00DE64D0"/>
    <w:rsid w:val="00DE78D0"/>
    <w:rsid w:val="00DF1485"/>
    <w:rsid w:val="00DF386B"/>
    <w:rsid w:val="00DF39A7"/>
    <w:rsid w:val="00DF6988"/>
    <w:rsid w:val="00DF6A86"/>
    <w:rsid w:val="00DF70C0"/>
    <w:rsid w:val="00DF76BB"/>
    <w:rsid w:val="00DF7CF6"/>
    <w:rsid w:val="00E005B7"/>
    <w:rsid w:val="00E00D23"/>
    <w:rsid w:val="00E00FC4"/>
    <w:rsid w:val="00E07B63"/>
    <w:rsid w:val="00E103EC"/>
    <w:rsid w:val="00E1105C"/>
    <w:rsid w:val="00E11ED5"/>
    <w:rsid w:val="00E1209D"/>
    <w:rsid w:val="00E13E08"/>
    <w:rsid w:val="00E146FF"/>
    <w:rsid w:val="00E14C61"/>
    <w:rsid w:val="00E16515"/>
    <w:rsid w:val="00E16753"/>
    <w:rsid w:val="00E16D5E"/>
    <w:rsid w:val="00E3111D"/>
    <w:rsid w:val="00E36558"/>
    <w:rsid w:val="00E41F5A"/>
    <w:rsid w:val="00E455B6"/>
    <w:rsid w:val="00E45645"/>
    <w:rsid w:val="00E45667"/>
    <w:rsid w:val="00E46151"/>
    <w:rsid w:val="00E46529"/>
    <w:rsid w:val="00E47221"/>
    <w:rsid w:val="00E47301"/>
    <w:rsid w:val="00E502AE"/>
    <w:rsid w:val="00E538CD"/>
    <w:rsid w:val="00E54E7B"/>
    <w:rsid w:val="00E56F4A"/>
    <w:rsid w:val="00E60488"/>
    <w:rsid w:val="00E606DA"/>
    <w:rsid w:val="00E60C94"/>
    <w:rsid w:val="00E615E7"/>
    <w:rsid w:val="00E6358E"/>
    <w:rsid w:val="00E65196"/>
    <w:rsid w:val="00E65E67"/>
    <w:rsid w:val="00E705EB"/>
    <w:rsid w:val="00E708CB"/>
    <w:rsid w:val="00E70D6A"/>
    <w:rsid w:val="00E70E35"/>
    <w:rsid w:val="00E746F6"/>
    <w:rsid w:val="00E77A48"/>
    <w:rsid w:val="00E8025D"/>
    <w:rsid w:val="00E83C5D"/>
    <w:rsid w:val="00E8497E"/>
    <w:rsid w:val="00E85563"/>
    <w:rsid w:val="00E859FD"/>
    <w:rsid w:val="00E860E3"/>
    <w:rsid w:val="00E8622E"/>
    <w:rsid w:val="00E86D5A"/>
    <w:rsid w:val="00E90234"/>
    <w:rsid w:val="00E9076B"/>
    <w:rsid w:val="00E91474"/>
    <w:rsid w:val="00E923A7"/>
    <w:rsid w:val="00E931FF"/>
    <w:rsid w:val="00E9339B"/>
    <w:rsid w:val="00E93822"/>
    <w:rsid w:val="00E93A1B"/>
    <w:rsid w:val="00E95354"/>
    <w:rsid w:val="00E953BC"/>
    <w:rsid w:val="00E96AEF"/>
    <w:rsid w:val="00EA09F5"/>
    <w:rsid w:val="00EA1458"/>
    <w:rsid w:val="00EA1592"/>
    <w:rsid w:val="00EA1BFD"/>
    <w:rsid w:val="00EA2680"/>
    <w:rsid w:val="00EA32D0"/>
    <w:rsid w:val="00EB0416"/>
    <w:rsid w:val="00EB1988"/>
    <w:rsid w:val="00EB3EE7"/>
    <w:rsid w:val="00EB6562"/>
    <w:rsid w:val="00EB6697"/>
    <w:rsid w:val="00EB7BBB"/>
    <w:rsid w:val="00EC1FAC"/>
    <w:rsid w:val="00EC34DE"/>
    <w:rsid w:val="00EC48C8"/>
    <w:rsid w:val="00EC517C"/>
    <w:rsid w:val="00EC5790"/>
    <w:rsid w:val="00EC6361"/>
    <w:rsid w:val="00EC6B53"/>
    <w:rsid w:val="00EC70CB"/>
    <w:rsid w:val="00ED15EF"/>
    <w:rsid w:val="00ED2D79"/>
    <w:rsid w:val="00ED3A2C"/>
    <w:rsid w:val="00ED3B8B"/>
    <w:rsid w:val="00ED4EA1"/>
    <w:rsid w:val="00ED6EAE"/>
    <w:rsid w:val="00EE045A"/>
    <w:rsid w:val="00EE16EC"/>
    <w:rsid w:val="00EE22AD"/>
    <w:rsid w:val="00EE2B85"/>
    <w:rsid w:val="00EE33C5"/>
    <w:rsid w:val="00EE384E"/>
    <w:rsid w:val="00EE38CF"/>
    <w:rsid w:val="00EE6266"/>
    <w:rsid w:val="00EE7186"/>
    <w:rsid w:val="00EF0770"/>
    <w:rsid w:val="00EF1305"/>
    <w:rsid w:val="00EF190A"/>
    <w:rsid w:val="00EF1997"/>
    <w:rsid w:val="00EF2006"/>
    <w:rsid w:val="00F0298B"/>
    <w:rsid w:val="00F03D5B"/>
    <w:rsid w:val="00F04E64"/>
    <w:rsid w:val="00F05777"/>
    <w:rsid w:val="00F06387"/>
    <w:rsid w:val="00F06494"/>
    <w:rsid w:val="00F067A6"/>
    <w:rsid w:val="00F06C45"/>
    <w:rsid w:val="00F10C5F"/>
    <w:rsid w:val="00F11A5C"/>
    <w:rsid w:val="00F133EB"/>
    <w:rsid w:val="00F14110"/>
    <w:rsid w:val="00F15DA4"/>
    <w:rsid w:val="00F172F4"/>
    <w:rsid w:val="00F20C56"/>
    <w:rsid w:val="00F20CCE"/>
    <w:rsid w:val="00F21550"/>
    <w:rsid w:val="00F21CC5"/>
    <w:rsid w:val="00F266A2"/>
    <w:rsid w:val="00F2731C"/>
    <w:rsid w:val="00F306DE"/>
    <w:rsid w:val="00F31606"/>
    <w:rsid w:val="00F3537D"/>
    <w:rsid w:val="00F35727"/>
    <w:rsid w:val="00F40739"/>
    <w:rsid w:val="00F40F1B"/>
    <w:rsid w:val="00F4196F"/>
    <w:rsid w:val="00F43AD3"/>
    <w:rsid w:val="00F44E71"/>
    <w:rsid w:val="00F4649A"/>
    <w:rsid w:val="00F46C0C"/>
    <w:rsid w:val="00F47640"/>
    <w:rsid w:val="00F47C84"/>
    <w:rsid w:val="00F50DEC"/>
    <w:rsid w:val="00F51221"/>
    <w:rsid w:val="00F513C6"/>
    <w:rsid w:val="00F51B05"/>
    <w:rsid w:val="00F56CC7"/>
    <w:rsid w:val="00F579B9"/>
    <w:rsid w:val="00F615E1"/>
    <w:rsid w:val="00F632D6"/>
    <w:rsid w:val="00F636C6"/>
    <w:rsid w:val="00F63CF4"/>
    <w:rsid w:val="00F65303"/>
    <w:rsid w:val="00F6535C"/>
    <w:rsid w:val="00F65E62"/>
    <w:rsid w:val="00F665E5"/>
    <w:rsid w:val="00F70DC1"/>
    <w:rsid w:val="00F723D6"/>
    <w:rsid w:val="00F741F8"/>
    <w:rsid w:val="00F74CE1"/>
    <w:rsid w:val="00F76B41"/>
    <w:rsid w:val="00F76B96"/>
    <w:rsid w:val="00F774AC"/>
    <w:rsid w:val="00F77923"/>
    <w:rsid w:val="00F80930"/>
    <w:rsid w:val="00F8192C"/>
    <w:rsid w:val="00F821DA"/>
    <w:rsid w:val="00F827C4"/>
    <w:rsid w:val="00F832BF"/>
    <w:rsid w:val="00F85037"/>
    <w:rsid w:val="00F8648A"/>
    <w:rsid w:val="00F86FAB"/>
    <w:rsid w:val="00F90B3B"/>
    <w:rsid w:val="00F93324"/>
    <w:rsid w:val="00F942A3"/>
    <w:rsid w:val="00F95F78"/>
    <w:rsid w:val="00F97A1F"/>
    <w:rsid w:val="00FA006D"/>
    <w:rsid w:val="00FA667B"/>
    <w:rsid w:val="00FB0365"/>
    <w:rsid w:val="00FB2320"/>
    <w:rsid w:val="00FB50F4"/>
    <w:rsid w:val="00FB57B4"/>
    <w:rsid w:val="00FC139E"/>
    <w:rsid w:val="00FC1F09"/>
    <w:rsid w:val="00FC25D7"/>
    <w:rsid w:val="00FC38C5"/>
    <w:rsid w:val="00FC4871"/>
    <w:rsid w:val="00FC7EDD"/>
    <w:rsid w:val="00FD2CB8"/>
    <w:rsid w:val="00FD2D6E"/>
    <w:rsid w:val="00FD32AD"/>
    <w:rsid w:val="00FD34CE"/>
    <w:rsid w:val="00FD4014"/>
    <w:rsid w:val="00FD56F3"/>
    <w:rsid w:val="00FD7072"/>
    <w:rsid w:val="00FD70A3"/>
    <w:rsid w:val="00FD7330"/>
    <w:rsid w:val="00FE04C4"/>
    <w:rsid w:val="00FE0EC1"/>
    <w:rsid w:val="00FE1D5E"/>
    <w:rsid w:val="00FE2D1E"/>
    <w:rsid w:val="00FE3F81"/>
    <w:rsid w:val="00FE4C0F"/>
    <w:rsid w:val="00FE6A54"/>
    <w:rsid w:val="00FE7B73"/>
    <w:rsid w:val="00FF0420"/>
    <w:rsid w:val="00FF31D1"/>
    <w:rsid w:val="00FF3941"/>
    <w:rsid w:val="00FF3DBB"/>
    <w:rsid w:val="00FF4B69"/>
    <w:rsid w:val="00FF5191"/>
    <w:rsid w:val="00FF5EF8"/>
    <w:rsid w:val="00FF6403"/>
    <w:rsid w:val="00FF6E6C"/>
    <w:rsid w:val="00FF7097"/>
    <w:rsid w:val="01591C99"/>
    <w:rsid w:val="01F8640D"/>
    <w:rsid w:val="021140E9"/>
    <w:rsid w:val="025354B8"/>
    <w:rsid w:val="025F191D"/>
    <w:rsid w:val="02FD01E9"/>
    <w:rsid w:val="033C0E47"/>
    <w:rsid w:val="034F2928"/>
    <w:rsid w:val="03C67A4F"/>
    <w:rsid w:val="03CE1BE4"/>
    <w:rsid w:val="04CA65D2"/>
    <w:rsid w:val="04E64DF0"/>
    <w:rsid w:val="05892B03"/>
    <w:rsid w:val="05B10EBC"/>
    <w:rsid w:val="05E25227"/>
    <w:rsid w:val="06834E1D"/>
    <w:rsid w:val="06927801"/>
    <w:rsid w:val="06D931EF"/>
    <w:rsid w:val="0708351A"/>
    <w:rsid w:val="07140E4B"/>
    <w:rsid w:val="07682FDB"/>
    <w:rsid w:val="07AB6D90"/>
    <w:rsid w:val="08196157"/>
    <w:rsid w:val="0837485C"/>
    <w:rsid w:val="08907D74"/>
    <w:rsid w:val="0965025A"/>
    <w:rsid w:val="09656AD0"/>
    <w:rsid w:val="098E319F"/>
    <w:rsid w:val="09937374"/>
    <w:rsid w:val="09AE2B1B"/>
    <w:rsid w:val="09B84869"/>
    <w:rsid w:val="0A043E1E"/>
    <w:rsid w:val="0A226F8E"/>
    <w:rsid w:val="0A5151D8"/>
    <w:rsid w:val="0A6C0D33"/>
    <w:rsid w:val="0A8F345A"/>
    <w:rsid w:val="0B247102"/>
    <w:rsid w:val="0B2E72C7"/>
    <w:rsid w:val="0B3D3221"/>
    <w:rsid w:val="0B552A9E"/>
    <w:rsid w:val="0B6D65A7"/>
    <w:rsid w:val="0BF875A0"/>
    <w:rsid w:val="0C030754"/>
    <w:rsid w:val="0C13055B"/>
    <w:rsid w:val="0C1735E6"/>
    <w:rsid w:val="0CCD4285"/>
    <w:rsid w:val="0D6F1277"/>
    <w:rsid w:val="0D8C65C4"/>
    <w:rsid w:val="0DE3083D"/>
    <w:rsid w:val="0E61268F"/>
    <w:rsid w:val="0E65475F"/>
    <w:rsid w:val="0E704C7B"/>
    <w:rsid w:val="0E7F1454"/>
    <w:rsid w:val="0E9008FE"/>
    <w:rsid w:val="0EA12883"/>
    <w:rsid w:val="0EA13144"/>
    <w:rsid w:val="0EBF3B56"/>
    <w:rsid w:val="0F2B6888"/>
    <w:rsid w:val="0F4B066E"/>
    <w:rsid w:val="0F6D23B1"/>
    <w:rsid w:val="0F723873"/>
    <w:rsid w:val="0FAD1CE6"/>
    <w:rsid w:val="0FB64D97"/>
    <w:rsid w:val="10516A5F"/>
    <w:rsid w:val="106A43D3"/>
    <w:rsid w:val="111B5554"/>
    <w:rsid w:val="112E6273"/>
    <w:rsid w:val="117F1B42"/>
    <w:rsid w:val="11CE2904"/>
    <w:rsid w:val="11E15852"/>
    <w:rsid w:val="13782029"/>
    <w:rsid w:val="13E0319E"/>
    <w:rsid w:val="145F4995"/>
    <w:rsid w:val="14673BD7"/>
    <w:rsid w:val="14830684"/>
    <w:rsid w:val="1494463F"/>
    <w:rsid w:val="14CE701F"/>
    <w:rsid w:val="14E364EB"/>
    <w:rsid w:val="15BA20A7"/>
    <w:rsid w:val="16AB5961"/>
    <w:rsid w:val="16FF4361"/>
    <w:rsid w:val="170C6B7E"/>
    <w:rsid w:val="172B6DB1"/>
    <w:rsid w:val="17CF77B7"/>
    <w:rsid w:val="180D0689"/>
    <w:rsid w:val="183216FF"/>
    <w:rsid w:val="186A4AA5"/>
    <w:rsid w:val="189A705C"/>
    <w:rsid w:val="18FE654A"/>
    <w:rsid w:val="1901601B"/>
    <w:rsid w:val="192372F7"/>
    <w:rsid w:val="19474BDB"/>
    <w:rsid w:val="194B7296"/>
    <w:rsid w:val="197C7C74"/>
    <w:rsid w:val="199B79E4"/>
    <w:rsid w:val="19D9216E"/>
    <w:rsid w:val="19E91FE5"/>
    <w:rsid w:val="19F111C2"/>
    <w:rsid w:val="19F6755A"/>
    <w:rsid w:val="1A3916F5"/>
    <w:rsid w:val="1AC6477A"/>
    <w:rsid w:val="1ACC25FD"/>
    <w:rsid w:val="1AD514A7"/>
    <w:rsid w:val="1AF73531"/>
    <w:rsid w:val="1BDC3F1C"/>
    <w:rsid w:val="1C13688A"/>
    <w:rsid w:val="1C250273"/>
    <w:rsid w:val="1C840525"/>
    <w:rsid w:val="1C995C5C"/>
    <w:rsid w:val="1D28713C"/>
    <w:rsid w:val="1D2C5AC6"/>
    <w:rsid w:val="1D540E0F"/>
    <w:rsid w:val="1D682927"/>
    <w:rsid w:val="1D6E79F7"/>
    <w:rsid w:val="1D7F3DBC"/>
    <w:rsid w:val="1E0A282C"/>
    <w:rsid w:val="1E2D5BE5"/>
    <w:rsid w:val="1E8B5356"/>
    <w:rsid w:val="1ED55F80"/>
    <w:rsid w:val="1ED84145"/>
    <w:rsid w:val="1EE45D8C"/>
    <w:rsid w:val="1EF32FC4"/>
    <w:rsid w:val="1F350CF1"/>
    <w:rsid w:val="1FB6676D"/>
    <w:rsid w:val="1FCF6E73"/>
    <w:rsid w:val="1FCF7EE7"/>
    <w:rsid w:val="203B1E13"/>
    <w:rsid w:val="20671469"/>
    <w:rsid w:val="20A31749"/>
    <w:rsid w:val="210B10FE"/>
    <w:rsid w:val="2114128B"/>
    <w:rsid w:val="213C701E"/>
    <w:rsid w:val="21427E71"/>
    <w:rsid w:val="219E24DC"/>
    <w:rsid w:val="21AA55C2"/>
    <w:rsid w:val="21EA7F94"/>
    <w:rsid w:val="22301B4F"/>
    <w:rsid w:val="227F6B5C"/>
    <w:rsid w:val="232C42B1"/>
    <w:rsid w:val="234C2589"/>
    <w:rsid w:val="241C0DF1"/>
    <w:rsid w:val="243D0D26"/>
    <w:rsid w:val="24453271"/>
    <w:rsid w:val="248B6A24"/>
    <w:rsid w:val="24B06E14"/>
    <w:rsid w:val="24EA02AB"/>
    <w:rsid w:val="24F44325"/>
    <w:rsid w:val="253E1BDC"/>
    <w:rsid w:val="255D489D"/>
    <w:rsid w:val="2579771F"/>
    <w:rsid w:val="259809DB"/>
    <w:rsid w:val="25C40B11"/>
    <w:rsid w:val="260B1D53"/>
    <w:rsid w:val="26950CC8"/>
    <w:rsid w:val="26D8399D"/>
    <w:rsid w:val="275B78CE"/>
    <w:rsid w:val="27813AEE"/>
    <w:rsid w:val="27BA21B7"/>
    <w:rsid w:val="27E74C1E"/>
    <w:rsid w:val="280433A5"/>
    <w:rsid w:val="28187B81"/>
    <w:rsid w:val="28354B36"/>
    <w:rsid w:val="28D620AB"/>
    <w:rsid w:val="29043603"/>
    <w:rsid w:val="295E3016"/>
    <w:rsid w:val="29A63A65"/>
    <w:rsid w:val="29AC468F"/>
    <w:rsid w:val="2A3A53E7"/>
    <w:rsid w:val="2A421B42"/>
    <w:rsid w:val="2A4D65B4"/>
    <w:rsid w:val="2AAD3D65"/>
    <w:rsid w:val="2AC807AE"/>
    <w:rsid w:val="2AD407FE"/>
    <w:rsid w:val="2ADC3A1A"/>
    <w:rsid w:val="2B6031CC"/>
    <w:rsid w:val="2B7E32B5"/>
    <w:rsid w:val="2BF44D86"/>
    <w:rsid w:val="2BF51A0F"/>
    <w:rsid w:val="2C504B97"/>
    <w:rsid w:val="2CBE2951"/>
    <w:rsid w:val="2CCF5721"/>
    <w:rsid w:val="2D2A2022"/>
    <w:rsid w:val="2D8229AD"/>
    <w:rsid w:val="2DB331BF"/>
    <w:rsid w:val="2DD458B6"/>
    <w:rsid w:val="2E152297"/>
    <w:rsid w:val="2E8558C7"/>
    <w:rsid w:val="2F647147"/>
    <w:rsid w:val="2F6824F8"/>
    <w:rsid w:val="2F9C4024"/>
    <w:rsid w:val="303626AB"/>
    <w:rsid w:val="30BA6D84"/>
    <w:rsid w:val="311F6976"/>
    <w:rsid w:val="31495617"/>
    <w:rsid w:val="316F0B14"/>
    <w:rsid w:val="3195334D"/>
    <w:rsid w:val="31BD7CF4"/>
    <w:rsid w:val="31C44CC3"/>
    <w:rsid w:val="31DF099A"/>
    <w:rsid w:val="31FA1C34"/>
    <w:rsid w:val="325A4342"/>
    <w:rsid w:val="325B19DC"/>
    <w:rsid w:val="326F5A60"/>
    <w:rsid w:val="32936128"/>
    <w:rsid w:val="32A921E5"/>
    <w:rsid w:val="33125CC3"/>
    <w:rsid w:val="33145A98"/>
    <w:rsid w:val="337E08C4"/>
    <w:rsid w:val="33897098"/>
    <w:rsid w:val="33B248B0"/>
    <w:rsid w:val="33C674D0"/>
    <w:rsid w:val="33FE13CC"/>
    <w:rsid w:val="34321327"/>
    <w:rsid w:val="34960914"/>
    <w:rsid w:val="35135F34"/>
    <w:rsid w:val="35681367"/>
    <w:rsid w:val="35AF0E81"/>
    <w:rsid w:val="366570A6"/>
    <w:rsid w:val="36C27CC6"/>
    <w:rsid w:val="36D22C80"/>
    <w:rsid w:val="36FA6454"/>
    <w:rsid w:val="370F6801"/>
    <w:rsid w:val="371A27C6"/>
    <w:rsid w:val="377E0BA8"/>
    <w:rsid w:val="379B2AF1"/>
    <w:rsid w:val="37FA18DB"/>
    <w:rsid w:val="3819095E"/>
    <w:rsid w:val="383A2E9C"/>
    <w:rsid w:val="3890696E"/>
    <w:rsid w:val="38E2156D"/>
    <w:rsid w:val="3900114E"/>
    <w:rsid w:val="390124A7"/>
    <w:rsid w:val="39225E0E"/>
    <w:rsid w:val="392F6F83"/>
    <w:rsid w:val="394E6F2E"/>
    <w:rsid w:val="39A40B96"/>
    <w:rsid w:val="39A95156"/>
    <w:rsid w:val="39FF6CB8"/>
    <w:rsid w:val="3AB170B4"/>
    <w:rsid w:val="3AE16320"/>
    <w:rsid w:val="3AFF7AB3"/>
    <w:rsid w:val="3B82742B"/>
    <w:rsid w:val="3BC875A5"/>
    <w:rsid w:val="3C5062E7"/>
    <w:rsid w:val="3C940DA6"/>
    <w:rsid w:val="3CFA434C"/>
    <w:rsid w:val="3D65735B"/>
    <w:rsid w:val="3D986EB1"/>
    <w:rsid w:val="3DBA078F"/>
    <w:rsid w:val="3DC2023B"/>
    <w:rsid w:val="3DE132F7"/>
    <w:rsid w:val="3DFF11BC"/>
    <w:rsid w:val="3E0E332E"/>
    <w:rsid w:val="3E7D2E06"/>
    <w:rsid w:val="3ED15648"/>
    <w:rsid w:val="3F0272F4"/>
    <w:rsid w:val="3F4D3E9F"/>
    <w:rsid w:val="3F885A9C"/>
    <w:rsid w:val="3F955094"/>
    <w:rsid w:val="3FA04684"/>
    <w:rsid w:val="3FDE7CA8"/>
    <w:rsid w:val="3FE75E8B"/>
    <w:rsid w:val="401B0F86"/>
    <w:rsid w:val="403F2E01"/>
    <w:rsid w:val="407545C1"/>
    <w:rsid w:val="40AC69AD"/>
    <w:rsid w:val="40C70E91"/>
    <w:rsid w:val="41022C69"/>
    <w:rsid w:val="41331D64"/>
    <w:rsid w:val="419A209E"/>
    <w:rsid w:val="41BA7011"/>
    <w:rsid w:val="41C9446A"/>
    <w:rsid w:val="42A877F0"/>
    <w:rsid w:val="42D01EBC"/>
    <w:rsid w:val="42E45B37"/>
    <w:rsid w:val="434B5F61"/>
    <w:rsid w:val="4375048C"/>
    <w:rsid w:val="4396150A"/>
    <w:rsid w:val="43B020D7"/>
    <w:rsid w:val="43CC0E50"/>
    <w:rsid w:val="43FB4B8E"/>
    <w:rsid w:val="44136E5D"/>
    <w:rsid w:val="445F73DC"/>
    <w:rsid w:val="44803BF1"/>
    <w:rsid w:val="44A66C78"/>
    <w:rsid w:val="45240818"/>
    <w:rsid w:val="45285E8D"/>
    <w:rsid w:val="453A6929"/>
    <w:rsid w:val="456450B8"/>
    <w:rsid w:val="456B28EB"/>
    <w:rsid w:val="45997ACB"/>
    <w:rsid w:val="469E0AEB"/>
    <w:rsid w:val="472961F7"/>
    <w:rsid w:val="473E2065"/>
    <w:rsid w:val="47510A52"/>
    <w:rsid w:val="47CF17DE"/>
    <w:rsid w:val="4816466E"/>
    <w:rsid w:val="485960BF"/>
    <w:rsid w:val="485A0169"/>
    <w:rsid w:val="4A422D05"/>
    <w:rsid w:val="4AB233E5"/>
    <w:rsid w:val="4AF106DE"/>
    <w:rsid w:val="4AF40DEB"/>
    <w:rsid w:val="4B2C11A3"/>
    <w:rsid w:val="4B89440E"/>
    <w:rsid w:val="4BB950FE"/>
    <w:rsid w:val="4BCA052C"/>
    <w:rsid w:val="4C153F33"/>
    <w:rsid w:val="4C4A1A57"/>
    <w:rsid w:val="4CAB284E"/>
    <w:rsid w:val="4CBA7A55"/>
    <w:rsid w:val="4CDD689E"/>
    <w:rsid w:val="4CDF42AB"/>
    <w:rsid w:val="4CFD4A83"/>
    <w:rsid w:val="4D0E088F"/>
    <w:rsid w:val="4D275349"/>
    <w:rsid w:val="4D793356"/>
    <w:rsid w:val="4DE061A4"/>
    <w:rsid w:val="4E2F68D1"/>
    <w:rsid w:val="4EC04CCC"/>
    <w:rsid w:val="4ED3546B"/>
    <w:rsid w:val="4EEE4370"/>
    <w:rsid w:val="4F1F09CE"/>
    <w:rsid w:val="4F734876"/>
    <w:rsid w:val="4F83163C"/>
    <w:rsid w:val="4FB83140"/>
    <w:rsid w:val="502A587C"/>
    <w:rsid w:val="509E5922"/>
    <w:rsid w:val="50A7118C"/>
    <w:rsid w:val="50C30D2A"/>
    <w:rsid w:val="50E73FED"/>
    <w:rsid w:val="51283597"/>
    <w:rsid w:val="514D0703"/>
    <w:rsid w:val="51675522"/>
    <w:rsid w:val="51776B62"/>
    <w:rsid w:val="517B2119"/>
    <w:rsid w:val="519C1348"/>
    <w:rsid w:val="51A46CA0"/>
    <w:rsid w:val="52045C59"/>
    <w:rsid w:val="52054649"/>
    <w:rsid w:val="52195149"/>
    <w:rsid w:val="52294CD1"/>
    <w:rsid w:val="526A739B"/>
    <w:rsid w:val="528B20CF"/>
    <w:rsid w:val="528F3F02"/>
    <w:rsid w:val="52B20B6A"/>
    <w:rsid w:val="52E36E87"/>
    <w:rsid w:val="52ED69C5"/>
    <w:rsid w:val="53026BD5"/>
    <w:rsid w:val="53417BA1"/>
    <w:rsid w:val="535A2C6D"/>
    <w:rsid w:val="54072EBA"/>
    <w:rsid w:val="54435EE1"/>
    <w:rsid w:val="55094230"/>
    <w:rsid w:val="557B4AC6"/>
    <w:rsid w:val="55B14A82"/>
    <w:rsid w:val="55CC697B"/>
    <w:rsid w:val="56666616"/>
    <w:rsid w:val="567D7625"/>
    <w:rsid w:val="5699454A"/>
    <w:rsid w:val="56BE3B20"/>
    <w:rsid w:val="56C90CB4"/>
    <w:rsid w:val="56FF5B0D"/>
    <w:rsid w:val="57706E6B"/>
    <w:rsid w:val="577C7307"/>
    <w:rsid w:val="57882D61"/>
    <w:rsid w:val="58481758"/>
    <w:rsid w:val="58B80C28"/>
    <w:rsid w:val="58D227AD"/>
    <w:rsid w:val="58F00CE5"/>
    <w:rsid w:val="595D781C"/>
    <w:rsid w:val="59A06032"/>
    <w:rsid w:val="59C32E77"/>
    <w:rsid w:val="59C6270B"/>
    <w:rsid w:val="5A044656"/>
    <w:rsid w:val="5A1A261F"/>
    <w:rsid w:val="5A302684"/>
    <w:rsid w:val="5A830F14"/>
    <w:rsid w:val="5AAF5D4E"/>
    <w:rsid w:val="5AE7171E"/>
    <w:rsid w:val="5AF7703D"/>
    <w:rsid w:val="5AFC2330"/>
    <w:rsid w:val="5B0A2FFB"/>
    <w:rsid w:val="5B6E5915"/>
    <w:rsid w:val="5B832F1E"/>
    <w:rsid w:val="5BCB147B"/>
    <w:rsid w:val="5BE539EB"/>
    <w:rsid w:val="5C1473E0"/>
    <w:rsid w:val="5C1B29B3"/>
    <w:rsid w:val="5C367357"/>
    <w:rsid w:val="5D335644"/>
    <w:rsid w:val="5D884B00"/>
    <w:rsid w:val="5DBD07FB"/>
    <w:rsid w:val="5DC63E43"/>
    <w:rsid w:val="5DD0709E"/>
    <w:rsid w:val="5EEE5E94"/>
    <w:rsid w:val="5F407013"/>
    <w:rsid w:val="5F5859E9"/>
    <w:rsid w:val="5F933608"/>
    <w:rsid w:val="5FBA6BEB"/>
    <w:rsid w:val="5FC52423"/>
    <w:rsid w:val="5FD60994"/>
    <w:rsid w:val="5FE1686E"/>
    <w:rsid w:val="60750EAB"/>
    <w:rsid w:val="60896E50"/>
    <w:rsid w:val="60C97A19"/>
    <w:rsid w:val="61067861"/>
    <w:rsid w:val="616B5E89"/>
    <w:rsid w:val="61925949"/>
    <w:rsid w:val="61926657"/>
    <w:rsid w:val="61A739A7"/>
    <w:rsid w:val="62513CC5"/>
    <w:rsid w:val="62A24FB1"/>
    <w:rsid w:val="63086AD8"/>
    <w:rsid w:val="63C642D3"/>
    <w:rsid w:val="63D94E82"/>
    <w:rsid w:val="64755C0B"/>
    <w:rsid w:val="649C61C5"/>
    <w:rsid w:val="64C91CDA"/>
    <w:rsid w:val="652B3924"/>
    <w:rsid w:val="65622855"/>
    <w:rsid w:val="65784251"/>
    <w:rsid w:val="65D37E05"/>
    <w:rsid w:val="669A6E11"/>
    <w:rsid w:val="676D68B5"/>
    <w:rsid w:val="679743F1"/>
    <w:rsid w:val="67D068B1"/>
    <w:rsid w:val="68432FA1"/>
    <w:rsid w:val="689C4DAA"/>
    <w:rsid w:val="68CD4B9F"/>
    <w:rsid w:val="68E1652C"/>
    <w:rsid w:val="690B04B9"/>
    <w:rsid w:val="692B4D35"/>
    <w:rsid w:val="694A5B03"/>
    <w:rsid w:val="694F3F21"/>
    <w:rsid w:val="69890583"/>
    <w:rsid w:val="69A614D3"/>
    <w:rsid w:val="6AB26742"/>
    <w:rsid w:val="6ADF190A"/>
    <w:rsid w:val="6AE65A22"/>
    <w:rsid w:val="6B43383E"/>
    <w:rsid w:val="6BA8544F"/>
    <w:rsid w:val="6BDC6C36"/>
    <w:rsid w:val="6C1112BC"/>
    <w:rsid w:val="6C131D5B"/>
    <w:rsid w:val="6C656953"/>
    <w:rsid w:val="6CD164E7"/>
    <w:rsid w:val="6CE47C63"/>
    <w:rsid w:val="6D126F77"/>
    <w:rsid w:val="6D842A9B"/>
    <w:rsid w:val="6E0D669A"/>
    <w:rsid w:val="6E390D6A"/>
    <w:rsid w:val="6E4D51FC"/>
    <w:rsid w:val="6E977E3A"/>
    <w:rsid w:val="6EA07D00"/>
    <w:rsid w:val="6EF535BB"/>
    <w:rsid w:val="6F0E0367"/>
    <w:rsid w:val="6FC05DA2"/>
    <w:rsid w:val="6FD44F58"/>
    <w:rsid w:val="6FF13869"/>
    <w:rsid w:val="6FF9472D"/>
    <w:rsid w:val="700F3D2C"/>
    <w:rsid w:val="701C4552"/>
    <w:rsid w:val="709E5E20"/>
    <w:rsid w:val="70FC36BE"/>
    <w:rsid w:val="711A6178"/>
    <w:rsid w:val="712E63F7"/>
    <w:rsid w:val="715E5AE4"/>
    <w:rsid w:val="71693F3C"/>
    <w:rsid w:val="71967E24"/>
    <w:rsid w:val="71B57D4F"/>
    <w:rsid w:val="71E56557"/>
    <w:rsid w:val="723958CF"/>
    <w:rsid w:val="72A347B9"/>
    <w:rsid w:val="731210CE"/>
    <w:rsid w:val="7342520F"/>
    <w:rsid w:val="73632122"/>
    <w:rsid w:val="73770529"/>
    <w:rsid w:val="738C671B"/>
    <w:rsid w:val="74923C14"/>
    <w:rsid w:val="74A2263E"/>
    <w:rsid w:val="74E53270"/>
    <w:rsid w:val="75BE5F9B"/>
    <w:rsid w:val="76053BCA"/>
    <w:rsid w:val="76773C6C"/>
    <w:rsid w:val="76AF5748"/>
    <w:rsid w:val="76B4564E"/>
    <w:rsid w:val="76CF7E18"/>
    <w:rsid w:val="778E4B3B"/>
    <w:rsid w:val="77EA751B"/>
    <w:rsid w:val="783E3AAD"/>
    <w:rsid w:val="78A05862"/>
    <w:rsid w:val="78A50E44"/>
    <w:rsid w:val="78C0202A"/>
    <w:rsid w:val="79102392"/>
    <w:rsid w:val="79A35193"/>
    <w:rsid w:val="7A140055"/>
    <w:rsid w:val="7AC47AD4"/>
    <w:rsid w:val="7AF366E7"/>
    <w:rsid w:val="7BCE4A5E"/>
    <w:rsid w:val="7BFF069E"/>
    <w:rsid w:val="7C133485"/>
    <w:rsid w:val="7C65024D"/>
    <w:rsid w:val="7CA346FD"/>
    <w:rsid w:val="7CE00EED"/>
    <w:rsid w:val="7D0F17D2"/>
    <w:rsid w:val="7D17451B"/>
    <w:rsid w:val="7D4C0330"/>
    <w:rsid w:val="7D6F16F7"/>
    <w:rsid w:val="7D7635FF"/>
    <w:rsid w:val="7EF742CC"/>
    <w:rsid w:val="7F2222CE"/>
    <w:rsid w:val="7F757A47"/>
    <w:rsid w:val="7F9935D5"/>
    <w:rsid w:val="7FAF1C3A"/>
    <w:rsid w:val="7FF5184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unhideWhenUsed="0" w:uiPriority="9" w:name="heading 6"/>
    <w:lsdException w:qFormat="1" w:unhideWhenUsed="0" w:uiPriority="9" w:name="heading 7"/>
    <w:lsdException w:qFormat="1" w:unhideWhenUsed="0" w:uiPriority="9" w:name="heading 8"/>
    <w:lsdException w:qFormat="1" w:unhideWhenUsed="0"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name="toc 4"/>
    <w:lsdException w:qFormat="1" w:unhideWhenUsed="0" w:uiPriority="39" w:name="toc 5"/>
    <w:lsdException w:qFormat="1" w:unhideWhenUsed="0" w:uiPriority="39" w:name="toc 6"/>
    <w:lsdException w:qFormat="1" w:unhideWhenUsed="0" w:uiPriority="39" w:name="toc 7"/>
    <w:lsdException w:qFormat="1" w:unhideWhenUsed="0" w:uiPriority="39" w:name="toc 8"/>
    <w:lsdException w:qFormat="1" w:unhideWhenUsed="0" w:uiPriority="39" w:name="toc 9"/>
    <w:lsdException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0"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heme="minorBidi"/>
      <w:color w:val="000000" w:themeColor="text1"/>
      <w:kern w:val="2"/>
      <w:sz w:val="24"/>
      <w:szCs w:val="21"/>
      <w:lang w:val="en-US" w:eastAsia="zh-CN" w:bidi="ar-SA"/>
      <w14:textFill>
        <w14:solidFill>
          <w14:schemeClr w14:val="tx1"/>
        </w14:solidFill>
      </w14:textFill>
    </w:rPr>
  </w:style>
  <w:style w:type="paragraph" w:styleId="2">
    <w:name w:val="heading 1"/>
    <w:basedOn w:val="1"/>
    <w:next w:val="1"/>
    <w:link w:val="31"/>
    <w:qFormat/>
    <w:uiPriority w:val="9"/>
    <w:pPr>
      <w:keepNext/>
      <w:keepLines/>
      <w:numPr>
        <w:ilvl w:val="0"/>
        <w:numId w:val="1"/>
      </w:numPr>
      <w:spacing w:line="480" w:lineRule="auto"/>
      <w:ind w:firstLineChars="0"/>
      <w:jc w:val="center"/>
      <w:outlineLvl w:val="0"/>
    </w:pPr>
    <w:rPr>
      <w:rFonts w:eastAsia="黑体"/>
      <w:bCs/>
      <w:color w:val="953735" w:themeColor="accent2" w:themeShade="BF"/>
      <w:kern w:val="44"/>
      <w:sz w:val="32"/>
      <w:szCs w:val="44"/>
    </w:rPr>
  </w:style>
  <w:style w:type="paragraph" w:styleId="3">
    <w:name w:val="heading 2"/>
    <w:basedOn w:val="1"/>
    <w:next w:val="1"/>
    <w:link w:val="28"/>
    <w:qFormat/>
    <w:uiPriority w:val="9"/>
    <w:pPr>
      <w:keepNext/>
      <w:keepLines/>
      <w:numPr>
        <w:ilvl w:val="1"/>
        <w:numId w:val="1"/>
      </w:numPr>
      <w:spacing w:line="480" w:lineRule="auto"/>
      <w:ind w:firstLineChars="0"/>
      <w:jc w:val="center"/>
      <w:outlineLvl w:val="1"/>
    </w:pPr>
    <w:rPr>
      <w:rFonts w:eastAsia="黑体" w:cstheme="majorBidi"/>
      <w:bCs/>
      <w:color w:val="31859C" w:themeColor="accent5" w:themeShade="BF"/>
      <w:sz w:val="28"/>
      <w:szCs w:val="32"/>
    </w:rPr>
  </w:style>
  <w:style w:type="paragraph" w:styleId="4">
    <w:name w:val="heading 3"/>
    <w:basedOn w:val="1"/>
    <w:next w:val="1"/>
    <w:link w:val="29"/>
    <w:qFormat/>
    <w:uiPriority w:val="9"/>
    <w:pPr>
      <w:keepNext/>
      <w:keepLines/>
      <w:ind w:firstLine="0" w:firstLineChars="0"/>
      <w:outlineLvl w:val="2"/>
    </w:pPr>
    <w:rPr>
      <w:bCs/>
      <w:szCs w:val="32"/>
    </w:rPr>
  </w:style>
  <w:style w:type="paragraph" w:styleId="5">
    <w:name w:val="heading 4"/>
    <w:basedOn w:val="1"/>
    <w:next w:val="1"/>
    <w:link w:val="30"/>
    <w:unhideWhenUsed/>
    <w:qFormat/>
    <w:uiPriority w:val="9"/>
    <w:pPr>
      <w:keepNext/>
      <w:keepLines/>
      <w:numPr>
        <w:ilvl w:val="3"/>
        <w:numId w:val="1"/>
      </w:numPr>
      <w:ind w:firstLineChars="0"/>
      <w:outlineLvl w:val="3"/>
    </w:pPr>
    <w:rPr>
      <w:rFonts w:asciiTheme="majorHAnsi" w:hAnsiTheme="majorHAnsi" w:cstheme="majorBidi"/>
      <w:bCs/>
      <w:szCs w:val="28"/>
    </w:rPr>
  </w:style>
  <w:style w:type="paragraph" w:styleId="6">
    <w:name w:val="heading 5"/>
    <w:basedOn w:val="1"/>
    <w:next w:val="1"/>
    <w:link w:val="32"/>
    <w:qFormat/>
    <w:uiPriority w:val="9"/>
    <w:pPr>
      <w:keepNext/>
      <w:keepLines/>
      <w:adjustRightInd w:val="0"/>
      <w:snapToGrid w:val="0"/>
      <w:spacing w:before="280" w:after="290" w:line="374" w:lineRule="auto"/>
      <w:outlineLvl w:val="4"/>
    </w:pPr>
    <w:rPr>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qFormat/>
    <w:uiPriority w:val="35"/>
    <w:pPr>
      <w:ind w:firstLine="0" w:firstLineChars="0"/>
    </w:pPr>
    <w:rPr>
      <w:rFonts w:cstheme="majorBidi"/>
      <w:szCs w:val="20"/>
    </w:rPr>
  </w:style>
  <w:style w:type="paragraph" w:styleId="8">
    <w:name w:val="annotation text"/>
    <w:basedOn w:val="1"/>
    <w:link w:val="45"/>
    <w:unhideWhenUsed/>
    <w:qFormat/>
    <w:uiPriority w:val="99"/>
  </w:style>
  <w:style w:type="paragraph" w:styleId="9">
    <w:name w:val="Body Text"/>
    <w:basedOn w:val="1"/>
    <w:qFormat/>
    <w:uiPriority w:val="0"/>
    <w:pPr>
      <w:spacing w:line="380" w:lineRule="exact"/>
      <w:ind w:firstLine="420"/>
    </w:pPr>
  </w:style>
  <w:style w:type="paragraph" w:styleId="10">
    <w:name w:val="Body Text Indent"/>
    <w:basedOn w:val="1"/>
    <w:qFormat/>
    <w:uiPriority w:val="0"/>
    <w:pPr>
      <w:spacing w:after="120"/>
      <w:ind w:left="420" w:leftChars="200"/>
    </w:pPr>
  </w:style>
  <w:style w:type="paragraph" w:styleId="11">
    <w:name w:val="Plain Text"/>
    <w:basedOn w:val="1"/>
    <w:link w:val="57"/>
    <w:qFormat/>
    <w:uiPriority w:val="99"/>
    <w:pPr>
      <w:spacing w:line="240" w:lineRule="auto"/>
      <w:ind w:firstLine="0" w:firstLineChars="0"/>
      <w:jc w:val="both"/>
    </w:pPr>
    <w:rPr>
      <w:rFonts w:ascii="宋体" w:hAnsi="Courier New" w:eastAsiaTheme="minorEastAsia"/>
      <w:color w:val="auto"/>
      <w:kern w:val="0"/>
      <w:sz w:val="21"/>
    </w:rPr>
  </w:style>
  <w:style w:type="paragraph" w:styleId="12">
    <w:name w:val="Date"/>
    <w:basedOn w:val="1"/>
    <w:next w:val="1"/>
    <w:link w:val="58"/>
    <w:semiHidden/>
    <w:unhideWhenUsed/>
    <w:qFormat/>
    <w:uiPriority w:val="0"/>
    <w:pPr>
      <w:ind w:left="100" w:leftChars="2500"/>
    </w:pPr>
  </w:style>
  <w:style w:type="paragraph" w:styleId="13">
    <w:name w:val="footer"/>
    <w:basedOn w:val="1"/>
    <w:link w:val="42"/>
    <w:unhideWhenUsed/>
    <w:qFormat/>
    <w:uiPriority w:val="0"/>
    <w:pPr>
      <w:tabs>
        <w:tab w:val="center" w:pos="4153"/>
        <w:tab w:val="right" w:pos="8306"/>
      </w:tabs>
      <w:snapToGrid w:val="0"/>
      <w:spacing w:line="240" w:lineRule="auto"/>
    </w:pPr>
    <w:rPr>
      <w:sz w:val="18"/>
      <w:szCs w:val="18"/>
    </w:rPr>
  </w:style>
  <w:style w:type="paragraph" w:styleId="14">
    <w:name w:val="header"/>
    <w:basedOn w:val="1"/>
    <w:link w:val="46"/>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tabs>
        <w:tab w:val="left" w:pos="284"/>
        <w:tab w:val="right" w:leader="dot" w:pos="8296"/>
      </w:tabs>
      <w:ind w:firstLine="0" w:firstLineChars="0"/>
    </w:pPr>
    <w:rPr>
      <w:rFonts w:eastAsia="黑体"/>
      <w:caps/>
    </w:rPr>
  </w:style>
  <w:style w:type="paragraph" w:styleId="16">
    <w:name w:val="toc 2"/>
    <w:basedOn w:val="15"/>
    <w:next w:val="1"/>
    <w:unhideWhenUsed/>
    <w:qFormat/>
    <w:uiPriority w:val="39"/>
    <w:pPr>
      <w:tabs>
        <w:tab w:val="left" w:pos="709"/>
      </w:tabs>
      <w:ind w:left="238"/>
    </w:pPr>
    <w:rPr>
      <w:szCs w:val="22"/>
    </w:rPr>
  </w:style>
  <w:style w:type="paragraph" w:styleId="17">
    <w:name w:val="Message Header"/>
    <w:basedOn w:val="1"/>
    <w:link w:val="64"/>
    <w:qFormat/>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jc w:val="both"/>
    </w:pPr>
    <w:rPr>
      <w:rFonts w:ascii="Arial" w:hAnsi="Arial" w:cs="Arial"/>
      <w:color w:val="auto"/>
      <w:szCs w:val="24"/>
    </w:rPr>
  </w:style>
  <w:style w:type="paragraph" w:styleId="18">
    <w:name w:val="Normal (Web)"/>
    <w:basedOn w:val="1"/>
    <w:unhideWhenUsed/>
    <w:qFormat/>
    <w:uiPriority w:val="99"/>
    <w:pPr>
      <w:widowControl/>
      <w:spacing w:before="100" w:beforeAutospacing="1" w:after="100" w:afterAutospacing="1" w:line="240" w:lineRule="auto"/>
      <w:ind w:firstLine="0" w:firstLineChars="0"/>
    </w:pPr>
    <w:rPr>
      <w:rFonts w:ascii="宋体" w:hAnsi="宋体" w:cs="宋体"/>
      <w:color w:val="auto"/>
      <w:kern w:val="0"/>
      <w:szCs w:val="24"/>
    </w:rPr>
  </w:style>
  <w:style w:type="paragraph" w:styleId="19">
    <w:name w:val="annotation subject"/>
    <w:basedOn w:val="8"/>
    <w:next w:val="8"/>
    <w:link w:val="44"/>
    <w:qFormat/>
    <w:uiPriority w:val="0"/>
    <w:pPr>
      <w:spacing w:line="240" w:lineRule="auto"/>
      <w:ind w:firstLine="0" w:firstLineChars="0"/>
    </w:pPr>
    <w:rPr>
      <w:rFonts w:asciiTheme="minorHAnsi" w:hAnsiTheme="minorHAnsi" w:eastAsiaTheme="minorEastAsia"/>
      <w:b/>
      <w:bCs/>
      <w:color w:val="auto"/>
      <w:kern w:val="0"/>
      <w:szCs w:val="24"/>
    </w:rPr>
  </w:style>
  <w:style w:type="paragraph" w:styleId="20">
    <w:name w:val="Body Text First Indent"/>
    <w:basedOn w:val="9"/>
    <w:unhideWhenUsed/>
    <w:qFormat/>
    <w:uiPriority w:val="99"/>
    <w:pPr>
      <w:spacing w:line="240" w:lineRule="auto"/>
      <w:ind w:firstLine="0" w:firstLineChars="0"/>
      <w:jc w:val="both"/>
    </w:pPr>
  </w:style>
  <w:style w:type="paragraph" w:styleId="21">
    <w:name w:val="Body Text First Indent 2"/>
    <w:basedOn w:val="10"/>
    <w:semiHidden/>
    <w:unhideWhenUsed/>
    <w:qFormat/>
    <w:uiPriority w:val="99"/>
    <w:pPr>
      <w:spacing w:after="0"/>
      <w:ind w:left="0" w:leftChars="0" w:firstLine="420"/>
    </w:pPr>
    <w:rPr>
      <w:rFonts w:eastAsia="仿宋"/>
    </w:rPr>
  </w:style>
  <w:style w:type="table" w:styleId="23">
    <w:name w:val="Table Grid"/>
    <w:basedOn w:val="22"/>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character" w:styleId="27">
    <w:name w:val="annotation reference"/>
    <w:basedOn w:val="24"/>
    <w:unhideWhenUsed/>
    <w:qFormat/>
    <w:uiPriority w:val="0"/>
    <w:rPr>
      <w:sz w:val="21"/>
      <w:szCs w:val="21"/>
    </w:rPr>
  </w:style>
  <w:style w:type="character" w:customStyle="1" w:styleId="28">
    <w:name w:val="标题 2 字符"/>
    <w:basedOn w:val="24"/>
    <w:link w:val="3"/>
    <w:qFormat/>
    <w:uiPriority w:val="9"/>
    <w:rPr>
      <w:rFonts w:ascii="Times New Roman" w:hAnsi="Times New Roman" w:eastAsia="黑体" w:cstheme="majorBidi"/>
      <w:bCs/>
      <w:color w:val="31859C" w:themeColor="accent5" w:themeShade="BF"/>
      <w:kern w:val="2"/>
      <w:sz w:val="28"/>
      <w:szCs w:val="32"/>
    </w:rPr>
  </w:style>
  <w:style w:type="character" w:customStyle="1" w:styleId="29">
    <w:name w:val="标题 3 字符"/>
    <w:basedOn w:val="24"/>
    <w:link w:val="4"/>
    <w:qFormat/>
    <w:uiPriority w:val="9"/>
    <w:rPr>
      <w:rFonts w:ascii="Times New Roman" w:hAnsi="Times New Roman" w:eastAsia="宋体"/>
      <w:bCs/>
      <w:color w:val="000000" w:themeColor="text1"/>
      <w:kern w:val="2"/>
      <w:sz w:val="24"/>
      <w:szCs w:val="32"/>
      <w14:textFill>
        <w14:solidFill>
          <w14:schemeClr w14:val="tx1"/>
        </w14:solidFill>
      </w14:textFill>
    </w:rPr>
  </w:style>
  <w:style w:type="character" w:customStyle="1" w:styleId="30">
    <w:name w:val="标题 4 字符"/>
    <w:basedOn w:val="24"/>
    <w:link w:val="5"/>
    <w:qFormat/>
    <w:uiPriority w:val="9"/>
    <w:rPr>
      <w:rFonts w:eastAsia="宋体" w:asciiTheme="majorHAnsi" w:hAnsiTheme="majorHAnsi" w:cstheme="majorBidi"/>
      <w:bCs/>
      <w:color w:val="000000" w:themeColor="text1"/>
      <w:kern w:val="2"/>
      <w:sz w:val="24"/>
      <w:szCs w:val="28"/>
      <w14:textFill>
        <w14:solidFill>
          <w14:schemeClr w14:val="tx1"/>
        </w14:solidFill>
      </w14:textFill>
    </w:rPr>
  </w:style>
  <w:style w:type="character" w:customStyle="1" w:styleId="31">
    <w:name w:val="标题 1 字符"/>
    <w:basedOn w:val="24"/>
    <w:link w:val="2"/>
    <w:qFormat/>
    <w:uiPriority w:val="9"/>
    <w:rPr>
      <w:rFonts w:ascii="Times New Roman" w:hAnsi="Times New Roman" w:eastAsia="黑体"/>
      <w:bCs/>
      <w:color w:val="953735" w:themeColor="accent2" w:themeShade="BF"/>
      <w:kern w:val="44"/>
      <w:sz w:val="32"/>
      <w:szCs w:val="44"/>
    </w:rPr>
  </w:style>
  <w:style w:type="character" w:customStyle="1" w:styleId="32">
    <w:name w:val="标题 5 字符"/>
    <w:link w:val="6"/>
    <w:qFormat/>
    <w:locked/>
    <w:uiPriority w:val="9"/>
    <w:rPr>
      <w:rFonts w:ascii="Times New Roman" w:hAnsi="Times New Roman" w:eastAsia="宋体"/>
      <w:b/>
      <w:bCs/>
      <w:kern w:val="2"/>
      <w:sz w:val="28"/>
      <w:szCs w:val="28"/>
    </w:rPr>
  </w:style>
  <w:style w:type="paragraph" w:customStyle="1" w:styleId="33">
    <w:name w:val="表格内容"/>
    <w:basedOn w:val="1"/>
    <w:next w:val="1"/>
    <w:link w:val="34"/>
    <w:qFormat/>
    <w:uiPriority w:val="0"/>
    <w:pPr>
      <w:spacing w:line="240" w:lineRule="auto"/>
      <w:ind w:firstLine="0" w:firstLineChars="0"/>
      <w:jc w:val="center"/>
      <w:textAlignment w:val="center"/>
    </w:pPr>
    <w:rPr>
      <w:sz w:val="21"/>
    </w:rPr>
  </w:style>
  <w:style w:type="character" w:customStyle="1" w:styleId="34">
    <w:name w:val="表格内容 字符"/>
    <w:basedOn w:val="24"/>
    <w:link w:val="33"/>
    <w:qFormat/>
    <w:uiPriority w:val="0"/>
    <w:rPr>
      <w:rFonts w:ascii="Times New Roman" w:hAnsi="Times New Roman" w:eastAsia="宋体"/>
      <w:color w:val="000000" w:themeColor="text1"/>
      <w:kern w:val="2"/>
      <w:sz w:val="21"/>
      <w:szCs w:val="21"/>
      <w14:textFill>
        <w14:solidFill>
          <w14:schemeClr w14:val="tx1"/>
        </w14:solidFill>
      </w14:textFill>
    </w:rPr>
  </w:style>
  <w:style w:type="paragraph" w:customStyle="1" w:styleId="35">
    <w:name w:val="公式"/>
    <w:basedOn w:val="1"/>
    <w:next w:val="1"/>
    <w:link w:val="36"/>
    <w:qFormat/>
    <w:uiPriority w:val="0"/>
    <w:pPr>
      <w:tabs>
        <w:tab w:val="center" w:pos="4080"/>
        <w:tab w:val="right" w:pos="8160"/>
      </w:tabs>
      <w:ind w:firstLine="0" w:firstLineChars="0"/>
      <w:jc w:val="center"/>
    </w:pPr>
  </w:style>
  <w:style w:type="character" w:customStyle="1" w:styleId="36">
    <w:name w:val="公式 字符"/>
    <w:basedOn w:val="24"/>
    <w:link w:val="35"/>
    <w:qFormat/>
    <w:uiPriority w:val="0"/>
    <w:rPr>
      <w:rFonts w:ascii="Times New Roman" w:hAnsi="Times New Roman" w:eastAsia="宋体"/>
      <w:color w:val="000000" w:themeColor="text1"/>
      <w:kern w:val="2"/>
      <w:sz w:val="24"/>
      <w:szCs w:val="21"/>
      <w14:textFill>
        <w14:solidFill>
          <w14:schemeClr w14:val="tx1"/>
        </w14:solidFill>
      </w14:textFill>
    </w:rPr>
  </w:style>
  <w:style w:type="character" w:customStyle="1" w:styleId="37">
    <w:name w:val="明显强调1"/>
    <w:basedOn w:val="24"/>
    <w:qFormat/>
    <w:uiPriority w:val="21"/>
    <w:rPr>
      <w:rFonts w:ascii="Times New Roman" w:hAnsi="Times New Roman" w:eastAsia="宋体"/>
      <w:iCs/>
      <w:color w:val="4F81BD" w:themeColor="accent1"/>
      <w:w w:val="100"/>
      <w:sz w:val="24"/>
      <w14:textFill>
        <w14:solidFill>
          <w14:schemeClr w14:val="accent1"/>
        </w14:solidFill>
      </w14:textFill>
    </w:rPr>
  </w:style>
  <w:style w:type="paragraph" w:customStyle="1" w:styleId="38">
    <w:name w:val="图表标题"/>
    <w:basedOn w:val="1"/>
    <w:next w:val="1"/>
    <w:link w:val="39"/>
    <w:qFormat/>
    <w:uiPriority w:val="0"/>
    <w:pPr>
      <w:ind w:firstLine="0" w:firstLineChars="0"/>
      <w:jc w:val="center"/>
    </w:pPr>
    <w:rPr>
      <w:rFonts w:eastAsia="黑体"/>
      <w:sz w:val="21"/>
    </w:rPr>
  </w:style>
  <w:style w:type="character" w:customStyle="1" w:styleId="39">
    <w:name w:val="图表标题 字符"/>
    <w:basedOn w:val="24"/>
    <w:link w:val="38"/>
    <w:qFormat/>
    <w:uiPriority w:val="0"/>
    <w:rPr>
      <w:rFonts w:ascii="Times New Roman" w:hAnsi="Times New Roman" w:eastAsia="黑体"/>
      <w:color w:val="000000" w:themeColor="text1"/>
      <w:kern w:val="2"/>
      <w:sz w:val="21"/>
      <w:szCs w:val="21"/>
      <w14:textFill>
        <w14:solidFill>
          <w14:schemeClr w14:val="tx1"/>
        </w14:solidFill>
      </w14:textFill>
    </w:rPr>
  </w:style>
  <w:style w:type="paragraph" w:customStyle="1" w:styleId="40">
    <w:name w:val="图片"/>
    <w:basedOn w:val="1"/>
    <w:next w:val="1"/>
    <w:link w:val="41"/>
    <w:qFormat/>
    <w:uiPriority w:val="0"/>
    <w:pPr>
      <w:tabs>
        <w:tab w:val="center" w:pos="4080"/>
      </w:tabs>
      <w:ind w:firstLine="0" w:firstLineChars="0"/>
      <w:jc w:val="center"/>
    </w:pPr>
  </w:style>
  <w:style w:type="character" w:customStyle="1" w:styleId="41">
    <w:name w:val="图片 字符"/>
    <w:basedOn w:val="24"/>
    <w:link w:val="40"/>
    <w:qFormat/>
    <w:uiPriority w:val="0"/>
    <w:rPr>
      <w:rFonts w:ascii="Times New Roman" w:hAnsi="Times New Roman" w:eastAsia="宋体"/>
      <w:color w:val="000000" w:themeColor="text1"/>
      <w:kern w:val="2"/>
      <w:sz w:val="24"/>
      <w:szCs w:val="21"/>
      <w14:textFill>
        <w14:solidFill>
          <w14:schemeClr w14:val="tx1"/>
        </w14:solidFill>
      </w14:textFill>
    </w:rPr>
  </w:style>
  <w:style w:type="character" w:customStyle="1" w:styleId="42">
    <w:name w:val="页脚 字符"/>
    <w:basedOn w:val="24"/>
    <w:link w:val="13"/>
    <w:qFormat/>
    <w:uiPriority w:val="0"/>
    <w:rPr>
      <w:rFonts w:ascii="Times New Roman" w:hAnsi="Times New Roman" w:eastAsia="宋体"/>
      <w:kern w:val="2"/>
      <w:sz w:val="18"/>
      <w:szCs w:val="18"/>
    </w:rPr>
  </w:style>
  <w:style w:type="paragraph" w:styleId="43">
    <w:name w:val="List Paragraph"/>
    <w:basedOn w:val="1"/>
    <w:qFormat/>
    <w:uiPriority w:val="34"/>
    <w:pPr>
      <w:ind w:firstLine="420"/>
    </w:pPr>
  </w:style>
  <w:style w:type="character" w:customStyle="1" w:styleId="44">
    <w:name w:val="批注主题 字符"/>
    <w:link w:val="19"/>
    <w:qFormat/>
    <w:locked/>
    <w:uiPriority w:val="0"/>
    <w:rPr>
      <w:b/>
      <w:bCs/>
      <w:sz w:val="24"/>
      <w:szCs w:val="24"/>
    </w:rPr>
  </w:style>
  <w:style w:type="character" w:customStyle="1" w:styleId="45">
    <w:name w:val="批注文字 字符"/>
    <w:basedOn w:val="24"/>
    <w:link w:val="8"/>
    <w:qFormat/>
    <w:uiPriority w:val="99"/>
    <w:rPr>
      <w:rFonts w:ascii="Times New Roman" w:hAnsi="Times New Roman" w:eastAsia="宋体"/>
      <w:color w:val="000000" w:themeColor="text1"/>
      <w:kern w:val="2"/>
      <w:sz w:val="24"/>
      <w:szCs w:val="21"/>
      <w14:textFill>
        <w14:solidFill>
          <w14:schemeClr w14:val="tx1"/>
        </w14:solidFill>
      </w14:textFill>
    </w:rPr>
  </w:style>
  <w:style w:type="character" w:customStyle="1" w:styleId="46">
    <w:name w:val="页眉 字符"/>
    <w:basedOn w:val="24"/>
    <w:link w:val="14"/>
    <w:qFormat/>
    <w:uiPriority w:val="0"/>
    <w:rPr>
      <w:rFonts w:ascii="Times New Roman" w:hAnsi="Times New Roman" w:eastAsia="宋体"/>
      <w:kern w:val="2"/>
      <w:sz w:val="18"/>
      <w:szCs w:val="18"/>
    </w:rPr>
  </w:style>
  <w:style w:type="paragraph" w:customStyle="1" w:styleId="47">
    <w:name w:val="修订1"/>
    <w:hidden/>
    <w:semiHidden/>
    <w:qFormat/>
    <w:uiPriority w:val="99"/>
    <w:rPr>
      <w:rFonts w:ascii="Times New Roman" w:hAnsi="Times New Roman" w:eastAsia="宋体" w:cstheme="minorBidi"/>
      <w:kern w:val="2"/>
      <w:sz w:val="24"/>
      <w:szCs w:val="21"/>
      <w:lang w:val="en-US" w:eastAsia="zh-CN" w:bidi="ar-SA"/>
    </w:rPr>
  </w:style>
  <w:style w:type="table" w:customStyle="1" w:styleId="48">
    <w:name w:val="网格表 1 浅色 - 着色 11"/>
    <w:basedOn w:val="22"/>
    <w:qFormat/>
    <w:uiPriority w:val="46"/>
    <w:rPr>
      <w:kern w:val="2"/>
      <w:sz w:val="21"/>
      <w:szCs w:val="21"/>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paragraph" w:customStyle="1" w:styleId="49">
    <w:name w:val="条文说明"/>
    <w:basedOn w:val="1"/>
    <w:link w:val="50"/>
    <w:qFormat/>
    <w:uiPriority w:val="0"/>
    <w:rPr>
      <w:i/>
      <w:color w:val="FF0000"/>
    </w:rPr>
  </w:style>
  <w:style w:type="character" w:customStyle="1" w:styleId="50">
    <w:name w:val="条文说明 字符"/>
    <w:basedOn w:val="24"/>
    <w:link w:val="49"/>
    <w:qFormat/>
    <w:uiPriority w:val="0"/>
    <w:rPr>
      <w:rFonts w:ascii="Times New Roman" w:hAnsi="Times New Roman" w:eastAsia="宋体"/>
      <w:i/>
      <w:color w:val="FF0000"/>
      <w:kern w:val="2"/>
      <w:sz w:val="24"/>
      <w:szCs w:val="21"/>
    </w:rPr>
  </w:style>
  <w:style w:type="paragraph" w:customStyle="1" w:styleId="51">
    <w:name w:val="正文序号"/>
    <w:basedOn w:val="1"/>
    <w:link w:val="53"/>
    <w:qFormat/>
    <w:uiPriority w:val="0"/>
    <w:pPr>
      <w:numPr>
        <w:ilvl w:val="2"/>
        <w:numId w:val="1"/>
      </w:numPr>
      <w:ind w:firstLineChars="0"/>
      <w:pPrChange w:id="0" w:author="Chan DK" w:date="2022-05-07T10:14:00Z">
        <w:pPr>
          <w:widowControl w:val="0"/>
          <w:numPr>
            <w:ilvl w:val="2"/>
            <w:numId w:val="1"/>
          </w:numPr>
          <w:spacing w:line="360" w:lineRule="auto"/>
          <w:ind w:left="284"/>
        </w:pPr>
      </w:pPrChange>
    </w:pPr>
    <w:rPr>
      <w:rPrChange w:id="1" w:author="Chan DK" w:date="2022-05-07T10:14:00Z">
        <w:rPr>
          <w:rFonts w:eastAsia="宋体" w:cstheme="minorBidi"/>
          <w:color w:val="000000" w:themeColor="text1"/>
          <w:kern w:val="2"/>
          <w:sz w:val="24"/>
          <w:szCs w:val="21"/>
          <w:lang w:val="en-US" w:eastAsia="zh-CN" w:bidi="ar-SA"/>
          <w14:textFill>
            <w14:solidFill>
              <w14:schemeClr w14:val="tx1"/>
            </w14:solidFill>
          </w14:textFill>
        </w:rPr>
      </w:rPrChange>
    </w:rPr>
  </w:style>
  <w:style w:type="paragraph" w:customStyle="1" w:styleId="52">
    <w:name w:val="正文+V"/>
    <w:basedOn w:val="1"/>
    <w:link w:val="54"/>
    <w:qFormat/>
    <w:uiPriority w:val="0"/>
    <w:pPr>
      <w:numPr>
        <w:ilvl w:val="0"/>
        <w:numId w:val="2"/>
      </w:numPr>
      <w:ind w:firstLine="0" w:firstLineChars="0"/>
      <w:jc w:val="center"/>
    </w:pPr>
    <w:rPr>
      <w:color w:val="0070C0"/>
    </w:rPr>
  </w:style>
  <w:style w:type="character" w:customStyle="1" w:styleId="53">
    <w:name w:val="正文序号 字符"/>
    <w:basedOn w:val="24"/>
    <w:link w:val="51"/>
    <w:qFormat/>
    <w:uiPriority w:val="0"/>
    <w:rPr>
      <w:rFonts w:ascii="Times New Roman" w:hAnsi="Times New Roman" w:eastAsia="宋体"/>
      <w:color w:val="000000" w:themeColor="text1"/>
      <w:kern w:val="2"/>
      <w:sz w:val="24"/>
      <w:szCs w:val="21"/>
      <w14:textFill>
        <w14:solidFill>
          <w14:schemeClr w14:val="tx1"/>
        </w14:solidFill>
      </w14:textFill>
    </w:rPr>
  </w:style>
  <w:style w:type="character" w:customStyle="1" w:styleId="54">
    <w:name w:val="正文+V 字符"/>
    <w:basedOn w:val="24"/>
    <w:link w:val="52"/>
    <w:qFormat/>
    <w:uiPriority w:val="0"/>
    <w:rPr>
      <w:rFonts w:ascii="Times New Roman" w:hAnsi="Times New Roman" w:eastAsia="宋体"/>
      <w:color w:val="0070C0"/>
      <w:kern w:val="2"/>
      <w:sz w:val="24"/>
      <w:szCs w:val="21"/>
    </w:rPr>
  </w:style>
  <w:style w:type="character" w:customStyle="1" w:styleId="55">
    <w:name w:val="批注主题 字符1"/>
    <w:basedOn w:val="45"/>
    <w:semiHidden/>
    <w:qFormat/>
    <w:uiPriority w:val="99"/>
    <w:rPr>
      <w:rFonts w:ascii="Times New Roman" w:hAnsi="Times New Roman" w:eastAsia="宋体"/>
      <w:b/>
      <w:bCs/>
      <w:color w:val="000000" w:themeColor="text1"/>
      <w:kern w:val="2"/>
      <w:sz w:val="24"/>
      <w:szCs w:val="21"/>
      <w14:textFill>
        <w14:solidFill>
          <w14:schemeClr w14:val="tx1"/>
        </w14:solidFill>
      </w14:textFill>
    </w:rPr>
  </w:style>
  <w:style w:type="table" w:customStyle="1" w:styleId="56">
    <w:name w:val="表格+内容"/>
    <w:basedOn w:val="22"/>
    <w:qFormat/>
    <w:uiPriority w:val="99"/>
    <w:pPr>
      <w:jc w:val="center"/>
    </w:pPr>
    <w:rPr>
      <w:snapToGrid w:val="0"/>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customStyle="1" w:styleId="57">
    <w:name w:val="纯文本 字符"/>
    <w:basedOn w:val="24"/>
    <w:link w:val="11"/>
    <w:qFormat/>
    <w:uiPriority w:val="99"/>
    <w:rPr>
      <w:rFonts w:ascii="宋体" w:hAnsi="Courier New"/>
      <w:sz w:val="21"/>
      <w:szCs w:val="21"/>
    </w:rPr>
  </w:style>
  <w:style w:type="character" w:customStyle="1" w:styleId="58">
    <w:name w:val="日期 字符"/>
    <w:basedOn w:val="24"/>
    <w:link w:val="12"/>
    <w:semiHidden/>
    <w:qFormat/>
    <w:uiPriority w:val="0"/>
    <w:rPr>
      <w:rFonts w:ascii="Times New Roman" w:hAnsi="Times New Roman" w:eastAsia="宋体"/>
      <w:color w:val="000000" w:themeColor="text1"/>
      <w:kern w:val="2"/>
      <w:sz w:val="24"/>
      <w:szCs w:val="21"/>
      <w14:textFill>
        <w14:solidFill>
          <w14:schemeClr w14:val="tx1"/>
        </w14:solidFill>
      </w14:textFill>
    </w:rPr>
  </w:style>
  <w:style w:type="table" w:customStyle="1" w:styleId="59">
    <w:name w:val="网格表 1 浅色1"/>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60">
    <w:name w:val="网格表 21"/>
    <w:basedOn w:val="22"/>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61">
    <w:name w:val="MTDisplayEquation"/>
    <w:basedOn w:val="1"/>
    <w:next w:val="1"/>
    <w:link w:val="62"/>
    <w:qFormat/>
    <w:uiPriority w:val="0"/>
    <w:pPr>
      <w:tabs>
        <w:tab w:val="center" w:pos="4160"/>
        <w:tab w:val="right" w:pos="8300"/>
      </w:tabs>
      <w:ind w:firstLine="480"/>
      <w:jc w:val="center"/>
    </w:pPr>
  </w:style>
  <w:style w:type="character" w:customStyle="1" w:styleId="62">
    <w:name w:val="MTDisplayEquation 字符"/>
    <w:basedOn w:val="24"/>
    <w:link w:val="61"/>
    <w:qFormat/>
    <w:uiPriority w:val="0"/>
    <w:rPr>
      <w:rFonts w:cstheme="minorBidi"/>
      <w:color w:val="000000" w:themeColor="text1"/>
      <w:kern w:val="2"/>
      <w:sz w:val="24"/>
      <w:szCs w:val="21"/>
      <w14:textFill>
        <w14:solidFill>
          <w14:schemeClr w14:val="tx1"/>
        </w14:solidFill>
      </w14:textFill>
    </w:rPr>
  </w:style>
  <w:style w:type="paragraph" w:customStyle="1" w:styleId="63">
    <w:name w:val="规范正文"/>
    <w:basedOn w:val="1"/>
    <w:qFormat/>
    <w:uiPriority w:val="0"/>
    <w:pPr>
      <w:ind w:firstLine="520"/>
    </w:pPr>
    <w:rPr>
      <w:sz w:val="26"/>
    </w:rPr>
  </w:style>
  <w:style w:type="character" w:customStyle="1" w:styleId="64">
    <w:name w:val="信息标题 字符"/>
    <w:link w:val="17"/>
    <w:qFormat/>
    <w:uiPriority w:val="0"/>
    <w:rPr>
      <w:rFonts w:ascii="Arial" w:hAnsi="Arial" w:cs="Arial"/>
      <w:kern w:val="2"/>
      <w:sz w:val="24"/>
      <w:szCs w:val="24"/>
      <w:shd w:val="pct20" w:color="auto" w:fill="auto"/>
    </w:rPr>
  </w:style>
  <w:style w:type="character" w:customStyle="1" w:styleId="65">
    <w:name w:val="信息标题 字符1"/>
    <w:basedOn w:val="24"/>
    <w:semiHidden/>
    <w:qFormat/>
    <w:uiPriority w:val="99"/>
    <w:rPr>
      <w:rFonts w:asciiTheme="majorHAnsi" w:hAnsiTheme="majorHAnsi" w:eastAsiaTheme="majorEastAsia" w:cstheme="majorBidi"/>
      <w:color w:val="000000" w:themeColor="text1"/>
      <w:kern w:val="2"/>
      <w:sz w:val="24"/>
      <w:szCs w:val="24"/>
      <w:shd w:val="pct20" w:color="auto" w:fill="auto"/>
      <w14:textFill>
        <w14:solidFill>
          <w14:schemeClr w14:val="tx1"/>
        </w14:solidFill>
      </w14:textFill>
    </w:rPr>
  </w:style>
  <w:style w:type="paragraph" w:customStyle="1" w:styleId="66">
    <w:name w:val="环小四内容"/>
    <w:basedOn w:val="1"/>
    <w:qFormat/>
    <w:uiPriority w:val="0"/>
    <w:pPr>
      <w:ind w:firstLine="200" w:firstLineChars="200"/>
    </w:pPr>
    <w:rPr>
      <w:rFonts w:ascii="宋体" w:hAnsi="宋体" w:eastAsia="宋体"/>
      <w:sz w:val="24"/>
      <w:szCs w:val="24"/>
    </w:rPr>
  </w:style>
  <w:style w:type="paragraph" w:customStyle="1" w:styleId="67">
    <w:name w:val="环小四图名"/>
    <w:basedOn w:val="1"/>
    <w:qFormat/>
    <w:uiPriority w:val="0"/>
    <w:pPr>
      <w:spacing w:line="300" w:lineRule="exact"/>
      <w:jc w:val="center"/>
    </w:pPr>
    <w:rPr>
      <w:rFonts w:ascii="宋体" w:hAnsi="宋体" w:eastAsia="宋体"/>
      <w:b/>
      <w:szCs w:val="21"/>
    </w:rPr>
  </w:style>
  <w:style w:type="paragraph" w:customStyle="1" w:styleId="68">
    <w:name w:val="宋体 左  26.57 字符"/>
    <w:basedOn w:val="1"/>
    <w:qFormat/>
    <w:uiPriority w:val="99"/>
    <w:pPr>
      <w:jc w:val="center"/>
    </w:pPr>
    <w:rPr>
      <w:rFonts w:ascii="宋体" w:hAnsi="宋体" w:eastAsia="宋体" w:cs="宋体"/>
      <w:kern w:val="0"/>
      <w:sz w:val="28"/>
      <w:szCs w:val="28"/>
    </w:rPr>
  </w:style>
  <w:style w:type="paragraph" w:customStyle="1" w:styleId="69">
    <w:name w:val="封面（福建省工程建设地方标准）"/>
    <w:basedOn w:val="1"/>
    <w:qFormat/>
    <w:uiPriority w:val="99"/>
    <w:pPr>
      <w:widowControl/>
      <w:jc w:val="center"/>
    </w:pPr>
    <w:rPr>
      <w:rFonts w:ascii="黑体" w:hAnsi="Arial" w:eastAsia="黑体" w:cs="黑体"/>
      <w:sz w:val="32"/>
      <w:szCs w:val="32"/>
    </w:rPr>
  </w:style>
  <w:style w:type="paragraph" w:customStyle="1" w:styleId="70">
    <w:name w:val="标准书眉_偶数页"/>
    <w:basedOn w:val="1"/>
    <w:next w:val="1"/>
    <w:semiHidden/>
    <w:qFormat/>
    <w:uiPriority w:val="0"/>
    <w:pPr>
      <w:tabs>
        <w:tab w:val="center" w:pos="4154"/>
        <w:tab w:val="right" w:pos="8306"/>
      </w:tabs>
      <w:spacing w:after="220"/>
    </w:pPr>
    <w:rPr>
      <w:rFonts w:ascii="黑体" w:hAnsi="Times New Roman" w:eastAsia="黑体" w:cs="Times New Roman"/>
      <w:sz w:val="28"/>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oleObject" Target="embeddings/oleObject39.bin"/><Relationship Id="rId97" Type="http://schemas.openxmlformats.org/officeDocument/2006/relationships/oleObject" Target="embeddings/oleObject38.bin"/><Relationship Id="rId96" Type="http://schemas.openxmlformats.org/officeDocument/2006/relationships/oleObject" Target="embeddings/oleObject37.bin"/><Relationship Id="rId95" Type="http://schemas.openxmlformats.org/officeDocument/2006/relationships/oleObject" Target="embeddings/oleObject36.bin"/><Relationship Id="rId94" Type="http://schemas.openxmlformats.org/officeDocument/2006/relationships/oleObject" Target="embeddings/oleObject35.bin"/><Relationship Id="rId93" Type="http://schemas.openxmlformats.org/officeDocument/2006/relationships/image" Target="media/image30.wmf"/><Relationship Id="rId92" Type="http://schemas.openxmlformats.org/officeDocument/2006/relationships/oleObject" Target="embeddings/oleObject34.bin"/><Relationship Id="rId91" Type="http://schemas.openxmlformats.org/officeDocument/2006/relationships/image" Target="media/image29.wmf"/><Relationship Id="rId90" Type="http://schemas.openxmlformats.org/officeDocument/2006/relationships/oleObject" Target="embeddings/oleObject33.bin"/><Relationship Id="rId9" Type="http://schemas.openxmlformats.org/officeDocument/2006/relationships/footer" Target="footer1.xml"/><Relationship Id="rId89" Type="http://schemas.openxmlformats.org/officeDocument/2006/relationships/oleObject" Target="embeddings/oleObject32.bin"/><Relationship Id="rId88" Type="http://schemas.openxmlformats.org/officeDocument/2006/relationships/oleObject" Target="embeddings/oleObject31.bin"/><Relationship Id="rId87" Type="http://schemas.openxmlformats.org/officeDocument/2006/relationships/oleObject" Target="embeddings/oleObject30.bin"/><Relationship Id="rId86" Type="http://schemas.openxmlformats.org/officeDocument/2006/relationships/oleObject" Target="embeddings/oleObject29.bin"/><Relationship Id="rId85" Type="http://schemas.openxmlformats.org/officeDocument/2006/relationships/image" Target="media/image28.wmf"/><Relationship Id="rId84" Type="http://schemas.openxmlformats.org/officeDocument/2006/relationships/oleObject" Target="embeddings/oleObject28.bin"/><Relationship Id="rId83" Type="http://schemas.openxmlformats.org/officeDocument/2006/relationships/image" Target="media/image27.wmf"/><Relationship Id="rId82" Type="http://schemas.openxmlformats.org/officeDocument/2006/relationships/oleObject" Target="embeddings/oleObject27.bin"/><Relationship Id="rId81" Type="http://schemas.openxmlformats.org/officeDocument/2006/relationships/image" Target="media/image26.wmf"/><Relationship Id="rId80" Type="http://schemas.openxmlformats.org/officeDocument/2006/relationships/oleObject" Target="embeddings/oleObject26.bin"/><Relationship Id="rId8" Type="http://schemas.openxmlformats.org/officeDocument/2006/relationships/header" Target="header2.xml"/><Relationship Id="rId79" Type="http://schemas.openxmlformats.org/officeDocument/2006/relationships/image" Target="media/image25.wmf"/><Relationship Id="rId78" Type="http://schemas.openxmlformats.org/officeDocument/2006/relationships/oleObject" Target="embeddings/oleObject25.bin"/><Relationship Id="rId77" Type="http://schemas.openxmlformats.org/officeDocument/2006/relationships/image" Target="media/image24.wmf"/><Relationship Id="rId76" Type="http://schemas.openxmlformats.org/officeDocument/2006/relationships/oleObject" Target="embeddings/oleObject24.bin"/><Relationship Id="rId75" Type="http://schemas.openxmlformats.org/officeDocument/2006/relationships/image" Target="media/image23.wmf"/><Relationship Id="rId74" Type="http://schemas.openxmlformats.org/officeDocument/2006/relationships/oleObject" Target="embeddings/oleObject23.bin"/><Relationship Id="rId73" Type="http://schemas.openxmlformats.org/officeDocument/2006/relationships/image" Target="media/image22.wmf"/><Relationship Id="rId72" Type="http://schemas.openxmlformats.org/officeDocument/2006/relationships/oleObject" Target="embeddings/oleObject22.bin"/><Relationship Id="rId71" Type="http://schemas.openxmlformats.org/officeDocument/2006/relationships/image" Target="media/image21.wmf"/><Relationship Id="rId70" Type="http://schemas.openxmlformats.org/officeDocument/2006/relationships/oleObject" Target="embeddings/oleObject21.bin"/><Relationship Id="rId7" Type="http://schemas.openxmlformats.org/officeDocument/2006/relationships/header" Target="header1.xml"/><Relationship Id="rId69" Type="http://schemas.openxmlformats.org/officeDocument/2006/relationships/image" Target="media/image20.wmf"/><Relationship Id="rId68" Type="http://schemas.openxmlformats.org/officeDocument/2006/relationships/oleObject" Target="embeddings/oleObject20.bin"/><Relationship Id="rId67" Type="http://schemas.openxmlformats.org/officeDocument/2006/relationships/image" Target="media/image19.wmf"/><Relationship Id="rId66" Type="http://schemas.openxmlformats.org/officeDocument/2006/relationships/oleObject" Target="embeddings/oleObject19.bin"/><Relationship Id="rId65" Type="http://schemas.openxmlformats.org/officeDocument/2006/relationships/image" Target="media/image18.wmf"/><Relationship Id="rId64" Type="http://schemas.openxmlformats.org/officeDocument/2006/relationships/oleObject" Target="embeddings/oleObject18.bin"/><Relationship Id="rId63" Type="http://schemas.openxmlformats.org/officeDocument/2006/relationships/image" Target="media/image17.wmf"/><Relationship Id="rId62" Type="http://schemas.openxmlformats.org/officeDocument/2006/relationships/oleObject" Target="embeddings/oleObject17.bin"/><Relationship Id="rId613" Type="http://schemas.microsoft.com/office/2011/relationships/people" Target="people.xml"/><Relationship Id="rId612" Type="http://schemas.openxmlformats.org/officeDocument/2006/relationships/fontTable" Target="fontTable.xml"/><Relationship Id="rId611" Type="http://schemas.openxmlformats.org/officeDocument/2006/relationships/customXml" Target="../customXml/item2.xml"/><Relationship Id="rId610" Type="http://schemas.openxmlformats.org/officeDocument/2006/relationships/numbering" Target="numbering.xml"/><Relationship Id="rId61" Type="http://schemas.openxmlformats.org/officeDocument/2006/relationships/image" Target="media/image16.wmf"/><Relationship Id="rId609" Type="http://schemas.openxmlformats.org/officeDocument/2006/relationships/customXml" Target="../customXml/item1.xml"/><Relationship Id="rId608" Type="http://schemas.openxmlformats.org/officeDocument/2006/relationships/image" Target="media/image292.wmf"/><Relationship Id="rId607" Type="http://schemas.openxmlformats.org/officeDocument/2006/relationships/oleObject" Target="embeddings/oleObject287.bin"/><Relationship Id="rId606" Type="http://schemas.openxmlformats.org/officeDocument/2006/relationships/image" Target="media/image291.png"/><Relationship Id="rId605" Type="http://schemas.openxmlformats.org/officeDocument/2006/relationships/image" Target="media/image290.wmf"/><Relationship Id="rId604" Type="http://schemas.openxmlformats.org/officeDocument/2006/relationships/oleObject" Target="embeddings/oleObject286.bin"/><Relationship Id="rId603" Type="http://schemas.openxmlformats.org/officeDocument/2006/relationships/image" Target="media/image289.wmf"/><Relationship Id="rId602" Type="http://schemas.openxmlformats.org/officeDocument/2006/relationships/oleObject" Target="embeddings/oleObject285.bin"/><Relationship Id="rId601" Type="http://schemas.openxmlformats.org/officeDocument/2006/relationships/image" Target="media/image288.wmf"/><Relationship Id="rId600" Type="http://schemas.openxmlformats.org/officeDocument/2006/relationships/oleObject" Target="embeddings/oleObject284.bin"/><Relationship Id="rId60" Type="http://schemas.openxmlformats.org/officeDocument/2006/relationships/oleObject" Target="embeddings/oleObject16.bin"/><Relationship Id="rId6" Type="http://schemas.openxmlformats.org/officeDocument/2006/relationships/endnotes" Target="endnotes.xml"/><Relationship Id="rId599" Type="http://schemas.openxmlformats.org/officeDocument/2006/relationships/image" Target="media/image287.wmf"/><Relationship Id="rId598" Type="http://schemas.openxmlformats.org/officeDocument/2006/relationships/oleObject" Target="embeddings/oleObject283.bin"/><Relationship Id="rId597" Type="http://schemas.openxmlformats.org/officeDocument/2006/relationships/image" Target="media/image286.wmf"/><Relationship Id="rId596" Type="http://schemas.openxmlformats.org/officeDocument/2006/relationships/oleObject" Target="embeddings/oleObject282.bin"/><Relationship Id="rId595" Type="http://schemas.openxmlformats.org/officeDocument/2006/relationships/image" Target="media/image285.png"/><Relationship Id="rId594" Type="http://schemas.openxmlformats.org/officeDocument/2006/relationships/image" Target="media/image284.png"/><Relationship Id="rId593" Type="http://schemas.openxmlformats.org/officeDocument/2006/relationships/image" Target="media/image283.png"/><Relationship Id="rId592" Type="http://schemas.openxmlformats.org/officeDocument/2006/relationships/image" Target="media/image282.wmf"/><Relationship Id="rId591" Type="http://schemas.openxmlformats.org/officeDocument/2006/relationships/image" Target="media/image281.wmf"/><Relationship Id="rId590" Type="http://schemas.openxmlformats.org/officeDocument/2006/relationships/oleObject" Target="embeddings/oleObject281.bin"/><Relationship Id="rId59" Type="http://schemas.openxmlformats.org/officeDocument/2006/relationships/image" Target="media/image15.wmf"/><Relationship Id="rId589" Type="http://schemas.openxmlformats.org/officeDocument/2006/relationships/image" Target="media/image280.wmf"/><Relationship Id="rId588" Type="http://schemas.openxmlformats.org/officeDocument/2006/relationships/oleObject" Target="embeddings/oleObject280.bin"/><Relationship Id="rId587" Type="http://schemas.openxmlformats.org/officeDocument/2006/relationships/image" Target="media/image279.png"/><Relationship Id="rId586" Type="http://schemas.openxmlformats.org/officeDocument/2006/relationships/oleObject" Target="embeddings/oleObject279.bin"/><Relationship Id="rId585" Type="http://schemas.openxmlformats.org/officeDocument/2006/relationships/oleObject" Target="embeddings/oleObject278.bin"/><Relationship Id="rId584" Type="http://schemas.openxmlformats.org/officeDocument/2006/relationships/image" Target="media/image278.wmf"/><Relationship Id="rId583" Type="http://schemas.openxmlformats.org/officeDocument/2006/relationships/oleObject" Target="embeddings/oleObject277.bin"/><Relationship Id="rId582" Type="http://schemas.openxmlformats.org/officeDocument/2006/relationships/image" Target="media/image277.wmf"/><Relationship Id="rId581" Type="http://schemas.openxmlformats.org/officeDocument/2006/relationships/oleObject" Target="embeddings/oleObject276.bin"/><Relationship Id="rId580" Type="http://schemas.openxmlformats.org/officeDocument/2006/relationships/image" Target="media/image276.wmf"/><Relationship Id="rId58" Type="http://schemas.openxmlformats.org/officeDocument/2006/relationships/oleObject" Target="embeddings/oleObject15.bin"/><Relationship Id="rId579" Type="http://schemas.openxmlformats.org/officeDocument/2006/relationships/oleObject" Target="embeddings/oleObject275.bin"/><Relationship Id="rId578" Type="http://schemas.openxmlformats.org/officeDocument/2006/relationships/image" Target="media/image275.wmf"/><Relationship Id="rId577" Type="http://schemas.openxmlformats.org/officeDocument/2006/relationships/oleObject" Target="embeddings/oleObject274.bin"/><Relationship Id="rId576" Type="http://schemas.openxmlformats.org/officeDocument/2006/relationships/image" Target="media/image274.wmf"/><Relationship Id="rId575" Type="http://schemas.openxmlformats.org/officeDocument/2006/relationships/oleObject" Target="embeddings/oleObject273.bin"/><Relationship Id="rId574" Type="http://schemas.openxmlformats.org/officeDocument/2006/relationships/image" Target="media/image273.wmf"/><Relationship Id="rId573" Type="http://schemas.openxmlformats.org/officeDocument/2006/relationships/oleObject" Target="embeddings/oleObject272.bin"/><Relationship Id="rId572" Type="http://schemas.openxmlformats.org/officeDocument/2006/relationships/image" Target="media/image272.wmf"/><Relationship Id="rId571" Type="http://schemas.openxmlformats.org/officeDocument/2006/relationships/oleObject" Target="embeddings/oleObject271.bin"/><Relationship Id="rId570" Type="http://schemas.openxmlformats.org/officeDocument/2006/relationships/image" Target="media/image271.wmf"/><Relationship Id="rId57" Type="http://schemas.openxmlformats.org/officeDocument/2006/relationships/image" Target="media/image14.png"/><Relationship Id="rId569" Type="http://schemas.openxmlformats.org/officeDocument/2006/relationships/oleObject" Target="embeddings/oleObject270.bin"/><Relationship Id="rId568" Type="http://schemas.openxmlformats.org/officeDocument/2006/relationships/oleObject" Target="embeddings/oleObject269.bin"/><Relationship Id="rId567" Type="http://schemas.openxmlformats.org/officeDocument/2006/relationships/image" Target="media/image270.wmf"/><Relationship Id="rId566" Type="http://schemas.openxmlformats.org/officeDocument/2006/relationships/oleObject" Target="embeddings/oleObject268.bin"/><Relationship Id="rId565" Type="http://schemas.openxmlformats.org/officeDocument/2006/relationships/image" Target="media/image269.wmf"/><Relationship Id="rId564" Type="http://schemas.openxmlformats.org/officeDocument/2006/relationships/oleObject" Target="embeddings/oleObject267.bin"/><Relationship Id="rId563" Type="http://schemas.openxmlformats.org/officeDocument/2006/relationships/image" Target="media/image268.wmf"/><Relationship Id="rId562" Type="http://schemas.openxmlformats.org/officeDocument/2006/relationships/oleObject" Target="embeddings/oleObject266.bin"/><Relationship Id="rId561" Type="http://schemas.openxmlformats.org/officeDocument/2006/relationships/image" Target="media/image267.wmf"/><Relationship Id="rId560" Type="http://schemas.openxmlformats.org/officeDocument/2006/relationships/oleObject" Target="embeddings/oleObject265.bin"/><Relationship Id="rId56" Type="http://schemas.openxmlformats.org/officeDocument/2006/relationships/image" Target="media/image13.wmf"/><Relationship Id="rId559" Type="http://schemas.openxmlformats.org/officeDocument/2006/relationships/image" Target="media/image266.wmf"/><Relationship Id="rId558" Type="http://schemas.openxmlformats.org/officeDocument/2006/relationships/oleObject" Target="embeddings/oleObject264.bin"/><Relationship Id="rId557" Type="http://schemas.openxmlformats.org/officeDocument/2006/relationships/image" Target="media/image265.png"/><Relationship Id="rId556" Type="http://schemas.openxmlformats.org/officeDocument/2006/relationships/image" Target="media/image264.png"/><Relationship Id="rId555" Type="http://schemas.openxmlformats.org/officeDocument/2006/relationships/image" Target="media/image263.wmf"/><Relationship Id="rId554" Type="http://schemas.openxmlformats.org/officeDocument/2006/relationships/oleObject" Target="embeddings/oleObject263.bin"/><Relationship Id="rId553" Type="http://schemas.openxmlformats.org/officeDocument/2006/relationships/image" Target="media/image262.jpeg"/><Relationship Id="rId552" Type="http://schemas.openxmlformats.org/officeDocument/2006/relationships/image" Target="media/image261.wmf"/><Relationship Id="rId551" Type="http://schemas.openxmlformats.org/officeDocument/2006/relationships/oleObject" Target="embeddings/oleObject262.bin"/><Relationship Id="rId550" Type="http://schemas.openxmlformats.org/officeDocument/2006/relationships/image" Target="media/image260.wmf"/><Relationship Id="rId55" Type="http://schemas.openxmlformats.org/officeDocument/2006/relationships/oleObject" Target="embeddings/oleObject14.bin"/><Relationship Id="rId549" Type="http://schemas.openxmlformats.org/officeDocument/2006/relationships/oleObject" Target="embeddings/oleObject261.bin"/><Relationship Id="rId548" Type="http://schemas.openxmlformats.org/officeDocument/2006/relationships/image" Target="media/image259.wmf"/><Relationship Id="rId547" Type="http://schemas.openxmlformats.org/officeDocument/2006/relationships/oleObject" Target="embeddings/oleObject260.bin"/><Relationship Id="rId546" Type="http://schemas.openxmlformats.org/officeDocument/2006/relationships/image" Target="media/image258.wmf"/><Relationship Id="rId545" Type="http://schemas.openxmlformats.org/officeDocument/2006/relationships/oleObject" Target="embeddings/oleObject259.bin"/><Relationship Id="rId544" Type="http://schemas.openxmlformats.org/officeDocument/2006/relationships/image" Target="media/image257.wmf"/><Relationship Id="rId543" Type="http://schemas.openxmlformats.org/officeDocument/2006/relationships/oleObject" Target="embeddings/oleObject258.bin"/><Relationship Id="rId542" Type="http://schemas.openxmlformats.org/officeDocument/2006/relationships/image" Target="media/image256.wmf"/><Relationship Id="rId541" Type="http://schemas.openxmlformats.org/officeDocument/2006/relationships/oleObject" Target="embeddings/oleObject257.bin"/><Relationship Id="rId540" Type="http://schemas.openxmlformats.org/officeDocument/2006/relationships/image" Target="media/image255.wmf"/><Relationship Id="rId54" Type="http://schemas.openxmlformats.org/officeDocument/2006/relationships/image" Target="media/image12.wmf"/><Relationship Id="rId539" Type="http://schemas.openxmlformats.org/officeDocument/2006/relationships/oleObject" Target="embeddings/oleObject256.bin"/><Relationship Id="rId538" Type="http://schemas.openxmlformats.org/officeDocument/2006/relationships/image" Target="media/image254.wmf"/><Relationship Id="rId537" Type="http://schemas.openxmlformats.org/officeDocument/2006/relationships/oleObject" Target="embeddings/oleObject255.bin"/><Relationship Id="rId536" Type="http://schemas.openxmlformats.org/officeDocument/2006/relationships/image" Target="media/image253.wmf"/><Relationship Id="rId535" Type="http://schemas.openxmlformats.org/officeDocument/2006/relationships/oleObject" Target="embeddings/oleObject254.bin"/><Relationship Id="rId534" Type="http://schemas.openxmlformats.org/officeDocument/2006/relationships/image" Target="media/image252.wmf"/><Relationship Id="rId533" Type="http://schemas.openxmlformats.org/officeDocument/2006/relationships/oleObject" Target="embeddings/oleObject253.bin"/><Relationship Id="rId532" Type="http://schemas.openxmlformats.org/officeDocument/2006/relationships/image" Target="media/image251.wmf"/><Relationship Id="rId531" Type="http://schemas.openxmlformats.org/officeDocument/2006/relationships/oleObject" Target="embeddings/oleObject252.bin"/><Relationship Id="rId530" Type="http://schemas.openxmlformats.org/officeDocument/2006/relationships/image" Target="media/image250.wmf"/><Relationship Id="rId53" Type="http://schemas.openxmlformats.org/officeDocument/2006/relationships/oleObject" Target="embeddings/oleObject13.bin"/><Relationship Id="rId529" Type="http://schemas.openxmlformats.org/officeDocument/2006/relationships/oleObject" Target="embeddings/oleObject251.bin"/><Relationship Id="rId528" Type="http://schemas.openxmlformats.org/officeDocument/2006/relationships/image" Target="media/image249.wmf"/><Relationship Id="rId527" Type="http://schemas.openxmlformats.org/officeDocument/2006/relationships/oleObject" Target="embeddings/oleObject250.bin"/><Relationship Id="rId526" Type="http://schemas.openxmlformats.org/officeDocument/2006/relationships/image" Target="media/image248.wmf"/><Relationship Id="rId525" Type="http://schemas.openxmlformats.org/officeDocument/2006/relationships/oleObject" Target="embeddings/oleObject249.bin"/><Relationship Id="rId524" Type="http://schemas.openxmlformats.org/officeDocument/2006/relationships/image" Target="media/image247.wmf"/><Relationship Id="rId523" Type="http://schemas.openxmlformats.org/officeDocument/2006/relationships/oleObject" Target="embeddings/oleObject248.bin"/><Relationship Id="rId522" Type="http://schemas.openxmlformats.org/officeDocument/2006/relationships/image" Target="media/image246.wmf"/><Relationship Id="rId521" Type="http://schemas.openxmlformats.org/officeDocument/2006/relationships/oleObject" Target="embeddings/oleObject247.bin"/><Relationship Id="rId520" Type="http://schemas.openxmlformats.org/officeDocument/2006/relationships/image" Target="media/image245.jpeg"/><Relationship Id="rId52" Type="http://schemas.openxmlformats.org/officeDocument/2006/relationships/image" Target="media/image11.wmf"/><Relationship Id="rId519" Type="http://schemas.openxmlformats.org/officeDocument/2006/relationships/image" Target="media/image244.wmf"/><Relationship Id="rId518" Type="http://schemas.openxmlformats.org/officeDocument/2006/relationships/oleObject" Target="embeddings/oleObject246.bin"/><Relationship Id="rId517" Type="http://schemas.openxmlformats.org/officeDocument/2006/relationships/image" Target="media/image243.wmf"/><Relationship Id="rId516" Type="http://schemas.openxmlformats.org/officeDocument/2006/relationships/oleObject" Target="embeddings/oleObject245.bin"/><Relationship Id="rId515" Type="http://schemas.openxmlformats.org/officeDocument/2006/relationships/image" Target="media/image242.wmf"/><Relationship Id="rId514" Type="http://schemas.openxmlformats.org/officeDocument/2006/relationships/oleObject" Target="embeddings/oleObject244.bin"/><Relationship Id="rId513" Type="http://schemas.openxmlformats.org/officeDocument/2006/relationships/image" Target="media/image241.wmf"/><Relationship Id="rId512" Type="http://schemas.openxmlformats.org/officeDocument/2006/relationships/oleObject" Target="embeddings/oleObject243.bin"/><Relationship Id="rId511" Type="http://schemas.openxmlformats.org/officeDocument/2006/relationships/image" Target="media/image240.wmf"/><Relationship Id="rId510" Type="http://schemas.openxmlformats.org/officeDocument/2006/relationships/oleObject" Target="embeddings/oleObject242.bin"/><Relationship Id="rId51" Type="http://schemas.openxmlformats.org/officeDocument/2006/relationships/oleObject" Target="embeddings/oleObject12.bin"/><Relationship Id="rId509" Type="http://schemas.openxmlformats.org/officeDocument/2006/relationships/image" Target="media/image239.jpeg"/><Relationship Id="rId508" Type="http://schemas.openxmlformats.org/officeDocument/2006/relationships/image" Target="media/image238.jpeg"/><Relationship Id="rId507" Type="http://schemas.openxmlformats.org/officeDocument/2006/relationships/image" Target="media/image237.wmf"/><Relationship Id="rId506" Type="http://schemas.openxmlformats.org/officeDocument/2006/relationships/oleObject" Target="embeddings/oleObject241.bin"/><Relationship Id="rId505" Type="http://schemas.openxmlformats.org/officeDocument/2006/relationships/image" Target="media/image236.wmf"/><Relationship Id="rId504" Type="http://schemas.openxmlformats.org/officeDocument/2006/relationships/oleObject" Target="embeddings/oleObject240.bin"/><Relationship Id="rId503" Type="http://schemas.openxmlformats.org/officeDocument/2006/relationships/image" Target="media/image235.wmf"/><Relationship Id="rId502" Type="http://schemas.openxmlformats.org/officeDocument/2006/relationships/oleObject" Target="embeddings/oleObject239.bin"/><Relationship Id="rId501" Type="http://schemas.openxmlformats.org/officeDocument/2006/relationships/image" Target="media/image234.wmf"/><Relationship Id="rId500" Type="http://schemas.openxmlformats.org/officeDocument/2006/relationships/oleObject" Target="embeddings/oleObject238.bin"/><Relationship Id="rId50" Type="http://schemas.openxmlformats.org/officeDocument/2006/relationships/image" Target="media/image10.wmf"/><Relationship Id="rId5" Type="http://schemas.openxmlformats.org/officeDocument/2006/relationships/footnotes" Target="footnotes.xml"/><Relationship Id="rId499" Type="http://schemas.openxmlformats.org/officeDocument/2006/relationships/image" Target="media/image233.wmf"/><Relationship Id="rId498" Type="http://schemas.openxmlformats.org/officeDocument/2006/relationships/oleObject" Target="embeddings/oleObject237.bin"/><Relationship Id="rId497" Type="http://schemas.openxmlformats.org/officeDocument/2006/relationships/image" Target="media/image232.wmf"/><Relationship Id="rId496" Type="http://schemas.openxmlformats.org/officeDocument/2006/relationships/oleObject" Target="embeddings/oleObject236.bin"/><Relationship Id="rId495" Type="http://schemas.openxmlformats.org/officeDocument/2006/relationships/image" Target="media/image231.jpeg"/><Relationship Id="rId494" Type="http://schemas.openxmlformats.org/officeDocument/2006/relationships/image" Target="media/image230.jpeg"/><Relationship Id="rId493" Type="http://schemas.openxmlformats.org/officeDocument/2006/relationships/image" Target="media/image229.wmf"/><Relationship Id="rId492" Type="http://schemas.openxmlformats.org/officeDocument/2006/relationships/oleObject" Target="embeddings/oleObject235.bin"/><Relationship Id="rId491" Type="http://schemas.openxmlformats.org/officeDocument/2006/relationships/image" Target="media/image228.jpeg"/><Relationship Id="rId490" Type="http://schemas.openxmlformats.org/officeDocument/2006/relationships/image" Target="media/image227.wmf"/><Relationship Id="rId49" Type="http://schemas.openxmlformats.org/officeDocument/2006/relationships/oleObject" Target="embeddings/oleObject11.bin"/><Relationship Id="rId489" Type="http://schemas.openxmlformats.org/officeDocument/2006/relationships/oleObject" Target="embeddings/oleObject234.bin"/><Relationship Id="rId488" Type="http://schemas.openxmlformats.org/officeDocument/2006/relationships/image" Target="media/image226.wmf"/><Relationship Id="rId487" Type="http://schemas.openxmlformats.org/officeDocument/2006/relationships/oleObject" Target="embeddings/oleObject233.bin"/><Relationship Id="rId486" Type="http://schemas.openxmlformats.org/officeDocument/2006/relationships/image" Target="media/image225.wmf"/><Relationship Id="rId485" Type="http://schemas.openxmlformats.org/officeDocument/2006/relationships/oleObject" Target="embeddings/oleObject232.bin"/><Relationship Id="rId484" Type="http://schemas.openxmlformats.org/officeDocument/2006/relationships/image" Target="media/image224.wmf"/><Relationship Id="rId483" Type="http://schemas.openxmlformats.org/officeDocument/2006/relationships/oleObject" Target="embeddings/oleObject231.bin"/><Relationship Id="rId482" Type="http://schemas.openxmlformats.org/officeDocument/2006/relationships/image" Target="media/image223.wmf"/><Relationship Id="rId481" Type="http://schemas.openxmlformats.org/officeDocument/2006/relationships/oleObject" Target="embeddings/oleObject230.bin"/><Relationship Id="rId480" Type="http://schemas.openxmlformats.org/officeDocument/2006/relationships/image" Target="media/image222.png"/><Relationship Id="rId48" Type="http://schemas.openxmlformats.org/officeDocument/2006/relationships/image" Target="media/image9.wmf"/><Relationship Id="rId479" Type="http://schemas.openxmlformats.org/officeDocument/2006/relationships/image" Target="media/image221.wmf"/><Relationship Id="rId478" Type="http://schemas.openxmlformats.org/officeDocument/2006/relationships/oleObject" Target="embeddings/oleObject229.bin"/><Relationship Id="rId477" Type="http://schemas.openxmlformats.org/officeDocument/2006/relationships/image" Target="media/image220.wmf"/><Relationship Id="rId476" Type="http://schemas.openxmlformats.org/officeDocument/2006/relationships/oleObject" Target="embeddings/oleObject228.bin"/><Relationship Id="rId475" Type="http://schemas.openxmlformats.org/officeDocument/2006/relationships/image" Target="media/image219.wmf"/><Relationship Id="rId474" Type="http://schemas.openxmlformats.org/officeDocument/2006/relationships/oleObject" Target="embeddings/oleObject227.bin"/><Relationship Id="rId473" Type="http://schemas.openxmlformats.org/officeDocument/2006/relationships/image" Target="media/image218.wmf"/><Relationship Id="rId472" Type="http://schemas.openxmlformats.org/officeDocument/2006/relationships/oleObject" Target="embeddings/oleObject226.bin"/><Relationship Id="rId471" Type="http://schemas.openxmlformats.org/officeDocument/2006/relationships/image" Target="media/image217.wmf"/><Relationship Id="rId470" Type="http://schemas.openxmlformats.org/officeDocument/2006/relationships/oleObject" Target="embeddings/oleObject225.bin"/><Relationship Id="rId47" Type="http://schemas.openxmlformats.org/officeDocument/2006/relationships/oleObject" Target="embeddings/oleObject10.bin"/><Relationship Id="rId469" Type="http://schemas.openxmlformats.org/officeDocument/2006/relationships/image" Target="media/image216.wmf"/><Relationship Id="rId468" Type="http://schemas.openxmlformats.org/officeDocument/2006/relationships/oleObject" Target="embeddings/oleObject224.bin"/><Relationship Id="rId467" Type="http://schemas.openxmlformats.org/officeDocument/2006/relationships/image" Target="media/image215.wmf"/><Relationship Id="rId466" Type="http://schemas.openxmlformats.org/officeDocument/2006/relationships/oleObject" Target="embeddings/oleObject223.bin"/><Relationship Id="rId465" Type="http://schemas.openxmlformats.org/officeDocument/2006/relationships/image" Target="media/image214.wmf"/><Relationship Id="rId464" Type="http://schemas.openxmlformats.org/officeDocument/2006/relationships/oleObject" Target="embeddings/oleObject222.bin"/><Relationship Id="rId463" Type="http://schemas.openxmlformats.org/officeDocument/2006/relationships/image" Target="media/image213.wmf"/><Relationship Id="rId462" Type="http://schemas.openxmlformats.org/officeDocument/2006/relationships/oleObject" Target="embeddings/oleObject221.bin"/><Relationship Id="rId461" Type="http://schemas.openxmlformats.org/officeDocument/2006/relationships/image" Target="media/image212.wmf"/><Relationship Id="rId460" Type="http://schemas.openxmlformats.org/officeDocument/2006/relationships/oleObject" Target="embeddings/oleObject220.bin"/><Relationship Id="rId46" Type="http://schemas.openxmlformats.org/officeDocument/2006/relationships/image" Target="media/image8.wmf"/><Relationship Id="rId459" Type="http://schemas.openxmlformats.org/officeDocument/2006/relationships/image" Target="media/image211.wmf"/><Relationship Id="rId458" Type="http://schemas.openxmlformats.org/officeDocument/2006/relationships/oleObject" Target="embeddings/oleObject219.bin"/><Relationship Id="rId457" Type="http://schemas.openxmlformats.org/officeDocument/2006/relationships/image" Target="media/image210.wmf"/><Relationship Id="rId456" Type="http://schemas.openxmlformats.org/officeDocument/2006/relationships/oleObject" Target="embeddings/oleObject218.bin"/><Relationship Id="rId455" Type="http://schemas.openxmlformats.org/officeDocument/2006/relationships/image" Target="media/image209.wmf"/><Relationship Id="rId454" Type="http://schemas.openxmlformats.org/officeDocument/2006/relationships/oleObject" Target="embeddings/oleObject217.bin"/><Relationship Id="rId453" Type="http://schemas.openxmlformats.org/officeDocument/2006/relationships/image" Target="media/image208.wmf"/><Relationship Id="rId452" Type="http://schemas.openxmlformats.org/officeDocument/2006/relationships/oleObject" Target="embeddings/oleObject216.bin"/><Relationship Id="rId451" Type="http://schemas.openxmlformats.org/officeDocument/2006/relationships/image" Target="media/image207.wmf"/><Relationship Id="rId450" Type="http://schemas.openxmlformats.org/officeDocument/2006/relationships/oleObject" Target="embeddings/oleObject215.bin"/><Relationship Id="rId45" Type="http://schemas.openxmlformats.org/officeDocument/2006/relationships/oleObject" Target="embeddings/oleObject9.bin"/><Relationship Id="rId449" Type="http://schemas.openxmlformats.org/officeDocument/2006/relationships/image" Target="media/image206.wmf"/><Relationship Id="rId448" Type="http://schemas.openxmlformats.org/officeDocument/2006/relationships/oleObject" Target="embeddings/oleObject214.bin"/><Relationship Id="rId447" Type="http://schemas.openxmlformats.org/officeDocument/2006/relationships/image" Target="media/image205.wmf"/><Relationship Id="rId446" Type="http://schemas.openxmlformats.org/officeDocument/2006/relationships/oleObject" Target="embeddings/oleObject213.bin"/><Relationship Id="rId445" Type="http://schemas.openxmlformats.org/officeDocument/2006/relationships/image" Target="media/image204.wmf"/><Relationship Id="rId444" Type="http://schemas.openxmlformats.org/officeDocument/2006/relationships/oleObject" Target="embeddings/oleObject212.bin"/><Relationship Id="rId443" Type="http://schemas.openxmlformats.org/officeDocument/2006/relationships/image" Target="media/image203.wmf"/><Relationship Id="rId442" Type="http://schemas.openxmlformats.org/officeDocument/2006/relationships/oleObject" Target="embeddings/oleObject211.bin"/><Relationship Id="rId441" Type="http://schemas.openxmlformats.org/officeDocument/2006/relationships/image" Target="media/image202.wmf"/><Relationship Id="rId440" Type="http://schemas.openxmlformats.org/officeDocument/2006/relationships/oleObject" Target="embeddings/oleObject210.bin"/><Relationship Id="rId44" Type="http://schemas.openxmlformats.org/officeDocument/2006/relationships/image" Target="media/image7.wmf"/><Relationship Id="rId439" Type="http://schemas.openxmlformats.org/officeDocument/2006/relationships/image" Target="media/image201.wmf"/><Relationship Id="rId438" Type="http://schemas.openxmlformats.org/officeDocument/2006/relationships/oleObject" Target="embeddings/oleObject209.bin"/><Relationship Id="rId437" Type="http://schemas.openxmlformats.org/officeDocument/2006/relationships/oleObject" Target="embeddings/oleObject208.bin"/><Relationship Id="rId436" Type="http://schemas.openxmlformats.org/officeDocument/2006/relationships/image" Target="media/image200.wmf"/><Relationship Id="rId435" Type="http://schemas.openxmlformats.org/officeDocument/2006/relationships/oleObject" Target="embeddings/oleObject207.bin"/><Relationship Id="rId434" Type="http://schemas.openxmlformats.org/officeDocument/2006/relationships/oleObject" Target="embeddings/oleObject206.bin"/><Relationship Id="rId433" Type="http://schemas.openxmlformats.org/officeDocument/2006/relationships/image" Target="media/image199.wmf"/><Relationship Id="rId432" Type="http://schemas.openxmlformats.org/officeDocument/2006/relationships/oleObject" Target="embeddings/oleObject205.bin"/><Relationship Id="rId431" Type="http://schemas.openxmlformats.org/officeDocument/2006/relationships/image" Target="media/image198.wmf"/><Relationship Id="rId430" Type="http://schemas.openxmlformats.org/officeDocument/2006/relationships/oleObject" Target="embeddings/oleObject204.bin"/><Relationship Id="rId43" Type="http://schemas.openxmlformats.org/officeDocument/2006/relationships/oleObject" Target="embeddings/oleObject8.bin"/><Relationship Id="rId429" Type="http://schemas.openxmlformats.org/officeDocument/2006/relationships/image" Target="media/image197.wmf"/><Relationship Id="rId428" Type="http://schemas.openxmlformats.org/officeDocument/2006/relationships/oleObject" Target="embeddings/oleObject203.bin"/><Relationship Id="rId427" Type="http://schemas.openxmlformats.org/officeDocument/2006/relationships/oleObject" Target="embeddings/oleObject202.bin"/><Relationship Id="rId426" Type="http://schemas.openxmlformats.org/officeDocument/2006/relationships/image" Target="media/image196.wmf"/><Relationship Id="rId425" Type="http://schemas.openxmlformats.org/officeDocument/2006/relationships/oleObject" Target="embeddings/oleObject201.bin"/><Relationship Id="rId424" Type="http://schemas.openxmlformats.org/officeDocument/2006/relationships/image" Target="media/image195.wmf"/><Relationship Id="rId423" Type="http://schemas.openxmlformats.org/officeDocument/2006/relationships/oleObject" Target="embeddings/oleObject200.bin"/><Relationship Id="rId422" Type="http://schemas.openxmlformats.org/officeDocument/2006/relationships/image" Target="media/image194.wmf"/><Relationship Id="rId421" Type="http://schemas.openxmlformats.org/officeDocument/2006/relationships/oleObject" Target="embeddings/oleObject199.bin"/><Relationship Id="rId420" Type="http://schemas.openxmlformats.org/officeDocument/2006/relationships/image" Target="media/image193.wmf"/><Relationship Id="rId42" Type="http://schemas.openxmlformats.org/officeDocument/2006/relationships/oleObject" Target="embeddings/oleObject7.bin"/><Relationship Id="rId419" Type="http://schemas.openxmlformats.org/officeDocument/2006/relationships/oleObject" Target="embeddings/oleObject198.bin"/><Relationship Id="rId418" Type="http://schemas.openxmlformats.org/officeDocument/2006/relationships/image" Target="media/image192.wmf"/><Relationship Id="rId417" Type="http://schemas.openxmlformats.org/officeDocument/2006/relationships/oleObject" Target="embeddings/oleObject197.bin"/><Relationship Id="rId416" Type="http://schemas.openxmlformats.org/officeDocument/2006/relationships/oleObject" Target="embeddings/oleObject196.bin"/><Relationship Id="rId415" Type="http://schemas.openxmlformats.org/officeDocument/2006/relationships/image" Target="media/image191.wmf"/><Relationship Id="rId414" Type="http://schemas.openxmlformats.org/officeDocument/2006/relationships/oleObject" Target="embeddings/oleObject195.bin"/><Relationship Id="rId413" Type="http://schemas.openxmlformats.org/officeDocument/2006/relationships/image" Target="media/image190.wmf"/><Relationship Id="rId412" Type="http://schemas.openxmlformats.org/officeDocument/2006/relationships/oleObject" Target="embeddings/oleObject194.bin"/><Relationship Id="rId411" Type="http://schemas.openxmlformats.org/officeDocument/2006/relationships/image" Target="media/image189.wmf"/><Relationship Id="rId410" Type="http://schemas.openxmlformats.org/officeDocument/2006/relationships/oleObject" Target="embeddings/oleObject193.bin"/><Relationship Id="rId41" Type="http://schemas.openxmlformats.org/officeDocument/2006/relationships/oleObject" Target="embeddings/oleObject6.bin"/><Relationship Id="rId409" Type="http://schemas.openxmlformats.org/officeDocument/2006/relationships/image" Target="media/image188.wmf"/><Relationship Id="rId408" Type="http://schemas.openxmlformats.org/officeDocument/2006/relationships/oleObject" Target="embeddings/oleObject192.bin"/><Relationship Id="rId407" Type="http://schemas.openxmlformats.org/officeDocument/2006/relationships/image" Target="media/image187.wmf"/><Relationship Id="rId406" Type="http://schemas.openxmlformats.org/officeDocument/2006/relationships/oleObject" Target="embeddings/oleObject191.bin"/><Relationship Id="rId405" Type="http://schemas.openxmlformats.org/officeDocument/2006/relationships/oleObject" Target="embeddings/oleObject190.bin"/><Relationship Id="rId404" Type="http://schemas.openxmlformats.org/officeDocument/2006/relationships/image" Target="media/image186.wmf"/><Relationship Id="rId403" Type="http://schemas.openxmlformats.org/officeDocument/2006/relationships/oleObject" Target="embeddings/oleObject189.bin"/><Relationship Id="rId402" Type="http://schemas.openxmlformats.org/officeDocument/2006/relationships/image" Target="media/image185.wmf"/><Relationship Id="rId401" Type="http://schemas.openxmlformats.org/officeDocument/2006/relationships/oleObject" Target="embeddings/oleObject188.bin"/><Relationship Id="rId400" Type="http://schemas.openxmlformats.org/officeDocument/2006/relationships/oleObject" Target="embeddings/oleObject187.bin"/><Relationship Id="rId40" Type="http://schemas.openxmlformats.org/officeDocument/2006/relationships/image" Target="media/image6.wmf"/><Relationship Id="rId4" Type="http://schemas.microsoft.com/office/2011/relationships/commentsExtended" Target="commentsExtended.xml"/><Relationship Id="rId399" Type="http://schemas.openxmlformats.org/officeDocument/2006/relationships/image" Target="media/image184.wmf"/><Relationship Id="rId398" Type="http://schemas.openxmlformats.org/officeDocument/2006/relationships/oleObject" Target="embeddings/oleObject186.bin"/><Relationship Id="rId397" Type="http://schemas.openxmlformats.org/officeDocument/2006/relationships/image" Target="media/image183.wmf"/><Relationship Id="rId396" Type="http://schemas.openxmlformats.org/officeDocument/2006/relationships/oleObject" Target="embeddings/oleObject185.bin"/><Relationship Id="rId395" Type="http://schemas.openxmlformats.org/officeDocument/2006/relationships/image" Target="media/image182.wmf"/><Relationship Id="rId394" Type="http://schemas.openxmlformats.org/officeDocument/2006/relationships/oleObject" Target="embeddings/oleObject184.bin"/><Relationship Id="rId393" Type="http://schemas.openxmlformats.org/officeDocument/2006/relationships/oleObject" Target="embeddings/oleObject183.bin"/><Relationship Id="rId392" Type="http://schemas.openxmlformats.org/officeDocument/2006/relationships/image" Target="media/image181.wmf"/><Relationship Id="rId391" Type="http://schemas.openxmlformats.org/officeDocument/2006/relationships/oleObject" Target="embeddings/oleObject182.bin"/><Relationship Id="rId390" Type="http://schemas.openxmlformats.org/officeDocument/2006/relationships/image" Target="media/image180.wmf"/><Relationship Id="rId39" Type="http://schemas.openxmlformats.org/officeDocument/2006/relationships/oleObject" Target="embeddings/oleObject5.bin"/><Relationship Id="rId389" Type="http://schemas.openxmlformats.org/officeDocument/2006/relationships/oleObject" Target="embeddings/oleObject181.bin"/><Relationship Id="rId388" Type="http://schemas.openxmlformats.org/officeDocument/2006/relationships/image" Target="media/image179.wmf"/><Relationship Id="rId387" Type="http://schemas.openxmlformats.org/officeDocument/2006/relationships/oleObject" Target="embeddings/oleObject180.bin"/><Relationship Id="rId386" Type="http://schemas.openxmlformats.org/officeDocument/2006/relationships/image" Target="media/image178.wmf"/><Relationship Id="rId385" Type="http://schemas.openxmlformats.org/officeDocument/2006/relationships/oleObject" Target="embeddings/oleObject179.bin"/><Relationship Id="rId384" Type="http://schemas.openxmlformats.org/officeDocument/2006/relationships/image" Target="media/image177.wmf"/><Relationship Id="rId383" Type="http://schemas.openxmlformats.org/officeDocument/2006/relationships/oleObject" Target="embeddings/oleObject178.bin"/><Relationship Id="rId382" Type="http://schemas.openxmlformats.org/officeDocument/2006/relationships/image" Target="media/image176.wmf"/><Relationship Id="rId381" Type="http://schemas.openxmlformats.org/officeDocument/2006/relationships/oleObject" Target="embeddings/oleObject177.bin"/><Relationship Id="rId380" Type="http://schemas.openxmlformats.org/officeDocument/2006/relationships/image" Target="media/image175.wmf"/><Relationship Id="rId38" Type="http://schemas.openxmlformats.org/officeDocument/2006/relationships/image" Target="media/image5.wmf"/><Relationship Id="rId379" Type="http://schemas.openxmlformats.org/officeDocument/2006/relationships/oleObject" Target="embeddings/oleObject176.bin"/><Relationship Id="rId378" Type="http://schemas.openxmlformats.org/officeDocument/2006/relationships/image" Target="media/image174.wmf"/><Relationship Id="rId377" Type="http://schemas.openxmlformats.org/officeDocument/2006/relationships/oleObject" Target="embeddings/oleObject175.bin"/><Relationship Id="rId376" Type="http://schemas.openxmlformats.org/officeDocument/2006/relationships/image" Target="media/image173.wmf"/><Relationship Id="rId375" Type="http://schemas.openxmlformats.org/officeDocument/2006/relationships/oleObject" Target="embeddings/oleObject174.bin"/><Relationship Id="rId374" Type="http://schemas.openxmlformats.org/officeDocument/2006/relationships/image" Target="media/image172.wmf"/><Relationship Id="rId373" Type="http://schemas.openxmlformats.org/officeDocument/2006/relationships/oleObject" Target="embeddings/oleObject173.bin"/><Relationship Id="rId372" Type="http://schemas.openxmlformats.org/officeDocument/2006/relationships/image" Target="media/image171.png"/><Relationship Id="rId371" Type="http://schemas.openxmlformats.org/officeDocument/2006/relationships/image" Target="media/image170.wmf"/><Relationship Id="rId370" Type="http://schemas.openxmlformats.org/officeDocument/2006/relationships/oleObject" Target="embeddings/oleObject172.bin"/><Relationship Id="rId37" Type="http://schemas.openxmlformats.org/officeDocument/2006/relationships/oleObject" Target="embeddings/oleObject4.bin"/><Relationship Id="rId369" Type="http://schemas.openxmlformats.org/officeDocument/2006/relationships/image" Target="media/image169.wmf"/><Relationship Id="rId368" Type="http://schemas.openxmlformats.org/officeDocument/2006/relationships/oleObject" Target="embeddings/oleObject171.bin"/><Relationship Id="rId367" Type="http://schemas.openxmlformats.org/officeDocument/2006/relationships/image" Target="media/image168.wmf"/><Relationship Id="rId366" Type="http://schemas.openxmlformats.org/officeDocument/2006/relationships/oleObject" Target="embeddings/oleObject170.bin"/><Relationship Id="rId365" Type="http://schemas.openxmlformats.org/officeDocument/2006/relationships/image" Target="media/image167.wmf"/><Relationship Id="rId364" Type="http://schemas.openxmlformats.org/officeDocument/2006/relationships/oleObject" Target="embeddings/oleObject169.bin"/><Relationship Id="rId363" Type="http://schemas.openxmlformats.org/officeDocument/2006/relationships/image" Target="media/image166.wmf"/><Relationship Id="rId362" Type="http://schemas.openxmlformats.org/officeDocument/2006/relationships/oleObject" Target="embeddings/oleObject168.bin"/><Relationship Id="rId361" Type="http://schemas.openxmlformats.org/officeDocument/2006/relationships/image" Target="media/image165.wmf"/><Relationship Id="rId360" Type="http://schemas.openxmlformats.org/officeDocument/2006/relationships/oleObject" Target="embeddings/oleObject167.bin"/><Relationship Id="rId36" Type="http://schemas.openxmlformats.org/officeDocument/2006/relationships/image" Target="media/image4.wmf"/><Relationship Id="rId359" Type="http://schemas.openxmlformats.org/officeDocument/2006/relationships/image" Target="media/image164.wmf"/><Relationship Id="rId358" Type="http://schemas.openxmlformats.org/officeDocument/2006/relationships/oleObject" Target="embeddings/oleObject166.bin"/><Relationship Id="rId357" Type="http://schemas.openxmlformats.org/officeDocument/2006/relationships/image" Target="media/image163.wmf"/><Relationship Id="rId356" Type="http://schemas.openxmlformats.org/officeDocument/2006/relationships/oleObject" Target="embeddings/oleObject165.bin"/><Relationship Id="rId355" Type="http://schemas.openxmlformats.org/officeDocument/2006/relationships/image" Target="media/image162.wmf"/><Relationship Id="rId354" Type="http://schemas.openxmlformats.org/officeDocument/2006/relationships/oleObject" Target="embeddings/oleObject164.bin"/><Relationship Id="rId353" Type="http://schemas.openxmlformats.org/officeDocument/2006/relationships/image" Target="media/image161.wmf"/><Relationship Id="rId352" Type="http://schemas.openxmlformats.org/officeDocument/2006/relationships/oleObject" Target="embeddings/oleObject163.bin"/><Relationship Id="rId351" Type="http://schemas.openxmlformats.org/officeDocument/2006/relationships/image" Target="media/image160.wmf"/><Relationship Id="rId350" Type="http://schemas.openxmlformats.org/officeDocument/2006/relationships/oleObject" Target="embeddings/oleObject162.bin"/><Relationship Id="rId35" Type="http://schemas.openxmlformats.org/officeDocument/2006/relationships/oleObject" Target="embeddings/oleObject3.bin"/><Relationship Id="rId349" Type="http://schemas.openxmlformats.org/officeDocument/2006/relationships/image" Target="media/image159.wmf"/><Relationship Id="rId348" Type="http://schemas.openxmlformats.org/officeDocument/2006/relationships/oleObject" Target="embeddings/oleObject161.bin"/><Relationship Id="rId347" Type="http://schemas.openxmlformats.org/officeDocument/2006/relationships/image" Target="media/image158.wmf"/><Relationship Id="rId346" Type="http://schemas.openxmlformats.org/officeDocument/2006/relationships/oleObject" Target="embeddings/oleObject160.bin"/><Relationship Id="rId345" Type="http://schemas.openxmlformats.org/officeDocument/2006/relationships/image" Target="media/image157.wmf"/><Relationship Id="rId344" Type="http://schemas.openxmlformats.org/officeDocument/2006/relationships/oleObject" Target="embeddings/oleObject159.bin"/><Relationship Id="rId343" Type="http://schemas.openxmlformats.org/officeDocument/2006/relationships/image" Target="media/image156.wmf"/><Relationship Id="rId342" Type="http://schemas.openxmlformats.org/officeDocument/2006/relationships/oleObject" Target="embeddings/oleObject158.bin"/><Relationship Id="rId341" Type="http://schemas.openxmlformats.org/officeDocument/2006/relationships/image" Target="media/image155.wmf"/><Relationship Id="rId340" Type="http://schemas.openxmlformats.org/officeDocument/2006/relationships/oleObject" Target="embeddings/oleObject157.bin"/><Relationship Id="rId34" Type="http://schemas.openxmlformats.org/officeDocument/2006/relationships/image" Target="media/image3.wmf"/><Relationship Id="rId339" Type="http://schemas.openxmlformats.org/officeDocument/2006/relationships/image" Target="media/image154.wmf"/><Relationship Id="rId338" Type="http://schemas.openxmlformats.org/officeDocument/2006/relationships/oleObject" Target="embeddings/oleObject156.bin"/><Relationship Id="rId337" Type="http://schemas.openxmlformats.org/officeDocument/2006/relationships/image" Target="media/image153.wmf"/><Relationship Id="rId336" Type="http://schemas.openxmlformats.org/officeDocument/2006/relationships/oleObject" Target="embeddings/oleObject155.bin"/><Relationship Id="rId335" Type="http://schemas.openxmlformats.org/officeDocument/2006/relationships/image" Target="media/image152.wmf"/><Relationship Id="rId334" Type="http://schemas.openxmlformats.org/officeDocument/2006/relationships/oleObject" Target="embeddings/oleObject154.bin"/><Relationship Id="rId333" Type="http://schemas.openxmlformats.org/officeDocument/2006/relationships/image" Target="media/image151.wmf"/><Relationship Id="rId332" Type="http://schemas.openxmlformats.org/officeDocument/2006/relationships/oleObject" Target="embeddings/oleObject153.bin"/><Relationship Id="rId331" Type="http://schemas.openxmlformats.org/officeDocument/2006/relationships/image" Target="media/image150.wmf"/><Relationship Id="rId330" Type="http://schemas.openxmlformats.org/officeDocument/2006/relationships/oleObject" Target="embeddings/oleObject152.bin"/><Relationship Id="rId33" Type="http://schemas.openxmlformats.org/officeDocument/2006/relationships/oleObject" Target="embeddings/oleObject2.bin"/><Relationship Id="rId329" Type="http://schemas.openxmlformats.org/officeDocument/2006/relationships/image" Target="media/image149.wmf"/><Relationship Id="rId328" Type="http://schemas.openxmlformats.org/officeDocument/2006/relationships/oleObject" Target="embeddings/oleObject151.bin"/><Relationship Id="rId327" Type="http://schemas.openxmlformats.org/officeDocument/2006/relationships/image" Target="media/image148.wmf"/><Relationship Id="rId326" Type="http://schemas.openxmlformats.org/officeDocument/2006/relationships/oleObject" Target="embeddings/oleObject150.bin"/><Relationship Id="rId325" Type="http://schemas.openxmlformats.org/officeDocument/2006/relationships/image" Target="media/image147.wmf"/><Relationship Id="rId324" Type="http://schemas.openxmlformats.org/officeDocument/2006/relationships/oleObject" Target="embeddings/oleObject149.bin"/><Relationship Id="rId323" Type="http://schemas.openxmlformats.org/officeDocument/2006/relationships/image" Target="media/image146.wmf"/><Relationship Id="rId322" Type="http://schemas.openxmlformats.org/officeDocument/2006/relationships/oleObject" Target="embeddings/oleObject148.bin"/><Relationship Id="rId321" Type="http://schemas.openxmlformats.org/officeDocument/2006/relationships/image" Target="media/image145.wmf"/><Relationship Id="rId320" Type="http://schemas.openxmlformats.org/officeDocument/2006/relationships/oleObject" Target="embeddings/oleObject147.bin"/><Relationship Id="rId32" Type="http://schemas.openxmlformats.org/officeDocument/2006/relationships/image" Target="media/image2.wmf"/><Relationship Id="rId319" Type="http://schemas.openxmlformats.org/officeDocument/2006/relationships/image" Target="media/image144.wmf"/><Relationship Id="rId318" Type="http://schemas.openxmlformats.org/officeDocument/2006/relationships/oleObject" Target="embeddings/oleObject146.bin"/><Relationship Id="rId317" Type="http://schemas.openxmlformats.org/officeDocument/2006/relationships/image" Target="media/image143.wmf"/><Relationship Id="rId316" Type="http://schemas.openxmlformats.org/officeDocument/2006/relationships/oleObject" Target="embeddings/oleObject145.bin"/><Relationship Id="rId315" Type="http://schemas.openxmlformats.org/officeDocument/2006/relationships/image" Target="media/image142.wmf"/><Relationship Id="rId314" Type="http://schemas.openxmlformats.org/officeDocument/2006/relationships/oleObject" Target="embeddings/oleObject144.bin"/><Relationship Id="rId313" Type="http://schemas.openxmlformats.org/officeDocument/2006/relationships/image" Target="media/image141.wmf"/><Relationship Id="rId312" Type="http://schemas.openxmlformats.org/officeDocument/2006/relationships/oleObject" Target="embeddings/oleObject143.bin"/><Relationship Id="rId311" Type="http://schemas.openxmlformats.org/officeDocument/2006/relationships/image" Target="media/image140.wmf"/><Relationship Id="rId310" Type="http://schemas.openxmlformats.org/officeDocument/2006/relationships/oleObject" Target="embeddings/oleObject142.bin"/><Relationship Id="rId31" Type="http://schemas.openxmlformats.org/officeDocument/2006/relationships/oleObject" Target="embeddings/oleObject1.bin"/><Relationship Id="rId309" Type="http://schemas.openxmlformats.org/officeDocument/2006/relationships/image" Target="media/image139.wmf"/><Relationship Id="rId308" Type="http://schemas.openxmlformats.org/officeDocument/2006/relationships/oleObject" Target="embeddings/oleObject141.bin"/><Relationship Id="rId307" Type="http://schemas.openxmlformats.org/officeDocument/2006/relationships/image" Target="media/image138.wmf"/><Relationship Id="rId306" Type="http://schemas.openxmlformats.org/officeDocument/2006/relationships/oleObject" Target="embeddings/oleObject140.bin"/><Relationship Id="rId305" Type="http://schemas.openxmlformats.org/officeDocument/2006/relationships/image" Target="media/image137.wmf"/><Relationship Id="rId304" Type="http://schemas.openxmlformats.org/officeDocument/2006/relationships/oleObject" Target="embeddings/oleObject139.bin"/><Relationship Id="rId303" Type="http://schemas.openxmlformats.org/officeDocument/2006/relationships/image" Target="media/image136.wmf"/><Relationship Id="rId302" Type="http://schemas.openxmlformats.org/officeDocument/2006/relationships/oleObject" Target="embeddings/oleObject138.bin"/><Relationship Id="rId301" Type="http://schemas.openxmlformats.org/officeDocument/2006/relationships/image" Target="media/image135.wmf"/><Relationship Id="rId300" Type="http://schemas.openxmlformats.org/officeDocument/2006/relationships/oleObject" Target="embeddings/oleObject137.bin"/><Relationship Id="rId30" Type="http://schemas.openxmlformats.org/officeDocument/2006/relationships/image" Target="media/image1.jpeg"/><Relationship Id="rId3" Type="http://schemas.openxmlformats.org/officeDocument/2006/relationships/comments" Target="comments.xml"/><Relationship Id="rId299" Type="http://schemas.openxmlformats.org/officeDocument/2006/relationships/image" Target="media/image134.wmf"/><Relationship Id="rId298" Type="http://schemas.openxmlformats.org/officeDocument/2006/relationships/oleObject" Target="embeddings/oleObject136.bin"/><Relationship Id="rId297" Type="http://schemas.openxmlformats.org/officeDocument/2006/relationships/image" Target="media/image133.wmf"/><Relationship Id="rId296" Type="http://schemas.openxmlformats.org/officeDocument/2006/relationships/oleObject" Target="embeddings/oleObject135.bin"/><Relationship Id="rId295" Type="http://schemas.openxmlformats.org/officeDocument/2006/relationships/image" Target="media/image132.wmf"/><Relationship Id="rId294" Type="http://schemas.openxmlformats.org/officeDocument/2006/relationships/oleObject" Target="embeddings/oleObject134.bin"/><Relationship Id="rId293" Type="http://schemas.openxmlformats.org/officeDocument/2006/relationships/image" Target="media/image131.wmf"/><Relationship Id="rId292" Type="http://schemas.openxmlformats.org/officeDocument/2006/relationships/oleObject" Target="embeddings/oleObject133.bin"/><Relationship Id="rId291" Type="http://schemas.openxmlformats.org/officeDocument/2006/relationships/image" Target="media/image130.wmf"/><Relationship Id="rId290" Type="http://schemas.openxmlformats.org/officeDocument/2006/relationships/oleObject" Target="embeddings/oleObject132.bin"/><Relationship Id="rId29" Type="http://schemas.openxmlformats.org/officeDocument/2006/relationships/theme" Target="theme/theme1.xml"/><Relationship Id="rId289" Type="http://schemas.openxmlformats.org/officeDocument/2006/relationships/image" Target="media/image129.wmf"/><Relationship Id="rId288" Type="http://schemas.openxmlformats.org/officeDocument/2006/relationships/oleObject" Target="embeddings/oleObject131.bin"/><Relationship Id="rId287" Type="http://schemas.openxmlformats.org/officeDocument/2006/relationships/image" Target="media/image128.png"/><Relationship Id="rId286" Type="http://schemas.openxmlformats.org/officeDocument/2006/relationships/image" Target="media/image127.png"/><Relationship Id="rId285" Type="http://schemas.openxmlformats.org/officeDocument/2006/relationships/image" Target="media/image126.png"/><Relationship Id="rId284" Type="http://schemas.openxmlformats.org/officeDocument/2006/relationships/image" Target="media/image125.png"/><Relationship Id="rId283" Type="http://schemas.openxmlformats.org/officeDocument/2006/relationships/image" Target="media/image124.wmf"/><Relationship Id="rId282" Type="http://schemas.openxmlformats.org/officeDocument/2006/relationships/oleObject" Target="embeddings/oleObject130.bin"/><Relationship Id="rId281" Type="http://schemas.openxmlformats.org/officeDocument/2006/relationships/image" Target="media/image123.wmf"/><Relationship Id="rId280" Type="http://schemas.openxmlformats.org/officeDocument/2006/relationships/oleObject" Target="embeddings/oleObject129.bin"/><Relationship Id="rId28" Type="http://schemas.openxmlformats.org/officeDocument/2006/relationships/footer" Target="footer14.xml"/><Relationship Id="rId279" Type="http://schemas.openxmlformats.org/officeDocument/2006/relationships/image" Target="media/image122.wmf"/><Relationship Id="rId278" Type="http://schemas.openxmlformats.org/officeDocument/2006/relationships/oleObject" Target="embeddings/oleObject128.bin"/><Relationship Id="rId277" Type="http://schemas.openxmlformats.org/officeDocument/2006/relationships/image" Target="media/image121.wmf"/><Relationship Id="rId276" Type="http://schemas.openxmlformats.org/officeDocument/2006/relationships/oleObject" Target="embeddings/oleObject127.bin"/><Relationship Id="rId275" Type="http://schemas.openxmlformats.org/officeDocument/2006/relationships/image" Target="media/image120.wmf"/><Relationship Id="rId274" Type="http://schemas.openxmlformats.org/officeDocument/2006/relationships/oleObject" Target="embeddings/oleObject126.bin"/><Relationship Id="rId273" Type="http://schemas.openxmlformats.org/officeDocument/2006/relationships/image" Target="media/image119.wmf"/><Relationship Id="rId272" Type="http://schemas.openxmlformats.org/officeDocument/2006/relationships/oleObject" Target="embeddings/oleObject125.bin"/><Relationship Id="rId271" Type="http://schemas.openxmlformats.org/officeDocument/2006/relationships/image" Target="media/image118.wmf"/><Relationship Id="rId270" Type="http://schemas.openxmlformats.org/officeDocument/2006/relationships/oleObject" Target="embeddings/oleObject124.bin"/><Relationship Id="rId27" Type="http://schemas.openxmlformats.org/officeDocument/2006/relationships/footer" Target="footer13.xml"/><Relationship Id="rId269" Type="http://schemas.openxmlformats.org/officeDocument/2006/relationships/image" Target="media/image117.wmf"/><Relationship Id="rId268" Type="http://schemas.openxmlformats.org/officeDocument/2006/relationships/oleObject" Target="embeddings/oleObject123.bin"/><Relationship Id="rId267" Type="http://schemas.openxmlformats.org/officeDocument/2006/relationships/image" Target="media/image116.wmf"/><Relationship Id="rId266" Type="http://schemas.openxmlformats.org/officeDocument/2006/relationships/oleObject" Target="embeddings/oleObject122.bin"/><Relationship Id="rId265" Type="http://schemas.openxmlformats.org/officeDocument/2006/relationships/image" Target="media/image115.wmf"/><Relationship Id="rId264" Type="http://schemas.openxmlformats.org/officeDocument/2006/relationships/oleObject" Target="embeddings/oleObject121.bin"/><Relationship Id="rId263" Type="http://schemas.openxmlformats.org/officeDocument/2006/relationships/image" Target="media/image114.png"/><Relationship Id="rId262" Type="http://schemas.openxmlformats.org/officeDocument/2006/relationships/image" Target="media/image113.wmf"/><Relationship Id="rId261" Type="http://schemas.openxmlformats.org/officeDocument/2006/relationships/oleObject" Target="embeddings/oleObject120.bin"/><Relationship Id="rId260" Type="http://schemas.openxmlformats.org/officeDocument/2006/relationships/image" Target="media/image112.wmf"/><Relationship Id="rId26" Type="http://schemas.openxmlformats.org/officeDocument/2006/relationships/footer" Target="footer12.xml"/><Relationship Id="rId259" Type="http://schemas.openxmlformats.org/officeDocument/2006/relationships/oleObject" Target="embeddings/oleObject119.bin"/><Relationship Id="rId258" Type="http://schemas.openxmlformats.org/officeDocument/2006/relationships/image" Target="media/image111.wmf"/><Relationship Id="rId257" Type="http://schemas.openxmlformats.org/officeDocument/2006/relationships/oleObject" Target="embeddings/oleObject118.bin"/><Relationship Id="rId256" Type="http://schemas.openxmlformats.org/officeDocument/2006/relationships/image" Target="media/image110.wmf"/><Relationship Id="rId255" Type="http://schemas.openxmlformats.org/officeDocument/2006/relationships/oleObject" Target="embeddings/oleObject117.bin"/><Relationship Id="rId254" Type="http://schemas.openxmlformats.org/officeDocument/2006/relationships/image" Target="media/image109.wmf"/><Relationship Id="rId253" Type="http://schemas.openxmlformats.org/officeDocument/2006/relationships/oleObject" Target="embeddings/oleObject116.bin"/><Relationship Id="rId252" Type="http://schemas.openxmlformats.org/officeDocument/2006/relationships/image" Target="media/image108.wmf"/><Relationship Id="rId251" Type="http://schemas.openxmlformats.org/officeDocument/2006/relationships/oleObject" Target="embeddings/oleObject115.bin"/><Relationship Id="rId250" Type="http://schemas.openxmlformats.org/officeDocument/2006/relationships/image" Target="media/image107.wmf"/><Relationship Id="rId25" Type="http://schemas.openxmlformats.org/officeDocument/2006/relationships/footer" Target="footer11.xml"/><Relationship Id="rId249" Type="http://schemas.openxmlformats.org/officeDocument/2006/relationships/oleObject" Target="embeddings/oleObject114.bin"/><Relationship Id="rId248" Type="http://schemas.openxmlformats.org/officeDocument/2006/relationships/image" Target="media/image106.wmf"/><Relationship Id="rId247" Type="http://schemas.openxmlformats.org/officeDocument/2006/relationships/oleObject" Target="embeddings/oleObject113.bin"/><Relationship Id="rId246" Type="http://schemas.openxmlformats.org/officeDocument/2006/relationships/image" Target="media/image105.wmf"/><Relationship Id="rId245" Type="http://schemas.openxmlformats.org/officeDocument/2006/relationships/oleObject" Target="embeddings/oleObject112.bin"/><Relationship Id="rId244" Type="http://schemas.openxmlformats.org/officeDocument/2006/relationships/image" Target="media/image104.wmf"/><Relationship Id="rId243" Type="http://schemas.openxmlformats.org/officeDocument/2006/relationships/oleObject" Target="embeddings/oleObject111.bin"/><Relationship Id="rId242" Type="http://schemas.openxmlformats.org/officeDocument/2006/relationships/image" Target="media/image103.wmf"/><Relationship Id="rId241" Type="http://schemas.openxmlformats.org/officeDocument/2006/relationships/oleObject" Target="embeddings/oleObject110.bin"/><Relationship Id="rId240" Type="http://schemas.openxmlformats.org/officeDocument/2006/relationships/image" Target="media/image102.wmf"/><Relationship Id="rId24" Type="http://schemas.openxmlformats.org/officeDocument/2006/relationships/footer" Target="footer10.xml"/><Relationship Id="rId239" Type="http://schemas.openxmlformats.org/officeDocument/2006/relationships/oleObject" Target="embeddings/oleObject109.bin"/><Relationship Id="rId238" Type="http://schemas.openxmlformats.org/officeDocument/2006/relationships/image" Target="media/image101.wmf"/><Relationship Id="rId237" Type="http://schemas.openxmlformats.org/officeDocument/2006/relationships/oleObject" Target="embeddings/oleObject108.bin"/><Relationship Id="rId236" Type="http://schemas.openxmlformats.org/officeDocument/2006/relationships/image" Target="media/image100.wmf"/><Relationship Id="rId235" Type="http://schemas.openxmlformats.org/officeDocument/2006/relationships/oleObject" Target="embeddings/oleObject107.bin"/><Relationship Id="rId234" Type="http://schemas.openxmlformats.org/officeDocument/2006/relationships/image" Target="media/image99.wmf"/><Relationship Id="rId233" Type="http://schemas.openxmlformats.org/officeDocument/2006/relationships/oleObject" Target="embeddings/oleObject106.bin"/><Relationship Id="rId232" Type="http://schemas.openxmlformats.org/officeDocument/2006/relationships/image" Target="media/image98.wmf"/><Relationship Id="rId231" Type="http://schemas.openxmlformats.org/officeDocument/2006/relationships/oleObject" Target="embeddings/oleObject105.bin"/><Relationship Id="rId230" Type="http://schemas.openxmlformats.org/officeDocument/2006/relationships/image" Target="media/image97.wmf"/><Relationship Id="rId23" Type="http://schemas.openxmlformats.org/officeDocument/2006/relationships/footer" Target="footer9.xml"/><Relationship Id="rId229" Type="http://schemas.openxmlformats.org/officeDocument/2006/relationships/oleObject" Target="embeddings/oleObject104.bin"/><Relationship Id="rId228" Type="http://schemas.openxmlformats.org/officeDocument/2006/relationships/image" Target="media/image96.wmf"/><Relationship Id="rId227" Type="http://schemas.openxmlformats.org/officeDocument/2006/relationships/oleObject" Target="embeddings/oleObject103.bin"/><Relationship Id="rId226" Type="http://schemas.openxmlformats.org/officeDocument/2006/relationships/image" Target="media/image95.wmf"/><Relationship Id="rId225" Type="http://schemas.openxmlformats.org/officeDocument/2006/relationships/oleObject" Target="embeddings/oleObject102.bin"/><Relationship Id="rId224" Type="http://schemas.openxmlformats.org/officeDocument/2006/relationships/image" Target="media/image94.wmf"/><Relationship Id="rId223" Type="http://schemas.openxmlformats.org/officeDocument/2006/relationships/oleObject" Target="embeddings/oleObject101.bin"/><Relationship Id="rId222" Type="http://schemas.openxmlformats.org/officeDocument/2006/relationships/image" Target="media/image93.png"/><Relationship Id="rId221" Type="http://schemas.openxmlformats.org/officeDocument/2006/relationships/image" Target="media/image92.wmf"/><Relationship Id="rId220" Type="http://schemas.openxmlformats.org/officeDocument/2006/relationships/oleObject" Target="embeddings/oleObject100.bin"/><Relationship Id="rId22" Type="http://schemas.openxmlformats.org/officeDocument/2006/relationships/header" Target="header8.xml"/><Relationship Id="rId219" Type="http://schemas.openxmlformats.org/officeDocument/2006/relationships/image" Target="media/image91.png"/><Relationship Id="rId218" Type="http://schemas.openxmlformats.org/officeDocument/2006/relationships/image" Target="media/image90.png"/><Relationship Id="rId217" Type="http://schemas.openxmlformats.org/officeDocument/2006/relationships/image" Target="media/image89.wmf"/><Relationship Id="rId216" Type="http://schemas.openxmlformats.org/officeDocument/2006/relationships/oleObject" Target="embeddings/oleObject99.bin"/><Relationship Id="rId215" Type="http://schemas.openxmlformats.org/officeDocument/2006/relationships/image" Target="media/image88.wmf"/><Relationship Id="rId214" Type="http://schemas.openxmlformats.org/officeDocument/2006/relationships/oleObject" Target="embeddings/oleObject98.bin"/><Relationship Id="rId213" Type="http://schemas.openxmlformats.org/officeDocument/2006/relationships/image" Target="media/image87.png"/><Relationship Id="rId212" Type="http://schemas.openxmlformats.org/officeDocument/2006/relationships/image" Target="media/image86.wmf"/><Relationship Id="rId211" Type="http://schemas.openxmlformats.org/officeDocument/2006/relationships/oleObject" Target="embeddings/oleObject97.bin"/><Relationship Id="rId210" Type="http://schemas.openxmlformats.org/officeDocument/2006/relationships/image" Target="media/image85.png"/><Relationship Id="rId21" Type="http://schemas.openxmlformats.org/officeDocument/2006/relationships/header" Target="header7.xml"/><Relationship Id="rId209" Type="http://schemas.openxmlformats.org/officeDocument/2006/relationships/image" Target="media/image84.wmf"/><Relationship Id="rId208" Type="http://schemas.openxmlformats.org/officeDocument/2006/relationships/oleObject" Target="embeddings/oleObject96.bin"/><Relationship Id="rId207" Type="http://schemas.openxmlformats.org/officeDocument/2006/relationships/image" Target="media/image83.png"/><Relationship Id="rId206" Type="http://schemas.openxmlformats.org/officeDocument/2006/relationships/image" Target="media/image82.wmf"/><Relationship Id="rId205" Type="http://schemas.openxmlformats.org/officeDocument/2006/relationships/oleObject" Target="embeddings/oleObject95.bin"/><Relationship Id="rId204" Type="http://schemas.openxmlformats.org/officeDocument/2006/relationships/image" Target="media/image81.wmf"/><Relationship Id="rId203" Type="http://schemas.openxmlformats.org/officeDocument/2006/relationships/oleObject" Target="embeddings/oleObject94.bin"/><Relationship Id="rId202" Type="http://schemas.openxmlformats.org/officeDocument/2006/relationships/image" Target="media/image80.wmf"/><Relationship Id="rId201" Type="http://schemas.openxmlformats.org/officeDocument/2006/relationships/oleObject" Target="embeddings/oleObject93.bin"/><Relationship Id="rId200" Type="http://schemas.openxmlformats.org/officeDocument/2006/relationships/image" Target="media/image79.wmf"/><Relationship Id="rId20" Type="http://schemas.openxmlformats.org/officeDocument/2006/relationships/header" Target="header6.xml"/><Relationship Id="rId2" Type="http://schemas.openxmlformats.org/officeDocument/2006/relationships/settings" Target="settings.xml"/><Relationship Id="rId199" Type="http://schemas.openxmlformats.org/officeDocument/2006/relationships/oleObject" Target="embeddings/oleObject92.bin"/><Relationship Id="rId198" Type="http://schemas.openxmlformats.org/officeDocument/2006/relationships/image" Target="media/image78.wmf"/><Relationship Id="rId197" Type="http://schemas.openxmlformats.org/officeDocument/2006/relationships/oleObject" Target="embeddings/oleObject91.bin"/><Relationship Id="rId196" Type="http://schemas.openxmlformats.org/officeDocument/2006/relationships/image" Target="media/image77.png"/><Relationship Id="rId195" Type="http://schemas.openxmlformats.org/officeDocument/2006/relationships/image" Target="media/image76.png"/><Relationship Id="rId194" Type="http://schemas.openxmlformats.org/officeDocument/2006/relationships/image" Target="media/image75.wmf"/><Relationship Id="rId193" Type="http://schemas.openxmlformats.org/officeDocument/2006/relationships/oleObject" Target="embeddings/oleObject90.bin"/><Relationship Id="rId192" Type="http://schemas.openxmlformats.org/officeDocument/2006/relationships/image" Target="media/image74.png"/><Relationship Id="rId191" Type="http://schemas.openxmlformats.org/officeDocument/2006/relationships/image" Target="media/image73.png"/><Relationship Id="rId190" Type="http://schemas.openxmlformats.org/officeDocument/2006/relationships/image" Target="media/image72.wmf"/><Relationship Id="rId19" Type="http://schemas.openxmlformats.org/officeDocument/2006/relationships/footer" Target="footer8.xml"/><Relationship Id="rId189" Type="http://schemas.openxmlformats.org/officeDocument/2006/relationships/oleObject" Target="embeddings/oleObject89.bin"/><Relationship Id="rId188" Type="http://schemas.openxmlformats.org/officeDocument/2006/relationships/image" Target="media/image71.wmf"/><Relationship Id="rId187" Type="http://schemas.openxmlformats.org/officeDocument/2006/relationships/oleObject" Target="embeddings/oleObject88.bin"/><Relationship Id="rId186" Type="http://schemas.openxmlformats.org/officeDocument/2006/relationships/image" Target="media/image70.wmf"/><Relationship Id="rId185" Type="http://schemas.openxmlformats.org/officeDocument/2006/relationships/oleObject" Target="embeddings/oleObject87.bin"/><Relationship Id="rId184" Type="http://schemas.openxmlformats.org/officeDocument/2006/relationships/image" Target="media/image69.wmf"/><Relationship Id="rId183" Type="http://schemas.openxmlformats.org/officeDocument/2006/relationships/oleObject" Target="embeddings/oleObject86.bin"/><Relationship Id="rId182" Type="http://schemas.openxmlformats.org/officeDocument/2006/relationships/image" Target="media/image68.wmf"/><Relationship Id="rId181" Type="http://schemas.openxmlformats.org/officeDocument/2006/relationships/oleObject" Target="embeddings/oleObject85.bin"/><Relationship Id="rId180" Type="http://schemas.openxmlformats.org/officeDocument/2006/relationships/image" Target="media/image67.wmf"/><Relationship Id="rId18" Type="http://schemas.openxmlformats.org/officeDocument/2006/relationships/footer" Target="footer7.xml"/><Relationship Id="rId179" Type="http://schemas.openxmlformats.org/officeDocument/2006/relationships/oleObject" Target="embeddings/oleObject84.bin"/><Relationship Id="rId178" Type="http://schemas.openxmlformats.org/officeDocument/2006/relationships/image" Target="media/image66.wmf"/><Relationship Id="rId177" Type="http://schemas.openxmlformats.org/officeDocument/2006/relationships/oleObject" Target="embeddings/oleObject83.bin"/><Relationship Id="rId176" Type="http://schemas.openxmlformats.org/officeDocument/2006/relationships/image" Target="media/image65.wmf"/><Relationship Id="rId175" Type="http://schemas.openxmlformats.org/officeDocument/2006/relationships/oleObject" Target="embeddings/oleObject82.bin"/><Relationship Id="rId174" Type="http://schemas.openxmlformats.org/officeDocument/2006/relationships/oleObject" Target="embeddings/oleObject81.bin"/><Relationship Id="rId173" Type="http://schemas.openxmlformats.org/officeDocument/2006/relationships/oleObject" Target="embeddings/oleObject80.bin"/><Relationship Id="rId172" Type="http://schemas.openxmlformats.org/officeDocument/2006/relationships/image" Target="media/image64.wmf"/><Relationship Id="rId171" Type="http://schemas.openxmlformats.org/officeDocument/2006/relationships/oleObject" Target="embeddings/oleObject79.bin"/><Relationship Id="rId170" Type="http://schemas.openxmlformats.org/officeDocument/2006/relationships/oleObject" Target="embeddings/oleObject78.bin"/><Relationship Id="rId17" Type="http://schemas.openxmlformats.org/officeDocument/2006/relationships/footer" Target="footer6.xml"/><Relationship Id="rId169" Type="http://schemas.openxmlformats.org/officeDocument/2006/relationships/oleObject" Target="embeddings/oleObject77.bin"/><Relationship Id="rId168" Type="http://schemas.openxmlformats.org/officeDocument/2006/relationships/image" Target="media/image63.wmf"/><Relationship Id="rId167" Type="http://schemas.openxmlformats.org/officeDocument/2006/relationships/oleObject" Target="embeddings/oleObject76.bin"/><Relationship Id="rId166" Type="http://schemas.openxmlformats.org/officeDocument/2006/relationships/image" Target="media/image62.wmf"/><Relationship Id="rId165" Type="http://schemas.openxmlformats.org/officeDocument/2006/relationships/oleObject" Target="embeddings/oleObject75.bin"/><Relationship Id="rId164" Type="http://schemas.openxmlformats.org/officeDocument/2006/relationships/image" Target="media/image61.wmf"/><Relationship Id="rId163" Type="http://schemas.openxmlformats.org/officeDocument/2006/relationships/oleObject" Target="embeddings/oleObject74.bin"/><Relationship Id="rId162" Type="http://schemas.openxmlformats.org/officeDocument/2006/relationships/image" Target="media/image60.wmf"/><Relationship Id="rId161" Type="http://schemas.openxmlformats.org/officeDocument/2006/relationships/oleObject" Target="embeddings/oleObject73.bin"/><Relationship Id="rId160" Type="http://schemas.openxmlformats.org/officeDocument/2006/relationships/image" Target="media/image59.wmf"/><Relationship Id="rId16" Type="http://schemas.openxmlformats.org/officeDocument/2006/relationships/footer" Target="footer5.xml"/><Relationship Id="rId159" Type="http://schemas.openxmlformats.org/officeDocument/2006/relationships/oleObject" Target="embeddings/oleObject72.bin"/><Relationship Id="rId158" Type="http://schemas.openxmlformats.org/officeDocument/2006/relationships/image" Target="media/image58.wmf"/><Relationship Id="rId157" Type="http://schemas.openxmlformats.org/officeDocument/2006/relationships/oleObject" Target="embeddings/oleObject71.bin"/><Relationship Id="rId156" Type="http://schemas.openxmlformats.org/officeDocument/2006/relationships/image" Target="media/image57.wmf"/><Relationship Id="rId155" Type="http://schemas.openxmlformats.org/officeDocument/2006/relationships/oleObject" Target="embeddings/oleObject70.bin"/><Relationship Id="rId154" Type="http://schemas.openxmlformats.org/officeDocument/2006/relationships/image" Target="media/image56.png"/><Relationship Id="rId153" Type="http://schemas.openxmlformats.org/officeDocument/2006/relationships/image" Target="media/image55.wmf"/><Relationship Id="rId152" Type="http://schemas.openxmlformats.org/officeDocument/2006/relationships/oleObject" Target="embeddings/oleObject69.bin"/><Relationship Id="rId151" Type="http://schemas.openxmlformats.org/officeDocument/2006/relationships/oleObject" Target="embeddings/oleObject68.bin"/><Relationship Id="rId150" Type="http://schemas.openxmlformats.org/officeDocument/2006/relationships/image" Target="media/image54.png"/><Relationship Id="rId15" Type="http://schemas.openxmlformats.org/officeDocument/2006/relationships/footer" Target="footer4.xml"/><Relationship Id="rId149" Type="http://schemas.openxmlformats.org/officeDocument/2006/relationships/oleObject" Target="embeddings/oleObject67.bin"/><Relationship Id="rId148" Type="http://schemas.openxmlformats.org/officeDocument/2006/relationships/oleObject" Target="embeddings/oleObject66.bin"/><Relationship Id="rId147" Type="http://schemas.openxmlformats.org/officeDocument/2006/relationships/oleObject" Target="embeddings/oleObject65.bin"/><Relationship Id="rId146" Type="http://schemas.openxmlformats.org/officeDocument/2006/relationships/image" Target="media/image53.wmf"/><Relationship Id="rId145" Type="http://schemas.openxmlformats.org/officeDocument/2006/relationships/oleObject" Target="embeddings/oleObject64.bin"/><Relationship Id="rId144" Type="http://schemas.openxmlformats.org/officeDocument/2006/relationships/image" Target="media/image52.wmf"/><Relationship Id="rId143" Type="http://schemas.openxmlformats.org/officeDocument/2006/relationships/oleObject" Target="embeddings/oleObject63.bin"/><Relationship Id="rId142" Type="http://schemas.openxmlformats.org/officeDocument/2006/relationships/image" Target="media/image51.wmf"/><Relationship Id="rId141" Type="http://schemas.openxmlformats.org/officeDocument/2006/relationships/oleObject" Target="embeddings/oleObject62.bin"/><Relationship Id="rId140" Type="http://schemas.openxmlformats.org/officeDocument/2006/relationships/oleObject" Target="embeddings/oleObject61.bin"/><Relationship Id="rId14" Type="http://schemas.openxmlformats.org/officeDocument/2006/relationships/header" Target="header5.xml"/><Relationship Id="rId139" Type="http://schemas.openxmlformats.org/officeDocument/2006/relationships/image" Target="media/image50.wmf"/><Relationship Id="rId138" Type="http://schemas.openxmlformats.org/officeDocument/2006/relationships/oleObject" Target="embeddings/oleObject60.bin"/><Relationship Id="rId137" Type="http://schemas.openxmlformats.org/officeDocument/2006/relationships/image" Target="media/image49.wmf"/><Relationship Id="rId136" Type="http://schemas.openxmlformats.org/officeDocument/2006/relationships/oleObject" Target="embeddings/oleObject59.bin"/><Relationship Id="rId135" Type="http://schemas.openxmlformats.org/officeDocument/2006/relationships/image" Target="media/image48.wmf"/><Relationship Id="rId134" Type="http://schemas.openxmlformats.org/officeDocument/2006/relationships/oleObject" Target="embeddings/oleObject58.bin"/><Relationship Id="rId133" Type="http://schemas.openxmlformats.org/officeDocument/2006/relationships/image" Target="media/image47.wmf"/><Relationship Id="rId132" Type="http://schemas.openxmlformats.org/officeDocument/2006/relationships/oleObject" Target="embeddings/oleObject57.bin"/><Relationship Id="rId131" Type="http://schemas.openxmlformats.org/officeDocument/2006/relationships/image" Target="media/image46.wmf"/><Relationship Id="rId130" Type="http://schemas.openxmlformats.org/officeDocument/2006/relationships/oleObject" Target="embeddings/oleObject56.bin"/><Relationship Id="rId13" Type="http://schemas.openxmlformats.org/officeDocument/2006/relationships/header" Target="header4.xml"/><Relationship Id="rId129" Type="http://schemas.openxmlformats.org/officeDocument/2006/relationships/image" Target="media/image45.wmf"/><Relationship Id="rId128" Type="http://schemas.openxmlformats.org/officeDocument/2006/relationships/oleObject" Target="embeddings/oleObject55.bin"/><Relationship Id="rId127" Type="http://schemas.openxmlformats.org/officeDocument/2006/relationships/image" Target="media/image44.wmf"/><Relationship Id="rId126" Type="http://schemas.openxmlformats.org/officeDocument/2006/relationships/oleObject" Target="embeddings/oleObject54.bin"/><Relationship Id="rId125" Type="http://schemas.openxmlformats.org/officeDocument/2006/relationships/image" Target="media/image43.wmf"/><Relationship Id="rId124" Type="http://schemas.openxmlformats.org/officeDocument/2006/relationships/oleObject" Target="embeddings/oleObject53.bin"/><Relationship Id="rId123" Type="http://schemas.openxmlformats.org/officeDocument/2006/relationships/image" Target="media/image42.wmf"/><Relationship Id="rId122" Type="http://schemas.openxmlformats.org/officeDocument/2006/relationships/oleObject" Target="embeddings/oleObject52.bin"/><Relationship Id="rId121" Type="http://schemas.openxmlformats.org/officeDocument/2006/relationships/image" Target="media/image41.wmf"/><Relationship Id="rId120" Type="http://schemas.openxmlformats.org/officeDocument/2006/relationships/oleObject" Target="embeddings/oleObject51.bin"/><Relationship Id="rId12" Type="http://schemas.openxmlformats.org/officeDocument/2006/relationships/header" Target="header3.xml"/><Relationship Id="rId119" Type="http://schemas.openxmlformats.org/officeDocument/2006/relationships/image" Target="media/image40.wmf"/><Relationship Id="rId118" Type="http://schemas.openxmlformats.org/officeDocument/2006/relationships/oleObject" Target="embeddings/oleObject50.bin"/><Relationship Id="rId117" Type="http://schemas.openxmlformats.org/officeDocument/2006/relationships/image" Target="media/image39.wmf"/><Relationship Id="rId116" Type="http://schemas.openxmlformats.org/officeDocument/2006/relationships/oleObject" Target="embeddings/oleObject49.bin"/><Relationship Id="rId115" Type="http://schemas.openxmlformats.org/officeDocument/2006/relationships/oleObject" Target="embeddings/oleObject48.bin"/><Relationship Id="rId114" Type="http://schemas.openxmlformats.org/officeDocument/2006/relationships/image" Target="media/image38.png"/><Relationship Id="rId113" Type="http://schemas.openxmlformats.org/officeDocument/2006/relationships/image" Target="media/image37.wmf"/><Relationship Id="rId112" Type="http://schemas.openxmlformats.org/officeDocument/2006/relationships/oleObject" Target="embeddings/oleObject47.bin"/><Relationship Id="rId111" Type="http://schemas.openxmlformats.org/officeDocument/2006/relationships/image" Target="media/image36.wmf"/><Relationship Id="rId110" Type="http://schemas.openxmlformats.org/officeDocument/2006/relationships/oleObject" Target="embeddings/oleObject46.bin"/><Relationship Id="rId11" Type="http://schemas.openxmlformats.org/officeDocument/2006/relationships/footer" Target="footer3.xml"/><Relationship Id="rId109" Type="http://schemas.openxmlformats.org/officeDocument/2006/relationships/image" Target="media/image35.wmf"/><Relationship Id="rId108" Type="http://schemas.openxmlformats.org/officeDocument/2006/relationships/oleObject" Target="embeddings/oleObject45.bin"/><Relationship Id="rId107" Type="http://schemas.openxmlformats.org/officeDocument/2006/relationships/image" Target="media/image34.wmf"/><Relationship Id="rId106" Type="http://schemas.openxmlformats.org/officeDocument/2006/relationships/oleObject" Target="embeddings/oleObject44.bin"/><Relationship Id="rId105" Type="http://schemas.openxmlformats.org/officeDocument/2006/relationships/image" Target="media/image33.wmf"/><Relationship Id="rId104" Type="http://schemas.openxmlformats.org/officeDocument/2006/relationships/oleObject" Target="embeddings/oleObject43.bin"/><Relationship Id="rId103" Type="http://schemas.openxmlformats.org/officeDocument/2006/relationships/image" Target="media/image32.wmf"/><Relationship Id="rId102" Type="http://schemas.openxmlformats.org/officeDocument/2006/relationships/oleObject" Target="embeddings/oleObject42.bin"/><Relationship Id="rId101" Type="http://schemas.openxmlformats.org/officeDocument/2006/relationships/image" Target="media/image31.wmf"/><Relationship Id="rId100" Type="http://schemas.openxmlformats.org/officeDocument/2006/relationships/oleObject" Target="embeddings/oleObject41.bin"/><Relationship Id="rId10" Type="http://schemas.openxmlformats.org/officeDocument/2006/relationships/footer" Target="foot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K\Documents\&#33258;&#23450;&#20041;%20Office%20&#27169;&#26495;\&#35268;&#33539;&#32534;&#21046;.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05225E-55FC-469A-8698-BB3DBAB2BEC6}">
  <ds:schemaRefs/>
</ds:datastoreItem>
</file>

<file path=docProps/app.xml><?xml version="1.0" encoding="utf-8"?>
<Properties xmlns="http://schemas.openxmlformats.org/officeDocument/2006/extended-properties" xmlns:vt="http://schemas.openxmlformats.org/officeDocument/2006/docPropsVTypes">
  <Template>规范编制</Template>
  <Pages>251</Pages>
  <Words>127903</Words>
  <Characters>138553</Characters>
  <Lines>1119</Lines>
  <Paragraphs>315</Paragraphs>
  <TotalTime>3</TotalTime>
  <ScaleCrop>false</ScaleCrop>
  <LinksUpToDate>false</LinksUpToDate>
  <CharactersWithSpaces>141231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2022-05-06T00:59:00Z</dcterms:created>
  <dc:creator>steven</dc:creator>
  <cp:lastModifiedBy>龙猫</cp:lastModifiedBy>
  <cp:lastPrinted>2023-03-13T13:49:00Z</cp:lastPrinted>
  <dcterms:modified xsi:type="dcterms:W3CDTF">2023-10-17T01:16:50Z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049CE90D4E994F02856F1999CF313152</vt:lpwstr>
  </property>
  <property fmtid="{D5CDD505-2E9C-101B-9397-08002B2CF9AE}" pid="4" name="MTWinEqns">
    <vt:bool>true</vt:bool>
  </property>
</Properties>
</file>