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auto"/>
          <w:sz w:val="52"/>
          <w:szCs w:val="84"/>
        </w:rPr>
      </w:pPr>
      <w:bookmarkStart w:id="0" w:name="_Hlk512244031"/>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b/>
          <w:bCs/>
          <w:color w:val="auto"/>
          <w:sz w:val="52"/>
          <w:szCs w:val="84"/>
        </w:rPr>
      </w:pPr>
    </w:p>
    <w:p>
      <w:pPr>
        <w:jc w:val="right"/>
        <w:rPr>
          <w:color w:val="auto"/>
          <w:sz w:val="32"/>
          <w:szCs w:val="32"/>
        </w:rPr>
      </w:pPr>
      <w:r>
        <w:rPr>
          <w:b/>
          <w:bCs/>
          <w:color w:val="auto"/>
          <w:sz w:val="36"/>
          <w:szCs w:val="36"/>
        </w:rPr>
        <w:t xml:space="preserve">T/CECS </w:t>
      </w:r>
      <w:r>
        <w:rPr>
          <w:color w:val="auto"/>
          <w:sz w:val="36"/>
          <w:szCs w:val="36"/>
        </w:rPr>
        <w:t>XXX- 20</w:t>
      </w:r>
      <w:r>
        <w:rPr>
          <w:rFonts w:hint="eastAsia"/>
          <w:color w:val="auto"/>
          <w:sz w:val="36"/>
          <w:szCs w:val="36"/>
        </w:rPr>
        <w:t>23</w:t>
      </w:r>
    </w:p>
    <w:p>
      <w:pPr>
        <w:jc w:val="center"/>
        <w:rPr>
          <w:color w:val="auto"/>
          <w:szCs w:val="32"/>
        </w:rPr>
      </w:pPr>
      <w:r>
        <w:rPr>
          <w:color w:val="auto"/>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pPr>
        <w:widowControl/>
        <w:tabs>
          <w:tab w:val="left" w:pos="3510"/>
        </w:tabs>
        <w:jc w:val="left"/>
        <w:rPr>
          <w:rFonts w:ascii="宋体" w:hAnsi="宋体"/>
          <w:color w:val="auto"/>
        </w:rPr>
      </w:pPr>
    </w:p>
    <w:p>
      <w:pPr>
        <w:rPr>
          <w:color w:val="auto"/>
        </w:rPr>
      </w:pPr>
    </w:p>
    <w:p>
      <w:pPr>
        <w:spacing w:line="360" w:lineRule="auto"/>
        <w:ind w:firstLine="560" w:firstLineChars="200"/>
        <w:jc w:val="center"/>
        <w:outlineLvl w:val="0"/>
        <w:rPr>
          <w:b/>
          <w:bCs/>
          <w:color w:val="auto"/>
          <w:sz w:val="44"/>
          <w:szCs w:val="23"/>
        </w:rPr>
      </w:pPr>
      <w:bookmarkStart w:id="1" w:name="_Toc25526"/>
      <w:r>
        <w:rPr>
          <w:color w:val="auto"/>
          <w:sz w:val="28"/>
        </w:rPr>
        <w:t>中国工程建设标准化协会标准</w:t>
      </w:r>
      <w:bookmarkEnd w:id="1"/>
    </w:p>
    <w:p>
      <w:pPr>
        <w:pStyle w:val="47"/>
        <w:spacing w:line="360" w:lineRule="auto"/>
        <w:rPr>
          <w:rFonts w:eastAsia="宋体"/>
        </w:rPr>
      </w:pPr>
    </w:p>
    <w:p>
      <w:pPr>
        <w:pStyle w:val="46"/>
        <w:spacing w:line="360" w:lineRule="auto"/>
        <w:rPr>
          <w:rFonts w:eastAsia="宋体"/>
        </w:rPr>
      </w:pPr>
    </w:p>
    <w:p>
      <w:pPr>
        <w:pStyle w:val="45"/>
        <w:outlineLvl w:val="0"/>
      </w:pPr>
      <w:bookmarkStart w:id="2" w:name="_Toc11749"/>
      <w:r>
        <w:rPr>
          <w:rFonts w:hint="eastAsia"/>
        </w:rPr>
        <w:t>低碳办公建筑</w:t>
      </w:r>
      <w:r>
        <w:t>技术规程</w:t>
      </w:r>
      <w:bookmarkEnd w:id="2"/>
    </w:p>
    <w:p>
      <w:pPr>
        <w:pStyle w:val="45"/>
        <w:rPr>
          <w:rFonts w:eastAsia="宋体"/>
          <w:sz w:val="32"/>
          <w:szCs w:val="32"/>
        </w:rPr>
      </w:pPr>
      <w:r>
        <w:rPr>
          <w:rFonts w:eastAsia="宋体"/>
          <w:sz w:val="32"/>
          <w:szCs w:val="32"/>
        </w:rPr>
        <w:t>T</w:t>
      </w:r>
      <w:r>
        <w:rPr>
          <w:rFonts w:hint="eastAsia" w:eastAsia="宋体"/>
          <w:sz w:val="32"/>
          <w:szCs w:val="32"/>
        </w:rPr>
        <w:t>echnical specification for low carbon office building</w:t>
      </w:r>
    </w:p>
    <w:p>
      <w:pPr>
        <w:pStyle w:val="45"/>
        <w:rPr>
          <w:rFonts w:eastAsia="宋体"/>
          <w:sz w:val="32"/>
          <w:szCs w:val="32"/>
        </w:rPr>
      </w:pPr>
      <w:r>
        <w:rPr>
          <w:rFonts w:eastAsia="宋体"/>
          <w:sz w:val="32"/>
          <w:szCs w:val="32"/>
        </w:rPr>
        <w:t>（</w:t>
      </w:r>
      <w:r>
        <w:rPr>
          <w:rFonts w:hint="eastAsia" w:eastAsia="宋体"/>
          <w:sz w:val="32"/>
          <w:szCs w:val="32"/>
        </w:rPr>
        <w:t>征求意见稿</w:t>
      </w:r>
      <w:r>
        <w:rPr>
          <w:rFonts w:eastAsia="宋体"/>
          <w:sz w:val="32"/>
          <w:szCs w:val="32"/>
        </w:rPr>
        <w:t>）</w:t>
      </w:r>
    </w:p>
    <w:p>
      <w:pPr>
        <w:pStyle w:val="45"/>
        <w:rPr>
          <w:rFonts w:eastAsia="宋体"/>
        </w:rPr>
      </w:pPr>
    </w:p>
    <w:p>
      <w:pPr>
        <w:pStyle w:val="45"/>
        <w:rPr>
          <w:rFonts w:eastAsia="宋体"/>
        </w:rPr>
      </w:pPr>
    </w:p>
    <w:p>
      <w:pPr>
        <w:pStyle w:val="44"/>
        <w:spacing w:line="360" w:lineRule="auto"/>
        <w:rPr>
          <w:rFonts w:eastAsia="宋体" w:cs="Times New Roman"/>
        </w:rPr>
      </w:pPr>
    </w:p>
    <w:p>
      <w:pPr>
        <w:pStyle w:val="44"/>
        <w:spacing w:line="360" w:lineRule="auto"/>
        <w:rPr>
          <w:rFonts w:eastAsia="宋体" w:cs="Times New Roman"/>
          <w:color w:val="0000FF"/>
        </w:rPr>
      </w:pPr>
      <w:r>
        <w:rPr>
          <w:rFonts w:hint="eastAsia" w:asciiTheme="minorEastAsia" w:hAnsiTheme="minorEastAsia"/>
          <w:b/>
          <w:bCs/>
          <w:color w:val="0000FF"/>
          <w:sz w:val="24"/>
          <w:szCs w:val="24"/>
        </w:rPr>
        <w:t>在提交反馈意见时，请将您知道的相关专利连同支持性文件一并附上</w:t>
      </w:r>
    </w:p>
    <w:p>
      <w:pPr>
        <w:pStyle w:val="44"/>
        <w:spacing w:line="360" w:lineRule="auto"/>
        <w:rPr>
          <w:rFonts w:eastAsia="宋体" w:cs="Times New Roman"/>
        </w:rPr>
      </w:pPr>
    </w:p>
    <w:p>
      <w:pPr>
        <w:pStyle w:val="44"/>
        <w:spacing w:line="360" w:lineRule="auto"/>
        <w:jc w:val="both"/>
        <w:rPr>
          <w:rFonts w:eastAsia="宋体" w:cs="Times New Roman"/>
        </w:rPr>
      </w:pPr>
    </w:p>
    <w:p>
      <w:pPr>
        <w:pStyle w:val="44"/>
        <w:spacing w:line="360" w:lineRule="auto"/>
        <w:rPr>
          <w:rFonts w:eastAsia="宋体" w:cs="Times New Roman"/>
        </w:rPr>
      </w:pPr>
    </w:p>
    <w:p>
      <w:pPr>
        <w:pStyle w:val="44"/>
        <w:spacing w:line="360" w:lineRule="auto"/>
        <w:rPr>
          <w:rFonts w:eastAsia="宋体" w:cs="Times New Roman"/>
        </w:rPr>
      </w:pPr>
    </w:p>
    <w:p>
      <w:pPr>
        <w:rPr>
          <w:b/>
          <w:bCs/>
          <w:color w:val="auto"/>
          <w:sz w:val="52"/>
          <w:szCs w:val="84"/>
        </w:rPr>
      </w:pPr>
    </w:p>
    <w:p>
      <w:pPr>
        <w:rPr>
          <w:b/>
          <w:bCs/>
          <w:color w:val="auto"/>
          <w:sz w:val="52"/>
          <w:szCs w:val="84"/>
        </w:rPr>
      </w:pPr>
    </w:p>
    <w:p>
      <w:pPr>
        <w:pStyle w:val="44"/>
        <w:rPr>
          <w:rFonts w:ascii="微软雅黑" w:hAnsi="微软雅黑" w:eastAsia="微软雅黑"/>
          <w:bCs/>
          <w:kern w:val="44"/>
          <w:sz w:val="24"/>
        </w:rPr>
        <w:sectPr>
          <w:pgSz w:w="11906" w:h="16838"/>
          <w:pgMar w:top="1440" w:right="1800" w:bottom="1440" w:left="1800" w:header="851" w:footer="992" w:gutter="0"/>
          <w:cols w:space="720" w:num="1"/>
          <w:docGrid w:type="lines" w:linePitch="312" w:charSpace="0"/>
        </w:sectPr>
      </w:pPr>
      <w:r>
        <w:rPr>
          <w:rFonts w:eastAsia="宋体" w:cs="Times New Roman"/>
          <w:sz w:val="24"/>
          <w:szCs w:val="24"/>
        </w:rPr>
        <w:t>****</w:t>
      </w:r>
      <w:r>
        <w:rPr>
          <w:rFonts w:hint="eastAsia" w:eastAsia="宋体" w:cs="Times New Roman"/>
          <w:sz w:val="24"/>
          <w:szCs w:val="24"/>
        </w:rPr>
        <w:t>出版社</w:t>
      </w:r>
    </w:p>
    <w:p>
      <w:pPr>
        <w:widowControl/>
        <w:adjustRightInd w:val="0"/>
        <w:snapToGrid w:val="0"/>
        <w:spacing w:line="360" w:lineRule="auto"/>
        <w:rPr>
          <w:rFonts w:ascii="微软雅黑" w:hAnsi="微软雅黑" w:eastAsia="微软雅黑"/>
          <w:bCs/>
          <w:color w:val="auto"/>
          <w:kern w:val="44"/>
          <w:sz w:val="24"/>
        </w:rPr>
      </w:pPr>
    </w:p>
    <w:p>
      <w:pPr>
        <w:widowControl/>
        <w:adjustRightInd w:val="0"/>
        <w:snapToGrid w:val="0"/>
        <w:spacing w:line="360" w:lineRule="auto"/>
        <w:rPr>
          <w:rFonts w:ascii="微软雅黑" w:hAnsi="微软雅黑" w:eastAsia="微软雅黑"/>
          <w:bCs/>
          <w:color w:val="auto"/>
          <w:kern w:val="44"/>
          <w:sz w:val="24"/>
        </w:rPr>
      </w:pPr>
    </w:p>
    <w:p>
      <w:pPr>
        <w:widowControl/>
        <w:adjustRightInd w:val="0"/>
        <w:snapToGrid w:val="0"/>
        <w:spacing w:line="360" w:lineRule="auto"/>
        <w:rPr>
          <w:rFonts w:ascii="微软雅黑" w:hAnsi="微软雅黑" w:eastAsia="微软雅黑"/>
          <w:bCs/>
          <w:color w:val="auto"/>
          <w:kern w:val="44"/>
          <w:sz w:val="24"/>
        </w:rPr>
        <w:sectPr>
          <w:footerReference r:id="rId3" w:type="default"/>
          <w:type w:val="continuous"/>
          <w:pgSz w:w="11906" w:h="16838"/>
          <w:pgMar w:top="1440" w:right="1800" w:bottom="1440" w:left="1800" w:header="851" w:footer="992" w:gutter="0"/>
          <w:cols w:space="720" w:num="1"/>
          <w:docGrid w:type="lines" w:linePitch="312" w:charSpace="0"/>
        </w:sectPr>
      </w:pPr>
    </w:p>
    <w:p>
      <w:pPr>
        <w:spacing w:line="360" w:lineRule="auto"/>
        <w:rPr>
          <w:color w:val="auto"/>
          <w:sz w:val="28"/>
          <w:szCs w:val="22"/>
        </w:rPr>
      </w:pPr>
    </w:p>
    <w:p>
      <w:pPr>
        <w:spacing w:line="360" w:lineRule="auto"/>
        <w:jc w:val="center"/>
        <w:rPr>
          <w:color w:val="auto"/>
          <w:sz w:val="28"/>
          <w:szCs w:val="22"/>
        </w:rPr>
      </w:pPr>
    </w:p>
    <w:p>
      <w:pPr>
        <w:spacing w:line="360" w:lineRule="auto"/>
        <w:jc w:val="center"/>
        <w:outlineLvl w:val="0"/>
        <w:rPr>
          <w:color w:val="auto"/>
          <w:sz w:val="28"/>
          <w:szCs w:val="22"/>
        </w:rPr>
      </w:pPr>
      <w:bookmarkStart w:id="3" w:name="_Toc24725"/>
      <w:r>
        <w:rPr>
          <w:color w:val="auto"/>
          <w:sz w:val="28"/>
          <w:szCs w:val="22"/>
        </w:rPr>
        <w:t>中国工程建设标准化协会标准</w:t>
      </w:r>
      <w:bookmarkEnd w:id="3"/>
    </w:p>
    <w:p>
      <w:pPr>
        <w:spacing w:line="360" w:lineRule="auto"/>
        <w:jc w:val="center"/>
        <w:rPr>
          <w:color w:val="auto"/>
          <w:sz w:val="28"/>
          <w:szCs w:val="28"/>
        </w:rPr>
      </w:pPr>
    </w:p>
    <w:p>
      <w:pPr>
        <w:pStyle w:val="45"/>
        <w:outlineLvl w:val="0"/>
      </w:pPr>
      <w:bookmarkStart w:id="4" w:name="_Toc26040"/>
      <w:r>
        <w:rPr>
          <w:rFonts w:hint="eastAsia"/>
        </w:rPr>
        <w:t>低碳办公建筑</w:t>
      </w:r>
      <w:r>
        <w:t>技术规程</w:t>
      </w:r>
      <w:bookmarkEnd w:id="4"/>
    </w:p>
    <w:p>
      <w:pPr>
        <w:pStyle w:val="45"/>
        <w:rPr>
          <w:rFonts w:eastAsia="宋体"/>
          <w:sz w:val="32"/>
          <w:szCs w:val="32"/>
        </w:rPr>
      </w:pPr>
      <w:r>
        <w:rPr>
          <w:rFonts w:eastAsia="宋体"/>
          <w:sz w:val="32"/>
          <w:szCs w:val="32"/>
        </w:rPr>
        <w:t>T</w:t>
      </w:r>
      <w:r>
        <w:rPr>
          <w:rFonts w:hint="eastAsia" w:eastAsia="宋体"/>
          <w:sz w:val="32"/>
          <w:szCs w:val="32"/>
        </w:rPr>
        <w:t>echnical specification for low carbon office building</w:t>
      </w:r>
    </w:p>
    <w:p>
      <w:pPr>
        <w:spacing w:line="360" w:lineRule="auto"/>
        <w:jc w:val="center"/>
        <w:rPr>
          <w:color w:val="auto"/>
          <w:sz w:val="24"/>
          <w:szCs w:val="22"/>
        </w:rPr>
      </w:pPr>
    </w:p>
    <w:p>
      <w:pPr>
        <w:spacing w:line="360" w:lineRule="auto"/>
        <w:jc w:val="center"/>
        <w:outlineLvl w:val="0"/>
        <w:rPr>
          <w:b/>
          <w:color w:val="auto"/>
          <w:sz w:val="24"/>
        </w:rPr>
      </w:pPr>
      <w:bookmarkStart w:id="5" w:name="_Toc19435"/>
      <w:r>
        <w:rPr>
          <w:b/>
          <w:color w:val="auto"/>
          <w:sz w:val="24"/>
        </w:rPr>
        <w:t>T/CECS *** -20</w:t>
      </w:r>
      <w:bookmarkEnd w:id="5"/>
      <w:r>
        <w:rPr>
          <w:rFonts w:hint="eastAsia"/>
          <w:b/>
          <w:color w:val="auto"/>
          <w:sz w:val="24"/>
        </w:rPr>
        <w:t>23</w:t>
      </w:r>
    </w:p>
    <w:p>
      <w:pPr>
        <w:spacing w:line="360" w:lineRule="auto"/>
        <w:jc w:val="center"/>
        <w:rPr>
          <w:b/>
          <w:color w:val="auto"/>
          <w:sz w:val="24"/>
          <w:szCs w:val="22"/>
        </w:rPr>
      </w:pPr>
    </w:p>
    <w:p>
      <w:pPr>
        <w:spacing w:line="360" w:lineRule="auto"/>
        <w:ind w:firstLine="2880" w:firstLineChars="1200"/>
        <w:rPr>
          <w:color w:val="auto"/>
          <w:sz w:val="24"/>
          <w:szCs w:val="22"/>
        </w:rPr>
      </w:pPr>
    </w:p>
    <w:p>
      <w:pPr>
        <w:spacing w:line="360" w:lineRule="auto"/>
        <w:ind w:firstLine="2880" w:firstLineChars="1200"/>
        <w:rPr>
          <w:color w:val="auto"/>
          <w:sz w:val="24"/>
          <w:szCs w:val="22"/>
        </w:rPr>
      </w:pPr>
    </w:p>
    <w:p>
      <w:pPr>
        <w:spacing w:line="360" w:lineRule="auto"/>
        <w:ind w:firstLine="2880" w:firstLineChars="1200"/>
        <w:rPr>
          <w:color w:val="auto"/>
          <w:sz w:val="24"/>
          <w:szCs w:val="22"/>
        </w:rPr>
      </w:pPr>
    </w:p>
    <w:p>
      <w:pPr>
        <w:spacing w:line="360" w:lineRule="auto"/>
        <w:ind w:firstLine="2880" w:firstLineChars="1200"/>
        <w:rPr>
          <w:color w:val="auto"/>
          <w:sz w:val="24"/>
          <w:szCs w:val="22"/>
        </w:rPr>
      </w:pPr>
    </w:p>
    <w:p>
      <w:pPr>
        <w:spacing w:line="360" w:lineRule="auto"/>
        <w:ind w:firstLine="2520" w:firstLineChars="1200"/>
        <w:rPr>
          <w:color w:val="auto"/>
        </w:rPr>
      </w:pPr>
      <w:r>
        <w:rPr>
          <w:color w:val="auto"/>
        </w:rPr>
        <w:t>主编单位：</w:t>
      </w:r>
      <w:r>
        <w:rPr>
          <w:rFonts w:hint="eastAsia"/>
          <w:color w:val="auto"/>
        </w:rPr>
        <w:t>中海企业发展集团有限公司</w:t>
      </w:r>
    </w:p>
    <w:p>
      <w:pPr>
        <w:spacing w:line="360" w:lineRule="auto"/>
        <w:ind w:left="840" w:firstLine="2520" w:firstLineChars="1200"/>
        <w:rPr>
          <w:color w:val="auto"/>
        </w:rPr>
      </w:pPr>
      <w:r>
        <w:rPr>
          <w:rFonts w:hint="eastAsia"/>
          <w:color w:val="auto"/>
        </w:rPr>
        <w:t xml:space="preserve">    中国建筑科学研究院有限公司</w:t>
      </w:r>
    </w:p>
    <w:p>
      <w:pPr>
        <w:spacing w:line="360" w:lineRule="auto"/>
        <w:ind w:firstLine="2520" w:firstLineChars="1200"/>
        <w:rPr>
          <w:color w:val="auto"/>
        </w:rPr>
      </w:pPr>
      <w:r>
        <w:rPr>
          <w:color w:val="auto"/>
        </w:rPr>
        <w:t>批准单位：中国工程建设标准化协会</w:t>
      </w:r>
    </w:p>
    <w:p>
      <w:pPr>
        <w:spacing w:line="360" w:lineRule="auto"/>
        <w:ind w:firstLine="2520" w:firstLineChars="1200"/>
        <w:rPr>
          <w:color w:val="auto"/>
        </w:rPr>
      </w:pPr>
      <w:r>
        <w:rPr>
          <w:color w:val="auto"/>
        </w:rPr>
        <w:t>施行日期：20XX年××月××日</w:t>
      </w: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rPr>
      </w:pPr>
      <w:r>
        <w:rPr>
          <w:rFonts w:hint="eastAsia"/>
          <w:color w:val="auto"/>
        </w:rPr>
        <w:t>XXXX出版社</w:t>
      </w:r>
    </w:p>
    <w:p>
      <w:pPr>
        <w:widowControl/>
        <w:adjustRightInd w:val="0"/>
        <w:snapToGrid w:val="0"/>
        <w:spacing w:line="360" w:lineRule="auto"/>
        <w:jc w:val="center"/>
        <w:outlineLvl w:val="0"/>
        <w:rPr>
          <w:rFonts w:ascii="宋体" w:hAnsi="宋体" w:cs="宋体"/>
          <w:b/>
          <w:color w:val="auto"/>
          <w:kern w:val="44"/>
          <w:sz w:val="28"/>
        </w:rPr>
      </w:pPr>
      <w:bookmarkStart w:id="6" w:name="_Toc4334"/>
      <w:r>
        <w:rPr>
          <w:rFonts w:hint="eastAsia"/>
          <w:color w:val="auto"/>
          <w:sz w:val="24"/>
          <w:szCs w:val="22"/>
        </w:rPr>
        <w:t>2</w:t>
      </w:r>
      <w:r>
        <w:rPr>
          <w:color w:val="auto"/>
          <w:sz w:val="24"/>
          <w:szCs w:val="22"/>
        </w:rPr>
        <w:t>0</w:t>
      </w:r>
      <w:r>
        <w:rPr>
          <w:color w:val="auto"/>
        </w:rPr>
        <w:t>XX</w:t>
      </w:r>
      <w:r>
        <w:rPr>
          <w:color w:val="auto"/>
          <w:sz w:val="24"/>
          <w:szCs w:val="22"/>
        </w:rPr>
        <w:t xml:space="preserve"> </w:t>
      </w:r>
      <w:r>
        <w:rPr>
          <w:rFonts w:hint="eastAsia"/>
          <w:color w:val="auto"/>
          <w:sz w:val="24"/>
          <w:szCs w:val="22"/>
        </w:rPr>
        <w:t>北京</w:t>
      </w:r>
      <w:bookmarkEnd w:id="6"/>
    </w:p>
    <w:p>
      <w:pPr>
        <w:widowControl/>
        <w:jc w:val="left"/>
        <w:rPr>
          <w:rFonts w:ascii="宋体" w:hAnsi="宋体" w:cs="宋体"/>
          <w:b/>
          <w:color w:val="auto"/>
          <w:kern w:val="44"/>
          <w:sz w:val="28"/>
        </w:rPr>
      </w:pPr>
      <w:r>
        <w:rPr>
          <w:rFonts w:ascii="宋体" w:hAnsi="宋体" w:cs="宋体"/>
          <w:b/>
          <w:color w:val="auto"/>
          <w:kern w:val="44"/>
          <w:sz w:val="28"/>
        </w:rPr>
        <w:br w:type="page"/>
      </w:r>
    </w:p>
    <w:p>
      <w:pPr>
        <w:widowControl/>
        <w:adjustRightInd w:val="0"/>
        <w:snapToGrid w:val="0"/>
        <w:spacing w:line="360" w:lineRule="auto"/>
        <w:jc w:val="center"/>
        <w:rPr>
          <w:rFonts w:ascii="宋体" w:hAnsi="宋体" w:cs="宋体"/>
          <w:b/>
          <w:color w:val="auto"/>
          <w:kern w:val="44"/>
          <w:sz w:val="28"/>
        </w:rPr>
        <w:sectPr>
          <w:footerReference r:id="rId4" w:type="default"/>
          <w:type w:val="continuous"/>
          <w:pgSz w:w="11906" w:h="16838"/>
          <w:pgMar w:top="1440" w:right="1800" w:bottom="1440" w:left="1800" w:header="851" w:footer="992" w:gutter="0"/>
          <w:cols w:space="720" w:num="1"/>
          <w:docGrid w:type="lines" w:linePitch="312" w:charSpace="0"/>
        </w:sectPr>
      </w:pPr>
    </w:p>
    <w:bookmarkEnd w:id="0"/>
    <w:p>
      <w:pPr>
        <w:widowControl/>
        <w:adjustRightInd w:val="0"/>
        <w:snapToGrid w:val="0"/>
        <w:spacing w:line="360" w:lineRule="auto"/>
        <w:jc w:val="center"/>
        <w:outlineLvl w:val="1"/>
        <w:rPr>
          <w:rFonts w:ascii="宋体" w:hAnsi="宋体" w:cs="宋体"/>
          <w:b/>
          <w:color w:val="auto"/>
          <w:kern w:val="2"/>
          <w:sz w:val="24"/>
          <w:szCs w:val="24"/>
        </w:rPr>
      </w:pPr>
      <w:bookmarkStart w:id="7" w:name="_Toc4539"/>
      <w:r>
        <w:rPr>
          <w:rFonts w:hint="eastAsia" w:ascii="宋体" w:hAnsi="宋体" w:cs="宋体"/>
          <w:b/>
          <w:color w:val="auto"/>
          <w:kern w:val="44"/>
          <w:sz w:val="28"/>
          <w:szCs w:val="24"/>
        </w:rPr>
        <w:t>前  言</w:t>
      </w:r>
      <w:bookmarkEnd w:id="7"/>
    </w:p>
    <w:p>
      <w:pPr>
        <w:pStyle w:val="30"/>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根据中国工程建设标准化协会</w:t>
      </w:r>
      <w:r>
        <w:rPr>
          <w:rFonts w:hint="eastAsia" w:ascii="Times New Roman" w:hAnsi="Times New Roman" w:cs="Times New Roman"/>
          <w:color w:val="auto"/>
        </w:rPr>
        <w:t>《</w:t>
      </w:r>
      <w:r>
        <w:rPr>
          <w:rFonts w:ascii="Times New Roman" w:hAnsi="Times New Roman" w:cs="Times New Roman"/>
          <w:color w:val="auto"/>
        </w:rPr>
        <w:t>关于印发</w:t>
      </w:r>
      <w:r>
        <w:rPr>
          <w:rFonts w:hint="eastAsia" w:ascii="Times New Roman" w:hAnsi="Times New Roman" w:cs="Times New Roman"/>
          <w:color w:val="auto"/>
        </w:rPr>
        <w:t>&lt;</w:t>
      </w:r>
      <w:r>
        <w:rPr>
          <w:rFonts w:ascii="Times New Roman" w:hAnsi="Times New Roman" w:cs="Times New Roman"/>
          <w:color w:val="auto"/>
        </w:rPr>
        <w:t>20</w:t>
      </w:r>
      <w:r>
        <w:rPr>
          <w:rFonts w:hint="eastAsia" w:ascii="Times New Roman" w:hAnsi="Times New Roman" w:cs="Times New Roman"/>
          <w:color w:val="auto"/>
        </w:rPr>
        <w:t>21</w:t>
      </w:r>
      <w:r>
        <w:rPr>
          <w:rFonts w:ascii="Times New Roman" w:hAnsi="Times New Roman" w:cs="Times New Roman"/>
          <w:color w:val="auto"/>
        </w:rPr>
        <w:t>年第</w:t>
      </w:r>
      <w:r>
        <w:rPr>
          <w:rFonts w:hint="eastAsia" w:ascii="Times New Roman" w:hAnsi="Times New Roman" w:cs="Times New Roman"/>
          <w:color w:val="auto"/>
        </w:rPr>
        <w:t>二</w:t>
      </w:r>
      <w:r>
        <w:rPr>
          <w:rFonts w:ascii="Times New Roman" w:hAnsi="Times New Roman" w:cs="Times New Roman"/>
          <w:color w:val="auto"/>
        </w:rPr>
        <w:t>批协会标准制订、修订计划</w:t>
      </w:r>
      <w:r>
        <w:rPr>
          <w:rFonts w:hint="eastAsia" w:ascii="Times New Roman" w:hAnsi="Times New Roman" w:cs="Times New Roman"/>
          <w:color w:val="auto"/>
        </w:rPr>
        <w:t>&gt;</w:t>
      </w:r>
      <w:r>
        <w:rPr>
          <w:rFonts w:ascii="Times New Roman" w:hAnsi="Times New Roman" w:cs="Times New Roman"/>
          <w:color w:val="auto"/>
        </w:rPr>
        <w:t>的通知》（建标协字[20</w:t>
      </w:r>
      <w:r>
        <w:rPr>
          <w:rFonts w:hint="eastAsia" w:ascii="Times New Roman" w:hAnsi="Times New Roman" w:cs="Times New Roman"/>
          <w:color w:val="auto"/>
        </w:rPr>
        <w:t>21</w:t>
      </w:r>
      <w:r>
        <w:rPr>
          <w:rFonts w:ascii="Times New Roman" w:hAnsi="Times New Roman" w:cs="Times New Roman"/>
          <w:color w:val="auto"/>
        </w:rPr>
        <w:t>]</w:t>
      </w:r>
      <w:r>
        <w:rPr>
          <w:rFonts w:hint="eastAsia" w:ascii="Times New Roman" w:hAnsi="Times New Roman" w:cs="Times New Roman"/>
          <w:color w:val="auto"/>
        </w:rPr>
        <w:t>第20</w:t>
      </w:r>
      <w:r>
        <w:rPr>
          <w:rFonts w:ascii="Times New Roman" w:hAnsi="Times New Roman" w:cs="Times New Roman"/>
          <w:color w:val="auto"/>
        </w:rPr>
        <w:t>号）的要求，编制组经</w:t>
      </w:r>
      <w:r>
        <w:rPr>
          <w:rFonts w:hint="eastAsia" w:ascii="宋体" w:hAnsi="宋体"/>
          <w:color w:val="auto"/>
        </w:rPr>
        <w:t>深入</w:t>
      </w:r>
      <w:r>
        <w:rPr>
          <w:rFonts w:ascii="Times New Roman" w:hAnsi="Times New Roman" w:cs="Times New Roman"/>
          <w:color w:val="auto"/>
        </w:rPr>
        <w:t>调</w:t>
      </w:r>
      <w:r>
        <w:rPr>
          <w:rFonts w:hint="eastAsia" w:ascii="Times New Roman" w:hAnsi="Times New Roman" w:cs="Times New Roman"/>
          <w:color w:val="auto"/>
        </w:rPr>
        <w:t>查</w:t>
      </w:r>
      <w:r>
        <w:rPr>
          <w:rFonts w:ascii="Times New Roman" w:hAnsi="Times New Roman" w:cs="Times New Roman"/>
          <w:color w:val="auto"/>
        </w:rPr>
        <w:t>研</w:t>
      </w:r>
      <w:r>
        <w:rPr>
          <w:rFonts w:hint="eastAsia" w:ascii="Times New Roman" w:hAnsi="Times New Roman" w:cs="Times New Roman"/>
          <w:color w:val="auto"/>
        </w:rPr>
        <w:t>究</w:t>
      </w:r>
      <w:r>
        <w:rPr>
          <w:rFonts w:ascii="Times New Roman" w:hAnsi="Times New Roman" w:cs="Times New Roman"/>
          <w:color w:val="auto"/>
        </w:rPr>
        <w:t>，认真总结</w:t>
      </w:r>
      <w:r>
        <w:rPr>
          <w:rFonts w:hint="eastAsia" w:ascii="Times New Roman" w:hAnsi="Times New Roman" w:cs="Times New Roman"/>
          <w:color w:val="auto"/>
        </w:rPr>
        <w:t>实践</w:t>
      </w:r>
      <w:r>
        <w:rPr>
          <w:rFonts w:ascii="Times New Roman" w:hAnsi="Times New Roman" w:cs="Times New Roman"/>
          <w:color w:val="auto"/>
        </w:rPr>
        <w:t>经验，</w:t>
      </w:r>
      <w:r>
        <w:rPr>
          <w:rFonts w:hint="eastAsia" w:ascii="宋体" w:hAnsi="宋体"/>
          <w:color w:val="auto"/>
        </w:rPr>
        <w:t>参考</w:t>
      </w:r>
      <w:r>
        <w:rPr>
          <w:rFonts w:hint="eastAsia" w:ascii="Times New Roman" w:hAnsi="Times New Roman" w:cs="Times New Roman"/>
          <w:color w:val="auto"/>
        </w:rPr>
        <w:t>有关</w:t>
      </w:r>
      <w:r>
        <w:rPr>
          <w:rFonts w:hint="eastAsia" w:ascii="宋体" w:hAnsi="宋体"/>
          <w:color w:val="auto"/>
        </w:rPr>
        <w:t>国内外先进标准，</w:t>
      </w:r>
      <w:r>
        <w:rPr>
          <w:rFonts w:ascii="Times New Roman" w:hAnsi="Times New Roman" w:cs="Times New Roman"/>
          <w:color w:val="auto"/>
        </w:rPr>
        <w:t>并在广泛征求意见的基础上，</w:t>
      </w:r>
      <w:r>
        <w:rPr>
          <w:rFonts w:hint="eastAsia" w:ascii="Times New Roman" w:hAnsi="Times New Roman" w:cs="Times New Roman"/>
          <w:color w:val="auto"/>
        </w:rPr>
        <w:t>制定</w:t>
      </w:r>
      <w:r>
        <w:rPr>
          <w:rFonts w:ascii="Times New Roman" w:hAnsi="Times New Roman" w:cs="Times New Roman"/>
          <w:color w:val="auto"/>
        </w:rPr>
        <w:t>本</w:t>
      </w:r>
      <w:r>
        <w:rPr>
          <w:rFonts w:hint="eastAsia" w:ascii="Times New Roman" w:hAnsi="Times New Roman" w:cs="Times New Roman"/>
          <w:color w:val="auto"/>
        </w:rPr>
        <w:t>规程</w:t>
      </w:r>
      <w:r>
        <w:rPr>
          <w:rFonts w:ascii="Times New Roman" w:hAnsi="Times New Roman" w:cs="Times New Roman"/>
          <w:color w:val="auto"/>
        </w:rPr>
        <w:t xml:space="preserve">。 </w:t>
      </w:r>
    </w:p>
    <w:p>
      <w:pPr>
        <w:spacing w:line="360" w:lineRule="auto"/>
        <w:ind w:firstLine="480" w:firstLineChars="200"/>
        <w:rPr>
          <w:color w:val="auto"/>
          <w:sz w:val="24"/>
          <w:szCs w:val="24"/>
        </w:rPr>
      </w:pPr>
      <w:r>
        <w:rPr>
          <w:color w:val="auto"/>
          <w:sz w:val="24"/>
          <w:szCs w:val="24"/>
        </w:rPr>
        <w:t>本</w:t>
      </w:r>
      <w:r>
        <w:rPr>
          <w:rFonts w:hint="eastAsia"/>
          <w:color w:val="auto"/>
          <w:sz w:val="24"/>
          <w:szCs w:val="24"/>
        </w:rPr>
        <w:t>规程</w:t>
      </w:r>
      <w:r>
        <w:rPr>
          <w:color w:val="auto"/>
          <w:sz w:val="24"/>
          <w:szCs w:val="24"/>
        </w:rPr>
        <w:t>共分</w:t>
      </w:r>
      <w:r>
        <w:rPr>
          <w:rFonts w:hint="eastAsia"/>
          <w:color w:val="auto"/>
          <w:sz w:val="24"/>
          <w:szCs w:val="24"/>
        </w:rPr>
        <w:t>9</w:t>
      </w:r>
      <w:r>
        <w:rPr>
          <w:color w:val="auto"/>
          <w:sz w:val="24"/>
          <w:szCs w:val="24"/>
        </w:rPr>
        <w:t>章和</w:t>
      </w:r>
      <w:r>
        <w:rPr>
          <w:rFonts w:hint="eastAsia"/>
          <w:color w:val="auto"/>
          <w:sz w:val="24"/>
          <w:szCs w:val="24"/>
        </w:rPr>
        <w:t>1个附录，</w:t>
      </w:r>
      <w:r>
        <w:rPr>
          <w:color w:val="auto"/>
          <w:sz w:val="24"/>
          <w:szCs w:val="24"/>
        </w:rPr>
        <w:t>主要内容</w:t>
      </w:r>
      <w:r>
        <w:rPr>
          <w:rFonts w:hint="eastAsia"/>
          <w:color w:val="auto"/>
          <w:sz w:val="24"/>
          <w:szCs w:val="24"/>
        </w:rPr>
        <w:t>包括</w:t>
      </w:r>
      <w:r>
        <w:rPr>
          <w:color w:val="auto"/>
          <w:sz w:val="24"/>
          <w:szCs w:val="24"/>
        </w:rPr>
        <w:t>：</w:t>
      </w:r>
      <w:r>
        <w:rPr>
          <w:rFonts w:hint="eastAsia"/>
          <w:color w:val="auto"/>
          <w:sz w:val="24"/>
          <w:szCs w:val="24"/>
          <w:lang w:val="en-US" w:eastAsia="zh-CN"/>
        </w:rPr>
        <w:t>总则、术语、基本规定、技术指标、全过程碳性能目标控制方法、低碳建筑规划设计、低碳能源系统设计、低碳建造、低碳运行</w:t>
      </w:r>
      <w:r>
        <w:rPr>
          <w:rFonts w:hint="eastAsia"/>
          <w:color w:val="auto"/>
          <w:sz w:val="24"/>
          <w:szCs w:val="24"/>
        </w:rPr>
        <w:t>等。</w:t>
      </w:r>
      <w:bookmarkStart w:id="180" w:name="_GoBack"/>
      <w:bookmarkEnd w:id="180"/>
    </w:p>
    <w:p>
      <w:pPr>
        <w:spacing w:line="360" w:lineRule="auto"/>
        <w:ind w:firstLine="480" w:firstLineChars="200"/>
        <w:rPr>
          <w:color w:val="auto"/>
          <w:sz w:val="24"/>
          <w:szCs w:val="24"/>
        </w:rPr>
      </w:pPr>
      <w:r>
        <w:rPr>
          <w:rFonts w:hint="eastAsia"/>
          <w:color w:val="auto"/>
          <w:sz w:val="24"/>
          <w:szCs w:val="24"/>
        </w:rPr>
        <w:t>本规程的某些内容可能直接或间接涉及专利，本规程的发布机构不承担识别这些专利的责任。</w:t>
      </w:r>
    </w:p>
    <w:p>
      <w:pPr>
        <w:spacing w:line="360" w:lineRule="auto"/>
        <w:ind w:firstLine="480" w:firstLineChars="200"/>
        <w:rPr>
          <w:rFonts w:ascii="Calibri" w:hAnsi="Calibri" w:cs="Calibri"/>
          <w:color w:val="auto"/>
          <w:sz w:val="24"/>
          <w:szCs w:val="24"/>
        </w:rPr>
      </w:pPr>
      <w:r>
        <w:rPr>
          <w:rFonts w:hint="eastAsia"/>
          <w:color w:val="auto"/>
          <w:sz w:val="24"/>
          <w:szCs w:val="24"/>
        </w:rPr>
        <w:t>本规程由中国工程建设标准化协会</w:t>
      </w:r>
      <w:r>
        <w:rPr>
          <w:rFonts w:hint="eastAsia" w:ascii="宋体" w:cs="宋体" w:hAnsiTheme="minorHAnsi"/>
          <w:color w:val="auto"/>
          <w:sz w:val="24"/>
        </w:rPr>
        <w:t>建筑环境与节能专业委员会</w:t>
      </w:r>
      <w:r>
        <w:rPr>
          <w:rFonts w:hint="eastAsia"/>
          <w:color w:val="auto"/>
          <w:sz w:val="24"/>
          <w:szCs w:val="24"/>
        </w:rPr>
        <w:t>归口管理，</w:t>
      </w:r>
      <w:r>
        <w:rPr>
          <w:color w:val="auto"/>
          <w:sz w:val="24"/>
          <w:szCs w:val="24"/>
        </w:rPr>
        <w:t>由</w:t>
      </w:r>
      <w:r>
        <w:rPr>
          <w:rFonts w:hint="eastAsia"/>
          <w:color w:val="auto"/>
          <w:sz w:val="24"/>
          <w:szCs w:val="24"/>
        </w:rPr>
        <w:t>中海企业发展集团有限公司</w:t>
      </w:r>
      <w:r>
        <w:rPr>
          <w:rFonts w:hint="eastAsia"/>
          <w:color w:val="auto"/>
          <w:sz w:val="24"/>
          <w:szCs w:val="24"/>
          <w:lang w:val="en-US" w:eastAsia="zh-CN"/>
        </w:rPr>
        <w:t>和中国建筑科学研究院有限公司</w:t>
      </w:r>
      <w:r>
        <w:rPr>
          <w:color w:val="auto"/>
          <w:sz w:val="24"/>
          <w:szCs w:val="24"/>
        </w:rPr>
        <w:t>负责具体技术内容的解释。执行过程中</w:t>
      </w:r>
      <w:r>
        <w:rPr>
          <w:rFonts w:hint="eastAsia"/>
          <w:color w:val="auto"/>
          <w:sz w:val="24"/>
          <w:szCs w:val="24"/>
        </w:rPr>
        <w:t>，</w:t>
      </w:r>
      <w:r>
        <w:rPr>
          <w:color w:val="auto"/>
          <w:sz w:val="24"/>
          <w:szCs w:val="24"/>
        </w:rPr>
        <w:t>如有意见或建议，请</w:t>
      </w:r>
      <w:r>
        <w:rPr>
          <w:rFonts w:hint="eastAsia"/>
          <w:color w:val="auto"/>
          <w:sz w:val="24"/>
          <w:szCs w:val="24"/>
        </w:rPr>
        <w:t>反馈给</w:t>
      </w:r>
      <w:r>
        <w:rPr>
          <w:rFonts w:hint="eastAsia"/>
          <w:color w:val="auto"/>
          <w:sz w:val="24"/>
          <w:szCs w:val="24"/>
          <w:lang w:val="en-US" w:eastAsia="zh-CN"/>
        </w:rPr>
        <w:t>中海企业发展集团有限公司</w:t>
      </w:r>
      <w:r>
        <w:rPr>
          <w:color w:val="auto"/>
          <w:sz w:val="24"/>
          <w:szCs w:val="24"/>
        </w:rPr>
        <w:t>（地址：</w:t>
      </w:r>
      <w:r>
        <w:rPr>
          <w:rFonts w:hint="eastAsia"/>
          <w:color w:val="auto"/>
          <w:sz w:val="24"/>
          <w:szCs w:val="24"/>
          <w:lang w:val="en-US" w:eastAsia="zh-CN"/>
        </w:rPr>
        <w:t>深圳市福田区福华路399号中海大厦</w:t>
      </w:r>
      <w:r>
        <w:rPr>
          <w:color w:val="auto"/>
          <w:sz w:val="24"/>
          <w:szCs w:val="24"/>
        </w:rPr>
        <w:t>，邮政编码：</w:t>
      </w:r>
      <w:r>
        <w:rPr>
          <w:rFonts w:hint="eastAsia"/>
          <w:color w:val="auto"/>
          <w:sz w:val="24"/>
          <w:szCs w:val="24"/>
          <w:lang w:val="en-US" w:eastAsia="zh-CN"/>
        </w:rPr>
        <w:t>518046</w:t>
      </w:r>
      <w:r>
        <w:rPr>
          <w:rFonts w:hint="eastAsia"/>
          <w:color w:val="auto"/>
          <w:sz w:val="24"/>
          <w:szCs w:val="24"/>
        </w:rPr>
        <w:t>，邮箱：jiangyi01@cohl.com</w:t>
      </w:r>
      <w:r>
        <w:rPr>
          <w:color w:val="auto"/>
          <w:sz w:val="24"/>
          <w:szCs w:val="24"/>
        </w:rPr>
        <w:t>）</w:t>
      </w:r>
      <w:r>
        <w:rPr>
          <w:rFonts w:hint="eastAsia" w:ascii="Calibri" w:hAnsi="Calibri" w:cs="Calibri"/>
          <w:color w:val="auto"/>
          <w:sz w:val="24"/>
          <w:szCs w:val="24"/>
        </w:rPr>
        <w:t>。</w:t>
      </w:r>
    </w:p>
    <w:p>
      <w:pPr>
        <w:spacing w:line="360" w:lineRule="auto"/>
        <w:ind w:firstLine="480" w:firstLineChars="200"/>
        <w:rPr>
          <w:color w:val="auto"/>
          <w:sz w:val="24"/>
          <w:szCs w:val="24"/>
        </w:rPr>
      </w:pPr>
      <w:r>
        <w:rPr>
          <w:rFonts w:hint="eastAsia"/>
          <w:color w:val="auto"/>
          <w:sz w:val="24"/>
          <w:szCs w:val="24"/>
        </w:rPr>
        <w:t>主编单位：中海企业发展集团有限公司</w:t>
      </w:r>
    </w:p>
    <w:p>
      <w:pPr>
        <w:spacing w:line="360" w:lineRule="auto"/>
        <w:ind w:left="1260" w:firstLine="420"/>
        <w:rPr>
          <w:color w:val="auto"/>
          <w:sz w:val="24"/>
          <w:szCs w:val="24"/>
        </w:rPr>
      </w:pPr>
      <w:r>
        <w:rPr>
          <w:rFonts w:hint="eastAsia"/>
          <w:color w:val="auto"/>
          <w:sz w:val="24"/>
          <w:szCs w:val="24"/>
        </w:rPr>
        <w:t>中国建筑科学研究院有限公司</w:t>
      </w:r>
    </w:p>
    <w:p>
      <w:pPr>
        <w:spacing w:line="360" w:lineRule="auto"/>
        <w:ind w:firstLine="480" w:firstLineChars="200"/>
        <w:rPr>
          <w:color w:val="auto"/>
          <w:sz w:val="24"/>
          <w:szCs w:val="24"/>
        </w:rPr>
      </w:pPr>
      <w:r>
        <w:rPr>
          <w:rFonts w:hint="eastAsia"/>
          <w:color w:val="auto"/>
          <w:sz w:val="24"/>
          <w:szCs w:val="24"/>
        </w:rPr>
        <w:t>参编单位：</w:t>
      </w:r>
    </w:p>
    <w:p>
      <w:pPr>
        <w:spacing w:line="360" w:lineRule="auto"/>
        <w:ind w:firstLine="480" w:firstLineChars="200"/>
        <w:rPr>
          <w:color w:val="auto"/>
          <w:sz w:val="24"/>
          <w:szCs w:val="24"/>
        </w:rPr>
      </w:pPr>
      <w:r>
        <w:rPr>
          <w:rFonts w:hint="eastAsia"/>
          <w:color w:val="auto"/>
          <w:sz w:val="24"/>
          <w:szCs w:val="24"/>
        </w:rPr>
        <w:t>主要起草人：</w:t>
      </w:r>
    </w:p>
    <w:p>
      <w:pPr>
        <w:spacing w:line="360" w:lineRule="auto"/>
        <w:ind w:firstLine="480" w:firstLineChars="200"/>
        <w:rPr>
          <w:rFonts w:ascii="宋体" w:hAnsi="宋体" w:cs="宋体"/>
          <w:color w:val="auto"/>
          <w:sz w:val="24"/>
        </w:rPr>
      </w:pPr>
      <w:r>
        <w:rPr>
          <w:rFonts w:hint="eastAsia"/>
          <w:color w:val="auto"/>
          <w:sz w:val="24"/>
          <w:szCs w:val="24"/>
        </w:rPr>
        <w:t>主要审查人：</w:t>
      </w:r>
    </w:p>
    <w:p>
      <w:pPr>
        <w:widowControl/>
        <w:jc w:val="left"/>
        <w:rPr>
          <w:rFonts w:ascii="宋体" w:hAnsi="宋体" w:cs="宋体"/>
          <w:color w:val="auto"/>
          <w:sz w:val="24"/>
        </w:rPr>
      </w:pPr>
      <w:r>
        <w:rPr>
          <w:rFonts w:ascii="宋体" w:hAnsi="宋体" w:cs="宋体"/>
          <w:color w:val="auto"/>
          <w:sz w:val="24"/>
        </w:rPr>
        <w:br w:type="page"/>
      </w:r>
    </w:p>
    <w:p>
      <w:pPr>
        <w:pStyle w:val="30"/>
        <w:spacing w:after="240"/>
        <w:jc w:val="center"/>
        <w:rPr>
          <w:rFonts w:ascii="黑体" w:hAnsi="黑体" w:eastAsia="黑体" w:cs="Times New Roman"/>
          <w:bCs/>
          <w:color w:val="auto"/>
          <w:sz w:val="36"/>
          <w:szCs w:val="32"/>
        </w:rPr>
      </w:pPr>
      <w:r>
        <w:rPr>
          <w:rFonts w:hint="eastAsia" w:ascii="黑体" w:hAnsi="黑体" w:eastAsia="黑体" w:cs="Times New Roman"/>
          <w:bCs/>
          <w:color w:val="auto"/>
          <w:sz w:val="36"/>
          <w:szCs w:val="32"/>
        </w:rPr>
        <w:t>目 次</w:t>
      </w:r>
    </w:p>
    <w:sdt>
      <w:sdtPr>
        <w:rPr>
          <w:rFonts w:ascii="宋体" w:hAnsi="宋体"/>
        </w:rPr>
        <w:id w:val="147456963"/>
        <w15:color w:val="DBDBDB"/>
        <w:docPartObj>
          <w:docPartGallery w:val="Table of Contents"/>
          <w:docPartUnique/>
        </w:docPartObj>
      </w:sdtPr>
      <w:sdtEndPr>
        <w:rPr>
          <w:rFonts w:ascii="宋体" w:hAnsi="宋体"/>
          <w:b/>
          <w:bCs/>
          <w:color w:val="auto"/>
          <w:szCs w:val="24"/>
        </w:rPr>
      </w:sdtEndPr>
      <w:sdtContent>
        <w:p>
          <w:pPr>
            <w:jc w:val="center"/>
          </w:pPr>
          <w:r>
            <w:rPr>
              <w:rFonts w:ascii="宋体" w:hAnsi="宋体"/>
              <w:b/>
              <w:bCs/>
              <w:color w:val="auto"/>
              <w:sz w:val="24"/>
              <w:szCs w:val="24"/>
            </w:rPr>
            <w:fldChar w:fldCharType="begin"/>
          </w:r>
          <w:r>
            <w:rPr>
              <w:rFonts w:ascii="宋体" w:hAnsi="宋体"/>
              <w:b/>
              <w:bCs/>
              <w:color w:val="auto"/>
              <w:sz w:val="24"/>
              <w:szCs w:val="24"/>
            </w:rPr>
            <w:instrText xml:space="preserve">TOC \o "1-2" \h \u </w:instrText>
          </w:r>
          <w:r>
            <w:rPr>
              <w:rFonts w:ascii="宋体" w:hAnsi="宋体"/>
              <w:b/>
              <w:bCs/>
              <w:color w:val="auto"/>
              <w:sz w:val="24"/>
              <w:szCs w:val="24"/>
            </w:rPr>
            <w:fldChar w:fldCharType="separate"/>
          </w:r>
        </w:p>
        <w:p>
          <w:pPr>
            <w:pStyle w:val="52"/>
            <w:tabs>
              <w:tab w:val="right" w:leader="dot" w:pos="8306"/>
            </w:tabs>
            <w:rPr>
              <w:b/>
            </w:rPr>
          </w:pPr>
          <w:r>
            <w:fldChar w:fldCharType="begin"/>
          </w:r>
          <w:r>
            <w:instrText xml:space="preserve"> HYPERLINK \l "_Toc15298" </w:instrText>
          </w:r>
          <w:r>
            <w:fldChar w:fldCharType="separate"/>
          </w:r>
          <w:r>
            <w:rPr>
              <w:rFonts w:hint="eastAsia" w:ascii="黑体" w:hAnsi="黑体" w:eastAsia="黑体"/>
              <w:b/>
              <w:bCs/>
              <w:szCs w:val="32"/>
            </w:rPr>
            <w:t>1 总则</w:t>
          </w:r>
          <w:r>
            <w:rPr>
              <w:b/>
            </w:rPr>
            <w:tab/>
          </w:r>
          <w:r>
            <w:rPr>
              <w:b/>
            </w:rPr>
            <w:fldChar w:fldCharType="begin"/>
          </w:r>
          <w:r>
            <w:rPr>
              <w:b/>
            </w:rPr>
            <w:instrText xml:space="preserve"> PAGEREF _Toc15298 \h </w:instrText>
          </w:r>
          <w:r>
            <w:rPr>
              <w:b/>
            </w:rPr>
            <w:fldChar w:fldCharType="separate"/>
          </w:r>
          <w:r>
            <w:rPr>
              <w:b/>
            </w:rPr>
            <w:t>2</w:t>
          </w:r>
          <w:r>
            <w:rPr>
              <w:b/>
            </w:rPr>
            <w:fldChar w:fldCharType="end"/>
          </w:r>
          <w:r>
            <w:rPr>
              <w:b/>
            </w:rPr>
            <w:fldChar w:fldCharType="end"/>
          </w:r>
        </w:p>
        <w:p>
          <w:pPr>
            <w:pStyle w:val="52"/>
            <w:tabs>
              <w:tab w:val="right" w:leader="dot" w:pos="8306"/>
            </w:tabs>
          </w:pPr>
          <w:r>
            <w:fldChar w:fldCharType="begin"/>
          </w:r>
          <w:r>
            <w:instrText xml:space="preserve"> HYPERLINK \l "_Toc12500" </w:instrText>
          </w:r>
          <w:r>
            <w:fldChar w:fldCharType="separate"/>
          </w:r>
          <w:r>
            <w:rPr>
              <w:rFonts w:hint="eastAsia" w:ascii="黑体" w:hAnsi="黑体" w:eastAsia="黑体"/>
              <w:b/>
              <w:bCs/>
              <w:szCs w:val="32"/>
            </w:rPr>
            <w:t>2</w:t>
          </w:r>
          <w:r>
            <w:rPr>
              <w:rFonts w:ascii="黑体" w:hAnsi="黑体" w:eastAsia="黑体"/>
              <w:b/>
              <w:bCs/>
              <w:szCs w:val="32"/>
            </w:rPr>
            <w:t xml:space="preserve"> </w:t>
          </w:r>
          <w:r>
            <w:rPr>
              <w:rFonts w:hint="eastAsia" w:ascii="黑体" w:hAnsi="黑体" w:eastAsia="黑体"/>
              <w:b/>
              <w:bCs/>
              <w:szCs w:val="32"/>
            </w:rPr>
            <w:t>术语</w:t>
          </w:r>
          <w:r>
            <w:rPr>
              <w:b/>
            </w:rPr>
            <w:tab/>
          </w:r>
          <w:r>
            <w:rPr>
              <w:b/>
            </w:rPr>
            <w:fldChar w:fldCharType="begin"/>
          </w:r>
          <w:r>
            <w:rPr>
              <w:b/>
            </w:rPr>
            <w:instrText xml:space="preserve"> PAGEREF _Toc12500 \h </w:instrText>
          </w:r>
          <w:r>
            <w:rPr>
              <w:b/>
            </w:rPr>
            <w:fldChar w:fldCharType="separate"/>
          </w:r>
          <w:r>
            <w:rPr>
              <w:b/>
            </w:rPr>
            <w:t>3</w:t>
          </w:r>
          <w:r>
            <w:rPr>
              <w:b/>
            </w:rPr>
            <w:fldChar w:fldCharType="end"/>
          </w:r>
          <w:r>
            <w:rPr>
              <w:b/>
            </w:rPr>
            <w:fldChar w:fldCharType="end"/>
          </w:r>
        </w:p>
        <w:p>
          <w:pPr>
            <w:pStyle w:val="52"/>
            <w:tabs>
              <w:tab w:val="right" w:leader="dot" w:pos="8306"/>
            </w:tabs>
            <w:rPr>
              <w:b/>
            </w:rPr>
          </w:pPr>
          <w:r>
            <w:fldChar w:fldCharType="begin"/>
          </w:r>
          <w:r>
            <w:instrText xml:space="preserve"> HYPERLINK \l "_Toc4063" </w:instrText>
          </w:r>
          <w:r>
            <w:fldChar w:fldCharType="separate"/>
          </w:r>
          <w:r>
            <w:rPr>
              <w:rFonts w:hint="eastAsia" w:ascii="黑体" w:hAnsi="黑体" w:eastAsia="黑体"/>
              <w:b/>
              <w:bCs/>
              <w:szCs w:val="32"/>
            </w:rPr>
            <w:t>3 基本规定</w:t>
          </w:r>
          <w:r>
            <w:rPr>
              <w:b/>
            </w:rPr>
            <w:tab/>
          </w:r>
          <w:r>
            <w:rPr>
              <w:b/>
            </w:rPr>
            <w:fldChar w:fldCharType="begin"/>
          </w:r>
          <w:r>
            <w:rPr>
              <w:b/>
            </w:rPr>
            <w:instrText xml:space="preserve"> PAGEREF _Toc4063 \h </w:instrText>
          </w:r>
          <w:r>
            <w:rPr>
              <w:b/>
            </w:rPr>
            <w:fldChar w:fldCharType="separate"/>
          </w:r>
          <w:r>
            <w:rPr>
              <w:b/>
            </w:rPr>
            <w:t>5</w:t>
          </w:r>
          <w:r>
            <w:rPr>
              <w:b/>
            </w:rPr>
            <w:fldChar w:fldCharType="end"/>
          </w:r>
          <w:r>
            <w:rPr>
              <w:b/>
            </w:rPr>
            <w:fldChar w:fldCharType="end"/>
          </w:r>
        </w:p>
        <w:p>
          <w:pPr>
            <w:pStyle w:val="52"/>
            <w:tabs>
              <w:tab w:val="right" w:leader="dot" w:pos="8306"/>
            </w:tabs>
            <w:rPr>
              <w:b/>
            </w:rPr>
          </w:pPr>
          <w:r>
            <w:fldChar w:fldCharType="begin"/>
          </w:r>
          <w:r>
            <w:instrText xml:space="preserve"> HYPERLINK \l "_Toc10895" </w:instrText>
          </w:r>
          <w:r>
            <w:fldChar w:fldCharType="separate"/>
          </w:r>
          <w:r>
            <w:rPr>
              <w:rFonts w:hint="eastAsia" w:ascii="黑体" w:hAnsi="黑体" w:eastAsia="黑体"/>
              <w:b/>
              <w:bCs/>
              <w:szCs w:val="32"/>
            </w:rPr>
            <w:t>4 技术指标</w:t>
          </w:r>
          <w:r>
            <w:rPr>
              <w:b/>
            </w:rPr>
            <w:tab/>
          </w:r>
          <w:r>
            <w:rPr>
              <w:b/>
            </w:rPr>
            <w:fldChar w:fldCharType="begin"/>
          </w:r>
          <w:r>
            <w:rPr>
              <w:b/>
            </w:rPr>
            <w:instrText xml:space="preserve"> PAGEREF _Toc10895 \h </w:instrText>
          </w:r>
          <w:r>
            <w:rPr>
              <w:b/>
            </w:rPr>
            <w:fldChar w:fldCharType="separate"/>
          </w:r>
          <w:r>
            <w:rPr>
              <w:b/>
            </w:rPr>
            <w:t>6</w:t>
          </w:r>
          <w:r>
            <w:rPr>
              <w:b/>
            </w:rPr>
            <w:fldChar w:fldCharType="end"/>
          </w:r>
          <w:r>
            <w:rPr>
              <w:b/>
            </w:rPr>
            <w:fldChar w:fldCharType="end"/>
          </w:r>
        </w:p>
        <w:p>
          <w:pPr>
            <w:pStyle w:val="52"/>
            <w:tabs>
              <w:tab w:val="right" w:leader="dot" w:pos="8306"/>
            </w:tabs>
            <w:rPr>
              <w:b/>
            </w:rPr>
          </w:pPr>
          <w:r>
            <w:fldChar w:fldCharType="begin"/>
          </w:r>
          <w:r>
            <w:instrText xml:space="preserve"> HYPERLINK \l "_Toc2576" </w:instrText>
          </w:r>
          <w:r>
            <w:fldChar w:fldCharType="separate"/>
          </w:r>
          <w:r>
            <w:rPr>
              <w:rFonts w:hint="eastAsia" w:ascii="黑体" w:hAnsi="黑体" w:eastAsia="黑体"/>
              <w:b/>
              <w:bCs/>
              <w:szCs w:val="32"/>
            </w:rPr>
            <w:t>5 全过程碳性能目标控制方法</w:t>
          </w:r>
          <w:r>
            <w:rPr>
              <w:b/>
            </w:rPr>
            <w:tab/>
          </w:r>
          <w:r>
            <w:rPr>
              <w:b/>
            </w:rPr>
            <w:fldChar w:fldCharType="begin"/>
          </w:r>
          <w:r>
            <w:rPr>
              <w:b/>
            </w:rPr>
            <w:instrText xml:space="preserve"> PAGEREF _Toc2576 \h </w:instrText>
          </w:r>
          <w:r>
            <w:rPr>
              <w:b/>
            </w:rPr>
            <w:fldChar w:fldCharType="separate"/>
          </w:r>
          <w:r>
            <w:rPr>
              <w:b/>
            </w:rPr>
            <w:t>8</w:t>
          </w:r>
          <w:r>
            <w:rPr>
              <w:b/>
            </w:rPr>
            <w:fldChar w:fldCharType="end"/>
          </w:r>
          <w:r>
            <w:rPr>
              <w:b/>
            </w:rPr>
            <w:fldChar w:fldCharType="end"/>
          </w:r>
        </w:p>
        <w:p>
          <w:pPr>
            <w:pStyle w:val="52"/>
            <w:tabs>
              <w:tab w:val="right" w:leader="dot" w:pos="8306"/>
            </w:tabs>
            <w:rPr>
              <w:b/>
            </w:rPr>
          </w:pPr>
          <w:r>
            <w:fldChar w:fldCharType="begin"/>
          </w:r>
          <w:r>
            <w:instrText xml:space="preserve"> HYPERLINK \l "_Toc31439" </w:instrText>
          </w:r>
          <w:r>
            <w:fldChar w:fldCharType="separate"/>
          </w:r>
          <w:r>
            <w:rPr>
              <w:rFonts w:ascii="黑体" w:hAnsi="黑体" w:eastAsia="黑体"/>
              <w:b/>
              <w:bCs/>
              <w:szCs w:val="32"/>
            </w:rPr>
            <w:t>6</w:t>
          </w:r>
          <w:r>
            <w:rPr>
              <w:rFonts w:hint="eastAsia" w:ascii="黑体" w:hAnsi="黑体" w:eastAsia="黑体"/>
              <w:b/>
              <w:bCs/>
              <w:szCs w:val="32"/>
            </w:rPr>
            <w:t xml:space="preserve"> 低碳建筑规划设计</w:t>
          </w:r>
          <w:r>
            <w:rPr>
              <w:b/>
            </w:rPr>
            <w:tab/>
          </w:r>
          <w:r>
            <w:rPr>
              <w:b/>
            </w:rPr>
            <w:fldChar w:fldCharType="begin"/>
          </w:r>
          <w:r>
            <w:rPr>
              <w:b/>
            </w:rPr>
            <w:instrText xml:space="preserve"> PAGEREF _Toc31439 \h </w:instrText>
          </w:r>
          <w:r>
            <w:rPr>
              <w:b/>
            </w:rPr>
            <w:fldChar w:fldCharType="separate"/>
          </w:r>
          <w:r>
            <w:rPr>
              <w:b/>
            </w:rPr>
            <w:t>11</w:t>
          </w:r>
          <w:r>
            <w:rPr>
              <w:b/>
            </w:rPr>
            <w:fldChar w:fldCharType="end"/>
          </w:r>
          <w:r>
            <w:rPr>
              <w:b/>
            </w:rPr>
            <w:fldChar w:fldCharType="end"/>
          </w:r>
        </w:p>
        <w:p>
          <w:pPr>
            <w:pStyle w:val="53"/>
            <w:tabs>
              <w:tab w:val="right" w:leader="dot" w:pos="8306"/>
            </w:tabs>
            <w:ind w:left="420"/>
          </w:pPr>
          <w:r>
            <w:fldChar w:fldCharType="begin"/>
          </w:r>
          <w:r>
            <w:instrText xml:space="preserve"> HYPERLINK \l "_Toc26413" </w:instrText>
          </w:r>
          <w:r>
            <w:fldChar w:fldCharType="separate"/>
          </w:r>
          <w:r>
            <w:rPr>
              <w:rFonts w:hint="eastAsia" w:ascii="黑体" w:hAnsi="黑体" w:eastAsia="黑体"/>
              <w:bCs/>
              <w:szCs w:val="28"/>
            </w:rPr>
            <w:t>6</w:t>
          </w:r>
          <w:r>
            <w:rPr>
              <w:rFonts w:ascii="黑体" w:hAnsi="黑体" w:eastAsia="黑体"/>
              <w:bCs/>
              <w:szCs w:val="28"/>
            </w:rPr>
            <w:t>.1场地规划设计</w:t>
          </w:r>
          <w:r>
            <w:tab/>
          </w:r>
          <w:r>
            <w:fldChar w:fldCharType="begin"/>
          </w:r>
          <w:r>
            <w:instrText xml:space="preserve"> PAGEREF _Toc26413 \h </w:instrText>
          </w:r>
          <w:r>
            <w:fldChar w:fldCharType="separate"/>
          </w:r>
          <w:r>
            <w:t>11</w:t>
          </w:r>
          <w:r>
            <w:fldChar w:fldCharType="end"/>
          </w:r>
          <w:r>
            <w:fldChar w:fldCharType="end"/>
          </w:r>
        </w:p>
        <w:p>
          <w:pPr>
            <w:pStyle w:val="53"/>
            <w:tabs>
              <w:tab w:val="right" w:leader="dot" w:pos="8306"/>
            </w:tabs>
            <w:ind w:left="420"/>
            <w:rPr>
              <w:b/>
            </w:rPr>
          </w:pPr>
          <w:r>
            <w:fldChar w:fldCharType="begin"/>
          </w:r>
          <w:r>
            <w:instrText xml:space="preserve"> HYPERLINK \l "_Toc15248" </w:instrText>
          </w:r>
          <w:r>
            <w:fldChar w:fldCharType="separate"/>
          </w:r>
          <w:r>
            <w:rPr>
              <w:rFonts w:hint="eastAsia" w:ascii="黑体" w:hAnsi="黑体" w:eastAsia="黑体"/>
              <w:bCs/>
              <w:szCs w:val="28"/>
            </w:rPr>
            <w:t>6</w:t>
          </w:r>
          <w:r>
            <w:rPr>
              <w:rFonts w:ascii="黑体" w:hAnsi="黑体" w:eastAsia="黑体"/>
              <w:bCs/>
              <w:szCs w:val="28"/>
            </w:rPr>
            <w:t>.2建筑设计</w:t>
          </w:r>
          <w:r>
            <w:rPr>
              <w:rFonts w:ascii="黑体" w:hAnsi="黑体" w:eastAsia="黑体"/>
              <w:bCs/>
              <w:szCs w:val="28"/>
            </w:rPr>
            <w:tab/>
          </w:r>
          <w:r>
            <w:rPr>
              <w:rFonts w:ascii="黑体" w:hAnsi="黑体" w:eastAsia="黑体"/>
              <w:bCs/>
              <w:szCs w:val="28"/>
            </w:rPr>
            <w:fldChar w:fldCharType="begin"/>
          </w:r>
          <w:r>
            <w:rPr>
              <w:rFonts w:ascii="黑体" w:hAnsi="黑体" w:eastAsia="黑体"/>
              <w:bCs/>
              <w:szCs w:val="28"/>
            </w:rPr>
            <w:instrText xml:space="preserve"> PAGEREF _Toc15248 \h </w:instrText>
          </w:r>
          <w:r>
            <w:rPr>
              <w:rFonts w:ascii="黑体" w:hAnsi="黑体" w:eastAsia="黑体"/>
              <w:bCs/>
              <w:szCs w:val="28"/>
            </w:rPr>
            <w:fldChar w:fldCharType="separate"/>
          </w:r>
          <w:r>
            <w:rPr>
              <w:rFonts w:ascii="黑体" w:hAnsi="黑体" w:eastAsia="黑体"/>
              <w:bCs/>
              <w:szCs w:val="28"/>
            </w:rPr>
            <w:t>13</w:t>
          </w:r>
          <w:r>
            <w:rPr>
              <w:rFonts w:ascii="黑体" w:hAnsi="黑体" w:eastAsia="黑体"/>
              <w:bCs/>
              <w:szCs w:val="28"/>
            </w:rPr>
            <w:fldChar w:fldCharType="end"/>
          </w:r>
          <w:r>
            <w:rPr>
              <w:rFonts w:ascii="黑体" w:hAnsi="黑体" w:eastAsia="黑体"/>
              <w:bCs/>
              <w:szCs w:val="28"/>
            </w:rPr>
            <w:fldChar w:fldCharType="end"/>
          </w:r>
        </w:p>
        <w:p>
          <w:pPr>
            <w:pStyle w:val="53"/>
            <w:tabs>
              <w:tab w:val="right" w:leader="dot" w:pos="8306"/>
            </w:tabs>
            <w:ind w:left="420"/>
          </w:pPr>
          <w:r>
            <w:fldChar w:fldCharType="begin"/>
          </w:r>
          <w:r>
            <w:instrText xml:space="preserve"> HYPERLINK \l "_Toc12466" </w:instrText>
          </w:r>
          <w:r>
            <w:fldChar w:fldCharType="separate"/>
          </w:r>
          <w:r>
            <w:rPr>
              <w:rFonts w:hint="eastAsia" w:ascii="黑体" w:hAnsi="黑体" w:eastAsia="黑体"/>
              <w:bCs/>
              <w:szCs w:val="28"/>
            </w:rPr>
            <w:t>6</w:t>
          </w:r>
          <w:r>
            <w:rPr>
              <w:rFonts w:ascii="黑体" w:hAnsi="黑体" w:eastAsia="黑体"/>
              <w:bCs/>
              <w:szCs w:val="28"/>
            </w:rPr>
            <w:t>.3围护结构设计</w:t>
          </w:r>
          <w:r>
            <w:tab/>
          </w:r>
          <w:r>
            <w:fldChar w:fldCharType="begin"/>
          </w:r>
          <w:r>
            <w:instrText xml:space="preserve"> PAGEREF _Toc12466 \h </w:instrText>
          </w:r>
          <w:r>
            <w:fldChar w:fldCharType="separate"/>
          </w:r>
          <w:r>
            <w:t>16</w:t>
          </w:r>
          <w:r>
            <w:fldChar w:fldCharType="end"/>
          </w:r>
          <w:r>
            <w:fldChar w:fldCharType="end"/>
          </w:r>
        </w:p>
        <w:p>
          <w:pPr>
            <w:pStyle w:val="52"/>
            <w:tabs>
              <w:tab w:val="right" w:leader="dot" w:pos="8306"/>
            </w:tabs>
            <w:rPr>
              <w:b/>
            </w:rPr>
          </w:pPr>
          <w:r>
            <w:fldChar w:fldCharType="begin"/>
          </w:r>
          <w:r>
            <w:instrText xml:space="preserve"> HYPERLINK \l "_Toc15525" </w:instrText>
          </w:r>
          <w:r>
            <w:fldChar w:fldCharType="separate"/>
          </w:r>
          <w:r>
            <w:rPr>
              <w:rFonts w:hint="eastAsia" w:ascii="黑体" w:hAnsi="黑体" w:eastAsia="黑体"/>
              <w:b/>
              <w:bCs/>
              <w:szCs w:val="32"/>
            </w:rPr>
            <w:t>7 低碳能源系统设计</w:t>
          </w:r>
          <w:r>
            <w:rPr>
              <w:b/>
            </w:rPr>
            <w:tab/>
          </w:r>
          <w:r>
            <w:rPr>
              <w:b/>
            </w:rPr>
            <w:fldChar w:fldCharType="begin"/>
          </w:r>
          <w:r>
            <w:rPr>
              <w:b/>
            </w:rPr>
            <w:instrText xml:space="preserve"> PAGEREF _Toc15525 \h </w:instrText>
          </w:r>
          <w:r>
            <w:rPr>
              <w:b/>
            </w:rPr>
            <w:fldChar w:fldCharType="separate"/>
          </w:r>
          <w:r>
            <w:rPr>
              <w:b/>
            </w:rPr>
            <w:t>2</w:t>
          </w:r>
          <w:r>
            <w:rPr>
              <w:b/>
            </w:rPr>
            <w:fldChar w:fldCharType="end"/>
          </w:r>
          <w:r>
            <w:rPr>
              <w:b/>
            </w:rPr>
            <w:fldChar w:fldCharType="end"/>
          </w:r>
        </w:p>
        <w:p>
          <w:pPr>
            <w:pStyle w:val="53"/>
            <w:tabs>
              <w:tab w:val="right" w:leader="dot" w:pos="8306"/>
            </w:tabs>
            <w:ind w:left="420"/>
          </w:pPr>
          <w:r>
            <w:fldChar w:fldCharType="begin"/>
          </w:r>
          <w:r>
            <w:instrText xml:space="preserve"> HYPERLINK \l "_Toc11628" </w:instrText>
          </w:r>
          <w:r>
            <w:fldChar w:fldCharType="separate"/>
          </w:r>
          <w:r>
            <w:rPr>
              <w:rFonts w:hint="eastAsia" w:eastAsia="黑体"/>
              <w:bCs/>
              <w:szCs w:val="28"/>
            </w:rPr>
            <w:t>7.1 机电系统设计</w:t>
          </w:r>
          <w:r>
            <w:tab/>
          </w:r>
          <w:r>
            <w:fldChar w:fldCharType="begin"/>
          </w:r>
          <w:r>
            <w:instrText xml:space="preserve"> PAGEREF _Toc11628 \h </w:instrText>
          </w:r>
          <w:r>
            <w:fldChar w:fldCharType="separate"/>
          </w:r>
          <w:r>
            <w:t>2</w:t>
          </w:r>
          <w:r>
            <w:fldChar w:fldCharType="end"/>
          </w:r>
          <w:r>
            <w:fldChar w:fldCharType="end"/>
          </w:r>
        </w:p>
        <w:p>
          <w:pPr>
            <w:pStyle w:val="53"/>
            <w:tabs>
              <w:tab w:val="right" w:leader="dot" w:pos="8306"/>
            </w:tabs>
            <w:ind w:left="420"/>
            <w:rPr>
              <w:b/>
            </w:rPr>
          </w:pPr>
          <w:r>
            <w:fldChar w:fldCharType="begin"/>
          </w:r>
          <w:r>
            <w:instrText xml:space="preserve"> HYPERLINK \l "_Toc31082" </w:instrText>
          </w:r>
          <w:r>
            <w:fldChar w:fldCharType="separate"/>
          </w:r>
          <w:r>
            <w:rPr>
              <w:rFonts w:eastAsia="黑体"/>
              <w:bCs/>
              <w:szCs w:val="28"/>
            </w:rPr>
            <w:t xml:space="preserve">7.2 </w:t>
          </w:r>
          <w:r>
            <w:rPr>
              <w:rFonts w:hint="eastAsia" w:eastAsia="黑体"/>
              <w:bCs/>
              <w:szCs w:val="28"/>
            </w:rPr>
            <w:t>建筑光伏一体化系统</w:t>
          </w:r>
          <w:r>
            <w:rPr>
              <w:rFonts w:hint="eastAsia" w:eastAsia="黑体"/>
              <w:bCs/>
              <w:szCs w:val="28"/>
            </w:rPr>
            <w:tab/>
          </w:r>
          <w:r>
            <w:rPr>
              <w:rFonts w:hint="eastAsia" w:eastAsia="黑体"/>
              <w:bCs/>
              <w:szCs w:val="28"/>
            </w:rPr>
            <w:fldChar w:fldCharType="begin"/>
          </w:r>
          <w:r>
            <w:rPr>
              <w:rFonts w:hint="eastAsia" w:eastAsia="黑体"/>
              <w:bCs/>
              <w:szCs w:val="28"/>
            </w:rPr>
            <w:instrText xml:space="preserve"> PAGEREF _Toc31082 \h </w:instrText>
          </w:r>
          <w:r>
            <w:rPr>
              <w:rFonts w:hint="eastAsia" w:eastAsia="黑体"/>
              <w:bCs/>
              <w:szCs w:val="28"/>
            </w:rPr>
            <w:fldChar w:fldCharType="separate"/>
          </w:r>
          <w:r>
            <w:rPr>
              <w:rFonts w:hint="eastAsia" w:eastAsia="黑体"/>
              <w:bCs/>
              <w:szCs w:val="28"/>
            </w:rPr>
            <w:t>6</w:t>
          </w:r>
          <w:r>
            <w:rPr>
              <w:rFonts w:hint="eastAsia" w:eastAsia="黑体"/>
              <w:bCs/>
              <w:szCs w:val="28"/>
            </w:rPr>
            <w:fldChar w:fldCharType="end"/>
          </w:r>
          <w:r>
            <w:rPr>
              <w:rFonts w:hint="eastAsia" w:eastAsia="黑体"/>
              <w:bCs/>
              <w:szCs w:val="28"/>
            </w:rPr>
            <w:fldChar w:fldCharType="end"/>
          </w:r>
        </w:p>
        <w:p>
          <w:pPr>
            <w:pStyle w:val="52"/>
            <w:tabs>
              <w:tab w:val="right" w:leader="dot" w:pos="8306"/>
            </w:tabs>
            <w:rPr>
              <w:b/>
            </w:rPr>
          </w:pPr>
          <w:r>
            <w:fldChar w:fldCharType="begin"/>
          </w:r>
          <w:r>
            <w:instrText xml:space="preserve"> HYPERLINK \l "_Toc29339" </w:instrText>
          </w:r>
          <w:r>
            <w:fldChar w:fldCharType="separate"/>
          </w:r>
          <w:r>
            <w:rPr>
              <w:rFonts w:ascii="黑体" w:hAnsi="黑体" w:eastAsia="黑体"/>
              <w:b/>
              <w:bCs/>
              <w:szCs w:val="32"/>
            </w:rPr>
            <w:t>8</w:t>
          </w:r>
          <w:r>
            <w:rPr>
              <w:rFonts w:hint="eastAsia" w:ascii="黑体" w:hAnsi="黑体" w:eastAsia="黑体"/>
              <w:b/>
              <w:bCs/>
              <w:szCs w:val="32"/>
            </w:rPr>
            <w:t xml:space="preserve"> 低碳建造</w:t>
          </w:r>
          <w:r>
            <w:rPr>
              <w:b/>
            </w:rPr>
            <w:tab/>
          </w:r>
          <w:r>
            <w:rPr>
              <w:b/>
            </w:rPr>
            <w:fldChar w:fldCharType="begin"/>
          </w:r>
          <w:r>
            <w:rPr>
              <w:b/>
            </w:rPr>
            <w:instrText xml:space="preserve"> PAGEREF _Toc29339 \h </w:instrText>
          </w:r>
          <w:r>
            <w:rPr>
              <w:b/>
            </w:rPr>
            <w:fldChar w:fldCharType="separate"/>
          </w:r>
          <w:r>
            <w:rPr>
              <w:b/>
            </w:rPr>
            <w:t>9</w:t>
          </w:r>
          <w:r>
            <w:rPr>
              <w:b/>
            </w:rPr>
            <w:fldChar w:fldCharType="end"/>
          </w:r>
          <w:r>
            <w:rPr>
              <w:b/>
            </w:rPr>
            <w:fldChar w:fldCharType="end"/>
          </w:r>
        </w:p>
        <w:p>
          <w:pPr>
            <w:pStyle w:val="53"/>
            <w:tabs>
              <w:tab w:val="right" w:leader="dot" w:pos="8306"/>
            </w:tabs>
            <w:ind w:left="420"/>
          </w:pPr>
          <w:r>
            <w:fldChar w:fldCharType="begin"/>
          </w:r>
          <w:r>
            <w:instrText xml:space="preserve"> HYPERLINK \l "_Toc11462" </w:instrText>
          </w:r>
          <w:r>
            <w:fldChar w:fldCharType="separate"/>
          </w:r>
          <w:r>
            <w:rPr>
              <w:rFonts w:hint="eastAsia" w:eastAsia="黑体"/>
              <w:bCs/>
              <w:szCs w:val="28"/>
            </w:rPr>
            <w:t>8.1 低碳建造管理</w:t>
          </w:r>
          <w:r>
            <w:tab/>
          </w:r>
          <w:r>
            <w:fldChar w:fldCharType="begin"/>
          </w:r>
          <w:r>
            <w:instrText xml:space="preserve"> PAGEREF _Toc11462 \h </w:instrText>
          </w:r>
          <w:r>
            <w:fldChar w:fldCharType="separate"/>
          </w:r>
          <w:r>
            <w:t>9</w:t>
          </w:r>
          <w:r>
            <w:fldChar w:fldCharType="end"/>
          </w:r>
          <w:r>
            <w:fldChar w:fldCharType="end"/>
          </w:r>
        </w:p>
        <w:p>
          <w:pPr>
            <w:pStyle w:val="53"/>
            <w:tabs>
              <w:tab w:val="right" w:leader="dot" w:pos="8306"/>
            </w:tabs>
            <w:ind w:left="420"/>
          </w:pPr>
          <w:r>
            <w:fldChar w:fldCharType="begin"/>
          </w:r>
          <w:r>
            <w:instrText xml:space="preserve"> HYPERLINK \l "_Toc765" </w:instrText>
          </w:r>
          <w:r>
            <w:fldChar w:fldCharType="separate"/>
          </w:r>
          <w:r>
            <w:rPr>
              <w:rFonts w:hint="eastAsia" w:eastAsia="黑体"/>
              <w:bCs/>
              <w:szCs w:val="28"/>
            </w:rPr>
            <w:t>8.2 分部分项工程</w:t>
          </w:r>
          <w:r>
            <w:rPr>
              <w:rFonts w:hint="eastAsia" w:eastAsia="黑体"/>
              <w:bCs/>
              <w:szCs w:val="28"/>
            </w:rPr>
            <w:tab/>
          </w:r>
          <w:r>
            <w:rPr>
              <w:rFonts w:hint="eastAsia" w:eastAsia="黑体"/>
              <w:bCs/>
              <w:szCs w:val="28"/>
            </w:rPr>
            <w:fldChar w:fldCharType="begin"/>
          </w:r>
          <w:r>
            <w:rPr>
              <w:rFonts w:hint="eastAsia" w:eastAsia="黑体"/>
              <w:bCs/>
              <w:szCs w:val="28"/>
            </w:rPr>
            <w:instrText xml:space="preserve"> PAGEREF _Toc765 \h </w:instrText>
          </w:r>
          <w:r>
            <w:rPr>
              <w:rFonts w:hint="eastAsia" w:eastAsia="黑体"/>
              <w:bCs/>
              <w:szCs w:val="28"/>
            </w:rPr>
            <w:fldChar w:fldCharType="separate"/>
          </w:r>
          <w:r>
            <w:rPr>
              <w:rFonts w:hint="eastAsia" w:eastAsia="黑体"/>
              <w:bCs/>
              <w:szCs w:val="28"/>
            </w:rPr>
            <w:t>10</w:t>
          </w:r>
          <w:r>
            <w:rPr>
              <w:rFonts w:hint="eastAsia" w:eastAsia="黑体"/>
              <w:bCs/>
              <w:szCs w:val="28"/>
            </w:rPr>
            <w:fldChar w:fldCharType="end"/>
          </w:r>
          <w:r>
            <w:rPr>
              <w:rFonts w:hint="eastAsia" w:eastAsia="黑体"/>
              <w:bCs/>
              <w:szCs w:val="28"/>
            </w:rPr>
            <w:fldChar w:fldCharType="end"/>
          </w:r>
        </w:p>
        <w:p>
          <w:pPr>
            <w:pStyle w:val="53"/>
            <w:tabs>
              <w:tab w:val="right" w:leader="dot" w:pos="8306"/>
            </w:tabs>
            <w:ind w:left="420"/>
          </w:pPr>
          <w:r>
            <w:fldChar w:fldCharType="begin"/>
          </w:r>
          <w:r>
            <w:instrText xml:space="preserve"> HYPERLINK \l "_Toc27585" </w:instrText>
          </w:r>
          <w:r>
            <w:fldChar w:fldCharType="separate"/>
          </w:r>
          <w:r>
            <w:rPr>
              <w:rFonts w:eastAsia="黑体"/>
            </w:rPr>
            <w:t>8.3</w:t>
          </w:r>
          <w:r>
            <w:rPr>
              <w:rFonts w:hint="eastAsia" w:eastAsia="黑体"/>
            </w:rPr>
            <w:t xml:space="preserve"> 施工措施及施工阶段运输</w:t>
          </w:r>
          <w:r>
            <w:tab/>
          </w:r>
          <w:r>
            <w:fldChar w:fldCharType="begin"/>
          </w:r>
          <w:r>
            <w:instrText xml:space="preserve"> PAGEREF _Toc27585 \h </w:instrText>
          </w:r>
          <w:r>
            <w:fldChar w:fldCharType="separate"/>
          </w:r>
          <w:r>
            <w:t>13</w:t>
          </w:r>
          <w:r>
            <w:fldChar w:fldCharType="end"/>
          </w:r>
          <w:r>
            <w:fldChar w:fldCharType="end"/>
          </w:r>
        </w:p>
        <w:p>
          <w:pPr>
            <w:pStyle w:val="52"/>
            <w:tabs>
              <w:tab w:val="right" w:leader="dot" w:pos="8306"/>
            </w:tabs>
            <w:rPr>
              <w:b/>
            </w:rPr>
          </w:pPr>
          <w:r>
            <w:fldChar w:fldCharType="begin"/>
          </w:r>
          <w:r>
            <w:instrText xml:space="preserve"> HYPERLINK \l "_Toc15961" </w:instrText>
          </w:r>
          <w:r>
            <w:fldChar w:fldCharType="separate"/>
          </w:r>
          <w:r>
            <w:rPr>
              <w:rFonts w:hint="eastAsia" w:ascii="黑体" w:hAnsi="黑体" w:eastAsia="黑体"/>
              <w:b/>
              <w:bCs/>
              <w:szCs w:val="32"/>
            </w:rPr>
            <w:t>9 低碳运行</w:t>
          </w:r>
          <w:r>
            <w:rPr>
              <w:b/>
            </w:rPr>
            <w:tab/>
          </w:r>
          <w:r>
            <w:rPr>
              <w:b/>
            </w:rPr>
            <w:fldChar w:fldCharType="begin"/>
          </w:r>
          <w:r>
            <w:rPr>
              <w:b/>
            </w:rPr>
            <w:instrText xml:space="preserve"> PAGEREF _Toc15961 \h </w:instrText>
          </w:r>
          <w:r>
            <w:rPr>
              <w:b/>
            </w:rPr>
            <w:fldChar w:fldCharType="separate"/>
          </w:r>
          <w:r>
            <w:rPr>
              <w:b/>
            </w:rPr>
            <w:t>15</w:t>
          </w:r>
          <w:r>
            <w:rPr>
              <w:b/>
            </w:rPr>
            <w:fldChar w:fldCharType="end"/>
          </w:r>
          <w:r>
            <w:rPr>
              <w:b/>
            </w:rPr>
            <w:fldChar w:fldCharType="end"/>
          </w:r>
        </w:p>
        <w:p>
          <w:pPr>
            <w:pStyle w:val="53"/>
            <w:tabs>
              <w:tab w:val="right" w:leader="dot" w:pos="8306"/>
            </w:tabs>
            <w:ind w:left="420"/>
          </w:pPr>
          <w:r>
            <w:fldChar w:fldCharType="begin"/>
          </w:r>
          <w:r>
            <w:instrText xml:space="preserve"> HYPERLINK \l "_Toc11757" </w:instrText>
          </w:r>
          <w:r>
            <w:fldChar w:fldCharType="separate"/>
          </w:r>
          <w:r>
            <w:rPr>
              <w:rFonts w:hint="eastAsia" w:eastAsia="黑体"/>
              <w:bCs/>
              <w:szCs w:val="28"/>
            </w:rPr>
            <w:t>9.1 智慧化运行</w:t>
          </w:r>
          <w:r>
            <w:tab/>
          </w:r>
          <w:r>
            <w:fldChar w:fldCharType="begin"/>
          </w:r>
          <w:r>
            <w:instrText xml:space="preserve"> PAGEREF _Toc11757 \h </w:instrText>
          </w:r>
          <w:r>
            <w:fldChar w:fldCharType="separate"/>
          </w:r>
          <w:r>
            <w:t>15</w:t>
          </w:r>
          <w:r>
            <w:fldChar w:fldCharType="end"/>
          </w:r>
          <w:r>
            <w:fldChar w:fldCharType="end"/>
          </w:r>
        </w:p>
        <w:p>
          <w:pPr>
            <w:pStyle w:val="53"/>
            <w:tabs>
              <w:tab w:val="right" w:leader="dot" w:pos="8306"/>
            </w:tabs>
            <w:ind w:left="420"/>
            <w:rPr>
              <w:b/>
            </w:rPr>
          </w:pPr>
          <w:r>
            <w:fldChar w:fldCharType="begin"/>
          </w:r>
          <w:r>
            <w:instrText xml:space="preserve"> HYPERLINK \l "_Toc23782" </w:instrText>
          </w:r>
          <w:r>
            <w:fldChar w:fldCharType="separate"/>
          </w:r>
          <w:r>
            <w:rPr>
              <w:rFonts w:hint="eastAsia" w:eastAsia="黑体"/>
              <w:bCs/>
              <w:szCs w:val="28"/>
            </w:rPr>
            <w:t>9.2 持续调试</w:t>
          </w:r>
          <w:r>
            <w:tab/>
          </w:r>
          <w:r>
            <w:fldChar w:fldCharType="begin"/>
          </w:r>
          <w:r>
            <w:instrText xml:space="preserve"> PAGEREF _Toc23782 \h </w:instrText>
          </w:r>
          <w:r>
            <w:fldChar w:fldCharType="separate"/>
          </w:r>
          <w:r>
            <w:t>18</w:t>
          </w:r>
          <w:r>
            <w:fldChar w:fldCharType="end"/>
          </w:r>
          <w:r>
            <w:fldChar w:fldCharType="end"/>
          </w:r>
        </w:p>
        <w:p>
          <w:pPr>
            <w:pStyle w:val="53"/>
            <w:tabs>
              <w:tab w:val="right" w:leader="dot" w:pos="8306"/>
            </w:tabs>
            <w:ind w:left="420"/>
          </w:pPr>
          <w:r>
            <w:fldChar w:fldCharType="begin"/>
          </w:r>
          <w:r>
            <w:instrText xml:space="preserve"> HYPERLINK \l "_Toc28994" </w:instrText>
          </w:r>
          <w:r>
            <w:fldChar w:fldCharType="separate"/>
          </w:r>
          <w:r>
            <w:rPr>
              <w:rFonts w:hint="eastAsia" w:eastAsia="黑体"/>
              <w:bCs/>
              <w:szCs w:val="28"/>
            </w:rPr>
            <w:t>9.3 低碳管理</w:t>
          </w:r>
          <w:r>
            <w:tab/>
          </w:r>
          <w:r>
            <w:fldChar w:fldCharType="begin"/>
          </w:r>
          <w:r>
            <w:instrText xml:space="preserve"> PAGEREF _Toc28994 \h </w:instrText>
          </w:r>
          <w:r>
            <w:fldChar w:fldCharType="separate"/>
          </w:r>
          <w:r>
            <w:t>24</w:t>
          </w:r>
          <w:r>
            <w:fldChar w:fldCharType="end"/>
          </w:r>
          <w:r>
            <w:fldChar w:fldCharType="end"/>
          </w:r>
        </w:p>
        <w:p>
          <w:pPr>
            <w:pStyle w:val="52"/>
            <w:tabs>
              <w:tab w:val="right" w:leader="dot" w:pos="8306"/>
            </w:tabs>
            <w:rPr>
              <w:b/>
            </w:rPr>
          </w:pPr>
          <w:r>
            <w:fldChar w:fldCharType="begin"/>
          </w:r>
          <w:r>
            <w:instrText xml:space="preserve"> HYPERLINK \l "_Toc9612" </w:instrText>
          </w:r>
          <w:r>
            <w:fldChar w:fldCharType="separate"/>
          </w:r>
          <w:r>
            <w:rPr>
              <w:b/>
              <w:szCs w:val="32"/>
            </w:rPr>
            <w:t xml:space="preserve">附录A </w:t>
          </w:r>
          <w:r>
            <w:rPr>
              <w:rFonts w:hint="eastAsia"/>
              <w:b/>
              <w:szCs w:val="32"/>
            </w:rPr>
            <w:t>碳</w:t>
          </w:r>
          <w:r>
            <w:rPr>
              <w:rFonts w:hint="eastAsia"/>
              <w:b/>
              <w:szCs w:val="32"/>
              <w:lang w:val="en-US" w:eastAsia="zh-CN"/>
            </w:rPr>
            <w:t>排放</w:t>
          </w:r>
          <w:r>
            <w:rPr>
              <w:rFonts w:hint="eastAsia"/>
              <w:b/>
              <w:szCs w:val="32"/>
            </w:rPr>
            <w:t>指标计算方法</w:t>
          </w:r>
          <w:r>
            <w:rPr>
              <w:b/>
            </w:rPr>
            <w:tab/>
          </w:r>
          <w:r>
            <w:rPr>
              <w:b/>
            </w:rPr>
            <w:fldChar w:fldCharType="begin"/>
          </w:r>
          <w:r>
            <w:rPr>
              <w:b/>
            </w:rPr>
            <w:instrText xml:space="preserve"> PAGEREF _Toc9612 \h </w:instrText>
          </w:r>
          <w:r>
            <w:rPr>
              <w:b/>
            </w:rPr>
            <w:fldChar w:fldCharType="separate"/>
          </w:r>
          <w:r>
            <w:rPr>
              <w:b/>
            </w:rPr>
            <w:t>28</w:t>
          </w:r>
          <w:r>
            <w:rPr>
              <w:b/>
            </w:rPr>
            <w:fldChar w:fldCharType="end"/>
          </w:r>
          <w:r>
            <w:rPr>
              <w:b/>
            </w:rPr>
            <w:fldChar w:fldCharType="end"/>
          </w:r>
        </w:p>
        <w:p>
          <w:pPr>
            <w:pStyle w:val="52"/>
            <w:tabs>
              <w:tab w:val="right" w:leader="dot" w:pos="8306"/>
            </w:tabs>
            <w:rPr>
              <w:b/>
            </w:rPr>
          </w:pPr>
          <w:r>
            <w:fldChar w:fldCharType="begin"/>
          </w:r>
          <w:r>
            <w:instrText xml:space="preserve"> HYPERLINK \l "_Toc18199" </w:instrText>
          </w:r>
          <w:r>
            <w:fldChar w:fldCharType="separate"/>
          </w:r>
          <w:r>
            <w:rPr>
              <w:rFonts w:hint="eastAsia" w:eastAsia="黑体"/>
              <w:b/>
              <w:kern w:val="44"/>
              <w:szCs w:val="24"/>
            </w:rPr>
            <w:t>用词说明</w:t>
          </w:r>
          <w:r>
            <w:rPr>
              <w:b/>
            </w:rPr>
            <w:tab/>
          </w:r>
          <w:r>
            <w:rPr>
              <w:b/>
            </w:rPr>
            <w:fldChar w:fldCharType="begin"/>
          </w:r>
          <w:r>
            <w:rPr>
              <w:b/>
            </w:rPr>
            <w:instrText xml:space="preserve"> PAGEREF _Toc18199 \h </w:instrText>
          </w:r>
          <w:r>
            <w:rPr>
              <w:b/>
            </w:rPr>
            <w:fldChar w:fldCharType="separate"/>
          </w:r>
          <w:r>
            <w:rPr>
              <w:b/>
            </w:rPr>
            <w:t>29</w:t>
          </w:r>
          <w:r>
            <w:rPr>
              <w:b/>
            </w:rPr>
            <w:fldChar w:fldCharType="end"/>
          </w:r>
          <w:r>
            <w:rPr>
              <w:b/>
            </w:rPr>
            <w:fldChar w:fldCharType="end"/>
          </w:r>
        </w:p>
        <w:p>
          <w:pPr>
            <w:pStyle w:val="52"/>
            <w:tabs>
              <w:tab w:val="right" w:leader="dot" w:pos="8306"/>
            </w:tabs>
            <w:rPr>
              <w:b/>
            </w:rPr>
          </w:pPr>
          <w:r>
            <w:fldChar w:fldCharType="begin"/>
          </w:r>
          <w:r>
            <w:instrText xml:space="preserve"> HYPERLINK \l "_Toc19236" </w:instrText>
          </w:r>
          <w:r>
            <w:fldChar w:fldCharType="separate"/>
          </w:r>
          <w:r>
            <w:rPr>
              <w:rFonts w:hint="eastAsia"/>
              <w:b/>
            </w:rPr>
            <w:t>引用标准名录</w:t>
          </w:r>
          <w:r>
            <w:rPr>
              <w:b/>
            </w:rPr>
            <w:tab/>
          </w:r>
          <w:r>
            <w:rPr>
              <w:b/>
            </w:rPr>
            <w:fldChar w:fldCharType="begin"/>
          </w:r>
          <w:r>
            <w:rPr>
              <w:b/>
            </w:rPr>
            <w:instrText xml:space="preserve"> PAGEREF _Toc19236 \h </w:instrText>
          </w:r>
          <w:r>
            <w:rPr>
              <w:b/>
            </w:rPr>
            <w:fldChar w:fldCharType="separate"/>
          </w:r>
          <w:r>
            <w:rPr>
              <w:b/>
            </w:rPr>
            <w:t>30</w:t>
          </w:r>
          <w:r>
            <w:rPr>
              <w:b/>
            </w:rPr>
            <w:fldChar w:fldCharType="end"/>
          </w:r>
          <w:r>
            <w:rPr>
              <w:b/>
            </w:rPr>
            <w:fldChar w:fldCharType="end"/>
          </w:r>
        </w:p>
        <w:p>
          <w:pPr>
            <w:spacing w:line="312" w:lineRule="auto"/>
            <w:rPr>
              <w:rFonts w:ascii="宋体" w:hAnsi="宋体"/>
              <w:b/>
              <w:bCs/>
              <w:color w:val="auto"/>
              <w:szCs w:val="24"/>
            </w:rPr>
          </w:pPr>
          <w:r>
            <w:rPr>
              <w:rFonts w:ascii="宋体" w:hAnsi="宋体"/>
              <w:b/>
              <w:bCs/>
              <w:color w:val="auto"/>
              <w:szCs w:val="24"/>
            </w:rPr>
            <w:fldChar w:fldCharType="end"/>
          </w:r>
          <w:r>
            <w:rPr>
              <w:rFonts w:hint="eastAsia" w:ascii="Times New Roman" w:hAnsi="Times New Roman"/>
              <w:b/>
              <w:bCs w:val="0"/>
              <w:color w:val="auto"/>
              <w:sz w:val="20"/>
              <w:szCs w:val="20"/>
            </w:rPr>
            <w:t>附：条文说明</w:t>
          </w:r>
        </w:p>
      </w:sdtContent>
    </w:sdt>
    <w:p>
      <w:pPr>
        <w:spacing w:line="312" w:lineRule="auto"/>
        <w:rPr>
          <w:rFonts w:ascii="宋体" w:hAnsi="宋体"/>
          <w:b/>
          <w:bCs/>
          <w:color w:val="auto"/>
          <w:sz w:val="24"/>
          <w:szCs w:val="24"/>
        </w:rPr>
      </w:pPr>
    </w:p>
    <w:p>
      <w:pPr>
        <w:rPr>
          <w:rFonts w:ascii="黑体" w:hAnsi="黑体" w:eastAsia="黑体"/>
          <w:bCs/>
          <w:color w:val="auto"/>
          <w:sz w:val="36"/>
          <w:szCs w:val="32"/>
        </w:rPr>
      </w:pPr>
      <w:r>
        <w:rPr>
          <w:rFonts w:hint="eastAsia" w:ascii="黑体" w:hAnsi="黑体" w:eastAsia="黑体"/>
          <w:bCs/>
          <w:color w:val="auto"/>
          <w:sz w:val="36"/>
          <w:szCs w:val="32"/>
        </w:rPr>
        <w:br w:type="page"/>
      </w:r>
    </w:p>
    <w:p>
      <w:pPr>
        <w:pStyle w:val="30"/>
        <w:spacing w:after="240"/>
        <w:jc w:val="center"/>
        <w:rPr>
          <w:rFonts w:ascii="黑体" w:hAnsi="黑体" w:eastAsia="黑体" w:cs="Times New Roman"/>
          <w:bCs/>
          <w:color w:val="auto"/>
          <w:sz w:val="36"/>
          <w:szCs w:val="32"/>
        </w:rPr>
      </w:pPr>
      <w:r>
        <w:rPr>
          <w:rFonts w:hint="eastAsia" w:ascii="黑体" w:hAnsi="黑体" w:eastAsia="黑体" w:cs="Times New Roman"/>
          <w:bCs/>
          <w:color w:val="auto"/>
          <w:sz w:val="36"/>
          <w:szCs w:val="32"/>
        </w:rPr>
        <w:t>C</w:t>
      </w:r>
      <w:r>
        <w:rPr>
          <w:rFonts w:ascii="黑体" w:hAnsi="黑体" w:eastAsia="黑体" w:cs="Times New Roman"/>
          <w:bCs/>
          <w:color w:val="auto"/>
          <w:sz w:val="36"/>
          <w:szCs w:val="32"/>
        </w:rPr>
        <w:t>ontents</w:t>
      </w:r>
    </w:p>
    <w:sdt>
      <w:sdtPr>
        <w:rPr>
          <w:rFonts w:ascii="宋体" w:hAnsi="宋体"/>
          <w:b w:val="0"/>
          <w:bCs w:val="0"/>
        </w:rPr>
        <w:id w:val="147456963"/>
        <w15:color w:val="DBDBDB"/>
        <w:docPartObj>
          <w:docPartGallery w:val="Table of Contents"/>
          <w:docPartUnique/>
        </w:docPartObj>
      </w:sdtPr>
      <w:sdtEndPr>
        <w:rPr>
          <w:rFonts w:ascii="宋体" w:hAnsi="宋体"/>
          <w:b/>
          <w:bCs/>
          <w:color w:val="auto"/>
          <w:szCs w:val="24"/>
        </w:rPr>
      </w:sdtEndPr>
      <w:sdtContent>
        <w:p>
          <w:pPr>
            <w:jc w:val="center"/>
            <w:rPr>
              <w:rFonts w:hint="eastAsia" w:ascii="宋体" w:hAnsi="宋体" w:cs="宋体"/>
              <w:b w:val="0"/>
              <w:bCs w:val="0"/>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TOC \o "1-2" \h \u </w:instrText>
          </w:r>
          <w:r>
            <w:rPr>
              <w:rFonts w:hint="eastAsia" w:ascii="宋体" w:hAnsi="宋体" w:cs="宋体"/>
              <w:b w:val="0"/>
              <w:bCs w:val="0"/>
              <w:color w:val="auto"/>
              <w:sz w:val="21"/>
              <w:szCs w:val="21"/>
            </w:rPr>
            <w:fldChar w:fldCharType="separate"/>
          </w:r>
        </w:p>
        <w:p>
          <w:pPr>
            <w:pStyle w:val="52"/>
            <w:tabs>
              <w:tab w:val="right" w:leader="dot" w:pos="8306"/>
            </w:tabs>
            <w:rPr>
              <w:rFonts w:hint="eastAsia" w:ascii="宋体" w:hAnsi="宋体" w:cs="宋体"/>
              <w:b w:val="0"/>
              <w:bCs w:val="0"/>
              <w:sz w:val="21"/>
              <w:szCs w:val="21"/>
            </w:rPr>
          </w:pP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"_Toc15298" </w:instrText>
          </w:r>
          <w:r>
            <w:rPr>
              <w:rFonts w:hint="eastAsia" w:ascii="宋体" w:hAnsi="宋体" w:cs="宋体"/>
              <w:b w:val="0"/>
              <w:bCs w:val="0"/>
              <w:sz w:val="21"/>
              <w:szCs w:val="21"/>
            </w:rPr>
            <w:fldChar w:fldCharType="separate"/>
          </w:r>
          <w:r>
            <w:rPr>
              <w:rFonts w:hint="eastAsia" w:ascii="宋体" w:hAnsi="宋体" w:eastAsia="宋体" w:cs="宋体"/>
              <w:b w:val="0"/>
              <w:bCs w:val="0"/>
              <w:sz w:val="21"/>
              <w:szCs w:val="21"/>
            </w:rPr>
            <w:t xml:space="preserve">1 </w:t>
          </w:r>
          <w:r>
            <w:rPr>
              <w:rFonts w:hint="eastAsia" w:ascii="宋体" w:hAnsi="宋体" w:eastAsia="宋体" w:cs="宋体"/>
              <w:b w:val="0"/>
              <w:bCs w:val="0"/>
              <w:sz w:val="21"/>
              <w:szCs w:val="21"/>
              <w:lang w:val="en-US" w:eastAsia="zh-CN"/>
            </w:rPr>
            <w:t>General Provisions</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_Toc15298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2</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52"/>
            <w:tabs>
              <w:tab w:val="right" w:leader="dot" w:pos="8306"/>
            </w:tabs>
            <w:rPr>
              <w:rFonts w:hint="eastAsia" w:ascii="宋体" w:hAnsi="宋体" w:cs="宋体"/>
              <w:b w:val="0"/>
              <w:bCs w:val="0"/>
              <w:sz w:val="21"/>
              <w:szCs w:val="21"/>
            </w:rPr>
          </w:pP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"_Toc12500" </w:instrText>
          </w:r>
          <w:r>
            <w:rPr>
              <w:rFonts w:hint="eastAsia" w:ascii="宋体" w:hAnsi="宋体" w:cs="宋体"/>
              <w:b w:val="0"/>
              <w:bCs w:val="0"/>
              <w:sz w:val="21"/>
              <w:szCs w:val="21"/>
            </w:rPr>
            <w:fldChar w:fldCharType="separate"/>
          </w:r>
          <w:r>
            <w:rPr>
              <w:rFonts w:hint="eastAsia" w:ascii="宋体" w:hAnsi="宋体" w:eastAsia="宋体" w:cs="宋体"/>
              <w:b w:val="0"/>
              <w:bCs w:val="0"/>
              <w:sz w:val="21"/>
              <w:szCs w:val="21"/>
            </w:rPr>
            <w:t xml:space="preserve">2 </w:t>
          </w:r>
          <w:r>
            <w:rPr>
              <w:rFonts w:hint="eastAsia" w:ascii="宋体" w:hAnsi="宋体" w:eastAsia="宋体" w:cs="宋体"/>
              <w:b w:val="0"/>
              <w:bCs w:val="0"/>
              <w:sz w:val="21"/>
              <w:szCs w:val="21"/>
              <w:lang w:val="en-US" w:eastAsia="zh-CN"/>
            </w:rPr>
            <w:t>Terms</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_Toc12500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3</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52"/>
            <w:tabs>
              <w:tab w:val="right" w:leader="dot" w:pos="8306"/>
            </w:tabs>
            <w:rPr>
              <w:rFonts w:hint="eastAsia" w:ascii="宋体" w:hAnsi="宋体" w:cs="宋体"/>
              <w:b w:val="0"/>
              <w:bCs w:val="0"/>
              <w:sz w:val="21"/>
              <w:szCs w:val="21"/>
            </w:rPr>
          </w:pP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"_Toc4063" </w:instrText>
          </w:r>
          <w:r>
            <w:rPr>
              <w:rFonts w:hint="eastAsia" w:ascii="宋体" w:hAnsi="宋体" w:cs="宋体"/>
              <w:b w:val="0"/>
              <w:bCs w:val="0"/>
              <w:sz w:val="21"/>
              <w:szCs w:val="21"/>
            </w:rPr>
            <w:fldChar w:fldCharType="separate"/>
          </w:r>
          <w:r>
            <w:rPr>
              <w:rFonts w:hint="eastAsia" w:ascii="宋体" w:hAnsi="宋体" w:eastAsia="宋体" w:cs="宋体"/>
              <w:b w:val="0"/>
              <w:bCs w:val="0"/>
              <w:sz w:val="21"/>
              <w:szCs w:val="21"/>
            </w:rPr>
            <w:t xml:space="preserve">3 </w:t>
          </w:r>
          <w:r>
            <w:rPr>
              <w:rFonts w:hint="eastAsia" w:ascii="宋体" w:hAnsi="宋体" w:eastAsia="宋体" w:cs="宋体"/>
              <w:b w:val="0"/>
              <w:bCs w:val="0"/>
              <w:sz w:val="21"/>
              <w:szCs w:val="21"/>
              <w:lang w:val="en-US" w:eastAsia="zh-CN"/>
            </w:rPr>
            <w:t>Basic Requirements</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_Toc4063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5</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52"/>
            <w:tabs>
              <w:tab w:val="right" w:leader="dot" w:pos="8306"/>
            </w:tabs>
            <w:rPr>
              <w:rFonts w:hint="eastAsia" w:ascii="宋体" w:hAnsi="宋体" w:cs="宋体"/>
              <w:b w:val="0"/>
              <w:bCs w:val="0"/>
              <w:sz w:val="21"/>
              <w:szCs w:val="21"/>
            </w:rPr>
          </w:pP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"_Toc10895" </w:instrText>
          </w:r>
          <w:r>
            <w:rPr>
              <w:rFonts w:hint="eastAsia" w:ascii="宋体" w:hAnsi="宋体" w:cs="宋体"/>
              <w:b w:val="0"/>
              <w:bCs w:val="0"/>
              <w:sz w:val="21"/>
              <w:szCs w:val="21"/>
            </w:rPr>
            <w:fldChar w:fldCharType="separate"/>
          </w:r>
          <w:r>
            <w:rPr>
              <w:rFonts w:hint="eastAsia" w:ascii="宋体" w:hAnsi="宋体" w:eastAsia="宋体" w:cs="宋体"/>
              <w:b w:val="0"/>
              <w:bCs w:val="0"/>
              <w:sz w:val="21"/>
              <w:szCs w:val="21"/>
            </w:rPr>
            <w:t xml:space="preserve">4 </w:t>
          </w:r>
          <w:r>
            <w:rPr>
              <w:rFonts w:hint="eastAsia" w:ascii="宋体" w:hAnsi="宋体" w:eastAsia="宋体" w:cs="宋体"/>
              <w:b w:val="0"/>
              <w:bCs w:val="0"/>
              <w:sz w:val="21"/>
              <w:szCs w:val="21"/>
              <w:lang w:val="en-US" w:eastAsia="zh-CN"/>
            </w:rPr>
            <w:t>Technical Performance Index</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_Toc10895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6</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52"/>
            <w:tabs>
              <w:tab w:val="right" w:leader="dot" w:pos="8306"/>
            </w:tabs>
            <w:rPr>
              <w:rFonts w:hint="eastAsia" w:ascii="宋体" w:hAnsi="宋体" w:cs="宋体"/>
              <w:b w:val="0"/>
              <w:bCs w:val="0"/>
              <w:sz w:val="21"/>
              <w:szCs w:val="21"/>
            </w:rPr>
          </w:pP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"_Toc2576" </w:instrText>
          </w:r>
          <w:r>
            <w:rPr>
              <w:rFonts w:hint="eastAsia" w:ascii="宋体" w:hAnsi="宋体" w:cs="宋体"/>
              <w:b w:val="0"/>
              <w:bCs w:val="0"/>
              <w:sz w:val="21"/>
              <w:szCs w:val="21"/>
            </w:rPr>
            <w:fldChar w:fldCharType="separate"/>
          </w:r>
          <w:r>
            <w:rPr>
              <w:rFonts w:hint="eastAsia" w:ascii="宋体" w:hAnsi="宋体" w:eastAsia="宋体" w:cs="宋体"/>
              <w:b w:val="0"/>
              <w:bCs w:val="0"/>
              <w:sz w:val="21"/>
              <w:szCs w:val="21"/>
            </w:rPr>
            <w:t xml:space="preserve">5 </w:t>
          </w:r>
          <w:r>
            <w:rPr>
              <w:rFonts w:hint="eastAsia" w:ascii="宋体" w:hAnsi="宋体" w:eastAsia="宋体" w:cs="宋体"/>
              <w:b w:val="0"/>
              <w:bCs w:val="0"/>
              <w:sz w:val="21"/>
              <w:szCs w:val="21"/>
              <w:lang w:val="en-US" w:eastAsia="zh-CN"/>
            </w:rPr>
            <w:t>W</w:t>
          </w:r>
          <w:r>
            <w:rPr>
              <w:rFonts w:hint="eastAsia" w:ascii="宋体" w:hAnsi="宋体" w:eastAsia="宋体" w:cs="宋体"/>
              <w:b w:val="0"/>
              <w:bCs w:val="0"/>
              <w:sz w:val="21"/>
              <w:szCs w:val="21"/>
            </w:rPr>
            <w:t xml:space="preserve">hole </w:t>
          </w:r>
          <w:r>
            <w:rPr>
              <w:rFonts w:hint="eastAsia" w:ascii="宋体" w:hAnsi="宋体" w:eastAsia="宋体" w:cs="宋体"/>
              <w:b w:val="0"/>
              <w:bCs w:val="0"/>
              <w:sz w:val="21"/>
              <w:szCs w:val="21"/>
              <w:lang w:val="en-US" w:eastAsia="zh-CN"/>
            </w:rPr>
            <w:t>L</w:t>
          </w:r>
          <w:r>
            <w:rPr>
              <w:rFonts w:hint="eastAsia" w:ascii="宋体" w:hAnsi="宋体" w:eastAsia="宋体" w:cs="宋体"/>
              <w:b w:val="0"/>
              <w:bCs w:val="0"/>
              <w:sz w:val="21"/>
              <w:szCs w:val="21"/>
            </w:rPr>
            <w:t xml:space="preserve">ife </w:t>
          </w:r>
          <w:r>
            <w:rPr>
              <w:rFonts w:hint="eastAsia" w:ascii="宋体" w:hAnsi="宋体" w:eastAsia="宋体" w:cs="宋体"/>
              <w:b w:val="0"/>
              <w:bCs w:val="0"/>
              <w:sz w:val="21"/>
              <w:szCs w:val="21"/>
              <w:lang w:val="en-US" w:eastAsia="zh-CN"/>
            </w:rPr>
            <w:t>C</w:t>
          </w:r>
          <w:r>
            <w:rPr>
              <w:rFonts w:hint="eastAsia" w:ascii="宋体" w:hAnsi="宋体" w:eastAsia="宋体" w:cs="宋体"/>
              <w:b w:val="0"/>
              <w:bCs w:val="0"/>
              <w:sz w:val="21"/>
              <w:szCs w:val="21"/>
            </w:rPr>
            <w:t xml:space="preserve">arbon </w:t>
          </w:r>
          <w:r>
            <w:rPr>
              <w:rFonts w:hint="eastAsia" w:ascii="宋体" w:hAnsi="宋体" w:eastAsia="宋体" w:cs="宋体"/>
              <w:b w:val="0"/>
              <w:bCs w:val="0"/>
              <w:sz w:val="21"/>
              <w:szCs w:val="21"/>
              <w:lang w:val="en-US" w:eastAsia="zh-CN"/>
            </w:rPr>
            <w:t>E</w:t>
          </w:r>
          <w:r>
            <w:rPr>
              <w:rFonts w:hint="eastAsia" w:ascii="宋体" w:hAnsi="宋体" w:eastAsia="宋体" w:cs="宋体"/>
              <w:b w:val="0"/>
              <w:bCs w:val="0"/>
              <w:sz w:val="21"/>
              <w:szCs w:val="21"/>
            </w:rPr>
            <w:t xml:space="preserve">mission </w:t>
          </w:r>
          <w:r>
            <w:rPr>
              <w:rFonts w:hint="eastAsia" w:ascii="宋体" w:hAnsi="宋体" w:eastAsia="宋体" w:cs="宋体"/>
              <w:b w:val="0"/>
              <w:bCs w:val="0"/>
              <w:sz w:val="21"/>
              <w:szCs w:val="21"/>
              <w:lang w:val="en-US" w:eastAsia="zh-CN"/>
            </w:rPr>
            <w:t>P</w:t>
          </w:r>
          <w:r>
            <w:rPr>
              <w:rFonts w:hint="eastAsia" w:ascii="宋体" w:hAnsi="宋体" w:eastAsia="宋体" w:cs="宋体"/>
              <w:b w:val="0"/>
              <w:bCs w:val="0"/>
              <w:sz w:val="21"/>
              <w:szCs w:val="21"/>
            </w:rPr>
            <w:t xml:space="preserve">erformance </w:t>
          </w:r>
          <w:r>
            <w:rPr>
              <w:rFonts w:hint="eastAsia" w:ascii="宋体" w:hAnsi="宋体" w:eastAsia="宋体" w:cs="宋体"/>
              <w:b w:val="0"/>
              <w:bCs w:val="0"/>
              <w:sz w:val="21"/>
              <w:szCs w:val="21"/>
              <w:lang w:val="en-US" w:eastAsia="zh-CN"/>
            </w:rPr>
            <w:t>T</w:t>
          </w:r>
          <w:r>
            <w:rPr>
              <w:rFonts w:hint="eastAsia" w:ascii="宋体" w:hAnsi="宋体" w:eastAsia="宋体" w:cs="宋体"/>
              <w:b w:val="0"/>
              <w:bCs w:val="0"/>
              <w:sz w:val="21"/>
              <w:szCs w:val="21"/>
            </w:rPr>
            <w:t xml:space="preserve">arget </w:t>
          </w: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rPr>
            <w:t xml:space="preserve">anagement </w:t>
          </w: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rPr>
            <w:t>ethod</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_Toc2576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8</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52"/>
            <w:tabs>
              <w:tab w:val="right" w:leader="dot" w:pos="8306"/>
            </w:tabs>
            <w:rPr>
              <w:rFonts w:hint="eastAsia" w:ascii="宋体" w:hAnsi="宋体" w:cs="宋体"/>
              <w:b w:val="0"/>
              <w:bCs w:val="0"/>
              <w:sz w:val="21"/>
              <w:szCs w:val="21"/>
            </w:rPr>
          </w:pP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"_Toc31439" </w:instrText>
          </w:r>
          <w:r>
            <w:rPr>
              <w:rFonts w:hint="eastAsia" w:ascii="宋体" w:hAnsi="宋体" w:cs="宋体"/>
              <w:b w:val="0"/>
              <w:bCs w:val="0"/>
              <w:sz w:val="21"/>
              <w:szCs w:val="21"/>
            </w:rPr>
            <w:fldChar w:fldCharType="separate"/>
          </w:r>
          <w:r>
            <w:rPr>
              <w:rFonts w:hint="eastAsia" w:ascii="宋体" w:hAnsi="宋体" w:eastAsia="宋体" w:cs="宋体"/>
              <w:b w:val="0"/>
              <w:bCs w:val="0"/>
              <w:sz w:val="21"/>
              <w:szCs w:val="21"/>
            </w:rPr>
            <w:t xml:space="preserve">6 </w:t>
          </w:r>
          <w:r>
            <w:rPr>
              <w:rFonts w:hint="eastAsia" w:ascii="宋体" w:hAnsi="宋体" w:eastAsia="宋体" w:cs="宋体"/>
              <w:b w:val="0"/>
              <w:bCs w:val="0"/>
              <w:sz w:val="21"/>
              <w:szCs w:val="21"/>
              <w:lang w:val="en-US" w:eastAsia="zh-CN"/>
            </w:rPr>
            <w:t>Low carbon building Plan and Design</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_Toc31439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11</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53"/>
            <w:tabs>
              <w:tab w:val="right" w:leader="dot" w:pos="8306"/>
            </w:tabs>
            <w:ind w:left="420"/>
            <w:rPr>
              <w:rFonts w:hint="eastAsia" w:ascii="宋体" w:hAnsi="宋体" w:cs="宋体"/>
              <w:b w:val="0"/>
              <w:bCs w:val="0"/>
              <w:sz w:val="21"/>
              <w:szCs w:val="21"/>
            </w:rPr>
          </w:pP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"_Toc26413" </w:instrText>
          </w:r>
          <w:r>
            <w:rPr>
              <w:rFonts w:hint="eastAsia" w:ascii="宋体" w:hAnsi="宋体" w:cs="宋体"/>
              <w:b w:val="0"/>
              <w:bCs w:val="0"/>
              <w:sz w:val="21"/>
              <w:szCs w:val="21"/>
            </w:rPr>
            <w:fldChar w:fldCharType="separate"/>
          </w:r>
          <w:r>
            <w:rPr>
              <w:rFonts w:hint="eastAsia" w:ascii="宋体" w:hAnsi="宋体" w:eastAsia="宋体" w:cs="宋体"/>
              <w:b w:val="0"/>
              <w:bCs w:val="0"/>
              <w:sz w:val="21"/>
              <w:szCs w:val="21"/>
            </w:rPr>
            <w:t>6.1</w:t>
          </w:r>
          <w:r>
            <w:rPr>
              <w:rFonts w:hint="eastAsia" w:ascii="宋体" w:hAnsi="宋体" w:eastAsia="宋体" w:cs="宋体"/>
              <w:b w:val="0"/>
              <w:bCs w:val="0"/>
              <w:sz w:val="21"/>
              <w:szCs w:val="21"/>
              <w:lang w:val="en-US" w:eastAsia="zh-CN"/>
            </w:rPr>
            <w:t xml:space="preserve"> Site Planning and Design</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_Toc26413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11</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53"/>
            <w:tabs>
              <w:tab w:val="right" w:leader="dot" w:pos="8306"/>
            </w:tabs>
            <w:ind w:left="420"/>
            <w:rPr>
              <w:rFonts w:hint="eastAsia" w:ascii="宋体" w:hAnsi="宋体" w:cs="宋体"/>
              <w:b w:val="0"/>
              <w:bCs w:val="0"/>
              <w:sz w:val="21"/>
              <w:szCs w:val="21"/>
            </w:rPr>
          </w:pP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"_Toc15248" </w:instrText>
          </w:r>
          <w:r>
            <w:rPr>
              <w:rFonts w:hint="eastAsia" w:ascii="宋体" w:hAnsi="宋体" w:cs="宋体"/>
              <w:b w:val="0"/>
              <w:bCs w:val="0"/>
              <w:sz w:val="21"/>
              <w:szCs w:val="21"/>
            </w:rPr>
            <w:fldChar w:fldCharType="separate"/>
          </w:r>
          <w:r>
            <w:rPr>
              <w:rFonts w:hint="eastAsia" w:ascii="宋体" w:hAnsi="宋体" w:eastAsia="宋体" w:cs="宋体"/>
              <w:b w:val="0"/>
              <w:bCs w:val="0"/>
              <w:sz w:val="21"/>
              <w:szCs w:val="21"/>
            </w:rPr>
            <w:t>6.2</w:t>
          </w:r>
          <w:r>
            <w:rPr>
              <w:rFonts w:hint="eastAsia" w:ascii="宋体" w:hAnsi="宋体" w:eastAsia="宋体" w:cs="宋体"/>
              <w:b w:val="0"/>
              <w:bCs w:val="0"/>
              <w:sz w:val="21"/>
              <w:szCs w:val="21"/>
              <w:lang w:val="en-US" w:eastAsia="zh-CN"/>
            </w:rPr>
            <w:t xml:space="preserve"> Building Design</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_Toc15248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53"/>
            <w:tabs>
              <w:tab w:val="right" w:leader="dot" w:pos="8306"/>
            </w:tabs>
            <w:ind w:left="420"/>
            <w:rPr>
              <w:rFonts w:hint="eastAsia" w:ascii="宋体" w:hAnsi="宋体" w:cs="宋体"/>
              <w:b w:val="0"/>
              <w:bCs w:val="0"/>
              <w:sz w:val="21"/>
              <w:szCs w:val="21"/>
            </w:rPr>
          </w:pP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"_Toc12466" </w:instrText>
          </w:r>
          <w:r>
            <w:rPr>
              <w:rFonts w:hint="eastAsia" w:ascii="宋体" w:hAnsi="宋体" w:cs="宋体"/>
              <w:b w:val="0"/>
              <w:bCs w:val="0"/>
              <w:sz w:val="21"/>
              <w:szCs w:val="21"/>
            </w:rPr>
            <w:fldChar w:fldCharType="separate"/>
          </w:r>
          <w:r>
            <w:rPr>
              <w:rFonts w:hint="eastAsia" w:ascii="宋体" w:hAnsi="宋体" w:eastAsia="宋体" w:cs="宋体"/>
              <w:b w:val="0"/>
              <w:bCs w:val="0"/>
              <w:sz w:val="21"/>
              <w:szCs w:val="21"/>
            </w:rPr>
            <w:t>6.3</w:t>
          </w:r>
          <w:r>
            <w:rPr>
              <w:rFonts w:hint="eastAsia" w:ascii="宋体" w:hAnsi="宋体" w:eastAsia="宋体" w:cs="宋体"/>
              <w:b w:val="0"/>
              <w:bCs w:val="0"/>
              <w:sz w:val="21"/>
              <w:szCs w:val="21"/>
              <w:lang w:val="en-US" w:eastAsia="zh-CN"/>
            </w:rPr>
            <w:t xml:space="preserve"> Enclosure Design</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_Toc12466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16</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52"/>
            <w:tabs>
              <w:tab w:val="right" w:leader="dot" w:pos="8306"/>
            </w:tabs>
            <w:rPr>
              <w:rFonts w:hint="eastAsia" w:ascii="宋体" w:hAnsi="宋体" w:cs="宋体"/>
              <w:b w:val="0"/>
              <w:bCs w:val="0"/>
              <w:sz w:val="21"/>
              <w:szCs w:val="21"/>
            </w:rPr>
          </w:pP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"_Toc15525" </w:instrText>
          </w:r>
          <w:r>
            <w:rPr>
              <w:rFonts w:hint="eastAsia" w:ascii="宋体" w:hAnsi="宋体" w:cs="宋体"/>
              <w:b w:val="0"/>
              <w:bCs w:val="0"/>
              <w:sz w:val="21"/>
              <w:szCs w:val="21"/>
            </w:rPr>
            <w:fldChar w:fldCharType="separate"/>
          </w:r>
          <w:r>
            <w:rPr>
              <w:rFonts w:hint="eastAsia" w:ascii="宋体" w:hAnsi="宋体" w:eastAsia="宋体" w:cs="宋体"/>
              <w:b w:val="0"/>
              <w:bCs w:val="0"/>
              <w:sz w:val="21"/>
              <w:szCs w:val="21"/>
            </w:rPr>
            <w:t xml:space="preserve">7 </w:t>
          </w:r>
          <w:r>
            <w:rPr>
              <w:rFonts w:hint="eastAsia" w:ascii="宋体" w:hAnsi="宋体" w:eastAsia="宋体" w:cs="宋体"/>
              <w:b w:val="0"/>
              <w:bCs w:val="0"/>
              <w:sz w:val="21"/>
              <w:szCs w:val="21"/>
              <w:lang w:val="en-US" w:eastAsia="zh-CN"/>
            </w:rPr>
            <w:t>Low Carbon Energy System Design</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_Toc15525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2</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53"/>
            <w:tabs>
              <w:tab w:val="right" w:leader="dot" w:pos="8306"/>
            </w:tabs>
            <w:ind w:left="420"/>
            <w:rPr>
              <w:rFonts w:hint="eastAsia" w:ascii="宋体" w:hAnsi="宋体" w:cs="宋体"/>
              <w:b w:val="0"/>
              <w:bCs w:val="0"/>
              <w:sz w:val="21"/>
              <w:szCs w:val="21"/>
            </w:rPr>
          </w:pP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"_Toc11628" </w:instrText>
          </w:r>
          <w:r>
            <w:rPr>
              <w:rFonts w:hint="eastAsia" w:ascii="宋体" w:hAnsi="宋体" w:cs="宋体"/>
              <w:b w:val="0"/>
              <w:bCs w:val="0"/>
              <w:sz w:val="21"/>
              <w:szCs w:val="21"/>
            </w:rPr>
            <w:fldChar w:fldCharType="separate"/>
          </w:r>
          <w:r>
            <w:rPr>
              <w:rFonts w:hint="eastAsia" w:ascii="宋体" w:hAnsi="宋体" w:eastAsia="宋体" w:cs="宋体"/>
              <w:b w:val="0"/>
              <w:bCs w:val="0"/>
              <w:sz w:val="21"/>
              <w:szCs w:val="21"/>
            </w:rPr>
            <w:t xml:space="preserve">7.1 </w:t>
          </w:r>
          <w:r>
            <w:rPr>
              <w:rFonts w:hint="eastAsia" w:ascii="宋体" w:hAnsi="宋体" w:eastAsia="宋体" w:cs="宋体"/>
              <w:b w:val="0"/>
              <w:bCs w:val="0"/>
              <w:sz w:val="21"/>
              <w:szCs w:val="21"/>
              <w:lang w:val="en-US" w:eastAsia="zh-CN"/>
            </w:rPr>
            <w:t>Mechanical and Electrical System Design</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_Toc11628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2</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53"/>
            <w:tabs>
              <w:tab w:val="right" w:leader="dot" w:pos="8306"/>
            </w:tabs>
            <w:ind w:left="420"/>
            <w:rPr>
              <w:rFonts w:hint="eastAsia" w:ascii="宋体" w:hAnsi="宋体" w:cs="宋体"/>
              <w:b w:val="0"/>
              <w:bCs w:val="0"/>
              <w:sz w:val="21"/>
              <w:szCs w:val="21"/>
            </w:rPr>
          </w:pP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"_Toc31082" </w:instrText>
          </w:r>
          <w:r>
            <w:rPr>
              <w:rFonts w:hint="eastAsia" w:ascii="宋体" w:hAnsi="宋体" w:cs="宋体"/>
              <w:b w:val="0"/>
              <w:bCs w:val="0"/>
              <w:sz w:val="21"/>
              <w:szCs w:val="21"/>
            </w:rPr>
            <w:fldChar w:fldCharType="separate"/>
          </w:r>
          <w:r>
            <w:rPr>
              <w:rFonts w:hint="eastAsia" w:ascii="宋体" w:hAnsi="宋体" w:eastAsia="宋体" w:cs="宋体"/>
              <w:b w:val="0"/>
              <w:bCs w:val="0"/>
              <w:sz w:val="21"/>
              <w:szCs w:val="21"/>
            </w:rPr>
            <w:t xml:space="preserve">7.2 Building </w:t>
          </w:r>
          <w:r>
            <w:rPr>
              <w:rFonts w:hint="eastAsia" w:ascii="宋体" w:hAnsi="宋体" w:eastAsia="宋体" w:cs="宋体"/>
              <w:b w:val="0"/>
              <w:bCs w:val="0"/>
              <w:sz w:val="21"/>
              <w:szCs w:val="21"/>
              <w:lang w:val="en-US" w:eastAsia="zh-CN"/>
            </w:rPr>
            <w:t>P</w:t>
          </w:r>
          <w:r>
            <w:rPr>
              <w:rFonts w:hint="eastAsia" w:ascii="宋体" w:hAnsi="宋体" w:eastAsia="宋体" w:cs="宋体"/>
              <w:b w:val="0"/>
              <w:bCs w:val="0"/>
              <w:sz w:val="21"/>
              <w:szCs w:val="21"/>
            </w:rPr>
            <w:t xml:space="preserve">hotovoltaic </w:t>
          </w:r>
          <w:r>
            <w:rPr>
              <w:rFonts w:hint="eastAsia" w:ascii="宋体" w:hAnsi="宋体" w:eastAsia="宋体" w:cs="宋体"/>
              <w:b w:val="0"/>
              <w:bCs w:val="0"/>
              <w:sz w:val="21"/>
              <w:szCs w:val="21"/>
              <w:lang w:val="en-US" w:eastAsia="zh-CN"/>
            </w:rPr>
            <w:t>I</w:t>
          </w:r>
          <w:r>
            <w:rPr>
              <w:rFonts w:hint="eastAsia" w:ascii="宋体" w:hAnsi="宋体" w:eastAsia="宋体" w:cs="宋体"/>
              <w:b w:val="0"/>
              <w:bCs w:val="0"/>
              <w:sz w:val="21"/>
              <w:szCs w:val="21"/>
            </w:rPr>
            <w:t xml:space="preserve">ntegrated </w:t>
          </w:r>
          <w:r>
            <w:rPr>
              <w:rFonts w:hint="eastAsia" w:ascii="宋体" w:hAnsi="宋体" w:eastAsia="宋体" w:cs="宋体"/>
              <w:b w:val="0"/>
              <w:bCs w:val="0"/>
              <w:sz w:val="21"/>
              <w:szCs w:val="21"/>
              <w:lang w:val="en-US" w:eastAsia="zh-CN"/>
            </w:rPr>
            <w:t>S</w:t>
          </w:r>
          <w:r>
            <w:rPr>
              <w:rFonts w:hint="eastAsia" w:ascii="宋体" w:hAnsi="宋体" w:eastAsia="宋体" w:cs="宋体"/>
              <w:b w:val="0"/>
              <w:bCs w:val="0"/>
              <w:sz w:val="21"/>
              <w:szCs w:val="21"/>
            </w:rPr>
            <w:t>ystem</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_Toc31082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52"/>
            <w:tabs>
              <w:tab w:val="right" w:leader="dot" w:pos="8306"/>
            </w:tabs>
            <w:rPr>
              <w:rFonts w:hint="eastAsia" w:ascii="宋体" w:hAnsi="宋体" w:cs="宋体"/>
              <w:b w:val="0"/>
              <w:bCs w:val="0"/>
              <w:sz w:val="21"/>
              <w:szCs w:val="21"/>
            </w:rPr>
          </w:pP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"_Toc29339" </w:instrText>
          </w:r>
          <w:r>
            <w:rPr>
              <w:rFonts w:hint="eastAsia" w:ascii="宋体" w:hAnsi="宋体" w:cs="宋体"/>
              <w:b w:val="0"/>
              <w:bCs w:val="0"/>
              <w:sz w:val="21"/>
              <w:szCs w:val="21"/>
            </w:rPr>
            <w:fldChar w:fldCharType="separate"/>
          </w:r>
          <w:r>
            <w:rPr>
              <w:rFonts w:hint="eastAsia" w:ascii="宋体" w:hAnsi="宋体" w:eastAsia="宋体" w:cs="宋体"/>
              <w:b w:val="0"/>
              <w:bCs w:val="0"/>
              <w:sz w:val="21"/>
              <w:szCs w:val="21"/>
            </w:rPr>
            <w:t xml:space="preserve">8 </w:t>
          </w:r>
          <w:r>
            <w:rPr>
              <w:rFonts w:hint="eastAsia" w:ascii="宋体" w:hAnsi="宋体" w:eastAsia="宋体" w:cs="宋体"/>
              <w:b w:val="0"/>
              <w:bCs w:val="0"/>
              <w:sz w:val="21"/>
              <w:szCs w:val="21"/>
              <w:lang w:val="en-US" w:eastAsia="zh-CN"/>
            </w:rPr>
            <w:t>Low Carbon Construction</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_Toc29339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9</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53"/>
            <w:tabs>
              <w:tab w:val="right" w:leader="dot" w:pos="8306"/>
            </w:tabs>
            <w:ind w:left="420"/>
            <w:rPr>
              <w:rFonts w:hint="eastAsia" w:ascii="宋体" w:hAnsi="宋体" w:cs="宋体"/>
              <w:b w:val="0"/>
              <w:bCs w:val="0"/>
              <w:sz w:val="21"/>
              <w:szCs w:val="21"/>
            </w:rPr>
          </w:pP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"_Toc11462" </w:instrText>
          </w:r>
          <w:r>
            <w:rPr>
              <w:rFonts w:hint="eastAsia" w:ascii="宋体" w:hAnsi="宋体" w:cs="宋体"/>
              <w:b w:val="0"/>
              <w:bCs w:val="0"/>
              <w:sz w:val="21"/>
              <w:szCs w:val="21"/>
            </w:rPr>
            <w:fldChar w:fldCharType="separate"/>
          </w:r>
          <w:r>
            <w:rPr>
              <w:rFonts w:hint="eastAsia" w:ascii="宋体" w:hAnsi="宋体" w:eastAsia="宋体" w:cs="宋体"/>
              <w:b w:val="0"/>
              <w:bCs w:val="0"/>
              <w:sz w:val="21"/>
              <w:szCs w:val="21"/>
            </w:rPr>
            <w:t xml:space="preserve">8.1 </w:t>
          </w:r>
          <w:r>
            <w:rPr>
              <w:rFonts w:hint="eastAsia" w:ascii="宋体" w:hAnsi="宋体" w:eastAsia="宋体" w:cs="宋体"/>
              <w:b w:val="0"/>
              <w:bCs w:val="0"/>
              <w:sz w:val="21"/>
              <w:szCs w:val="21"/>
              <w:lang w:val="en-US" w:eastAsia="zh-CN"/>
            </w:rPr>
            <w:t>Low Carbon Construction Management</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_Toc11462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9</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53"/>
            <w:tabs>
              <w:tab w:val="right" w:leader="dot" w:pos="8306"/>
            </w:tabs>
            <w:ind w:left="420"/>
            <w:rPr>
              <w:rFonts w:hint="eastAsia" w:ascii="宋体" w:hAnsi="宋体" w:cs="宋体"/>
              <w:b w:val="0"/>
              <w:bCs w:val="0"/>
              <w:sz w:val="21"/>
              <w:szCs w:val="21"/>
            </w:rPr>
          </w:pP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"_Toc765" </w:instrText>
          </w:r>
          <w:r>
            <w:rPr>
              <w:rFonts w:hint="eastAsia" w:ascii="宋体" w:hAnsi="宋体" w:cs="宋体"/>
              <w:b w:val="0"/>
              <w:bCs w:val="0"/>
              <w:sz w:val="21"/>
              <w:szCs w:val="21"/>
            </w:rPr>
            <w:fldChar w:fldCharType="separate"/>
          </w:r>
          <w:r>
            <w:rPr>
              <w:rFonts w:hint="eastAsia" w:ascii="宋体" w:hAnsi="宋体" w:eastAsia="宋体" w:cs="宋体"/>
              <w:b w:val="0"/>
              <w:bCs w:val="0"/>
              <w:sz w:val="21"/>
              <w:szCs w:val="21"/>
            </w:rPr>
            <w:t xml:space="preserve">8.2 Divisional and </w:t>
          </w:r>
          <w:r>
            <w:rPr>
              <w:rFonts w:hint="eastAsia" w:ascii="宋体" w:hAnsi="宋体" w:eastAsia="宋体" w:cs="宋体"/>
              <w:b w:val="0"/>
              <w:bCs w:val="0"/>
              <w:sz w:val="21"/>
              <w:szCs w:val="21"/>
              <w:lang w:val="en-US" w:eastAsia="zh-CN"/>
            </w:rPr>
            <w:t>s</w:t>
          </w:r>
          <w:r>
            <w:rPr>
              <w:rFonts w:hint="eastAsia" w:ascii="宋体" w:hAnsi="宋体" w:eastAsia="宋体" w:cs="宋体"/>
              <w:b w:val="0"/>
              <w:bCs w:val="0"/>
              <w:sz w:val="21"/>
              <w:szCs w:val="21"/>
            </w:rPr>
            <w:t xml:space="preserve">ub </w:t>
          </w:r>
          <w:r>
            <w:rPr>
              <w:rFonts w:hint="eastAsia" w:ascii="宋体" w:hAnsi="宋体" w:eastAsia="宋体" w:cs="宋体"/>
              <w:b w:val="0"/>
              <w:bCs w:val="0"/>
              <w:sz w:val="21"/>
              <w:szCs w:val="21"/>
              <w:lang w:val="en-US" w:eastAsia="zh-CN"/>
            </w:rPr>
            <w:t>P</w:t>
          </w:r>
          <w:r>
            <w:rPr>
              <w:rFonts w:hint="eastAsia" w:ascii="宋体" w:hAnsi="宋体" w:eastAsia="宋体" w:cs="宋体"/>
              <w:b w:val="0"/>
              <w:bCs w:val="0"/>
              <w:sz w:val="21"/>
              <w:szCs w:val="21"/>
            </w:rPr>
            <w:t>roject</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_Toc765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53"/>
            <w:tabs>
              <w:tab w:val="right" w:leader="dot" w:pos="8306"/>
            </w:tabs>
            <w:ind w:left="420"/>
            <w:rPr>
              <w:rFonts w:hint="eastAsia" w:ascii="宋体" w:hAnsi="宋体" w:cs="宋体"/>
              <w:b w:val="0"/>
              <w:bCs w:val="0"/>
              <w:sz w:val="21"/>
              <w:szCs w:val="21"/>
            </w:rPr>
          </w:pP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"_Toc27585" </w:instrText>
          </w:r>
          <w:r>
            <w:rPr>
              <w:rFonts w:hint="eastAsia" w:ascii="宋体" w:hAnsi="宋体" w:cs="宋体"/>
              <w:b w:val="0"/>
              <w:bCs w:val="0"/>
              <w:sz w:val="21"/>
              <w:szCs w:val="21"/>
            </w:rPr>
            <w:fldChar w:fldCharType="separate"/>
          </w:r>
          <w:r>
            <w:rPr>
              <w:rFonts w:hint="eastAsia" w:ascii="宋体" w:hAnsi="宋体" w:eastAsia="宋体" w:cs="宋体"/>
              <w:b w:val="0"/>
              <w:bCs w:val="0"/>
              <w:sz w:val="21"/>
              <w:szCs w:val="21"/>
            </w:rPr>
            <w:t xml:space="preserve">8.3 Construction </w:t>
          </w: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rPr>
            <w:t xml:space="preserve">easures and </w:t>
          </w:r>
          <w:r>
            <w:rPr>
              <w:rFonts w:hint="eastAsia" w:ascii="宋体" w:hAnsi="宋体" w:eastAsia="宋体" w:cs="宋体"/>
              <w:b w:val="0"/>
              <w:bCs w:val="0"/>
              <w:sz w:val="21"/>
              <w:szCs w:val="21"/>
              <w:lang w:val="en-US" w:eastAsia="zh-CN"/>
            </w:rPr>
            <w:t>T</w:t>
          </w:r>
          <w:r>
            <w:rPr>
              <w:rFonts w:hint="eastAsia" w:ascii="宋体" w:hAnsi="宋体" w:eastAsia="宋体" w:cs="宋体"/>
              <w:b w:val="0"/>
              <w:bCs w:val="0"/>
              <w:sz w:val="21"/>
              <w:szCs w:val="21"/>
            </w:rPr>
            <w:t xml:space="preserve">ransportation during the </w:t>
          </w:r>
          <w:r>
            <w:rPr>
              <w:rFonts w:hint="eastAsia" w:ascii="宋体" w:hAnsi="宋体" w:eastAsia="宋体" w:cs="宋体"/>
              <w:b w:val="0"/>
              <w:bCs w:val="0"/>
              <w:sz w:val="21"/>
              <w:szCs w:val="21"/>
              <w:lang w:val="en-US" w:eastAsia="zh-CN"/>
            </w:rPr>
            <w:t>C</w:t>
          </w:r>
          <w:r>
            <w:rPr>
              <w:rFonts w:hint="eastAsia" w:ascii="宋体" w:hAnsi="宋体" w:eastAsia="宋体" w:cs="宋体"/>
              <w:b w:val="0"/>
              <w:bCs w:val="0"/>
              <w:sz w:val="21"/>
              <w:szCs w:val="21"/>
            </w:rPr>
            <w:t xml:space="preserve">onstruction </w:t>
          </w:r>
          <w:r>
            <w:rPr>
              <w:rFonts w:hint="eastAsia" w:ascii="宋体" w:hAnsi="宋体" w:eastAsia="宋体" w:cs="宋体"/>
              <w:b w:val="0"/>
              <w:bCs w:val="0"/>
              <w:sz w:val="21"/>
              <w:szCs w:val="21"/>
              <w:lang w:val="en-US" w:eastAsia="zh-CN"/>
            </w:rPr>
            <w:t>P</w:t>
          </w:r>
          <w:r>
            <w:rPr>
              <w:rFonts w:hint="eastAsia" w:ascii="宋体" w:hAnsi="宋体" w:eastAsia="宋体" w:cs="宋体"/>
              <w:b w:val="0"/>
              <w:bCs w:val="0"/>
              <w:sz w:val="21"/>
              <w:szCs w:val="21"/>
            </w:rPr>
            <w:t>hase</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_Toc27585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13</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52"/>
            <w:tabs>
              <w:tab w:val="right" w:leader="dot" w:pos="8306"/>
            </w:tabs>
            <w:rPr>
              <w:rFonts w:hint="eastAsia" w:ascii="宋体" w:hAnsi="宋体" w:cs="宋体"/>
              <w:b w:val="0"/>
              <w:bCs w:val="0"/>
              <w:sz w:val="21"/>
              <w:szCs w:val="21"/>
            </w:rPr>
          </w:pP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"_Toc15961" </w:instrText>
          </w:r>
          <w:r>
            <w:rPr>
              <w:rFonts w:hint="eastAsia" w:ascii="宋体" w:hAnsi="宋体" w:cs="宋体"/>
              <w:b w:val="0"/>
              <w:bCs w:val="0"/>
              <w:sz w:val="21"/>
              <w:szCs w:val="21"/>
            </w:rPr>
            <w:fldChar w:fldCharType="separate"/>
          </w:r>
          <w:r>
            <w:rPr>
              <w:rFonts w:hint="eastAsia" w:ascii="宋体" w:hAnsi="宋体" w:eastAsia="宋体" w:cs="宋体"/>
              <w:b w:val="0"/>
              <w:bCs w:val="0"/>
              <w:sz w:val="21"/>
              <w:szCs w:val="21"/>
            </w:rPr>
            <w:t xml:space="preserve">9 </w:t>
          </w:r>
          <w:r>
            <w:rPr>
              <w:rFonts w:hint="eastAsia" w:ascii="宋体" w:hAnsi="宋体" w:eastAsia="宋体" w:cs="宋体"/>
              <w:b w:val="0"/>
              <w:bCs w:val="0"/>
              <w:sz w:val="21"/>
              <w:szCs w:val="21"/>
              <w:lang w:val="en-US" w:eastAsia="zh-CN"/>
            </w:rPr>
            <w:t>Low Carbon Operation</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_Toc15961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15</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53"/>
            <w:tabs>
              <w:tab w:val="right" w:leader="dot" w:pos="8306"/>
            </w:tabs>
            <w:ind w:left="420"/>
            <w:rPr>
              <w:rFonts w:hint="eastAsia" w:ascii="宋体" w:hAnsi="宋体" w:cs="宋体"/>
              <w:b w:val="0"/>
              <w:bCs w:val="0"/>
              <w:sz w:val="21"/>
              <w:szCs w:val="21"/>
            </w:rPr>
          </w:pP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"_Toc11757" </w:instrText>
          </w:r>
          <w:r>
            <w:rPr>
              <w:rFonts w:hint="eastAsia" w:ascii="宋体" w:hAnsi="宋体" w:cs="宋体"/>
              <w:b w:val="0"/>
              <w:bCs w:val="0"/>
              <w:sz w:val="21"/>
              <w:szCs w:val="21"/>
            </w:rPr>
            <w:fldChar w:fldCharType="separate"/>
          </w:r>
          <w:r>
            <w:rPr>
              <w:rFonts w:hint="eastAsia" w:ascii="宋体" w:hAnsi="宋体" w:eastAsia="宋体" w:cs="宋体"/>
              <w:b w:val="0"/>
              <w:bCs w:val="0"/>
              <w:sz w:val="21"/>
              <w:szCs w:val="21"/>
            </w:rPr>
            <w:t xml:space="preserve">9.1 </w:t>
          </w:r>
          <w:r>
            <w:rPr>
              <w:rFonts w:hint="eastAsia" w:ascii="宋体" w:hAnsi="宋体" w:eastAsia="宋体" w:cs="宋体"/>
              <w:b w:val="0"/>
              <w:bCs w:val="0"/>
              <w:sz w:val="21"/>
              <w:szCs w:val="21"/>
              <w:lang w:val="en-US" w:eastAsia="zh-CN"/>
            </w:rPr>
            <w:t>Inteligent Operation</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_Toc11757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15</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53"/>
            <w:tabs>
              <w:tab w:val="right" w:leader="dot" w:pos="8306"/>
            </w:tabs>
            <w:ind w:left="420"/>
            <w:rPr>
              <w:rFonts w:hint="eastAsia" w:ascii="宋体" w:hAnsi="宋体" w:cs="宋体"/>
              <w:b w:val="0"/>
              <w:bCs w:val="0"/>
              <w:sz w:val="21"/>
              <w:szCs w:val="21"/>
            </w:rPr>
          </w:pP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"_Toc23782" </w:instrText>
          </w:r>
          <w:r>
            <w:rPr>
              <w:rFonts w:hint="eastAsia" w:ascii="宋体" w:hAnsi="宋体" w:cs="宋体"/>
              <w:b w:val="0"/>
              <w:bCs w:val="0"/>
              <w:sz w:val="21"/>
              <w:szCs w:val="21"/>
            </w:rPr>
            <w:fldChar w:fldCharType="separate"/>
          </w:r>
          <w:r>
            <w:rPr>
              <w:rFonts w:hint="eastAsia" w:ascii="宋体" w:hAnsi="宋体" w:eastAsia="宋体" w:cs="宋体"/>
              <w:b w:val="0"/>
              <w:bCs w:val="0"/>
              <w:sz w:val="21"/>
              <w:szCs w:val="21"/>
            </w:rPr>
            <w:t xml:space="preserve">9.2 </w:t>
          </w:r>
          <w:r>
            <w:rPr>
              <w:rFonts w:hint="eastAsia" w:ascii="宋体" w:hAnsi="宋体" w:eastAsia="宋体" w:cs="宋体"/>
              <w:b w:val="0"/>
              <w:bCs w:val="0"/>
              <w:sz w:val="21"/>
              <w:szCs w:val="21"/>
              <w:lang w:val="en-US" w:eastAsia="zh-CN"/>
            </w:rPr>
            <w:t>Continued Commissioning</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_Toc23782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18</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53"/>
            <w:tabs>
              <w:tab w:val="right" w:leader="dot" w:pos="8306"/>
            </w:tabs>
            <w:ind w:left="420"/>
            <w:rPr>
              <w:rFonts w:hint="eastAsia" w:ascii="宋体" w:hAnsi="宋体" w:cs="宋体"/>
              <w:b w:val="0"/>
              <w:bCs w:val="0"/>
              <w:sz w:val="21"/>
              <w:szCs w:val="21"/>
            </w:rPr>
          </w:pP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"_Toc28994" </w:instrText>
          </w:r>
          <w:r>
            <w:rPr>
              <w:rFonts w:hint="eastAsia" w:ascii="宋体" w:hAnsi="宋体" w:cs="宋体"/>
              <w:b w:val="0"/>
              <w:bCs w:val="0"/>
              <w:sz w:val="21"/>
              <w:szCs w:val="21"/>
            </w:rPr>
            <w:fldChar w:fldCharType="separate"/>
          </w:r>
          <w:r>
            <w:rPr>
              <w:rFonts w:hint="eastAsia" w:ascii="宋体" w:hAnsi="宋体" w:eastAsia="宋体" w:cs="宋体"/>
              <w:b w:val="0"/>
              <w:bCs w:val="0"/>
              <w:sz w:val="21"/>
              <w:szCs w:val="21"/>
            </w:rPr>
            <w:t xml:space="preserve">9.3 </w:t>
          </w:r>
          <w:r>
            <w:rPr>
              <w:rFonts w:hint="eastAsia" w:ascii="宋体" w:hAnsi="宋体" w:eastAsia="宋体" w:cs="宋体"/>
              <w:b w:val="0"/>
              <w:bCs w:val="0"/>
              <w:sz w:val="21"/>
              <w:szCs w:val="21"/>
              <w:lang w:val="en-US" w:eastAsia="zh-CN"/>
            </w:rPr>
            <w:t>Low Carbon Management</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_Toc28994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24</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52"/>
            <w:tabs>
              <w:tab w:val="right" w:leader="dot" w:pos="8306"/>
            </w:tabs>
            <w:rPr>
              <w:rFonts w:hint="eastAsia" w:ascii="宋体" w:hAnsi="宋体" w:cs="宋体"/>
              <w:b w:val="0"/>
              <w:bCs w:val="0"/>
              <w:sz w:val="21"/>
              <w:szCs w:val="21"/>
            </w:rPr>
          </w:pP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"_Toc9612" </w:instrText>
          </w:r>
          <w:r>
            <w:rPr>
              <w:rFonts w:hint="eastAsia" w:ascii="宋体" w:hAnsi="宋体" w:cs="宋体"/>
              <w:b w:val="0"/>
              <w:bCs w:val="0"/>
              <w:sz w:val="21"/>
              <w:szCs w:val="21"/>
            </w:rPr>
            <w:fldChar w:fldCharType="separate"/>
          </w:r>
          <w:r>
            <w:rPr>
              <w:rFonts w:hint="eastAsia" w:ascii="宋体" w:hAnsi="宋体" w:cs="宋体"/>
              <w:b w:val="0"/>
              <w:bCs w:val="0"/>
              <w:sz w:val="21"/>
              <w:szCs w:val="21"/>
              <w:lang w:val="en-US" w:eastAsia="zh-CN"/>
            </w:rPr>
            <w:t xml:space="preserve">Appendix </w:t>
          </w:r>
          <w:r>
            <w:rPr>
              <w:rFonts w:hint="eastAsia" w:ascii="宋体" w:hAnsi="宋体" w:cs="宋体"/>
              <w:b w:val="0"/>
              <w:bCs w:val="0"/>
              <w:sz w:val="21"/>
              <w:szCs w:val="21"/>
            </w:rPr>
            <w:t xml:space="preserve">A </w:t>
          </w:r>
          <w:r>
            <w:rPr>
              <w:rFonts w:hint="eastAsia" w:ascii="宋体" w:hAnsi="宋体" w:cs="宋体"/>
              <w:b w:val="0"/>
              <w:bCs w:val="0"/>
              <w:sz w:val="21"/>
              <w:szCs w:val="21"/>
              <w:lang w:val="en-US" w:eastAsia="zh-CN"/>
            </w:rPr>
            <w:t>Carbon Emission Index Calculation Method</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_Toc9612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28</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52"/>
            <w:tabs>
              <w:tab w:val="right" w:leader="dot" w:pos="8306"/>
            </w:tabs>
            <w:rPr>
              <w:rFonts w:hint="eastAsia" w:ascii="宋体" w:hAnsi="宋体" w:cs="宋体"/>
              <w:b w:val="0"/>
              <w:bCs w:val="0"/>
              <w:sz w:val="21"/>
              <w:szCs w:val="21"/>
            </w:rPr>
          </w:pPr>
          <w:r>
            <w:rPr>
              <w:rFonts w:hint="eastAsia" w:ascii="宋体" w:hAnsi="宋体" w:cs="宋体"/>
              <w:b w:val="0"/>
              <w:bCs w:val="0"/>
              <w:sz w:val="21"/>
              <w:szCs w:val="21"/>
              <w:lang w:val="en-US" w:eastAsia="zh-CN"/>
            </w:rPr>
            <w:t>Explanation of Wording</w:t>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"_Toc18199"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_Toc18199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29</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52"/>
            <w:tabs>
              <w:tab w:val="right" w:leader="dot" w:pos="8306"/>
            </w:tabs>
            <w:rPr>
              <w:rFonts w:hint="eastAsia" w:ascii="宋体" w:hAnsi="宋体" w:cs="宋体"/>
              <w:b w:val="0"/>
              <w:bCs w:val="0"/>
              <w:sz w:val="21"/>
              <w:szCs w:val="21"/>
            </w:rPr>
          </w:pPr>
          <w:r>
            <w:rPr>
              <w:rFonts w:hint="eastAsia" w:ascii="宋体" w:hAnsi="宋体" w:cs="宋体"/>
              <w:b w:val="0"/>
              <w:bCs w:val="0"/>
              <w:sz w:val="21"/>
              <w:szCs w:val="21"/>
              <w:lang w:val="en-US" w:eastAsia="zh-CN"/>
            </w:rPr>
            <w:t>List of Quoted Standards</w:t>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HYPERLINK \l "_Toc19236"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_Toc19236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30</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spacing w:line="312" w:lineRule="auto"/>
            <w:rPr>
              <w:rFonts w:ascii="宋体" w:hAnsi="宋体"/>
              <w:b/>
              <w:bCs/>
              <w:color w:val="auto"/>
              <w:szCs w:val="24"/>
            </w:rPr>
          </w:pPr>
          <w:r>
            <w:rPr>
              <w:rFonts w:hint="eastAsia" w:ascii="宋体" w:hAnsi="宋体" w:cs="宋体"/>
              <w:b w:val="0"/>
              <w:bCs w:val="0"/>
              <w:color w:val="auto"/>
              <w:szCs w:val="21"/>
            </w:rPr>
            <w:fldChar w:fldCharType="end"/>
          </w:r>
          <w:r>
            <w:rPr>
              <w:rFonts w:hint="eastAsia" w:ascii="宋体" w:hAnsi="宋体" w:cs="宋体"/>
              <w:b w:val="0"/>
              <w:bCs w:val="0"/>
              <w:color w:val="auto"/>
              <w:szCs w:val="21"/>
              <w:lang w:val="en-US" w:eastAsia="zh-CN"/>
            </w:rPr>
            <w:t>Addition: Explanation of Provisions</w:t>
          </w:r>
        </w:p>
      </w:sdtContent>
    </w:sdt>
    <w:p>
      <w:pPr>
        <w:spacing w:line="312" w:lineRule="auto"/>
        <w:rPr>
          <w:rFonts w:ascii="宋体" w:hAnsi="宋体"/>
          <w:b/>
          <w:bCs/>
          <w:color w:val="auto"/>
          <w:sz w:val="24"/>
          <w:szCs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sectPr>
          <w:footerReference r:id="rId5" w:type="default"/>
          <w:pgSz w:w="11906" w:h="16838"/>
          <w:pgMar w:top="1440" w:right="1800" w:bottom="1440" w:left="1800" w:header="851" w:footer="992" w:gutter="0"/>
          <w:pgNumType w:start="1"/>
          <w:cols w:space="425" w:num="1"/>
          <w:docGrid w:type="lines" w:linePitch="312" w:charSpace="0"/>
        </w:sectPr>
      </w:pPr>
    </w:p>
    <w:p>
      <w:pPr>
        <w:rPr>
          <w:rFonts w:ascii="黑体" w:hAnsi="黑体" w:eastAsia="黑体"/>
          <w:bCs/>
          <w:color w:val="auto"/>
          <w:sz w:val="36"/>
          <w:szCs w:val="32"/>
        </w:rPr>
      </w:pPr>
      <w:bookmarkStart w:id="8" w:name="_Toc86055334"/>
      <w:bookmarkStart w:id="9" w:name="_Toc74137289"/>
      <w:r>
        <w:rPr>
          <w:rFonts w:hint="eastAsia" w:ascii="黑体" w:hAnsi="黑体" w:eastAsia="黑体"/>
          <w:bCs/>
          <w:color w:val="auto"/>
          <w:sz w:val="36"/>
          <w:szCs w:val="32"/>
        </w:rPr>
        <w:br w:type="page"/>
      </w:r>
    </w:p>
    <w:p>
      <w:pPr>
        <w:spacing w:after="240"/>
        <w:jc w:val="center"/>
        <w:outlineLvl w:val="0"/>
        <w:rPr>
          <w:rFonts w:ascii="黑体" w:hAnsi="黑体" w:eastAsia="黑体"/>
          <w:bCs/>
          <w:color w:val="auto"/>
          <w:sz w:val="36"/>
          <w:szCs w:val="32"/>
        </w:rPr>
      </w:pPr>
      <w:bookmarkStart w:id="10" w:name="_Toc15298"/>
      <w:r>
        <w:rPr>
          <w:rFonts w:hint="eastAsia" w:ascii="黑体" w:hAnsi="黑体" w:eastAsia="黑体"/>
          <w:bCs/>
          <w:color w:val="auto"/>
          <w:sz w:val="36"/>
          <w:szCs w:val="32"/>
        </w:rPr>
        <w:t>1 总则</w:t>
      </w:r>
      <w:bookmarkEnd w:id="8"/>
      <w:bookmarkEnd w:id="9"/>
      <w:bookmarkEnd w:id="10"/>
    </w:p>
    <w:p>
      <w:pPr>
        <w:spacing w:line="360" w:lineRule="auto"/>
        <w:outlineLvl w:val="2"/>
        <w:rPr>
          <w:rFonts w:ascii="宋体" w:hAnsi="宋体"/>
          <w:color w:val="auto"/>
          <w:sz w:val="24"/>
        </w:rPr>
      </w:pPr>
      <w:r>
        <w:rPr>
          <w:rFonts w:hint="eastAsia" w:ascii="宋体" w:hAnsi="宋体"/>
          <w:b/>
          <w:bCs/>
          <w:color w:val="auto"/>
          <w:sz w:val="24"/>
        </w:rPr>
        <w:t>1.0.1</w:t>
      </w:r>
      <w:r>
        <w:rPr>
          <w:rFonts w:hint="eastAsia" w:ascii="宋体" w:hAnsi="宋体"/>
          <w:color w:val="auto"/>
          <w:sz w:val="24"/>
        </w:rPr>
        <w:t xml:space="preserve"> 为贯彻国家2030年前碳达峰、2060年前碳中和目标，降低办公建筑用能需求，提高能源利用效率，减少建筑碳排放，充分利用可再生能源，推动办公建筑低碳发展，制定本规程。</w:t>
      </w:r>
    </w:p>
    <w:p>
      <w:pPr>
        <w:spacing w:line="400" w:lineRule="exact"/>
        <w:rPr>
          <w:rFonts w:eastAsia="楷体"/>
          <w:bCs/>
          <w:color w:val="auto"/>
        </w:rPr>
      </w:pPr>
      <w:r>
        <w:rPr>
          <w:rFonts w:hint="eastAsia" w:eastAsia="楷体"/>
          <w:b/>
          <w:color w:val="auto"/>
        </w:rPr>
        <w:t>【条文说明】</w:t>
      </w:r>
      <w:r>
        <w:rPr>
          <w:rFonts w:hint="eastAsia" w:eastAsia="楷体"/>
          <w:bCs/>
          <w:color w:val="auto"/>
        </w:rPr>
        <w:t>建筑领域作为主要的终端用能部门，其能源消耗占全社会能源消耗的三分之一左右，这也是造成温室气体排放的重要因素。在政策不干预的前提下，随着城市化进程的继续以及人民生活水平的不断提高，建筑领域碳排放存在较强的增长动力。根据</w:t>
      </w:r>
      <w:r>
        <w:rPr>
          <w:rFonts w:eastAsia="楷体"/>
          <w:bCs/>
          <w:color w:val="auto"/>
        </w:rPr>
        <w:t>IEA数据2018年</w:t>
      </w:r>
      <w:r>
        <w:rPr>
          <w:rFonts w:hint="eastAsia" w:eastAsia="楷体"/>
          <w:bCs/>
          <w:color w:val="auto"/>
        </w:rPr>
        <w:t>我</w:t>
      </w:r>
      <w:r>
        <w:rPr>
          <w:rFonts w:eastAsia="楷体"/>
          <w:bCs/>
          <w:color w:val="auto"/>
        </w:rPr>
        <w:t>国</w:t>
      </w:r>
      <w:r>
        <w:rPr>
          <w:rFonts w:hint="eastAsia" w:eastAsia="楷体"/>
          <w:bCs/>
          <w:color w:val="auto"/>
        </w:rPr>
        <w:t>年</w:t>
      </w:r>
      <w:r>
        <w:rPr>
          <w:rFonts w:eastAsia="楷体"/>
          <w:bCs/>
          <w:color w:val="auto"/>
        </w:rPr>
        <w:t>碳排放</w:t>
      </w:r>
      <w:r>
        <w:rPr>
          <w:rFonts w:hint="eastAsia" w:eastAsia="楷体"/>
          <w:bCs/>
          <w:color w:val="auto"/>
        </w:rPr>
        <w:t>总量</w:t>
      </w:r>
      <w:r>
        <w:rPr>
          <w:rFonts w:eastAsia="楷体"/>
          <w:bCs/>
          <w:color w:val="auto"/>
        </w:rPr>
        <w:t>约为100亿tCO2，其中建筑运行约为21亿tCO2，占</w:t>
      </w:r>
      <w:r>
        <w:rPr>
          <w:rFonts w:hint="eastAsia" w:eastAsia="楷体"/>
          <w:bCs/>
          <w:color w:val="auto"/>
        </w:rPr>
        <w:t>我国总碳排放</w:t>
      </w:r>
      <w:r>
        <w:rPr>
          <w:rFonts w:eastAsia="楷体"/>
          <w:bCs/>
          <w:color w:val="auto"/>
        </w:rPr>
        <w:t>21%，</w:t>
      </w:r>
      <w:r>
        <w:rPr>
          <w:rFonts w:hint="eastAsia" w:eastAsia="楷体"/>
          <w:bCs/>
          <w:color w:val="auto"/>
        </w:rPr>
        <w:t>占全球碳排放总量的5%左右。</w:t>
      </w:r>
    </w:p>
    <w:p>
      <w:pPr>
        <w:spacing w:line="400" w:lineRule="exact"/>
        <w:ind w:firstLine="420"/>
        <w:rPr>
          <w:rFonts w:eastAsia="楷体"/>
          <w:bCs/>
          <w:color w:val="auto"/>
        </w:rPr>
      </w:pPr>
      <w:r>
        <w:rPr>
          <w:rFonts w:hint="eastAsia" w:eastAsia="楷体"/>
          <w:bCs/>
          <w:color w:val="auto"/>
        </w:rPr>
        <w:t>统计数据表明有近50%的城市人口在办公建筑中工作。随着办公建筑室内环境标准的不断提高，办公建筑的实际运行能耗不断增长。现有办公建筑具有用能总量大、增长快、节能潜力大、运行管理水平不高的特点，因此，为推进建筑节能工作和落实国家节能减排政策，发展低碳办公建筑尤为重要。</w:t>
      </w:r>
    </w:p>
    <w:p>
      <w:pPr>
        <w:spacing w:line="400" w:lineRule="exact"/>
        <w:ind w:firstLine="420"/>
        <w:rPr>
          <w:rFonts w:ascii="宋体" w:hAnsi="宋体"/>
          <w:color w:val="auto"/>
          <w:sz w:val="24"/>
        </w:rPr>
      </w:pPr>
      <w:r>
        <w:rPr>
          <w:rFonts w:hint="eastAsia" w:eastAsia="楷体"/>
          <w:bCs/>
          <w:color w:val="auto"/>
        </w:rPr>
        <w:t>基于上述背景，在全球倡导低碳经济和可持续发展的趋势下，实现能源结构改革，探索低碳办公建筑发展模式，必将成为未来城市建设和发展的主流。并且，随着建筑节能技术的全面发展，在执行强制性标准的基础上，对建筑节能又提出了更高的需求，发展低碳办公建筑是建筑节能进一步发展的必然选择。本规程的编制解决了低碳办公建筑定义不明确、技术路线不清晰等问题，以推动低碳办公建筑的健康和规范发展为主要目标，明确低碳办公建筑的定义，制定低碳办公建筑科学合理的技术路线，推动我国建筑领域碳达峰和碳中和目标的实现。</w:t>
      </w:r>
    </w:p>
    <w:p>
      <w:pPr>
        <w:spacing w:line="360" w:lineRule="auto"/>
        <w:outlineLvl w:val="1"/>
        <w:rPr>
          <w:rFonts w:ascii="宋体" w:hAnsi="宋体"/>
          <w:color w:val="auto"/>
          <w:sz w:val="24"/>
        </w:rPr>
      </w:pPr>
      <w:bookmarkStart w:id="11" w:name="_Toc9365"/>
      <w:r>
        <w:rPr>
          <w:rFonts w:hint="eastAsia" w:ascii="宋体" w:hAnsi="宋体"/>
          <w:b/>
          <w:bCs/>
          <w:color w:val="auto"/>
          <w:sz w:val="24"/>
        </w:rPr>
        <w:t>1.0.2</w:t>
      </w:r>
      <w:r>
        <w:rPr>
          <w:rFonts w:ascii="宋体" w:hAnsi="宋体"/>
          <w:b/>
          <w:bCs/>
          <w:color w:val="auto"/>
          <w:sz w:val="24"/>
        </w:rPr>
        <w:t xml:space="preserve"> </w:t>
      </w:r>
      <w:r>
        <w:rPr>
          <w:rFonts w:hint="eastAsia" w:ascii="宋体" w:hAnsi="宋体"/>
          <w:color w:val="auto"/>
          <w:sz w:val="24"/>
        </w:rPr>
        <w:t>本规程适用于新建或改造办公建筑的低碳设计、施工和运行。</w:t>
      </w:r>
      <w:bookmarkEnd w:id="11"/>
    </w:p>
    <w:p>
      <w:pPr>
        <w:spacing w:line="400" w:lineRule="exact"/>
        <w:rPr>
          <w:rFonts w:ascii="宋体" w:hAnsi="宋体"/>
          <w:color w:val="auto"/>
          <w:sz w:val="24"/>
        </w:rPr>
      </w:pPr>
      <w:r>
        <w:rPr>
          <w:rFonts w:hint="eastAsia" w:eastAsia="楷体"/>
          <w:b/>
          <w:color w:val="auto"/>
        </w:rPr>
        <w:t>【条文说明】</w:t>
      </w:r>
      <w:r>
        <w:rPr>
          <w:rFonts w:hint="eastAsia" w:ascii="楷体" w:hAnsi="楷体" w:eastAsia="楷体"/>
          <w:bCs/>
          <w:color w:val="auto"/>
        </w:rPr>
        <w:t>本规程适用于新建和改造办公建筑。新建建筑包括新建、扩建、改建和迁建。扩建是指保留原有建筑，在其基础上增加另外的功能、形式、规模，使得新建部分成为与原有建筑相关的新建建筑;改建是指对原有建筑的功能或者形式进行改变，而建筑的规模和建筑的占地面积均不改变的新建建筑。迁建是指将原有建筑迁移到另一地点重建的建筑，建筑形式、规模、面积可能变化或不变。</w:t>
      </w:r>
    </w:p>
    <w:p>
      <w:pPr>
        <w:spacing w:line="360" w:lineRule="auto"/>
        <w:outlineLvl w:val="2"/>
        <w:rPr>
          <w:rFonts w:ascii="宋体" w:hAnsi="宋体"/>
          <w:color w:val="auto"/>
          <w:sz w:val="24"/>
        </w:rPr>
      </w:pPr>
      <w:r>
        <w:rPr>
          <w:rFonts w:hint="eastAsia" w:ascii="宋体" w:hAnsi="宋体"/>
          <w:b/>
          <w:bCs/>
          <w:color w:val="auto"/>
          <w:sz w:val="24"/>
        </w:rPr>
        <w:t>1.0.3</w:t>
      </w:r>
      <w:r>
        <w:rPr>
          <w:rFonts w:ascii="宋体" w:hAnsi="宋体"/>
          <w:b/>
          <w:bCs/>
          <w:color w:val="auto"/>
          <w:sz w:val="24"/>
        </w:rPr>
        <w:t xml:space="preserve"> </w:t>
      </w:r>
      <w:r>
        <w:rPr>
          <w:rFonts w:hint="eastAsia" w:ascii="宋体" w:hAnsi="宋体"/>
          <w:color w:val="auto"/>
          <w:sz w:val="24"/>
        </w:rPr>
        <w:t>低碳办公建筑的设计、施工、和运行除应符合本规程的规定外，尚应符合国家现行的有关标准和中国工程建设标准化协会现行的有关标准的规定。</w:t>
      </w:r>
    </w:p>
    <w:p>
      <w:pPr>
        <w:spacing w:line="360" w:lineRule="auto"/>
        <w:rPr>
          <w:rFonts w:ascii="宋体" w:hAnsi="宋体"/>
          <w:color w:val="auto"/>
          <w:sz w:val="24"/>
        </w:rPr>
      </w:pPr>
    </w:p>
    <w:p>
      <w:pPr>
        <w:spacing w:line="360" w:lineRule="auto"/>
        <w:rPr>
          <w:rFonts w:ascii="宋体" w:hAnsi="宋体"/>
          <w:color w:val="auto"/>
          <w:sz w:val="24"/>
        </w:rPr>
      </w:pPr>
    </w:p>
    <w:p>
      <w:pPr>
        <w:rPr>
          <w:rFonts w:ascii="黑体" w:hAnsi="黑体" w:eastAsia="黑体"/>
          <w:bCs/>
          <w:color w:val="auto"/>
          <w:sz w:val="36"/>
          <w:szCs w:val="32"/>
        </w:rPr>
      </w:pPr>
      <w:bookmarkStart w:id="12" w:name="_Toc86055335"/>
      <w:bookmarkStart w:id="13" w:name="_Toc74137290"/>
      <w:r>
        <w:rPr>
          <w:rFonts w:hint="eastAsia" w:ascii="黑体" w:hAnsi="黑体" w:eastAsia="黑体"/>
          <w:bCs/>
          <w:color w:val="auto"/>
          <w:sz w:val="36"/>
          <w:szCs w:val="32"/>
        </w:rPr>
        <w:br w:type="page"/>
      </w:r>
    </w:p>
    <w:p>
      <w:pPr>
        <w:spacing w:after="240"/>
        <w:jc w:val="center"/>
        <w:outlineLvl w:val="0"/>
        <w:rPr>
          <w:rFonts w:ascii="黑体" w:hAnsi="黑体" w:eastAsia="黑体"/>
          <w:bCs/>
          <w:color w:val="auto"/>
          <w:sz w:val="36"/>
          <w:szCs w:val="32"/>
        </w:rPr>
      </w:pPr>
      <w:bookmarkStart w:id="14" w:name="_Toc12500"/>
      <w:r>
        <w:rPr>
          <w:rFonts w:hint="eastAsia" w:ascii="黑体" w:hAnsi="黑体" w:eastAsia="黑体"/>
          <w:bCs/>
          <w:color w:val="auto"/>
          <w:sz w:val="36"/>
          <w:szCs w:val="32"/>
        </w:rPr>
        <w:t>2</w:t>
      </w:r>
      <w:r>
        <w:rPr>
          <w:rFonts w:ascii="黑体" w:hAnsi="黑体" w:eastAsia="黑体"/>
          <w:bCs/>
          <w:color w:val="auto"/>
          <w:sz w:val="36"/>
          <w:szCs w:val="32"/>
        </w:rPr>
        <w:t xml:space="preserve"> </w:t>
      </w:r>
      <w:r>
        <w:rPr>
          <w:rFonts w:hint="eastAsia" w:ascii="黑体" w:hAnsi="黑体" w:eastAsia="黑体"/>
          <w:bCs/>
          <w:color w:val="auto"/>
          <w:sz w:val="36"/>
          <w:szCs w:val="32"/>
        </w:rPr>
        <w:t>术语</w:t>
      </w:r>
      <w:bookmarkEnd w:id="12"/>
      <w:bookmarkEnd w:id="13"/>
      <w:bookmarkEnd w:id="14"/>
    </w:p>
    <w:p>
      <w:pPr>
        <w:spacing w:line="360" w:lineRule="auto"/>
        <w:outlineLvl w:val="1"/>
        <w:rPr>
          <w:rFonts w:ascii="宋体" w:hAnsi="宋体"/>
          <w:b/>
          <w:bCs/>
          <w:color w:val="auto"/>
          <w:sz w:val="24"/>
        </w:rPr>
      </w:pPr>
      <w:bookmarkStart w:id="15" w:name="_Toc1441"/>
      <w:r>
        <w:rPr>
          <w:rFonts w:hint="eastAsia" w:ascii="宋体" w:hAnsi="宋体"/>
          <w:b/>
          <w:bCs/>
          <w:color w:val="auto"/>
          <w:sz w:val="24"/>
        </w:rPr>
        <w:t>2</w:t>
      </w:r>
      <w:r>
        <w:rPr>
          <w:rFonts w:ascii="宋体" w:hAnsi="宋体"/>
          <w:b/>
          <w:bCs/>
          <w:color w:val="auto"/>
          <w:sz w:val="24"/>
        </w:rPr>
        <w:t xml:space="preserve">.0.1 </w:t>
      </w:r>
      <w:r>
        <w:rPr>
          <w:rFonts w:hint="eastAsia" w:ascii="宋体" w:hAnsi="宋体"/>
          <w:b/>
          <w:bCs/>
          <w:color w:val="auto"/>
          <w:sz w:val="24"/>
        </w:rPr>
        <w:t>低碳办公建筑 low carbon office</w:t>
      </w:r>
      <w:r>
        <w:rPr>
          <w:rFonts w:ascii="宋体" w:hAnsi="宋体"/>
          <w:b/>
          <w:bCs/>
          <w:color w:val="auto"/>
          <w:sz w:val="24"/>
        </w:rPr>
        <w:t xml:space="preserve"> </w:t>
      </w:r>
      <w:r>
        <w:rPr>
          <w:rFonts w:hint="eastAsia" w:ascii="宋体" w:hAnsi="宋体"/>
          <w:b/>
          <w:bCs/>
          <w:color w:val="auto"/>
          <w:sz w:val="24"/>
        </w:rPr>
        <w:t>b</w:t>
      </w:r>
      <w:r>
        <w:rPr>
          <w:rFonts w:ascii="宋体" w:hAnsi="宋体"/>
          <w:b/>
          <w:bCs/>
          <w:color w:val="auto"/>
          <w:sz w:val="24"/>
        </w:rPr>
        <w:t>uilding</w:t>
      </w:r>
      <w:bookmarkEnd w:id="15"/>
    </w:p>
    <w:p>
      <w:pPr>
        <w:spacing w:line="360" w:lineRule="auto"/>
        <w:ind w:firstLine="480" w:firstLineChars="200"/>
        <w:rPr>
          <w:rFonts w:ascii="宋体" w:hAnsi="宋体"/>
          <w:color w:val="auto"/>
          <w:sz w:val="24"/>
        </w:rPr>
      </w:pPr>
      <w:r>
        <w:rPr>
          <w:rFonts w:hint="eastAsia" w:ascii="宋体" w:hAnsi="宋体"/>
          <w:color w:val="auto"/>
          <w:sz w:val="24"/>
        </w:rPr>
        <w:t>适应气候特征与场地条件，在满足室内环境参数的基础上，通过优化建筑设计降低建筑用能需求，提高能源设备与系统效率，充分利用可再生能源和建筑蓄能，符合本规程第4.0.1至4.0.3条规定的办公建筑。</w:t>
      </w:r>
    </w:p>
    <w:p>
      <w:pPr>
        <w:spacing w:line="400" w:lineRule="exact"/>
        <w:rPr>
          <w:rFonts w:eastAsia="楷体"/>
          <w:b/>
          <w:color w:val="auto"/>
        </w:rPr>
      </w:pPr>
      <w:r>
        <w:rPr>
          <w:rFonts w:eastAsia="楷体"/>
          <w:b/>
          <w:color w:val="auto"/>
        </w:rPr>
        <w:t>【条文说明】</w:t>
      </w:r>
    </w:p>
    <w:p>
      <w:pPr>
        <w:spacing w:line="400" w:lineRule="exact"/>
        <w:ind w:firstLine="420" w:firstLineChars="200"/>
        <w:rPr>
          <w:rFonts w:ascii="宋体" w:hAnsi="宋体" w:eastAsia="楷体"/>
          <w:color w:val="auto"/>
          <w:sz w:val="24"/>
        </w:rPr>
      </w:pPr>
      <w:r>
        <w:rPr>
          <w:rFonts w:eastAsia="楷体"/>
          <w:color w:val="auto"/>
        </w:rPr>
        <w:t>低碳</w:t>
      </w:r>
      <w:r>
        <w:rPr>
          <w:rFonts w:hint="eastAsia" w:eastAsia="楷体"/>
          <w:color w:val="auto"/>
        </w:rPr>
        <w:t>办公</w:t>
      </w:r>
      <w:r>
        <w:rPr>
          <w:rFonts w:eastAsia="楷体"/>
          <w:color w:val="auto"/>
        </w:rPr>
        <w:t>建筑的碳排放指标计算范围包含供暖、通风、空调、照明、生活热水、电梯、插座与炊事等全部运行阶段能源消耗产生的碳排放，也就是建筑运行阶段的全部直接碳排放和间接碳排放。低碳</w:t>
      </w:r>
      <w:r>
        <w:rPr>
          <w:rFonts w:hint="eastAsia" w:eastAsia="楷体"/>
          <w:color w:val="auto"/>
        </w:rPr>
        <w:t>办公</w:t>
      </w:r>
      <w:r>
        <w:rPr>
          <w:rFonts w:eastAsia="楷体"/>
          <w:color w:val="auto"/>
        </w:rPr>
        <w:t>建筑的碳排放较强制性工程建设规范《建筑节能与可再生能源利用通用规范》GB55015-2021同类建筑显著降低，根据不同气候区、不同建筑类型提出不同指标要求。低碳</w:t>
      </w:r>
      <w:r>
        <w:rPr>
          <w:rFonts w:hint="eastAsia" w:eastAsia="楷体"/>
          <w:color w:val="auto"/>
        </w:rPr>
        <w:t>办公</w:t>
      </w:r>
      <w:r>
        <w:rPr>
          <w:rFonts w:eastAsia="楷体"/>
          <w:color w:val="auto"/>
        </w:rPr>
        <w:t>建筑的碳排放指标</w:t>
      </w:r>
      <w:r>
        <w:rPr>
          <w:rFonts w:eastAsia="楷体"/>
          <w:bCs/>
          <w:color w:val="auto"/>
        </w:rPr>
        <w:t>应符合</w:t>
      </w:r>
      <w:r>
        <w:rPr>
          <w:rFonts w:hint="eastAsia" w:eastAsia="楷体"/>
          <w:color w:val="auto"/>
        </w:rPr>
        <w:t>本规程4.0.1至4.0.3</w:t>
      </w:r>
      <w:r>
        <w:rPr>
          <w:rFonts w:eastAsia="楷体"/>
          <w:color w:val="auto"/>
        </w:rPr>
        <w:t>条的</w:t>
      </w:r>
      <w:r>
        <w:rPr>
          <w:rFonts w:hint="eastAsia" w:eastAsia="楷体"/>
          <w:color w:val="auto"/>
        </w:rPr>
        <w:t>规定。</w:t>
      </w:r>
    </w:p>
    <w:p>
      <w:pPr>
        <w:spacing w:line="360" w:lineRule="auto"/>
        <w:outlineLvl w:val="1"/>
        <w:rPr>
          <w:rFonts w:ascii="宋体" w:hAnsi="宋体"/>
          <w:b/>
          <w:bCs/>
          <w:color w:val="auto"/>
          <w:sz w:val="24"/>
        </w:rPr>
      </w:pPr>
      <w:bookmarkStart w:id="16" w:name="_Toc29070"/>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rPr>
        <w:t>2</w:t>
      </w:r>
      <w:r>
        <w:rPr>
          <w:rFonts w:ascii="宋体" w:hAnsi="宋体"/>
          <w:b/>
          <w:bCs/>
          <w:color w:val="auto"/>
          <w:sz w:val="24"/>
        </w:rPr>
        <w:t xml:space="preserve"> </w:t>
      </w:r>
      <w:r>
        <w:rPr>
          <w:rFonts w:hint="eastAsia" w:ascii="宋体" w:hAnsi="宋体"/>
          <w:b/>
          <w:bCs/>
          <w:color w:val="auto"/>
          <w:sz w:val="24"/>
        </w:rPr>
        <w:t>基准建筑 reference building</w:t>
      </w:r>
      <w:bookmarkEnd w:id="16"/>
    </w:p>
    <w:p>
      <w:pPr>
        <w:spacing w:line="360" w:lineRule="auto"/>
        <w:ind w:firstLine="480" w:firstLineChars="200"/>
        <w:rPr>
          <w:rFonts w:ascii="宋体" w:hAnsi="宋体"/>
          <w:color w:val="auto"/>
          <w:sz w:val="24"/>
        </w:rPr>
      </w:pPr>
      <w:r>
        <w:rPr>
          <w:rFonts w:hint="eastAsia" w:ascii="宋体" w:hAnsi="宋体"/>
          <w:color w:val="auto"/>
          <w:sz w:val="24"/>
        </w:rPr>
        <w:t>用于计算建筑降碳率的标准比对建筑。</w:t>
      </w:r>
    </w:p>
    <w:p>
      <w:pPr>
        <w:spacing w:before="240" w:line="360" w:lineRule="auto"/>
        <w:rPr>
          <w:rFonts w:eastAsia="楷体"/>
          <w:b/>
          <w:bCs/>
          <w:color w:val="auto"/>
        </w:rPr>
      </w:pPr>
      <w:r>
        <w:rPr>
          <w:rFonts w:eastAsia="楷体"/>
          <w:b/>
          <w:bCs/>
          <w:color w:val="auto"/>
        </w:rPr>
        <w:t>【条文说明】</w:t>
      </w:r>
    </w:p>
    <w:p>
      <w:pPr>
        <w:spacing w:line="360" w:lineRule="auto"/>
        <w:ind w:firstLine="420" w:firstLineChars="200"/>
        <w:rPr>
          <w:rFonts w:ascii="宋体" w:hAnsi="宋体"/>
          <w:color w:val="auto"/>
          <w:sz w:val="24"/>
        </w:rPr>
      </w:pPr>
      <w:r>
        <w:rPr>
          <w:rFonts w:eastAsia="楷体"/>
          <w:color w:val="auto"/>
        </w:rPr>
        <w:t>计算建筑降碳水平需要一个统一的对比基准，故提出基准建筑，基准建筑是以设计建筑为基础且符合强制性工程建设规范《建筑节能与可再生能源利用通用规范》GB55015-2021相关要求的假想建筑，以其建筑碳排放作为比对基准来判断设计建筑降碳率是否满足</w:t>
      </w:r>
      <w:r>
        <w:rPr>
          <w:rFonts w:hint="eastAsia" w:eastAsia="楷体"/>
          <w:color w:val="auto"/>
        </w:rPr>
        <w:t>本规程</w:t>
      </w:r>
      <w:r>
        <w:rPr>
          <w:rFonts w:eastAsia="楷体"/>
          <w:color w:val="auto"/>
        </w:rPr>
        <w:t>的要求。基准建筑的计算参考</w:t>
      </w:r>
      <w:r>
        <w:rPr>
          <w:rFonts w:hint="eastAsia" w:eastAsia="楷体"/>
          <w:color w:val="auto"/>
        </w:rPr>
        <w:t>本规程</w:t>
      </w:r>
      <w:r>
        <w:rPr>
          <w:rFonts w:eastAsia="楷体"/>
          <w:color w:val="auto"/>
        </w:rPr>
        <w:t>附录A的规定。</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rPr>
        <w:t>3建筑碳排放强度 building carbon emission intensity</w:t>
      </w:r>
    </w:p>
    <w:p>
      <w:pPr>
        <w:spacing w:after="260" w:line="400" w:lineRule="exact"/>
        <w:ind w:firstLine="480" w:firstLineChars="200"/>
        <w:rPr>
          <w:color w:val="auto"/>
        </w:rPr>
      </w:pPr>
      <w:r>
        <w:rPr>
          <w:rFonts w:hint="eastAsia" w:ascii="宋体" w:hAnsi="宋体"/>
          <w:color w:val="auto"/>
          <w:sz w:val="24"/>
        </w:rPr>
        <w:t>在设定计算条件下或实际运行条件下，年供暖、通风、空调、照明、生活热水、电梯、插座与炊事等终端能耗和建筑本体及周边可再生能源系统发电量，按碳排放因子换算为碳排放量后，两者的差值与建筑面积的比值。</w:t>
      </w:r>
    </w:p>
    <w:p>
      <w:pPr>
        <w:spacing w:line="360" w:lineRule="auto"/>
        <w:outlineLvl w:val="1"/>
        <w:rPr>
          <w:rFonts w:ascii="宋体" w:hAnsi="宋体"/>
          <w:b/>
          <w:bCs/>
          <w:color w:val="auto"/>
          <w:sz w:val="24"/>
        </w:rPr>
      </w:pPr>
      <w:bookmarkStart w:id="17" w:name="_Toc10746"/>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rPr>
        <w:t>4</w:t>
      </w:r>
      <w:r>
        <w:rPr>
          <w:rFonts w:ascii="宋体" w:hAnsi="宋体"/>
          <w:b/>
          <w:bCs/>
          <w:color w:val="auto"/>
          <w:sz w:val="24"/>
        </w:rPr>
        <w:t xml:space="preserve"> </w:t>
      </w:r>
      <w:r>
        <w:rPr>
          <w:rFonts w:hint="eastAsia" w:ascii="宋体" w:hAnsi="宋体"/>
          <w:b/>
          <w:bCs/>
          <w:color w:val="auto"/>
          <w:sz w:val="24"/>
        </w:rPr>
        <w:t>建筑减碳率 carbon reduction rate</w:t>
      </w:r>
      <w:bookmarkEnd w:id="17"/>
    </w:p>
    <w:p>
      <w:pPr>
        <w:spacing w:line="360" w:lineRule="auto"/>
        <w:ind w:firstLine="480" w:firstLineChars="200"/>
        <w:rPr>
          <w:rFonts w:ascii="宋体" w:hAnsi="宋体"/>
          <w:color w:val="auto"/>
          <w:sz w:val="24"/>
        </w:rPr>
      </w:pPr>
      <w:r>
        <w:rPr>
          <w:rFonts w:hint="eastAsia" w:ascii="宋体" w:hAnsi="宋体"/>
          <w:color w:val="auto"/>
          <w:sz w:val="24"/>
        </w:rPr>
        <w:t>设计建筑和基准建筑的建筑碳排放强度的差值，与基准建筑的碳排放强度的比值，%。</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rPr>
        <w:t>5</w:t>
      </w:r>
      <w:r>
        <w:rPr>
          <w:rFonts w:ascii="宋体" w:hAnsi="宋体"/>
          <w:b/>
          <w:bCs/>
          <w:color w:val="auto"/>
          <w:sz w:val="24"/>
        </w:rPr>
        <w:t xml:space="preserve"> </w:t>
      </w:r>
      <w:r>
        <w:rPr>
          <w:rFonts w:hint="eastAsia" w:ascii="宋体" w:hAnsi="宋体"/>
          <w:b/>
          <w:bCs/>
          <w:color w:val="auto"/>
          <w:sz w:val="24"/>
        </w:rPr>
        <w:t>全过程碳性能目标控制方法 whole life carbon emission performance target management method</w:t>
      </w:r>
    </w:p>
    <w:p>
      <w:pPr>
        <w:spacing w:line="360" w:lineRule="auto"/>
        <w:ind w:firstLine="480" w:firstLineChars="200"/>
        <w:rPr>
          <w:rFonts w:ascii="宋体" w:hAnsi="宋体"/>
          <w:color w:val="auto"/>
          <w:sz w:val="24"/>
        </w:rPr>
      </w:pPr>
      <w:r>
        <w:rPr>
          <w:rFonts w:hint="eastAsia" w:ascii="宋体" w:hAnsi="宋体"/>
          <w:color w:val="auto"/>
          <w:sz w:val="24"/>
        </w:rPr>
        <w:t>以建筑碳排放指标为性能目标，对设计方案进行逐步优化，对施工过程进行精细化管理，对运行过程进行持续调试和数据计量核查，将碳排放目标贯穿建筑设计、施工、运行全过程的多部门多专业协同的管理方法。</w:t>
      </w:r>
    </w:p>
    <w:p>
      <w:pPr>
        <w:spacing w:line="360" w:lineRule="auto"/>
        <w:outlineLvl w:val="1"/>
        <w:rPr>
          <w:rFonts w:ascii="宋体" w:hAnsi="宋体"/>
          <w:b/>
          <w:bCs/>
          <w:color w:val="auto"/>
          <w:sz w:val="24"/>
        </w:rPr>
      </w:pPr>
      <w:bookmarkStart w:id="18" w:name="_Toc6803"/>
      <w:r>
        <w:rPr>
          <w:rFonts w:hint="eastAsia" w:ascii="宋体" w:hAnsi="宋体"/>
          <w:b/>
          <w:bCs/>
          <w:color w:val="auto"/>
          <w:sz w:val="24"/>
        </w:rPr>
        <w:t>2.0.6 绿容率Green tolerance</w:t>
      </w:r>
      <w:bookmarkEnd w:id="18"/>
    </w:p>
    <w:p>
      <w:pPr>
        <w:spacing w:line="360" w:lineRule="auto"/>
        <w:ind w:firstLine="480" w:firstLineChars="200"/>
        <w:rPr>
          <w:rFonts w:ascii="宋体" w:hAnsi="宋体"/>
          <w:color w:val="auto"/>
          <w:sz w:val="24"/>
        </w:rPr>
      </w:pPr>
      <w:r>
        <w:rPr>
          <w:rFonts w:hint="eastAsia" w:ascii="宋体" w:hAnsi="宋体"/>
          <w:color w:val="auto"/>
          <w:sz w:val="24"/>
        </w:rPr>
        <w:t>建设场地内各类植被叶面积总量与场地面积的比值。</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rPr>
          <w:rFonts w:ascii="宋体" w:hAnsi="宋体"/>
          <w:color w:val="auto"/>
          <w:sz w:val="24"/>
        </w:rPr>
      </w:pPr>
    </w:p>
    <w:p>
      <w:pPr>
        <w:rPr>
          <w:rFonts w:ascii="黑体" w:hAnsi="黑体" w:eastAsia="黑体"/>
          <w:bCs/>
          <w:color w:val="auto"/>
          <w:sz w:val="36"/>
          <w:szCs w:val="32"/>
        </w:rPr>
      </w:pPr>
      <w:bookmarkStart w:id="19" w:name="_Toc86055336"/>
      <w:bookmarkStart w:id="20" w:name="_Toc74137291"/>
      <w:r>
        <w:rPr>
          <w:rFonts w:hint="eastAsia" w:ascii="黑体" w:hAnsi="黑体" w:eastAsia="黑体"/>
          <w:bCs/>
          <w:color w:val="auto"/>
          <w:sz w:val="36"/>
          <w:szCs w:val="32"/>
        </w:rPr>
        <w:br w:type="page"/>
      </w:r>
    </w:p>
    <w:p>
      <w:pPr>
        <w:spacing w:after="240"/>
        <w:jc w:val="center"/>
        <w:outlineLvl w:val="0"/>
        <w:rPr>
          <w:rFonts w:ascii="黑体" w:hAnsi="黑体" w:eastAsia="黑体"/>
          <w:bCs/>
          <w:color w:val="auto"/>
          <w:sz w:val="36"/>
          <w:szCs w:val="32"/>
        </w:rPr>
      </w:pPr>
      <w:bookmarkStart w:id="21" w:name="_Toc4063"/>
      <w:r>
        <w:rPr>
          <w:rFonts w:hint="eastAsia" w:ascii="黑体" w:hAnsi="黑体" w:eastAsia="黑体"/>
          <w:bCs/>
          <w:color w:val="auto"/>
          <w:sz w:val="36"/>
          <w:szCs w:val="32"/>
        </w:rPr>
        <w:t>3 基本规定</w:t>
      </w:r>
      <w:bookmarkEnd w:id="19"/>
      <w:bookmarkEnd w:id="20"/>
      <w:bookmarkEnd w:id="21"/>
    </w:p>
    <w:p>
      <w:pPr>
        <w:spacing w:line="360" w:lineRule="auto"/>
        <w:outlineLvl w:val="1"/>
        <w:rPr>
          <w:color w:val="auto"/>
          <w:sz w:val="24"/>
          <w:szCs w:val="24"/>
        </w:rPr>
      </w:pPr>
      <w:bookmarkStart w:id="22" w:name="_Toc23714"/>
      <w:r>
        <w:rPr>
          <w:rFonts w:hint="eastAsia" w:ascii="宋体" w:hAnsi="宋体"/>
          <w:b/>
          <w:bCs/>
          <w:color w:val="auto"/>
          <w:sz w:val="24"/>
        </w:rPr>
        <w:t>3.0.1</w:t>
      </w:r>
      <w:r>
        <w:rPr>
          <w:rFonts w:ascii="宋体" w:hAnsi="宋体"/>
          <w:b/>
          <w:bCs/>
          <w:color w:val="auto"/>
          <w:sz w:val="24"/>
        </w:rPr>
        <w:t xml:space="preserve"> </w:t>
      </w:r>
      <w:r>
        <w:rPr>
          <w:rFonts w:hint="eastAsia"/>
          <w:color w:val="auto"/>
          <w:sz w:val="24"/>
          <w:szCs w:val="24"/>
        </w:rPr>
        <w:t>低碳办公建筑应以新建和改建的办公建筑为对象。</w:t>
      </w:r>
      <w:bookmarkEnd w:id="22"/>
    </w:p>
    <w:p>
      <w:pPr>
        <w:widowControl/>
        <w:spacing w:line="360" w:lineRule="auto"/>
        <w:rPr>
          <w:rFonts w:ascii="宋体" w:hAnsi="宋体"/>
          <w:color w:val="auto"/>
          <w:sz w:val="24"/>
        </w:rPr>
      </w:pPr>
      <w:r>
        <w:rPr>
          <w:rFonts w:ascii="宋体" w:hAnsi="宋体"/>
          <w:b/>
          <w:bCs/>
          <w:color w:val="auto"/>
          <w:sz w:val="24"/>
        </w:rPr>
        <w:t>3.</w:t>
      </w:r>
      <w:r>
        <w:rPr>
          <w:rFonts w:hint="eastAsia" w:ascii="宋体" w:hAnsi="宋体"/>
          <w:b/>
          <w:bCs/>
          <w:color w:val="auto"/>
          <w:sz w:val="24"/>
        </w:rPr>
        <w:t>0</w:t>
      </w:r>
      <w:r>
        <w:rPr>
          <w:rFonts w:ascii="宋体" w:hAnsi="宋体"/>
          <w:b/>
          <w:bCs/>
          <w:color w:val="auto"/>
          <w:sz w:val="24"/>
        </w:rPr>
        <w:t>.</w:t>
      </w:r>
      <w:r>
        <w:rPr>
          <w:rFonts w:hint="eastAsia" w:ascii="宋体" w:hAnsi="宋体"/>
          <w:b/>
          <w:bCs/>
          <w:color w:val="auto"/>
          <w:sz w:val="24"/>
        </w:rPr>
        <w:t>2</w:t>
      </w:r>
      <w:r>
        <w:rPr>
          <w:rFonts w:hint="eastAsia" w:ascii="宋体" w:hAnsi="宋体"/>
          <w:b w:val="0"/>
          <w:bCs w:val="0"/>
          <w:color w:val="auto"/>
          <w:sz w:val="24"/>
        </w:rPr>
        <w:t>低碳</w:t>
      </w:r>
      <w:r>
        <w:rPr>
          <w:rFonts w:hint="eastAsia" w:ascii="宋体" w:hAnsi="宋体"/>
          <w:color w:val="auto"/>
          <w:sz w:val="24"/>
        </w:rPr>
        <w:t>办公建筑碳排放应计算建筑运行阶段供暖、通风、空调、照明、生活热水、电梯、炊事和插座系统的全部碳排放。鼓励计算建筑全生命期碳排放。</w:t>
      </w:r>
    </w:p>
    <w:p>
      <w:pPr>
        <w:spacing w:line="360" w:lineRule="auto"/>
        <w:jc w:val="left"/>
        <w:rPr>
          <w:rFonts w:ascii="宋体" w:hAnsi="宋体"/>
          <w:color w:val="auto"/>
          <w:sz w:val="24"/>
        </w:rPr>
      </w:pPr>
      <w:r>
        <w:rPr>
          <w:rFonts w:hint="eastAsia" w:eastAsia="楷体"/>
          <w:b/>
          <w:color w:val="auto"/>
        </w:rPr>
        <w:t>【条文说明】低碳</w:t>
      </w:r>
      <w:r>
        <w:rPr>
          <w:rFonts w:hint="eastAsia" w:eastAsia="楷体"/>
          <w:bCs/>
          <w:color w:val="auto"/>
        </w:rPr>
        <w:t>办公建筑的碳排放计算范围与国家标准《零碳建筑技术标准》中的碳排放计算范围一致，包含</w:t>
      </w:r>
      <w:r>
        <w:rPr>
          <w:rFonts w:eastAsia="楷体"/>
          <w:color w:val="auto"/>
        </w:rPr>
        <w:t>建筑运行阶段供暖、通风、空调、照明、生活热水、电梯、炊事和插座系统的全部直接和间接碳排放。</w:t>
      </w:r>
    </w:p>
    <w:p>
      <w:pPr>
        <w:widowControl/>
        <w:spacing w:line="360" w:lineRule="auto"/>
        <w:rPr>
          <w:rFonts w:ascii="宋体" w:hAnsi="宋体"/>
          <w:color w:val="auto"/>
          <w:sz w:val="24"/>
        </w:rPr>
      </w:pPr>
      <w:r>
        <w:rPr>
          <w:rFonts w:hint="eastAsia" w:ascii="宋体" w:hAnsi="宋体"/>
          <w:b/>
          <w:bCs/>
          <w:color w:val="auto"/>
          <w:sz w:val="24"/>
        </w:rPr>
        <w:t>3.0.3</w:t>
      </w:r>
      <w:r>
        <w:rPr>
          <w:rFonts w:hint="eastAsia"/>
          <w:color w:val="auto"/>
          <w:sz w:val="24"/>
          <w:szCs w:val="24"/>
        </w:rPr>
        <w:t xml:space="preserve"> 碳排放指标计算方法应符合本规程附录A的规定，碳排放因子应按现行国家标准《建筑碳排放计算标准》</w:t>
      </w:r>
      <w:r>
        <w:rPr>
          <w:color w:val="auto"/>
          <w:sz w:val="24"/>
          <w:szCs w:val="24"/>
        </w:rPr>
        <w:t>GB/T 51366</w:t>
      </w:r>
      <w:r>
        <w:rPr>
          <w:rFonts w:hint="eastAsia"/>
          <w:color w:val="auto"/>
          <w:sz w:val="24"/>
          <w:szCs w:val="24"/>
        </w:rPr>
        <w:t>和《零碳建筑技术标准》执行</w:t>
      </w:r>
      <w:r>
        <w:rPr>
          <w:color w:val="auto"/>
          <w:sz w:val="24"/>
          <w:szCs w:val="24"/>
        </w:rPr>
        <w:t>。</w:t>
      </w:r>
    </w:p>
    <w:p>
      <w:pPr>
        <w:spacing w:line="360" w:lineRule="auto"/>
        <w:rPr>
          <w:color w:val="auto"/>
          <w:sz w:val="24"/>
          <w:szCs w:val="24"/>
        </w:rPr>
      </w:pPr>
      <w:r>
        <w:rPr>
          <w:rFonts w:hint="eastAsia" w:ascii="宋体" w:hAnsi="宋体"/>
          <w:b/>
          <w:bCs/>
          <w:color w:val="auto"/>
          <w:sz w:val="24"/>
        </w:rPr>
        <w:t>3.0.4</w:t>
      </w:r>
      <w:r>
        <w:rPr>
          <w:rFonts w:hint="eastAsia"/>
          <w:color w:val="auto"/>
          <w:sz w:val="24"/>
          <w:szCs w:val="24"/>
        </w:rPr>
        <w:t>在建筑建设方案、初步设计和施工图设计等关键设计节点，应开展碳排放计算；在建筑投入正常使用后，应逐年开展碳排放核算。</w:t>
      </w:r>
    </w:p>
    <w:p>
      <w:pPr>
        <w:spacing w:line="360" w:lineRule="auto"/>
        <w:rPr>
          <w:rFonts w:ascii="楷体" w:hAnsi="楷体"/>
          <w:color w:val="auto"/>
        </w:rPr>
      </w:pPr>
      <w:r>
        <w:rPr>
          <w:rFonts w:hint="eastAsia" w:ascii="宋体" w:hAnsi="宋体"/>
          <w:b/>
          <w:bCs/>
          <w:color w:val="auto"/>
          <w:sz w:val="24"/>
        </w:rPr>
        <w:t>3.0.5</w:t>
      </w:r>
      <w:r>
        <w:rPr>
          <w:rFonts w:hint="eastAsia"/>
          <w:color w:val="auto"/>
          <w:sz w:val="24"/>
          <w:szCs w:val="24"/>
        </w:rPr>
        <w:t>低碳办公建筑碳排放计算应采用动态能耗、碳排放模拟软件计算。碳排放核算应综合采用统计数据、动态监测、抽样调查等手段，核算结果应对外进行公示。</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tabs>
          <w:tab w:val="left" w:pos="19"/>
        </w:tabs>
        <w:spacing w:line="360" w:lineRule="auto"/>
        <w:rPr>
          <w:b/>
          <w:bCs/>
          <w:color w:val="auto"/>
          <w:sz w:val="22"/>
        </w:rPr>
      </w:pPr>
    </w:p>
    <w:p>
      <w:pPr>
        <w:spacing w:after="240"/>
        <w:jc w:val="center"/>
        <w:outlineLvl w:val="0"/>
        <w:rPr>
          <w:rFonts w:ascii="黑体" w:hAnsi="黑体" w:eastAsia="黑体"/>
          <w:bCs/>
          <w:color w:val="auto"/>
          <w:sz w:val="36"/>
          <w:szCs w:val="32"/>
        </w:rPr>
      </w:pPr>
      <w:bookmarkStart w:id="23" w:name="_Toc12981"/>
      <w:bookmarkStart w:id="24" w:name="_Toc12336"/>
      <w:bookmarkStart w:id="25" w:name="_Toc14865"/>
      <w:bookmarkStart w:id="26" w:name="_Toc32010"/>
      <w:bookmarkStart w:id="27" w:name="_Toc1937"/>
      <w:bookmarkStart w:id="28" w:name="_Toc2769"/>
      <w:bookmarkStart w:id="29" w:name="_Toc4019"/>
      <w:r>
        <w:rPr>
          <w:rFonts w:hint="eastAsia" w:eastAsia="黑体"/>
          <w:b/>
          <w:color w:val="auto"/>
          <w:kern w:val="44"/>
          <w:sz w:val="30"/>
          <w:szCs w:val="24"/>
        </w:rPr>
        <w:br w:type="page"/>
      </w:r>
      <w:bookmarkStart w:id="30" w:name="_Toc10895"/>
      <w:r>
        <w:rPr>
          <w:rFonts w:hint="eastAsia" w:ascii="黑体" w:hAnsi="黑体" w:eastAsia="黑体"/>
          <w:bCs/>
          <w:color w:val="auto"/>
          <w:sz w:val="36"/>
          <w:szCs w:val="32"/>
        </w:rPr>
        <w:t>4 技术指标</w:t>
      </w:r>
      <w:bookmarkEnd w:id="30"/>
    </w:p>
    <w:p>
      <w:pPr>
        <w:widowControl/>
        <w:spacing w:line="360" w:lineRule="auto"/>
        <w:rPr>
          <w:rFonts w:ascii="宋体" w:hAnsi="宋体"/>
          <w:color w:val="auto"/>
          <w:sz w:val="24"/>
        </w:rPr>
      </w:pPr>
      <w:r>
        <w:rPr>
          <w:rFonts w:hint="eastAsia" w:ascii="宋体" w:hAnsi="宋体"/>
          <w:b/>
          <w:bCs/>
          <w:color w:val="auto"/>
          <w:sz w:val="24"/>
        </w:rPr>
        <w:t>4.0.1</w:t>
      </w:r>
      <w:r>
        <w:rPr>
          <w:rFonts w:hint="eastAsia" w:ascii="宋体" w:hAnsi="宋体"/>
          <w:color w:val="auto"/>
          <w:sz w:val="24"/>
        </w:rPr>
        <w:t xml:space="preserve"> 建筑主要房间室内热湿环境参数应符合表4.0.1规定。</w:t>
      </w:r>
    </w:p>
    <w:p>
      <w:pPr>
        <w:widowControl/>
        <w:spacing w:line="360" w:lineRule="auto"/>
        <w:jc w:val="center"/>
        <w:rPr>
          <w:rFonts w:ascii="宋体" w:hAnsi="宋体"/>
          <w:color w:val="auto"/>
          <w:sz w:val="24"/>
        </w:rPr>
      </w:pPr>
      <w:r>
        <w:rPr>
          <w:rFonts w:hint="eastAsia" w:ascii="宋体" w:hAnsi="宋体"/>
          <w:color w:val="auto"/>
          <w:sz w:val="24"/>
        </w:rPr>
        <w:t>表4.0.1建筑主要房间室内热湿环境参数</w:t>
      </w:r>
    </w:p>
    <w:tbl>
      <w:tblPr>
        <w:tblStyle w:val="20"/>
        <w:tblW w:w="6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86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89" w:type="dxa"/>
            <w:shd w:val="clear" w:color="auto" w:fill="auto"/>
            <w:vAlign w:val="center"/>
          </w:tcPr>
          <w:p>
            <w:pPr>
              <w:widowControl/>
              <w:spacing w:line="360" w:lineRule="auto"/>
              <w:rPr>
                <w:rFonts w:ascii="宋体" w:hAnsi="宋体"/>
                <w:color w:val="auto"/>
                <w:sz w:val="24"/>
              </w:rPr>
            </w:pPr>
            <w:r>
              <w:rPr>
                <w:rFonts w:hint="eastAsia" w:ascii="宋体" w:hAnsi="宋体"/>
                <w:color w:val="auto"/>
                <w:sz w:val="24"/>
              </w:rPr>
              <w:t>室内热湿环境参数</w:t>
            </w:r>
          </w:p>
        </w:tc>
        <w:tc>
          <w:tcPr>
            <w:tcW w:w="1869" w:type="dxa"/>
            <w:shd w:val="clear" w:color="auto" w:fill="auto"/>
            <w:vAlign w:val="center"/>
          </w:tcPr>
          <w:p>
            <w:pPr>
              <w:widowControl/>
              <w:spacing w:line="360" w:lineRule="auto"/>
              <w:rPr>
                <w:rFonts w:ascii="宋体" w:hAnsi="宋体"/>
                <w:color w:val="auto"/>
                <w:sz w:val="24"/>
              </w:rPr>
            </w:pPr>
            <w:r>
              <w:rPr>
                <w:rFonts w:hint="eastAsia" w:ascii="宋体" w:hAnsi="宋体"/>
                <w:color w:val="auto"/>
                <w:sz w:val="24"/>
              </w:rPr>
              <w:t>冬季</w:t>
            </w:r>
          </w:p>
        </w:tc>
        <w:tc>
          <w:tcPr>
            <w:tcW w:w="1869" w:type="dxa"/>
            <w:shd w:val="clear" w:color="auto" w:fill="auto"/>
            <w:vAlign w:val="center"/>
          </w:tcPr>
          <w:p>
            <w:pPr>
              <w:widowControl/>
              <w:spacing w:line="360" w:lineRule="auto"/>
              <w:rPr>
                <w:rFonts w:ascii="宋体" w:hAnsi="宋体"/>
                <w:color w:val="auto"/>
                <w:sz w:val="24"/>
              </w:rPr>
            </w:pPr>
            <w:r>
              <w:rPr>
                <w:rFonts w:hint="eastAsia" w:ascii="宋体" w:hAnsi="宋体"/>
                <w:color w:val="auto"/>
                <w:sz w:val="24"/>
              </w:rPr>
              <w:t>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89" w:type="dxa"/>
            <w:shd w:val="clear" w:color="auto" w:fill="auto"/>
            <w:vAlign w:val="center"/>
          </w:tcPr>
          <w:p>
            <w:pPr>
              <w:widowControl/>
              <w:spacing w:line="360" w:lineRule="auto"/>
              <w:rPr>
                <w:rFonts w:ascii="宋体" w:hAnsi="宋体"/>
                <w:color w:val="auto"/>
                <w:sz w:val="24"/>
              </w:rPr>
            </w:pPr>
            <w:r>
              <w:rPr>
                <w:rFonts w:hint="eastAsia" w:ascii="宋体" w:hAnsi="宋体"/>
                <w:color w:val="auto"/>
                <w:sz w:val="24"/>
              </w:rPr>
              <w:t>温度（℃）</w:t>
            </w:r>
          </w:p>
        </w:tc>
        <w:tc>
          <w:tcPr>
            <w:tcW w:w="1869" w:type="dxa"/>
            <w:shd w:val="clear" w:color="auto" w:fill="auto"/>
            <w:vAlign w:val="center"/>
          </w:tcPr>
          <w:p>
            <w:pPr>
              <w:widowControl/>
              <w:spacing w:line="360" w:lineRule="auto"/>
              <w:rPr>
                <w:rFonts w:ascii="宋体" w:hAnsi="宋体"/>
                <w:color w:val="auto"/>
                <w:sz w:val="24"/>
              </w:rPr>
            </w:pPr>
            <w:r>
              <w:rPr>
                <w:rFonts w:hint="eastAsia" w:ascii="宋体" w:hAnsi="宋体"/>
                <w:color w:val="auto"/>
                <w:sz w:val="24"/>
              </w:rPr>
              <w:t>≥20</w:t>
            </w:r>
          </w:p>
        </w:tc>
        <w:tc>
          <w:tcPr>
            <w:tcW w:w="1869" w:type="dxa"/>
            <w:shd w:val="clear" w:color="auto" w:fill="auto"/>
            <w:vAlign w:val="center"/>
          </w:tcPr>
          <w:p>
            <w:pPr>
              <w:widowControl/>
              <w:spacing w:line="360" w:lineRule="auto"/>
              <w:rPr>
                <w:rFonts w:ascii="宋体" w:hAnsi="宋体"/>
                <w:color w:val="auto"/>
                <w:sz w:val="24"/>
              </w:rPr>
            </w:pPr>
            <w:r>
              <w:rPr>
                <w:rFonts w:hint="eastAsia" w:ascii="宋体" w:hAnsi="宋体"/>
                <w:color w:val="auto"/>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89" w:type="dxa"/>
            <w:shd w:val="clear" w:color="auto" w:fill="auto"/>
            <w:vAlign w:val="center"/>
          </w:tcPr>
          <w:p>
            <w:pPr>
              <w:widowControl/>
              <w:spacing w:line="360" w:lineRule="auto"/>
              <w:rPr>
                <w:rFonts w:ascii="宋体" w:hAnsi="宋体"/>
                <w:color w:val="auto"/>
                <w:sz w:val="24"/>
              </w:rPr>
            </w:pPr>
            <w:r>
              <w:rPr>
                <w:rFonts w:hint="eastAsia" w:ascii="宋体" w:hAnsi="宋体"/>
                <w:color w:val="auto"/>
                <w:sz w:val="24"/>
              </w:rPr>
              <w:t>相对湿度（%）</w:t>
            </w:r>
          </w:p>
        </w:tc>
        <w:tc>
          <w:tcPr>
            <w:tcW w:w="1869" w:type="dxa"/>
            <w:shd w:val="clear" w:color="auto" w:fill="auto"/>
            <w:vAlign w:val="center"/>
          </w:tcPr>
          <w:p>
            <w:pPr>
              <w:widowControl/>
              <w:spacing w:line="360" w:lineRule="auto"/>
              <w:rPr>
                <w:rFonts w:ascii="宋体" w:hAnsi="宋体"/>
                <w:color w:val="auto"/>
                <w:sz w:val="24"/>
              </w:rPr>
            </w:pPr>
            <w:r>
              <w:rPr>
                <w:rFonts w:hint="eastAsia" w:ascii="宋体" w:hAnsi="宋体"/>
                <w:color w:val="auto"/>
                <w:sz w:val="24"/>
              </w:rPr>
              <w:t>≥30</w:t>
            </w:r>
          </w:p>
        </w:tc>
        <w:tc>
          <w:tcPr>
            <w:tcW w:w="1869" w:type="dxa"/>
            <w:shd w:val="clear" w:color="auto" w:fill="auto"/>
            <w:vAlign w:val="center"/>
          </w:tcPr>
          <w:p>
            <w:pPr>
              <w:widowControl/>
              <w:spacing w:line="360" w:lineRule="auto"/>
              <w:rPr>
                <w:rFonts w:ascii="宋体" w:hAnsi="宋体"/>
                <w:color w:val="auto"/>
                <w:sz w:val="24"/>
              </w:rPr>
            </w:pPr>
            <w:r>
              <w:rPr>
                <w:rFonts w:hint="eastAsia" w:ascii="宋体" w:hAnsi="宋体"/>
                <w:color w:val="auto"/>
                <w:sz w:val="24"/>
              </w:rPr>
              <w:t>≤60</w:t>
            </w:r>
          </w:p>
        </w:tc>
      </w:tr>
    </w:tbl>
    <w:p>
      <w:pPr>
        <w:widowControl/>
        <w:spacing w:line="360" w:lineRule="auto"/>
        <w:ind w:firstLine="420"/>
        <w:rPr>
          <w:rFonts w:ascii="宋体" w:hAnsi="宋体"/>
          <w:color w:val="auto"/>
          <w:sz w:val="22"/>
          <w:szCs w:val="20"/>
        </w:rPr>
      </w:pPr>
      <w:r>
        <w:rPr>
          <w:rFonts w:hint="eastAsia" w:ascii="宋体" w:hAnsi="宋体"/>
          <w:color w:val="auto"/>
          <w:sz w:val="22"/>
          <w:szCs w:val="20"/>
        </w:rPr>
        <w:t>注：①冬季室内相对湿度不参与设备选型和碳性能指标的计算。</w:t>
      </w:r>
    </w:p>
    <w:p>
      <w:pPr>
        <w:widowControl/>
        <w:spacing w:line="360" w:lineRule="auto"/>
        <w:ind w:left="420" w:firstLine="420"/>
        <w:rPr>
          <w:rFonts w:ascii="宋体" w:hAnsi="宋体"/>
          <w:color w:val="auto"/>
          <w:sz w:val="22"/>
          <w:szCs w:val="20"/>
        </w:rPr>
      </w:pPr>
      <w:r>
        <w:rPr>
          <w:rFonts w:hint="eastAsia" w:ascii="宋体" w:hAnsi="宋体"/>
          <w:color w:val="auto"/>
          <w:sz w:val="22"/>
          <w:szCs w:val="20"/>
        </w:rPr>
        <w:t>②当严寒地区不设置空调设施时，夏季室内热湿环境参数可不参与设备选型和碳性能指标的计算；当夏热冬暖和温和地区不设置供暖设施时，冬季室内热湿环境参数可不参与设备选型和碳性能指标的计算。</w:t>
      </w:r>
    </w:p>
    <w:p>
      <w:pPr>
        <w:pStyle w:val="4"/>
        <w:rPr>
          <w:color w:val="auto"/>
        </w:rPr>
      </w:pPr>
      <w:r>
        <w:rPr>
          <w:rFonts w:hint="eastAsia" w:ascii="宋体" w:hAnsi="宋体"/>
          <w:color w:val="auto"/>
          <w:sz w:val="24"/>
        </w:rPr>
        <w:t xml:space="preserve">4.0.2 </w:t>
      </w:r>
      <w:r>
        <w:rPr>
          <w:rFonts w:hint="eastAsia" w:ascii="宋体" w:hAnsi="宋体"/>
          <w:b w:val="0"/>
          <w:bCs w:val="0"/>
          <w:color w:val="auto"/>
          <w:sz w:val="24"/>
          <w:szCs w:val="21"/>
        </w:rPr>
        <w:t>办公建筑主要房间的室内新风量应符合现行国家标准《民用建筑供暖通风与空气调节设计规范》GB50736的规定。</w:t>
      </w:r>
    </w:p>
    <w:p>
      <w:pPr>
        <w:spacing w:line="360" w:lineRule="auto"/>
        <w:outlineLvl w:val="1"/>
        <w:rPr>
          <w:color w:val="auto"/>
          <w:sz w:val="24"/>
          <w:szCs w:val="24"/>
        </w:rPr>
      </w:pPr>
      <w:bookmarkStart w:id="31" w:name="_Toc13720"/>
      <w:r>
        <w:rPr>
          <w:rFonts w:hint="eastAsia" w:ascii="宋体" w:hAnsi="宋体"/>
          <w:b/>
          <w:bCs/>
          <w:color w:val="auto"/>
          <w:sz w:val="24"/>
        </w:rPr>
        <w:t>4.0.3</w:t>
      </w:r>
      <w:r>
        <w:rPr>
          <w:rFonts w:ascii="宋体" w:hAnsi="宋体"/>
          <w:b/>
          <w:bCs/>
          <w:color w:val="auto"/>
          <w:sz w:val="24"/>
        </w:rPr>
        <w:t xml:space="preserve"> </w:t>
      </w:r>
      <w:r>
        <w:rPr>
          <w:rFonts w:hint="eastAsia"/>
          <w:color w:val="auto"/>
          <w:sz w:val="24"/>
          <w:szCs w:val="24"/>
        </w:rPr>
        <w:t>低碳办公建筑设计工况的碳排放强度或建筑减碳率应满足下列条件之一：</w:t>
      </w:r>
      <w:bookmarkEnd w:id="31"/>
    </w:p>
    <w:p>
      <w:pPr>
        <w:spacing w:line="360" w:lineRule="auto"/>
        <w:outlineLvl w:val="0"/>
        <w:rPr>
          <w:color w:val="auto"/>
          <w:sz w:val="24"/>
          <w:szCs w:val="24"/>
        </w:rPr>
      </w:pPr>
      <w:bookmarkStart w:id="32" w:name="_Toc16831"/>
      <w:r>
        <w:rPr>
          <w:rFonts w:hint="eastAsia"/>
          <w:color w:val="auto"/>
          <w:sz w:val="24"/>
          <w:szCs w:val="24"/>
        </w:rPr>
        <w:t>1 建筑减碳率应符合表4.0.3-1的规定；</w:t>
      </w:r>
      <w:bookmarkEnd w:id="32"/>
    </w:p>
    <w:p>
      <w:pPr>
        <w:widowControl/>
        <w:spacing w:line="360" w:lineRule="auto"/>
        <w:jc w:val="center"/>
        <w:rPr>
          <w:rFonts w:ascii="宋体" w:hAnsi="宋体"/>
          <w:color w:val="auto"/>
          <w:sz w:val="24"/>
        </w:rPr>
      </w:pPr>
      <w:r>
        <w:rPr>
          <w:rFonts w:hint="eastAsia" w:ascii="宋体" w:hAnsi="宋体"/>
          <w:color w:val="auto"/>
          <w:sz w:val="24"/>
        </w:rPr>
        <w:t>表4.0.3-1低碳办公建筑降碳率</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3"/>
        <w:gridCol w:w="1237"/>
        <w:gridCol w:w="1237"/>
        <w:gridCol w:w="1101"/>
        <w:gridCol w:w="1374"/>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75" w:type="pct"/>
            <w:tcBorders>
              <w:tl2br w:val="nil"/>
            </w:tcBorders>
            <w:vAlign w:val="center"/>
          </w:tcPr>
          <w:p>
            <w:pPr>
              <w:jc w:val="center"/>
              <w:outlineLvl w:val="2"/>
              <w:rPr>
                <w:bCs/>
                <w:color w:val="auto"/>
                <w:sz w:val="24"/>
                <w:szCs w:val="24"/>
              </w:rPr>
            </w:pPr>
            <w:r>
              <w:rPr>
                <w:bCs/>
                <w:color w:val="auto"/>
                <w:sz w:val="24"/>
                <w:szCs w:val="24"/>
              </w:rPr>
              <w:t>气候区</w:t>
            </w:r>
          </w:p>
        </w:tc>
        <w:tc>
          <w:tcPr>
            <w:tcW w:w="726" w:type="pct"/>
            <w:vAlign w:val="center"/>
          </w:tcPr>
          <w:p>
            <w:pPr>
              <w:jc w:val="center"/>
              <w:outlineLvl w:val="2"/>
              <w:rPr>
                <w:bCs/>
                <w:color w:val="auto"/>
                <w:sz w:val="24"/>
                <w:szCs w:val="24"/>
              </w:rPr>
            </w:pPr>
            <w:r>
              <w:rPr>
                <w:bCs/>
                <w:color w:val="auto"/>
                <w:sz w:val="24"/>
                <w:szCs w:val="24"/>
              </w:rPr>
              <w:t>严寒</w:t>
            </w:r>
          </w:p>
          <w:p>
            <w:pPr>
              <w:jc w:val="center"/>
              <w:outlineLvl w:val="2"/>
              <w:rPr>
                <w:bCs/>
                <w:color w:val="auto"/>
                <w:sz w:val="24"/>
                <w:szCs w:val="24"/>
              </w:rPr>
            </w:pPr>
            <w:r>
              <w:rPr>
                <w:bCs/>
                <w:color w:val="auto"/>
                <w:sz w:val="24"/>
                <w:szCs w:val="24"/>
              </w:rPr>
              <w:t>地区</w:t>
            </w:r>
          </w:p>
        </w:tc>
        <w:tc>
          <w:tcPr>
            <w:tcW w:w="726" w:type="pct"/>
            <w:vAlign w:val="center"/>
          </w:tcPr>
          <w:p>
            <w:pPr>
              <w:jc w:val="center"/>
              <w:outlineLvl w:val="2"/>
              <w:rPr>
                <w:bCs/>
                <w:color w:val="auto"/>
                <w:sz w:val="24"/>
                <w:szCs w:val="24"/>
              </w:rPr>
            </w:pPr>
            <w:r>
              <w:rPr>
                <w:bCs/>
                <w:color w:val="auto"/>
                <w:sz w:val="24"/>
                <w:szCs w:val="24"/>
              </w:rPr>
              <w:t>寒冷</w:t>
            </w:r>
          </w:p>
          <w:p>
            <w:pPr>
              <w:jc w:val="center"/>
              <w:outlineLvl w:val="2"/>
              <w:rPr>
                <w:bCs/>
                <w:color w:val="auto"/>
                <w:sz w:val="24"/>
                <w:szCs w:val="24"/>
              </w:rPr>
            </w:pPr>
            <w:r>
              <w:rPr>
                <w:bCs/>
                <w:color w:val="auto"/>
                <w:sz w:val="24"/>
                <w:szCs w:val="24"/>
              </w:rPr>
              <w:t>地区</w:t>
            </w:r>
          </w:p>
        </w:tc>
        <w:tc>
          <w:tcPr>
            <w:tcW w:w="646" w:type="pct"/>
            <w:vAlign w:val="center"/>
          </w:tcPr>
          <w:p>
            <w:pPr>
              <w:jc w:val="center"/>
              <w:outlineLvl w:val="2"/>
              <w:rPr>
                <w:bCs/>
                <w:color w:val="auto"/>
                <w:sz w:val="24"/>
                <w:szCs w:val="24"/>
              </w:rPr>
            </w:pPr>
            <w:r>
              <w:rPr>
                <w:bCs/>
                <w:color w:val="auto"/>
                <w:sz w:val="24"/>
                <w:szCs w:val="24"/>
              </w:rPr>
              <w:t>夏热冬</w:t>
            </w:r>
          </w:p>
          <w:p>
            <w:pPr>
              <w:jc w:val="center"/>
              <w:outlineLvl w:val="2"/>
              <w:rPr>
                <w:bCs/>
                <w:color w:val="auto"/>
                <w:sz w:val="24"/>
                <w:szCs w:val="24"/>
              </w:rPr>
            </w:pPr>
            <w:r>
              <w:rPr>
                <w:bCs/>
                <w:color w:val="auto"/>
                <w:sz w:val="24"/>
                <w:szCs w:val="24"/>
              </w:rPr>
              <w:t>冷地区</w:t>
            </w:r>
          </w:p>
        </w:tc>
        <w:tc>
          <w:tcPr>
            <w:tcW w:w="806" w:type="pct"/>
            <w:vAlign w:val="center"/>
          </w:tcPr>
          <w:p>
            <w:pPr>
              <w:jc w:val="center"/>
              <w:outlineLvl w:val="2"/>
              <w:rPr>
                <w:bCs/>
                <w:color w:val="auto"/>
                <w:sz w:val="24"/>
                <w:szCs w:val="24"/>
              </w:rPr>
            </w:pPr>
            <w:r>
              <w:rPr>
                <w:bCs/>
                <w:color w:val="auto"/>
                <w:sz w:val="24"/>
                <w:szCs w:val="24"/>
              </w:rPr>
              <w:t>夏热冬</w:t>
            </w:r>
          </w:p>
          <w:p>
            <w:pPr>
              <w:jc w:val="center"/>
              <w:outlineLvl w:val="2"/>
              <w:rPr>
                <w:bCs/>
                <w:color w:val="auto"/>
                <w:sz w:val="24"/>
                <w:szCs w:val="24"/>
              </w:rPr>
            </w:pPr>
            <w:r>
              <w:rPr>
                <w:bCs/>
                <w:color w:val="auto"/>
                <w:sz w:val="24"/>
                <w:szCs w:val="24"/>
              </w:rPr>
              <w:t>暖地区</w:t>
            </w:r>
          </w:p>
        </w:tc>
        <w:tc>
          <w:tcPr>
            <w:tcW w:w="921" w:type="pct"/>
            <w:vAlign w:val="center"/>
          </w:tcPr>
          <w:p>
            <w:pPr>
              <w:jc w:val="center"/>
              <w:outlineLvl w:val="2"/>
              <w:rPr>
                <w:bCs/>
                <w:color w:val="auto"/>
                <w:sz w:val="24"/>
                <w:szCs w:val="24"/>
              </w:rPr>
            </w:pPr>
            <w:r>
              <w:rPr>
                <w:bCs/>
                <w:color w:val="auto"/>
                <w:sz w:val="24"/>
                <w:szCs w:val="24"/>
              </w:rPr>
              <w:t>温和</w:t>
            </w:r>
          </w:p>
          <w:p>
            <w:pPr>
              <w:jc w:val="center"/>
              <w:outlineLvl w:val="2"/>
              <w:rPr>
                <w:bCs/>
                <w:color w:val="auto"/>
                <w:sz w:val="24"/>
                <w:szCs w:val="24"/>
              </w:rPr>
            </w:pPr>
            <w:r>
              <w:rPr>
                <w:bCs/>
                <w:color w:val="auto"/>
                <w:sz w:val="24"/>
                <w:szCs w:val="24"/>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75" w:type="pct"/>
            <w:vAlign w:val="center"/>
          </w:tcPr>
          <w:p>
            <w:pPr>
              <w:jc w:val="center"/>
              <w:outlineLvl w:val="2"/>
              <w:rPr>
                <w:bCs/>
                <w:color w:val="auto"/>
                <w:sz w:val="24"/>
                <w:szCs w:val="24"/>
              </w:rPr>
            </w:pPr>
            <w:r>
              <w:rPr>
                <w:bCs/>
                <w:color w:val="auto"/>
                <w:sz w:val="24"/>
                <w:szCs w:val="24"/>
              </w:rPr>
              <w:t>建筑降碳率</w:t>
            </w:r>
          </w:p>
        </w:tc>
        <w:tc>
          <w:tcPr>
            <w:tcW w:w="726" w:type="pct"/>
            <w:vAlign w:val="center"/>
          </w:tcPr>
          <w:p>
            <w:pPr>
              <w:jc w:val="center"/>
              <w:outlineLvl w:val="2"/>
              <w:rPr>
                <w:bCs/>
                <w:color w:val="auto"/>
                <w:sz w:val="24"/>
                <w:szCs w:val="24"/>
              </w:rPr>
            </w:pPr>
            <w:r>
              <w:rPr>
                <w:bCs/>
                <w:color w:val="auto"/>
                <w:sz w:val="24"/>
                <w:szCs w:val="24"/>
              </w:rPr>
              <w:t>≥40%</w:t>
            </w:r>
          </w:p>
        </w:tc>
        <w:tc>
          <w:tcPr>
            <w:tcW w:w="726" w:type="pct"/>
            <w:vAlign w:val="center"/>
          </w:tcPr>
          <w:p>
            <w:pPr>
              <w:jc w:val="center"/>
              <w:outlineLvl w:val="2"/>
              <w:rPr>
                <w:bCs/>
                <w:color w:val="auto"/>
                <w:sz w:val="24"/>
                <w:szCs w:val="24"/>
              </w:rPr>
            </w:pPr>
            <w:r>
              <w:rPr>
                <w:bCs/>
                <w:color w:val="auto"/>
                <w:sz w:val="24"/>
                <w:szCs w:val="24"/>
              </w:rPr>
              <w:t>≥35%</w:t>
            </w:r>
          </w:p>
        </w:tc>
        <w:tc>
          <w:tcPr>
            <w:tcW w:w="2373" w:type="pct"/>
            <w:gridSpan w:val="3"/>
            <w:vAlign w:val="center"/>
          </w:tcPr>
          <w:p>
            <w:pPr>
              <w:jc w:val="center"/>
              <w:outlineLvl w:val="2"/>
              <w:rPr>
                <w:bCs/>
                <w:color w:val="auto"/>
                <w:sz w:val="24"/>
                <w:szCs w:val="24"/>
              </w:rPr>
            </w:pPr>
            <w:r>
              <w:rPr>
                <w:bCs/>
                <w:color w:val="auto"/>
                <w:sz w:val="24"/>
                <w:szCs w:val="24"/>
              </w:rPr>
              <w:t>≥30%</w:t>
            </w:r>
          </w:p>
        </w:tc>
      </w:tr>
    </w:tbl>
    <w:p>
      <w:pPr>
        <w:spacing w:line="360" w:lineRule="auto"/>
        <w:outlineLvl w:val="0"/>
        <w:rPr>
          <w:color w:val="auto"/>
          <w:sz w:val="24"/>
          <w:szCs w:val="24"/>
        </w:rPr>
      </w:pPr>
      <w:bookmarkStart w:id="33" w:name="_Toc12914"/>
      <w:r>
        <w:rPr>
          <w:rFonts w:hint="eastAsia"/>
          <w:color w:val="auto"/>
          <w:sz w:val="24"/>
          <w:szCs w:val="24"/>
        </w:rPr>
        <w:t>2 建筑碳排放强度指标应满足表4.2.1-2限值的要求。</w:t>
      </w:r>
      <w:bookmarkEnd w:id="33"/>
    </w:p>
    <w:p>
      <w:pPr>
        <w:widowControl/>
        <w:spacing w:line="360" w:lineRule="auto"/>
        <w:jc w:val="center"/>
        <w:rPr>
          <w:rFonts w:ascii="宋体" w:hAnsi="宋体"/>
          <w:color w:val="auto"/>
          <w:sz w:val="24"/>
        </w:rPr>
      </w:pPr>
      <w:r>
        <w:rPr>
          <w:rFonts w:hint="eastAsia" w:ascii="宋体" w:hAnsi="宋体"/>
          <w:color w:val="auto"/>
          <w:sz w:val="24"/>
        </w:rPr>
        <w:t>表4.0.3-2低碳办公建筑碳排放强度限值（kgCO</w:t>
      </w:r>
      <w:r>
        <w:rPr>
          <w:rFonts w:hint="eastAsia" w:ascii="宋体" w:hAnsi="宋体"/>
          <w:color w:val="auto"/>
          <w:sz w:val="24"/>
          <w:vertAlign w:val="subscript"/>
        </w:rPr>
        <w:t>2</w:t>
      </w:r>
      <w:r>
        <w:rPr>
          <w:rFonts w:hint="eastAsia" w:ascii="宋体" w:hAnsi="宋体"/>
          <w:color w:val="auto"/>
          <w:sz w:val="24"/>
        </w:rPr>
        <w:t>/m</w:t>
      </w:r>
      <w:r>
        <w:rPr>
          <w:rFonts w:hint="eastAsia" w:ascii="宋体" w:hAnsi="宋体"/>
          <w:color w:val="auto"/>
          <w:sz w:val="24"/>
          <w:vertAlign w:val="superscript"/>
        </w:rPr>
        <w:t>2</w:t>
      </w:r>
      <w:r>
        <w:rPr>
          <w:rFonts w:hint="eastAsia" w:ascii="宋体" w:hAnsi="宋体"/>
          <w:color w:val="auto"/>
          <w:sz w:val="24"/>
        </w:rPr>
        <w:t>.a）</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284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pct"/>
            <w:vMerge w:val="restart"/>
          </w:tcPr>
          <w:p>
            <w:pPr>
              <w:widowControl/>
              <w:spacing w:line="360" w:lineRule="auto"/>
              <w:jc w:val="center"/>
              <w:rPr>
                <w:rFonts w:ascii="宋体" w:hAnsi="宋体"/>
                <w:color w:val="auto"/>
                <w:sz w:val="24"/>
              </w:rPr>
            </w:pPr>
            <w:r>
              <w:rPr>
                <w:rFonts w:hint="eastAsia" w:ascii="宋体" w:hAnsi="宋体"/>
                <w:color w:val="auto"/>
                <w:sz w:val="24"/>
              </w:rPr>
              <w:t>气候区</w:t>
            </w:r>
          </w:p>
        </w:tc>
        <w:tc>
          <w:tcPr>
            <w:tcW w:w="1668" w:type="pct"/>
          </w:tcPr>
          <w:p>
            <w:pPr>
              <w:widowControl/>
              <w:spacing w:line="360" w:lineRule="auto"/>
              <w:jc w:val="center"/>
              <w:rPr>
                <w:rFonts w:ascii="宋体" w:hAnsi="宋体"/>
                <w:color w:val="auto"/>
                <w:sz w:val="24"/>
              </w:rPr>
            </w:pPr>
            <w:r>
              <w:rPr>
                <w:rFonts w:hint="eastAsia" w:ascii="宋体" w:hAnsi="宋体"/>
                <w:color w:val="auto"/>
                <w:sz w:val="24"/>
              </w:rPr>
              <w:t>办公建筑类型</w:t>
            </w:r>
          </w:p>
        </w:tc>
        <w:tc>
          <w:tcPr>
            <w:tcW w:w="1668" w:type="pct"/>
          </w:tcPr>
          <w:p>
            <w:pPr>
              <w:widowControl/>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pct"/>
            <w:vMerge w:val="continue"/>
          </w:tcPr>
          <w:p>
            <w:pPr>
              <w:widowControl/>
              <w:spacing w:line="360" w:lineRule="auto"/>
              <w:jc w:val="center"/>
              <w:rPr>
                <w:rFonts w:ascii="宋体" w:hAnsi="宋体"/>
                <w:color w:val="auto"/>
                <w:sz w:val="24"/>
              </w:rPr>
            </w:pPr>
          </w:p>
        </w:tc>
        <w:tc>
          <w:tcPr>
            <w:tcW w:w="1666" w:type="pct"/>
          </w:tcPr>
          <w:p>
            <w:pPr>
              <w:widowControl/>
              <w:spacing w:line="360" w:lineRule="auto"/>
              <w:jc w:val="center"/>
              <w:rPr>
                <w:rFonts w:ascii="宋体" w:hAnsi="宋体"/>
                <w:color w:val="auto"/>
                <w:sz w:val="24"/>
              </w:rPr>
            </w:pPr>
            <w:r>
              <w:rPr>
                <w:rFonts w:hint="eastAsia" w:ascii="宋体" w:hAnsi="宋体"/>
                <w:color w:val="auto"/>
                <w:sz w:val="24"/>
              </w:rPr>
              <w:t>大型办公建筑单体（建筑面积≥20000m</w:t>
            </w:r>
            <w:r>
              <w:rPr>
                <w:rFonts w:hint="eastAsia" w:ascii="宋体" w:hAnsi="宋体"/>
                <w:color w:val="auto"/>
                <w:sz w:val="24"/>
                <w:vertAlign w:val="superscript"/>
              </w:rPr>
              <w:t>2</w:t>
            </w:r>
            <w:r>
              <w:rPr>
                <w:rFonts w:hint="eastAsia" w:ascii="宋体" w:hAnsi="宋体"/>
                <w:color w:val="auto"/>
                <w:sz w:val="24"/>
              </w:rPr>
              <w:t>)</w:t>
            </w:r>
          </w:p>
        </w:tc>
        <w:tc>
          <w:tcPr>
            <w:tcW w:w="1668" w:type="pct"/>
          </w:tcPr>
          <w:p>
            <w:pPr>
              <w:widowControl/>
              <w:spacing w:line="360" w:lineRule="auto"/>
              <w:jc w:val="center"/>
              <w:rPr>
                <w:rFonts w:ascii="宋体" w:hAnsi="宋体"/>
                <w:color w:val="auto"/>
                <w:sz w:val="24"/>
              </w:rPr>
            </w:pPr>
            <w:r>
              <w:rPr>
                <w:rFonts w:hint="eastAsia" w:ascii="宋体" w:hAnsi="宋体"/>
                <w:color w:val="auto"/>
                <w:sz w:val="24"/>
              </w:rPr>
              <w:t>小型办公建筑单体（建筑面积＜20000m</w:t>
            </w:r>
            <w:r>
              <w:rPr>
                <w:rFonts w:hint="eastAsia" w:ascii="宋体" w:hAnsi="宋体"/>
                <w:color w:val="auto"/>
                <w:sz w:val="24"/>
                <w:vertAlign w:val="superscript"/>
              </w:rPr>
              <w:t>2</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pct"/>
          </w:tcPr>
          <w:p>
            <w:pPr>
              <w:widowControl/>
              <w:spacing w:line="360" w:lineRule="auto"/>
              <w:jc w:val="center"/>
              <w:rPr>
                <w:rFonts w:ascii="宋体" w:hAnsi="宋体"/>
                <w:color w:val="auto"/>
                <w:sz w:val="24"/>
              </w:rPr>
            </w:pPr>
            <w:r>
              <w:rPr>
                <w:rFonts w:hint="eastAsia" w:ascii="宋体" w:hAnsi="宋体"/>
                <w:color w:val="auto"/>
                <w:sz w:val="24"/>
              </w:rPr>
              <w:t>严寒地区</w:t>
            </w:r>
          </w:p>
        </w:tc>
        <w:tc>
          <w:tcPr>
            <w:tcW w:w="1666" w:type="pct"/>
          </w:tcPr>
          <w:p>
            <w:pPr>
              <w:widowControl/>
              <w:spacing w:line="360" w:lineRule="auto"/>
              <w:jc w:val="center"/>
              <w:rPr>
                <w:rFonts w:ascii="宋体" w:hAnsi="宋体"/>
                <w:color w:val="auto"/>
                <w:sz w:val="24"/>
              </w:rPr>
            </w:pPr>
            <w:r>
              <w:rPr>
                <w:rFonts w:hint="eastAsia" w:ascii="宋体" w:hAnsi="宋体"/>
                <w:color w:val="auto"/>
                <w:sz w:val="24"/>
              </w:rPr>
              <w:t>25</w:t>
            </w:r>
          </w:p>
        </w:tc>
        <w:tc>
          <w:tcPr>
            <w:tcW w:w="1668" w:type="pct"/>
          </w:tcPr>
          <w:p>
            <w:pPr>
              <w:widowControl/>
              <w:spacing w:line="360" w:lineRule="auto"/>
              <w:jc w:val="center"/>
              <w:rPr>
                <w:rFonts w:ascii="宋体" w:hAnsi="宋体"/>
                <w:color w:val="auto"/>
                <w:sz w:val="24"/>
              </w:rPr>
            </w:pPr>
            <w:r>
              <w:rPr>
                <w:rFonts w:hint="eastAsia" w:ascii="宋体" w:hAnsi="宋体"/>
                <w:color w:val="auto"/>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pct"/>
          </w:tcPr>
          <w:p>
            <w:pPr>
              <w:widowControl/>
              <w:spacing w:line="360" w:lineRule="auto"/>
              <w:jc w:val="center"/>
              <w:rPr>
                <w:rFonts w:ascii="宋体" w:hAnsi="宋体"/>
                <w:color w:val="auto"/>
                <w:sz w:val="24"/>
              </w:rPr>
            </w:pPr>
            <w:r>
              <w:rPr>
                <w:rFonts w:hint="eastAsia" w:ascii="宋体" w:hAnsi="宋体"/>
                <w:color w:val="auto"/>
                <w:sz w:val="24"/>
              </w:rPr>
              <w:t>寒冷地区</w:t>
            </w:r>
          </w:p>
        </w:tc>
        <w:tc>
          <w:tcPr>
            <w:tcW w:w="1666" w:type="pct"/>
          </w:tcPr>
          <w:p>
            <w:pPr>
              <w:widowControl/>
              <w:spacing w:line="360" w:lineRule="auto"/>
              <w:jc w:val="center"/>
              <w:rPr>
                <w:rFonts w:ascii="宋体" w:hAnsi="宋体"/>
                <w:color w:val="auto"/>
                <w:sz w:val="24"/>
              </w:rPr>
            </w:pPr>
            <w:r>
              <w:rPr>
                <w:rFonts w:hint="eastAsia" w:ascii="宋体" w:hAnsi="宋体"/>
                <w:color w:val="auto"/>
                <w:sz w:val="24"/>
              </w:rPr>
              <w:t>25</w:t>
            </w:r>
          </w:p>
        </w:tc>
        <w:tc>
          <w:tcPr>
            <w:tcW w:w="1668" w:type="pct"/>
          </w:tcPr>
          <w:p>
            <w:pPr>
              <w:widowControl/>
              <w:spacing w:line="360" w:lineRule="auto"/>
              <w:jc w:val="center"/>
              <w:rPr>
                <w:rFonts w:ascii="宋体" w:hAnsi="宋体"/>
                <w:color w:val="auto"/>
                <w:sz w:val="24"/>
              </w:rPr>
            </w:pPr>
            <w:r>
              <w:rPr>
                <w:rFonts w:hint="eastAsia" w:ascii="宋体" w:hAnsi="宋体"/>
                <w:color w:val="auto"/>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pct"/>
          </w:tcPr>
          <w:p>
            <w:pPr>
              <w:widowControl/>
              <w:spacing w:line="360" w:lineRule="auto"/>
              <w:jc w:val="center"/>
              <w:rPr>
                <w:rFonts w:ascii="宋体" w:hAnsi="宋体"/>
                <w:color w:val="auto"/>
                <w:sz w:val="24"/>
              </w:rPr>
            </w:pPr>
            <w:r>
              <w:rPr>
                <w:rFonts w:hint="eastAsia" w:ascii="宋体" w:hAnsi="宋体"/>
                <w:color w:val="auto"/>
                <w:sz w:val="24"/>
              </w:rPr>
              <w:t>夏热冬冷地区</w:t>
            </w:r>
          </w:p>
        </w:tc>
        <w:tc>
          <w:tcPr>
            <w:tcW w:w="1666" w:type="pct"/>
          </w:tcPr>
          <w:p>
            <w:pPr>
              <w:widowControl/>
              <w:spacing w:line="360" w:lineRule="auto"/>
              <w:jc w:val="center"/>
              <w:rPr>
                <w:rFonts w:ascii="宋体" w:hAnsi="宋体"/>
                <w:color w:val="auto"/>
                <w:sz w:val="24"/>
              </w:rPr>
            </w:pPr>
            <w:r>
              <w:rPr>
                <w:rFonts w:hint="eastAsia" w:ascii="宋体" w:hAnsi="宋体"/>
                <w:color w:val="auto"/>
                <w:sz w:val="24"/>
              </w:rPr>
              <w:t>28</w:t>
            </w:r>
          </w:p>
        </w:tc>
        <w:tc>
          <w:tcPr>
            <w:tcW w:w="1668" w:type="pct"/>
          </w:tcPr>
          <w:p>
            <w:pPr>
              <w:widowControl/>
              <w:spacing w:line="360" w:lineRule="auto"/>
              <w:jc w:val="center"/>
              <w:rPr>
                <w:rFonts w:ascii="宋体" w:hAnsi="宋体"/>
                <w:color w:val="auto"/>
                <w:sz w:val="24"/>
              </w:rPr>
            </w:pPr>
            <w:r>
              <w:rPr>
                <w:rFonts w:hint="eastAsia" w:ascii="宋体" w:hAnsi="宋体"/>
                <w:color w:val="auto"/>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pct"/>
          </w:tcPr>
          <w:p>
            <w:pPr>
              <w:widowControl/>
              <w:spacing w:line="360" w:lineRule="auto"/>
              <w:jc w:val="center"/>
              <w:rPr>
                <w:rFonts w:ascii="宋体" w:hAnsi="宋体"/>
                <w:color w:val="auto"/>
                <w:sz w:val="24"/>
              </w:rPr>
            </w:pPr>
            <w:r>
              <w:rPr>
                <w:rFonts w:hint="eastAsia" w:ascii="宋体" w:hAnsi="宋体"/>
                <w:color w:val="auto"/>
                <w:sz w:val="24"/>
              </w:rPr>
              <w:t>夏热冬暖地区</w:t>
            </w:r>
          </w:p>
        </w:tc>
        <w:tc>
          <w:tcPr>
            <w:tcW w:w="1666" w:type="pct"/>
          </w:tcPr>
          <w:p>
            <w:pPr>
              <w:widowControl/>
              <w:spacing w:line="360" w:lineRule="auto"/>
              <w:jc w:val="center"/>
              <w:rPr>
                <w:rFonts w:ascii="宋体" w:hAnsi="宋体"/>
                <w:color w:val="auto"/>
                <w:sz w:val="24"/>
              </w:rPr>
            </w:pPr>
            <w:r>
              <w:rPr>
                <w:rFonts w:hint="eastAsia" w:ascii="宋体" w:hAnsi="宋体"/>
                <w:color w:val="auto"/>
                <w:sz w:val="24"/>
              </w:rPr>
              <w:t>30</w:t>
            </w:r>
          </w:p>
        </w:tc>
        <w:tc>
          <w:tcPr>
            <w:tcW w:w="1668" w:type="pct"/>
          </w:tcPr>
          <w:p>
            <w:pPr>
              <w:widowControl/>
              <w:spacing w:line="360" w:lineRule="auto"/>
              <w:jc w:val="center"/>
              <w:rPr>
                <w:rFonts w:ascii="宋体" w:hAnsi="宋体"/>
                <w:color w:val="auto"/>
                <w:sz w:val="24"/>
              </w:rPr>
            </w:pPr>
            <w:r>
              <w:rPr>
                <w:rFonts w:hint="eastAsia" w:ascii="宋体" w:hAnsi="宋体"/>
                <w:color w:val="auto"/>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pct"/>
          </w:tcPr>
          <w:p>
            <w:pPr>
              <w:widowControl/>
              <w:spacing w:line="360" w:lineRule="auto"/>
              <w:jc w:val="center"/>
              <w:rPr>
                <w:rFonts w:ascii="宋体" w:hAnsi="宋体"/>
                <w:color w:val="auto"/>
                <w:sz w:val="24"/>
              </w:rPr>
            </w:pPr>
            <w:r>
              <w:rPr>
                <w:rFonts w:hint="eastAsia" w:ascii="宋体" w:hAnsi="宋体"/>
                <w:color w:val="auto"/>
                <w:sz w:val="24"/>
              </w:rPr>
              <w:t>温和地区</w:t>
            </w:r>
          </w:p>
        </w:tc>
        <w:tc>
          <w:tcPr>
            <w:tcW w:w="1666" w:type="pct"/>
          </w:tcPr>
          <w:p>
            <w:pPr>
              <w:widowControl/>
              <w:spacing w:line="360" w:lineRule="auto"/>
              <w:jc w:val="center"/>
              <w:rPr>
                <w:rFonts w:ascii="宋体" w:hAnsi="宋体"/>
                <w:color w:val="auto"/>
                <w:sz w:val="24"/>
              </w:rPr>
            </w:pPr>
            <w:r>
              <w:rPr>
                <w:rFonts w:hint="eastAsia" w:ascii="宋体" w:hAnsi="宋体"/>
                <w:color w:val="auto"/>
                <w:sz w:val="24"/>
              </w:rPr>
              <w:t>22</w:t>
            </w:r>
          </w:p>
        </w:tc>
        <w:tc>
          <w:tcPr>
            <w:tcW w:w="1668" w:type="pct"/>
          </w:tcPr>
          <w:p>
            <w:pPr>
              <w:widowControl/>
              <w:spacing w:line="360" w:lineRule="auto"/>
              <w:jc w:val="center"/>
              <w:rPr>
                <w:rFonts w:ascii="宋体" w:hAnsi="宋体"/>
                <w:color w:val="auto"/>
                <w:sz w:val="24"/>
              </w:rPr>
            </w:pPr>
            <w:r>
              <w:rPr>
                <w:rFonts w:hint="eastAsia" w:ascii="宋体" w:hAnsi="宋体"/>
                <w:color w:val="auto"/>
                <w:sz w:val="24"/>
              </w:rPr>
              <w:t>18</w:t>
            </w:r>
          </w:p>
        </w:tc>
      </w:tr>
    </w:tbl>
    <w:p>
      <w:pPr>
        <w:spacing w:line="400" w:lineRule="exact"/>
        <w:rPr>
          <w:rFonts w:eastAsia="楷体"/>
          <w:bCs/>
          <w:color w:val="auto"/>
        </w:rPr>
      </w:pPr>
      <w:r>
        <w:rPr>
          <w:rFonts w:hint="eastAsia" w:eastAsia="楷体"/>
          <w:b/>
          <w:color w:val="auto"/>
        </w:rPr>
        <w:t>【条文说明】</w:t>
      </w:r>
      <w:r>
        <w:rPr>
          <w:rFonts w:eastAsia="楷体"/>
          <w:bCs/>
          <w:color w:val="auto"/>
        </w:rPr>
        <w:t>推动低碳建筑规模化发展是《2030年前碳达峰行动方案》等中央政策文件中城乡建设领域绿色低碳转型的重点任务。</w:t>
      </w:r>
      <w:r>
        <w:rPr>
          <w:rFonts w:hint="eastAsia" w:eastAsia="楷体"/>
          <w:bCs/>
          <w:color w:val="auto"/>
        </w:rPr>
        <w:t>本规程</w:t>
      </w:r>
      <w:r>
        <w:rPr>
          <w:rFonts w:eastAsia="楷体"/>
          <w:bCs/>
          <w:color w:val="auto"/>
        </w:rPr>
        <w:t>的低碳</w:t>
      </w:r>
      <w:r>
        <w:rPr>
          <w:rFonts w:hint="eastAsia" w:eastAsia="楷体"/>
          <w:bCs/>
          <w:color w:val="auto"/>
        </w:rPr>
        <w:t>办公</w:t>
      </w:r>
      <w:r>
        <w:rPr>
          <w:rFonts w:eastAsia="楷体"/>
          <w:bCs/>
          <w:color w:val="auto"/>
        </w:rPr>
        <w:t>建筑碳排放指标确定主要基于以下原则：一是在现有节能标准基础上建筑降碳水平大幅提升，建筑碳排放强度显著下降；二是所有典型建筑均应具备2030年前大规模推广的可能；三是建立节能降碳相互递进的标准体系，推动建筑节能工作逐步迈向能碳双控。</w:t>
      </w:r>
    </w:p>
    <w:p>
      <w:pPr>
        <w:spacing w:line="400" w:lineRule="exact"/>
        <w:rPr>
          <w:rFonts w:ascii="宋体" w:hAnsi="宋体" w:eastAsia="楷体"/>
          <w:b/>
          <w:bCs/>
          <w:color w:val="auto"/>
          <w:sz w:val="24"/>
        </w:rPr>
      </w:pPr>
      <w:r>
        <w:rPr>
          <w:rFonts w:hint="eastAsia" w:eastAsia="楷体"/>
          <w:bCs/>
          <w:color w:val="auto"/>
        </w:rPr>
        <w:t>本规程中指标在国家标准《零碳建筑技术标准》（征求意见稿）的基础上制定，办公</w:t>
      </w:r>
      <w:r>
        <w:rPr>
          <w:rFonts w:eastAsia="楷体"/>
          <w:bCs/>
          <w:color w:val="auto"/>
        </w:rPr>
        <w:t>建筑可根据自身气候分区、资源条件、用能特点制定降碳技术方案，以满足建筑碳排放指标。</w:t>
      </w:r>
    </w:p>
    <w:p>
      <w:pPr>
        <w:jc w:val="center"/>
        <w:outlineLvl w:val="0"/>
        <w:rPr>
          <w:rFonts w:ascii="黑体" w:hAnsi="黑体" w:eastAsia="黑体"/>
          <w:bCs/>
          <w:color w:val="auto"/>
          <w:sz w:val="36"/>
          <w:szCs w:val="32"/>
        </w:rPr>
      </w:pPr>
      <w:r>
        <w:rPr>
          <w:rFonts w:hint="eastAsia" w:eastAsia="黑体"/>
          <w:b/>
          <w:color w:val="auto"/>
          <w:kern w:val="44"/>
          <w:sz w:val="30"/>
          <w:szCs w:val="24"/>
        </w:rPr>
        <w:br w:type="page"/>
      </w:r>
      <w:bookmarkStart w:id="34" w:name="_Toc2576"/>
      <w:r>
        <w:rPr>
          <w:rFonts w:hint="eastAsia" w:ascii="黑体" w:hAnsi="黑体" w:eastAsia="黑体"/>
          <w:bCs/>
          <w:color w:val="auto"/>
          <w:sz w:val="36"/>
          <w:szCs w:val="32"/>
        </w:rPr>
        <w:t>5 全过程碳性能目标控制方法</w:t>
      </w:r>
      <w:bookmarkEnd w:id="34"/>
    </w:p>
    <w:p>
      <w:pPr>
        <w:widowControl/>
        <w:spacing w:line="360" w:lineRule="auto"/>
        <w:rPr>
          <w:rFonts w:ascii="宋体" w:hAnsi="宋体"/>
          <w:color w:val="auto"/>
          <w:sz w:val="24"/>
        </w:rPr>
      </w:pPr>
      <w:r>
        <w:rPr>
          <w:rFonts w:hint="eastAsia" w:ascii="宋体" w:hAnsi="宋体"/>
          <w:b/>
          <w:bCs/>
          <w:color w:val="auto"/>
          <w:sz w:val="24"/>
        </w:rPr>
        <w:t>5.0.1</w:t>
      </w:r>
      <w:r>
        <w:rPr>
          <w:rFonts w:hint="eastAsia" w:ascii="宋体" w:hAnsi="宋体"/>
          <w:color w:val="auto"/>
          <w:sz w:val="24"/>
        </w:rPr>
        <w:t xml:space="preserve"> 全过程碳性能控制应以碳排放目标为核心，采用建筑设计、施工、运行全过程全专业的协同组织形式。</w:t>
      </w:r>
    </w:p>
    <w:p>
      <w:pPr>
        <w:widowControl/>
        <w:spacing w:line="360" w:lineRule="auto"/>
        <w:rPr>
          <w:rFonts w:ascii="宋体" w:hAnsi="宋体"/>
          <w:color w:val="auto"/>
          <w:sz w:val="24"/>
        </w:rPr>
      </w:pPr>
      <w:r>
        <w:rPr>
          <w:rFonts w:hint="eastAsia" w:ascii="宋体" w:hAnsi="宋体"/>
          <w:b/>
          <w:bCs/>
          <w:color w:val="auto"/>
          <w:sz w:val="24"/>
        </w:rPr>
        <w:t>5.0.2</w:t>
      </w:r>
      <w:r>
        <w:rPr>
          <w:rFonts w:hint="eastAsia" w:ascii="宋体" w:hAnsi="宋体"/>
          <w:color w:val="auto"/>
          <w:sz w:val="24"/>
        </w:rPr>
        <w:t xml:space="preserve"> 设计阶段碳性能管理应根据本规程规定的室内环境参数和碳排放指标要求，利用能耗模拟和碳排放计算软件等工具，优化确定建筑设计方案。</w:t>
      </w:r>
    </w:p>
    <w:p>
      <w:pPr>
        <w:widowControl/>
        <w:spacing w:line="360" w:lineRule="auto"/>
        <w:rPr>
          <w:rFonts w:eastAsia="楷体"/>
          <w:color w:val="auto"/>
        </w:rPr>
      </w:pPr>
      <w:r>
        <w:rPr>
          <w:rFonts w:eastAsia="楷体"/>
          <w:b/>
          <w:bCs/>
          <w:color w:val="auto"/>
        </w:rPr>
        <w:t>【条文说明】</w:t>
      </w:r>
      <w:r>
        <w:rPr>
          <w:rFonts w:eastAsia="楷体"/>
          <w:color w:val="auto"/>
        </w:rPr>
        <w:t>低碳办公建筑设计应以全过程碳性能目标为导向，以“被动优先，主动优化”为原则，结合不同地区气候、环境、人文特征，根据具体建筑使用功能要求，合理选择能源形式，充分利用可再生能源，采用性能化的设计方法，因地制宜地制订低碳技术策略。</w:t>
      </w:r>
    </w:p>
    <w:p>
      <w:pPr>
        <w:widowControl/>
        <w:spacing w:line="360" w:lineRule="auto"/>
        <w:rPr>
          <w:rFonts w:ascii="宋体" w:hAnsi="宋体"/>
          <w:color w:val="auto"/>
          <w:sz w:val="24"/>
        </w:rPr>
      </w:pPr>
      <w:r>
        <w:rPr>
          <w:rFonts w:eastAsia="楷体"/>
          <w:color w:val="auto"/>
        </w:rPr>
        <w:t>面向建筑性能总体碳排放指标要求，综合比选不同的建筑方案和关键部品的性能参数，通过不同组合方案的优化比选，制订适合具体项目的针对性技术路线，实现全局最优。</w:t>
      </w:r>
    </w:p>
    <w:p>
      <w:pPr>
        <w:widowControl/>
        <w:spacing w:line="360" w:lineRule="auto"/>
        <w:rPr>
          <w:rFonts w:ascii="宋体" w:hAnsi="宋体"/>
          <w:color w:val="auto"/>
          <w:sz w:val="24"/>
        </w:rPr>
      </w:pPr>
      <w:r>
        <w:rPr>
          <w:rFonts w:hint="eastAsia" w:ascii="宋体" w:hAnsi="宋体"/>
          <w:b/>
          <w:bCs/>
          <w:color w:val="auto"/>
          <w:sz w:val="24"/>
        </w:rPr>
        <w:t>5.0.3</w:t>
      </w:r>
      <w:r>
        <w:rPr>
          <w:rFonts w:hint="eastAsia" w:ascii="宋体" w:hAnsi="宋体"/>
          <w:color w:val="auto"/>
          <w:sz w:val="24"/>
        </w:rPr>
        <w:t>施工阶段碳性能管理应根据设计要求，保证施工质量，提升施工精细化管理水平。应针对重点环节加强质量检查、现场测试和系统调试。当影响建筑碳排放的因素发生改变时，应对建筑碳性能指标进行重新计算。</w:t>
      </w:r>
    </w:p>
    <w:p>
      <w:pPr>
        <w:widowControl/>
        <w:spacing w:line="360" w:lineRule="auto"/>
        <w:rPr>
          <w:rFonts w:ascii="宋体" w:hAnsi="宋体"/>
          <w:color w:val="auto"/>
          <w:sz w:val="24"/>
        </w:rPr>
      </w:pPr>
      <w:r>
        <w:rPr>
          <w:rFonts w:hint="eastAsia" w:ascii="宋体" w:hAnsi="宋体"/>
          <w:b/>
          <w:bCs/>
          <w:color w:val="auto"/>
          <w:sz w:val="24"/>
        </w:rPr>
        <w:t>5.0.4</w:t>
      </w:r>
      <w:r>
        <w:rPr>
          <w:rFonts w:hint="eastAsia" w:ascii="宋体" w:hAnsi="宋体"/>
          <w:color w:val="auto"/>
          <w:sz w:val="24"/>
        </w:rPr>
        <w:t>运行阶段碳性能管理应利用智慧化手段，以本规程规定的碳性能指标为目标，每年对碳排放情况进行统计、计量、分析和管理，必要时进行节能诊断和系统运行调试，优化运行策略。</w:t>
      </w:r>
    </w:p>
    <w:p>
      <w:pPr>
        <w:widowControl/>
        <w:spacing w:line="360" w:lineRule="auto"/>
        <w:rPr>
          <w:rFonts w:ascii="宋体" w:hAnsi="宋体"/>
          <w:color w:val="auto"/>
          <w:sz w:val="24"/>
        </w:rPr>
      </w:pPr>
      <w:r>
        <w:rPr>
          <w:rFonts w:hint="eastAsia" w:ascii="宋体" w:hAnsi="宋体"/>
          <w:b/>
          <w:bCs/>
          <w:color w:val="auto"/>
          <w:sz w:val="24"/>
        </w:rPr>
        <w:t>5.0.5</w:t>
      </w:r>
      <w:r>
        <w:rPr>
          <w:rFonts w:hint="eastAsia" w:ascii="宋体" w:hAnsi="宋体"/>
          <w:color w:val="auto"/>
          <w:sz w:val="24"/>
        </w:rPr>
        <w:t xml:space="preserve"> 碳性能管理应在碳性能目标达成的基础上，结合建筑全寿命期的经济效益分析，进行技术措施和性能参数的优化选取。</w:t>
      </w:r>
    </w:p>
    <w:p>
      <w:pPr>
        <w:widowControl/>
        <w:spacing w:line="360" w:lineRule="auto"/>
        <w:rPr>
          <w:rFonts w:ascii="宋体" w:hAnsi="宋体"/>
          <w:color w:val="auto"/>
          <w:sz w:val="24"/>
        </w:rPr>
      </w:pPr>
      <w:r>
        <w:rPr>
          <w:rFonts w:eastAsia="楷体"/>
          <w:b/>
          <w:bCs/>
          <w:color w:val="auto"/>
        </w:rPr>
        <w:t>【条文说明】</w:t>
      </w:r>
      <w:r>
        <w:rPr>
          <w:rFonts w:eastAsia="楷体"/>
          <w:color w:val="auto"/>
        </w:rPr>
        <w:t>建筑方案和技术策略评价时，要考虑到建筑全寿命期成本，综合平衡初投资和运行费用</w:t>
      </w:r>
      <w:r>
        <w:rPr>
          <w:rFonts w:hint="eastAsia" w:eastAsia="楷体"/>
          <w:color w:val="auto"/>
        </w:rPr>
        <w:t>。</w:t>
      </w:r>
      <w:r>
        <w:rPr>
          <w:rFonts w:eastAsia="楷体"/>
          <w:color w:val="auto"/>
        </w:rPr>
        <w:t>在进行全寿命期技术经济分析时，如果建筑寿命选择时间较短，那最终优化选择的时候将会更倾向于初投资较低而运行费用略高的措施；如果选择时间较长，优化选择将倾向于节约运行费用的措施。尽管目前我国建筑平均寿命低于发达国家，但考虑到应尽量延长</w:t>
      </w:r>
      <w:r>
        <w:rPr>
          <w:rFonts w:hint="eastAsia" w:eastAsia="楷体"/>
          <w:color w:val="auto"/>
        </w:rPr>
        <w:t>低碳办公</w:t>
      </w:r>
      <w:r>
        <w:rPr>
          <w:rFonts w:eastAsia="楷体"/>
          <w:color w:val="auto"/>
        </w:rPr>
        <w:t>建筑寿命、鼓励耐久性设计和施工措施，建议将</w:t>
      </w:r>
      <w:r>
        <w:rPr>
          <w:rFonts w:hint="eastAsia" w:eastAsia="楷体"/>
          <w:color w:val="auto"/>
        </w:rPr>
        <w:t>低碳办公</w:t>
      </w:r>
      <w:r>
        <w:rPr>
          <w:rFonts w:eastAsia="楷体"/>
          <w:color w:val="auto"/>
        </w:rPr>
        <w:t>建筑生命期取值为50年以上。</w:t>
      </w:r>
    </w:p>
    <w:p>
      <w:pPr>
        <w:widowControl/>
        <w:spacing w:line="360" w:lineRule="auto"/>
        <w:outlineLvl w:val="1"/>
        <w:rPr>
          <w:rFonts w:ascii="宋体" w:hAnsi="宋体"/>
          <w:color w:val="auto"/>
          <w:sz w:val="24"/>
        </w:rPr>
      </w:pPr>
      <w:bookmarkStart w:id="35" w:name="_Toc2692"/>
      <w:r>
        <w:rPr>
          <w:rFonts w:hint="eastAsia" w:ascii="宋体" w:hAnsi="宋体"/>
          <w:b/>
          <w:bCs/>
          <w:color w:val="auto"/>
          <w:sz w:val="24"/>
        </w:rPr>
        <w:t>5.0.6</w:t>
      </w:r>
      <w:r>
        <w:rPr>
          <w:rFonts w:hint="eastAsia" w:ascii="宋体" w:hAnsi="宋体"/>
          <w:color w:val="auto"/>
          <w:sz w:val="24"/>
        </w:rPr>
        <w:t xml:space="preserve"> 全过程碳性能管理流程宜按以下程序进行：</w:t>
      </w:r>
      <w:bookmarkEnd w:id="35"/>
    </w:p>
    <w:p>
      <w:pPr>
        <w:widowControl/>
        <w:spacing w:line="360" w:lineRule="auto"/>
        <w:ind w:firstLine="420"/>
        <w:rPr>
          <w:rFonts w:ascii="宋体" w:hAnsi="宋体"/>
          <w:color w:val="auto"/>
          <w:sz w:val="24"/>
        </w:rPr>
      </w:pPr>
      <w:r>
        <w:rPr>
          <w:rFonts w:hint="eastAsia" w:ascii="宋体" w:hAnsi="宋体"/>
          <w:color w:val="auto"/>
          <w:sz w:val="24"/>
        </w:rPr>
        <w:t>1 设立建筑碳性能目标，制订设计方案；改造建筑应在分析现有建筑结构和能源系统的基础上，制定合理的碳性能目标和改造方案；</w:t>
      </w:r>
    </w:p>
    <w:p>
      <w:pPr>
        <w:widowControl/>
        <w:spacing w:line="360" w:lineRule="auto"/>
        <w:ind w:firstLine="420"/>
        <w:outlineLvl w:val="0"/>
        <w:rPr>
          <w:rFonts w:ascii="宋体" w:hAnsi="宋体"/>
          <w:color w:val="auto"/>
          <w:sz w:val="24"/>
        </w:rPr>
      </w:pPr>
      <w:bookmarkStart w:id="36" w:name="_Toc9714"/>
      <w:r>
        <w:rPr>
          <w:rFonts w:hint="eastAsia" w:ascii="宋体" w:hAnsi="宋体"/>
          <w:color w:val="auto"/>
          <w:sz w:val="24"/>
        </w:rPr>
        <w:t>2 利用能耗模拟计算软件等工具进行设计方案的定量分析及优化；</w:t>
      </w:r>
      <w:bookmarkEnd w:id="36"/>
    </w:p>
    <w:p>
      <w:pPr>
        <w:widowControl/>
        <w:spacing w:line="360" w:lineRule="auto"/>
        <w:ind w:firstLine="420"/>
        <w:rPr>
          <w:rFonts w:ascii="宋体" w:hAnsi="宋体"/>
          <w:color w:val="auto"/>
          <w:sz w:val="24"/>
        </w:rPr>
      </w:pPr>
      <w:r>
        <w:rPr>
          <w:rFonts w:hint="eastAsia" w:ascii="宋体" w:hAnsi="宋体"/>
          <w:color w:val="auto"/>
          <w:sz w:val="24"/>
        </w:rPr>
        <w:t>3 分析优化结果并进行达标判定。当碳性能指标不能满足所确定的目标要求时，修改设计方案，重新进行定量分析和优化，直至满足目标要求；</w:t>
      </w:r>
    </w:p>
    <w:p>
      <w:pPr>
        <w:widowControl/>
        <w:spacing w:line="360" w:lineRule="auto"/>
        <w:ind w:firstLine="420"/>
        <w:rPr>
          <w:rFonts w:ascii="宋体" w:hAnsi="宋体"/>
          <w:color w:val="auto"/>
          <w:sz w:val="24"/>
        </w:rPr>
      </w:pPr>
      <w:r>
        <w:rPr>
          <w:rFonts w:hint="eastAsia" w:ascii="宋体" w:hAnsi="宋体"/>
          <w:color w:val="auto"/>
          <w:sz w:val="24"/>
        </w:rPr>
        <w:t>4 根据满足要求的设计方案进行施工图深化，对碳排放指标计算进行细化和更新，根据达标情况不断优化设计方案；</w:t>
      </w:r>
    </w:p>
    <w:p>
      <w:pPr>
        <w:widowControl/>
        <w:spacing w:line="360" w:lineRule="auto"/>
        <w:ind w:firstLine="420"/>
        <w:rPr>
          <w:rFonts w:ascii="宋体" w:hAnsi="宋体"/>
          <w:color w:val="auto"/>
          <w:sz w:val="24"/>
        </w:rPr>
      </w:pPr>
      <w:r>
        <w:rPr>
          <w:rFonts w:hint="eastAsia" w:ascii="宋体" w:hAnsi="宋体"/>
          <w:color w:val="auto"/>
          <w:sz w:val="24"/>
        </w:rPr>
        <w:t>5 制定施工低碳管理制度，提高施工工艺和施工管理水平，建筑垃圾应资源化利用；</w:t>
      </w:r>
    </w:p>
    <w:p>
      <w:pPr>
        <w:widowControl/>
        <w:spacing w:line="360" w:lineRule="auto"/>
        <w:ind w:firstLine="420"/>
        <w:rPr>
          <w:rFonts w:ascii="宋体" w:hAnsi="宋体"/>
          <w:color w:val="auto"/>
          <w:sz w:val="24"/>
        </w:rPr>
      </w:pPr>
      <w:r>
        <w:rPr>
          <w:rFonts w:hint="eastAsia" w:ascii="宋体" w:hAnsi="宋体"/>
          <w:color w:val="auto"/>
          <w:sz w:val="24"/>
        </w:rPr>
        <w:t>6 重点环节（如围护结构、气密性、能源系统等）应进行质量检查、现场测试和运行调试；</w:t>
      </w:r>
    </w:p>
    <w:p>
      <w:pPr>
        <w:widowControl/>
        <w:spacing w:line="360" w:lineRule="auto"/>
        <w:ind w:firstLine="420"/>
        <w:rPr>
          <w:rFonts w:ascii="宋体" w:hAnsi="宋体"/>
          <w:color w:val="auto"/>
          <w:sz w:val="24"/>
        </w:rPr>
      </w:pPr>
      <w:r>
        <w:rPr>
          <w:rFonts w:hint="eastAsia" w:ascii="宋体" w:hAnsi="宋体"/>
          <w:color w:val="auto"/>
          <w:sz w:val="24"/>
        </w:rPr>
        <w:t>7 设置碳排放统计、监测和管理系统，重点关注达到不同负荷率后（如60%、80%、100%等）前3个月建筑运行工况及其能效，对运行策略进行及时调整优化；</w:t>
      </w:r>
    </w:p>
    <w:p>
      <w:pPr>
        <w:widowControl/>
        <w:spacing w:line="360" w:lineRule="auto"/>
        <w:ind w:firstLine="420"/>
        <w:rPr>
          <w:rFonts w:ascii="宋体" w:hAnsi="宋体"/>
          <w:color w:val="auto"/>
          <w:sz w:val="24"/>
        </w:rPr>
      </w:pPr>
      <w:r>
        <w:rPr>
          <w:rFonts w:hint="eastAsia" w:ascii="宋体" w:hAnsi="宋体"/>
          <w:color w:val="auto"/>
          <w:sz w:val="24"/>
        </w:rPr>
        <w:t>8 加强年度碳排放统计、核算和考核制度，核查碳排放目标达成情况；</w:t>
      </w:r>
    </w:p>
    <w:p>
      <w:pPr>
        <w:widowControl/>
        <w:spacing w:line="360" w:lineRule="auto"/>
        <w:ind w:firstLine="420"/>
        <w:outlineLvl w:val="0"/>
        <w:rPr>
          <w:rFonts w:ascii="宋体" w:hAnsi="宋体"/>
          <w:color w:val="auto"/>
          <w:sz w:val="24"/>
        </w:rPr>
      </w:pPr>
      <w:bookmarkStart w:id="37" w:name="_Toc9532"/>
      <w:r>
        <w:rPr>
          <w:rFonts w:hint="eastAsia" w:ascii="宋体" w:hAnsi="宋体"/>
          <w:color w:val="auto"/>
          <w:sz w:val="24"/>
        </w:rPr>
        <w:t>9 进行低碳宣传，促进行为节能。</w:t>
      </w:r>
      <w:bookmarkEnd w:id="37"/>
    </w:p>
    <w:p>
      <w:pPr>
        <w:widowControl/>
        <w:spacing w:line="360" w:lineRule="auto"/>
        <w:rPr>
          <w:rFonts w:eastAsia="楷体"/>
          <w:color w:val="auto"/>
        </w:rPr>
      </w:pPr>
      <w:r>
        <w:rPr>
          <w:rFonts w:eastAsia="楷体"/>
          <w:b/>
          <w:bCs/>
          <w:color w:val="auto"/>
        </w:rPr>
        <w:t>【条文说明】</w:t>
      </w:r>
      <w:r>
        <w:rPr>
          <w:rFonts w:hint="eastAsia" w:eastAsia="楷体"/>
          <w:color w:val="auto"/>
        </w:rPr>
        <w:t>碳</w:t>
      </w:r>
      <w:r>
        <w:rPr>
          <w:rFonts w:eastAsia="楷体"/>
          <w:color w:val="auto"/>
        </w:rPr>
        <w:t>性能</w:t>
      </w:r>
      <w:r>
        <w:rPr>
          <w:rFonts w:hint="eastAsia" w:eastAsia="楷体"/>
          <w:color w:val="auto"/>
        </w:rPr>
        <w:t>管理</w:t>
      </w:r>
      <w:r>
        <w:rPr>
          <w:rFonts w:eastAsia="楷体"/>
          <w:color w:val="auto"/>
        </w:rPr>
        <w:t>方法应贯穿低碳办公建筑设计</w:t>
      </w:r>
      <w:r>
        <w:rPr>
          <w:rFonts w:hint="eastAsia" w:eastAsia="楷体"/>
          <w:color w:val="auto"/>
        </w:rPr>
        <w:t>、施工、运行</w:t>
      </w:r>
      <w:r>
        <w:rPr>
          <w:rFonts w:eastAsia="楷体"/>
          <w:color w:val="auto"/>
        </w:rPr>
        <w:t>的全过程。全过程碳性能目标控制方法的核心是以性能目标为导向的定量化分析与优化。建筑的关键性能参数选取基于性能定量分析结果，而不是从规范中直接选取。</w:t>
      </w:r>
    </w:p>
    <w:p>
      <w:pPr>
        <w:widowControl/>
        <w:spacing w:line="360" w:lineRule="auto"/>
        <w:rPr>
          <w:rFonts w:eastAsia="楷体"/>
          <w:color w:val="auto"/>
        </w:rPr>
      </w:pPr>
      <w:r>
        <w:rPr>
          <w:rFonts w:eastAsia="楷体"/>
          <w:color w:val="auto"/>
        </w:rPr>
        <w:t>为实现低碳办公建筑目标，建筑师应以气候特征为引导进行建筑方案设计，在设计前充分了解当地的气象条件、自然资源、生活居住习惯等，借鉴传统建筑的被动式措施，根据不同地区的特点进行建筑平面总体布局、朝向、体形系数、开窗形式、采光遮阳、室内空间布局等适应性设计；在此基础上，通过性能化碳性能设计方法优化围护结构保温、隔热、遮阳等关键性能参数，最大限度地降低建筑供暖供冷需求；结合不同的机电系统方案、可再生能源应用方案和设计运行与控制策略等，将设计方案和关键性能参数带入碳排放模拟分析软件，定量分析是否满足预先设定的低碳办公目标以及其他技术经济目标，根据计算结果，不断修改、优化设计策略和设计参数等，循环迭代，最终确定满足性能目标的设计方案。</w:t>
      </w:r>
    </w:p>
    <w:p>
      <w:pPr>
        <w:widowControl/>
        <w:spacing w:line="360" w:lineRule="auto"/>
        <w:jc w:val="left"/>
        <w:rPr>
          <w:rFonts w:eastAsia="楷体"/>
          <w:color w:val="auto"/>
        </w:rPr>
      </w:pPr>
      <w:r>
        <w:rPr>
          <w:rFonts w:eastAsia="楷体"/>
          <w:color w:val="auto"/>
        </w:rPr>
        <w:t>在施工过程中，应严格按设计方案进行精细化施工，并对关键节点和重点环节进行严格把关。应采用低碳施工的方式，制定低碳施工组织设计或方案，应结合施工现场自然和人文环境特点，提出包含但不限于节材、节能、节水、节地及环境保护的针对性措施，明确低碳施工的组织架构和保障体系，确定绿色低碳施工的关键技术，改善作业人员作业条件，注重施工现场资源回收。</w:t>
      </w:r>
    </w:p>
    <w:p>
      <w:pPr>
        <w:widowControl/>
        <w:spacing w:line="360" w:lineRule="auto"/>
        <w:jc w:val="left"/>
        <w:rPr>
          <w:rFonts w:ascii="宋体" w:hAnsi="宋体"/>
          <w:color w:val="auto"/>
          <w:sz w:val="24"/>
        </w:rPr>
      </w:pPr>
      <w:r>
        <w:rPr>
          <w:rFonts w:eastAsia="楷体"/>
          <w:color w:val="auto"/>
        </w:rPr>
        <w:t>投入正式使用之前，应对各系统进行检测和调试。大多数出租物业在3个月内无法满租，无法实现满负荷运行，因此较难评估性能或做出调整，宜在入驻率满60%、80%和100%后3个月内分别对运行情况进行调试和评估。</w:t>
      </w:r>
    </w:p>
    <w:p>
      <w:pPr>
        <w:spacing w:after="240"/>
        <w:jc w:val="center"/>
        <w:outlineLvl w:val="0"/>
        <w:rPr>
          <w:rFonts w:ascii="黑体" w:hAnsi="黑体" w:eastAsia="黑体"/>
          <w:bCs/>
          <w:color w:val="auto"/>
          <w:sz w:val="36"/>
          <w:szCs w:val="32"/>
        </w:rPr>
      </w:pPr>
      <w:r>
        <w:rPr>
          <w:rFonts w:hint="eastAsia" w:eastAsia="黑体"/>
          <w:b/>
          <w:color w:val="auto"/>
          <w:kern w:val="44"/>
          <w:sz w:val="30"/>
          <w:szCs w:val="24"/>
        </w:rPr>
        <w:br w:type="page"/>
      </w:r>
      <w:bookmarkStart w:id="38" w:name="_Toc31439"/>
      <w:r>
        <w:rPr>
          <w:rFonts w:ascii="黑体" w:hAnsi="黑体" w:eastAsia="黑体"/>
          <w:bCs/>
          <w:color w:val="auto"/>
          <w:sz w:val="36"/>
          <w:szCs w:val="32"/>
        </w:rPr>
        <w:t>6</w:t>
      </w:r>
      <w:r>
        <w:rPr>
          <w:rFonts w:hint="eastAsia" w:ascii="黑体" w:hAnsi="黑体" w:eastAsia="黑体"/>
          <w:bCs/>
          <w:color w:val="auto"/>
          <w:sz w:val="36"/>
          <w:szCs w:val="32"/>
        </w:rPr>
        <w:t xml:space="preserve"> 低碳建筑规划设计</w:t>
      </w:r>
      <w:bookmarkEnd w:id="38"/>
    </w:p>
    <w:p>
      <w:pPr>
        <w:spacing w:after="240"/>
        <w:jc w:val="center"/>
        <w:outlineLvl w:val="1"/>
        <w:rPr>
          <w:rFonts w:ascii="黑体" w:hAnsi="黑体" w:eastAsia="黑体"/>
          <w:bCs/>
          <w:color w:val="auto"/>
          <w:sz w:val="28"/>
          <w:szCs w:val="28"/>
        </w:rPr>
      </w:pPr>
      <w:bookmarkStart w:id="39" w:name="_Toc26413"/>
      <w:r>
        <w:rPr>
          <w:rFonts w:hint="eastAsia" w:ascii="黑体" w:hAnsi="黑体" w:eastAsia="黑体"/>
          <w:bCs/>
          <w:color w:val="auto"/>
          <w:sz w:val="28"/>
          <w:szCs w:val="28"/>
        </w:rPr>
        <w:t>6</w:t>
      </w:r>
      <w:r>
        <w:rPr>
          <w:rFonts w:ascii="黑体" w:hAnsi="黑体" w:eastAsia="黑体"/>
          <w:bCs/>
          <w:color w:val="auto"/>
          <w:sz w:val="28"/>
          <w:szCs w:val="28"/>
        </w:rPr>
        <w:t>.1场地规划设计</w:t>
      </w:r>
      <w:bookmarkEnd w:id="39"/>
    </w:p>
    <w:p>
      <w:pPr>
        <w:spacing w:after="240"/>
        <w:jc w:val="center"/>
        <w:outlineLvl w:val="0"/>
        <w:rPr>
          <w:rFonts w:ascii="仿宋" w:hAnsi="仿宋" w:eastAsia="仿宋"/>
          <w:b/>
          <w:bCs/>
          <w:color w:val="auto"/>
          <w:sz w:val="24"/>
          <w:szCs w:val="28"/>
        </w:rPr>
      </w:pPr>
      <w:bookmarkStart w:id="40" w:name="_Toc25729"/>
      <w:r>
        <w:rPr>
          <w:rFonts w:hint="eastAsia" w:ascii="仿宋" w:hAnsi="仿宋" w:eastAsia="仿宋"/>
          <w:b/>
          <w:bCs/>
          <w:color w:val="auto"/>
          <w:sz w:val="24"/>
          <w:szCs w:val="28"/>
        </w:rPr>
        <w:t>Ⅰ</w:t>
      </w:r>
      <w:r>
        <w:rPr>
          <w:rFonts w:ascii="仿宋" w:hAnsi="仿宋" w:eastAsia="仿宋"/>
          <w:b/>
          <w:bCs/>
          <w:color w:val="auto"/>
          <w:sz w:val="24"/>
          <w:szCs w:val="28"/>
        </w:rPr>
        <w:t>场地规划</w:t>
      </w:r>
      <w:bookmarkEnd w:id="40"/>
    </w:p>
    <w:p>
      <w:pPr>
        <w:spacing w:line="360" w:lineRule="auto"/>
        <w:outlineLvl w:val="2"/>
        <w:rPr>
          <w:color w:val="auto"/>
          <w:sz w:val="24"/>
          <w:szCs w:val="24"/>
        </w:rPr>
      </w:pPr>
      <w:r>
        <w:rPr>
          <w:rFonts w:ascii="宋体" w:hAnsi="宋体"/>
          <w:b/>
          <w:bCs/>
          <w:color w:val="auto"/>
          <w:sz w:val="24"/>
        </w:rPr>
        <w:t>6</w:t>
      </w:r>
      <w:r>
        <w:rPr>
          <w:rFonts w:hint="eastAsia" w:ascii="宋体" w:hAnsi="宋体"/>
          <w:b/>
          <w:bCs/>
          <w:color w:val="auto"/>
          <w:sz w:val="24"/>
        </w:rPr>
        <w:t>.</w:t>
      </w:r>
      <w:r>
        <w:rPr>
          <w:rFonts w:ascii="宋体" w:hAnsi="宋体"/>
          <w:b/>
          <w:bCs/>
          <w:color w:val="auto"/>
          <w:sz w:val="24"/>
        </w:rPr>
        <w:t>1</w:t>
      </w:r>
      <w:r>
        <w:rPr>
          <w:rFonts w:hint="eastAsia" w:ascii="宋体" w:hAnsi="宋体"/>
          <w:b/>
          <w:bCs/>
          <w:color w:val="auto"/>
          <w:sz w:val="24"/>
        </w:rPr>
        <w:t>.1</w:t>
      </w:r>
      <w:r>
        <w:rPr>
          <w:color w:val="auto"/>
          <w:sz w:val="24"/>
          <w:szCs w:val="24"/>
        </w:rPr>
        <w:t xml:space="preserve"> </w:t>
      </w:r>
      <w:r>
        <w:rPr>
          <w:b/>
          <w:color w:val="auto"/>
          <w:sz w:val="24"/>
          <w:szCs w:val="24"/>
        </w:rPr>
        <w:t xml:space="preserve"> </w:t>
      </w:r>
      <w:r>
        <w:rPr>
          <w:rFonts w:hint="eastAsia"/>
          <w:color w:val="auto"/>
          <w:sz w:val="24"/>
          <w:szCs w:val="24"/>
        </w:rPr>
        <w:t>场地总体规划应有利于营造适宜的微气候，并不应对周边气候环境造成不利影响。</w:t>
      </w:r>
    </w:p>
    <w:p>
      <w:pPr>
        <w:spacing w:line="360" w:lineRule="auto"/>
        <w:ind w:firstLine="480" w:firstLineChars="200"/>
        <w:outlineLvl w:val="2"/>
        <w:rPr>
          <w:color w:val="auto"/>
          <w:sz w:val="24"/>
          <w:szCs w:val="24"/>
        </w:rPr>
      </w:pPr>
      <w:r>
        <w:rPr>
          <w:bCs/>
          <w:color w:val="auto"/>
          <w:sz w:val="24"/>
        </w:rPr>
        <w:t>1</w:t>
      </w:r>
      <w:r>
        <w:rPr>
          <w:color w:val="auto"/>
          <w:sz w:val="24"/>
          <w:szCs w:val="24"/>
        </w:rPr>
        <w:t>场地内建筑布局应充分考虑阳光</w:t>
      </w:r>
      <w:r>
        <w:rPr>
          <w:rFonts w:hint="eastAsia"/>
          <w:color w:val="auto"/>
          <w:sz w:val="24"/>
          <w:szCs w:val="24"/>
        </w:rPr>
        <w:t>、</w:t>
      </w:r>
      <w:r>
        <w:rPr>
          <w:color w:val="auto"/>
          <w:sz w:val="24"/>
          <w:szCs w:val="24"/>
        </w:rPr>
        <w:t>水源</w:t>
      </w:r>
      <w:r>
        <w:rPr>
          <w:rFonts w:hint="eastAsia"/>
          <w:color w:val="auto"/>
          <w:sz w:val="24"/>
          <w:szCs w:val="24"/>
        </w:rPr>
        <w:t>、</w:t>
      </w:r>
      <w:r>
        <w:rPr>
          <w:color w:val="auto"/>
          <w:sz w:val="24"/>
          <w:szCs w:val="24"/>
        </w:rPr>
        <w:t>通风等环境因素</w:t>
      </w:r>
      <w:r>
        <w:rPr>
          <w:rFonts w:hint="eastAsia"/>
          <w:color w:val="auto"/>
          <w:sz w:val="24"/>
          <w:szCs w:val="24"/>
        </w:rPr>
        <w:t>，应采用软件模拟实现最佳环境利用效果。</w:t>
      </w:r>
    </w:p>
    <w:p>
      <w:pPr>
        <w:spacing w:line="360" w:lineRule="auto"/>
        <w:ind w:firstLine="480" w:firstLineChars="200"/>
        <w:outlineLvl w:val="2"/>
        <w:rPr>
          <w:rFonts w:ascii="宋体" w:hAnsi="宋体"/>
          <w:bCs/>
          <w:color w:val="auto"/>
          <w:sz w:val="24"/>
        </w:rPr>
      </w:pPr>
      <w:r>
        <w:rPr>
          <w:rFonts w:hint="eastAsia"/>
          <w:bCs/>
          <w:color w:val="auto"/>
          <w:sz w:val="24"/>
        </w:rPr>
        <w:t>2</w:t>
      </w:r>
      <w:r>
        <w:rPr>
          <w:rFonts w:hint="eastAsia" w:ascii="宋体" w:hAnsi="宋体"/>
          <w:bCs/>
          <w:color w:val="auto"/>
          <w:sz w:val="24"/>
        </w:rPr>
        <w:t>场地的总体规划设计应有利于夏季的自然通风，并规避冬季冷风侵入对建筑的影响，可考虑通过设置局部架空、导风廊道、微风通道改善场地风环境。</w:t>
      </w:r>
    </w:p>
    <w:p>
      <w:pPr>
        <w:spacing w:line="360" w:lineRule="auto"/>
        <w:ind w:firstLine="480" w:firstLineChars="200"/>
        <w:outlineLvl w:val="0"/>
        <w:rPr>
          <w:color w:val="auto"/>
          <w:sz w:val="24"/>
          <w:szCs w:val="24"/>
        </w:rPr>
      </w:pPr>
      <w:bookmarkStart w:id="41" w:name="_Toc18481"/>
      <w:r>
        <w:rPr>
          <w:bCs/>
          <w:color w:val="auto"/>
          <w:sz w:val="24"/>
        </w:rPr>
        <w:t>3</w:t>
      </w:r>
      <w:r>
        <w:rPr>
          <w:rFonts w:hint="eastAsia"/>
          <w:bCs/>
          <w:color w:val="auto"/>
          <w:sz w:val="24"/>
        </w:rPr>
        <w:t>建筑不</w:t>
      </w:r>
      <w:r>
        <w:rPr>
          <w:rFonts w:hint="eastAsia" w:ascii="宋体" w:hAnsi="宋体"/>
          <w:bCs/>
          <w:color w:val="auto"/>
          <w:sz w:val="24"/>
        </w:rPr>
        <w:t>应对周边建筑及气候环境造成不利影响。</w:t>
      </w:r>
      <w:bookmarkEnd w:id="41"/>
    </w:p>
    <w:p>
      <w:pPr>
        <w:spacing w:line="400" w:lineRule="exact"/>
        <w:rPr>
          <w:rFonts w:eastAsia="楷体"/>
          <w:bCs/>
          <w:color w:val="auto"/>
        </w:rPr>
      </w:pPr>
      <w:r>
        <w:rPr>
          <w:rFonts w:hint="eastAsia" w:eastAsia="楷体"/>
          <w:bCs/>
          <w:color w:val="auto"/>
        </w:rPr>
        <w:t>【条文说明】：对场地可利用的资源进行统筹规划，为建筑节能设计和可再生能源利用创造有利条件，达到减排降碳的目标。建筑群的规划设计对建筑的节能设计有显著影响，在对场地进行功能布局时，应充分考虑建筑该如何利用当地自然资源和适应地域气候特征。</w:t>
      </w:r>
    </w:p>
    <w:p>
      <w:pPr>
        <w:spacing w:line="400" w:lineRule="exact"/>
        <w:rPr>
          <w:rFonts w:eastAsia="楷体"/>
          <w:bCs/>
          <w:color w:val="auto"/>
        </w:rPr>
      </w:pPr>
      <w:r>
        <w:rPr>
          <w:rFonts w:hint="eastAsia" w:eastAsia="楷体"/>
          <w:bCs/>
          <w:color w:val="auto"/>
        </w:rPr>
        <w:t>建筑主朝向以南、北朝向为佳，有利于建筑在冬季接收更多太阳辐射总量和获得更久的日照时数。场地规划布局还应考虑通过设置景观小品、构筑物改善场地风热环境，场地的建设材料要充分考虑材料特性及蓄水能力等，为使用者创造宜居、舒适的室外环境。</w:t>
      </w:r>
    </w:p>
    <w:p>
      <w:pPr>
        <w:spacing w:line="400" w:lineRule="exact"/>
        <w:rPr>
          <w:rFonts w:eastAsia="楷体"/>
          <w:bCs/>
          <w:color w:val="auto"/>
        </w:rPr>
      </w:pPr>
      <w:r>
        <w:rPr>
          <w:rFonts w:hint="eastAsia" w:eastAsia="楷体"/>
          <w:bCs/>
          <w:color w:val="auto"/>
        </w:rPr>
        <w:t>场地的规划布局，楼体等不应对周边的建筑物，小区的日照，风环境等造成不利影响。</w:t>
      </w:r>
    </w:p>
    <w:p>
      <w:pPr>
        <w:spacing w:line="360" w:lineRule="auto"/>
        <w:outlineLvl w:val="2"/>
        <w:rPr>
          <w:color w:val="auto"/>
          <w:sz w:val="24"/>
          <w:szCs w:val="24"/>
        </w:rPr>
      </w:pPr>
      <w:r>
        <w:rPr>
          <w:rFonts w:ascii="宋体" w:hAnsi="宋体"/>
          <w:b/>
          <w:bCs/>
          <w:color w:val="auto"/>
          <w:sz w:val="24"/>
        </w:rPr>
        <w:t>6</w:t>
      </w:r>
      <w:r>
        <w:rPr>
          <w:rFonts w:hint="eastAsia" w:ascii="宋体" w:hAnsi="宋体"/>
          <w:b/>
          <w:bCs/>
          <w:color w:val="auto"/>
          <w:sz w:val="24"/>
        </w:rPr>
        <w:t>.</w:t>
      </w:r>
      <w:r>
        <w:rPr>
          <w:rFonts w:ascii="宋体" w:hAnsi="宋体"/>
          <w:b/>
          <w:bCs/>
          <w:color w:val="auto"/>
          <w:sz w:val="24"/>
        </w:rPr>
        <w:t>1</w:t>
      </w:r>
      <w:r>
        <w:rPr>
          <w:rFonts w:hint="eastAsia" w:ascii="宋体" w:hAnsi="宋体"/>
          <w:b/>
          <w:bCs/>
          <w:color w:val="auto"/>
          <w:sz w:val="24"/>
        </w:rPr>
        <w:t>.</w:t>
      </w:r>
      <w:r>
        <w:rPr>
          <w:rFonts w:ascii="宋体" w:hAnsi="宋体"/>
          <w:b/>
          <w:bCs/>
          <w:color w:val="auto"/>
          <w:sz w:val="24"/>
        </w:rPr>
        <w:t>2</w:t>
      </w:r>
      <w:r>
        <w:rPr>
          <w:rFonts w:ascii="宋体" w:hAnsi="宋体"/>
          <w:color w:val="auto"/>
          <w:sz w:val="24"/>
        </w:rPr>
        <w:t xml:space="preserve"> </w:t>
      </w:r>
      <w:r>
        <w:rPr>
          <w:rFonts w:ascii="宋体" w:hAnsi="宋体"/>
          <w:bCs/>
          <w:color w:val="auto"/>
          <w:sz w:val="24"/>
        </w:rPr>
        <w:t>利用场地原有条件进行优化设计</w:t>
      </w:r>
      <w:r>
        <w:rPr>
          <w:rFonts w:hint="eastAsia" w:ascii="宋体" w:hAnsi="宋体"/>
          <w:bCs/>
          <w:color w:val="auto"/>
          <w:sz w:val="24"/>
        </w:rPr>
        <w:t>，</w:t>
      </w:r>
      <w:r>
        <w:rPr>
          <w:rFonts w:ascii="宋体" w:hAnsi="宋体"/>
          <w:bCs/>
          <w:color w:val="auto"/>
          <w:sz w:val="24"/>
        </w:rPr>
        <w:t>节约集约利用土地</w:t>
      </w:r>
      <w:r>
        <w:rPr>
          <w:rFonts w:hint="eastAsia" w:ascii="宋体" w:hAnsi="宋体"/>
          <w:bCs/>
          <w:color w:val="auto"/>
          <w:sz w:val="24"/>
        </w:rPr>
        <w:t>。</w:t>
      </w:r>
      <w:r>
        <w:rPr>
          <w:rFonts w:hint="eastAsia"/>
          <w:color w:val="auto"/>
          <w:sz w:val="24"/>
          <w:szCs w:val="24"/>
        </w:rPr>
        <w:t>充分利用原有地形地貌，科学布局，避免大开大挖，做好水土保持措施，尽量做到挖填平衡。</w:t>
      </w:r>
    </w:p>
    <w:p>
      <w:pPr>
        <w:spacing w:line="400" w:lineRule="exact"/>
        <w:rPr>
          <w:rFonts w:eastAsia="楷体"/>
          <w:bCs/>
          <w:color w:val="auto"/>
        </w:rPr>
      </w:pPr>
      <w:r>
        <w:rPr>
          <w:rFonts w:hint="eastAsia" w:eastAsia="楷体"/>
          <w:bCs/>
          <w:color w:val="auto"/>
        </w:rPr>
        <w:t>【条文说明】：建设项目应对场地的地形、地势及场地内可利用的自然资源、原有建筑物和构筑物进行详尽勘察并充分利用，优先利用场地原有条件进行优化设计，对原有地形地貌，以利用为主，改造为辅，做好土方平衡。尽量减少挖填土方量，降低挖土、填土施工及运输阶段的碳排放。</w:t>
      </w:r>
    </w:p>
    <w:p>
      <w:pPr>
        <w:spacing w:before="312" w:beforeLines="100" w:after="240"/>
        <w:jc w:val="center"/>
        <w:outlineLvl w:val="1"/>
        <w:rPr>
          <w:rFonts w:ascii="仿宋" w:hAnsi="仿宋" w:eastAsia="仿宋"/>
          <w:b/>
          <w:bCs/>
          <w:color w:val="auto"/>
          <w:sz w:val="24"/>
          <w:szCs w:val="28"/>
        </w:rPr>
      </w:pPr>
      <w:bookmarkStart w:id="42" w:name="_Toc24909"/>
      <w:r>
        <w:rPr>
          <w:rFonts w:hint="eastAsia" w:ascii="仿宋" w:hAnsi="仿宋" w:eastAsia="仿宋"/>
          <w:b/>
          <w:bCs/>
          <w:color w:val="auto"/>
          <w:sz w:val="24"/>
          <w:szCs w:val="28"/>
        </w:rPr>
        <w:t xml:space="preserve">Ⅱ </w:t>
      </w:r>
      <w:r>
        <w:rPr>
          <w:rFonts w:ascii="仿宋" w:hAnsi="仿宋" w:eastAsia="仿宋"/>
          <w:b/>
          <w:bCs/>
          <w:color w:val="auto"/>
          <w:sz w:val="24"/>
          <w:szCs w:val="28"/>
        </w:rPr>
        <w:t>生态碳汇</w:t>
      </w:r>
      <w:bookmarkEnd w:id="42"/>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w:t>
      </w:r>
      <w:r>
        <w:rPr>
          <w:rFonts w:ascii="宋体" w:hAnsi="宋体"/>
          <w:b/>
          <w:bCs/>
          <w:color w:val="auto"/>
          <w:sz w:val="24"/>
        </w:rPr>
        <w:t>1</w:t>
      </w:r>
      <w:r>
        <w:rPr>
          <w:rFonts w:hint="eastAsia" w:ascii="宋体" w:hAnsi="宋体"/>
          <w:b/>
          <w:bCs/>
          <w:color w:val="auto"/>
          <w:sz w:val="24"/>
        </w:rPr>
        <w:t>.</w:t>
      </w:r>
      <w:r>
        <w:rPr>
          <w:rFonts w:ascii="宋体" w:hAnsi="宋体"/>
          <w:b/>
          <w:bCs/>
          <w:color w:val="auto"/>
          <w:sz w:val="24"/>
        </w:rPr>
        <w:t>3</w:t>
      </w:r>
      <w:r>
        <w:rPr>
          <w:rFonts w:ascii="宋体" w:hAnsi="宋体"/>
          <w:bCs/>
          <w:color w:val="auto"/>
          <w:sz w:val="24"/>
        </w:rPr>
        <w:t>低碳建筑应</w:t>
      </w:r>
      <w:r>
        <w:rPr>
          <w:rFonts w:hint="eastAsia" w:ascii="宋体" w:hAnsi="宋体"/>
          <w:bCs/>
          <w:color w:val="auto"/>
          <w:sz w:val="24"/>
        </w:rPr>
        <w:t>遵循保护或修复场地原有生态环境的原则，宜采用下列措施合理进行景观设计：</w:t>
      </w:r>
    </w:p>
    <w:p>
      <w:pPr>
        <w:spacing w:line="360" w:lineRule="auto"/>
        <w:ind w:firstLine="480" w:firstLineChars="200"/>
        <w:outlineLvl w:val="0"/>
        <w:rPr>
          <w:rFonts w:ascii="宋体" w:hAnsi="宋体"/>
          <w:bCs/>
          <w:color w:val="auto"/>
          <w:sz w:val="24"/>
        </w:rPr>
      </w:pPr>
      <w:bookmarkStart w:id="43" w:name="_Toc997"/>
      <w:r>
        <w:rPr>
          <w:rFonts w:hint="eastAsia"/>
          <w:bCs/>
          <w:color w:val="auto"/>
          <w:sz w:val="24"/>
        </w:rPr>
        <w:t>1</w:t>
      </w:r>
      <w:r>
        <w:rPr>
          <w:rFonts w:hint="eastAsia" w:ascii="宋体" w:hAnsi="宋体"/>
          <w:bCs/>
          <w:color w:val="auto"/>
          <w:sz w:val="24"/>
        </w:rPr>
        <w:t>充分利用原有地形地貌进行场地设计以及建筑、生态景观的布局；</w:t>
      </w:r>
      <w:bookmarkEnd w:id="43"/>
    </w:p>
    <w:p>
      <w:pPr>
        <w:spacing w:line="360" w:lineRule="auto"/>
        <w:ind w:firstLine="480" w:firstLineChars="200"/>
        <w:outlineLvl w:val="0"/>
        <w:rPr>
          <w:rFonts w:ascii="宋体" w:hAnsi="宋体"/>
          <w:bCs/>
          <w:color w:val="auto"/>
          <w:sz w:val="24"/>
        </w:rPr>
      </w:pPr>
      <w:bookmarkStart w:id="44" w:name="_Toc25350"/>
      <w:r>
        <w:rPr>
          <w:rFonts w:hint="eastAsia"/>
          <w:bCs/>
          <w:color w:val="auto"/>
          <w:sz w:val="24"/>
        </w:rPr>
        <w:t>2</w:t>
      </w:r>
      <w:r>
        <w:rPr>
          <w:rFonts w:hint="eastAsia" w:ascii="宋体" w:hAnsi="宋体"/>
          <w:bCs/>
          <w:color w:val="auto"/>
          <w:sz w:val="24"/>
        </w:rPr>
        <w:t>对场地内未受污染的净地表层土进行保护和回收利用；</w:t>
      </w:r>
      <w:bookmarkEnd w:id="44"/>
    </w:p>
    <w:p>
      <w:pPr>
        <w:spacing w:line="360" w:lineRule="auto"/>
        <w:ind w:firstLine="480" w:firstLineChars="200"/>
        <w:outlineLvl w:val="0"/>
        <w:rPr>
          <w:rFonts w:ascii="宋体" w:hAnsi="宋体"/>
          <w:color w:val="auto"/>
          <w:sz w:val="24"/>
        </w:rPr>
      </w:pPr>
      <w:bookmarkStart w:id="45" w:name="_Toc32469"/>
      <w:r>
        <w:rPr>
          <w:bCs/>
          <w:color w:val="auto"/>
          <w:sz w:val="24"/>
        </w:rPr>
        <w:t>3</w:t>
      </w:r>
      <w:r>
        <w:rPr>
          <w:rFonts w:hint="eastAsia" w:ascii="宋体" w:hAnsi="宋体"/>
          <w:bCs/>
          <w:color w:val="auto"/>
          <w:sz w:val="24"/>
        </w:rPr>
        <w:t>进行基于场地资源与生态诊断的科学规划设计，有效实现生态恢复或生态补偿。</w:t>
      </w:r>
      <w:bookmarkEnd w:id="45"/>
    </w:p>
    <w:p>
      <w:pPr>
        <w:spacing w:line="400" w:lineRule="exact"/>
        <w:rPr>
          <w:rFonts w:eastAsia="楷体"/>
          <w:bCs/>
          <w:color w:val="auto"/>
        </w:rPr>
      </w:pPr>
      <w:r>
        <w:rPr>
          <w:rFonts w:hint="eastAsia" w:eastAsia="楷体"/>
          <w:bCs/>
          <w:color w:val="auto"/>
        </w:rPr>
        <w:t>【条文说明】：场地的规划设计应遵循保护或修复场地原有生态环境的原则，鼓励对场地环境进行绿色修复，使场地生态功能达到最优状态。</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w:t>
      </w:r>
      <w:r>
        <w:rPr>
          <w:rFonts w:ascii="宋体" w:hAnsi="宋体"/>
          <w:b/>
          <w:bCs/>
          <w:color w:val="auto"/>
          <w:sz w:val="24"/>
        </w:rPr>
        <w:t>1</w:t>
      </w:r>
      <w:r>
        <w:rPr>
          <w:rFonts w:hint="eastAsia" w:ascii="宋体" w:hAnsi="宋体"/>
          <w:b/>
          <w:bCs/>
          <w:color w:val="auto"/>
          <w:sz w:val="24"/>
        </w:rPr>
        <w:t>.</w:t>
      </w:r>
      <w:r>
        <w:rPr>
          <w:rFonts w:ascii="宋体" w:hAnsi="宋体"/>
          <w:b/>
          <w:bCs/>
          <w:color w:val="auto"/>
          <w:sz w:val="24"/>
        </w:rPr>
        <w:t xml:space="preserve">4 </w:t>
      </w:r>
      <w:r>
        <w:rPr>
          <w:rFonts w:ascii="宋体" w:hAnsi="宋体"/>
          <w:bCs/>
          <w:color w:val="auto"/>
          <w:sz w:val="24"/>
        </w:rPr>
        <w:t>提升场地的碳汇能力</w:t>
      </w:r>
      <w:r>
        <w:rPr>
          <w:rFonts w:hint="eastAsia" w:ascii="宋体" w:hAnsi="宋体"/>
          <w:bCs/>
          <w:color w:val="auto"/>
          <w:sz w:val="24"/>
        </w:rPr>
        <w:t>，</w:t>
      </w:r>
      <w:r>
        <w:rPr>
          <w:rFonts w:ascii="宋体" w:hAnsi="宋体"/>
          <w:bCs/>
          <w:color w:val="auto"/>
          <w:sz w:val="24"/>
        </w:rPr>
        <w:t>应</w:t>
      </w:r>
      <w:r>
        <w:rPr>
          <w:rFonts w:hint="eastAsia" w:ascii="宋体" w:hAnsi="宋体"/>
          <w:bCs/>
          <w:color w:val="auto"/>
          <w:sz w:val="24"/>
        </w:rPr>
        <w:t>充分利用场地空间设置绿化用地，提高绿容率，应采用以下措施：</w:t>
      </w:r>
    </w:p>
    <w:p>
      <w:pPr>
        <w:spacing w:line="360" w:lineRule="auto"/>
        <w:outlineLvl w:val="0"/>
        <w:rPr>
          <w:rFonts w:ascii="宋体" w:hAnsi="宋体"/>
          <w:bCs/>
          <w:color w:val="auto"/>
          <w:sz w:val="24"/>
        </w:rPr>
      </w:pPr>
      <w:bookmarkStart w:id="46" w:name="_Toc5639"/>
      <w:r>
        <w:rPr>
          <w:rFonts w:hint="eastAsia"/>
          <w:bCs/>
          <w:color w:val="auto"/>
          <w:sz w:val="24"/>
        </w:rPr>
        <w:t>1</w:t>
      </w:r>
      <w:r>
        <w:rPr>
          <w:rFonts w:hint="eastAsia" w:ascii="宋体" w:hAnsi="宋体"/>
          <w:bCs/>
          <w:color w:val="auto"/>
          <w:sz w:val="24"/>
        </w:rPr>
        <w:t>采用合理的绿化配置措施，优先选择适宜当地气候和土壤条件的乡土植物；</w:t>
      </w:r>
      <w:bookmarkEnd w:id="46"/>
    </w:p>
    <w:p>
      <w:pPr>
        <w:spacing w:line="360" w:lineRule="auto"/>
        <w:outlineLvl w:val="2"/>
        <w:rPr>
          <w:rFonts w:ascii="宋体" w:hAnsi="宋体"/>
          <w:bCs/>
          <w:color w:val="auto"/>
          <w:sz w:val="24"/>
        </w:rPr>
      </w:pPr>
      <w:r>
        <w:rPr>
          <w:bCs/>
          <w:color w:val="auto"/>
          <w:sz w:val="24"/>
        </w:rPr>
        <w:t>2</w:t>
      </w:r>
      <w:r>
        <w:rPr>
          <w:rFonts w:hint="eastAsia" w:ascii="宋体" w:hAnsi="宋体"/>
          <w:bCs/>
          <w:color w:val="auto"/>
          <w:sz w:val="24"/>
        </w:rPr>
        <w:t>应充分考虑物种的生态位特征，合理选配植物种类，避免种间直接竞争,形成结构合理、功能健全、种群稳定的复层群落结构；</w:t>
      </w:r>
    </w:p>
    <w:p>
      <w:pPr>
        <w:spacing w:line="360" w:lineRule="auto"/>
        <w:outlineLvl w:val="0"/>
        <w:rPr>
          <w:rFonts w:ascii="宋体" w:hAnsi="宋体"/>
          <w:bCs/>
          <w:color w:val="auto"/>
          <w:sz w:val="24"/>
        </w:rPr>
      </w:pPr>
      <w:bookmarkStart w:id="47" w:name="_Toc3584"/>
      <w:r>
        <w:rPr>
          <w:bCs/>
          <w:color w:val="auto"/>
          <w:sz w:val="24"/>
        </w:rPr>
        <w:t>3</w:t>
      </w:r>
      <w:r>
        <w:rPr>
          <w:rFonts w:hint="eastAsia"/>
          <w:bCs/>
          <w:color w:val="auto"/>
          <w:sz w:val="24"/>
        </w:rPr>
        <w:t xml:space="preserve"> </w:t>
      </w:r>
      <w:r>
        <w:rPr>
          <w:rFonts w:hint="eastAsia" w:ascii="宋体" w:hAnsi="宋体"/>
          <w:bCs/>
          <w:color w:val="auto"/>
          <w:sz w:val="24"/>
        </w:rPr>
        <w:t>应考虑不同季节的风热环境需求，构建时间维度上稳定的绿化系统。</w:t>
      </w:r>
      <w:bookmarkEnd w:id="47"/>
    </w:p>
    <w:p>
      <w:pPr>
        <w:spacing w:line="400" w:lineRule="exact"/>
        <w:rPr>
          <w:rFonts w:eastAsia="楷体"/>
          <w:bCs/>
          <w:color w:val="auto"/>
        </w:rPr>
      </w:pPr>
      <w:r>
        <w:rPr>
          <w:rFonts w:hint="eastAsia" w:eastAsia="楷体"/>
          <w:bCs/>
          <w:color w:val="auto"/>
        </w:rPr>
        <w:t>【条文说明】：绿容率与绿地植物的光合作用、水份保持和净化、大气修复等新陈代谢过程强相关，其数值大小直观表现植物碳吸收量与氧气排放量能力。在绿容率指标体系中，有限数值内，绿容率值越高则代表植物碳汇功能越好。例如在树木生长旺季，一公顷阔叶林，每天吸收一吨二氧化碳，制造生产750公斤氧气。</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w:t>
      </w:r>
      <w:r>
        <w:rPr>
          <w:rFonts w:ascii="宋体" w:hAnsi="宋体"/>
          <w:b/>
          <w:bCs/>
          <w:color w:val="auto"/>
          <w:sz w:val="24"/>
        </w:rPr>
        <w:t>1</w:t>
      </w:r>
      <w:r>
        <w:rPr>
          <w:rFonts w:hint="eastAsia" w:ascii="宋体" w:hAnsi="宋体"/>
          <w:b/>
          <w:bCs/>
          <w:color w:val="auto"/>
          <w:sz w:val="24"/>
        </w:rPr>
        <w:t>.</w:t>
      </w:r>
      <w:r>
        <w:rPr>
          <w:rFonts w:ascii="宋体" w:hAnsi="宋体"/>
          <w:b/>
          <w:bCs/>
          <w:color w:val="auto"/>
          <w:sz w:val="24"/>
        </w:rPr>
        <w:t>5</w:t>
      </w:r>
      <w:r>
        <w:rPr>
          <w:rFonts w:hint="eastAsia" w:ascii="宋体" w:hAnsi="宋体"/>
          <w:bCs/>
          <w:color w:val="auto"/>
          <w:sz w:val="24"/>
        </w:rPr>
        <w:t>场地的竖向设计应有利于雨水的收集或排放，能够有效组织雨水的下渗、滞蓄或再利用，并对场地雨水实施外排总量进行控制。应采用以下做法：</w:t>
      </w:r>
    </w:p>
    <w:p>
      <w:pPr>
        <w:spacing w:line="360" w:lineRule="auto"/>
        <w:ind w:firstLine="480" w:firstLineChars="200"/>
        <w:outlineLvl w:val="0"/>
        <w:rPr>
          <w:rFonts w:ascii="宋体" w:hAnsi="宋体"/>
          <w:bCs/>
          <w:color w:val="auto"/>
          <w:sz w:val="24"/>
        </w:rPr>
      </w:pPr>
      <w:bookmarkStart w:id="48" w:name="_Toc13595"/>
      <w:r>
        <w:rPr>
          <w:rFonts w:hint="eastAsia"/>
          <w:bCs/>
          <w:color w:val="auto"/>
          <w:sz w:val="24"/>
        </w:rPr>
        <w:t>1</w:t>
      </w:r>
      <w:r>
        <w:rPr>
          <w:rFonts w:hint="eastAsia" w:ascii="宋体" w:hAnsi="宋体"/>
          <w:bCs/>
          <w:color w:val="auto"/>
          <w:sz w:val="24"/>
        </w:rPr>
        <w:t>鼓励通过渗、滞、蓄、净、排、用等方式储存和循环利用雨水；</w:t>
      </w:r>
      <w:bookmarkEnd w:id="48"/>
    </w:p>
    <w:p>
      <w:pPr>
        <w:spacing w:line="360" w:lineRule="auto"/>
        <w:ind w:firstLine="480" w:firstLineChars="200"/>
        <w:outlineLvl w:val="0"/>
        <w:rPr>
          <w:rFonts w:ascii="宋体" w:hAnsi="宋体"/>
          <w:bCs/>
          <w:color w:val="auto"/>
          <w:sz w:val="24"/>
        </w:rPr>
      </w:pPr>
      <w:bookmarkStart w:id="49" w:name="_Toc31656"/>
      <w:r>
        <w:rPr>
          <w:rFonts w:hint="eastAsia"/>
          <w:bCs/>
          <w:color w:val="auto"/>
          <w:sz w:val="24"/>
        </w:rPr>
        <w:t>2</w:t>
      </w:r>
      <w:r>
        <w:rPr>
          <w:rFonts w:hint="eastAsia" w:ascii="宋体" w:hAnsi="宋体"/>
          <w:bCs/>
          <w:color w:val="auto"/>
          <w:sz w:val="24"/>
        </w:rPr>
        <w:t>充分利用场地空间设置下凹式绿地、雨水花园等具有调蓄雨水功能的绿地和水体。</w:t>
      </w:r>
      <w:bookmarkEnd w:id="49"/>
    </w:p>
    <w:p>
      <w:pPr>
        <w:spacing w:line="400" w:lineRule="exact"/>
        <w:rPr>
          <w:rFonts w:eastAsia="楷体"/>
          <w:bCs/>
          <w:color w:val="auto"/>
        </w:rPr>
      </w:pPr>
      <w:r>
        <w:rPr>
          <w:rFonts w:hint="eastAsia" w:eastAsia="楷体"/>
          <w:bCs/>
          <w:color w:val="auto"/>
        </w:rPr>
        <w:t>【条文说明】：外排总量控制包括径流减排、污染控制、雨水调节和收集回用等，应依据场地的实际情况，通过合理的技术经济比较，来确定最优方案。雨水的过量收集会导致原有水体的萎缩或影响水系统的良性循环，设计控制雨量的确定要通过统计学方法获得。</w:t>
      </w:r>
    </w:p>
    <w:p>
      <w:pPr>
        <w:spacing w:line="360" w:lineRule="auto"/>
        <w:outlineLvl w:val="1"/>
        <w:rPr>
          <w:rFonts w:ascii="宋体" w:hAnsi="宋体"/>
          <w:b/>
          <w:bCs/>
          <w:color w:val="auto"/>
          <w:sz w:val="24"/>
        </w:rPr>
      </w:pPr>
      <w:bookmarkStart w:id="50" w:name="_Toc31122"/>
      <w:r>
        <w:rPr>
          <w:rFonts w:hint="eastAsia" w:ascii="宋体" w:hAnsi="宋体"/>
          <w:b/>
          <w:bCs/>
          <w:color w:val="auto"/>
          <w:sz w:val="24"/>
        </w:rPr>
        <w:t>6</w:t>
      </w:r>
      <w:r>
        <w:rPr>
          <w:rFonts w:ascii="宋体" w:hAnsi="宋体"/>
          <w:b/>
          <w:bCs/>
          <w:color w:val="auto"/>
          <w:sz w:val="24"/>
        </w:rPr>
        <w:t>.1.6</w:t>
      </w:r>
      <w:r>
        <w:rPr>
          <w:rFonts w:ascii="宋体" w:hAnsi="宋体"/>
          <w:bCs/>
          <w:color w:val="auto"/>
          <w:sz w:val="24"/>
        </w:rPr>
        <w:t>鼓励在低碳建筑设计中采用经过验证具有推广价值的新型碳汇材料或碳汇技术</w:t>
      </w:r>
      <w:r>
        <w:rPr>
          <w:rFonts w:hint="eastAsia" w:ascii="宋体" w:hAnsi="宋体"/>
          <w:bCs/>
          <w:color w:val="auto"/>
          <w:sz w:val="24"/>
        </w:rPr>
        <w:t>。</w:t>
      </w:r>
      <w:bookmarkEnd w:id="50"/>
    </w:p>
    <w:p>
      <w:pPr>
        <w:spacing w:line="360" w:lineRule="auto"/>
        <w:outlineLvl w:val="2"/>
        <w:rPr>
          <w:rFonts w:ascii="宋体" w:hAnsi="宋体"/>
          <w:b/>
          <w:bCs/>
          <w:color w:val="auto"/>
          <w:sz w:val="24"/>
        </w:rPr>
      </w:pPr>
      <w:r>
        <w:rPr>
          <w:rFonts w:hint="eastAsia" w:eastAsia="楷体"/>
          <w:bCs/>
          <w:color w:val="auto"/>
        </w:rPr>
        <w:t>【条文说明】：通过合理利用混凝土的碳化反应，挖掘新型混凝土材料与技术的固碳应用机制，在项目中试点应用跟踪碳汇效果；据相关理论探究，增加碳吸收和减少碳排放一样是有效减少温室气体的主要途径。2</w:t>
      </w:r>
      <w:r>
        <w:rPr>
          <w:rFonts w:eastAsia="楷体"/>
          <w:bCs/>
          <w:color w:val="auto"/>
        </w:rPr>
        <w:t>009年李树勇等人在</w:t>
      </w:r>
      <w:r>
        <w:rPr>
          <w:rFonts w:hint="eastAsia" w:eastAsia="楷体"/>
          <w:bCs/>
          <w:color w:val="auto"/>
        </w:rPr>
        <w:t>《水泥作为潜在碳汇对CO</w:t>
      </w:r>
      <w:r>
        <w:rPr>
          <w:rFonts w:eastAsia="楷体"/>
          <w:bCs/>
          <w:color w:val="auto"/>
        </w:rPr>
        <w:t>吸收潜力的估算研究</w:t>
      </w:r>
      <w:r>
        <w:rPr>
          <w:rFonts w:hint="eastAsia" w:eastAsia="楷体"/>
          <w:bCs/>
          <w:color w:val="auto"/>
        </w:rPr>
        <w:t>》中指出混凝土在使用过程中，通过与空气中的CO</w:t>
      </w:r>
      <w:r>
        <w:rPr>
          <w:rFonts w:eastAsia="楷体"/>
          <w:bCs/>
          <w:color w:val="auto"/>
        </w:rPr>
        <w:t>2反应可以吸收一部分碳量</w:t>
      </w:r>
      <w:r>
        <w:rPr>
          <w:rFonts w:hint="eastAsia" w:eastAsia="楷体"/>
          <w:bCs/>
          <w:color w:val="auto"/>
        </w:rPr>
        <w:t>，石铁矛等人在《建筑混凝土全生命周期固碳能力计算方法》中提出</w:t>
      </w:r>
      <w:r>
        <w:rPr>
          <w:rFonts w:eastAsia="楷体"/>
          <w:bCs/>
          <w:color w:val="auto"/>
        </w:rPr>
        <w:t>建筑碳汇量的核算以单位梯级碳吸收量在混凝土碳化体积中的总和</w:t>
      </w:r>
      <w:r>
        <w:rPr>
          <w:rFonts w:hint="eastAsia" w:eastAsia="楷体"/>
          <w:bCs/>
          <w:color w:val="auto"/>
        </w:rPr>
        <w:t>。</w:t>
      </w:r>
    </w:p>
    <w:p>
      <w:pPr>
        <w:spacing w:before="312" w:beforeLines="100" w:after="240"/>
        <w:jc w:val="center"/>
        <w:outlineLvl w:val="0"/>
        <w:rPr>
          <w:rFonts w:ascii="黑体" w:hAnsi="黑体" w:eastAsia="黑体"/>
          <w:bCs/>
          <w:color w:val="auto"/>
          <w:sz w:val="28"/>
          <w:szCs w:val="28"/>
        </w:rPr>
      </w:pPr>
      <w:bookmarkStart w:id="51" w:name="_Toc15248"/>
      <w:r>
        <w:rPr>
          <w:rFonts w:hint="eastAsia" w:ascii="黑体" w:hAnsi="黑体" w:eastAsia="黑体"/>
          <w:bCs/>
          <w:color w:val="auto"/>
          <w:sz w:val="28"/>
          <w:szCs w:val="28"/>
        </w:rPr>
        <w:t>6</w:t>
      </w:r>
      <w:r>
        <w:rPr>
          <w:rFonts w:ascii="黑体" w:hAnsi="黑体" w:eastAsia="黑体"/>
          <w:bCs/>
          <w:color w:val="auto"/>
          <w:sz w:val="28"/>
          <w:szCs w:val="28"/>
        </w:rPr>
        <w:t>.2建筑设计</w:t>
      </w:r>
      <w:bookmarkEnd w:id="51"/>
    </w:p>
    <w:p>
      <w:pPr>
        <w:spacing w:after="240"/>
        <w:jc w:val="center"/>
        <w:outlineLvl w:val="1"/>
        <w:rPr>
          <w:rFonts w:ascii="仿宋" w:hAnsi="仿宋" w:eastAsia="仿宋"/>
          <w:b/>
          <w:bCs/>
          <w:color w:val="auto"/>
          <w:sz w:val="24"/>
          <w:szCs w:val="28"/>
        </w:rPr>
      </w:pPr>
      <w:bookmarkStart w:id="52" w:name="_Toc28947"/>
      <w:r>
        <w:rPr>
          <w:rFonts w:hint="eastAsia" w:ascii="仿宋" w:hAnsi="仿宋" w:eastAsia="仿宋"/>
          <w:b/>
          <w:bCs/>
          <w:color w:val="auto"/>
          <w:sz w:val="24"/>
          <w:szCs w:val="28"/>
        </w:rPr>
        <w:t>Ⅰ被动式节能</w:t>
      </w:r>
      <w:r>
        <w:rPr>
          <w:rFonts w:ascii="仿宋" w:hAnsi="仿宋" w:eastAsia="仿宋"/>
          <w:b/>
          <w:bCs/>
          <w:color w:val="auto"/>
          <w:sz w:val="24"/>
          <w:szCs w:val="28"/>
        </w:rPr>
        <w:t>设计</w:t>
      </w:r>
      <w:bookmarkEnd w:id="52"/>
    </w:p>
    <w:p>
      <w:pPr>
        <w:spacing w:line="360" w:lineRule="auto"/>
        <w:outlineLvl w:val="1"/>
        <w:rPr>
          <w:color w:val="auto"/>
          <w:sz w:val="24"/>
          <w:szCs w:val="24"/>
        </w:rPr>
      </w:pPr>
      <w:bookmarkStart w:id="53" w:name="_Toc4614"/>
      <w:r>
        <w:rPr>
          <w:rFonts w:ascii="宋体" w:hAnsi="宋体"/>
          <w:b/>
          <w:bCs/>
          <w:color w:val="auto"/>
          <w:sz w:val="24"/>
        </w:rPr>
        <w:t>6</w:t>
      </w:r>
      <w:r>
        <w:rPr>
          <w:rFonts w:hint="eastAsia" w:ascii="宋体" w:hAnsi="宋体"/>
          <w:b/>
          <w:bCs/>
          <w:color w:val="auto"/>
          <w:sz w:val="24"/>
        </w:rPr>
        <w:t>.</w:t>
      </w:r>
      <w:r>
        <w:rPr>
          <w:rFonts w:ascii="宋体" w:hAnsi="宋体"/>
          <w:b/>
          <w:bCs/>
          <w:color w:val="auto"/>
          <w:sz w:val="24"/>
        </w:rPr>
        <w:t>2</w:t>
      </w:r>
      <w:r>
        <w:rPr>
          <w:rFonts w:hint="eastAsia" w:ascii="宋体" w:hAnsi="宋体"/>
          <w:b/>
          <w:bCs/>
          <w:color w:val="auto"/>
          <w:sz w:val="24"/>
        </w:rPr>
        <w:t>.1</w:t>
      </w:r>
      <w:r>
        <w:rPr>
          <w:rFonts w:hint="eastAsia" w:ascii="宋体" w:hAnsi="宋体"/>
          <w:bCs/>
          <w:color w:val="auto"/>
          <w:sz w:val="24"/>
        </w:rPr>
        <w:t>低碳办公</w:t>
      </w:r>
      <w:r>
        <w:rPr>
          <w:rFonts w:hint="eastAsia"/>
          <w:color w:val="auto"/>
          <w:sz w:val="24"/>
          <w:szCs w:val="24"/>
        </w:rPr>
        <w:t>建筑的形体设计宜采用简洁的造型、适宜的体形系数</w:t>
      </w:r>
      <w:r>
        <w:rPr>
          <w:color w:val="auto"/>
          <w:sz w:val="24"/>
          <w:szCs w:val="24"/>
        </w:rPr>
        <w:t>。</w:t>
      </w:r>
      <w:bookmarkEnd w:id="53"/>
    </w:p>
    <w:p>
      <w:pPr>
        <w:spacing w:line="400" w:lineRule="exact"/>
        <w:rPr>
          <w:rFonts w:eastAsia="楷体"/>
          <w:bCs/>
          <w:color w:val="auto"/>
        </w:rPr>
      </w:pPr>
      <w:r>
        <w:rPr>
          <w:rFonts w:hint="eastAsia" w:eastAsia="楷体"/>
          <w:bCs/>
          <w:color w:val="auto"/>
        </w:rPr>
        <w:t>【条文说明】：体形系数的大小对建筑能耗的影响非常显著。</w:t>
      </w:r>
      <w:r>
        <w:rPr>
          <w:rFonts w:eastAsia="楷体"/>
          <w:bCs/>
          <w:color w:val="auto"/>
        </w:rPr>
        <w:fldChar w:fldCharType="begin"/>
      </w:r>
      <w:r>
        <w:rPr>
          <w:rFonts w:eastAsia="楷体"/>
          <w:bCs/>
          <w:color w:val="auto"/>
        </w:rPr>
        <w:instrText xml:space="preserve"> HYPERLINK "https://baike.baidu.com/item/%E4%BD%93%E5%BD%A2%E7%B3%BB%E6%95%B0/4500550?fromModule=lemma_inlink" \t "_blank" </w:instrText>
      </w:r>
      <w:r>
        <w:rPr>
          <w:rFonts w:eastAsia="楷体"/>
          <w:bCs/>
          <w:color w:val="auto"/>
        </w:rPr>
        <w:fldChar w:fldCharType="separate"/>
      </w:r>
      <w:r>
        <w:rPr>
          <w:rFonts w:eastAsia="楷体"/>
          <w:bCs/>
          <w:color w:val="auto"/>
        </w:rPr>
        <w:t>体形系数</w:t>
      </w:r>
      <w:r>
        <w:rPr>
          <w:rFonts w:eastAsia="楷体"/>
          <w:bCs/>
          <w:color w:val="auto"/>
        </w:rPr>
        <w:fldChar w:fldCharType="end"/>
      </w:r>
      <w:r>
        <w:rPr>
          <w:rFonts w:hint="eastAsia" w:eastAsia="楷体"/>
          <w:bCs/>
          <w:color w:val="auto"/>
        </w:rPr>
        <w:t>越</w:t>
      </w:r>
      <w:r>
        <w:rPr>
          <w:rFonts w:eastAsia="楷体"/>
          <w:bCs/>
          <w:color w:val="auto"/>
        </w:rPr>
        <w:t>小，</w:t>
      </w:r>
      <w:r>
        <w:rPr>
          <w:rFonts w:hint="eastAsia" w:eastAsia="楷体"/>
          <w:bCs/>
          <w:color w:val="auto"/>
        </w:rPr>
        <w:t>单位建筑</w:t>
      </w:r>
      <w:r>
        <w:rPr>
          <w:rFonts w:eastAsia="楷体"/>
          <w:bCs/>
          <w:color w:val="auto"/>
        </w:rPr>
        <w:t>面积对应的外表</w:t>
      </w:r>
      <w:r>
        <w:rPr>
          <w:rFonts w:hint="eastAsia" w:eastAsia="楷体"/>
          <w:bCs/>
          <w:color w:val="auto"/>
        </w:rPr>
        <w:t>面积</w:t>
      </w:r>
      <w:r>
        <w:rPr>
          <w:rFonts w:eastAsia="楷体"/>
          <w:bCs/>
          <w:color w:val="auto"/>
        </w:rPr>
        <w:t>越小，外围护结构</w:t>
      </w:r>
      <w:r>
        <w:rPr>
          <w:rFonts w:hint="eastAsia" w:eastAsia="楷体"/>
          <w:bCs/>
          <w:color w:val="auto"/>
        </w:rPr>
        <w:t>的</w:t>
      </w:r>
      <w:r>
        <w:rPr>
          <w:rFonts w:eastAsia="楷体"/>
          <w:bCs/>
          <w:color w:val="auto"/>
        </w:rPr>
        <w:t>传热损失越少。</w:t>
      </w:r>
      <w:r>
        <w:rPr>
          <w:rFonts w:hint="eastAsia" w:eastAsia="楷体"/>
          <w:bCs/>
          <w:color w:val="auto"/>
        </w:rPr>
        <w:t>在</w:t>
      </w:r>
      <w:r>
        <w:rPr>
          <w:rFonts w:eastAsia="楷体"/>
          <w:bCs/>
          <w:color w:val="auto"/>
        </w:rPr>
        <w:t>低碳办公建筑</w:t>
      </w:r>
      <w:r>
        <w:rPr>
          <w:rFonts w:hint="eastAsia" w:eastAsia="楷体"/>
          <w:bCs/>
          <w:color w:val="auto"/>
        </w:rPr>
        <w:t>的</w:t>
      </w:r>
      <w:r>
        <w:rPr>
          <w:rFonts w:eastAsia="楷体"/>
          <w:bCs/>
          <w:color w:val="auto"/>
        </w:rPr>
        <w:t>形体设计中，应根据</w:t>
      </w:r>
      <w:r>
        <w:rPr>
          <w:rFonts w:hint="eastAsia" w:eastAsia="楷体"/>
          <w:bCs/>
          <w:color w:val="auto"/>
        </w:rPr>
        <w:t>建筑的特点综合考虑体积</w:t>
      </w:r>
      <w:r>
        <w:rPr>
          <w:rFonts w:eastAsia="楷体"/>
          <w:bCs/>
          <w:color w:val="auto"/>
        </w:rPr>
        <w:t>、</w:t>
      </w:r>
      <w:r>
        <w:rPr>
          <w:rFonts w:hint="eastAsia" w:eastAsia="楷体"/>
          <w:bCs/>
          <w:color w:val="auto"/>
        </w:rPr>
        <w:t>长宽比、朝向和日辐射得热量，充分权衡利弊，</w:t>
      </w:r>
      <w:r>
        <w:rPr>
          <w:rFonts w:eastAsia="楷体"/>
          <w:bCs/>
          <w:color w:val="auto"/>
        </w:rPr>
        <w:t>从降低能耗的角度出发，</w:t>
      </w:r>
      <w:r>
        <w:rPr>
          <w:rFonts w:hint="eastAsia" w:eastAsia="楷体"/>
          <w:bCs/>
          <w:color w:val="auto"/>
        </w:rPr>
        <w:t>将体形系数控制在</w:t>
      </w:r>
      <w:r>
        <w:rPr>
          <w:rFonts w:eastAsia="楷体"/>
          <w:bCs/>
          <w:color w:val="auto"/>
        </w:rPr>
        <w:t>合适的水平</w:t>
      </w:r>
      <w:r>
        <w:rPr>
          <w:rFonts w:hint="eastAsia" w:eastAsia="楷体"/>
          <w:bCs/>
          <w:color w:val="auto"/>
        </w:rPr>
        <w:t>上。体形系数的设计中还必须综合考虑到平面布局和采光通风的要求，避免因体形系数过小而制约创造性，造成建筑造型呆板、平面布局困难，甚至影响建筑功能。</w:t>
      </w:r>
    </w:p>
    <w:p>
      <w:pPr>
        <w:spacing w:line="360" w:lineRule="auto"/>
        <w:outlineLvl w:val="2"/>
        <w:rPr>
          <w:color w:val="auto"/>
          <w:sz w:val="24"/>
          <w:szCs w:val="24"/>
        </w:rPr>
      </w:pPr>
      <w:r>
        <w:rPr>
          <w:rFonts w:ascii="宋体" w:hAnsi="宋体"/>
          <w:b/>
          <w:bCs/>
          <w:color w:val="auto"/>
          <w:sz w:val="24"/>
        </w:rPr>
        <w:t>6</w:t>
      </w:r>
      <w:r>
        <w:rPr>
          <w:rFonts w:hint="eastAsia" w:ascii="宋体" w:hAnsi="宋体"/>
          <w:b/>
          <w:bCs/>
          <w:color w:val="auto"/>
          <w:sz w:val="24"/>
        </w:rPr>
        <w:t>.</w:t>
      </w:r>
      <w:r>
        <w:rPr>
          <w:rFonts w:ascii="宋体" w:hAnsi="宋体"/>
          <w:b/>
          <w:bCs/>
          <w:color w:val="auto"/>
          <w:sz w:val="24"/>
        </w:rPr>
        <w:t>2</w:t>
      </w:r>
      <w:r>
        <w:rPr>
          <w:rFonts w:hint="eastAsia" w:ascii="宋体" w:hAnsi="宋体"/>
          <w:b/>
          <w:bCs/>
          <w:color w:val="auto"/>
          <w:sz w:val="24"/>
        </w:rPr>
        <w:t>.</w:t>
      </w:r>
      <w:r>
        <w:rPr>
          <w:rFonts w:ascii="宋体" w:hAnsi="宋体"/>
          <w:b/>
          <w:bCs/>
          <w:color w:val="auto"/>
          <w:sz w:val="24"/>
        </w:rPr>
        <w:t>2</w:t>
      </w:r>
      <w:r>
        <w:rPr>
          <w:rFonts w:ascii="宋体" w:hAnsi="宋体"/>
          <w:bCs/>
          <w:color w:val="auto"/>
          <w:sz w:val="24"/>
        </w:rPr>
        <w:t xml:space="preserve"> 新建办公</w:t>
      </w:r>
      <w:r>
        <w:rPr>
          <w:color w:val="auto"/>
          <w:sz w:val="24"/>
          <w:szCs w:val="24"/>
        </w:rPr>
        <w:t>建筑</w:t>
      </w:r>
      <w:r>
        <w:rPr>
          <w:rFonts w:hint="eastAsia"/>
          <w:color w:val="auto"/>
          <w:sz w:val="24"/>
          <w:szCs w:val="24"/>
        </w:rPr>
        <w:t>的主朝向宜选择本地区最佳</w:t>
      </w:r>
      <w:r>
        <w:rPr>
          <w:color w:val="auto"/>
          <w:sz w:val="24"/>
          <w:szCs w:val="24"/>
        </w:rPr>
        <w:t>朝向或</w:t>
      </w:r>
      <w:r>
        <w:rPr>
          <w:rFonts w:hint="eastAsia"/>
          <w:color w:val="auto"/>
          <w:sz w:val="24"/>
          <w:szCs w:val="24"/>
        </w:rPr>
        <w:t>适宜</w:t>
      </w:r>
      <w:r>
        <w:rPr>
          <w:color w:val="auto"/>
          <w:sz w:val="24"/>
          <w:szCs w:val="24"/>
        </w:rPr>
        <w:t>朝向</w:t>
      </w:r>
      <w:r>
        <w:rPr>
          <w:rFonts w:hint="eastAsia"/>
          <w:color w:val="auto"/>
          <w:sz w:val="24"/>
          <w:szCs w:val="24"/>
        </w:rPr>
        <w:t>，</w:t>
      </w:r>
      <w:r>
        <w:rPr>
          <w:rFonts w:hint="eastAsia" w:ascii="宋体" w:hAnsi="宋体"/>
          <w:bCs/>
          <w:color w:val="auto"/>
          <w:sz w:val="24"/>
        </w:rPr>
        <w:t>建筑的</w:t>
      </w:r>
      <w:r>
        <w:rPr>
          <w:rFonts w:ascii="宋体" w:hAnsi="宋体"/>
          <w:bCs/>
          <w:color w:val="auto"/>
          <w:sz w:val="24"/>
        </w:rPr>
        <w:t>空间组织</w:t>
      </w:r>
      <w:r>
        <w:rPr>
          <w:rFonts w:hint="eastAsia" w:ascii="宋体" w:hAnsi="宋体"/>
          <w:bCs/>
          <w:color w:val="auto"/>
          <w:sz w:val="24"/>
        </w:rPr>
        <w:t>、</w:t>
      </w:r>
      <w:r>
        <w:rPr>
          <w:rFonts w:ascii="宋体" w:hAnsi="宋体"/>
          <w:bCs/>
          <w:color w:val="auto"/>
          <w:sz w:val="24"/>
        </w:rPr>
        <w:t>门窗洞口</w:t>
      </w:r>
      <w:r>
        <w:rPr>
          <w:rFonts w:hint="eastAsia" w:ascii="宋体" w:hAnsi="宋体"/>
          <w:bCs/>
          <w:color w:val="auto"/>
          <w:sz w:val="24"/>
        </w:rPr>
        <w:t>的</w:t>
      </w:r>
      <w:r>
        <w:rPr>
          <w:rFonts w:ascii="宋体" w:hAnsi="宋体"/>
          <w:bCs/>
          <w:color w:val="auto"/>
          <w:sz w:val="24"/>
        </w:rPr>
        <w:t>设置</w:t>
      </w:r>
      <w:r>
        <w:rPr>
          <w:rFonts w:hint="eastAsia" w:ascii="宋体" w:hAnsi="宋体"/>
          <w:bCs/>
          <w:color w:val="auto"/>
          <w:sz w:val="24"/>
        </w:rPr>
        <w:t>应有利于组织</w:t>
      </w:r>
      <w:r>
        <w:rPr>
          <w:rFonts w:ascii="宋体" w:hAnsi="宋体"/>
          <w:bCs/>
          <w:color w:val="auto"/>
          <w:sz w:val="24"/>
        </w:rPr>
        <w:t>室内</w:t>
      </w:r>
      <w:r>
        <w:rPr>
          <w:rFonts w:hint="eastAsia" w:ascii="宋体" w:hAnsi="宋体"/>
          <w:bCs/>
          <w:color w:val="auto"/>
          <w:sz w:val="24"/>
        </w:rPr>
        <w:t>自然</w:t>
      </w:r>
      <w:r>
        <w:rPr>
          <w:rFonts w:ascii="宋体" w:hAnsi="宋体"/>
          <w:bCs/>
          <w:color w:val="auto"/>
          <w:sz w:val="24"/>
        </w:rPr>
        <w:t>通风</w:t>
      </w:r>
      <w:r>
        <w:rPr>
          <w:rFonts w:hint="eastAsia" w:ascii="宋体" w:hAnsi="宋体"/>
          <w:bCs/>
          <w:color w:val="auto"/>
          <w:sz w:val="24"/>
        </w:rPr>
        <w:t>。</w:t>
      </w:r>
    </w:p>
    <w:p>
      <w:pPr>
        <w:spacing w:line="360" w:lineRule="auto"/>
        <w:ind w:firstLine="480" w:firstLineChars="200"/>
        <w:outlineLvl w:val="0"/>
        <w:rPr>
          <w:color w:val="auto"/>
          <w:sz w:val="24"/>
          <w:szCs w:val="24"/>
        </w:rPr>
      </w:pPr>
      <w:bookmarkStart w:id="54" w:name="_Toc3818"/>
      <w:r>
        <w:rPr>
          <w:color w:val="auto"/>
          <w:sz w:val="24"/>
          <w:szCs w:val="24"/>
        </w:rPr>
        <w:t>1</w:t>
      </w:r>
      <w:r>
        <w:rPr>
          <w:rFonts w:hint="eastAsia"/>
          <w:color w:val="auto"/>
          <w:sz w:val="24"/>
          <w:szCs w:val="24"/>
        </w:rPr>
        <w:t>建筑物</w:t>
      </w:r>
      <w:r>
        <w:rPr>
          <w:color w:val="auto"/>
          <w:sz w:val="24"/>
          <w:szCs w:val="24"/>
        </w:rPr>
        <w:t>宜朝向南北或近朝向南北，</w:t>
      </w:r>
      <w:r>
        <w:rPr>
          <w:rFonts w:hint="eastAsia"/>
          <w:color w:val="auto"/>
          <w:sz w:val="24"/>
          <w:szCs w:val="24"/>
        </w:rPr>
        <w:t>主入口宜避开冬季主导风向；</w:t>
      </w:r>
      <w:bookmarkEnd w:id="54"/>
    </w:p>
    <w:p>
      <w:pPr>
        <w:spacing w:line="360" w:lineRule="auto"/>
        <w:ind w:firstLine="480" w:firstLineChars="200"/>
        <w:outlineLvl w:val="2"/>
        <w:rPr>
          <w:color w:val="auto"/>
          <w:sz w:val="24"/>
          <w:szCs w:val="24"/>
        </w:rPr>
      </w:pPr>
      <w:r>
        <w:rPr>
          <w:rFonts w:hint="eastAsia"/>
          <w:color w:val="auto"/>
          <w:sz w:val="24"/>
          <w:szCs w:val="24"/>
        </w:rPr>
        <w:t>2主要办公空间应考虑夏季减少太阳辐射得热并促进自然通风。对于严寒和寒冷的地区，</w:t>
      </w:r>
      <w:r>
        <w:rPr>
          <w:color w:val="auto"/>
          <w:sz w:val="24"/>
          <w:szCs w:val="24"/>
        </w:rPr>
        <w:t>主要办公空间</w:t>
      </w:r>
      <w:r>
        <w:rPr>
          <w:rFonts w:hint="eastAsia"/>
          <w:color w:val="auto"/>
          <w:sz w:val="24"/>
          <w:szCs w:val="24"/>
        </w:rPr>
        <w:t>应考虑在冬季获得日照。</w:t>
      </w:r>
    </w:p>
    <w:p>
      <w:pPr>
        <w:spacing w:line="400" w:lineRule="exact"/>
        <w:rPr>
          <w:rFonts w:eastAsia="楷体"/>
          <w:bCs/>
          <w:color w:val="auto"/>
        </w:rPr>
      </w:pPr>
      <w:r>
        <w:rPr>
          <w:rFonts w:hint="eastAsia" w:eastAsia="楷体"/>
          <w:bCs/>
          <w:color w:val="auto"/>
        </w:rPr>
        <w:t>【条文说明】：我国位于北半球，建筑主体应采用南北或接近南北向。为便于冬季获取日照、夏季利用主导风气流，最佳位置宜为西南至东南方向，但也需结合地形布局，既避开冬季东北风向直吹，也有利于吸纳夏季西南风向，便于疏散热量。当利用太阳能的理想朝向与风朝向矛盾时，应根据建筑功能和气候条件决定其优先地位。通常利用太阳能优先，因为一般来说，自然通风的进风口设计比太阳能利用更易适应不理想的朝向。建筑通风首先是满足室内人员健康的需求，良好的通风可以引入清风并带走室内污染物，改善室内空气质量。其次是降温。可以通过建筑的合理空间组合、调整门窗洞口位置、利用建筑构件等手法，使建筑内部形成良好的穿堂风，带走室内余热，达到降温的目的。</w:t>
      </w:r>
    </w:p>
    <w:p>
      <w:pPr>
        <w:spacing w:line="360" w:lineRule="auto"/>
        <w:outlineLvl w:val="2"/>
        <w:rPr>
          <w:rFonts w:ascii="宋体" w:hAnsi="宋体"/>
          <w:b/>
          <w:bCs/>
          <w:color w:val="auto"/>
          <w:sz w:val="24"/>
        </w:rPr>
      </w:pPr>
      <w:r>
        <w:rPr>
          <w:rFonts w:hint="eastAsia" w:ascii="宋体" w:hAnsi="宋体"/>
          <w:b/>
          <w:bCs/>
          <w:color w:val="auto"/>
          <w:sz w:val="24"/>
        </w:rPr>
        <w:t>6.2.3</w:t>
      </w:r>
      <w:r>
        <w:rPr>
          <w:rFonts w:hint="eastAsia" w:ascii="宋体" w:hAnsi="宋体"/>
          <w:bCs/>
          <w:color w:val="auto"/>
          <w:sz w:val="24"/>
        </w:rPr>
        <w:t>办公区域应充分利用自然采光，使办公建筑的内部使用空间获得满足使用、安全、舒适、美观等要求的光照度，遵循下列设计原则：</w:t>
      </w:r>
    </w:p>
    <w:p>
      <w:pPr>
        <w:spacing w:line="360" w:lineRule="auto"/>
        <w:ind w:firstLine="480" w:firstLineChars="200"/>
        <w:outlineLvl w:val="2"/>
        <w:rPr>
          <w:rFonts w:ascii="宋体" w:hAnsi="宋体"/>
          <w:bCs/>
          <w:color w:val="auto"/>
          <w:sz w:val="24"/>
        </w:rPr>
      </w:pPr>
      <w:r>
        <w:rPr>
          <w:bCs/>
          <w:color w:val="auto"/>
          <w:sz w:val="24"/>
        </w:rPr>
        <w:t>1</w:t>
      </w:r>
      <w:r>
        <w:rPr>
          <w:rFonts w:hint="eastAsia" w:ascii="宋体" w:hAnsi="宋体"/>
          <w:bCs/>
          <w:color w:val="auto"/>
          <w:sz w:val="24"/>
        </w:rPr>
        <w:t>地上空间应在建筑进深选择时充分考虑自然采光。办公区进深不宜大于天然采光的有效进深；</w:t>
      </w:r>
    </w:p>
    <w:p>
      <w:pPr>
        <w:spacing w:line="360" w:lineRule="auto"/>
        <w:ind w:firstLine="480" w:firstLineChars="200"/>
        <w:outlineLvl w:val="0"/>
        <w:rPr>
          <w:rFonts w:ascii="宋体" w:hAnsi="宋体"/>
          <w:bCs/>
          <w:color w:val="auto"/>
          <w:sz w:val="24"/>
        </w:rPr>
      </w:pPr>
      <w:bookmarkStart w:id="55" w:name="_Toc19571"/>
      <w:r>
        <w:rPr>
          <w:rFonts w:hint="eastAsia"/>
          <w:bCs/>
          <w:color w:val="auto"/>
          <w:sz w:val="24"/>
        </w:rPr>
        <w:t>2</w:t>
      </w:r>
      <w:r>
        <w:rPr>
          <w:rFonts w:hint="eastAsia" w:ascii="宋体" w:hAnsi="宋体"/>
          <w:bCs/>
          <w:color w:val="auto"/>
          <w:sz w:val="24"/>
        </w:rPr>
        <w:t>大进深区域宜设置采光中庭、采光竖井、导光筒、光反射板等设施，改善天然采光效果。</w:t>
      </w:r>
      <w:bookmarkEnd w:id="55"/>
    </w:p>
    <w:p>
      <w:pPr>
        <w:spacing w:line="360" w:lineRule="auto"/>
        <w:ind w:firstLine="480" w:firstLineChars="200"/>
        <w:outlineLvl w:val="2"/>
        <w:rPr>
          <w:color w:val="auto"/>
          <w:sz w:val="24"/>
          <w:szCs w:val="24"/>
        </w:rPr>
      </w:pPr>
      <w:r>
        <w:rPr>
          <w:rFonts w:hint="eastAsia"/>
          <w:bCs/>
          <w:color w:val="auto"/>
          <w:sz w:val="24"/>
        </w:rPr>
        <w:t>3</w:t>
      </w:r>
      <w:r>
        <w:rPr>
          <w:rFonts w:hint="eastAsia" w:ascii="宋体" w:hAnsi="宋体"/>
          <w:bCs/>
          <w:color w:val="auto"/>
          <w:sz w:val="24"/>
        </w:rPr>
        <w:t>地下空间宜设置下沉广场、下沉庭院等空间处理高低差和布景，使原本位于地下室的区域拥有面向花园庭院的开放式空间；或采用采光天窗、采光</w:t>
      </w:r>
      <w:r>
        <w:rPr>
          <w:rFonts w:ascii="宋体" w:hAnsi="宋体"/>
          <w:bCs/>
          <w:color w:val="auto"/>
          <w:sz w:val="24"/>
        </w:rPr>
        <w:t>侧窗、</w:t>
      </w:r>
      <w:r>
        <w:rPr>
          <w:rFonts w:hint="eastAsia" w:ascii="宋体" w:hAnsi="宋体"/>
          <w:bCs/>
          <w:color w:val="auto"/>
          <w:sz w:val="24"/>
        </w:rPr>
        <w:t>光导管、光反射板等设施，优化地下空间的自然采光。</w:t>
      </w:r>
    </w:p>
    <w:p>
      <w:pPr>
        <w:spacing w:line="400" w:lineRule="exact"/>
        <w:rPr>
          <w:rFonts w:eastAsia="楷体"/>
          <w:bCs/>
          <w:color w:val="auto"/>
        </w:rPr>
      </w:pPr>
      <w:r>
        <w:rPr>
          <w:rFonts w:hint="eastAsia" w:eastAsia="楷体"/>
          <w:bCs/>
          <w:color w:val="auto"/>
        </w:rPr>
        <w:t>【条文说明】充分利用天然光节约照明用电。设置采光设施以提高办公</w:t>
      </w:r>
      <w:r>
        <w:rPr>
          <w:rFonts w:eastAsia="楷体"/>
          <w:bCs/>
          <w:color w:val="auto"/>
        </w:rPr>
        <w:t>空间的</w:t>
      </w:r>
      <w:r>
        <w:rPr>
          <w:rFonts w:hint="eastAsia" w:eastAsia="楷体"/>
          <w:bCs/>
          <w:color w:val="auto"/>
        </w:rPr>
        <w:t>采光效率并</w:t>
      </w:r>
      <w:r>
        <w:rPr>
          <w:rFonts w:eastAsia="楷体"/>
          <w:bCs/>
          <w:color w:val="auto"/>
        </w:rPr>
        <w:t>改善</w:t>
      </w:r>
      <w:r>
        <w:rPr>
          <w:rFonts w:hint="eastAsia" w:eastAsia="楷体"/>
          <w:bCs/>
          <w:color w:val="auto"/>
        </w:rPr>
        <w:t>采光均匀度，保证</w:t>
      </w:r>
      <w:r>
        <w:rPr>
          <w:rFonts w:eastAsia="楷体"/>
          <w:bCs/>
          <w:color w:val="auto"/>
        </w:rPr>
        <w:t>室内空间获得天然光照的均好性</w:t>
      </w:r>
      <w:r>
        <w:rPr>
          <w:rFonts w:hint="eastAsia" w:eastAsia="楷体"/>
          <w:bCs/>
          <w:color w:val="auto"/>
        </w:rPr>
        <w:t>。应用新的采光技术，如导光筒设施，获得还具有环保、节能、可调节等优势的采光效果。设计时尽量选择采光性能好的窗和采光性能好的导光筒系统，导光筒采光系统的采光效率按现行国家标准《建筑采光设计标准》GB50033取值。</w:t>
      </w:r>
    </w:p>
    <w:p>
      <w:pPr>
        <w:spacing w:line="360" w:lineRule="auto"/>
        <w:outlineLvl w:val="2"/>
        <w:rPr>
          <w:rFonts w:ascii="宋体" w:hAnsi="宋体"/>
          <w:bCs/>
          <w:color w:val="auto"/>
          <w:sz w:val="24"/>
        </w:rPr>
      </w:pPr>
      <w:r>
        <w:rPr>
          <w:rFonts w:hint="eastAsia" w:ascii="宋体" w:hAnsi="宋体"/>
          <w:b/>
          <w:bCs/>
          <w:color w:val="auto"/>
          <w:sz w:val="24"/>
        </w:rPr>
        <w:t>6.2.4</w:t>
      </w:r>
      <w:r>
        <w:rPr>
          <w:rFonts w:ascii="宋体" w:hAnsi="宋体"/>
          <w:bCs/>
          <w:color w:val="auto"/>
          <w:sz w:val="24"/>
        </w:rPr>
        <w:t>低碳办公建筑应设置遮阳设施</w:t>
      </w:r>
      <w:r>
        <w:rPr>
          <w:rFonts w:hint="eastAsia" w:ascii="宋体" w:hAnsi="宋体"/>
          <w:bCs/>
          <w:color w:val="auto"/>
          <w:sz w:val="24"/>
        </w:rPr>
        <w:t>，遮阳系统性能选择应综合考虑夏季遮阳、冬季得热以及天然采光的需求。遮阳设计应根据房间的使用要求、窗口朝向及建筑安全性综合考虑。</w:t>
      </w:r>
    </w:p>
    <w:p>
      <w:pPr>
        <w:spacing w:line="360" w:lineRule="auto"/>
        <w:ind w:firstLine="480" w:firstLineChars="200"/>
        <w:outlineLvl w:val="0"/>
        <w:rPr>
          <w:rFonts w:ascii="宋体" w:hAnsi="宋体"/>
          <w:bCs/>
          <w:color w:val="auto"/>
          <w:sz w:val="24"/>
        </w:rPr>
      </w:pPr>
      <w:bookmarkStart w:id="56" w:name="_Toc15592"/>
      <w:r>
        <w:rPr>
          <w:bCs/>
          <w:color w:val="auto"/>
          <w:sz w:val="24"/>
        </w:rPr>
        <w:t>1</w:t>
      </w:r>
      <w:r>
        <w:rPr>
          <w:rFonts w:hint="eastAsia" w:ascii="宋体" w:hAnsi="宋体"/>
          <w:bCs/>
          <w:color w:val="auto"/>
          <w:sz w:val="24"/>
        </w:rPr>
        <w:t>南向宜采用可调节外遮阳、可调节中置遮阳或水平固定外遮阳的方式。</w:t>
      </w:r>
      <w:bookmarkEnd w:id="56"/>
    </w:p>
    <w:p>
      <w:pPr>
        <w:spacing w:line="360" w:lineRule="auto"/>
        <w:ind w:firstLine="480" w:firstLineChars="200"/>
        <w:outlineLvl w:val="0"/>
        <w:rPr>
          <w:rFonts w:ascii="宋体" w:hAnsi="宋体"/>
          <w:bCs/>
          <w:color w:val="auto"/>
          <w:sz w:val="24"/>
        </w:rPr>
      </w:pPr>
      <w:bookmarkStart w:id="57" w:name="_Toc24396"/>
      <w:r>
        <w:rPr>
          <w:bCs/>
          <w:color w:val="auto"/>
          <w:sz w:val="24"/>
        </w:rPr>
        <w:t>2</w:t>
      </w:r>
      <w:r>
        <w:rPr>
          <w:rFonts w:hint="eastAsia" w:ascii="宋体" w:hAnsi="宋体"/>
          <w:bCs/>
          <w:color w:val="auto"/>
          <w:sz w:val="24"/>
        </w:rPr>
        <w:t>东向和西向外窗宜采用组合遮阳、可调节外遮阳设施等。</w:t>
      </w:r>
      <w:bookmarkEnd w:id="57"/>
    </w:p>
    <w:p>
      <w:pPr>
        <w:spacing w:line="360" w:lineRule="auto"/>
        <w:outlineLvl w:val="2"/>
        <w:rPr>
          <w:color w:val="auto"/>
          <w:sz w:val="24"/>
          <w:szCs w:val="24"/>
        </w:rPr>
      </w:pPr>
      <w:r>
        <w:rPr>
          <w:rFonts w:hint="eastAsia" w:eastAsia="楷体"/>
          <w:bCs/>
          <w:color w:val="auto"/>
        </w:rPr>
        <w:t>【条文说明】建筑遮阳设计应贯穿在规划和建筑方案、施工图设计、建筑施工和日常运行维护的整个过程中。应综合考虑建筑所处地域的纬度和气候特点、太阳能利用的不同类型和技术要求、建筑造型、平面功能与遮阳部位构造节点等因素，做到既符合建筑造型和使用功能要求，又满足高质量的室内环境需求。组合遮阳是同时采用水平遮阳和垂直遮阳的遮阳方式。</w:t>
      </w:r>
    </w:p>
    <w:p>
      <w:pPr>
        <w:spacing w:line="360" w:lineRule="auto"/>
        <w:outlineLvl w:val="2"/>
        <w:rPr>
          <w:rFonts w:ascii="宋体" w:hAnsi="宋体"/>
          <w:bCs/>
          <w:color w:val="auto"/>
          <w:sz w:val="24"/>
        </w:rPr>
      </w:pPr>
      <w:r>
        <w:rPr>
          <w:rFonts w:hint="eastAsia" w:ascii="宋体" w:hAnsi="宋体"/>
          <w:b/>
          <w:bCs/>
          <w:color w:val="auto"/>
          <w:sz w:val="24"/>
        </w:rPr>
        <w:t>6.2.5</w:t>
      </w:r>
      <w:r>
        <w:rPr>
          <w:rFonts w:hint="eastAsia" w:ascii="宋体" w:hAnsi="宋体"/>
          <w:bCs/>
          <w:color w:val="auto"/>
          <w:sz w:val="24"/>
        </w:rPr>
        <w:t>鼓励立体绿化与低碳办公建筑的空间有机结合的方式，改善办公建筑室内环境及建筑周边的区域环境：</w:t>
      </w:r>
    </w:p>
    <w:p>
      <w:pPr>
        <w:spacing w:line="360" w:lineRule="auto"/>
        <w:ind w:firstLine="480" w:firstLineChars="200"/>
        <w:outlineLvl w:val="2"/>
        <w:rPr>
          <w:rFonts w:ascii="宋体" w:hAnsi="宋体"/>
          <w:bCs/>
          <w:color w:val="auto"/>
          <w:sz w:val="24"/>
        </w:rPr>
      </w:pPr>
      <w:r>
        <w:rPr>
          <w:bCs/>
          <w:color w:val="auto"/>
          <w:sz w:val="24"/>
        </w:rPr>
        <w:t>1</w:t>
      </w:r>
      <w:r>
        <w:rPr>
          <w:rFonts w:hint="eastAsia" w:ascii="宋体" w:hAnsi="宋体"/>
          <w:bCs/>
          <w:color w:val="auto"/>
          <w:sz w:val="24"/>
        </w:rPr>
        <w:t>室内空间应结合庭院、中庭、阳台、露台等空间设置立体绿化，改善微循环，调节建筑内部环境。</w:t>
      </w:r>
    </w:p>
    <w:p>
      <w:pPr>
        <w:spacing w:line="360" w:lineRule="auto"/>
        <w:ind w:firstLine="480" w:firstLineChars="200"/>
        <w:outlineLvl w:val="2"/>
        <w:rPr>
          <w:rFonts w:ascii="宋体" w:hAnsi="宋体"/>
          <w:b/>
          <w:bCs/>
          <w:color w:val="auto"/>
          <w:sz w:val="24"/>
        </w:rPr>
      </w:pPr>
      <w:r>
        <w:rPr>
          <w:bCs/>
          <w:color w:val="auto"/>
          <w:sz w:val="24"/>
        </w:rPr>
        <w:t>2</w:t>
      </w:r>
      <w:r>
        <w:rPr>
          <w:rFonts w:hint="eastAsia" w:ascii="宋体" w:hAnsi="宋体"/>
          <w:bCs/>
          <w:color w:val="auto"/>
          <w:sz w:val="24"/>
        </w:rPr>
        <w:t>室外应结合建筑立面和屋顶设计设置垂直绿化和屋顶绿化，在改善区域微气候的同时，提高围护结构保温隔热性能以及遮阳效果，降低建筑本身能耗。</w:t>
      </w:r>
    </w:p>
    <w:p>
      <w:pPr>
        <w:spacing w:line="400" w:lineRule="exact"/>
        <w:rPr>
          <w:rFonts w:eastAsia="楷体"/>
          <w:bCs/>
          <w:color w:val="auto"/>
        </w:rPr>
      </w:pPr>
      <w:r>
        <w:rPr>
          <w:rFonts w:hint="eastAsia" w:eastAsia="楷体"/>
          <w:bCs/>
          <w:color w:val="auto"/>
        </w:rPr>
        <w:t>【条文说明】：随着人们逐渐意识到生态和可持续发展的重要性，建筑立体绿化因其特有的生态效应以及对城市热岛现象的改善，越来越受到重视。建筑设计时考虑墙面垂直绿化和屋顶绿化，不仅能增加绿化面积，改善建筑周围区域气候，还可以增强屋顶和墙壁的保温隔热效果，有效滞留雨水。应合理设置建筑外墙窗口处和屋面天窗处的绿化形式，以避免其影响建筑室内采光。</w:t>
      </w:r>
    </w:p>
    <w:p>
      <w:pPr>
        <w:spacing w:line="360" w:lineRule="auto"/>
        <w:outlineLvl w:val="2"/>
        <w:rPr>
          <w:color w:val="auto"/>
          <w:sz w:val="24"/>
          <w:szCs w:val="24"/>
        </w:rPr>
      </w:pPr>
      <w:r>
        <w:rPr>
          <w:rFonts w:hint="eastAsia" w:ascii="宋体" w:hAnsi="宋体"/>
          <w:b/>
          <w:bCs/>
          <w:color w:val="auto"/>
          <w:sz w:val="24"/>
        </w:rPr>
        <w:t>6</w:t>
      </w:r>
      <w:r>
        <w:rPr>
          <w:rFonts w:ascii="宋体" w:hAnsi="宋体"/>
          <w:b/>
          <w:bCs/>
          <w:color w:val="auto"/>
          <w:sz w:val="24"/>
        </w:rPr>
        <w:t>.2.</w:t>
      </w:r>
      <w:r>
        <w:rPr>
          <w:rFonts w:hint="eastAsia" w:ascii="宋体" w:hAnsi="宋体"/>
          <w:b/>
          <w:bCs/>
          <w:color w:val="auto"/>
          <w:sz w:val="24"/>
        </w:rPr>
        <w:t>6</w:t>
      </w:r>
      <w:r>
        <w:rPr>
          <w:color w:val="auto"/>
          <w:sz w:val="24"/>
          <w:szCs w:val="24"/>
        </w:rPr>
        <w:t>改建及扩建的办公建筑宜满足现行国家建筑节能设计标准的规定</w:t>
      </w:r>
      <w:r>
        <w:rPr>
          <w:rFonts w:hint="eastAsia"/>
          <w:color w:val="auto"/>
          <w:sz w:val="24"/>
          <w:szCs w:val="24"/>
        </w:rPr>
        <w:t>，建筑能耗</w:t>
      </w:r>
      <w:r>
        <w:rPr>
          <w:color w:val="auto"/>
          <w:sz w:val="24"/>
          <w:szCs w:val="24"/>
        </w:rPr>
        <w:t>比改造前降低</w:t>
      </w:r>
      <w:r>
        <w:rPr>
          <w:rFonts w:hint="eastAsia"/>
          <w:color w:val="auto"/>
          <w:sz w:val="24"/>
          <w:szCs w:val="24"/>
        </w:rPr>
        <w:t>2</w:t>
      </w:r>
      <w:r>
        <w:rPr>
          <w:color w:val="auto"/>
          <w:sz w:val="24"/>
          <w:szCs w:val="24"/>
        </w:rPr>
        <w:t>0</w:t>
      </w:r>
      <w:r>
        <w:rPr>
          <w:rFonts w:hint="eastAsia"/>
          <w:color w:val="auto"/>
          <w:sz w:val="24"/>
          <w:szCs w:val="24"/>
        </w:rPr>
        <w:t>%</w:t>
      </w:r>
      <w:r>
        <w:rPr>
          <w:color w:val="auto"/>
          <w:sz w:val="24"/>
          <w:szCs w:val="24"/>
        </w:rPr>
        <w:t>以上</w:t>
      </w:r>
      <w:r>
        <w:rPr>
          <w:rFonts w:hint="eastAsia"/>
          <w:color w:val="auto"/>
          <w:sz w:val="24"/>
          <w:szCs w:val="24"/>
        </w:rPr>
        <w:t>。</w:t>
      </w:r>
    </w:p>
    <w:p>
      <w:pPr>
        <w:spacing w:before="312" w:beforeLines="100" w:after="240"/>
        <w:jc w:val="center"/>
        <w:outlineLvl w:val="1"/>
        <w:rPr>
          <w:rFonts w:ascii="仿宋" w:hAnsi="仿宋" w:eastAsia="仿宋"/>
          <w:b/>
          <w:bCs/>
          <w:color w:val="auto"/>
          <w:sz w:val="24"/>
          <w:szCs w:val="28"/>
        </w:rPr>
      </w:pPr>
      <w:bookmarkStart w:id="58" w:name="_Toc4104"/>
      <w:r>
        <w:rPr>
          <w:rFonts w:hint="eastAsia" w:ascii="仿宋" w:hAnsi="仿宋" w:eastAsia="仿宋"/>
          <w:b/>
          <w:bCs/>
          <w:color w:val="auto"/>
          <w:sz w:val="24"/>
          <w:szCs w:val="28"/>
        </w:rPr>
        <w:t>Ⅱ绿色建材</w:t>
      </w:r>
      <w:bookmarkEnd w:id="58"/>
    </w:p>
    <w:p>
      <w:pPr>
        <w:spacing w:line="360" w:lineRule="auto"/>
        <w:outlineLvl w:val="2"/>
        <w:rPr>
          <w:bCs/>
          <w:color w:val="auto"/>
          <w:sz w:val="24"/>
          <w:szCs w:val="24"/>
        </w:rPr>
      </w:pPr>
      <w:r>
        <w:rPr>
          <w:rFonts w:hint="eastAsia" w:ascii="宋体" w:hAnsi="宋体"/>
          <w:b/>
          <w:bCs/>
          <w:color w:val="auto"/>
          <w:sz w:val="24"/>
        </w:rPr>
        <w:t>6.2.7</w:t>
      </w:r>
      <w:r>
        <w:rPr>
          <w:rFonts w:hint="eastAsia"/>
          <w:bCs/>
          <w:color w:val="auto"/>
          <w:sz w:val="24"/>
          <w:szCs w:val="24"/>
        </w:rPr>
        <w:t>低碳办公建筑宜控制建筑高度，并依据建筑高度进行低碳结构选型设计。应采用装配式结构，符合条件的宜采用钢结构。</w:t>
      </w:r>
    </w:p>
    <w:p>
      <w:pPr>
        <w:spacing w:line="400" w:lineRule="exact"/>
        <w:rPr>
          <w:rFonts w:eastAsia="楷体"/>
          <w:bCs/>
          <w:color w:val="auto"/>
        </w:rPr>
      </w:pPr>
      <w:r>
        <w:rPr>
          <w:rFonts w:hint="eastAsia" w:eastAsia="楷体"/>
          <w:bCs/>
          <w:color w:val="auto"/>
        </w:rPr>
        <w:t>【条文说明】：低碳结构体系的选择能够减少建筑材料的用量，结构体系的低碳选型，可以有效降低5%以上的碳排放。</w:t>
      </w:r>
    </w:p>
    <w:p>
      <w:pPr>
        <w:spacing w:line="360" w:lineRule="auto"/>
        <w:outlineLvl w:val="2"/>
        <w:rPr>
          <w:rFonts w:ascii="宋体" w:hAnsi="宋体"/>
          <w:b/>
          <w:bCs/>
          <w:color w:val="auto"/>
          <w:sz w:val="24"/>
        </w:rPr>
      </w:pPr>
      <w:r>
        <w:rPr>
          <w:rFonts w:hint="eastAsia" w:ascii="宋体" w:hAnsi="宋体"/>
          <w:b/>
          <w:bCs/>
          <w:color w:val="auto"/>
          <w:sz w:val="24"/>
        </w:rPr>
        <w:t>6.2.</w:t>
      </w:r>
      <w:r>
        <w:rPr>
          <w:rFonts w:ascii="宋体" w:hAnsi="宋体"/>
          <w:b/>
          <w:bCs/>
          <w:color w:val="auto"/>
          <w:sz w:val="24"/>
        </w:rPr>
        <w:t>8</w:t>
      </w:r>
      <w:r>
        <w:rPr>
          <w:rFonts w:hint="eastAsia"/>
          <w:bCs/>
          <w:color w:val="auto"/>
          <w:sz w:val="24"/>
          <w:szCs w:val="24"/>
        </w:rPr>
        <w:t>建筑设计应优先选用具有低碳或固碳属性的绿色建材。</w:t>
      </w:r>
      <w:r>
        <w:rPr>
          <w:rFonts w:hint="eastAsia"/>
          <w:color w:val="auto"/>
          <w:sz w:val="24"/>
          <w:szCs w:val="24"/>
        </w:rPr>
        <w:t>绿色建材的选择应按照我国绿色建材认证的类别进行确定。</w:t>
      </w:r>
    </w:p>
    <w:p>
      <w:pPr>
        <w:spacing w:line="400" w:lineRule="exact"/>
        <w:rPr>
          <w:rFonts w:eastAsia="楷体"/>
          <w:bCs/>
          <w:color w:val="auto"/>
        </w:rPr>
      </w:pPr>
      <w:r>
        <w:rPr>
          <w:rFonts w:hint="eastAsia" w:eastAsia="楷体"/>
          <w:bCs/>
          <w:color w:val="auto"/>
        </w:rPr>
        <w:t>【条文说明】：绿色建材和低碳建材的概念内涵并不完全一致，在低碳建筑的工程实践应用过程中，宜更加注重绿色建材的低碳属性。</w:t>
      </w:r>
    </w:p>
    <w:p>
      <w:pPr>
        <w:spacing w:line="360" w:lineRule="auto"/>
        <w:outlineLvl w:val="2"/>
        <w:rPr>
          <w:color w:val="auto"/>
          <w:sz w:val="24"/>
          <w:szCs w:val="24"/>
        </w:rPr>
      </w:pPr>
      <w:r>
        <w:rPr>
          <w:rFonts w:hint="eastAsia" w:ascii="宋体" w:hAnsi="宋体"/>
          <w:b/>
          <w:bCs/>
          <w:color w:val="auto"/>
          <w:sz w:val="24"/>
        </w:rPr>
        <w:t>6.2.</w:t>
      </w:r>
      <w:r>
        <w:rPr>
          <w:rFonts w:ascii="宋体" w:hAnsi="宋体"/>
          <w:b/>
          <w:bCs/>
          <w:color w:val="auto"/>
          <w:sz w:val="24"/>
        </w:rPr>
        <w:t>9</w:t>
      </w:r>
      <w:r>
        <w:rPr>
          <w:rFonts w:hint="eastAsia"/>
          <w:bCs/>
          <w:color w:val="auto"/>
          <w:sz w:val="24"/>
          <w:szCs w:val="24"/>
        </w:rPr>
        <w:t>低碳办公建筑在设计中应充分使用可再利用和可再循环的建筑材料</w:t>
      </w:r>
      <w:r>
        <w:rPr>
          <w:rFonts w:hint="eastAsia"/>
          <w:color w:val="auto"/>
          <w:sz w:val="24"/>
          <w:szCs w:val="24"/>
        </w:rPr>
        <w:t>，可再循环材料和可再利用材料用量比例不低于1</w:t>
      </w:r>
      <w:r>
        <w:rPr>
          <w:color w:val="auto"/>
          <w:sz w:val="24"/>
          <w:szCs w:val="24"/>
        </w:rPr>
        <w:t>0</w:t>
      </w:r>
      <w:r>
        <w:rPr>
          <w:rFonts w:hint="eastAsia"/>
          <w:color w:val="auto"/>
          <w:sz w:val="24"/>
          <w:szCs w:val="24"/>
        </w:rPr>
        <w:t>%。</w:t>
      </w:r>
    </w:p>
    <w:p>
      <w:pPr>
        <w:spacing w:line="400" w:lineRule="exact"/>
        <w:rPr>
          <w:rFonts w:eastAsia="楷体"/>
          <w:bCs/>
          <w:color w:val="auto"/>
        </w:rPr>
      </w:pPr>
      <w:r>
        <w:rPr>
          <w:rFonts w:hint="eastAsia" w:eastAsia="楷体"/>
          <w:bCs/>
          <w:color w:val="auto"/>
        </w:rPr>
        <w:t>【条文说明】：应用可再循环材料和可再利用材料，能够减少生产加工新材料带来的资源、能源消耗和环境污染，充分发挥建筑材料的循环利用价值。</w:t>
      </w:r>
    </w:p>
    <w:p>
      <w:pPr>
        <w:spacing w:line="360" w:lineRule="auto"/>
        <w:outlineLvl w:val="2"/>
        <w:rPr>
          <w:color w:val="auto"/>
          <w:sz w:val="24"/>
          <w:szCs w:val="24"/>
        </w:rPr>
      </w:pPr>
      <w:r>
        <w:rPr>
          <w:rFonts w:hint="eastAsia" w:ascii="宋体" w:hAnsi="宋体"/>
          <w:b/>
          <w:bCs/>
          <w:color w:val="auto"/>
          <w:sz w:val="24"/>
        </w:rPr>
        <w:t>6.2.</w:t>
      </w:r>
      <w:r>
        <w:rPr>
          <w:rFonts w:ascii="宋体" w:hAnsi="宋体"/>
          <w:b/>
          <w:bCs/>
          <w:color w:val="auto"/>
          <w:sz w:val="24"/>
        </w:rPr>
        <w:t>10</w:t>
      </w:r>
      <w:r>
        <w:rPr>
          <w:rFonts w:hint="eastAsia"/>
          <w:bCs/>
          <w:color w:val="auto"/>
          <w:sz w:val="24"/>
          <w:szCs w:val="24"/>
        </w:rPr>
        <w:t>鼓励使用本地化建材及各类固碳类建材</w:t>
      </w:r>
      <w:r>
        <w:rPr>
          <w:rFonts w:hint="eastAsia"/>
          <w:color w:val="auto"/>
          <w:sz w:val="24"/>
          <w:szCs w:val="24"/>
        </w:rPr>
        <w:t>，例如利用本地资源的竹木类建材或本地生产的各类建材，降低建材生产运输过程中的能源和资源消耗。</w:t>
      </w:r>
    </w:p>
    <w:p>
      <w:pPr>
        <w:spacing w:before="312" w:beforeLines="100" w:after="240"/>
        <w:jc w:val="center"/>
        <w:outlineLvl w:val="0"/>
        <w:rPr>
          <w:rFonts w:ascii="仿宋" w:hAnsi="仿宋" w:eastAsia="仿宋"/>
          <w:b/>
          <w:bCs/>
          <w:color w:val="auto"/>
          <w:sz w:val="24"/>
          <w:szCs w:val="28"/>
        </w:rPr>
      </w:pPr>
      <w:bookmarkStart w:id="59" w:name="_Toc7312"/>
      <w:r>
        <w:rPr>
          <w:rFonts w:hint="eastAsia" w:ascii="仿宋" w:hAnsi="仿宋" w:eastAsia="仿宋"/>
          <w:b/>
          <w:bCs/>
          <w:color w:val="auto"/>
          <w:sz w:val="24"/>
          <w:szCs w:val="28"/>
        </w:rPr>
        <w:t>Ⅲ装配式设计</w:t>
      </w:r>
      <w:bookmarkEnd w:id="59"/>
    </w:p>
    <w:p>
      <w:pPr>
        <w:spacing w:line="360" w:lineRule="auto"/>
        <w:outlineLvl w:val="2"/>
        <w:rPr>
          <w:color w:val="auto"/>
          <w:sz w:val="24"/>
          <w:szCs w:val="24"/>
        </w:rPr>
      </w:pPr>
      <w:r>
        <w:rPr>
          <w:rFonts w:ascii="宋体" w:hAnsi="宋体"/>
          <w:b/>
          <w:bCs/>
          <w:color w:val="auto"/>
          <w:sz w:val="24"/>
        </w:rPr>
        <w:t>6</w:t>
      </w:r>
      <w:r>
        <w:rPr>
          <w:rFonts w:hint="eastAsia" w:ascii="宋体" w:hAnsi="宋体"/>
          <w:b/>
          <w:bCs/>
          <w:color w:val="auto"/>
          <w:sz w:val="24"/>
        </w:rPr>
        <w:t>.</w:t>
      </w:r>
      <w:r>
        <w:rPr>
          <w:rFonts w:ascii="宋体" w:hAnsi="宋体"/>
          <w:b/>
          <w:bCs/>
          <w:color w:val="auto"/>
          <w:sz w:val="24"/>
        </w:rPr>
        <w:t>2</w:t>
      </w:r>
      <w:r>
        <w:rPr>
          <w:rFonts w:hint="eastAsia" w:ascii="宋体" w:hAnsi="宋体"/>
          <w:b/>
          <w:bCs/>
          <w:color w:val="auto"/>
          <w:sz w:val="24"/>
        </w:rPr>
        <w:t>.</w:t>
      </w:r>
      <w:r>
        <w:rPr>
          <w:rFonts w:ascii="宋体" w:hAnsi="宋体"/>
          <w:b/>
          <w:bCs/>
          <w:color w:val="auto"/>
          <w:sz w:val="24"/>
        </w:rPr>
        <w:t>11</w:t>
      </w:r>
      <w:r>
        <w:rPr>
          <w:rFonts w:ascii="宋体" w:hAnsi="宋体"/>
          <w:bCs/>
          <w:color w:val="auto"/>
          <w:sz w:val="24"/>
        </w:rPr>
        <w:t>低碳办公建筑</w:t>
      </w:r>
      <w:r>
        <w:rPr>
          <w:rFonts w:hint="eastAsia" w:ascii="宋体" w:hAnsi="宋体"/>
          <w:bCs/>
          <w:color w:val="auto"/>
          <w:sz w:val="24"/>
        </w:rPr>
        <w:t>应</w:t>
      </w:r>
      <w:r>
        <w:rPr>
          <w:rFonts w:ascii="宋体" w:hAnsi="宋体"/>
          <w:bCs/>
          <w:color w:val="auto"/>
          <w:sz w:val="24"/>
        </w:rPr>
        <w:t>采用</w:t>
      </w:r>
      <w:r>
        <w:rPr>
          <w:color w:val="auto"/>
          <w:sz w:val="24"/>
          <w:szCs w:val="24"/>
        </w:rPr>
        <w:t>装配式设计，宜进行全过程整体策划</w:t>
      </w:r>
      <w:r>
        <w:rPr>
          <w:rFonts w:hint="eastAsia"/>
          <w:color w:val="auto"/>
          <w:sz w:val="24"/>
          <w:szCs w:val="24"/>
        </w:rPr>
        <w:t>，</w:t>
      </w:r>
      <w:r>
        <w:rPr>
          <w:color w:val="auto"/>
          <w:sz w:val="24"/>
          <w:szCs w:val="24"/>
        </w:rPr>
        <w:t>对建筑</w:t>
      </w:r>
      <w:r>
        <w:rPr>
          <w:rFonts w:hint="eastAsia"/>
          <w:color w:val="auto"/>
          <w:sz w:val="24"/>
          <w:szCs w:val="24"/>
        </w:rPr>
        <w:t>、</w:t>
      </w:r>
      <w:r>
        <w:rPr>
          <w:color w:val="auto"/>
          <w:sz w:val="24"/>
          <w:szCs w:val="24"/>
        </w:rPr>
        <w:t>结构</w:t>
      </w:r>
      <w:r>
        <w:rPr>
          <w:rFonts w:hint="eastAsia"/>
          <w:color w:val="auto"/>
          <w:sz w:val="24"/>
          <w:szCs w:val="24"/>
        </w:rPr>
        <w:t>、</w:t>
      </w:r>
      <w:r>
        <w:rPr>
          <w:color w:val="auto"/>
          <w:sz w:val="24"/>
          <w:szCs w:val="24"/>
        </w:rPr>
        <w:t>机电设备</w:t>
      </w:r>
      <w:r>
        <w:rPr>
          <w:rFonts w:hint="eastAsia"/>
          <w:color w:val="auto"/>
          <w:sz w:val="24"/>
          <w:szCs w:val="24"/>
        </w:rPr>
        <w:t>、</w:t>
      </w:r>
      <w:r>
        <w:rPr>
          <w:color w:val="auto"/>
          <w:sz w:val="24"/>
          <w:szCs w:val="24"/>
        </w:rPr>
        <w:t>室内装修进行一体化设计</w:t>
      </w:r>
      <w:r>
        <w:rPr>
          <w:rFonts w:hint="eastAsia"/>
          <w:color w:val="auto"/>
          <w:sz w:val="24"/>
          <w:szCs w:val="24"/>
        </w:rPr>
        <w:t>，</w:t>
      </w:r>
      <w:r>
        <w:rPr>
          <w:color w:val="auto"/>
          <w:sz w:val="24"/>
          <w:szCs w:val="24"/>
        </w:rPr>
        <w:t>推动装配式集成技术应用</w:t>
      </w:r>
      <w:r>
        <w:rPr>
          <w:rFonts w:hint="eastAsia"/>
          <w:color w:val="auto"/>
          <w:sz w:val="24"/>
          <w:szCs w:val="24"/>
        </w:rPr>
        <w:t>。</w:t>
      </w:r>
    </w:p>
    <w:p>
      <w:pPr>
        <w:spacing w:line="400" w:lineRule="exact"/>
        <w:rPr>
          <w:rFonts w:eastAsia="楷体"/>
          <w:bCs/>
          <w:color w:val="auto"/>
        </w:rPr>
      </w:pPr>
      <w:r>
        <w:rPr>
          <w:rFonts w:hint="eastAsia" w:eastAsia="楷体"/>
          <w:bCs/>
          <w:color w:val="auto"/>
        </w:rPr>
        <w:t>【条文说明】</w:t>
      </w:r>
      <w:r>
        <w:rPr>
          <w:rFonts w:eastAsia="楷体"/>
          <w:bCs/>
          <w:color w:val="auto"/>
        </w:rPr>
        <w:t>建筑设计应符合建筑功能和性能要求</w:t>
      </w:r>
      <w:r>
        <w:rPr>
          <w:rFonts w:hint="eastAsia" w:eastAsia="楷体"/>
          <w:bCs/>
          <w:color w:val="auto"/>
        </w:rPr>
        <w:t>，</w:t>
      </w:r>
      <w:r>
        <w:rPr>
          <w:rFonts w:eastAsia="楷体"/>
          <w:bCs/>
          <w:color w:val="auto"/>
        </w:rPr>
        <w:t>并宜采用主体结构</w:t>
      </w:r>
      <w:r>
        <w:rPr>
          <w:rFonts w:hint="eastAsia" w:eastAsia="楷体"/>
          <w:bCs/>
          <w:color w:val="auto"/>
        </w:rPr>
        <w:t>、装修和设备管线的装配化集成技术。</w:t>
      </w:r>
    </w:p>
    <w:p>
      <w:pPr>
        <w:spacing w:line="360" w:lineRule="auto"/>
        <w:outlineLvl w:val="2"/>
        <w:rPr>
          <w:color w:val="auto"/>
          <w:sz w:val="24"/>
          <w:szCs w:val="24"/>
        </w:rPr>
      </w:pPr>
      <w:r>
        <w:rPr>
          <w:rFonts w:hint="eastAsia" w:ascii="宋体" w:hAnsi="宋体"/>
          <w:b/>
          <w:bCs/>
          <w:color w:val="auto"/>
          <w:sz w:val="24"/>
        </w:rPr>
        <w:t>6</w:t>
      </w:r>
      <w:r>
        <w:rPr>
          <w:rFonts w:ascii="宋体" w:hAnsi="宋体"/>
          <w:b/>
          <w:bCs/>
          <w:color w:val="auto"/>
          <w:sz w:val="24"/>
        </w:rPr>
        <w:t>.2.12</w:t>
      </w:r>
      <w:r>
        <w:rPr>
          <w:rFonts w:ascii="宋体" w:hAnsi="宋体"/>
          <w:bCs/>
          <w:color w:val="auto"/>
          <w:sz w:val="24"/>
        </w:rPr>
        <w:t>低碳办公建筑的</w:t>
      </w:r>
      <w:r>
        <w:rPr>
          <w:color w:val="auto"/>
          <w:sz w:val="24"/>
          <w:szCs w:val="24"/>
        </w:rPr>
        <w:t>装配式设计应以标准化和模数化</w:t>
      </w:r>
      <w:r>
        <w:rPr>
          <w:rFonts w:hint="eastAsia"/>
          <w:color w:val="auto"/>
          <w:sz w:val="24"/>
          <w:szCs w:val="24"/>
        </w:rPr>
        <w:t>为</w:t>
      </w:r>
      <w:r>
        <w:rPr>
          <w:color w:val="auto"/>
          <w:sz w:val="24"/>
          <w:szCs w:val="24"/>
        </w:rPr>
        <w:t>基础</w:t>
      </w:r>
      <w:r>
        <w:rPr>
          <w:rFonts w:hint="eastAsia"/>
          <w:color w:val="auto"/>
          <w:sz w:val="24"/>
          <w:szCs w:val="24"/>
        </w:rPr>
        <w:t>，采用适宜的结构体系，提高预制率和装配率。</w:t>
      </w:r>
    </w:p>
    <w:p>
      <w:pPr>
        <w:spacing w:line="360" w:lineRule="auto"/>
        <w:outlineLvl w:val="2"/>
        <w:rPr>
          <w:color w:val="auto"/>
          <w:sz w:val="24"/>
          <w:szCs w:val="24"/>
        </w:rPr>
      </w:pPr>
      <w:r>
        <w:rPr>
          <w:rFonts w:hint="eastAsia" w:ascii="宋体" w:hAnsi="宋体"/>
          <w:b/>
          <w:bCs/>
          <w:color w:val="auto"/>
          <w:sz w:val="24"/>
        </w:rPr>
        <w:t>6</w:t>
      </w:r>
      <w:r>
        <w:rPr>
          <w:rFonts w:ascii="宋体" w:hAnsi="宋体"/>
          <w:b/>
          <w:bCs/>
          <w:color w:val="auto"/>
          <w:sz w:val="24"/>
        </w:rPr>
        <w:t>.2.13</w:t>
      </w:r>
      <w:r>
        <w:rPr>
          <w:rFonts w:hint="eastAsia"/>
          <w:color w:val="auto"/>
          <w:sz w:val="24"/>
          <w:szCs w:val="24"/>
        </w:rPr>
        <w:t>鼓励使用性能优良的预制构件和部品部件，如使用高强钢筋、高性能混凝土、高性能气体材料、结构保温一体化墙板等。</w:t>
      </w:r>
    </w:p>
    <w:p>
      <w:pPr>
        <w:spacing w:line="360" w:lineRule="auto"/>
        <w:outlineLvl w:val="2"/>
        <w:rPr>
          <w:color w:val="auto"/>
          <w:sz w:val="24"/>
          <w:szCs w:val="24"/>
        </w:rPr>
      </w:pPr>
      <w:r>
        <w:rPr>
          <w:rFonts w:ascii="宋体" w:hAnsi="宋体"/>
          <w:b/>
          <w:bCs/>
          <w:color w:val="auto"/>
          <w:sz w:val="24"/>
        </w:rPr>
        <w:t>6.2.14</w:t>
      </w:r>
      <w:r>
        <w:rPr>
          <w:color w:val="auto"/>
          <w:sz w:val="24"/>
          <w:szCs w:val="24"/>
        </w:rPr>
        <w:t>鼓励采用新型预制部品</w:t>
      </w:r>
      <w:r>
        <w:rPr>
          <w:rFonts w:hint="eastAsia"/>
          <w:color w:val="auto"/>
          <w:sz w:val="24"/>
          <w:szCs w:val="24"/>
        </w:rPr>
        <w:t>部件，如光伏建筑一体化屋面产品、带装饰的光伏墙板产品等，发展低碳“产能”型装配式建筑，助力装配式建筑碳排放降低。</w:t>
      </w:r>
    </w:p>
    <w:p>
      <w:pPr>
        <w:spacing w:line="400" w:lineRule="exact"/>
        <w:rPr>
          <w:rFonts w:eastAsia="楷体"/>
          <w:bCs/>
          <w:color w:val="auto"/>
        </w:rPr>
      </w:pPr>
      <w:r>
        <w:rPr>
          <w:rFonts w:hint="eastAsia" w:eastAsia="楷体"/>
          <w:bCs/>
          <w:color w:val="auto"/>
        </w:rPr>
        <w:t>【条文说明】装配式建筑以其高效、节能、绿色、环保的特征成为了国家对于建筑工业化大力推广的方向，光伏+节能集成的装配式一体化部品部件研发应用更是大势所趋。</w:t>
      </w:r>
    </w:p>
    <w:p>
      <w:pPr>
        <w:spacing w:line="360" w:lineRule="auto"/>
        <w:outlineLvl w:val="1"/>
        <w:rPr>
          <w:color w:val="auto"/>
          <w:sz w:val="24"/>
          <w:szCs w:val="24"/>
        </w:rPr>
      </w:pPr>
      <w:bookmarkStart w:id="60" w:name="_Toc10101"/>
      <w:r>
        <w:rPr>
          <w:rFonts w:ascii="宋体" w:hAnsi="宋体"/>
          <w:b/>
          <w:bCs/>
          <w:color w:val="auto"/>
          <w:sz w:val="24"/>
        </w:rPr>
        <w:t>6</w:t>
      </w:r>
      <w:r>
        <w:rPr>
          <w:rFonts w:hint="eastAsia" w:ascii="宋体" w:hAnsi="宋体"/>
          <w:b/>
          <w:bCs/>
          <w:color w:val="auto"/>
          <w:sz w:val="24"/>
        </w:rPr>
        <w:t>.</w:t>
      </w:r>
      <w:r>
        <w:rPr>
          <w:rFonts w:ascii="宋体" w:hAnsi="宋体"/>
          <w:b/>
          <w:bCs/>
          <w:color w:val="auto"/>
          <w:sz w:val="24"/>
        </w:rPr>
        <w:t>2</w:t>
      </w:r>
      <w:r>
        <w:rPr>
          <w:rFonts w:hint="eastAsia" w:ascii="宋体" w:hAnsi="宋体"/>
          <w:b/>
          <w:bCs/>
          <w:color w:val="auto"/>
          <w:sz w:val="24"/>
        </w:rPr>
        <w:t>.</w:t>
      </w:r>
      <w:r>
        <w:rPr>
          <w:rFonts w:ascii="宋体" w:hAnsi="宋体"/>
          <w:b/>
          <w:bCs/>
          <w:color w:val="auto"/>
          <w:sz w:val="24"/>
        </w:rPr>
        <w:t>15</w:t>
      </w:r>
      <w:r>
        <w:rPr>
          <w:rFonts w:ascii="宋体" w:hAnsi="宋体"/>
          <w:bCs/>
          <w:color w:val="auto"/>
          <w:sz w:val="24"/>
        </w:rPr>
        <w:t>低碳办公建筑</w:t>
      </w:r>
      <w:r>
        <w:rPr>
          <w:rFonts w:hint="eastAsia" w:ascii="宋体" w:hAnsi="宋体"/>
          <w:bCs/>
          <w:color w:val="auto"/>
          <w:sz w:val="24"/>
        </w:rPr>
        <w:t>公共区域应</w:t>
      </w:r>
      <w:r>
        <w:rPr>
          <w:rFonts w:hint="eastAsia"/>
          <w:color w:val="auto"/>
          <w:sz w:val="24"/>
          <w:szCs w:val="24"/>
        </w:rPr>
        <w:t>采用一体化的装配式装修，鼓励采用以下措施：</w:t>
      </w:r>
      <w:bookmarkEnd w:id="60"/>
    </w:p>
    <w:p>
      <w:pPr>
        <w:spacing w:line="360" w:lineRule="auto"/>
        <w:ind w:firstLine="480" w:firstLineChars="200"/>
        <w:outlineLvl w:val="0"/>
        <w:rPr>
          <w:color w:val="auto"/>
          <w:sz w:val="24"/>
          <w:szCs w:val="24"/>
        </w:rPr>
      </w:pPr>
      <w:bookmarkStart w:id="61" w:name="_Toc3900"/>
      <w:r>
        <w:rPr>
          <w:color w:val="auto"/>
          <w:sz w:val="24"/>
          <w:szCs w:val="24"/>
        </w:rPr>
        <w:t>1</w:t>
      </w:r>
      <w:r>
        <w:rPr>
          <w:rFonts w:hint="eastAsia"/>
          <w:color w:val="auto"/>
          <w:sz w:val="24"/>
          <w:szCs w:val="24"/>
        </w:rPr>
        <w:t>鼓励各类</w:t>
      </w:r>
      <w:r>
        <w:rPr>
          <w:color w:val="auto"/>
          <w:sz w:val="24"/>
          <w:szCs w:val="24"/>
        </w:rPr>
        <w:t>集成</w:t>
      </w:r>
      <w:r>
        <w:rPr>
          <w:rFonts w:hint="eastAsia"/>
          <w:color w:val="auto"/>
          <w:sz w:val="24"/>
          <w:szCs w:val="24"/>
        </w:rPr>
        <w:t>装配式装修</w:t>
      </w:r>
      <w:r>
        <w:rPr>
          <w:color w:val="auto"/>
          <w:sz w:val="24"/>
          <w:szCs w:val="24"/>
        </w:rPr>
        <w:t>空间模块在建筑中的应用</w:t>
      </w:r>
      <w:r>
        <w:rPr>
          <w:rFonts w:hint="eastAsia"/>
          <w:color w:val="auto"/>
          <w:sz w:val="24"/>
          <w:szCs w:val="24"/>
        </w:rPr>
        <w:t>；</w:t>
      </w:r>
      <w:bookmarkEnd w:id="61"/>
    </w:p>
    <w:p>
      <w:pPr>
        <w:spacing w:line="360" w:lineRule="auto"/>
        <w:ind w:firstLine="480" w:firstLineChars="200"/>
        <w:outlineLvl w:val="2"/>
        <w:rPr>
          <w:color w:val="auto"/>
          <w:sz w:val="24"/>
          <w:szCs w:val="24"/>
        </w:rPr>
      </w:pPr>
      <w:r>
        <w:rPr>
          <w:color w:val="auto"/>
          <w:sz w:val="24"/>
          <w:szCs w:val="24"/>
        </w:rPr>
        <w:t>2</w:t>
      </w:r>
      <w:r>
        <w:rPr>
          <w:rFonts w:hint="eastAsia"/>
          <w:color w:val="auto"/>
          <w:sz w:val="24"/>
          <w:szCs w:val="24"/>
        </w:rPr>
        <w:t>鼓励</w:t>
      </w:r>
      <w:r>
        <w:rPr>
          <w:color w:val="auto"/>
          <w:sz w:val="24"/>
          <w:szCs w:val="24"/>
        </w:rPr>
        <w:t>各类新型集成式装饰面板应用</w:t>
      </w:r>
      <w:r>
        <w:rPr>
          <w:rFonts w:hint="eastAsia"/>
          <w:color w:val="auto"/>
          <w:sz w:val="24"/>
          <w:szCs w:val="24"/>
        </w:rPr>
        <w:t>，</w:t>
      </w:r>
      <w:r>
        <w:rPr>
          <w:color w:val="auto"/>
          <w:sz w:val="24"/>
          <w:szCs w:val="24"/>
        </w:rPr>
        <w:t>如采用装配式装修基础地面部品</w:t>
      </w:r>
      <w:r>
        <w:rPr>
          <w:rFonts w:hint="eastAsia"/>
          <w:color w:val="auto"/>
          <w:sz w:val="24"/>
          <w:szCs w:val="24"/>
        </w:rPr>
        <w:t>、</w:t>
      </w:r>
      <w:r>
        <w:rPr>
          <w:color w:val="auto"/>
          <w:sz w:val="24"/>
          <w:szCs w:val="24"/>
        </w:rPr>
        <w:t>高耐久性水泥纤维板饰面产品等</w:t>
      </w:r>
      <w:r>
        <w:rPr>
          <w:rFonts w:hint="eastAsia"/>
          <w:color w:val="auto"/>
          <w:sz w:val="24"/>
          <w:szCs w:val="24"/>
        </w:rPr>
        <w:t>。</w:t>
      </w:r>
    </w:p>
    <w:p>
      <w:pPr>
        <w:spacing w:line="400" w:lineRule="exact"/>
        <w:rPr>
          <w:rFonts w:eastAsia="楷体"/>
          <w:bCs/>
          <w:color w:val="auto"/>
        </w:rPr>
      </w:pPr>
      <w:r>
        <w:rPr>
          <w:rFonts w:hint="eastAsia" w:eastAsia="楷体"/>
          <w:bCs/>
          <w:color w:val="auto"/>
        </w:rPr>
        <w:t>【条文说明】推行装配式内装是推动装配式建筑发展的重要方向，装配式建筑采用装配式内装的设计建造方式具有五方面的优势：可以最大限度的保证产品品质和性能；缩短工期降低建造成本；减少原材料浪费，减少施工垃圾；便于后期维护变更；集成内装产品可实现工业化生产，有效解决尺寸误差和模数接口问题。</w:t>
      </w:r>
    </w:p>
    <w:p>
      <w:pPr>
        <w:spacing w:line="360" w:lineRule="auto"/>
        <w:outlineLvl w:val="2"/>
        <w:rPr>
          <w:color w:val="auto"/>
          <w:sz w:val="24"/>
          <w:szCs w:val="24"/>
        </w:rPr>
      </w:pPr>
      <w:r>
        <w:rPr>
          <w:rFonts w:hint="eastAsia" w:ascii="宋体" w:hAnsi="宋体"/>
          <w:b/>
          <w:bCs/>
          <w:color w:val="auto"/>
          <w:sz w:val="24"/>
        </w:rPr>
        <w:t>6</w:t>
      </w:r>
      <w:r>
        <w:rPr>
          <w:rFonts w:ascii="宋体" w:hAnsi="宋体"/>
          <w:b/>
          <w:bCs/>
          <w:color w:val="auto"/>
          <w:sz w:val="24"/>
        </w:rPr>
        <w:t>.2.16</w:t>
      </w:r>
      <w:r>
        <w:rPr>
          <w:rFonts w:hint="eastAsia"/>
          <w:color w:val="auto"/>
          <w:sz w:val="24"/>
          <w:szCs w:val="24"/>
        </w:rPr>
        <w:t>低碳办公建筑的装配式设计应运用建筑信息化协同技术，实现全专业、全产业链的碳排放信息化管理，提升设计、施工及运维效率。</w:t>
      </w:r>
    </w:p>
    <w:p>
      <w:pPr>
        <w:spacing w:line="400" w:lineRule="exact"/>
        <w:rPr>
          <w:rFonts w:eastAsia="楷体"/>
          <w:bCs/>
          <w:color w:val="auto"/>
        </w:rPr>
      </w:pPr>
      <w:r>
        <w:rPr>
          <w:rFonts w:hint="eastAsia" w:eastAsia="楷体"/>
          <w:bCs/>
          <w:color w:val="auto"/>
        </w:rPr>
        <w:t>【条文说明】装配式建筑应充分利用信息化技术手段实现各专业间的协同配合。BIM技术与装配式建筑的协同和信息集成思路一致，通过BIM的技术应用和BIM-ERP的管理信息化应用，深度挖掘装配式建筑全过程的减碳价值，助力装配式建筑的一体化低碳化发展。</w:t>
      </w:r>
    </w:p>
    <w:p>
      <w:pPr>
        <w:spacing w:line="312" w:lineRule="auto"/>
        <w:rPr>
          <w:rFonts w:ascii="宋体" w:hAnsi="宋体"/>
          <w:bCs/>
          <w:color w:val="auto"/>
          <w:sz w:val="24"/>
        </w:rPr>
      </w:pPr>
    </w:p>
    <w:p>
      <w:pPr>
        <w:spacing w:after="240"/>
        <w:jc w:val="center"/>
        <w:outlineLvl w:val="1"/>
        <w:rPr>
          <w:rFonts w:ascii="黑体" w:hAnsi="黑体" w:eastAsia="黑体"/>
          <w:bCs/>
          <w:color w:val="auto"/>
          <w:sz w:val="28"/>
          <w:szCs w:val="28"/>
        </w:rPr>
      </w:pPr>
      <w:bookmarkStart w:id="62" w:name="_Toc12466"/>
      <w:r>
        <w:rPr>
          <w:rFonts w:hint="eastAsia" w:ascii="黑体" w:hAnsi="黑体" w:eastAsia="黑体"/>
          <w:bCs/>
          <w:color w:val="auto"/>
          <w:sz w:val="28"/>
          <w:szCs w:val="28"/>
        </w:rPr>
        <w:t>6</w:t>
      </w:r>
      <w:r>
        <w:rPr>
          <w:rFonts w:ascii="黑体" w:hAnsi="黑体" w:eastAsia="黑体"/>
          <w:bCs/>
          <w:color w:val="auto"/>
          <w:sz w:val="28"/>
          <w:szCs w:val="28"/>
        </w:rPr>
        <w:t>.3围护结构设计</w:t>
      </w:r>
      <w:bookmarkEnd w:id="62"/>
    </w:p>
    <w:p>
      <w:pPr>
        <w:spacing w:line="360" w:lineRule="auto"/>
        <w:outlineLvl w:val="2"/>
        <w:rPr>
          <w:color w:val="auto"/>
          <w:sz w:val="24"/>
          <w:szCs w:val="24"/>
        </w:rPr>
      </w:pPr>
      <w:r>
        <w:rPr>
          <w:rFonts w:hint="eastAsia" w:ascii="宋体" w:hAnsi="宋体"/>
          <w:b/>
          <w:bCs/>
          <w:color w:val="auto"/>
          <w:sz w:val="24"/>
        </w:rPr>
        <w:t xml:space="preserve">6.3.1 </w:t>
      </w:r>
      <w:r>
        <w:rPr>
          <w:rFonts w:hint="eastAsia" w:ascii="宋体" w:hAnsi="宋体"/>
          <w:bCs/>
          <w:color w:val="auto"/>
          <w:sz w:val="24"/>
        </w:rPr>
        <w:t>低碳办公建筑应采用资源消耗少和环境影响小的建筑结构体系，建筑造型简约，无大量装饰性构件</w:t>
      </w:r>
      <w:r>
        <w:rPr>
          <w:rFonts w:hint="eastAsia"/>
          <w:color w:val="auto"/>
          <w:sz w:val="24"/>
          <w:szCs w:val="24"/>
        </w:rPr>
        <w:t>。</w:t>
      </w:r>
    </w:p>
    <w:p>
      <w:pPr>
        <w:spacing w:line="360" w:lineRule="auto"/>
        <w:outlineLvl w:val="2"/>
        <w:rPr>
          <w:color w:val="auto"/>
          <w:sz w:val="24"/>
          <w:szCs w:val="24"/>
        </w:rPr>
      </w:pPr>
      <w:r>
        <w:rPr>
          <w:rFonts w:hint="eastAsia" w:ascii="宋体" w:hAnsi="宋体"/>
          <w:b/>
          <w:bCs/>
          <w:color w:val="auto"/>
          <w:sz w:val="24"/>
        </w:rPr>
        <w:t>6.3.2</w:t>
      </w:r>
      <w:r>
        <w:rPr>
          <w:rFonts w:hint="eastAsia" w:ascii="宋体" w:hAnsi="宋体"/>
          <w:bCs/>
          <w:color w:val="auto"/>
          <w:sz w:val="24"/>
        </w:rPr>
        <w:t>低碳办公建筑的</w:t>
      </w:r>
      <w:r>
        <w:rPr>
          <w:rFonts w:hint="eastAsia"/>
          <w:color w:val="auto"/>
          <w:sz w:val="24"/>
          <w:szCs w:val="24"/>
        </w:rPr>
        <w:t>幕墙系统玻璃优先采用双层透明中空镀膜玻璃、中空夹胶镀膜玻璃等优质的节能玻璃产品，可根据节能要求考虑热传导性更低的填充气体或者低导热的间隔条材质，且应同时考虑结露问题。</w:t>
      </w:r>
    </w:p>
    <w:p>
      <w:pPr>
        <w:spacing w:line="400" w:lineRule="exact"/>
        <w:rPr>
          <w:rFonts w:eastAsia="楷体"/>
          <w:bCs/>
          <w:color w:val="auto"/>
        </w:rPr>
      </w:pPr>
      <w:r>
        <w:rPr>
          <w:rFonts w:hint="eastAsia" w:eastAsia="楷体"/>
          <w:bCs/>
          <w:color w:val="auto"/>
        </w:rPr>
        <w:t>【条文说明】：幕墙系统对于节能的处理除应满足各地规范外，还应充分考虑南北方差异，对于太阳日照较强烈的地区，节能措施应优先考虑太阳热辐射，其次考虑热传导问题，太阳辐射热更好的控制有利于整体建筑设计及投入使用后阶段空调和机电设备运行所带来的负荷及产生较大的碳排放问题。</w:t>
      </w:r>
    </w:p>
    <w:p>
      <w:pPr>
        <w:spacing w:line="360" w:lineRule="auto"/>
        <w:outlineLvl w:val="2"/>
        <w:rPr>
          <w:rFonts w:ascii="宋体" w:hAnsi="宋体"/>
          <w:color w:val="auto"/>
          <w:sz w:val="24"/>
        </w:rPr>
      </w:pPr>
      <w:r>
        <w:rPr>
          <w:rFonts w:hint="eastAsia" w:ascii="宋体" w:hAnsi="宋体"/>
          <w:b/>
          <w:bCs/>
          <w:color w:val="auto"/>
          <w:sz w:val="24"/>
        </w:rPr>
        <w:t>6.3.3</w:t>
      </w:r>
      <w:r>
        <w:rPr>
          <w:rFonts w:hint="eastAsia" w:ascii="宋体" w:hAnsi="宋体"/>
          <w:bCs/>
          <w:color w:val="auto"/>
          <w:sz w:val="24"/>
        </w:rPr>
        <w:t>低碳办公建筑的窗墙面积比</w:t>
      </w:r>
      <w:r>
        <w:rPr>
          <w:rFonts w:hint="eastAsia" w:ascii="宋体" w:hAnsi="宋体"/>
          <w:color w:val="auto"/>
          <w:sz w:val="24"/>
        </w:rPr>
        <w:t>宜符合以下要求：</w:t>
      </w:r>
    </w:p>
    <w:p>
      <w:pPr>
        <w:spacing w:line="360" w:lineRule="auto"/>
        <w:ind w:firstLine="480" w:firstLineChars="200"/>
        <w:outlineLvl w:val="2"/>
        <w:rPr>
          <w:color w:val="auto"/>
          <w:sz w:val="24"/>
          <w:szCs w:val="24"/>
        </w:rPr>
      </w:pPr>
      <w:r>
        <w:rPr>
          <w:color w:val="auto"/>
          <w:sz w:val="24"/>
          <w:szCs w:val="24"/>
        </w:rPr>
        <w:t>1</w:t>
      </w:r>
      <w:r>
        <w:rPr>
          <w:rFonts w:hint="eastAsia"/>
          <w:color w:val="auto"/>
          <w:sz w:val="24"/>
          <w:szCs w:val="24"/>
        </w:rPr>
        <w:t>严寒地区甲类公共建筑各单一立面窗墙面积比(包括透光幕墙)不应大于0.60；其他地区甲类公共建筑各单一立面窗墙面积比(包括透光幕墙)均不应大于0.70。</w:t>
      </w:r>
    </w:p>
    <w:p>
      <w:pPr>
        <w:spacing w:line="360" w:lineRule="auto"/>
        <w:ind w:firstLine="480" w:firstLineChars="200"/>
        <w:outlineLvl w:val="2"/>
        <w:rPr>
          <w:color w:val="auto"/>
          <w:sz w:val="24"/>
          <w:szCs w:val="24"/>
        </w:rPr>
      </w:pPr>
      <w:r>
        <w:rPr>
          <w:rFonts w:hint="eastAsia"/>
          <w:color w:val="auto"/>
          <w:sz w:val="24"/>
          <w:szCs w:val="24"/>
        </w:rPr>
        <w:t>2甲类公共建筑单一立面窗墙面积比小于0</w:t>
      </w:r>
      <w:r>
        <w:rPr>
          <w:color w:val="auto"/>
          <w:sz w:val="24"/>
          <w:szCs w:val="24"/>
        </w:rPr>
        <w:t>.</w:t>
      </w:r>
      <w:r>
        <w:rPr>
          <w:rFonts w:hint="eastAsia"/>
          <w:color w:val="auto"/>
          <w:sz w:val="24"/>
          <w:szCs w:val="24"/>
        </w:rPr>
        <w:t>40时，透光材料的可见光透射比不应小于0</w:t>
      </w:r>
      <w:r>
        <w:rPr>
          <w:color w:val="auto"/>
          <w:sz w:val="24"/>
          <w:szCs w:val="24"/>
        </w:rPr>
        <w:t>.</w:t>
      </w:r>
      <w:r>
        <w:rPr>
          <w:rFonts w:hint="eastAsia"/>
          <w:color w:val="auto"/>
          <w:sz w:val="24"/>
          <w:szCs w:val="24"/>
        </w:rPr>
        <w:t>60。甲类公共建筑单一立面窗墙面积比大于等于0</w:t>
      </w:r>
      <w:r>
        <w:rPr>
          <w:color w:val="auto"/>
          <w:sz w:val="24"/>
          <w:szCs w:val="24"/>
        </w:rPr>
        <w:t>.</w:t>
      </w:r>
      <w:r>
        <w:rPr>
          <w:rFonts w:hint="eastAsia"/>
          <w:color w:val="auto"/>
          <w:sz w:val="24"/>
          <w:szCs w:val="24"/>
        </w:rPr>
        <w:t>40时，透光材料的可见光透射比不应小于0.40。</w:t>
      </w:r>
    </w:p>
    <w:p>
      <w:pPr>
        <w:spacing w:line="360" w:lineRule="auto"/>
        <w:ind w:firstLine="480" w:firstLineChars="200"/>
        <w:outlineLvl w:val="0"/>
        <w:rPr>
          <w:color w:val="auto"/>
          <w:sz w:val="24"/>
          <w:szCs w:val="24"/>
        </w:rPr>
      </w:pPr>
      <w:bookmarkStart w:id="63" w:name="_Toc11101"/>
      <w:r>
        <w:rPr>
          <w:rFonts w:hint="eastAsia"/>
          <w:color w:val="auto"/>
          <w:sz w:val="24"/>
          <w:szCs w:val="24"/>
        </w:rPr>
        <w:t>3甲类公共建筑的顶部透光部分面积不应大于屋顶总面积的20%。</w:t>
      </w:r>
      <w:bookmarkEnd w:id="63"/>
    </w:p>
    <w:p>
      <w:pPr>
        <w:spacing w:line="400" w:lineRule="exact"/>
        <w:rPr>
          <w:color w:val="auto"/>
          <w:sz w:val="24"/>
          <w:szCs w:val="24"/>
        </w:rPr>
      </w:pPr>
      <w:r>
        <w:rPr>
          <w:rFonts w:hint="eastAsia" w:eastAsia="楷体"/>
          <w:bCs/>
          <w:color w:val="auto"/>
        </w:rPr>
        <w:t>【条文说明】：公共建筑分类及气候区域划分可参照公共建筑节能设计标准G</w:t>
      </w:r>
      <w:r>
        <w:rPr>
          <w:rFonts w:eastAsia="楷体"/>
          <w:bCs/>
          <w:color w:val="auto"/>
        </w:rPr>
        <w:t>B50189</w:t>
      </w:r>
      <w:r>
        <w:rPr>
          <w:rFonts w:hint="eastAsia" w:eastAsia="楷体"/>
          <w:bCs/>
          <w:color w:val="auto"/>
        </w:rPr>
        <w:t>，乙类建筑宜参考甲类建筑从严执行。</w:t>
      </w:r>
    </w:p>
    <w:p>
      <w:pPr>
        <w:spacing w:line="360" w:lineRule="auto"/>
        <w:outlineLvl w:val="2"/>
        <w:rPr>
          <w:color w:val="auto"/>
          <w:sz w:val="24"/>
          <w:szCs w:val="24"/>
        </w:rPr>
      </w:pPr>
      <w:r>
        <w:rPr>
          <w:rFonts w:hint="eastAsia" w:ascii="宋体" w:hAnsi="宋体"/>
          <w:b/>
          <w:bCs/>
          <w:color w:val="auto"/>
          <w:sz w:val="24"/>
        </w:rPr>
        <w:t>6.3.4</w:t>
      </w:r>
      <w:r>
        <w:rPr>
          <w:rFonts w:hint="eastAsia"/>
          <w:color w:val="auto"/>
          <w:sz w:val="24"/>
          <w:szCs w:val="24"/>
        </w:rPr>
        <w:t>当办公建筑的入口大堂采用全玻幕墙时，全玻幕墙中非中空玻璃的面积不应超过同一立面透光面积(门窗和玻璃幕墙)的15%，且应按同一立面透光面积(含全玻幕墙面积)加权计算平均传热系数。</w:t>
      </w:r>
    </w:p>
    <w:p>
      <w:pPr>
        <w:spacing w:line="360" w:lineRule="auto"/>
        <w:outlineLvl w:val="2"/>
        <w:rPr>
          <w:color w:val="auto"/>
          <w:sz w:val="24"/>
          <w:szCs w:val="24"/>
        </w:rPr>
      </w:pPr>
      <w:r>
        <w:rPr>
          <w:rFonts w:hint="eastAsia" w:ascii="宋体" w:hAnsi="宋体"/>
          <w:b/>
          <w:bCs/>
          <w:color w:val="auto"/>
          <w:sz w:val="24"/>
        </w:rPr>
        <w:t xml:space="preserve">6.3.5 </w:t>
      </w:r>
      <w:r>
        <w:rPr>
          <w:rFonts w:hint="eastAsia" w:ascii="宋体" w:hAnsi="宋体"/>
          <w:bCs/>
          <w:color w:val="auto"/>
          <w:sz w:val="24"/>
        </w:rPr>
        <w:t>低碳办公建筑围护结构应进行防结露设计，屋面、外墙和地下室的热桥部位的内表面温度不应低于室内空气露点温度</w:t>
      </w:r>
      <w:r>
        <w:rPr>
          <w:rFonts w:hint="eastAsia" w:ascii="宋体" w:hAnsi="宋体"/>
          <w:b/>
          <w:bCs/>
          <w:color w:val="auto"/>
          <w:sz w:val="24"/>
        </w:rPr>
        <w:t>。</w:t>
      </w:r>
      <w:r>
        <w:rPr>
          <w:rFonts w:hint="eastAsia"/>
          <w:color w:val="auto"/>
          <w:sz w:val="24"/>
          <w:szCs w:val="24"/>
        </w:rPr>
        <w:t>非透明幕墙需要满足节能规范的同时考虑材料损耗系数及构造系数影响，</w:t>
      </w:r>
      <w:r>
        <w:rPr>
          <w:rFonts w:hint="eastAsia" w:ascii="宋体" w:hAnsi="宋体"/>
          <w:bCs/>
          <w:color w:val="auto"/>
          <w:sz w:val="24"/>
        </w:rPr>
        <w:t>透明部分的</w:t>
      </w:r>
      <w:r>
        <w:rPr>
          <w:rFonts w:hint="eastAsia"/>
          <w:color w:val="auto"/>
          <w:sz w:val="24"/>
          <w:szCs w:val="24"/>
        </w:rPr>
        <w:t>幕墙或门窗系统应充分考虑窗框部位断桥的连续性。</w:t>
      </w:r>
    </w:p>
    <w:p>
      <w:pPr>
        <w:spacing w:line="400" w:lineRule="exact"/>
        <w:rPr>
          <w:rFonts w:eastAsia="楷体"/>
          <w:bCs/>
          <w:color w:val="auto"/>
        </w:rPr>
      </w:pPr>
      <w:r>
        <w:rPr>
          <w:rFonts w:hint="eastAsia" w:eastAsia="楷体"/>
          <w:bCs/>
          <w:color w:val="auto"/>
        </w:rPr>
        <w:t>【条文说明】：非透光部分多为金属框架填充保温，由于金属框架的严重热桥和保温材料厚度受到限制，非透明部分K值不宜要求过低。透光部分自身的节能计算应考虑固定安装该构件的支撑构造。</w:t>
      </w:r>
    </w:p>
    <w:p>
      <w:pPr>
        <w:spacing w:line="360" w:lineRule="auto"/>
        <w:outlineLvl w:val="1"/>
        <w:rPr>
          <w:color w:val="auto"/>
          <w:sz w:val="24"/>
          <w:szCs w:val="24"/>
        </w:rPr>
      </w:pPr>
      <w:bookmarkStart w:id="64" w:name="_Toc8677"/>
      <w:r>
        <w:rPr>
          <w:rFonts w:hint="eastAsia" w:ascii="宋体" w:hAnsi="宋体"/>
          <w:b/>
          <w:bCs/>
          <w:color w:val="auto"/>
          <w:sz w:val="24"/>
        </w:rPr>
        <w:t>6.3.6</w:t>
      </w:r>
      <w:r>
        <w:rPr>
          <w:rFonts w:hint="eastAsia" w:ascii="宋体" w:hAnsi="宋体"/>
          <w:bCs/>
          <w:color w:val="auto"/>
          <w:sz w:val="24"/>
        </w:rPr>
        <w:t>建筑幕墙和外门窗的气密性</w:t>
      </w:r>
      <w:r>
        <w:rPr>
          <w:rFonts w:hint="eastAsia"/>
          <w:color w:val="auto"/>
          <w:sz w:val="24"/>
          <w:szCs w:val="24"/>
        </w:rPr>
        <w:t>应符合以下规定：</w:t>
      </w:r>
      <w:bookmarkEnd w:id="64"/>
    </w:p>
    <w:p>
      <w:pPr>
        <w:spacing w:line="360" w:lineRule="auto"/>
        <w:ind w:firstLine="480" w:firstLineChars="200"/>
        <w:outlineLvl w:val="0"/>
        <w:rPr>
          <w:color w:val="auto"/>
          <w:sz w:val="24"/>
          <w:szCs w:val="24"/>
        </w:rPr>
      </w:pPr>
      <w:bookmarkStart w:id="65" w:name="_Toc16291"/>
      <w:r>
        <w:rPr>
          <w:rFonts w:hint="eastAsia"/>
          <w:color w:val="auto"/>
          <w:sz w:val="24"/>
          <w:szCs w:val="24"/>
        </w:rPr>
        <w:t>1</w:t>
      </w:r>
      <w:r>
        <w:rPr>
          <w:color w:val="auto"/>
          <w:sz w:val="24"/>
          <w:szCs w:val="24"/>
        </w:rPr>
        <w:t xml:space="preserve"> </w:t>
      </w:r>
      <w:r>
        <w:rPr>
          <w:rFonts w:hint="eastAsia"/>
          <w:color w:val="auto"/>
          <w:sz w:val="24"/>
          <w:szCs w:val="24"/>
        </w:rPr>
        <w:t>幕墙气密性</w:t>
      </w:r>
      <w:r>
        <w:rPr>
          <w:rFonts w:ascii="宋体" w:hAnsi="宋体"/>
          <w:bCs/>
          <w:color w:val="auto"/>
          <w:sz w:val="24"/>
        </w:rPr>
        <w:t>不应低于3级</w:t>
      </w:r>
      <w:r>
        <w:rPr>
          <w:rFonts w:hint="eastAsia" w:ascii="宋体" w:hAnsi="宋体"/>
          <w:bCs/>
          <w:color w:val="auto"/>
          <w:sz w:val="24"/>
        </w:rPr>
        <w:t>；</w:t>
      </w:r>
      <w:bookmarkEnd w:id="65"/>
    </w:p>
    <w:p>
      <w:pPr>
        <w:spacing w:line="360" w:lineRule="auto"/>
        <w:ind w:firstLine="480" w:firstLineChars="200"/>
        <w:outlineLvl w:val="1"/>
        <w:rPr>
          <w:color w:val="auto"/>
          <w:sz w:val="24"/>
          <w:szCs w:val="24"/>
        </w:rPr>
      </w:pPr>
      <w:bookmarkStart w:id="66" w:name="_Toc919"/>
      <w:r>
        <w:rPr>
          <w:rFonts w:hint="eastAsia"/>
          <w:color w:val="auto"/>
          <w:sz w:val="24"/>
          <w:szCs w:val="24"/>
        </w:rPr>
        <w:t>2 10层及以上建筑外窗的气密性不应低于7级；</w:t>
      </w:r>
      <w:bookmarkEnd w:id="66"/>
    </w:p>
    <w:p>
      <w:pPr>
        <w:spacing w:line="360" w:lineRule="auto"/>
        <w:ind w:firstLine="480" w:firstLineChars="200"/>
        <w:outlineLvl w:val="2"/>
        <w:rPr>
          <w:color w:val="auto"/>
          <w:sz w:val="24"/>
          <w:szCs w:val="24"/>
        </w:rPr>
      </w:pPr>
      <w:r>
        <w:rPr>
          <w:rFonts w:hint="eastAsia"/>
          <w:color w:val="auto"/>
          <w:sz w:val="24"/>
          <w:szCs w:val="24"/>
        </w:rPr>
        <w:t>3 10层以下建筑外窗的气密性不应低于6级；</w:t>
      </w:r>
    </w:p>
    <w:p>
      <w:pPr>
        <w:spacing w:line="360" w:lineRule="auto"/>
        <w:ind w:firstLine="480" w:firstLineChars="200"/>
        <w:outlineLvl w:val="2"/>
        <w:rPr>
          <w:color w:val="auto"/>
          <w:sz w:val="24"/>
          <w:szCs w:val="24"/>
        </w:rPr>
      </w:pPr>
      <w:r>
        <w:rPr>
          <w:rFonts w:hint="eastAsia"/>
          <w:color w:val="auto"/>
          <w:sz w:val="24"/>
          <w:szCs w:val="24"/>
        </w:rPr>
        <w:t>4 严寒和寒冷地区幕墙的气密性不宜低于4级，外门的气密性不宜低于6级，外窗气密性不宜低于8级。</w:t>
      </w:r>
    </w:p>
    <w:p>
      <w:pPr>
        <w:spacing w:line="360" w:lineRule="auto"/>
        <w:outlineLvl w:val="2"/>
        <w:rPr>
          <w:color w:val="auto"/>
          <w:sz w:val="24"/>
          <w:szCs w:val="24"/>
        </w:rPr>
        <w:sectPr>
          <w:footerReference r:id="rId6" w:type="default"/>
          <w:type w:val="continuous"/>
          <w:pgSz w:w="11906" w:h="16838"/>
          <w:pgMar w:top="1440" w:right="1800" w:bottom="1440" w:left="1800" w:header="851" w:footer="992" w:gutter="0"/>
          <w:pgNumType w:start="1"/>
          <w:cols w:space="425" w:num="1"/>
          <w:docGrid w:type="lines" w:linePitch="312" w:charSpace="0"/>
        </w:sectPr>
      </w:pPr>
      <w:r>
        <w:rPr>
          <w:rFonts w:hint="eastAsia" w:eastAsia="楷体"/>
          <w:bCs/>
          <w:color w:val="auto"/>
        </w:rPr>
        <w:t>【条文说明】：建筑气密性是影响建筑供暖能耗供冷能耗的重要因素，良好的气密性可以减少冬季冷风的渗透，降低夏季热风导致的供冷需求增加，低碳办公建筑应充分考虑建筑气密性的合理性，首先应满足规范标准，其次应根据建筑高度不同对于气密性给予产品合理范围内的提升。</w:t>
      </w:r>
    </w:p>
    <w:p>
      <w:pPr>
        <w:widowControl/>
        <w:jc w:val="left"/>
        <w:rPr>
          <w:color w:val="auto"/>
          <w:sz w:val="24"/>
          <w:szCs w:val="24"/>
        </w:rPr>
      </w:pPr>
    </w:p>
    <w:p>
      <w:pPr>
        <w:spacing w:line="360" w:lineRule="auto"/>
        <w:rPr>
          <w:color w:val="auto"/>
          <w:sz w:val="24"/>
          <w:szCs w:val="24"/>
        </w:rPr>
      </w:pPr>
    </w:p>
    <w:p>
      <w:pPr>
        <w:rPr>
          <w:rFonts w:eastAsia="黑体"/>
          <w:b/>
          <w:color w:val="auto"/>
          <w:kern w:val="44"/>
          <w:sz w:val="30"/>
          <w:szCs w:val="24"/>
        </w:rPr>
      </w:pPr>
      <w:r>
        <w:rPr>
          <w:rFonts w:eastAsia="黑体"/>
          <w:b/>
          <w:color w:val="auto"/>
          <w:kern w:val="44"/>
          <w:sz w:val="30"/>
          <w:szCs w:val="24"/>
        </w:rPr>
        <w:br w:type="page"/>
      </w:r>
    </w:p>
    <w:p>
      <w:pPr>
        <w:pStyle w:val="29"/>
        <w:numPr>
          <w:ilvl w:val="0"/>
          <w:numId w:val="0"/>
        </w:numPr>
        <w:spacing w:after="240"/>
        <w:ind w:left="425" w:hanging="425" w:firstLineChars="0"/>
        <w:jc w:val="center"/>
        <w:outlineLvl w:val="0"/>
        <w:rPr>
          <w:rFonts w:ascii="黑体" w:hAnsi="黑体" w:eastAsia="黑体"/>
          <w:bCs/>
          <w:color w:val="auto"/>
          <w:sz w:val="36"/>
          <w:szCs w:val="32"/>
        </w:rPr>
      </w:pPr>
      <w:bookmarkStart w:id="67" w:name="_Toc15525"/>
      <w:r>
        <w:rPr>
          <w:rFonts w:hint="eastAsia" w:ascii="黑体" w:hAnsi="黑体" w:eastAsia="黑体"/>
          <w:bCs/>
          <w:color w:val="auto"/>
          <w:sz w:val="36"/>
          <w:szCs w:val="32"/>
        </w:rPr>
        <w:t>7低碳能源系统设计</w:t>
      </w:r>
      <w:bookmarkEnd w:id="67"/>
    </w:p>
    <w:p>
      <w:pPr>
        <w:spacing w:before="156" w:beforeLines="50" w:after="120"/>
        <w:jc w:val="center"/>
        <w:outlineLvl w:val="1"/>
        <w:rPr>
          <w:bCs/>
          <w:color w:val="auto"/>
          <w:sz w:val="32"/>
          <w:szCs w:val="28"/>
        </w:rPr>
      </w:pPr>
      <w:bookmarkStart w:id="68" w:name="_Toc11628"/>
      <w:r>
        <w:rPr>
          <w:rFonts w:hint="eastAsia" w:eastAsia="黑体"/>
          <w:bCs/>
          <w:color w:val="auto"/>
          <w:sz w:val="32"/>
          <w:szCs w:val="28"/>
        </w:rPr>
        <w:t>7.1 机电系统设计</w:t>
      </w:r>
      <w:bookmarkEnd w:id="68"/>
    </w:p>
    <w:p>
      <w:pPr>
        <w:pStyle w:val="29"/>
        <w:spacing w:line="360" w:lineRule="auto"/>
        <w:ind w:left="2531" w:firstLine="409" w:firstLineChars="0"/>
        <w:outlineLvl w:val="0"/>
        <w:rPr>
          <w:rFonts w:ascii="宋体" w:hAnsi="宋体"/>
          <w:bCs/>
          <w:color w:val="auto"/>
          <w:sz w:val="24"/>
          <w:szCs w:val="24"/>
        </w:rPr>
      </w:pPr>
      <w:bookmarkStart w:id="69" w:name="_Toc18232"/>
      <w:r>
        <w:rPr>
          <w:rFonts w:hint="eastAsia" w:ascii="宋体" w:hAnsi="宋体"/>
          <w:bCs/>
          <w:color w:val="auto"/>
          <w:sz w:val="24"/>
          <w:szCs w:val="24"/>
        </w:rPr>
        <w:t>Ⅰ</w:t>
      </w:r>
      <w:r>
        <w:rPr>
          <w:rFonts w:ascii="宋体" w:hAnsi="宋体"/>
          <w:bCs/>
          <w:color w:val="auto"/>
          <w:sz w:val="24"/>
          <w:szCs w:val="24"/>
        </w:rPr>
        <w:tab/>
      </w:r>
      <w:r>
        <w:rPr>
          <w:rFonts w:hint="eastAsia" w:ascii="宋体" w:hAnsi="宋体"/>
          <w:bCs/>
          <w:color w:val="auto"/>
          <w:sz w:val="24"/>
          <w:szCs w:val="24"/>
        </w:rPr>
        <w:t>空调系统</w:t>
      </w:r>
      <w:bookmarkEnd w:id="69"/>
    </w:p>
    <w:p>
      <w:pPr>
        <w:pStyle w:val="29"/>
        <w:numPr>
          <w:ilvl w:val="2"/>
          <w:numId w:val="0"/>
        </w:numPr>
        <w:spacing w:line="360" w:lineRule="auto"/>
        <w:ind w:left="-2" w:leftChars="0" w:firstLine="0" w:firstLineChars="0"/>
        <w:jc w:val="left"/>
        <w:outlineLvl w:val="2"/>
        <w:rPr>
          <w:rFonts w:ascii="宋体" w:hAnsi="宋体"/>
          <w:bCs/>
          <w:color w:val="auto"/>
          <w:sz w:val="24"/>
          <w:szCs w:val="24"/>
        </w:rPr>
      </w:pPr>
      <w:r>
        <w:rPr>
          <w:rFonts w:hint="eastAsia" w:ascii="宋体" w:hAnsi="宋体"/>
          <w:b/>
          <w:bCs/>
          <w:color w:val="auto"/>
          <w:sz w:val="24"/>
          <w:szCs w:val="21"/>
        </w:rPr>
        <w:t>7.1.1</w:t>
      </w:r>
      <w:r>
        <w:rPr>
          <w:rFonts w:hint="eastAsia" w:ascii="宋体" w:hAnsi="宋体"/>
          <w:bCs/>
          <w:color w:val="auto"/>
          <w:sz w:val="24"/>
          <w:szCs w:val="24"/>
        </w:rPr>
        <w:t>选择低碳办公建筑供暖空调冷热源形式时，应进行方案比选和性能优化，并应综合考虑以下因素：</w:t>
      </w:r>
    </w:p>
    <w:p>
      <w:pPr>
        <w:pStyle w:val="29"/>
        <w:numPr>
          <w:ilvl w:val="255"/>
          <w:numId w:val="0"/>
        </w:numPr>
        <w:spacing w:line="360" w:lineRule="auto"/>
        <w:ind w:left="-2" w:leftChars="0" w:firstLine="420" w:firstLineChars="0"/>
        <w:outlineLvl w:val="0"/>
        <w:rPr>
          <w:rFonts w:ascii="宋体" w:hAnsi="宋体"/>
          <w:color w:val="auto"/>
          <w:sz w:val="24"/>
        </w:rPr>
      </w:pPr>
      <w:bookmarkStart w:id="70" w:name="_Toc13723"/>
      <w:r>
        <w:rPr>
          <w:rFonts w:hint="eastAsia" w:ascii="宋体" w:hAnsi="宋体"/>
          <w:color w:val="auto"/>
          <w:sz w:val="24"/>
        </w:rPr>
        <w:t xml:space="preserve">1 </w:t>
      </w:r>
      <w:r>
        <w:rPr>
          <w:rFonts w:ascii="宋体" w:hAnsi="宋体"/>
          <w:color w:val="auto"/>
          <w:sz w:val="24"/>
        </w:rPr>
        <w:t>具有工厂余热</w:t>
      </w:r>
      <w:r>
        <w:rPr>
          <w:rFonts w:hint="eastAsia" w:ascii="宋体" w:hAnsi="宋体"/>
          <w:color w:val="auto"/>
          <w:sz w:val="24"/>
        </w:rPr>
        <w:t>利用条件</w:t>
      </w:r>
      <w:r>
        <w:rPr>
          <w:rFonts w:ascii="宋体" w:hAnsi="宋体"/>
          <w:color w:val="auto"/>
          <w:sz w:val="24"/>
        </w:rPr>
        <w:t>时，</w:t>
      </w:r>
      <w:r>
        <w:rPr>
          <w:rFonts w:hint="eastAsia" w:ascii="宋体" w:hAnsi="宋体"/>
          <w:color w:val="auto"/>
          <w:sz w:val="24"/>
        </w:rPr>
        <w:t>宜将其作为空调的冷、热源。</w:t>
      </w:r>
      <w:bookmarkEnd w:id="70"/>
    </w:p>
    <w:p>
      <w:pPr>
        <w:pStyle w:val="29"/>
        <w:numPr>
          <w:ilvl w:val="255"/>
          <w:numId w:val="0"/>
        </w:numPr>
        <w:spacing w:line="360" w:lineRule="auto"/>
        <w:ind w:left="-2" w:leftChars="0" w:firstLine="420" w:firstLineChars="0"/>
        <w:outlineLvl w:val="0"/>
        <w:rPr>
          <w:rFonts w:ascii="宋体" w:hAnsi="宋体"/>
          <w:color w:val="auto"/>
          <w:sz w:val="24"/>
        </w:rPr>
      </w:pPr>
      <w:bookmarkStart w:id="71" w:name="_Toc30344"/>
      <w:r>
        <w:rPr>
          <w:rFonts w:hint="eastAsia" w:ascii="宋体" w:hAnsi="宋体"/>
          <w:color w:val="auto"/>
          <w:sz w:val="24"/>
        </w:rPr>
        <w:t>2 城市电网夏季供电充足的地区，空调系统的冷源宜采用电动压缩式机组。</w:t>
      </w:r>
      <w:bookmarkEnd w:id="71"/>
    </w:p>
    <w:p>
      <w:pPr>
        <w:pStyle w:val="29"/>
        <w:numPr>
          <w:ilvl w:val="255"/>
          <w:numId w:val="0"/>
        </w:numPr>
        <w:spacing w:line="360" w:lineRule="auto"/>
        <w:ind w:left="-2" w:leftChars="0" w:firstLine="420" w:firstLineChars="0"/>
        <w:outlineLvl w:val="2"/>
        <w:rPr>
          <w:rFonts w:ascii="宋体" w:hAnsi="宋体"/>
          <w:color w:val="auto"/>
          <w:sz w:val="24"/>
        </w:rPr>
      </w:pPr>
      <w:r>
        <w:rPr>
          <w:rFonts w:hint="eastAsia" w:ascii="宋体" w:hAnsi="宋体"/>
          <w:color w:val="auto"/>
          <w:sz w:val="24"/>
        </w:rPr>
        <w:t>3 夏热冬冷地区以及干旱缺水地区的中、小型建筑宜采用空气源热泵或土壤源地源热泵系统供冷、供热。</w:t>
      </w:r>
    </w:p>
    <w:p>
      <w:pPr>
        <w:pStyle w:val="29"/>
        <w:numPr>
          <w:ilvl w:val="255"/>
          <w:numId w:val="0"/>
        </w:numPr>
        <w:spacing w:line="360" w:lineRule="auto"/>
        <w:ind w:left="-2" w:leftChars="0" w:firstLine="420" w:firstLineChars="0"/>
        <w:outlineLvl w:val="0"/>
        <w:rPr>
          <w:rFonts w:ascii="宋体" w:hAnsi="宋体"/>
          <w:color w:val="auto"/>
          <w:sz w:val="24"/>
        </w:rPr>
      </w:pPr>
      <w:bookmarkStart w:id="72" w:name="_Toc4405"/>
      <w:r>
        <w:rPr>
          <w:rFonts w:hint="eastAsia" w:ascii="宋体" w:hAnsi="宋体"/>
          <w:color w:val="auto"/>
          <w:sz w:val="24"/>
        </w:rPr>
        <w:t>4 具有峰谷电价差的区域,</w:t>
      </w:r>
      <w:r>
        <w:rPr>
          <w:rFonts w:ascii="宋体" w:hAnsi="宋体"/>
          <w:bCs/>
          <w:color w:val="auto"/>
          <w:sz w:val="24"/>
          <w:szCs w:val="24"/>
        </w:rPr>
        <w:t>在技术经济合理的情况下</w:t>
      </w:r>
      <w:r>
        <w:rPr>
          <w:rFonts w:hint="eastAsia" w:ascii="宋体" w:hAnsi="宋体"/>
          <w:bCs/>
          <w:color w:val="auto"/>
          <w:sz w:val="24"/>
          <w:szCs w:val="24"/>
        </w:rPr>
        <w:t>，可采用冰蓄冷或水蓄冷系统。</w:t>
      </w:r>
      <w:bookmarkEnd w:id="72"/>
    </w:p>
    <w:p>
      <w:pPr>
        <w:spacing w:line="360" w:lineRule="auto"/>
        <w:ind w:left="-2" w:leftChars="0" w:firstLine="0" w:firstLineChars="0"/>
        <w:outlineLvl w:val="2"/>
        <w:rPr>
          <w:rFonts w:ascii="楷体" w:hAnsi="楷体" w:eastAsia="楷体"/>
          <w:color w:val="auto"/>
        </w:rPr>
      </w:pPr>
      <w:r>
        <w:rPr>
          <w:rFonts w:hint="eastAsia" w:eastAsia="楷体"/>
          <w:b/>
          <w:color w:val="auto"/>
        </w:rPr>
        <w:t>【条文说明】</w:t>
      </w:r>
      <w:r>
        <w:rPr>
          <w:rFonts w:hint="eastAsia" w:eastAsia="楷体"/>
          <w:bCs/>
          <w:color w:val="auto"/>
        </w:rPr>
        <w:t>建筑</w:t>
      </w:r>
      <w:r>
        <w:rPr>
          <w:rFonts w:hint="eastAsia" w:ascii="楷体" w:hAnsi="楷体" w:eastAsia="楷体"/>
          <w:color w:val="auto"/>
        </w:rPr>
        <w:t>能耗占我国总消费的比例已达27.5%，在建筑能耗中，暖通空调系统与生活热水系统能耗比例接近60%，公共建筑中冷、热源的能耗占空调系统40% 以上，从低碳、节能角度出发需着重考虑冷、热源设计的合理性；实际项目中空调冷源与热源应根据建筑物规模、用途、建设地点的能源条件、结构、价格以及国家节能减排和环保政策的相关规定，通过综合论证确定。</w:t>
      </w:r>
    </w:p>
    <w:p>
      <w:pPr>
        <w:pStyle w:val="29"/>
        <w:numPr>
          <w:ilvl w:val="255"/>
          <w:numId w:val="0"/>
        </w:numPr>
        <w:spacing w:line="360" w:lineRule="auto"/>
        <w:ind w:left="-2" w:leftChars="0" w:firstLine="0" w:firstLineChars="0"/>
        <w:jc w:val="left"/>
        <w:outlineLvl w:val="2"/>
        <w:rPr>
          <w:rFonts w:ascii="宋体" w:hAnsi="宋体"/>
          <w:bCs/>
          <w:color w:val="auto"/>
          <w:sz w:val="24"/>
          <w:szCs w:val="24"/>
        </w:rPr>
      </w:pPr>
      <w:r>
        <w:rPr>
          <w:rFonts w:hint="eastAsia" w:ascii="宋体" w:hAnsi="宋体"/>
          <w:b/>
          <w:bCs/>
          <w:color w:val="auto"/>
          <w:sz w:val="24"/>
          <w:szCs w:val="21"/>
        </w:rPr>
        <w:t xml:space="preserve">7.1.2 </w:t>
      </w:r>
      <w:r>
        <w:rPr>
          <w:rFonts w:hint="eastAsia" w:ascii="宋体" w:hAnsi="宋体"/>
          <w:bCs/>
          <w:color w:val="auto"/>
          <w:sz w:val="24"/>
          <w:szCs w:val="24"/>
        </w:rPr>
        <w:t>采用电驱动水冷式冷水机组制冷的低碳办公建筑，应建设高效空调制冷机房，冷源系统全年综合能效不宜低于《高效空调制冷机房评价标准》T/CECS 1100中2级能效指标。</w:t>
      </w:r>
    </w:p>
    <w:p>
      <w:pPr>
        <w:pStyle w:val="29"/>
        <w:numPr>
          <w:ilvl w:val="255"/>
          <w:numId w:val="0"/>
        </w:numPr>
        <w:spacing w:line="360" w:lineRule="auto"/>
        <w:ind w:left="-2" w:leftChars="0" w:firstLine="0" w:firstLineChars="0"/>
        <w:jc w:val="left"/>
        <w:outlineLvl w:val="1"/>
        <w:rPr>
          <w:rFonts w:ascii="宋体" w:hAnsi="宋体"/>
          <w:bCs/>
          <w:color w:val="auto"/>
          <w:sz w:val="24"/>
          <w:szCs w:val="24"/>
        </w:rPr>
      </w:pPr>
      <w:bookmarkStart w:id="73" w:name="_Toc25544"/>
      <w:r>
        <w:rPr>
          <w:rFonts w:hint="eastAsia" w:ascii="宋体" w:hAnsi="宋体"/>
          <w:b/>
          <w:bCs/>
          <w:color w:val="auto"/>
          <w:sz w:val="24"/>
          <w:szCs w:val="21"/>
        </w:rPr>
        <w:t>7.1.3</w:t>
      </w:r>
      <w:r>
        <w:rPr>
          <w:rFonts w:hint="eastAsia" w:ascii="宋体" w:hAnsi="宋体"/>
          <w:bCs/>
          <w:color w:val="auto"/>
          <w:sz w:val="24"/>
          <w:szCs w:val="24"/>
        </w:rPr>
        <w:t>电制冷冷水机组选型时，应综合考虑以下因素：</w:t>
      </w:r>
      <w:bookmarkEnd w:id="73"/>
    </w:p>
    <w:p>
      <w:pPr>
        <w:pStyle w:val="29"/>
        <w:numPr>
          <w:ilvl w:val="255"/>
          <w:numId w:val="0"/>
        </w:numPr>
        <w:tabs>
          <w:tab w:val="left" w:pos="851"/>
        </w:tabs>
        <w:adjustRightInd w:val="0"/>
        <w:spacing w:line="360" w:lineRule="auto"/>
        <w:ind w:left="-2" w:leftChars="0" w:firstLine="0" w:firstLineChars="0"/>
        <w:contextualSpacing/>
        <w:jc w:val="left"/>
        <w:outlineLvl w:val="2"/>
        <w:rPr>
          <w:rFonts w:ascii="宋体" w:hAnsi="宋体"/>
          <w:color w:val="auto"/>
          <w:sz w:val="24"/>
        </w:rPr>
      </w:pPr>
      <w:r>
        <w:rPr>
          <w:rFonts w:hint="eastAsia" w:ascii="宋体" w:hAnsi="宋体"/>
          <w:color w:val="auto"/>
          <w:sz w:val="24"/>
          <w:lang w:val="en-US" w:eastAsia="zh-CN"/>
        </w:rPr>
        <w:tab/>
      </w:r>
      <w:r>
        <w:rPr>
          <w:rFonts w:hint="eastAsia" w:ascii="宋体" w:hAnsi="宋体"/>
          <w:color w:val="auto"/>
          <w:sz w:val="24"/>
        </w:rPr>
        <w:t xml:space="preserve">1 根据项目负荷特性合理选型制冷主机容量及台数，确保制冷主机在大部分负荷段下处于高效运行区间； </w:t>
      </w:r>
    </w:p>
    <w:p>
      <w:pPr>
        <w:pStyle w:val="29"/>
        <w:numPr>
          <w:ilvl w:val="255"/>
          <w:numId w:val="0"/>
        </w:numPr>
        <w:spacing w:line="360" w:lineRule="auto"/>
        <w:ind w:left="-2" w:leftChars="0" w:firstLine="420" w:firstLineChars="0"/>
        <w:outlineLvl w:val="0"/>
        <w:rPr>
          <w:rFonts w:ascii="宋体" w:hAnsi="宋体"/>
          <w:color w:val="auto"/>
          <w:sz w:val="24"/>
        </w:rPr>
      </w:pPr>
      <w:bookmarkStart w:id="74" w:name="_Toc4976"/>
      <w:r>
        <w:rPr>
          <w:rFonts w:hint="eastAsia" w:ascii="宋体" w:hAnsi="宋体"/>
          <w:color w:val="auto"/>
          <w:sz w:val="24"/>
        </w:rPr>
        <w:t>2 制冷主机选型应考虑低负荷情况，保证机组能正常开机且尽可能高效运行。</w:t>
      </w:r>
      <w:bookmarkEnd w:id="74"/>
    </w:p>
    <w:p>
      <w:pPr>
        <w:pStyle w:val="29"/>
        <w:numPr>
          <w:ilvl w:val="255"/>
          <w:numId w:val="0"/>
        </w:numPr>
        <w:spacing w:line="360" w:lineRule="auto"/>
        <w:ind w:left="-2" w:leftChars="0" w:firstLine="0" w:firstLineChars="0"/>
        <w:jc w:val="left"/>
        <w:outlineLvl w:val="1"/>
        <w:rPr>
          <w:rFonts w:ascii="宋体" w:hAnsi="宋体"/>
          <w:bCs/>
          <w:color w:val="auto"/>
          <w:sz w:val="24"/>
          <w:szCs w:val="24"/>
        </w:rPr>
      </w:pPr>
      <w:bookmarkStart w:id="75" w:name="_Toc8387"/>
      <w:r>
        <w:rPr>
          <w:rFonts w:hint="eastAsia" w:ascii="宋体" w:hAnsi="宋体"/>
          <w:b/>
          <w:bCs/>
          <w:color w:val="auto"/>
          <w:sz w:val="24"/>
          <w:szCs w:val="21"/>
        </w:rPr>
        <w:t>7.1.4</w:t>
      </w:r>
      <w:r>
        <w:rPr>
          <w:rFonts w:hint="eastAsia" w:ascii="宋体" w:hAnsi="宋体"/>
          <w:bCs/>
          <w:color w:val="auto"/>
          <w:sz w:val="24"/>
          <w:szCs w:val="24"/>
        </w:rPr>
        <w:t>风冷热泵机组选型时，应综合考虑以下因素：</w:t>
      </w:r>
      <w:bookmarkEnd w:id="75"/>
    </w:p>
    <w:p>
      <w:pPr>
        <w:pStyle w:val="29"/>
        <w:numPr>
          <w:ilvl w:val="255"/>
          <w:numId w:val="0"/>
        </w:numPr>
        <w:spacing w:line="360" w:lineRule="auto"/>
        <w:ind w:left="-2" w:leftChars="0" w:firstLine="420" w:firstLineChars="0"/>
        <w:outlineLvl w:val="2"/>
        <w:rPr>
          <w:rFonts w:ascii="宋体" w:hAnsi="宋体"/>
          <w:color w:val="auto"/>
          <w:sz w:val="24"/>
        </w:rPr>
      </w:pPr>
      <w:r>
        <w:rPr>
          <w:rFonts w:hint="eastAsia" w:ascii="宋体" w:hAnsi="宋体"/>
          <w:color w:val="auto"/>
          <w:sz w:val="24"/>
        </w:rPr>
        <w:t>1 根据项目负荷特性合理选型风冷热泵容量，确保机组连续制热运行时融霜时间总和不超一个连续制热周期的2</w:t>
      </w:r>
      <w:r>
        <w:rPr>
          <w:rFonts w:ascii="宋体" w:hAnsi="宋体"/>
          <w:color w:val="auto"/>
          <w:sz w:val="24"/>
        </w:rPr>
        <w:t>0%</w:t>
      </w:r>
      <w:r>
        <w:rPr>
          <w:rFonts w:hint="eastAsia" w:ascii="宋体" w:hAnsi="宋体"/>
          <w:color w:val="auto"/>
          <w:sz w:val="24"/>
        </w:rPr>
        <w:t xml:space="preserve">； </w:t>
      </w:r>
    </w:p>
    <w:p>
      <w:pPr>
        <w:pStyle w:val="29"/>
        <w:numPr>
          <w:ilvl w:val="255"/>
          <w:numId w:val="0"/>
        </w:numPr>
        <w:spacing w:line="360" w:lineRule="auto"/>
        <w:ind w:left="-2" w:leftChars="0" w:firstLine="420" w:firstLineChars="0"/>
        <w:outlineLvl w:val="0"/>
        <w:rPr>
          <w:rFonts w:ascii="宋体" w:hAnsi="宋体"/>
          <w:color w:val="auto"/>
          <w:sz w:val="24"/>
        </w:rPr>
      </w:pPr>
      <w:bookmarkStart w:id="76" w:name="_Toc11419"/>
      <w:r>
        <w:rPr>
          <w:rFonts w:hint="eastAsia" w:ascii="宋体" w:hAnsi="宋体"/>
          <w:color w:val="auto"/>
          <w:sz w:val="24"/>
        </w:rPr>
        <w:t>2 对于同时有供冷、供暖需求的建筑，宜选用热回收式热泵机组。</w:t>
      </w:r>
      <w:bookmarkEnd w:id="76"/>
    </w:p>
    <w:p>
      <w:pPr>
        <w:pStyle w:val="29"/>
        <w:numPr>
          <w:ilvl w:val="255"/>
          <w:numId w:val="0"/>
        </w:numPr>
        <w:spacing w:line="360" w:lineRule="auto"/>
        <w:ind w:left="-2" w:leftChars="0" w:firstLine="420" w:firstLineChars="0"/>
        <w:outlineLvl w:val="0"/>
        <w:rPr>
          <w:rFonts w:ascii="宋体" w:hAnsi="宋体"/>
          <w:color w:val="auto"/>
          <w:sz w:val="24"/>
        </w:rPr>
      </w:pPr>
      <w:bookmarkStart w:id="77" w:name="_Toc5008"/>
      <w:r>
        <w:rPr>
          <w:rFonts w:hint="eastAsia" w:ascii="宋体" w:hAnsi="宋体"/>
          <w:color w:val="auto"/>
          <w:sz w:val="24"/>
        </w:rPr>
        <w:t>3机组应用在严寒及寒冷地区时应采取防冻措施；</w:t>
      </w:r>
      <w:bookmarkEnd w:id="77"/>
    </w:p>
    <w:p>
      <w:pPr>
        <w:pStyle w:val="29"/>
        <w:numPr>
          <w:ilvl w:val="255"/>
          <w:numId w:val="0"/>
        </w:numPr>
        <w:spacing w:line="360" w:lineRule="auto"/>
        <w:ind w:left="-2" w:leftChars="0" w:firstLine="0" w:firstLineChars="0"/>
        <w:jc w:val="left"/>
        <w:outlineLvl w:val="1"/>
        <w:rPr>
          <w:rFonts w:ascii="宋体" w:hAnsi="宋体"/>
          <w:bCs/>
          <w:color w:val="auto"/>
          <w:sz w:val="24"/>
          <w:szCs w:val="24"/>
        </w:rPr>
      </w:pPr>
      <w:bookmarkStart w:id="78" w:name="_Toc3430"/>
      <w:r>
        <w:rPr>
          <w:rFonts w:hint="eastAsia" w:ascii="宋体" w:hAnsi="宋体"/>
          <w:b/>
          <w:bCs/>
          <w:color w:val="auto"/>
          <w:sz w:val="24"/>
          <w:szCs w:val="21"/>
        </w:rPr>
        <w:t xml:space="preserve">7.1.5 </w:t>
      </w:r>
      <w:r>
        <w:rPr>
          <w:rFonts w:hint="eastAsia" w:ascii="宋体" w:hAnsi="宋体"/>
          <w:bCs/>
          <w:color w:val="auto"/>
          <w:sz w:val="24"/>
          <w:szCs w:val="24"/>
        </w:rPr>
        <w:t>地源热泵及水源热泵机组选型时，应综合考虑以下因素：</w:t>
      </w:r>
      <w:bookmarkEnd w:id="78"/>
    </w:p>
    <w:p>
      <w:pPr>
        <w:pStyle w:val="29"/>
        <w:numPr>
          <w:ilvl w:val="255"/>
          <w:numId w:val="0"/>
        </w:numPr>
        <w:spacing w:line="360" w:lineRule="auto"/>
        <w:ind w:left="-2" w:leftChars="0" w:firstLine="420" w:firstLineChars="0"/>
        <w:outlineLvl w:val="0"/>
        <w:rPr>
          <w:rFonts w:ascii="宋体" w:hAnsi="宋体"/>
          <w:color w:val="auto"/>
          <w:sz w:val="24"/>
        </w:rPr>
      </w:pPr>
      <w:bookmarkStart w:id="79" w:name="_Toc26929"/>
      <w:r>
        <w:rPr>
          <w:rFonts w:hint="eastAsia" w:ascii="宋体" w:hAnsi="宋体"/>
          <w:color w:val="auto"/>
          <w:sz w:val="24"/>
        </w:rPr>
        <w:t>1 根据项目负荷特性合理选型热泵机组容量及台数，保证其长时间运行在较高的效率；</w:t>
      </w:r>
      <w:bookmarkEnd w:id="79"/>
    </w:p>
    <w:p>
      <w:pPr>
        <w:pStyle w:val="29"/>
        <w:numPr>
          <w:ilvl w:val="255"/>
          <w:numId w:val="0"/>
        </w:numPr>
        <w:spacing w:line="360" w:lineRule="auto"/>
        <w:ind w:left="-2" w:leftChars="0" w:firstLine="420" w:firstLineChars="0"/>
        <w:outlineLvl w:val="0"/>
        <w:rPr>
          <w:rFonts w:ascii="宋体" w:hAnsi="宋体"/>
          <w:color w:val="auto"/>
          <w:sz w:val="24"/>
        </w:rPr>
      </w:pPr>
      <w:bookmarkStart w:id="80" w:name="_Toc14747"/>
      <w:r>
        <w:rPr>
          <w:rFonts w:hint="eastAsia" w:ascii="宋体" w:hAnsi="宋体"/>
          <w:color w:val="auto"/>
          <w:sz w:val="24"/>
        </w:rPr>
        <w:t>2 热泵机组应依据地源侧及水源侧极端温度选型。</w:t>
      </w:r>
      <w:bookmarkEnd w:id="80"/>
    </w:p>
    <w:p>
      <w:pPr>
        <w:pStyle w:val="29"/>
        <w:numPr>
          <w:ilvl w:val="255"/>
          <w:numId w:val="0"/>
        </w:numPr>
        <w:spacing w:line="360" w:lineRule="auto"/>
        <w:ind w:left="-2" w:leftChars="0" w:firstLine="0" w:firstLineChars="0"/>
        <w:jc w:val="left"/>
        <w:outlineLvl w:val="2"/>
        <w:rPr>
          <w:rFonts w:ascii="宋体" w:hAnsi="宋体"/>
          <w:bCs/>
          <w:color w:val="auto"/>
          <w:sz w:val="24"/>
          <w:szCs w:val="24"/>
        </w:rPr>
      </w:pPr>
      <w:r>
        <w:rPr>
          <w:rFonts w:hint="eastAsia" w:ascii="宋体" w:hAnsi="宋体"/>
          <w:b/>
          <w:bCs/>
          <w:color w:val="auto"/>
          <w:sz w:val="24"/>
          <w:szCs w:val="21"/>
        </w:rPr>
        <w:t xml:space="preserve">7.1.6 </w:t>
      </w:r>
      <w:r>
        <w:rPr>
          <w:rFonts w:hint="eastAsia" w:ascii="宋体" w:hAnsi="宋体"/>
          <w:bCs/>
          <w:color w:val="auto"/>
          <w:sz w:val="24"/>
          <w:szCs w:val="24"/>
        </w:rPr>
        <w:t>办公楼厨房、淋浴、泳池等有热水需求的区域，其热水系统宜采用热泵、空调水系统热回收、太阳能等作为热源。</w:t>
      </w:r>
    </w:p>
    <w:p>
      <w:pPr>
        <w:pStyle w:val="29"/>
        <w:numPr>
          <w:ilvl w:val="255"/>
          <w:numId w:val="0"/>
        </w:numPr>
        <w:spacing w:line="360" w:lineRule="auto"/>
        <w:ind w:left="-2" w:leftChars="0" w:firstLine="0" w:firstLineChars="0"/>
        <w:jc w:val="left"/>
        <w:outlineLvl w:val="1"/>
        <w:rPr>
          <w:rFonts w:ascii="宋体" w:hAnsi="宋体"/>
          <w:bCs/>
          <w:color w:val="auto"/>
          <w:sz w:val="24"/>
          <w:szCs w:val="24"/>
        </w:rPr>
      </w:pPr>
      <w:bookmarkStart w:id="81" w:name="_Toc7659"/>
      <w:r>
        <w:rPr>
          <w:rFonts w:hint="eastAsia" w:ascii="宋体" w:hAnsi="宋体"/>
          <w:b/>
          <w:bCs/>
          <w:color w:val="auto"/>
          <w:sz w:val="24"/>
          <w:szCs w:val="21"/>
        </w:rPr>
        <w:t xml:space="preserve">7.1.7 </w:t>
      </w:r>
      <w:r>
        <w:rPr>
          <w:rFonts w:ascii="宋体" w:hAnsi="宋体"/>
          <w:bCs/>
          <w:color w:val="auto"/>
          <w:sz w:val="24"/>
          <w:szCs w:val="24"/>
        </w:rPr>
        <w:t>在技术经济合理的情况下</w:t>
      </w:r>
      <w:r>
        <w:rPr>
          <w:rFonts w:hint="eastAsia" w:ascii="宋体" w:hAnsi="宋体"/>
          <w:bCs/>
          <w:color w:val="auto"/>
          <w:sz w:val="24"/>
          <w:szCs w:val="24"/>
        </w:rPr>
        <w:t>，宜采用温湿度独立控制系统，并综合考虑以下因素：</w:t>
      </w:r>
      <w:bookmarkEnd w:id="81"/>
    </w:p>
    <w:p>
      <w:pPr>
        <w:pStyle w:val="29"/>
        <w:numPr>
          <w:ilvl w:val="255"/>
          <w:numId w:val="0"/>
        </w:numPr>
        <w:spacing w:line="360" w:lineRule="auto"/>
        <w:ind w:left="-2" w:leftChars="0" w:firstLine="420" w:firstLineChars="0"/>
        <w:outlineLvl w:val="2"/>
        <w:rPr>
          <w:color w:val="auto"/>
          <w:sz w:val="24"/>
          <w:szCs w:val="24"/>
        </w:rPr>
      </w:pPr>
      <w:r>
        <w:rPr>
          <w:rFonts w:hint="eastAsia"/>
          <w:color w:val="auto"/>
          <w:sz w:val="24"/>
          <w:szCs w:val="24"/>
        </w:rPr>
        <w:t>1温湿度独立控制系统中温度控制系统冷源应采用高温冷源，高温冷源容量应扣除湿度控制系统承担的室内部分显热负荷；</w:t>
      </w:r>
    </w:p>
    <w:p>
      <w:pPr>
        <w:pStyle w:val="29"/>
        <w:numPr>
          <w:ilvl w:val="255"/>
          <w:numId w:val="0"/>
        </w:numPr>
        <w:spacing w:line="360" w:lineRule="auto"/>
        <w:ind w:left="-2" w:leftChars="0" w:firstLine="420" w:firstLineChars="0"/>
        <w:outlineLvl w:val="2"/>
        <w:rPr>
          <w:color w:val="auto"/>
          <w:sz w:val="24"/>
          <w:szCs w:val="24"/>
        </w:rPr>
      </w:pPr>
      <w:r>
        <w:rPr>
          <w:rFonts w:hint="eastAsia" w:ascii="宋体" w:hAnsi="宋体"/>
          <w:color w:val="auto"/>
          <w:sz w:val="24"/>
        </w:rPr>
        <w:t>2温度控制系统的末端装置，仅用于承担室内部分显热负荷，应避免末端表面出现结露现象；湿度控制系统末端装置承担室内全部湿负荷；</w:t>
      </w:r>
    </w:p>
    <w:p>
      <w:pPr>
        <w:pStyle w:val="29"/>
        <w:numPr>
          <w:ilvl w:val="255"/>
          <w:numId w:val="0"/>
        </w:numPr>
        <w:spacing w:line="360" w:lineRule="auto"/>
        <w:ind w:left="-2" w:leftChars="0" w:firstLine="420" w:firstLineChars="0"/>
        <w:outlineLvl w:val="2"/>
        <w:rPr>
          <w:color w:val="auto"/>
          <w:sz w:val="24"/>
          <w:szCs w:val="24"/>
        </w:rPr>
      </w:pPr>
      <w:r>
        <w:rPr>
          <w:rFonts w:hint="eastAsia"/>
          <w:color w:val="auto"/>
          <w:sz w:val="24"/>
          <w:szCs w:val="24"/>
        </w:rPr>
        <w:t>3 采用强制对流末端温度控制设备时，高温冷水机组供回水温差不宜小于5</w:t>
      </w:r>
      <w:r>
        <w:rPr>
          <w:rFonts w:hint="eastAsia" w:ascii="宋体" w:hAnsi="宋体"/>
          <w:color w:val="auto"/>
          <w:sz w:val="24"/>
          <w:szCs w:val="24"/>
        </w:rPr>
        <w:t>℃、自然冷源供回水温差不宜小于4℃</w:t>
      </w:r>
      <w:r>
        <w:rPr>
          <w:rFonts w:hint="eastAsia"/>
          <w:color w:val="auto"/>
          <w:sz w:val="24"/>
          <w:szCs w:val="24"/>
        </w:rPr>
        <w:t>；采用辐射供冷末端温度控制设备时，冷水供回水温差不应小于2</w:t>
      </w:r>
      <w:r>
        <w:rPr>
          <w:rFonts w:hint="eastAsia" w:ascii="宋体" w:hAnsi="宋体"/>
          <w:color w:val="auto"/>
          <w:sz w:val="24"/>
          <w:szCs w:val="24"/>
        </w:rPr>
        <w:t>℃；</w:t>
      </w:r>
    </w:p>
    <w:p>
      <w:pPr>
        <w:pStyle w:val="29"/>
        <w:numPr>
          <w:ilvl w:val="255"/>
          <w:numId w:val="0"/>
        </w:numPr>
        <w:spacing w:line="360" w:lineRule="auto"/>
        <w:ind w:left="-2" w:leftChars="0" w:firstLine="420" w:firstLineChars="0"/>
        <w:outlineLvl w:val="2"/>
        <w:rPr>
          <w:color w:val="auto"/>
          <w:sz w:val="24"/>
          <w:szCs w:val="24"/>
        </w:rPr>
      </w:pPr>
      <w:r>
        <w:rPr>
          <w:rFonts w:hint="eastAsia" w:ascii="宋体" w:hAnsi="宋体"/>
          <w:color w:val="auto"/>
          <w:sz w:val="24"/>
          <w:szCs w:val="24"/>
        </w:rPr>
        <w:t>4 新风采用冷却除湿方式时，应采用高温冷源对新风进行预冷处理，提高高温冷源容量占比。</w:t>
      </w:r>
    </w:p>
    <w:p>
      <w:pPr>
        <w:spacing w:line="360" w:lineRule="auto"/>
        <w:ind w:left="-2" w:leftChars="0" w:firstLine="0" w:firstLineChars="0"/>
        <w:outlineLvl w:val="2"/>
        <w:rPr>
          <w:rFonts w:ascii="楷体" w:hAnsi="楷体" w:eastAsia="楷体"/>
          <w:color w:val="auto"/>
        </w:rPr>
      </w:pPr>
      <w:r>
        <w:rPr>
          <w:rFonts w:hint="eastAsia" w:eastAsia="楷体"/>
          <w:b/>
          <w:color w:val="auto"/>
        </w:rPr>
        <w:t>【条文说明】</w:t>
      </w:r>
      <w:r>
        <w:rPr>
          <w:rFonts w:hint="eastAsia" w:ascii="楷体" w:hAnsi="楷体" w:eastAsia="楷体"/>
          <w:color w:val="auto"/>
        </w:rPr>
        <w:t>湿度控制系统送风温度低于室内设计干球温度时，应扣除湿度控制系统处理的室内部分显热负荷；应根据空调冷源系统形式选择技术可靠、经济合理的供回水温差，做到末端表面不结露、换热能力满足要求、冷源与输配系统能耗之和最低。</w:t>
      </w:r>
    </w:p>
    <w:p>
      <w:pPr>
        <w:pStyle w:val="29"/>
        <w:numPr>
          <w:ilvl w:val="255"/>
          <w:numId w:val="0"/>
        </w:numPr>
        <w:spacing w:line="360" w:lineRule="auto"/>
        <w:ind w:left="-2" w:leftChars="0" w:firstLine="0" w:firstLineChars="0"/>
        <w:jc w:val="left"/>
        <w:outlineLvl w:val="2"/>
        <w:rPr>
          <w:rFonts w:ascii="宋体" w:hAnsi="宋体"/>
          <w:bCs/>
          <w:color w:val="auto"/>
          <w:sz w:val="24"/>
          <w:szCs w:val="24"/>
        </w:rPr>
      </w:pPr>
      <w:r>
        <w:rPr>
          <w:rFonts w:hint="eastAsia" w:ascii="宋体" w:hAnsi="宋体"/>
          <w:b/>
          <w:bCs/>
          <w:color w:val="auto"/>
          <w:sz w:val="24"/>
          <w:szCs w:val="21"/>
        </w:rPr>
        <w:t xml:space="preserve">7.1.8 </w:t>
      </w:r>
      <w:r>
        <w:rPr>
          <w:rFonts w:hint="eastAsia" w:ascii="宋体" w:hAnsi="宋体"/>
          <w:bCs/>
          <w:color w:val="auto"/>
          <w:sz w:val="24"/>
          <w:szCs w:val="24"/>
        </w:rPr>
        <w:t>在满足末端设备除湿要求的前提下尽量提高冷冻水设计供水温度；过渡季节冷水机组应可调节适当提高出水温度，提高冷水机组运行能效。</w:t>
      </w:r>
    </w:p>
    <w:p>
      <w:pPr>
        <w:spacing w:line="360" w:lineRule="auto"/>
        <w:ind w:left="-2" w:leftChars="0" w:firstLine="0" w:firstLineChars="0"/>
        <w:outlineLvl w:val="2"/>
        <w:rPr>
          <w:rFonts w:ascii="楷体" w:hAnsi="楷体" w:eastAsia="楷体"/>
          <w:color w:val="auto"/>
        </w:rPr>
      </w:pPr>
      <w:r>
        <w:rPr>
          <w:rFonts w:hint="eastAsia" w:eastAsia="楷体"/>
          <w:b/>
          <w:color w:val="auto"/>
        </w:rPr>
        <w:t>【条文说明】</w:t>
      </w:r>
      <w:r>
        <w:rPr>
          <w:rFonts w:hint="eastAsia" w:ascii="楷体" w:hAnsi="楷体" w:eastAsia="楷体"/>
          <w:color w:val="auto"/>
        </w:rPr>
        <w:t>提高设计冷冻水供水温度，可有效提高冷水机组能效；冷水机组供水温度应可调节，在过渡季室内湿负荷减少时适当提高冷冻水供水温度。</w:t>
      </w:r>
    </w:p>
    <w:p>
      <w:pPr>
        <w:pStyle w:val="29"/>
        <w:numPr>
          <w:ilvl w:val="255"/>
          <w:numId w:val="0"/>
        </w:numPr>
        <w:spacing w:line="360" w:lineRule="auto"/>
        <w:ind w:left="-2" w:leftChars="0" w:firstLine="0" w:firstLineChars="0"/>
        <w:jc w:val="left"/>
        <w:outlineLvl w:val="2"/>
        <w:rPr>
          <w:rFonts w:ascii="宋体" w:hAnsi="宋体"/>
          <w:bCs/>
          <w:color w:val="auto"/>
          <w:sz w:val="24"/>
          <w:szCs w:val="24"/>
        </w:rPr>
      </w:pPr>
      <w:r>
        <w:rPr>
          <w:rFonts w:hint="eastAsia" w:ascii="宋体" w:hAnsi="宋体"/>
          <w:b/>
          <w:bCs/>
          <w:color w:val="auto"/>
          <w:sz w:val="24"/>
          <w:szCs w:val="21"/>
        </w:rPr>
        <w:t xml:space="preserve">7.1.9 </w:t>
      </w:r>
      <w:r>
        <w:rPr>
          <w:rFonts w:ascii="宋体" w:hAnsi="宋体"/>
          <w:bCs/>
          <w:color w:val="auto"/>
          <w:sz w:val="24"/>
          <w:szCs w:val="24"/>
        </w:rPr>
        <w:t>在技术可靠、经济合理的前提下宜尽量加大冷水供、回水温差</w:t>
      </w:r>
      <w:r>
        <w:rPr>
          <w:rFonts w:hint="eastAsia" w:ascii="宋体" w:hAnsi="宋体"/>
          <w:bCs/>
          <w:color w:val="auto"/>
          <w:sz w:val="24"/>
          <w:szCs w:val="24"/>
        </w:rPr>
        <w:t>，并综合考虑以下因素：</w:t>
      </w:r>
    </w:p>
    <w:p>
      <w:pPr>
        <w:pStyle w:val="29"/>
        <w:numPr>
          <w:ilvl w:val="255"/>
          <w:numId w:val="0"/>
        </w:numPr>
        <w:spacing w:line="360" w:lineRule="auto"/>
        <w:ind w:left="-2" w:leftChars="0" w:firstLine="420" w:firstLineChars="0"/>
        <w:outlineLvl w:val="0"/>
        <w:rPr>
          <w:color w:val="auto"/>
          <w:sz w:val="24"/>
          <w:szCs w:val="24"/>
        </w:rPr>
      </w:pPr>
      <w:bookmarkStart w:id="82" w:name="_Toc11652"/>
      <w:r>
        <w:rPr>
          <w:rFonts w:hint="eastAsia"/>
          <w:color w:val="auto"/>
          <w:sz w:val="24"/>
          <w:szCs w:val="24"/>
        </w:rPr>
        <w:t>1空调冷热水系统设计温度和温差应充分考虑冷热源与末端设备设计参数相匹配；</w:t>
      </w:r>
      <w:bookmarkEnd w:id="82"/>
    </w:p>
    <w:p>
      <w:pPr>
        <w:pStyle w:val="29"/>
        <w:numPr>
          <w:ilvl w:val="255"/>
          <w:numId w:val="0"/>
        </w:numPr>
        <w:spacing w:line="360" w:lineRule="auto"/>
        <w:ind w:left="-2" w:leftChars="0" w:firstLine="420" w:firstLineChars="0"/>
        <w:outlineLvl w:val="0"/>
        <w:rPr>
          <w:color w:val="auto"/>
          <w:sz w:val="24"/>
          <w:szCs w:val="24"/>
        </w:rPr>
      </w:pPr>
      <w:bookmarkStart w:id="83" w:name="_Toc20882"/>
      <w:r>
        <w:rPr>
          <w:rFonts w:hint="eastAsia"/>
          <w:color w:val="auto"/>
          <w:sz w:val="24"/>
          <w:szCs w:val="24"/>
        </w:rPr>
        <w:t>2 冷水机组直接供冷时，供回水</w:t>
      </w:r>
      <w:r>
        <w:rPr>
          <w:rFonts w:hint="eastAsia" w:ascii="宋体" w:hAnsi="宋体"/>
          <w:color w:val="auto"/>
          <w:sz w:val="24"/>
          <w:szCs w:val="24"/>
        </w:rPr>
        <w:t>温差不应小于</w:t>
      </w:r>
      <w:r>
        <w:rPr>
          <w:rFonts w:hint="eastAsia"/>
          <w:color w:val="auto"/>
          <w:sz w:val="24"/>
          <w:szCs w:val="24"/>
        </w:rPr>
        <w:t>5</w:t>
      </w:r>
      <w:r>
        <w:rPr>
          <w:rFonts w:hint="eastAsia" w:ascii="宋体" w:hAnsi="宋体"/>
          <w:color w:val="auto"/>
          <w:sz w:val="24"/>
          <w:szCs w:val="24"/>
        </w:rPr>
        <w:t>℃；</w:t>
      </w:r>
      <w:bookmarkEnd w:id="83"/>
      <w:r>
        <w:rPr>
          <w:color w:val="auto"/>
          <w:sz w:val="24"/>
          <w:szCs w:val="24"/>
        </w:rPr>
        <w:t xml:space="preserve"> </w:t>
      </w:r>
    </w:p>
    <w:p>
      <w:pPr>
        <w:pStyle w:val="29"/>
        <w:numPr>
          <w:ilvl w:val="255"/>
          <w:numId w:val="0"/>
        </w:numPr>
        <w:spacing w:line="360" w:lineRule="auto"/>
        <w:ind w:left="-2" w:leftChars="0" w:firstLine="0" w:firstLineChars="0"/>
        <w:outlineLvl w:val="0"/>
        <w:rPr>
          <w:color w:val="auto"/>
          <w:sz w:val="24"/>
          <w:szCs w:val="24"/>
        </w:rPr>
      </w:pPr>
      <w:bookmarkStart w:id="84" w:name="_Toc5001"/>
      <w:r>
        <w:rPr>
          <w:rFonts w:hint="eastAsia" w:ascii="宋体" w:hAnsi="宋体"/>
          <w:color w:val="auto"/>
          <w:sz w:val="24"/>
          <w:szCs w:val="24"/>
        </w:rPr>
        <w:t>3 蓄冷空调供冷时，供回水温差宜为</w:t>
      </w:r>
      <w:r>
        <w:rPr>
          <w:color w:val="auto"/>
          <w:sz w:val="24"/>
          <w:szCs w:val="24"/>
        </w:rPr>
        <w:t>8~11</w:t>
      </w:r>
      <w:r>
        <w:rPr>
          <w:rFonts w:hint="eastAsia" w:ascii="宋体" w:hAnsi="宋体"/>
          <w:color w:val="auto"/>
          <w:sz w:val="24"/>
          <w:szCs w:val="24"/>
        </w:rPr>
        <w:t>℃；</w:t>
      </w:r>
      <w:bookmarkEnd w:id="84"/>
    </w:p>
    <w:p>
      <w:pPr>
        <w:pStyle w:val="29"/>
        <w:numPr>
          <w:ilvl w:val="255"/>
          <w:numId w:val="0"/>
        </w:numPr>
        <w:spacing w:line="360" w:lineRule="auto"/>
        <w:ind w:left="-2" w:leftChars="0" w:firstLine="0" w:firstLineChars="0"/>
        <w:outlineLvl w:val="2"/>
        <w:rPr>
          <w:rFonts w:ascii="宋体" w:hAnsi="宋体"/>
          <w:color w:val="auto"/>
          <w:sz w:val="24"/>
          <w:szCs w:val="24"/>
        </w:rPr>
      </w:pPr>
      <w:r>
        <w:rPr>
          <w:rFonts w:hint="eastAsia" w:ascii="宋体" w:hAnsi="宋体"/>
          <w:color w:val="auto"/>
          <w:sz w:val="24"/>
          <w:szCs w:val="24"/>
        </w:rPr>
        <w:t>4 空调热水供回水温差在严寒和寒冷地区宜大于等于15℃、夏热冬冷地区宜大于等于</w:t>
      </w:r>
      <w:r>
        <w:rPr>
          <w:rFonts w:ascii="宋体" w:hAnsi="宋体"/>
          <w:color w:val="auto"/>
          <w:sz w:val="24"/>
          <w:szCs w:val="24"/>
        </w:rPr>
        <w:t>10</w:t>
      </w:r>
      <w:r>
        <w:rPr>
          <w:rFonts w:hint="eastAsia" w:ascii="宋体" w:hAnsi="宋体"/>
          <w:color w:val="auto"/>
          <w:sz w:val="24"/>
          <w:szCs w:val="24"/>
        </w:rPr>
        <w:t>℃。</w:t>
      </w:r>
    </w:p>
    <w:p>
      <w:pPr>
        <w:spacing w:line="360" w:lineRule="auto"/>
        <w:ind w:left="-2" w:leftChars="0" w:firstLine="0" w:firstLineChars="0"/>
        <w:outlineLvl w:val="2"/>
        <w:rPr>
          <w:rFonts w:ascii="宋体" w:hAnsi="宋体"/>
          <w:bCs/>
          <w:color w:val="auto"/>
          <w:sz w:val="24"/>
          <w:szCs w:val="24"/>
        </w:rPr>
      </w:pPr>
      <w:r>
        <w:rPr>
          <w:rFonts w:hint="eastAsia" w:eastAsia="楷体"/>
          <w:b/>
          <w:color w:val="auto"/>
        </w:rPr>
        <w:t>【条文说明】</w:t>
      </w:r>
      <w:r>
        <w:rPr>
          <w:rFonts w:hint="eastAsia" w:ascii="楷体" w:hAnsi="楷体" w:eastAsia="楷体"/>
          <w:color w:val="auto"/>
        </w:rPr>
        <w:t>加大温差可有效降低输配系统能耗，为避免温差加大影响末端设备换热能力，可考虑适当调整冷热源供水温度、选择大温差末端设备或调整末端设备盘管、翅片参数保证末端供冷（热）能力。采用蓄冷系统可降低供水温度、加大温差来补偿远距离输送带来的输配能耗高的问题；采用冰蓄冷时不宜低于3℃供水、水蓄冷时不宜低于5℃供水。</w:t>
      </w:r>
    </w:p>
    <w:p>
      <w:pPr>
        <w:pStyle w:val="29"/>
        <w:numPr>
          <w:ilvl w:val="255"/>
          <w:numId w:val="0"/>
        </w:numPr>
        <w:spacing w:line="360" w:lineRule="auto"/>
        <w:ind w:left="-2" w:leftChars="0" w:firstLine="0" w:firstLineChars="0"/>
        <w:jc w:val="left"/>
        <w:outlineLvl w:val="2"/>
        <w:rPr>
          <w:rFonts w:ascii="宋体" w:hAnsi="宋体"/>
          <w:bCs/>
          <w:color w:val="auto"/>
          <w:sz w:val="24"/>
          <w:szCs w:val="24"/>
        </w:rPr>
      </w:pPr>
      <w:r>
        <w:rPr>
          <w:rFonts w:hint="eastAsia" w:ascii="宋体" w:hAnsi="宋体"/>
          <w:b/>
          <w:bCs/>
          <w:color w:val="auto"/>
          <w:sz w:val="24"/>
          <w:szCs w:val="21"/>
        </w:rPr>
        <w:t xml:space="preserve">7.1.10 </w:t>
      </w:r>
      <w:r>
        <w:rPr>
          <w:rFonts w:hint="eastAsia" w:ascii="宋体" w:hAnsi="宋体"/>
          <w:bCs/>
          <w:color w:val="auto"/>
          <w:sz w:val="24"/>
          <w:szCs w:val="24"/>
        </w:rPr>
        <w:t>根据项目所在地湿球温度及冷却塔逼近度，合理降低冷却水供水温度以降低冷水机组冷凝温度及冷凝压力提高机组能效；</w:t>
      </w:r>
    </w:p>
    <w:p>
      <w:pPr>
        <w:spacing w:line="360" w:lineRule="auto"/>
        <w:ind w:left="-2" w:leftChars="0" w:firstLine="0" w:firstLineChars="0"/>
        <w:outlineLvl w:val="2"/>
        <w:rPr>
          <w:rFonts w:ascii="宋体" w:hAnsi="宋体"/>
          <w:bCs/>
          <w:color w:val="auto"/>
          <w:sz w:val="24"/>
          <w:szCs w:val="24"/>
        </w:rPr>
      </w:pPr>
      <w:r>
        <w:rPr>
          <w:rFonts w:hint="eastAsia" w:eastAsia="楷体"/>
          <w:b/>
          <w:color w:val="auto"/>
        </w:rPr>
        <w:t>【条文说明】</w:t>
      </w:r>
      <w:r>
        <w:rPr>
          <w:rFonts w:hint="eastAsia" w:ascii="楷体" w:hAnsi="楷体" w:eastAsia="楷体"/>
          <w:color w:val="auto"/>
        </w:rPr>
        <w:t>冷却塔参数应根据设计工况进行选型，并注意控制冷却水供水温度不低于冷水机组冷凝器的最低进水温度要求，保证机组稳定运行。</w:t>
      </w:r>
    </w:p>
    <w:p>
      <w:pPr>
        <w:pStyle w:val="29"/>
        <w:numPr>
          <w:ilvl w:val="255"/>
          <w:numId w:val="0"/>
        </w:numPr>
        <w:spacing w:line="360" w:lineRule="auto"/>
        <w:ind w:left="-2" w:leftChars="0" w:firstLine="0" w:firstLineChars="0"/>
        <w:jc w:val="left"/>
        <w:outlineLvl w:val="2"/>
        <w:rPr>
          <w:rFonts w:ascii="宋体" w:hAnsi="宋体"/>
          <w:bCs/>
          <w:color w:val="auto"/>
          <w:sz w:val="24"/>
          <w:szCs w:val="24"/>
        </w:rPr>
      </w:pPr>
      <w:r>
        <w:rPr>
          <w:rFonts w:hint="eastAsia" w:ascii="宋体" w:hAnsi="宋体"/>
          <w:b/>
          <w:bCs/>
          <w:color w:val="auto"/>
          <w:sz w:val="24"/>
          <w:szCs w:val="21"/>
        </w:rPr>
        <w:t xml:space="preserve">7.1.11 </w:t>
      </w:r>
      <w:r>
        <w:rPr>
          <w:rFonts w:hint="eastAsia" w:ascii="宋体" w:hAnsi="宋体"/>
          <w:bCs/>
          <w:color w:val="auto"/>
          <w:sz w:val="24"/>
          <w:szCs w:val="24"/>
        </w:rPr>
        <w:t>对于使用时间长、运行参数有调节需求的风机、水泵、制冷主机、冷却塔等设备应选择变频设备。</w:t>
      </w:r>
    </w:p>
    <w:p>
      <w:pPr>
        <w:spacing w:line="360" w:lineRule="auto"/>
        <w:ind w:left="-2" w:leftChars="0" w:firstLine="0" w:firstLineChars="0"/>
        <w:outlineLvl w:val="2"/>
        <w:rPr>
          <w:rFonts w:ascii="楷体" w:hAnsi="楷体" w:eastAsia="楷体"/>
          <w:color w:val="auto"/>
        </w:rPr>
      </w:pPr>
      <w:r>
        <w:rPr>
          <w:rFonts w:hint="eastAsia" w:eastAsia="楷体"/>
          <w:b/>
          <w:color w:val="auto"/>
        </w:rPr>
        <w:t>【条文说明】</w:t>
      </w:r>
      <w:r>
        <w:rPr>
          <w:rFonts w:hint="eastAsia" w:ascii="楷体" w:hAnsi="楷体" w:eastAsia="楷体"/>
          <w:color w:val="auto"/>
        </w:rPr>
        <w:t>长时间运行且参数调节需求的设备，如风机、水泵、制冷主机、冷却塔等采用变频技术能有效节省运行能耗；</w:t>
      </w:r>
    </w:p>
    <w:p>
      <w:pPr>
        <w:pStyle w:val="29"/>
        <w:numPr>
          <w:ilvl w:val="255"/>
          <w:numId w:val="0"/>
        </w:numPr>
        <w:spacing w:line="360" w:lineRule="auto"/>
        <w:ind w:left="-2" w:leftChars="0" w:firstLine="0" w:firstLineChars="0"/>
        <w:jc w:val="left"/>
        <w:outlineLvl w:val="2"/>
        <w:rPr>
          <w:rFonts w:ascii="宋体" w:hAnsi="宋体"/>
          <w:bCs/>
          <w:color w:val="auto"/>
          <w:sz w:val="24"/>
          <w:szCs w:val="24"/>
        </w:rPr>
      </w:pPr>
      <w:r>
        <w:rPr>
          <w:rFonts w:hint="eastAsia" w:ascii="宋体" w:hAnsi="宋体"/>
          <w:b/>
          <w:bCs/>
          <w:color w:val="auto"/>
          <w:sz w:val="24"/>
          <w:szCs w:val="21"/>
        </w:rPr>
        <w:t>7.1.12</w:t>
      </w:r>
      <w:r>
        <w:rPr>
          <w:rFonts w:hint="eastAsia" w:ascii="宋体" w:hAnsi="宋体"/>
          <w:bCs/>
          <w:color w:val="auto"/>
          <w:sz w:val="24"/>
          <w:szCs w:val="24"/>
        </w:rPr>
        <w:t xml:space="preserve"> 冷却塔以及风冷型室外机应保证充足的散热空间，当设备布置情况较为复杂时，应通过C</w:t>
      </w:r>
      <w:r>
        <w:rPr>
          <w:rFonts w:ascii="宋体" w:hAnsi="宋体"/>
          <w:bCs/>
          <w:color w:val="auto"/>
          <w:sz w:val="24"/>
          <w:szCs w:val="24"/>
        </w:rPr>
        <w:t>F</w:t>
      </w:r>
      <w:r>
        <w:rPr>
          <w:rFonts w:hint="eastAsia" w:ascii="宋体" w:hAnsi="宋体"/>
          <w:bCs/>
          <w:color w:val="auto"/>
          <w:sz w:val="24"/>
          <w:szCs w:val="24"/>
        </w:rPr>
        <w:t>D气流仿真模拟。</w:t>
      </w:r>
    </w:p>
    <w:p>
      <w:pPr>
        <w:pStyle w:val="29"/>
        <w:numPr>
          <w:ilvl w:val="255"/>
          <w:numId w:val="0"/>
        </w:numPr>
        <w:spacing w:line="360" w:lineRule="auto"/>
        <w:ind w:left="-2" w:leftChars="0" w:firstLine="0" w:firstLineChars="0"/>
        <w:jc w:val="left"/>
        <w:outlineLvl w:val="2"/>
        <w:rPr>
          <w:rFonts w:ascii="宋体" w:hAnsi="宋体"/>
          <w:bCs/>
          <w:color w:val="auto"/>
          <w:sz w:val="24"/>
          <w:szCs w:val="24"/>
        </w:rPr>
      </w:pPr>
      <w:r>
        <w:rPr>
          <w:rFonts w:hint="eastAsia" w:ascii="宋体" w:hAnsi="宋体"/>
          <w:b/>
          <w:bCs/>
          <w:color w:val="auto"/>
          <w:sz w:val="24"/>
          <w:szCs w:val="21"/>
        </w:rPr>
        <w:t>7.1.13</w:t>
      </w:r>
      <w:r>
        <w:rPr>
          <w:rFonts w:hint="eastAsia" w:ascii="宋体" w:hAnsi="宋体"/>
          <w:bCs/>
          <w:color w:val="auto"/>
          <w:sz w:val="24"/>
          <w:szCs w:val="24"/>
        </w:rPr>
        <w:t xml:space="preserve"> 当采用多联机系统时，应根据系统服务区域的负荷特性，及室内外设计温度、管长参数等机型进行修正计算。</w:t>
      </w:r>
    </w:p>
    <w:p>
      <w:pPr>
        <w:pStyle w:val="29"/>
        <w:numPr>
          <w:ilvl w:val="255"/>
          <w:numId w:val="0"/>
        </w:numPr>
        <w:spacing w:line="360" w:lineRule="auto"/>
        <w:ind w:left="-2" w:leftChars="0" w:firstLine="0" w:firstLineChars="0"/>
        <w:jc w:val="left"/>
        <w:outlineLvl w:val="2"/>
        <w:rPr>
          <w:rFonts w:ascii="宋体" w:hAnsi="宋体"/>
          <w:bCs/>
          <w:color w:val="auto"/>
          <w:sz w:val="24"/>
          <w:szCs w:val="24"/>
        </w:rPr>
      </w:pPr>
      <w:r>
        <w:rPr>
          <w:rFonts w:hint="eastAsia" w:ascii="宋体" w:hAnsi="宋体"/>
          <w:b/>
          <w:bCs/>
          <w:color w:val="auto"/>
          <w:sz w:val="24"/>
          <w:szCs w:val="21"/>
        </w:rPr>
        <w:t>7.1.14</w:t>
      </w:r>
      <w:r>
        <w:rPr>
          <w:rFonts w:hint="eastAsia" w:ascii="宋体" w:hAnsi="宋体"/>
          <w:bCs/>
          <w:color w:val="auto"/>
          <w:sz w:val="24"/>
          <w:szCs w:val="24"/>
        </w:rPr>
        <w:t xml:space="preserve"> 对过渡季有供冷需求的区域，采用全空气系统的空间应通过加大新风量直至采用全新风工况运行对室内进行降温，并应设置适应新风量变化的排风措施，保证室内风平衡。</w:t>
      </w:r>
    </w:p>
    <w:p>
      <w:pPr>
        <w:spacing w:line="360" w:lineRule="auto"/>
        <w:ind w:left="-2" w:leftChars="0" w:firstLine="0" w:firstLineChars="0"/>
        <w:outlineLvl w:val="2"/>
        <w:rPr>
          <w:rFonts w:ascii="宋体" w:hAnsi="宋体"/>
          <w:bCs/>
          <w:color w:val="auto"/>
          <w:sz w:val="24"/>
          <w:szCs w:val="24"/>
        </w:rPr>
      </w:pPr>
      <w:r>
        <w:rPr>
          <w:rFonts w:hint="eastAsia" w:eastAsia="楷体"/>
          <w:b/>
          <w:color w:val="auto"/>
        </w:rPr>
        <w:t>【条文说明】</w:t>
      </w:r>
      <w:r>
        <w:rPr>
          <w:rFonts w:hint="eastAsia" w:ascii="楷体" w:hAnsi="楷体" w:eastAsia="楷体"/>
          <w:color w:val="auto"/>
        </w:rPr>
        <w:t>在温湿度允许波动的舒适性空调系统中，过渡季室内有供冷需求时，利用室外新风调节室温可有效降低空调能耗。</w:t>
      </w:r>
      <w:r>
        <w:rPr>
          <w:rFonts w:ascii="楷体" w:hAnsi="楷体" w:eastAsia="楷体"/>
          <w:color w:val="auto"/>
        </w:rPr>
        <w:t xml:space="preserve"> </w:t>
      </w:r>
    </w:p>
    <w:p>
      <w:pPr>
        <w:pStyle w:val="29"/>
        <w:numPr>
          <w:ilvl w:val="255"/>
          <w:numId w:val="0"/>
        </w:numPr>
        <w:spacing w:line="360" w:lineRule="auto"/>
        <w:ind w:left="-2" w:leftChars="0" w:firstLine="0" w:firstLineChars="0"/>
        <w:jc w:val="left"/>
        <w:outlineLvl w:val="2"/>
        <w:rPr>
          <w:rFonts w:ascii="宋体" w:hAnsi="宋体"/>
          <w:bCs/>
          <w:color w:val="auto"/>
          <w:sz w:val="24"/>
          <w:szCs w:val="24"/>
        </w:rPr>
      </w:pPr>
      <w:r>
        <w:rPr>
          <w:rFonts w:hint="eastAsia" w:ascii="宋体" w:hAnsi="宋体"/>
          <w:b/>
          <w:bCs/>
          <w:color w:val="auto"/>
          <w:sz w:val="24"/>
          <w:szCs w:val="21"/>
        </w:rPr>
        <w:t>7.1.15</w:t>
      </w:r>
      <w:r>
        <w:rPr>
          <w:rFonts w:ascii="宋体" w:hAnsi="宋体"/>
          <w:bCs/>
          <w:color w:val="auto"/>
          <w:sz w:val="24"/>
          <w:szCs w:val="24"/>
        </w:rPr>
        <w:t>在技术可靠、经济合理的前提下</w:t>
      </w:r>
      <w:r>
        <w:rPr>
          <w:rFonts w:hint="eastAsia" w:ascii="宋体" w:hAnsi="宋体"/>
          <w:bCs/>
          <w:color w:val="auto"/>
          <w:sz w:val="24"/>
          <w:szCs w:val="24"/>
        </w:rPr>
        <w:t>宜采用空调系统热回收技术，并综合考虑以下因素：</w:t>
      </w:r>
    </w:p>
    <w:p>
      <w:pPr>
        <w:pStyle w:val="29"/>
        <w:numPr>
          <w:ilvl w:val="255"/>
          <w:numId w:val="0"/>
        </w:numPr>
        <w:spacing w:line="360" w:lineRule="auto"/>
        <w:ind w:left="-2" w:leftChars="0" w:firstLine="420" w:firstLineChars="0"/>
        <w:outlineLvl w:val="0"/>
        <w:rPr>
          <w:rFonts w:ascii="宋体" w:hAnsi="宋体"/>
          <w:color w:val="auto"/>
          <w:sz w:val="24"/>
        </w:rPr>
      </w:pPr>
      <w:bookmarkStart w:id="85" w:name="_Toc3885"/>
      <w:r>
        <w:rPr>
          <w:rFonts w:hint="eastAsia" w:ascii="宋体" w:hAnsi="宋体"/>
          <w:color w:val="auto"/>
          <w:sz w:val="24"/>
        </w:rPr>
        <w:t>1 空气调节风系统在技术可行、经济对比合理时宜对排风进行热回收；</w:t>
      </w:r>
      <w:bookmarkEnd w:id="85"/>
    </w:p>
    <w:p>
      <w:pPr>
        <w:pStyle w:val="29"/>
        <w:numPr>
          <w:ilvl w:val="255"/>
          <w:numId w:val="0"/>
        </w:numPr>
        <w:spacing w:line="360" w:lineRule="auto"/>
        <w:ind w:left="-2" w:leftChars="0" w:firstLine="420" w:firstLineChars="0"/>
        <w:outlineLvl w:val="0"/>
        <w:rPr>
          <w:rFonts w:ascii="宋体" w:hAnsi="宋体"/>
          <w:color w:val="auto"/>
          <w:sz w:val="24"/>
        </w:rPr>
      </w:pPr>
      <w:bookmarkStart w:id="86" w:name="_Toc13271"/>
      <w:r>
        <w:rPr>
          <w:rFonts w:hint="eastAsia" w:ascii="宋体" w:hAnsi="宋体"/>
          <w:color w:val="auto"/>
          <w:sz w:val="24"/>
        </w:rPr>
        <w:t>2 对于同时有稳定用冷及用热需求的建筑，宜对空调冷源冷凝热进行回收。</w:t>
      </w:r>
      <w:bookmarkEnd w:id="86"/>
    </w:p>
    <w:p>
      <w:pPr>
        <w:spacing w:line="360" w:lineRule="auto"/>
        <w:ind w:left="-2" w:leftChars="0" w:firstLine="0" w:firstLineChars="0"/>
        <w:outlineLvl w:val="2"/>
        <w:rPr>
          <w:rFonts w:ascii="楷体" w:hAnsi="楷体" w:eastAsia="楷体"/>
          <w:color w:val="auto"/>
        </w:rPr>
      </w:pPr>
      <w:r>
        <w:rPr>
          <w:rFonts w:hint="eastAsia" w:eastAsia="楷体"/>
          <w:b/>
          <w:color w:val="auto"/>
        </w:rPr>
        <w:t>【条文说明】</w:t>
      </w:r>
      <w:r>
        <w:rPr>
          <w:rFonts w:hint="eastAsia" w:ascii="楷体" w:hAnsi="楷体" w:eastAsia="楷体"/>
          <w:color w:val="auto"/>
        </w:rPr>
        <w:t>空调排风热回收应充分考虑建筑所在地区的气象条件、空调使用时间进行经济性分析；热回收装置类型的选择应满足卫生要求；在严寒地区还应避免排风侧出现冰冻现象，必要时可在新风管设置预加热装置。回收空调冷凝热可得到“免费”热量预热生活热水并减少建筑空调系统废热排放；空调冷源热回收系统应兼顾制冷能效、避免热回收侧过高的出水温度影响机组效率，甚至造成机组运行不稳定。</w:t>
      </w:r>
    </w:p>
    <w:p>
      <w:pPr>
        <w:pStyle w:val="29"/>
        <w:numPr>
          <w:ilvl w:val="255"/>
          <w:numId w:val="0"/>
        </w:numPr>
        <w:spacing w:line="360" w:lineRule="auto"/>
        <w:ind w:left="-2" w:leftChars="0" w:firstLine="0" w:firstLineChars="0"/>
        <w:jc w:val="left"/>
        <w:outlineLvl w:val="2"/>
        <w:rPr>
          <w:rFonts w:ascii="宋体" w:hAnsi="宋体"/>
          <w:bCs/>
          <w:color w:val="auto"/>
          <w:sz w:val="24"/>
          <w:szCs w:val="24"/>
        </w:rPr>
      </w:pPr>
      <w:r>
        <w:rPr>
          <w:rFonts w:hint="eastAsia" w:ascii="宋体" w:hAnsi="宋体"/>
          <w:b/>
          <w:bCs/>
          <w:color w:val="auto"/>
          <w:sz w:val="24"/>
          <w:szCs w:val="21"/>
        </w:rPr>
        <w:t>7.1.16</w:t>
      </w:r>
      <w:r>
        <w:rPr>
          <w:rFonts w:hint="eastAsia" w:ascii="宋体" w:hAnsi="宋体"/>
          <w:bCs/>
          <w:color w:val="auto"/>
          <w:sz w:val="24"/>
          <w:szCs w:val="24"/>
        </w:rPr>
        <w:t>改造办公建筑宜对既有空调系统进行节能评估，在条件允许的情况下，宜进行系统升级，以提升空调系统整体效能。</w:t>
      </w:r>
    </w:p>
    <w:p>
      <w:pPr>
        <w:spacing w:line="360" w:lineRule="auto"/>
        <w:ind w:left="-2" w:leftChars="0" w:firstLine="0" w:firstLineChars="0"/>
        <w:outlineLvl w:val="2"/>
        <w:rPr>
          <w:rFonts w:eastAsia="楷体"/>
          <w:bCs/>
          <w:color w:val="auto"/>
        </w:rPr>
      </w:pPr>
      <w:r>
        <w:rPr>
          <w:rFonts w:hint="eastAsia" w:eastAsia="楷体"/>
          <w:b/>
          <w:color w:val="auto"/>
        </w:rPr>
        <w:t>【条文说明】</w:t>
      </w:r>
      <w:r>
        <w:rPr>
          <w:rFonts w:hint="eastAsia" w:eastAsia="楷体"/>
          <w:bCs/>
          <w:color w:val="auto"/>
        </w:rPr>
        <w:t>由于改造项目存在建筑和结构条件的约束，所以需要在这些条件许可的情况下尽量进行空调系统升级改造。</w:t>
      </w:r>
    </w:p>
    <w:p>
      <w:pPr>
        <w:pStyle w:val="29"/>
        <w:spacing w:line="360" w:lineRule="auto"/>
        <w:ind w:left="-2" w:leftChars="0" w:firstLine="0" w:firstLineChars="0"/>
        <w:jc w:val="center"/>
        <w:outlineLvl w:val="1"/>
        <w:rPr>
          <w:rFonts w:ascii="宋体" w:hAnsi="宋体"/>
          <w:color w:val="auto"/>
          <w:sz w:val="24"/>
        </w:rPr>
      </w:pPr>
      <w:bookmarkStart w:id="87" w:name="_Toc10892"/>
      <w:r>
        <w:rPr>
          <w:rFonts w:hint="eastAsia" w:ascii="宋体" w:hAnsi="宋体"/>
          <w:bCs/>
          <w:color w:val="auto"/>
          <w:sz w:val="24"/>
          <w:szCs w:val="24"/>
        </w:rPr>
        <w:t>Ⅱ</w:t>
      </w:r>
      <w:r>
        <w:rPr>
          <w:rFonts w:ascii="宋体" w:hAnsi="宋体"/>
          <w:bCs/>
          <w:color w:val="auto"/>
          <w:sz w:val="24"/>
          <w:szCs w:val="24"/>
        </w:rPr>
        <w:tab/>
      </w:r>
      <w:r>
        <w:rPr>
          <w:rFonts w:hint="eastAsia" w:ascii="宋体" w:hAnsi="宋体"/>
          <w:bCs/>
          <w:color w:val="auto"/>
          <w:sz w:val="24"/>
          <w:szCs w:val="24"/>
        </w:rPr>
        <w:t>供配电系统</w:t>
      </w:r>
      <w:bookmarkEnd w:id="87"/>
    </w:p>
    <w:p>
      <w:pPr>
        <w:pStyle w:val="29"/>
        <w:numPr>
          <w:ilvl w:val="2"/>
          <w:numId w:val="0"/>
        </w:numPr>
        <w:spacing w:line="360" w:lineRule="auto"/>
        <w:ind w:left="-2" w:leftChars="0" w:firstLine="0" w:firstLineChars="0"/>
        <w:jc w:val="left"/>
        <w:outlineLvl w:val="2"/>
        <w:rPr>
          <w:rFonts w:ascii="宋体" w:hAnsi="宋体"/>
          <w:bCs/>
          <w:color w:val="auto"/>
          <w:sz w:val="24"/>
          <w:szCs w:val="24"/>
        </w:rPr>
      </w:pPr>
      <w:r>
        <w:rPr>
          <w:rFonts w:hint="eastAsia" w:ascii="宋体" w:hAnsi="宋体"/>
          <w:b/>
          <w:bCs/>
          <w:color w:val="auto"/>
          <w:sz w:val="24"/>
          <w:szCs w:val="21"/>
        </w:rPr>
        <w:t>7.1.17</w:t>
      </w:r>
      <w:r>
        <w:rPr>
          <w:rFonts w:hint="eastAsia" w:ascii="宋体" w:hAnsi="宋体"/>
          <w:bCs/>
          <w:color w:val="auto"/>
          <w:sz w:val="24"/>
          <w:szCs w:val="24"/>
        </w:rPr>
        <w:t>合理选择变压器的容量和台数，以适应由于季节变化造成负荷变化时能够灵活投切变压器。供配电系统新建或改造项目均建议采用智能配电系统等降耗节能控制措施。</w:t>
      </w:r>
    </w:p>
    <w:p>
      <w:pPr>
        <w:pStyle w:val="29"/>
        <w:numPr>
          <w:ilvl w:val="2"/>
          <w:numId w:val="0"/>
        </w:numPr>
        <w:spacing w:line="360" w:lineRule="auto"/>
        <w:ind w:left="-2" w:leftChars="0" w:firstLine="0" w:firstLineChars="0"/>
        <w:jc w:val="left"/>
        <w:outlineLvl w:val="2"/>
        <w:rPr>
          <w:rFonts w:ascii="宋体" w:hAnsi="宋体"/>
          <w:bCs/>
          <w:color w:val="auto"/>
          <w:sz w:val="24"/>
          <w:szCs w:val="24"/>
        </w:rPr>
      </w:pPr>
      <w:r>
        <w:rPr>
          <w:rFonts w:hint="eastAsia" w:ascii="宋体" w:hAnsi="宋体"/>
          <w:b/>
          <w:bCs/>
          <w:color w:val="auto"/>
          <w:sz w:val="24"/>
          <w:szCs w:val="21"/>
        </w:rPr>
        <w:t>7.1.18</w:t>
      </w:r>
      <w:r>
        <w:rPr>
          <w:rFonts w:hint="eastAsia" w:ascii="宋体" w:hAnsi="宋体"/>
          <w:bCs/>
          <w:color w:val="auto"/>
          <w:sz w:val="24"/>
          <w:szCs w:val="24"/>
        </w:rPr>
        <w:t>有天然采光的场所，其照明应根据采光状况和建筑使用条件采取分区、分组、按照度或按时段调节的照明节能控制措施。</w:t>
      </w:r>
    </w:p>
    <w:p>
      <w:pPr>
        <w:pStyle w:val="29"/>
        <w:numPr>
          <w:ilvl w:val="2"/>
          <w:numId w:val="0"/>
        </w:numPr>
        <w:spacing w:line="360" w:lineRule="auto"/>
        <w:ind w:left="-2" w:leftChars="0" w:firstLine="0" w:firstLineChars="0"/>
        <w:jc w:val="left"/>
        <w:outlineLvl w:val="1"/>
        <w:rPr>
          <w:rFonts w:ascii="宋体" w:hAnsi="宋体"/>
          <w:bCs/>
          <w:color w:val="auto"/>
          <w:sz w:val="24"/>
          <w:szCs w:val="24"/>
        </w:rPr>
      </w:pPr>
      <w:bookmarkStart w:id="88" w:name="_Toc22019"/>
      <w:r>
        <w:rPr>
          <w:rFonts w:hint="eastAsia" w:ascii="宋体" w:hAnsi="宋体"/>
          <w:b/>
          <w:bCs/>
          <w:color w:val="auto"/>
          <w:sz w:val="24"/>
          <w:szCs w:val="21"/>
        </w:rPr>
        <w:t>7.1.19</w:t>
      </w:r>
      <w:r>
        <w:rPr>
          <w:rFonts w:hint="eastAsia" w:ascii="宋体" w:hAnsi="宋体"/>
          <w:bCs/>
          <w:color w:val="auto"/>
          <w:sz w:val="24"/>
          <w:szCs w:val="24"/>
        </w:rPr>
        <w:t>灯具</w:t>
      </w:r>
      <w:r>
        <w:rPr>
          <w:rFonts w:ascii="宋体" w:hAnsi="宋体"/>
          <w:bCs/>
          <w:color w:val="auto"/>
          <w:sz w:val="24"/>
          <w:szCs w:val="24"/>
        </w:rPr>
        <w:t>的选择应符合下列规定：</w:t>
      </w:r>
      <w:bookmarkEnd w:id="88"/>
    </w:p>
    <w:p>
      <w:pPr>
        <w:spacing w:line="360" w:lineRule="auto"/>
        <w:ind w:left="-2" w:leftChars="0" w:firstLine="420" w:firstLineChars="0"/>
        <w:outlineLvl w:val="2"/>
        <w:rPr>
          <w:rFonts w:ascii="宋体" w:hAnsi="宋体"/>
          <w:color w:val="auto"/>
          <w:sz w:val="24"/>
        </w:rPr>
      </w:pPr>
      <w:r>
        <w:rPr>
          <w:rFonts w:hint="eastAsia" w:ascii="宋体" w:hAnsi="宋体"/>
          <w:color w:val="auto"/>
          <w:sz w:val="24"/>
        </w:rPr>
        <w:t xml:space="preserve">1 </w:t>
      </w:r>
      <w:r>
        <w:rPr>
          <w:rFonts w:ascii="宋体" w:hAnsi="宋体"/>
          <w:color w:val="auto"/>
          <w:sz w:val="24"/>
        </w:rPr>
        <w:t>在满足眩光限制和配光要求的条件下，应选用效率高的灯具，</w:t>
      </w:r>
      <w:r>
        <w:rPr>
          <w:rFonts w:hint="eastAsia" w:ascii="宋体" w:hAnsi="宋体"/>
          <w:color w:val="auto"/>
          <w:sz w:val="24"/>
        </w:rPr>
        <w:t>以LED灯具为主，发光效率应不小于1</w:t>
      </w:r>
      <w:r>
        <w:rPr>
          <w:rFonts w:ascii="宋体" w:hAnsi="宋体"/>
          <w:color w:val="auto"/>
          <w:sz w:val="24"/>
        </w:rPr>
        <w:t>00</w:t>
      </w:r>
      <w:r>
        <w:rPr>
          <w:rFonts w:hint="eastAsia" w:ascii="宋体" w:hAnsi="宋体"/>
          <w:color w:val="auto"/>
          <w:sz w:val="24"/>
        </w:rPr>
        <w:t>L</w:t>
      </w:r>
      <w:r>
        <w:rPr>
          <w:rFonts w:ascii="宋体" w:hAnsi="宋体"/>
          <w:color w:val="auto"/>
          <w:sz w:val="24"/>
        </w:rPr>
        <w:t>m/W</w:t>
      </w:r>
      <w:r>
        <w:rPr>
          <w:rFonts w:hint="eastAsia" w:ascii="宋体" w:hAnsi="宋体"/>
          <w:color w:val="auto"/>
          <w:sz w:val="24"/>
        </w:rPr>
        <w:t>；</w:t>
      </w:r>
    </w:p>
    <w:p>
      <w:pPr>
        <w:spacing w:line="360" w:lineRule="auto"/>
        <w:ind w:left="-2" w:leftChars="0" w:firstLine="420" w:firstLineChars="0"/>
        <w:outlineLvl w:val="0"/>
        <w:rPr>
          <w:rFonts w:ascii="宋体" w:hAnsi="宋体"/>
          <w:color w:val="auto"/>
          <w:sz w:val="24"/>
        </w:rPr>
      </w:pPr>
      <w:bookmarkStart w:id="89" w:name="_Toc11214"/>
      <w:r>
        <w:rPr>
          <w:rFonts w:hint="eastAsia" w:ascii="宋体" w:hAnsi="宋体"/>
          <w:color w:val="auto"/>
          <w:sz w:val="24"/>
        </w:rPr>
        <w:t xml:space="preserve">2 </w:t>
      </w:r>
      <w:r>
        <w:rPr>
          <w:color w:val="auto"/>
        </w:rPr>
        <w:t xml:space="preserve"> </w:t>
      </w:r>
      <w:r>
        <w:rPr>
          <w:rFonts w:ascii="宋体" w:hAnsi="宋体"/>
          <w:color w:val="auto"/>
          <w:sz w:val="24"/>
        </w:rPr>
        <w:t>除有装饰需要外，应选用直射光通比例高、控光性能合理的高效灯具。</w:t>
      </w:r>
      <w:bookmarkEnd w:id="89"/>
    </w:p>
    <w:p>
      <w:pPr>
        <w:pStyle w:val="29"/>
        <w:numPr>
          <w:ilvl w:val="2"/>
          <w:numId w:val="0"/>
        </w:numPr>
        <w:spacing w:line="360" w:lineRule="auto"/>
        <w:ind w:left="-2" w:leftChars="0" w:firstLine="0" w:firstLineChars="0"/>
        <w:jc w:val="left"/>
        <w:outlineLvl w:val="1"/>
        <w:rPr>
          <w:rFonts w:ascii="宋体" w:hAnsi="宋体"/>
          <w:bCs/>
          <w:color w:val="auto"/>
          <w:sz w:val="24"/>
          <w:szCs w:val="24"/>
        </w:rPr>
      </w:pPr>
      <w:bookmarkStart w:id="90" w:name="_Toc19722"/>
      <w:r>
        <w:rPr>
          <w:rFonts w:hint="eastAsia" w:ascii="宋体" w:hAnsi="宋体"/>
          <w:b/>
          <w:bCs/>
          <w:color w:val="auto"/>
          <w:sz w:val="24"/>
          <w:szCs w:val="21"/>
        </w:rPr>
        <w:t>7.1.20</w:t>
      </w:r>
      <w:r>
        <w:rPr>
          <w:rFonts w:ascii="宋体" w:hAnsi="宋体"/>
          <w:bCs/>
          <w:color w:val="auto"/>
          <w:sz w:val="24"/>
          <w:szCs w:val="24"/>
        </w:rPr>
        <w:t>照明控制应符合下列规定：</w:t>
      </w:r>
      <w:bookmarkEnd w:id="90"/>
    </w:p>
    <w:p>
      <w:pPr>
        <w:numPr>
          <w:ilvl w:val="255"/>
          <w:numId w:val="0"/>
        </w:numPr>
        <w:spacing w:line="360" w:lineRule="auto"/>
        <w:ind w:left="-2" w:leftChars="0" w:firstLine="420" w:firstLineChars="0"/>
        <w:outlineLvl w:val="0"/>
        <w:rPr>
          <w:rFonts w:ascii="宋体" w:hAnsi="宋体"/>
          <w:color w:val="auto"/>
          <w:sz w:val="24"/>
        </w:rPr>
      </w:pPr>
      <w:bookmarkStart w:id="91" w:name="_Toc16367"/>
      <w:r>
        <w:rPr>
          <w:rFonts w:hint="eastAsia" w:ascii="宋体" w:hAnsi="宋体"/>
          <w:color w:val="auto"/>
          <w:sz w:val="24"/>
        </w:rPr>
        <w:t>1 建筑的走廊、楼梯间、门厅、电梯厅及停车库照明应能够根据照明需求进行节能控制</w:t>
      </w:r>
      <w:r>
        <w:rPr>
          <w:rFonts w:ascii="宋体" w:hAnsi="宋体"/>
          <w:color w:val="auto"/>
          <w:sz w:val="24"/>
        </w:rPr>
        <w:t>;</w:t>
      </w:r>
      <w:bookmarkEnd w:id="91"/>
    </w:p>
    <w:p>
      <w:pPr>
        <w:numPr>
          <w:ilvl w:val="255"/>
          <w:numId w:val="0"/>
        </w:numPr>
        <w:spacing w:line="360" w:lineRule="auto"/>
        <w:ind w:left="-2" w:leftChars="0" w:firstLine="420" w:firstLineChars="0"/>
        <w:outlineLvl w:val="0"/>
        <w:rPr>
          <w:rFonts w:ascii="宋体" w:hAnsi="宋体"/>
          <w:color w:val="auto"/>
          <w:sz w:val="24"/>
        </w:rPr>
      </w:pPr>
      <w:bookmarkStart w:id="92" w:name="_Toc26660"/>
      <w:r>
        <w:rPr>
          <w:rFonts w:hint="eastAsia" w:ascii="宋体" w:hAnsi="宋体"/>
          <w:color w:val="auto"/>
          <w:sz w:val="24"/>
        </w:rPr>
        <w:t>2 公用照明区域应采取分区、分组及调节照度的节能控制措施；</w:t>
      </w:r>
      <w:bookmarkEnd w:id="92"/>
    </w:p>
    <w:p>
      <w:pPr>
        <w:spacing w:line="360" w:lineRule="auto"/>
        <w:ind w:left="-2" w:leftChars="0" w:firstLine="420" w:firstLineChars="0"/>
        <w:outlineLvl w:val="0"/>
        <w:rPr>
          <w:rFonts w:ascii="宋体" w:hAnsi="宋体"/>
          <w:color w:val="auto"/>
          <w:sz w:val="24"/>
        </w:rPr>
      </w:pPr>
      <w:bookmarkStart w:id="93" w:name="_Toc7883"/>
      <w:r>
        <w:rPr>
          <w:rFonts w:hint="eastAsia" w:ascii="宋体" w:hAnsi="宋体"/>
          <w:color w:val="auto"/>
          <w:sz w:val="24"/>
        </w:rPr>
        <w:t xml:space="preserve">3 </w:t>
      </w:r>
      <w:r>
        <w:rPr>
          <w:rFonts w:ascii="宋体" w:hAnsi="宋体"/>
          <w:color w:val="auto"/>
          <w:sz w:val="24"/>
        </w:rPr>
        <w:t>大空间室内场所</w:t>
      </w:r>
      <w:r>
        <w:rPr>
          <w:rFonts w:hint="eastAsia" w:ascii="宋体" w:hAnsi="宋体"/>
          <w:color w:val="auto"/>
          <w:sz w:val="24"/>
        </w:rPr>
        <w:t>及公共区域</w:t>
      </w:r>
      <w:r>
        <w:rPr>
          <w:rFonts w:ascii="宋体" w:hAnsi="宋体"/>
          <w:color w:val="auto"/>
          <w:sz w:val="24"/>
        </w:rPr>
        <w:t>照明，宜采用智能照明控制系统；</w:t>
      </w:r>
      <w:bookmarkEnd w:id="93"/>
    </w:p>
    <w:p>
      <w:pPr>
        <w:spacing w:line="360" w:lineRule="auto"/>
        <w:ind w:left="-2" w:leftChars="0" w:firstLine="420" w:firstLineChars="0"/>
        <w:outlineLvl w:val="0"/>
        <w:rPr>
          <w:rFonts w:ascii="宋体" w:hAnsi="宋体"/>
          <w:color w:val="auto"/>
          <w:sz w:val="24"/>
        </w:rPr>
      </w:pPr>
      <w:bookmarkStart w:id="94" w:name="_Toc5943"/>
      <w:r>
        <w:rPr>
          <w:rFonts w:hint="eastAsia" w:ascii="宋体" w:hAnsi="宋体"/>
          <w:color w:val="auto"/>
          <w:sz w:val="24"/>
        </w:rPr>
        <w:t>4 地下车库及装修要求高的场所，宜采用物联网照明系统；</w:t>
      </w:r>
      <w:bookmarkEnd w:id="94"/>
    </w:p>
    <w:p>
      <w:pPr>
        <w:spacing w:line="360" w:lineRule="auto"/>
        <w:ind w:left="-2" w:leftChars="0" w:firstLine="420" w:firstLineChars="0"/>
        <w:outlineLvl w:val="0"/>
        <w:rPr>
          <w:rFonts w:ascii="宋体" w:hAnsi="宋体"/>
          <w:color w:val="auto"/>
          <w:sz w:val="24"/>
        </w:rPr>
      </w:pPr>
      <w:bookmarkStart w:id="95" w:name="_Toc6717"/>
      <w:r>
        <w:rPr>
          <w:rFonts w:hint="eastAsia" w:ascii="宋体" w:hAnsi="宋体"/>
          <w:color w:val="auto"/>
          <w:sz w:val="24"/>
        </w:rPr>
        <w:t xml:space="preserve">5 </w:t>
      </w:r>
      <w:r>
        <w:rPr>
          <w:rFonts w:ascii="宋体" w:hAnsi="宋体"/>
          <w:color w:val="auto"/>
          <w:sz w:val="24"/>
        </w:rPr>
        <w:t>设置电动遮阳的场所，宜设照度控制与其联动。</w:t>
      </w:r>
      <w:bookmarkEnd w:id="95"/>
    </w:p>
    <w:p>
      <w:pPr>
        <w:spacing w:line="360" w:lineRule="auto"/>
        <w:ind w:left="-2" w:leftChars="0" w:firstLine="420" w:firstLineChars="0"/>
        <w:outlineLvl w:val="0"/>
        <w:rPr>
          <w:rFonts w:ascii="宋体" w:hAnsi="宋体"/>
          <w:color w:val="auto"/>
          <w:sz w:val="24"/>
        </w:rPr>
      </w:pPr>
      <w:bookmarkStart w:id="96" w:name="_Toc18425"/>
      <w:r>
        <w:rPr>
          <w:rFonts w:hint="eastAsia" w:ascii="宋体" w:hAnsi="宋体"/>
          <w:color w:val="auto"/>
          <w:sz w:val="24"/>
        </w:rPr>
        <w:t xml:space="preserve">6 </w:t>
      </w:r>
      <w:r>
        <w:rPr>
          <w:rFonts w:ascii="宋体" w:hAnsi="宋体"/>
          <w:color w:val="auto"/>
          <w:sz w:val="24"/>
        </w:rPr>
        <w:t>在可利用自然光的场所，采用照度传感器的调光控制方式。</w:t>
      </w:r>
      <w:bookmarkEnd w:id="96"/>
    </w:p>
    <w:p>
      <w:pPr>
        <w:pStyle w:val="29"/>
        <w:numPr>
          <w:ilvl w:val="2"/>
          <w:numId w:val="0"/>
        </w:numPr>
        <w:spacing w:line="360" w:lineRule="auto"/>
        <w:ind w:left="-2" w:leftChars="0" w:firstLine="0" w:firstLineChars="0"/>
        <w:outlineLvl w:val="1"/>
        <w:rPr>
          <w:rFonts w:ascii="宋体" w:hAnsi="宋体"/>
          <w:bCs/>
          <w:color w:val="auto"/>
          <w:sz w:val="24"/>
          <w:szCs w:val="24"/>
        </w:rPr>
      </w:pPr>
      <w:bookmarkStart w:id="97" w:name="_Toc26441"/>
      <w:r>
        <w:rPr>
          <w:rFonts w:hint="eastAsia" w:ascii="宋体" w:hAnsi="宋体"/>
          <w:b/>
          <w:bCs/>
          <w:color w:val="auto"/>
          <w:sz w:val="24"/>
          <w:szCs w:val="21"/>
        </w:rPr>
        <w:t>7.1.21</w:t>
      </w:r>
      <w:r>
        <w:rPr>
          <w:rFonts w:hint="eastAsia" w:ascii="宋体" w:hAnsi="宋体"/>
          <w:bCs/>
          <w:color w:val="auto"/>
          <w:sz w:val="24"/>
          <w:szCs w:val="24"/>
        </w:rPr>
        <w:t>建筑物内插座建议考虑带开关或定时器等节能控制措施。</w:t>
      </w:r>
      <w:bookmarkEnd w:id="97"/>
    </w:p>
    <w:p>
      <w:pPr>
        <w:widowControl/>
        <w:spacing w:line="360" w:lineRule="auto"/>
        <w:ind w:left="-2" w:leftChars="0" w:firstLine="0" w:firstLineChars="0"/>
        <w:jc w:val="left"/>
        <w:rPr>
          <w:rFonts w:ascii="宋体" w:hAnsi="宋体"/>
          <w:bCs/>
          <w:color w:val="auto"/>
          <w:sz w:val="24"/>
          <w:szCs w:val="24"/>
        </w:rPr>
      </w:pPr>
      <w:r>
        <w:rPr>
          <w:rFonts w:hint="eastAsia" w:eastAsia="楷体"/>
          <w:b/>
          <w:color w:val="auto"/>
        </w:rPr>
        <w:t>【条文说明】</w:t>
      </w:r>
      <w:r>
        <w:rPr>
          <w:rFonts w:hint="eastAsia" w:ascii="楷体" w:hAnsi="楷体" w:eastAsia="楷体"/>
          <w:color w:val="auto"/>
        </w:rPr>
        <w:t>据调研，设备处于待机状态，里面的电缆也是要消耗电能的，比如显示器、手机充电器、空调、电视机等，设置开关或定时器能根据使用需求断开插座。</w:t>
      </w:r>
    </w:p>
    <w:p>
      <w:pPr>
        <w:pStyle w:val="29"/>
        <w:numPr>
          <w:ilvl w:val="2"/>
          <w:numId w:val="0"/>
        </w:numPr>
        <w:spacing w:line="360" w:lineRule="auto"/>
        <w:ind w:left="-2" w:leftChars="0" w:firstLine="0" w:firstLineChars="0"/>
        <w:outlineLvl w:val="2"/>
        <w:rPr>
          <w:rFonts w:ascii="宋体" w:hAnsi="宋体"/>
          <w:bCs/>
          <w:color w:val="auto"/>
          <w:sz w:val="24"/>
          <w:szCs w:val="24"/>
        </w:rPr>
      </w:pPr>
      <w:r>
        <w:rPr>
          <w:rFonts w:hint="eastAsia" w:ascii="宋体" w:hAnsi="宋体"/>
          <w:b/>
          <w:bCs/>
          <w:color w:val="auto"/>
          <w:sz w:val="24"/>
          <w:szCs w:val="21"/>
        </w:rPr>
        <w:t>7.1.22</w:t>
      </w:r>
      <w:r>
        <w:rPr>
          <w:rFonts w:hint="eastAsia" w:ascii="宋体" w:hAnsi="宋体"/>
          <w:bCs/>
          <w:color w:val="auto"/>
          <w:sz w:val="24"/>
          <w:szCs w:val="24"/>
        </w:rPr>
        <w:t>冷热源、输配系统、照明、电梯等各部分能耗应进行分项计量，当为多租户同时使用一套系统时，宜实现分户电量计量。</w:t>
      </w:r>
    </w:p>
    <w:p>
      <w:pPr>
        <w:pStyle w:val="29"/>
        <w:spacing w:line="360" w:lineRule="auto"/>
        <w:ind w:left="-2" w:leftChars="0" w:firstLine="0" w:firstLineChars="0"/>
        <w:jc w:val="center"/>
        <w:outlineLvl w:val="2"/>
        <w:rPr>
          <w:rFonts w:ascii="宋体" w:hAnsi="宋体"/>
          <w:bCs/>
          <w:color w:val="auto"/>
          <w:sz w:val="24"/>
          <w:szCs w:val="24"/>
        </w:rPr>
      </w:pPr>
      <w:r>
        <w:rPr>
          <w:rFonts w:hint="eastAsia" w:ascii="宋体" w:hAnsi="宋体"/>
          <w:bCs/>
          <w:color w:val="auto"/>
          <w:sz w:val="24"/>
          <w:szCs w:val="24"/>
        </w:rPr>
        <w:t xml:space="preserve">Ⅲ 其他 </w:t>
      </w:r>
    </w:p>
    <w:p>
      <w:pPr>
        <w:pStyle w:val="29"/>
        <w:numPr>
          <w:ilvl w:val="2"/>
          <w:numId w:val="0"/>
        </w:numPr>
        <w:spacing w:line="360" w:lineRule="auto"/>
        <w:ind w:left="-2" w:leftChars="0" w:firstLine="0" w:firstLineChars="0"/>
        <w:outlineLvl w:val="2"/>
        <w:rPr>
          <w:rFonts w:ascii="宋体" w:hAnsi="宋体"/>
          <w:bCs/>
          <w:color w:val="auto"/>
          <w:sz w:val="24"/>
          <w:szCs w:val="24"/>
        </w:rPr>
      </w:pPr>
      <w:r>
        <w:rPr>
          <w:rFonts w:hint="eastAsia" w:ascii="宋体" w:hAnsi="宋体"/>
          <w:b/>
          <w:bCs/>
          <w:color w:val="auto"/>
          <w:sz w:val="24"/>
          <w:szCs w:val="21"/>
        </w:rPr>
        <w:t>7.1.23</w:t>
      </w:r>
      <w:r>
        <w:rPr>
          <w:rFonts w:ascii="宋体" w:hAnsi="宋体"/>
          <w:bCs/>
          <w:color w:val="auto"/>
          <w:sz w:val="24"/>
          <w:szCs w:val="24"/>
        </w:rPr>
        <w:t>电梯能效等级宜满足现行国家标准《电梯自动扶梯和自动人行道的能量性能 第2部分 电梯的能量计算与分级》GB/T30559.2的1级能效要求，并采取群控</w:t>
      </w:r>
      <w:r>
        <w:rPr>
          <w:rFonts w:hint="eastAsia" w:ascii="宋体" w:hAnsi="宋体"/>
          <w:bCs/>
          <w:color w:val="auto"/>
          <w:sz w:val="24"/>
          <w:szCs w:val="24"/>
        </w:rPr>
        <w:t>或预选楼层</w:t>
      </w:r>
      <w:r>
        <w:rPr>
          <w:rFonts w:ascii="宋体" w:hAnsi="宋体"/>
          <w:bCs/>
          <w:color w:val="auto"/>
          <w:sz w:val="24"/>
          <w:szCs w:val="24"/>
        </w:rPr>
        <w:t>等节能控制方式。</w:t>
      </w:r>
    </w:p>
    <w:p>
      <w:pPr>
        <w:pStyle w:val="29"/>
        <w:numPr>
          <w:ilvl w:val="2"/>
          <w:numId w:val="0"/>
        </w:numPr>
        <w:spacing w:line="360" w:lineRule="auto"/>
        <w:ind w:left="-2" w:leftChars="0" w:firstLine="0" w:firstLineChars="0"/>
        <w:outlineLvl w:val="2"/>
        <w:rPr>
          <w:rFonts w:ascii="宋体" w:hAnsi="宋体"/>
          <w:bCs/>
          <w:color w:val="auto"/>
          <w:sz w:val="24"/>
          <w:szCs w:val="24"/>
        </w:rPr>
      </w:pPr>
      <w:r>
        <w:rPr>
          <w:rFonts w:hint="eastAsia" w:ascii="宋体" w:hAnsi="宋体"/>
          <w:b/>
          <w:bCs/>
          <w:color w:val="auto"/>
          <w:sz w:val="24"/>
          <w:szCs w:val="21"/>
        </w:rPr>
        <w:t>7.1.24</w:t>
      </w:r>
      <w:r>
        <w:rPr>
          <w:rFonts w:hint="eastAsia" w:ascii="宋体" w:hAnsi="宋体"/>
          <w:bCs/>
          <w:color w:val="auto"/>
          <w:sz w:val="24"/>
          <w:szCs w:val="24"/>
        </w:rPr>
        <w:t>合理计算并选用办公电梯梯速，超过</w:t>
      </w:r>
      <w:r>
        <w:rPr>
          <w:rFonts w:ascii="宋体" w:hAnsi="宋体"/>
          <w:bCs/>
          <w:color w:val="auto"/>
          <w:sz w:val="24"/>
          <w:szCs w:val="24"/>
        </w:rPr>
        <w:t>2.5m/s</w:t>
      </w:r>
      <w:r>
        <w:rPr>
          <w:rFonts w:hint="eastAsia" w:ascii="宋体" w:hAnsi="宋体"/>
          <w:bCs/>
          <w:color w:val="auto"/>
          <w:sz w:val="24"/>
          <w:szCs w:val="24"/>
        </w:rPr>
        <w:t>梯速的办公电梯宜选用电梯能量回馈装置；</w:t>
      </w:r>
      <w:r>
        <w:rPr>
          <w:rFonts w:ascii="宋体" w:hAnsi="宋体"/>
          <w:bCs/>
          <w:color w:val="auto"/>
          <w:sz w:val="24"/>
          <w:szCs w:val="24"/>
        </w:rPr>
        <w:t>电梯轿厢空调、照明启停和分组控制应可因应</w:t>
      </w:r>
      <w:r>
        <w:rPr>
          <w:rFonts w:hint="eastAsia" w:ascii="宋体" w:hAnsi="宋体"/>
          <w:bCs/>
          <w:color w:val="auto"/>
          <w:sz w:val="24"/>
          <w:szCs w:val="24"/>
        </w:rPr>
        <w:t>不同时段</w:t>
      </w:r>
      <w:r>
        <w:rPr>
          <w:rFonts w:ascii="宋体" w:hAnsi="宋体"/>
          <w:bCs/>
          <w:color w:val="auto"/>
          <w:sz w:val="24"/>
          <w:szCs w:val="24"/>
        </w:rPr>
        <w:t>需求实现灵活调整</w:t>
      </w:r>
      <w:r>
        <w:rPr>
          <w:rFonts w:hint="eastAsia" w:ascii="宋体" w:hAnsi="宋体"/>
          <w:bCs/>
          <w:color w:val="auto"/>
          <w:sz w:val="24"/>
          <w:szCs w:val="24"/>
        </w:rPr>
        <w:t>。</w:t>
      </w:r>
    </w:p>
    <w:p>
      <w:pPr>
        <w:pStyle w:val="29"/>
        <w:numPr>
          <w:ilvl w:val="2"/>
          <w:numId w:val="0"/>
        </w:numPr>
        <w:spacing w:line="360" w:lineRule="auto"/>
        <w:ind w:left="-2" w:leftChars="0" w:firstLine="0" w:firstLineChars="0"/>
        <w:outlineLvl w:val="1"/>
        <w:rPr>
          <w:rFonts w:ascii="宋体" w:hAnsi="宋体"/>
          <w:color w:val="auto"/>
          <w:sz w:val="24"/>
        </w:rPr>
      </w:pPr>
      <w:bookmarkStart w:id="98" w:name="_Toc26877"/>
      <w:r>
        <w:rPr>
          <w:rFonts w:hint="eastAsia" w:ascii="宋体" w:hAnsi="宋体"/>
          <w:b/>
          <w:bCs/>
          <w:color w:val="auto"/>
          <w:sz w:val="24"/>
        </w:rPr>
        <w:t>7.1.25</w:t>
      </w:r>
      <w:r>
        <w:rPr>
          <w:rFonts w:hint="eastAsia" w:ascii="宋体" w:hAnsi="宋体"/>
          <w:color w:val="auto"/>
          <w:sz w:val="24"/>
        </w:rPr>
        <w:t>办公建筑宜采用水箱重力供水系统或水箱重力供水结合变频供水系统。</w:t>
      </w:r>
      <w:bookmarkEnd w:id="98"/>
    </w:p>
    <w:p>
      <w:pPr>
        <w:pStyle w:val="29"/>
        <w:numPr>
          <w:ilvl w:val="2"/>
          <w:numId w:val="0"/>
        </w:numPr>
        <w:spacing w:line="360" w:lineRule="auto"/>
        <w:ind w:left="-2" w:leftChars="0" w:firstLine="0" w:firstLineChars="0"/>
        <w:outlineLvl w:val="2"/>
        <w:rPr>
          <w:rFonts w:ascii="宋体" w:hAnsi="宋体"/>
          <w:color w:val="auto"/>
          <w:sz w:val="24"/>
        </w:rPr>
      </w:pPr>
      <w:r>
        <w:rPr>
          <w:rFonts w:hint="eastAsia" w:ascii="宋体" w:hAnsi="宋体"/>
          <w:b/>
          <w:bCs/>
          <w:color w:val="auto"/>
          <w:sz w:val="24"/>
        </w:rPr>
        <w:t>7.1.26</w:t>
      </w:r>
      <w:r>
        <w:rPr>
          <w:rFonts w:hint="eastAsia" w:ascii="宋体" w:hAnsi="宋体"/>
          <w:color w:val="auto"/>
          <w:sz w:val="24"/>
        </w:rPr>
        <w:t>给水泵设计选型时其效率不应低于现行国家标准《清水离心泵能效限定值及节能评价值》G</w:t>
      </w:r>
      <w:r>
        <w:rPr>
          <w:rFonts w:ascii="宋体" w:hAnsi="宋体"/>
          <w:color w:val="auto"/>
          <w:sz w:val="24"/>
        </w:rPr>
        <w:t>B19762</w:t>
      </w:r>
      <w:r>
        <w:rPr>
          <w:rFonts w:hint="eastAsia" w:ascii="宋体" w:hAnsi="宋体"/>
          <w:color w:val="auto"/>
          <w:sz w:val="24"/>
        </w:rPr>
        <w:t>规定的节能评价值。</w:t>
      </w:r>
    </w:p>
    <w:p>
      <w:pPr>
        <w:widowControl/>
        <w:spacing w:line="360" w:lineRule="auto"/>
        <w:jc w:val="left"/>
        <w:outlineLvl w:val="2"/>
        <w:rPr>
          <w:rFonts w:ascii="楷体" w:hAnsi="楷体" w:eastAsia="楷体"/>
          <w:color w:val="auto"/>
        </w:rPr>
      </w:pPr>
      <w:r>
        <w:rPr>
          <w:rFonts w:hint="eastAsia" w:eastAsia="楷体"/>
          <w:b/>
          <w:color w:val="auto"/>
        </w:rPr>
        <w:t>【条文说明】</w:t>
      </w:r>
      <w:r>
        <w:rPr>
          <w:rFonts w:hint="eastAsia" w:ascii="楷体" w:hAnsi="楷体" w:eastAsia="楷体"/>
          <w:color w:val="auto"/>
        </w:rPr>
        <w:t>给水排水系统的给水泵是给水排水系统的重要用能设备，应该通过计算确定水泵的流量和扬程，合理选择通过节能认证的水泵产品，减少能耗。按现行国家标准《清水离心泵能效限定值及节能评价值》GB 19762的有关规定，查图、表，计算泵规定点效率值、泵能效限定值和节能评价值。</w:t>
      </w:r>
    </w:p>
    <w:p>
      <w:pPr>
        <w:pStyle w:val="29"/>
        <w:numPr>
          <w:ilvl w:val="2"/>
          <w:numId w:val="0"/>
        </w:numPr>
        <w:spacing w:line="360" w:lineRule="auto"/>
        <w:ind w:left="-2" w:leftChars="0" w:firstLine="0" w:firstLineChars="0"/>
        <w:outlineLvl w:val="2"/>
        <w:rPr>
          <w:rFonts w:ascii="宋体" w:hAnsi="宋体"/>
          <w:color w:val="auto"/>
          <w:sz w:val="24"/>
        </w:rPr>
      </w:pPr>
      <w:r>
        <w:rPr>
          <w:rFonts w:hint="eastAsia" w:ascii="宋体" w:hAnsi="宋体"/>
          <w:b/>
          <w:bCs/>
          <w:color w:val="auto"/>
          <w:sz w:val="24"/>
        </w:rPr>
        <w:t>7.1.27</w:t>
      </w:r>
      <w:r>
        <w:rPr>
          <w:rFonts w:hint="eastAsia" w:ascii="宋体" w:hAnsi="宋体"/>
          <w:color w:val="auto"/>
          <w:sz w:val="24"/>
        </w:rPr>
        <w:t>办公建筑宜设置雨水收集回用系统，办公雨水收集回用系统应优先收集屋面雨水，不宜收集机动车道路等污染严重区域的雨水。</w:t>
      </w:r>
    </w:p>
    <w:p>
      <w:pPr>
        <w:widowControl/>
        <w:spacing w:line="360" w:lineRule="auto"/>
        <w:jc w:val="left"/>
        <w:outlineLvl w:val="2"/>
        <w:rPr>
          <w:rFonts w:ascii="宋体" w:hAnsi="宋体"/>
          <w:bCs/>
          <w:color w:val="auto"/>
          <w:sz w:val="24"/>
          <w:szCs w:val="24"/>
        </w:rPr>
      </w:pPr>
      <w:r>
        <w:rPr>
          <w:rFonts w:hint="eastAsia" w:eastAsia="楷体"/>
          <w:b/>
          <w:color w:val="auto"/>
        </w:rPr>
        <w:t>【条文说明】</w:t>
      </w:r>
      <w:r>
        <w:rPr>
          <w:rFonts w:hint="eastAsia" w:ascii="楷体" w:hAnsi="楷体" w:eastAsia="楷体"/>
          <w:color w:val="auto"/>
        </w:rPr>
        <w:t>屋面雨水水质污染较少，并且集水效率高，是雨水收集的首选。广场、路面特别是机动车道雨水相对较脏，不宜收集。绿地上的雨水收集效率非常低，不经济。</w:t>
      </w:r>
    </w:p>
    <w:p>
      <w:pPr>
        <w:pStyle w:val="29"/>
        <w:numPr>
          <w:ilvl w:val="1"/>
          <w:numId w:val="2"/>
        </w:numPr>
        <w:spacing w:after="240" w:line="360" w:lineRule="auto"/>
        <w:ind w:firstLineChars="0"/>
        <w:jc w:val="center"/>
        <w:outlineLvl w:val="0"/>
        <w:rPr>
          <w:rFonts w:ascii="黑体" w:hAnsi="黑体" w:eastAsia="黑体"/>
          <w:bCs/>
          <w:color w:val="auto"/>
          <w:sz w:val="24"/>
          <w:szCs w:val="24"/>
        </w:rPr>
      </w:pPr>
      <w:bookmarkStart w:id="99" w:name="_Toc31082"/>
      <w:r>
        <w:rPr>
          <w:rFonts w:hint="eastAsia" w:ascii="黑体" w:hAnsi="黑体" w:eastAsia="黑体"/>
          <w:bCs/>
          <w:color w:val="auto"/>
          <w:sz w:val="24"/>
          <w:szCs w:val="24"/>
        </w:rPr>
        <w:t>建筑光伏一体化系统</w:t>
      </w:r>
      <w:bookmarkEnd w:id="99"/>
    </w:p>
    <w:p>
      <w:pPr>
        <w:pStyle w:val="29"/>
        <w:spacing w:line="360" w:lineRule="auto"/>
        <w:ind w:firstLine="0" w:firstLineChars="0"/>
        <w:outlineLvl w:val="1"/>
        <w:rPr>
          <w:rFonts w:ascii="宋体" w:hAnsi="宋体"/>
          <w:color w:val="auto"/>
          <w:sz w:val="24"/>
        </w:rPr>
      </w:pPr>
      <w:bookmarkStart w:id="100" w:name="_Toc10809"/>
      <w:r>
        <w:rPr>
          <w:rFonts w:hint="eastAsia" w:ascii="宋体" w:hAnsi="宋体"/>
          <w:b/>
          <w:bCs/>
          <w:color w:val="auto"/>
          <w:sz w:val="24"/>
        </w:rPr>
        <w:t>7.2.1</w:t>
      </w:r>
      <w:r>
        <w:rPr>
          <w:rFonts w:hint="eastAsia" w:ascii="宋体" w:hAnsi="宋体"/>
          <w:color w:val="auto"/>
          <w:sz w:val="24"/>
        </w:rPr>
        <w:t>办公建筑应设置太阳能光伏系统。</w:t>
      </w:r>
      <w:bookmarkEnd w:id="100"/>
    </w:p>
    <w:p>
      <w:pPr>
        <w:pStyle w:val="29"/>
        <w:spacing w:line="360" w:lineRule="auto"/>
        <w:ind w:firstLine="0" w:firstLineChars="0"/>
        <w:outlineLvl w:val="1"/>
        <w:rPr>
          <w:rFonts w:ascii="黑体" w:hAnsi="黑体" w:eastAsia="黑体"/>
          <w:color w:val="auto"/>
        </w:rPr>
      </w:pPr>
      <w:bookmarkStart w:id="101" w:name="_Toc18811"/>
      <w:r>
        <w:rPr>
          <w:rFonts w:hint="eastAsia" w:ascii="宋体" w:hAnsi="宋体"/>
          <w:b/>
          <w:bCs/>
          <w:color w:val="auto"/>
          <w:sz w:val="24"/>
        </w:rPr>
        <w:t>7.2.2</w:t>
      </w:r>
      <w:r>
        <w:rPr>
          <w:rFonts w:hint="eastAsia" w:ascii="宋体" w:hAnsi="宋体"/>
          <w:color w:val="auto"/>
          <w:sz w:val="24"/>
        </w:rPr>
        <w:t>建筑光伏系统</w:t>
      </w:r>
      <w:r>
        <w:rPr>
          <w:rFonts w:ascii="宋体" w:hAnsi="宋体"/>
          <w:color w:val="auto"/>
          <w:sz w:val="24"/>
        </w:rPr>
        <w:t>宜与分布式储能系统、建筑柔性用电负荷一体化集成设计。</w:t>
      </w:r>
      <w:bookmarkEnd w:id="101"/>
    </w:p>
    <w:p>
      <w:pPr>
        <w:spacing w:line="360" w:lineRule="auto"/>
        <w:outlineLvl w:val="2"/>
        <w:rPr>
          <w:rFonts w:ascii="宋体" w:hAnsi="宋体"/>
          <w:bCs/>
          <w:color w:val="auto"/>
          <w:sz w:val="24"/>
        </w:rPr>
      </w:pPr>
      <w:r>
        <w:rPr>
          <w:rFonts w:hint="eastAsia" w:ascii="宋体" w:hAnsi="宋体"/>
          <w:b/>
          <w:bCs/>
          <w:color w:val="auto"/>
          <w:sz w:val="24"/>
        </w:rPr>
        <w:t xml:space="preserve">7.2.3 </w:t>
      </w:r>
      <w:r>
        <w:rPr>
          <w:rFonts w:hint="eastAsia" w:ascii="宋体" w:hAnsi="宋体"/>
          <w:bCs/>
          <w:color w:val="auto"/>
          <w:sz w:val="24"/>
        </w:rPr>
        <w:t>建筑光伏系统类型、安装位置、安装方式和外观颜色的选择应结合建筑功能、建筑外观以及周围环境条件进行，并应使之成为建筑的有机组成部分。</w:t>
      </w:r>
    </w:p>
    <w:p>
      <w:pPr>
        <w:spacing w:line="360" w:lineRule="auto"/>
        <w:outlineLvl w:val="2"/>
        <w:rPr>
          <w:rFonts w:ascii="楷体" w:hAnsi="楷体" w:eastAsia="楷体"/>
          <w:color w:val="auto"/>
        </w:rPr>
      </w:pPr>
      <w:r>
        <w:rPr>
          <w:rFonts w:hint="eastAsia" w:eastAsia="楷体"/>
          <w:b/>
          <w:color w:val="auto"/>
        </w:rPr>
        <w:t>【条文说明】</w:t>
      </w:r>
      <w:r>
        <w:rPr>
          <w:rFonts w:hint="eastAsia" w:ascii="楷体" w:hAnsi="楷体" w:eastAsia="楷体"/>
          <w:color w:val="auto"/>
        </w:rPr>
        <w:t>光伏建筑一体化，是一种将太阳能发电（光伏）产品集成到建筑上的技术。随着建筑行业的发展，办公建筑的高度越来越高，屋面能敷设光伏板的区域越来越小，逐步开始往与建筑维护结构相结合的方式发展。根据</w:t>
      </w:r>
      <w:r>
        <w:rPr>
          <w:rFonts w:hint="eastAsia"/>
        </w:rPr>
        <w:fldChar w:fldCharType="begin"/>
      </w:r>
      <w:r>
        <w:rPr>
          <w:color w:val="auto"/>
        </w:rPr>
        <w:instrText xml:space="preserve"> HYPERLINK "https://baike.baidu.com/item/%E5%85%89%E4%BC%8F%E6%96%B9%E9%98%B5?fromModule=lemma_inlink" \t "_blank" </w:instrText>
      </w:r>
      <w:r>
        <w:rPr>
          <w:rFonts w:hint="eastAsia"/>
        </w:rPr>
        <w:fldChar w:fldCharType="separate"/>
      </w:r>
      <w:r>
        <w:rPr>
          <w:rStyle w:val="25"/>
          <w:rFonts w:hint="eastAsia" w:ascii="楷体" w:hAnsi="楷体" w:eastAsia="楷体"/>
          <w:color w:val="auto"/>
        </w:rPr>
        <w:t>光伏方阵</w:t>
      </w:r>
      <w:r>
        <w:rPr>
          <w:rStyle w:val="25"/>
          <w:rFonts w:hint="eastAsia" w:ascii="楷体" w:hAnsi="楷体" w:eastAsia="楷体"/>
          <w:color w:val="auto"/>
        </w:rPr>
        <w:fldChar w:fldCharType="end"/>
      </w:r>
      <w:r>
        <w:rPr>
          <w:rFonts w:hint="eastAsia" w:ascii="楷体" w:hAnsi="楷体" w:eastAsia="楷体"/>
          <w:color w:val="auto"/>
        </w:rPr>
        <w:t>与建筑结合的方式不同，光伏建筑一体化可分为两大类：一类是光伏方阵与建筑的结合。另一类是光伏方阵与建筑的集成。如光电瓦屋顶、</w:t>
      </w:r>
      <w:r>
        <w:fldChar w:fldCharType="begin"/>
      </w:r>
      <w:r>
        <w:instrText xml:space="preserve"> HYPERLINK "https://baike.baidu.com/item/%E5%85%89%E7%94%B5%E5%B9%95%E5%A2%99?fromModule=lemma_inlink" \t "_blank" </w:instrText>
      </w:r>
      <w:r>
        <w:fldChar w:fldCharType="separate"/>
      </w:r>
      <w:r>
        <w:rPr>
          <w:rStyle w:val="25"/>
          <w:rFonts w:hint="eastAsia" w:ascii="楷体" w:hAnsi="楷体" w:eastAsia="楷体"/>
          <w:color w:val="auto"/>
        </w:rPr>
        <w:t>光电幕墙</w:t>
      </w:r>
      <w:r>
        <w:rPr>
          <w:rStyle w:val="25"/>
          <w:rFonts w:hint="eastAsia" w:ascii="楷体" w:hAnsi="楷体" w:eastAsia="楷体"/>
          <w:color w:val="auto"/>
        </w:rPr>
        <w:fldChar w:fldCharType="end"/>
      </w:r>
      <w:r>
        <w:rPr>
          <w:rFonts w:hint="eastAsia" w:ascii="楷体" w:hAnsi="楷体" w:eastAsia="楷体"/>
          <w:color w:val="auto"/>
        </w:rPr>
        <w:t>和光电采光顶等。在这两种方式中，光伏方阵与建筑的结合是一种常用的形式，特别是与建筑屋面的结合。由于光伏方阵与建筑的结合不占用额外的地面空间，是光伏发电系统在城市中广泛应用的最佳安装方式，因而倍受关注。光伏方阵与建筑的集成是BIPV的一种高级形式，它对光伏组件的要求较高。光伏组件不仅要满足光伏发电的功能要求同时还要兼顾建筑的基本功能要求。</w:t>
      </w:r>
    </w:p>
    <w:p>
      <w:pPr>
        <w:tabs>
          <w:tab w:val="left" w:pos="0"/>
        </w:tabs>
        <w:spacing w:line="360" w:lineRule="auto"/>
        <w:rPr>
          <w:rFonts w:ascii="宋体" w:hAnsi="宋体"/>
          <w:color w:val="auto"/>
          <w:sz w:val="24"/>
        </w:rPr>
      </w:pPr>
      <w:r>
        <w:rPr>
          <w:rFonts w:hint="eastAsia" w:ascii="宋体" w:hAnsi="宋体"/>
          <w:b/>
          <w:bCs/>
          <w:color w:val="auto"/>
          <w:sz w:val="24"/>
        </w:rPr>
        <w:t xml:space="preserve">7.2.4 </w:t>
      </w:r>
      <w:r>
        <w:rPr>
          <w:rFonts w:ascii="宋体" w:hAnsi="宋体"/>
          <w:color w:val="auto"/>
          <w:sz w:val="24"/>
        </w:rPr>
        <w:t>太阳能光伏发电系统安装在建筑屋顶时，系统设计应综合考虑建筑设计、光伏材料、安装倾角、组件的反射率及安装区域的太阳辐射和建筑用能负荷特性等要素。</w:t>
      </w:r>
    </w:p>
    <w:p>
      <w:pPr>
        <w:tabs>
          <w:tab w:val="left" w:pos="0"/>
        </w:tabs>
        <w:spacing w:line="360" w:lineRule="auto"/>
        <w:rPr>
          <w:rFonts w:ascii="宋体" w:hAnsi="宋体"/>
          <w:bCs/>
          <w:color w:val="auto"/>
          <w:sz w:val="24"/>
        </w:rPr>
      </w:pPr>
      <w:r>
        <w:rPr>
          <w:rFonts w:hint="eastAsia" w:ascii="宋体" w:hAnsi="宋体"/>
          <w:b/>
          <w:bCs/>
          <w:color w:val="auto"/>
          <w:sz w:val="24"/>
        </w:rPr>
        <w:t>7.2.5</w:t>
      </w:r>
      <w:r>
        <w:rPr>
          <w:rFonts w:ascii="宋体" w:hAnsi="宋体"/>
          <w:color w:val="auto"/>
          <w:sz w:val="24"/>
        </w:rPr>
        <w:t>太阳能光伏发电系统安装在建筑立面时，应考虑光伏组件与建筑围护结构的融合度和美观性进行一体化设计，并综合考虑光伏组件的发电量、吸收率、发射率、透射率和周围建筑遮挡等因素</w:t>
      </w:r>
      <w:r>
        <w:rPr>
          <w:rFonts w:hint="eastAsia" w:ascii="宋体" w:hAnsi="宋体"/>
          <w:color w:val="auto"/>
          <w:sz w:val="24"/>
        </w:rPr>
        <w:t>。</w:t>
      </w:r>
      <w:r>
        <w:rPr>
          <w:rFonts w:ascii="宋体" w:hAnsi="宋体"/>
          <w:color w:val="auto"/>
          <w:sz w:val="24"/>
        </w:rPr>
        <w:t xml:space="preserve"> </w:t>
      </w:r>
    </w:p>
    <w:p>
      <w:pPr>
        <w:spacing w:line="360" w:lineRule="auto"/>
        <w:outlineLvl w:val="1"/>
        <w:rPr>
          <w:rFonts w:ascii="宋体" w:hAnsi="宋体"/>
          <w:b/>
          <w:bCs/>
          <w:color w:val="auto"/>
          <w:sz w:val="24"/>
        </w:rPr>
      </w:pPr>
      <w:bookmarkStart w:id="102" w:name="_Toc3795"/>
      <w:r>
        <w:rPr>
          <w:rFonts w:hint="eastAsia" w:ascii="宋体" w:hAnsi="宋体"/>
          <w:b/>
          <w:bCs/>
          <w:color w:val="auto"/>
          <w:sz w:val="24"/>
        </w:rPr>
        <w:t>7.2.6</w:t>
      </w:r>
      <w:r>
        <w:rPr>
          <w:rFonts w:hint="eastAsia" w:ascii="宋体" w:hAnsi="宋体"/>
          <w:b/>
          <w:bCs/>
          <w:color w:val="auto"/>
          <w:sz w:val="24"/>
        </w:rPr>
        <w:t xml:space="preserve"> </w:t>
      </w:r>
      <w:r>
        <w:rPr>
          <w:rFonts w:ascii="宋体" w:hAnsi="宋体"/>
          <w:bCs/>
          <w:color w:val="auto"/>
          <w:sz w:val="24"/>
        </w:rPr>
        <w:t>光伏系统的设计使用应满足安全性和耐久性要求</w:t>
      </w:r>
      <w:r>
        <w:rPr>
          <w:rFonts w:hint="eastAsia" w:ascii="宋体" w:hAnsi="宋体"/>
          <w:bCs/>
          <w:color w:val="auto"/>
          <w:sz w:val="24"/>
        </w:rPr>
        <w:t>，应</w:t>
      </w:r>
      <w:r>
        <w:rPr>
          <w:rFonts w:ascii="宋体" w:hAnsi="宋体"/>
          <w:bCs/>
          <w:color w:val="auto"/>
          <w:sz w:val="24"/>
        </w:rPr>
        <w:t>满足下列规定</w:t>
      </w:r>
      <w:r>
        <w:rPr>
          <w:rFonts w:hint="eastAsia" w:ascii="宋体" w:hAnsi="宋体"/>
          <w:bCs/>
          <w:color w:val="auto"/>
          <w:sz w:val="24"/>
        </w:rPr>
        <w:t>：</w:t>
      </w:r>
      <w:bookmarkEnd w:id="102"/>
    </w:p>
    <w:p>
      <w:pPr>
        <w:spacing w:line="360" w:lineRule="auto"/>
        <w:ind w:firstLine="480" w:firstLineChars="200"/>
        <w:outlineLvl w:val="0"/>
        <w:rPr>
          <w:color w:val="auto"/>
          <w:sz w:val="24"/>
          <w:szCs w:val="24"/>
        </w:rPr>
      </w:pPr>
      <w:bookmarkStart w:id="103" w:name="_Toc27872"/>
      <w:r>
        <w:rPr>
          <w:rFonts w:ascii="宋体" w:hAnsi="宋体"/>
          <w:bCs/>
          <w:color w:val="auto"/>
          <w:sz w:val="24"/>
        </w:rPr>
        <w:t>1</w:t>
      </w:r>
      <w:r>
        <w:rPr>
          <w:rFonts w:hint="eastAsia" w:ascii="宋体" w:hAnsi="宋体"/>
          <w:bCs/>
          <w:color w:val="auto"/>
          <w:sz w:val="24"/>
        </w:rPr>
        <w:t>晶体硅电池光伏的构造及安装应符合通风降温要求，光伏电池温度不应高于85℃</w:t>
      </w:r>
      <w:r>
        <w:rPr>
          <w:rFonts w:hint="eastAsia"/>
          <w:color w:val="auto"/>
          <w:sz w:val="24"/>
          <w:szCs w:val="24"/>
        </w:rPr>
        <w:t>；</w:t>
      </w:r>
      <w:bookmarkEnd w:id="103"/>
    </w:p>
    <w:p>
      <w:pPr>
        <w:spacing w:line="360" w:lineRule="auto"/>
        <w:ind w:firstLine="480" w:firstLineChars="200"/>
        <w:outlineLvl w:val="2"/>
        <w:rPr>
          <w:color w:val="auto"/>
          <w:sz w:val="24"/>
          <w:szCs w:val="24"/>
        </w:rPr>
      </w:pPr>
      <w:r>
        <w:rPr>
          <w:color w:val="auto"/>
          <w:sz w:val="24"/>
          <w:szCs w:val="24"/>
        </w:rPr>
        <w:t>2</w:t>
      </w:r>
      <w:r>
        <w:rPr>
          <w:rFonts w:hint="eastAsia"/>
          <w:color w:val="auto"/>
          <w:sz w:val="24"/>
          <w:szCs w:val="24"/>
        </w:rPr>
        <w:t>光伏系统中的光伏组件设计使用寿命应高于25年，系统中多晶硅、单晶硅、薄膜电池组件自系统运行之日起，一年内的衰减率应分别低于2.5%、3%、5%，之后每年衰减应低于0.7%。</w:t>
      </w:r>
    </w:p>
    <w:p>
      <w:pPr>
        <w:spacing w:line="360" w:lineRule="auto"/>
        <w:outlineLvl w:val="2"/>
        <w:rPr>
          <w:color w:val="auto"/>
          <w:sz w:val="24"/>
          <w:szCs w:val="24"/>
        </w:rPr>
      </w:pPr>
      <w:r>
        <w:rPr>
          <w:rFonts w:hint="eastAsia" w:eastAsia="楷体"/>
          <w:b/>
          <w:color w:val="auto"/>
        </w:rPr>
        <w:t>【条文说明】：</w:t>
      </w:r>
      <w:r>
        <w:rPr>
          <w:rFonts w:hint="eastAsia" w:ascii="楷体" w:hAnsi="楷体" w:eastAsia="楷体"/>
          <w:color w:val="auto"/>
        </w:rPr>
        <w:t>太阳能光伏的科技发展较为迅速，本条仅为一般性要求，具体措施要求宜以厂家产品说明为准。</w:t>
      </w:r>
    </w:p>
    <w:p>
      <w:pPr>
        <w:spacing w:line="360" w:lineRule="auto"/>
        <w:outlineLvl w:val="1"/>
        <w:rPr>
          <w:rFonts w:ascii="宋体" w:hAnsi="宋体"/>
          <w:bCs/>
          <w:color w:val="auto"/>
          <w:sz w:val="24"/>
        </w:rPr>
      </w:pPr>
      <w:bookmarkStart w:id="104" w:name="_Toc16944"/>
      <w:r>
        <w:rPr>
          <w:rFonts w:hint="eastAsia" w:ascii="宋体" w:hAnsi="宋体"/>
          <w:b/>
          <w:bCs/>
          <w:color w:val="auto"/>
          <w:sz w:val="24"/>
        </w:rPr>
        <w:t>7.2.7</w:t>
      </w:r>
      <w:r>
        <w:rPr>
          <w:rFonts w:hint="eastAsia" w:ascii="宋体" w:hAnsi="宋体"/>
          <w:b/>
          <w:bCs/>
          <w:color w:val="auto"/>
          <w:sz w:val="24"/>
        </w:rPr>
        <w:t xml:space="preserve"> </w:t>
      </w:r>
      <w:r>
        <w:rPr>
          <w:rFonts w:hint="eastAsia" w:ascii="宋体" w:hAnsi="宋体"/>
          <w:bCs/>
          <w:color w:val="auto"/>
          <w:sz w:val="24"/>
        </w:rPr>
        <w:t>在既有办公建筑在改造中，宜加装太阳能光伏系统，主要做法为：</w:t>
      </w:r>
      <w:bookmarkEnd w:id="104"/>
    </w:p>
    <w:p>
      <w:pPr>
        <w:spacing w:line="360" w:lineRule="auto"/>
        <w:ind w:firstLine="480" w:firstLineChars="200"/>
        <w:outlineLvl w:val="0"/>
        <w:rPr>
          <w:rFonts w:ascii="宋体" w:hAnsi="宋体"/>
          <w:bCs/>
          <w:color w:val="auto"/>
          <w:sz w:val="24"/>
        </w:rPr>
      </w:pPr>
      <w:bookmarkStart w:id="105" w:name="_Toc18119"/>
      <w:r>
        <w:rPr>
          <w:rFonts w:hint="eastAsia" w:ascii="宋体" w:hAnsi="宋体"/>
          <w:bCs/>
          <w:color w:val="auto"/>
          <w:sz w:val="24"/>
        </w:rPr>
        <w:t>1在加装光伏系统前</w:t>
      </w:r>
      <w:r>
        <w:rPr>
          <w:rFonts w:ascii="宋体" w:hAnsi="宋体"/>
          <w:bCs/>
          <w:color w:val="auto"/>
          <w:sz w:val="24"/>
        </w:rPr>
        <w:t>必须进行建筑结构安全、建筑电气安全的复核</w:t>
      </w:r>
      <w:r>
        <w:rPr>
          <w:rFonts w:hint="eastAsia" w:ascii="宋体" w:hAnsi="宋体"/>
          <w:bCs/>
          <w:color w:val="auto"/>
          <w:sz w:val="24"/>
        </w:rPr>
        <w:t>；</w:t>
      </w:r>
      <w:bookmarkEnd w:id="105"/>
    </w:p>
    <w:p>
      <w:pPr>
        <w:spacing w:line="360" w:lineRule="auto"/>
        <w:ind w:firstLine="480" w:firstLineChars="200"/>
        <w:outlineLvl w:val="2"/>
        <w:rPr>
          <w:rFonts w:ascii="宋体" w:hAnsi="宋体"/>
          <w:bCs/>
          <w:color w:val="auto"/>
          <w:sz w:val="24"/>
        </w:rPr>
      </w:pPr>
      <w:r>
        <w:rPr>
          <w:rFonts w:ascii="宋体" w:hAnsi="宋体"/>
          <w:bCs/>
          <w:color w:val="auto"/>
          <w:sz w:val="24"/>
        </w:rPr>
        <w:t>2加装的光伏组件应满足所在建筑部位的防火、防雷、防静电等相关功能要求和建筑节能要求。</w:t>
      </w:r>
    </w:p>
    <w:p>
      <w:pPr>
        <w:spacing w:line="360" w:lineRule="auto"/>
        <w:outlineLvl w:val="2"/>
        <w:rPr>
          <w:rFonts w:ascii="宋体" w:hAnsi="宋体"/>
          <w:color w:val="auto"/>
          <w:sz w:val="24"/>
        </w:rPr>
      </w:pPr>
      <w:r>
        <w:rPr>
          <w:rFonts w:hint="eastAsia" w:ascii="宋体" w:hAnsi="宋体"/>
          <w:b/>
          <w:bCs/>
          <w:color w:val="auto"/>
          <w:sz w:val="24"/>
        </w:rPr>
        <w:t>7.2.8</w:t>
      </w:r>
      <w:r>
        <w:rPr>
          <w:rFonts w:ascii="宋体" w:hAnsi="宋体"/>
          <w:color w:val="auto"/>
          <w:sz w:val="24"/>
        </w:rPr>
        <w:t xml:space="preserve"> </w:t>
      </w:r>
      <w:r>
        <w:rPr>
          <w:rFonts w:hint="eastAsia" w:ascii="宋体" w:hAnsi="宋体"/>
          <w:color w:val="auto"/>
          <w:sz w:val="24"/>
        </w:rPr>
        <w:t>宜采用</w:t>
      </w:r>
      <w:r>
        <w:rPr>
          <w:rFonts w:ascii="宋体" w:hAnsi="宋体"/>
          <w:color w:val="auto"/>
          <w:sz w:val="24"/>
        </w:rPr>
        <w:t>光储直柔（PEDF）</w:t>
      </w:r>
      <w:r>
        <w:rPr>
          <w:rFonts w:hint="eastAsia" w:ascii="宋体" w:hAnsi="宋体"/>
          <w:color w:val="auto"/>
          <w:sz w:val="24"/>
        </w:rPr>
        <w:t>技术</w:t>
      </w:r>
      <w:r>
        <w:rPr>
          <w:rFonts w:ascii="宋体" w:hAnsi="宋体"/>
          <w:color w:val="auto"/>
          <w:sz w:val="24"/>
        </w:rPr>
        <w:t>，建设集光伏发电、储能、直流配电、柔性用电于一体的“光储直柔”建筑</w:t>
      </w:r>
      <w:r>
        <w:rPr>
          <w:rFonts w:hint="eastAsia" w:ascii="宋体" w:hAnsi="宋体"/>
          <w:color w:val="auto"/>
          <w:sz w:val="24"/>
        </w:rPr>
        <w:t>，且宜具备</w:t>
      </w:r>
      <w:r>
        <w:rPr>
          <w:rFonts w:ascii="宋体" w:hAnsi="宋体"/>
          <w:color w:val="auto"/>
          <w:sz w:val="24"/>
        </w:rPr>
        <w:t>与电网友好互动的接口</w:t>
      </w:r>
      <w:r>
        <w:rPr>
          <w:rFonts w:hint="eastAsia" w:ascii="宋体" w:hAnsi="宋体"/>
          <w:color w:val="auto"/>
          <w:sz w:val="24"/>
        </w:rPr>
        <w:t>。</w:t>
      </w:r>
    </w:p>
    <w:p>
      <w:pPr>
        <w:spacing w:line="360" w:lineRule="auto"/>
        <w:outlineLvl w:val="2"/>
        <w:rPr>
          <w:rFonts w:ascii="楷体" w:hAnsi="楷体" w:eastAsia="楷体"/>
          <w:color w:val="auto"/>
        </w:rPr>
      </w:pPr>
      <w:r>
        <w:rPr>
          <w:rFonts w:hint="eastAsia" w:eastAsia="楷体"/>
          <w:b/>
          <w:color w:val="auto"/>
        </w:rPr>
        <w:t>【条文说明】</w:t>
      </w:r>
      <w:r>
        <w:rPr>
          <w:rFonts w:hint="eastAsia" w:ascii="楷体" w:hAnsi="楷体" w:eastAsia="楷体"/>
          <w:color w:val="auto"/>
        </w:rPr>
        <w:t>光储直柔技术，是在建筑领域应用</w:t>
      </w:r>
      <w:r>
        <w:fldChar w:fldCharType="begin"/>
      </w:r>
      <w:r>
        <w:instrText xml:space="preserve"> HYPERLINK "https://baike.baidu.com/item/%E5%A4%AA%E9%98%B3%E8%83%BD%E5%85%89%E4%BC%8F/6672056?fromModule=lemma_inlink" \t "_blank" </w:instrText>
      </w:r>
      <w:r>
        <w:fldChar w:fldCharType="separate"/>
      </w:r>
      <w:r>
        <w:rPr>
          <w:rStyle w:val="25"/>
          <w:rFonts w:hint="eastAsia" w:ascii="楷体" w:hAnsi="楷体" w:eastAsia="楷体"/>
          <w:color w:val="auto"/>
        </w:rPr>
        <w:t>太阳能光伏</w:t>
      </w:r>
      <w:r>
        <w:rPr>
          <w:rStyle w:val="25"/>
          <w:rFonts w:hint="eastAsia" w:ascii="楷体" w:hAnsi="楷体" w:eastAsia="楷体"/>
          <w:color w:val="auto"/>
        </w:rPr>
        <w:fldChar w:fldCharType="end"/>
      </w:r>
      <w:r>
        <w:rPr>
          <w:rFonts w:hint="eastAsia" w:ascii="楷体" w:hAnsi="楷体" w:eastAsia="楷体"/>
          <w:color w:val="auto"/>
        </w:rPr>
        <w:t>、</w:t>
      </w:r>
      <w:r>
        <w:fldChar w:fldCharType="begin"/>
      </w:r>
      <w:r>
        <w:instrText xml:space="preserve"> HYPERLINK "https://baike.baidu.com/item/%E5%82%A8%E8%83%BD/9238581?fromModule=lemma_inlink" \t "_blank" </w:instrText>
      </w:r>
      <w:r>
        <w:fldChar w:fldCharType="separate"/>
      </w:r>
      <w:r>
        <w:rPr>
          <w:rStyle w:val="25"/>
          <w:rFonts w:hint="eastAsia" w:ascii="楷体" w:hAnsi="楷体" w:eastAsia="楷体"/>
          <w:color w:val="auto"/>
        </w:rPr>
        <w:t>储能</w:t>
      </w:r>
      <w:r>
        <w:rPr>
          <w:rStyle w:val="25"/>
          <w:rFonts w:hint="eastAsia" w:ascii="楷体" w:hAnsi="楷体" w:eastAsia="楷体"/>
          <w:color w:val="auto"/>
        </w:rPr>
        <w:fldChar w:fldCharType="end"/>
      </w:r>
      <w:r>
        <w:rPr>
          <w:rFonts w:hint="eastAsia" w:ascii="楷体" w:hAnsi="楷体" w:eastAsia="楷体"/>
          <w:color w:val="auto"/>
        </w:rPr>
        <w:t>、直流配电和柔性交互四项技术的简称，是发展零碳能源的重要支柱。</w:t>
      </w:r>
    </w:p>
    <w:p>
      <w:pPr>
        <w:spacing w:line="360" w:lineRule="auto"/>
        <w:outlineLvl w:val="2"/>
        <w:rPr>
          <w:rFonts w:ascii="Helvetica" w:hAnsi="Helvetica"/>
          <w:color w:val="auto"/>
          <w:shd w:val="clear" w:color="auto" w:fill="FFFFFF"/>
        </w:rPr>
      </w:pPr>
      <w:r>
        <w:rPr>
          <w:rFonts w:hint="eastAsia" w:ascii="楷体" w:hAnsi="楷体" w:eastAsia="楷体"/>
          <w:color w:val="auto"/>
        </w:rPr>
        <w:t>在建筑中采用直流供电系统目的在于利用直流简单、易于控制的特点，便于光伏、储能等分布式电源灵活、高效的接入和调控，实现可再生能源的大规模建筑应用；同时，利用低压直流安全性好的特点，打造本质安全的用电环境。</w:t>
      </w:r>
      <w:r>
        <w:fldChar w:fldCharType="begin"/>
      </w:r>
      <w:r>
        <w:rPr>
          <w:rFonts w:ascii="楷体" w:hAnsi="楷体" w:eastAsia="楷体"/>
          <w:color w:val="auto"/>
        </w:rPr>
        <w:instrText xml:space="preserve"> HYPERLINK "https://baike.baidu.com/item/%E7%9B%B4%E6%B5%81%E5%BB%BA%E7%AD%91/57345611?fromModule=lemma_inlink" \t "_blank" </w:instrText>
      </w:r>
      <w:r>
        <w:fldChar w:fldCharType="separate"/>
      </w:r>
      <w:r>
        <w:rPr>
          <w:rStyle w:val="25"/>
          <w:rFonts w:hint="eastAsia" w:ascii="楷体" w:hAnsi="楷体" w:eastAsia="楷体"/>
          <w:color w:val="auto"/>
        </w:rPr>
        <w:t>直流建筑</w:t>
      </w:r>
      <w:r>
        <w:rPr>
          <w:rStyle w:val="25"/>
          <w:rFonts w:ascii="楷体" w:hAnsi="楷体" w:eastAsia="楷体"/>
          <w:color w:val="auto"/>
        </w:rPr>
        <w:fldChar w:fldCharType="end"/>
      </w:r>
      <w:r>
        <w:rPr>
          <w:rFonts w:hint="eastAsia" w:ascii="楷体" w:hAnsi="楷体" w:eastAsia="楷体"/>
          <w:color w:val="auto"/>
        </w:rPr>
        <w:t>的重要特征就是“光伏、储能、直流、柔性”以及四者的协同。</w:t>
      </w:r>
    </w:p>
    <w:p>
      <w:pPr>
        <w:spacing w:after="240"/>
        <w:jc w:val="center"/>
        <w:outlineLvl w:val="0"/>
        <w:rPr>
          <w:rFonts w:ascii="黑体" w:hAnsi="黑体" w:eastAsia="黑体"/>
          <w:bCs/>
          <w:color w:val="auto"/>
          <w:sz w:val="36"/>
          <w:szCs w:val="32"/>
        </w:rPr>
      </w:pPr>
      <w:r>
        <w:rPr>
          <w:rFonts w:eastAsia="黑体"/>
          <w:b/>
          <w:color w:val="auto"/>
          <w:kern w:val="44"/>
          <w:sz w:val="30"/>
          <w:szCs w:val="24"/>
        </w:rPr>
        <w:br w:type="page"/>
      </w:r>
      <w:bookmarkStart w:id="106" w:name="_Toc29339"/>
      <w:r>
        <w:rPr>
          <w:rFonts w:ascii="黑体" w:hAnsi="黑体" w:eastAsia="黑体"/>
          <w:bCs/>
          <w:color w:val="auto"/>
          <w:sz w:val="36"/>
          <w:szCs w:val="32"/>
        </w:rPr>
        <w:t>8</w:t>
      </w:r>
      <w:r>
        <w:rPr>
          <w:rFonts w:hint="eastAsia" w:ascii="黑体" w:hAnsi="黑体" w:eastAsia="黑体"/>
          <w:bCs/>
          <w:color w:val="auto"/>
          <w:sz w:val="36"/>
          <w:szCs w:val="32"/>
        </w:rPr>
        <w:t xml:space="preserve"> 低碳建造</w:t>
      </w:r>
      <w:bookmarkEnd w:id="106"/>
    </w:p>
    <w:p>
      <w:pPr>
        <w:spacing w:before="156" w:beforeLines="50" w:after="120"/>
        <w:jc w:val="center"/>
        <w:outlineLvl w:val="1"/>
        <w:rPr>
          <w:rFonts w:eastAsia="黑体"/>
          <w:bCs/>
          <w:color w:val="auto"/>
          <w:sz w:val="32"/>
          <w:szCs w:val="28"/>
        </w:rPr>
      </w:pPr>
      <w:bookmarkStart w:id="107" w:name="_Toc11462"/>
      <w:r>
        <w:rPr>
          <w:rFonts w:hint="eastAsia" w:eastAsia="黑体"/>
          <w:bCs/>
          <w:color w:val="auto"/>
          <w:sz w:val="32"/>
          <w:szCs w:val="28"/>
        </w:rPr>
        <w:t>8.1 低碳建造管理</w:t>
      </w:r>
      <w:bookmarkEnd w:id="107"/>
    </w:p>
    <w:p>
      <w:pPr>
        <w:spacing w:line="360" w:lineRule="auto"/>
        <w:outlineLvl w:val="2"/>
        <w:rPr>
          <w:rFonts w:ascii="宋体" w:hAnsi="宋体"/>
          <w:b/>
          <w:bCs/>
          <w:color w:val="auto"/>
          <w:sz w:val="24"/>
        </w:rPr>
      </w:pPr>
      <w:r>
        <w:rPr>
          <w:rFonts w:hint="eastAsia" w:ascii="宋体" w:hAnsi="宋体"/>
          <w:b/>
          <w:bCs/>
          <w:color w:val="auto"/>
          <w:sz w:val="24"/>
        </w:rPr>
        <w:t>8</w:t>
      </w:r>
      <w:r>
        <w:rPr>
          <w:rFonts w:ascii="宋体" w:hAnsi="宋体"/>
          <w:b/>
          <w:bCs/>
          <w:color w:val="auto"/>
          <w:sz w:val="24"/>
        </w:rPr>
        <w:t xml:space="preserve">.1.1 </w:t>
      </w:r>
      <w:r>
        <w:rPr>
          <w:rFonts w:hint="eastAsia" w:ascii="宋体" w:hAnsi="宋体"/>
          <w:color w:val="auto"/>
          <w:sz w:val="24"/>
        </w:rPr>
        <w:t>施工单位是建筑工程低碳施工的实施主体，应负责组织低碳施工的全面实施。低碳</w:t>
      </w:r>
      <w:r>
        <w:rPr>
          <w:rFonts w:ascii="宋体" w:hAnsi="宋体"/>
          <w:color w:val="auto"/>
          <w:sz w:val="24"/>
        </w:rPr>
        <w:t>施工组织设计、</w:t>
      </w:r>
      <w:r>
        <w:rPr>
          <w:rFonts w:hint="eastAsia" w:ascii="宋体" w:hAnsi="宋体"/>
          <w:color w:val="auto"/>
          <w:sz w:val="24"/>
        </w:rPr>
        <w:t>低碳</w:t>
      </w:r>
      <w:r>
        <w:rPr>
          <w:rFonts w:ascii="宋体" w:hAnsi="宋体"/>
          <w:color w:val="auto"/>
          <w:sz w:val="24"/>
        </w:rPr>
        <w:t>施工方案或</w:t>
      </w:r>
      <w:r>
        <w:rPr>
          <w:rFonts w:hint="eastAsia" w:ascii="宋体" w:hAnsi="宋体"/>
          <w:color w:val="auto"/>
          <w:sz w:val="24"/>
        </w:rPr>
        <w:t>低碳</w:t>
      </w:r>
      <w:r>
        <w:rPr>
          <w:rFonts w:ascii="宋体" w:hAnsi="宋体"/>
          <w:color w:val="auto"/>
          <w:sz w:val="24"/>
        </w:rPr>
        <w:t>施工专项方案编制前，应进行</w:t>
      </w:r>
      <w:r>
        <w:rPr>
          <w:rFonts w:hint="eastAsia" w:ascii="宋体" w:hAnsi="宋体"/>
          <w:color w:val="auto"/>
          <w:sz w:val="24"/>
        </w:rPr>
        <w:t>低碳</w:t>
      </w:r>
      <w:r>
        <w:rPr>
          <w:rFonts w:ascii="宋体" w:hAnsi="宋体"/>
          <w:color w:val="auto"/>
          <w:sz w:val="24"/>
        </w:rPr>
        <w:t>施工影响因素分析，并据此制定实施对策和</w:t>
      </w:r>
      <w:r>
        <w:rPr>
          <w:rFonts w:hint="eastAsia" w:ascii="宋体" w:hAnsi="宋体"/>
          <w:color w:val="auto"/>
          <w:sz w:val="24"/>
        </w:rPr>
        <w:t>低碳</w:t>
      </w:r>
      <w:r>
        <w:rPr>
          <w:rFonts w:ascii="宋体" w:hAnsi="宋体"/>
          <w:color w:val="auto"/>
          <w:sz w:val="24"/>
        </w:rPr>
        <w:t>施工评价方案。</w:t>
      </w:r>
    </w:p>
    <w:p>
      <w:pPr>
        <w:widowControl/>
        <w:spacing w:line="360" w:lineRule="auto"/>
        <w:jc w:val="left"/>
        <w:rPr>
          <w:rFonts w:ascii="楷体" w:hAnsi="楷体" w:eastAsia="楷体"/>
          <w:color w:val="auto"/>
        </w:rPr>
      </w:pPr>
      <w:r>
        <w:rPr>
          <w:rFonts w:hint="eastAsia" w:ascii="楷体" w:hAnsi="楷体" w:eastAsia="楷体"/>
          <w:color w:val="auto"/>
        </w:rPr>
        <w:t>【条文说明】实行总承包管理的建设工程，总承包单位应对低碳施工负总责任；</w:t>
      </w:r>
    </w:p>
    <w:p>
      <w:pPr>
        <w:widowControl/>
        <w:spacing w:line="360" w:lineRule="auto"/>
        <w:jc w:val="left"/>
        <w:rPr>
          <w:rFonts w:ascii="楷体" w:hAnsi="楷体" w:eastAsia="楷体"/>
          <w:color w:val="auto"/>
        </w:rPr>
      </w:pPr>
      <w:r>
        <w:rPr>
          <w:rFonts w:hint="eastAsia" w:ascii="楷体" w:hAnsi="楷体" w:eastAsia="楷体"/>
          <w:color w:val="auto"/>
        </w:rPr>
        <w:t>总承包单位应对专业承包单位的低碳施工实施管理，专业承包单位应对工程承包范围的低碳施工负责；</w:t>
      </w:r>
    </w:p>
    <w:p>
      <w:pPr>
        <w:widowControl/>
        <w:spacing w:line="360" w:lineRule="auto"/>
        <w:jc w:val="left"/>
        <w:rPr>
          <w:rFonts w:ascii="楷体" w:hAnsi="楷体" w:eastAsia="楷体"/>
          <w:color w:val="auto"/>
        </w:rPr>
      </w:pPr>
      <w:r>
        <w:rPr>
          <w:rFonts w:hint="eastAsia" w:ascii="楷体" w:hAnsi="楷体" w:eastAsia="楷体"/>
          <w:color w:val="auto"/>
        </w:rPr>
        <w:t>施工单位应建立以项目经理为第一责任人的低碳施工管理体系，制定低碳施工管理制度，负责低碳施工的组织实施，进行低碳施工教育培训，定期开展自检、联检和评价工作。</w:t>
      </w:r>
    </w:p>
    <w:p>
      <w:pPr>
        <w:widowControl/>
        <w:spacing w:line="360" w:lineRule="auto"/>
        <w:jc w:val="left"/>
        <w:outlineLvl w:val="2"/>
        <w:rPr>
          <w:rFonts w:ascii="宋体" w:hAnsi="宋体"/>
          <w:color w:val="auto"/>
          <w:sz w:val="24"/>
          <w:szCs w:val="24"/>
          <w:shd w:val="clear" w:color="auto" w:fill="FFFFFF"/>
        </w:rPr>
      </w:pPr>
      <w:r>
        <w:rPr>
          <w:rFonts w:hint="eastAsia" w:ascii="宋体" w:hAnsi="宋体"/>
          <w:b/>
          <w:bCs/>
          <w:color w:val="auto"/>
          <w:sz w:val="24"/>
        </w:rPr>
        <w:t>8</w:t>
      </w:r>
      <w:r>
        <w:rPr>
          <w:rFonts w:ascii="宋体" w:hAnsi="宋体"/>
          <w:b/>
          <w:bCs/>
          <w:color w:val="auto"/>
          <w:sz w:val="24"/>
        </w:rPr>
        <w:t>.1.</w:t>
      </w:r>
      <w:r>
        <w:rPr>
          <w:rFonts w:hint="eastAsia" w:ascii="宋体" w:hAnsi="宋体"/>
          <w:b/>
          <w:bCs/>
          <w:color w:val="auto"/>
          <w:sz w:val="24"/>
        </w:rPr>
        <w:t>2</w:t>
      </w:r>
      <w:r>
        <w:rPr>
          <w:rFonts w:ascii="宋体" w:hAnsi="宋体"/>
          <w:b/>
          <w:bCs/>
          <w:color w:val="auto"/>
          <w:sz w:val="24"/>
        </w:rPr>
        <w:t xml:space="preserve"> </w:t>
      </w:r>
      <w:r>
        <w:rPr>
          <w:rFonts w:ascii="宋体" w:hAnsi="宋体"/>
          <w:color w:val="auto"/>
          <w:sz w:val="24"/>
          <w:szCs w:val="24"/>
          <w:shd w:val="clear" w:color="auto" w:fill="FFFFFF"/>
        </w:rPr>
        <w:t>施工单位应编制包含</w:t>
      </w:r>
      <w:r>
        <w:rPr>
          <w:rFonts w:hint="eastAsia" w:ascii="宋体" w:hAnsi="宋体"/>
          <w:color w:val="auto"/>
          <w:sz w:val="24"/>
          <w:szCs w:val="24"/>
          <w:shd w:val="clear" w:color="auto" w:fill="FFFFFF"/>
        </w:rPr>
        <w:t>低碳</w:t>
      </w:r>
      <w:r>
        <w:rPr>
          <w:rFonts w:ascii="宋体" w:hAnsi="宋体"/>
          <w:color w:val="auto"/>
          <w:sz w:val="24"/>
          <w:szCs w:val="24"/>
          <w:shd w:val="clear" w:color="auto" w:fill="FFFFFF"/>
        </w:rPr>
        <w:t>施工管理和技术要求的工程</w:t>
      </w:r>
      <w:r>
        <w:rPr>
          <w:rFonts w:hint="eastAsia" w:ascii="宋体" w:hAnsi="宋体"/>
          <w:color w:val="auto"/>
          <w:sz w:val="24"/>
          <w:szCs w:val="24"/>
          <w:shd w:val="clear" w:color="auto" w:fill="FFFFFF"/>
        </w:rPr>
        <w:t>低碳</w:t>
      </w:r>
      <w:r>
        <w:rPr>
          <w:rFonts w:ascii="宋体" w:hAnsi="宋体"/>
          <w:color w:val="auto"/>
          <w:sz w:val="24"/>
          <w:szCs w:val="24"/>
          <w:shd w:val="clear" w:color="auto" w:fill="FFFFFF"/>
        </w:rPr>
        <w:t>施工组织设计、</w:t>
      </w:r>
      <w:r>
        <w:rPr>
          <w:rFonts w:hint="eastAsia" w:ascii="宋体" w:hAnsi="宋体"/>
          <w:color w:val="auto"/>
          <w:sz w:val="24"/>
          <w:szCs w:val="24"/>
          <w:shd w:val="clear" w:color="auto" w:fill="FFFFFF"/>
        </w:rPr>
        <w:t>低碳</w:t>
      </w:r>
      <w:r>
        <w:rPr>
          <w:rFonts w:ascii="宋体" w:hAnsi="宋体"/>
          <w:color w:val="auto"/>
          <w:sz w:val="24"/>
          <w:szCs w:val="24"/>
          <w:shd w:val="clear" w:color="auto" w:fill="FFFFFF"/>
        </w:rPr>
        <w:t>施工方案或</w:t>
      </w:r>
      <w:r>
        <w:rPr>
          <w:rFonts w:hint="eastAsia" w:ascii="宋体" w:hAnsi="宋体"/>
          <w:color w:val="auto"/>
          <w:sz w:val="24"/>
          <w:szCs w:val="24"/>
          <w:shd w:val="clear" w:color="auto" w:fill="FFFFFF"/>
        </w:rPr>
        <w:t>低碳</w:t>
      </w:r>
      <w:r>
        <w:rPr>
          <w:rFonts w:ascii="宋体" w:hAnsi="宋体"/>
          <w:color w:val="auto"/>
          <w:sz w:val="24"/>
          <w:szCs w:val="24"/>
          <w:shd w:val="clear" w:color="auto" w:fill="FFFFFF"/>
        </w:rPr>
        <w:t>施工专项方案，并经审批通过后实施。</w:t>
      </w:r>
    </w:p>
    <w:p>
      <w:pPr>
        <w:widowControl/>
        <w:spacing w:line="360" w:lineRule="auto"/>
        <w:jc w:val="left"/>
        <w:rPr>
          <w:rFonts w:ascii="楷体" w:hAnsi="楷体" w:eastAsia="楷体"/>
          <w:color w:val="auto"/>
        </w:rPr>
      </w:pPr>
      <w:r>
        <w:rPr>
          <w:rFonts w:hint="eastAsia" w:ascii="楷体" w:hAnsi="楷体" w:eastAsia="楷体"/>
          <w:color w:val="auto"/>
        </w:rPr>
        <w:t>【条文说明】低碳施工组织设计或方案应结合施工现场自然和人文环境特点，提出包含但不限于节材、节能、节水、节地及环境保护的针对性措施，明确低碳施工的组织架构和保障体系，确定绿色低碳施工的关键技术，改善作业人员作业条件，降低劳动强度、节约人力资源等内容。</w:t>
      </w:r>
    </w:p>
    <w:p>
      <w:pPr>
        <w:spacing w:line="360" w:lineRule="auto"/>
        <w:outlineLvl w:val="2"/>
        <w:rPr>
          <w:rFonts w:ascii="宋体" w:hAnsi="宋体"/>
          <w:color w:val="auto"/>
          <w:sz w:val="24"/>
        </w:rPr>
      </w:pPr>
      <w:r>
        <w:rPr>
          <w:rFonts w:hint="eastAsia" w:ascii="宋体" w:hAnsi="宋体"/>
          <w:b/>
          <w:bCs/>
          <w:color w:val="auto"/>
          <w:sz w:val="24"/>
        </w:rPr>
        <w:t>8</w:t>
      </w:r>
      <w:r>
        <w:rPr>
          <w:rFonts w:ascii="宋体" w:hAnsi="宋体"/>
          <w:b/>
          <w:bCs/>
          <w:color w:val="auto"/>
          <w:sz w:val="24"/>
        </w:rPr>
        <w:t>.1.</w:t>
      </w:r>
      <w:r>
        <w:rPr>
          <w:rFonts w:hint="eastAsia" w:ascii="宋体" w:hAnsi="宋体"/>
          <w:b/>
          <w:bCs/>
          <w:color w:val="auto"/>
          <w:sz w:val="24"/>
        </w:rPr>
        <w:t>3</w:t>
      </w:r>
      <w:r>
        <w:rPr>
          <w:rFonts w:ascii="宋体" w:hAnsi="宋体"/>
          <w:b/>
          <w:bCs/>
          <w:color w:val="auto"/>
          <w:sz w:val="24"/>
        </w:rPr>
        <w:t xml:space="preserve"> </w:t>
      </w:r>
      <w:r>
        <w:rPr>
          <w:rFonts w:hint="eastAsia" w:ascii="宋体" w:hAnsi="宋体"/>
          <w:color w:val="auto"/>
          <w:sz w:val="24"/>
        </w:rPr>
        <w:t>施工现场主要用能机械设备应符合下列规定：</w:t>
      </w:r>
    </w:p>
    <w:p>
      <w:pPr>
        <w:widowControl/>
        <w:spacing w:line="360" w:lineRule="auto"/>
        <w:ind w:firstLine="480" w:firstLineChars="200"/>
        <w:jc w:val="left"/>
        <w:outlineLvl w:val="0"/>
        <w:rPr>
          <w:rFonts w:ascii="宋体" w:hAnsi="宋体"/>
          <w:color w:val="auto"/>
          <w:sz w:val="24"/>
          <w:szCs w:val="24"/>
          <w:shd w:val="clear" w:color="auto" w:fill="FFFFFF"/>
        </w:rPr>
      </w:pPr>
      <w:bookmarkStart w:id="108" w:name="_Toc17917"/>
      <w:r>
        <w:rPr>
          <w:rFonts w:hint="eastAsia" w:ascii="宋体" w:hAnsi="宋体"/>
          <w:color w:val="auto"/>
          <w:sz w:val="24"/>
          <w:szCs w:val="24"/>
          <w:shd w:val="clear" w:color="auto" w:fill="FFFFFF"/>
        </w:rPr>
        <w:t>1施工现场应建立机械设备保养、限额领取物料的台账和清单。</w:t>
      </w:r>
      <w:bookmarkEnd w:id="108"/>
    </w:p>
    <w:p>
      <w:pPr>
        <w:widowControl/>
        <w:spacing w:line="360" w:lineRule="auto"/>
        <w:ind w:firstLine="480" w:firstLineChars="200"/>
        <w:jc w:val="left"/>
        <w:rPr>
          <w:rFonts w:ascii="宋体" w:hAnsi="宋体"/>
          <w:color w:val="auto"/>
          <w:sz w:val="24"/>
          <w:szCs w:val="24"/>
          <w:shd w:val="clear" w:color="auto" w:fill="FFFFFF"/>
        </w:rPr>
      </w:pPr>
      <w:r>
        <w:rPr>
          <w:rFonts w:ascii="宋体" w:hAnsi="宋体"/>
          <w:color w:val="auto"/>
          <w:sz w:val="24"/>
          <w:szCs w:val="24"/>
          <w:shd w:val="clear" w:color="auto" w:fill="FFFFFF"/>
        </w:rPr>
        <w:t>2施工单位宜建立施工机械设备数据库。应根据现场和周边环境情况，对施工机械和设备进行节能、减排和降耗指标分析和比较，采用高性能、低噪声和低能耗的机械设备</w:t>
      </w:r>
      <w:r>
        <w:rPr>
          <w:rFonts w:hint="eastAsia" w:ascii="宋体" w:hAnsi="宋体"/>
          <w:color w:val="auto"/>
          <w:sz w:val="24"/>
          <w:szCs w:val="24"/>
          <w:shd w:val="clear" w:color="auto" w:fill="FFFFFF"/>
        </w:rPr>
        <w:t>。</w:t>
      </w:r>
    </w:p>
    <w:p>
      <w:pPr>
        <w:spacing w:line="360" w:lineRule="auto"/>
        <w:ind w:firstLine="480" w:firstLineChars="200"/>
        <w:outlineLvl w:val="0"/>
        <w:rPr>
          <w:rFonts w:ascii="宋体" w:hAnsi="宋体"/>
          <w:color w:val="auto"/>
          <w:sz w:val="24"/>
          <w:szCs w:val="24"/>
          <w:shd w:val="clear" w:color="auto" w:fill="FFFFFF"/>
        </w:rPr>
      </w:pPr>
      <w:bookmarkStart w:id="109" w:name="_Toc24868"/>
      <w:r>
        <w:rPr>
          <w:rFonts w:hint="eastAsia" w:ascii="宋体" w:hAnsi="宋体"/>
          <w:color w:val="auto"/>
          <w:sz w:val="24"/>
          <w:szCs w:val="24"/>
          <w:shd w:val="clear" w:color="auto" w:fill="FFFFFF"/>
        </w:rPr>
        <w:t>3运输工具及施工机械宜选用氢能、电能为动力的车辆或机械。</w:t>
      </w:r>
      <w:bookmarkEnd w:id="109"/>
    </w:p>
    <w:p>
      <w:pPr>
        <w:spacing w:line="360" w:lineRule="auto"/>
        <w:outlineLvl w:val="1"/>
        <w:rPr>
          <w:rFonts w:ascii="宋体" w:hAnsi="宋体"/>
          <w:b/>
          <w:bCs/>
          <w:color w:val="auto"/>
          <w:sz w:val="24"/>
        </w:rPr>
      </w:pPr>
      <w:bookmarkStart w:id="110" w:name="_Toc24955"/>
      <w:r>
        <w:rPr>
          <w:rFonts w:hint="eastAsia" w:ascii="宋体" w:hAnsi="宋体"/>
          <w:b/>
          <w:bCs/>
          <w:color w:val="auto"/>
          <w:sz w:val="24"/>
        </w:rPr>
        <w:t>8</w:t>
      </w:r>
      <w:r>
        <w:rPr>
          <w:rFonts w:ascii="宋体" w:hAnsi="宋体"/>
          <w:b/>
          <w:bCs/>
          <w:color w:val="auto"/>
          <w:sz w:val="24"/>
        </w:rPr>
        <w:t>.1.</w:t>
      </w:r>
      <w:r>
        <w:rPr>
          <w:rFonts w:hint="eastAsia" w:ascii="宋体" w:hAnsi="宋体"/>
          <w:b/>
          <w:bCs/>
          <w:color w:val="auto"/>
          <w:sz w:val="24"/>
        </w:rPr>
        <w:t>4</w:t>
      </w:r>
      <w:r>
        <w:rPr>
          <w:rFonts w:hint="eastAsia" w:ascii="宋体" w:hAnsi="宋体"/>
          <w:color w:val="auto"/>
          <w:sz w:val="24"/>
        </w:rPr>
        <w:t>施工物料管理应符合下列规定：</w:t>
      </w:r>
      <w:bookmarkEnd w:id="110"/>
    </w:p>
    <w:p>
      <w:pPr>
        <w:widowControl/>
        <w:spacing w:line="360" w:lineRule="auto"/>
        <w:ind w:firstLine="480" w:firstLineChars="200"/>
        <w:jc w:val="left"/>
        <w:rPr>
          <w:rFonts w:ascii="宋体" w:hAnsi="宋体"/>
          <w:color w:val="auto"/>
          <w:sz w:val="24"/>
          <w:szCs w:val="24"/>
          <w:shd w:val="clear" w:color="auto" w:fill="FFFFFF"/>
        </w:rPr>
      </w:pPr>
      <w:r>
        <w:rPr>
          <w:rFonts w:hint="eastAsia" w:ascii="宋体" w:hAnsi="宋体"/>
          <w:color w:val="auto"/>
          <w:sz w:val="24"/>
          <w:szCs w:val="24"/>
          <w:shd w:val="clear" w:color="auto" w:fill="FFFFFF"/>
        </w:rPr>
        <w:t>1建材宜就地取材，优先使用本地建材。</w:t>
      </w:r>
    </w:p>
    <w:p>
      <w:pPr>
        <w:widowControl/>
        <w:spacing w:line="360" w:lineRule="auto"/>
        <w:ind w:firstLine="480" w:firstLineChars="200"/>
        <w:jc w:val="left"/>
        <w:rPr>
          <w:rFonts w:ascii="宋体" w:hAnsi="宋体"/>
          <w:color w:val="auto"/>
          <w:sz w:val="24"/>
          <w:szCs w:val="24"/>
          <w:shd w:val="clear" w:color="auto" w:fill="FFFFFF"/>
        </w:rPr>
      </w:pPr>
      <w:r>
        <w:rPr>
          <w:rFonts w:ascii="宋体" w:hAnsi="宋体"/>
          <w:color w:val="auto"/>
          <w:sz w:val="24"/>
        </w:rPr>
        <w:t>2</w:t>
      </w:r>
      <w:r>
        <w:rPr>
          <w:rFonts w:hint="eastAsia" w:ascii="宋体" w:hAnsi="宋体"/>
          <w:color w:val="auto"/>
          <w:sz w:val="24"/>
        </w:rPr>
        <w:t>建筑垃圾应进行分类处理，并采取减量化措施及资源化处理。</w:t>
      </w:r>
    </w:p>
    <w:p>
      <w:pPr>
        <w:widowControl/>
        <w:spacing w:line="360" w:lineRule="auto"/>
        <w:ind w:firstLine="480" w:firstLineChars="200"/>
        <w:jc w:val="left"/>
        <w:rPr>
          <w:rFonts w:ascii="宋体" w:hAnsi="宋体"/>
          <w:color w:val="auto"/>
          <w:sz w:val="24"/>
          <w:szCs w:val="24"/>
          <w:shd w:val="clear" w:color="auto" w:fill="FFFFFF"/>
        </w:rPr>
      </w:pPr>
      <w:r>
        <w:rPr>
          <w:rFonts w:ascii="宋体" w:hAnsi="宋体"/>
          <w:color w:val="auto"/>
          <w:sz w:val="24"/>
          <w:szCs w:val="24"/>
          <w:shd w:val="clear" w:color="auto" w:fill="FFFFFF"/>
        </w:rPr>
        <w:t>3</w:t>
      </w:r>
      <w:r>
        <w:rPr>
          <w:rFonts w:hint="eastAsia" w:ascii="宋体" w:hAnsi="宋体"/>
          <w:color w:val="auto"/>
          <w:sz w:val="24"/>
          <w:szCs w:val="24"/>
          <w:shd w:val="clear" w:color="auto" w:fill="FFFFFF"/>
        </w:rPr>
        <w:t>施工现场应建立建筑垃圾减量化及资源化专项施工方案。</w:t>
      </w:r>
    </w:p>
    <w:p>
      <w:pPr>
        <w:spacing w:line="360" w:lineRule="auto"/>
        <w:outlineLvl w:val="1"/>
        <w:rPr>
          <w:rFonts w:ascii="宋体" w:hAnsi="宋体"/>
          <w:color w:val="auto"/>
          <w:sz w:val="24"/>
        </w:rPr>
      </w:pPr>
      <w:bookmarkStart w:id="111" w:name="_Toc6274"/>
      <w:r>
        <w:rPr>
          <w:rFonts w:hint="eastAsia" w:ascii="宋体" w:hAnsi="宋体"/>
          <w:b/>
          <w:bCs/>
          <w:color w:val="auto"/>
          <w:sz w:val="24"/>
        </w:rPr>
        <w:t>8</w:t>
      </w:r>
      <w:r>
        <w:rPr>
          <w:rFonts w:ascii="宋体" w:hAnsi="宋体"/>
          <w:b/>
          <w:bCs/>
          <w:color w:val="auto"/>
          <w:sz w:val="24"/>
        </w:rPr>
        <w:t>.1.</w:t>
      </w:r>
      <w:r>
        <w:rPr>
          <w:rFonts w:hint="eastAsia" w:ascii="宋体" w:hAnsi="宋体"/>
          <w:b/>
          <w:bCs/>
          <w:color w:val="auto"/>
          <w:sz w:val="24"/>
        </w:rPr>
        <w:t>5</w:t>
      </w:r>
      <w:r>
        <w:rPr>
          <w:rFonts w:ascii="宋体" w:hAnsi="宋体"/>
          <w:b/>
          <w:bCs/>
          <w:color w:val="auto"/>
          <w:sz w:val="24"/>
        </w:rPr>
        <w:t xml:space="preserve"> </w:t>
      </w:r>
      <w:r>
        <w:rPr>
          <w:rFonts w:hint="eastAsia" w:ascii="宋体" w:hAnsi="宋体"/>
          <w:color w:val="auto"/>
          <w:sz w:val="24"/>
        </w:rPr>
        <w:t>施工场地布置应符合下列规定：</w:t>
      </w:r>
      <w:bookmarkEnd w:id="111"/>
    </w:p>
    <w:p>
      <w:pPr>
        <w:widowControl/>
        <w:spacing w:line="360" w:lineRule="auto"/>
        <w:ind w:firstLine="480" w:firstLineChars="200"/>
        <w:jc w:val="left"/>
        <w:rPr>
          <w:rFonts w:ascii="宋体" w:hAnsi="宋体"/>
          <w:color w:val="auto"/>
          <w:sz w:val="24"/>
          <w:szCs w:val="24"/>
          <w:shd w:val="clear" w:color="auto" w:fill="FFFFFF"/>
        </w:rPr>
      </w:pPr>
      <w:r>
        <w:rPr>
          <w:rFonts w:hint="eastAsia" w:ascii="宋体" w:hAnsi="宋体"/>
          <w:color w:val="auto"/>
          <w:sz w:val="24"/>
          <w:szCs w:val="24"/>
          <w:shd w:val="clear" w:color="auto" w:fill="FFFFFF"/>
        </w:rPr>
        <w:t>1施工场地布置应结合施工场地周边环境和条件，进行综合分析后制定实施方案，宜利用场地及周边现有和拟建建筑物、构筑物、道路和管线等，并施工中应减少场地干扰。</w:t>
      </w:r>
    </w:p>
    <w:p>
      <w:pPr>
        <w:widowControl/>
        <w:spacing w:line="360" w:lineRule="auto"/>
        <w:ind w:firstLine="480" w:firstLineChars="200"/>
        <w:jc w:val="left"/>
        <w:rPr>
          <w:rFonts w:ascii="宋体" w:hAnsi="宋体"/>
          <w:color w:val="auto"/>
          <w:sz w:val="24"/>
          <w:szCs w:val="24"/>
          <w:shd w:val="clear" w:color="auto" w:fill="FFFFFF"/>
        </w:rPr>
      </w:pPr>
      <w:r>
        <w:rPr>
          <w:rFonts w:ascii="宋体" w:hAnsi="宋体"/>
          <w:color w:val="auto"/>
          <w:sz w:val="24"/>
          <w:szCs w:val="24"/>
          <w:shd w:val="clear" w:color="auto" w:fill="FFFFFF"/>
        </w:rPr>
        <w:t>2</w:t>
      </w:r>
      <w:r>
        <w:rPr>
          <w:rFonts w:hint="eastAsia" w:ascii="宋体" w:hAnsi="宋体"/>
          <w:color w:val="auto"/>
          <w:sz w:val="24"/>
          <w:szCs w:val="24"/>
          <w:shd w:val="clear" w:color="auto" w:fill="FFFFFF"/>
        </w:rPr>
        <w:t>施工现场总平面的布置应在满足施工需要的前提下，减少施工用地，合理布置各项机械和设施，减少场地运输能耗及碳排放。</w:t>
      </w:r>
    </w:p>
    <w:p>
      <w:pPr>
        <w:widowControl/>
        <w:spacing w:line="360" w:lineRule="auto"/>
        <w:ind w:firstLine="480" w:firstLineChars="200"/>
        <w:jc w:val="left"/>
        <w:rPr>
          <w:rFonts w:ascii="宋体" w:hAnsi="宋体"/>
          <w:color w:val="auto"/>
          <w:sz w:val="24"/>
          <w:szCs w:val="24"/>
          <w:shd w:val="clear" w:color="auto" w:fill="FFFFFF"/>
        </w:rPr>
      </w:pPr>
      <w:r>
        <w:rPr>
          <w:rFonts w:ascii="宋体" w:hAnsi="宋体"/>
          <w:color w:val="auto"/>
          <w:sz w:val="24"/>
          <w:szCs w:val="24"/>
          <w:shd w:val="clear" w:color="auto" w:fill="FFFFFF"/>
        </w:rPr>
        <w:t>3</w:t>
      </w:r>
      <w:r>
        <w:rPr>
          <w:rFonts w:hint="eastAsia" w:ascii="宋体" w:hAnsi="宋体"/>
          <w:color w:val="auto"/>
          <w:sz w:val="24"/>
          <w:szCs w:val="24"/>
          <w:shd w:val="clear" w:color="auto" w:fill="FFFFFF"/>
        </w:rPr>
        <w:t>施工现场主要道路硬化处理宜采用现场垃圾资源化处理后的材料或构件。</w:t>
      </w:r>
    </w:p>
    <w:p>
      <w:pPr>
        <w:widowControl/>
        <w:shd w:val="clear" w:color="auto" w:fill="FFFFFF"/>
        <w:spacing w:line="360" w:lineRule="auto"/>
        <w:ind w:firstLine="480" w:firstLineChars="200"/>
        <w:jc w:val="left"/>
        <w:rPr>
          <w:rFonts w:ascii="宋体" w:hAnsi="宋体"/>
          <w:color w:val="auto"/>
          <w:sz w:val="24"/>
          <w:szCs w:val="24"/>
          <w:shd w:val="clear" w:color="auto" w:fill="FFFFFF"/>
        </w:rPr>
      </w:pPr>
      <w:r>
        <w:rPr>
          <w:rFonts w:ascii="宋体" w:hAnsi="宋体"/>
          <w:color w:val="auto"/>
          <w:sz w:val="24"/>
          <w:szCs w:val="24"/>
          <w:shd w:val="clear" w:color="auto" w:fill="FFFFFF"/>
        </w:rPr>
        <w:t>4</w:t>
      </w:r>
      <w:r>
        <w:rPr>
          <w:rFonts w:hint="eastAsia" w:ascii="宋体" w:hAnsi="宋体"/>
          <w:color w:val="auto"/>
          <w:sz w:val="24"/>
          <w:szCs w:val="24"/>
          <w:shd w:val="clear" w:color="auto" w:fill="FFFFFF"/>
        </w:rPr>
        <w:t>施工场地布置尚应满足现行现行国家标准《建筑工程绿色施工规范》GB</w:t>
      </w:r>
      <w:r>
        <w:rPr>
          <w:rFonts w:ascii="宋体" w:hAnsi="宋体"/>
          <w:color w:val="auto"/>
          <w:sz w:val="24"/>
          <w:szCs w:val="24"/>
          <w:shd w:val="clear" w:color="auto" w:fill="FFFFFF"/>
        </w:rPr>
        <w:t>/T 50905</w:t>
      </w:r>
      <w:r>
        <w:rPr>
          <w:rFonts w:hint="eastAsia" w:ascii="宋体" w:hAnsi="宋体"/>
          <w:color w:val="auto"/>
          <w:sz w:val="24"/>
          <w:szCs w:val="24"/>
          <w:shd w:val="clear" w:color="auto" w:fill="FFFFFF"/>
        </w:rPr>
        <w:t>的相关要求。</w:t>
      </w:r>
    </w:p>
    <w:p>
      <w:pPr>
        <w:widowControl/>
        <w:shd w:val="clear" w:color="auto" w:fill="FFFFFF"/>
        <w:spacing w:line="360" w:lineRule="auto"/>
        <w:jc w:val="left"/>
        <w:rPr>
          <w:rFonts w:ascii="楷体" w:hAnsi="楷体" w:eastAsia="楷体"/>
          <w:color w:val="auto"/>
        </w:rPr>
      </w:pPr>
      <w:r>
        <w:rPr>
          <w:rFonts w:hint="eastAsia" w:ascii="楷体" w:hAnsi="楷体" w:eastAsia="楷体"/>
          <w:color w:val="auto"/>
        </w:rPr>
        <w:t>【条文说明】在施工场地布置时，应充分对施工场地、环境条件进行分析，制定科学合理的用地计划，以减少施工用地，提高场地运输效率，有效提高资源的利用效率。</w:t>
      </w:r>
    </w:p>
    <w:p>
      <w:pPr>
        <w:widowControl/>
        <w:spacing w:line="360" w:lineRule="auto"/>
        <w:jc w:val="left"/>
        <w:outlineLvl w:val="2"/>
        <w:rPr>
          <w:rFonts w:ascii="宋体" w:hAnsi="宋体"/>
          <w:color w:val="auto"/>
          <w:sz w:val="24"/>
          <w:szCs w:val="24"/>
          <w:shd w:val="clear" w:color="auto" w:fill="FFFFFF"/>
        </w:rPr>
      </w:pPr>
      <w:r>
        <w:rPr>
          <w:rFonts w:ascii="宋体" w:hAnsi="宋体"/>
          <w:b/>
          <w:bCs/>
          <w:color w:val="auto"/>
          <w:sz w:val="24"/>
        </w:rPr>
        <w:t>8.1.</w:t>
      </w:r>
      <w:r>
        <w:rPr>
          <w:rFonts w:hint="eastAsia" w:ascii="宋体" w:hAnsi="宋体"/>
          <w:b/>
          <w:bCs/>
          <w:color w:val="auto"/>
          <w:sz w:val="24"/>
        </w:rPr>
        <w:t>6</w:t>
      </w:r>
      <w:r>
        <w:rPr>
          <w:rFonts w:ascii="宋体" w:hAnsi="宋体"/>
          <w:b/>
          <w:bCs/>
          <w:color w:val="auto"/>
          <w:sz w:val="24"/>
        </w:rPr>
        <w:t xml:space="preserve"> </w:t>
      </w:r>
      <w:r>
        <w:rPr>
          <w:rFonts w:hint="eastAsia" w:ascii="宋体" w:hAnsi="宋体"/>
          <w:color w:val="auto"/>
          <w:sz w:val="24"/>
          <w:szCs w:val="24"/>
          <w:shd w:val="clear" w:color="auto" w:fill="FFFFFF"/>
        </w:rPr>
        <w:t>施工各参与方应建立不符合低碳施工要求的施工工艺、设备和材料的限制、淘汰等制度。</w:t>
      </w:r>
    </w:p>
    <w:p>
      <w:pPr>
        <w:widowControl/>
        <w:spacing w:line="360" w:lineRule="auto"/>
        <w:jc w:val="left"/>
        <w:outlineLvl w:val="2"/>
        <w:rPr>
          <w:rFonts w:ascii="宋体" w:hAnsi="宋体"/>
          <w:color w:val="auto"/>
          <w:sz w:val="24"/>
          <w:szCs w:val="24"/>
          <w:shd w:val="clear" w:color="auto" w:fill="FFFFFF"/>
        </w:rPr>
      </w:pPr>
      <w:r>
        <w:rPr>
          <w:rFonts w:hint="eastAsia" w:ascii="宋体" w:hAnsi="宋体"/>
          <w:b/>
          <w:bCs/>
          <w:color w:val="auto"/>
          <w:sz w:val="24"/>
          <w:szCs w:val="24"/>
          <w:shd w:val="clear" w:color="auto" w:fill="FFFFFF"/>
        </w:rPr>
        <w:t>8</w:t>
      </w:r>
      <w:r>
        <w:rPr>
          <w:rFonts w:ascii="宋体" w:hAnsi="宋体"/>
          <w:b/>
          <w:bCs/>
          <w:color w:val="auto"/>
          <w:sz w:val="24"/>
          <w:szCs w:val="24"/>
          <w:shd w:val="clear" w:color="auto" w:fill="FFFFFF"/>
        </w:rPr>
        <w:t>.1.7</w:t>
      </w:r>
      <w:r>
        <w:rPr>
          <w:rFonts w:hint="eastAsia" w:ascii="宋体" w:hAnsi="宋体"/>
          <w:color w:val="auto"/>
          <w:sz w:val="24"/>
          <w:szCs w:val="24"/>
          <w:shd w:val="clear" w:color="auto" w:fill="FFFFFF"/>
        </w:rPr>
        <w:t>施工各参建方应加强如智慧工地等智慧化、信息化管理平台的应用，对施工现场碳排放进行监测与管理。</w:t>
      </w:r>
    </w:p>
    <w:p>
      <w:pPr>
        <w:widowControl/>
        <w:shd w:val="clear" w:color="auto" w:fill="FFFFFF"/>
        <w:ind w:firstLine="480" w:firstLineChars="200"/>
        <w:jc w:val="left"/>
        <w:rPr>
          <w:rFonts w:hint="eastAsia" w:ascii="FZPingXYSJW" w:hAnsi="FZPingXYSJW" w:cs="宋体"/>
          <w:color w:val="auto"/>
          <w:sz w:val="24"/>
          <w:szCs w:val="24"/>
        </w:rPr>
      </w:pPr>
    </w:p>
    <w:p>
      <w:pPr>
        <w:rPr>
          <w:rFonts w:hint="eastAsia" w:ascii="FZPingXYSJW" w:hAnsi="FZPingXYSJW"/>
          <w:color w:val="auto"/>
          <w:shd w:val="clear" w:color="auto" w:fill="FFFFFF"/>
        </w:rPr>
      </w:pPr>
    </w:p>
    <w:p>
      <w:pPr>
        <w:spacing w:before="156" w:beforeLines="50" w:after="120"/>
        <w:jc w:val="center"/>
        <w:outlineLvl w:val="0"/>
        <w:rPr>
          <w:rFonts w:ascii="宋体" w:hAnsi="宋体"/>
          <w:color w:val="auto"/>
          <w:sz w:val="24"/>
        </w:rPr>
      </w:pPr>
      <w:bookmarkStart w:id="112" w:name="_Toc765"/>
      <w:r>
        <w:rPr>
          <w:rFonts w:hint="eastAsia" w:eastAsia="黑体"/>
          <w:bCs/>
          <w:color w:val="auto"/>
          <w:sz w:val="32"/>
          <w:szCs w:val="28"/>
        </w:rPr>
        <w:t>8.2 分部分项工程</w:t>
      </w:r>
      <w:bookmarkEnd w:id="112"/>
    </w:p>
    <w:p>
      <w:pPr>
        <w:pStyle w:val="3"/>
        <w:rPr>
          <w:rFonts w:ascii="仿宋" w:hAnsi="仿宋" w:eastAsia="仿宋"/>
          <w:b w:val="0"/>
          <w:bCs w:val="0"/>
          <w:sz w:val="24"/>
        </w:rPr>
      </w:pPr>
      <w:bookmarkStart w:id="113" w:name="_Toc11719"/>
      <w:r>
        <w:rPr>
          <w:rFonts w:hint="eastAsia" w:ascii="仿宋" w:hAnsi="仿宋" w:eastAsia="仿宋"/>
          <w:sz w:val="24"/>
        </w:rPr>
        <w:t>Ⅰ地基与基础工程</w:t>
      </w:r>
      <w:bookmarkEnd w:id="113"/>
    </w:p>
    <w:p>
      <w:pPr>
        <w:spacing w:line="360" w:lineRule="auto"/>
        <w:outlineLvl w:val="2"/>
        <w:rPr>
          <w:rFonts w:ascii="宋体" w:hAnsi="宋体"/>
          <w:color w:val="auto"/>
          <w:sz w:val="24"/>
        </w:rPr>
      </w:pPr>
      <w:r>
        <w:rPr>
          <w:rFonts w:ascii="宋体" w:hAnsi="宋体"/>
          <w:b/>
          <w:bCs/>
          <w:color w:val="auto"/>
          <w:sz w:val="24"/>
        </w:rPr>
        <w:t xml:space="preserve">8.2.1 </w:t>
      </w:r>
      <w:r>
        <w:rPr>
          <w:rFonts w:hint="eastAsia" w:ascii="宋体" w:hAnsi="宋体"/>
          <w:color w:val="auto"/>
          <w:sz w:val="24"/>
        </w:rPr>
        <w:t>地基与基础施工应结合项目地质条件、气候特征，选用低碳、节能、环保的施工方法和施工机械设备。</w:t>
      </w:r>
    </w:p>
    <w:p>
      <w:pPr>
        <w:spacing w:line="360" w:lineRule="auto"/>
        <w:outlineLvl w:val="2"/>
        <w:rPr>
          <w:rFonts w:ascii="宋体" w:hAnsi="宋体"/>
          <w:color w:val="auto"/>
          <w:sz w:val="24"/>
        </w:rPr>
      </w:pPr>
      <w:r>
        <w:rPr>
          <w:rFonts w:ascii="宋体" w:hAnsi="宋体"/>
          <w:b/>
          <w:bCs/>
          <w:color w:val="auto"/>
          <w:sz w:val="24"/>
        </w:rPr>
        <w:t xml:space="preserve">8.2.2 </w:t>
      </w:r>
      <w:r>
        <w:rPr>
          <w:rFonts w:hint="eastAsia" w:ascii="宋体" w:hAnsi="宋体"/>
          <w:color w:val="auto"/>
          <w:sz w:val="24"/>
        </w:rPr>
        <w:t>土石方工程实施前，宜形成专项低碳施工方案，确定场地内土石方平衡的可行性或措施。在土石方场内平衡实施中，应做到运距最短。</w:t>
      </w:r>
    </w:p>
    <w:p>
      <w:pPr>
        <w:spacing w:line="360" w:lineRule="auto"/>
        <w:outlineLvl w:val="1"/>
        <w:rPr>
          <w:rFonts w:ascii="宋体" w:hAnsi="宋体"/>
          <w:color w:val="auto"/>
          <w:sz w:val="24"/>
        </w:rPr>
      </w:pPr>
      <w:bookmarkStart w:id="114" w:name="_Toc25576"/>
      <w:r>
        <w:rPr>
          <w:rFonts w:ascii="宋体" w:hAnsi="宋体"/>
          <w:b/>
          <w:bCs/>
          <w:color w:val="auto"/>
          <w:sz w:val="24"/>
        </w:rPr>
        <w:t xml:space="preserve">8.2.3 </w:t>
      </w:r>
      <w:r>
        <w:rPr>
          <w:rFonts w:hint="eastAsia" w:ascii="宋体" w:hAnsi="宋体"/>
          <w:color w:val="auto"/>
          <w:sz w:val="24"/>
        </w:rPr>
        <w:t>土石方施工过程中的渣土宜采取减量化、资源化利用的措施。</w:t>
      </w:r>
      <w:bookmarkEnd w:id="114"/>
    </w:p>
    <w:p>
      <w:pPr>
        <w:spacing w:line="360" w:lineRule="auto"/>
        <w:outlineLvl w:val="2"/>
        <w:rPr>
          <w:rFonts w:ascii="宋体" w:hAnsi="宋体"/>
          <w:color w:val="auto"/>
          <w:sz w:val="24"/>
        </w:rPr>
      </w:pPr>
      <w:r>
        <w:rPr>
          <w:rFonts w:ascii="宋体" w:hAnsi="宋体"/>
          <w:b/>
          <w:bCs/>
          <w:color w:val="auto"/>
          <w:sz w:val="24"/>
        </w:rPr>
        <w:t>8.2.4</w:t>
      </w:r>
      <w:r>
        <w:rPr>
          <w:rFonts w:hint="eastAsia" w:ascii="宋体" w:hAnsi="宋体"/>
          <w:color w:val="auto"/>
          <w:sz w:val="24"/>
        </w:rPr>
        <w:t>桩型选择，应根据项目场地地质条件、土层特性、地下水位、施工环境及条件，选择安全可靠、经济合理的桩基施工工艺，并宜选择预应力等相对低碳、环保的施工工艺和技术。</w:t>
      </w:r>
    </w:p>
    <w:p>
      <w:pPr>
        <w:spacing w:line="360" w:lineRule="auto"/>
        <w:outlineLvl w:val="2"/>
        <w:rPr>
          <w:rFonts w:ascii="宋体" w:hAnsi="宋体"/>
          <w:color w:val="auto"/>
          <w:sz w:val="24"/>
        </w:rPr>
      </w:pPr>
      <w:r>
        <w:rPr>
          <w:rFonts w:ascii="宋体" w:hAnsi="宋体"/>
          <w:b/>
          <w:bCs/>
          <w:color w:val="auto"/>
          <w:sz w:val="24"/>
        </w:rPr>
        <w:t xml:space="preserve">8.2.5 </w:t>
      </w:r>
      <w:r>
        <w:rPr>
          <w:rFonts w:hint="eastAsia" w:ascii="宋体" w:hAnsi="宋体"/>
          <w:color w:val="auto"/>
          <w:sz w:val="24"/>
        </w:rPr>
        <w:t>地基处理在保证安全可靠基础上，宜选用预应力支护体系、可循环利用支护体系等低碳施工工艺和技术。</w:t>
      </w:r>
    </w:p>
    <w:p>
      <w:pPr>
        <w:spacing w:line="360" w:lineRule="auto"/>
        <w:outlineLvl w:val="1"/>
        <w:rPr>
          <w:rFonts w:ascii="宋体" w:hAnsi="宋体"/>
          <w:color w:val="auto"/>
          <w:sz w:val="24"/>
        </w:rPr>
      </w:pPr>
      <w:bookmarkStart w:id="115" w:name="_Toc32380"/>
      <w:r>
        <w:rPr>
          <w:rFonts w:ascii="宋体" w:hAnsi="宋体"/>
          <w:b/>
          <w:bCs/>
          <w:color w:val="auto"/>
          <w:sz w:val="24"/>
        </w:rPr>
        <w:t xml:space="preserve">8.2.6 </w:t>
      </w:r>
      <w:r>
        <w:rPr>
          <w:rFonts w:hint="eastAsia" w:ascii="宋体" w:hAnsi="宋体"/>
          <w:color w:val="auto"/>
          <w:sz w:val="24"/>
        </w:rPr>
        <w:t>施工现场地下水应在场内加以合理利用。</w:t>
      </w:r>
      <w:bookmarkEnd w:id="115"/>
    </w:p>
    <w:p>
      <w:pPr>
        <w:widowControl/>
        <w:shd w:val="clear" w:color="auto" w:fill="FFFFFF"/>
        <w:jc w:val="left"/>
        <w:rPr>
          <w:rFonts w:ascii="楷体" w:hAnsi="楷体" w:eastAsia="楷体" w:cs="宋体"/>
          <w:color w:val="auto"/>
        </w:rPr>
      </w:pPr>
      <w:r>
        <w:rPr>
          <w:rFonts w:hint="eastAsia" w:ascii="楷体" w:hAnsi="楷体" w:eastAsia="楷体" w:cs="宋体"/>
          <w:color w:val="auto"/>
        </w:rPr>
        <w:t>【条文说明】施工现场排出的地下水可用于降尘、绿化、冲洗、养护混凝土等。</w:t>
      </w:r>
    </w:p>
    <w:p>
      <w:pPr>
        <w:pStyle w:val="3"/>
        <w:rPr>
          <w:rFonts w:ascii="仿宋" w:hAnsi="仿宋" w:eastAsia="仿宋"/>
          <w:b w:val="0"/>
          <w:bCs w:val="0"/>
          <w:sz w:val="24"/>
        </w:rPr>
      </w:pPr>
      <w:bookmarkStart w:id="116" w:name="_Toc5767"/>
      <w:r>
        <w:rPr>
          <w:rFonts w:hint="eastAsia" w:ascii="仿宋" w:hAnsi="仿宋" w:eastAsia="仿宋"/>
          <w:sz w:val="24"/>
        </w:rPr>
        <w:t>Ⅱ 主体结构</w:t>
      </w:r>
      <w:bookmarkEnd w:id="116"/>
    </w:p>
    <w:p>
      <w:pPr>
        <w:spacing w:line="360" w:lineRule="auto"/>
        <w:outlineLvl w:val="2"/>
        <w:rPr>
          <w:rFonts w:ascii="宋体" w:hAnsi="宋体"/>
          <w:b/>
          <w:bCs/>
          <w:color w:val="auto"/>
          <w:sz w:val="24"/>
        </w:rPr>
      </w:pPr>
      <w:r>
        <w:rPr>
          <w:rFonts w:hint="eastAsia" w:ascii="宋体" w:hAnsi="宋体"/>
          <w:b/>
          <w:bCs/>
          <w:color w:val="auto"/>
          <w:sz w:val="24"/>
        </w:rPr>
        <w:t>8</w:t>
      </w:r>
      <w:r>
        <w:rPr>
          <w:rFonts w:ascii="宋体" w:hAnsi="宋体"/>
          <w:b/>
          <w:bCs/>
          <w:color w:val="auto"/>
          <w:sz w:val="24"/>
        </w:rPr>
        <w:t xml:space="preserve">.2.7 </w:t>
      </w:r>
      <w:r>
        <w:rPr>
          <w:rFonts w:hint="eastAsia" w:ascii="宋体" w:hAnsi="宋体"/>
          <w:color w:val="auto"/>
          <w:sz w:val="24"/>
        </w:rPr>
        <w:t>主体结构在保证安全可靠基础上，宜选用装配式结构、预拌混凝土、预拌砂浆等施工技术及工艺。</w:t>
      </w:r>
    </w:p>
    <w:p>
      <w:pPr>
        <w:spacing w:line="360" w:lineRule="auto"/>
        <w:outlineLvl w:val="2"/>
        <w:rPr>
          <w:rFonts w:ascii="宋体" w:hAnsi="宋体"/>
          <w:color w:val="auto"/>
          <w:sz w:val="24"/>
        </w:rPr>
      </w:pPr>
      <w:r>
        <w:rPr>
          <w:rFonts w:ascii="宋体" w:hAnsi="宋体"/>
          <w:b/>
          <w:bCs/>
          <w:color w:val="auto"/>
          <w:sz w:val="24"/>
        </w:rPr>
        <w:t>8.2.8</w:t>
      </w:r>
      <w:r>
        <w:rPr>
          <w:rFonts w:ascii="宋体" w:hAnsi="宋体"/>
          <w:color w:val="auto"/>
          <w:sz w:val="24"/>
        </w:rPr>
        <w:t xml:space="preserve"> </w:t>
      </w:r>
      <w:r>
        <w:rPr>
          <w:rFonts w:hint="eastAsia" w:ascii="宋体" w:hAnsi="宋体"/>
          <w:color w:val="auto"/>
          <w:sz w:val="24"/>
        </w:rPr>
        <w:t>装配式结构构件宜采取工厂加工。装配式构件厂宜在项目地址一定距离内选用。装配式构件的存放和运输应采取有效措施防止变形和损坏。</w:t>
      </w:r>
    </w:p>
    <w:p>
      <w:pPr>
        <w:spacing w:line="360" w:lineRule="auto"/>
        <w:rPr>
          <w:rFonts w:ascii="楷体" w:hAnsi="楷体" w:eastAsia="楷体"/>
          <w:b/>
          <w:bCs/>
          <w:color w:val="auto"/>
        </w:rPr>
      </w:pPr>
      <w:r>
        <w:rPr>
          <w:rFonts w:hint="eastAsia" w:ascii="楷体" w:hAnsi="楷体" w:eastAsia="楷体"/>
          <w:color w:val="auto"/>
        </w:rPr>
        <w:t>【条文说明】装配式结构构件宜采取工厂化加工、现场安装，有利于保证建筑质量、提高建造效率与机械化作业水平，同时减少大量施工现场用地。构件在运输与存放过程中，应采取专用支架，防止变形和损坏。</w:t>
      </w:r>
    </w:p>
    <w:p>
      <w:pPr>
        <w:spacing w:line="360" w:lineRule="auto"/>
        <w:outlineLvl w:val="1"/>
        <w:rPr>
          <w:rFonts w:ascii="宋体" w:hAnsi="宋体"/>
          <w:color w:val="auto"/>
          <w:sz w:val="24"/>
        </w:rPr>
      </w:pPr>
      <w:bookmarkStart w:id="117" w:name="_Toc31486"/>
      <w:r>
        <w:rPr>
          <w:rFonts w:hint="eastAsia" w:ascii="宋体" w:hAnsi="宋体"/>
          <w:b/>
          <w:bCs/>
          <w:color w:val="auto"/>
          <w:sz w:val="24"/>
        </w:rPr>
        <w:t>8</w:t>
      </w:r>
      <w:r>
        <w:rPr>
          <w:rFonts w:ascii="宋体" w:hAnsi="宋体"/>
          <w:b/>
          <w:bCs/>
          <w:color w:val="auto"/>
          <w:sz w:val="24"/>
        </w:rPr>
        <w:t xml:space="preserve">.2.9 </w:t>
      </w:r>
      <w:r>
        <w:rPr>
          <w:rFonts w:hint="eastAsia" w:ascii="宋体" w:hAnsi="宋体"/>
          <w:color w:val="auto"/>
          <w:sz w:val="24"/>
        </w:rPr>
        <w:t>装配式构件加工和进场顺序应与现场安装顺序一致，减少构件二次倒运。</w:t>
      </w:r>
      <w:bookmarkEnd w:id="117"/>
    </w:p>
    <w:p>
      <w:pPr>
        <w:spacing w:line="360" w:lineRule="auto"/>
        <w:outlineLvl w:val="2"/>
        <w:rPr>
          <w:rFonts w:ascii="宋体" w:hAnsi="宋体"/>
          <w:b/>
          <w:bCs/>
          <w:color w:val="auto"/>
          <w:sz w:val="24"/>
        </w:rPr>
      </w:pPr>
      <w:r>
        <w:rPr>
          <w:rFonts w:ascii="宋体" w:hAnsi="宋体"/>
          <w:b/>
          <w:bCs/>
          <w:color w:val="auto"/>
          <w:sz w:val="24"/>
        </w:rPr>
        <w:t xml:space="preserve">8.2.10 </w:t>
      </w:r>
      <w:r>
        <w:rPr>
          <w:rFonts w:ascii="宋体" w:hAnsi="宋体"/>
          <w:color w:val="auto"/>
          <w:sz w:val="24"/>
        </w:rPr>
        <w:t>施工现场宜采用预拌混凝土和预拌砂浆。现场搅拌混凝土和砂浆时，应使用散装水泥</w:t>
      </w:r>
      <w:r>
        <w:rPr>
          <w:rFonts w:hint="eastAsia" w:ascii="宋体" w:hAnsi="宋体"/>
          <w:color w:val="auto"/>
          <w:sz w:val="24"/>
        </w:rPr>
        <w:t>。</w:t>
      </w:r>
    </w:p>
    <w:p>
      <w:pPr>
        <w:widowControl/>
        <w:spacing w:line="360" w:lineRule="auto"/>
        <w:jc w:val="left"/>
        <w:rPr>
          <w:rFonts w:hint="eastAsia" w:ascii="FZPingXYSJW" w:hAnsi="FZPingXYSJW"/>
          <w:color w:val="auto"/>
          <w:shd w:val="clear" w:color="auto" w:fill="FFFFFF"/>
        </w:rPr>
      </w:pPr>
    </w:p>
    <w:p>
      <w:pPr>
        <w:pStyle w:val="3"/>
        <w:rPr>
          <w:rFonts w:ascii="仿宋" w:hAnsi="仿宋" w:eastAsia="仿宋"/>
          <w:b w:val="0"/>
          <w:bCs w:val="0"/>
          <w:sz w:val="24"/>
        </w:rPr>
      </w:pPr>
      <w:bookmarkStart w:id="118" w:name="_Toc23555"/>
      <w:r>
        <w:rPr>
          <w:rFonts w:hint="eastAsia" w:ascii="仿宋" w:hAnsi="仿宋" w:eastAsia="仿宋"/>
          <w:sz w:val="24"/>
        </w:rPr>
        <w:t>Ⅲ</w:t>
      </w:r>
      <w:r>
        <w:rPr>
          <w:rFonts w:ascii="仿宋" w:hAnsi="仿宋" w:eastAsia="仿宋"/>
          <w:sz w:val="24"/>
        </w:rPr>
        <w:t xml:space="preserve"> </w:t>
      </w:r>
      <w:r>
        <w:rPr>
          <w:rFonts w:hint="eastAsia" w:ascii="仿宋" w:hAnsi="仿宋" w:eastAsia="仿宋"/>
          <w:sz w:val="24"/>
        </w:rPr>
        <w:t>混凝土结构工程</w:t>
      </w:r>
      <w:bookmarkEnd w:id="118"/>
    </w:p>
    <w:p>
      <w:pPr>
        <w:widowControl/>
        <w:jc w:val="left"/>
        <w:rPr>
          <w:rFonts w:hint="eastAsia" w:ascii="FZPingXYSJW" w:hAnsi="FZPingXYSJW"/>
          <w:color w:val="auto"/>
          <w:shd w:val="clear" w:color="auto" w:fill="FFFFFF"/>
        </w:rPr>
      </w:pPr>
    </w:p>
    <w:p>
      <w:pPr>
        <w:spacing w:line="360" w:lineRule="auto"/>
        <w:outlineLvl w:val="2"/>
        <w:rPr>
          <w:rFonts w:ascii="宋体" w:hAnsi="宋体"/>
          <w:color w:val="auto"/>
          <w:sz w:val="24"/>
        </w:rPr>
      </w:pPr>
      <w:r>
        <w:rPr>
          <w:rFonts w:hint="eastAsia" w:ascii="宋体" w:hAnsi="宋体"/>
          <w:b/>
          <w:bCs/>
          <w:color w:val="auto"/>
          <w:sz w:val="24"/>
        </w:rPr>
        <w:t>8</w:t>
      </w:r>
      <w:r>
        <w:rPr>
          <w:rFonts w:ascii="宋体" w:hAnsi="宋体"/>
          <w:b/>
          <w:bCs/>
          <w:color w:val="auto"/>
          <w:sz w:val="24"/>
        </w:rPr>
        <w:t xml:space="preserve">.2.11 </w:t>
      </w:r>
      <w:r>
        <w:rPr>
          <w:rFonts w:hint="eastAsia" w:ascii="宋体" w:hAnsi="宋体"/>
          <w:color w:val="auto"/>
          <w:sz w:val="24"/>
        </w:rPr>
        <w:t>钢筋、混凝土、模板、木方等材料宜采取有效措施，如专业信息化手段等进行下料，减少材料损耗。</w:t>
      </w:r>
    </w:p>
    <w:p>
      <w:pPr>
        <w:spacing w:line="360" w:lineRule="auto"/>
        <w:outlineLvl w:val="2"/>
        <w:rPr>
          <w:rFonts w:ascii="宋体" w:hAnsi="宋体"/>
          <w:color w:val="auto"/>
          <w:sz w:val="24"/>
        </w:rPr>
      </w:pPr>
      <w:r>
        <w:rPr>
          <w:rFonts w:ascii="宋体" w:hAnsi="宋体"/>
          <w:b/>
          <w:bCs/>
          <w:color w:val="auto"/>
          <w:sz w:val="24"/>
        </w:rPr>
        <w:t xml:space="preserve">8.2.12 </w:t>
      </w:r>
      <w:r>
        <w:rPr>
          <w:rFonts w:hint="eastAsia" w:ascii="宋体" w:hAnsi="宋体"/>
          <w:color w:val="auto"/>
          <w:sz w:val="24"/>
        </w:rPr>
        <w:t>满足设计及安全可靠要求的情况下，宜采用高强混凝土，减少混凝土材料的用量。</w:t>
      </w:r>
    </w:p>
    <w:p>
      <w:pPr>
        <w:spacing w:line="360" w:lineRule="auto"/>
        <w:outlineLvl w:val="1"/>
        <w:rPr>
          <w:rFonts w:ascii="宋体" w:hAnsi="宋体"/>
          <w:color w:val="auto"/>
          <w:sz w:val="24"/>
        </w:rPr>
      </w:pPr>
      <w:bookmarkStart w:id="119" w:name="_Toc4389"/>
      <w:r>
        <w:rPr>
          <w:rFonts w:hint="eastAsia" w:ascii="宋体" w:hAnsi="宋体"/>
          <w:b/>
          <w:bCs/>
          <w:color w:val="auto"/>
          <w:sz w:val="24"/>
        </w:rPr>
        <w:t>8</w:t>
      </w:r>
      <w:r>
        <w:rPr>
          <w:rFonts w:ascii="宋体" w:hAnsi="宋体"/>
          <w:b/>
          <w:bCs/>
          <w:color w:val="auto"/>
          <w:sz w:val="24"/>
        </w:rPr>
        <w:t xml:space="preserve">.2.13 </w:t>
      </w:r>
      <w:r>
        <w:rPr>
          <w:rFonts w:hint="eastAsia" w:ascii="宋体" w:hAnsi="宋体"/>
          <w:color w:val="auto"/>
          <w:sz w:val="24"/>
        </w:rPr>
        <w:t>钢筋工程宜采用专业化生产的成型钢筋，减少现场加工。</w:t>
      </w:r>
      <w:bookmarkEnd w:id="119"/>
    </w:p>
    <w:p>
      <w:pPr>
        <w:spacing w:line="360" w:lineRule="auto"/>
        <w:outlineLvl w:val="2"/>
        <w:rPr>
          <w:rFonts w:ascii="宋体" w:hAnsi="宋体"/>
          <w:color w:val="auto"/>
          <w:sz w:val="24"/>
        </w:rPr>
      </w:pPr>
      <w:r>
        <w:rPr>
          <w:rFonts w:ascii="宋体" w:hAnsi="宋体"/>
          <w:b/>
          <w:bCs/>
          <w:color w:val="auto"/>
          <w:sz w:val="24"/>
        </w:rPr>
        <w:t>8.2.1</w:t>
      </w:r>
      <w:r>
        <w:rPr>
          <w:rFonts w:hint="eastAsia" w:ascii="宋体" w:hAnsi="宋体"/>
          <w:b/>
          <w:bCs/>
          <w:color w:val="auto"/>
          <w:sz w:val="24"/>
        </w:rPr>
        <w:t>4</w:t>
      </w:r>
      <w:r>
        <w:rPr>
          <w:rFonts w:ascii="宋体" w:hAnsi="宋体"/>
          <w:b/>
          <w:bCs/>
          <w:color w:val="auto"/>
          <w:sz w:val="24"/>
        </w:rPr>
        <w:t xml:space="preserve"> </w:t>
      </w:r>
      <w:r>
        <w:rPr>
          <w:rFonts w:ascii="宋体" w:hAnsi="宋体"/>
          <w:color w:val="auto"/>
          <w:sz w:val="24"/>
        </w:rPr>
        <w:t>混凝土浇筑余料应制成小型预制件，或采用其他措施加以利用，不得随意倾倒。</w:t>
      </w:r>
    </w:p>
    <w:p>
      <w:pPr>
        <w:spacing w:line="360" w:lineRule="auto"/>
        <w:rPr>
          <w:rFonts w:ascii="楷体" w:hAnsi="楷体" w:eastAsia="楷体"/>
          <w:color w:val="auto"/>
        </w:rPr>
      </w:pPr>
      <w:r>
        <w:rPr>
          <w:rFonts w:hint="eastAsia" w:ascii="楷体" w:hAnsi="楷体" w:eastAsia="楷体"/>
          <w:color w:val="auto"/>
        </w:rPr>
        <w:t>【条文说明】每次浇筑混凝土时，不可避免地会有少量剩余，应制成小型预制件，用于临时工程或在不影响工程质量安全的提前下用于门窗过梁、沟盖板、隔断墙中的预埋件砌块等，充分利用剩余材料;不得随意倒掉或当作建筑垃圾处理。</w:t>
      </w:r>
    </w:p>
    <w:p>
      <w:pPr>
        <w:pStyle w:val="3"/>
        <w:rPr>
          <w:rFonts w:ascii="仿宋" w:hAnsi="仿宋" w:eastAsia="仿宋"/>
          <w:b w:val="0"/>
          <w:bCs w:val="0"/>
          <w:sz w:val="24"/>
        </w:rPr>
      </w:pPr>
      <w:bookmarkStart w:id="120" w:name="_Toc7898"/>
      <w:r>
        <w:rPr>
          <w:rFonts w:hint="eastAsia" w:ascii="仿宋" w:hAnsi="仿宋" w:eastAsia="仿宋"/>
          <w:sz w:val="24"/>
        </w:rPr>
        <w:t>Ⅳ</w:t>
      </w:r>
      <w:r>
        <w:rPr>
          <w:rFonts w:ascii="仿宋" w:hAnsi="仿宋" w:eastAsia="仿宋"/>
          <w:sz w:val="24"/>
        </w:rPr>
        <w:t xml:space="preserve"> </w:t>
      </w:r>
      <w:r>
        <w:rPr>
          <w:rFonts w:hint="eastAsia" w:ascii="仿宋" w:hAnsi="仿宋" w:eastAsia="仿宋"/>
          <w:sz w:val="24"/>
        </w:rPr>
        <w:t>砌体结构工程</w:t>
      </w:r>
      <w:bookmarkEnd w:id="120"/>
    </w:p>
    <w:p>
      <w:pPr>
        <w:spacing w:line="360" w:lineRule="auto"/>
        <w:outlineLvl w:val="2"/>
        <w:rPr>
          <w:rFonts w:ascii="宋体" w:hAnsi="宋体"/>
          <w:b/>
          <w:bCs/>
          <w:color w:val="auto"/>
          <w:sz w:val="24"/>
        </w:rPr>
      </w:pPr>
      <w:r>
        <w:rPr>
          <w:rFonts w:hint="eastAsia" w:ascii="宋体" w:hAnsi="宋体"/>
          <w:b/>
          <w:bCs/>
          <w:color w:val="auto"/>
          <w:sz w:val="24"/>
        </w:rPr>
        <w:t>8</w:t>
      </w:r>
      <w:r>
        <w:rPr>
          <w:rFonts w:ascii="宋体" w:hAnsi="宋体"/>
          <w:b/>
          <w:bCs/>
          <w:color w:val="auto"/>
          <w:sz w:val="24"/>
        </w:rPr>
        <w:t>.2.1</w:t>
      </w:r>
      <w:r>
        <w:rPr>
          <w:rFonts w:hint="eastAsia" w:ascii="宋体" w:hAnsi="宋体"/>
          <w:b/>
          <w:bCs/>
          <w:color w:val="auto"/>
          <w:sz w:val="24"/>
        </w:rPr>
        <w:t>5</w:t>
      </w:r>
      <w:r>
        <w:rPr>
          <w:rFonts w:ascii="宋体" w:hAnsi="宋体"/>
          <w:b/>
          <w:bCs/>
          <w:color w:val="auto"/>
          <w:sz w:val="24"/>
        </w:rPr>
        <w:t xml:space="preserve"> </w:t>
      </w:r>
      <w:r>
        <w:rPr>
          <w:rFonts w:hint="eastAsia" w:ascii="宋体" w:hAnsi="宋体"/>
          <w:color w:val="auto"/>
          <w:sz w:val="24"/>
        </w:rPr>
        <w:t>砌体结构在保证安全可靠的基础上，宜采用工业废料或废渣制作的砌块及其它节能环保的砌块。</w:t>
      </w:r>
    </w:p>
    <w:p>
      <w:pPr>
        <w:spacing w:line="360" w:lineRule="auto"/>
        <w:outlineLvl w:val="1"/>
        <w:rPr>
          <w:rFonts w:ascii="宋体" w:hAnsi="宋体"/>
          <w:color w:val="auto"/>
          <w:sz w:val="24"/>
        </w:rPr>
      </w:pPr>
      <w:bookmarkStart w:id="121" w:name="_Toc3420"/>
      <w:r>
        <w:rPr>
          <w:rFonts w:ascii="宋体" w:hAnsi="宋体"/>
          <w:b/>
          <w:bCs/>
          <w:color w:val="auto"/>
          <w:sz w:val="24"/>
        </w:rPr>
        <w:t>8.2.1</w:t>
      </w:r>
      <w:r>
        <w:rPr>
          <w:rFonts w:hint="eastAsia" w:ascii="宋体" w:hAnsi="宋体"/>
          <w:b/>
          <w:bCs/>
          <w:color w:val="auto"/>
          <w:sz w:val="24"/>
        </w:rPr>
        <w:t>6</w:t>
      </w:r>
      <w:r>
        <w:rPr>
          <w:rFonts w:ascii="宋体" w:hAnsi="宋体"/>
          <w:b/>
          <w:bCs/>
          <w:color w:val="auto"/>
          <w:sz w:val="24"/>
        </w:rPr>
        <w:t xml:space="preserve"> </w:t>
      </w:r>
      <w:r>
        <w:rPr>
          <w:rFonts w:hint="eastAsia" w:ascii="宋体" w:hAnsi="宋体"/>
          <w:color w:val="auto"/>
          <w:sz w:val="24"/>
        </w:rPr>
        <w:t>砌块运输宜采用托板整体包装，按需提料，现场应减少二次搬运。</w:t>
      </w:r>
      <w:bookmarkEnd w:id="121"/>
    </w:p>
    <w:p>
      <w:pPr>
        <w:spacing w:line="360" w:lineRule="auto"/>
        <w:outlineLvl w:val="1"/>
        <w:rPr>
          <w:rFonts w:ascii="宋体" w:hAnsi="宋体"/>
          <w:color w:val="auto"/>
          <w:sz w:val="24"/>
        </w:rPr>
      </w:pPr>
      <w:bookmarkStart w:id="122" w:name="_Toc24105"/>
      <w:r>
        <w:rPr>
          <w:rFonts w:ascii="宋体" w:hAnsi="宋体"/>
          <w:b/>
          <w:bCs/>
          <w:color w:val="auto"/>
          <w:sz w:val="24"/>
        </w:rPr>
        <w:t>8.2.</w:t>
      </w:r>
      <w:r>
        <w:rPr>
          <w:rFonts w:hint="eastAsia" w:ascii="宋体" w:hAnsi="宋体"/>
          <w:b/>
          <w:bCs/>
          <w:color w:val="auto"/>
          <w:sz w:val="24"/>
        </w:rPr>
        <w:t>17</w:t>
      </w:r>
      <w:r>
        <w:rPr>
          <w:rFonts w:ascii="宋体" w:hAnsi="宋体"/>
          <w:b/>
          <w:bCs/>
          <w:color w:val="auto"/>
          <w:sz w:val="24"/>
        </w:rPr>
        <w:t xml:space="preserve"> </w:t>
      </w:r>
      <w:r>
        <w:rPr>
          <w:rFonts w:hint="eastAsia" w:ascii="宋体" w:hAnsi="宋体"/>
          <w:color w:val="auto"/>
          <w:sz w:val="24"/>
        </w:rPr>
        <w:t>砌体砌筑时产生的废弃砌块，应合理加以回收利用。</w:t>
      </w:r>
      <w:bookmarkEnd w:id="122"/>
    </w:p>
    <w:p>
      <w:pPr>
        <w:pStyle w:val="3"/>
        <w:rPr>
          <w:rFonts w:ascii="仿宋" w:hAnsi="仿宋" w:eastAsia="仿宋"/>
          <w:b w:val="0"/>
          <w:bCs w:val="0"/>
          <w:sz w:val="24"/>
        </w:rPr>
      </w:pPr>
      <w:bookmarkStart w:id="123" w:name="_Toc11577"/>
      <w:r>
        <w:rPr>
          <w:rFonts w:hint="eastAsia" w:ascii="仿宋" w:hAnsi="仿宋" w:eastAsia="仿宋"/>
          <w:sz w:val="24"/>
        </w:rPr>
        <w:t>Ⅴ</w:t>
      </w:r>
      <w:r>
        <w:rPr>
          <w:rFonts w:ascii="仿宋" w:hAnsi="仿宋" w:eastAsia="仿宋"/>
          <w:sz w:val="24"/>
        </w:rPr>
        <w:t xml:space="preserve"> </w:t>
      </w:r>
      <w:r>
        <w:rPr>
          <w:rFonts w:hint="eastAsia" w:ascii="仿宋" w:hAnsi="仿宋" w:eastAsia="仿宋"/>
          <w:sz w:val="24"/>
        </w:rPr>
        <w:t>钢结构工程</w:t>
      </w:r>
      <w:bookmarkEnd w:id="123"/>
    </w:p>
    <w:p>
      <w:pPr>
        <w:spacing w:line="360" w:lineRule="auto"/>
        <w:outlineLvl w:val="2"/>
        <w:rPr>
          <w:rFonts w:ascii="宋体" w:hAnsi="宋体"/>
          <w:color w:val="auto"/>
          <w:sz w:val="24"/>
        </w:rPr>
      </w:pPr>
      <w:r>
        <w:rPr>
          <w:rFonts w:hint="eastAsia" w:ascii="宋体" w:hAnsi="宋体"/>
          <w:b/>
          <w:bCs/>
          <w:color w:val="auto"/>
          <w:sz w:val="24"/>
        </w:rPr>
        <w:t>8</w:t>
      </w:r>
      <w:r>
        <w:rPr>
          <w:rFonts w:ascii="宋体" w:hAnsi="宋体"/>
          <w:b/>
          <w:bCs/>
          <w:color w:val="auto"/>
          <w:sz w:val="24"/>
        </w:rPr>
        <w:t>.2.</w:t>
      </w:r>
      <w:r>
        <w:rPr>
          <w:rFonts w:hint="eastAsia" w:ascii="宋体" w:hAnsi="宋体"/>
          <w:b/>
          <w:bCs/>
          <w:color w:val="auto"/>
          <w:sz w:val="24"/>
        </w:rPr>
        <w:t>18</w:t>
      </w:r>
      <w:r>
        <w:rPr>
          <w:rFonts w:ascii="宋体" w:hAnsi="宋体"/>
          <w:color w:val="auto"/>
          <w:sz w:val="24"/>
        </w:rPr>
        <w:t xml:space="preserve"> </w:t>
      </w:r>
      <w:r>
        <w:rPr>
          <w:rFonts w:hint="eastAsia" w:ascii="宋体" w:hAnsi="宋体"/>
          <w:color w:val="auto"/>
          <w:sz w:val="24"/>
        </w:rPr>
        <w:t>钢结构工程应在深化设计过程中，综合考虑项目特点和现场条件，结合加工、运输、安装和焊接工艺要求等，确定分段、分节数量和位置，优化节点构造，减少钢材用量。</w:t>
      </w:r>
    </w:p>
    <w:p>
      <w:pPr>
        <w:spacing w:line="360" w:lineRule="auto"/>
        <w:outlineLvl w:val="1"/>
        <w:rPr>
          <w:rFonts w:ascii="宋体" w:hAnsi="宋体"/>
          <w:color w:val="auto"/>
          <w:sz w:val="24"/>
        </w:rPr>
      </w:pPr>
      <w:bookmarkStart w:id="124" w:name="_Toc30803"/>
      <w:r>
        <w:rPr>
          <w:rFonts w:hint="eastAsia" w:ascii="宋体" w:hAnsi="宋体"/>
          <w:b/>
          <w:bCs/>
          <w:color w:val="auto"/>
          <w:sz w:val="24"/>
        </w:rPr>
        <w:t>8</w:t>
      </w:r>
      <w:r>
        <w:rPr>
          <w:rFonts w:ascii="宋体" w:hAnsi="宋体"/>
          <w:b/>
          <w:bCs/>
          <w:color w:val="auto"/>
          <w:sz w:val="24"/>
        </w:rPr>
        <w:t>.2.</w:t>
      </w:r>
      <w:r>
        <w:rPr>
          <w:rFonts w:hint="eastAsia" w:ascii="宋体" w:hAnsi="宋体"/>
          <w:b/>
          <w:bCs/>
          <w:color w:val="auto"/>
          <w:sz w:val="24"/>
        </w:rPr>
        <w:t>19</w:t>
      </w:r>
      <w:r>
        <w:rPr>
          <w:rFonts w:ascii="宋体" w:hAnsi="宋体"/>
          <w:b/>
          <w:bCs/>
          <w:color w:val="auto"/>
          <w:sz w:val="24"/>
        </w:rPr>
        <w:t xml:space="preserve"> </w:t>
      </w:r>
      <w:r>
        <w:rPr>
          <w:rFonts w:hint="eastAsia" w:ascii="宋体" w:hAnsi="宋体"/>
          <w:color w:val="auto"/>
          <w:sz w:val="24"/>
        </w:rPr>
        <w:t>钢结构连接节点在保证安全可靠的前提下，宜选用高强螺栓连接。</w:t>
      </w:r>
      <w:bookmarkEnd w:id="124"/>
    </w:p>
    <w:p>
      <w:pPr>
        <w:spacing w:line="360" w:lineRule="auto"/>
        <w:outlineLvl w:val="2"/>
        <w:rPr>
          <w:rFonts w:ascii="宋体" w:hAnsi="宋体"/>
          <w:color w:val="auto"/>
          <w:sz w:val="24"/>
        </w:rPr>
      </w:pPr>
      <w:r>
        <w:rPr>
          <w:rFonts w:ascii="宋体" w:hAnsi="宋体"/>
          <w:b/>
          <w:bCs/>
          <w:color w:val="auto"/>
          <w:sz w:val="24"/>
        </w:rPr>
        <w:t>8.2.2</w:t>
      </w:r>
      <w:r>
        <w:rPr>
          <w:rFonts w:hint="eastAsia" w:ascii="宋体" w:hAnsi="宋体"/>
          <w:b/>
          <w:bCs/>
          <w:color w:val="auto"/>
          <w:sz w:val="24"/>
        </w:rPr>
        <w:t>0</w:t>
      </w:r>
      <w:r>
        <w:rPr>
          <w:rFonts w:ascii="宋体" w:hAnsi="宋体"/>
          <w:b/>
          <w:bCs/>
          <w:color w:val="auto"/>
          <w:sz w:val="24"/>
        </w:rPr>
        <w:t xml:space="preserve"> </w:t>
      </w:r>
      <w:r>
        <w:rPr>
          <w:rFonts w:ascii="宋体" w:hAnsi="宋体"/>
          <w:color w:val="auto"/>
          <w:sz w:val="24"/>
        </w:rPr>
        <w:t>钢结构加工应制定废料减量计划，优化下料，综合利用余料，废料应分类收集、集中堆放、定期回收处理。</w:t>
      </w:r>
    </w:p>
    <w:p>
      <w:pPr>
        <w:pStyle w:val="3"/>
        <w:rPr>
          <w:rFonts w:ascii="仿宋" w:hAnsi="仿宋" w:eastAsia="仿宋"/>
          <w:b w:val="0"/>
          <w:bCs w:val="0"/>
          <w:sz w:val="24"/>
        </w:rPr>
      </w:pPr>
      <w:bookmarkStart w:id="125" w:name="_Toc14358"/>
      <w:r>
        <w:rPr>
          <w:rFonts w:hint="eastAsia" w:ascii="仿宋" w:hAnsi="仿宋" w:eastAsia="仿宋"/>
          <w:sz w:val="24"/>
        </w:rPr>
        <w:t>Ⅵ</w:t>
      </w:r>
      <w:r>
        <w:rPr>
          <w:rFonts w:ascii="仿宋" w:hAnsi="仿宋" w:eastAsia="仿宋"/>
          <w:sz w:val="24"/>
        </w:rPr>
        <w:t xml:space="preserve"> </w:t>
      </w:r>
      <w:r>
        <w:rPr>
          <w:rFonts w:hint="eastAsia" w:ascii="仿宋" w:hAnsi="仿宋" w:eastAsia="仿宋"/>
          <w:sz w:val="24"/>
        </w:rPr>
        <w:t>装饰装修工程</w:t>
      </w:r>
      <w:bookmarkEnd w:id="125"/>
    </w:p>
    <w:p>
      <w:pPr>
        <w:widowControl/>
        <w:jc w:val="left"/>
        <w:rPr>
          <w:rFonts w:hint="eastAsia" w:ascii="FZPingXYSJW" w:hAnsi="FZPingXYSJW"/>
          <w:color w:val="auto"/>
          <w:shd w:val="clear" w:color="auto" w:fill="FFFFFF"/>
        </w:rPr>
      </w:pPr>
    </w:p>
    <w:p>
      <w:pPr>
        <w:spacing w:line="360" w:lineRule="auto"/>
        <w:outlineLvl w:val="2"/>
        <w:rPr>
          <w:rFonts w:ascii="宋体" w:hAnsi="宋体"/>
          <w:color w:val="auto"/>
          <w:sz w:val="24"/>
        </w:rPr>
      </w:pPr>
      <w:r>
        <w:rPr>
          <w:rFonts w:hint="eastAsia" w:ascii="宋体" w:hAnsi="宋体"/>
          <w:b/>
          <w:bCs/>
          <w:color w:val="auto"/>
          <w:sz w:val="24"/>
        </w:rPr>
        <w:t>8</w:t>
      </w:r>
      <w:r>
        <w:rPr>
          <w:rFonts w:ascii="宋体" w:hAnsi="宋体"/>
          <w:b/>
          <w:bCs/>
          <w:color w:val="auto"/>
          <w:sz w:val="24"/>
        </w:rPr>
        <w:t>.2.2</w:t>
      </w:r>
      <w:r>
        <w:rPr>
          <w:rFonts w:hint="eastAsia" w:ascii="宋体" w:hAnsi="宋体"/>
          <w:b/>
          <w:bCs/>
          <w:color w:val="auto"/>
          <w:sz w:val="24"/>
        </w:rPr>
        <w:t>1</w:t>
      </w:r>
      <w:r>
        <w:rPr>
          <w:rFonts w:ascii="宋体" w:hAnsi="宋体"/>
          <w:b/>
          <w:bCs/>
          <w:color w:val="auto"/>
          <w:sz w:val="24"/>
        </w:rPr>
        <w:t xml:space="preserve"> </w:t>
      </w:r>
      <w:r>
        <w:rPr>
          <w:rFonts w:hint="eastAsia" w:ascii="宋体" w:hAnsi="宋体"/>
          <w:color w:val="auto"/>
          <w:sz w:val="24"/>
        </w:rPr>
        <w:t>装饰装修工程在条件具备的场景下，宜选用装配式装修等绿色低碳施工新技术和工艺。</w:t>
      </w:r>
      <w:bookmarkStart w:id="126" w:name="_Hlk144201493"/>
      <w:r>
        <w:rPr>
          <w:rFonts w:hint="eastAsia" w:ascii="宋体" w:hAnsi="宋体"/>
          <w:color w:val="auto"/>
          <w:sz w:val="24"/>
        </w:rPr>
        <w:t>装饰装修工程所采用门窗、幕墙、板材等主材宜采用工厂化加工。</w:t>
      </w:r>
      <w:bookmarkEnd w:id="126"/>
      <w:r>
        <w:rPr>
          <w:rFonts w:hint="eastAsia" w:ascii="宋体" w:hAnsi="宋体"/>
          <w:color w:val="auto"/>
          <w:sz w:val="24"/>
        </w:rPr>
        <w:t>装饰用砂浆宜采用预拌砂浆。吊顶施工中，应提高工厂化部件的使用比例，减少板材、型材的现场切割。隔墙材料宜采用轻质砌块砌体或轻质墙板。</w:t>
      </w:r>
    </w:p>
    <w:p>
      <w:pPr>
        <w:spacing w:line="360" w:lineRule="auto"/>
        <w:outlineLvl w:val="2"/>
        <w:rPr>
          <w:rFonts w:ascii="楷体" w:hAnsi="楷体" w:eastAsia="楷体"/>
          <w:color w:val="auto"/>
        </w:rPr>
      </w:pPr>
      <w:r>
        <w:rPr>
          <w:rFonts w:hint="eastAsia" w:ascii="楷体" w:hAnsi="楷体" w:eastAsia="楷体"/>
          <w:color w:val="auto"/>
        </w:rPr>
        <w:t>【条文说明】发展装配式装修，减少现场施工，大幅缩短工期，提高建筑质量，减少噪声、粉尘污染，显著降低装饰装修过程中产生的碳排放。装饰装修工程所采用门窗、幕墙、板材等主材宜采用工厂化加工，可减少现场加工产生的占地、耗能及可能产生的噪声及废水。</w:t>
      </w:r>
    </w:p>
    <w:p>
      <w:pPr>
        <w:spacing w:line="360" w:lineRule="auto"/>
        <w:outlineLvl w:val="2"/>
        <w:rPr>
          <w:rFonts w:ascii="宋体" w:hAnsi="宋体"/>
          <w:b/>
          <w:bCs/>
          <w:color w:val="auto"/>
          <w:sz w:val="24"/>
        </w:rPr>
      </w:pPr>
      <w:r>
        <w:rPr>
          <w:rFonts w:ascii="宋体" w:hAnsi="宋体"/>
          <w:b/>
          <w:bCs/>
          <w:color w:val="auto"/>
          <w:sz w:val="24"/>
        </w:rPr>
        <w:t>8.2.2</w:t>
      </w:r>
      <w:r>
        <w:rPr>
          <w:rFonts w:hint="eastAsia" w:ascii="宋体" w:hAnsi="宋体"/>
          <w:b/>
          <w:bCs/>
          <w:color w:val="auto"/>
          <w:sz w:val="24"/>
        </w:rPr>
        <w:t>2</w:t>
      </w:r>
      <w:r>
        <w:rPr>
          <w:rFonts w:ascii="宋体" w:hAnsi="宋体"/>
          <w:b/>
          <w:bCs/>
          <w:color w:val="auto"/>
          <w:sz w:val="24"/>
        </w:rPr>
        <w:t xml:space="preserve"> </w:t>
      </w:r>
      <w:r>
        <w:rPr>
          <w:rFonts w:hint="eastAsia" w:ascii="宋体" w:hAnsi="宋体"/>
          <w:color w:val="auto"/>
          <w:sz w:val="24"/>
        </w:rPr>
        <w:t>应采用信息化的管理手段，制定针对装饰装修阶段的材料用量的减量化方案，减少材料的损耗。</w:t>
      </w:r>
    </w:p>
    <w:p>
      <w:pPr>
        <w:spacing w:line="360" w:lineRule="auto"/>
        <w:outlineLvl w:val="1"/>
        <w:rPr>
          <w:rFonts w:ascii="宋体" w:hAnsi="宋体"/>
          <w:color w:val="auto"/>
          <w:sz w:val="24"/>
        </w:rPr>
      </w:pPr>
      <w:bookmarkStart w:id="127" w:name="_Toc30661"/>
      <w:r>
        <w:rPr>
          <w:rFonts w:ascii="宋体" w:hAnsi="宋体"/>
          <w:b/>
          <w:bCs/>
          <w:color w:val="auto"/>
          <w:sz w:val="24"/>
        </w:rPr>
        <w:t>8.2.2</w:t>
      </w:r>
      <w:r>
        <w:rPr>
          <w:rFonts w:hint="eastAsia" w:ascii="宋体" w:hAnsi="宋体"/>
          <w:b/>
          <w:bCs/>
          <w:color w:val="auto"/>
          <w:sz w:val="24"/>
        </w:rPr>
        <w:t>3</w:t>
      </w:r>
      <w:r>
        <w:rPr>
          <w:rFonts w:ascii="宋体" w:hAnsi="宋体"/>
          <w:b/>
          <w:bCs/>
          <w:color w:val="auto"/>
          <w:sz w:val="24"/>
        </w:rPr>
        <w:t xml:space="preserve"> </w:t>
      </w:r>
      <w:r>
        <w:rPr>
          <w:rFonts w:hint="eastAsia" w:ascii="宋体" w:hAnsi="宋体"/>
          <w:color w:val="auto"/>
          <w:sz w:val="24"/>
        </w:rPr>
        <w:t>装饰装修工程所产生的建筑垃圾应分类回收。</w:t>
      </w:r>
      <w:bookmarkEnd w:id="127"/>
    </w:p>
    <w:p>
      <w:pPr>
        <w:widowControl/>
        <w:jc w:val="left"/>
        <w:rPr>
          <w:rFonts w:hint="eastAsia" w:ascii="FZPingXYSJW" w:hAnsi="FZPingXYSJW"/>
          <w:color w:val="auto"/>
          <w:shd w:val="clear" w:color="auto" w:fill="FFFFFF"/>
        </w:rPr>
      </w:pPr>
    </w:p>
    <w:p>
      <w:pPr>
        <w:pStyle w:val="3"/>
        <w:rPr>
          <w:rFonts w:ascii="仿宋" w:hAnsi="仿宋" w:eastAsia="仿宋"/>
          <w:b w:val="0"/>
          <w:bCs w:val="0"/>
          <w:sz w:val="24"/>
        </w:rPr>
      </w:pPr>
      <w:bookmarkStart w:id="128" w:name="_Toc21825"/>
      <w:r>
        <w:rPr>
          <w:rFonts w:hint="eastAsia" w:ascii="仿宋" w:hAnsi="仿宋" w:eastAsia="仿宋"/>
          <w:sz w:val="24"/>
        </w:rPr>
        <w:t>Ⅶ</w:t>
      </w:r>
      <w:r>
        <w:rPr>
          <w:rFonts w:ascii="仿宋" w:hAnsi="仿宋" w:eastAsia="仿宋"/>
          <w:sz w:val="24"/>
        </w:rPr>
        <w:t xml:space="preserve"> </w:t>
      </w:r>
      <w:r>
        <w:rPr>
          <w:rFonts w:hint="eastAsia" w:ascii="仿宋" w:hAnsi="仿宋" w:eastAsia="仿宋"/>
          <w:sz w:val="24"/>
        </w:rPr>
        <w:t>保温和防水工程</w:t>
      </w:r>
      <w:bookmarkEnd w:id="128"/>
    </w:p>
    <w:p>
      <w:pPr>
        <w:spacing w:line="360" w:lineRule="auto"/>
        <w:outlineLvl w:val="2"/>
        <w:rPr>
          <w:rFonts w:ascii="宋体" w:hAnsi="宋体"/>
          <w:color w:val="auto"/>
          <w:sz w:val="24"/>
        </w:rPr>
      </w:pPr>
      <w:r>
        <w:rPr>
          <w:rFonts w:hint="eastAsia" w:ascii="宋体" w:hAnsi="宋体"/>
          <w:b/>
          <w:bCs/>
          <w:color w:val="auto"/>
          <w:sz w:val="24"/>
        </w:rPr>
        <w:t>8</w:t>
      </w:r>
      <w:r>
        <w:rPr>
          <w:rFonts w:ascii="宋体" w:hAnsi="宋体"/>
          <w:b/>
          <w:bCs/>
          <w:color w:val="auto"/>
          <w:sz w:val="24"/>
        </w:rPr>
        <w:t>.2.</w:t>
      </w:r>
      <w:r>
        <w:rPr>
          <w:rFonts w:hint="eastAsia" w:ascii="宋体" w:hAnsi="宋体"/>
          <w:b/>
          <w:bCs/>
          <w:color w:val="auto"/>
          <w:sz w:val="24"/>
        </w:rPr>
        <w:t>24</w:t>
      </w:r>
      <w:r>
        <w:rPr>
          <w:rFonts w:ascii="宋体" w:hAnsi="宋体"/>
          <w:b/>
          <w:bCs/>
          <w:color w:val="auto"/>
          <w:sz w:val="24"/>
        </w:rPr>
        <w:t xml:space="preserve"> </w:t>
      </w:r>
      <w:r>
        <w:rPr>
          <w:rFonts w:hint="eastAsia" w:ascii="宋体" w:hAnsi="宋体"/>
          <w:color w:val="auto"/>
          <w:sz w:val="24"/>
        </w:rPr>
        <w:t>保温和防水工程施工前，应采取信息化等先进手段，进行预先排版，减少主要材料的损耗量。</w:t>
      </w:r>
    </w:p>
    <w:p>
      <w:pPr>
        <w:spacing w:line="360" w:lineRule="auto"/>
        <w:outlineLvl w:val="2"/>
        <w:rPr>
          <w:rFonts w:ascii="宋体" w:hAnsi="宋体"/>
          <w:color w:val="auto"/>
          <w:sz w:val="24"/>
        </w:rPr>
      </w:pPr>
      <w:r>
        <w:rPr>
          <w:rFonts w:ascii="宋体" w:hAnsi="宋体"/>
          <w:b/>
          <w:bCs/>
          <w:color w:val="auto"/>
          <w:sz w:val="24"/>
        </w:rPr>
        <w:t>8.2.</w:t>
      </w:r>
      <w:r>
        <w:rPr>
          <w:rFonts w:hint="eastAsia" w:ascii="宋体" w:hAnsi="宋体"/>
          <w:b/>
          <w:bCs/>
          <w:color w:val="auto"/>
          <w:sz w:val="24"/>
        </w:rPr>
        <w:t>25</w:t>
      </w:r>
      <w:r>
        <w:rPr>
          <w:rFonts w:ascii="宋体" w:hAnsi="宋体"/>
          <w:b/>
          <w:bCs/>
          <w:color w:val="auto"/>
          <w:sz w:val="24"/>
        </w:rPr>
        <w:t xml:space="preserve"> </w:t>
      </w:r>
      <w:r>
        <w:rPr>
          <w:rFonts w:hint="eastAsia" w:ascii="宋体" w:hAnsi="宋体"/>
          <w:color w:val="auto"/>
          <w:sz w:val="24"/>
        </w:rPr>
        <w:t>保温施工宜选用结构自保温、保温装饰一体化、保温板兼做模板、全现浇混凝土外墙与保温一体化和管道保温一体化等在施工阶段碳排放强度较低的方案。</w:t>
      </w:r>
    </w:p>
    <w:p>
      <w:pPr>
        <w:spacing w:line="360" w:lineRule="auto"/>
        <w:outlineLvl w:val="2"/>
        <w:rPr>
          <w:rFonts w:ascii="宋体" w:hAnsi="宋体"/>
          <w:color w:val="auto"/>
          <w:sz w:val="24"/>
        </w:rPr>
      </w:pPr>
      <w:r>
        <w:rPr>
          <w:rFonts w:hint="eastAsia" w:ascii="宋体" w:hAnsi="宋体"/>
          <w:b/>
          <w:bCs/>
          <w:color w:val="auto"/>
          <w:sz w:val="24"/>
        </w:rPr>
        <w:t>8</w:t>
      </w:r>
      <w:r>
        <w:rPr>
          <w:rFonts w:ascii="宋体" w:hAnsi="宋体"/>
          <w:b/>
          <w:bCs/>
          <w:color w:val="auto"/>
          <w:sz w:val="24"/>
        </w:rPr>
        <w:t>.2.</w:t>
      </w:r>
      <w:r>
        <w:rPr>
          <w:rFonts w:hint="eastAsia" w:ascii="宋体" w:hAnsi="宋体"/>
          <w:b/>
          <w:bCs/>
          <w:color w:val="auto"/>
          <w:sz w:val="24"/>
        </w:rPr>
        <w:t>26</w:t>
      </w:r>
      <w:r>
        <w:rPr>
          <w:rFonts w:ascii="宋体" w:hAnsi="宋体"/>
          <w:b/>
          <w:bCs/>
          <w:color w:val="auto"/>
          <w:sz w:val="24"/>
        </w:rPr>
        <w:t xml:space="preserve"> </w:t>
      </w:r>
      <w:r>
        <w:rPr>
          <w:rFonts w:ascii="宋体" w:hAnsi="宋体"/>
          <w:color w:val="auto"/>
          <w:sz w:val="24"/>
        </w:rPr>
        <w:t>采用外保温材料的墙面和屋顶，不宜进行焊接、钻孔等施工作业。确需施工作业时，应采取防火保护措施，并应在施工完成后，及时对裸露的外保温材料进行防护处理。</w:t>
      </w:r>
    </w:p>
    <w:p>
      <w:pPr>
        <w:widowControl/>
        <w:spacing w:line="360" w:lineRule="auto"/>
        <w:jc w:val="left"/>
        <w:outlineLvl w:val="2"/>
        <w:rPr>
          <w:rFonts w:hint="eastAsia" w:ascii="FZPingXYSJW" w:hAnsi="FZPingXYSJW"/>
          <w:color w:val="auto"/>
          <w:shd w:val="clear" w:color="auto" w:fill="FFFFFF"/>
        </w:rPr>
      </w:pPr>
      <w:r>
        <w:rPr>
          <w:rFonts w:hint="eastAsia" w:ascii="宋体" w:hAnsi="宋体"/>
          <w:b/>
          <w:bCs/>
          <w:color w:val="auto"/>
          <w:sz w:val="24"/>
        </w:rPr>
        <w:t>8</w:t>
      </w:r>
      <w:r>
        <w:rPr>
          <w:rFonts w:ascii="宋体" w:hAnsi="宋体"/>
          <w:b/>
          <w:bCs/>
          <w:color w:val="auto"/>
          <w:sz w:val="24"/>
        </w:rPr>
        <w:t>.2.</w:t>
      </w:r>
      <w:r>
        <w:rPr>
          <w:rFonts w:hint="eastAsia" w:ascii="宋体" w:hAnsi="宋体"/>
          <w:b/>
          <w:bCs/>
          <w:color w:val="auto"/>
          <w:sz w:val="24"/>
        </w:rPr>
        <w:t>27</w:t>
      </w:r>
      <w:r>
        <w:rPr>
          <w:rFonts w:ascii="宋体" w:hAnsi="宋体"/>
          <w:b/>
          <w:bCs/>
          <w:color w:val="auto"/>
          <w:sz w:val="24"/>
        </w:rPr>
        <w:t xml:space="preserve"> </w:t>
      </w:r>
      <w:r>
        <w:rPr>
          <w:rFonts w:hint="eastAsia" w:ascii="宋体" w:hAnsi="宋体"/>
          <w:color w:val="auto"/>
          <w:sz w:val="24"/>
        </w:rPr>
        <w:t>现浇泡沫混凝土保温层施工宜工厂干拌、封闭运输，减少现场施工碳排放，到达现场后宜泵送浇筑。保温砂浆施工材料宜采用预拌砂浆。玻璃棉、岩棉保温层施工材料应封闭存放，降低材料损耗率。</w:t>
      </w:r>
      <w:r>
        <w:rPr>
          <w:rFonts w:ascii="宋体" w:hAnsi="宋体"/>
          <w:color w:val="auto"/>
          <w:sz w:val="24"/>
        </w:rPr>
        <w:t>余料应全部回收。</w:t>
      </w:r>
    </w:p>
    <w:p>
      <w:pPr>
        <w:widowControl/>
        <w:jc w:val="left"/>
        <w:rPr>
          <w:rFonts w:hint="eastAsia" w:ascii="FZPingXYSJW" w:hAnsi="FZPingXYSJW"/>
          <w:color w:val="auto"/>
          <w:shd w:val="clear" w:color="auto" w:fill="FFFFFF"/>
        </w:rPr>
      </w:pPr>
    </w:p>
    <w:p>
      <w:pPr>
        <w:pStyle w:val="3"/>
        <w:rPr>
          <w:rFonts w:ascii="仿宋" w:hAnsi="仿宋" w:eastAsia="仿宋"/>
          <w:b w:val="0"/>
          <w:bCs w:val="0"/>
          <w:sz w:val="24"/>
        </w:rPr>
      </w:pPr>
      <w:bookmarkStart w:id="129" w:name="_Toc23268"/>
      <w:r>
        <w:rPr>
          <w:rFonts w:hint="eastAsia" w:ascii="仿宋" w:hAnsi="仿宋" w:eastAsia="仿宋"/>
          <w:sz w:val="24"/>
        </w:rPr>
        <w:t>Ⅷ</w:t>
      </w:r>
      <w:r>
        <w:rPr>
          <w:rFonts w:ascii="仿宋" w:hAnsi="仿宋" w:eastAsia="仿宋"/>
          <w:sz w:val="24"/>
        </w:rPr>
        <w:t xml:space="preserve"> </w:t>
      </w:r>
      <w:r>
        <w:rPr>
          <w:rFonts w:hint="eastAsia" w:ascii="仿宋" w:hAnsi="仿宋" w:eastAsia="仿宋"/>
          <w:sz w:val="24"/>
        </w:rPr>
        <w:t>机电安装工程</w:t>
      </w:r>
      <w:bookmarkEnd w:id="129"/>
    </w:p>
    <w:p>
      <w:pPr>
        <w:spacing w:line="360" w:lineRule="auto"/>
        <w:outlineLvl w:val="1"/>
        <w:rPr>
          <w:rFonts w:ascii="宋体" w:hAnsi="宋体"/>
          <w:color w:val="auto"/>
          <w:sz w:val="24"/>
        </w:rPr>
      </w:pPr>
      <w:bookmarkStart w:id="130" w:name="_Toc21677"/>
      <w:r>
        <w:rPr>
          <w:rFonts w:hint="eastAsia" w:ascii="宋体" w:hAnsi="宋体"/>
          <w:b/>
          <w:bCs/>
          <w:color w:val="auto"/>
          <w:sz w:val="24"/>
        </w:rPr>
        <w:t>8</w:t>
      </w:r>
      <w:r>
        <w:rPr>
          <w:rFonts w:ascii="宋体" w:hAnsi="宋体"/>
          <w:b/>
          <w:bCs/>
          <w:color w:val="auto"/>
          <w:sz w:val="24"/>
        </w:rPr>
        <w:t>.2.</w:t>
      </w:r>
      <w:r>
        <w:rPr>
          <w:rFonts w:hint="eastAsia" w:ascii="宋体" w:hAnsi="宋体"/>
          <w:b/>
          <w:bCs/>
          <w:color w:val="auto"/>
          <w:sz w:val="24"/>
        </w:rPr>
        <w:t>28</w:t>
      </w:r>
      <w:r>
        <w:rPr>
          <w:rFonts w:ascii="宋体" w:hAnsi="宋体"/>
          <w:b/>
          <w:bCs/>
          <w:color w:val="auto"/>
          <w:sz w:val="24"/>
        </w:rPr>
        <w:t xml:space="preserve"> </w:t>
      </w:r>
      <w:r>
        <w:rPr>
          <w:rFonts w:hint="eastAsia" w:ascii="宋体" w:hAnsi="宋体"/>
          <w:color w:val="auto"/>
          <w:sz w:val="24"/>
        </w:rPr>
        <w:t>机电安装工程施工应采用工厂化制作，整体化安装的方法。</w:t>
      </w:r>
      <w:bookmarkEnd w:id="130"/>
    </w:p>
    <w:p>
      <w:pPr>
        <w:spacing w:line="360" w:lineRule="auto"/>
        <w:outlineLvl w:val="2"/>
        <w:rPr>
          <w:rFonts w:ascii="宋体" w:hAnsi="宋体"/>
          <w:color w:val="auto"/>
          <w:sz w:val="24"/>
        </w:rPr>
      </w:pPr>
      <w:r>
        <w:rPr>
          <w:rFonts w:ascii="宋体" w:hAnsi="宋体"/>
          <w:b/>
          <w:bCs/>
          <w:color w:val="auto"/>
          <w:sz w:val="24"/>
        </w:rPr>
        <w:t>8.2.</w:t>
      </w:r>
      <w:r>
        <w:rPr>
          <w:rFonts w:hint="eastAsia" w:ascii="宋体" w:hAnsi="宋体"/>
          <w:b/>
          <w:bCs/>
          <w:color w:val="auto"/>
          <w:sz w:val="24"/>
        </w:rPr>
        <w:t>29</w:t>
      </w:r>
      <w:r>
        <w:rPr>
          <w:rFonts w:ascii="宋体" w:hAnsi="宋体"/>
          <w:b/>
          <w:bCs/>
          <w:color w:val="auto"/>
          <w:sz w:val="24"/>
        </w:rPr>
        <w:t xml:space="preserve"> </w:t>
      </w:r>
      <w:r>
        <w:rPr>
          <w:rFonts w:hint="eastAsia" w:ascii="宋体" w:hAnsi="宋体"/>
          <w:color w:val="auto"/>
          <w:sz w:val="24"/>
        </w:rPr>
        <w:t>机电安装工程施工前应采用信息化的手段，对通风空调、给水排水、强弱电、末端设施布置及装修等进行综合分析，并绘制综合管线图。</w:t>
      </w:r>
    </w:p>
    <w:p>
      <w:pPr>
        <w:spacing w:line="360" w:lineRule="auto"/>
        <w:outlineLvl w:val="1"/>
        <w:rPr>
          <w:rFonts w:ascii="宋体" w:hAnsi="宋体"/>
          <w:color w:val="auto"/>
          <w:sz w:val="24"/>
        </w:rPr>
      </w:pPr>
      <w:bookmarkStart w:id="131" w:name="_Toc22633"/>
      <w:r>
        <w:rPr>
          <w:rFonts w:hint="eastAsia" w:ascii="宋体" w:hAnsi="宋体"/>
          <w:b/>
          <w:bCs/>
          <w:color w:val="auto"/>
          <w:sz w:val="24"/>
        </w:rPr>
        <w:t>8</w:t>
      </w:r>
      <w:r>
        <w:rPr>
          <w:rFonts w:ascii="宋体" w:hAnsi="宋体"/>
          <w:b/>
          <w:bCs/>
          <w:color w:val="auto"/>
          <w:sz w:val="24"/>
        </w:rPr>
        <w:t>.2.</w:t>
      </w:r>
      <w:r>
        <w:rPr>
          <w:rFonts w:hint="eastAsia" w:ascii="宋体" w:hAnsi="宋体"/>
          <w:b/>
          <w:bCs/>
          <w:color w:val="auto"/>
          <w:sz w:val="24"/>
        </w:rPr>
        <w:t>30</w:t>
      </w:r>
      <w:r>
        <w:rPr>
          <w:rFonts w:ascii="宋体" w:hAnsi="宋体"/>
          <w:b/>
          <w:bCs/>
          <w:color w:val="auto"/>
          <w:sz w:val="24"/>
        </w:rPr>
        <w:t xml:space="preserve"> </w:t>
      </w:r>
      <w:r>
        <w:rPr>
          <w:rFonts w:ascii="宋体" w:hAnsi="宋体"/>
          <w:color w:val="auto"/>
          <w:sz w:val="24"/>
        </w:rPr>
        <w:t>管线的预埋、预留应与土建及装修工程同步进行，不得现场临时剔凿。</w:t>
      </w:r>
      <w:bookmarkEnd w:id="131"/>
    </w:p>
    <w:p>
      <w:pPr>
        <w:spacing w:line="360" w:lineRule="auto"/>
        <w:outlineLvl w:val="2"/>
        <w:rPr>
          <w:rFonts w:ascii="宋体" w:hAnsi="宋体"/>
          <w:color w:val="auto"/>
          <w:sz w:val="24"/>
        </w:rPr>
      </w:pPr>
      <w:r>
        <w:rPr>
          <w:rFonts w:ascii="宋体" w:hAnsi="宋体"/>
          <w:b/>
          <w:bCs/>
          <w:color w:val="auto"/>
          <w:sz w:val="24"/>
        </w:rPr>
        <w:t>8.2.</w:t>
      </w:r>
      <w:r>
        <w:rPr>
          <w:rFonts w:hint="eastAsia" w:ascii="宋体" w:hAnsi="宋体"/>
          <w:b/>
          <w:bCs/>
          <w:color w:val="auto"/>
          <w:sz w:val="24"/>
        </w:rPr>
        <w:t>31</w:t>
      </w:r>
      <w:r>
        <w:rPr>
          <w:rFonts w:ascii="宋体" w:hAnsi="宋体"/>
          <w:b/>
          <w:bCs/>
          <w:color w:val="auto"/>
          <w:sz w:val="24"/>
        </w:rPr>
        <w:t xml:space="preserve"> </w:t>
      </w:r>
      <w:r>
        <w:rPr>
          <w:rFonts w:hint="eastAsia" w:ascii="宋体" w:hAnsi="宋体"/>
          <w:color w:val="auto"/>
          <w:sz w:val="24"/>
        </w:rPr>
        <w:t>组装、</w:t>
      </w:r>
      <w:r>
        <w:rPr>
          <w:rFonts w:ascii="宋体" w:hAnsi="宋体"/>
          <w:color w:val="auto"/>
          <w:sz w:val="24"/>
        </w:rPr>
        <w:t>除锈、防腐宜在工厂内完成，现场涂装时应采用无污染、耐候性好的材料。</w:t>
      </w:r>
    </w:p>
    <w:p>
      <w:pPr>
        <w:spacing w:line="360" w:lineRule="auto"/>
        <w:outlineLvl w:val="1"/>
        <w:rPr>
          <w:rFonts w:ascii="宋体" w:hAnsi="宋体"/>
          <w:b/>
          <w:bCs/>
          <w:color w:val="auto"/>
          <w:sz w:val="24"/>
        </w:rPr>
      </w:pPr>
      <w:bookmarkStart w:id="132" w:name="_Toc1627"/>
      <w:r>
        <w:rPr>
          <w:rFonts w:ascii="宋体" w:hAnsi="宋体"/>
          <w:b/>
          <w:bCs/>
          <w:color w:val="auto"/>
          <w:sz w:val="24"/>
        </w:rPr>
        <w:t>8.2.</w:t>
      </w:r>
      <w:r>
        <w:rPr>
          <w:rFonts w:hint="eastAsia" w:ascii="宋体" w:hAnsi="宋体"/>
          <w:b/>
          <w:bCs/>
          <w:color w:val="auto"/>
          <w:sz w:val="24"/>
        </w:rPr>
        <w:t>32</w:t>
      </w:r>
      <w:r>
        <w:rPr>
          <w:rFonts w:ascii="宋体" w:hAnsi="宋体"/>
          <w:b/>
          <w:bCs/>
          <w:color w:val="auto"/>
          <w:sz w:val="24"/>
        </w:rPr>
        <w:t xml:space="preserve"> </w:t>
      </w:r>
      <w:r>
        <w:rPr>
          <w:rFonts w:hint="eastAsia" w:ascii="宋体" w:hAnsi="宋体"/>
          <w:color w:val="auto"/>
          <w:sz w:val="24"/>
        </w:rPr>
        <w:t>管道、预制风管连接宜采用机械连接方式。</w:t>
      </w:r>
      <w:bookmarkEnd w:id="132"/>
    </w:p>
    <w:p>
      <w:pPr>
        <w:spacing w:line="360" w:lineRule="auto"/>
        <w:outlineLvl w:val="2"/>
        <w:rPr>
          <w:rFonts w:ascii="宋体" w:hAnsi="宋体"/>
          <w:b/>
          <w:bCs/>
          <w:color w:val="auto"/>
          <w:sz w:val="24"/>
        </w:rPr>
      </w:pPr>
      <w:r>
        <w:rPr>
          <w:rFonts w:ascii="宋体" w:hAnsi="宋体"/>
          <w:b/>
          <w:bCs/>
          <w:color w:val="auto"/>
          <w:sz w:val="24"/>
        </w:rPr>
        <w:t>8.2.</w:t>
      </w:r>
      <w:r>
        <w:rPr>
          <w:rFonts w:hint="eastAsia" w:ascii="宋体" w:hAnsi="宋体"/>
          <w:b/>
          <w:bCs/>
          <w:color w:val="auto"/>
          <w:sz w:val="24"/>
        </w:rPr>
        <w:t>33</w:t>
      </w:r>
      <w:r>
        <w:rPr>
          <w:rFonts w:ascii="宋体" w:hAnsi="宋体"/>
          <w:b/>
          <w:bCs/>
          <w:color w:val="auto"/>
          <w:sz w:val="24"/>
        </w:rPr>
        <w:t xml:space="preserve"> </w:t>
      </w:r>
      <w:r>
        <w:rPr>
          <w:rFonts w:hint="eastAsia" w:ascii="宋体" w:hAnsi="宋体"/>
          <w:color w:val="auto"/>
          <w:sz w:val="24"/>
        </w:rPr>
        <w:t>应选用节能型电线、电缆和灯具。电线导管暗敷应做到线路最短。线路连接宜采用免焊接头和机械压接方式。</w:t>
      </w:r>
    </w:p>
    <w:p>
      <w:pPr>
        <w:widowControl/>
        <w:jc w:val="left"/>
        <w:rPr>
          <w:rFonts w:ascii="宋体" w:hAnsi="宋体"/>
          <w:color w:val="auto"/>
          <w:sz w:val="24"/>
          <w:szCs w:val="24"/>
          <w:shd w:val="clear" w:color="auto" w:fill="FFFFFF"/>
        </w:rPr>
      </w:pPr>
    </w:p>
    <w:p>
      <w:pPr>
        <w:widowControl/>
        <w:ind w:firstLine="420" w:firstLineChars="200"/>
        <w:jc w:val="left"/>
        <w:rPr>
          <w:rFonts w:hint="eastAsia" w:ascii="FZPingXYSJW" w:hAnsi="FZPingXYSJW"/>
          <w:color w:val="auto"/>
          <w:shd w:val="clear" w:color="auto" w:fill="FFFFFF"/>
        </w:rPr>
      </w:pPr>
    </w:p>
    <w:p>
      <w:pPr>
        <w:pStyle w:val="3"/>
        <w:rPr>
          <w:rFonts w:eastAsia="黑体"/>
          <w:bCs w:val="0"/>
          <w:sz w:val="32"/>
        </w:rPr>
      </w:pPr>
      <w:bookmarkStart w:id="133" w:name="_Toc27585"/>
      <w:r>
        <w:rPr>
          <w:rFonts w:eastAsia="黑体"/>
          <w:bCs w:val="0"/>
          <w:sz w:val="32"/>
        </w:rPr>
        <w:t>8.3</w:t>
      </w:r>
      <w:r>
        <w:rPr>
          <w:rFonts w:hint="eastAsia" w:eastAsia="黑体"/>
          <w:bCs w:val="0"/>
          <w:sz w:val="32"/>
        </w:rPr>
        <w:t xml:space="preserve"> 施工措施及施工阶段运输</w:t>
      </w:r>
      <w:bookmarkEnd w:id="133"/>
    </w:p>
    <w:p>
      <w:pPr>
        <w:spacing w:line="360" w:lineRule="auto"/>
        <w:outlineLvl w:val="1"/>
        <w:rPr>
          <w:rFonts w:ascii="宋体" w:hAnsi="宋体"/>
          <w:color w:val="auto"/>
          <w:sz w:val="24"/>
        </w:rPr>
      </w:pPr>
      <w:bookmarkStart w:id="134" w:name="_Toc24013"/>
      <w:r>
        <w:rPr>
          <w:rFonts w:ascii="宋体" w:hAnsi="宋体"/>
          <w:b/>
          <w:bCs/>
          <w:color w:val="auto"/>
          <w:sz w:val="24"/>
        </w:rPr>
        <w:t>8.3.1</w:t>
      </w:r>
      <w:r>
        <w:rPr>
          <w:rFonts w:hint="eastAsia" w:ascii="宋体" w:hAnsi="宋体"/>
          <w:color w:val="auto"/>
          <w:sz w:val="24"/>
        </w:rPr>
        <w:t>施工现场临时设施应符合下列规定：</w:t>
      </w:r>
      <w:bookmarkEnd w:id="134"/>
    </w:p>
    <w:p>
      <w:pPr>
        <w:spacing w:line="360" w:lineRule="auto"/>
        <w:ind w:firstLine="480" w:firstLineChars="200"/>
        <w:outlineLvl w:val="0"/>
        <w:rPr>
          <w:rFonts w:ascii="宋体" w:hAnsi="宋体"/>
          <w:color w:val="auto"/>
          <w:sz w:val="24"/>
        </w:rPr>
      </w:pPr>
      <w:bookmarkStart w:id="135" w:name="_Toc4382"/>
      <w:r>
        <w:rPr>
          <w:rFonts w:ascii="宋体" w:hAnsi="宋体"/>
          <w:color w:val="auto"/>
          <w:sz w:val="24"/>
        </w:rPr>
        <w:t xml:space="preserve">1 </w:t>
      </w:r>
      <w:r>
        <w:rPr>
          <w:rFonts w:hint="eastAsia" w:ascii="宋体" w:hAnsi="宋体"/>
          <w:color w:val="auto"/>
          <w:sz w:val="24"/>
        </w:rPr>
        <w:t>临时设施应采用可多次周转的绿色低碳材料，做到标准化</w:t>
      </w:r>
      <w:bookmarkEnd w:id="135"/>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3</w:t>
      </w:r>
      <w:r>
        <w:rPr>
          <w:rFonts w:ascii="宋体" w:hAnsi="宋体"/>
          <w:color w:val="auto"/>
          <w:sz w:val="24"/>
        </w:rPr>
        <w:t>临时</w:t>
      </w:r>
      <w:r>
        <w:rPr>
          <w:rFonts w:hint="eastAsia" w:ascii="宋体" w:hAnsi="宋体"/>
          <w:color w:val="auto"/>
          <w:sz w:val="24"/>
        </w:rPr>
        <w:t>性用房</w:t>
      </w:r>
      <w:r>
        <w:rPr>
          <w:rFonts w:ascii="宋体" w:hAnsi="宋体"/>
          <w:color w:val="auto"/>
          <w:sz w:val="24"/>
        </w:rPr>
        <w:t>宜选用</w:t>
      </w:r>
      <w:r>
        <w:rPr>
          <w:rFonts w:hint="eastAsia" w:ascii="宋体" w:hAnsi="宋体"/>
          <w:color w:val="auto"/>
          <w:sz w:val="24"/>
        </w:rPr>
        <w:t>模块化集成房屋，</w:t>
      </w:r>
      <w:r>
        <w:rPr>
          <w:rFonts w:ascii="宋体" w:hAnsi="宋体"/>
          <w:color w:val="auto"/>
          <w:sz w:val="24"/>
        </w:rPr>
        <w:t>由高效保温、隔热、防火材料制成的复合墙体和屋面，以及密封保温隔热性能好的门窗</w:t>
      </w:r>
      <w:r>
        <w:rPr>
          <w:rFonts w:hint="eastAsia" w:ascii="宋体" w:hAnsi="宋体"/>
          <w:color w:val="auto"/>
          <w:sz w:val="24"/>
        </w:rPr>
        <w:t>，并应满足节能要求</w:t>
      </w:r>
      <w:r>
        <w:rPr>
          <w:rFonts w:ascii="宋体" w:hAnsi="宋体"/>
          <w:color w:val="auto"/>
          <w:sz w:val="24"/>
        </w:rPr>
        <w:t>。</w:t>
      </w:r>
    </w:p>
    <w:p>
      <w:pPr>
        <w:spacing w:line="360" w:lineRule="auto"/>
        <w:rPr>
          <w:rFonts w:ascii="楷体" w:hAnsi="楷体" w:eastAsia="楷体"/>
          <w:color w:val="auto"/>
        </w:rPr>
      </w:pPr>
      <w:r>
        <w:rPr>
          <w:rFonts w:hint="eastAsia" w:ascii="楷体" w:hAnsi="楷体" w:eastAsia="楷体"/>
          <w:color w:val="auto"/>
        </w:rPr>
        <w:t>【条文说明】施工现场的临时设施应采用可多次周转的绿色低碳材料，提高材料使用率。临时性用房应根据所处气候区采用适宜的保温与防热措施，降低临时用房的能源消耗。</w:t>
      </w:r>
    </w:p>
    <w:p>
      <w:pPr>
        <w:spacing w:line="360" w:lineRule="auto"/>
        <w:outlineLvl w:val="2"/>
        <w:rPr>
          <w:rFonts w:ascii="宋体" w:hAnsi="宋体"/>
          <w:color w:val="auto"/>
          <w:sz w:val="24"/>
        </w:rPr>
      </w:pPr>
      <w:r>
        <w:rPr>
          <w:rFonts w:ascii="宋体" w:hAnsi="宋体"/>
          <w:b/>
          <w:bCs/>
          <w:color w:val="auto"/>
          <w:sz w:val="24"/>
        </w:rPr>
        <w:t xml:space="preserve">8.3.2 </w:t>
      </w:r>
      <w:r>
        <w:rPr>
          <w:rFonts w:hint="eastAsia" w:ascii="宋体" w:hAnsi="宋体"/>
          <w:color w:val="auto"/>
          <w:sz w:val="24"/>
        </w:rPr>
        <w:t>地基与基础施工过程中，应采取有效措施，满足扬尘控制、运输遗撒控制等安全文明施工要求。</w:t>
      </w:r>
    </w:p>
    <w:p>
      <w:pPr>
        <w:spacing w:line="360" w:lineRule="auto"/>
        <w:outlineLvl w:val="2"/>
        <w:rPr>
          <w:rFonts w:ascii="宋体" w:hAnsi="宋体"/>
          <w:color w:val="auto"/>
          <w:sz w:val="24"/>
        </w:rPr>
      </w:pPr>
      <w:r>
        <w:rPr>
          <w:rFonts w:ascii="宋体" w:hAnsi="宋体"/>
          <w:b/>
          <w:bCs/>
          <w:color w:val="auto"/>
          <w:sz w:val="24"/>
        </w:rPr>
        <w:t xml:space="preserve">8.3.3 </w:t>
      </w:r>
      <w:r>
        <w:rPr>
          <w:rFonts w:hint="eastAsia" w:ascii="宋体" w:hAnsi="宋体"/>
          <w:color w:val="auto"/>
          <w:sz w:val="24"/>
        </w:rPr>
        <w:t>桩基施工过程中，对于产生的泥浆等废弃物，应采取专项技术措施，降低对周边环境影响。</w:t>
      </w:r>
    </w:p>
    <w:p>
      <w:pPr>
        <w:spacing w:line="360" w:lineRule="auto"/>
        <w:outlineLvl w:val="1"/>
        <w:rPr>
          <w:rFonts w:ascii="宋体" w:hAnsi="宋体"/>
          <w:color w:val="auto"/>
          <w:sz w:val="24"/>
        </w:rPr>
      </w:pPr>
      <w:bookmarkStart w:id="136" w:name="_Toc19005"/>
      <w:r>
        <w:rPr>
          <w:rFonts w:ascii="宋体" w:hAnsi="宋体"/>
          <w:b/>
          <w:bCs/>
          <w:color w:val="auto"/>
          <w:sz w:val="24"/>
        </w:rPr>
        <w:t>8.3.4</w:t>
      </w:r>
      <w:r>
        <w:rPr>
          <w:rFonts w:hint="eastAsia" w:ascii="宋体" w:hAnsi="宋体"/>
          <w:color w:val="auto"/>
          <w:sz w:val="24"/>
        </w:rPr>
        <w:t>基坑降水宜优先采用基坑封闭降水方法，避免对周边建筑及环境造成影响。</w:t>
      </w:r>
      <w:bookmarkEnd w:id="136"/>
    </w:p>
    <w:p>
      <w:pPr>
        <w:spacing w:line="360" w:lineRule="auto"/>
        <w:outlineLvl w:val="2"/>
        <w:rPr>
          <w:rFonts w:ascii="宋体" w:hAnsi="宋体"/>
          <w:b/>
          <w:bCs/>
          <w:color w:val="auto"/>
          <w:sz w:val="24"/>
        </w:rPr>
      </w:pPr>
      <w:r>
        <w:rPr>
          <w:rFonts w:ascii="宋体" w:hAnsi="宋体"/>
          <w:b/>
          <w:bCs/>
          <w:color w:val="auto"/>
          <w:sz w:val="24"/>
        </w:rPr>
        <w:t>8.3.5</w:t>
      </w:r>
      <w:r>
        <w:rPr>
          <w:rFonts w:hint="eastAsia" w:ascii="宋体" w:hAnsi="宋体"/>
          <w:color w:val="auto"/>
          <w:sz w:val="24"/>
        </w:rPr>
        <w:t>施工降排水应包括成井和使用两个阶段，宜采用先进的低碳施工工艺，其该阶段碳排放量应根据降排水专项方案计算得到。</w:t>
      </w:r>
    </w:p>
    <w:p>
      <w:pPr>
        <w:spacing w:line="360" w:lineRule="auto"/>
        <w:outlineLvl w:val="1"/>
        <w:rPr>
          <w:rFonts w:ascii="宋体" w:hAnsi="宋体"/>
          <w:color w:val="auto"/>
          <w:sz w:val="24"/>
        </w:rPr>
      </w:pPr>
      <w:bookmarkStart w:id="137" w:name="_Toc5980"/>
      <w:r>
        <w:rPr>
          <w:rFonts w:ascii="宋体" w:hAnsi="宋体"/>
          <w:b/>
          <w:bCs/>
          <w:color w:val="auto"/>
          <w:sz w:val="24"/>
        </w:rPr>
        <w:t xml:space="preserve">8.3.6 </w:t>
      </w:r>
      <w:r>
        <w:rPr>
          <w:rFonts w:hint="eastAsia" w:ascii="宋体" w:hAnsi="宋体"/>
          <w:color w:val="auto"/>
          <w:sz w:val="24"/>
        </w:rPr>
        <w:t>模板工程在满足现场施工安全要求的情况下，应符合下列规定：</w:t>
      </w:r>
      <w:bookmarkEnd w:id="137"/>
    </w:p>
    <w:p>
      <w:pPr>
        <w:spacing w:line="360" w:lineRule="auto"/>
        <w:ind w:firstLine="480" w:firstLineChars="200"/>
        <w:rPr>
          <w:rFonts w:ascii="宋体" w:hAnsi="宋体"/>
          <w:color w:val="auto"/>
          <w:sz w:val="24"/>
        </w:rPr>
      </w:pPr>
      <w:r>
        <w:rPr>
          <w:rFonts w:hint="eastAsia" w:ascii="宋体" w:hAnsi="宋体"/>
          <w:color w:val="auto"/>
          <w:sz w:val="24"/>
        </w:rPr>
        <w:t>1宜选用周转率高的模板和支撑体系，模板材料宜选用可循环利用的塑料、铝合金等材料；</w:t>
      </w:r>
    </w:p>
    <w:p>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宜选用大模板、定制模板、爬升模板和早拆模板等工业化模板及支撑体系；</w:t>
      </w:r>
    </w:p>
    <w:p>
      <w:pPr>
        <w:spacing w:line="360" w:lineRule="auto"/>
        <w:ind w:firstLine="480" w:firstLineChars="200"/>
        <w:rPr>
          <w:rFonts w:ascii="宋体" w:hAnsi="宋体"/>
          <w:color w:val="auto"/>
          <w:sz w:val="24"/>
        </w:rPr>
      </w:pPr>
      <w:r>
        <w:rPr>
          <w:rFonts w:ascii="宋体" w:hAnsi="宋体"/>
          <w:color w:val="auto"/>
          <w:sz w:val="24"/>
        </w:rPr>
        <w:t xml:space="preserve">3 </w:t>
      </w:r>
      <w:r>
        <w:rPr>
          <w:rFonts w:hint="eastAsia" w:ascii="宋体" w:hAnsi="宋体"/>
          <w:color w:val="auto"/>
          <w:sz w:val="24"/>
        </w:rPr>
        <w:t>当采用木或竹制模板时，宜采用工厂化定型加工、现场安装的方式；</w:t>
      </w:r>
    </w:p>
    <w:p>
      <w:pPr>
        <w:spacing w:line="360" w:lineRule="auto"/>
        <w:ind w:firstLine="480" w:firstLineChars="200"/>
        <w:outlineLvl w:val="0"/>
        <w:rPr>
          <w:rFonts w:ascii="宋体" w:hAnsi="宋体"/>
          <w:color w:val="auto"/>
          <w:sz w:val="24"/>
        </w:rPr>
      </w:pPr>
      <w:bookmarkStart w:id="138" w:name="_Toc12662"/>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模板脱模剂应选用环保型产品。</w:t>
      </w:r>
      <w:bookmarkEnd w:id="138"/>
    </w:p>
    <w:p>
      <w:pPr>
        <w:spacing w:line="360" w:lineRule="auto"/>
        <w:rPr>
          <w:rFonts w:ascii="楷体" w:hAnsi="楷体" w:eastAsia="楷体"/>
          <w:color w:val="auto"/>
        </w:rPr>
      </w:pPr>
      <w:r>
        <w:rPr>
          <w:rFonts w:hint="eastAsia" w:ascii="楷体" w:hAnsi="楷体" w:eastAsia="楷体"/>
          <w:color w:val="auto"/>
        </w:rPr>
        <w:t>【条文说明】宜选用工业化模板体系，具有机械化程度高、施工速度快的特点，减少现场模板切割作业及粉尘、噪声污染，降低模板工程碳排放量，应积极推广使用。</w:t>
      </w:r>
    </w:p>
    <w:p>
      <w:pPr>
        <w:spacing w:line="360" w:lineRule="auto"/>
        <w:outlineLvl w:val="2"/>
        <w:rPr>
          <w:rFonts w:ascii="宋体" w:hAnsi="宋体"/>
          <w:color w:val="auto"/>
          <w:sz w:val="24"/>
        </w:rPr>
      </w:pPr>
      <w:r>
        <w:rPr>
          <w:rFonts w:ascii="宋体" w:hAnsi="宋体"/>
          <w:b/>
          <w:bCs/>
          <w:color w:val="auto"/>
          <w:sz w:val="24"/>
        </w:rPr>
        <w:t>8.3.</w:t>
      </w:r>
      <w:r>
        <w:rPr>
          <w:rFonts w:hint="eastAsia" w:ascii="宋体" w:hAnsi="宋体"/>
          <w:b/>
          <w:bCs/>
          <w:color w:val="auto"/>
          <w:sz w:val="24"/>
        </w:rPr>
        <w:t>7</w:t>
      </w:r>
      <w:r>
        <w:rPr>
          <w:rFonts w:ascii="宋体" w:hAnsi="宋体"/>
          <w:b/>
          <w:bCs/>
          <w:color w:val="auto"/>
          <w:sz w:val="24"/>
        </w:rPr>
        <w:t xml:space="preserve"> </w:t>
      </w:r>
      <w:r>
        <w:rPr>
          <w:rFonts w:hint="eastAsia" w:ascii="宋体" w:hAnsi="宋体"/>
          <w:color w:val="auto"/>
          <w:sz w:val="24"/>
        </w:rPr>
        <w:t>高层建筑结构施工，应采用整体或分片提升的工具式脚手架和分段悬挑式脚手架。</w:t>
      </w:r>
    </w:p>
    <w:p>
      <w:pPr>
        <w:spacing w:line="360" w:lineRule="auto"/>
        <w:outlineLvl w:val="2"/>
        <w:rPr>
          <w:rFonts w:ascii="宋体" w:hAnsi="宋体"/>
          <w:color w:val="auto"/>
          <w:sz w:val="24"/>
        </w:rPr>
      </w:pPr>
      <w:r>
        <w:rPr>
          <w:rFonts w:hint="eastAsia" w:ascii="楷体" w:hAnsi="楷体" w:eastAsia="楷体"/>
          <w:color w:val="auto"/>
        </w:rPr>
        <w:t>【条文说明】高层建筑、特别是超高层建筑，使用整体提升或分段悬挑等工具式外脚手架随结构施工而上升，具有减少投入、减少垂直运输、安全可靠等优点，应优先采用。</w:t>
      </w:r>
      <w:r>
        <w:rPr>
          <w:rFonts w:ascii="宋体" w:hAnsi="宋体"/>
          <w:b/>
          <w:bCs/>
          <w:color w:val="auto"/>
          <w:sz w:val="24"/>
        </w:rPr>
        <w:t>8.3.</w:t>
      </w:r>
      <w:r>
        <w:rPr>
          <w:rFonts w:hint="eastAsia" w:ascii="宋体" w:hAnsi="宋体"/>
          <w:b/>
          <w:bCs/>
          <w:color w:val="auto"/>
          <w:sz w:val="24"/>
        </w:rPr>
        <w:t>8</w:t>
      </w:r>
      <w:r>
        <w:rPr>
          <w:rFonts w:ascii="宋体" w:hAnsi="宋体"/>
          <w:b/>
          <w:bCs/>
          <w:color w:val="auto"/>
          <w:sz w:val="24"/>
        </w:rPr>
        <w:t xml:space="preserve"> </w:t>
      </w:r>
      <w:r>
        <w:rPr>
          <w:rFonts w:ascii="宋体" w:hAnsi="宋体"/>
          <w:color w:val="auto"/>
          <w:sz w:val="24"/>
        </w:rPr>
        <w:t>清洗泵送设备和管道的污水应经沉淀后回收利用，浆料分离后可作室外道路、地面等垫层的回填材料。</w:t>
      </w:r>
    </w:p>
    <w:p>
      <w:pPr>
        <w:spacing w:line="360" w:lineRule="auto"/>
        <w:outlineLvl w:val="1"/>
        <w:rPr>
          <w:rFonts w:ascii="宋体" w:hAnsi="宋体"/>
          <w:b/>
          <w:bCs/>
          <w:color w:val="auto"/>
          <w:sz w:val="24"/>
        </w:rPr>
      </w:pPr>
      <w:bookmarkStart w:id="139" w:name="_Toc24056"/>
      <w:r>
        <w:rPr>
          <w:rFonts w:ascii="宋体" w:hAnsi="宋体"/>
          <w:b/>
          <w:bCs/>
          <w:color w:val="auto"/>
          <w:sz w:val="24"/>
        </w:rPr>
        <w:t>8.3.</w:t>
      </w:r>
      <w:r>
        <w:rPr>
          <w:rFonts w:hint="eastAsia" w:ascii="宋体" w:hAnsi="宋体"/>
          <w:b/>
          <w:bCs/>
          <w:color w:val="auto"/>
          <w:sz w:val="24"/>
        </w:rPr>
        <w:t>9</w:t>
      </w:r>
      <w:r>
        <w:rPr>
          <w:rFonts w:ascii="宋体" w:hAnsi="宋体"/>
          <w:b/>
          <w:bCs/>
          <w:color w:val="auto"/>
          <w:sz w:val="24"/>
        </w:rPr>
        <w:t xml:space="preserve"> </w:t>
      </w:r>
      <w:r>
        <w:rPr>
          <w:rFonts w:hint="eastAsia" w:ascii="宋体" w:hAnsi="宋体"/>
          <w:color w:val="auto"/>
          <w:sz w:val="24"/>
        </w:rPr>
        <w:t>吊顶施工时，宜采用低碳节能的可移动式操作平台。</w:t>
      </w:r>
      <w:bookmarkEnd w:id="139"/>
    </w:p>
    <w:p>
      <w:pPr>
        <w:spacing w:line="360" w:lineRule="auto"/>
        <w:outlineLvl w:val="1"/>
        <w:rPr>
          <w:rFonts w:ascii="宋体" w:hAnsi="宋体"/>
          <w:color w:val="auto"/>
          <w:sz w:val="24"/>
        </w:rPr>
      </w:pPr>
      <w:bookmarkStart w:id="140" w:name="_Toc10872"/>
      <w:r>
        <w:rPr>
          <w:rFonts w:ascii="宋体" w:hAnsi="宋体"/>
          <w:b/>
          <w:bCs/>
          <w:color w:val="auto"/>
          <w:sz w:val="24"/>
        </w:rPr>
        <w:t>8.3.1</w:t>
      </w:r>
      <w:r>
        <w:rPr>
          <w:rFonts w:hint="eastAsia" w:ascii="宋体" w:hAnsi="宋体"/>
          <w:b/>
          <w:bCs/>
          <w:color w:val="auto"/>
          <w:sz w:val="24"/>
        </w:rPr>
        <w:t>0</w:t>
      </w:r>
      <w:r>
        <w:rPr>
          <w:rFonts w:ascii="宋体" w:hAnsi="宋体"/>
          <w:b/>
          <w:bCs/>
          <w:color w:val="auto"/>
          <w:sz w:val="24"/>
        </w:rPr>
        <w:t xml:space="preserve"> </w:t>
      </w:r>
      <w:r>
        <w:rPr>
          <w:rFonts w:hint="eastAsia" w:ascii="宋体" w:hAnsi="宋体"/>
          <w:color w:val="auto"/>
          <w:sz w:val="24"/>
        </w:rPr>
        <w:t>涂料施工应采取遮挡、防止挥发和劳动保护等措施。</w:t>
      </w:r>
      <w:bookmarkEnd w:id="140"/>
    </w:p>
    <w:p>
      <w:pPr>
        <w:spacing w:line="360" w:lineRule="auto"/>
        <w:outlineLvl w:val="1"/>
        <w:rPr>
          <w:rFonts w:ascii="宋体" w:hAnsi="宋体"/>
          <w:color w:val="auto"/>
          <w:sz w:val="24"/>
        </w:rPr>
      </w:pPr>
      <w:bookmarkStart w:id="141" w:name="_Toc18324"/>
      <w:r>
        <w:rPr>
          <w:rFonts w:ascii="宋体" w:hAnsi="宋体"/>
          <w:b/>
          <w:bCs/>
          <w:color w:val="auto"/>
          <w:sz w:val="24"/>
        </w:rPr>
        <w:t>8.3.1</w:t>
      </w:r>
      <w:r>
        <w:rPr>
          <w:rFonts w:hint="eastAsia" w:ascii="宋体" w:hAnsi="宋体"/>
          <w:b/>
          <w:bCs/>
          <w:color w:val="auto"/>
          <w:sz w:val="24"/>
        </w:rPr>
        <w:t>1</w:t>
      </w:r>
      <w:r>
        <w:rPr>
          <w:rFonts w:ascii="宋体" w:hAnsi="宋体"/>
          <w:b/>
          <w:bCs/>
          <w:color w:val="auto"/>
          <w:sz w:val="24"/>
        </w:rPr>
        <w:t xml:space="preserve"> </w:t>
      </w:r>
      <w:r>
        <w:rPr>
          <w:rFonts w:ascii="宋体" w:hAnsi="宋体"/>
          <w:color w:val="auto"/>
          <w:sz w:val="24"/>
        </w:rPr>
        <w:t>机电安装工程应采用低能耗的施工机械。</w:t>
      </w:r>
      <w:bookmarkEnd w:id="141"/>
    </w:p>
    <w:p>
      <w:pPr>
        <w:spacing w:line="360" w:lineRule="auto"/>
        <w:rPr>
          <w:rFonts w:ascii="宋体" w:hAnsi="宋体"/>
          <w:color w:val="auto"/>
          <w:sz w:val="24"/>
        </w:rPr>
      </w:pPr>
    </w:p>
    <w:p>
      <w:pPr>
        <w:spacing w:line="360" w:lineRule="auto"/>
        <w:rPr>
          <w:rFonts w:ascii="宋体" w:hAnsi="宋体"/>
          <w:color w:val="auto"/>
          <w:sz w:val="24"/>
        </w:rPr>
      </w:pPr>
    </w:p>
    <w:p>
      <w:pPr>
        <w:rPr>
          <w:rFonts w:ascii="黑体" w:hAnsi="黑体" w:eastAsia="黑体"/>
          <w:bCs/>
          <w:color w:val="auto"/>
          <w:sz w:val="36"/>
          <w:szCs w:val="32"/>
        </w:rPr>
      </w:pPr>
      <w:bookmarkStart w:id="142" w:name="_Toc114041050"/>
      <w:r>
        <w:rPr>
          <w:rFonts w:hint="eastAsia" w:ascii="黑体" w:hAnsi="黑体" w:eastAsia="黑体"/>
          <w:bCs/>
          <w:color w:val="auto"/>
          <w:sz w:val="36"/>
          <w:szCs w:val="32"/>
        </w:rPr>
        <w:br w:type="page"/>
      </w:r>
    </w:p>
    <w:p>
      <w:pPr>
        <w:spacing w:after="240"/>
        <w:jc w:val="center"/>
        <w:outlineLvl w:val="0"/>
        <w:rPr>
          <w:rFonts w:ascii="黑体" w:hAnsi="黑体" w:eastAsia="黑体"/>
          <w:bCs/>
          <w:color w:val="auto"/>
          <w:sz w:val="36"/>
          <w:szCs w:val="32"/>
        </w:rPr>
      </w:pPr>
      <w:bookmarkStart w:id="143" w:name="_Toc15961"/>
      <w:r>
        <w:rPr>
          <w:rFonts w:hint="eastAsia" w:ascii="黑体" w:hAnsi="黑体" w:eastAsia="黑体"/>
          <w:bCs/>
          <w:color w:val="auto"/>
          <w:sz w:val="36"/>
          <w:szCs w:val="32"/>
        </w:rPr>
        <w:t>9 低碳运行</w:t>
      </w:r>
      <w:bookmarkEnd w:id="143"/>
    </w:p>
    <w:p>
      <w:pPr>
        <w:spacing w:before="156" w:beforeLines="50" w:after="120"/>
        <w:jc w:val="center"/>
        <w:outlineLvl w:val="1"/>
        <w:rPr>
          <w:rFonts w:eastAsia="黑体"/>
          <w:bCs/>
          <w:color w:val="auto"/>
          <w:sz w:val="32"/>
          <w:szCs w:val="28"/>
        </w:rPr>
      </w:pPr>
      <w:bookmarkStart w:id="144" w:name="_Toc11757"/>
      <w:r>
        <w:rPr>
          <w:rFonts w:hint="eastAsia" w:eastAsia="黑体"/>
          <w:bCs/>
          <w:color w:val="auto"/>
          <w:sz w:val="32"/>
          <w:szCs w:val="28"/>
        </w:rPr>
        <w:t>9.1 智慧化运行</w:t>
      </w:r>
      <w:bookmarkEnd w:id="144"/>
    </w:p>
    <w:p>
      <w:pPr>
        <w:spacing w:before="312" w:beforeLines="100" w:after="240"/>
        <w:jc w:val="center"/>
        <w:outlineLvl w:val="0"/>
        <w:rPr>
          <w:rFonts w:ascii="仿宋" w:hAnsi="仿宋" w:eastAsia="仿宋"/>
          <w:b/>
          <w:bCs/>
          <w:color w:val="auto"/>
          <w:sz w:val="24"/>
          <w:szCs w:val="28"/>
        </w:rPr>
      </w:pPr>
      <w:bookmarkStart w:id="145" w:name="_Toc26874"/>
      <w:r>
        <w:rPr>
          <w:rFonts w:hint="eastAsia" w:ascii="仿宋" w:hAnsi="仿宋" w:eastAsia="仿宋"/>
          <w:b/>
          <w:bCs/>
          <w:color w:val="auto"/>
          <w:sz w:val="24"/>
          <w:szCs w:val="28"/>
        </w:rPr>
        <w:t>Ⅰ 监测计量</w:t>
      </w:r>
      <w:bookmarkEnd w:id="145"/>
    </w:p>
    <w:p>
      <w:pPr>
        <w:widowControl/>
        <w:spacing w:line="360" w:lineRule="auto"/>
        <w:rPr>
          <w:rFonts w:ascii="宋体" w:hAnsi="宋体"/>
          <w:color w:val="auto"/>
          <w:sz w:val="24"/>
        </w:rPr>
      </w:pPr>
      <w:r>
        <w:rPr>
          <w:rFonts w:hint="eastAsia" w:ascii="宋体" w:hAnsi="宋体"/>
          <w:b/>
          <w:bCs/>
          <w:color w:val="auto"/>
          <w:sz w:val="24"/>
        </w:rPr>
        <w:t>9.1.1</w:t>
      </w:r>
      <w:r>
        <w:rPr>
          <w:rFonts w:hint="eastAsia" w:ascii="宋体" w:hAnsi="宋体"/>
          <w:color w:val="auto"/>
          <w:sz w:val="24"/>
        </w:rPr>
        <w:t xml:space="preserve"> 应监测室内外环境舒适参数，保障使用需求。</w:t>
      </w:r>
    </w:p>
    <w:p>
      <w:pPr>
        <w:widowControl/>
        <w:spacing w:line="360" w:lineRule="auto"/>
        <w:ind w:firstLine="480" w:firstLineChars="200"/>
        <w:rPr>
          <w:rFonts w:ascii="宋体" w:hAnsi="宋体"/>
          <w:color w:val="auto"/>
          <w:sz w:val="24"/>
        </w:rPr>
      </w:pPr>
      <w:r>
        <w:rPr>
          <w:rFonts w:hint="eastAsia" w:ascii="宋体" w:hAnsi="宋体"/>
          <w:color w:val="auto"/>
          <w:sz w:val="24"/>
        </w:rPr>
        <w:t>1应实时监测展示室外空气的干球温度和相对湿度，并根据室外干球温度、相对湿度制定室内开窗通风、空调制冷的运行模式与策略。</w:t>
      </w:r>
    </w:p>
    <w:p>
      <w:pPr>
        <w:widowControl/>
        <w:spacing w:line="360" w:lineRule="auto"/>
        <w:ind w:firstLine="480" w:firstLineChars="200"/>
        <w:rPr>
          <w:rFonts w:ascii="宋体" w:hAnsi="宋体"/>
          <w:color w:val="auto"/>
          <w:sz w:val="24"/>
        </w:rPr>
      </w:pPr>
      <w:r>
        <w:rPr>
          <w:rFonts w:hint="eastAsia" w:ascii="宋体" w:hAnsi="宋体"/>
          <w:color w:val="auto"/>
          <w:sz w:val="24"/>
        </w:rPr>
        <w:t>2宜实时监测室外颗粒物浓度，在过渡季节结合室内、室外温度状态，与电动窗开关联动，以便实现自动开关窗通风。</w:t>
      </w:r>
    </w:p>
    <w:p>
      <w:pPr>
        <w:widowControl/>
        <w:spacing w:line="360" w:lineRule="auto"/>
        <w:ind w:firstLine="480" w:firstLineChars="200"/>
        <w:rPr>
          <w:rFonts w:ascii="宋体" w:hAnsi="宋体"/>
          <w:color w:val="auto"/>
          <w:sz w:val="24"/>
        </w:rPr>
      </w:pPr>
      <w:r>
        <w:rPr>
          <w:rFonts w:hint="eastAsia" w:ascii="宋体" w:hAnsi="宋体"/>
          <w:color w:val="auto"/>
          <w:sz w:val="24"/>
        </w:rPr>
        <w:t>3应多点实时监测室内干球温度、相对湿度、二氧化碳浓度分布，宜监测室内PM2.5浓度，PM10浓度，TVOC浓度等，并与通风空调系统联动。</w:t>
      </w:r>
    </w:p>
    <w:p>
      <w:pPr>
        <w:widowControl/>
        <w:spacing w:line="360" w:lineRule="auto"/>
        <w:rPr>
          <w:rFonts w:ascii="宋体" w:hAnsi="宋体"/>
          <w:color w:val="auto"/>
          <w:sz w:val="24"/>
        </w:rPr>
      </w:pPr>
      <w:r>
        <w:rPr>
          <w:rFonts w:hint="eastAsia" w:eastAsia="楷体"/>
          <w:b/>
          <w:color w:val="auto"/>
        </w:rPr>
        <w:t>【条文说明】</w:t>
      </w:r>
      <w:r>
        <w:rPr>
          <w:rFonts w:hint="eastAsia" w:eastAsia="楷体"/>
          <w:bCs/>
          <w:color w:val="auto"/>
        </w:rPr>
        <w:t>办公建筑在室外设置小型气象站持续监测项目当地实时的室外空气干球温度和室外相对湿度，用于分析预测室内空调负荷，进而制定空调系统、通风系统的运行策略。</w:t>
      </w:r>
    </w:p>
    <w:p>
      <w:pPr>
        <w:widowControl/>
        <w:spacing w:line="360" w:lineRule="auto"/>
        <w:rPr>
          <w:rFonts w:eastAsia="楷体"/>
          <w:bCs/>
          <w:color w:val="auto"/>
        </w:rPr>
      </w:pPr>
      <w:r>
        <w:rPr>
          <w:rFonts w:hint="eastAsia" w:eastAsia="楷体"/>
          <w:bCs/>
          <w:color w:val="auto"/>
        </w:rPr>
        <w:t>在办公建筑的室外设置PM2.5，PM10浓度监测传感器，实时监测室外空气质量，过渡季节室内通常需要开窗自然通风，在空气质量不佳，有大气颗粒物污染的城市或地区则不宜开窗通风，因此，可将室外颗粒物浓度监测、室外温湿度监测与电动窗的开关控制装置联动运行，保障室内空气质量的舒适性。</w:t>
      </w:r>
    </w:p>
    <w:p>
      <w:pPr>
        <w:widowControl/>
        <w:spacing w:line="360" w:lineRule="auto"/>
        <w:rPr>
          <w:rFonts w:eastAsia="楷体"/>
          <w:bCs/>
          <w:color w:val="auto"/>
        </w:rPr>
      </w:pPr>
      <w:r>
        <w:rPr>
          <w:rFonts w:hint="eastAsia" w:eastAsia="楷体"/>
          <w:bCs/>
          <w:color w:val="auto"/>
        </w:rPr>
        <w:t>办公建筑室内不同功能区的干球温度、相对湿度、CO2浓度是空调与通风系统运行调节的主要参数，应在办公建筑室内的不同被调节区域设置干球温度、相对湿度、CO2浓度传感器。而室内的PM2.5浓度、PM10浓度、TVOC浓度关乎人员的身体健康，宜设置传感器监测其浓度与通风系统联动。</w:t>
      </w:r>
    </w:p>
    <w:p>
      <w:pPr>
        <w:widowControl/>
        <w:spacing w:line="360" w:lineRule="auto"/>
        <w:rPr>
          <w:rFonts w:ascii="宋体" w:hAnsi="宋体"/>
          <w:color w:val="auto"/>
          <w:sz w:val="24"/>
        </w:rPr>
      </w:pPr>
      <w:r>
        <w:rPr>
          <w:rFonts w:hint="eastAsia" w:ascii="宋体" w:hAnsi="宋体"/>
          <w:color w:val="auto"/>
          <w:sz w:val="24"/>
        </w:rPr>
        <w:t>9.1.2 应监测主要用能系统的运行状态，保障用能系统安全稳定运行。</w:t>
      </w:r>
    </w:p>
    <w:p>
      <w:pPr>
        <w:widowControl/>
        <w:spacing w:line="360" w:lineRule="auto"/>
        <w:ind w:firstLine="480" w:firstLineChars="200"/>
        <w:rPr>
          <w:rFonts w:ascii="宋体" w:hAnsi="宋体"/>
          <w:color w:val="auto"/>
          <w:sz w:val="24"/>
        </w:rPr>
      </w:pPr>
      <w:r>
        <w:rPr>
          <w:rFonts w:hint="eastAsia" w:ascii="宋体" w:hAnsi="宋体"/>
          <w:color w:val="auto"/>
          <w:sz w:val="24"/>
        </w:rPr>
        <w:t>1空调系统的各类子系统应具有独立的自动化控制系统，并且完整采集各运行设备、水系统、风系统、制冷剂系统的运行状态参数，利用数字平台集成各子系统进行运行状态的可视化监测。</w:t>
      </w:r>
    </w:p>
    <w:p>
      <w:pPr>
        <w:widowControl/>
        <w:spacing w:line="360" w:lineRule="auto"/>
        <w:ind w:firstLine="480" w:firstLineChars="200"/>
        <w:rPr>
          <w:rFonts w:ascii="宋体" w:hAnsi="宋体"/>
          <w:color w:val="auto"/>
          <w:sz w:val="24"/>
        </w:rPr>
      </w:pPr>
      <w:r>
        <w:rPr>
          <w:rFonts w:hint="eastAsia" w:ascii="宋体" w:hAnsi="宋体"/>
          <w:color w:val="auto"/>
          <w:sz w:val="24"/>
        </w:rPr>
        <w:t>2应对办公建筑主要功能区域的照明控制系统进行集成管理，利用数字平台远程监测各主要功能区照明控制回路的开关状态。</w:t>
      </w:r>
    </w:p>
    <w:p>
      <w:pPr>
        <w:widowControl/>
        <w:spacing w:line="360" w:lineRule="auto"/>
        <w:ind w:firstLine="480" w:firstLineChars="200"/>
        <w:rPr>
          <w:rFonts w:ascii="宋体" w:hAnsi="宋体"/>
          <w:color w:val="auto"/>
          <w:sz w:val="24"/>
        </w:rPr>
      </w:pPr>
      <w:r>
        <w:rPr>
          <w:rFonts w:hint="eastAsia" w:ascii="宋体" w:hAnsi="宋体"/>
          <w:color w:val="auto"/>
          <w:sz w:val="24"/>
        </w:rPr>
        <w:t>3办公建筑的通风排风系统、给排水系统的动力设备应具有基础的自动运行控制逻辑，并集成到数字平台对其设备系统的运行状态和参数统一监测和管理。</w:t>
      </w:r>
    </w:p>
    <w:p>
      <w:pPr>
        <w:widowControl/>
        <w:spacing w:line="360" w:lineRule="auto"/>
        <w:ind w:firstLine="480" w:firstLineChars="200"/>
        <w:rPr>
          <w:rFonts w:ascii="宋体" w:hAnsi="宋体"/>
          <w:color w:val="auto"/>
          <w:sz w:val="24"/>
        </w:rPr>
      </w:pPr>
      <w:r>
        <w:rPr>
          <w:rFonts w:hint="eastAsia" w:ascii="宋体" w:hAnsi="宋体"/>
          <w:color w:val="auto"/>
          <w:sz w:val="24"/>
        </w:rPr>
        <w:t>4 电梯系统应具有独立的自动运行控制系统，并且宜接入统一的数字平台监测运行状态。</w:t>
      </w:r>
    </w:p>
    <w:p>
      <w:pPr>
        <w:widowControl/>
        <w:spacing w:line="360" w:lineRule="auto"/>
        <w:rPr>
          <w:rFonts w:eastAsia="楷体"/>
          <w:bCs/>
          <w:color w:val="auto"/>
        </w:rPr>
      </w:pPr>
      <w:r>
        <w:rPr>
          <w:rFonts w:hint="eastAsia" w:eastAsia="楷体"/>
          <w:bCs/>
          <w:color w:val="auto"/>
        </w:rPr>
        <w:t>【条文说明】办公建筑的空调系统一般均设计有智能化控制系统，对空调系统的主要设备，风、水系统，制冷剂系统的主要运行参数进行监测和控制。如空调主机的进出水温度、运行负载率，水泵冷塔的运行频率，设备运行状态，风水系统的温度、流量、压力等。通过空调系统的智能化集成实现对空调系统监测和控制。远程实时监测空调系统的运行状态，运行参数的异常与否，避免因系统运行故障而频繁操作造成能源浪费。</w:t>
      </w:r>
    </w:p>
    <w:p>
      <w:pPr>
        <w:widowControl/>
        <w:spacing w:line="360" w:lineRule="auto"/>
        <w:rPr>
          <w:rFonts w:eastAsia="楷体"/>
          <w:bCs/>
          <w:color w:val="auto"/>
        </w:rPr>
      </w:pPr>
      <w:r>
        <w:rPr>
          <w:rFonts w:hint="eastAsia" w:eastAsia="楷体"/>
          <w:bCs/>
          <w:color w:val="auto"/>
        </w:rPr>
        <w:t>办公建筑内不同区域设计不同的智能照明控制回路，应对各照明控制回路进行集成管理，在统一的智慧化平台监测各回路的开关运行状态，控制逻辑参数设置等。便于实时监测和调节。</w:t>
      </w:r>
    </w:p>
    <w:p>
      <w:pPr>
        <w:widowControl/>
        <w:spacing w:line="360" w:lineRule="auto"/>
        <w:rPr>
          <w:rFonts w:eastAsia="楷体"/>
          <w:bCs/>
          <w:color w:val="auto"/>
        </w:rPr>
      </w:pPr>
      <w:r>
        <w:rPr>
          <w:rFonts w:hint="eastAsia" w:eastAsia="楷体"/>
          <w:bCs/>
          <w:color w:val="auto"/>
        </w:rPr>
        <w:t>办公建筑室内不同区域的通风排风机，如设备房、卫生间、地下室等，以及生活给水泵、污水泵等动力设备一般设置有配电控制柜，宜将其配电控制信息集成接入统一的智慧化管理平台进行监测与控制。</w:t>
      </w:r>
    </w:p>
    <w:p>
      <w:pPr>
        <w:widowControl/>
        <w:spacing w:line="360" w:lineRule="auto"/>
        <w:rPr>
          <w:rFonts w:eastAsia="楷体"/>
          <w:bCs/>
          <w:color w:val="auto"/>
        </w:rPr>
      </w:pPr>
      <w:r>
        <w:rPr>
          <w:rFonts w:hint="eastAsia" w:eastAsia="楷体"/>
          <w:bCs/>
          <w:color w:val="auto"/>
        </w:rPr>
        <w:t>办公建筑内一般有多部电梯，各部电梯具有独立的运行控制逻辑或电梯群控逻辑系统。宜对电梯的梯群控制系统进行集成监测。</w:t>
      </w:r>
    </w:p>
    <w:p>
      <w:pPr>
        <w:widowControl/>
        <w:spacing w:line="360" w:lineRule="auto"/>
        <w:rPr>
          <w:rFonts w:ascii="宋体" w:hAnsi="宋体"/>
          <w:color w:val="auto"/>
          <w:sz w:val="24"/>
        </w:rPr>
      </w:pPr>
      <w:r>
        <w:rPr>
          <w:rFonts w:hint="eastAsia" w:ascii="宋体" w:hAnsi="宋体"/>
          <w:color w:val="auto"/>
          <w:sz w:val="24"/>
        </w:rPr>
        <w:t>9.1.3 应实时监测主要资源输入输出量，计量碳排放数据。</w:t>
      </w:r>
    </w:p>
    <w:p>
      <w:pPr>
        <w:widowControl/>
        <w:spacing w:line="360" w:lineRule="auto"/>
        <w:ind w:firstLine="480" w:firstLineChars="200"/>
        <w:rPr>
          <w:rFonts w:ascii="宋体" w:hAnsi="宋体"/>
          <w:color w:val="auto"/>
          <w:sz w:val="24"/>
        </w:rPr>
      </w:pPr>
      <w:r>
        <w:rPr>
          <w:rFonts w:hint="eastAsia" w:ascii="宋体" w:hAnsi="宋体"/>
          <w:color w:val="auto"/>
          <w:sz w:val="24"/>
        </w:rPr>
        <w:t>1应利用具有远传功能的智能电力仪表，分不同层级计量办公建筑的电力消耗，应计量到项目的总用电量和各分项功能用电，宜计量重点区域、重要系统、重点设备的用电量，并利用数字平台进行集成统一管理，分类、分级存储与可视化呈现</w:t>
      </w:r>
    </w:p>
    <w:p>
      <w:pPr>
        <w:widowControl/>
        <w:spacing w:line="360" w:lineRule="auto"/>
        <w:ind w:firstLine="480" w:firstLineChars="200"/>
        <w:rPr>
          <w:rFonts w:ascii="宋体" w:hAnsi="宋体"/>
          <w:color w:val="auto"/>
          <w:sz w:val="24"/>
        </w:rPr>
      </w:pPr>
      <w:r>
        <w:rPr>
          <w:rFonts w:hint="eastAsia" w:ascii="宋体" w:hAnsi="宋体"/>
          <w:color w:val="auto"/>
          <w:sz w:val="24"/>
        </w:rPr>
        <w:t>2应利用具有远传功能的智能水表，分不同层级计量办公建筑的用水量；应计量到项目的总用水量和各主要分项功能的用水量，宜计量不同楼层的用水量。</w:t>
      </w:r>
    </w:p>
    <w:p>
      <w:pPr>
        <w:widowControl/>
        <w:spacing w:line="360" w:lineRule="auto"/>
        <w:ind w:firstLine="480" w:firstLineChars="200"/>
        <w:rPr>
          <w:rFonts w:ascii="宋体" w:hAnsi="宋体"/>
          <w:color w:val="auto"/>
          <w:sz w:val="24"/>
        </w:rPr>
      </w:pPr>
      <w:r>
        <w:rPr>
          <w:rFonts w:hint="eastAsia" w:ascii="宋体" w:hAnsi="宋体"/>
          <w:color w:val="auto"/>
          <w:sz w:val="24"/>
        </w:rPr>
        <w:t>3应利用具有远传功能的智能燃气仪表，计量项目边界内的总燃气用量，并且分项计量各责任范围、功能类型的燃气用量。</w:t>
      </w:r>
    </w:p>
    <w:p>
      <w:pPr>
        <w:widowControl/>
        <w:spacing w:line="360" w:lineRule="auto"/>
        <w:ind w:firstLine="480" w:firstLineChars="200"/>
        <w:rPr>
          <w:rFonts w:ascii="宋体" w:hAnsi="宋体"/>
          <w:color w:val="auto"/>
          <w:sz w:val="24"/>
        </w:rPr>
      </w:pPr>
      <w:r>
        <w:rPr>
          <w:rFonts w:hint="eastAsia" w:ascii="宋体" w:hAnsi="宋体"/>
          <w:color w:val="auto"/>
          <w:sz w:val="24"/>
        </w:rPr>
        <w:t>4应利用具有远传功能的智能冷/热量仪表，计量项目的市政集中总供冷量或总供热量。</w:t>
      </w:r>
    </w:p>
    <w:p>
      <w:pPr>
        <w:widowControl/>
        <w:spacing w:line="360" w:lineRule="auto"/>
        <w:ind w:firstLine="480" w:firstLineChars="200"/>
        <w:rPr>
          <w:rFonts w:ascii="宋体" w:hAnsi="宋体"/>
          <w:color w:val="auto"/>
          <w:sz w:val="24"/>
        </w:rPr>
      </w:pPr>
      <w:r>
        <w:rPr>
          <w:rFonts w:hint="eastAsia" w:ascii="宋体" w:hAnsi="宋体"/>
          <w:color w:val="auto"/>
          <w:sz w:val="24"/>
        </w:rPr>
        <w:t>5光伏发电系统，应计量光伏发电系统的总发电量，具有并网功能的光伏系统，应双向计量电量的输入输出。</w:t>
      </w:r>
    </w:p>
    <w:p>
      <w:pPr>
        <w:widowControl/>
        <w:spacing w:line="360" w:lineRule="auto"/>
        <w:ind w:firstLine="480" w:firstLineChars="200"/>
        <w:outlineLvl w:val="0"/>
        <w:rPr>
          <w:rFonts w:ascii="宋体" w:hAnsi="宋体"/>
          <w:color w:val="auto"/>
          <w:sz w:val="24"/>
        </w:rPr>
      </w:pPr>
      <w:bookmarkStart w:id="146" w:name="_Toc18985"/>
      <w:r>
        <w:rPr>
          <w:rFonts w:hint="eastAsia" w:ascii="宋体" w:hAnsi="宋体"/>
          <w:color w:val="auto"/>
          <w:sz w:val="24"/>
        </w:rPr>
        <w:t>6办公建筑内的新能源汽车充电桩，应双向计量充放电量。</w:t>
      </w:r>
      <w:bookmarkEnd w:id="146"/>
    </w:p>
    <w:p>
      <w:pPr>
        <w:widowControl/>
        <w:spacing w:line="360" w:lineRule="auto"/>
        <w:rPr>
          <w:rFonts w:eastAsia="楷体"/>
          <w:bCs/>
          <w:color w:val="auto"/>
        </w:rPr>
      </w:pPr>
      <w:r>
        <w:rPr>
          <w:rFonts w:hint="eastAsia" w:eastAsia="楷体"/>
          <w:b/>
          <w:color w:val="auto"/>
        </w:rPr>
        <w:t>【条文说明】</w:t>
      </w:r>
      <w:r>
        <w:rPr>
          <w:rFonts w:hint="eastAsia" w:eastAsia="楷体"/>
          <w:bCs/>
          <w:color w:val="auto"/>
        </w:rPr>
        <w:t>电力消耗是办公建筑的主要碳排放源，应利用智能电力仪表对其不同维度的电力消耗进行计量；如计量变压器低压侧用电量统计项目总用电量，变压器的配电支路计量，分项独立计量空调系统、照明系统、电梯系统、插座供电等系统的用电量，对空调系统的单台主机、水泵设备，大型风柜，以及食堂厨房设备等重点设备进行独立的用电计量。并将计量仪表采集的电耗数据进行集成管理与分析应用。</w:t>
      </w:r>
    </w:p>
    <w:p>
      <w:pPr>
        <w:widowControl/>
        <w:spacing w:line="360" w:lineRule="auto"/>
        <w:rPr>
          <w:rFonts w:eastAsia="楷体"/>
          <w:bCs/>
          <w:color w:val="auto"/>
        </w:rPr>
      </w:pPr>
      <w:r>
        <w:rPr>
          <w:rFonts w:hint="eastAsia" w:eastAsia="楷体"/>
          <w:bCs/>
          <w:color w:val="auto"/>
        </w:rPr>
        <w:t>采用智能水表对办公建筑的市政供水总管进行总用水量计量，对生活给水，地下设备房用水点，绿化灌溉，集中热水、电热水器等不同功能用水进行独立的计量，生活给水分配到楼层的洗手间和冲厕宜进行分楼层计量，便于精细化用水管理。</w:t>
      </w:r>
    </w:p>
    <w:p>
      <w:pPr>
        <w:widowControl/>
        <w:spacing w:line="360" w:lineRule="auto"/>
        <w:rPr>
          <w:rFonts w:eastAsia="楷体"/>
          <w:bCs/>
          <w:color w:val="auto"/>
        </w:rPr>
      </w:pPr>
      <w:r>
        <w:rPr>
          <w:rFonts w:hint="eastAsia" w:eastAsia="楷体"/>
          <w:bCs/>
          <w:color w:val="auto"/>
        </w:rPr>
        <w:t>办公建筑功能通常底层设计有餐饮商业、办公公共食堂、热水供应等功能使用到天然气，应对办公建筑的燃气总用量进行计量，宜对不同商业租户，食堂区域，燃气热水炉等功能范围的用气点进行独立的分项计量。</w:t>
      </w:r>
    </w:p>
    <w:p>
      <w:pPr>
        <w:widowControl/>
        <w:spacing w:line="360" w:lineRule="auto"/>
        <w:rPr>
          <w:rFonts w:eastAsia="楷体"/>
          <w:bCs/>
          <w:color w:val="auto"/>
        </w:rPr>
      </w:pPr>
      <w:r>
        <w:rPr>
          <w:rFonts w:hint="eastAsia" w:eastAsia="楷体"/>
          <w:bCs/>
          <w:color w:val="auto"/>
        </w:rPr>
        <w:t>采用智能远传冷量表，热量表统计办公建筑使用的市政集中供冷的总冷量，或市政集中供热的总热量。用于测算利用外购冷量和外购热量的碳排放信息。</w:t>
      </w:r>
    </w:p>
    <w:p>
      <w:pPr>
        <w:widowControl/>
        <w:spacing w:line="360" w:lineRule="auto"/>
        <w:rPr>
          <w:rFonts w:eastAsia="楷体"/>
          <w:bCs/>
          <w:color w:val="auto"/>
        </w:rPr>
      </w:pPr>
      <w:r>
        <w:rPr>
          <w:rFonts w:hint="eastAsia" w:eastAsia="楷体"/>
          <w:bCs/>
          <w:color w:val="auto"/>
        </w:rPr>
        <w:t>办公建筑设计有光伏发电系统时，应采用计量仪表计量光伏发电系统的发电功率，实时和累计发电量数据。光伏系统采用并网设计时应采用双向计量，光伏系统输入电网的电量和电网输入建筑光伏配电系统的电量。便于计算光伏发电、并网电量、市政供电的分项数据。</w:t>
      </w:r>
    </w:p>
    <w:p>
      <w:pPr>
        <w:widowControl/>
        <w:spacing w:line="360" w:lineRule="auto"/>
        <w:rPr>
          <w:rFonts w:eastAsia="楷体"/>
          <w:bCs/>
          <w:color w:val="auto"/>
        </w:rPr>
      </w:pPr>
      <w:r>
        <w:rPr>
          <w:rFonts w:hint="eastAsia" w:eastAsia="楷体"/>
          <w:bCs/>
          <w:color w:val="auto"/>
        </w:rPr>
        <w:t>办公建筑内设计有新能源双向充电桩时，即新能源汽车可从建筑取电也可对建筑放电的新能源充电桩系统，应进行双向的充放电计量。</w:t>
      </w:r>
    </w:p>
    <w:p>
      <w:pPr>
        <w:spacing w:before="312" w:beforeLines="100" w:after="240"/>
        <w:jc w:val="center"/>
        <w:outlineLvl w:val="1"/>
        <w:rPr>
          <w:rFonts w:ascii="仿宋" w:hAnsi="仿宋" w:eastAsia="仿宋"/>
          <w:b/>
          <w:bCs/>
          <w:color w:val="auto"/>
          <w:sz w:val="24"/>
          <w:szCs w:val="28"/>
        </w:rPr>
      </w:pPr>
      <w:bookmarkStart w:id="147" w:name="_Toc8325"/>
      <w:r>
        <w:rPr>
          <w:rFonts w:hint="eastAsia" w:ascii="仿宋" w:hAnsi="仿宋" w:eastAsia="仿宋"/>
          <w:b/>
          <w:bCs/>
          <w:color w:val="auto"/>
          <w:sz w:val="24"/>
          <w:szCs w:val="28"/>
        </w:rPr>
        <w:t>Ⅱ 智慧管理</w:t>
      </w:r>
      <w:bookmarkEnd w:id="147"/>
    </w:p>
    <w:p>
      <w:pPr>
        <w:widowControl/>
        <w:spacing w:line="360" w:lineRule="auto"/>
        <w:rPr>
          <w:rFonts w:ascii="宋体" w:hAnsi="宋体"/>
          <w:color w:val="auto"/>
          <w:sz w:val="24"/>
        </w:rPr>
      </w:pPr>
      <w:r>
        <w:rPr>
          <w:rFonts w:hint="eastAsia" w:ascii="宋体" w:hAnsi="宋体"/>
          <w:b/>
          <w:bCs/>
          <w:color w:val="auto"/>
          <w:sz w:val="24"/>
        </w:rPr>
        <w:t>9.1.4</w:t>
      </w:r>
      <w:r>
        <w:rPr>
          <w:rFonts w:hint="eastAsia" w:ascii="宋体" w:hAnsi="宋体"/>
          <w:color w:val="auto"/>
          <w:sz w:val="24"/>
        </w:rPr>
        <w:t xml:space="preserve"> 应具有集中的管理平台对办公建筑运行过程中各种资源（用电、用水、用气、充放电、集中供冷、集中供热）的输入输出进行分类、分级、动态量化管理。</w:t>
      </w:r>
    </w:p>
    <w:p>
      <w:pPr>
        <w:widowControl/>
        <w:spacing w:line="360" w:lineRule="auto"/>
        <w:rPr>
          <w:rFonts w:eastAsia="楷体"/>
          <w:bCs/>
          <w:color w:val="auto"/>
        </w:rPr>
      </w:pPr>
      <w:r>
        <w:rPr>
          <w:rFonts w:hint="eastAsia" w:eastAsia="楷体"/>
          <w:b/>
          <w:color w:val="auto"/>
        </w:rPr>
        <w:t>【条文说明】</w:t>
      </w:r>
      <w:r>
        <w:rPr>
          <w:rFonts w:hint="eastAsia" w:eastAsia="楷体"/>
          <w:bCs/>
          <w:color w:val="auto"/>
        </w:rPr>
        <w:t>应设计智慧管理平台对各种电表、水表、燃气表、冷/热量表等智能化仪表采集的数据进行集成管理，做到分类分项，分级编码，数据处理，展示应用。</w:t>
      </w:r>
    </w:p>
    <w:p>
      <w:pPr>
        <w:widowControl/>
        <w:spacing w:line="360" w:lineRule="auto"/>
        <w:rPr>
          <w:rFonts w:ascii="宋体" w:hAnsi="宋体"/>
          <w:color w:val="auto"/>
          <w:sz w:val="24"/>
        </w:rPr>
      </w:pPr>
      <w:r>
        <w:rPr>
          <w:rFonts w:hint="eastAsia" w:ascii="宋体" w:hAnsi="宋体"/>
          <w:b/>
          <w:bCs/>
          <w:color w:val="auto"/>
          <w:sz w:val="24"/>
        </w:rPr>
        <w:t>9.1.5</w:t>
      </w:r>
      <w:r>
        <w:rPr>
          <w:rFonts w:hint="eastAsia" w:ascii="宋体" w:hAnsi="宋体"/>
          <w:color w:val="auto"/>
          <w:sz w:val="24"/>
        </w:rPr>
        <w:t xml:space="preserve"> 应根据各种资源输入输出的动态变化量和碳排放因子，分类、分级、动态核算办公建筑运行过程的碳排放量。各设备系统的运行应具有可视化的状态模型，各种电、水、气、冷、热、碳排放的量化数据应图形化、动态化交互表达。各种资源数据和设备系统运行数据应具有趋势分析、对比对标、指标评价、预警告警等分析功能。</w:t>
      </w:r>
    </w:p>
    <w:p>
      <w:pPr>
        <w:widowControl/>
        <w:spacing w:line="360" w:lineRule="auto"/>
        <w:rPr>
          <w:rFonts w:ascii="宋体" w:hAnsi="宋体"/>
          <w:color w:val="auto"/>
          <w:sz w:val="24"/>
        </w:rPr>
      </w:pPr>
      <w:r>
        <w:rPr>
          <w:rFonts w:hint="eastAsia" w:eastAsia="楷体"/>
          <w:b/>
          <w:color w:val="auto"/>
        </w:rPr>
        <w:t>【条文说明】</w:t>
      </w:r>
      <w:r>
        <w:rPr>
          <w:rFonts w:hint="eastAsia" w:eastAsia="楷体"/>
          <w:bCs/>
          <w:color w:val="auto"/>
        </w:rPr>
        <w:t>在智慧化管理平台上，采集各种实物资源的消耗量和生产量，并在管理平台输入或动态接入各项碳排放因子，分类、分项、分级动态计算各项运行碳排放量。</w:t>
      </w:r>
    </w:p>
    <w:p>
      <w:pPr>
        <w:widowControl/>
        <w:spacing w:line="360" w:lineRule="auto"/>
        <w:rPr>
          <w:rFonts w:eastAsia="楷体"/>
          <w:bCs/>
          <w:color w:val="auto"/>
        </w:rPr>
      </w:pPr>
      <w:r>
        <w:rPr>
          <w:rFonts w:hint="eastAsia" w:eastAsia="楷体"/>
          <w:bCs/>
          <w:color w:val="auto"/>
        </w:rPr>
        <w:t>在智慧化平台可展示项目的实体模型，空调系统、照明系统、给排水系统模型；将各种用电、用水、用气、供冷、供热的碳排放数据进行实时、动态、图形化的表达，便于运行管理人员在线查询，判断和调控。</w:t>
      </w:r>
    </w:p>
    <w:p>
      <w:pPr>
        <w:widowControl/>
        <w:spacing w:line="360" w:lineRule="auto"/>
        <w:rPr>
          <w:rFonts w:eastAsia="楷体"/>
          <w:bCs/>
          <w:color w:val="auto"/>
        </w:rPr>
      </w:pPr>
      <w:r>
        <w:rPr>
          <w:rFonts w:hint="eastAsia" w:eastAsia="楷体"/>
          <w:b/>
          <w:color w:val="auto"/>
        </w:rPr>
        <w:t>运</w:t>
      </w:r>
      <w:r>
        <w:rPr>
          <w:rFonts w:hint="eastAsia" w:eastAsia="楷体"/>
          <w:bCs/>
          <w:color w:val="auto"/>
        </w:rPr>
        <w:t>行过程的用电、发电、用水、用气、供冷热等资源产耗数据，以及空调系统能效，照明系统使用效率等运行数据应基于智慧管理平台进行趋势分析，横向和纵向对标分析，关键指标评价，并及时进行超标异常的预警告警。</w:t>
      </w:r>
    </w:p>
    <w:p>
      <w:pPr>
        <w:spacing w:before="156" w:beforeLines="50" w:after="120"/>
        <w:jc w:val="center"/>
        <w:outlineLvl w:val="1"/>
        <w:rPr>
          <w:rFonts w:eastAsia="黑体"/>
          <w:bCs/>
          <w:color w:val="auto"/>
          <w:sz w:val="32"/>
          <w:szCs w:val="28"/>
        </w:rPr>
      </w:pPr>
      <w:bookmarkStart w:id="148" w:name="_Toc23782"/>
      <w:r>
        <w:rPr>
          <w:rFonts w:hint="eastAsia" w:eastAsia="黑体"/>
          <w:bCs/>
          <w:color w:val="auto"/>
          <w:sz w:val="32"/>
          <w:szCs w:val="28"/>
        </w:rPr>
        <w:t>9.2 持续调试</w:t>
      </w:r>
      <w:bookmarkEnd w:id="148"/>
    </w:p>
    <w:p>
      <w:pPr>
        <w:spacing w:before="312" w:beforeLines="100" w:after="240"/>
        <w:jc w:val="center"/>
        <w:outlineLvl w:val="0"/>
        <w:rPr>
          <w:rFonts w:ascii="仿宋" w:hAnsi="仿宋" w:eastAsia="仿宋"/>
          <w:b/>
          <w:bCs/>
          <w:color w:val="auto"/>
          <w:sz w:val="24"/>
          <w:szCs w:val="28"/>
        </w:rPr>
      </w:pPr>
      <w:bookmarkStart w:id="149" w:name="_Toc8663"/>
      <w:r>
        <w:rPr>
          <w:rFonts w:hint="eastAsia" w:ascii="仿宋" w:hAnsi="仿宋" w:eastAsia="仿宋"/>
          <w:b/>
          <w:bCs/>
          <w:color w:val="auto"/>
          <w:sz w:val="24"/>
          <w:szCs w:val="28"/>
        </w:rPr>
        <w:t>Ⅰ 围护结构</w:t>
      </w:r>
      <w:bookmarkEnd w:id="149"/>
    </w:p>
    <w:p>
      <w:pPr>
        <w:widowControl/>
        <w:spacing w:line="360" w:lineRule="auto"/>
        <w:rPr>
          <w:rFonts w:ascii="宋体" w:hAnsi="宋体"/>
          <w:color w:val="auto"/>
          <w:sz w:val="24"/>
        </w:rPr>
      </w:pPr>
      <w:r>
        <w:rPr>
          <w:rFonts w:hint="eastAsia" w:ascii="宋体" w:hAnsi="宋体"/>
          <w:b/>
          <w:bCs/>
          <w:color w:val="auto"/>
          <w:sz w:val="24"/>
        </w:rPr>
        <w:t>9.2.1</w:t>
      </w:r>
      <w:r>
        <w:rPr>
          <w:rFonts w:hint="eastAsia" w:ascii="宋体" w:hAnsi="宋体"/>
          <w:color w:val="auto"/>
          <w:sz w:val="24"/>
        </w:rPr>
        <w:t xml:space="preserve"> 运行期内，应定期或适时采用便携式仪器设备对屋顶、外墙、外窗围护结构的热工缺陷进行检测，排查局部缺陷并及时修复。</w:t>
      </w:r>
    </w:p>
    <w:p>
      <w:pPr>
        <w:widowControl/>
        <w:spacing w:line="360" w:lineRule="auto"/>
        <w:rPr>
          <w:rFonts w:eastAsia="楷体"/>
          <w:bCs/>
          <w:color w:val="auto"/>
        </w:rPr>
      </w:pPr>
      <w:r>
        <w:rPr>
          <w:rFonts w:hint="eastAsia" w:eastAsia="楷体"/>
          <w:bCs/>
          <w:color w:val="auto"/>
        </w:rPr>
        <w:t>【条文说明】办公建筑在运行期间，屋顶、外墙、外窗等外围护结构由于长期受到风吹、日晒、雨浸、施工缺陷等因素的影响，会造成诸如屋顶局部积水、墙体局部表皮脱落等问题，造成围护结构形成冷、热桥等局部热工缺陷，影响室内的冷热负荷，造成能源损失。因此，运行期间可由运营管理人员利用便携式红外热成像仪进行巡检排查或定期（如每隔5年）聘请专业机构来检测；发现的局部缺陷问题及时进行修复，避免因负荷增量导致的能源消耗。</w:t>
      </w:r>
    </w:p>
    <w:p>
      <w:pPr>
        <w:widowControl/>
        <w:spacing w:line="360" w:lineRule="auto"/>
        <w:rPr>
          <w:rFonts w:ascii="宋体" w:hAnsi="宋体"/>
          <w:color w:val="auto"/>
          <w:sz w:val="24"/>
        </w:rPr>
      </w:pPr>
      <w:r>
        <w:rPr>
          <w:rFonts w:hint="eastAsia" w:ascii="宋体" w:hAnsi="宋体"/>
          <w:b/>
          <w:bCs/>
          <w:color w:val="auto"/>
          <w:sz w:val="24"/>
        </w:rPr>
        <w:t>9.2.2</w:t>
      </w:r>
      <w:r>
        <w:rPr>
          <w:rFonts w:hint="eastAsia" w:ascii="宋体" w:hAnsi="宋体"/>
          <w:color w:val="auto"/>
          <w:sz w:val="24"/>
        </w:rPr>
        <w:t xml:space="preserve"> 应对围护结构的遮阳装置进行持续调试，以达到最佳运行效果</w:t>
      </w:r>
    </w:p>
    <w:p>
      <w:pPr>
        <w:widowControl/>
        <w:spacing w:line="360" w:lineRule="auto"/>
        <w:rPr>
          <w:rFonts w:ascii="宋体" w:hAnsi="宋体"/>
          <w:color w:val="auto"/>
          <w:sz w:val="24"/>
        </w:rPr>
      </w:pPr>
      <w:r>
        <w:rPr>
          <w:rFonts w:hint="eastAsia" w:ascii="宋体" w:hAnsi="宋体"/>
          <w:color w:val="auto"/>
          <w:sz w:val="24"/>
        </w:rPr>
        <w:t xml:space="preserve">    1 固定遮阳装置，应对遮阳构件制定检修机制。</w:t>
      </w:r>
    </w:p>
    <w:p>
      <w:pPr>
        <w:widowControl/>
        <w:spacing w:line="360" w:lineRule="auto"/>
        <w:rPr>
          <w:rFonts w:ascii="宋体" w:hAnsi="宋体"/>
          <w:color w:val="auto"/>
          <w:sz w:val="24"/>
        </w:rPr>
      </w:pPr>
      <w:r>
        <w:rPr>
          <w:rFonts w:hint="eastAsia" w:ascii="宋体" w:hAnsi="宋体"/>
          <w:color w:val="auto"/>
          <w:sz w:val="24"/>
        </w:rPr>
        <w:t xml:space="preserve">    2 可调遮阳装置，宜根据季节和太阳高度角的变化规律，调节遮阳装置的倾斜角，制定调节机制。</w:t>
      </w:r>
    </w:p>
    <w:p>
      <w:pPr>
        <w:widowControl/>
        <w:spacing w:line="360" w:lineRule="auto"/>
        <w:rPr>
          <w:rFonts w:ascii="宋体" w:hAnsi="宋体"/>
          <w:color w:val="auto"/>
          <w:sz w:val="24"/>
        </w:rPr>
      </w:pPr>
      <w:r>
        <w:rPr>
          <w:rFonts w:hint="eastAsia" w:ascii="宋体" w:hAnsi="宋体"/>
          <w:color w:val="auto"/>
          <w:sz w:val="24"/>
        </w:rPr>
        <w:t xml:space="preserve">    3 电动遮阳装置，宜具有结合自然采光、室内照明、调节室内冷热负荷的协同控制策略，并持续调试优化。</w:t>
      </w:r>
    </w:p>
    <w:p>
      <w:pPr>
        <w:widowControl/>
        <w:spacing w:line="360" w:lineRule="auto"/>
        <w:rPr>
          <w:rFonts w:ascii="宋体" w:hAnsi="宋体"/>
          <w:bCs/>
          <w:color w:val="auto"/>
          <w:sz w:val="24"/>
        </w:rPr>
      </w:pPr>
      <w:r>
        <w:rPr>
          <w:rFonts w:hint="eastAsia" w:eastAsia="楷体"/>
          <w:b/>
          <w:color w:val="auto"/>
        </w:rPr>
        <w:t>【条文说明】</w:t>
      </w:r>
      <w:r>
        <w:rPr>
          <w:rFonts w:hint="eastAsia" w:eastAsia="楷体"/>
          <w:bCs/>
          <w:color w:val="auto"/>
        </w:rPr>
        <w:t>办公建筑的固定遮阳装置或构件由于受到外力作用（如台风、暴雨等）的影响，会造成遮阳构件局部变形或损坏而起不到遮阳效果或遮阳效果差，导致室内冷负荷增加，空调耗能增加，因此，运行期间，应制定适时的巡检和维修机制。</w:t>
      </w:r>
    </w:p>
    <w:p>
      <w:pPr>
        <w:widowControl/>
        <w:spacing w:line="360" w:lineRule="auto"/>
        <w:rPr>
          <w:rFonts w:ascii="宋体" w:hAnsi="宋体"/>
          <w:color w:val="auto"/>
          <w:sz w:val="24"/>
        </w:rPr>
      </w:pPr>
      <w:r>
        <w:rPr>
          <w:rFonts w:hint="eastAsia" w:eastAsia="楷体"/>
          <w:bCs/>
          <w:color w:val="auto"/>
        </w:rPr>
        <w:t>对于可调节的遮阳装置，根据不同季节、不同房间朝向、每天太阳的高度角变化不同，调节遮阳装置的倾斜角达到最佳遮阳效果，运行过程可制定不同朝向房间可调遮阳装置的操作规范张贴于可见的操作位置指导办公室内人员正确操作。</w:t>
      </w:r>
    </w:p>
    <w:p>
      <w:pPr>
        <w:widowControl/>
        <w:spacing w:line="360" w:lineRule="auto"/>
        <w:rPr>
          <w:rFonts w:eastAsia="楷体"/>
          <w:bCs/>
          <w:color w:val="auto"/>
        </w:rPr>
      </w:pPr>
      <w:r>
        <w:rPr>
          <w:rFonts w:hint="eastAsia" w:eastAsia="楷体"/>
          <w:bCs/>
          <w:color w:val="auto"/>
        </w:rPr>
        <w:t>具有电动遮阳装置的办公建筑，宜通过照度传感器与室内照明控制系统协同，室内照度不足时，优先调节遮阳装置进行自然采光，利用人工照明灯具进行调节补光；空调季节时，考虑电动遮阳装置的调节范围，综合平衡室内采光和冷负荷控制的需求。</w:t>
      </w:r>
    </w:p>
    <w:p>
      <w:pPr>
        <w:widowControl/>
        <w:spacing w:line="360" w:lineRule="auto"/>
        <w:rPr>
          <w:rFonts w:ascii="宋体" w:hAnsi="宋体"/>
          <w:color w:val="auto"/>
          <w:sz w:val="24"/>
        </w:rPr>
      </w:pPr>
      <w:r>
        <w:rPr>
          <w:rFonts w:hint="eastAsia" w:ascii="宋体" w:hAnsi="宋体"/>
          <w:b/>
          <w:bCs/>
          <w:color w:val="auto"/>
          <w:sz w:val="24"/>
        </w:rPr>
        <w:t>9.2.3</w:t>
      </w:r>
      <w:r>
        <w:rPr>
          <w:rFonts w:hint="eastAsia" w:ascii="宋体" w:hAnsi="宋体"/>
          <w:color w:val="auto"/>
          <w:sz w:val="24"/>
        </w:rPr>
        <w:t xml:space="preserve"> 应制定幕墙通风器的运行检修机制与探索通风器叶片的持续调节机制，以适应不同时段空调节能，自然通风，避免强风强雨等场景应用的需求。</w:t>
      </w:r>
    </w:p>
    <w:p>
      <w:pPr>
        <w:widowControl/>
        <w:spacing w:line="360" w:lineRule="auto"/>
        <w:rPr>
          <w:rFonts w:eastAsia="楷体"/>
          <w:bCs/>
          <w:color w:val="auto"/>
        </w:rPr>
      </w:pPr>
      <w:r>
        <w:rPr>
          <w:rFonts w:hint="eastAsia" w:eastAsia="楷体"/>
          <w:b/>
          <w:color w:val="auto"/>
        </w:rPr>
        <w:t>【条文说明】</w:t>
      </w:r>
      <w:r>
        <w:rPr>
          <w:rFonts w:hint="eastAsia" w:eastAsia="楷体"/>
          <w:bCs/>
          <w:color w:val="auto"/>
        </w:rPr>
        <w:t>设计幕墙通风器的办公建筑，应制定运行检修维护机制，避免强风强雨对调节阀瓣损坏变形导致长期漏风问题，下送风式幕墙通风器的积灰问题等。应探索制定适应的持续调节机制，如空调季或采暖季的白天办公室时段应关闭减少冷热负荷，夜间非办公时段可开启通风换气；过渡季应优先开启自然通风换气。</w:t>
      </w:r>
    </w:p>
    <w:p>
      <w:pPr>
        <w:widowControl/>
        <w:spacing w:line="360" w:lineRule="auto"/>
        <w:rPr>
          <w:rFonts w:ascii="宋体" w:hAnsi="宋体"/>
          <w:color w:val="auto"/>
          <w:sz w:val="24"/>
        </w:rPr>
      </w:pPr>
      <w:r>
        <w:rPr>
          <w:rFonts w:hint="eastAsia" w:ascii="宋体" w:hAnsi="宋体"/>
          <w:b/>
          <w:bCs/>
          <w:color w:val="auto"/>
          <w:sz w:val="24"/>
        </w:rPr>
        <w:t>9.2.4</w:t>
      </w:r>
      <w:r>
        <w:rPr>
          <w:rFonts w:hint="eastAsia" w:ascii="宋体" w:hAnsi="宋体"/>
          <w:color w:val="auto"/>
          <w:sz w:val="24"/>
        </w:rPr>
        <w:t xml:space="preserve"> 门窗孔洞应及时封堵，避免冷热负荷损失。</w:t>
      </w:r>
    </w:p>
    <w:p>
      <w:pPr>
        <w:widowControl/>
        <w:spacing w:line="360" w:lineRule="auto"/>
        <w:rPr>
          <w:rFonts w:eastAsia="楷体"/>
          <w:bCs/>
          <w:color w:val="auto"/>
        </w:rPr>
      </w:pPr>
      <w:r>
        <w:rPr>
          <w:rFonts w:hint="eastAsia" w:ascii="宋体" w:hAnsi="宋体"/>
          <w:color w:val="auto"/>
          <w:sz w:val="24"/>
        </w:rPr>
        <w:t xml:space="preserve">    1 主要出入口大门、外门宜有自动闭门器，空调季和采暖季可自动关闭大门。</w:t>
      </w:r>
    </w:p>
    <w:p>
      <w:pPr>
        <w:widowControl/>
        <w:spacing w:line="360" w:lineRule="auto"/>
        <w:rPr>
          <w:rFonts w:ascii="宋体" w:hAnsi="宋体"/>
          <w:color w:val="auto"/>
          <w:sz w:val="24"/>
        </w:rPr>
      </w:pPr>
      <w:r>
        <w:rPr>
          <w:rFonts w:hint="eastAsia" w:ascii="宋体" w:hAnsi="宋体"/>
          <w:color w:val="auto"/>
          <w:sz w:val="24"/>
        </w:rPr>
        <w:t xml:space="preserve">    2 运行期内，应不定期利用便携仪器设备对外门窗的渗透缝隙检查漏风情况，及时修复。</w:t>
      </w:r>
    </w:p>
    <w:p>
      <w:pPr>
        <w:widowControl/>
        <w:spacing w:line="360" w:lineRule="auto"/>
        <w:rPr>
          <w:rFonts w:eastAsia="楷体"/>
          <w:bCs/>
          <w:color w:val="auto"/>
        </w:rPr>
      </w:pPr>
      <w:r>
        <w:rPr>
          <w:rFonts w:hint="eastAsia" w:eastAsia="楷体"/>
          <w:b/>
          <w:color w:val="auto"/>
        </w:rPr>
        <w:t>【条文说明】</w:t>
      </w:r>
      <w:r>
        <w:rPr>
          <w:rFonts w:hint="eastAsia" w:eastAsia="楷体"/>
          <w:bCs/>
          <w:color w:val="auto"/>
        </w:rPr>
        <w:t>办公建筑的主要大门出入口或楼层中空调区域外界大气相通的隔断外门宜具有自动闭门器，待人员进出后可自行关闭，减少空调季和采暖季的冷热量损失。过渡季可调节敞开自然通风。运行期间，外门窗频繁开启，运行管理人员应不定期利用红外热成像、微压差计、目测检查等方式检查外门窗的缝隙渗透漏风情况，避免不必要的冷热负荷损失。</w:t>
      </w:r>
    </w:p>
    <w:p>
      <w:pPr>
        <w:spacing w:before="312" w:beforeLines="100" w:after="240"/>
        <w:jc w:val="center"/>
        <w:outlineLvl w:val="0"/>
        <w:rPr>
          <w:rFonts w:ascii="仿宋" w:hAnsi="仿宋" w:eastAsia="仿宋"/>
          <w:b/>
          <w:bCs/>
          <w:color w:val="auto"/>
          <w:sz w:val="24"/>
          <w:szCs w:val="28"/>
        </w:rPr>
      </w:pPr>
      <w:bookmarkStart w:id="150" w:name="_Toc31604"/>
      <w:r>
        <w:rPr>
          <w:rFonts w:hint="eastAsia" w:ascii="仿宋" w:hAnsi="仿宋" w:eastAsia="仿宋"/>
          <w:b/>
          <w:bCs/>
          <w:color w:val="auto"/>
          <w:sz w:val="24"/>
          <w:szCs w:val="28"/>
        </w:rPr>
        <w:t>Ⅱ 能源系统</w:t>
      </w:r>
      <w:bookmarkEnd w:id="150"/>
    </w:p>
    <w:p>
      <w:pPr>
        <w:widowControl/>
        <w:spacing w:line="360" w:lineRule="auto"/>
        <w:rPr>
          <w:rFonts w:ascii="宋体" w:hAnsi="宋体"/>
          <w:color w:val="auto"/>
          <w:sz w:val="24"/>
        </w:rPr>
      </w:pPr>
      <w:r>
        <w:rPr>
          <w:rFonts w:hint="eastAsia" w:ascii="宋体" w:hAnsi="宋体"/>
          <w:b/>
          <w:bCs/>
          <w:color w:val="auto"/>
          <w:sz w:val="24"/>
        </w:rPr>
        <w:t>9.2.5</w:t>
      </w:r>
      <w:r>
        <w:rPr>
          <w:rFonts w:hint="eastAsia" w:ascii="宋体" w:hAnsi="宋体"/>
          <w:color w:val="auto"/>
          <w:sz w:val="24"/>
        </w:rPr>
        <w:t xml:space="preserve"> 应采取以下措施对制冷系统运行进行持续调试，提高冷源系统运行能效：</w:t>
      </w:r>
    </w:p>
    <w:p>
      <w:pPr>
        <w:widowControl/>
        <w:spacing w:line="360" w:lineRule="auto"/>
        <w:ind w:firstLine="480" w:firstLineChars="200"/>
        <w:rPr>
          <w:rFonts w:ascii="宋体" w:hAnsi="宋体"/>
          <w:color w:val="auto"/>
          <w:sz w:val="24"/>
        </w:rPr>
      </w:pPr>
      <w:r>
        <w:rPr>
          <w:rFonts w:hint="eastAsia" w:ascii="宋体" w:hAnsi="宋体"/>
          <w:color w:val="auto"/>
          <w:sz w:val="24"/>
        </w:rPr>
        <w:t>1 根据室外气象条件、冷冻回水温度、冷机负载率等因素的变化，动态调节主机出水温度设定，保障空调主机长时间高效运行。</w:t>
      </w:r>
    </w:p>
    <w:p>
      <w:pPr>
        <w:widowControl/>
        <w:spacing w:line="360" w:lineRule="auto"/>
        <w:ind w:firstLine="480" w:firstLineChars="200"/>
        <w:rPr>
          <w:rFonts w:eastAsia="楷体"/>
          <w:bCs/>
          <w:color w:val="auto"/>
        </w:rPr>
      </w:pPr>
      <w:r>
        <w:rPr>
          <w:rFonts w:hint="eastAsia" w:ascii="宋体" w:hAnsi="宋体"/>
          <w:color w:val="auto"/>
          <w:sz w:val="24"/>
        </w:rPr>
        <w:t>2 根据系统冷冻水流量、冷冻水供回水温差、压差等因素的变化，动态调节冷冻水泵的运行频率，使冷冻水系统处于大温差、小流量条件下运行，提高冷冻水泵的输配效率。</w:t>
      </w:r>
    </w:p>
    <w:p>
      <w:pPr>
        <w:widowControl/>
        <w:spacing w:line="360" w:lineRule="auto"/>
        <w:ind w:firstLine="480" w:firstLineChars="200"/>
        <w:rPr>
          <w:rFonts w:ascii="宋体" w:hAnsi="宋体"/>
          <w:color w:val="auto"/>
          <w:sz w:val="24"/>
        </w:rPr>
      </w:pPr>
      <w:r>
        <w:rPr>
          <w:rFonts w:hint="eastAsia" w:ascii="宋体" w:hAnsi="宋体"/>
          <w:color w:val="auto"/>
          <w:sz w:val="24"/>
        </w:rPr>
        <w:t>3 根据系统冷却水供回水温度、温差、主机流量需求等因素的变化，动态调节冷却水泵的运行频率，寻求最佳流量点，同时满足较高的冷却水泵的输配效率和主机能效。</w:t>
      </w:r>
    </w:p>
    <w:p>
      <w:pPr>
        <w:widowControl/>
        <w:spacing w:line="360" w:lineRule="auto"/>
        <w:ind w:firstLine="480" w:firstLineChars="200"/>
        <w:rPr>
          <w:rFonts w:ascii="宋体" w:hAnsi="宋体"/>
          <w:color w:val="auto"/>
          <w:sz w:val="24"/>
        </w:rPr>
      </w:pPr>
      <w:r>
        <w:rPr>
          <w:rFonts w:hint="eastAsia" w:ascii="宋体" w:hAnsi="宋体"/>
          <w:color w:val="auto"/>
          <w:sz w:val="24"/>
        </w:rPr>
        <w:t>4 根据冷却塔的冷却水进出水温度，以及室外湿球温度变化，冷却塔出水温度的逼近度，动态调节冷却塔的运行频率和运行台数，提高冷却塔的输配效率。</w:t>
      </w:r>
    </w:p>
    <w:p>
      <w:pPr>
        <w:widowControl/>
        <w:spacing w:line="360" w:lineRule="auto"/>
        <w:ind w:firstLine="480" w:firstLineChars="200"/>
        <w:rPr>
          <w:rFonts w:ascii="宋体" w:hAnsi="宋体"/>
          <w:color w:val="auto"/>
          <w:sz w:val="24"/>
        </w:rPr>
      </w:pPr>
      <w:r>
        <w:rPr>
          <w:rFonts w:hint="eastAsia" w:ascii="宋体" w:hAnsi="宋体"/>
          <w:color w:val="auto"/>
          <w:sz w:val="24"/>
        </w:rPr>
        <w:t>5根据项目运行过程中空调冷负荷的动态变化，以及主机的性能曲线，合理调控大小主机搭配运行，确保在任意负荷条件下，均有与之匹配的大小机组合使得系统始终在高效区间运行。</w:t>
      </w:r>
    </w:p>
    <w:p>
      <w:pPr>
        <w:widowControl/>
        <w:spacing w:line="360" w:lineRule="auto"/>
        <w:rPr>
          <w:rFonts w:eastAsia="楷体"/>
          <w:bCs/>
          <w:color w:val="auto"/>
        </w:rPr>
      </w:pPr>
      <w:r>
        <w:rPr>
          <w:rFonts w:hint="eastAsia" w:eastAsia="楷体"/>
          <w:b/>
          <w:color w:val="auto"/>
        </w:rPr>
        <w:t>【条文说明】</w:t>
      </w:r>
      <w:r>
        <w:rPr>
          <w:rFonts w:hint="eastAsia" w:eastAsia="楷体"/>
          <w:bCs/>
          <w:color w:val="auto"/>
        </w:rPr>
        <w:t>空调冷水主机的冷冻出水温度的高低反映了主机蒸发器中制冷剂蒸发温度的高低，根据制冷循环原理，冷水主机冷冻出水温度越低，主机的性能系数越低。冷水主机的冷冻出水温度设定是主机的一个可调节的受控参数，实际运行过程中根据室外气象条件、室内蓄热，人员等因素会引起室内冷负荷动态变化，导致空调系统运行的冷冻回水温度、主机负载率、瞬时性能系数等也发生动态变化。通过智能化控制系统或人工操作动态调节主机的冷冻出水温度设定使空调主机尽量处于高效状态下运行。如高负荷需求时，低冷冻出水温度设定使主机满载高效运行满足空调负荷需求；低负荷需求时，设定较高的冷冻出水温度使主机降载运行节能，避免过渡供冷，或切换与负荷需求相匹配的主机运行。</w:t>
      </w:r>
    </w:p>
    <w:p>
      <w:pPr>
        <w:widowControl/>
        <w:spacing w:line="360" w:lineRule="auto"/>
        <w:rPr>
          <w:rFonts w:eastAsia="楷体"/>
          <w:bCs/>
          <w:color w:val="auto"/>
        </w:rPr>
      </w:pPr>
      <w:r>
        <w:rPr>
          <w:rFonts w:hint="eastAsia" w:eastAsia="楷体"/>
          <w:bCs/>
          <w:color w:val="auto"/>
        </w:rPr>
        <w:t>空调系统的冷冻水泵运行频率是一个受控的参数，水泵的运行频率与其运行耗电功率呈正相关关系，与其输送流量呈反相关关系；同等供冷负荷需求时，冷冻水系统的供回水温差与流量呈反比关系，在满足同等负荷需求的条件下，冷冻水系统采用大温差、小流量运行，可以降低冷冻水泵的输配功率，提升其输配效率。但是，负荷需求是动态变化的，冷冻水系统的流量、供回水温差变化也具有约束条件，因此，需根据负荷需求，约束条件，动态调节冷冻水泵的运行频率，以使冷冻水系统经济高效。</w:t>
      </w:r>
    </w:p>
    <w:p>
      <w:pPr>
        <w:widowControl/>
        <w:spacing w:line="360" w:lineRule="auto"/>
        <w:rPr>
          <w:rFonts w:eastAsia="楷体"/>
          <w:bCs/>
          <w:color w:val="auto"/>
        </w:rPr>
      </w:pPr>
      <w:r>
        <w:rPr>
          <w:rFonts w:hint="eastAsia" w:eastAsia="楷体"/>
          <w:bCs/>
          <w:color w:val="auto"/>
        </w:rPr>
        <w:t>空调系统的冷却水泵运行频率也是一个受控参数，同冷冻水系统，原则上，低冷却水流量有利于冷却水输送系统节能，但低冷却水流量需要满足主机最小冷却水流量需求，另外，冷却水流量不足降低主机的运行能效，增加主机的能耗。因此，运行过程需探索调适冷却水系统的流量满足冷却水泵和主机的综合能耗最小，寻求最佳的流量点。</w:t>
      </w:r>
    </w:p>
    <w:p>
      <w:pPr>
        <w:widowControl/>
        <w:spacing w:line="360" w:lineRule="auto"/>
        <w:rPr>
          <w:rFonts w:eastAsia="楷体"/>
          <w:bCs/>
          <w:color w:val="auto"/>
        </w:rPr>
      </w:pPr>
      <w:r>
        <w:rPr>
          <w:rFonts w:hint="eastAsia" w:eastAsia="楷体"/>
          <w:bCs/>
          <w:color w:val="auto"/>
        </w:rPr>
        <w:t>冷却塔电机的运行频率和冷却塔的运行台数增减是冷却塔的两个主要受控参数，冷却塔的目的是进行风水的热量交换，利用风侧将水侧热量吸收带走，降低水侧温度。运行中，为将水侧温度降低到合理的范围内，依次增减冷却塔的频率和运行台数或冷却塔整体联合变频运行；需要对冷却塔的受控参数进行动态持续调节，以满足系统节能高效运行。</w:t>
      </w:r>
    </w:p>
    <w:p>
      <w:pPr>
        <w:widowControl/>
        <w:spacing w:line="360" w:lineRule="auto"/>
        <w:rPr>
          <w:rFonts w:ascii="宋体" w:hAnsi="宋体"/>
          <w:color w:val="auto"/>
          <w:sz w:val="24"/>
        </w:rPr>
      </w:pPr>
      <w:r>
        <w:rPr>
          <w:rFonts w:hint="eastAsia" w:ascii="宋体" w:hAnsi="宋体"/>
          <w:color w:val="auto"/>
          <w:sz w:val="24"/>
        </w:rPr>
        <w:t>9</w:t>
      </w:r>
      <w:r>
        <w:rPr>
          <w:rFonts w:ascii="宋体" w:hAnsi="宋体"/>
          <w:color w:val="auto"/>
          <w:sz w:val="24"/>
        </w:rPr>
        <w:t xml:space="preserve">.2.6 </w:t>
      </w:r>
      <w:r>
        <w:rPr>
          <w:rFonts w:hint="eastAsia" w:ascii="宋体" w:hAnsi="宋体"/>
          <w:color w:val="auto"/>
          <w:sz w:val="24"/>
        </w:rPr>
        <w:t>采用风冷热泵、地源热泵、水源热泵等热泵系统的项目，本地根据自动化控制系统运行，利用数字化管理平台对自动控制系统集成，远程监控热泵系统的运行状态和参数，监测诊断其实时运行能效。</w:t>
      </w:r>
    </w:p>
    <w:p>
      <w:pPr>
        <w:widowControl/>
        <w:spacing w:line="360" w:lineRule="auto"/>
        <w:rPr>
          <w:rFonts w:ascii="宋体" w:hAnsi="宋体"/>
          <w:color w:val="auto"/>
          <w:sz w:val="24"/>
        </w:rPr>
      </w:pPr>
      <w:r>
        <w:rPr>
          <w:rFonts w:hint="eastAsia" w:eastAsia="楷体"/>
          <w:bCs/>
          <w:color w:val="auto"/>
        </w:rPr>
        <w:t>【条文说明】不同项目的热泵系统由本地自动控制系统进行运行控制，利用数字平台监测内外机的开关运行状态，运行功率，冷冻出水和回水温度，供冷量，供回水压力等，监测系统能效曲线，能效持续衰减或衰减幅度较大时，对热泵系统进行检修维护。</w:t>
      </w:r>
    </w:p>
    <w:p>
      <w:pPr>
        <w:widowControl/>
        <w:spacing w:line="360" w:lineRule="auto"/>
        <w:rPr>
          <w:rFonts w:ascii="宋体" w:hAnsi="宋体"/>
          <w:color w:val="auto"/>
          <w:sz w:val="24"/>
        </w:rPr>
      </w:pPr>
      <w:r>
        <w:rPr>
          <w:rFonts w:hint="eastAsia" w:ascii="宋体" w:hAnsi="宋体"/>
          <w:color w:val="auto"/>
          <w:sz w:val="24"/>
        </w:rPr>
        <w:t>9.2.</w:t>
      </w:r>
      <w:r>
        <w:rPr>
          <w:rFonts w:ascii="宋体" w:hAnsi="宋体"/>
          <w:color w:val="auto"/>
          <w:sz w:val="24"/>
        </w:rPr>
        <w:t>7</w:t>
      </w:r>
      <w:r>
        <w:rPr>
          <w:rFonts w:hint="eastAsia" w:ascii="宋体" w:hAnsi="宋体"/>
          <w:color w:val="auto"/>
          <w:sz w:val="24"/>
        </w:rPr>
        <w:t xml:space="preserve"> 应采取以下措施对空调末端设备运行进行持续调试，合理调节空调末端的运行参数：</w:t>
      </w:r>
    </w:p>
    <w:p>
      <w:pPr>
        <w:widowControl/>
        <w:spacing w:line="360" w:lineRule="auto"/>
        <w:ind w:firstLine="480" w:firstLineChars="200"/>
        <w:rPr>
          <w:rFonts w:ascii="宋体" w:hAnsi="宋体"/>
          <w:color w:val="auto"/>
          <w:sz w:val="24"/>
        </w:rPr>
      </w:pPr>
      <w:r>
        <w:rPr>
          <w:rFonts w:hint="eastAsia" w:ascii="宋体" w:hAnsi="宋体"/>
          <w:color w:val="auto"/>
          <w:sz w:val="24"/>
        </w:rPr>
        <w:t>1 综合考虑室外温湿度、集中办公开始和下班时间，合理设置空调系统和末端设备上班时的提前开启时间，以及下班时的提前关闭时间，下班时空调末端设备延迟关闭，以便充分利用冷冻水系统中的余冷；</w:t>
      </w:r>
    </w:p>
    <w:p>
      <w:pPr>
        <w:widowControl/>
        <w:spacing w:line="360" w:lineRule="auto"/>
        <w:ind w:firstLine="480" w:firstLineChars="200"/>
        <w:rPr>
          <w:bCs/>
          <w:color w:val="auto"/>
        </w:rPr>
      </w:pPr>
      <w:r>
        <w:rPr>
          <w:rFonts w:hint="eastAsia" w:ascii="宋体" w:hAnsi="宋体"/>
          <w:color w:val="auto"/>
          <w:sz w:val="24"/>
        </w:rPr>
        <w:t>2除特殊房间外，办公建筑主要功能房间室内温度设定不宜低于24</w:t>
      </w:r>
      <w:r>
        <w:rPr>
          <w:rFonts w:hint="eastAsia" w:ascii="宋体" w:hAnsi="宋体" w:cs="宋体"/>
          <w:color w:val="auto"/>
          <w:sz w:val="24"/>
        </w:rPr>
        <w:t>℃</w:t>
      </w:r>
      <w:r>
        <w:rPr>
          <w:rFonts w:hint="eastAsia" w:ascii="宋体" w:hAnsi="宋体"/>
          <w:color w:val="auto"/>
          <w:sz w:val="24"/>
        </w:rPr>
        <w:t>，检查末端设备的风机频率是否长期满频运行，水阀是否长期处于常开状态；合理动态调整送风温度设定、回风温度设定等调节参数；</w:t>
      </w:r>
    </w:p>
    <w:p>
      <w:pPr>
        <w:widowControl/>
        <w:spacing w:line="360" w:lineRule="auto"/>
        <w:ind w:firstLine="480" w:firstLineChars="200"/>
        <w:rPr>
          <w:rFonts w:ascii="宋体" w:hAnsi="宋体"/>
          <w:color w:val="auto"/>
          <w:sz w:val="24"/>
        </w:rPr>
      </w:pPr>
      <w:r>
        <w:rPr>
          <w:rFonts w:hint="eastAsia" w:ascii="宋体" w:hAnsi="宋体"/>
          <w:color w:val="auto"/>
          <w:sz w:val="24"/>
        </w:rPr>
        <w:t>3合理控制新风负荷，新风阀的调节宜基于室内回风中的二氧化碳浓度调节，二氧化碳浓度限值不宜低于</w:t>
      </w:r>
      <w:r>
        <w:rPr>
          <w:rFonts w:ascii="宋体" w:hAnsi="宋体"/>
          <w:color w:val="auto"/>
          <w:sz w:val="24"/>
        </w:rPr>
        <w:t>600</w:t>
      </w:r>
      <w:r>
        <w:rPr>
          <w:rFonts w:hint="eastAsia" w:ascii="宋体" w:hAnsi="宋体"/>
          <w:color w:val="auto"/>
          <w:sz w:val="24"/>
        </w:rPr>
        <w:t>ppm；</w:t>
      </w:r>
    </w:p>
    <w:p>
      <w:pPr>
        <w:widowControl/>
        <w:spacing w:line="360" w:lineRule="auto"/>
        <w:ind w:firstLine="480" w:firstLineChars="200"/>
        <w:rPr>
          <w:rFonts w:ascii="宋体" w:hAnsi="宋体"/>
          <w:color w:val="auto"/>
          <w:sz w:val="24"/>
        </w:rPr>
      </w:pP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过渡季节，对于全空气系统需根据室内外空气焓差，持续调节室内新风量，充分利用新风降温，同时，联动调节排风系统，保证室内风量平衡。</w:t>
      </w:r>
    </w:p>
    <w:p>
      <w:pPr>
        <w:widowControl/>
        <w:spacing w:line="360" w:lineRule="auto"/>
        <w:rPr>
          <w:rFonts w:eastAsia="楷体"/>
          <w:bCs/>
          <w:color w:val="auto"/>
        </w:rPr>
      </w:pPr>
      <w:r>
        <w:rPr>
          <w:rFonts w:hint="eastAsia" w:eastAsia="楷体"/>
          <w:b/>
          <w:color w:val="auto"/>
        </w:rPr>
        <w:t>【条文说明】</w:t>
      </w:r>
      <w:r>
        <w:rPr>
          <w:rFonts w:hint="eastAsia" w:eastAsia="楷体"/>
          <w:bCs/>
          <w:color w:val="auto"/>
        </w:rPr>
        <w:t>结合室外温湿度、室内负荷增减、运行经验等因素，合理预判办公建筑每天运行的负荷变化趋势。合理调节设定空调系统开机和关机时间，既满足空调供冷需求，又要避免处理不必要供冷时段的负荷增加能源浪费。下班时段，空调冷冻水系统中存在余冷，应通过合理的关机时间点充分利用起来。</w:t>
      </w:r>
    </w:p>
    <w:p>
      <w:pPr>
        <w:widowControl/>
        <w:spacing w:line="360" w:lineRule="auto"/>
        <w:rPr>
          <w:rFonts w:eastAsia="楷体"/>
          <w:bCs/>
          <w:color w:val="auto"/>
        </w:rPr>
      </w:pPr>
      <w:r>
        <w:rPr>
          <w:rFonts w:hint="eastAsia" w:eastAsia="楷体"/>
          <w:bCs/>
          <w:color w:val="auto"/>
        </w:rPr>
        <w:t>一般认为26℃是舒适节能的温度设定，根据个人舒适敏感性会略有差异，过低的温度设定造成过度供冷，能源浪费；风机频率、水阀开度、送回风温度设定受机械故障、控制系统延迟反应、人为习惯性设定等因素影响造成不必要的过度供冷，供冷季节，应不定期的对这些异常的可调节参数进行检查维护。</w:t>
      </w:r>
    </w:p>
    <w:p>
      <w:pPr>
        <w:widowControl/>
        <w:spacing w:line="360" w:lineRule="auto"/>
        <w:rPr>
          <w:rFonts w:eastAsia="楷体"/>
          <w:bCs/>
          <w:color w:val="auto"/>
        </w:rPr>
      </w:pPr>
      <w:r>
        <w:rPr>
          <w:rFonts w:hint="eastAsia" w:eastAsia="楷体"/>
          <w:bCs/>
          <w:color w:val="auto"/>
        </w:rPr>
        <w:t>在空调运行季节，室外空气焓值一般高于室内空气焓值，过量的引入室外空气会增加新风空调负荷；过低的引入室外新鲜空气又会造成室内氧气浓度不足，二氧化碳浓度升高影响舒适体验。一般城市室外空气中的二氧化碳浓度为400~500ppm，室内舒适性的二氧化碳浓度标准要求低于1000ppm。因此，空调季节应避免调节新风阀全开运行，将室内二氧化碳浓度值设定在600~800ppm之间为宜。</w:t>
      </w:r>
    </w:p>
    <w:p>
      <w:pPr>
        <w:widowControl/>
        <w:spacing w:line="360" w:lineRule="auto"/>
        <w:rPr>
          <w:rFonts w:ascii="宋体" w:hAnsi="宋体"/>
          <w:color w:val="auto"/>
          <w:sz w:val="24"/>
        </w:rPr>
      </w:pPr>
      <w:r>
        <w:rPr>
          <w:rFonts w:hint="eastAsia" w:ascii="宋体" w:hAnsi="宋体"/>
          <w:color w:val="auto"/>
          <w:sz w:val="24"/>
        </w:rPr>
        <w:t>9</w:t>
      </w:r>
      <w:r>
        <w:rPr>
          <w:rFonts w:ascii="宋体" w:hAnsi="宋体"/>
          <w:color w:val="auto"/>
          <w:sz w:val="24"/>
        </w:rPr>
        <w:t xml:space="preserve">.2.8 </w:t>
      </w:r>
      <w:r>
        <w:rPr>
          <w:rFonts w:hint="eastAsia" w:ascii="宋体" w:hAnsi="宋体"/>
          <w:color w:val="auto"/>
          <w:sz w:val="24"/>
        </w:rPr>
        <w:t>办公建筑的不同功能房间（会议室、独立办公室、大空间办公室、活动室等）室内的空调、照明开关控制应根据使用需求采取手动、定时、感应等方式进行开关控制。</w:t>
      </w:r>
    </w:p>
    <w:p>
      <w:pPr>
        <w:widowControl/>
        <w:spacing w:line="360" w:lineRule="auto"/>
        <w:rPr>
          <w:rFonts w:eastAsia="楷体"/>
          <w:bCs/>
          <w:color w:val="auto"/>
        </w:rPr>
      </w:pPr>
      <w:r>
        <w:rPr>
          <w:rFonts w:hint="eastAsia" w:eastAsia="楷体"/>
          <w:bCs/>
          <w:color w:val="auto"/>
        </w:rPr>
        <w:t>【条文说明】办公建筑的会议室通常可根据人体感应或会议预约等方式开关空调系统与照明系统，独立办公室可根据人体感应、手动、定时开关空调与照明系统，大空间办公室分区域根据人体感应开关区域照明，总体根据人员存在感应或定时开关空调末端设备。</w:t>
      </w:r>
    </w:p>
    <w:p>
      <w:pPr>
        <w:widowControl/>
        <w:spacing w:line="360" w:lineRule="auto"/>
        <w:rPr>
          <w:rFonts w:ascii="宋体" w:hAnsi="宋体"/>
          <w:color w:val="auto"/>
          <w:sz w:val="24"/>
        </w:rPr>
      </w:pPr>
      <w:r>
        <w:rPr>
          <w:rFonts w:hint="eastAsia" w:ascii="宋体" w:hAnsi="宋体"/>
          <w:color w:val="auto"/>
          <w:sz w:val="24"/>
        </w:rPr>
        <w:t>9.2.</w:t>
      </w:r>
      <w:r>
        <w:rPr>
          <w:rFonts w:ascii="宋体" w:hAnsi="宋体"/>
          <w:color w:val="auto"/>
          <w:sz w:val="24"/>
        </w:rPr>
        <w:t>9</w:t>
      </w:r>
      <w:r>
        <w:rPr>
          <w:rFonts w:hint="eastAsia" w:ascii="宋体" w:hAnsi="宋体"/>
          <w:color w:val="auto"/>
          <w:sz w:val="24"/>
        </w:rPr>
        <w:t xml:space="preserve"> 应制定合理的空调系统维护保养制度，持续保障系统高效运行。</w:t>
      </w:r>
    </w:p>
    <w:p>
      <w:pPr>
        <w:widowControl/>
        <w:spacing w:line="360" w:lineRule="auto"/>
        <w:ind w:firstLine="480" w:firstLineChars="200"/>
        <w:rPr>
          <w:rFonts w:ascii="宋体" w:hAnsi="宋体"/>
          <w:color w:val="auto"/>
          <w:sz w:val="24"/>
        </w:rPr>
      </w:pPr>
      <w:r>
        <w:rPr>
          <w:rFonts w:hint="eastAsia" w:ascii="宋体" w:hAnsi="宋体"/>
          <w:color w:val="auto"/>
          <w:sz w:val="24"/>
        </w:rPr>
        <w:t>1制定运行维保机制对空调主机、冷冻水泵、冷却水泵、冷却塔、末端风柜等空调设备进行维护保养。</w:t>
      </w:r>
    </w:p>
    <w:p>
      <w:pPr>
        <w:widowControl/>
        <w:spacing w:line="360" w:lineRule="auto"/>
        <w:ind w:firstLine="480" w:firstLineChars="200"/>
        <w:rPr>
          <w:rFonts w:ascii="宋体" w:hAnsi="宋体"/>
          <w:color w:val="auto"/>
          <w:sz w:val="24"/>
        </w:rPr>
      </w:pPr>
      <w:r>
        <w:rPr>
          <w:rFonts w:hint="eastAsia" w:ascii="宋体" w:hAnsi="宋体"/>
          <w:color w:val="auto"/>
          <w:sz w:val="24"/>
        </w:rPr>
        <w:t>2制定运行维保机制对空调冷冻循环水系统、空调冷却循环水系统进行维护保养，如水质处理、冷却塔填料清洗等；对末端风系统进行维护保养，如滤网清洗等。</w:t>
      </w:r>
    </w:p>
    <w:p>
      <w:pPr>
        <w:widowControl/>
        <w:spacing w:line="360" w:lineRule="auto"/>
        <w:rPr>
          <w:rFonts w:eastAsia="楷体"/>
          <w:bCs/>
          <w:color w:val="auto"/>
        </w:rPr>
      </w:pPr>
      <w:r>
        <w:rPr>
          <w:rFonts w:hint="eastAsia" w:eastAsia="楷体"/>
          <w:b/>
          <w:color w:val="auto"/>
        </w:rPr>
        <w:t>【条文说明】</w:t>
      </w:r>
      <w:r>
        <w:rPr>
          <w:rFonts w:hint="eastAsia" w:eastAsia="楷体"/>
          <w:bCs/>
          <w:color w:val="auto"/>
        </w:rPr>
        <w:t>空调系统的主机、水泵、冷却塔、风柜是主要的耗能设备，设备经过长期运行之后会造成性能衰减，如主机蒸发器和冷凝器脏堵，水泵有无振动加剧或密封处漏油漏水等，冷却塔、风柜皮带有无松动等问题。应制定空调系统主要设备的运行巡检、维护、保养机制，确保设备在最佳状态下运行。</w:t>
      </w:r>
    </w:p>
    <w:p>
      <w:pPr>
        <w:widowControl/>
        <w:spacing w:line="360" w:lineRule="auto"/>
        <w:rPr>
          <w:rFonts w:eastAsia="楷体"/>
          <w:bCs/>
          <w:color w:val="auto"/>
        </w:rPr>
      </w:pPr>
      <w:r>
        <w:rPr>
          <w:rFonts w:hint="eastAsia" w:eastAsia="楷体"/>
          <w:bCs/>
          <w:color w:val="auto"/>
        </w:rPr>
        <w:t>空调系统的水系统和风系统经过一段时间的运行之后也会产生脏堵，增加系统阻力，导致系统运行能耗增加。如冷却水系统中的污垢增加导致冷却塔填料、冷却水系统滤网脏堵；末端风柜等设备的滤网脏堵，以及漏风等问题。因此，应对空调系统的风水系统制定运行维保机制，保障系统持续高效运行。</w:t>
      </w:r>
    </w:p>
    <w:p>
      <w:pPr>
        <w:widowControl/>
        <w:spacing w:line="360" w:lineRule="auto"/>
        <w:rPr>
          <w:rFonts w:ascii="宋体" w:hAnsi="宋体"/>
          <w:color w:val="auto"/>
          <w:sz w:val="24"/>
        </w:rPr>
      </w:pPr>
      <w:r>
        <w:rPr>
          <w:rFonts w:ascii="宋体" w:hAnsi="宋体"/>
          <w:b w:val="0"/>
          <w:bCs w:val="0"/>
          <w:color w:val="auto"/>
          <w:sz w:val="24"/>
        </w:rPr>
        <w:t>9.2.10</w:t>
      </w:r>
      <w:r>
        <w:rPr>
          <w:rFonts w:hint="eastAsia" w:ascii="宋体" w:hAnsi="宋体"/>
          <w:color w:val="auto"/>
          <w:sz w:val="24"/>
        </w:rPr>
        <w:t xml:space="preserve"> 应采取以下措施对照明系统进行持续调试。</w:t>
      </w:r>
    </w:p>
    <w:p>
      <w:pPr>
        <w:widowControl/>
        <w:spacing w:line="360" w:lineRule="auto"/>
        <w:ind w:firstLine="480" w:firstLineChars="200"/>
        <w:rPr>
          <w:rFonts w:ascii="宋体" w:hAnsi="宋体"/>
          <w:color w:val="auto"/>
          <w:sz w:val="24"/>
        </w:rPr>
      </w:pPr>
      <w:r>
        <w:rPr>
          <w:rFonts w:hint="eastAsia" w:ascii="宋体" w:hAnsi="宋体"/>
          <w:color w:val="auto"/>
          <w:sz w:val="24"/>
        </w:rPr>
        <w:t>1宜根据季节变化、不同使用场景等需求因素变化，合理动态调节公共区域照明、地下室照明、景观照明、泛光照明的开关时间。</w:t>
      </w:r>
    </w:p>
    <w:p>
      <w:pPr>
        <w:widowControl/>
        <w:spacing w:line="360" w:lineRule="auto"/>
        <w:ind w:firstLine="480" w:firstLineChars="200"/>
        <w:rPr>
          <w:rFonts w:eastAsia="楷体"/>
          <w:bCs/>
          <w:color w:val="auto"/>
        </w:rPr>
      </w:pPr>
      <w:r>
        <w:rPr>
          <w:rFonts w:hint="eastAsia" w:ascii="宋体" w:hAnsi="宋体"/>
          <w:color w:val="auto"/>
          <w:sz w:val="24"/>
        </w:rPr>
        <w:t>2办公建筑室内公共区域、卫生间、消防楼梯间、地下室、管道井、设备房等公共区域的照明宜设置不同形式的自动感应控制方式，且白天上班与夜间下班时段应设置不同控制调节模式，持续调试控制模式以适应各区域的运行规律和照明需求。</w:t>
      </w:r>
    </w:p>
    <w:p>
      <w:pPr>
        <w:widowControl/>
        <w:spacing w:line="360" w:lineRule="auto"/>
        <w:ind w:firstLine="480" w:firstLineChars="200"/>
        <w:rPr>
          <w:rFonts w:ascii="宋体" w:hAnsi="宋体"/>
          <w:color w:val="auto"/>
          <w:sz w:val="24"/>
        </w:rPr>
      </w:pPr>
      <w:r>
        <w:rPr>
          <w:rFonts w:hint="eastAsia" w:ascii="宋体" w:hAnsi="宋体"/>
          <w:color w:val="auto"/>
          <w:sz w:val="24"/>
        </w:rPr>
        <w:t>3在室内办公区域，可根据室外光照强度设置感应式调节照明控制方式，并根据内外区分区、分组设置控制回路。</w:t>
      </w:r>
    </w:p>
    <w:p>
      <w:pPr>
        <w:widowControl/>
        <w:spacing w:line="360" w:lineRule="auto"/>
        <w:rPr>
          <w:rFonts w:eastAsia="楷体"/>
          <w:bCs/>
          <w:color w:val="auto"/>
        </w:rPr>
      </w:pPr>
      <w:r>
        <w:rPr>
          <w:rFonts w:hint="eastAsia" w:eastAsia="楷体"/>
          <w:b/>
          <w:color w:val="auto"/>
        </w:rPr>
        <w:t>【条文说明】</w:t>
      </w:r>
      <w:r>
        <w:rPr>
          <w:rFonts w:hint="eastAsia" w:eastAsia="楷体"/>
          <w:bCs/>
          <w:color w:val="auto"/>
        </w:rPr>
        <w:t>办公建筑在不同的季节，工作日与休息日，法定节日活动，自身运营需求等条件下；办公建筑的公共区和地下室照明在工作日和休息日时活动的人员数量不同，每日的活动时间点不同，不同区域需设置不同的照明开关时间。室外的景观照明与泛光照明等在平常日、节假日、大型庆祝活动等需营造的氛围不同对照明亮度的需求不同，应制定不同需求的照明控制方案，做到节能低碳照明。</w:t>
      </w:r>
    </w:p>
    <w:p>
      <w:pPr>
        <w:widowControl/>
        <w:spacing w:line="360" w:lineRule="auto"/>
        <w:rPr>
          <w:rFonts w:eastAsia="楷体"/>
          <w:bCs/>
          <w:color w:val="auto"/>
        </w:rPr>
      </w:pPr>
      <w:r>
        <w:rPr>
          <w:rFonts w:hint="eastAsia" w:eastAsia="楷体"/>
          <w:bCs/>
          <w:color w:val="auto"/>
        </w:rPr>
        <w:t>办公建筑的内走道可设置人员感应照明控制方式，无人时低亮，有人时高亮；卫生间白天和夜间照明需求不同，白天常亮，夜间常闭，亮度可根据感应调节。消防楼梯间采用声控、感应等方式，管道井采用感应或手动开关，设备房采用手动开关结合感应开关，地下室区分车道车位采用感应控制方式等。各个不同照明区域根据照明需求采用合理的节能照明控制方式进行调节。</w:t>
      </w:r>
    </w:p>
    <w:p>
      <w:pPr>
        <w:widowControl/>
        <w:spacing w:line="360" w:lineRule="auto"/>
        <w:rPr>
          <w:rFonts w:eastAsia="楷体"/>
          <w:bCs/>
          <w:color w:val="auto"/>
        </w:rPr>
      </w:pPr>
      <w:r>
        <w:rPr>
          <w:rFonts w:hint="eastAsia" w:eastAsia="楷体"/>
          <w:bCs/>
          <w:color w:val="auto"/>
        </w:rPr>
        <w:t>办公建筑的室内办公区域可分为内区、外区设置不同的照明控制回路，外区设置照度感应装置将自然采光和人工照明的方式相结合应用，优先利用自然光线，自动调节人工照明补光以满足照度的要求，节约人工照明功耗。</w:t>
      </w:r>
    </w:p>
    <w:p>
      <w:pPr>
        <w:widowControl/>
        <w:spacing w:line="360" w:lineRule="auto"/>
        <w:rPr>
          <w:rFonts w:ascii="宋体" w:hAnsi="宋体"/>
          <w:color w:val="auto"/>
          <w:sz w:val="24"/>
        </w:rPr>
      </w:pPr>
      <w:r>
        <w:rPr>
          <w:rFonts w:ascii="宋体" w:hAnsi="宋体"/>
          <w:b w:val="0"/>
          <w:bCs w:val="0"/>
          <w:color w:val="auto"/>
          <w:sz w:val="24"/>
        </w:rPr>
        <w:t>9.2.11</w:t>
      </w:r>
      <w:r>
        <w:rPr>
          <w:rFonts w:hint="eastAsia" w:ascii="宋体" w:hAnsi="宋体"/>
          <w:color w:val="auto"/>
          <w:sz w:val="24"/>
        </w:rPr>
        <w:t xml:space="preserve"> 应采取以下措施对通风排风系统进行持续调试。</w:t>
      </w:r>
    </w:p>
    <w:p>
      <w:pPr>
        <w:widowControl/>
        <w:spacing w:line="360" w:lineRule="auto"/>
        <w:ind w:firstLine="480" w:firstLineChars="200"/>
        <w:rPr>
          <w:rFonts w:ascii="宋体" w:hAnsi="宋体"/>
          <w:color w:val="auto"/>
          <w:sz w:val="24"/>
        </w:rPr>
      </w:pPr>
      <w:r>
        <w:rPr>
          <w:rFonts w:hint="eastAsia" w:ascii="宋体" w:hAnsi="宋体"/>
          <w:color w:val="auto"/>
          <w:sz w:val="24"/>
        </w:rPr>
        <w:t>1地下室的通风排风机开关运行宜根据地下室CO浓度监测联动或定时开关；运行后，应不定期实测地下室CO、CO</w:t>
      </w:r>
      <w:r>
        <w:rPr>
          <w:rFonts w:ascii="宋体" w:hAnsi="宋体"/>
          <w:color w:val="auto"/>
          <w:sz w:val="24"/>
          <w:vertAlign w:val="subscript"/>
        </w:rPr>
        <w:t>2</w:t>
      </w:r>
      <w:r>
        <w:rPr>
          <w:rFonts w:hint="eastAsia" w:ascii="宋体" w:hAnsi="宋体"/>
          <w:color w:val="auto"/>
          <w:sz w:val="24"/>
        </w:rPr>
        <w:t>、温度、PM2.5浓度分布，动态修正CO浓度设定值或通风排风机的开关时间设置。</w:t>
      </w:r>
    </w:p>
    <w:p>
      <w:pPr>
        <w:widowControl/>
        <w:spacing w:line="360" w:lineRule="auto"/>
        <w:ind w:firstLine="480" w:firstLineChars="200"/>
        <w:rPr>
          <w:rFonts w:ascii="宋体" w:hAnsi="宋体"/>
          <w:color w:val="auto"/>
          <w:sz w:val="24"/>
        </w:rPr>
      </w:pPr>
      <w:r>
        <w:rPr>
          <w:rFonts w:hint="eastAsia" w:ascii="宋体" w:hAnsi="宋体"/>
          <w:color w:val="auto"/>
          <w:sz w:val="24"/>
        </w:rPr>
        <w:t>2卫生间的排风扇宜与污染物浓度监测联动运行或定时开关；有外窗时应有非空调时段开外窗自然通风的机制。</w:t>
      </w:r>
    </w:p>
    <w:p>
      <w:pPr>
        <w:widowControl/>
        <w:spacing w:line="360" w:lineRule="auto"/>
        <w:rPr>
          <w:rFonts w:eastAsia="楷体"/>
          <w:bCs/>
          <w:color w:val="auto"/>
        </w:rPr>
      </w:pPr>
      <w:r>
        <w:rPr>
          <w:rFonts w:hint="eastAsia" w:eastAsia="楷体"/>
          <w:b/>
          <w:color w:val="auto"/>
        </w:rPr>
        <w:t>【条文说明】</w:t>
      </w:r>
      <w:r>
        <w:rPr>
          <w:rFonts w:hint="eastAsia" w:eastAsia="楷体"/>
          <w:bCs/>
          <w:color w:val="auto"/>
        </w:rPr>
        <w:t>办公建筑的地下室通常作为车库，工作日来往车辆比较多，产生CO等尾气，尤其上班和下班时段进出车辆多产生的尾气浓度高；需设置CO浓度监测装置联动通风排风机自动运行或者定时启动通风排风机；考虑到不同时段进出的车辆数不同，CO浓度传感器的布置位置差异，夏季车库高温，PM2.5浓度等多因素的差异，运行管理过程应不定期的实测地下车库的CO浓度，CO2浓度，温度，PM2.5等数据，制定合理的CO浓度设定值或通风排风机开关时间，以达到综合改善地下车库环境质量，同时节约能耗的目的。</w:t>
      </w:r>
    </w:p>
    <w:p>
      <w:pPr>
        <w:widowControl/>
        <w:spacing w:line="360" w:lineRule="auto"/>
        <w:rPr>
          <w:rFonts w:ascii="宋体" w:hAnsi="宋体"/>
          <w:color w:val="auto"/>
          <w:sz w:val="24"/>
        </w:rPr>
      </w:pPr>
      <w:r>
        <w:rPr>
          <w:rFonts w:hint="eastAsia" w:eastAsia="楷体"/>
          <w:bCs/>
          <w:color w:val="auto"/>
        </w:rPr>
        <w:t>办公建筑内区的卫生间通常依赖排风扇进行通风换气，通风排气扇不宜常开，可结合污染物浓度监测值联动开启，或定时自动开关，白天和夜间使用人数差异较大，其运行控制模式也应有所不同。外区具有外窗可自然通风的卫生间，夜间的非空调时段应开启自然通风换气。</w:t>
      </w:r>
    </w:p>
    <w:p>
      <w:pPr>
        <w:widowControl/>
        <w:spacing w:line="360" w:lineRule="auto"/>
        <w:rPr>
          <w:rFonts w:ascii="宋体" w:hAnsi="宋体"/>
          <w:color w:val="auto"/>
          <w:sz w:val="24"/>
        </w:rPr>
      </w:pPr>
      <w:r>
        <w:rPr>
          <w:rFonts w:ascii="宋体" w:hAnsi="宋体"/>
          <w:b w:val="0"/>
          <w:bCs w:val="0"/>
          <w:color w:val="auto"/>
          <w:sz w:val="24"/>
        </w:rPr>
        <w:t>9.2.12</w:t>
      </w:r>
      <w:r>
        <w:rPr>
          <w:rFonts w:hint="eastAsia" w:ascii="宋体" w:hAnsi="宋体"/>
          <w:color w:val="auto"/>
          <w:sz w:val="24"/>
        </w:rPr>
        <w:t xml:space="preserve"> 具有峰谷电价差的区域，设计有新能源系统、储能装置的办公楼项目，应具有分时段能源调入调出的综合调节系统，综合优化能源费用、市电用量、清洁电用量等多目标参数，最大消纳零碳能源，最小消耗市电。</w:t>
      </w:r>
    </w:p>
    <w:p>
      <w:pPr>
        <w:widowControl/>
        <w:spacing w:line="360" w:lineRule="auto"/>
        <w:rPr>
          <w:rFonts w:eastAsia="楷体"/>
          <w:bCs/>
          <w:color w:val="auto"/>
        </w:rPr>
      </w:pPr>
      <w:r>
        <w:rPr>
          <w:rFonts w:hint="eastAsia" w:eastAsia="楷体"/>
          <w:b/>
          <w:color w:val="auto"/>
        </w:rPr>
        <w:t>【条文说明】</w:t>
      </w:r>
      <w:r>
        <w:rPr>
          <w:rFonts w:hint="eastAsia" w:eastAsia="楷体"/>
          <w:bCs/>
          <w:color w:val="auto"/>
        </w:rPr>
        <w:t>在峰谷电价差区域，设计光伏、风电等新能源系统，以及储能装置的办公楼项目，通过综合调节控制系统，优化总能源费用最低、市政用电最少、清洁能源最大化利用等多目标参数，使得办公建筑在运行过程中通过能源的调入调出，分时段利用和存储能源，最大限度的消纳清洁能源，最低应用含碳市政电能。</w:t>
      </w:r>
    </w:p>
    <w:p>
      <w:pPr>
        <w:widowControl/>
        <w:spacing w:line="360" w:lineRule="auto"/>
        <w:rPr>
          <w:rFonts w:ascii="宋体" w:hAnsi="宋体"/>
          <w:color w:val="auto"/>
          <w:sz w:val="24"/>
        </w:rPr>
      </w:pPr>
      <w:r>
        <w:rPr>
          <w:rFonts w:hint="eastAsia" w:ascii="宋体" w:hAnsi="宋体"/>
          <w:color w:val="auto"/>
          <w:sz w:val="24"/>
        </w:rPr>
        <w:t>9</w:t>
      </w:r>
      <w:r>
        <w:rPr>
          <w:rFonts w:ascii="宋体" w:hAnsi="宋体"/>
          <w:color w:val="auto"/>
          <w:sz w:val="24"/>
        </w:rPr>
        <w:t xml:space="preserve">.2.13 </w:t>
      </w:r>
      <w:r>
        <w:rPr>
          <w:rFonts w:hint="eastAsia" w:ascii="宋体" w:hAnsi="宋体"/>
          <w:color w:val="auto"/>
          <w:sz w:val="24"/>
        </w:rPr>
        <w:t>办公建筑运营过程中使用的电热水器应根据使用需求进行开关控制，避免持续恒温或加热。如茶水间的热水器应在下班后夜间无人时段定时关闭一段时间，早上上班时间定时开启加热，避免热量浪费。</w:t>
      </w:r>
    </w:p>
    <w:p>
      <w:pPr>
        <w:widowControl/>
        <w:spacing w:line="360" w:lineRule="auto"/>
        <w:rPr>
          <w:rFonts w:eastAsia="楷体"/>
          <w:bCs/>
          <w:color w:val="auto"/>
        </w:rPr>
      </w:pPr>
      <w:r>
        <w:rPr>
          <w:rFonts w:hint="eastAsia" w:eastAsia="楷体"/>
          <w:bCs/>
          <w:color w:val="auto"/>
        </w:rPr>
        <w:t>【条文说明】办公建筑中各个办公室或茶水间的电热水器通常2</w:t>
      </w:r>
      <w:r>
        <w:rPr>
          <w:rFonts w:eastAsia="楷体"/>
          <w:bCs/>
          <w:color w:val="auto"/>
        </w:rPr>
        <w:t>4</w:t>
      </w:r>
      <w:r>
        <w:rPr>
          <w:rFonts w:hint="eastAsia" w:eastAsia="楷体"/>
          <w:bCs/>
          <w:color w:val="auto"/>
        </w:rPr>
        <w:t>h提供热水，并且持续补满容器并加热到恒温状态，而热水器无法做到完全绝热，会存在热量耗散。特别是下班后夜间人少或无人时，热水用量少或者不用热水，夜间可以定时关闭一段时间热水器。</w:t>
      </w:r>
    </w:p>
    <w:p>
      <w:pPr>
        <w:widowControl/>
        <w:spacing w:line="360" w:lineRule="auto"/>
        <w:rPr>
          <w:rFonts w:ascii="宋体" w:hAnsi="宋体"/>
          <w:color w:val="auto"/>
          <w:sz w:val="24"/>
        </w:rPr>
      </w:pPr>
    </w:p>
    <w:p>
      <w:pPr>
        <w:spacing w:before="156" w:beforeLines="50" w:after="120"/>
        <w:jc w:val="center"/>
        <w:outlineLvl w:val="1"/>
        <w:rPr>
          <w:rFonts w:eastAsia="黑体"/>
          <w:bCs/>
          <w:color w:val="auto"/>
          <w:sz w:val="32"/>
          <w:szCs w:val="28"/>
        </w:rPr>
      </w:pPr>
      <w:bookmarkStart w:id="151" w:name="_Toc28994"/>
      <w:r>
        <w:rPr>
          <w:rFonts w:hint="eastAsia" w:eastAsia="黑体"/>
          <w:bCs/>
          <w:color w:val="auto"/>
          <w:sz w:val="32"/>
          <w:szCs w:val="28"/>
        </w:rPr>
        <w:t>9.3 低碳管理</w:t>
      </w:r>
      <w:bookmarkEnd w:id="151"/>
    </w:p>
    <w:p>
      <w:pPr>
        <w:spacing w:before="312" w:beforeLines="100" w:after="240"/>
        <w:jc w:val="center"/>
        <w:outlineLvl w:val="0"/>
        <w:rPr>
          <w:rFonts w:ascii="仿宋" w:hAnsi="仿宋" w:eastAsia="仿宋"/>
          <w:b/>
          <w:bCs/>
          <w:color w:val="auto"/>
          <w:sz w:val="24"/>
          <w:szCs w:val="28"/>
        </w:rPr>
      </w:pPr>
      <w:bookmarkStart w:id="152" w:name="_Toc21527"/>
      <w:r>
        <w:rPr>
          <w:rFonts w:hint="eastAsia" w:ascii="仿宋" w:hAnsi="仿宋" w:eastAsia="仿宋"/>
          <w:b/>
          <w:bCs/>
          <w:color w:val="auto"/>
          <w:sz w:val="24"/>
          <w:szCs w:val="28"/>
        </w:rPr>
        <w:t>Ⅰ 节能管理</w:t>
      </w:r>
      <w:bookmarkEnd w:id="152"/>
    </w:p>
    <w:p>
      <w:pPr>
        <w:widowControl/>
        <w:spacing w:line="360" w:lineRule="auto"/>
        <w:rPr>
          <w:rFonts w:ascii="宋体" w:hAnsi="宋体"/>
          <w:color w:val="auto"/>
          <w:sz w:val="24"/>
        </w:rPr>
      </w:pPr>
      <w:r>
        <w:rPr>
          <w:rFonts w:ascii="宋体" w:hAnsi="宋体"/>
          <w:b w:val="0"/>
          <w:bCs w:val="0"/>
          <w:color w:val="auto"/>
          <w:sz w:val="24"/>
        </w:rPr>
        <w:t>9.3.1</w:t>
      </w:r>
      <w:r>
        <w:rPr>
          <w:rFonts w:hint="eastAsia" w:ascii="宋体" w:hAnsi="宋体"/>
          <w:color w:val="auto"/>
          <w:sz w:val="24"/>
        </w:rPr>
        <w:t xml:space="preserve"> 应建立目标管理体系</w:t>
      </w:r>
    </w:p>
    <w:p>
      <w:pPr>
        <w:widowControl/>
        <w:spacing w:line="360" w:lineRule="auto"/>
        <w:ind w:firstLine="480" w:firstLineChars="200"/>
        <w:rPr>
          <w:rFonts w:ascii="宋体" w:hAnsi="宋体"/>
          <w:color w:val="auto"/>
          <w:sz w:val="24"/>
        </w:rPr>
      </w:pPr>
      <w:r>
        <w:rPr>
          <w:rFonts w:hint="eastAsia" w:ascii="宋体" w:hAnsi="宋体"/>
          <w:color w:val="auto"/>
          <w:sz w:val="24"/>
        </w:rPr>
        <w:t>1应基于项目历史运行情况，设定用电量、发电量、用气量等能源资源的年度控制总量和月度分解控制量，并采取措施持续挖掘节能空间，调整总量控制目标。</w:t>
      </w:r>
    </w:p>
    <w:p>
      <w:pPr>
        <w:widowControl/>
        <w:spacing w:line="360" w:lineRule="auto"/>
        <w:rPr>
          <w:rFonts w:ascii="宋体" w:hAnsi="宋体"/>
          <w:color w:val="auto"/>
          <w:sz w:val="24"/>
        </w:rPr>
      </w:pPr>
      <w:r>
        <w:rPr>
          <w:rFonts w:hint="eastAsia" w:eastAsia="楷体"/>
          <w:b/>
          <w:color w:val="auto"/>
        </w:rPr>
        <w:t>【条文说明】</w:t>
      </w:r>
      <w:r>
        <w:rPr>
          <w:rFonts w:hint="eastAsia" w:eastAsia="楷体"/>
          <w:bCs/>
          <w:color w:val="auto"/>
        </w:rPr>
        <w:t>办公建筑的运营管理方应根据项目的历史运行情况和数据记录分析，合理设定项目的年度或月度用电量，发电量，用气量等能源控制目标，运行过程持续挖掘节能空间，并逐年动态调整节能控制目标。</w:t>
      </w:r>
    </w:p>
    <w:p>
      <w:pPr>
        <w:widowControl/>
        <w:spacing w:line="360" w:lineRule="auto"/>
        <w:ind w:firstLine="480" w:firstLineChars="200"/>
        <w:rPr>
          <w:rFonts w:ascii="宋体" w:hAnsi="宋体"/>
          <w:color w:val="auto"/>
          <w:sz w:val="24"/>
        </w:rPr>
      </w:pPr>
      <w:r>
        <w:rPr>
          <w:rFonts w:hint="eastAsia" w:ascii="宋体" w:hAnsi="宋体"/>
          <w:color w:val="auto"/>
          <w:sz w:val="24"/>
        </w:rPr>
        <w:t>2应参考行业运行情况，设定单位面积碳排放强度、单位面积能耗、单位面积用电量、空调冷冻站系统运行能效等控制指标。</w:t>
      </w:r>
    </w:p>
    <w:p>
      <w:pPr>
        <w:widowControl/>
        <w:spacing w:line="360" w:lineRule="auto"/>
        <w:rPr>
          <w:rFonts w:eastAsia="楷体"/>
          <w:bCs/>
          <w:color w:val="auto"/>
        </w:rPr>
      </w:pPr>
      <w:r>
        <w:rPr>
          <w:rFonts w:hint="eastAsia" w:eastAsia="楷体"/>
          <w:b/>
          <w:color w:val="auto"/>
        </w:rPr>
        <w:t>【条文说明</w:t>
      </w:r>
      <w:r>
        <w:rPr>
          <w:rFonts w:hint="eastAsia" w:eastAsia="楷体"/>
          <w:bCs/>
          <w:color w:val="auto"/>
        </w:rPr>
        <w:t>】参考行业同类型办公建筑的运行各类碳排放情况，制定可比较的指标评价体系，如单位面积指标，人均指标，空调系统能效等。横向与行业运行水平进行对标，辅助项目进行节能管理。</w:t>
      </w:r>
    </w:p>
    <w:p>
      <w:pPr>
        <w:widowControl/>
        <w:spacing w:line="360" w:lineRule="auto"/>
        <w:rPr>
          <w:rFonts w:ascii="宋体" w:hAnsi="宋体"/>
          <w:color w:val="auto"/>
          <w:sz w:val="24"/>
        </w:rPr>
      </w:pPr>
      <w:r>
        <w:rPr>
          <w:rFonts w:ascii="宋体" w:hAnsi="宋体"/>
          <w:b w:val="0"/>
          <w:bCs w:val="0"/>
          <w:color w:val="auto"/>
          <w:sz w:val="24"/>
        </w:rPr>
        <w:t>9.3.2</w:t>
      </w:r>
      <w:r>
        <w:rPr>
          <w:rFonts w:hint="eastAsia" w:ascii="宋体" w:hAnsi="宋体"/>
          <w:color w:val="auto"/>
          <w:sz w:val="24"/>
        </w:rPr>
        <w:t xml:space="preserve"> 应建立制度管理体系</w:t>
      </w:r>
    </w:p>
    <w:p>
      <w:pPr>
        <w:widowControl/>
        <w:spacing w:line="360" w:lineRule="auto"/>
        <w:ind w:firstLine="480" w:firstLineChars="200"/>
        <w:rPr>
          <w:rFonts w:ascii="宋体" w:hAnsi="宋体"/>
          <w:color w:val="auto"/>
          <w:sz w:val="24"/>
        </w:rPr>
      </w:pPr>
      <w:r>
        <w:rPr>
          <w:rFonts w:hint="eastAsia" w:ascii="宋体" w:hAnsi="宋体"/>
          <w:color w:val="auto"/>
          <w:sz w:val="24"/>
        </w:rPr>
        <w:t>1主要用能产能系统应制定专项运行操作和管理制度，运行管理人员分梯队接受培训，设定管理对象和目标。</w:t>
      </w:r>
    </w:p>
    <w:p>
      <w:pPr>
        <w:widowControl/>
        <w:spacing w:line="360" w:lineRule="auto"/>
        <w:rPr>
          <w:rFonts w:eastAsia="楷体"/>
          <w:bCs/>
          <w:color w:val="auto"/>
        </w:rPr>
      </w:pPr>
      <w:r>
        <w:rPr>
          <w:rFonts w:hint="eastAsia" w:eastAsia="楷体"/>
          <w:b/>
          <w:color w:val="auto"/>
        </w:rPr>
        <w:t>【条文说明】</w:t>
      </w:r>
      <w:r>
        <w:rPr>
          <w:rFonts w:hint="eastAsia" w:eastAsia="楷体"/>
          <w:bCs/>
          <w:color w:val="auto"/>
        </w:rPr>
        <w:t>针对办公建筑内的空调系统、照明系统、电梯系统、动力设备，光伏发电系统制定专项运行操作手册、维护保养计划、管理制度等，并对不同层级的运行管理人员进行培训指导，明确责任范围和管理控制目标。</w:t>
      </w:r>
    </w:p>
    <w:p>
      <w:pPr>
        <w:widowControl/>
        <w:spacing w:line="360" w:lineRule="auto"/>
        <w:ind w:firstLine="480" w:firstLineChars="200"/>
        <w:rPr>
          <w:rFonts w:ascii="宋体" w:hAnsi="宋体"/>
          <w:color w:val="auto"/>
          <w:sz w:val="24"/>
        </w:rPr>
      </w:pPr>
      <w:r>
        <w:rPr>
          <w:rFonts w:hint="eastAsia" w:ascii="宋体" w:hAnsi="宋体"/>
          <w:color w:val="auto"/>
          <w:sz w:val="24"/>
        </w:rPr>
        <w:t>2用能设备系统应制定周期性和不定期性的检查检修、维护保养制度，明确检查维保范围内容和质量要求。</w:t>
      </w:r>
    </w:p>
    <w:p>
      <w:pPr>
        <w:widowControl/>
        <w:spacing w:line="360" w:lineRule="auto"/>
        <w:rPr>
          <w:rFonts w:eastAsia="楷体"/>
          <w:bCs/>
          <w:color w:val="auto"/>
        </w:rPr>
      </w:pPr>
      <w:r>
        <w:rPr>
          <w:rFonts w:hint="eastAsia" w:eastAsia="楷体"/>
          <w:b/>
          <w:color w:val="auto"/>
        </w:rPr>
        <w:t>【条文说明】</w:t>
      </w:r>
      <w:r>
        <w:rPr>
          <w:rFonts w:hint="eastAsia" w:eastAsia="楷体"/>
          <w:bCs/>
          <w:color w:val="auto"/>
        </w:rPr>
        <w:t>主要的用能设备或系统，如空调主机、水泵、冷塔、风柜，水系统，风系统等应制定周期性和不定期性的检查维修制度，分别明确检查维修的范围和内容，方法措施，质量要求等。</w:t>
      </w:r>
    </w:p>
    <w:p>
      <w:pPr>
        <w:spacing w:before="312" w:beforeLines="100" w:after="240"/>
        <w:jc w:val="center"/>
        <w:outlineLvl w:val="0"/>
        <w:rPr>
          <w:rFonts w:ascii="仿宋" w:hAnsi="仿宋" w:eastAsia="仿宋"/>
          <w:b/>
          <w:bCs/>
          <w:color w:val="auto"/>
          <w:sz w:val="24"/>
          <w:szCs w:val="28"/>
        </w:rPr>
      </w:pPr>
      <w:bookmarkStart w:id="153" w:name="_Toc14921"/>
      <w:r>
        <w:rPr>
          <w:rFonts w:hint="eastAsia" w:ascii="仿宋" w:hAnsi="仿宋" w:eastAsia="仿宋"/>
          <w:b/>
          <w:bCs/>
          <w:color w:val="auto"/>
          <w:sz w:val="24"/>
          <w:szCs w:val="28"/>
        </w:rPr>
        <w:t>Ⅱ 减排管理</w:t>
      </w:r>
      <w:bookmarkEnd w:id="153"/>
    </w:p>
    <w:p>
      <w:pPr>
        <w:widowControl/>
        <w:spacing w:line="360" w:lineRule="auto"/>
        <w:rPr>
          <w:rFonts w:ascii="宋体" w:hAnsi="宋体"/>
          <w:color w:val="auto"/>
          <w:sz w:val="24"/>
        </w:rPr>
      </w:pPr>
      <w:r>
        <w:rPr>
          <w:rFonts w:ascii="宋体" w:hAnsi="宋体"/>
          <w:b w:val="0"/>
          <w:bCs w:val="0"/>
          <w:color w:val="auto"/>
          <w:sz w:val="24"/>
        </w:rPr>
        <w:t>9.3.3</w:t>
      </w:r>
      <w:r>
        <w:rPr>
          <w:rFonts w:hint="eastAsia" w:ascii="宋体" w:hAnsi="宋体"/>
          <w:color w:val="auto"/>
          <w:sz w:val="24"/>
        </w:rPr>
        <w:t xml:space="preserve"> 应具有垃圾减排管理措施。</w:t>
      </w:r>
    </w:p>
    <w:p>
      <w:pPr>
        <w:widowControl/>
        <w:spacing w:line="360" w:lineRule="auto"/>
        <w:ind w:firstLine="480" w:firstLineChars="200"/>
        <w:rPr>
          <w:rFonts w:ascii="宋体" w:hAnsi="宋体"/>
          <w:color w:val="auto"/>
          <w:sz w:val="24"/>
        </w:rPr>
      </w:pPr>
      <w:r>
        <w:rPr>
          <w:rFonts w:hint="eastAsia" w:ascii="宋体" w:hAnsi="宋体"/>
          <w:color w:val="auto"/>
          <w:sz w:val="24"/>
        </w:rPr>
        <w:t>1建筑边界内具有集中垃圾收集站，并应具有垃圾排放总量计重管理措施</w:t>
      </w:r>
    </w:p>
    <w:p>
      <w:pPr>
        <w:widowControl/>
        <w:spacing w:line="360" w:lineRule="auto"/>
        <w:rPr>
          <w:rFonts w:eastAsia="楷体"/>
          <w:bCs/>
          <w:color w:val="auto"/>
        </w:rPr>
      </w:pPr>
      <w:r>
        <w:rPr>
          <w:rFonts w:hint="eastAsia" w:eastAsia="楷体"/>
          <w:b/>
          <w:color w:val="auto"/>
        </w:rPr>
        <w:t>【条文说明】</w:t>
      </w:r>
      <w:r>
        <w:rPr>
          <w:rFonts w:hint="eastAsia" w:eastAsia="楷体"/>
          <w:bCs/>
          <w:color w:val="auto"/>
        </w:rPr>
        <w:t>办公建筑的管理责任边界范围内设置集中的垃圾收集站，垃圾进行分类管理，如可回收利用垃圾、有害垃圾、厨余垃圾、其他垃圾；并对各类垃圾排放总量进行计重计量测算，便于测算碳排放信息。</w:t>
      </w:r>
    </w:p>
    <w:p>
      <w:pPr>
        <w:widowControl/>
        <w:spacing w:line="360" w:lineRule="auto"/>
        <w:ind w:firstLine="480" w:firstLineChars="200"/>
        <w:outlineLvl w:val="0"/>
        <w:rPr>
          <w:rFonts w:ascii="宋体" w:hAnsi="宋体"/>
          <w:color w:val="auto"/>
          <w:sz w:val="24"/>
        </w:rPr>
      </w:pPr>
      <w:bookmarkStart w:id="154" w:name="_Toc2389"/>
      <w:r>
        <w:rPr>
          <w:rFonts w:hint="eastAsia" w:ascii="宋体" w:hAnsi="宋体"/>
          <w:color w:val="auto"/>
          <w:sz w:val="24"/>
        </w:rPr>
        <w:t>2宜制定从办公室到楼层集中点到建筑集中站的垃圾排放转移输运管理机制</w:t>
      </w:r>
      <w:bookmarkEnd w:id="154"/>
    </w:p>
    <w:p>
      <w:pPr>
        <w:widowControl/>
        <w:spacing w:line="360" w:lineRule="auto"/>
        <w:rPr>
          <w:rFonts w:eastAsia="楷体"/>
          <w:bCs/>
          <w:color w:val="auto"/>
        </w:rPr>
      </w:pPr>
      <w:r>
        <w:rPr>
          <w:rFonts w:hint="eastAsia" w:eastAsia="楷体"/>
          <w:b/>
          <w:color w:val="auto"/>
        </w:rPr>
        <w:t>【条文说明】</w:t>
      </w:r>
      <w:r>
        <w:rPr>
          <w:rFonts w:hint="eastAsia" w:eastAsia="楷体"/>
          <w:bCs/>
          <w:color w:val="auto"/>
        </w:rPr>
        <w:t>办公建筑内的垃圾输运需要从办公区域内多点收集，汇集到楼层的集中收集点，再逐层收集到地下室的集中垃圾收集站。宜制定这一过程的垃圾收集输运管理制度，办公室人员的垃圾投放规则，垃圾清运人员的职责，垃圾封闭输运等。</w:t>
      </w:r>
    </w:p>
    <w:p>
      <w:pPr>
        <w:widowControl/>
        <w:spacing w:line="360" w:lineRule="auto"/>
        <w:ind w:firstLine="480" w:firstLineChars="200"/>
        <w:rPr>
          <w:rFonts w:ascii="宋体" w:hAnsi="宋体"/>
          <w:color w:val="auto"/>
          <w:sz w:val="24"/>
        </w:rPr>
      </w:pPr>
      <w:r>
        <w:rPr>
          <w:rFonts w:hint="eastAsia" w:ascii="宋体" w:hAnsi="宋体"/>
          <w:color w:val="auto"/>
          <w:sz w:val="24"/>
        </w:rPr>
        <w:t>3应具有垃圾分类措施，可回收垃圾、有害垃圾、厨余垃圾、其他垃圾应分别制定独立的转移输运机制。</w:t>
      </w:r>
    </w:p>
    <w:p>
      <w:pPr>
        <w:widowControl/>
        <w:spacing w:line="360" w:lineRule="auto"/>
        <w:rPr>
          <w:rFonts w:ascii="宋体" w:hAnsi="宋体"/>
          <w:color w:val="auto"/>
          <w:sz w:val="24"/>
        </w:rPr>
      </w:pPr>
      <w:r>
        <w:rPr>
          <w:rFonts w:hint="eastAsia" w:eastAsia="楷体"/>
          <w:b/>
          <w:color w:val="auto"/>
        </w:rPr>
        <w:t>【条文说明】</w:t>
      </w:r>
      <w:r>
        <w:rPr>
          <w:rFonts w:hint="eastAsia" w:eastAsia="楷体"/>
          <w:bCs/>
          <w:color w:val="auto"/>
        </w:rPr>
        <w:t>垃圾分类收集管理，如可回收利用垃圾和有害垃圾直接从办公区域投放到楼层的垃圾收集点，再从楼层收集到地下室的可回收利用垃圾，有害垃圾收集站；其他垃圾可在办公室区域多点布置垃圾桶，先从办公区收集到楼层集中点，再从楼层集中点收集到地下室集中收集站；厨余垃圾在厨房区域预处理专项输运至地下室垃圾站。</w:t>
      </w:r>
    </w:p>
    <w:p>
      <w:pPr>
        <w:widowControl/>
        <w:spacing w:line="360" w:lineRule="auto"/>
        <w:outlineLvl w:val="1"/>
        <w:rPr>
          <w:rFonts w:ascii="宋体" w:hAnsi="宋体"/>
          <w:color w:val="auto"/>
          <w:sz w:val="24"/>
        </w:rPr>
      </w:pPr>
      <w:bookmarkStart w:id="155" w:name="_Toc20029"/>
      <w:r>
        <w:rPr>
          <w:rFonts w:ascii="宋体" w:hAnsi="宋体"/>
          <w:b w:val="0"/>
          <w:bCs w:val="0"/>
          <w:color w:val="auto"/>
          <w:sz w:val="24"/>
        </w:rPr>
        <w:t>9.3.4</w:t>
      </w:r>
      <w:r>
        <w:rPr>
          <w:rFonts w:hint="eastAsia" w:ascii="宋体" w:hAnsi="宋体"/>
          <w:color w:val="auto"/>
          <w:sz w:val="24"/>
        </w:rPr>
        <w:t xml:space="preserve"> 应具有废水减排管理措施</w:t>
      </w:r>
      <w:bookmarkEnd w:id="155"/>
      <w:r>
        <w:rPr>
          <w:rFonts w:hint="eastAsia" w:ascii="宋体" w:hAnsi="宋体"/>
          <w:color w:val="auto"/>
          <w:sz w:val="24"/>
        </w:rPr>
        <w:t>。</w:t>
      </w:r>
    </w:p>
    <w:p>
      <w:pPr>
        <w:widowControl/>
        <w:spacing w:line="360" w:lineRule="auto"/>
        <w:ind w:firstLine="480" w:firstLineChars="200"/>
        <w:rPr>
          <w:rFonts w:ascii="宋体" w:hAnsi="宋体"/>
          <w:color w:val="auto"/>
          <w:sz w:val="24"/>
        </w:rPr>
      </w:pPr>
      <w:r>
        <w:rPr>
          <w:rFonts w:hint="eastAsia" w:ascii="宋体" w:hAnsi="宋体"/>
          <w:color w:val="auto"/>
          <w:sz w:val="24"/>
        </w:rPr>
        <w:t>1建筑场地边界内生活水、雨水、中水、景观水体、冷凝水等应充分分类梯次利用，且发挥绿化灌溉和土壤的调蓄作用，减少向市政管网的排放量。</w:t>
      </w:r>
    </w:p>
    <w:p>
      <w:pPr>
        <w:widowControl/>
        <w:spacing w:line="360" w:lineRule="auto"/>
        <w:rPr>
          <w:rFonts w:ascii="宋体" w:hAnsi="宋体"/>
          <w:color w:val="auto"/>
          <w:sz w:val="24"/>
        </w:rPr>
      </w:pPr>
      <w:r>
        <w:rPr>
          <w:rFonts w:hint="eastAsia" w:eastAsia="楷体"/>
          <w:b/>
          <w:color w:val="auto"/>
        </w:rPr>
        <w:t>【条文说明】</w:t>
      </w:r>
      <w:r>
        <w:rPr>
          <w:rFonts w:hint="eastAsia" w:eastAsia="楷体"/>
          <w:bCs/>
          <w:color w:val="auto"/>
        </w:rPr>
        <w:t>办公建筑场地边界内的水资源应充分分梯次利用，高水质等级的给水可二次利用于低水质等级需求的用水，如洗手盆、冷凝水可汇集二次用于中水系统的冲厕，雨水、景观水体用于绿化灌溉；减少利用高质生活水，以及减少向市政管网排放污水。</w:t>
      </w:r>
    </w:p>
    <w:p>
      <w:pPr>
        <w:widowControl/>
        <w:spacing w:line="360" w:lineRule="auto"/>
        <w:ind w:firstLine="480" w:firstLineChars="200"/>
        <w:rPr>
          <w:rFonts w:ascii="宋体" w:hAnsi="宋体"/>
          <w:color w:val="auto"/>
          <w:sz w:val="24"/>
        </w:rPr>
      </w:pPr>
      <w:r>
        <w:rPr>
          <w:rFonts w:hint="eastAsia" w:ascii="宋体" w:hAnsi="宋体"/>
          <w:color w:val="auto"/>
          <w:sz w:val="24"/>
        </w:rPr>
        <w:t>2应排查生活给水管网系统漏损，超压出流，热水系统的出水效率低，灌溉冲洗用水水压过高等问题，及时修复调整，节约用水。</w:t>
      </w:r>
    </w:p>
    <w:p>
      <w:pPr>
        <w:widowControl/>
        <w:spacing w:line="360" w:lineRule="auto"/>
        <w:rPr>
          <w:rFonts w:ascii="宋体" w:hAnsi="宋体"/>
          <w:color w:val="auto"/>
          <w:sz w:val="24"/>
        </w:rPr>
      </w:pPr>
      <w:r>
        <w:rPr>
          <w:rFonts w:hint="eastAsia" w:eastAsia="楷体"/>
          <w:b/>
          <w:color w:val="auto"/>
        </w:rPr>
        <w:t>【条文说明】</w:t>
      </w:r>
      <w:r>
        <w:rPr>
          <w:rFonts w:hint="eastAsia" w:eastAsia="楷体"/>
          <w:bCs/>
          <w:color w:val="auto"/>
        </w:rPr>
        <w:t>运行过程排查生活给水系统的管网漏损，超压出流，热水系统的无效冷水出流时间长，灌溉冲洗水枪水压过高等问题，及时修复节约用水。</w:t>
      </w:r>
    </w:p>
    <w:p>
      <w:pPr>
        <w:widowControl/>
        <w:spacing w:line="360" w:lineRule="auto"/>
        <w:outlineLvl w:val="1"/>
        <w:rPr>
          <w:rFonts w:ascii="宋体" w:hAnsi="宋体"/>
          <w:color w:val="auto"/>
          <w:sz w:val="24"/>
        </w:rPr>
      </w:pPr>
      <w:bookmarkStart w:id="156" w:name="_Toc1164"/>
      <w:r>
        <w:rPr>
          <w:rFonts w:ascii="宋体" w:hAnsi="宋体"/>
          <w:b w:val="0"/>
          <w:bCs w:val="0"/>
          <w:color w:val="auto"/>
          <w:sz w:val="24"/>
        </w:rPr>
        <w:t>9.3.5</w:t>
      </w:r>
      <w:r>
        <w:rPr>
          <w:rFonts w:hint="eastAsia" w:ascii="宋体" w:hAnsi="宋体"/>
          <w:color w:val="auto"/>
          <w:sz w:val="24"/>
        </w:rPr>
        <w:t xml:space="preserve"> 应具有制冷剂的泄漏管理措施</w:t>
      </w:r>
      <w:bookmarkEnd w:id="156"/>
      <w:r>
        <w:rPr>
          <w:rFonts w:hint="eastAsia" w:ascii="宋体" w:hAnsi="宋体"/>
          <w:color w:val="auto"/>
          <w:sz w:val="24"/>
        </w:rPr>
        <w:t>。</w:t>
      </w:r>
    </w:p>
    <w:p>
      <w:pPr>
        <w:widowControl/>
        <w:spacing w:line="360" w:lineRule="auto"/>
        <w:ind w:firstLine="480" w:firstLineChars="200"/>
        <w:rPr>
          <w:rFonts w:ascii="宋体" w:hAnsi="宋体"/>
          <w:color w:val="auto"/>
          <w:sz w:val="24"/>
        </w:rPr>
      </w:pPr>
      <w:r>
        <w:rPr>
          <w:rFonts w:hint="eastAsia" w:ascii="宋体" w:hAnsi="宋体"/>
          <w:color w:val="auto"/>
          <w:sz w:val="24"/>
        </w:rPr>
        <w:t>1制定制冷设备的巡检制度，利用红外热成像，电子检漏仪等方式检查制冷剂泄漏情况，及时修复。</w:t>
      </w:r>
    </w:p>
    <w:p>
      <w:pPr>
        <w:widowControl/>
        <w:spacing w:line="360" w:lineRule="auto"/>
        <w:rPr>
          <w:rFonts w:ascii="宋体" w:hAnsi="宋体"/>
          <w:color w:val="auto"/>
          <w:sz w:val="24"/>
        </w:rPr>
      </w:pPr>
      <w:r>
        <w:rPr>
          <w:rFonts w:hint="eastAsia" w:eastAsia="楷体"/>
          <w:b/>
          <w:color w:val="auto"/>
        </w:rPr>
        <w:t>【条文说明】</w:t>
      </w:r>
      <w:r>
        <w:rPr>
          <w:rFonts w:hint="eastAsia" w:eastAsia="楷体"/>
          <w:bCs/>
          <w:color w:val="auto"/>
        </w:rPr>
        <w:t>运行过程应制定制冷设备的巡检制度，利用目测检测，红外热成像检测，涡流检测，射线检测等方式检查制冷设备的制冷剂泄漏情况，及时修复，减少制冷剂的泄漏排放。</w:t>
      </w:r>
    </w:p>
    <w:p>
      <w:pPr>
        <w:widowControl/>
        <w:spacing w:line="360" w:lineRule="auto"/>
        <w:ind w:firstLine="480" w:firstLineChars="200"/>
        <w:outlineLvl w:val="0"/>
        <w:rPr>
          <w:rFonts w:ascii="宋体" w:hAnsi="宋体"/>
          <w:color w:val="auto"/>
          <w:sz w:val="24"/>
        </w:rPr>
      </w:pPr>
      <w:bookmarkStart w:id="157" w:name="_Toc16629"/>
      <w:r>
        <w:rPr>
          <w:rFonts w:hint="eastAsia" w:ascii="宋体" w:hAnsi="宋体"/>
          <w:color w:val="auto"/>
          <w:sz w:val="24"/>
        </w:rPr>
        <w:t>2制冷设备维修或报废时，应对制冷剂进行回收处理循环利用。</w:t>
      </w:r>
      <w:bookmarkEnd w:id="157"/>
    </w:p>
    <w:p>
      <w:pPr>
        <w:widowControl/>
        <w:spacing w:line="360" w:lineRule="auto"/>
        <w:rPr>
          <w:rFonts w:ascii="宋体" w:hAnsi="宋体"/>
          <w:color w:val="auto"/>
          <w:sz w:val="24"/>
        </w:rPr>
      </w:pPr>
      <w:r>
        <w:rPr>
          <w:rFonts w:hint="eastAsia" w:eastAsia="楷体"/>
          <w:b/>
          <w:color w:val="auto"/>
        </w:rPr>
        <w:t>【条文说明】</w:t>
      </w:r>
      <w:r>
        <w:rPr>
          <w:rFonts w:hint="eastAsia" w:eastAsia="楷体"/>
          <w:bCs/>
          <w:color w:val="auto"/>
        </w:rPr>
        <w:t>制冷设备在维修或报废的过程中应对其制冷剂进行回收用于循环利用，严禁破坏性拆除直接排放。</w:t>
      </w:r>
    </w:p>
    <w:p>
      <w:pPr>
        <w:spacing w:before="312" w:beforeLines="100" w:after="240"/>
        <w:jc w:val="center"/>
        <w:outlineLvl w:val="1"/>
        <w:rPr>
          <w:rFonts w:ascii="仿宋" w:hAnsi="仿宋" w:eastAsia="仿宋"/>
          <w:b/>
          <w:bCs/>
          <w:color w:val="auto"/>
          <w:sz w:val="24"/>
          <w:szCs w:val="28"/>
        </w:rPr>
      </w:pPr>
      <w:bookmarkStart w:id="158" w:name="_Toc25196"/>
      <w:r>
        <w:rPr>
          <w:rFonts w:hint="eastAsia" w:ascii="仿宋" w:hAnsi="仿宋" w:eastAsia="仿宋"/>
          <w:b/>
          <w:bCs/>
          <w:color w:val="auto"/>
          <w:sz w:val="24"/>
          <w:szCs w:val="28"/>
        </w:rPr>
        <w:t>Ⅲ 行为管理</w:t>
      </w:r>
      <w:bookmarkEnd w:id="158"/>
    </w:p>
    <w:p>
      <w:pPr>
        <w:widowControl/>
        <w:spacing w:line="360" w:lineRule="auto"/>
        <w:outlineLvl w:val="1"/>
        <w:rPr>
          <w:rFonts w:ascii="宋体" w:hAnsi="宋体"/>
          <w:color w:val="auto"/>
          <w:sz w:val="24"/>
        </w:rPr>
      </w:pPr>
      <w:bookmarkStart w:id="159" w:name="_Toc23526"/>
      <w:r>
        <w:rPr>
          <w:rFonts w:ascii="宋体" w:hAnsi="宋体"/>
          <w:b w:val="0"/>
          <w:bCs w:val="0"/>
          <w:color w:val="auto"/>
          <w:sz w:val="24"/>
        </w:rPr>
        <w:t>9.3.6</w:t>
      </w:r>
      <w:r>
        <w:rPr>
          <w:rFonts w:hint="eastAsia" w:ascii="宋体" w:hAnsi="宋体"/>
          <w:color w:val="auto"/>
          <w:sz w:val="24"/>
        </w:rPr>
        <w:t xml:space="preserve"> 应具有节约用能行为管理措施</w:t>
      </w:r>
      <w:bookmarkEnd w:id="159"/>
      <w:r>
        <w:rPr>
          <w:rFonts w:hint="eastAsia" w:ascii="宋体" w:hAnsi="宋体"/>
          <w:color w:val="auto"/>
          <w:sz w:val="24"/>
        </w:rPr>
        <w:t>。</w:t>
      </w:r>
    </w:p>
    <w:p>
      <w:pPr>
        <w:widowControl/>
        <w:spacing w:line="360" w:lineRule="auto"/>
        <w:ind w:firstLine="480" w:firstLineChars="200"/>
        <w:rPr>
          <w:rFonts w:ascii="宋体" w:hAnsi="宋体"/>
          <w:color w:val="auto"/>
          <w:sz w:val="24"/>
        </w:rPr>
      </w:pPr>
      <w:r>
        <w:rPr>
          <w:rFonts w:hint="eastAsia" w:ascii="宋体" w:hAnsi="宋体"/>
          <w:color w:val="auto"/>
          <w:sz w:val="24"/>
        </w:rPr>
        <w:t>1空调季，限制室内空调温度设定不宜设置过低（如不宜低于24℃）。</w:t>
      </w:r>
    </w:p>
    <w:p>
      <w:pPr>
        <w:widowControl/>
        <w:spacing w:line="360" w:lineRule="auto"/>
        <w:ind w:firstLine="480" w:firstLineChars="200"/>
        <w:outlineLvl w:val="0"/>
        <w:rPr>
          <w:rFonts w:ascii="宋体" w:hAnsi="宋体"/>
          <w:color w:val="auto"/>
          <w:sz w:val="24"/>
        </w:rPr>
      </w:pPr>
      <w:bookmarkStart w:id="160" w:name="_Toc28677"/>
      <w:r>
        <w:rPr>
          <w:rFonts w:hint="eastAsia" w:ascii="宋体" w:hAnsi="宋体"/>
          <w:color w:val="auto"/>
          <w:sz w:val="24"/>
        </w:rPr>
        <w:t>2下班时段，提倡关闭电脑、打印机、热水器，减少待机电耗。</w:t>
      </w:r>
      <w:bookmarkEnd w:id="160"/>
    </w:p>
    <w:p>
      <w:pPr>
        <w:widowControl/>
        <w:spacing w:line="360" w:lineRule="auto"/>
        <w:ind w:firstLine="480" w:firstLineChars="200"/>
        <w:rPr>
          <w:rFonts w:ascii="宋体" w:hAnsi="宋体"/>
          <w:color w:val="auto"/>
          <w:sz w:val="24"/>
        </w:rPr>
      </w:pPr>
      <w:r>
        <w:rPr>
          <w:rFonts w:hint="eastAsia" w:ascii="宋体" w:hAnsi="宋体"/>
          <w:color w:val="auto"/>
          <w:sz w:val="24"/>
        </w:rPr>
        <w:t>3培训物业管理人员设备房无人时，只保留基本安全照明，关闭其余照明。</w:t>
      </w:r>
    </w:p>
    <w:p>
      <w:pPr>
        <w:widowControl/>
        <w:spacing w:line="360" w:lineRule="auto"/>
        <w:ind w:firstLine="480" w:firstLineChars="200"/>
        <w:rPr>
          <w:rFonts w:ascii="宋体" w:hAnsi="宋体"/>
          <w:color w:val="auto"/>
          <w:sz w:val="24"/>
        </w:rPr>
      </w:pPr>
      <w:r>
        <w:rPr>
          <w:rFonts w:ascii="宋体" w:hAnsi="宋体" w:eastAsia="宋体"/>
          <w:b w:val="0"/>
          <w:color w:val="auto"/>
          <w:sz w:val="24"/>
        </w:rPr>
        <w:t>4</w:t>
      </w:r>
      <w:r>
        <w:rPr>
          <w:rFonts w:hint="eastAsia" w:ascii="宋体" w:hAnsi="宋体"/>
          <w:color w:val="auto"/>
          <w:sz w:val="24"/>
        </w:rPr>
        <w:t>提倡电脑主机、显示器启用电源管理系统，未工作时进入休眠模式。</w:t>
      </w:r>
    </w:p>
    <w:p>
      <w:pPr>
        <w:widowControl/>
        <w:spacing w:line="360" w:lineRule="auto"/>
        <w:rPr>
          <w:rFonts w:ascii="宋体" w:hAnsi="宋体"/>
          <w:color w:val="auto"/>
          <w:sz w:val="24"/>
        </w:rPr>
      </w:pPr>
      <w:r>
        <w:rPr>
          <w:rFonts w:hint="eastAsia" w:eastAsia="楷体"/>
          <w:b/>
          <w:color w:val="auto"/>
        </w:rPr>
        <w:t>【条文说明】</w:t>
      </w:r>
      <w:r>
        <w:rPr>
          <w:rFonts w:hint="eastAsia" w:eastAsia="楷体"/>
          <w:bCs/>
          <w:color w:val="auto"/>
        </w:rPr>
        <w:t>在空调季节，各个办公区末端的温度设定一般可供用户自行调节，部分用户长期将温度设定过低，可建议或集中限制温度设定不宜低于24℃。</w:t>
      </w:r>
    </w:p>
    <w:p>
      <w:pPr>
        <w:widowControl/>
        <w:spacing w:line="360" w:lineRule="auto"/>
        <w:rPr>
          <w:rFonts w:ascii="宋体" w:hAnsi="宋体"/>
          <w:color w:val="auto"/>
          <w:sz w:val="24"/>
        </w:rPr>
      </w:pPr>
      <w:r>
        <w:rPr>
          <w:rFonts w:hint="eastAsia" w:eastAsia="楷体"/>
          <w:bCs/>
          <w:color w:val="auto"/>
        </w:rPr>
        <w:t>下班时段，部分用户习惯性或忘记关闭电脑、打印机、热水器等办公和生活设备，该类设备可在下班后关闭，上班时重新开启，以节约电能。</w:t>
      </w:r>
    </w:p>
    <w:p>
      <w:pPr>
        <w:widowControl/>
        <w:spacing w:line="360" w:lineRule="auto"/>
        <w:rPr>
          <w:rFonts w:ascii="宋体" w:hAnsi="宋体"/>
          <w:color w:val="auto"/>
          <w:sz w:val="24"/>
        </w:rPr>
      </w:pPr>
      <w:r>
        <w:rPr>
          <w:rFonts w:hint="eastAsia" w:eastAsia="楷体"/>
          <w:bCs/>
          <w:color w:val="auto"/>
        </w:rPr>
        <w:t>地下室的空调机房、配电房、管道井等公共部位有些设计了手动照明控制开关，物业运行人员频繁进出会经常性忘记关闭照明开关，另外，有些设备房从安全考虑需要满足必要的常亮照明。应培训引导提示物业运行人员关闭照明开关，而仅保留必要的照明需求。</w:t>
      </w:r>
    </w:p>
    <w:p>
      <w:pPr>
        <w:widowControl/>
        <w:spacing w:line="360" w:lineRule="auto"/>
        <w:rPr>
          <w:rFonts w:ascii="宋体" w:hAnsi="宋体"/>
          <w:color w:val="auto"/>
          <w:sz w:val="24"/>
        </w:rPr>
      </w:pPr>
      <w:r>
        <w:rPr>
          <w:rFonts w:hint="eastAsia" w:eastAsia="楷体"/>
          <w:bCs/>
          <w:color w:val="auto"/>
        </w:rPr>
        <w:t>办公室内人员由于会议，喝茶倒水，上洗手间，午餐午休等原因会短暂离开办公工位；提倡办公人员将电脑主机和显示器启用电源管理模式，在暂时离开工位时让设备进入休眠模式，节约电能。</w:t>
      </w:r>
    </w:p>
    <w:p>
      <w:pPr>
        <w:widowControl/>
        <w:spacing w:line="360" w:lineRule="auto"/>
        <w:outlineLvl w:val="1"/>
        <w:rPr>
          <w:rFonts w:ascii="宋体" w:hAnsi="宋体"/>
          <w:color w:val="auto"/>
          <w:sz w:val="24"/>
        </w:rPr>
      </w:pPr>
      <w:bookmarkStart w:id="161" w:name="_Toc9071"/>
      <w:r>
        <w:rPr>
          <w:rFonts w:ascii="宋体" w:hAnsi="宋体"/>
          <w:b w:val="0"/>
          <w:bCs w:val="0"/>
          <w:color w:val="auto"/>
          <w:sz w:val="24"/>
        </w:rPr>
        <w:t>9.3.7</w:t>
      </w:r>
      <w:r>
        <w:rPr>
          <w:rFonts w:hint="eastAsia" w:ascii="宋体" w:hAnsi="宋体"/>
          <w:color w:val="auto"/>
          <w:sz w:val="24"/>
        </w:rPr>
        <w:t xml:space="preserve"> 应具有垃圾减排行为管理措施</w:t>
      </w:r>
      <w:bookmarkEnd w:id="161"/>
      <w:r>
        <w:rPr>
          <w:rFonts w:hint="eastAsia" w:ascii="宋体" w:hAnsi="宋体"/>
          <w:color w:val="auto"/>
          <w:sz w:val="24"/>
        </w:rPr>
        <w:t>。</w:t>
      </w:r>
    </w:p>
    <w:p>
      <w:pPr>
        <w:widowControl/>
        <w:spacing w:line="360" w:lineRule="auto"/>
        <w:ind w:firstLine="480" w:firstLineChars="200"/>
        <w:rPr>
          <w:rFonts w:ascii="宋体" w:hAnsi="宋体"/>
          <w:color w:val="auto"/>
          <w:sz w:val="24"/>
        </w:rPr>
      </w:pPr>
      <w:r>
        <w:rPr>
          <w:rFonts w:hint="eastAsia" w:ascii="宋体" w:hAnsi="宋体"/>
          <w:color w:val="auto"/>
          <w:sz w:val="24"/>
        </w:rPr>
        <w:t>1提倡文件双面打印，提倡电子化、无纸化办公。</w:t>
      </w:r>
    </w:p>
    <w:p>
      <w:pPr>
        <w:widowControl/>
        <w:spacing w:line="360" w:lineRule="auto"/>
        <w:ind w:firstLine="480" w:firstLineChars="200"/>
        <w:rPr>
          <w:rFonts w:ascii="宋体" w:hAnsi="宋体"/>
          <w:color w:val="auto"/>
          <w:sz w:val="24"/>
        </w:rPr>
      </w:pPr>
      <w:r>
        <w:rPr>
          <w:rFonts w:hint="eastAsia" w:ascii="宋体" w:hAnsi="宋体"/>
          <w:color w:val="auto"/>
          <w:sz w:val="24"/>
        </w:rPr>
        <w:t>2提倡绿色交通出行。</w:t>
      </w:r>
    </w:p>
    <w:p>
      <w:pPr>
        <w:widowControl/>
        <w:tabs>
          <w:tab w:val="left" w:pos="312"/>
        </w:tabs>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3提倡有害垃圾固定点投放，可重复利用物品循环利用。</w:t>
      </w:r>
    </w:p>
    <w:p>
      <w:pPr>
        <w:widowControl/>
        <w:spacing w:line="360" w:lineRule="auto"/>
        <w:rPr>
          <w:rFonts w:ascii="宋体" w:hAnsi="宋体"/>
          <w:color w:val="auto"/>
          <w:sz w:val="24"/>
        </w:rPr>
      </w:pPr>
      <w:r>
        <w:rPr>
          <w:rFonts w:hint="eastAsia" w:eastAsia="楷体"/>
          <w:b/>
          <w:color w:val="auto"/>
        </w:rPr>
        <w:t>【条文说明】</w:t>
      </w:r>
      <w:r>
        <w:rPr>
          <w:rFonts w:hint="eastAsia" w:eastAsia="楷体"/>
          <w:bCs/>
          <w:color w:val="auto"/>
        </w:rPr>
        <w:t>日常办公的非正式文件，或者过程材料建议采用电子化、无纸化的方式进行办公信息交流，减少纸张，油墨笔等消耗和使用；必要的纸张文件建议使用双面打印。</w:t>
      </w:r>
    </w:p>
    <w:p>
      <w:pPr>
        <w:widowControl/>
        <w:spacing w:line="360" w:lineRule="auto"/>
        <w:rPr>
          <w:rFonts w:ascii="宋体" w:hAnsi="宋体"/>
          <w:color w:val="auto"/>
          <w:sz w:val="24"/>
        </w:rPr>
      </w:pPr>
      <w:r>
        <w:rPr>
          <w:rFonts w:hint="eastAsia" w:eastAsia="楷体"/>
          <w:bCs/>
          <w:color w:val="auto"/>
        </w:rPr>
        <w:t>提供办公人员的上班、下班通勤方式采用走路、骑自行车、公交、地铁等通勤方式，减少开燃油车通勤上下班的次数。</w:t>
      </w:r>
    </w:p>
    <w:p>
      <w:pPr>
        <w:widowControl/>
        <w:tabs>
          <w:tab w:val="left" w:pos="312"/>
        </w:tabs>
        <w:adjustRightInd w:val="0"/>
        <w:snapToGrid w:val="0"/>
        <w:spacing w:line="360" w:lineRule="auto"/>
        <w:jc w:val="left"/>
        <w:rPr>
          <w:rFonts w:eastAsia="楷体"/>
          <w:b/>
          <w:color w:val="auto"/>
        </w:rPr>
      </w:pPr>
      <w:r>
        <w:rPr>
          <w:rFonts w:hint="eastAsia" w:eastAsia="楷体"/>
          <w:bCs/>
          <w:color w:val="auto"/>
        </w:rPr>
        <w:t>提供办公人员将使用过的电池，废药品盒，废温度计等有害垃圾进行固定点投放；将纸质包装，书籍，塑料瓶等可回收物品投放至可回收利用物品投置处。</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eastAsia="黑体"/>
          <w:b/>
          <w:color w:val="auto"/>
          <w:kern w:val="44"/>
          <w:sz w:val="30"/>
          <w:szCs w:val="24"/>
        </w:rPr>
        <w:br w:type="page"/>
      </w:r>
    </w:p>
    <w:p>
      <w:pPr>
        <w:widowControl/>
        <w:spacing w:line="360" w:lineRule="auto"/>
        <w:jc w:val="center"/>
        <w:outlineLvl w:val="0"/>
        <w:rPr>
          <w:rStyle w:val="49"/>
          <w:bCs w:val="0"/>
          <w:color w:val="auto"/>
          <w:sz w:val="32"/>
          <w:szCs w:val="32"/>
        </w:rPr>
      </w:pPr>
      <w:bookmarkStart w:id="162" w:name="_Toc9612"/>
      <w:r>
        <w:rPr>
          <w:rStyle w:val="49"/>
          <w:bCs w:val="0"/>
          <w:color w:val="auto"/>
          <w:sz w:val="32"/>
          <w:szCs w:val="32"/>
        </w:rPr>
        <w:t xml:space="preserve">附录A </w:t>
      </w:r>
      <w:r>
        <w:rPr>
          <w:rStyle w:val="49"/>
          <w:rFonts w:hint="eastAsia"/>
          <w:bCs w:val="0"/>
          <w:color w:val="auto"/>
          <w:sz w:val="32"/>
          <w:szCs w:val="32"/>
        </w:rPr>
        <w:t>碳</w:t>
      </w:r>
      <w:r>
        <w:rPr>
          <w:rStyle w:val="49"/>
          <w:rFonts w:hint="eastAsia"/>
          <w:bCs w:val="0"/>
          <w:color w:val="auto"/>
          <w:sz w:val="32"/>
          <w:szCs w:val="32"/>
          <w:lang w:val="en-US" w:eastAsia="zh-CN"/>
        </w:rPr>
        <w:t>排放</w:t>
      </w:r>
      <w:r>
        <w:rPr>
          <w:rStyle w:val="49"/>
          <w:rFonts w:hint="eastAsia"/>
          <w:bCs w:val="0"/>
          <w:color w:val="auto"/>
          <w:sz w:val="32"/>
          <w:szCs w:val="32"/>
        </w:rPr>
        <w:t>指标计算方法</w:t>
      </w:r>
      <w:bookmarkEnd w:id="142"/>
      <w:bookmarkEnd w:id="162"/>
    </w:p>
    <w:p>
      <w:pPr>
        <w:widowControl/>
        <w:spacing w:line="360" w:lineRule="auto"/>
        <w:rPr>
          <w:rFonts w:ascii="宋体" w:hAnsi="宋体"/>
          <w:color w:val="auto"/>
          <w:sz w:val="24"/>
        </w:rPr>
      </w:pPr>
      <w:r>
        <w:rPr>
          <w:rFonts w:hint="eastAsia" w:ascii="宋体" w:hAnsi="宋体"/>
          <w:b/>
          <w:bCs/>
          <w:color w:val="auto"/>
          <w:sz w:val="24"/>
        </w:rPr>
        <w:t>A.0.1</w:t>
      </w:r>
      <w:r>
        <w:rPr>
          <w:rFonts w:hint="eastAsia" w:ascii="宋体" w:hAnsi="宋体"/>
          <w:color w:val="auto"/>
          <w:sz w:val="24"/>
        </w:rPr>
        <w:t xml:space="preserve"> 低碳办公建筑碳</w:t>
      </w:r>
      <w:r>
        <w:rPr>
          <w:rFonts w:hint="eastAsia" w:ascii="宋体" w:hAnsi="宋体"/>
          <w:color w:val="auto"/>
          <w:sz w:val="24"/>
          <w:lang w:val="en-US" w:eastAsia="zh-CN"/>
        </w:rPr>
        <w:t>排放</w:t>
      </w:r>
      <w:r>
        <w:rPr>
          <w:rFonts w:hint="eastAsia" w:ascii="宋体" w:hAnsi="宋体"/>
          <w:color w:val="auto"/>
          <w:sz w:val="24"/>
        </w:rPr>
        <w:t>指标计算所采用的气象参数应符合现行行业标准《建筑节能气象参数标准》JGJ/T 346的规定。</w:t>
      </w:r>
    </w:p>
    <w:p>
      <w:pPr>
        <w:widowControl/>
        <w:spacing w:line="360" w:lineRule="auto"/>
        <w:rPr>
          <w:rFonts w:ascii="宋体" w:hAnsi="宋体"/>
          <w:color w:val="auto"/>
          <w:sz w:val="24"/>
        </w:rPr>
      </w:pPr>
      <w:r>
        <w:rPr>
          <w:rFonts w:hint="eastAsia" w:ascii="宋体" w:hAnsi="宋体"/>
          <w:b/>
          <w:bCs/>
          <w:color w:val="auto"/>
          <w:sz w:val="24"/>
        </w:rPr>
        <w:t>A.0.2</w:t>
      </w:r>
      <w:r>
        <w:rPr>
          <w:rFonts w:hint="eastAsia" w:ascii="宋体" w:hAnsi="宋体"/>
          <w:color w:val="auto"/>
          <w:sz w:val="24"/>
        </w:rPr>
        <w:t xml:space="preserve"> 低碳办公建筑碳排放计算应采用动态能耗、碳排放模拟软件计算。</w:t>
      </w:r>
    </w:p>
    <w:p>
      <w:pPr>
        <w:widowControl/>
        <w:spacing w:line="360" w:lineRule="auto"/>
        <w:rPr>
          <w:rFonts w:ascii="宋体" w:hAnsi="宋体"/>
          <w:color w:val="auto"/>
          <w:sz w:val="24"/>
        </w:rPr>
      </w:pPr>
      <w:r>
        <w:rPr>
          <w:rFonts w:hint="eastAsia" w:ascii="宋体" w:hAnsi="宋体"/>
          <w:b/>
          <w:bCs/>
          <w:color w:val="auto"/>
          <w:sz w:val="24"/>
        </w:rPr>
        <w:t>A.0.3</w:t>
      </w:r>
      <w:r>
        <w:rPr>
          <w:rFonts w:hint="eastAsia" w:ascii="宋体" w:hAnsi="宋体"/>
          <w:color w:val="auto"/>
          <w:sz w:val="24"/>
        </w:rPr>
        <w:t xml:space="preserve"> 设计建筑和基准建筑的碳</w:t>
      </w:r>
      <w:r>
        <w:rPr>
          <w:rFonts w:hint="eastAsia" w:ascii="宋体" w:hAnsi="宋体"/>
          <w:color w:val="auto"/>
          <w:sz w:val="24"/>
          <w:lang w:val="en-US" w:eastAsia="zh-CN"/>
        </w:rPr>
        <w:t>排放</w:t>
      </w:r>
      <w:r>
        <w:rPr>
          <w:rFonts w:hint="eastAsia" w:ascii="宋体" w:hAnsi="宋体"/>
          <w:color w:val="auto"/>
          <w:sz w:val="24"/>
        </w:rPr>
        <w:t>指标计算参数设置应按国家标准《零碳建筑技术标准》附录A中的规定选取。</w:t>
      </w:r>
    </w:p>
    <w:p>
      <w:pPr>
        <w:widowControl/>
        <w:spacing w:line="360" w:lineRule="auto"/>
        <w:rPr>
          <w:rFonts w:ascii="宋体" w:hAnsi="宋体"/>
          <w:color w:val="auto"/>
          <w:sz w:val="24"/>
        </w:rPr>
      </w:pPr>
      <w:r>
        <w:rPr>
          <w:rFonts w:hint="eastAsia" w:ascii="宋体" w:hAnsi="宋体"/>
          <w:b/>
          <w:bCs/>
          <w:color w:val="auto"/>
          <w:sz w:val="24"/>
        </w:rPr>
        <w:t>A.0.4</w:t>
      </w:r>
      <w:r>
        <w:rPr>
          <w:rFonts w:hint="eastAsia" w:ascii="宋体" w:hAnsi="宋体"/>
          <w:color w:val="auto"/>
          <w:sz w:val="24"/>
        </w:rPr>
        <w:t>建筑碳排放强度应按下式计算：</w:t>
      </w:r>
    </w:p>
    <w:p>
      <w:pPr>
        <w:spacing w:line="312" w:lineRule="auto"/>
        <w:ind w:firstLine="440" w:firstLineChars="200"/>
        <w:rPr>
          <w:i/>
          <w:color w:val="auto"/>
          <w:sz w:val="22"/>
        </w:rPr>
      </w:pPr>
      <m:oMathPara>
        <m:oMath>
          <m:sSub>
            <m:sSubPr>
              <m:ctrlPr>
                <w:rPr>
                  <w:rFonts w:ascii="Cambria Math" w:hAnsi="Cambria Math"/>
                  <w:i/>
                  <w:color w:val="auto"/>
                  <w:sz w:val="22"/>
                </w:rPr>
              </m:ctrlPr>
            </m:sSubPr>
            <m:e>
              <m:r>
                <m:rPr/>
                <w:rPr>
                  <w:rFonts w:hint="eastAsia" w:ascii="Cambria Math" w:hAnsi="Cambria Math"/>
                  <w:color w:val="auto"/>
                  <w:sz w:val="22"/>
                </w:rPr>
                <m:t>C</m:t>
              </m:r>
              <m:ctrlPr>
                <w:rPr>
                  <w:rFonts w:ascii="Cambria Math" w:hAnsi="Cambria Math"/>
                  <w:i/>
                  <w:color w:val="auto"/>
                  <w:sz w:val="22"/>
                </w:rPr>
              </m:ctrlPr>
            </m:e>
            <m:sub>
              <m:ctrlPr>
                <w:rPr>
                  <w:rFonts w:ascii="Cambria Math" w:hAnsi="Cambria Math"/>
                  <w:i/>
                  <w:color w:val="auto"/>
                  <w:sz w:val="22"/>
                </w:rPr>
              </m:ctrlPr>
            </m:sub>
          </m:sSub>
          <m:r>
            <m:rPr/>
            <w:rPr>
              <w:rFonts w:ascii="Cambria Math" w:hAnsi="Cambria Math"/>
              <w:color w:val="auto"/>
              <w:sz w:val="22"/>
              <w:vertAlign w:val="subscript"/>
            </w:rPr>
            <m:t xml:space="preserve">  </m:t>
          </m:r>
          <m:r>
            <m:rPr/>
            <w:rPr>
              <w:rFonts w:ascii="Cambria Math" w:hAnsi="Cambria Math"/>
              <w:color w:val="auto"/>
              <w:sz w:val="22"/>
            </w:rPr>
            <m:t>=</m:t>
          </m:r>
          <m:f>
            <m:fPr>
              <m:ctrlPr>
                <w:rPr>
                  <w:rFonts w:ascii="Cambria Math" w:hAnsi="Cambria Math"/>
                  <w:i/>
                  <w:color w:val="auto"/>
                  <w:sz w:val="22"/>
                </w:rPr>
              </m:ctrlPr>
            </m:fPr>
            <m:num>
              <m:sSub>
                <m:sSubPr>
                  <m:ctrlPr>
                    <w:rPr>
                      <w:rFonts w:ascii="Cambria Math" w:hAnsi="Cambria Math"/>
                      <w:i/>
                      <w:color w:val="auto"/>
                      <w:sz w:val="22"/>
                    </w:rPr>
                  </m:ctrlPr>
                </m:sSubPr>
                <m:e>
                  <m:r>
                    <m:rPr/>
                    <w:rPr>
                      <w:rFonts w:ascii="Cambria Math" w:hAnsi="Cambria Math"/>
                      <w:color w:val="auto"/>
                      <w:sz w:val="22"/>
                    </w:rPr>
                    <m:t>E</m:t>
                  </m:r>
                  <m:ctrlPr>
                    <w:rPr>
                      <w:rFonts w:ascii="Cambria Math" w:hAnsi="Cambria Math"/>
                      <w:i/>
                      <w:color w:val="auto"/>
                      <w:sz w:val="22"/>
                    </w:rPr>
                  </m:ctrlPr>
                </m:e>
                <m:sub>
                  <m:r>
                    <m:rPr/>
                    <w:rPr>
                      <w:rFonts w:ascii="Cambria Math" w:hAnsi="Cambria Math"/>
                      <w:color w:val="auto"/>
                      <w:sz w:val="22"/>
                    </w:rPr>
                    <m:t>ℎ</m:t>
                  </m:r>
                  <m:ctrlPr>
                    <w:rPr>
                      <w:rFonts w:ascii="Cambria Math" w:hAnsi="Cambria Math"/>
                      <w:i/>
                      <w:color w:val="auto"/>
                      <w:sz w:val="22"/>
                    </w:rPr>
                  </m:ctrlPr>
                </m:sub>
              </m:sSub>
              <m:r>
                <m:rPr/>
                <w:rPr>
                  <w:rFonts w:ascii="Cambria Math" w:hAnsi="Cambria Math"/>
                  <w:color w:val="auto"/>
                  <w:sz w:val="22"/>
                </w:rPr>
                <m:t>×</m:t>
              </m:r>
              <m:sSub>
                <m:sSubPr>
                  <m:ctrlPr>
                    <w:rPr>
                      <w:rFonts w:ascii="Cambria Math" w:hAnsi="Cambria Math"/>
                      <w:i/>
                      <w:color w:val="auto"/>
                      <w:sz w:val="22"/>
                    </w:rPr>
                  </m:ctrlPr>
                </m:sSubPr>
                <m:e>
                  <m:r>
                    <m:rPr/>
                    <w:rPr>
                      <w:rFonts w:hint="eastAsia" w:ascii="Cambria Math" w:hAnsi="Cambria Math"/>
                      <w:color w:val="auto"/>
                      <w:sz w:val="22"/>
                    </w:rPr>
                    <m:t>c</m:t>
                  </m:r>
                  <m:ctrlPr>
                    <w:rPr>
                      <w:rFonts w:ascii="Cambria Math" w:hAnsi="Cambria Math"/>
                      <w:i/>
                      <w:color w:val="auto"/>
                      <w:sz w:val="22"/>
                    </w:rPr>
                  </m:ctrlPr>
                </m:e>
                <m:sub>
                  <m:r>
                    <m:rPr/>
                    <w:rPr>
                      <w:rFonts w:ascii="Cambria Math" w:hAnsi="Cambria Math"/>
                      <w:color w:val="auto"/>
                      <w:sz w:val="22"/>
                    </w:rPr>
                    <m:t>i</m:t>
                  </m:r>
                  <m:ctrlPr>
                    <w:rPr>
                      <w:rFonts w:ascii="Cambria Math" w:hAnsi="Cambria Math"/>
                      <w:i/>
                      <w:color w:val="auto"/>
                      <w:sz w:val="22"/>
                    </w:rPr>
                  </m:ctrlPr>
                </m:sub>
              </m:sSub>
              <m:r>
                <m:rPr/>
                <w:rPr>
                  <w:rFonts w:ascii="Cambria Math" w:hAnsi="Cambria Math"/>
                  <w:color w:val="auto"/>
                  <w:sz w:val="22"/>
                </w:rPr>
                <m:t>+</m:t>
              </m:r>
              <m:sSub>
                <m:sSubPr>
                  <m:ctrlPr>
                    <w:rPr>
                      <w:rFonts w:ascii="Cambria Math" w:hAnsi="Cambria Math"/>
                      <w:i/>
                      <w:color w:val="auto"/>
                      <w:sz w:val="22"/>
                    </w:rPr>
                  </m:ctrlPr>
                </m:sSubPr>
                <m:e>
                  <m:r>
                    <m:rPr/>
                    <w:rPr>
                      <w:rFonts w:ascii="Cambria Math" w:hAnsi="Cambria Math"/>
                      <w:color w:val="auto"/>
                      <w:sz w:val="22"/>
                    </w:rPr>
                    <m:t>E</m:t>
                  </m:r>
                  <m:ctrlPr>
                    <w:rPr>
                      <w:rFonts w:ascii="Cambria Math" w:hAnsi="Cambria Math"/>
                      <w:i/>
                      <w:color w:val="auto"/>
                      <w:sz w:val="22"/>
                    </w:rPr>
                  </m:ctrlPr>
                </m:e>
                <m:sub>
                  <m:r>
                    <m:rPr/>
                    <w:rPr>
                      <w:rFonts w:ascii="Cambria Math" w:hAnsi="Cambria Math"/>
                      <w:color w:val="auto"/>
                      <w:sz w:val="22"/>
                    </w:rPr>
                    <m:t>c</m:t>
                  </m:r>
                  <m:ctrlPr>
                    <w:rPr>
                      <w:rFonts w:ascii="Cambria Math" w:hAnsi="Cambria Math"/>
                      <w:i/>
                      <w:color w:val="auto"/>
                      <w:sz w:val="22"/>
                    </w:rPr>
                  </m:ctrlPr>
                </m:sub>
              </m:sSub>
              <m:r>
                <m:rPr/>
                <w:rPr>
                  <w:rFonts w:ascii="Cambria Math" w:hAnsi="Cambria Math"/>
                  <w:color w:val="auto"/>
                  <w:sz w:val="22"/>
                </w:rPr>
                <m:t>×</m:t>
              </m:r>
              <m:sSub>
                <m:sSubPr>
                  <m:ctrlPr>
                    <w:rPr>
                      <w:rFonts w:ascii="Cambria Math" w:hAnsi="Cambria Math"/>
                      <w:i/>
                      <w:color w:val="auto"/>
                      <w:sz w:val="22"/>
                    </w:rPr>
                  </m:ctrlPr>
                </m:sSubPr>
                <m:e>
                  <m:r>
                    <m:rPr/>
                    <w:rPr>
                      <w:rFonts w:hint="eastAsia" w:ascii="Cambria Math" w:hAnsi="Cambria Math"/>
                      <w:color w:val="auto"/>
                      <w:sz w:val="22"/>
                    </w:rPr>
                    <m:t>c</m:t>
                  </m:r>
                  <m:ctrlPr>
                    <w:rPr>
                      <w:rFonts w:ascii="Cambria Math" w:hAnsi="Cambria Math"/>
                      <w:i/>
                      <w:color w:val="auto"/>
                      <w:sz w:val="22"/>
                    </w:rPr>
                  </m:ctrlPr>
                </m:e>
                <m:sub>
                  <m:r>
                    <m:rPr/>
                    <w:rPr>
                      <w:rFonts w:ascii="Cambria Math" w:hAnsi="Cambria Math"/>
                      <w:color w:val="auto"/>
                      <w:sz w:val="22"/>
                    </w:rPr>
                    <m:t>i</m:t>
                  </m:r>
                  <m:ctrlPr>
                    <w:rPr>
                      <w:rFonts w:ascii="Cambria Math" w:hAnsi="Cambria Math"/>
                      <w:i/>
                      <w:color w:val="auto"/>
                      <w:sz w:val="22"/>
                    </w:rPr>
                  </m:ctrlPr>
                </m:sub>
              </m:sSub>
              <m:r>
                <m:rPr/>
                <w:rPr>
                  <w:rFonts w:ascii="Cambria Math" w:hAnsi="Cambria Math"/>
                  <w:color w:val="auto"/>
                  <w:sz w:val="22"/>
                </w:rPr>
                <m:t>+</m:t>
              </m:r>
              <m:sSub>
                <m:sSubPr>
                  <m:ctrlPr>
                    <w:rPr>
                      <w:rFonts w:ascii="Cambria Math" w:hAnsi="Cambria Math"/>
                      <w:i/>
                      <w:color w:val="auto"/>
                      <w:sz w:val="22"/>
                    </w:rPr>
                  </m:ctrlPr>
                </m:sSubPr>
                <m:e>
                  <m:r>
                    <m:rPr/>
                    <w:rPr>
                      <w:rFonts w:ascii="Cambria Math" w:hAnsi="Cambria Math"/>
                      <w:color w:val="auto"/>
                      <w:sz w:val="22"/>
                    </w:rPr>
                    <m:t>E</m:t>
                  </m:r>
                  <m:ctrlPr>
                    <w:rPr>
                      <w:rFonts w:ascii="Cambria Math" w:hAnsi="Cambria Math"/>
                      <w:i/>
                      <w:color w:val="auto"/>
                      <w:sz w:val="22"/>
                    </w:rPr>
                  </m:ctrlPr>
                </m:e>
                <m:sub>
                  <m:r>
                    <m:rPr/>
                    <w:rPr>
                      <w:rFonts w:ascii="Cambria Math" w:hAnsi="Cambria Math"/>
                      <w:color w:val="auto"/>
                      <w:sz w:val="22"/>
                    </w:rPr>
                    <m:t>l</m:t>
                  </m:r>
                  <m:ctrlPr>
                    <w:rPr>
                      <w:rFonts w:ascii="Cambria Math" w:hAnsi="Cambria Math"/>
                      <w:i/>
                      <w:color w:val="auto"/>
                      <w:sz w:val="22"/>
                    </w:rPr>
                  </m:ctrlPr>
                </m:sub>
              </m:sSub>
              <m:r>
                <m:rPr/>
                <w:rPr>
                  <w:rFonts w:ascii="Cambria Math" w:hAnsi="Cambria Math"/>
                  <w:color w:val="auto"/>
                  <w:sz w:val="22"/>
                </w:rPr>
                <m:t>×</m:t>
              </m:r>
              <m:sSub>
                <m:sSubPr>
                  <m:ctrlPr>
                    <w:rPr>
                      <w:rFonts w:ascii="Cambria Math" w:hAnsi="Cambria Math"/>
                      <w:i/>
                      <w:color w:val="auto"/>
                      <w:sz w:val="22"/>
                    </w:rPr>
                  </m:ctrlPr>
                </m:sSubPr>
                <m:e>
                  <m:r>
                    <m:rPr/>
                    <w:rPr>
                      <w:rFonts w:hint="eastAsia" w:ascii="Cambria Math" w:hAnsi="Cambria Math"/>
                      <w:color w:val="auto"/>
                      <w:sz w:val="22"/>
                    </w:rPr>
                    <m:t>c</m:t>
                  </m:r>
                  <m:ctrlPr>
                    <w:rPr>
                      <w:rFonts w:ascii="Cambria Math" w:hAnsi="Cambria Math"/>
                      <w:i/>
                      <w:color w:val="auto"/>
                      <w:sz w:val="22"/>
                    </w:rPr>
                  </m:ctrlPr>
                </m:e>
                <m:sub>
                  <m:r>
                    <m:rPr/>
                    <w:rPr>
                      <w:rFonts w:ascii="Cambria Math" w:hAnsi="Cambria Math"/>
                      <w:color w:val="auto"/>
                      <w:sz w:val="22"/>
                    </w:rPr>
                    <m:t>i</m:t>
                  </m:r>
                  <m:ctrlPr>
                    <w:rPr>
                      <w:rFonts w:ascii="Cambria Math" w:hAnsi="Cambria Math"/>
                      <w:i/>
                      <w:color w:val="auto"/>
                      <w:sz w:val="22"/>
                    </w:rPr>
                  </m:ctrlPr>
                </m:sub>
              </m:sSub>
              <m:r>
                <m:rPr/>
                <w:rPr>
                  <w:rFonts w:ascii="Cambria Math" w:hAnsi="Cambria Math"/>
                  <w:color w:val="auto"/>
                  <w:sz w:val="22"/>
                </w:rPr>
                <m:t>+</m:t>
              </m:r>
              <m:sSub>
                <m:sSubPr>
                  <m:ctrlPr>
                    <w:rPr>
                      <w:rFonts w:ascii="Cambria Math" w:hAnsi="Cambria Math"/>
                      <w:i/>
                      <w:color w:val="auto"/>
                      <w:sz w:val="22"/>
                    </w:rPr>
                  </m:ctrlPr>
                </m:sSubPr>
                <m:e>
                  <m:r>
                    <m:rPr/>
                    <w:rPr>
                      <w:rFonts w:ascii="Cambria Math" w:hAnsi="Cambria Math"/>
                      <w:color w:val="auto"/>
                      <w:sz w:val="22"/>
                    </w:rPr>
                    <m:t>E</m:t>
                  </m:r>
                  <m:ctrlPr>
                    <w:rPr>
                      <w:rFonts w:ascii="Cambria Math" w:hAnsi="Cambria Math"/>
                      <w:i/>
                      <w:color w:val="auto"/>
                      <w:sz w:val="22"/>
                    </w:rPr>
                  </m:ctrlPr>
                </m:e>
                <m:sub>
                  <m:r>
                    <m:rPr/>
                    <w:rPr>
                      <w:rFonts w:ascii="Cambria Math" w:hAnsi="Cambria Math"/>
                      <w:color w:val="auto"/>
                      <w:sz w:val="22"/>
                    </w:rPr>
                    <m:t>w</m:t>
                  </m:r>
                  <m:ctrlPr>
                    <w:rPr>
                      <w:rFonts w:ascii="Cambria Math" w:hAnsi="Cambria Math"/>
                      <w:i/>
                      <w:color w:val="auto"/>
                      <w:sz w:val="22"/>
                    </w:rPr>
                  </m:ctrlPr>
                </m:sub>
              </m:sSub>
              <m:r>
                <m:rPr/>
                <w:rPr>
                  <w:rFonts w:ascii="Cambria Math" w:hAnsi="Cambria Math"/>
                  <w:color w:val="auto"/>
                  <w:sz w:val="22"/>
                </w:rPr>
                <m:t>×</m:t>
              </m:r>
              <m:sSub>
                <m:sSubPr>
                  <m:ctrlPr>
                    <w:rPr>
                      <w:rFonts w:ascii="Cambria Math" w:hAnsi="Cambria Math"/>
                      <w:i/>
                      <w:color w:val="auto"/>
                      <w:sz w:val="22"/>
                    </w:rPr>
                  </m:ctrlPr>
                </m:sSubPr>
                <m:e>
                  <m:r>
                    <m:rPr/>
                    <w:rPr>
                      <w:rFonts w:hint="eastAsia" w:ascii="Cambria Math" w:hAnsi="Cambria Math"/>
                      <w:color w:val="auto"/>
                      <w:sz w:val="22"/>
                    </w:rPr>
                    <m:t>c</m:t>
                  </m:r>
                  <m:ctrlPr>
                    <w:rPr>
                      <w:rFonts w:ascii="Cambria Math" w:hAnsi="Cambria Math"/>
                      <w:i/>
                      <w:color w:val="auto"/>
                      <w:sz w:val="22"/>
                    </w:rPr>
                  </m:ctrlPr>
                </m:e>
                <m:sub>
                  <m:r>
                    <m:rPr/>
                    <w:rPr>
                      <w:rFonts w:ascii="Cambria Math" w:hAnsi="Cambria Math"/>
                      <w:color w:val="auto"/>
                      <w:sz w:val="22"/>
                    </w:rPr>
                    <m:t>i</m:t>
                  </m:r>
                  <m:ctrlPr>
                    <w:rPr>
                      <w:rFonts w:ascii="Cambria Math" w:hAnsi="Cambria Math"/>
                      <w:i/>
                      <w:color w:val="auto"/>
                      <w:sz w:val="22"/>
                    </w:rPr>
                  </m:ctrlPr>
                </m:sub>
              </m:sSub>
              <m:r>
                <m:rPr/>
                <w:rPr>
                  <w:rFonts w:ascii="Cambria Math" w:hAnsi="Cambria Math"/>
                  <w:color w:val="auto"/>
                  <w:sz w:val="22"/>
                </w:rPr>
                <m:t>+</m:t>
              </m:r>
              <m:sSub>
                <m:sSubPr>
                  <m:ctrlPr>
                    <w:rPr>
                      <w:rFonts w:ascii="Cambria Math" w:hAnsi="Cambria Math"/>
                      <w:i/>
                      <w:color w:val="auto"/>
                      <w:sz w:val="22"/>
                    </w:rPr>
                  </m:ctrlPr>
                </m:sSubPr>
                <m:e>
                  <m:r>
                    <m:rPr/>
                    <w:rPr>
                      <w:rFonts w:ascii="Cambria Math" w:hAnsi="Cambria Math"/>
                      <w:color w:val="auto"/>
                      <w:sz w:val="22"/>
                    </w:rPr>
                    <m:t>E</m:t>
                  </m:r>
                  <m:ctrlPr>
                    <w:rPr>
                      <w:rFonts w:ascii="Cambria Math" w:hAnsi="Cambria Math"/>
                      <w:i/>
                      <w:color w:val="auto"/>
                      <w:sz w:val="22"/>
                    </w:rPr>
                  </m:ctrlPr>
                </m:e>
                <m:sub>
                  <m:r>
                    <m:rPr/>
                    <w:rPr>
                      <w:rFonts w:ascii="Cambria Math" w:hAnsi="Cambria Math"/>
                      <w:color w:val="auto"/>
                      <w:sz w:val="22"/>
                    </w:rPr>
                    <m:t>e</m:t>
                  </m:r>
                  <m:ctrlPr>
                    <w:rPr>
                      <w:rFonts w:ascii="Cambria Math" w:hAnsi="Cambria Math"/>
                      <w:i/>
                      <w:color w:val="auto"/>
                      <w:sz w:val="22"/>
                    </w:rPr>
                  </m:ctrlPr>
                </m:sub>
              </m:sSub>
              <m:r>
                <m:rPr/>
                <w:rPr>
                  <w:rFonts w:ascii="Cambria Math" w:hAnsi="Cambria Math"/>
                  <w:color w:val="auto"/>
                  <w:sz w:val="22"/>
                </w:rPr>
                <m:t>×</m:t>
              </m:r>
              <m:sSub>
                <m:sSubPr>
                  <m:ctrlPr>
                    <w:rPr>
                      <w:rFonts w:ascii="Cambria Math" w:hAnsi="Cambria Math"/>
                      <w:i/>
                      <w:color w:val="auto"/>
                      <w:sz w:val="22"/>
                    </w:rPr>
                  </m:ctrlPr>
                </m:sSubPr>
                <m:e>
                  <m:r>
                    <m:rPr/>
                    <w:rPr>
                      <w:rFonts w:hint="eastAsia" w:ascii="Cambria Math" w:hAnsi="Cambria Math"/>
                      <w:color w:val="auto"/>
                      <w:sz w:val="22"/>
                    </w:rPr>
                    <m:t>c</m:t>
                  </m:r>
                  <m:ctrlPr>
                    <w:rPr>
                      <w:rFonts w:ascii="Cambria Math" w:hAnsi="Cambria Math"/>
                      <w:i/>
                      <w:color w:val="auto"/>
                      <w:sz w:val="22"/>
                    </w:rPr>
                  </m:ctrlPr>
                </m:e>
                <m:sub>
                  <m:r>
                    <m:rPr/>
                    <w:rPr>
                      <w:rFonts w:ascii="Cambria Math" w:hAnsi="Cambria Math"/>
                      <w:color w:val="auto"/>
                      <w:sz w:val="22"/>
                    </w:rPr>
                    <m:t>i</m:t>
                  </m:r>
                  <m:ctrlPr>
                    <w:rPr>
                      <w:rFonts w:ascii="Cambria Math" w:hAnsi="Cambria Math"/>
                      <w:i/>
                      <w:color w:val="auto"/>
                      <w:sz w:val="22"/>
                    </w:rPr>
                  </m:ctrlPr>
                </m:sub>
              </m:sSub>
              <m:r>
                <m:rPr/>
                <w:rPr>
                  <w:rFonts w:ascii="Cambria Math" w:hAnsi="Cambria Math"/>
                  <w:color w:val="auto"/>
                  <w:sz w:val="22"/>
                </w:rPr>
                <m:t>+</m:t>
              </m:r>
              <m:sSub>
                <m:sSubPr>
                  <m:ctrlPr>
                    <w:rPr>
                      <w:rFonts w:ascii="Cambria Math" w:hAnsi="Cambria Math"/>
                      <w:i/>
                      <w:color w:val="auto"/>
                      <w:sz w:val="22"/>
                    </w:rPr>
                  </m:ctrlPr>
                </m:sSubPr>
                <m:e>
                  <m:r>
                    <m:rPr/>
                    <w:rPr>
                      <w:rFonts w:ascii="Cambria Math" w:hAnsi="Cambria Math"/>
                      <w:color w:val="auto"/>
                      <w:sz w:val="22"/>
                    </w:rPr>
                    <m:t>E</m:t>
                  </m:r>
                  <m:ctrlPr>
                    <w:rPr>
                      <w:rFonts w:ascii="Cambria Math" w:hAnsi="Cambria Math"/>
                      <w:i/>
                      <w:color w:val="auto"/>
                      <w:sz w:val="22"/>
                    </w:rPr>
                  </m:ctrlPr>
                </m:e>
                <m:sub>
                  <m:r>
                    <m:rPr/>
                    <w:rPr>
                      <w:rFonts w:hint="eastAsia" w:ascii="Cambria Math" w:hAnsi="Cambria Math"/>
                      <w:color w:val="auto"/>
                      <w:sz w:val="22"/>
                    </w:rPr>
                    <m:t>p</m:t>
                  </m:r>
                  <m:ctrlPr>
                    <w:rPr>
                      <w:rFonts w:ascii="Cambria Math" w:hAnsi="Cambria Math"/>
                      <w:i/>
                      <w:color w:val="auto"/>
                      <w:sz w:val="22"/>
                    </w:rPr>
                  </m:ctrlPr>
                </m:sub>
              </m:sSub>
              <m:r>
                <m:rPr/>
                <w:rPr>
                  <w:rFonts w:ascii="Cambria Math" w:hAnsi="Cambria Math"/>
                  <w:color w:val="auto"/>
                  <w:sz w:val="22"/>
                </w:rPr>
                <m:t>×</m:t>
              </m:r>
              <m:sSub>
                <m:sSubPr>
                  <m:ctrlPr>
                    <w:rPr>
                      <w:rFonts w:ascii="Cambria Math" w:hAnsi="Cambria Math"/>
                      <w:i/>
                      <w:color w:val="auto"/>
                      <w:sz w:val="22"/>
                    </w:rPr>
                  </m:ctrlPr>
                </m:sSubPr>
                <m:e>
                  <m:r>
                    <m:rPr/>
                    <w:rPr>
                      <w:rFonts w:hint="eastAsia" w:ascii="Cambria Math" w:hAnsi="Cambria Math"/>
                      <w:color w:val="auto"/>
                      <w:sz w:val="22"/>
                    </w:rPr>
                    <m:t>c</m:t>
                  </m:r>
                  <m:ctrlPr>
                    <w:rPr>
                      <w:rFonts w:ascii="Cambria Math" w:hAnsi="Cambria Math"/>
                      <w:i/>
                      <w:color w:val="auto"/>
                      <w:sz w:val="22"/>
                    </w:rPr>
                  </m:ctrlPr>
                </m:e>
                <m:sub>
                  <m:r>
                    <m:rPr/>
                    <w:rPr>
                      <w:rFonts w:ascii="Cambria Math" w:hAnsi="Cambria Math"/>
                      <w:color w:val="auto"/>
                      <w:sz w:val="22"/>
                    </w:rPr>
                    <m:t>i</m:t>
                  </m:r>
                  <m:ctrlPr>
                    <w:rPr>
                      <w:rFonts w:ascii="Cambria Math" w:hAnsi="Cambria Math"/>
                      <w:i/>
                      <w:color w:val="auto"/>
                      <w:sz w:val="22"/>
                    </w:rPr>
                  </m:ctrlPr>
                </m:sub>
              </m:sSub>
              <m:r>
                <m:rPr/>
                <w:rPr>
                  <w:rFonts w:ascii="Cambria Math" w:hAnsi="Cambria Math"/>
                  <w:color w:val="auto"/>
                  <w:sz w:val="22"/>
                </w:rPr>
                <m:t>+</m:t>
              </m:r>
              <m:sSub>
                <m:sSubPr>
                  <m:ctrlPr>
                    <w:rPr>
                      <w:rFonts w:ascii="Cambria Math" w:hAnsi="Cambria Math"/>
                      <w:i/>
                      <w:color w:val="auto"/>
                      <w:sz w:val="22"/>
                    </w:rPr>
                  </m:ctrlPr>
                </m:sSubPr>
                <m:e>
                  <m:r>
                    <m:rPr/>
                    <w:rPr>
                      <w:rFonts w:ascii="Cambria Math" w:hAnsi="Cambria Math"/>
                      <w:color w:val="auto"/>
                      <w:sz w:val="22"/>
                    </w:rPr>
                    <m:t>E</m:t>
                  </m:r>
                  <m:ctrlPr>
                    <w:rPr>
                      <w:rFonts w:ascii="Cambria Math" w:hAnsi="Cambria Math"/>
                      <w:i/>
                      <w:color w:val="auto"/>
                      <w:sz w:val="22"/>
                    </w:rPr>
                  </m:ctrlPr>
                </m:e>
                <m:sub>
                  <m:r>
                    <m:rPr/>
                    <w:rPr>
                      <w:rFonts w:hint="eastAsia" w:ascii="Cambria Math" w:hAnsi="Cambria Math"/>
                      <w:color w:val="auto"/>
                      <w:sz w:val="22"/>
                    </w:rPr>
                    <m:t>f</m:t>
                  </m:r>
                  <m:ctrlPr>
                    <w:rPr>
                      <w:rFonts w:ascii="Cambria Math" w:hAnsi="Cambria Math"/>
                      <w:i/>
                      <w:color w:val="auto"/>
                      <w:sz w:val="22"/>
                    </w:rPr>
                  </m:ctrlPr>
                </m:sub>
              </m:sSub>
              <m:r>
                <m:rPr/>
                <w:rPr>
                  <w:rFonts w:ascii="Cambria Math" w:hAnsi="Cambria Math"/>
                  <w:color w:val="auto"/>
                  <w:sz w:val="22"/>
                </w:rPr>
                <m:t>×</m:t>
              </m:r>
              <m:sSub>
                <m:sSubPr>
                  <m:ctrlPr>
                    <w:rPr>
                      <w:rFonts w:ascii="Cambria Math" w:hAnsi="Cambria Math"/>
                      <w:i/>
                      <w:color w:val="auto"/>
                      <w:sz w:val="22"/>
                    </w:rPr>
                  </m:ctrlPr>
                </m:sSubPr>
                <m:e>
                  <m:r>
                    <m:rPr/>
                    <w:rPr>
                      <w:rFonts w:hint="eastAsia" w:ascii="Cambria Math" w:hAnsi="Cambria Math"/>
                      <w:color w:val="auto"/>
                      <w:sz w:val="22"/>
                    </w:rPr>
                    <m:t>c</m:t>
                  </m:r>
                  <m:ctrlPr>
                    <w:rPr>
                      <w:rFonts w:ascii="Cambria Math" w:hAnsi="Cambria Math"/>
                      <w:i/>
                      <w:color w:val="auto"/>
                      <w:sz w:val="22"/>
                    </w:rPr>
                  </m:ctrlPr>
                </m:e>
                <m:sub>
                  <m:r>
                    <m:rPr/>
                    <w:rPr>
                      <w:rFonts w:ascii="Cambria Math" w:hAnsi="Cambria Math"/>
                      <w:color w:val="auto"/>
                      <w:sz w:val="22"/>
                    </w:rPr>
                    <m:t>i</m:t>
                  </m:r>
                  <m:ctrlPr>
                    <w:rPr>
                      <w:rFonts w:ascii="Cambria Math" w:hAnsi="Cambria Math"/>
                      <w:i/>
                      <w:color w:val="auto"/>
                      <w:sz w:val="22"/>
                    </w:rPr>
                  </m:ctrlPr>
                </m:sub>
              </m:sSub>
              <m:r>
                <m:rPr/>
                <w:rPr>
                  <w:rFonts w:hint="eastAsia" w:ascii="微软雅黑" w:hAnsi="微软雅黑" w:eastAsia="微软雅黑" w:cs="微软雅黑"/>
                  <w:color w:val="auto"/>
                  <w:sz w:val="22"/>
                </w:rPr>
                <m:t>−</m:t>
              </m:r>
              <m:sSub>
                <m:sSubPr>
                  <m:ctrlPr>
                    <w:rPr>
                      <w:rFonts w:ascii="Cambria Math" w:hAnsi="Cambria Math"/>
                      <w:i/>
                      <w:color w:val="auto"/>
                      <w:sz w:val="22"/>
                    </w:rPr>
                  </m:ctrlPr>
                </m:sSubPr>
                <m:e>
                  <m:r>
                    <m:rPr/>
                    <w:rPr>
                      <w:rFonts w:ascii="Cambria Math" w:hAnsi="Cambria Math"/>
                      <w:color w:val="auto"/>
                      <w:sz w:val="22"/>
                    </w:rPr>
                    <m:t>E</m:t>
                  </m:r>
                  <m:ctrlPr>
                    <w:rPr>
                      <w:rFonts w:ascii="Cambria Math" w:hAnsi="Cambria Math"/>
                      <w:i/>
                      <w:color w:val="auto"/>
                      <w:sz w:val="22"/>
                    </w:rPr>
                  </m:ctrlPr>
                </m:e>
                <m:sub>
                  <m:r>
                    <m:rPr/>
                    <w:rPr>
                      <w:rFonts w:hint="eastAsia" w:ascii="Cambria Math" w:hAnsi="Cambria Math"/>
                      <w:color w:val="auto"/>
                      <w:sz w:val="22"/>
                    </w:rPr>
                    <m:t>r</m:t>
                  </m:r>
                  <m:ctrlPr>
                    <w:rPr>
                      <w:rFonts w:ascii="Cambria Math" w:hAnsi="Cambria Math"/>
                      <w:i/>
                      <w:color w:val="auto"/>
                      <w:sz w:val="22"/>
                    </w:rPr>
                  </m:ctrlPr>
                </m:sub>
              </m:sSub>
              <m:r>
                <m:rPr/>
                <w:rPr>
                  <w:rFonts w:ascii="Cambria Math" w:hAnsi="Cambria Math"/>
                  <w:color w:val="auto"/>
                  <w:sz w:val="22"/>
                </w:rPr>
                <m:t>×</m:t>
              </m:r>
              <m:sSub>
                <m:sSubPr>
                  <m:ctrlPr>
                    <w:rPr>
                      <w:rFonts w:ascii="Cambria Math" w:hAnsi="Cambria Math"/>
                      <w:i/>
                      <w:color w:val="auto"/>
                      <w:sz w:val="22"/>
                    </w:rPr>
                  </m:ctrlPr>
                </m:sSubPr>
                <m:e>
                  <m:r>
                    <m:rPr/>
                    <w:rPr>
                      <w:rFonts w:hint="eastAsia" w:ascii="Cambria Math" w:hAnsi="Cambria Math"/>
                      <w:color w:val="auto"/>
                      <w:sz w:val="22"/>
                    </w:rPr>
                    <m:t>c</m:t>
                  </m:r>
                  <m:ctrlPr>
                    <w:rPr>
                      <w:rFonts w:ascii="Cambria Math" w:hAnsi="Cambria Math"/>
                      <w:i/>
                      <w:color w:val="auto"/>
                      <w:sz w:val="22"/>
                    </w:rPr>
                  </m:ctrlPr>
                </m:e>
                <m:sub>
                  <m:r>
                    <m:rPr/>
                    <w:rPr>
                      <w:rFonts w:ascii="Cambria Math" w:hAnsi="Cambria Math"/>
                      <w:color w:val="auto"/>
                      <w:sz w:val="22"/>
                    </w:rPr>
                    <m:t>i</m:t>
                  </m:r>
                  <m:ctrlPr>
                    <w:rPr>
                      <w:rFonts w:ascii="Cambria Math" w:hAnsi="Cambria Math"/>
                      <w:i/>
                      <w:color w:val="auto"/>
                      <w:sz w:val="22"/>
                    </w:rPr>
                  </m:ctrlPr>
                </m:sub>
              </m:sSub>
              <m:ctrlPr>
                <w:rPr>
                  <w:rFonts w:ascii="Cambria Math" w:hAnsi="Cambria Math"/>
                  <w:i/>
                  <w:color w:val="auto"/>
                  <w:sz w:val="22"/>
                </w:rPr>
              </m:ctrlPr>
            </m:num>
            <m:den>
              <m:r>
                <m:rPr/>
                <w:rPr>
                  <w:rFonts w:ascii="Cambria Math" w:hAnsi="Cambria Math"/>
                  <w:color w:val="auto"/>
                  <w:sz w:val="22"/>
                </w:rPr>
                <m:t>A</m:t>
              </m:r>
              <m:ctrlPr>
                <w:rPr>
                  <w:rFonts w:ascii="Cambria Math" w:hAnsi="Cambria Math"/>
                  <w:i/>
                  <w:color w:val="auto"/>
                  <w:sz w:val="22"/>
                </w:rPr>
              </m:ctrlPr>
            </m:den>
          </m:f>
        </m:oMath>
      </m:oMathPara>
    </w:p>
    <w:p>
      <w:pPr>
        <w:spacing w:line="312" w:lineRule="auto"/>
        <w:ind w:firstLine="480" w:firstLineChars="200"/>
        <w:jc w:val="right"/>
        <w:rPr>
          <w:color w:val="auto"/>
          <w:sz w:val="24"/>
          <w:szCs w:val="24"/>
        </w:rPr>
      </w:pPr>
      <w:r>
        <w:rPr>
          <w:color w:val="auto"/>
          <w:sz w:val="24"/>
          <w:szCs w:val="24"/>
        </w:rPr>
        <w:t xml:space="preserve">   </w:t>
      </w:r>
      <w:r>
        <w:rPr>
          <w:color w:val="auto"/>
        </w:rPr>
        <w:t>（A.0.</w:t>
      </w:r>
      <w:r>
        <w:rPr>
          <w:rFonts w:hint="eastAsia"/>
          <w:color w:val="auto"/>
        </w:rPr>
        <w:t>4</w:t>
      </w:r>
      <w:r>
        <w:rPr>
          <w:color w:val="auto"/>
        </w:rPr>
        <w:t>）</w:t>
      </w:r>
    </w:p>
    <w:p>
      <w:pPr>
        <w:spacing w:line="276" w:lineRule="auto"/>
        <w:ind w:firstLine="480" w:firstLineChars="200"/>
        <w:rPr>
          <w:color w:val="auto"/>
          <w:sz w:val="24"/>
        </w:rPr>
      </w:pPr>
      <w:r>
        <w:rPr>
          <w:color w:val="auto"/>
          <w:sz w:val="24"/>
        </w:rPr>
        <w:t>式中</w:t>
      </w:r>
      <w:r>
        <w:rPr>
          <w:rFonts w:hint="eastAsia"/>
          <w:color w:val="auto"/>
          <w:sz w:val="24"/>
        </w:rPr>
        <w:t>：</w:t>
      </w:r>
      <m:oMath>
        <m:sSub>
          <m:sSubPr>
            <m:ctrlPr>
              <w:rPr>
                <w:rFonts w:ascii="Cambria Math" w:hAnsi="Cambria Math"/>
                <w:color w:val="auto"/>
                <w:sz w:val="24"/>
              </w:rPr>
            </m:ctrlPr>
          </m:sSubPr>
          <m:e>
            <m:r>
              <m:rPr>
                <m:sty m:val="p"/>
              </m:rPr>
              <w:rPr>
                <w:rFonts w:hint="eastAsia" w:ascii="Cambria Math" w:hAnsi="Cambria Math"/>
                <w:color w:val="auto"/>
                <w:sz w:val="24"/>
              </w:rPr>
              <m:t>C</m:t>
            </m:r>
            <m:ctrlPr>
              <w:rPr>
                <w:rFonts w:ascii="Cambria Math" w:hAnsi="Cambria Math"/>
                <w:color w:val="auto"/>
                <w:sz w:val="24"/>
              </w:rPr>
            </m:ctrlPr>
          </m:e>
          <m:sub>
            <m:ctrlPr>
              <w:rPr>
                <w:rFonts w:ascii="Cambria Math" w:hAnsi="Cambria Math"/>
                <w:color w:val="auto"/>
                <w:sz w:val="24"/>
              </w:rPr>
            </m:ctrlPr>
          </m:sub>
        </m:sSub>
      </m:oMath>
      <w:r>
        <w:rPr>
          <w:color w:val="auto"/>
          <w:sz w:val="24"/>
        </w:rPr>
        <w:t>——建筑</w:t>
      </w:r>
      <w:r>
        <w:rPr>
          <w:rFonts w:hint="eastAsia"/>
          <w:color w:val="auto"/>
          <w:sz w:val="24"/>
        </w:rPr>
        <w:t>碳排放强度</w:t>
      </w:r>
      <w:r>
        <w:rPr>
          <w:color w:val="auto"/>
          <w:sz w:val="24"/>
        </w:rPr>
        <w:t>，k</w:t>
      </w:r>
      <w:r>
        <w:rPr>
          <w:rFonts w:hint="eastAsia"/>
          <w:color w:val="auto"/>
          <w:sz w:val="24"/>
        </w:rPr>
        <w:t>gCO2</w:t>
      </w:r>
      <w:r>
        <w:rPr>
          <w:color w:val="auto"/>
          <w:sz w:val="24"/>
        </w:rPr>
        <w:t>/（m</w:t>
      </w:r>
      <w:r>
        <w:rPr>
          <w:color w:val="auto"/>
          <w:sz w:val="24"/>
          <w:vertAlign w:val="superscript"/>
        </w:rPr>
        <w:t>2</w:t>
      </w:r>
      <w:r>
        <w:rPr>
          <w:color w:val="auto"/>
          <w:sz w:val="24"/>
        </w:rPr>
        <w:t>·a）；</w:t>
      </w:r>
    </w:p>
    <w:p>
      <w:pPr>
        <w:spacing w:line="276" w:lineRule="auto"/>
        <w:ind w:firstLine="897" w:firstLineChars="374"/>
        <w:rPr>
          <w:color w:val="auto"/>
          <w:sz w:val="24"/>
        </w:rPr>
      </w:pPr>
      <m:oMath>
        <m:sSub>
          <m:sSubPr>
            <m:ctrlPr>
              <w:rPr>
                <w:rFonts w:ascii="Cambria Math" w:hAnsi="Cambria Math"/>
                <w:i/>
                <w:color w:val="auto"/>
                <w:sz w:val="24"/>
              </w:rPr>
            </m:ctrlPr>
          </m:sSubPr>
          <m:e>
            <m:r>
              <m:rPr/>
              <w:rPr>
                <w:rFonts w:ascii="Cambria Math" w:hAnsi="Cambria Math"/>
                <w:color w:val="auto"/>
                <w:sz w:val="24"/>
              </w:rPr>
              <m:t>E</m:t>
            </m:r>
            <m:ctrlPr>
              <w:rPr>
                <w:rFonts w:ascii="Cambria Math" w:hAnsi="Cambria Math"/>
                <w:i/>
                <w:color w:val="auto"/>
                <w:sz w:val="24"/>
              </w:rPr>
            </m:ctrlPr>
          </m:e>
          <m:sub>
            <m:r>
              <m:rPr/>
              <w:rPr>
                <w:rFonts w:ascii="Cambria Math" w:hAnsi="Cambria Math"/>
                <w:color w:val="auto"/>
                <w:sz w:val="24"/>
              </w:rPr>
              <m:t>ℎ</m:t>
            </m:r>
            <m:ctrlPr>
              <w:rPr>
                <w:rFonts w:ascii="Cambria Math" w:hAnsi="Cambria Math"/>
                <w:i/>
                <w:color w:val="auto"/>
                <w:sz w:val="24"/>
              </w:rPr>
            </m:ctrlPr>
          </m:sub>
        </m:sSub>
      </m:oMath>
      <w:r>
        <w:rPr>
          <w:color w:val="auto"/>
          <w:sz w:val="24"/>
        </w:rPr>
        <w:t>——年供暖系统能源消耗，kWh；</w:t>
      </w:r>
    </w:p>
    <w:p>
      <w:pPr>
        <w:spacing w:line="276" w:lineRule="auto"/>
        <w:ind w:firstLine="1154" w:firstLineChars="481"/>
        <w:rPr>
          <w:color w:val="auto"/>
          <w:sz w:val="24"/>
        </w:rPr>
      </w:pPr>
      <m:oMath>
        <m:sSub>
          <m:sSubPr>
            <m:ctrlPr>
              <w:rPr>
                <w:rFonts w:ascii="Cambria Math" w:hAnsi="Cambria Math"/>
                <w:i/>
                <w:color w:val="auto"/>
                <w:sz w:val="24"/>
              </w:rPr>
            </m:ctrlPr>
          </m:sSubPr>
          <m:e>
            <m:r>
              <m:rPr/>
              <w:rPr>
                <w:rFonts w:ascii="Cambria Math" w:hAnsi="Cambria Math"/>
                <w:color w:val="auto"/>
                <w:sz w:val="24"/>
              </w:rPr>
              <m:t>E</m:t>
            </m:r>
            <m:ctrlPr>
              <w:rPr>
                <w:rFonts w:ascii="Cambria Math" w:hAnsi="Cambria Math"/>
                <w:i/>
                <w:color w:val="auto"/>
                <w:sz w:val="24"/>
              </w:rPr>
            </m:ctrlPr>
          </m:e>
          <m:sub>
            <m:r>
              <m:rPr/>
              <w:rPr>
                <w:rFonts w:ascii="Cambria Math" w:hAnsi="Cambria Math"/>
                <w:color w:val="auto"/>
                <w:sz w:val="24"/>
              </w:rPr>
              <m:t>c</m:t>
            </m:r>
            <m:ctrlPr>
              <w:rPr>
                <w:rFonts w:ascii="Cambria Math" w:hAnsi="Cambria Math"/>
                <w:i/>
                <w:color w:val="auto"/>
                <w:sz w:val="24"/>
              </w:rPr>
            </m:ctrlPr>
          </m:sub>
        </m:sSub>
      </m:oMath>
      <w:r>
        <w:rPr>
          <w:color w:val="auto"/>
          <w:sz w:val="24"/>
        </w:rPr>
        <w:t>——年供冷系统能源消耗，kWh；</w:t>
      </w:r>
    </w:p>
    <w:p>
      <w:pPr>
        <w:spacing w:line="276" w:lineRule="auto"/>
        <w:ind w:firstLine="1154" w:firstLineChars="481"/>
        <w:rPr>
          <w:color w:val="auto"/>
          <w:sz w:val="24"/>
        </w:rPr>
      </w:pPr>
      <m:oMath>
        <m:sSub>
          <m:sSubPr>
            <m:ctrlPr>
              <w:rPr>
                <w:rFonts w:ascii="Cambria Math" w:hAnsi="Cambria Math"/>
                <w:i/>
                <w:color w:val="auto"/>
                <w:sz w:val="24"/>
              </w:rPr>
            </m:ctrlPr>
          </m:sSubPr>
          <m:e>
            <m:r>
              <m:rPr/>
              <w:rPr>
                <w:rFonts w:ascii="Cambria Math" w:hAnsi="Cambria Math"/>
                <w:color w:val="auto"/>
                <w:sz w:val="24"/>
              </w:rPr>
              <m:t>E</m:t>
            </m:r>
            <m:ctrlPr>
              <w:rPr>
                <w:rFonts w:ascii="Cambria Math" w:hAnsi="Cambria Math"/>
                <w:i/>
                <w:color w:val="auto"/>
                <w:sz w:val="24"/>
              </w:rPr>
            </m:ctrlPr>
          </m:e>
          <m:sub>
            <m:r>
              <m:rPr/>
              <w:rPr>
                <w:rFonts w:ascii="Cambria Math" w:hAnsi="Cambria Math"/>
                <w:color w:val="auto"/>
                <w:sz w:val="24"/>
              </w:rPr>
              <m:t>l</m:t>
            </m:r>
            <m:ctrlPr>
              <w:rPr>
                <w:rFonts w:ascii="Cambria Math" w:hAnsi="Cambria Math"/>
                <w:i/>
                <w:color w:val="auto"/>
                <w:sz w:val="24"/>
              </w:rPr>
            </m:ctrlPr>
          </m:sub>
        </m:sSub>
      </m:oMath>
      <w:r>
        <w:rPr>
          <w:color w:val="auto"/>
          <w:sz w:val="24"/>
        </w:rPr>
        <w:t>——年照明系统能源消耗，kWh；</w:t>
      </w:r>
    </w:p>
    <w:p>
      <w:pPr>
        <w:spacing w:line="276" w:lineRule="auto"/>
        <w:ind w:firstLine="1154" w:firstLineChars="481"/>
        <w:rPr>
          <w:color w:val="auto"/>
          <w:sz w:val="24"/>
        </w:rPr>
      </w:pPr>
      <m:oMath>
        <m:sSub>
          <m:sSubPr>
            <m:ctrlPr>
              <w:rPr>
                <w:rFonts w:ascii="Cambria Math" w:hAnsi="Cambria Math"/>
                <w:i/>
                <w:color w:val="auto"/>
                <w:sz w:val="24"/>
              </w:rPr>
            </m:ctrlPr>
          </m:sSubPr>
          <m:e>
            <m:r>
              <m:rPr/>
              <w:rPr>
                <w:rFonts w:ascii="Cambria Math" w:hAnsi="Cambria Math"/>
                <w:color w:val="auto"/>
                <w:sz w:val="24"/>
              </w:rPr>
              <m:t>E</m:t>
            </m:r>
            <m:ctrlPr>
              <w:rPr>
                <w:rFonts w:ascii="Cambria Math" w:hAnsi="Cambria Math"/>
                <w:i/>
                <w:color w:val="auto"/>
                <w:sz w:val="24"/>
              </w:rPr>
            </m:ctrlPr>
          </m:e>
          <m:sub>
            <m:r>
              <m:rPr/>
              <w:rPr>
                <w:rFonts w:ascii="Cambria Math" w:hAnsi="Cambria Math"/>
                <w:color w:val="auto"/>
                <w:sz w:val="24"/>
              </w:rPr>
              <m:t>w</m:t>
            </m:r>
            <m:ctrlPr>
              <w:rPr>
                <w:rFonts w:ascii="Cambria Math" w:hAnsi="Cambria Math"/>
                <w:i/>
                <w:color w:val="auto"/>
                <w:sz w:val="24"/>
              </w:rPr>
            </m:ctrlPr>
          </m:sub>
        </m:sSub>
      </m:oMath>
      <w:r>
        <w:rPr>
          <w:color w:val="auto"/>
          <w:sz w:val="24"/>
        </w:rPr>
        <w:t>——年生活热水系统能源消耗，kWh；</w:t>
      </w:r>
    </w:p>
    <w:p>
      <w:pPr>
        <w:spacing w:line="276" w:lineRule="auto"/>
        <w:ind w:firstLine="1154" w:firstLineChars="481"/>
        <w:rPr>
          <w:color w:val="auto"/>
          <w:sz w:val="24"/>
        </w:rPr>
      </w:pPr>
      <m:oMath>
        <m:sSub>
          <m:sSubPr>
            <m:ctrlPr>
              <w:rPr>
                <w:rFonts w:ascii="Cambria Math" w:hAnsi="Cambria Math"/>
                <w:i/>
                <w:color w:val="auto"/>
                <w:sz w:val="24"/>
              </w:rPr>
            </m:ctrlPr>
          </m:sSubPr>
          <m:e>
            <m:r>
              <m:rPr/>
              <w:rPr>
                <w:rFonts w:ascii="Cambria Math" w:hAnsi="Cambria Math"/>
                <w:color w:val="auto"/>
                <w:sz w:val="24"/>
              </w:rPr>
              <m:t>E</m:t>
            </m:r>
            <m:ctrlPr>
              <w:rPr>
                <w:rFonts w:ascii="Cambria Math" w:hAnsi="Cambria Math"/>
                <w:i/>
                <w:color w:val="auto"/>
                <w:sz w:val="24"/>
              </w:rPr>
            </m:ctrlPr>
          </m:e>
          <m:sub>
            <m:r>
              <m:rPr/>
              <w:rPr>
                <w:rFonts w:ascii="Cambria Math" w:hAnsi="Cambria Math"/>
                <w:color w:val="auto"/>
                <w:sz w:val="24"/>
              </w:rPr>
              <m:t>e</m:t>
            </m:r>
            <m:ctrlPr>
              <w:rPr>
                <w:rFonts w:ascii="Cambria Math" w:hAnsi="Cambria Math"/>
                <w:i/>
                <w:color w:val="auto"/>
                <w:sz w:val="24"/>
              </w:rPr>
            </m:ctrlPr>
          </m:sub>
        </m:sSub>
      </m:oMath>
      <w:r>
        <w:rPr>
          <w:color w:val="auto"/>
          <w:sz w:val="24"/>
        </w:rPr>
        <w:t>——年电梯系统能源消耗，kWh</w:t>
      </w:r>
      <w:r>
        <w:rPr>
          <w:rFonts w:hint="eastAsia"/>
          <w:color w:val="auto"/>
          <w:sz w:val="24"/>
        </w:rPr>
        <w:t>；</w:t>
      </w:r>
    </w:p>
    <w:p>
      <w:pPr>
        <w:spacing w:line="276" w:lineRule="auto"/>
        <w:ind w:firstLine="1154" w:firstLineChars="481"/>
        <w:rPr>
          <w:color w:val="auto"/>
          <w:sz w:val="24"/>
        </w:rPr>
      </w:pPr>
      <m:oMath>
        <m:sSub>
          <m:sSubPr>
            <m:ctrlPr>
              <w:rPr>
                <w:rFonts w:ascii="Cambria Math" w:hAnsi="Cambria Math"/>
                <w:i/>
                <w:color w:val="auto"/>
                <w:sz w:val="24"/>
              </w:rPr>
            </m:ctrlPr>
          </m:sSubPr>
          <m:e>
            <m:r>
              <m:rPr/>
              <w:rPr>
                <w:rFonts w:ascii="Cambria Math" w:hAnsi="Cambria Math"/>
                <w:color w:val="auto"/>
                <w:sz w:val="24"/>
              </w:rPr>
              <m:t>E</m:t>
            </m:r>
            <m:ctrlPr>
              <w:rPr>
                <w:rFonts w:ascii="Cambria Math" w:hAnsi="Cambria Math"/>
                <w:i/>
                <w:color w:val="auto"/>
                <w:sz w:val="24"/>
              </w:rPr>
            </m:ctrlPr>
          </m:e>
          <m:sub>
            <m:r>
              <m:rPr/>
              <w:rPr>
                <w:rFonts w:hint="eastAsia" w:ascii="Cambria Math" w:hAnsi="Cambria Math"/>
                <w:color w:val="auto"/>
                <w:sz w:val="24"/>
              </w:rPr>
              <m:t>p</m:t>
            </m:r>
            <m:ctrlPr>
              <w:rPr>
                <w:rFonts w:ascii="Cambria Math" w:hAnsi="Cambria Math"/>
                <w:i/>
                <w:color w:val="auto"/>
                <w:sz w:val="24"/>
              </w:rPr>
            </m:ctrlPr>
          </m:sub>
        </m:sSub>
      </m:oMath>
      <w:r>
        <w:rPr>
          <w:color w:val="auto"/>
          <w:sz w:val="24"/>
        </w:rPr>
        <w:t>——年</w:t>
      </w:r>
      <w:r>
        <w:rPr>
          <w:rFonts w:hint="eastAsia"/>
          <w:color w:val="auto"/>
          <w:sz w:val="24"/>
        </w:rPr>
        <w:t>插座</w:t>
      </w:r>
      <w:r>
        <w:rPr>
          <w:color w:val="auto"/>
          <w:sz w:val="24"/>
        </w:rPr>
        <w:t>能源消耗，kWh</w:t>
      </w:r>
      <w:r>
        <w:rPr>
          <w:rFonts w:hint="eastAsia"/>
          <w:color w:val="auto"/>
          <w:sz w:val="24"/>
        </w:rPr>
        <w:t>；</w:t>
      </w:r>
    </w:p>
    <w:p>
      <w:pPr>
        <w:spacing w:line="276" w:lineRule="auto"/>
        <w:ind w:firstLine="1154" w:firstLineChars="481"/>
        <w:rPr>
          <w:color w:val="auto"/>
          <w:sz w:val="24"/>
        </w:rPr>
      </w:pPr>
      <m:oMath>
        <m:sSub>
          <m:sSubPr>
            <m:ctrlPr>
              <w:rPr>
                <w:rFonts w:ascii="Cambria Math" w:hAnsi="Cambria Math"/>
                <w:i/>
                <w:color w:val="auto"/>
                <w:sz w:val="24"/>
              </w:rPr>
            </m:ctrlPr>
          </m:sSubPr>
          <m:e>
            <m:r>
              <m:rPr/>
              <w:rPr>
                <w:rFonts w:ascii="Cambria Math" w:hAnsi="Cambria Math"/>
                <w:color w:val="auto"/>
                <w:sz w:val="24"/>
              </w:rPr>
              <m:t>E</m:t>
            </m:r>
            <m:ctrlPr>
              <w:rPr>
                <w:rFonts w:ascii="Cambria Math" w:hAnsi="Cambria Math"/>
                <w:i/>
                <w:color w:val="auto"/>
                <w:sz w:val="24"/>
              </w:rPr>
            </m:ctrlPr>
          </m:e>
          <m:sub>
            <m:r>
              <m:rPr/>
              <w:rPr>
                <w:rFonts w:hint="eastAsia" w:ascii="Cambria Math" w:hAnsi="Cambria Math"/>
                <w:color w:val="auto"/>
                <w:sz w:val="24"/>
              </w:rPr>
              <m:t>f</m:t>
            </m:r>
            <m:ctrlPr>
              <w:rPr>
                <w:rFonts w:ascii="Cambria Math" w:hAnsi="Cambria Math"/>
                <w:i/>
                <w:color w:val="auto"/>
                <w:sz w:val="24"/>
              </w:rPr>
            </m:ctrlPr>
          </m:sub>
        </m:sSub>
      </m:oMath>
      <w:r>
        <w:rPr>
          <w:color w:val="auto"/>
          <w:sz w:val="24"/>
        </w:rPr>
        <w:t>——年</w:t>
      </w:r>
      <w:r>
        <w:rPr>
          <w:rFonts w:hint="eastAsia"/>
          <w:color w:val="auto"/>
          <w:sz w:val="24"/>
        </w:rPr>
        <w:t>炊事</w:t>
      </w:r>
      <w:r>
        <w:rPr>
          <w:color w:val="auto"/>
          <w:sz w:val="24"/>
        </w:rPr>
        <w:t>系统能源消耗，kWh</w:t>
      </w:r>
      <w:r>
        <w:rPr>
          <w:rFonts w:hint="eastAsia"/>
          <w:color w:val="auto"/>
          <w:sz w:val="24"/>
        </w:rPr>
        <w:t>；</w:t>
      </w:r>
    </w:p>
    <w:p>
      <w:pPr>
        <w:spacing w:line="276" w:lineRule="auto"/>
        <w:ind w:firstLine="1154" w:firstLineChars="481"/>
        <w:rPr>
          <w:color w:val="auto"/>
          <w:sz w:val="24"/>
        </w:rPr>
      </w:pPr>
      <m:oMath>
        <m:sSub>
          <m:sSubPr>
            <m:ctrlPr>
              <w:rPr>
                <w:rFonts w:ascii="Cambria Math" w:hAnsi="Cambria Math"/>
                <w:i/>
                <w:color w:val="auto"/>
                <w:sz w:val="24"/>
              </w:rPr>
            </m:ctrlPr>
          </m:sSubPr>
          <m:e>
            <m:r>
              <m:rPr/>
              <w:rPr>
                <w:rFonts w:ascii="Cambria Math" w:hAnsi="Cambria Math"/>
                <w:color w:val="auto"/>
                <w:sz w:val="24"/>
              </w:rPr>
              <m:t>E</m:t>
            </m:r>
            <m:ctrlPr>
              <w:rPr>
                <w:rFonts w:ascii="Cambria Math" w:hAnsi="Cambria Math"/>
                <w:i/>
                <w:color w:val="auto"/>
                <w:sz w:val="24"/>
              </w:rPr>
            </m:ctrlPr>
          </m:e>
          <m:sub>
            <m:r>
              <m:rPr/>
              <w:rPr>
                <w:rFonts w:hint="eastAsia" w:ascii="Cambria Math" w:hAnsi="Cambria Math"/>
                <w:color w:val="auto"/>
                <w:sz w:val="24"/>
              </w:rPr>
              <m:t>r</m:t>
            </m:r>
            <m:ctrlPr>
              <w:rPr>
                <w:rFonts w:ascii="Cambria Math" w:hAnsi="Cambria Math"/>
                <w:i/>
                <w:color w:val="auto"/>
                <w:sz w:val="24"/>
              </w:rPr>
            </m:ctrlPr>
          </m:sub>
        </m:sSub>
      </m:oMath>
      <w:r>
        <w:rPr>
          <w:color w:val="auto"/>
          <w:sz w:val="24"/>
        </w:rPr>
        <w:t>——年</w:t>
      </w:r>
      <w:r>
        <w:rPr>
          <w:rFonts w:hint="eastAsia"/>
          <w:color w:val="auto"/>
          <w:sz w:val="24"/>
        </w:rPr>
        <w:t>可再生能源发电量</w:t>
      </w:r>
      <w:r>
        <w:rPr>
          <w:color w:val="auto"/>
          <w:sz w:val="24"/>
        </w:rPr>
        <w:t>，kWh</w:t>
      </w:r>
      <w:r>
        <w:rPr>
          <w:rFonts w:hint="eastAsia"/>
          <w:color w:val="auto"/>
          <w:sz w:val="24"/>
        </w:rPr>
        <w:t>；</w:t>
      </w:r>
    </w:p>
    <w:p>
      <w:pPr>
        <w:spacing w:line="276" w:lineRule="auto"/>
        <w:ind w:firstLine="1154" w:firstLineChars="481"/>
        <w:rPr>
          <w:color w:val="auto"/>
          <w:sz w:val="24"/>
          <w:szCs w:val="24"/>
        </w:rPr>
      </w:pPr>
      <m:oMath>
        <m:sSub>
          <m:sSubPr>
            <m:ctrlPr>
              <w:rPr>
                <w:rFonts w:ascii="Cambria Math" w:hAnsi="Cambria Math"/>
                <w:i/>
                <w:color w:val="auto"/>
                <w:sz w:val="24"/>
                <w:szCs w:val="24"/>
              </w:rPr>
            </m:ctrlPr>
          </m:sSubPr>
          <m:e>
            <m:r>
              <m:rPr/>
              <w:rPr>
                <w:rFonts w:hint="eastAsia" w:ascii="Cambria Math" w:hAnsi="Cambria Math"/>
                <w:color w:val="auto"/>
                <w:sz w:val="24"/>
                <w:szCs w:val="24"/>
              </w:rPr>
              <m:t>c</m:t>
            </m:r>
            <m:ctrlPr>
              <w:rPr>
                <w:rFonts w:ascii="Cambria Math" w:hAnsi="Cambria Math"/>
                <w:i/>
                <w:color w:val="auto"/>
                <w:sz w:val="24"/>
                <w:szCs w:val="24"/>
              </w:rPr>
            </m:ctrlPr>
          </m:e>
          <m:sub>
            <m:r>
              <m:rPr/>
              <w:rPr>
                <w:rFonts w:ascii="Cambria Math" w:hAnsi="Cambria Math"/>
                <w:color w:val="auto"/>
                <w:sz w:val="24"/>
                <w:szCs w:val="24"/>
              </w:rPr>
              <m:t>i</m:t>
            </m:r>
            <m:ctrlPr>
              <w:rPr>
                <w:rFonts w:ascii="Cambria Math" w:hAnsi="Cambria Math"/>
                <w:i/>
                <w:color w:val="auto"/>
                <w:sz w:val="24"/>
                <w:szCs w:val="24"/>
              </w:rPr>
            </m:ctrlPr>
          </m:sub>
        </m:sSub>
      </m:oMath>
      <w:r>
        <w:rPr>
          <w:color w:val="auto"/>
          <w:sz w:val="24"/>
        </w:rPr>
        <w:t>——</w:t>
      </w:r>
      <w:r>
        <w:rPr>
          <w:rFonts w:hint="eastAsia"/>
          <w:color w:val="auto"/>
          <w:sz w:val="24"/>
        </w:rPr>
        <w:t>i类能源碳排放因子，</w:t>
      </w:r>
      <w:r>
        <w:rPr>
          <w:rFonts w:hint="eastAsia"/>
          <w:color w:val="auto"/>
          <w:sz w:val="24"/>
          <w:szCs w:val="24"/>
        </w:rPr>
        <w:t>主要能源排放因子按国家标准《建筑碳排放计算标准》GB/T</w:t>
      </w:r>
      <w:r>
        <w:rPr>
          <w:color w:val="auto"/>
          <w:sz w:val="24"/>
          <w:szCs w:val="24"/>
        </w:rPr>
        <w:t>51366</w:t>
      </w:r>
      <w:r>
        <w:rPr>
          <w:rFonts w:hint="eastAsia"/>
          <w:color w:val="auto"/>
          <w:sz w:val="24"/>
          <w:szCs w:val="24"/>
        </w:rPr>
        <w:t>确定，电力排放因子按0</w:t>
      </w:r>
      <w:r>
        <w:rPr>
          <w:color w:val="auto"/>
          <w:sz w:val="24"/>
          <w:szCs w:val="24"/>
        </w:rPr>
        <w:t>.5</w:t>
      </w:r>
      <w:r>
        <w:rPr>
          <w:rFonts w:hint="eastAsia"/>
          <w:color w:val="auto"/>
          <w:sz w:val="24"/>
          <w:szCs w:val="24"/>
        </w:rPr>
        <w:t>kgCO</w:t>
      </w:r>
      <w:r>
        <w:rPr>
          <w:rFonts w:hint="eastAsia"/>
          <w:color w:val="auto"/>
          <w:sz w:val="24"/>
          <w:szCs w:val="24"/>
          <w:vertAlign w:val="subscript"/>
        </w:rPr>
        <w:t>2</w:t>
      </w:r>
      <w:r>
        <w:rPr>
          <w:rFonts w:hint="eastAsia"/>
          <w:color w:val="auto"/>
          <w:sz w:val="24"/>
          <w:szCs w:val="24"/>
        </w:rPr>
        <w:t>/kWh；</w:t>
      </w:r>
    </w:p>
    <w:p>
      <w:pPr>
        <w:spacing w:line="276" w:lineRule="auto"/>
        <w:ind w:firstLine="1200" w:firstLineChars="500"/>
        <w:rPr>
          <w:color w:val="auto"/>
          <w:sz w:val="24"/>
        </w:rPr>
      </w:pPr>
      <m:oMath>
        <m:r>
          <m:rPr/>
          <w:rPr>
            <w:rFonts w:ascii="Cambria Math" w:hAnsi="Cambria Math"/>
            <w:color w:val="auto"/>
            <w:sz w:val="24"/>
            <w:szCs w:val="24"/>
          </w:rPr>
          <m:t>A</m:t>
        </m:r>
      </m:oMath>
      <w:r>
        <w:rPr>
          <w:bCs/>
          <w:color w:val="auto"/>
          <w:sz w:val="24"/>
          <w:szCs w:val="24"/>
        </w:rPr>
        <w:t>——</w:t>
      </w:r>
      <w:r>
        <w:rPr>
          <w:rFonts w:hint="eastAsia"/>
          <w:bCs/>
          <w:color w:val="auto"/>
          <w:sz w:val="24"/>
          <w:szCs w:val="24"/>
        </w:rPr>
        <w:t>建筑面积，</w:t>
      </w:r>
      <w:r>
        <w:rPr>
          <w:bCs/>
          <w:color w:val="auto"/>
          <w:sz w:val="24"/>
          <w:szCs w:val="24"/>
        </w:rPr>
        <w:t xml:space="preserve"> m</w:t>
      </w:r>
      <w:r>
        <w:rPr>
          <w:bCs/>
          <w:color w:val="auto"/>
          <w:sz w:val="24"/>
          <w:szCs w:val="24"/>
          <w:vertAlign w:val="superscript"/>
        </w:rPr>
        <w:t>2</w:t>
      </w:r>
      <w:r>
        <w:rPr>
          <w:rFonts w:hint="eastAsia"/>
          <w:bCs/>
          <w:color w:val="auto"/>
          <w:sz w:val="24"/>
          <w:szCs w:val="24"/>
        </w:rPr>
        <w:t>。</w:t>
      </w:r>
    </w:p>
    <w:p>
      <w:pPr>
        <w:widowControl/>
        <w:spacing w:line="360" w:lineRule="auto"/>
        <w:rPr>
          <w:rFonts w:ascii="宋体" w:hAnsi="宋体"/>
          <w:color w:val="auto"/>
          <w:sz w:val="24"/>
        </w:rPr>
      </w:pPr>
      <w:r>
        <w:rPr>
          <w:rFonts w:hint="eastAsia" w:ascii="宋体" w:hAnsi="宋体"/>
          <w:b/>
          <w:bCs/>
          <w:color w:val="auto"/>
          <w:sz w:val="24"/>
        </w:rPr>
        <w:t>A.0.5</w:t>
      </w:r>
      <w:r>
        <w:rPr>
          <w:rFonts w:hint="eastAsia" w:ascii="宋体" w:hAnsi="宋体"/>
          <w:color w:val="auto"/>
          <w:sz w:val="24"/>
        </w:rPr>
        <w:t>建筑减碳率计算应按下式计算：</w:t>
      </w:r>
    </w:p>
    <w:p>
      <w:pPr>
        <w:widowControl/>
        <w:spacing w:line="276" w:lineRule="auto"/>
        <w:ind w:firstLine="480" w:firstLineChars="200"/>
        <w:jc w:val="center"/>
        <w:rPr>
          <w:color w:val="auto"/>
          <w:sz w:val="24"/>
          <w:szCs w:val="24"/>
        </w:rPr>
      </w:pPr>
      <w:r>
        <w:rPr>
          <w:color w:val="auto"/>
          <w:sz w:val="24"/>
          <w:szCs w:val="24"/>
        </w:rPr>
        <w:t xml:space="preserve">                      </w:t>
      </w:r>
      <m:oMath>
        <m:sSub>
          <m:sSubPr>
            <m:ctrlPr>
              <w:rPr>
                <w:rFonts w:ascii="Cambria Math" w:hAnsi="Cambria Math"/>
                <w:i/>
                <w:color w:val="auto"/>
                <w:sz w:val="24"/>
                <w:szCs w:val="24"/>
              </w:rPr>
            </m:ctrlPr>
          </m:sSubPr>
          <m:e>
            <m:r>
              <m:rPr/>
              <w:rPr>
                <w:rFonts w:ascii="Cambria Math" w:hAnsi="Cambria Math"/>
                <w:color w:val="auto"/>
                <w:sz w:val="24"/>
                <w:szCs w:val="24"/>
              </w:rPr>
              <m:t>η</m:t>
            </m:r>
            <m:ctrlPr>
              <w:rPr>
                <w:rFonts w:ascii="Cambria Math" w:hAnsi="Cambria Math"/>
                <w:i/>
                <w:color w:val="auto"/>
                <w:sz w:val="24"/>
                <w:szCs w:val="24"/>
              </w:rPr>
            </m:ctrlPr>
          </m:e>
          <m:sub>
            <m:r>
              <m:rPr/>
              <w:rPr>
                <w:rFonts w:ascii="Cambria Math" w:hAnsi="Cambria Math"/>
                <w:color w:val="auto"/>
                <w:sz w:val="24"/>
                <w:szCs w:val="24"/>
              </w:rPr>
              <m:t>p</m:t>
            </m:r>
            <m:ctrlPr>
              <w:rPr>
                <w:rFonts w:ascii="Cambria Math" w:hAnsi="Cambria Math"/>
                <w:i/>
                <w:color w:val="auto"/>
                <w:sz w:val="24"/>
                <w:szCs w:val="24"/>
              </w:rPr>
            </m:ctrlPr>
          </m:sub>
        </m:sSub>
        <m:r>
          <m:rPr/>
          <w:rPr>
            <w:rFonts w:ascii="Cambria Math" w:hAnsi="Cambria Math"/>
            <w:color w:val="auto"/>
            <w:sz w:val="24"/>
            <w:szCs w:val="24"/>
          </w:rPr>
          <m:t>=</m:t>
        </m:r>
        <m:f>
          <m:fPr>
            <m:ctrlPr>
              <w:rPr>
                <w:rFonts w:ascii="Cambria Math" w:hAnsi="Cambria Math"/>
                <w:bCs/>
                <w:i/>
                <w:color w:val="auto"/>
              </w:rPr>
            </m:ctrlPr>
          </m:fPr>
          <m:num>
            <m:sSub>
              <m:sSubPr>
                <m:ctrlPr>
                  <w:rPr>
                    <w:rFonts w:ascii="Cambria Math" w:hAnsi="Cambria Math"/>
                    <w:bCs/>
                    <w:i/>
                    <w:color w:val="auto"/>
                  </w:rPr>
                </m:ctrlPr>
              </m:sSubPr>
              <m:e>
                <m:sSub>
                  <m:sSubPr>
                    <m:ctrlPr>
                      <w:rPr>
                        <w:rFonts w:ascii="Cambria Math" w:hAnsi="Cambria Math"/>
                        <w:bCs/>
                        <w:i/>
                        <w:color w:val="auto"/>
                      </w:rPr>
                    </m:ctrlPr>
                  </m:sSubPr>
                  <m:e>
                    <m:r>
                      <m:rPr/>
                      <w:rPr>
                        <w:rFonts w:ascii="Cambria Math" w:hAnsi="Cambria Math"/>
                        <w:color w:val="auto"/>
                      </w:rPr>
                      <m:t>C</m:t>
                    </m:r>
                    <m:ctrlPr>
                      <w:rPr>
                        <w:rFonts w:ascii="Cambria Math" w:hAnsi="Cambria Math"/>
                        <w:bCs/>
                        <w:i/>
                        <w:color w:val="auto"/>
                      </w:rPr>
                    </m:ctrlPr>
                  </m:e>
                  <m:sub>
                    <m:r>
                      <m:rPr/>
                      <w:rPr>
                        <w:rFonts w:ascii="Cambria Math" w:hAnsi="Cambria Math"/>
                        <w:color w:val="auto"/>
                      </w:rPr>
                      <m:t>R</m:t>
                    </m:r>
                    <m:ctrlPr>
                      <w:rPr>
                        <w:rFonts w:ascii="Cambria Math" w:hAnsi="Cambria Math"/>
                        <w:bCs/>
                        <w:i/>
                        <w:color w:val="auto"/>
                      </w:rPr>
                    </m:ctrlPr>
                  </m:sub>
                </m:sSub>
                <m:r>
                  <m:rPr/>
                  <w:rPr>
                    <w:rFonts w:ascii="Cambria Math" w:hAnsi="Cambria Math"/>
                    <w:color w:val="auto"/>
                  </w:rPr>
                  <m:t>−C</m:t>
                </m:r>
                <m:ctrlPr>
                  <w:rPr>
                    <w:rFonts w:ascii="Cambria Math" w:hAnsi="Cambria Math"/>
                    <w:bCs/>
                    <w:i/>
                    <w:color w:val="auto"/>
                  </w:rPr>
                </m:ctrlPr>
              </m:e>
              <m:sub>
                <m:r>
                  <m:rPr/>
                  <w:rPr>
                    <w:rFonts w:ascii="Cambria Math" w:hAnsi="Cambria Math"/>
                    <w:color w:val="auto"/>
                  </w:rPr>
                  <m:t>D</m:t>
                </m:r>
                <m:ctrlPr>
                  <w:rPr>
                    <w:rFonts w:ascii="Cambria Math" w:hAnsi="Cambria Math"/>
                    <w:bCs/>
                    <w:i/>
                    <w:color w:val="auto"/>
                  </w:rPr>
                </m:ctrlPr>
              </m:sub>
            </m:sSub>
            <m:ctrlPr>
              <w:rPr>
                <w:rFonts w:ascii="Cambria Math" w:hAnsi="Cambria Math"/>
                <w:bCs/>
                <w:i/>
                <w:color w:val="auto"/>
              </w:rPr>
            </m:ctrlPr>
          </m:num>
          <m:den>
            <m:sSub>
              <m:sSubPr>
                <m:ctrlPr>
                  <w:rPr>
                    <w:rFonts w:ascii="Cambria Math" w:hAnsi="Cambria Math"/>
                    <w:bCs/>
                    <w:i/>
                    <w:color w:val="auto"/>
                  </w:rPr>
                </m:ctrlPr>
              </m:sSubPr>
              <m:e>
                <m:r>
                  <m:rPr/>
                  <w:rPr>
                    <w:rFonts w:ascii="Cambria Math" w:hAnsi="Cambria Math"/>
                    <w:color w:val="auto"/>
                  </w:rPr>
                  <m:t>C</m:t>
                </m:r>
                <m:ctrlPr>
                  <w:rPr>
                    <w:rFonts w:ascii="Cambria Math" w:hAnsi="Cambria Math"/>
                    <w:bCs/>
                    <w:i/>
                    <w:color w:val="auto"/>
                  </w:rPr>
                </m:ctrlPr>
              </m:e>
              <m:sub>
                <m:r>
                  <m:rPr/>
                  <w:rPr>
                    <w:rFonts w:ascii="Cambria Math" w:hAnsi="Cambria Math"/>
                    <w:color w:val="auto"/>
                  </w:rPr>
                  <m:t>R</m:t>
                </m:r>
                <m:ctrlPr>
                  <w:rPr>
                    <w:rFonts w:ascii="Cambria Math" w:hAnsi="Cambria Math"/>
                    <w:bCs/>
                    <w:i/>
                    <w:color w:val="auto"/>
                  </w:rPr>
                </m:ctrlPr>
              </m:sub>
            </m:sSub>
            <m:ctrlPr>
              <w:rPr>
                <w:rFonts w:ascii="Cambria Math" w:hAnsi="Cambria Math"/>
                <w:bCs/>
                <w:i/>
                <w:color w:val="auto"/>
              </w:rPr>
            </m:ctrlPr>
          </m:den>
        </m:f>
        <m:r>
          <m:rPr/>
          <w:rPr>
            <w:rFonts w:ascii="Cambria Math" w:hAnsi="Cambria Math"/>
            <w:color w:val="auto"/>
            <w:sz w:val="24"/>
            <w:szCs w:val="24"/>
          </w:rPr>
          <m:t>×100%</m:t>
        </m:r>
      </m:oMath>
      <w:r>
        <w:rPr>
          <w:color w:val="auto"/>
          <w:sz w:val="24"/>
          <w:szCs w:val="24"/>
        </w:rPr>
        <w:t xml:space="preserve">                 （A.</w:t>
      </w:r>
      <w:r>
        <w:rPr>
          <w:rFonts w:hint="eastAsia"/>
          <w:color w:val="auto"/>
          <w:sz w:val="24"/>
          <w:szCs w:val="24"/>
        </w:rPr>
        <w:t>0</w:t>
      </w:r>
      <w:r>
        <w:rPr>
          <w:color w:val="auto"/>
          <w:sz w:val="24"/>
          <w:szCs w:val="24"/>
        </w:rPr>
        <w:t>.</w:t>
      </w:r>
      <w:r>
        <w:rPr>
          <w:rFonts w:hint="eastAsia"/>
          <w:color w:val="auto"/>
          <w:sz w:val="24"/>
          <w:szCs w:val="24"/>
        </w:rPr>
        <w:t>5</w:t>
      </w:r>
      <w:r>
        <w:rPr>
          <w:color w:val="auto"/>
          <w:sz w:val="24"/>
          <w:szCs w:val="24"/>
        </w:rPr>
        <w:t>）</w:t>
      </w:r>
    </w:p>
    <w:p>
      <w:pPr>
        <w:widowControl/>
        <w:spacing w:line="276" w:lineRule="auto"/>
        <w:ind w:firstLine="480" w:firstLineChars="200"/>
        <w:rPr>
          <w:color w:val="auto"/>
          <w:sz w:val="24"/>
          <w:szCs w:val="24"/>
        </w:rPr>
      </w:pPr>
      <w:r>
        <w:rPr>
          <w:i/>
          <w:color w:val="auto"/>
          <w:sz w:val="24"/>
          <w:szCs w:val="24"/>
        </w:rPr>
        <w:t>式中：</w:t>
      </w:r>
      <m:oMath>
        <m:sSub>
          <m:sSubPr>
            <m:ctrlPr>
              <w:rPr>
                <w:rFonts w:ascii="Cambria Math" w:hAnsi="Cambria Math"/>
                <w:i/>
                <w:color w:val="auto"/>
                <w:sz w:val="24"/>
                <w:szCs w:val="24"/>
              </w:rPr>
            </m:ctrlPr>
          </m:sSubPr>
          <m:e>
            <m:r>
              <m:rPr/>
              <w:rPr>
                <w:rFonts w:ascii="Cambria Math" w:hAnsi="Cambria Math"/>
                <w:color w:val="auto"/>
                <w:sz w:val="24"/>
                <w:szCs w:val="24"/>
              </w:rPr>
              <m:t>η</m:t>
            </m:r>
            <m:ctrlPr>
              <w:rPr>
                <w:rFonts w:ascii="Cambria Math" w:hAnsi="Cambria Math"/>
                <w:i/>
                <w:color w:val="auto"/>
                <w:sz w:val="24"/>
                <w:szCs w:val="24"/>
              </w:rPr>
            </m:ctrlPr>
          </m:e>
          <m:sub>
            <m:r>
              <m:rPr/>
              <w:rPr>
                <w:rFonts w:ascii="Cambria Math" w:hAnsi="Cambria Math"/>
                <w:color w:val="auto"/>
                <w:sz w:val="24"/>
                <w:szCs w:val="24"/>
              </w:rPr>
              <m:t>p</m:t>
            </m:r>
            <m:ctrlPr>
              <w:rPr>
                <w:rFonts w:ascii="Cambria Math" w:hAnsi="Cambria Math"/>
                <w:i/>
                <w:color w:val="auto"/>
                <w:sz w:val="24"/>
                <w:szCs w:val="24"/>
              </w:rPr>
            </m:ctrlPr>
          </m:sub>
        </m:sSub>
      </m:oMath>
      <w:r>
        <w:rPr>
          <w:color w:val="auto"/>
          <w:sz w:val="24"/>
          <w:szCs w:val="24"/>
        </w:rPr>
        <w:t>——建筑</w:t>
      </w:r>
      <w:r>
        <w:rPr>
          <w:rFonts w:hint="eastAsia"/>
          <w:color w:val="auto"/>
          <w:sz w:val="24"/>
          <w:szCs w:val="24"/>
        </w:rPr>
        <w:t>减碳</w:t>
      </w:r>
      <w:r>
        <w:rPr>
          <w:color w:val="auto"/>
          <w:sz w:val="24"/>
          <w:szCs w:val="24"/>
        </w:rPr>
        <w:t>率，%；</w:t>
      </w:r>
    </w:p>
    <w:p>
      <w:pPr>
        <w:spacing w:before="156" w:beforeLines="50" w:after="156" w:afterLines="50" w:line="276" w:lineRule="auto"/>
        <w:ind w:left="420" w:firstLine="420"/>
        <w:jc w:val="left"/>
        <w:rPr>
          <w:color w:val="auto"/>
          <w:sz w:val="24"/>
          <w:szCs w:val="24"/>
        </w:rPr>
      </w:pPr>
      <m:oMath>
        <m:r>
          <m:rPr/>
          <w:rPr>
            <w:rFonts w:ascii="Cambria Math" w:hAnsi="Cambria Math"/>
            <w:color w:val="auto"/>
            <w:sz w:val="24"/>
            <w:szCs w:val="24"/>
          </w:rPr>
          <m:t xml:space="preserve">      </m:t>
        </m:r>
        <m:sSub>
          <m:sSubPr>
            <m:ctrlPr>
              <w:rPr>
                <w:rFonts w:ascii="Cambria Math" w:hAnsi="Cambria Math"/>
                <w:i/>
                <w:color w:val="auto"/>
                <w:sz w:val="24"/>
                <w:szCs w:val="24"/>
              </w:rPr>
            </m:ctrlPr>
          </m:sSubPr>
          <m:e>
            <m:r>
              <m:rPr/>
              <w:rPr>
                <w:rFonts w:hint="eastAsia" w:ascii="Cambria Math" w:hAnsi="Cambria Math"/>
                <w:color w:val="auto"/>
                <w:sz w:val="24"/>
                <w:szCs w:val="24"/>
              </w:rPr>
              <m:t>C</m:t>
            </m:r>
            <m:ctrlPr>
              <w:rPr>
                <w:rFonts w:ascii="Cambria Math" w:hAnsi="Cambria Math"/>
                <w:i/>
                <w:color w:val="auto"/>
                <w:sz w:val="24"/>
                <w:szCs w:val="24"/>
              </w:rPr>
            </m:ctrlPr>
          </m:e>
          <m:sub>
            <m:r>
              <m:rPr/>
              <w:rPr>
                <w:rFonts w:ascii="Cambria Math" w:hAnsi="Cambria Math"/>
                <w:color w:val="auto"/>
                <w:sz w:val="24"/>
                <w:szCs w:val="24"/>
              </w:rPr>
              <m:t>D</m:t>
            </m:r>
            <m:ctrlPr>
              <w:rPr>
                <w:rFonts w:ascii="Cambria Math" w:hAnsi="Cambria Math"/>
                <w:i/>
                <w:color w:val="auto"/>
                <w:sz w:val="24"/>
                <w:szCs w:val="24"/>
              </w:rPr>
            </m:ctrlPr>
          </m:sub>
        </m:sSub>
      </m:oMath>
      <w:r>
        <w:rPr>
          <w:color w:val="auto"/>
          <w:sz w:val="24"/>
          <w:szCs w:val="24"/>
        </w:rPr>
        <w:t>——设计建筑</w:t>
      </w:r>
      <w:r>
        <w:rPr>
          <w:rFonts w:hint="eastAsia"/>
          <w:color w:val="auto"/>
          <w:sz w:val="24"/>
          <w:szCs w:val="24"/>
        </w:rPr>
        <w:t>碳排放强度</w:t>
      </w:r>
      <w:r>
        <w:rPr>
          <w:color w:val="auto"/>
          <w:sz w:val="24"/>
          <w:szCs w:val="24"/>
        </w:rPr>
        <w:t>（k</w:t>
      </w:r>
      <w:r>
        <w:rPr>
          <w:rFonts w:hint="eastAsia"/>
          <w:color w:val="auto"/>
          <w:sz w:val="24"/>
          <w:szCs w:val="24"/>
        </w:rPr>
        <w:t>gceCO</w:t>
      </w:r>
      <w:r>
        <w:rPr>
          <w:color w:val="auto"/>
          <w:sz w:val="24"/>
          <w:szCs w:val="24"/>
          <w:vertAlign w:val="subscript"/>
        </w:rPr>
        <w:t>2</w:t>
      </w:r>
      <w:r>
        <w:rPr>
          <w:color w:val="auto"/>
          <w:sz w:val="24"/>
          <w:szCs w:val="24"/>
        </w:rPr>
        <w:t>/m</w:t>
      </w:r>
      <w:r>
        <w:rPr>
          <w:color w:val="auto"/>
          <w:sz w:val="24"/>
          <w:szCs w:val="24"/>
          <w:vertAlign w:val="superscript"/>
        </w:rPr>
        <w:t>2</w:t>
      </w:r>
      <w:r>
        <w:rPr>
          <w:color w:val="auto"/>
          <w:sz w:val="24"/>
          <w:szCs w:val="24"/>
        </w:rPr>
        <w:t>）</w:t>
      </w:r>
      <w:r>
        <w:rPr>
          <w:rFonts w:hint="eastAsia"/>
          <w:color w:val="auto"/>
          <w:sz w:val="24"/>
          <w:szCs w:val="24"/>
        </w:rPr>
        <w:t>；</w:t>
      </w:r>
    </w:p>
    <w:p>
      <w:pPr>
        <w:ind w:left="840" w:firstLine="420"/>
        <w:rPr>
          <w:color w:val="auto"/>
          <w:sz w:val="24"/>
          <w:szCs w:val="24"/>
        </w:rPr>
      </w:pPr>
      <m:oMath>
        <m:sSub>
          <m:sSubPr>
            <m:ctrlPr>
              <w:rPr>
                <w:rFonts w:ascii="Cambria Math" w:hAnsi="Cambria Math"/>
                <w:i/>
                <w:color w:val="auto"/>
                <w:sz w:val="24"/>
                <w:szCs w:val="24"/>
              </w:rPr>
            </m:ctrlPr>
          </m:sSubPr>
          <m:e>
            <m:r>
              <m:rPr/>
              <w:rPr>
                <w:rFonts w:hint="eastAsia" w:ascii="Cambria Math" w:hAnsi="Cambria Math"/>
                <w:color w:val="auto"/>
                <w:sz w:val="24"/>
                <w:szCs w:val="24"/>
              </w:rPr>
              <m:t>C</m:t>
            </m:r>
            <m:ctrlPr>
              <w:rPr>
                <w:rFonts w:ascii="Cambria Math" w:hAnsi="Cambria Math"/>
                <w:i/>
                <w:color w:val="auto"/>
                <w:sz w:val="24"/>
                <w:szCs w:val="24"/>
              </w:rPr>
            </m:ctrlPr>
          </m:e>
          <m:sub>
            <m:r>
              <m:rPr/>
              <w:rPr>
                <w:rFonts w:ascii="Cambria Math" w:hAnsi="Cambria Math"/>
                <w:color w:val="auto"/>
                <w:sz w:val="24"/>
                <w:szCs w:val="24"/>
              </w:rPr>
              <m:t>R</m:t>
            </m:r>
            <m:ctrlPr>
              <w:rPr>
                <w:rFonts w:ascii="Cambria Math" w:hAnsi="Cambria Math"/>
                <w:i/>
                <w:color w:val="auto"/>
                <w:sz w:val="24"/>
                <w:szCs w:val="24"/>
              </w:rPr>
            </m:ctrlPr>
          </m:sub>
        </m:sSub>
      </m:oMath>
      <w:r>
        <w:rPr>
          <w:color w:val="auto"/>
          <w:sz w:val="24"/>
          <w:szCs w:val="24"/>
        </w:rPr>
        <w:t>——</w:t>
      </w:r>
      <w:r>
        <w:rPr>
          <w:rFonts w:hint="eastAsia"/>
          <w:color w:val="auto"/>
          <w:sz w:val="24"/>
          <w:szCs w:val="24"/>
        </w:rPr>
        <w:t>基准</w:t>
      </w:r>
      <w:r>
        <w:rPr>
          <w:color w:val="auto"/>
          <w:sz w:val="24"/>
          <w:szCs w:val="24"/>
        </w:rPr>
        <w:t>建筑</w:t>
      </w:r>
      <w:r>
        <w:rPr>
          <w:rFonts w:hint="eastAsia"/>
          <w:color w:val="auto"/>
          <w:sz w:val="24"/>
          <w:szCs w:val="24"/>
        </w:rPr>
        <w:t>碳排放强度</w:t>
      </w:r>
      <w:r>
        <w:rPr>
          <w:color w:val="auto"/>
          <w:sz w:val="24"/>
          <w:szCs w:val="24"/>
        </w:rPr>
        <w:t>（k</w:t>
      </w:r>
      <w:r>
        <w:rPr>
          <w:rFonts w:hint="eastAsia"/>
          <w:color w:val="auto"/>
          <w:sz w:val="24"/>
          <w:szCs w:val="24"/>
        </w:rPr>
        <w:t>gceCO</w:t>
      </w:r>
      <w:r>
        <w:rPr>
          <w:color w:val="auto"/>
          <w:sz w:val="24"/>
          <w:szCs w:val="24"/>
          <w:vertAlign w:val="subscript"/>
        </w:rPr>
        <w:t>2</w:t>
      </w:r>
      <w:r>
        <w:rPr>
          <w:color w:val="auto"/>
          <w:sz w:val="24"/>
          <w:szCs w:val="24"/>
        </w:rPr>
        <w:t>/m</w:t>
      </w:r>
      <w:r>
        <w:rPr>
          <w:color w:val="auto"/>
          <w:sz w:val="24"/>
          <w:szCs w:val="24"/>
          <w:vertAlign w:val="superscript"/>
        </w:rPr>
        <w:t>2</w:t>
      </w:r>
      <w:r>
        <w:rPr>
          <w:color w:val="auto"/>
          <w:sz w:val="24"/>
          <w:szCs w:val="24"/>
        </w:rPr>
        <w:t>）。</w:t>
      </w:r>
    </w:p>
    <w:p>
      <w:pPr>
        <w:rPr>
          <w:color w:val="auto"/>
          <w:sz w:val="24"/>
          <w:szCs w:val="24"/>
        </w:rPr>
      </w:pPr>
    </w:p>
    <w:p>
      <w:pPr>
        <w:rPr>
          <w:rFonts w:eastAsia="黑体"/>
          <w:b/>
          <w:color w:val="auto"/>
          <w:kern w:val="44"/>
          <w:sz w:val="30"/>
          <w:szCs w:val="24"/>
        </w:rPr>
      </w:pPr>
    </w:p>
    <w:p>
      <w:pPr>
        <w:rPr>
          <w:rFonts w:eastAsia="黑体"/>
          <w:b/>
          <w:color w:val="auto"/>
          <w:kern w:val="44"/>
          <w:sz w:val="30"/>
          <w:szCs w:val="24"/>
        </w:rPr>
      </w:pPr>
      <w:r>
        <w:rPr>
          <w:rFonts w:hint="eastAsia" w:eastAsia="黑体"/>
          <w:b/>
          <w:color w:val="auto"/>
          <w:kern w:val="44"/>
          <w:sz w:val="30"/>
          <w:szCs w:val="24"/>
        </w:rPr>
        <w:br w:type="page"/>
      </w:r>
    </w:p>
    <w:p>
      <w:pPr>
        <w:keepNext/>
        <w:keepLines/>
        <w:spacing w:before="156" w:beforeLines="50" w:after="156" w:afterLines="50"/>
        <w:jc w:val="center"/>
        <w:outlineLvl w:val="0"/>
        <w:rPr>
          <w:rFonts w:eastAsia="黑体"/>
          <w:b/>
          <w:color w:val="auto"/>
          <w:kern w:val="44"/>
          <w:sz w:val="30"/>
          <w:szCs w:val="24"/>
        </w:rPr>
      </w:pPr>
      <w:bookmarkStart w:id="163" w:name="_Toc18199"/>
      <w:r>
        <w:rPr>
          <w:rFonts w:hint="eastAsia" w:eastAsia="黑体"/>
          <w:b/>
          <w:color w:val="auto"/>
          <w:kern w:val="44"/>
          <w:sz w:val="30"/>
          <w:szCs w:val="24"/>
        </w:rPr>
        <w:t>用词说明</w:t>
      </w:r>
      <w:bookmarkEnd w:id="23"/>
      <w:bookmarkEnd w:id="24"/>
      <w:bookmarkEnd w:id="25"/>
      <w:bookmarkEnd w:id="26"/>
      <w:bookmarkEnd w:id="27"/>
      <w:bookmarkEnd w:id="28"/>
      <w:bookmarkEnd w:id="29"/>
      <w:bookmarkEnd w:id="163"/>
    </w:p>
    <w:p>
      <w:pPr>
        <w:widowControl/>
        <w:adjustRightInd w:val="0"/>
        <w:snapToGrid w:val="0"/>
        <w:spacing w:line="360" w:lineRule="auto"/>
        <w:jc w:val="left"/>
        <w:rPr>
          <w:rFonts w:ascii="宋体" w:hAnsi="宋体" w:cs="微软雅黑"/>
          <w:bCs/>
          <w:color w:val="auto"/>
          <w:sz w:val="24"/>
          <w:szCs w:val="24"/>
        </w:rPr>
      </w:pPr>
      <w:r>
        <w:rPr>
          <w:rFonts w:hint="eastAsia" w:ascii="宋体" w:hAnsi="宋体" w:cs="微软雅黑"/>
          <w:bCs/>
          <w:color w:val="auto"/>
          <w:sz w:val="24"/>
          <w:szCs w:val="24"/>
        </w:rPr>
        <w:t>为便于在执行本规程条款时区别对待，对要求严格程度不同的用词说明如下：</w:t>
      </w:r>
    </w:p>
    <w:p>
      <w:pPr>
        <w:widowControl/>
        <w:numPr>
          <w:ilvl w:val="0"/>
          <w:numId w:val="3"/>
        </w:numPr>
        <w:adjustRightInd w:val="0"/>
        <w:snapToGrid w:val="0"/>
        <w:spacing w:line="360" w:lineRule="auto"/>
        <w:ind w:left="420" w:leftChars="200"/>
        <w:jc w:val="left"/>
        <w:outlineLvl w:val="0"/>
        <w:rPr>
          <w:rFonts w:ascii="宋体" w:hAnsi="宋体" w:cs="微软雅黑"/>
          <w:bCs/>
          <w:color w:val="auto"/>
          <w:sz w:val="24"/>
          <w:szCs w:val="24"/>
        </w:rPr>
      </w:pPr>
      <w:r>
        <w:rPr>
          <w:rFonts w:hint="eastAsia" w:ascii="宋体" w:hAnsi="宋体" w:cs="微软雅黑"/>
          <w:bCs/>
          <w:color w:val="auto"/>
          <w:sz w:val="24"/>
          <w:szCs w:val="24"/>
        </w:rPr>
        <w:t xml:space="preserve"> </w:t>
      </w:r>
      <w:bookmarkStart w:id="164" w:name="_Toc13316"/>
      <w:r>
        <w:rPr>
          <w:rFonts w:hint="eastAsia" w:ascii="宋体" w:hAnsi="宋体" w:cs="微软雅黑"/>
          <w:bCs/>
          <w:color w:val="auto"/>
          <w:sz w:val="24"/>
          <w:szCs w:val="24"/>
        </w:rPr>
        <w:t>表示很严格，非这样做不可的：</w:t>
      </w:r>
      <w:bookmarkEnd w:id="164"/>
    </w:p>
    <w:p>
      <w:pPr>
        <w:widowControl/>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正面词采用“必须”，反面词采用“严禁”；</w:t>
      </w:r>
    </w:p>
    <w:p>
      <w:pPr>
        <w:widowControl/>
        <w:numPr>
          <w:ilvl w:val="0"/>
          <w:numId w:val="3"/>
        </w:numPr>
        <w:adjustRightInd w:val="0"/>
        <w:snapToGrid w:val="0"/>
        <w:spacing w:line="360" w:lineRule="auto"/>
        <w:ind w:left="420" w:leftChars="200"/>
        <w:jc w:val="left"/>
        <w:outlineLvl w:val="0"/>
        <w:rPr>
          <w:rFonts w:ascii="宋体" w:hAnsi="宋体" w:cs="微软雅黑"/>
          <w:bCs/>
          <w:color w:val="auto"/>
          <w:sz w:val="24"/>
          <w:szCs w:val="24"/>
        </w:rPr>
      </w:pPr>
      <w:r>
        <w:rPr>
          <w:rFonts w:hint="eastAsia" w:ascii="宋体" w:hAnsi="宋体" w:cs="微软雅黑"/>
          <w:bCs/>
          <w:color w:val="auto"/>
          <w:sz w:val="24"/>
          <w:szCs w:val="24"/>
        </w:rPr>
        <w:t xml:space="preserve"> </w:t>
      </w:r>
      <w:bookmarkStart w:id="165" w:name="_Toc23809"/>
      <w:r>
        <w:rPr>
          <w:rFonts w:hint="eastAsia" w:ascii="宋体" w:hAnsi="宋体" w:cs="微软雅黑"/>
          <w:bCs/>
          <w:color w:val="auto"/>
          <w:sz w:val="24"/>
          <w:szCs w:val="24"/>
        </w:rPr>
        <w:t>表示严格，在正常情况下均应这样做的：</w:t>
      </w:r>
      <w:bookmarkEnd w:id="165"/>
    </w:p>
    <w:p>
      <w:pPr>
        <w:widowControl/>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正面词采用“应”，反面词采用“不应”或“不得”；</w:t>
      </w:r>
    </w:p>
    <w:p>
      <w:pPr>
        <w:widowControl/>
        <w:numPr>
          <w:ilvl w:val="0"/>
          <w:numId w:val="3"/>
        </w:numPr>
        <w:adjustRightInd w:val="0"/>
        <w:snapToGrid w:val="0"/>
        <w:spacing w:line="360" w:lineRule="auto"/>
        <w:ind w:left="420" w:leftChars="200"/>
        <w:jc w:val="left"/>
        <w:outlineLvl w:val="0"/>
        <w:rPr>
          <w:rFonts w:ascii="宋体" w:hAnsi="宋体" w:cs="微软雅黑"/>
          <w:bCs/>
          <w:color w:val="auto"/>
          <w:sz w:val="24"/>
          <w:szCs w:val="24"/>
        </w:rPr>
      </w:pPr>
      <w:r>
        <w:rPr>
          <w:rFonts w:hint="eastAsia" w:ascii="宋体" w:hAnsi="宋体" w:cs="微软雅黑"/>
          <w:bCs/>
          <w:color w:val="auto"/>
          <w:sz w:val="24"/>
          <w:szCs w:val="24"/>
        </w:rPr>
        <w:t xml:space="preserve"> </w:t>
      </w:r>
      <w:bookmarkStart w:id="166" w:name="_Toc9580"/>
      <w:r>
        <w:rPr>
          <w:rFonts w:hint="eastAsia" w:ascii="宋体" w:hAnsi="宋体" w:cs="微软雅黑"/>
          <w:bCs/>
          <w:color w:val="auto"/>
          <w:sz w:val="24"/>
          <w:szCs w:val="24"/>
        </w:rPr>
        <w:t>表示允许稍有选择，在条件许可时首先应这样做的：</w:t>
      </w:r>
      <w:bookmarkEnd w:id="166"/>
    </w:p>
    <w:p>
      <w:pPr>
        <w:widowControl/>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正面词采用“宜”，反面词采用“不宜”；</w:t>
      </w:r>
    </w:p>
    <w:p>
      <w:pPr>
        <w:widowControl/>
        <w:numPr>
          <w:ilvl w:val="0"/>
          <w:numId w:val="3"/>
        </w:numPr>
        <w:adjustRightInd w:val="0"/>
        <w:snapToGrid w:val="0"/>
        <w:spacing w:line="360" w:lineRule="auto"/>
        <w:ind w:left="420" w:leftChars="200"/>
        <w:jc w:val="left"/>
        <w:outlineLvl w:val="0"/>
        <w:rPr>
          <w:rFonts w:ascii="宋体" w:hAnsi="宋体" w:cs="微软雅黑"/>
          <w:bCs/>
          <w:color w:val="auto"/>
          <w:sz w:val="24"/>
          <w:szCs w:val="24"/>
        </w:rPr>
      </w:pPr>
      <w:r>
        <w:rPr>
          <w:rFonts w:hint="eastAsia" w:ascii="宋体" w:hAnsi="宋体" w:cs="微软雅黑"/>
          <w:bCs/>
          <w:color w:val="auto"/>
          <w:sz w:val="24"/>
          <w:szCs w:val="24"/>
        </w:rPr>
        <w:t xml:space="preserve"> </w:t>
      </w:r>
      <w:bookmarkStart w:id="167" w:name="_Toc2550"/>
      <w:r>
        <w:rPr>
          <w:rFonts w:hint="eastAsia" w:ascii="宋体" w:hAnsi="宋体" w:cs="微软雅黑"/>
          <w:bCs/>
          <w:color w:val="auto"/>
          <w:sz w:val="24"/>
          <w:szCs w:val="24"/>
        </w:rPr>
        <w:t>表示有选择，在一定条件下可以这样做的，采用“可”。</w:t>
      </w:r>
      <w:bookmarkEnd w:id="167"/>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widowControl/>
        <w:jc w:val="left"/>
        <w:rPr>
          <w:color w:val="auto"/>
          <w:sz w:val="24"/>
          <w:szCs w:val="24"/>
        </w:rPr>
      </w:pPr>
      <w:r>
        <w:rPr>
          <w:color w:val="auto"/>
          <w:sz w:val="24"/>
          <w:szCs w:val="24"/>
        </w:rPr>
        <w:br w:type="page"/>
      </w:r>
    </w:p>
    <w:p>
      <w:pPr>
        <w:tabs>
          <w:tab w:val="left" w:pos="19"/>
        </w:tabs>
        <w:spacing w:line="360" w:lineRule="auto"/>
        <w:jc w:val="center"/>
        <w:outlineLvl w:val="0"/>
        <w:rPr>
          <w:b/>
          <w:color w:val="auto"/>
          <w:sz w:val="30"/>
        </w:rPr>
      </w:pPr>
      <w:bookmarkStart w:id="168" w:name="_Toc502325497"/>
      <w:bookmarkStart w:id="169" w:name="_Toc485647659"/>
      <w:bookmarkStart w:id="170" w:name="_Toc19236"/>
      <w:bookmarkStart w:id="171" w:name="_Toc6815068"/>
      <w:bookmarkStart w:id="172" w:name="_Toc86055362"/>
      <w:bookmarkStart w:id="173" w:name="_Toc74137315"/>
      <w:bookmarkStart w:id="174" w:name="_Toc485043058"/>
      <w:r>
        <w:rPr>
          <w:rFonts w:hint="eastAsia"/>
          <w:b/>
          <w:color w:val="auto"/>
          <w:sz w:val="30"/>
        </w:rPr>
        <w:t>引用标准名录</w:t>
      </w:r>
      <w:bookmarkEnd w:id="168"/>
      <w:bookmarkEnd w:id="169"/>
      <w:bookmarkEnd w:id="170"/>
      <w:bookmarkEnd w:id="171"/>
      <w:bookmarkEnd w:id="172"/>
      <w:bookmarkEnd w:id="173"/>
      <w:bookmarkEnd w:id="174"/>
    </w:p>
    <w:p>
      <w:pPr>
        <w:widowControl/>
        <w:tabs>
          <w:tab w:val="left" w:pos="312"/>
        </w:tabs>
        <w:adjustRightInd w:val="0"/>
        <w:snapToGrid w:val="0"/>
        <w:spacing w:line="360" w:lineRule="auto"/>
        <w:ind w:firstLine="720" w:firstLineChars="300"/>
        <w:jc w:val="left"/>
        <w:rPr>
          <w:b/>
          <w:color w:val="auto"/>
          <w:sz w:val="30"/>
        </w:rPr>
      </w:pPr>
      <w:r>
        <w:rPr>
          <w:rFonts w:hint="eastAsia" w:ascii="宋体" w:hAnsi="宋体" w:cs="微软雅黑"/>
          <w:bCs/>
          <w:color w:val="auto"/>
          <w:sz w:val="24"/>
          <w:szCs w:val="24"/>
        </w:rPr>
        <w:t>本规程引用下列标准。其中，注日期的，仅对该日期对应的版本适用本规程；不注日期的，其最新版适用于本规程。</w:t>
      </w:r>
    </w:p>
    <w:p>
      <w:pPr>
        <w:widowControl/>
        <w:tabs>
          <w:tab w:val="left" w:pos="312"/>
        </w:tabs>
        <w:adjustRightInd w:val="0"/>
        <w:snapToGrid w:val="0"/>
        <w:spacing w:line="360" w:lineRule="auto"/>
        <w:jc w:val="left"/>
        <w:rPr>
          <w:rFonts w:ascii="宋体" w:hAnsi="宋体" w:cs="宋体"/>
          <w:bCs/>
          <w:color w:val="auto"/>
          <w:sz w:val="24"/>
          <w:szCs w:val="28"/>
        </w:rPr>
      </w:pPr>
      <w:bookmarkStart w:id="175" w:name="_Toc86055363"/>
      <w:bookmarkStart w:id="176" w:name="_Toc85814246"/>
      <w:r>
        <w:rPr>
          <w:rFonts w:hint="eastAsia" w:ascii="宋体" w:hAnsi="宋体" w:cs="宋体"/>
          <w:bCs/>
          <w:color w:val="auto"/>
          <w:sz w:val="24"/>
          <w:szCs w:val="28"/>
        </w:rPr>
        <w:t>《建筑采光设计标准》GB50033</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《民用建筑工程室内环境污染控制规范》GB 50325</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《建筑碳排放计算标准》GB/T 51366</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《建筑节能与可再生能源利用通用规范》GB55015-2021</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《零碳建筑技术标准》</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《建筑节能气象参数标准》JGJ/T 346</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《高效空调制冷机房评价标准》T/CECS 1100</w:t>
      </w:r>
    </w:p>
    <w:bookmarkEnd w:id="175"/>
    <w:bookmarkEnd w:id="176"/>
    <w:p>
      <w:pPr>
        <w:widowControl/>
        <w:jc w:val="left"/>
      </w:pPr>
    </w:p>
    <w:p>
      <w:pPr>
        <w:widowControl/>
        <w:jc w:val="left"/>
      </w:pPr>
      <w:r>
        <w:br w:type="page"/>
      </w:r>
    </w:p>
    <w:p>
      <w:pPr>
        <w:spacing w:line="360" w:lineRule="auto"/>
        <w:rPr>
          <w:b/>
          <w:sz w:val="28"/>
          <w:szCs w:val="28"/>
        </w:rPr>
      </w:pPr>
    </w:p>
    <w:p>
      <w:pPr>
        <w:spacing w:line="360" w:lineRule="auto"/>
        <w:rPr>
          <w:b/>
          <w:sz w:val="28"/>
          <w:szCs w:val="28"/>
        </w:rPr>
      </w:pPr>
    </w:p>
    <w:p>
      <w:pPr>
        <w:spacing w:line="360" w:lineRule="auto"/>
        <w:ind w:firstLine="0" w:firstLineChars="0"/>
        <w:jc w:val="center"/>
        <w:rPr>
          <w:b/>
          <w:bCs/>
          <w:color w:val="auto"/>
          <w:sz w:val="36"/>
          <w:szCs w:val="36"/>
        </w:rPr>
      </w:pPr>
      <w:r>
        <w:rPr>
          <w:color w:val="auto"/>
          <w:sz w:val="36"/>
          <w:szCs w:val="36"/>
        </w:rPr>
        <w:t>中国工程建设标准化协会标准</w:t>
      </w:r>
    </w:p>
    <w:p>
      <w:pPr>
        <w:jc w:val="center"/>
        <w:rPr>
          <w:rFonts w:ascii="黑体" w:eastAsia="黑体"/>
          <w:b/>
          <w:color w:val="auto"/>
          <w:sz w:val="32"/>
          <w:szCs w:val="32"/>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48"/>
          <w:szCs w:val="48"/>
        </w:rPr>
      </w:pPr>
      <w:r>
        <w:rPr>
          <w:rFonts w:hint="eastAsia"/>
          <w:b/>
          <w:color w:val="auto"/>
          <w:sz w:val="48"/>
          <w:szCs w:val="48"/>
          <w:lang w:val="en-US" w:eastAsia="zh-CN"/>
        </w:rPr>
        <w:t>低碳办公建筑</w:t>
      </w:r>
      <w:r>
        <w:rPr>
          <w:rFonts w:hint="eastAsia"/>
          <w:b/>
          <w:color w:val="auto"/>
          <w:sz w:val="48"/>
          <w:szCs w:val="48"/>
        </w:rPr>
        <w:t>技术规程</w:t>
      </w:r>
    </w:p>
    <w:p>
      <w:pPr>
        <w:spacing w:line="360" w:lineRule="auto"/>
        <w:jc w:val="center"/>
        <w:rPr>
          <w:b/>
          <w:color w:val="auto"/>
          <w:sz w:val="48"/>
          <w:szCs w:val="48"/>
        </w:rPr>
      </w:pPr>
    </w:p>
    <w:p>
      <w:pPr>
        <w:spacing w:line="360" w:lineRule="auto"/>
        <w:jc w:val="center"/>
        <w:rPr>
          <w:b/>
          <w:color w:val="auto"/>
          <w:sz w:val="32"/>
          <w:szCs w:val="32"/>
        </w:rPr>
      </w:pPr>
      <w:r>
        <w:rPr>
          <w:b/>
          <w:color w:val="auto"/>
          <w:sz w:val="32"/>
          <w:szCs w:val="32"/>
        </w:rPr>
        <w:t>T/CECS *** -20</w:t>
      </w:r>
      <w:r>
        <w:rPr>
          <w:rFonts w:hint="eastAsia"/>
          <w:b/>
          <w:color w:val="auto"/>
          <w:sz w:val="32"/>
          <w:szCs w:val="32"/>
          <w:lang w:val="en-US" w:eastAsia="zh-CN"/>
        </w:rPr>
        <w:t>23</w:t>
      </w: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bookmarkStart w:id="177" w:name="_Toc489623311"/>
      <w:bookmarkStart w:id="178" w:name="_Toc490230521"/>
      <w:bookmarkStart w:id="179" w:name="_Toc487617105"/>
      <w:r>
        <w:rPr>
          <w:rFonts w:hint="eastAsia"/>
          <w:b/>
          <w:color w:val="auto"/>
          <w:sz w:val="44"/>
          <w:szCs w:val="44"/>
        </w:rPr>
        <w:t>条文说明</w:t>
      </w:r>
      <w:bookmarkEnd w:id="177"/>
      <w:bookmarkEnd w:id="178"/>
      <w:bookmarkEnd w:id="179"/>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widowControl/>
        <w:jc w:val="center"/>
        <w:rPr>
          <w:b/>
          <w:color w:val="auto"/>
          <w:sz w:val="32"/>
          <w:szCs w:val="32"/>
        </w:rPr>
      </w:pPr>
      <w:r>
        <w:rPr>
          <w:rFonts w:hint="eastAsia"/>
          <w:b/>
          <w:color w:val="auto"/>
          <w:sz w:val="32"/>
          <w:szCs w:val="32"/>
        </w:rPr>
        <w:t>制 定 说 明</w:t>
      </w:r>
    </w:p>
    <w:p>
      <w:pPr>
        <w:widowControl/>
        <w:spacing w:line="360" w:lineRule="auto"/>
        <w:ind w:firstLine="480" w:firstLineChars="200"/>
        <w:jc w:val="left"/>
        <w:rPr>
          <w:color w:val="auto"/>
          <w:sz w:val="24"/>
          <w:szCs w:val="24"/>
        </w:rPr>
      </w:pPr>
      <w:r>
        <w:rPr>
          <w:rFonts w:hint="eastAsia"/>
          <w:color w:val="auto"/>
          <w:sz w:val="24"/>
          <w:szCs w:val="24"/>
        </w:rPr>
        <w:t>本规程制定过程中，编制组进行了深入、广泛的调查研究，总结了</w:t>
      </w:r>
      <w:r>
        <w:rPr>
          <w:rFonts w:hint="eastAsia"/>
          <w:color w:val="auto"/>
          <w:sz w:val="24"/>
          <w:szCs w:val="24"/>
          <w:lang w:val="en-US" w:eastAsia="zh-CN"/>
        </w:rPr>
        <w:t>低碳办公建筑设计、施工、运行过程中</w:t>
      </w:r>
      <w:r>
        <w:rPr>
          <w:rFonts w:hint="eastAsia"/>
          <w:color w:val="auto"/>
          <w:sz w:val="24"/>
          <w:szCs w:val="24"/>
        </w:rPr>
        <w:t>的实践经验，同时参考了国外先进技术法规、技术标准，通过对</w:t>
      </w:r>
      <w:r>
        <w:rPr>
          <w:rFonts w:hint="eastAsia"/>
          <w:color w:val="auto"/>
          <w:sz w:val="24"/>
          <w:szCs w:val="24"/>
          <w:lang w:val="en-US" w:eastAsia="zh-CN"/>
        </w:rPr>
        <w:t>低碳办公建筑</w:t>
      </w:r>
      <w:r>
        <w:rPr>
          <w:rFonts w:hint="eastAsia"/>
          <w:color w:val="auto"/>
          <w:sz w:val="24"/>
          <w:szCs w:val="24"/>
        </w:rPr>
        <w:t>指标和技术措施的研究，取得了阶段性成果。</w:t>
      </w:r>
    </w:p>
    <w:p>
      <w:pPr>
        <w:widowControl/>
        <w:spacing w:line="360" w:lineRule="auto"/>
        <w:ind w:firstLine="480" w:firstLineChars="200"/>
        <w:jc w:val="left"/>
        <w:rPr>
          <w:color w:val="auto"/>
          <w:sz w:val="24"/>
          <w:szCs w:val="24"/>
        </w:rPr>
      </w:pPr>
      <w:r>
        <w:rPr>
          <w:rFonts w:hint="eastAsia"/>
          <w:color w:val="auto"/>
          <w:sz w:val="24"/>
          <w:szCs w:val="24"/>
        </w:rPr>
        <w:t>本规程编制原则为：（1）</w:t>
      </w:r>
      <w:r>
        <w:rPr>
          <w:rFonts w:hint="eastAsia"/>
          <w:color w:val="auto"/>
          <w:sz w:val="24"/>
          <w:szCs w:val="24"/>
          <w:lang w:val="en-US" w:eastAsia="zh-CN"/>
        </w:rPr>
        <w:t>充分考虑办公建筑特征，</w:t>
      </w:r>
      <w:r>
        <w:rPr>
          <w:rFonts w:hint="eastAsia"/>
          <w:color w:val="auto"/>
          <w:sz w:val="24"/>
          <w:szCs w:val="24"/>
        </w:rPr>
        <w:t>制定</w:t>
      </w:r>
      <w:r>
        <w:rPr>
          <w:rFonts w:hint="eastAsia"/>
          <w:color w:val="auto"/>
          <w:sz w:val="24"/>
          <w:szCs w:val="24"/>
          <w:lang w:val="en-US" w:eastAsia="zh-CN"/>
        </w:rPr>
        <w:t>适用于办公建筑类型的低碳办公</w:t>
      </w:r>
      <w:r>
        <w:rPr>
          <w:rFonts w:hint="eastAsia"/>
          <w:color w:val="auto"/>
          <w:sz w:val="24"/>
          <w:szCs w:val="24"/>
        </w:rPr>
        <w:t>建筑技术规程；（2）以国家强制性节能标准《建筑节能与可再生能源利用通用规范》GB55015、推荐性标准《近零能耗建筑技术标准》GB/T 51350</w:t>
      </w:r>
      <w:r>
        <w:rPr>
          <w:rFonts w:hint="eastAsia"/>
          <w:color w:val="auto"/>
          <w:sz w:val="24"/>
          <w:szCs w:val="24"/>
          <w:lang w:eastAsia="zh-CN"/>
        </w:rPr>
        <w:t>、</w:t>
      </w:r>
      <w:r>
        <w:rPr>
          <w:rFonts w:hint="eastAsia"/>
          <w:color w:val="auto"/>
          <w:sz w:val="24"/>
          <w:szCs w:val="24"/>
        </w:rPr>
        <w:t>《建筑碳排放计算标准》GB/T 51366</w:t>
      </w:r>
      <w:r>
        <w:rPr>
          <w:rFonts w:hint="eastAsia"/>
          <w:color w:val="auto"/>
          <w:sz w:val="24"/>
          <w:szCs w:val="24"/>
          <w:lang w:eastAsia="zh-CN"/>
        </w:rPr>
        <w:t>、</w:t>
      </w:r>
      <w:r>
        <w:rPr>
          <w:rFonts w:hint="eastAsia"/>
          <w:color w:val="auto"/>
          <w:sz w:val="24"/>
          <w:szCs w:val="24"/>
          <w:lang w:val="en-US" w:eastAsia="zh-CN"/>
        </w:rPr>
        <w:t>以及即将发布的《零碳建筑技术标准》</w:t>
      </w:r>
      <w:r>
        <w:rPr>
          <w:rFonts w:hint="eastAsia"/>
          <w:color w:val="auto"/>
          <w:sz w:val="24"/>
          <w:szCs w:val="24"/>
        </w:rPr>
        <w:t>等较为成熟的国内标准为基础，制定本</w:t>
      </w:r>
      <w:r>
        <w:rPr>
          <w:rFonts w:hint="eastAsia"/>
          <w:color w:val="auto"/>
          <w:sz w:val="24"/>
          <w:szCs w:val="24"/>
          <w:lang w:val="en-US" w:eastAsia="zh-CN"/>
        </w:rPr>
        <w:t>规程</w:t>
      </w:r>
      <w:r>
        <w:rPr>
          <w:rFonts w:hint="eastAsia"/>
          <w:color w:val="auto"/>
          <w:sz w:val="24"/>
          <w:szCs w:val="24"/>
        </w:rPr>
        <w:t>；（3）</w:t>
      </w:r>
      <w:r>
        <w:rPr>
          <w:rFonts w:hint="eastAsia"/>
          <w:color w:val="auto"/>
          <w:sz w:val="24"/>
          <w:szCs w:val="24"/>
          <w:lang w:val="en-US" w:eastAsia="zh-CN"/>
        </w:rPr>
        <w:t>低碳办公建筑</w:t>
      </w:r>
      <w:r>
        <w:rPr>
          <w:rFonts w:hint="eastAsia"/>
          <w:color w:val="auto"/>
          <w:sz w:val="24"/>
          <w:szCs w:val="24"/>
        </w:rPr>
        <w:t>的</w:t>
      </w:r>
      <w:r>
        <w:rPr>
          <w:rFonts w:hint="eastAsia"/>
          <w:color w:val="auto"/>
          <w:sz w:val="24"/>
          <w:szCs w:val="24"/>
          <w:lang w:val="en-US" w:eastAsia="zh-CN"/>
        </w:rPr>
        <w:t>技术措施</w:t>
      </w:r>
      <w:r>
        <w:rPr>
          <w:rFonts w:hint="eastAsia"/>
          <w:color w:val="auto"/>
          <w:sz w:val="24"/>
          <w:szCs w:val="24"/>
        </w:rPr>
        <w:t>制定应切实可行，可通过合理充分采用现有先进节能减碳技术，通过可控的成本实现。</w:t>
      </w:r>
    </w:p>
    <w:p>
      <w:pPr>
        <w:widowControl/>
        <w:spacing w:line="360" w:lineRule="auto"/>
        <w:ind w:firstLine="480" w:firstLineChars="200"/>
        <w:jc w:val="left"/>
        <w:rPr>
          <w:color w:val="auto"/>
          <w:sz w:val="24"/>
          <w:szCs w:val="24"/>
        </w:rPr>
      </w:pPr>
      <w:r>
        <w:rPr>
          <w:rFonts w:hint="eastAsia"/>
          <w:color w:val="auto"/>
          <w:sz w:val="24"/>
          <w:szCs w:val="24"/>
        </w:rPr>
        <w:t>关于</w:t>
      </w:r>
      <w:r>
        <w:rPr>
          <w:rFonts w:hint="eastAsia"/>
          <w:color w:val="auto"/>
          <w:sz w:val="24"/>
          <w:szCs w:val="24"/>
          <w:lang w:val="en-US" w:eastAsia="zh-CN"/>
        </w:rPr>
        <w:t>低碳办公建筑</w:t>
      </w:r>
      <w:r>
        <w:rPr>
          <w:rFonts w:hint="eastAsia"/>
          <w:color w:val="auto"/>
          <w:sz w:val="24"/>
          <w:szCs w:val="24"/>
        </w:rPr>
        <w:t>的定义、技术指标和技术措施等重要问题，编制组给出了具有可操作性的解决措施，编制组将对其他尚需深入研究的有关问题多方取证、试验探究和工程应用后对规程进行更新补充。</w:t>
      </w:r>
    </w:p>
    <w:p>
      <w:pPr>
        <w:widowControl/>
        <w:spacing w:line="360" w:lineRule="auto"/>
        <w:ind w:firstLine="480" w:firstLineChars="200"/>
        <w:jc w:val="left"/>
      </w:pPr>
      <w:r>
        <w:rPr>
          <w:rFonts w:hint="eastAsia"/>
          <w:color w:val="auto"/>
          <w:sz w:val="24"/>
          <w:szCs w:val="24"/>
        </w:rPr>
        <w:t>为便于广大技术和管理人员在使用本规程时能正确理解和执行条款规定，《</w:t>
      </w:r>
      <w:r>
        <w:rPr>
          <w:rFonts w:hint="eastAsia"/>
          <w:color w:val="auto"/>
          <w:sz w:val="24"/>
          <w:szCs w:val="24"/>
          <w:lang w:val="en-US" w:eastAsia="zh-CN"/>
        </w:rPr>
        <w:t>低碳办公建筑技术规程</w:t>
      </w:r>
      <w:r>
        <w:rPr>
          <w:rFonts w:hint="eastAsia"/>
          <w:color w:val="auto"/>
          <w:sz w:val="24"/>
          <w:szCs w:val="24"/>
        </w:rPr>
        <w:t>》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p>
    <w:sectPr>
      <w:footerReference r:id="rId7" w:type="default"/>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ZPingXYSJW">
    <w:altName w:val="Cambria"/>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52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52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24"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12"/>
                            <w:ind w:left="525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a687LPAQAAmAMAAA4AAABkcnMvZTJvRG9jLnhtbK1TzY7TMBC+I/EO&#10;lu80TbdlV1HTFahahIQAaeEBXMduLPlPHrdJXwDegBMX7jxXn2PHTtKF5bIHLs5kPPnm+76ZrG97&#10;o8lRBFDO1rSczSkRlrtG2X1Nv365e3VDCURmG6adFTU9CaC3m5cv1p2vxMK1TjciEASxUHW+pm2M&#10;vioK4K0wDGbOC4uX0gXDIr6GfdEE1iG60cViPn9ddC40PjguADC7HS7piBieA+ikVFxsHT8YYeOA&#10;GoRmESVBqzzQTWYrpeDxk5QgItE1RaUxn9gE4106i82aVfvAfKv4SIE9h8ITTYYpi00vUFsWGTkE&#10;9Q+UUTw4cDLOuDPFICQ7girK+RNv7lvmRdaCVoO/mA7/D5Z/PH4ORDW4CYslJZYZHPn5x/fzz9/n&#10;X9/IVTKo81Bh3b3Hyti/dT0WT3nAZNLdy2DSExURvEd7Txd7RR8Jx+Tq+vpmRQnHm/KqXC5XCaR4&#10;/NYHiO+EMyQFNQ04vOwpO36AOJROJamVdXdK6zxAbf9KIGbKFIn4QDBFsd/1o5qda04opsO519Ti&#10;mlOi31u0Na3IFIQp2E3BwQe1b5FamXmBf3OISCJzSx0G2LExDiyrG5crbcSf77nq8YfaP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Pi91E0AAAAAIBAAAPAAAAAAAAAAEAIAAAACIAAABkcnMvZG93&#10;bnJldi54bWxQSwECFAAUAAAACACHTuJAlrrzss8BAACYAwAADgAAAAAAAAABACAAAAAfAQAAZHJz&#10;L2Uyb0RvYy54bWxQSwUGAAAAAAYABgBZAQAAYAUAAAAA&#10;">
              <v:fill on="f" focussize="0,0"/>
              <v:stroke on="f"/>
              <v:imagedata o:title=""/>
              <o:lock v:ext="edit" aspectratio="f"/>
              <v:textbox inset="0mm,0mm,0mm,0mm" style="mso-fit-shape-to-text:t;">
                <w:txbxContent>
                  <w:p>
                    <w:pPr>
                      <w:pStyle w:val="12"/>
                      <w:ind w:left="525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cs="Times New Roman"/>
      </w:rPr>
    </w:pP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8824382"/>
    </w:sdtPr>
    <w:sdtEndPr>
      <w:rPr>
        <w:rFonts w:ascii="Times New Roman" w:hAnsi="Times New Roman" w:cs="Times New Roman"/>
      </w:rPr>
    </w:sdtEndPr>
    <w:sdtContent>
      <w:p>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9086676"/>
    </w:sdtPr>
    <w:sdtEndPr>
      <w:rPr>
        <w:rFonts w:ascii="Times New Roman" w:hAnsi="Times New Roman" w:cs="Times New Roman"/>
      </w:rPr>
    </w:sdtEndPr>
    <w:sdtContent>
      <w:p>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012116"/>
    <w:multiLevelType w:val="multilevel"/>
    <w:tmpl w:val="23012116"/>
    <w:lvl w:ilvl="0" w:tentative="0">
      <w:start w:val="1"/>
      <w:numFmt w:val="decimal"/>
      <w:pStyle w:val="51"/>
      <w:lvlText w:val="%1 "/>
      <w:lvlJc w:val="left"/>
      <w:pPr>
        <w:ind w:left="420" w:hanging="420"/>
      </w:pPr>
      <w:rPr>
        <w:rFonts w:hint="eastAsia" w:ascii="黑体" w:hAnsi="黑体" w:eastAsia="黑体"/>
        <w:b w:val="0"/>
        <w:i w:val="0"/>
        <w:sz w:val="24"/>
      </w:rPr>
    </w:lvl>
    <w:lvl w:ilvl="1" w:tentative="0">
      <w:start w:val="1"/>
      <w:numFmt w:val="decimal"/>
      <w:lvlText w:val="（%2）"/>
      <w:lvlJc w:val="left"/>
      <w:pPr>
        <w:ind w:left="856" w:hanging="720"/>
      </w:pPr>
      <w:rPr>
        <w:rFonts w:hint="default"/>
      </w:r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
    <w:nsid w:val="5CB66CFE"/>
    <w:multiLevelType w:val="multilevel"/>
    <w:tmpl w:val="5CB66CFE"/>
    <w:lvl w:ilvl="0" w:tentative="0">
      <w:start w:val="7"/>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5DC50C82"/>
    <w:multiLevelType w:val="singleLevel"/>
    <w:tmpl w:val="5DC50C82"/>
    <w:lvl w:ilvl="0" w:tentative="0">
      <w:start w:val="1"/>
      <w:numFmt w:val="decimal"/>
      <w:suff w:val="nothing"/>
      <w:lvlText w:val="%1"/>
      <w:lvlJc w:val="left"/>
      <w:pPr>
        <w:ind w:left="0" w:firstLine="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yNjNiODMyYzUxNWViOGRmOGYxZTJmZDhhOTEzMDIifQ=="/>
  </w:docVars>
  <w:rsids>
    <w:rsidRoot w:val="00396523"/>
    <w:rsid w:val="000000C1"/>
    <w:rsid w:val="000020C4"/>
    <w:rsid w:val="00002FDE"/>
    <w:rsid w:val="000031F8"/>
    <w:rsid w:val="00004BEC"/>
    <w:rsid w:val="00010FD1"/>
    <w:rsid w:val="0001129B"/>
    <w:rsid w:val="00012781"/>
    <w:rsid w:val="00013ABD"/>
    <w:rsid w:val="00014635"/>
    <w:rsid w:val="000162DA"/>
    <w:rsid w:val="00022317"/>
    <w:rsid w:val="000226A4"/>
    <w:rsid w:val="00022C14"/>
    <w:rsid w:val="0002619F"/>
    <w:rsid w:val="000278C4"/>
    <w:rsid w:val="00031A77"/>
    <w:rsid w:val="00032464"/>
    <w:rsid w:val="00035194"/>
    <w:rsid w:val="00036D74"/>
    <w:rsid w:val="00037422"/>
    <w:rsid w:val="00042450"/>
    <w:rsid w:val="00043D7C"/>
    <w:rsid w:val="00044B38"/>
    <w:rsid w:val="00044C4F"/>
    <w:rsid w:val="00045267"/>
    <w:rsid w:val="000461D5"/>
    <w:rsid w:val="000463A5"/>
    <w:rsid w:val="000505CF"/>
    <w:rsid w:val="00052357"/>
    <w:rsid w:val="00053AF2"/>
    <w:rsid w:val="00054B57"/>
    <w:rsid w:val="00057412"/>
    <w:rsid w:val="000575C6"/>
    <w:rsid w:val="0006289B"/>
    <w:rsid w:val="00063593"/>
    <w:rsid w:val="00063DBA"/>
    <w:rsid w:val="000649A9"/>
    <w:rsid w:val="00064D6A"/>
    <w:rsid w:val="00065FD9"/>
    <w:rsid w:val="0006650E"/>
    <w:rsid w:val="00066A30"/>
    <w:rsid w:val="000704D6"/>
    <w:rsid w:val="00071748"/>
    <w:rsid w:val="00075AB6"/>
    <w:rsid w:val="00076E63"/>
    <w:rsid w:val="00080008"/>
    <w:rsid w:val="0008094F"/>
    <w:rsid w:val="00082164"/>
    <w:rsid w:val="00082257"/>
    <w:rsid w:val="00082847"/>
    <w:rsid w:val="0008308C"/>
    <w:rsid w:val="000838BC"/>
    <w:rsid w:val="00084A2A"/>
    <w:rsid w:val="00084E27"/>
    <w:rsid w:val="00084EC1"/>
    <w:rsid w:val="00085BDC"/>
    <w:rsid w:val="00086760"/>
    <w:rsid w:val="00093C5A"/>
    <w:rsid w:val="00095354"/>
    <w:rsid w:val="000957B7"/>
    <w:rsid w:val="000A1EDE"/>
    <w:rsid w:val="000A2113"/>
    <w:rsid w:val="000A3DFC"/>
    <w:rsid w:val="000A717B"/>
    <w:rsid w:val="000A7777"/>
    <w:rsid w:val="000B0701"/>
    <w:rsid w:val="000B18C8"/>
    <w:rsid w:val="000B37BC"/>
    <w:rsid w:val="000B5D74"/>
    <w:rsid w:val="000B5ED1"/>
    <w:rsid w:val="000B5F5E"/>
    <w:rsid w:val="000B7242"/>
    <w:rsid w:val="000C3A26"/>
    <w:rsid w:val="000C4916"/>
    <w:rsid w:val="000C5206"/>
    <w:rsid w:val="000C6099"/>
    <w:rsid w:val="000C7CBD"/>
    <w:rsid w:val="000D0EB1"/>
    <w:rsid w:val="000D3904"/>
    <w:rsid w:val="000D431B"/>
    <w:rsid w:val="000D44C0"/>
    <w:rsid w:val="000E02C6"/>
    <w:rsid w:val="000E3401"/>
    <w:rsid w:val="000E5F37"/>
    <w:rsid w:val="000F0564"/>
    <w:rsid w:val="000F098D"/>
    <w:rsid w:val="000F26CF"/>
    <w:rsid w:val="000F73D5"/>
    <w:rsid w:val="001025D0"/>
    <w:rsid w:val="00103357"/>
    <w:rsid w:val="00104F25"/>
    <w:rsid w:val="0010687A"/>
    <w:rsid w:val="001103F5"/>
    <w:rsid w:val="00110432"/>
    <w:rsid w:val="001124A5"/>
    <w:rsid w:val="00116B0C"/>
    <w:rsid w:val="00117152"/>
    <w:rsid w:val="001232B3"/>
    <w:rsid w:val="0012451C"/>
    <w:rsid w:val="00126485"/>
    <w:rsid w:val="0013021D"/>
    <w:rsid w:val="00132629"/>
    <w:rsid w:val="0013271A"/>
    <w:rsid w:val="001333D0"/>
    <w:rsid w:val="00135724"/>
    <w:rsid w:val="00136EFB"/>
    <w:rsid w:val="001405B4"/>
    <w:rsid w:val="00142542"/>
    <w:rsid w:val="00142876"/>
    <w:rsid w:val="00146901"/>
    <w:rsid w:val="00146E3D"/>
    <w:rsid w:val="00150DE7"/>
    <w:rsid w:val="00151061"/>
    <w:rsid w:val="00151EB4"/>
    <w:rsid w:val="001526EA"/>
    <w:rsid w:val="001528F8"/>
    <w:rsid w:val="00154FFD"/>
    <w:rsid w:val="00156AB0"/>
    <w:rsid w:val="0015731E"/>
    <w:rsid w:val="001579A3"/>
    <w:rsid w:val="00157FCD"/>
    <w:rsid w:val="0016020D"/>
    <w:rsid w:val="00160C8A"/>
    <w:rsid w:val="00160EEC"/>
    <w:rsid w:val="00161656"/>
    <w:rsid w:val="0016502F"/>
    <w:rsid w:val="001667C0"/>
    <w:rsid w:val="001669CD"/>
    <w:rsid w:val="00170370"/>
    <w:rsid w:val="001705EA"/>
    <w:rsid w:val="00172485"/>
    <w:rsid w:val="001734C7"/>
    <w:rsid w:val="00174CD8"/>
    <w:rsid w:val="00175870"/>
    <w:rsid w:val="001765E8"/>
    <w:rsid w:val="00177932"/>
    <w:rsid w:val="00177DD1"/>
    <w:rsid w:val="00182497"/>
    <w:rsid w:val="00182748"/>
    <w:rsid w:val="00182D6D"/>
    <w:rsid w:val="00183E9F"/>
    <w:rsid w:val="00184CEC"/>
    <w:rsid w:val="00190051"/>
    <w:rsid w:val="00190514"/>
    <w:rsid w:val="00190BDC"/>
    <w:rsid w:val="00191A4A"/>
    <w:rsid w:val="00192DD0"/>
    <w:rsid w:val="001932F1"/>
    <w:rsid w:val="001A14FD"/>
    <w:rsid w:val="001A181F"/>
    <w:rsid w:val="001A20D2"/>
    <w:rsid w:val="001A21F7"/>
    <w:rsid w:val="001A24FA"/>
    <w:rsid w:val="001A3A34"/>
    <w:rsid w:val="001A7614"/>
    <w:rsid w:val="001B0355"/>
    <w:rsid w:val="001B12AA"/>
    <w:rsid w:val="001B2F3F"/>
    <w:rsid w:val="001B3469"/>
    <w:rsid w:val="001B431C"/>
    <w:rsid w:val="001B4524"/>
    <w:rsid w:val="001B53EA"/>
    <w:rsid w:val="001B6074"/>
    <w:rsid w:val="001B6485"/>
    <w:rsid w:val="001B670A"/>
    <w:rsid w:val="001B7EC5"/>
    <w:rsid w:val="001C1254"/>
    <w:rsid w:val="001C2226"/>
    <w:rsid w:val="001C44EB"/>
    <w:rsid w:val="001D0EDC"/>
    <w:rsid w:val="001D155F"/>
    <w:rsid w:val="001D16FC"/>
    <w:rsid w:val="001D1FB7"/>
    <w:rsid w:val="001D463E"/>
    <w:rsid w:val="001D5A1A"/>
    <w:rsid w:val="001D6CFF"/>
    <w:rsid w:val="001E0521"/>
    <w:rsid w:val="001E0C50"/>
    <w:rsid w:val="001E0FCD"/>
    <w:rsid w:val="001E10B5"/>
    <w:rsid w:val="001E3887"/>
    <w:rsid w:val="001E4A7A"/>
    <w:rsid w:val="001E4B0D"/>
    <w:rsid w:val="001E4C0E"/>
    <w:rsid w:val="001E572D"/>
    <w:rsid w:val="001E60CE"/>
    <w:rsid w:val="001F1AA5"/>
    <w:rsid w:val="001F33C5"/>
    <w:rsid w:val="001F4ED9"/>
    <w:rsid w:val="00203126"/>
    <w:rsid w:val="0020497E"/>
    <w:rsid w:val="00205AA9"/>
    <w:rsid w:val="00207FDD"/>
    <w:rsid w:val="00210D71"/>
    <w:rsid w:val="00211502"/>
    <w:rsid w:val="00214700"/>
    <w:rsid w:val="00217EFE"/>
    <w:rsid w:val="002205F0"/>
    <w:rsid w:val="002208BF"/>
    <w:rsid w:val="00221D51"/>
    <w:rsid w:val="00222782"/>
    <w:rsid w:val="00223C12"/>
    <w:rsid w:val="00224581"/>
    <w:rsid w:val="00226AF1"/>
    <w:rsid w:val="00226F39"/>
    <w:rsid w:val="00227EEC"/>
    <w:rsid w:val="00230863"/>
    <w:rsid w:val="00237D1C"/>
    <w:rsid w:val="00237DEF"/>
    <w:rsid w:val="00243398"/>
    <w:rsid w:val="00243C66"/>
    <w:rsid w:val="002452F0"/>
    <w:rsid w:val="0024555E"/>
    <w:rsid w:val="00246635"/>
    <w:rsid w:val="00247813"/>
    <w:rsid w:val="00254854"/>
    <w:rsid w:val="00254FAF"/>
    <w:rsid w:val="00255BE1"/>
    <w:rsid w:val="0025658D"/>
    <w:rsid w:val="00257727"/>
    <w:rsid w:val="00264628"/>
    <w:rsid w:val="002649E2"/>
    <w:rsid w:val="002662E2"/>
    <w:rsid w:val="002732A5"/>
    <w:rsid w:val="00273617"/>
    <w:rsid w:val="00273CB4"/>
    <w:rsid w:val="00274910"/>
    <w:rsid w:val="00276ACC"/>
    <w:rsid w:val="00276E5E"/>
    <w:rsid w:val="00277608"/>
    <w:rsid w:val="0028069B"/>
    <w:rsid w:val="00281DF8"/>
    <w:rsid w:val="00282CB6"/>
    <w:rsid w:val="00282CB8"/>
    <w:rsid w:val="002832A2"/>
    <w:rsid w:val="00283A11"/>
    <w:rsid w:val="002851D4"/>
    <w:rsid w:val="00286BAE"/>
    <w:rsid w:val="0029247F"/>
    <w:rsid w:val="002937B7"/>
    <w:rsid w:val="00294B5A"/>
    <w:rsid w:val="00295272"/>
    <w:rsid w:val="00296AD7"/>
    <w:rsid w:val="00297316"/>
    <w:rsid w:val="002A0526"/>
    <w:rsid w:val="002A0E66"/>
    <w:rsid w:val="002A3360"/>
    <w:rsid w:val="002A609D"/>
    <w:rsid w:val="002A7972"/>
    <w:rsid w:val="002B1B11"/>
    <w:rsid w:val="002B2B41"/>
    <w:rsid w:val="002B48A4"/>
    <w:rsid w:val="002B49B8"/>
    <w:rsid w:val="002B5922"/>
    <w:rsid w:val="002B6728"/>
    <w:rsid w:val="002C0263"/>
    <w:rsid w:val="002C0689"/>
    <w:rsid w:val="002C0743"/>
    <w:rsid w:val="002C0F98"/>
    <w:rsid w:val="002C2810"/>
    <w:rsid w:val="002C2CDE"/>
    <w:rsid w:val="002C34FF"/>
    <w:rsid w:val="002C3CD7"/>
    <w:rsid w:val="002C6D3E"/>
    <w:rsid w:val="002C6E0D"/>
    <w:rsid w:val="002D0B55"/>
    <w:rsid w:val="002D41B9"/>
    <w:rsid w:val="002D54BD"/>
    <w:rsid w:val="002D5A3E"/>
    <w:rsid w:val="002D6327"/>
    <w:rsid w:val="002D65F0"/>
    <w:rsid w:val="002D6B11"/>
    <w:rsid w:val="002E1968"/>
    <w:rsid w:val="002E225A"/>
    <w:rsid w:val="002E2BB7"/>
    <w:rsid w:val="002E33E3"/>
    <w:rsid w:val="002E64A0"/>
    <w:rsid w:val="002E7B7B"/>
    <w:rsid w:val="002F04CA"/>
    <w:rsid w:val="003006A4"/>
    <w:rsid w:val="0030535D"/>
    <w:rsid w:val="00307A42"/>
    <w:rsid w:val="00312353"/>
    <w:rsid w:val="003129FC"/>
    <w:rsid w:val="0031379C"/>
    <w:rsid w:val="00313999"/>
    <w:rsid w:val="00314C75"/>
    <w:rsid w:val="00314CB0"/>
    <w:rsid w:val="00317033"/>
    <w:rsid w:val="0031766A"/>
    <w:rsid w:val="00317D14"/>
    <w:rsid w:val="003204E5"/>
    <w:rsid w:val="003206BA"/>
    <w:rsid w:val="00320777"/>
    <w:rsid w:val="00322500"/>
    <w:rsid w:val="00326805"/>
    <w:rsid w:val="00327804"/>
    <w:rsid w:val="0033172C"/>
    <w:rsid w:val="0033277B"/>
    <w:rsid w:val="003329A6"/>
    <w:rsid w:val="00333985"/>
    <w:rsid w:val="003378E3"/>
    <w:rsid w:val="003379CB"/>
    <w:rsid w:val="00337F0A"/>
    <w:rsid w:val="00340CBF"/>
    <w:rsid w:val="003411A6"/>
    <w:rsid w:val="00341799"/>
    <w:rsid w:val="00342181"/>
    <w:rsid w:val="00342B9F"/>
    <w:rsid w:val="00342EAD"/>
    <w:rsid w:val="00343646"/>
    <w:rsid w:val="003442D6"/>
    <w:rsid w:val="003453EA"/>
    <w:rsid w:val="003461CE"/>
    <w:rsid w:val="003464B5"/>
    <w:rsid w:val="00354FA2"/>
    <w:rsid w:val="00355BB1"/>
    <w:rsid w:val="00355CFA"/>
    <w:rsid w:val="0035649D"/>
    <w:rsid w:val="003628F6"/>
    <w:rsid w:val="003631A6"/>
    <w:rsid w:val="00366A04"/>
    <w:rsid w:val="00366A51"/>
    <w:rsid w:val="0037204D"/>
    <w:rsid w:val="00373057"/>
    <w:rsid w:val="00373E48"/>
    <w:rsid w:val="003748FC"/>
    <w:rsid w:val="00374F95"/>
    <w:rsid w:val="003770BB"/>
    <w:rsid w:val="003840AD"/>
    <w:rsid w:val="00394F1A"/>
    <w:rsid w:val="00396523"/>
    <w:rsid w:val="00396825"/>
    <w:rsid w:val="003A234B"/>
    <w:rsid w:val="003A2BAD"/>
    <w:rsid w:val="003A37AA"/>
    <w:rsid w:val="003A5574"/>
    <w:rsid w:val="003A60FF"/>
    <w:rsid w:val="003B274F"/>
    <w:rsid w:val="003B33BC"/>
    <w:rsid w:val="003B4F14"/>
    <w:rsid w:val="003B590F"/>
    <w:rsid w:val="003B65ED"/>
    <w:rsid w:val="003C1147"/>
    <w:rsid w:val="003C3782"/>
    <w:rsid w:val="003C4F74"/>
    <w:rsid w:val="003C52D2"/>
    <w:rsid w:val="003C60F3"/>
    <w:rsid w:val="003C665F"/>
    <w:rsid w:val="003D00AD"/>
    <w:rsid w:val="003D08A6"/>
    <w:rsid w:val="003D2340"/>
    <w:rsid w:val="003D2773"/>
    <w:rsid w:val="003D3BFB"/>
    <w:rsid w:val="003D7B18"/>
    <w:rsid w:val="003E021F"/>
    <w:rsid w:val="003E102D"/>
    <w:rsid w:val="003E3FC5"/>
    <w:rsid w:val="003E4345"/>
    <w:rsid w:val="003E5EB5"/>
    <w:rsid w:val="003E626E"/>
    <w:rsid w:val="003F195D"/>
    <w:rsid w:val="003F2A08"/>
    <w:rsid w:val="003F2D69"/>
    <w:rsid w:val="003F3370"/>
    <w:rsid w:val="003F34A0"/>
    <w:rsid w:val="003F5120"/>
    <w:rsid w:val="003F790E"/>
    <w:rsid w:val="003F7BE4"/>
    <w:rsid w:val="004008FE"/>
    <w:rsid w:val="00402DD8"/>
    <w:rsid w:val="0040351E"/>
    <w:rsid w:val="004040C9"/>
    <w:rsid w:val="004063F1"/>
    <w:rsid w:val="00411CAF"/>
    <w:rsid w:val="00415B87"/>
    <w:rsid w:val="00420276"/>
    <w:rsid w:val="00421666"/>
    <w:rsid w:val="00421C65"/>
    <w:rsid w:val="004226DB"/>
    <w:rsid w:val="004244EA"/>
    <w:rsid w:val="00424702"/>
    <w:rsid w:val="004255E7"/>
    <w:rsid w:val="0042592C"/>
    <w:rsid w:val="004259B6"/>
    <w:rsid w:val="004266E5"/>
    <w:rsid w:val="004340A3"/>
    <w:rsid w:val="004369AD"/>
    <w:rsid w:val="00440D40"/>
    <w:rsid w:val="00441821"/>
    <w:rsid w:val="00441C33"/>
    <w:rsid w:val="00442B92"/>
    <w:rsid w:val="00442D37"/>
    <w:rsid w:val="00443791"/>
    <w:rsid w:val="00446E75"/>
    <w:rsid w:val="0044710A"/>
    <w:rsid w:val="004513B4"/>
    <w:rsid w:val="00452D1E"/>
    <w:rsid w:val="00455ACF"/>
    <w:rsid w:val="00457319"/>
    <w:rsid w:val="0046012F"/>
    <w:rsid w:val="00461A12"/>
    <w:rsid w:val="00461CF3"/>
    <w:rsid w:val="004643AE"/>
    <w:rsid w:val="0046584B"/>
    <w:rsid w:val="0047003C"/>
    <w:rsid w:val="00471836"/>
    <w:rsid w:val="00472914"/>
    <w:rsid w:val="00472B3C"/>
    <w:rsid w:val="00472D81"/>
    <w:rsid w:val="00474D5D"/>
    <w:rsid w:val="0047543A"/>
    <w:rsid w:val="00476F58"/>
    <w:rsid w:val="004774B4"/>
    <w:rsid w:val="00480515"/>
    <w:rsid w:val="004810E0"/>
    <w:rsid w:val="00483ABB"/>
    <w:rsid w:val="00484FBE"/>
    <w:rsid w:val="00485BA1"/>
    <w:rsid w:val="00487B25"/>
    <w:rsid w:val="0049037C"/>
    <w:rsid w:val="00491CD7"/>
    <w:rsid w:val="0049257C"/>
    <w:rsid w:val="0049291F"/>
    <w:rsid w:val="00492EF9"/>
    <w:rsid w:val="00493A43"/>
    <w:rsid w:val="004A11A2"/>
    <w:rsid w:val="004A1545"/>
    <w:rsid w:val="004A1837"/>
    <w:rsid w:val="004A2229"/>
    <w:rsid w:val="004A39CE"/>
    <w:rsid w:val="004A4082"/>
    <w:rsid w:val="004A4512"/>
    <w:rsid w:val="004A4517"/>
    <w:rsid w:val="004A4689"/>
    <w:rsid w:val="004A5D8F"/>
    <w:rsid w:val="004A7F4C"/>
    <w:rsid w:val="004B08B4"/>
    <w:rsid w:val="004B2EC2"/>
    <w:rsid w:val="004B314E"/>
    <w:rsid w:val="004B4A9D"/>
    <w:rsid w:val="004C508A"/>
    <w:rsid w:val="004C724D"/>
    <w:rsid w:val="004C7B6D"/>
    <w:rsid w:val="004D07FA"/>
    <w:rsid w:val="004D15F2"/>
    <w:rsid w:val="004D6A7F"/>
    <w:rsid w:val="004D6C2F"/>
    <w:rsid w:val="004D6F18"/>
    <w:rsid w:val="004E1893"/>
    <w:rsid w:val="004E195F"/>
    <w:rsid w:val="004E1D7D"/>
    <w:rsid w:val="004E23AF"/>
    <w:rsid w:val="004E2557"/>
    <w:rsid w:val="004E3E5B"/>
    <w:rsid w:val="004E4767"/>
    <w:rsid w:val="004E4FDD"/>
    <w:rsid w:val="004E5E2D"/>
    <w:rsid w:val="004F1BD3"/>
    <w:rsid w:val="004F1FB4"/>
    <w:rsid w:val="004F4270"/>
    <w:rsid w:val="004F514F"/>
    <w:rsid w:val="004F58D4"/>
    <w:rsid w:val="004F600E"/>
    <w:rsid w:val="004F762D"/>
    <w:rsid w:val="00500876"/>
    <w:rsid w:val="00500D71"/>
    <w:rsid w:val="00501376"/>
    <w:rsid w:val="00502AE5"/>
    <w:rsid w:val="00506CAB"/>
    <w:rsid w:val="00506DFE"/>
    <w:rsid w:val="00507D90"/>
    <w:rsid w:val="00510411"/>
    <w:rsid w:val="005111FC"/>
    <w:rsid w:val="0051144F"/>
    <w:rsid w:val="00511D8D"/>
    <w:rsid w:val="00512A8D"/>
    <w:rsid w:val="00512CCE"/>
    <w:rsid w:val="00512D8B"/>
    <w:rsid w:val="0051311B"/>
    <w:rsid w:val="00513CC6"/>
    <w:rsid w:val="00513E3C"/>
    <w:rsid w:val="005157A5"/>
    <w:rsid w:val="00515A2D"/>
    <w:rsid w:val="00515AC5"/>
    <w:rsid w:val="00517319"/>
    <w:rsid w:val="0052214C"/>
    <w:rsid w:val="00522C8F"/>
    <w:rsid w:val="00524ABB"/>
    <w:rsid w:val="00524D2B"/>
    <w:rsid w:val="00525DCE"/>
    <w:rsid w:val="00527AF6"/>
    <w:rsid w:val="005304AC"/>
    <w:rsid w:val="00530901"/>
    <w:rsid w:val="005348BD"/>
    <w:rsid w:val="00534C3C"/>
    <w:rsid w:val="00535000"/>
    <w:rsid w:val="00535F8A"/>
    <w:rsid w:val="00535FE7"/>
    <w:rsid w:val="00536052"/>
    <w:rsid w:val="005371DD"/>
    <w:rsid w:val="00540087"/>
    <w:rsid w:val="0054291F"/>
    <w:rsid w:val="00542CC5"/>
    <w:rsid w:val="005434F1"/>
    <w:rsid w:val="0054442B"/>
    <w:rsid w:val="00545356"/>
    <w:rsid w:val="005457AF"/>
    <w:rsid w:val="00546C59"/>
    <w:rsid w:val="00546DF7"/>
    <w:rsid w:val="00547612"/>
    <w:rsid w:val="00550E19"/>
    <w:rsid w:val="00550EAE"/>
    <w:rsid w:val="005517CD"/>
    <w:rsid w:val="00555636"/>
    <w:rsid w:val="005573FF"/>
    <w:rsid w:val="0056155A"/>
    <w:rsid w:val="005635D0"/>
    <w:rsid w:val="00564E79"/>
    <w:rsid w:val="00565ABD"/>
    <w:rsid w:val="005667AD"/>
    <w:rsid w:val="00567FC6"/>
    <w:rsid w:val="00571269"/>
    <w:rsid w:val="005737F5"/>
    <w:rsid w:val="00573AE1"/>
    <w:rsid w:val="00573B1B"/>
    <w:rsid w:val="00574062"/>
    <w:rsid w:val="00575899"/>
    <w:rsid w:val="00577BCD"/>
    <w:rsid w:val="005808D5"/>
    <w:rsid w:val="00580E13"/>
    <w:rsid w:val="00582DBF"/>
    <w:rsid w:val="00586D99"/>
    <w:rsid w:val="00586EC8"/>
    <w:rsid w:val="00592238"/>
    <w:rsid w:val="00593425"/>
    <w:rsid w:val="00595964"/>
    <w:rsid w:val="005961AE"/>
    <w:rsid w:val="005A08CA"/>
    <w:rsid w:val="005A1ED0"/>
    <w:rsid w:val="005A2396"/>
    <w:rsid w:val="005A356B"/>
    <w:rsid w:val="005A4B04"/>
    <w:rsid w:val="005A4D53"/>
    <w:rsid w:val="005A7029"/>
    <w:rsid w:val="005A7630"/>
    <w:rsid w:val="005B0650"/>
    <w:rsid w:val="005B1D81"/>
    <w:rsid w:val="005B559E"/>
    <w:rsid w:val="005C027F"/>
    <w:rsid w:val="005C05F9"/>
    <w:rsid w:val="005C062C"/>
    <w:rsid w:val="005C3131"/>
    <w:rsid w:val="005C32AC"/>
    <w:rsid w:val="005C33C0"/>
    <w:rsid w:val="005C3AE4"/>
    <w:rsid w:val="005C5C1C"/>
    <w:rsid w:val="005C640F"/>
    <w:rsid w:val="005C6518"/>
    <w:rsid w:val="005C72E4"/>
    <w:rsid w:val="005D2A41"/>
    <w:rsid w:val="005D4C46"/>
    <w:rsid w:val="005D50AD"/>
    <w:rsid w:val="005D5141"/>
    <w:rsid w:val="005D6EE1"/>
    <w:rsid w:val="005D7718"/>
    <w:rsid w:val="005E3AB4"/>
    <w:rsid w:val="005E4244"/>
    <w:rsid w:val="005E466C"/>
    <w:rsid w:val="005E4711"/>
    <w:rsid w:val="005E5E41"/>
    <w:rsid w:val="005F082A"/>
    <w:rsid w:val="005F1112"/>
    <w:rsid w:val="005F213D"/>
    <w:rsid w:val="005F2D52"/>
    <w:rsid w:val="005F4E9B"/>
    <w:rsid w:val="005F5736"/>
    <w:rsid w:val="005F5B89"/>
    <w:rsid w:val="006005CE"/>
    <w:rsid w:val="00600F5D"/>
    <w:rsid w:val="006017E9"/>
    <w:rsid w:val="00602469"/>
    <w:rsid w:val="00604AC9"/>
    <w:rsid w:val="006057CC"/>
    <w:rsid w:val="00605A65"/>
    <w:rsid w:val="006062FA"/>
    <w:rsid w:val="006063A4"/>
    <w:rsid w:val="006117FB"/>
    <w:rsid w:val="00611FD0"/>
    <w:rsid w:val="00616DA9"/>
    <w:rsid w:val="00620CA9"/>
    <w:rsid w:val="0062273D"/>
    <w:rsid w:val="006229B0"/>
    <w:rsid w:val="00623228"/>
    <w:rsid w:val="00623D21"/>
    <w:rsid w:val="00623E48"/>
    <w:rsid w:val="00625F29"/>
    <w:rsid w:val="006329E3"/>
    <w:rsid w:val="00633C0E"/>
    <w:rsid w:val="00635158"/>
    <w:rsid w:val="00636BA3"/>
    <w:rsid w:val="00637C15"/>
    <w:rsid w:val="006411BC"/>
    <w:rsid w:val="00641A86"/>
    <w:rsid w:val="00642416"/>
    <w:rsid w:val="00642515"/>
    <w:rsid w:val="006438EA"/>
    <w:rsid w:val="0064414B"/>
    <w:rsid w:val="00646865"/>
    <w:rsid w:val="006471FD"/>
    <w:rsid w:val="00650B3E"/>
    <w:rsid w:val="00656FEF"/>
    <w:rsid w:val="006604CD"/>
    <w:rsid w:val="0066267D"/>
    <w:rsid w:val="00663670"/>
    <w:rsid w:val="00666E70"/>
    <w:rsid w:val="00671725"/>
    <w:rsid w:val="00676C7E"/>
    <w:rsid w:val="006779E3"/>
    <w:rsid w:val="006802F5"/>
    <w:rsid w:val="00680760"/>
    <w:rsid w:val="00681432"/>
    <w:rsid w:val="0068239A"/>
    <w:rsid w:val="006844E7"/>
    <w:rsid w:val="00685339"/>
    <w:rsid w:val="006856E8"/>
    <w:rsid w:val="00687AE6"/>
    <w:rsid w:val="006918C7"/>
    <w:rsid w:val="006A1994"/>
    <w:rsid w:val="006A29EB"/>
    <w:rsid w:val="006A2DFD"/>
    <w:rsid w:val="006A3790"/>
    <w:rsid w:val="006A3F1F"/>
    <w:rsid w:val="006A5383"/>
    <w:rsid w:val="006A637A"/>
    <w:rsid w:val="006A7936"/>
    <w:rsid w:val="006B352D"/>
    <w:rsid w:val="006B40B5"/>
    <w:rsid w:val="006B497E"/>
    <w:rsid w:val="006B5F6D"/>
    <w:rsid w:val="006B6461"/>
    <w:rsid w:val="006C076D"/>
    <w:rsid w:val="006C249B"/>
    <w:rsid w:val="006C30F5"/>
    <w:rsid w:val="006C751F"/>
    <w:rsid w:val="006C75AC"/>
    <w:rsid w:val="006C7D5A"/>
    <w:rsid w:val="006D1B17"/>
    <w:rsid w:val="006D310D"/>
    <w:rsid w:val="006D372F"/>
    <w:rsid w:val="006D3EB8"/>
    <w:rsid w:val="006D5419"/>
    <w:rsid w:val="006D5ACD"/>
    <w:rsid w:val="006D5AF1"/>
    <w:rsid w:val="006D64C0"/>
    <w:rsid w:val="006D752B"/>
    <w:rsid w:val="006D7BA3"/>
    <w:rsid w:val="006E07BA"/>
    <w:rsid w:val="006E0C7E"/>
    <w:rsid w:val="006E2ADF"/>
    <w:rsid w:val="006E2DCB"/>
    <w:rsid w:val="006E5330"/>
    <w:rsid w:val="006E57E2"/>
    <w:rsid w:val="006E5ABF"/>
    <w:rsid w:val="006E6686"/>
    <w:rsid w:val="006E725A"/>
    <w:rsid w:val="006F0AE1"/>
    <w:rsid w:val="006F0F35"/>
    <w:rsid w:val="006F1264"/>
    <w:rsid w:val="006F3131"/>
    <w:rsid w:val="006F5D70"/>
    <w:rsid w:val="006F787B"/>
    <w:rsid w:val="00700D12"/>
    <w:rsid w:val="007016BD"/>
    <w:rsid w:val="00701724"/>
    <w:rsid w:val="0070265E"/>
    <w:rsid w:val="007026A9"/>
    <w:rsid w:val="007108C1"/>
    <w:rsid w:val="00710E62"/>
    <w:rsid w:val="007135D7"/>
    <w:rsid w:val="00713B43"/>
    <w:rsid w:val="00715594"/>
    <w:rsid w:val="00715EB6"/>
    <w:rsid w:val="007174BD"/>
    <w:rsid w:val="007204A7"/>
    <w:rsid w:val="00721ABC"/>
    <w:rsid w:val="00725A50"/>
    <w:rsid w:val="0072721C"/>
    <w:rsid w:val="00727501"/>
    <w:rsid w:val="007307E8"/>
    <w:rsid w:val="00734DCD"/>
    <w:rsid w:val="00735550"/>
    <w:rsid w:val="007361BD"/>
    <w:rsid w:val="00736D46"/>
    <w:rsid w:val="0073771D"/>
    <w:rsid w:val="007416EF"/>
    <w:rsid w:val="00745643"/>
    <w:rsid w:val="00746CF9"/>
    <w:rsid w:val="00747277"/>
    <w:rsid w:val="00747692"/>
    <w:rsid w:val="00747695"/>
    <w:rsid w:val="00751072"/>
    <w:rsid w:val="007517C5"/>
    <w:rsid w:val="00755702"/>
    <w:rsid w:val="007575E6"/>
    <w:rsid w:val="00761F76"/>
    <w:rsid w:val="0076391F"/>
    <w:rsid w:val="007645F1"/>
    <w:rsid w:val="00771634"/>
    <w:rsid w:val="00772031"/>
    <w:rsid w:val="00772155"/>
    <w:rsid w:val="007742C3"/>
    <w:rsid w:val="007743D8"/>
    <w:rsid w:val="00776236"/>
    <w:rsid w:val="00776DFD"/>
    <w:rsid w:val="00776E87"/>
    <w:rsid w:val="00777157"/>
    <w:rsid w:val="0077758F"/>
    <w:rsid w:val="00783F87"/>
    <w:rsid w:val="007849DD"/>
    <w:rsid w:val="00785445"/>
    <w:rsid w:val="00786E4D"/>
    <w:rsid w:val="00787521"/>
    <w:rsid w:val="007877DF"/>
    <w:rsid w:val="007901BD"/>
    <w:rsid w:val="00790DB3"/>
    <w:rsid w:val="0079127D"/>
    <w:rsid w:val="00791C2D"/>
    <w:rsid w:val="00793BCC"/>
    <w:rsid w:val="00793DC2"/>
    <w:rsid w:val="00794780"/>
    <w:rsid w:val="00795FB5"/>
    <w:rsid w:val="007972AA"/>
    <w:rsid w:val="00797E52"/>
    <w:rsid w:val="007A0F62"/>
    <w:rsid w:val="007A5BBB"/>
    <w:rsid w:val="007A6027"/>
    <w:rsid w:val="007A695F"/>
    <w:rsid w:val="007B104F"/>
    <w:rsid w:val="007B1980"/>
    <w:rsid w:val="007B2674"/>
    <w:rsid w:val="007B4B1D"/>
    <w:rsid w:val="007C2ADA"/>
    <w:rsid w:val="007C2F6D"/>
    <w:rsid w:val="007C5BEA"/>
    <w:rsid w:val="007D08FE"/>
    <w:rsid w:val="007D1A88"/>
    <w:rsid w:val="007D2870"/>
    <w:rsid w:val="007D62BE"/>
    <w:rsid w:val="007D67DF"/>
    <w:rsid w:val="007E120F"/>
    <w:rsid w:val="007E1D75"/>
    <w:rsid w:val="007E20A7"/>
    <w:rsid w:val="007E2307"/>
    <w:rsid w:val="007E3CAE"/>
    <w:rsid w:val="007E4BCD"/>
    <w:rsid w:val="007E54A4"/>
    <w:rsid w:val="007E6CD5"/>
    <w:rsid w:val="007F0587"/>
    <w:rsid w:val="007F17A5"/>
    <w:rsid w:val="007F2DF2"/>
    <w:rsid w:val="007F4BAC"/>
    <w:rsid w:val="00803F6E"/>
    <w:rsid w:val="00805151"/>
    <w:rsid w:val="008053ED"/>
    <w:rsid w:val="00806383"/>
    <w:rsid w:val="0080661B"/>
    <w:rsid w:val="00807FB0"/>
    <w:rsid w:val="00810607"/>
    <w:rsid w:val="00811E7E"/>
    <w:rsid w:val="008141CA"/>
    <w:rsid w:val="00815B20"/>
    <w:rsid w:val="00816654"/>
    <w:rsid w:val="0081681A"/>
    <w:rsid w:val="00820834"/>
    <w:rsid w:val="008209A3"/>
    <w:rsid w:val="00824AA7"/>
    <w:rsid w:val="00824D7C"/>
    <w:rsid w:val="00826DA4"/>
    <w:rsid w:val="00830BFA"/>
    <w:rsid w:val="00834F0F"/>
    <w:rsid w:val="008360A8"/>
    <w:rsid w:val="0083736F"/>
    <w:rsid w:val="00837BDC"/>
    <w:rsid w:val="00844B67"/>
    <w:rsid w:val="008458C6"/>
    <w:rsid w:val="008459AD"/>
    <w:rsid w:val="00845AA4"/>
    <w:rsid w:val="00855A1E"/>
    <w:rsid w:val="008577CE"/>
    <w:rsid w:val="00860B2B"/>
    <w:rsid w:val="00862636"/>
    <w:rsid w:val="008642CF"/>
    <w:rsid w:val="00864602"/>
    <w:rsid w:val="00864819"/>
    <w:rsid w:val="00866582"/>
    <w:rsid w:val="008707BA"/>
    <w:rsid w:val="008720CC"/>
    <w:rsid w:val="00873235"/>
    <w:rsid w:val="0087342A"/>
    <w:rsid w:val="00877745"/>
    <w:rsid w:val="00880025"/>
    <w:rsid w:val="0088169A"/>
    <w:rsid w:val="00881E7E"/>
    <w:rsid w:val="0088280C"/>
    <w:rsid w:val="008831DD"/>
    <w:rsid w:val="00885356"/>
    <w:rsid w:val="00886F75"/>
    <w:rsid w:val="00891207"/>
    <w:rsid w:val="00891295"/>
    <w:rsid w:val="008918B8"/>
    <w:rsid w:val="008923D0"/>
    <w:rsid w:val="008929A5"/>
    <w:rsid w:val="00893DBF"/>
    <w:rsid w:val="00894EFB"/>
    <w:rsid w:val="00896787"/>
    <w:rsid w:val="008968D8"/>
    <w:rsid w:val="008A135E"/>
    <w:rsid w:val="008A22F4"/>
    <w:rsid w:val="008A2904"/>
    <w:rsid w:val="008A4215"/>
    <w:rsid w:val="008A5305"/>
    <w:rsid w:val="008A7A02"/>
    <w:rsid w:val="008B0F07"/>
    <w:rsid w:val="008B36DD"/>
    <w:rsid w:val="008B4CE6"/>
    <w:rsid w:val="008B5A63"/>
    <w:rsid w:val="008C0B19"/>
    <w:rsid w:val="008C6CF8"/>
    <w:rsid w:val="008C6E78"/>
    <w:rsid w:val="008C7155"/>
    <w:rsid w:val="008C72B4"/>
    <w:rsid w:val="008D2047"/>
    <w:rsid w:val="008D29F2"/>
    <w:rsid w:val="008D2BA6"/>
    <w:rsid w:val="008D4B87"/>
    <w:rsid w:val="008D7146"/>
    <w:rsid w:val="008D75A1"/>
    <w:rsid w:val="008F56D4"/>
    <w:rsid w:val="008F6B0D"/>
    <w:rsid w:val="00900500"/>
    <w:rsid w:val="00901DB4"/>
    <w:rsid w:val="009043D1"/>
    <w:rsid w:val="00906092"/>
    <w:rsid w:val="00910441"/>
    <w:rsid w:val="00916A72"/>
    <w:rsid w:val="00917EDA"/>
    <w:rsid w:val="00921BAE"/>
    <w:rsid w:val="009220A9"/>
    <w:rsid w:val="00924383"/>
    <w:rsid w:val="0092474E"/>
    <w:rsid w:val="00926010"/>
    <w:rsid w:val="0092688C"/>
    <w:rsid w:val="009279CF"/>
    <w:rsid w:val="00931230"/>
    <w:rsid w:val="0093158D"/>
    <w:rsid w:val="00931D07"/>
    <w:rsid w:val="00933223"/>
    <w:rsid w:val="009334A8"/>
    <w:rsid w:val="0093384D"/>
    <w:rsid w:val="00933BE7"/>
    <w:rsid w:val="0093412F"/>
    <w:rsid w:val="00935CFF"/>
    <w:rsid w:val="00940647"/>
    <w:rsid w:val="009409F5"/>
    <w:rsid w:val="0094586A"/>
    <w:rsid w:val="00945D50"/>
    <w:rsid w:val="00945E27"/>
    <w:rsid w:val="009469F3"/>
    <w:rsid w:val="0095332B"/>
    <w:rsid w:val="00953AF2"/>
    <w:rsid w:val="00954108"/>
    <w:rsid w:val="0095452B"/>
    <w:rsid w:val="009557D9"/>
    <w:rsid w:val="0095703B"/>
    <w:rsid w:val="00957769"/>
    <w:rsid w:val="0095781E"/>
    <w:rsid w:val="0096124C"/>
    <w:rsid w:val="00961813"/>
    <w:rsid w:val="00961B2A"/>
    <w:rsid w:val="0096246B"/>
    <w:rsid w:val="0096325D"/>
    <w:rsid w:val="0096393E"/>
    <w:rsid w:val="00966A68"/>
    <w:rsid w:val="009678F1"/>
    <w:rsid w:val="00971B5E"/>
    <w:rsid w:val="009722D2"/>
    <w:rsid w:val="00972646"/>
    <w:rsid w:val="009756DB"/>
    <w:rsid w:val="009765B9"/>
    <w:rsid w:val="009807AE"/>
    <w:rsid w:val="009862AB"/>
    <w:rsid w:val="009926CD"/>
    <w:rsid w:val="00994210"/>
    <w:rsid w:val="009951EC"/>
    <w:rsid w:val="00996976"/>
    <w:rsid w:val="009A09E2"/>
    <w:rsid w:val="009A0D99"/>
    <w:rsid w:val="009A3B20"/>
    <w:rsid w:val="009A544A"/>
    <w:rsid w:val="009A6100"/>
    <w:rsid w:val="009A6CD3"/>
    <w:rsid w:val="009A72CF"/>
    <w:rsid w:val="009B28C7"/>
    <w:rsid w:val="009B76CC"/>
    <w:rsid w:val="009C1026"/>
    <w:rsid w:val="009C1B83"/>
    <w:rsid w:val="009C1BAC"/>
    <w:rsid w:val="009C1E2C"/>
    <w:rsid w:val="009C310A"/>
    <w:rsid w:val="009C3438"/>
    <w:rsid w:val="009C4717"/>
    <w:rsid w:val="009C4DC5"/>
    <w:rsid w:val="009C7152"/>
    <w:rsid w:val="009C7606"/>
    <w:rsid w:val="009C7B62"/>
    <w:rsid w:val="009D1510"/>
    <w:rsid w:val="009D17E3"/>
    <w:rsid w:val="009D37E5"/>
    <w:rsid w:val="009D4078"/>
    <w:rsid w:val="009D6608"/>
    <w:rsid w:val="009D695F"/>
    <w:rsid w:val="009D7503"/>
    <w:rsid w:val="009E317E"/>
    <w:rsid w:val="009E496E"/>
    <w:rsid w:val="009E5BD6"/>
    <w:rsid w:val="009E6C8C"/>
    <w:rsid w:val="009F00A3"/>
    <w:rsid w:val="009F17E3"/>
    <w:rsid w:val="009F1817"/>
    <w:rsid w:val="009F21E8"/>
    <w:rsid w:val="009F5BAB"/>
    <w:rsid w:val="009F6A7F"/>
    <w:rsid w:val="009F6F8F"/>
    <w:rsid w:val="009F771D"/>
    <w:rsid w:val="00A002BA"/>
    <w:rsid w:val="00A005EA"/>
    <w:rsid w:val="00A0062D"/>
    <w:rsid w:val="00A025B1"/>
    <w:rsid w:val="00A053FD"/>
    <w:rsid w:val="00A057A8"/>
    <w:rsid w:val="00A05E68"/>
    <w:rsid w:val="00A13CFC"/>
    <w:rsid w:val="00A20C0C"/>
    <w:rsid w:val="00A21C82"/>
    <w:rsid w:val="00A22C3C"/>
    <w:rsid w:val="00A2361E"/>
    <w:rsid w:val="00A31313"/>
    <w:rsid w:val="00A32CF4"/>
    <w:rsid w:val="00A332C2"/>
    <w:rsid w:val="00A34233"/>
    <w:rsid w:val="00A35A29"/>
    <w:rsid w:val="00A37B61"/>
    <w:rsid w:val="00A37CF2"/>
    <w:rsid w:val="00A40506"/>
    <w:rsid w:val="00A4212E"/>
    <w:rsid w:val="00A42686"/>
    <w:rsid w:val="00A42820"/>
    <w:rsid w:val="00A42CFF"/>
    <w:rsid w:val="00A479D2"/>
    <w:rsid w:val="00A47A9B"/>
    <w:rsid w:val="00A5300C"/>
    <w:rsid w:val="00A57878"/>
    <w:rsid w:val="00A60243"/>
    <w:rsid w:val="00A60FBE"/>
    <w:rsid w:val="00A619DA"/>
    <w:rsid w:val="00A61E63"/>
    <w:rsid w:val="00A62DF1"/>
    <w:rsid w:val="00A66EEB"/>
    <w:rsid w:val="00A66FA0"/>
    <w:rsid w:val="00A74F5A"/>
    <w:rsid w:val="00A756A4"/>
    <w:rsid w:val="00A75E84"/>
    <w:rsid w:val="00A77822"/>
    <w:rsid w:val="00A821CD"/>
    <w:rsid w:val="00A8240E"/>
    <w:rsid w:val="00A92427"/>
    <w:rsid w:val="00A9382E"/>
    <w:rsid w:val="00A93A06"/>
    <w:rsid w:val="00A93A4C"/>
    <w:rsid w:val="00A93C8A"/>
    <w:rsid w:val="00A94DCA"/>
    <w:rsid w:val="00A95DC4"/>
    <w:rsid w:val="00A967A5"/>
    <w:rsid w:val="00A96F76"/>
    <w:rsid w:val="00AA0531"/>
    <w:rsid w:val="00AA1544"/>
    <w:rsid w:val="00AA77C1"/>
    <w:rsid w:val="00AB09E8"/>
    <w:rsid w:val="00AB0C3B"/>
    <w:rsid w:val="00AB1992"/>
    <w:rsid w:val="00AC01BC"/>
    <w:rsid w:val="00AC04C5"/>
    <w:rsid w:val="00AC0E78"/>
    <w:rsid w:val="00AC1625"/>
    <w:rsid w:val="00AC2145"/>
    <w:rsid w:val="00AC22F3"/>
    <w:rsid w:val="00AD35BD"/>
    <w:rsid w:val="00AD446E"/>
    <w:rsid w:val="00AD4FA7"/>
    <w:rsid w:val="00AD5CF1"/>
    <w:rsid w:val="00AE1CD5"/>
    <w:rsid w:val="00AE21EC"/>
    <w:rsid w:val="00AE29B6"/>
    <w:rsid w:val="00AE2CCE"/>
    <w:rsid w:val="00AE5084"/>
    <w:rsid w:val="00AE7669"/>
    <w:rsid w:val="00AF0C58"/>
    <w:rsid w:val="00AF0F1B"/>
    <w:rsid w:val="00AF0FED"/>
    <w:rsid w:val="00AF1E0F"/>
    <w:rsid w:val="00AF4B9D"/>
    <w:rsid w:val="00AF6118"/>
    <w:rsid w:val="00B01385"/>
    <w:rsid w:val="00B0513D"/>
    <w:rsid w:val="00B053D3"/>
    <w:rsid w:val="00B10F92"/>
    <w:rsid w:val="00B11AF2"/>
    <w:rsid w:val="00B11EB0"/>
    <w:rsid w:val="00B1465F"/>
    <w:rsid w:val="00B178F5"/>
    <w:rsid w:val="00B17D49"/>
    <w:rsid w:val="00B17DBC"/>
    <w:rsid w:val="00B22F08"/>
    <w:rsid w:val="00B2330A"/>
    <w:rsid w:val="00B2440F"/>
    <w:rsid w:val="00B26F59"/>
    <w:rsid w:val="00B351E6"/>
    <w:rsid w:val="00B3639F"/>
    <w:rsid w:val="00B37F64"/>
    <w:rsid w:val="00B4050F"/>
    <w:rsid w:val="00B40B79"/>
    <w:rsid w:val="00B440BA"/>
    <w:rsid w:val="00B45B3F"/>
    <w:rsid w:val="00B4697C"/>
    <w:rsid w:val="00B46A48"/>
    <w:rsid w:val="00B503C2"/>
    <w:rsid w:val="00B51961"/>
    <w:rsid w:val="00B521E0"/>
    <w:rsid w:val="00B53214"/>
    <w:rsid w:val="00B53A02"/>
    <w:rsid w:val="00B53AA0"/>
    <w:rsid w:val="00B53F87"/>
    <w:rsid w:val="00B546DF"/>
    <w:rsid w:val="00B60568"/>
    <w:rsid w:val="00B60FFD"/>
    <w:rsid w:val="00B61300"/>
    <w:rsid w:val="00B6131D"/>
    <w:rsid w:val="00B6131E"/>
    <w:rsid w:val="00B61612"/>
    <w:rsid w:val="00B62542"/>
    <w:rsid w:val="00B64F4B"/>
    <w:rsid w:val="00B66753"/>
    <w:rsid w:val="00B6677F"/>
    <w:rsid w:val="00B66A71"/>
    <w:rsid w:val="00B66D21"/>
    <w:rsid w:val="00B67AE0"/>
    <w:rsid w:val="00B704F7"/>
    <w:rsid w:val="00B7235B"/>
    <w:rsid w:val="00B75125"/>
    <w:rsid w:val="00B7737B"/>
    <w:rsid w:val="00B77A73"/>
    <w:rsid w:val="00B77AFA"/>
    <w:rsid w:val="00B80011"/>
    <w:rsid w:val="00B800EF"/>
    <w:rsid w:val="00B80631"/>
    <w:rsid w:val="00B806CA"/>
    <w:rsid w:val="00B80D17"/>
    <w:rsid w:val="00B80EC2"/>
    <w:rsid w:val="00B81E24"/>
    <w:rsid w:val="00B82FD8"/>
    <w:rsid w:val="00B8360A"/>
    <w:rsid w:val="00B85F56"/>
    <w:rsid w:val="00B862B1"/>
    <w:rsid w:val="00B87216"/>
    <w:rsid w:val="00B90487"/>
    <w:rsid w:val="00B91846"/>
    <w:rsid w:val="00B942B2"/>
    <w:rsid w:val="00B953DB"/>
    <w:rsid w:val="00B95C6E"/>
    <w:rsid w:val="00BA06C8"/>
    <w:rsid w:val="00BA0CFA"/>
    <w:rsid w:val="00BA1621"/>
    <w:rsid w:val="00BA31E0"/>
    <w:rsid w:val="00BA3A60"/>
    <w:rsid w:val="00BA6882"/>
    <w:rsid w:val="00BA6C3C"/>
    <w:rsid w:val="00BB014A"/>
    <w:rsid w:val="00BB0409"/>
    <w:rsid w:val="00BB140B"/>
    <w:rsid w:val="00BB2531"/>
    <w:rsid w:val="00BB2B4E"/>
    <w:rsid w:val="00BB2DAC"/>
    <w:rsid w:val="00BB38F1"/>
    <w:rsid w:val="00BB4B5C"/>
    <w:rsid w:val="00BB6A7C"/>
    <w:rsid w:val="00BB6F0D"/>
    <w:rsid w:val="00BB79B4"/>
    <w:rsid w:val="00BB7DB3"/>
    <w:rsid w:val="00BC1776"/>
    <w:rsid w:val="00BC1F05"/>
    <w:rsid w:val="00BC6EC1"/>
    <w:rsid w:val="00BC7A37"/>
    <w:rsid w:val="00BD007C"/>
    <w:rsid w:val="00BD1E15"/>
    <w:rsid w:val="00BD2180"/>
    <w:rsid w:val="00BD4137"/>
    <w:rsid w:val="00BD42B8"/>
    <w:rsid w:val="00BE3010"/>
    <w:rsid w:val="00BE4DDA"/>
    <w:rsid w:val="00BE591D"/>
    <w:rsid w:val="00BE6811"/>
    <w:rsid w:val="00BF0DC5"/>
    <w:rsid w:val="00BF1F79"/>
    <w:rsid w:val="00BF46FB"/>
    <w:rsid w:val="00BF6283"/>
    <w:rsid w:val="00BF6AE0"/>
    <w:rsid w:val="00BF79CB"/>
    <w:rsid w:val="00BF7AEF"/>
    <w:rsid w:val="00BF7C39"/>
    <w:rsid w:val="00C01288"/>
    <w:rsid w:val="00C02F14"/>
    <w:rsid w:val="00C031BD"/>
    <w:rsid w:val="00C03389"/>
    <w:rsid w:val="00C04E09"/>
    <w:rsid w:val="00C04E12"/>
    <w:rsid w:val="00C05545"/>
    <w:rsid w:val="00C077F7"/>
    <w:rsid w:val="00C07D87"/>
    <w:rsid w:val="00C10C3B"/>
    <w:rsid w:val="00C11466"/>
    <w:rsid w:val="00C11AEB"/>
    <w:rsid w:val="00C12BA4"/>
    <w:rsid w:val="00C1319E"/>
    <w:rsid w:val="00C139D3"/>
    <w:rsid w:val="00C1619D"/>
    <w:rsid w:val="00C20112"/>
    <w:rsid w:val="00C2067A"/>
    <w:rsid w:val="00C22034"/>
    <w:rsid w:val="00C23A50"/>
    <w:rsid w:val="00C248BC"/>
    <w:rsid w:val="00C3004B"/>
    <w:rsid w:val="00C31049"/>
    <w:rsid w:val="00C328A5"/>
    <w:rsid w:val="00C32968"/>
    <w:rsid w:val="00C3472A"/>
    <w:rsid w:val="00C36475"/>
    <w:rsid w:val="00C3754F"/>
    <w:rsid w:val="00C40A5F"/>
    <w:rsid w:val="00C40B9D"/>
    <w:rsid w:val="00C433D1"/>
    <w:rsid w:val="00C43D22"/>
    <w:rsid w:val="00C43E26"/>
    <w:rsid w:val="00C4448C"/>
    <w:rsid w:val="00C45FCC"/>
    <w:rsid w:val="00C4713B"/>
    <w:rsid w:val="00C500B3"/>
    <w:rsid w:val="00C53C06"/>
    <w:rsid w:val="00C57AEB"/>
    <w:rsid w:val="00C60B33"/>
    <w:rsid w:val="00C62FB8"/>
    <w:rsid w:val="00C6406D"/>
    <w:rsid w:val="00C64770"/>
    <w:rsid w:val="00C65869"/>
    <w:rsid w:val="00C6787F"/>
    <w:rsid w:val="00C709E6"/>
    <w:rsid w:val="00C714B4"/>
    <w:rsid w:val="00C74DC7"/>
    <w:rsid w:val="00C77CD9"/>
    <w:rsid w:val="00C80E1D"/>
    <w:rsid w:val="00C84B98"/>
    <w:rsid w:val="00C867A3"/>
    <w:rsid w:val="00C86E3B"/>
    <w:rsid w:val="00C87029"/>
    <w:rsid w:val="00C87C5E"/>
    <w:rsid w:val="00C907C4"/>
    <w:rsid w:val="00C90B9C"/>
    <w:rsid w:val="00C91B34"/>
    <w:rsid w:val="00C9357B"/>
    <w:rsid w:val="00C94275"/>
    <w:rsid w:val="00C946B8"/>
    <w:rsid w:val="00C9477A"/>
    <w:rsid w:val="00CA04B2"/>
    <w:rsid w:val="00CA1675"/>
    <w:rsid w:val="00CA1D67"/>
    <w:rsid w:val="00CA2180"/>
    <w:rsid w:val="00CA2693"/>
    <w:rsid w:val="00CA26DF"/>
    <w:rsid w:val="00CA2A1A"/>
    <w:rsid w:val="00CA4B07"/>
    <w:rsid w:val="00CB1577"/>
    <w:rsid w:val="00CB27BE"/>
    <w:rsid w:val="00CB44D2"/>
    <w:rsid w:val="00CB4AAD"/>
    <w:rsid w:val="00CB6567"/>
    <w:rsid w:val="00CB6B22"/>
    <w:rsid w:val="00CC205D"/>
    <w:rsid w:val="00CC3A08"/>
    <w:rsid w:val="00CC4971"/>
    <w:rsid w:val="00CC4D1B"/>
    <w:rsid w:val="00CC5336"/>
    <w:rsid w:val="00CC53A9"/>
    <w:rsid w:val="00CC711F"/>
    <w:rsid w:val="00CC737D"/>
    <w:rsid w:val="00CC75FB"/>
    <w:rsid w:val="00CD1EB0"/>
    <w:rsid w:val="00CD32A2"/>
    <w:rsid w:val="00CD449C"/>
    <w:rsid w:val="00CD51DD"/>
    <w:rsid w:val="00CD6FEC"/>
    <w:rsid w:val="00CD755C"/>
    <w:rsid w:val="00CD7B9E"/>
    <w:rsid w:val="00CE278D"/>
    <w:rsid w:val="00CE73A1"/>
    <w:rsid w:val="00CF1EE2"/>
    <w:rsid w:val="00CF30DC"/>
    <w:rsid w:val="00CF326E"/>
    <w:rsid w:val="00CF3E48"/>
    <w:rsid w:val="00CF53EB"/>
    <w:rsid w:val="00CF5B34"/>
    <w:rsid w:val="00CF7124"/>
    <w:rsid w:val="00CF7D82"/>
    <w:rsid w:val="00D04174"/>
    <w:rsid w:val="00D05876"/>
    <w:rsid w:val="00D0599E"/>
    <w:rsid w:val="00D11122"/>
    <w:rsid w:val="00D120DD"/>
    <w:rsid w:val="00D128F3"/>
    <w:rsid w:val="00D1328F"/>
    <w:rsid w:val="00D1335A"/>
    <w:rsid w:val="00D15D43"/>
    <w:rsid w:val="00D21CA9"/>
    <w:rsid w:val="00D223C8"/>
    <w:rsid w:val="00D23336"/>
    <w:rsid w:val="00D240F9"/>
    <w:rsid w:val="00D243EB"/>
    <w:rsid w:val="00D25A80"/>
    <w:rsid w:val="00D262A4"/>
    <w:rsid w:val="00D322DD"/>
    <w:rsid w:val="00D34FD6"/>
    <w:rsid w:val="00D36F40"/>
    <w:rsid w:val="00D375A0"/>
    <w:rsid w:val="00D37742"/>
    <w:rsid w:val="00D43AD6"/>
    <w:rsid w:val="00D46C2C"/>
    <w:rsid w:val="00D51638"/>
    <w:rsid w:val="00D51DB9"/>
    <w:rsid w:val="00D57587"/>
    <w:rsid w:val="00D60AE8"/>
    <w:rsid w:val="00D60F58"/>
    <w:rsid w:val="00D61A8E"/>
    <w:rsid w:val="00D6378A"/>
    <w:rsid w:val="00D6479E"/>
    <w:rsid w:val="00D64A5E"/>
    <w:rsid w:val="00D656FE"/>
    <w:rsid w:val="00D67CBE"/>
    <w:rsid w:val="00D7124B"/>
    <w:rsid w:val="00D71C1C"/>
    <w:rsid w:val="00D723BE"/>
    <w:rsid w:val="00D72558"/>
    <w:rsid w:val="00D735C6"/>
    <w:rsid w:val="00D76A3B"/>
    <w:rsid w:val="00D76F76"/>
    <w:rsid w:val="00D77C69"/>
    <w:rsid w:val="00D806B7"/>
    <w:rsid w:val="00D82301"/>
    <w:rsid w:val="00D86636"/>
    <w:rsid w:val="00D9375D"/>
    <w:rsid w:val="00D966BD"/>
    <w:rsid w:val="00D975C8"/>
    <w:rsid w:val="00D97C05"/>
    <w:rsid w:val="00DA2007"/>
    <w:rsid w:val="00DA3333"/>
    <w:rsid w:val="00DA4016"/>
    <w:rsid w:val="00DA503B"/>
    <w:rsid w:val="00DA67FF"/>
    <w:rsid w:val="00DA777F"/>
    <w:rsid w:val="00DB029D"/>
    <w:rsid w:val="00DB0BE0"/>
    <w:rsid w:val="00DB126F"/>
    <w:rsid w:val="00DB145B"/>
    <w:rsid w:val="00DB167A"/>
    <w:rsid w:val="00DB2DA3"/>
    <w:rsid w:val="00DB3612"/>
    <w:rsid w:val="00DB4B36"/>
    <w:rsid w:val="00DB5285"/>
    <w:rsid w:val="00DC03FE"/>
    <w:rsid w:val="00DC13CC"/>
    <w:rsid w:val="00DC69B5"/>
    <w:rsid w:val="00DC6D84"/>
    <w:rsid w:val="00DD4A4E"/>
    <w:rsid w:val="00DD5985"/>
    <w:rsid w:val="00DD6CFB"/>
    <w:rsid w:val="00DD6ED3"/>
    <w:rsid w:val="00DD77A8"/>
    <w:rsid w:val="00DD7D31"/>
    <w:rsid w:val="00DE3161"/>
    <w:rsid w:val="00DE44E4"/>
    <w:rsid w:val="00DE5EF5"/>
    <w:rsid w:val="00DE6CB5"/>
    <w:rsid w:val="00DF1A19"/>
    <w:rsid w:val="00DF2B31"/>
    <w:rsid w:val="00DF3F08"/>
    <w:rsid w:val="00DF4D72"/>
    <w:rsid w:val="00DF6B98"/>
    <w:rsid w:val="00DF7CA0"/>
    <w:rsid w:val="00E00EBC"/>
    <w:rsid w:val="00E01013"/>
    <w:rsid w:val="00E0333E"/>
    <w:rsid w:val="00E0567A"/>
    <w:rsid w:val="00E05C4D"/>
    <w:rsid w:val="00E100ED"/>
    <w:rsid w:val="00E11166"/>
    <w:rsid w:val="00E1132A"/>
    <w:rsid w:val="00E11C64"/>
    <w:rsid w:val="00E1311F"/>
    <w:rsid w:val="00E143AA"/>
    <w:rsid w:val="00E15621"/>
    <w:rsid w:val="00E1565F"/>
    <w:rsid w:val="00E156D3"/>
    <w:rsid w:val="00E1609D"/>
    <w:rsid w:val="00E17808"/>
    <w:rsid w:val="00E223A1"/>
    <w:rsid w:val="00E263E3"/>
    <w:rsid w:val="00E3083A"/>
    <w:rsid w:val="00E30880"/>
    <w:rsid w:val="00E3095E"/>
    <w:rsid w:val="00E3102C"/>
    <w:rsid w:val="00E33A4A"/>
    <w:rsid w:val="00E33C96"/>
    <w:rsid w:val="00E350E8"/>
    <w:rsid w:val="00E354B1"/>
    <w:rsid w:val="00E36C46"/>
    <w:rsid w:val="00E40D04"/>
    <w:rsid w:val="00E43663"/>
    <w:rsid w:val="00E44944"/>
    <w:rsid w:val="00E46E76"/>
    <w:rsid w:val="00E474EE"/>
    <w:rsid w:val="00E516AC"/>
    <w:rsid w:val="00E51D3B"/>
    <w:rsid w:val="00E535E6"/>
    <w:rsid w:val="00E5393A"/>
    <w:rsid w:val="00E53CEB"/>
    <w:rsid w:val="00E555EE"/>
    <w:rsid w:val="00E617F5"/>
    <w:rsid w:val="00E62518"/>
    <w:rsid w:val="00E65278"/>
    <w:rsid w:val="00E663B0"/>
    <w:rsid w:val="00E67B44"/>
    <w:rsid w:val="00E707DF"/>
    <w:rsid w:val="00E72A8C"/>
    <w:rsid w:val="00E7320D"/>
    <w:rsid w:val="00E74393"/>
    <w:rsid w:val="00E749BF"/>
    <w:rsid w:val="00E74BED"/>
    <w:rsid w:val="00E81910"/>
    <w:rsid w:val="00E82103"/>
    <w:rsid w:val="00E82721"/>
    <w:rsid w:val="00E84815"/>
    <w:rsid w:val="00E84BDB"/>
    <w:rsid w:val="00E87E27"/>
    <w:rsid w:val="00E902CE"/>
    <w:rsid w:val="00E975F9"/>
    <w:rsid w:val="00EA0450"/>
    <w:rsid w:val="00EA0BA0"/>
    <w:rsid w:val="00EA1D2C"/>
    <w:rsid w:val="00EA2247"/>
    <w:rsid w:val="00EA4ADA"/>
    <w:rsid w:val="00EA767D"/>
    <w:rsid w:val="00EA7D90"/>
    <w:rsid w:val="00EB1DA8"/>
    <w:rsid w:val="00EB2A00"/>
    <w:rsid w:val="00EB3110"/>
    <w:rsid w:val="00EB3157"/>
    <w:rsid w:val="00EB46CF"/>
    <w:rsid w:val="00EB7AEF"/>
    <w:rsid w:val="00EC1398"/>
    <w:rsid w:val="00EC28F8"/>
    <w:rsid w:val="00EC3A35"/>
    <w:rsid w:val="00EC3AA0"/>
    <w:rsid w:val="00EC6C0F"/>
    <w:rsid w:val="00ED1571"/>
    <w:rsid w:val="00ED1973"/>
    <w:rsid w:val="00ED33FF"/>
    <w:rsid w:val="00ED368A"/>
    <w:rsid w:val="00ED4CAE"/>
    <w:rsid w:val="00EE4442"/>
    <w:rsid w:val="00EE6206"/>
    <w:rsid w:val="00EE7F6B"/>
    <w:rsid w:val="00EF343D"/>
    <w:rsid w:val="00EF4B05"/>
    <w:rsid w:val="00EF56B7"/>
    <w:rsid w:val="00EF6B66"/>
    <w:rsid w:val="00EF7F61"/>
    <w:rsid w:val="00F00230"/>
    <w:rsid w:val="00F02965"/>
    <w:rsid w:val="00F03743"/>
    <w:rsid w:val="00F0559B"/>
    <w:rsid w:val="00F1341A"/>
    <w:rsid w:val="00F137D5"/>
    <w:rsid w:val="00F143D9"/>
    <w:rsid w:val="00F16910"/>
    <w:rsid w:val="00F1717A"/>
    <w:rsid w:val="00F17281"/>
    <w:rsid w:val="00F179FF"/>
    <w:rsid w:val="00F22260"/>
    <w:rsid w:val="00F24030"/>
    <w:rsid w:val="00F26F35"/>
    <w:rsid w:val="00F27105"/>
    <w:rsid w:val="00F302D6"/>
    <w:rsid w:val="00F30982"/>
    <w:rsid w:val="00F31263"/>
    <w:rsid w:val="00F34569"/>
    <w:rsid w:val="00F37E2F"/>
    <w:rsid w:val="00F44CA7"/>
    <w:rsid w:val="00F478D9"/>
    <w:rsid w:val="00F51695"/>
    <w:rsid w:val="00F51EE6"/>
    <w:rsid w:val="00F53714"/>
    <w:rsid w:val="00F53E4E"/>
    <w:rsid w:val="00F54B98"/>
    <w:rsid w:val="00F55E28"/>
    <w:rsid w:val="00F57CE4"/>
    <w:rsid w:val="00F57F6B"/>
    <w:rsid w:val="00F61D5B"/>
    <w:rsid w:val="00F653F9"/>
    <w:rsid w:val="00F70770"/>
    <w:rsid w:val="00F716BB"/>
    <w:rsid w:val="00F71EB4"/>
    <w:rsid w:val="00F72E40"/>
    <w:rsid w:val="00F7451D"/>
    <w:rsid w:val="00F74777"/>
    <w:rsid w:val="00F76F15"/>
    <w:rsid w:val="00F808FC"/>
    <w:rsid w:val="00F82E5D"/>
    <w:rsid w:val="00F83F5F"/>
    <w:rsid w:val="00F846BC"/>
    <w:rsid w:val="00F869FB"/>
    <w:rsid w:val="00F87378"/>
    <w:rsid w:val="00F911F5"/>
    <w:rsid w:val="00F91CEB"/>
    <w:rsid w:val="00F924C0"/>
    <w:rsid w:val="00F936AA"/>
    <w:rsid w:val="00F96856"/>
    <w:rsid w:val="00F96F1E"/>
    <w:rsid w:val="00F9709B"/>
    <w:rsid w:val="00FA126C"/>
    <w:rsid w:val="00FA2F8D"/>
    <w:rsid w:val="00FA3E1C"/>
    <w:rsid w:val="00FA4DFE"/>
    <w:rsid w:val="00FA7F06"/>
    <w:rsid w:val="00FB06D3"/>
    <w:rsid w:val="00FB3E0C"/>
    <w:rsid w:val="00FB415D"/>
    <w:rsid w:val="00FB60DA"/>
    <w:rsid w:val="00FB7F95"/>
    <w:rsid w:val="00FC1715"/>
    <w:rsid w:val="00FC1812"/>
    <w:rsid w:val="00FC461E"/>
    <w:rsid w:val="00FD1C10"/>
    <w:rsid w:val="00FD3AFF"/>
    <w:rsid w:val="00FD5C76"/>
    <w:rsid w:val="00FD79B2"/>
    <w:rsid w:val="00FD7D5D"/>
    <w:rsid w:val="00FE1F6C"/>
    <w:rsid w:val="00FE2C4E"/>
    <w:rsid w:val="00FE5853"/>
    <w:rsid w:val="00FE636A"/>
    <w:rsid w:val="00FF17A8"/>
    <w:rsid w:val="00FF1F2E"/>
    <w:rsid w:val="00FF2B42"/>
    <w:rsid w:val="00FF4B34"/>
    <w:rsid w:val="00FF503E"/>
    <w:rsid w:val="018F70C1"/>
    <w:rsid w:val="02810A42"/>
    <w:rsid w:val="02B85F1B"/>
    <w:rsid w:val="053D5EC4"/>
    <w:rsid w:val="05DF1C28"/>
    <w:rsid w:val="05F01EEC"/>
    <w:rsid w:val="074327A4"/>
    <w:rsid w:val="075B002A"/>
    <w:rsid w:val="081B29A6"/>
    <w:rsid w:val="0A0A421D"/>
    <w:rsid w:val="0DA05499"/>
    <w:rsid w:val="0DBE0048"/>
    <w:rsid w:val="0F890F70"/>
    <w:rsid w:val="14DF5C8A"/>
    <w:rsid w:val="162338E5"/>
    <w:rsid w:val="17EF6035"/>
    <w:rsid w:val="188B52F6"/>
    <w:rsid w:val="19612F03"/>
    <w:rsid w:val="19A34C8B"/>
    <w:rsid w:val="1A51671C"/>
    <w:rsid w:val="1A8F3E69"/>
    <w:rsid w:val="1B2840D2"/>
    <w:rsid w:val="1D01483C"/>
    <w:rsid w:val="1EC71E53"/>
    <w:rsid w:val="1F4005E6"/>
    <w:rsid w:val="20427A6A"/>
    <w:rsid w:val="29721D91"/>
    <w:rsid w:val="2B384BF3"/>
    <w:rsid w:val="2CAC2575"/>
    <w:rsid w:val="2CD52E96"/>
    <w:rsid w:val="2E543C37"/>
    <w:rsid w:val="2E5C6DDE"/>
    <w:rsid w:val="2FC27A6F"/>
    <w:rsid w:val="310938F0"/>
    <w:rsid w:val="346040E6"/>
    <w:rsid w:val="36BC7A7B"/>
    <w:rsid w:val="372C6501"/>
    <w:rsid w:val="3C3B53BC"/>
    <w:rsid w:val="41417421"/>
    <w:rsid w:val="41471FF6"/>
    <w:rsid w:val="42A96B6B"/>
    <w:rsid w:val="432D4CC7"/>
    <w:rsid w:val="445832D5"/>
    <w:rsid w:val="449614E1"/>
    <w:rsid w:val="45A05578"/>
    <w:rsid w:val="46CE2C75"/>
    <w:rsid w:val="477D799F"/>
    <w:rsid w:val="47E830C0"/>
    <w:rsid w:val="49861170"/>
    <w:rsid w:val="49BB3D50"/>
    <w:rsid w:val="4B380BA3"/>
    <w:rsid w:val="4D4332A5"/>
    <w:rsid w:val="4DD9637A"/>
    <w:rsid w:val="4E394AD9"/>
    <w:rsid w:val="507074B3"/>
    <w:rsid w:val="50CB605F"/>
    <w:rsid w:val="52371917"/>
    <w:rsid w:val="52C01E6C"/>
    <w:rsid w:val="55107D74"/>
    <w:rsid w:val="55BF11F4"/>
    <w:rsid w:val="57942D44"/>
    <w:rsid w:val="57D348F3"/>
    <w:rsid w:val="5B793835"/>
    <w:rsid w:val="5CB67776"/>
    <w:rsid w:val="5E0F7CF0"/>
    <w:rsid w:val="608762D9"/>
    <w:rsid w:val="62055786"/>
    <w:rsid w:val="62A43751"/>
    <w:rsid w:val="65E4496E"/>
    <w:rsid w:val="68900243"/>
    <w:rsid w:val="693400B3"/>
    <w:rsid w:val="6A766258"/>
    <w:rsid w:val="6A82578B"/>
    <w:rsid w:val="6B036F9E"/>
    <w:rsid w:val="6B2640D0"/>
    <w:rsid w:val="6C6B4CAC"/>
    <w:rsid w:val="7000742F"/>
    <w:rsid w:val="73495686"/>
    <w:rsid w:val="73CD0FC2"/>
    <w:rsid w:val="75687FB3"/>
    <w:rsid w:val="77150016"/>
    <w:rsid w:val="777D4D1E"/>
    <w:rsid w:val="7849434A"/>
    <w:rsid w:val="7A773972"/>
    <w:rsid w:val="7BA06143"/>
    <w:rsid w:val="7BB260AA"/>
    <w:rsid w:val="7BB4423F"/>
    <w:rsid w:val="7CEB6B8B"/>
    <w:rsid w:val="7E1B0B5C"/>
    <w:rsid w:val="7E75263E"/>
    <w:rsid w:val="7EB92C1D"/>
    <w:rsid w:val="7FD47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FF"/>
      <w:sz w:val="21"/>
      <w:szCs w:val="21"/>
      <w:lang w:val="en-US" w:eastAsia="zh-CN" w:bidi="ar-SA"/>
    </w:rPr>
  </w:style>
  <w:style w:type="paragraph" w:styleId="2">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line="415" w:lineRule="auto"/>
      <w:jc w:val="center"/>
      <w:outlineLvl w:val="1"/>
    </w:pPr>
    <w:rPr>
      <w:rFonts w:ascii="宋体"/>
      <w:b/>
      <w:bCs/>
      <w:color w:val="auto"/>
      <w:kern w:val="2"/>
      <w:sz w:val="28"/>
      <w:szCs w:val="28"/>
      <w:lang w:val="zh-CN"/>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caption"/>
    <w:basedOn w:val="1"/>
    <w:next w:val="1"/>
    <w:qFormat/>
    <w:uiPriority w:val="0"/>
    <w:pPr>
      <w:spacing w:beforeLines="50" w:afterLines="50"/>
      <w:jc w:val="center"/>
    </w:pPr>
    <w:rPr>
      <w:rFonts w:ascii="Cambria" w:hAnsi="Cambria"/>
      <w:szCs w:val="20"/>
    </w:rPr>
  </w:style>
  <w:style w:type="paragraph" w:styleId="6">
    <w:name w:val="annotation text"/>
    <w:basedOn w:val="1"/>
    <w:link w:val="41"/>
    <w:semiHidden/>
    <w:unhideWhenUsed/>
    <w:qFormat/>
    <w:uiPriority w:val="99"/>
    <w:pPr>
      <w:jc w:val="left"/>
    </w:pPr>
  </w:style>
  <w:style w:type="paragraph" w:styleId="7">
    <w:name w:val="Body Text"/>
    <w:basedOn w:val="1"/>
    <w:link w:val="38"/>
    <w:qFormat/>
    <w:uiPriority w:val="1"/>
    <w:rPr>
      <w:rFonts w:eastAsia="Times New Roman"/>
      <w:sz w:val="25"/>
      <w:szCs w:val="25"/>
    </w:rPr>
  </w:style>
  <w:style w:type="paragraph" w:styleId="8">
    <w:name w:val="toc 3"/>
    <w:basedOn w:val="1"/>
    <w:next w:val="1"/>
    <w:unhideWhenUsed/>
    <w:qFormat/>
    <w:uiPriority w:val="39"/>
    <w:pPr>
      <w:ind w:left="840" w:leftChars="400"/>
    </w:pPr>
  </w:style>
  <w:style w:type="paragraph" w:styleId="9">
    <w:name w:val="Plain Text"/>
    <w:basedOn w:val="1"/>
    <w:link w:val="48"/>
    <w:semiHidden/>
    <w:unhideWhenUsed/>
    <w:qFormat/>
    <w:uiPriority w:val="99"/>
    <w:rPr>
      <w:rFonts w:ascii="宋体" w:hAnsi="Courier New" w:cs="Courier New"/>
    </w:rPr>
  </w:style>
  <w:style w:type="paragraph" w:styleId="10">
    <w:name w:val="Date"/>
    <w:basedOn w:val="1"/>
    <w:next w:val="1"/>
    <w:link w:val="31"/>
    <w:semiHidden/>
    <w:unhideWhenUsed/>
    <w:qFormat/>
    <w:uiPriority w:val="99"/>
    <w:pPr>
      <w:ind w:left="100" w:leftChars="2500"/>
    </w:pPr>
  </w:style>
  <w:style w:type="paragraph" w:styleId="11">
    <w:name w:val="Balloon Text"/>
    <w:basedOn w:val="1"/>
    <w:link w:val="32"/>
    <w:semiHidden/>
    <w:unhideWhenUsed/>
    <w:qFormat/>
    <w:uiPriority w:val="99"/>
    <w:rPr>
      <w:sz w:val="18"/>
      <w:szCs w:val="18"/>
    </w:rPr>
  </w:style>
  <w:style w:type="paragraph" w:styleId="12">
    <w:name w:val="footer"/>
    <w:basedOn w:val="1"/>
    <w:link w:val="28"/>
    <w:unhideWhenUsed/>
    <w:qFormat/>
    <w:uiPriority w:val="0"/>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14">
    <w:name w:val="toc 1"/>
    <w:basedOn w:val="1"/>
    <w:next w:val="1"/>
    <w:unhideWhenUsed/>
    <w:qFormat/>
    <w:uiPriority w:val="39"/>
    <w:pPr>
      <w:tabs>
        <w:tab w:val="right" w:leader="dot" w:pos="8296"/>
      </w:tabs>
      <w:spacing w:line="276" w:lineRule="auto"/>
    </w:pPr>
    <w:rPr>
      <w:rFonts w:ascii="宋体" w:hAnsi="宋体"/>
      <w:color w:val="auto"/>
    </w:rPr>
  </w:style>
  <w:style w:type="paragraph" w:styleId="15">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6">
    <w:name w:val="toc 2"/>
    <w:basedOn w:val="1"/>
    <w:next w:val="1"/>
    <w:unhideWhenUsed/>
    <w:qFormat/>
    <w:uiPriority w:val="39"/>
    <w:pPr>
      <w:tabs>
        <w:tab w:val="right" w:leader="dot" w:pos="8296"/>
      </w:tabs>
      <w:spacing w:line="276" w:lineRule="auto"/>
      <w:ind w:left="420" w:leftChars="200"/>
    </w:pPr>
  </w:style>
  <w:style w:type="paragraph" w:styleId="17">
    <w:name w:val="Normal (Web)"/>
    <w:basedOn w:val="1"/>
    <w:qFormat/>
    <w:uiPriority w:val="99"/>
    <w:pPr>
      <w:spacing w:before="100" w:beforeAutospacing="1" w:after="100" w:afterAutospacing="1"/>
      <w:jc w:val="left"/>
    </w:pPr>
    <w:rPr>
      <w:sz w:val="24"/>
    </w:rPr>
  </w:style>
  <w:style w:type="paragraph" w:styleId="18">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19">
    <w:name w:val="annotation subject"/>
    <w:basedOn w:val="6"/>
    <w:next w:val="6"/>
    <w:link w:val="42"/>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954F72" w:themeColor="followedHyperlink"/>
      <w:u w:val="single"/>
      <w14:textFill>
        <w14:solidFill>
          <w14:schemeClr w14:val="folHlink"/>
        </w14:solidFill>
      </w14:textFill>
    </w:rPr>
  </w:style>
  <w:style w:type="character" w:styleId="25">
    <w:name w:val="Hyperlink"/>
    <w:basedOn w:val="22"/>
    <w:unhideWhenUsed/>
    <w:qFormat/>
    <w:uiPriority w:val="99"/>
    <w:rPr>
      <w:color w:val="0000FF"/>
      <w:u w:val="single"/>
    </w:rPr>
  </w:style>
  <w:style w:type="character" w:styleId="26">
    <w:name w:val="annotation reference"/>
    <w:basedOn w:val="22"/>
    <w:semiHidden/>
    <w:unhideWhenUsed/>
    <w:qFormat/>
    <w:uiPriority w:val="99"/>
    <w:rPr>
      <w:sz w:val="21"/>
      <w:szCs w:val="21"/>
    </w:rPr>
  </w:style>
  <w:style w:type="character" w:customStyle="1" w:styleId="27">
    <w:name w:val="页眉 字符"/>
    <w:basedOn w:val="22"/>
    <w:link w:val="13"/>
    <w:qFormat/>
    <w:uiPriority w:val="99"/>
    <w:rPr>
      <w:sz w:val="18"/>
      <w:szCs w:val="18"/>
    </w:rPr>
  </w:style>
  <w:style w:type="character" w:customStyle="1" w:styleId="28">
    <w:name w:val="页脚 字符"/>
    <w:basedOn w:val="22"/>
    <w:link w:val="12"/>
    <w:qFormat/>
    <w:uiPriority w:val="0"/>
    <w:rPr>
      <w:sz w:val="18"/>
      <w:szCs w:val="18"/>
    </w:rPr>
  </w:style>
  <w:style w:type="paragraph" w:styleId="29">
    <w:name w:val="List Paragraph"/>
    <w:basedOn w:val="1"/>
    <w:qFormat/>
    <w:uiPriority w:val="34"/>
    <w:pPr>
      <w:ind w:firstLine="420" w:firstLineChars="200"/>
    </w:pPr>
  </w:style>
  <w:style w:type="paragraph" w:customStyle="1" w:styleId="30">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31">
    <w:name w:val="日期 字符"/>
    <w:basedOn w:val="22"/>
    <w:link w:val="10"/>
    <w:semiHidden/>
    <w:qFormat/>
    <w:uiPriority w:val="99"/>
    <w:rPr>
      <w:rFonts w:ascii="Times New Roman" w:hAnsi="Times New Roman" w:eastAsia="宋体" w:cs="Times New Roman"/>
      <w:color w:val="0000FF"/>
      <w:sz w:val="21"/>
      <w:szCs w:val="21"/>
    </w:rPr>
  </w:style>
  <w:style w:type="character" w:customStyle="1" w:styleId="32">
    <w:name w:val="批注框文本 字符"/>
    <w:basedOn w:val="22"/>
    <w:link w:val="11"/>
    <w:semiHidden/>
    <w:qFormat/>
    <w:uiPriority w:val="99"/>
    <w:rPr>
      <w:rFonts w:ascii="Times New Roman" w:hAnsi="Times New Roman" w:eastAsia="宋体" w:cs="Times New Roman"/>
      <w:color w:val="0000FF"/>
      <w:sz w:val="18"/>
      <w:szCs w:val="18"/>
    </w:rPr>
  </w:style>
  <w:style w:type="character" w:customStyle="1" w:styleId="33">
    <w:name w:val="标题 2 字符"/>
    <w:basedOn w:val="22"/>
    <w:semiHidden/>
    <w:qFormat/>
    <w:uiPriority w:val="9"/>
    <w:rPr>
      <w:rFonts w:asciiTheme="majorHAnsi" w:hAnsiTheme="majorHAnsi" w:eastAsiaTheme="majorEastAsia" w:cstheme="majorBidi"/>
      <w:b/>
      <w:bCs/>
      <w:color w:val="0000FF"/>
      <w:sz w:val="32"/>
      <w:szCs w:val="32"/>
    </w:rPr>
  </w:style>
  <w:style w:type="character" w:customStyle="1" w:styleId="34">
    <w:name w:val="标题 2 字符1"/>
    <w:link w:val="3"/>
    <w:qFormat/>
    <w:uiPriority w:val="0"/>
    <w:rPr>
      <w:rFonts w:ascii="宋体" w:hAnsi="Times New Roman" w:eastAsia="宋体" w:cs="Times New Roman"/>
      <w:b/>
      <w:bCs/>
      <w:kern w:val="2"/>
      <w:sz w:val="28"/>
      <w:szCs w:val="28"/>
      <w:lang w:val="zh-CN" w:eastAsia="zh-CN"/>
    </w:rPr>
  </w:style>
  <w:style w:type="character" w:styleId="35">
    <w:name w:val="Placeholder Text"/>
    <w:basedOn w:val="22"/>
    <w:semiHidden/>
    <w:qFormat/>
    <w:uiPriority w:val="99"/>
    <w:rPr>
      <w:color w:val="808080"/>
    </w:rPr>
  </w:style>
  <w:style w:type="character" w:customStyle="1" w:styleId="36">
    <w:name w:val="标题 3 字符"/>
    <w:basedOn w:val="22"/>
    <w:link w:val="4"/>
    <w:qFormat/>
    <w:uiPriority w:val="9"/>
    <w:rPr>
      <w:rFonts w:ascii="Times New Roman" w:hAnsi="Times New Roman" w:eastAsia="宋体" w:cs="Times New Roman"/>
      <w:b/>
      <w:bCs/>
      <w:color w:val="0000FF"/>
      <w:sz w:val="32"/>
      <w:szCs w:val="32"/>
    </w:rPr>
  </w:style>
  <w:style w:type="character" w:customStyle="1" w:styleId="37">
    <w:name w:val="标题 1 Char"/>
    <w:basedOn w:val="22"/>
    <w:qFormat/>
    <w:uiPriority w:val="9"/>
    <w:rPr>
      <w:rFonts w:ascii="Times New Roman" w:hAnsi="Times New Roman" w:eastAsia="宋体" w:cs="Times New Roman"/>
      <w:b/>
      <w:bCs/>
      <w:color w:val="0000FF"/>
      <w:kern w:val="44"/>
      <w:sz w:val="44"/>
      <w:szCs w:val="44"/>
    </w:rPr>
  </w:style>
  <w:style w:type="character" w:customStyle="1" w:styleId="38">
    <w:name w:val="正文文本 字符"/>
    <w:basedOn w:val="22"/>
    <w:link w:val="7"/>
    <w:qFormat/>
    <w:uiPriority w:val="1"/>
    <w:rPr>
      <w:rFonts w:ascii="Times New Roman" w:hAnsi="Times New Roman" w:eastAsia="Times New Roman" w:cs="Times New Roman"/>
      <w:color w:val="0000FF"/>
      <w:sz w:val="25"/>
      <w:szCs w:val="25"/>
    </w:rPr>
  </w:style>
  <w:style w:type="character" w:customStyle="1" w:styleId="39">
    <w:name w:val="ss2"/>
    <w:basedOn w:val="22"/>
    <w:qFormat/>
    <w:uiPriority w:val="0"/>
  </w:style>
  <w:style w:type="paragraph" w:customStyle="1" w:styleId="40">
    <w:name w:val="TOC 标题1"/>
    <w:basedOn w:val="2"/>
    <w:next w:val="1"/>
    <w:semiHidden/>
    <w:unhideWhenUsed/>
    <w:qFormat/>
    <w:uiPriority w:val="39"/>
    <w:pPr>
      <w:outlineLvl w:val="9"/>
    </w:pPr>
  </w:style>
  <w:style w:type="character" w:customStyle="1" w:styleId="41">
    <w:name w:val="批注文字 字符"/>
    <w:basedOn w:val="22"/>
    <w:link w:val="6"/>
    <w:semiHidden/>
    <w:qFormat/>
    <w:uiPriority w:val="99"/>
    <w:rPr>
      <w:rFonts w:ascii="Times New Roman" w:hAnsi="Times New Roman" w:eastAsia="宋体" w:cs="Times New Roman"/>
      <w:color w:val="0000FF"/>
      <w:sz w:val="21"/>
      <w:szCs w:val="21"/>
    </w:rPr>
  </w:style>
  <w:style w:type="character" w:customStyle="1" w:styleId="42">
    <w:name w:val="批注主题 字符"/>
    <w:basedOn w:val="41"/>
    <w:link w:val="19"/>
    <w:semiHidden/>
    <w:qFormat/>
    <w:uiPriority w:val="99"/>
    <w:rPr>
      <w:rFonts w:ascii="Times New Roman" w:hAnsi="Times New Roman" w:eastAsia="宋体" w:cs="Times New Roman"/>
      <w:b/>
      <w:bCs/>
      <w:color w:val="0000FF"/>
      <w:sz w:val="21"/>
      <w:szCs w:val="21"/>
    </w:rPr>
  </w:style>
  <w:style w:type="paragraph" w:customStyle="1" w:styleId="43">
    <w:name w:val="修订1"/>
    <w:hidden/>
    <w:semiHidden/>
    <w:qFormat/>
    <w:uiPriority w:val="99"/>
    <w:rPr>
      <w:rFonts w:ascii="Times New Roman" w:hAnsi="Times New Roman" w:eastAsia="宋体" w:cs="Times New Roman"/>
      <w:color w:val="0000FF"/>
      <w:sz w:val="21"/>
      <w:szCs w:val="21"/>
      <w:lang w:val="en-US" w:eastAsia="zh-CN" w:bidi="ar-SA"/>
    </w:rPr>
  </w:style>
  <w:style w:type="paragraph" w:customStyle="1" w:styleId="44">
    <w:name w:val="扉页（出版时间地点）"/>
    <w:basedOn w:val="1"/>
    <w:qFormat/>
    <w:uiPriority w:val="0"/>
    <w:pPr>
      <w:jc w:val="center"/>
    </w:pPr>
    <w:rPr>
      <w:rFonts w:eastAsia="黑体" w:cs="宋体"/>
      <w:color w:val="auto"/>
      <w:kern w:val="2"/>
      <w:szCs w:val="20"/>
    </w:rPr>
  </w:style>
  <w:style w:type="paragraph" w:customStyle="1" w:styleId="45">
    <w:name w:val="规程英文名称（封面）"/>
    <w:basedOn w:val="9"/>
    <w:qFormat/>
    <w:uiPriority w:val="0"/>
    <w:pPr>
      <w:widowControl/>
      <w:snapToGrid w:val="0"/>
      <w:spacing w:line="360" w:lineRule="auto"/>
      <w:ind w:left="178" w:leftChars="85"/>
      <w:jc w:val="center"/>
    </w:pPr>
    <w:rPr>
      <w:rFonts w:ascii="Times New Roman" w:hAnsi="Times New Roman" w:eastAsia="黑体" w:cs="Times New Roman"/>
      <w:color w:val="auto"/>
      <w:sz w:val="44"/>
      <w:szCs w:val="44"/>
    </w:rPr>
  </w:style>
  <w:style w:type="paragraph" w:customStyle="1" w:styleId="46">
    <w:name w:val="标准扉页（标准名称）"/>
    <w:basedOn w:val="1"/>
    <w:qFormat/>
    <w:uiPriority w:val="0"/>
    <w:pPr>
      <w:jc w:val="center"/>
    </w:pPr>
    <w:rPr>
      <w:rFonts w:eastAsia="黑体"/>
      <w:color w:val="auto"/>
      <w:kern w:val="2"/>
      <w:sz w:val="30"/>
      <w:szCs w:val="20"/>
    </w:rPr>
  </w:style>
  <w:style w:type="paragraph" w:customStyle="1" w:styleId="47">
    <w:name w:val="标准扉页（福建省工程建设地方标准）"/>
    <w:basedOn w:val="1"/>
    <w:qFormat/>
    <w:uiPriority w:val="0"/>
    <w:pPr>
      <w:jc w:val="center"/>
    </w:pPr>
    <w:rPr>
      <w:rFonts w:eastAsia="黑体"/>
      <w:color w:val="auto"/>
      <w:kern w:val="2"/>
      <w:sz w:val="28"/>
      <w:szCs w:val="20"/>
    </w:rPr>
  </w:style>
  <w:style w:type="character" w:customStyle="1" w:styleId="48">
    <w:name w:val="纯文本 字符"/>
    <w:basedOn w:val="22"/>
    <w:link w:val="9"/>
    <w:semiHidden/>
    <w:qFormat/>
    <w:uiPriority w:val="99"/>
    <w:rPr>
      <w:rFonts w:ascii="宋体" w:hAnsi="Courier New" w:eastAsia="宋体" w:cs="Courier New"/>
      <w:color w:val="0000FF"/>
      <w:sz w:val="21"/>
      <w:szCs w:val="21"/>
    </w:rPr>
  </w:style>
  <w:style w:type="character" w:customStyle="1" w:styleId="49">
    <w:name w:val="标题 1 字符"/>
    <w:basedOn w:val="22"/>
    <w:link w:val="2"/>
    <w:qFormat/>
    <w:uiPriority w:val="9"/>
    <w:rPr>
      <w:b/>
      <w:bCs/>
      <w:kern w:val="44"/>
      <w:sz w:val="44"/>
      <w:szCs w:val="44"/>
    </w:rPr>
  </w:style>
  <w:style w:type="paragraph" w:customStyle="1" w:styleId="50">
    <w:name w:val="条文"/>
    <w:basedOn w:val="1"/>
    <w:qFormat/>
    <w:uiPriority w:val="0"/>
    <w:pPr>
      <w:spacing w:line="300" w:lineRule="auto"/>
      <w:ind w:firstLine="200" w:firstLineChars="200"/>
    </w:pPr>
  </w:style>
  <w:style w:type="paragraph" w:customStyle="1" w:styleId="51">
    <w:name w:val="条"/>
    <w:basedOn w:val="1"/>
    <w:next w:val="1"/>
    <w:qFormat/>
    <w:uiPriority w:val="0"/>
    <w:pPr>
      <w:numPr>
        <w:ilvl w:val="0"/>
        <w:numId w:val="1"/>
      </w:numPr>
      <w:adjustRightInd w:val="0"/>
      <w:snapToGrid w:val="0"/>
      <w:ind w:firstLine="0"/>
    </w:pPr>
    <w:rPr>
      <w:szCs w:val="32"/>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4">
    <w:name w:val="Revision"/>
    <w:hidden/>
    <w:semiHidden/>
    <w:qFormat/>
    <w:uiPriority w:val="99"/>
    <w:rPr>
      <w:rFonts w:ascii="Times New Roman" w:hAnsi="Times New Roman" w:eastAsia="宋体" w:cs="Times New Roman"/>
      <w:color w:val="0000FF"/>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7A1BF2-1E08-4D5E-A5F5-56649A3A86FC}">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31943</Words>
  <Characters>34187</Characters>
  <Lines>255</Lines>
  <Paragraphs>71</Paragraphs>
  <TotalTime>4</TotalTime>
  <ScaleCrop>false</ScaleCrop>
  <LinksUpToDate>false</LinksUpToDate>
  <CharactersWithSpaces>34801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2023-08-10T03:32:00Z</dcterms:created>
  <dc:creator>lenovo lenovo</dc:creator>
  <cp:lastModifiedBy>高雨识</cp:lastModifiedBy>
  <cp:lastPrinted>2021-10-26T01:33:00Z</cp:lastPrinted>
  <dcterms:modified xsi:type="dcterms:W3CDTF">2023-09-01T06:44:00Z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6B3EAB354B8145F3A5B3C8530EBB9A2B_13</vt:lpwstr>
  </property>
</Properties>
</file>