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9"/>
        <w:framePr w:wrap="around"/>
        <w:outlineLvl w:val="0"/>
      </w:pPr>
      <w:bookmarkStart w:id="0" w:name="_Toc1639"/>
      <w:bookmarkStart w:id="1" w:name="_Toc30767"/>
      <w:bookmarkStart w:id="2" w:name="_Toc2606"/>
      <w:bookmarkStart w:id="3" w:name="_Toc21450"/>
      <w:bookmarkStart w:id="4" w:name="_Toc11902"/>
      <w:r>
        <w:rPr>
          <w:rFonts w:hint="eastAsia"/>
        </w:rPr>
        <w:t>中国工程建设标准化协会团体标准</w:t>
      </w:r>
      <w:bookmarkEnd w:id="0"/>
      <w:bookmarkEnd w:id="1"/>
      <w:bookmarkEnd w:id="2"/>
      <w:bookmarkEnd w:id="3"/>
      <w:bookmarkEnd w:id="4"/>
    </w:p>
    <w:p>
      <w:pPr>
        <w:pStyle w:val="96"/>
        <w:framePr w:h="1264" w:hRule="exact" w:wrap="around"/>
        <w:rPr>
          <w:rFonts w:hAnsi="黑体"/>
        </w:rPr>
      </w:pPr>
      <w:r>
        <w:rPr>
          <w:rFonts w:hint="eastAsia" w:ascii="Times New Roman"/>
          <w:b/>
        </w:rPr>
        <w:t>T</w:t>
      </w:r>
      <w:r>
        <w:rPr>
          <w:rFonts w:ascii="Times New Roman"/>
          <w:b/>
        </w:rPr>
        <w:t>/</w:t>
      </w:r>
      <w:bookmarkStart w:id="5" w:name="StdNo1"/>
      <w:r>
        <w:rPr>
          <w:rFonts w:hint="eastAsia" w:ascii="Times New Roman"/>
          <w:b/>
        </w:rPr>
        <w:t>CECS</w:t>
      </w:r>
      <w:r>
        <w:rPr>
          <w:rFonts w:hint="eastAsia" w:hAnsi="黑体"/>
          <w:b/>
        </w:rPr>
        <w:t xml:space="preserve"> </w:t>
      </w:r>
      <w:r>
        <w:rPr>
          <w:rFonts w:hAnsi="黑体"/>
        </w:rPr>
        <w:fldChar w:fldCharType="begin">
          <w:ffData>
            <w:enabled/>
            <w:calcOnExit w:val="0"/>
            <w:textInput>
              <w:default w:val="×××"/>
            </w:textInput>
          </w:ffData>
        </w:fldChar>
      </w:r>
      <w:r>
        <w:rPr>
          <w:rFonts w:hAnsi="黑体"/>
        </w:rPr>
        <w:instrText xml:space="preserve"> FORMTEXT </w:instrText>
      </w:r>
      <w:r>
        <w:rPr>
          <w:rFonts w:hAnsi="黑体"/>
        </w:rPr>
        <w:fldChar w:fldCharType="separate"/>
      </w:r>
      <w:r>
        <w:rPr>
          <w:rFonts w:hAnsi="黑体"/>
        </w:rPr>
        <w:t>×××</w:t>
      </w:r>
      <w:r>
        <w:rPr>
          <w:rFonts w:hAnsi="黑体"/>
        </w:rPr>
        <w:fldChar w:fldCharType="end"/>
      </w:r>
      <w:bookmarkEnd w:id="5"/>
      <w:r>
        <w:rPr>
          <w:rFonts w:hAnsi="黑体"/>
        </w:rPr>
        <w:t>—</w:t>
      </w:r>
      <w:bookmarkStart w:id="6" w:name="StdNo2"/>
      <w:r>
        <w:rPr>
          <w:rFonts w:hAnsi="黑体"/>
        </w:rPr>
        <w:fldChar w:fldCharType="begin">
          <w:ffData>
            <w:name w:val="StdNo2"/>
            <w:enabled/>
            <w:calcOnExit w:val="0"/>
            <w:textInput>
              <w:default w:val="XXXX"/>
              <w:maxLength w:val="4"/>
            </w:textInput>
          </w:ffData>
        </w:fldChar>
      </w:r>
      <w:r>
        <w:rPr>
          <w:rFonts w:hAnsi="黑体"/>
        </w:rPr>
        <w:instrText xml:space="preserve"> FORMTEXT </w:instrText>
      </w:r>
      <w:r>
        <w:rPr>
          <w:rFonts w:hAnsi="黑体"/>
        </w:rPr>
        <w:fldChar w:fldCharType="separate"/>
      </w:r>
      <w:r>
        <w:rPr>
          <w:rFonts w:hAnsi="黑体"/>
        </w:rPr>
        <w:t>201X</w:t>
      </w:r>
      <w:r>
        <w:rPr>
          <w:rFonts w:hAnsi="黑体"/>
        </w:rPr>
        <w:fldChar w:fldCharType="end"/>
      </w:r>
      <w:bookmarkEnd w:id="6"/>
    </w:p>
    <w:tbl>
      <w:tblPr>
        <w:tblStyle w:val="3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pPr>
              <w:pStyle w:val="96"/>
              <w:framePr w:h="1264" w:hRule="exact" w:wrap="around"/>
              <w:rPr>
                <w:rFonts w:ascii="宋体" w:hAnsi="宋体" w:eastAsia="宋体"/>
                <w:sz w:val="24"/>
                <w:szCs w:val="24"/>
              </w:rPr>
            </w:pPr>
            <w:bookmarkStart w:id="7" w:name="DT"/>
            <w:r>
              <w:drawing>
                <wp:anchor distT="0" distB="0" distL="114300" distR="114300" simplePos="0" relativeHeight="251670528" behindDoc="0" locked="0" layoutInCell="1" allowOverlap="1">
                  <wp:simplePos x="0" y="0"/>
                  <wp:positionH relativeFrom="column">
                    <wp:posOffset>-304800</wp:posOffset>
                  </wp:positionH>
                  <wp:positionV relativeFrom="paragraph">
                    <wp:posOffset>-2001520</wp:posOffset>
                  </wp:positionV>
                  <wp:extent cx="1876425" cy="1238250"/>
                  <wp:effectExtent l="0" t="0" r="9525" b="0"/>
                  <wp:wrapNone/>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8"/>
                          <a:stretch>
                            <a:fillRect/>
                          </a:stretch>
                        </pic:blipFill>
                        <pic:spPr>
                          <a:xfrm>
                            <a:off x="0" y="0"/>
                            <a:ext cx="1876425" cy="1238250"/>
                          </a:xfrm>
                          <a:prstGeom prst="rect">
                            <a:avLst/>
                          </a:prstGeom>
                          <a:noFill/>
                          <a:ln>
                            <a:noFill/>
                          </a:ln>
                        </pic:spPr>
                      </pic:pic>
                    </a:graphicData>
                  </a:graphic>
                </wp:anchor>
              </w:drawing>
            </w:r>
          </w:p>
          <w:bookmarkEnd w:id="7"/>
          <w:p>
            <w:pPr>
              <w:pStyle w:val="108"/>
              <w:framePr w:h="1264" w:hRule="exact" w:wrap="around"/>
            </w:pPr>
          </w:p>
        </w:tc>
      </w:tr>
    </w:tbl>
    <w:p>
      <w:pPr>
        <w:pStyle w:val="96"/>
        <w:framePr w:h="1264" w:hRule="exact" w:wrap="around"/>
        <w:rPr>
          <w:rFonts w:hAnsi="黑体"/>
        </w:rPr>
      </w:pPr>
    </w:p>
    <w:p>
      <w:pPr>
        <w:pStyle w:val="96"/>
        <w:framePr w:h="1264" w:hRule="exact" w:wrap="around"/>
        <w:rPr>
          <w:rFonts w:hAnsi="黑体"/>
        </w:rPr>
      </w:pPr>
    </w:p>
    <w:p>
      <w:pPr>
        <w:pStyle w:val="83"/>
        <w:framePr w:wrap="around" w:x="1188"/>
        <w:outlineLvl w:val="0"/>
      </w:pPr>
      <w:bookmarkStart w:id="8" w:name="_Toc15261"/>
      <w:bookmarkStart w:id="9" w:name="_Toc30941"/>
      <w:bookmarkStart w:id="10" w:name="_Toc29292"/>
      <w:bookmarkStart w:id="11" w:name="_Toc24300"/>
      <w:bookmarkStart w:id="12" w:name="_Toc24934"/>
      <w:r>
        <w:rPr>
          <w:rFonts w:hint="eastAsia"/>
        </w:rPr>
        <w:t>建筑门窗工程保险技术标准</w:t>
      </w:r>
      <w:bookmarkEnd w:id="8"/>
      <w:bookmarkEnd w:id="9"/>
      <w:bookmarkEnd w:id="10"/>
      <w:bookmarkEnd w:id="11"/>
      <w:bookmarkEnd w:id="12"/>
    </w:p>
    <w:p>
      <w:pPr>
        <w:pStyle w:val="82"/>
        <w:framePr w:wrap="around" w:x="1188"/>
        <w:rPr>
          <w:b/>
        </w:rPr>
      </w:pPr>
      <w:r>
        <w:rPr>
          <w:rFonts w:hint="eastAsia"/>
        </w:rPr>
        <w:t>Construction doors and Windows engineering insurance technical standards</w:t>
      </w:r>
    </w:p>
    <w:p>
      <w:pPr>
        <w:pStyle w:val="81"/>
        <w:framePr w:wrap="around" w:x="1188"/>
      </w:pPr>
    </w:p>
    <w:tbl>
      <w:tblPr>
        <w:tblStyle w:val="3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pStyle w:val="80"/>
              <w:framePr w:wrap="around" w:x="1188"/>
              <w:rPr>
                <w:sz w:val="44"/>
                <w:szCs w:val="44"/>
              </w:rPr>
            </w:pPr>
            <w:r>
              <w:rPr>
                <w:rFonts w:hint="eastAsia" w:ascii="Times New Roman"/>
                <w:color w:val="000000"/>
                <w:sz w:val="44"/>
                <w:szCs w:val="44"/>
              </w:rPr>
              <w:t>（</w:t>
            </w:r>
            <w:r>
              <w:rPr>
                <w:rFonts w:hint="eastAsia" w:ascii="Times New Roman"/>
                <w:b/>
                <w:color w:val="000000"/>
                <w:sz w:val="44"/>
                <w:szCs w:val="44"/>
              </w:rPr>
              <w:t>征求意见稿</w:t>
            </w:r>
            <w:r>
              <w:rPr>
                <w:rFonts w:hint="eastAsia" w:ascii="Times New Roman"/>
                <w:color w:val="000000"/>
                <w:sz w:val="44"/>
                <w:szCs w:val="4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pStyle w:val="79"/>
              <w:framePr w:wrap="around" w:x="1188"/>
            </w:pPr>
          </w:p>
        </w:tc>
      </w:tr>
    </w:tbl>
    <w:p>
      <w:pPr>
        <w:pStyle w:val="155"/>
        <w:framePr w:wrap="around" w:hAnchor="page" w:x="1208" w:y="14140"/>
      </w:pPr>
      <w:bookmarkStart w:id="13" w:name="FY"/>
      <w:r>
        <w:rPr>
          <w:rFonts w:ascii="黑体"/>
        </w:rPr>
        <w:fldChar w:fldCharType="begin">
          <w:ffData>
            <w:name w:val="FY"/>
            <w:enabled/>
            <w:calcOnExit w:val="0"/>
            <w:textInput>
              <w:default w:val="XXXX"/>
              <w:maxLength w:val="4"/>
            </w:textInput>
          </w:ffData>
        </w:fldChar>
      </w:r>
      <w:r>
        <w:rPr>
          <w:rFonts w:ascii="黑体"/>
        </w:rPr>
        <w:instrText xml:space="preserve"> FORMTEXT </w:instrText>
      </w:r>
      <w:r>
        <w:rPr>
          <w:rFonts w:ascii="黑体"/>
        </w:rPr>
        <w:fldChar w:fldCharType="separate"/>
      </w:r>
      <w:r>
        <w:rPr>
          <w:rFonts w:ascii="黑体"/>
        </w:rPr>
        <w:t>201X</w:t>
      </w:r>
      <w:r>
        <w:rPr>
          <w:rFonts w:ascii="黑体"/>
        </w:rPr>
        <w:fldChar w:fldCharType="end"/>
      </w:r>
      <w:bookmarkEnd w:id="13"/>
      <w:r>
        <w:rPr>
          <w:rFonts w:ascii="黑体"/>
        </w:rPr>
        <w:t>-</w:t>
      </w:r>
      <w:r>
        <w:rPr>
          <w:rFonts w:ascii="黑体"/>
        </w:rPr>
        <w:fldChar w:fldCharType="begin">
          <w:ffData>
            <w:name w:val="F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rPr>
          <w:rFonts w:ascii="黑体"/>
        </w:rPr>
        <w:t>-</w:t>
      </w:r>
      <w:bookmarkStart w:id="14" w:name="FD"/>
      <w:r>
        <w:rPr>
          <w:rFonts w:ascii="黑体"/>
        </w:rPr>
        <w:fldChar w:fldCharType="begin">
          <w:ffData>
            <w:name w:val="S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rPr>
          <w:rFonts w:hint="eastAsia"/>
        </w:rPr>
        <w:t>发布</w:t>
      </w:r>
      <w:r>
        <mc:AlternateContent>
          <mc:Choice Requires="wps">
            <w:drawing>
              <wp:anchor distT="0" distB="0" distL="114300" distR="114300" simplePos="0" relativeHeight="251664384" behindDoc="0" locked="1" layoutInCell="1" allowOverlap="1">
                <wp:simplePos x="0" y="0"/>
                <wp:positionH relativeFrom="column">
                  <wp:posOffset>-66675</wp:posOffset>
                </wp:positionH>
                <wp:positionV relativeFrom="page">
                  <wp:posOffset>9275445</wp:posOffset>
                </wp:positionV>
                <wp:extent cx="6120130" cy="0"/>
                <wp:effectExtent l="0" t="0" r="0" b="0"/>
                <wp:wrapNone/>
                <wp:docPr id="3" name="Line 10"/>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0" o:spid="_x0000_s1026" o:spt="20" style="position:absolute;left:0pt;margin-left:-5.25pt;margin-top:730.35pt;height:0pt;width:481.9pt;mso-position-vertical-relative:page;z-index:251664384;mso-width-relative:page;mso-height-relative:page;" filled="f" stroked="t" coordsize="21600,21600" o:gfxdata="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8nJ8+tgAAAANAQAADwAAAAAAAAABACAAAAAi&#10;AAAAZHJzL2Rvd25yZXYueG1sUEsBAhQAFAAAAAgAh07iQJp8bXLRAQAAzgMAAA4AAAAAAAAAAQAg&#10;AAAAJwEAAGRycy9lMm9Eb2MueG1sUEsFBgAAAAAGAAYAWQEAAGoFAAAAAA==&#10;">
                <v:fill on="f" focussize="0,0"/>
                <v:stroke color="#000000" joinstyle="round"/>
                <v:imagedata o:title=""/>
                <o:lock v:ext="edit" aspectratio="f"/>
                <w10:anchorlock/>
              </v:line>
            </w:pict>
          </mc:Fallback>
        </mc:AlternateContent>
      </w:r>
    </w:p>
    <w:p>
      <w:pPr>
        <w:pStyle w:val="156"/>
        <w:framePr w:wrap="around" w:hAnchor="page" w:x="6668" w:y="14140"/>
      </w:pPr>
      <w:bookmarkStart w:id="15" w:name="SY"/>
      <w:r>
        <w:rPr>
          <w:rFonts w:ascii="黑体"/>
        </w:rPr>
        <w:fldChar w:fldCharType="begin">
          <w:ffData>
            <w:name w:val="SY"/>
            <w:enabled/>
            <w:calcOnExit w:val="0"/>
            <w:textInput>
              <w:default w:val="XXXX"/>
              <w:maxLength w:val="4"/>
            </w:textInput>
          </w:ffData>
        </w:fldChar>
      </w:r>
      <w:r>
        <w:rPr>
          <w:rFonts w:ascii="黑体"/>
        </w:rPr>
        <w:instrText xml:space="preserve"> FORMTEXT </w:instrText>
      </w:r>
      <w:r>
        <w:rPr>
          <w:rFonts w:ascii="黑体"/>
        </w:rPr>
        <w:fldChar w:fldCharType="separate"/>
      </w:r>
      <w:r>
        <w:rPr>
          <w:rFonts w:ascii="黑体"/>
        </w:rPr>
        <w:t>201X</w:t>
      </w:r>
      <w:r>
        <w:rPr>
          <w:rFonts w:ascii="黑体"/>
        </w:rPr>
        <w:fldChar w:fldCharType="end"/>
      </w:r>
      <w:bookmarkEnd w:id="15"/>
      <w:r>
        <w:rPr>
          <w:rFonts w:ascii="黑体"/>
        </w:rPr>
        <w:t>-</w:t>
      </w:r>
      <w:bookmarkStart w:id="16" w:name="SM"/>
      <w:r>
        <w:rPr>
          <w:rFonts w:ascii="黑体"/>
        </w:rPr>
        <w:fldChar w:fldCharType="begin">
          <w:ffData>
            <w:name w:val="S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ascii="黑体"/>
        </w:rPr>
        <w:t>-</w:t>
      </w:r>
      <w:bookmarkStart w:id="17" w:name="SD"/>
      <w:r>
        <w:rPr>
          <w:rFonts w:ascii="黑体"/>
        </w:rPr>
        <w:fldChar w:fldCharType="begin">
          <w:ffData>
            <w:name w:val="SD"/>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hint="eastAsia"/>
        </w:rPr>
        <w:t>实施</w:t>
      </w:r>
    </w:p>
    <w:p>
      <w:pPr>
        <w:pStyle w:val="143"/>
        <w:framePr w:wrap="around"/>
        <w:sectPr>
          <w:footerReference r:id="rId4" w:type="default"/>
          <w:headerReference r:id="rId3" w:type="even"/>
          <w:pgSz w:w="11911" w:h="16838"/>
          <w:pgMar w:top="567" w:right="1134" w:bottom="1134" w:left="1417" w:header="720" w:footer="720" w:gutter="0"/>
          <w:pgNumType w:fmt="decimal" w:start="1"/>
          <w:cols w:space="0" w:num="1"/>
          <w:docGrid w:linePitch="312" w:charSpace="0"/>
        </w:sectPr>
      </w:pPr>
      <w:bookmarkStart w:id="18" w:name="fm"/>
      <w:r>
        <w:rPr>
          <w:w w:val="100"/>
        </w:rPr>
        <mc:AlternateContent>
          <mc:Choice Requires="wps">
            <w:drawing>
              <wp:anchor distT="0" distB="0" distL="114300" distR="114300" simplePos="0" relativeHeight="251663360" behindDoc="1" locked="1" layoutInCell="1" allowOverlap="1">
                <wp:simplePos x="0" y="0"/>
                <wp:positionH relativeFrom="column">
                  <wp:posOffset>1810385</wp:posOffset>
                </wp:positionH>
                <wp:positionV relativeFrom="paragraph">
                  <wp:posOffset>-3942715</wp:posOffset>
                </wp:positionV>
                <wp:extent cx="1270000" cy="304800"/>
                <wp:effectExtent l="0" t="0" r="6350" b="0"/>
                <wp:wrapNone/>
                <wp:docPr id="2" name="LB"/>
                <wp:cNvGraphicFramePr/>
                <a:graphic xmlns:a="http://schemas.openxmlformats.org/drawingml/2006/main">
                  <a:graphicData uri="http://schemas.microsoft.com/office/word/2010/wordprocessingShape">
                    <wps:wsp>
                      <wps:cNvSpPr/>
                      <wps:spPr>
                        <a:xfrm>
                          <a:off x="0" y="0"/>
                          <a:ext cx="1270000" cy="304800"/>
                        </a:xfrm>
                        <a:prstGeom prst="rect">
                          <a:avLst/>
                        </a:prstGeom>
                        <a:solidFill>
                          <a:srgbClr val="FFFFFF"/>
                        </a:solidFill>
                        <a:ln>
                          <a:noFill/>
                        </a:ln>
                      </wps:spPr>
                      <wps:bodyPr wrap="square" upright="1"/>
                    </wps:wsp>
                  </a:graphicData>
                </a:graphic>
              </wp:anchor>
            </w:drawing>
          </mc:Choice>
          <mc:Fallback>
            <w:pict>
              <v:rect id="LB" o:spid="_x0000_s1026" o:spt="1" style="position:absolute;left:0pt;margin-left:142.55pt;margin-top:-310.45pt;height:24pt;width:100pt;z-index:-251653120;mso-width-relative:page;mso-height-relative:page;" fillcolor="#FFFFFF" filled="t" stroked="f" coordsize="21600,21600" o:gfxdata="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Xu1tkAAAAN&#10;AQAADwAAAAAAAAABACAAAAAiAAAAZHJzL2Rvd25yZXYueG1sUEsBAhQAFAAAAAgAh07iQBXfBLqp&#10;AQAAZwMAAA4AAAAAAAAAAQAgAAAAKAEAAGRycy9lMm9Eb2MueG1sUEsFBgAAAAAGAAYAWQEAAEMF&#10;AAAAAA==&#10;">
                <v:fill on="t" focussize="0,0"/>
                <v:stroke on="f"/>
                <v:imagedata o:title=""/>
                <o:lock v:ext="edit" aspectratio="f"/>
                <w10:anchorlock/>
              </v:rect>
            </w:pict>
          </mc:Fallback>
        </mc:AlternateContent>
      </w:r>
      <w:r>
        <w:rPr>
          <w:w w:val="100"/>
        </w:rPr>
        <mc:AlternateContent>
          <mc:Choice Requires="wps">
            <w:drawing>
              <wp:anchor distT="0" distB="0" distL="114300" distR="114300" simplePos="0" relativeHeight="251662336" behindDoc="1" locked="1" layoutInCell="1" allowOverlap="1">
                <wp:simplePos x="0" y="0"/>
                <wp:positionH relativeFrom="column">
                  <wp:posOffset>4413885</wp:posOffset>
                </wp:positionH>
                <wp:positionV relativeFrom="paragraph">
                  <wp:posOffset>-7435215</wp:posOffset>
                </wp:positionV>
                <wp:extent cx="1143000" cy="228600"/>
                <wp:effectExtent l="0" t="0" r="0" b="0"/>
                <wp:wrapNone/>
                <wp:docPr id="1" name="DT"/>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FFFF"/>
                        </a:solidFill>
                        <a:ln>
                          <a:noFill/>
                        </a:ln>
                      </wps:spPr>
                      <wps:bodyPr wrap="square" upright="1"/>
                    </wps:wsp>
                  </a:graphicData>
                </a:graphic>
              </wp:anchor>
            </w:drawing>
          </mc:Choice>
          <mc:Fallback>
            <w:pict>
              <v:rect id="DT" o:spid="_x0000_s1026" o:spt="1" style="position:absolute;left:0pt;margin-left:347.55pt;margin-top:-585.45pt;height:18pt;width:90pt;z-index:-251654144;mso-width-relative:page;mso-height-relative:page;" fillcolor="#FFFFFF" filled="t" stroked="f" coordsize="21600,21600" o:gfxdata="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fyYoR2gAA&#10;AA8BAAAPAAAAAAAAAAEAIAAAACIAAABkcnMvZG93bnJldi54bWxQSwECFAAUAAAACACHTuJA9p9R&#10;CqoBAABnAwAADgAAAAAAAAABACAAAAApAQAAZHJzL2Uyb0RvYy54bWxQSwUGAAAAAAYABgBZAQAA&#10;RQUAAAAA&#10;">
                <v:fill on="t" focussize="0,0"/>
                <v:stroke on="f"/>
                <v:imagedata o:title=""/>
                <o:lock v:ext="edit" aspectratio="f"/>
                <w10:anchorlock/>
              </v:rect>
            </w:pict>
          </mc:Fallback>
        </mc:AlternateContent>
      </w:r>
      <w:r>
        <w:rPr>
          <w:w w:val="100"/>
        </w:rPr>
        <mc:AlternateContent>
          <mc:Choice Requires="wps">
            <w:drawing>
              <wp:anchor distT="0" distB="0" distL="114300" distR="114300" simplePos="0" relativeHeight="251665408" behindDoc="0" locked="1" layoutInCell="1" allowOverlap="1">
                <wp:simplePos x="0" y="0"/>
                <wp:positionH relativeFrom="column">
                  <wp:posOffset>-464820</wp:posOffset>
                </wp:positionH>
                <wp:positionV relativeFrom="paragraph">
                  <wp:posOffset>-7021195</wp:posOffset>
                </wp:positionV>
                <wp:extent cx="6120130" cy="0"/>
                <wp:effectExtent l="0" t="0" r="0" b="0"/>
                <wp:wrapNone/>
                <wp:docPr id="4" name="Line 11"/>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1" o:spid="_x0000_s1026" o:spt="20" style="position:absolute;left:0pt;margin-left:-36.6pt;margin-top:-552.85pt;height:0pt;width:481.9pt;z-index:251665408;mso-width-relative:page;mso-height-relative:page;" filled="f" stroked="t" coordsize="21600,21600" o:gfxdata="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slkaDYAAAADwEAAA8AAAAAAAAAAQAgAAAA&#10;IgAAAGRycy9kb3ducmV2LnhtbFBLAQIUABQAAAAIAIdO4kD3Jsov0gEAAM4DAAAOAAAAAAAAAAEA&#10;IAAAACcBAABkcnMvZTJvRG9jLnhtbFBLBQYAAAAABgAGAFkBAABrBQAAAAA=&#10;">
                <v:fill on="f" focussize="0,0"/>
                <v:stroke color="#000000" joinstyle="round"/>
                <v:imagedata o:title=""/>
                <o:lock v:ext="edit" aspectratio="f"/>
                <w10:anchorlock/>
              </v:line>
            </w:pict>
          </mc:Fallback>
        </mc:AlternateContent>
      </w:r>
      <w:r>
        <w:fldChar w:fldCharType="begin">
          <w:ffData>
            <w:enabled/>
            <w:calcOnExit w:val="0"/>
            <w:textInput>
              <w:default w:val="中国工程建设标准化协会"/>
            </w:textInput>
          </w:ffData>
        </w:fldChar>
      </w:r>
      <w:r>
        <w:instrText xml:space="preserve"> FORMTEXT </w:instrText>
      </w:r>
      <w:r>
        <w:fldChar w:fldCharType="separate"/>
      </w:r>
      <w:r>
        <w:rPr>
          <w:rFonts w:hint="eastAsia"/>
        </w:rPr>
        <w:t>中国工程建设标准化协会</w:t>
      </w:r>
      <w:r>
        <w:fldChar w:fldCharType="end"/>
      </w:r>
      <w:bookmarkEnd w:id="18"/>
      <w:r>
        <w:rPr>
          <w:rStyle w:val="59"/>
          <w:rFonts w:hint="eastAsia"/>
          <w:szCs w:val="28"/>
        </w:rPr>
        <w:t>发布</w:t>
      </w:r>
    </w:p>
    <w:p>
      <w:pPr>
        <w:pStyle w:val="111"/>
      </w:pPr>
      <w:bookmarkStart w:id="19" w:name="_Toc2389"/>
      <w:bookmarkStart w:id="20" w:name="_Toc2211"/>
      <w:bookmarkStart w:id="21" w:name="_Toc108640794"/>
      <w:bookmarkStart w:id="22" w:name="_Toc110971664"/>
      <w:bookmarkStart w:id="23" w:name="_Toc108640674"/>
      <w:bookmarkStart w:id="24" w:name="_Toc27974"/>
      <w:bookmarkStart w:id="25" w:name="_Toc9602"/>
      <w:bookmarkStart w:id="26" w:name="_Toc22477"/>
      <w:r>
        <w:rPr>
          <w:rFonts w:hint="eastAsia" w:hAnsi="黑体" w:cs="黑体"/>
          <w:sz w:val="30"/>
          <w:szCs w:val="30"/>
        </w:rPr>
        <w:t>前</w:t>
      </w:r>
      <w:bookmarkStart w:id="27" w:name="BKQY"/>
      <w:r>
        <w:rPr>
          <w:rFonts w:hint="eastAsia" w:hAnsi="黑体" w:cs="黑体"/>
          <w:sz w:val="30"/>
          <w:szCs w:val="30"/>
        </w:rPr>
        <w:t xml:space="preserve">  言</w:t>
      </w:r>
      <w:bookmarkEnd w:id="19"/>
      <w:bookmarkEnd w:id="20"/>
      <w:bookmarkEnd w:id="21"/>
      <w:bookmarkEnd w:id="22"/>
      <w:bookmarkEnd w:id="23"/>
      <w:bookmarkEnd w:id="24"/>
      <w:bookmarkEnd w:id="27"/>
    </w:p>
    <w:p>
      <w:pPr>
        <w:pStyle w:val="28"/>
        <w:tabs>
          <w:tab w:val="left" w:pos="3527"/>
          <w:tab w:val="clear" w:pos="4201"/>
          <w:tab w:val="clear" w:pos="9298"/>
        </w:tabs>
        <w:autoSpaceDE/>
        <w:spacing w:line="360" w:lineRule="auto"/>
        <w:ind w:firstLine="480"/>
        <w:rPr>
          <w:sz w:val="24"/>
          <w:szCs w:val="24"/>
        </w:rPr>
      </w:pPr>
      <w:r>
        <w:rPr>
          <w:rFonts w:hint="eastAsia"/>
          <w:sz w:val="24"/>
          <w:szCs w:val="24"/>
        </w:rPr>
        <w:t>根据中国工程建设标准化协会《关于印发〈2020年第二批协会标准制订、修订计划〉的通知》 (建标协字〔2020〕23号) 的要求，编制组经过广泛调查研究，认真总结实践经验，并在广泛征求意见的基础上，制定了本标准。</w:t>
      </w:r>
    </w:p>
    <w:p>
      <w:pPr>
        <w:pStyle w:val="28"/>
        <w:tabs>
          <w:tab w:val="left" w:pos="3527"/>
          <w:tab w:val="clear" w:pos="4201"/>
          <w:tab w:val="clear" w:pos="9298"/>
        </w:tabs>
        <w:autoSpaceDE/>
        <w:spacing w:line="360" w:lineRule="auto"/>
        <w:ind w:firstLine="480"/>
        <w:rPr>
          <w:sz w:val="24"/>
          <w:szCs w:val="24"/>
        </w:rPr>
      </w:pPr>
      <w:r>
        <w:rPr>
          <w:rFonts w:hint="eastAsia"/>
          <w:sz w:val="24"/>
          <w:szCs w:val="24"/>
        </w:rPr>
        <w:t>本标准共分7个章节和3个附录。主要内容包括总则、术语和符号、基本规定、门窗工程保险核查内容及评定、项目技术风险评估、保险责任、保险理赔及续保服务等。</w:t>
      </w:r>
    </w:p>
    <w:p>
      <w:pPr>
        <w:pStyle w:val="28"/>
        <w:tabs>
          <w:tab w:val="left" w:pos="3527"/>
          <w:tab w:val="clear" w:pos="4201"/>
          <w:tab w:val="clear" w:pos="9298"/>
        </w:tabs>
        <w:autoSpaceDE/>
        <w:spacing w:line="360" w:lineRule="auto"/>
        <w:ind w:firstLine="480"/>
        <w:rPr>
          <w:sz w:val="24"/>
          <w:szCs w:val="24"/>
        </w:rPr>
      </w:pPr>
      <w:r>
        <w:rPr>
          <w:rFonts w:hint="eastAsia"/>
          <w:sz w:val="24"/>
          <w:szCs w:val="24"/>
        </w:rPr>
        <w:t>本标准的某些内容可能直接或间接涉及专利。本标准的发布机构不承担识别这些专利的责任。</w:t>
      </w:r>
    </w:p>
    <w:p>
      <w:pPr>
        <w:pStyle w:val="28"/>
        <w:tabs>
          <w:tab w:val="left" w:pos="3527"/>
          <w:tab w:val="clear" w:pos="4201"/>
          <w:tab w:val="clear" w:pos="9298"/>
        </w:tabs>
        <w:autoSpaceDE/>
        <w:spacing w:line="360" w:lineRule="auto"/>
        <w:ind w:firstLine="480"/>
        <w:rPr>
          <w:sz w:val="24"/>
          <w:szCs w:val="24"/>
        </w:rPr>
      </w:pPr>
      <w:r>
        <w:rPr>
          <w:rFonts w:hint="eastAsia"/>
          <w:sz w:val="24"/>
          <w:szCs w:val="24"/>
        </w:rPr>
        <w:t>本标准由中国工程建设标准化协会</w:t>
      </w:r>
      <w:r>
        <w:rPr>
          <w:rFonts w:hint="eastAsia"/>
          <w:sz w:val="24"/>
          <w:szCs w:val="24"/>
          <w:lang w:val="en-US" w:eastAsia="zh-CN"/>
        </w:rPr>
        <w:t>认证保险与工程采购工作委员会共同</w:t>
      </w:r>
      <w:r>
        <w:rPr>
          <w:rFonts w:hint="eastAsia"/>
          <w:sz w:val="24"/>
          <w:szCs w:val="24"/>
        </w:rPr>
        <w:t>归口管理，由上海建科检验有限公司负责具体技术内容的解释。本标准在执行过程中如有意见或建议，请寄送至上海建科检验有限公司 (地址：上海市闵行区申富路568号，邮编：201108，邮箱：adqezctgb1@163.com) 。</w:t>
      </w:r>
    </w:p>
    <w:p>
      <w:pPr>
        <w:spacing w:line="300" w:lineRule="auto"/>
        <w:ind w:left="482" w:firstLine="482" w:firstLineChars="200"/>
        <w:rPr>
          <w:sz w:val="24"/>
        </w:rPr>
      </w:pPr>
      <w:r>
        <w:rPr>
          <w:rFonts w:hint="eastAsia" w:cs="宋体"/>
          <w:b/>
          <w:sz w:val="24"/>
          <w:lang w:bidi="ar"/>
        </w:rPr>
        <w:t>主</w:t>
      </w:r>
      <w:r>
        <w:rPr>
          <w:b/>
          <w:sz w:val="24"/>
          <w:lang w:bidi="ar"/>
        </w:rPr>
        <w:t xml:space="preserve"> </w:t>
      </w:r>
      <w:r>
        <w:rPr>
          <w:rFonts w:hint="eastAsia" w:cs="宋体"/>
          <w:b/>
          <w:sz w:val="24"/>
          <w:lang w:bidi="ar"/>
        </w:rPr>
        <w:t>编</w:t>
      </w:r>
      <w:r>
        <w:rPr>
          <w:b/>
          <w:sz w:val="24"/>
          <w:lang w:bidi="ar"/>
        </w:rPr>
        <w:t xml:space="preserve"> </w:t>
      </w:r>
      <w:r>
        <w:rPr>
          <w:rFonts w:hint="eastAsia" w:cs="宋体"/>
          <w:b/>
          <w:sz w:val="24"/>
          <w:lang w:bidi="ar"/>
        </w:rPr>
        <w:t>单</w:t>
      </w:r>
      <w:r>
        <w:rPr>
          <w:b/>
          <w:sz w:val="24"/>
          <w:lang w:bidi="ar"/>
        </w:rPr>
        <w:t xml:space="preserve"> </w:t>
      </w:r>
      <w:r>
        <w:rPr>
          <w:rFonts w:hint="eastAsia" w:cs="宋体"/>
          <w:b/>
          <w:sz w:val="24"/>
          <w:lang w:bidi="ar"/>
        </w:rPr>
        <w:t>位：</w:t>
      </w:r>
      <w:r>
        <w:rPr>
          <w:rFonts w:hint="eastAsia" w:cs="宋体"/>
          <w:bCs/>
          <w:sz w:val="24"/>
          <w:lang w:bidi="ar"/>
        </w:rPr>
        <w:t>上海建科检验有限公司</w:t>
      </w:r>
    </w:p>
    <w:p>
      <w:pPr>
        <w:spacing w:line="300" w:lineRule="auto"/>
        <w:ind w:firstLine="964" w:firstLineChars="400"/>
        <w:rPr>
          <w:sz w:val="24"/>
        </w:rPr>
      </w:pPr>
      <w:r>
        <w:rPr>
          <w:rFonts w:hint="eastAsia" w:cs="宋体"/>
          <w:b/>
          <w:sz w:val="24"/>
          <w:lang w:bidi="ar"/>
        </w:rPr>
        <w:t>参</w:t>
      </w:r>
      <w:r>
        <w:rPr>
          <w:b/>
          <w:sz w:val="24"/>
          <w:lang w:bidi="ar"/>
        </w:rPr>
        <w:t xml:space="preserve"> </w:t>
      </w:r>
      <w:r>
        <w:rPr>
          <w:rFonts w:hint="eastAsia" w:cs="宋体"/>
          <w:b/>
          <w:sz w:val="24"/>
          <w:lang w:bidi="ar"/>
        </w:rPr>
        <w:t>编</w:t>
      </w:r>
      <w:r>
        <w:rPr>
          <w:b/>
          <w:sz w:val="24"/>
          <w:lang w:bidi="ar"/>
        </w:rPr>
        <w:t xml:space="preserve"> </w:t>
      </w:r>
      <w:r>
        <w:rPr>
          <w:rFonts w:hint="eastAsia" w:cs="宋体"/>
          <w:b/>
          <w:sz w:val="24"/>
          <w:lang w:bidi="ar"/>
        </w:rPr>
        <w:t>单</w:t>
      </w:r>
      <w:r>
        <w:rPr>
          <w:b/>
          <w:sz w:val="24"/>
          <w:lang w:bidi="ar"/>
        </w:rPr>
        <w:t xml:space="preserve"> </w:t>
      </w:r>
      <w:r>
        <w:rPr>
          <w:rFonts w:hint="eastAsia" w:cs="宋体"/>
          <w:b/>
          <w:sz w:val="24"/>
          <w:lang w:bidi="ar"/>
        </w:rPr>
        <w:t>位：</w:t>
      </w:r>
      <w:r>
        <w:rPr>
          <w:sz w:val="24"/>
          <w:lang w:bidi="ar"/>
        </w:rPr>
        <w:t xml:space="preserve"> </w:t>
      </w:r>
    </w:p>
    <w:p>
      <w:pPr>
        <w:tabs>
          <w:tab w:val="left" w:pos="0"/>
          <w:tab w:val="left" w:pos="2160"/>
          <w:tab w:val="left" w:pos="4680"/>
        </w:tabs>
        <w:spacing w:line="360" w:lineRule="auto"/>
        <w:ind w:left="490" w:firstLine="490" w:firstLineChars="200"/>
        <w:jc w:val="left"/>
        <w:rPr>
          <w:sz w:val="24"/>
        </w:rPr>
      </w:pPr>
      <w:r>
        <w:rPr>
          <w:rFonts w:hint="eastAsia" w:cs="宋体"/>
          <w:b/>
          <w:spacing w:val="2"/>
          <w:sz w:val="24"/>
          <w:lang w:bidi="ar"/>
        </w:rPr>
        <w:t>主要起草人：</w:t>
      </w:r>
      <w:r>
        <w:rPr>
          <w:sz w:val="24"/>
          <w:lang w:bidi="ar"/>
        </w:rPr>
        <w:t xml:space="preserve"> </w:t>
      </w:r>
    </w:p>
    <w:p>
      <w:pPr>
        <w:tabs>
          <w:tab w:val="left" w:pos="0"/>
          <w:tab w:val="left" w:pos="2160"/>
          <w:tab w:val="left" w:pos="4680"/>
        </w:tabs>
        <w:spacing w:line="360" w:lineRule="auto"/>
        <w:ind w:left="490" w:firstLine="490" w:firstLineChars="200"/>
        <w:jc w:val="left"/>
        <w:rPr>
          <w:lang w:bidi="ar"/>
        </w:rPr>
        <w:sectPr>
          <w:headerReference r:id="rId7" w:type="first"/>
          <w:footerReference r:id="rId10" w:type="first"/>
          <w:headerReference r:id="rId5" w:type="default"/>
          <w:footerReference r:id="rId8" w:type="default"/>
          <w:headerReference r:id="rId6" w:type="even"/>
          <w:footerReference r:id="rId9" w:type="even"/>
          <w:pgSz w:w="11911" w:h="16838"/>
          <w:pgMar w:top="567" w:right="1134" w:bottom="1134" w:left="1417" w:header="720" w:footer="720" w:gutter="0"/>
          <w:pgNumType w:fmt="decimal" w:start="1"/>
          <w:cols w:space="0" w:num="1"/>
        </w:sectPr>
      </w:pPr>
      <w:r>
        <w:rPr>
          <w:rFonts w:hint="eastAsia" w:cs="宋体"/>
          <w:b/>
          <w:spacing w:val="2"/>
          <w:sz w:val="24"/>
          <w:lang w:bidi="ar"/>
        </w:rPr>
        <w:t>主要审查人：</w:t>
      </w:r>
      <w:r>
        <w:rPr>
          <w:lang w:bidi="ar"/>
        </w:rPr>
        <w:t xml:space="preserve"> </w:t>
      </w:r>
    </w:p>
    <w:p>
      <w:pPr>
        <w:pStyle w:val="35"/>
        <w:keepNext/>
        <w:pageBreakBefore/>
        <w:shd w:val="clear" w:color="auto" w:fill="FFFFFF"/>
        <w:spacing w:before="640" w:beforeAutospacing="0" w:after="560" w:afterAutospacing="0" w:line="460" w:lineRule="exact"/>
        <w:jc w:val="center"/>
        <w:outlineLvl w:val="0"/>
      </w:pPr>
      <w:bookmarkStart w:id="28" w:name="_Toc728"/>
      <w:bookmarkStart w:id="29" w:name="_Toc110971665"/>
      <w:bookmarkStart w:id="30" w:name="_Toc108640795"/>
      <w:bookmarkStart w:id="31" w:name="_Toc108640675"/>
      <w:bookmarkStart w:id="32" w:name="_Toc27299"/>
      <w:bookmarkStart w:id="33" w:name="_Toc8653"/>
      <w:r>
        <w:rPr>
          <w:rFonts w:hint="eastAsia" w:ascii="黑体" w:hAnsi="Times New Roman" w:eastAsia="黑体"/>
          <w:sz w:val="32"/>
          <w:lang w:bidi="ar"/>
        </w:rPr>
        <w:t>目  次</w:t>
      </w:r>
      <w:bookmarkEnd w:id="28"/>
      <w:bookmarkEnd w:id="29"/>
      <w:bookmarkEnd w:id="30"/>
      <w:bookmarkEnd w:id="31"/>
      <w:bookmarkEnd w:id="32"/>
      <w:bookmarkEnd w:id="33"/>
    </w:p>
    <w:p>
      <w:pPr>
        <w:pStyle w:val="24"/>
        <w:tabs>
          <w:tab w:val="right" w:leader="dot" w:pos="9360"/>
          <w:tab w:val="clear" w:pos="9242"/>
        </w:tabs>
      </w:pPr>
      <w:r>
        <w:rPr>
          <w:rFonts w:hint="eastAsia" w:hAnsi="宋体" w:cs="宋体"/>
        </w:rPr>
        <w:fldChar w:fldCharType="begin"/>
      </w:r>
      <w:r>
        <w:rPr>
          <w:rFonts w:hint="eastAsia" w:hAnsi="宋体" w:cs="宋体"/>
        </w:rPr>
        <w:instrText xml:space="preserve">TOC \o "1-1" \h \u </w:instrText>
      </w:r>
      <w:r>
        <w:rPr>
          <w:rFonts w:hint="eastAsia" w:hAnsi="宋体" w:cs="宋体"/>
        </w:rPr>
        <w:fldChar w:fldCharType="separate"/>
      </w:r>
    </w:p>
    <w:p>
      <w:pPr>
        <w:pStyle w:val="24"/>
        <w:tabs>
          <w:tab w:val="right" w:leader="dot" w:pos="9360"/>
          <w:tab w:val="clear" w:pos="9242"/>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_Toc21939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val="0"/>
          <w:sz w:val="24"/>
          <w:szCs w:val="24"/>
        </w:rPr>
        <w:t xml:space="preserve">1 </w:t>
      </w:r>
      <w:r>
        <w:rPr>
          <w:rFonts w:hint="eastAsia" w:asciiTheme="minorEastAsia" w:hAnsiTheme="minorEastAsia" w:eastAsiaTheme="minorEastAsia" w:cstheme="minorEastAsia"/>
          <w:bCs w:val="0"/>
          <w:sz w:val="24"/>
          <w:szCs w:val="24"/>
          <w:lang w:val="zh-CN"/>
        </w:rPr>
        <w:t>总</w:t>
      </w:r>
      <w:r>
        <w:rPr>
          <w:rFonts w:hint="eastAsia" w:asciiTheme="minorEastAsia" w:hAnsiTheme="minorEastAsia" w:eastAsiaTheme="minorEastAsia" w:cstheme="minorEastAsia"/>
          <w:bCs w:val="0"/>
          <w:sz w:val="24"/>
          <w:szCs w:val="24"/>
        </w:rPr>
        <w:t xml:space="preserve">  </w:t>
      </w:r>
      <w:r>
        <w:rPr>
          <w:rFonts w:hint="eastAsia" w:asciiTheme="minorEastAsia" w:hAnsiTheme="minorEastAsia" w:eastAsiaTheme="minorEastAsia" w:cstheme="minorEastAsia"/>
          <w:bCs w:val="0"/>
          <w:sz w:val="24"/>
          <w:szCs w:val="24"/>
          <w:lang w:val="zh-CN"/>
        </w:rPr>
        <w:t>则</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_Toc21939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24"/>
        <w:tabs>
          <w:tab w:val="right" w:leader="dot" w:pos="9360"/>
          <w:tab w:val="clear" w:pos="9242"/>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_Toc9611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val="0"/>
          <w:spacing w:val="7"/>
          <w:sz w:val="24"/>
          <w:szCs w:val="24"/>
        </w:rPr>
        <w:t>2</w:t>
      </w:r>
      <w:r>
        <w:rPr>
          <w:rFonts w:hint="eastAsia" w:asciiTheme="minorEastAsia" w:hAnsiTheme="minorEastAsia" w:eastAsiaTheme="minorEastAsia" w:cstheme="minorEastAsia"/>
          <w:bCs w:val="0"/>
          <w:spacing w:val="6"/>
          <w:sz w:val="24"/>
          <w:szCs w:val="24"/>
        </w:rPr>
        <w:t xml:space="preserve"> </w:t>
      </w:r>
      <w:r>
        <w:rPr>
          <w:rFonts w:hint="eastAsia" w:asciiTheme="minorEastAsia" w:hAnsiTheme="minorEastAsia" w:eastAsiaTheme="minorEastAsia" w:cstheme="minorEastAsia"/>
          <w:bCs w:val="0"/>
          <w:sz w:val="24"/>
          <w:szCs w:val="24"/>
        </w:rPr>
        <w:t>术语和符号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_Toc9611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24"/>
        <w:tabs>
          <w:tab w:val="right" w:leader="dot" w:pos="9360"/>
          <w:tab w:val="clear" w:pos="9242"/>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_Toc7608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val="0"/>
          <w:sz w:val="24"/>
          <w:szCs w:val="24"/>
        </w:rPr>
        <w:t>3 基本规定</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_Toc7608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24"/>
        <w:tabs>
          <w:tab w:val="right" w:leader="dot" w:pos="9360"/>
          <w:tab w:val="clear" w:pos="9242"/>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_Toc23363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val="0"/>
          <w:sz w:val="24"/>
          <w:szCs w:val="24"/>
        </w:rPr>
        <w:t>4 门窗工程保险核查内容及评定</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_Toc23363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24"/>
        <w:tabs>
          <w:tab w:val="right" w:leader="dot" w:pos="9360"/>
          <w:tab w:val="clear" w:pos="9242"/>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_Toc22756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kern w:val="44"/>
          <w:sz w:val="24"/>
          <w:szCs w:val="24"/>
        </w:rPr>
        <w:t>5 项目技术风险评估</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_Toc22756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24"/>
        <w:tabs>
          <w:tab w:val="right" w:leader="dot" w:pos="9360"/>
          <w:tab w:val="clear" w:pos="9242"/>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_Toc1003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kern w:val="44"/>
          <w:sz w:val="24"/>
          <w:szCs w:val="24"/>
        </w:rPr>
        <w:t>6 保险责任</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_Toc1003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24"/>
        <w:tabs>
          <w:tab w:val="right" w:leader="dot" w:pos="9360"/>
          <w:tab w:val="clear" w:pos="9242"/>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_Toc775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kern w:val="44"/>
          <w:sz w:val="24"/>
          <w:szCs w:val="24"/>
          <w:lang w:val="zh-CN"/>
        </w:rPr>
        <w:t>7 保险理赔及续保服务</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_Toc775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24"/>
        <w:tabs>
          <w:tab w:val="right" w:leader="dot" w:pos="9360"/>
          <w:tab w:val="clear" w:pos="9242"/>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_Toc333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kern w:val="44"/>
          <w:sz w:val="24"/>
          <w:szCs w:val="24"/>
        </w:rPr>
        <w:t>附录A 项目必备信息和资料</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_Toc333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24"/>
        <w:tabs>
          <w:tab w:val="right" w:leader="dot" w:pos="9360"/>
          <w:tab w:val="clear" w:pos="9242"/>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_Toc24342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kern w:val="44"/>
          <w:sz w:val="24"/>
          <w:szCs w:val="24"/>
        </w:rPr>
        <w:t>附录B 非技术性内容评定指标</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_Toc24342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24"/>
        <w:tabs>
          <w:tab w:val="right" w:leader="dot" w:pos="9360"/>
          <w:tab w:val="clear" w:pos="9242"/>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_Toc6552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kern w:val="44"/>
          <w:sz w:val="24"/>
          <w:szCs w:val="24"/>
        </w:rPr>
        <w:t>附录C 技术性内容评估指标</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_Toc6552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24"/>
        <w:tabs>
          <w:tab w:val="right" w:leader="dot" w:pos="9360"/>
          <w:tab w:val="clear" w:pos="9242"/>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_Toc5483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本标准用词说明</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_Toc5483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24"/>
        <w:tabs>
          <w:tab w:val="right" w:leader="dot" w:pos="9360"/>
          <w:tab w:val="clear" w:pos="9242"/>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_Toc27415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引用标准名录</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_Toc27415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24"/>
        <w:tabs>
          <w:tab w:val="right" w:leader="dot" w:pos="9360"/>
          <w:tab w:val="clear" w:pos="9242"/>
        </w:tabs>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_Toc27925 </w:instrText>
      </w:r>
      <w:r>
        <w:rPr>
          <w:rFonts w:hint="eastAsia" w:ascii="宋体" w:hAnsi="宋体" w:eastAsia="宋体" w:cs="宋体"/>
          <w:b w:val="0"/>
          <w:bCs w:val="0"/>
          <w:sz w:val="24"/>
          <w:szCs w:val="24"/>
        </w:rPr>
        <w:fldChar w:fldCharType="separate"/>
      </w:r>
      <w:r>
        <w:rPr>
          <w:rFonts w:hint="eastAsia" w:asciiTheme="minorEastAsia" w:hAnsiTheme="minorEastAsia" w:eastAsiaTheme="minorEastAsia" w:cstheme="minorEastAsia"/>
          <w:b w:val="0"/>
          <w:bCs w:val="0"/>
          <w:spacing w:val="34"/>
          <w:sz w:val="24"/>
          <w:szCs w:val="24"/>
          <w14:textOutline w14:w="7975" w14:cap="sq" w14:cmpd="sng" w14:algn="ctr">
            <w14:solidFill>
              <w14:srgbClr w14:val="000000"/>
            </w14:solidFill>
            <w14:prstDash w14:val="solid"/>
            <w14:bevel/>
          </w14:textOutline>
        </w:rPr>
        <w:t>条文说明</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_Toc27925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39</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widowControl/>
        <w:tabs>
          <w:tab w:val="right" w:leader="dot" w:pos="9395"/>
        </w:tabs>
        <w:kinsoku w:val="0"/>
        <w:autoSpaceDE w:val="0"/>
        <w:autoSpaceDN w:val="0"/>
        <w:adjustRightInd w:val="0"/>
        <w:snapToGrid w:val="0"/>
        <w:spacing w:before="74" w:line="360" w:lineRule="auto"/>
        <w:ind w:left="64"/>
        <w:jc w:val="left"/>
        <w:textAlignment w:val="baseline"/>
        <w:outlineLvl w:val="9"/>
        <w:rPr>
          <w:rFonts w:hint="eastAsia" w:ascii="宋体" w:hAnsi="宋体" w:cs="宋体"/>
          <w:szCs w:val="21"/>
        </w:rPr>
      </w:pPr>
      <w:r>
        <w:rPr>
          <w:rFonts w:hint="eastAsia" w:ascii="宋体" w:hAnsi="宋体" w:cs="宋体"/>
          <w:szCs w:val="21"/>
        </w:rPr>
        <w:fldChar w:fldCharType="end"/>
      </w:r>
      <w:bookmarkStart w:id="34" w:name="_Toc30642"/>
    </w:p>
    <w:p>
      <w:pPr>
        <w:widowControl/>
        <w:tabs>
          <w:tab w:val="right" w:leader="dot" w:pos="9395"/>
        </w:tabs>
        <w:kinsoku w:val="0"/>
        <w:autoSpaceDE w:val="0"/>
        <w:autoSpaceDN w:val="0"/>
        <w:adjustRightInd w:val="0"/>
        <w:snapToGrid w:val="0"/>
        <w:spacing w:before="74" w:line="360" w:lineRule="auto"/>
        <w:ind w:left="64"/>
        <w:jc w:val="left"/>
        <w:textAlignment w:val="baseline"/>
        <w:outlineLvl w:val="9"/>
        <w:rPr>
          <w:rFonts w:hint="eastAsia" w:ascii="宋体" w:hAnsi="宋体" w:cs="宋体"/>
          <w:szCs w:val="21"/>
        </w:rPr>
        <w:sectPr>
          <w:footerReference r:id="rId11" w:type="default"/>
          <w:footerReference r:id="rId12" w:type="even"/>
          <w:pgSz w:w="11911" w:h="16838"/>
          <w:pgMar w:top="567" w:right="1134" w:bottom="1134" w:left="1417" w:header="720" w:footer="720" w:gutter="0"/>
          <w:pgNumType w:fmt="decimal"/>
          <w:cols w:space="0" w:num="1"/>
        </w:sectPr>
      </w:pPr>
    </w:p>
    <w:p>
      <w:pPr>
        <w:widowControl/>
        <w:tabs>
          <w:tab w:val="right" w:leader="dot" w:pos="9395"/>
        </w:tabs>
        <w:kinsoku w:val="0"/>
        <w:autoSpaceDE w:val="0"/>
        <w:autoSpaceDN w:val="0"/>
        <w:adjustRightInd w:val="0"/>
        <w:snapToGrid w:val="0"/>
        <w:spacing w:before="74" w:line="360" w:lineRule="auto"/>
        <w:ind w:left="64"/>
        <w:jc w:val="center"/>
        <w:textAlignment w:val="baseline"/>
        <w:outlineLvl w:val="0"/>
        <w:rPr>
          <w:sz w:val="23"/>
          <w:szCs w:val="23"/>
        </w:rPr>
      </w:pPr>
      <w:bookmarkStart w:id="35" w:name="_Toc27125"/>
      <w:r>
        <w:rPr>
          <w:rFonts w:hint="eastAsia" w:ascii="黑体" w:hAnsi="黑体" w:eastAsia="黑体" w:cs="黑体"/>
          <w:spacing w:val="-4"/>
          <w:sz w:val="31"/>
          <w:szCs w:val="31"/>
        </w:rPr>
        <w:t>Content</w:t>
      </w:r>
      <w:bookmarkEnd w:id="34"/>
      <w:bookmarkEnd w:id="35"/>
    </w:p>
    <w:p>
      <w:pPr>
        <w:pStyle w:val="24"/>
        <w:tabs>
          <w:tab w:val="right" w:leader="dot" w:pos="8306"/>
          <w:tab w:val="clear" w:pos="9242"/>
        </w:tabs>
        <w:spacing w:before="60" w:after="60"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"_Toc24603" </w:instrText>
      </w:r>
      <w:r>
        <w:rPr>
          <w:rFonts w:hint="eastAsia" w:ascii="宋体" w:hAnsi="宋体" w:eastAsia="宋体" w:cs="宋体"/>
          <w:sz w:val="24"/>
          <w:szCs w:val="24"/>
        </w:rPr>
        <w:fldChar w:fldCharType="separate"/>
      </w:r>
      <w:r>
        <w:rPr>
          <w:rFonts w:hint="eastAsia" w:ascii="宋体" w:hAnsi="宋体" w:eastAsia="宋体" w:cs="宋体"/>
          <w:sz w:val="24"/>
          <w:szCs w:val="24"/>
        </w:rPr>
        <w:t>1 General provisions</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_Toc24603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8306"/>
          <w:tab w:val="clear" w:pos="9242"/>
        </w:tabs>
        <w:spacing w:before="60" w:after="60"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"_Toc27458" </w:instrText>
      </w:r>
      <w:r>
        <w:rPr>
          <w:rFonts w:hint="eastAsia" w:ascii="宋体" w:hAnsi="宋体" w:eastAsia="宋体" w:cs="宋体"/>
          <w:sz w:val="24"/>
          <w:szCs w:val="24"/>
        </w:rPr>
        <w:fldChar w:fldCharType="separate"/>
      </w:r>
      <w:r>
        <w:rPr>
          <w:rFonts w:hint="eastAsia" w:ascii="宋体" w:hAnsi="宋体" w:eastAsia="宋体" w:cs="宋体"/>
          <w:sz w:val="24"/>
          <w:szCs w:val="24"/>
        </w:rPr>
        <w:t>2 Terms and symbols</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_Toc27458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8306"/>
          <w:tab w:val="clear" w:pos="9242"/>
        </w:tabs>
        <w:spacing w:before="60" w:after="60"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"_Toc32028" </w:instrText>
      </w:r>
      <w:r>
        <w:rPr>
          <w:rFonts w:hint="eastAsia" w:ascii="宋体" w:hAnsi="宋体" w:eastAsia="宋体" w:cs="宋体"/>
          <w:sz w:val="24"/>
          <w:szCs w:val="24"/>
        </w:rPr>
        <w:fldChar w:fldCharType="separate"/>
      </w:r>
      <w:r>
        <w:rPr>
          <w:rFonts w:hint="eastAsia" w:ascii="宋体" w:hAnsi="宋体" w:eastAsia="宋体" w:cs="宋体"/>
          <w:sz w:val="24"/>
          <w:szCs w:val="24"/>
        </w:rPr>
        <w:t>3 Basic requirement</w:t>
      </w:r>
      <w:r>
        <w:rPr>
          <w:rFonts w:hint="eastAsia" w:ascii="宋体" w:hAnsi="宋体" w:eastAsia="宋体" w:cs="宋体"/>
          <w:sz w:val="24"/>
          <w:szCs w:val="24"/>
        </w:rPr>
        <w:tab/>
      </w:r>
      <w:r>
        <w:rPr>
          <w:rFonts w:hint="eastAsia" w:ascii="宋体" w:hAnsi="宋体" w:eastAsia="宋体" w:cs="宋体"/>
          <w:sz w:val="24"/>
          <w:szCs w:val="24"/>
        </w:rPr>
        <w:fldChar w:fldCharType="end"/>
      </w:r>
      <w:r>
        <w:rPr>
          <w:rFonts w:hint="eastAsia" w:ascii="宋体" w:hAnsi="宋体" w:eastAsia="宋体" w:cs="宋体"/>
          <w:sz w:val="24"/>
          <w:szCs w:val="24"/>
        </w:rPr>
        <w:t>5</w:t>
      </w:r>
    </w:p>
    <w:p>
      <w:pPr>
        <w:pStyle w:val="24"/>
        <w:tabs>
          <w:tab w:val="right" w:leader="dot" w:pos="8306"/>
          <w:tab w:val="clear" w:pos="9242"/>
        </w:tabs>
        <w:spacing w:before="60" w:after="60" w:line="360" w:lineRule="auto"/>
        <w:rPr>
          <w:rFonts w:hint="eastAsia" w:ascii="宋体" w:hAnsi="宋体" w:eastAsia="宋体" w:cs="宋体"/>
          <w:sz w:val="24"/>
          <w:szCs w:val="24"/>
          <w:lang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"_Toc11057" </w:instrText>
      </w:r>
      <w:r>
        <w:rPr>
          <w:rFonts w:hint="eastAsia" w:ascii="宋体" w:hAnsi="宋体" w:eastAsia="宋体" w:cs="宋体"/>
          <w:sz w:val="24"/>
          <w:szCs w:val="24"/>
        </w:rPr>
        <w:fldChar w:fldCharType="separate"/>
      </w:r>
      <w:r>
        <w:rPr>
          <w:rFonts w:hint="eastAsia" w:ascii="宋体" w:hAnsi="宋体" w:eastAsia="宋体" w:cs="宋体"/>
          <w:sz w:val="24"/>
          <w:szCs w:val="24"/>
        </w:rPr>
        <w:t>4 Contents and evaluation of door and window engineering insurance</w:t>
      </w:r>
      <w:r>
        <w:rPr>
          <w:rFonts w:hint="eastAsia" w:ascii="宋体" w:hAnsi="宋体" w:eastAsia="宋体" w:cs="宋体"/>
          <w:sz w:val="24"/>
          <w:szCs w:val="24"/>
        </w:rPr>
        <w:tab/>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8</w:t>
      </w:r>
    </w:p>
    <w:p>
      <w:pPr>
        <w:pStyle w:val="24"/>
        <w:tabs>
          <w:tab w:val="right" w:leader="dot" w:pos="8306"/>
          <w:tab w:val="clear" w:pos="9242"/>
        </w:tabs>
        <w:spacing w:before="60" w:after="60"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"_Toc21956" </w:instrText>
      </w:r>
      <w:r>
        <w:rPr>
          <w:rFonts w:hint="eastAsia" w:ascii="宋体" w:hAnsi="宋体" w:eastAsia="宋体" w:cs="宋体"/>
          <w:sz w:val="24"/>
          <w:szCs w:val="24"/>
        </w:rPr>
        <w:fldChar w:fldCharType="separate"/>
      </w:r>
      <w:r>
        <w:rPr>
          <w:rFonts w:hint="eastAsia" w:ascii="宋体" w:hAnsi="宋体" w:eastAsia="宋体" w:cs="宋体"/>
          <w:sz w:val="24"/>
          <w:szCs w:val="24"/>
        </w:rPr>
        <w:t>5 Technical Risk Assessment in Projects</w:t>
      </w:r>
      <w:r>
        <w:rPr>
          <w:rFonts w:hint="eastAsia" w:ascii="宋体" w:hAnsi="宋体" w:eastAsia="宋体" w:cs="宋体"/>
          <w:sz w:val="24"/>
          <w:szCs w:val="24"/>
        </w:rPr>
        <w:tab/>
      </w:r>
      <w:r>
        <w:rPr>
          <w:rFonts w:hint="eastAsia" w:ascii="宋体" w:hAnsi="宋体" w:eastAsia="宋体" w:cs="宋体"/>
          <w:sz w:val="24"/>
          <w:szCs w:val="24"/>
        </w:rPr>
        <w:fldChar w:fldCharType="end"/>
      </w:r>
      <w:r>
        <w:rPr>
          <w:rFonts w:hint="eastAsia" w:ascii="宋体" w:hAnsi="宋体" w:eastAsia="宋体" w:cs="宋体"/>
          <w:sz w:val="24"/>
          <w:szCs w:val="24"/>
        </w:rPr>
        <w:t>16</w:t>
      </w:r>
    </w:p>
    <w:p>
      <w:pPr>
        <w:pStyle w:val="24"/>
        <w:tabs>
          <w:tab w:val="right" w:leader="dot" w:pos="8306"/>
          <w:tab w:val="clear" w:pos="9242"/>
        </w:tabs>
        <w:spacing w:before="60" w:after="60"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"_Toc14010" </w:instrText>
      </w:r>
      <w:r>
        <w:rPr>
          <w:rFonts w:hint="eastAsia" w:ascii="宋体" w:hAnsi="宋体" w:eastAsia="宋体" w:cs="宋体"/>
          <w:sz w:val="24"/>
          <w:szCs w:val="24"/>
        </w:rPr>
        <w:fldChar w:fldCharType="separate"/>
      </w:r>
      <w:r>
        <w:rPr>
          <w:rFonts w:hint="eastAsia" w:ascii="宋体" w:hAnsi="宋体" w:eastAsia="宋体" w:cs="宋体"/>
          <w:sz w:val="24"/>
          <w:szCs w:val="24"/>
        </w:rPr>
        <w:t>6 Insured liability</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_Toc14010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8306"/>
          <w:tab w:val="clear" w:pos="9242"/>
        </w:tabs>
        <w:spacing w:before="60" w:after="60"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"_Toc31657" </w:instrText>
      </w:r>
      <w:r>
        <w:rPr>
          <w:rFonts w:hint="eastAsia" w:ascii="宋体" w:hAnsi="宋体" w:eastAsia="宋体" w:cs="宋体"/>
          <w:sz w:val="24"/>
          <w:szCs w:val="24"/>
        </w:rPr>
        <w:fldChar w:fldCharType="separate"/>
      </w:r>
      <w:r>
        <w:rPr>
          <w:rFonts w:hint="eastAsia" w:ascii="宋体" w:hAnsi="宋体" w:eastAsia="宋体" w:cs="宋体"/>
          <w:sz w:val="24"/>
          <w:szCs w:val="24"/>
        </w:rPr>
        <w:t>7 Insurance claims and renewal of insurance</w:t>
      </w:r>
      <w:r>
        <w:rPr>
          <w:rFonts w:hint="eastAsia" w:ascii="宋体" w:hAnsi="宋体" w:eastAsia="宋体" w:cs="宋体"/>
          <w:sz w:val="24"/>
          <w:szCs w:val="24"/>
        </w:rPr>
        <w:tab/>
      </w:r>
      <w:r>
        <w:rPr>
          <w:rFonts w:hint="eastAsia" w:ascii="宋体" w:hAnsi="宋体" w:eastAsia="宋体" w:cs="宋体"/>
          <w:sz w:val="24"/>
          <w:szCs w:val="24"/>
        </w:rPr>
        <w:fldChar w:fldCharType="end"/>
      </w:r>
      <w:r>
        <w:rPr>
          <w:rFonts w:hint="eastAsia" w:ascii="宋体" w:hAnsi="宋体" w:eastAsia="宋体" w:cs="宋体"/>
          <w:sz w:val="24"/>
          <w:szCs w:val="24"/>
        </w:rPr>
        <w:t>19</w:t>
      </w:r>
    </w:p>
    <w:p>
      <w:pPr>
        <w:pStyle w:val="24"/>
        <w:tabs>
          <w:tab w:val="right" w:leader="dot" w:pos="8306"/>
          <w:tab w:val="clear" w:pos="9242"/>
        </w:tabs>
        <w:spacing w:before="60" w:after="60"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"_Toc9599"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Appendix A  </w:t>
      </w:r>
      <w:r>
        <w:rPr>
          <w:rFonts w:hint="eastAsia" w:ascii="宋体" w:hAnsi="宋体" w:eastAsia="宋体" w:cs="宋体"/>
          <w:bCs/>
          <w:sz w:val="24"/>
          <w:szCs w:val="24"/>
        </w:rPr>
        <w:t>Insurance necessary information and data</w:t>
      </w:r>
      <w:r>
        <w:rPr>
          <w:rFonts w:hint="eastAsia" w:ascii="宋体" w:hAnsi="宋体" w:eastAsia="宋体" w:cs="宋体"/>
          <w:sz w:val="24"/>
          <w:szCs w:val="24"/>
        </w:rPr>
        <w:tab/>
      </w:r>
      <w:r>
        <w:rPr>
          <w:rFonts w:hint="eastAsia" w:ascii="宋体" w:hAnsi="宋体" w:eastAsia="宋体" w:cs="宋体"/>
          <w:sz w:val="24"/>
          <w:szCs w:val="24"/>
        </w:rPr>
        <w:fldChar w:fldCharType="end"/>
      </w:r>
      <w:r>
        <w:rPr>
          <w:rFonts w:hint="eastAsia" w:ascii="宋体" w:hAnsi="宋体" w:eastAsia="宋体" w:cs="宋体"/>
          <w:sz w:val="24"/>
          <w:szCs w:val="24"/>
        </w:rPr>
        <w:t>20</w:t>
      </w:r>
    </w:p>
    <w:p>
      <w:pPr>
        <w:pStyle w:val="24"/>
        <w:tabs>
          <w:tab w:val="right" w:leader="dot" w:pos="8306"/>
          <w:tab w:val="clear" w:pos="9242"/>
        </w:tabs>
        <w:spacing w:before="60" w:after="60"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"_Toc9599" </w:instrText>
      </w:r>
      <w:r>
        <w:rPr>
          <w:rFonts w:hint="eastAsia" w:ascii="宋体" w:hAnsi="宋体" w:eastAsia="宋体" w:cs="宋体"/>
          <w:sz w:val="24"/>
          <w:szCs w:val="24"/>
        </w:rPr>
        <w:fldChar w:fldCharType="separate"/>
      </w:r>
      <w:r>
        <w:rPr>
          <w:rFonts w:hint="eastAsia" w:ascii="宋体" w:hAnsi="宋体" w:eastAsia="宋体" w:cs="宋体"/>
          <w:sz w:val="24"/>
          <w:szCs w:val="24"/>
        </w:rPr>
        <w:t>Appendix B  Insurance non-technical content evaluation index</w:t>
      </w:r>
      <w:r>
        <w:rPr>
          <w:rFonts w:hint="eastAsia" w:ascii="宋体" w:hAnsi="宋体" w:eastAsia="宋体" w:cs="宋体"/>
          <w:sz w:val="24"/>
          <w:szCs w:val="24"/>
        </w:rPr>
        <w:tab/>
      </w:r>
      <w:r>
        <w:rPr>
          <w:rFonts w:hint="eastAsia" w:ascii="宋体" w:hAnsi="宋体" w:eastAsia="宋体" w:cs="宋体"/>
          <w:sz w:val="24"/>
          <w:szCs w:val="24"/>
        </w:rPr>
        <w:fldChar w:fldCharType="end"/>
      </w:r>
      <w:r>
        <w:rPr>
          <w:rFonts w:hint="eastAsia" w:ascii="宋体" w:hAnsi="宋体" w:eastAsia="宋体" w:cs="宋体"/>
          <w:sz w:val="24"/>
          <w:szCs w:val="24"/>
        </w:rPr>
        <w:t>21</w:t>
      </w:r>
    </w:p>
    <w:p>
      <w:pPr>
        <w:pStyle w:val="24"/>
        <w:tabs>
          <w:tab w:val="right" w:leader="dot" w:pos="8306"/>
          <w:tab w:val="clear" w:pos="9242"/>
        </w:tabs>
        <w:spacing w:before="60" w:after="60"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"_Toc9599" </w:instrText>
      </w:r>
      <w:r>
        <w:rPr>
          <w:rFonts w:hint="eastAsia" w:ascii="宋体" w:hAnsi="宋体" w:eastAsia="宋体" w:cs="宋体"/>
          <w:sz w:val="24"/>
          <w:szCs w:val="24"/>
        </w:rPr>
        <w:fldChar w:fldCharType="separate"/>
      </w:r>
      <w:r>
        <w:rPr>
          <w:rFonts w:hint="eastAsia" w:ascii="宋体" w:hAnsi="宋体" w:eastAsia="宋体" w:cs="宋体"/>
          <w:sz w:val="24"/>
          <w:szCs w:val="24"/>
        </w:rPr>
        <w:t>Appendix C  Insurance technical content evaluation index</w:t>
      </w:r>
      <w:r>
        <w:rPr>
          <w:rFonts w:hint="eastAsia" w:ascii="宋体" w:hAnsi="宋体" w:eastAsia="宋体" w:cs="宋体"/>
          <w:sz w:val="24"/>
          <w:szCs w:val="24"/>
        </w:rPr>
        <w:tab/>
      </w:r>
      <w:r>
        <w:rPr>
          <w:rFonts w:hint="eastAsia" w:ascii="宋体" w:hAnsi="宋体" w:eastAsia="宋体" w:cs="宋体"/>
          <w:sz w:val="24"/>
          <w:szCs w:val="24"/>
        </w:rPr>
        <w:fldChar w:fldCharType="end"/>
      </w:r>
      <w:r>
        <w:rPr>
          <w:rFonts w:hint="eastAsia" w:ascii="宋体" w:hAnsi="宋体" w:eastAsia="宋体" w:cs="宋体"/>
          <w:sz w:val="24"/>
          <w:szCs w:val="24"/>
        </w:rPr>
        <w:t>25</w:t>
      </w:r>
    </w:p>
    <w:p>
      <w:pPr>
        <w:pStyle w:val="24"/>
        <w:tabs>
          <w:tab w:val="right" w:leader="dot" w:pos="8306"/>
          <w:tab w:val="clear" w:pos="9242"/>
        </w:tabs>
        <w:spacing w:before="60" w:after="60" w:line="360" w:lineRule="auto"/>
        <w:rPr>
          <w:rFonts w:hint="eastAsia" w:ascii="宋体" w:hAnsi="宋体" w:eastAsia="宋体" w:cs="宋体"/>
          <w:sz w:val="24"/>
          <w:szCs w:val="24"/>
        </w:rPr>
      </w:pPr>
      <w:r>
        <w:rPr>
          <w:rFonts w:hint="eastAsia" w:ascii="宋体" w:hAnsi="宋体" w:eastAsia="宋体" w:cs="宋体"/>
          <w:sz w:val="24"/>
          <w:szCs w:val="24"/>
        </w:rPr>
        <w:t>Explanation of wording in this standard</w:t>
      </w:r>
      <w:r>
        <w:rPr>
          <w:rFonts w:hint="eastAsia" w:ascii="宋体" w:hAnsi="宋体" w:eastAsia="宋体" w:cs="宋体"/>
          <w:sz w:val="24"/>
          <w:szCs w:val="24"/>
        </w:rPr>
        <w:tab/>
      </w:r>
      <w:r>
        <w:rPr>
          <w:rFonts w:hint="eastAsia" w:ascii="宋体" w:hAnsi="宋体" w:eastAsia="宋体" w:cs="宋体"/>
          <w:sz w:val="24"/>
          <w:szCs w:val="24"/>
        </w:rPr>
        <w:t>36</w:t>
      </w:r>
    </w:p>
    <w:p>
      <w:pPr>
        <w:pStyle w:val="24"/>
        <w:tabs>
          <w:tab w:val="right" w:leader="dot" w:pos="8306"/>
          <w:tab w:val="clear" w:pos="9242"/>
        </w:tabs>
        <w:spacing w:before="60" w:after="60" w:line="360" w:lineRule="auto"/>
        <w:rPr>
          <w:rFonts w:hint="eastAsia" w:ascii="宋体" w:hAnsi="宋体" w:eastAsia="宋体" w:cs="宋体"/>
          <w:sz w:val="24"/>
          <w:szCs w:val="24"/>
        </w:rPr>
      </w:pPr>
      <w:r>
        <w:rPr>
          <w:rFonts w:hint="eastAsia" w:ascii="宋体" w:hAnsi="宋体" w:eastAsia="宋体" w:cs="宋体"/>
          <w:sz w:val="24"/>
          <w:szCs w:val="24"/>
        </w:rPr>
        <w:t>List of quoted standards</w:t>
      </w:r>
      <w:r>
        <w:rPr>
          <w:rFonts w:hint="eastAsia" w:ascii="宋体" w:hAnsi="宋体" w:eastAsia="宋体" w:cs="宋体"/>
          <w:sz w:val="24"/>
          <w:szCs w:val="24"/>
        </w:rPr>
        <w:tab/>
      </w:r>
      <w:r>
        <w:rPr>
          <w:rFonts w:hint="eastAsia" w:ascii="宋体" w:hAnsi="宋体" w:eastAsia="宋体" w:cs="宋体"/>
          <w:sz w:val="24"/>
          <w:szCs w:val="24"/>
        </w:rPr>
        <w:t>37</w:t>
      </w:r>
    </w:p>
    <w:p>
      <w:pPr>
        <w:pStyle w:val="24"/>
        <w:tabs>
          <w:tab w:val="right" w:leader="dot" w:pos="8306"/>
          <w:tab w:val="clear" w:pos="9242"/>
        </w:tabs>
        <w:spacing w:before="60" w:after="60" w:line="360" w:lineRule="auto"/>
        <w:rPr>
          <w:rFonts w:hint="eastAsia" w:ascii="宋体" w:hAnsi="宋体" w:eastAsia="宋体" w:cs="宋体"/>
          <w:sz w:val="24"/>
          <w:szCs w:val="24"/>
        </w:rPr>
      </w:pPr>
      <w:r>
        <w:rPr>
          <w:rFonts w:hint="eastAsia" w:ascii="宋体" w:hAnsi="宋体" w:eastAsia="宋体" w:cs="宋体"/>
          <w:sz w:val="24"/>
          <w:szCs w:val="24"/>
        </w:rPr>
        <w:t>Explanation of provision</w:t>
      </w:r>
      <w:r>
        <w:rPr>
          <w:rFonts w:hint="eastAsia" w:ascii="宋体" w:hAnsi="宋体" w:eastAsia="宋体" w:cs="宋体"/>
          <w:sz w:val="24"/>
          <w:szCs w:val="24"/>
        </w:rPr>
        <w:tab/>
      </w:r>
      <w:r>
        <w:rPr>
          <w:rFonts w:hint="eastAsia" w:ascii="宋体" w:hAnsi="宋体" w:eastAsia="宋体" w:cs="宋体"/>
          <w:sz w:val="24"/>
          <w:szCs w:val="24"/>
        </w:rPr>
        <w:t>39</w:t>
      </w:r>
    </w:p>
    <w:p>
      <w:pPr>
        <w:snapToGrid w:val="0"/>
        <w:spacing w:line="312" w:lineRule="auto"/>
        <w:jc w:val="center"/>
        <w:rPr>
          <w:rFonts w:eastAsia="Times New Roman"/>
          <w:sz w:val="23"/>
          <w:szCs w:val="23"/>
        </w:rPr>
      </w:pPr>
    </w:p>
    <w:p>
      <w:pPr>
        <w:snapToGrid w:val="0"/>
        <w:spacing w:line="312" w:lineRule="auto"/>
        <w:jc w:val="center"/>
        <w:rPr>
          <w:rFonts w:eastAsia="Times New Roman"/>
          <w:sz w:val="23"/>
          <w:szCs w:val="23"/>
        </w:rPr>
        <w:sectPr>
          <w:footerReference r:id="rId13" w:type="default"/>
          <w:footerReference r:id="rId14" w:type="even"/>
          <w:pgSz w:w="11911" w:h="16838"/>
          <w:pgMar w:top="567" w:right="1134" w:bottom="1134" w:left="1417" w:header="720" w:footer="720" w:gutter="0"/>
          <w:pgNumType w:fmt="decimal"/>
          <w:cols w:space="0" w:num="1"/>
        </w:sectPr>
      </w:pPr>
    </w:p>
    <w:p>
      <w:pPr>
        <w:pStyle w:val="2"/>
        <w:keepNext w:val="0"/>
        <w:keepLines w:val="0"/>
        <w:snapToGrid w:val="0"/>
        <w:spacing w:before="0" w:after="0" w:line="312" w:lineRule="auto"/>
        <w:jc w:val="center"/>
        <w:rPr>
          <w:rFonts w:ascii="黑体" w:hAnsi="黑体" w:eastAsia="黑体" w:cs="黑体"/>
          <w:b w:val="0"/>
          <w:bCs w:val="0"/>
          <w:color w:val="000000"/>
          <w:sz w:val="32"/>
          <w:szCs w:val="32"/>
          <w:lang w:val="zh-CN"/>
        </w:rPr>
      </w:pPr>
      <w:bookmarkStart w:id="36" w:name="_Toc21939"/>
      <w:r>
        <w:rPr>
          <w:rFonts w:hint="eastAsia" w:ascii="黑体" w:hAnsi="黑体" w:eastAsia="黑体" w:cs="黑体"/>
          <w:b w:val="0"/>
          <w:bCs w:val="0"/>
          <w:color w:val="000000"/>
          <w:sz w:val="32"/>
          <w:szCs w:val="32"/>
        </w:rPr>
        <w:t xml:space="preserve">1 </w:t>
      </w:r>
      <w:r>
        <w:rPr>
          <w:rFonts w:hint="eastAsia" w:ascii="黑体" w:hAnsi="黑体" w:eastAsia="黑体" w:cs="黑体"/>
          <w:b w:val="0"/>
          <w:bCs w:val="0"/>
          <w:color w:val="000000"/>
          <w:sz w:val="32"/>
          <w:szCs w:val="32"/>
          <w:lang w:val="zh-CN"/>
        </w:rPr>
        <w:t>总</w:t>
      </w:r>
      <w:r>
        <w:rPr>
          <w:rFonts w:hint="eastAsia" w:ascii="黑体" w:hAnsi="黑体" w:eastAsia="黑体" w:cs="黑体"/>
          <w:b w:val="0"/>
          <w:bCs w:val="0"/>
          <w:color w:val="000000"/>
          <w:sz w:val="32"/>
          <w:szCs w:val="32"/>
        </w:rPr>
        <w:t xml:space="preserve">  </w:t>
      </w:r>
      <w:r>
        <w:rPr>
          <w:rFonts w:hint="eastAsia" w:ascii="黑体" w:hAnsi="黑体" w:eastAsia="黑体" w:cs="黑体"/>
          <w:b w:val="0"/>
          <w:bCs w:val="0"/>
          <w:color w:val="000000"/>
          <w:sz w:val="32"/>
          <w:szCs w:val="32"/>
          <w:lang w:val="zh-CN"/>
        </w:rPr>
        <w:t>则</w:t>
      </w:r>
      <w:bookmarkEnd w:id="25"/>
      <w:bookmarkEnd w:id="26"/>
      <w:bookmarkEnd w:id="36"/>
    </w:p>
    <w:p>
      <w:pPr>
        <w:adjustRightInd w:val="0"/>
        <w:snapToGrid w:val="0"/>
        <w:spacing w:line="360" w:lineRule="auto"/>
        <w:rPr>
          <w:lang w:val="zh-CN"/>
        </w:rPr>
      </w:pPr>
      <w:r>
        <w:rPr>
          <w:rFonts w:hint="eastAsia"/>
          <w:lang w:val="zh-CN"/>
        </w:rPr>
        <w:t>1.0.1 为建立完善建筑工程中门窗产品的质量保障机制，提高门窗的生产制造及安装质量水平，切实维护工程所有权人的合法权益制定本标准。</w:t>
      </w:r>
    </w:p>
    <w:p>
      <w:pPr>
        <w:adjustRightInd w:val="0"/>
        <w:snapToGrid w:val="0"/>
        <w:spacing w:line="360" w:lineRule="auto"/>
        <w:rPr>
          <w:lang w:val="zh-CN"/>
        </w:rPr>
      </w:pPr>
      <w:r>
        <w:rPr>
          <w:rFonts w:hint="eastAsia"/>
          <w:lang w:val="zh-CN"/>
        </w:rPr>
        <w:t>1.0.2 本标准适用于新建、改建和扩建的公共与民用建筑中各种形式的定型门窗产品。</w:t>
      </w:r>
    </w:p>
    <w:p>
      <w:pPr>
        <w:adjustRightInd w:val="0"/>
        <w:snapToGrid w:val="0"/>
        <w:spacing w:line="360" w:lineRule="auto"/>
        <w:rPr>
          <w:lang w:val="zh-CN"/>
        </w:rPr>
      </w:pPr>
      <w:r>
        <w:rPr>
          <w:rFonts w:hint="eastAsia"/>
          <w:lang w:val="zh-CN"/>
        </w:rPr>
        <w:t>1.0.3 建筑门窗保险的风险分级、保费厘定在工程应用中，除应执行本标准外，尚应符合国家现行有关标准和现行中国工程建设标准化协会有关标准的规定。</w:t>
      </w:r>
    </w:p>
    <w:p>
      <w:pPr>
        <w:pStyle w:val="28"/>
        <w:spacing w:line="312" w:lineRule="auto"/>
        <w:ind w:firstLine="0" w:firstLineChars="0"/>
        <w:jc w:val="left"/>
        <w:rPr>
          <w:color w:val="000000"/>
        </w:rPr>
        <w:sectPr>
          <w:footerReference r:id="rId15" w:type="default"/>
          <w:footerReference r:id="rId16" w:type="even"/>
          <w:pgSz w:w="11911" w:h="16838"/>
          <w:pgMar w:top="567" w:right="1134" w:bottom="1134" w:left="1417" w:header="720" w:footer="720" w:gutter="0"/>
          <w:pgNumType w:fmt="decimal" w:start="1"/>
          <w:cols w:space="0" w:num="1"/>
        </w:sectPr>
      </w:pPr>
    </w:p>
    <w:p>
      <w:pPr>
        <w:pStyle w:val="2"/>
        <w:keepNext w:val="0"/>
        <w:keepLines w:val="0"/>
        <w:snapToGrid w:val="0"/>
        <w:spacing w:before="0" w:after="0" w:line="360" w:lineRule="auto"/>
        <w:jc w:val="center"/>
        <w:rPr>
          <w:rFonts w:ascii="黑体" w:hAnsi="黑体" w:eastAsia="黑体" w:cs="黑体"/>
          <w:b w:val="0"/>
          <w:bCs w:val="0"/>
          <w:color w:val="000000"/>
          <w:sz w:val="32"/>
          <w:szCs w:val="32"/>
        </w:rPr>
      </w:pPr>
      <w:bookmarkStart w:id="37" w:name="_Toc9611"/>
      <w:bookmarkStart w:id="38" w:name="_Toc16438"/>
      <w:bookmarkStart w:id="39" w:name="_Toc6136"/>
      <w:r>
        <w:rPr>
          <w:rFonts w:hint="eastAsia" w:ascii="黑体" w:hAnsi="黑体" w:eastAsia="黑体" w:cs="黑体"/>
          <w:b w:val="0"/>
          <w:bCs w:val="0"/>
          <w:spacing w:val="7"/>
          <w:sz w:val="32"/>
          <w:szCs w:val="32"/>
        </w:rPr>
        <w:t>2</w:t>
      </w:r>
      <w:r>
        <w:rPr>
          <w:rFonts w:hint="eastAsia" w:ascii="黑体" w:hAnsi="黑体" w:eastAsia="黑体" w:cs="黑体"/>
          <w:b w:val="0"/>
          <w:bCs w:val="0"/>
          <w:spacing w:val="6"/>
          <w:sz w:val="32"/>
          <w:szCs w:val="32"/>
        </w:rPr>
        <w:t xml:space="preserve"> </w:t>
      </w:r>
      <w:r>
        <w:rPr>
          <w:rFonts w:hint="eastAsia" w:ascii="黑体" w:hAnsi="黑体" w:eastAsia="黑体" w:cs="黑体"/>
          <w:b w:val="0"/>
          <w:bCs w:val="0"/>
          <w:sz w:val="32"/>
          <w:szCs w:val="32"/>
        </w:rPr>
        <w:t>术语和符号</w:t>
      </w:r>
      <w:bookmarkEnd w:id="37"/>
    </w:p>
    <w:p>
      <w:pPr>
        <w:jc w:val="center"/>
        <w:outlineLvl w:val="1"/>
        <w:rPr>
          <w:rFonts w:ascii="黑体" w:hAnsi="黑体" w:eastAsia="黑体" w:cs="黑体"/>
          <w:sz w:val="28"/>
          <w:szCs w:val="28"/>
        </w:rPr>
      </w:pPr>
      <w:r>
        <w:rPr>
          <w:rFonts w:hint="eastAsia" w:ascii="黑体" w:hAnsi="黑体" w:eastAsia="黑体" w:cs="黑体"/>
          <w:sz w:val="28"/>
          <w:szCs w:val="28"/>
        </w:rPr>
        <w:t>2.1 术语</w:t>
      </w:r>
    </w:p>
    <w:p>
      <w:pPr>
        <w:adjustRightInd w:val="0"/>
        <w:snapToGrid w:val="0"/>
        <w:spacing w:line="360" w:lineRule="auto"/>
        <w:rPr>
          <w:rFonts w:ascii="宋体" w:hAnsi="宋体" w:cs="宋体"/>
          <w:sz w:val="24"/>
        </w:rPr>
      </w:pPr>
      <w:bookmarkStart w:id="40" w:name="_Toc30112"/>
      <w:r>
        <w:rPr>
          <w:rFonts w:ascii="宋体" w:hAnsi="宋体" w:cs="宋体"/>
          <w:spacing w:val="16"/>
          <w:sz w:val="24"/>
          <w14:textOutline w14:w="4356" w14:cap="sq" w14:cmpd="sng" w14:algn="ctr">
            <w14:solidFill>
              <w14:srgbClr w14:val="000000"/>
            </w14:solidFill>
            <w14:prstDash w14:val="solid"/>
            <w14:bevel/>
          </w14:textOutline>
        </w:rPr>
        <w:t>2</w:t>
      </w:r>
      <w:r>
        <w:rPr>
          <w:rFonts w:ascii="宋体" w:hAnsi="宋体" w:cs="宋体"/>
          <w:spacing w:val="14"/>
          <w:sz w:val="24"/>
          <w14:textOutline w14:w="4356" w14:cap="sq" w14:cmpd="sng" w14:algn="ctr">
            <w14:solidFill>
              <w14:srgbClr w14:val="000000"/>
            </w14:solidFill>
            <w14:prstDash w14:val="solid"/>
            <w14:bevel/>
          </w14:textOutline>
        </w:rPr>
        <w:t>.1.1</w:t>
      </w:r>
      <w:r>
        <w:rPr>
          <w:rFonts w:ascii="宋体" w:hAnsi="宋体" w:cs="宋体"/>
          <w:spacing w:val="14"/>
          <w:sz w:val="24"/>
        </w:rPr>
        <w:t xml:space="preserve">  定型门窗产品 </w:t>
      </w:r>
      <w:r>
        <w:rPr>
          <w:rFonts w:ascii="宋体" w:hAnsi="宋体" w:cs="宋体"/>
          <w:sz w:val="24"/>
        </w:rPr>
        <w:t>customized</w:t>
      </w:r>
      <w:r>
        <w:rPr>
          <w:rFonts w:ascii="宋体" w:hAnsi="宋体" w:cs="宋体"/>
          <w:spacing w:val="14"/>
          <w:sz w:val="24"/>
        </w:rPr>
        <w:t xml:space="preserve"> </w:t>
      </w:r>
      <w:r>
        <w:rPr>
          <w:rFonts w:ascii="宋体" w:hAnsi="宋体" w:cs="宋体"/>
          <w:sz w:val="24"/>
        </w:rPr>
        <w:t>products</w:t>
      </w:r>
      <w:r>
        <w:rPr>
          <w:rFonts w:ascii="宋体" w:hAnsi="宋体" w:cs="宋体"/>
          <w:spacing w:val="14"/>
          <w:sz w:val="24"/>
        </w:rPr>
        <w:t xml:space="preserve"> </w:t>
      </w:r>
      <w:r>
        <w:rPr>
          <w:rFonts w:ascii="宋体" w:hAnsi="宋体" w:cs="宋体"/>
          <w:sz w:val="24"/>
        </w:rPr>
        <w:t>of</w:t>
      </w:r>
      <w:r>
        <w:rPr>
          <w:rFonts w:ascii="宋体" w:hAnsi="宋体" w:cs="宋体"/>
          <w:spacing w:val="14"/>
          <w:sz w:val="24"/>
        </w:rPr>
        <w:t xml:space="preserve"> </w:t>
      </w:r>
      <w:r>
        <w:rPr>
          <w:rFonts w:ascii="宋体" w:hAnsi="宋体" w:cs="宋体"/>
          <w:sz w:val="24"/>
        </w:rPr>
        <w:t>windows</w:t>
      </w:r>
      <w:r>
        <w:rPr>
          <w:rFonts w:ascii="宋体" w:hAnsi="宋体" w:cs="宋体"/>
          <w:spacing w:val="14"/>
          <w:sz w:val="24"/>
        </w:rPr>
        <w:t xml:space="preserve"> </w:t>
      </w:r>
      <w:r>
        <w:rPr>
          <w:rFonts w:hint="eastAsia" w:ascii="宋体" w:hAnsi="宋体" w:cs="宋体"/>
          <w:spacing w:val="14"/>
          <w:sz w:val="24"/>
        </w:rPr>
        <w:t>and</w:t>
      </w:r>
      <w:r>
        <w:rPr>
          <w:rFonts w:ascii="宋体" w:hAnsi="宋体" w:cs="宋体"/>
          <w:spacing w:val="14"/>
          <w:sz w:val="24"/>
        </w:rPr>
        <w:t xml:space="preserve"> </w:t>
      </w:r>
      <w:r>
        <w:rPr>
          <w:rFonts w:ascii="宋体" w:hAnsi="宋体" w:cs="宋体"/>
          <w:sz w:val="24"/>
        </w:rPr>
        <w:t>doors</w:t>
      </w:r>
    </w:p>
    <w:p>
      <w:pPr>
        <w:adjustRightInd w:val="0"/>
        <w:snapToGrid w:val="0"/>
        <w:spacing w:line="360" w:lineRule="auto"/>
        <w:rPr>
          <w:rFonts w:ascii="宋体" w:hAnsi="宋体" w:cs="宋体"/>
          <w:sz w:val="24"/>
        </w:rPr>
      </w:pPr>
      <w:r>
        <w:rPr>
          <w:rFonts w:ascii="宋体" w:hAnsi="宋体" w:cs="宋体"/>
          <w:spacing w:val="18"/>
          <w:sz w:val="24"/>
        </w:rPr>
        <w:t>经系</w:t>
      </w:r>
      <w:r>
        <w:rPr>
          <w:rFonts w:ascii="宋体" w:hAnsi="宋体" w:cs="宋体"/>
          <w:spacing w:val="14"/>
          <w:sz w:val="24"/>
        </w:rPr>
        <w:t>统</w:t>
      </w:r>
      <w:r>
        <w:rPr>
          <w:rFonts w:ascii="宋体" w:hAnsi="宋体" w:cs="宋体"/>
          <w:spacing w:val="9"/>
          <w:sz w:val="24"/>
        </w:rPr>
        <w:t>化设计</w:t>
      </w:r>
      <w:r>
        <w:rPr>
          <w:rFonts w:hint="eastAsia" w:ascii="宋体" w:hAnsi="宋体" w:cs="宋体"/>
          <w:spacing w:val="9"/>
          <w:sz w:val="24"/>
        </w:rPr>
        <w:t>后，</w:t>
      </w:r>
      <w:r>
        <w:rPr>
          <w:rFonts w:ascii="宋体" w:hAnsi="宋体" w:cs="宋体"/>
          <w:spacing w:val="9"/>
          <w:sz w:val="24"/>
        </w:rPr>
        <w:t>具有性能稳定</w:t>
      </w:r>
      <w:r>
        <w:rPr>
          <w:rFonts w:hint="eastAsia" w:ascii="宋体" w:hAnsi="宋体" w:cs="宋体"/>
          <w:spacing w:val="9"/>
          <w:sz w:val="24"/>
        </w:rPr>
        <w:t>且</w:t>
      </w:r>
      <w:r>
        <w:rPr>
          <w:rFonts w:ascii="宋体" w:hAnsi="宋体" w:cs="宋体"/>
          <w:spacing w:val="9"/>
          <w:sz w:val="24"/>
        </w:rPr>
        <w:t>在标准化、规范化的作业文件全过程指导下</w:t>
      </w:r>
      <w:r>
        <w:rPr>
          <w:rFonts w:ascii="宋体" w:hAnsi="宋体" w:cs="宋体"/>
          <w:spacing w:val="11"/>
          <w:sz w:val="24"/>
        </w:rPr>
        <w:t>生</w:t>
      </w:r>
      <w:r>
        <w:rPr>
          <w:rFonts w:ascii="宋体" w:hAnsi="宋体" w:cs="宋体"/>
          <w:spacing w:val="9"/>
          <w:sz w:val="24"/>
        </w:rPr>
        <w:t>产的门窗产品.</w:t>
      </w:r>
    </w:p>
    <w:p>
      <w:pPr>
        <w:adjustRightInd w:val="0"/>
        <w:snapToGrid w:val="0"/>
        <w:spacing w:line="360" w:lineRule="auto"/>
        <w:rPr>
          <w:rFonts w:ascii="宋体" w:hAnsi="宋体" w:cs="宋体"/>
          <w:sz w:val="24"/>
        </w:rPr>
      </w:pPr>
      <w:r>
        <w:rPr>
          <w:rFonts w:ascii="宋体" w:hAnsi="宋体" w:cs="宋体"/>
          <w:spacing w:val="18"/>
          <w:sz w:val="24"/>
          <w14:textOutline w14:w="4356" w14:cap="sq" w14:cmpd="sng" w14:algn="ctr">
            <w14:solidFill>
              <w14:srgbClr w14:val="000000"/>
            </w14:solidFill>
            <w14:prstDash w14:val="solid"/>
            <w14:bevel/>
          </w14:textOutline>
        </w:rPr>
        <w:t>2</w:t>
      </w:r>
      <w:r>
        <w:rPr>
          <w:rFonts w:ascii="宋体" w:hAnsi="宋体" w:cs="宋体"/>
          <w:spacing w:val="12"/>
          <w:sz w:val="24"/>
          <w14:textOutline w14:w="4356" w14:cap="sq" w14:cmpd="sng" w14:algn="ctr">
            <w14:solidFill>
              <w14:srgbClr w14:val="000000"/>
            </w14:solidFill>
            <w14:prstDash w14:val="solid"/>
            <w14:bevel/>
          </w14:textOutline>
        </w:rPr>
        <w:t>.1.2</w:t>
      </w:r>
      <w:r>
        <w:rPr>
          <w:rFonts w:ascii="宋体" w:hAnsi="宋体" w:cs="宋体"/>
          <w:spacing w:val="12"/>
          <w:sz w:val="24"/>
        </w:rPr>
        <w:t xml:space="preserve">  工厂核查 </w:t>
      </w:r>
      <w:r>
        <w:rPr>
          <w:rFonts w:ascii="宋体" w:hAnsi="宋体" w:cs="宋体"/>
          <w:sz w:val="24"/>
        </w:rPr>
        <w:t>factory</w:t>
      </w:r>
      <w:r>
        <w:rPr>
          <w:rFonts w:ascii="宋体" w:hAnsi="宋体" w:cs="宋体"/>
          <w:spacing w:val="12"/>
          <w:sz w:val="24"/>
        </w:rPr>
        <w:t xml:space="preserve"> </w:t>
      </w:r>
      <w:r>
        <w:rPr>
          <w:rFonts w:ascii="宋体" w:hAnsi="宋体" w:cs="宋体"/>
          <w:sz w:val="24"/>
        </w:rPr>
        <w:t>inspection</w:t>
      </w:r>
    </w:p>
    <w:p>
      <w:pPr>
        <w:adjustRightInd w:val="0"/>
        <w:snapToGrid w:val="0"/>
        <w:spacing w:line="360" w:lineRule="auto"/>
        <w:rPr>
          <w:rFonts w:ascii="宋体" w:hAnsi="宋体" w:cs="宋体"/>
          <w:sz w:val="24"/>
        </w:rPr>
      </w:pPr>
      <w:r>
        <w:rPr>
          <w:rFonts w:ascii="宋体" w:hAnsi="宋体" w:cs="宋体"/>
          <w:spacing w:val="18"/>
          <w:sz w:val="24"/>
        </w:rPr>
        <w:t>对产</w:t>
      </w:r>
      <w:r>
        <w:rPr>
          <w:rFonts w:ascii="宋体" w:hAnsi="宋体" w:cs="宋体"/>
          <w:spacing w:val="17"/>
          <w:sz w:val="24"/>
        </w:rPr>
        <w:t>品</w:t>
      </w:r>
      <w:r>
        <w:rPr>
          <w:rFonts w:ascii="宋体" w:hAnsi="宋体" w:cs="宋体"/>
          <w:spacing w:val="9"/>
          <w:sz w:val="24"/>
        </w:rPr>
        <w:t>制作场所，从原设计到产品出厂全过程各工序的作业文件、相关记录及实</w:t>
      </w:r>
      <w:r>
        <w:rPr>
          <w:rFonts w:ascii="宋体" w:hAnsi="宋体" w:cs="宋体"/>
          <w:spacing w:val="12"/>
          <w:sz w:val="24"/>
        </w:rPr>
        <w:t>际</w:t>
      </w:r>
      <w:r>
        <w:rPr>
          <w:rFonts w:ascii="宋体" w:hAnsi="宋体" w:cs="宋体"/>
          <w:spacing w:val="7"/>
          <w:sz w:val="24"/>
        </w:rPr>
        <w:t>执</w:t>
      </w:r>
      <w:r>
        <w:rPr>
          <w:rFonts w:ascii="宋体" w:hAnsi="宋体" w:cs="宋体"/>
          <w:spacing w:val="6"/>
          <w:sz w:val="24"/>
        </w:rPr>
        <w:t>行情况的检查评定。</w:t>
      </w:r>
    </w:p>
    <w:p>
      <w:pPr>
        <w:adjustRightInd w:val="0"/>
        <w:snapToGrid w:val="0"/>
        <w:spacing w:line="360" w:lineRule="auto"/>
        <w:rPr>
          <w:rFonts w:ascii="宋体" w:hAnsi="宋体" w:cs="宋体"/>
          <w:sz w:val="24"/>
        </w:rPr>
      </w:pPr>
      <w:r>
        <w:rPr>
          <w:rFonts w:ascii="宋体" w:hAnsi="宋体" w:cs="宋体"/>
          <w:spacing w:val="19"/>
          <w:sz w:val="24"/>
          <w14:textOutline w14:w="4356" w14:cap="sq" w14:cmpd="sng" w14:algn="ctr">
            <w14:solidFill>
              <w14:srgbClr w14:val="000000"/>
            </w14:solidFill>
            <w14:prstDash w14:val="solid"/>
            <w14:bevel/>
          </w14:textOutline>
        </w:rPr>
        <w:t>2</w:t>
      </w:r>
      <w:r>
        <w:rPr>
          <w:rFonts w:ascii="宋体" w:hAnsi="宋体" w:cs="宋体"/>
          <w:spacing w:val="11"/>
          <w:sz w:val="24"/>
          <w14:textOutline w14:w="4356" w14:cap="sq" w14:cmpd="sng" w14:algn="ctr">
            <w14:solidFill>
              <w14:srgbClr w14:val="000000"/>
            </w14:solidFill>
            <w14:prstDash w14:val="solid"/>
            <w14:bevel/>
          </w14:textOutline>
        </w:rPr>
        <w:t>.1.3</w:t>
      </w:r>
      <w:r>
        <w:rPr>
          <w:rFonts w:ascii="宋体" w:hAnsi="宋体" w:cs="宋体"/>
          <w:spacing w:val="11"/>
          <w:sz w:val="24"/>
        </w:rPr>
        <w:t xml:space="preserve">  现场核查 </w:t>
      </w:r>
      <w:r>
        <w:rPr>
          <w:rFonts w:ascii="宋体" w:hAnsi="宋体" w:cs="宋体"/>
          <w:sz w:val="24"/>
        </w:rPr>
        <w:t>inspection</w:t>
      </w:r>
      <w:r>
        <w:rPr>
          <w:rFonts w:ascii="宋体" w:hAnsi="宋体" w:cs="宋体"/>
          <w:spacing w:val="11"/>
          <w:sz w:val="24"/>
        </w:rPr>
        <w:t xml:space="preserve"> </w:t>
      </w:r>
      <w:r>
        <w:rPr>
          <w:rFonts w:ascii="宋体" w:hAnsi="宋体" w:cs="宋体"/>
          <w:sz w:val="24"/>
        </w:rPr>
        <w:t>on</w:t>
      </w:r>
      <w:r>
        <w:rPr>
          <w:rFonts w:ascii="宋体" w:hAnsi="宋体" w:cs="宋体"/>
          <w:spacing w:val="11"/>
          <w:sz w:val="24"/>
        </w:rPr>
        <w:t xml:space="preserve"> </w:t>
      </w:r>
      <w:r>
        <w:rPr>
          <w:rFonts w:ascii="宋体" w:hAnsi="宋体" w:cs="宋体"/>
          <w:sz w:val="24"/>
        </w:rPr>
        <w:t>site</w:t>
      </w:r>
    </w:p>
    <w:p>
      <w:pPr>
        <w:adjustRightInd w:val="0"/>
        <w:snapToGrid w:val="0"/>
        <w:spacing w:line="360" w:lineRule="auto"/>
        <w:rPr>
          <w:rFonts w:ascii="宋体" w:hAnsi="宋体" w:cs="宋体"/>
          <w:sz w:val="24"/>
        </w:rPr>
      </w:pPr>
      <w:r>
        <w:rPr>
          <w:rFonts w:ascii="宋体" w:hAnsi="宋体" w:cs="宋体"/>
          <w:spacing w:val="18"/>
          <w:sz w:val="24"/>
        </w:rPr>
        <w:t>从</w:t>
      </w:r>
      <w:r>
        <w:rPr>
          <w:rFonts w:ascii="宋体" w:hAnsi="宋体" w:cs="宋体"/>
          <w:spacing w:val="9"/>
          <w:sz w:val="24"/>
        </w:rPr>
        <w:t>产品进场至工程竣工验收全过程的施工记录和实际施工质量情况检查。</w:t>
      </w:r>
    </w:p>
    <w:p>
      <w:pPr>
        <w:adjustRightInd w:val="0"/>
        <w:snapToGrid w:val="0"/>
        <w:spacing w:line="360" w:lineRule="auto"/>
        <w:rPr>
          <w:rFonts w:ascii="宋体" w:hAnsi="宋体" w:cs="宋体"/>
          <w:sz w:val="24"/>
        </w:rPr>
      </w:pPr>
      <w:r>
        <w:rPr>
          <w:rFonts w:ascii="宋体" w:hAnsi="宋体" w:cs="宋体"/>
          <w:spacing w:val="15"/>
          <w:sz w:val="24"/>
          <w14:textOutline w14:w="4356" w14:cap="sq" w14:cmpd="sng" w14:algn="ctr">
            <w14:solidFill>
              <w14:srgbClr w14:val="000000"/>
            </w14:solidFill>
            <w14:prstDash w14:val="solid"/>
            <w14:bevel/>
          </w14:textOutline>
        </w:rPr>
        <w:t>2</w:t>
      </w:r>
      <w:r>
        <w:rPr>
          <w:rFonts w:ascii="宋体" w:hAnsi="宋体" w:cs="宋体"/>
          <w:spacing w:val="12"/>
          <w:sz w:val="24"/>
          <w14:textOutline w14:w="4356" w14:cap="sq" w14:cmpd="sng" w14:algn="ctr">
            <w14:solidFill>
              <w14:srgbClr w14:val="000000"/>
            </w14:solidFill>
            <w14:prstDash w14:val="solid"/>
            <w14:bevel/>
          </w14:textOutline>
        </w:rPr>
        <w:t>.1.4</w:t>
      </w:r>
      <w:r>
        <w:rPr>
          <w:rFonts w:ascii="宋体" w:hAnsi="宋体" w:cs="宋体"/>
          <w:spacing w:val="12"/>
          <w:sz w:val="24"/>
        </w:rPr>
        <w:t xml:space="preserve">  保险评定机构 </w:t>
      </w:r>
      <w:r>
        <w:rPr>
          <w:rFonts w:ascii="宋体" w:hAnsi="宋体" w:cs="宋体"/>
          <w:sz w:val="24"/>
        </w:rPr>
        <w:t>insurance</w:t>
      </w:r>
      <w:r>
        <w:rPr>
          <w:rFonts w:ascii="宋体" w:hAnsi="宋体" w:cs="宋体"/>
          <w:spacing w:val="12"/>
          <w:sz w:val="24"/>
        </w:rPr>
        <w:t xml:space="preserve"> </w:t>
      </w:r>
      <w:r>
        <w:rPr>
          <w:rFonts w:ascii="宋体" w:hAnsi="宋体" w:cs="宋体"/>
          <w:sz w:val="24"/>
        </w:rPr>
        <w:t>rating</w:t>
      </w:r>
      <w:r>
        <w:rPr>
          <w:rFonts w:ascii="宋体" w:hAnsi="宋体" w:cs="宋体"/>
          <w:spacing w:val="12"/>
          <w:sz w:val="24"/>
        </w:rPr>
        <w:t xml:space="preserve"> </w:t>
      </w:r>
      <w:r>
        <w:rPr>
          <w:rFonts w:ascii="宋体" w:hAnsi="宋体" w:cs="宋体"/>
          <w:sz w:val="24"/>
        </w:rPr>
        <w:t>agency</w:t>
      </w:r>
      <w:r>
        <w:rPr>
          <w:rFonts w:ascii="宋体" w:hAnsi="宋体" w:cs="宋体"/>
          <w:spacing w:val="12"/>
          <w:sz w:val="24"/>
        </w:rPr>
        <w:t>：</w:t>
      </w:r>
    </w:p>
    <w:p>
      <w:pPr>
        <w:adjustRightInd w:val="0"/>
        <w:snapToGrid w:val="0"/>
        <w:spacing w:line="360" w:lineRule="auto"/>
        <w:rPr>
          <w:rFonts w:ascii="宋体" w:hAnsi="宋体" w:cs="宋体"/>
          <w:sz w:val="24"/>
        </w:rPr>
      </w:pPr>
      <w:r>
        <w:rPr>
          <w:rFonts w:ascii="宋体" w:hAnsi="宋体" w:cs="宋体"/>
          <w:spacing w:val="9"/>
          <w:sz w:val="24"/>
        </w:rPr>
        <w:t>由承保单位</w:t>
      </w:r>
      <w:r>
        <w:rPr>
          <w:rFonts w:hint="eastAsia" w:ascii="宋体" w:hAnsi="宋体" w:cs="宋体"/>
          <w:spacing w:val="9"/>
          <w:sz w:val="24"/>
        </w:rPr>
        <w:t>指定</w:t>
      </w:r>
      <w:r>
        <w:rPr>
          <w:rFonts w:ascii="宋体" w:hAnsi="宋体" w:cs="宋体"/>
          <w:spacing w:val="9"/>
          <w:sz w:val="24"/>
        </w:rPr>
        <w:t>对投保企业和投保产品按本标准进行核查评定的第</w:t>
      </w:r>
      <w:r>
        <w:rPr>
          <w:rFonts w:ascii="宋体" w:hAnsi="宋体" w:cs="宋体"/>
          <w:spacing w:val="5"/>
          <w:sz w:val="24"/>
        </w:rPr>
        <w:t>三</w:t>
      </w:r>
      <w:r>
        <w:rPr>
          <w:rFonts w:ascii="宋体" w:hAnsi="宋体" w:cs="宋体"/>
          <w:spacing w:val="9"/>
          <w:sz w:val="24"/>
        </w:rPr>
        <w:t>方</w:t>
      </w:r>
      <w:r>
        <w:rPr>
          <w:rFonts w:ascii="宋体" w:hAnsi="宋体" w:cs="宋体"/>
          <w:spacing w:val="6"/>
          <w:sz w:val="24"/>
        </w:rPr>
        <w:t>机构。</w:t>
      </w:r>
    </w:p>
    <w:p>
      <w:pPr>
        <w:adjustRightInd w:val="0"/>
        <w:snapToGrid w:val="0"/>
        <w:spacing w:line="360" w:lineRule="auto"/>
        <w:rPr>
          <w:rFonts w:ascii="宋体" w:hAnsi="宋体" w:cs="宋体"/>
          <w:sz w:val="24"/>
        </w:rPr>
      </w:pPr>
      <w:r>
        <w:rPr>
          <w:rFonts w:ascii="宋体" w:hAnsi="宋体" w:cs="宋体"/>
          <w:spacing w:val="12"/>
          <w:sz w:val="24"/>
          <w14:textOutline w14:w="4356" w14:cap="sq" w14:cmpd="sng" w14:algn="ctr">
            <w14:solidFill>
              <w14:srgbClr w14:val="000000"/>
            </w14:solidFill>
            <w14:prstDash w14:val="solid"/>
            <w14:bevel/>
          </w14:textOutline>
        </w:rPr>
        <w:t>2</w:t>
      </w:r>
      <w:r>
        <w:rPr>
          <w:rFonts w:ascii="宋体" w:hAnsi="宋体" w:cs="宋体"/>
          <w:spacing w:val="10"/>
          <w:sz w:val="24"/>
          <w14:textOutline w14:w="4356" w14:cap="sq" w14:cmpd="sng" w14:algn="ctr">
            <w14:solidFill>
              <w14:srgbClr w14:val="000000"/>
            </w14:solidFill>
            <w14:prstDash w14:val="solid"/>
            <w14:bevel/>
          </w14:textOutline>
        </w:rPr>
        <w:t>.1.5</w:t>
      </w:r>
      <w:r>
        <w:rPr>
          <w:rFonts w:ascii="宋体" w:hAnsi="宋体" w:cs="宋体"/>
          <w:spacing w:val="10"/>
          <w:sz w:val="24"/>
        </w:rPr>
        <w:t xml:space="preserve">  保险费率 </w:t>
      </w:r>
      <w:r>
        <w:rPr>
          <w:rFonts w:ascii="宋体" w:hAnsi="宋体" w:cs="宋体"/>
          <w:sz w:val="24"/>
        </w:rPr>
        <w:t>premium</w:t>
      </w:r>
      <w:r>
        <w:rPr>
          <w:rFonts w:ascii="宋体" w:hAnsi="宋体" w:cs="宋体"/>
          <w:spacing w:val="10"/>
          <w:sz w:val="24"/>
        </w:rPr>
        <w:t xml:space="preserve"> </w:t>
      </w:r>
      <w:r>
        <w:rPr>
          <w:rFonts w:ascii="宋体" w:hAnsi="宋体" w:cs="宋体"/>
          <w:sz w:val="24"/>
        </w:rPr>
        <w:t>rate</w:t>
      </w:r>
    </w:p>
    <w:p>
      <w:pPr>
        <w:adjustRightInd w:val="0"/>
        <w:snapToGrid w:val="0"/>
        <w:spacing w:line="360" w:lineRule="auto"/>
        <w:rPr>
          <w:rFonts w:ascii="宋体" w:hAnsi="宋体" w:cs="宋体"/>
          <w:sz w:val="24"/>
        </w:rPr>
      </w:pPr>
      <w:r>
        <w:rPr>
          <w:rFonts w:ascii="宋体" w:hAnsi="宋体" w:cs="宋体"/>
          <w:spacing w:val="16"/>
          <w:sz w:val="24"/>
        </w:rPr>
        <w:t>应</w:t>
      </w:r>
      <w:r>
        <w:rPr>
          <w:rFonts w:ascii="宋体" w:hAnsi="宋体" w:cs="宋体"/>
          <w:spacing w:val="10"/>
          <w:sz w:val="24"/>
        </w:rPr>
        <w:t>缴</w:t>
      </w:r>
      <w:r>
        <w:rPr>
          <w:rFonts w:ascii="宋体" w:hAnsi="宋体" w:cs="宋体"/>
          <w:spacing w:val="8"/>
          <w:sz w:val="24"/>
        </w:rPr>
        <w:t>纳保险费与保险金额的比率。</w:t>
      </w:r>
    </w:p>
    <w:p>
      <w:pPr>
        <w:adjustRightInd w:val="0"/>
        <w:snapToGrid w:val="0"/>
        <w:spacing w:line="360" w:lineRule="auto"/>
        <w:rPr>
          <w:rFonts w:ascii="宋体" w:hAnsi="宋体" w:cs="宋体"/>
          <w:sz w:val="24"/>
        </w:rPr>
      </w:pPr>
      <w:r>
        <w:rPr>
          <w:rFonts w:ascii="宋体" w:hAnsi="宋体" w:cs="宋体"/>
          <w:spacing w:val="17"/>
          <w:sz w:val="24"/>
          <w14:textOutline w14:w="4356" w14:cap="sq" w14:cmpd="sng" w14:algn="ctr">
            <w14:solidFill>
              <w14:srgbClr w14:val="000000"/>
            </w14:solidFill>
            <w14:prstDash w14:val="solid"/>
            <w14:bevel/>
          </w14:textOutline>
        </w:rPr>
        <w:t>2</w:t>
      </w:r>
      <w:r>
        <w:rPr>
          <w:rFonts w:ascii="宋体" w:hAnsi="宋体" w:cs="宋体"/>
          <w:spacing w:val="12"/>
          <w:sz w:val="24"/>
          <w14:textOutline w14:w="4356" w14:cap="sq" w14:cmpd="sng" w14:algn="ctr">
            <w14:solidFill>
              <w14:srgbClr w14:val="000000"/>
            </w14:solidFill>
            <w14:prstDash w14:val="solid"/>
            <w14:bevel/>
          </w14:textOutline>
        </w:rPr>
        <w:t>.1.6</w:t>
      </w:r>
      <w:r>
        <w:rPr>
          <w:rFonts w:ascii="宋体" w:hAnsi="宋体" w:cs="宋体"/>
          <w:spacing w:val="12"/>
          <w:sz w:val="24"/>
        </w:rPr>
        <w:t xml:space="preserve">  保险费率厘定 </w:t>
      </w:r>
      <w:r>
        <w:rPr>
          <w:rFonts w:ascii="宋体" w:hAnsi="宋体" w:cs="宋体"/>
          <w:sz w:val="24"/>
        </w:rPr>
        <w:t>premium</w:t>
      </w:r>
      <w:r>
        <w:rPr>
          <w:rFonts w:ascii="宋体" w:hAnsi="宋体" w:cs="宋体"/>
          <w:spacing w:val="12"/>
          <w:sz w:val="24"/>
        </w:rPr>
        <w:t xml:space="preserve"> </w:t>
      </w:r>
      <w:r>
        <w:rPr>
          <w:rFonts w:ascii="宋体" w:hAnsi="宋体" w:cs="宋体"/>
          <w:sz w:val="24"/>
        </w:rPr>
        <w:t>rate</w:t>
      </w:r>
      <w:r>
        <w:rPr>
          <w:rFonts w:ascii="宋体" w:hAnsi="宋体" w:cs="宋体"/>
          <w:spacing w:val="12"/>
          <w:sz w:val="24"/>
        </w:rPr>
        <w:t xml:space="preserve"> </w:t>
      </w:r>
      <w:r>
        <w:rPr>
          <w:rFonts w:ascii="宋体" w:hAnsi="宋体" w:cs="宋体"/>
          <w:sz w:val="24"/>
        </w:rPr>
        <w:t>planning</w:t>
      </w:r>
    </w:p>
    <w:p>
      <w:pPr>
        <w:adjustRightInd w:val="0"/>
        <w:snapToGrid w:val="0"/>
        <w:spacing w:line="360" w:lineRule="auto"/>
        <w:rPr>
          <w:rFonts w:ascii="宋体" w:hAnsi="宋体" w:cs="宋体"/>
          <w:sz w:val="24"/>
        </w:rPr>
      </w:pPr>
      <w:r>
        <w:rPr>
          <w:rFonts w:ascii="宋体" w:hAnsi="宋体" w:cs="宋体"/>
          <w:spacing w:val="9"/>
          <w:sz w:val="24"/>
        </w:rPr>
        <w:t>保</w:t>
      </w:r>
      <w:r>
        <w:rPr>
          <w:rFonts w:ascii="宋体" w:hAnsi="宋体" w:cs="宋体"/>
          <w:spacing w:val="8"/>
          <w:sz w:val="24"/>
        </w:rPr>
        <w:t>险费率的确定或制订。</w:t>
      </w:r>
    </w:p>
    <w:p>
      <w:pPr>
        <w:adjustRightInd w:val="0"/>
        <w:snapToGrid w:val="0"/>
        <w:spacing w:line="360" w:lineRule="auto"/>
        <w:rPr>
          <w:rFonts w:ascii="宋体" w:hAnsi="宋体" w:cs="宋体"/>
          <w:sz w:val="24"/>
        </w:rPr>
      </w:pPr>
      <w:r>
        <w:rPr>
          <w:rFonts w:ascii="宋体" w:hAnsi="宋体" w:cs="宋体"/>
          <w:spacing w:val="12"/>
          <w:sz w:val="24"/>
          <w14:textOutline w14:w="4356" w14:cap="sq" w14:cmpd="sng" w14:algn="ctr">
            <w14:solidFill>
              <w14:srgbClr w14:val="000000"/>
            </w14:solidFill>
            <w14:prstDash w14:val="solid"/>
            <w14:bevel/>
          </w14:textOutline>
        </w:rPr>
        <w:t>2.1.7</w:t>
      </w:r>
      <w:r>
        <w:rPr>
          <w:rFonts w:ascii="宋体" w:hAnsi="宋体" w:cs="宋体"/>
          <w:spacing w:val="12"/>
          <w:sz w:val="24"/>
        </w:rPr>
        <w:t xml:space="preserve">  保险经纪公司 </w:t>
      </w:r>
      <w:r>
        <w:rPr>
          <w:rFonts w:ascii="宋体" w:hAnsi="宋体" w:cs="宋体"/>
          <w:sz w:val="24"/>
        </w:rPr>
        <w:t>insurance</w:t>
      </w:r>
      <w:r>
        <w:rPr>
          <w:rFonts w:ascii="宋体" w:hAnsi="宋体" w:cs="宋体"/>
          <w:spacing w:val="9"/>
          <w:sz w:val="24"/>
        </w:rPr>
        <w:t xml:space="preserve"> </w:t>
      </w:r>
      <w:r>
        <w:rPr>
          <w:rFonts w:ascii="宋体" w:hAnsi="宋体" w:cs="宋体"/>
          <w:sz w:val="24"/>
        </w:rPr>
        <w:t>brokers</w:t>
      </w:r>
    </w:p>
    <w:p>
      <w:pPr>
        <w:adjustRightInd w:val="0"/>
        <w:snapToGrid w:val="0"/>
        <w:spacing w:line="360" w:lineRule="auto"/>
        <w:rPr>
          <w:rFonts w:ascii="宋体" w:hAnsi="宋体" w:cs="宋体"/>
          <w:sz w:val="24"/>
        </w:rPr>
      </w:pPr>
      <w:r>
        <w:rPr>
          <w:rFonts w:ascii="宋体" w:hAnsi="宋体" w:cs="宋体"/>
          <w:spacing w:val="18"/>
          <w:sz w:val="24"/>
        </w:rPr>
        <w:t>依法</w:t>
      </w:r>
      <w:r>
        <w:rPr>
          <w:rFonts w:ascii="宋体" w:hAnsi="宋体" w:cs="宋体"/>
          <w:spacing w:val="14"/>
          <w:sz w:val="24"/>
        </w:rPr>
        <w:t>成</w:t>
      </w:r>
      <w:r>
        <w:rPr>
          <w:rFonts w:ascii="宋体" w:hAnsi="宋体" w:cs="宋体"/>
          <w:spacing w:val="9"/>
          <w:sz w:val="24"/>
        </w:rPr>
        <w:t>立的保险中介机构。他一方面代表被保险人的利益，为被保险人设计保险</w:t>
      </w:r>
      <w:r>
        <w:rPr>
          <w:rFonts w:ascii="宋体" w:hAnsi="宋体" w:cs="宋体"/>
          <w:spacing w:val="18"/>
          <w:sz w:val="24"/>
        </w:rPr>
        <w:t>方案，</w:t>
      </w:r>
      <w:r>
        <w:rPr>
          <w:rFonts w:ascii="宋体" w:hAnsi="宋体" w:cs="宋体"/>
          <w:spacing w:val="10"/>
          <w:sz w:val="24"/>
        </w:rPr>
        <w:t>与</w:t>
      </w:r>
      <w:r>
        <w:rPr>
          <w:rFonts w:ascii="宋体" w:hAnsi="宋体" w:cs="宋体"/>
          <w:spacing w:val="9"/>
          <w:sz w:val="24"/>
        </w:rPr>
        <w:t>保险公司商议达成保险协议。另一方面，为保险公司招揽业务，向保险公司收取</w:t>
      </w:r>
      <w:r>
        <w:rPr>
          <w:rFonts w:ascii="宋体" w:hAnsi="宋体" w:cs="宋体"/>
          <w:spacing w:val="3"/>
          <w:sz w:val="24"/>
        </w:rPr>
        <w:t>佣金。</w:t>
      </w:r>
    </w:p>
    <w:p>
      <w:pPr>
        <w:adjustRightInd w:val="0"/>
        <w:snapToGrid w:val="0"/>
        <w:spacing w:line="360" w:lineRule="auto"/>
        <w:rPr>
          <w:rFonts w:ascii="宋体" w:hAnsi="宋体" w:cs="宋体"/>
          <w:sz w:val="24"/>
        </w:rPr>
      </w:pPr>
      <w:r>
        <w:rPr>
          <w:rFonts w:ascii="宋体" w:hAnsi="宋体" w:cs="宋体"/>
          <w:spacing w:val="14"/>
          <w:sz w:val="24"/>
          <w14:textOutline w14:w="4356" w14:cap="sq" w14:cmpd="sng" w14:algn="ctr">
            <w14:solidFill>
              <w14:srgbClr w14:val="000000"/>
            </w14:solidFill>
            <w14:prstDash w14:val="solid"/>
            <w14:bevel/>
          </w14:textOutline>
        </w:rPr>
        <w:t>2</w:t>
      </w:r>
      <w:r>
        <w:rPr>
          <w:rFonts w:ascii="宋体" w:hAnsi="宋体" w:cs="宋体"/>
          <w:spacing w:val="8"/>
          <w:sz w:val="24"/>
          <w14:textOutline w14:w="4356" w14:cap="sq" w14:cmpd="sng" w14:algn="ctr">
            <w14:solidFill>
              <w14:srgbClr w14:val="000000"/>
            </w14:solidFill>
            <w14:prstDash w14:val="solid"/>
            <w14:bevel/>
          </w14:textOutline>
        </w:rPr>
        <w:t>.1.8</w:t>
      </w:r>
      <w:r>
        <w:rPr>
          <w:rFonts w:ascii="宋体" w:hAnsi="宋体" w:cs="宋体"/>
          <w:spacing w:val="8"/>
          <w:sz w:val="24"/>
        </w:rPr>
        <w:t xml:space="preserve">  保险人  </w:t>
      </w:r>
      <w:r>
        <w:rPr>
          <w:rFonts w:ascii="宋体" w:hAnsi="宋体" w:cs="宋体"/>
          <w:sz w:val="24"/>
        </w:rPr>
        <w:t>insurer</w:t>
      </w:r>
    </w:p>
    <w:p>
      <w:pPr>
        <w:adjustRightInd w:val="0"/>
        <w:snapToGrid w:val="0"/>
        <w:spacing w:line="360" w:lineRule="auto"/>
        <w:rPr>
          <w:rFonts w:ascii="宋体" w:hAnsi="宋体" w:cs="宋体"/>
          <w:sz w:val="24"/>
        </w:rPr>
      </w:pPr>
      <w:r>
        <w:rPr>
          <w:rFonts w:ascii="宋体" w:hAnsi="宋体" w:cs="宋体"/>
          <w:spacing w:val="18"/>
          <w:sz w:val="24"/>
        </w:rPr>
        <w:t>保</w:t>
      </w:r>
      <w:r>
        <w:rPr>
          <w:rFonts w:ascii="宋体" w:hAnsi="宋体" w:cs="宋体"/>
          <w:spacing w:val="14"/>
          <w:sz w:val="24"/>
        </w:rPr>
        <w:t>险</w:t>
      </w:r>
      <w:r>
        <w:rPr>
          <w:rFonts w:ascii="宋体" w:hAnsi="宋体" w:cs="宋体"/>
          <w:spacing w:val="9"/>
          <w:sz w:val="24"/>
        </w:rPr>
        <w:t>人是指与投保人订立保险合同，并承担赔偿或给付保险金责任的保险公司。</w:t>
      </w:r>
    </w:p>
    <w:p>
      <w:pPr>
        <w:adjustRightInd w:val="0"/>
        <w:snapToGrid w:val="0"/>
        <w:spacing w:line="360" w:lineRule="auto"/>
        <w:rPr>
          <w:rFonts w:ascii="宋体" w:hAnsi="宋体" w:cs="宋体"/>
          <w:sz w:val="24"/>
        </w:rPr>
      </w:pPr>
      <w:r>
        <w:rPr>
          <w:rFonts w:ascii="宋体" w:hAnsi="宋体" w:cs="宋体"/>
          <w:spacing w:val="12"/>
          <w:sz w:val="24"/>
          <w14:textOutline w14:w="4356" w14:cap="sq" w14:cmpd="sng" w14:algn="ctr">
            <w14:solidFill>
              <w14:srgbClr w14:val="000000"/>
            </w14:solidFill>
            <w14:prstDash w14:val="solid"/>
            <w14:bevel/>
          </w14:textOutline>
        </w:rPr>
        <w:t>2</w:t>
      </w:r>
      <w:r>
        <w:rPr>
          <w:rFonts w:ascii="宋体" w:hAnsi="宋体" w:cs="宋体"/>
          <w:spacing w:val="10"/>
          <w:sz w:val="24"/>
          <w14:textOutline w14:w="4356" w14:cap="sq" w14:cmpd="sng" w14:algn="ctr">
            <w14:solidFill>
              <w14:srgbClr w14:val="000000"/>
            </w14:solidFill>
            <w14:prstDash w14:val="solid"/>
            <w14:bevel/>
          </w14:textOutline>
        </w:rPr>
        <w:t>.1.9</w:t>
      </w:r>
      <w:r>
        <w:rPr>
          <w:rFonts w:ascii="宋体" w:hAnsi="宋体" w:cs="宋体"/>
          <w:spacing w:val="10"/>
          <w:sz w:val="24"/>
        </w:rPr>
        <w:t xml:space="preserve">  投保人  </w:t>
      </w:r>
      <w:r>
        <w:rPr>
          <w:rFonts w:ascii="宋体" w:hAnsi="宋体" w:cs="宋体"/>
          <w:sz w:val="24"/>
        </w:rPr>
        <w:t>policy</w:t>
      </w:r>
      <w:r>
        <w:rPr>
          <w:rFonts w:ascii="宋体" w:hAnsi="宋体" w:cs="宋体"/>
          <w:spacing w:val="10"/>
          <w:sz w:val="24"/>
        </w:rPr>
        <w:t>-</w:t>
      </w:r>
      <w:r>
        <w:rPr>
          <w:rFonts w:ascii="宋体" w:hAnsi="宋体" w:cs="宋体"/>
          <w:sz w:val="24"/>
        </w:rPr>
        <w:t>holder</w:t>
      </w:r>
    </w:p>
    <w:p>
      <w:pPr>
        <w:adjustRightInd w:val="0"/>
        <w:snapToGrid w:val="0"/>
        <w:spacing w:line="360" w:lineRule="auto"/>
        <w:rPr>
          <w:rFonts w:ascii="宋体" w:hAnsi="宋体" w:cs="宋体"/>
          <w:sz w:val="24"/>
        </w:rPr>
      </w:pPr>
      <w:r>
        <w:rPr>
          <w:rFonts w:ascii="宋体" w:hAnsi="宋体" w:cs="宋体"/>
          <w:spacing w:val="18"/>
          <w:sz w:val="24"/>
        </w:rPr>
        <w:t>投</w:t>
      </w:r>
      <w:r>
        <w:rPr>
          <w:rFonts w:ascii="宋体" w:hAnsi="宋体" w:cs="宋体"/>
          <w:spacing w:val="12"/>
          <w:sz w:val="24"/>
        </w:rPr>
        <w:t>保</w:t>
      </w:r>
      <w:r>
        <w:rPr>
          <w:rFonts w:ascii="宋体" w:hAnsi="宋体" w:cs="宋体"/>
          <w:spacing w:val="9"/>
          <w:sz w:val="24"/>
        </w:rPr>
        <w:t>人是指与保险人订立保险合同，并按照保险合同负有支付保险费义务的人。</w:t>
      </w:r>
    </w:p>
    <w:p>
      <w:pPr>
        <w:adjustRightInd w:val="0"/>
        <w:snapToGrid w:val="0"/>
        <w:spacing w:line="360" w:lineRule="auto"/>
        <w:rPr>
          <w:rFonts w:ascii="宋体" w:hAnsi="宋体" w:cs="宋体"/>
          <w:sz w:val="24"/>
        </w:rPr>
      </w:pPr>
      <w:r>
        <w:rPr>
          <w:rFonts w:ascii="宋体" w:hAnsi="宋体" w:cs="宋体"/>
          <w:spacing w:val="13"/>
          <w:sz w:val="24"/>
          <w14:textOutline w14:w="4356" w14:cap="sq" w14:cmpd="sng" w14:algn="ctr">
            <w14:solidFill>
              <w14:srgbClr w14:val="000000"/>
            </w14:solidFill>
            <w14:prstDash w14:val="solid"/>
            <w14:bevel/>
          </w14:textOutline>
        </w:rPr>
        <w:t>2</w:t>
      </w:r>
      <w:r>
        <w:rPr>
          <w:rFonts w:ascii="宋体" w:hAnsi="宋体" w:cs="宋体"/>
          <w:spacing w:val="8"/>
          <w:sz w:val="24"/>
          <w14:textOutline w14:w="4356" w14:cap="sq" w14:cmpd="sng" w14:algn="ctr">
            <w14:solidFill>
              <w14:srgbClr w14:val="000000"/>
            </w14:solidFill>
            <w14:prstDash w14:val="solid"/>
            <w14:bevel/>
          </w14:textOutline>
        </w:rPr>
        <w:t>.1.10</w:t>
      </w:r>
      <w:r>
        <w:rPr>
          <w:rFonts w:ascii="宋体" w:hAnsi="宋体" w:cs="宋体"/>
          <w:spacing w:val="8"/>
          <w:sz w:val="24"/>
        </w:rPr>
        <w:t xml:space="preserve">  被保险人  </w:t>
      </w:r>
      <w:r>
        <w:rPr>
          <w:rFonts w:ascii="宋体" w:hAnsi="宋体" w:cs="宋体"/>
          <w:sz w:val="24"/>
        </w:rPr>
        <w:t>insured</w:t>
      </w:r>
    </w:p>
    <w:p>
      <w:pPr>
        <w:adjustRightInd w:val="0"/>
        <w:snapToGrid w:val="0"/>
        <w:spacing w:line="360" w:lineRule="auto"/>
        <w:rPr>
          <w:rFonts w:ascii="Arial"/>
          <w:sz w:val="24"/>
        </w:rPr>
      </w:pPr>
      <w:r>
        <w:rPr>
          <w:rFonts w:ascii="宋体" w:hAnsi="宋体" w:cs="宋体"/>
          <w:spacing w:val="18"/>
          <w:sz w:val="24"/>
        </w:rPr>
        <w:t>被保</w:t>
      </w:r>
      <w:r>
        <w:rPr>
          <w:rFonts w:ascii="宋体" w:hAnsi="宋体" w:cs="宋体"/>
          <w:spacing w:val="16"/>
          <w:sz w:val="24"/>
        </w:rPr>
        <w:t>险</w:t>
      </w:r>
      <w:r>
        <w:rPr>
          <w:rFonts w:ascii="宋体" w:hAnsi="宋体" w:cs="宋体"/>
          <w:spacing w:val="9"/>
          <w:sz w:val="24"/>
        </w:rPr>
        <w:t>人是指其财产或者人身受保险合同保障，享有保险金请求权的人，投保人可</w:t>
      </w:r>
      <w:r>
        <w:rPr>
          <w:rFonts w:ascii="宋体" w:hAnsi="宋体" w:cs="宋体"/>
          <w:spacing w:val="7"/>
          <w:sz w:val="24"/>
        </w:rPr>
        <w:t>以为被保险人。</w:t>
      </w:r>
    </w:p>
    <w:p>
      <w:pPr>
        <w:adjustRightInd w:val="0"/>
        <w:snapToGrid w:val="0"/>
        <w:spacing w:line="360" w:lineRule="auto"/>
        <w:rPr>
          <w:rFonts w:ascii="宋体" w:hAnsi="宋体" w:cs="宋体"/>
          <w:sz w:val="24"/>
        </w:rPr>
      </w:pPr>
      <w:r>
        <w:rPr>
          <w:rFonts w:ascii="宋体" w:hAnsi="宋体" w:cs="宋体"/>
          <w:spacing w:val="11"/>
          <w:sz w:val="24"/>
          <w14:textOutline w14:w="4356" w14:cap="sq" w14:cmpd="sng" w14:algn="ctr">
            <w14:solidFill>
              <w14:srgbClr w14:val="000000"/>
            </w14:solidFill>
            <w14:prstDash w14:val="solid"/>
            <w14:bevel/>
          </w14:textOutline>
        </w:rPr>
        <w:t>2.1.11</w:t>
      </w:r>
      <w:r>
        <w:rPr>
          <w:rFonts w:ascii="宋体" w:hAnsi="宋体" w:cs="宋体"/>
          <w:spacing w:val="11"/>
          <w:sz w:val="24"/>
        </w:rPr>
        <w:t xml:space="preserve">  保险金额  </w:t>
      </w:r>
      <w:r>
        <w:rPr>
          <w:rFonts w:ascii="宋体" w:hAnsi="宋体" w:cs="宋体"/>
          <w:sz w:val="24"/>
        </w:rPr>
        <w:t>insurance</w:t>
      </w:r>
      <w:r>
        <w:rPr>
          <w:rFonts w:ascii="宋体" w:hAnsi="宋体" w:cs="宋体"/>
          <w:spacing w:val="10"/>
          <w:sz w:val="24"/>
        </w:rPr>
        <w:t xml:space="preserve"> </w:t>
      </w:r>
      <w:r>
        <w:rPr>
          <w:rFonts w:ascii="宋体" w:hAnsi="宋体" w:cs="宋体"/>
          <w:sz w:val="24"/>
        </w:rPr>
        <w:t>amount</w:t>
      </w:r>
    </w:p>
    <w:p>
      <w:pPr>
        <w:adjustRightInd w:val="0"/>
        <w:snapToGrid w:val="0"/>
        <w:spacing w:line="360" w:lineRule="auto"/>
        <w:rPr>
          <w:rFonts w:ascii="宋体" w:hAnsi="宋体" w:cs="宋体"/>
          <w:sz w:val="24"/>
        </w:rPr>
      </w:pPr>
      <w:r>
        <w:rPr>
          <w:rFonts w:ascii="宋体" w:hAnsi="宋体" w:cs="宋体"/>
          <w:spacing w:val="14"/>
          <w:sz w:val="24"/>
        </w:rPr>
        <w:t>保</w:t>
      </w:r>
      <w:r>
        <w:rPr>
          <w:rFonts w:ascii="宋体" w:hAnsi="宋体" w:cs="宋体"/>
          <w:spacing w:val="9"/>
          <w:sz w:val="24"/>
        </w:rPr>
        <w:t>险金额是指保险人承担赔偿或者给付保险金的最高限额。</w:t>
      </w:r>
    </w:p>
    <w:p>
      <w:pPr>
        <w:adjustRightInd w:val="0"/>
        <w:snapToGrid w:val="0"/>
        <w:spacing w:line="360" w:lineRule="auto"/>
        <w:rPr>
          <w:rFonts w:ascii="宋体" w:hAnsi="宋体" w:cs="宋体"/>
          <w:sz w:val="24"/>
        </w:rPr>
      </w:pPr>
      <w:r>
        <w:rPr>
          <w:rFonts w:ascii="宋体" w:hAnsi="宋体" w:cs="宋体"/>
          <w:spacing w:val="17"/>
          <w:sz w:val="24"/>
          <w14:textOutline w14:w="4356" w14:cap="sq" w14:cmpd="sng" w14:algn="ctr">
            <w14:solidFill>
              <w14:srgbClr w14:val="000000"/>
            </w14:solidFill>
            <w14:prstDash w14:val="solid"/>
            <w14:bevel/>
          </w14:textOutline>
        </w:rPr>
        <w:t>2</w:t>
      </w:r>
      <w:r>
        <w:rPr>
          <w:rFonts w:ascii="宋体" w:hAnsi="宋体" w:cs="宋体"/>
          <w:spacing w:val="9"/>
          <w:sz w:val="24"/>
          <w14:textOutline w14:w="4356" w14:cap="sq" w14:cmpd="sng" w14:algn="ctr">
            <w14:solidFill>
              <w14:srgbClr w14:val="000000"/>
            </w14:solidFill>
            <w14:prstDash w14:val="solid"/>
            <w14:bevel/>
          </w14:textOutline>
        </w:rPr>
        <w:t>.1.12</w:t>
      </w:r>
      <w:r>
        <w:rPr>
          <w:rFonts w:ascii="宋体" w:hAnsi="宋体" w:cs="宋体"/>
          <w:spacing w:val="9"/>
          <w:sz w:val="24"/>
        </w:rPr>
        <w:t xml:space="preserve">  理赔额  </w:t>
      </w:r>
      <w:r>
        <w:rPr>
          <w:rFonts w:ascii="宋体" w:hAnsi="宋体" w:cs="宋体"/>
          <w:sz w:val="24"/>
        </w:rPr>
        <w:t>claim</w:t>
      </w:r>
      <w:r>
        <w:rPr>
          <w:rFonts w:ascii="宋体" w:hAnsi="宋体" w:cs="宋体"/>
          <w:spacing w:val="9"/>
          <w:sz w:val="24"/>
        </w:rPr>
        <w:t xml:space="preserve"> </w:t>
      </w:r>
      <w:r>
        <w:rPr>
          <w:rFonts w:ascii="宋体" w:hAnsi="宋体" w:cs="宋体"/>
          <w:sz w:val="24"/>
        </w:rPr>
        <w:t>amount</w:t>
      </w:r>
    </w:p>
    <w:p>
      <w:pPr>
        <w:adjustRightInd w:val="0"/>
        <w:snapToGrid w:val="0"/>
        <w:spacing w:line="360" w:lineRule="auto"/>
        <w:rPr>
          <w:rFonts w:ascii="宋体" w:hAnsi="宋体" w:cs="宋体"/>
          <w:sz w:val="24"/>
        </w:rPr>
      </w:pPr>
      <w:r>
        <w:rPr>
          <w:rFonts w:ascii="宋体" w:hAnsi="宋体" w:cs="宋体"/>
          <w:spacing w:val="9"/>
          <w:sz w:val="24"/>
        </w:rPr>
        <w:t>理赔额是指保险人实际承担赔偿或者给付的金额</w:t>
      </w:r>
      <w:r>
        <w:rPr>
          <w:rFonts w:ascii="宋体" w:hAnsi="宋体" w:cs="宋体"/>
          <w:spacing w:val="8"/>
          <w:sz w:val="24"/>
        </w:rPr>
        <w:t>。</w:t>
      </w:r>
    </w:p>
    <w:p>
      <w:pPr>
        <w:adjustRightInd w:val="0"/>
        <w:snapToGrid w:val="0"/>
        <w:spacing w:line="360" w:lineRule="auto"/>
        <w:rPr>
          <w:rFonts w:ascii="宋体" w:hAnsi="宋体" w:cs="宋体"/>
          <w:sz w:val="24"/>
        </w:rPr>
      </w:pPr>
      <w:r>
        <w:rPr>
          <w:rFonts w:ascii="宋体" w:hAnsi="宋体" w:cs="宋体"/>
          <w:spacing w:val="13"/>
          <w:sz w:val="24"/>
          <w14:textOutline w14:w="4356" w14:cap="sq" w14:cmpd="sng" w14:algn="ctr">
            <w14:solidFill>
              <w14:srgbClr w14:val="000000"/>
            </w14:solidFill>
            <w14:prstDash w14:val="solid"/>
            <w14:bevel/>
          </w14:textOutline>
        </w:rPr>
        <w:t>2.1.13</w:t>
      </w:r>
      <w:r>
        <w:rPr>
          <w:rFonts w:ascii="宋体" w:hAnsi="宋体" w:cs="宋体"/>
          <w:spacing w:val="13"/>
          <w:sz w:val="24"/>
        </w:rPr>
        <w:t xml:space="preserve">  免除责任  </w:t>
      </w:r>
      <w:r>
        <w:rPr>
          <w:rFonts w:ascii="宋体" w:hAnsi="宋体" w:cs="宋体"/>
          <w:sz w:val="24"/>
        </w:rPr>
        <w:t>exemption</w:t>
      </w:r>
      <w:r>
        <w:rPr>
          <w:rFonts w:ascii="宋体" w:hAnsi="宋体" w:cs="宋体"/>
          <w:spacing w:val="13"/>
          <w:sz w:val="24"/>
        </w:rPr>
        <w:t xml:space="preserve"> </w:t>
      </w:r>
      <w:r>
        <w:rPr>
          <w:rFonts w:ascii="宋体" w:hAnsi="宋体" w:cs="宋体"/>
          <w:sz w:val="24"/>
        </w:rPr>
        <w:t>from</w:t>
      </w:r>
      <w:r>
        <w:rPr>
          <w:rFonts w:ascii="宋体" w:hAnsi="宋体" w:cs="宋体"/>
          <w:spacing w:val="9"/>
          <w:sz w:val="24"/>
        </w:rPr>
        <w:t xml:space="preserve"> </w:t>
      </w:r>
      <w:r>
        <w:rPr>
          <w:rFonts w:ascii="宋体" w:hAnsi="宋体" w:cs="宋体"/>
          <w:sz w:val="24"/>
        </w:rPr>
        <w:t>liability</w:t>
      </w:r>
    </w:p>
    <w:p>
      <w:pPr>
        <w:adjustRightInd w:val="0"/>
        <w:snapToGrid w:val="0"/>
        <w:spacing w:line="360" w:lineRule="auto"/>
        <w:rPr>
          <w:rFonts w:ascii="宋体" w:hAnsi="宋体" w:cs="宋体"/>
          <w:sz w:val="24"/>
        </w:rPr>
      </w:pPr>
      <w:r>
        <w:rPr>
          <w:rFonts w:ascii="宋体" w:hAnsi="宋体" w:cs="宋体"/>
          <w:spacing w:val="18"/>
          <w:sz w:val="24"/>
        </w:rPr>
        <w:t>免除</w:t>
      </w:r>
      <w:r>
        <w:rPr>
          <w:rFonts w:ascii="宋体" w:hAnsi="宋体" w:cs="宋体"/>
          <w:spacing w:val="10"/>
          <w:sz w:val="24"/>
        </w:rPr>
        <w:t>责</w:t>
      </w:r>
      <w:r>
        <w:rPr>
          <w:rFonts w:ascii="宋体" w:hAnsi="宋体" w:cs="宋体"/>
          <w:spacing w:val="9"/>
          <w:sz w:val="24"/>
        </w:rPr>
        <w:t>任是指保险人依照法律规定或合同约定，不承担保险责任的范围，是对保</w:t>
      </w:r>
      <w:r>
        <w:rPr>
          <w:rFonts w:ascii="宋体" w:hAnsi="宋体" w:cs="宋体"/>
          <w:spacing w:val="7"/>
          <w:sz w:val="24"/>
        </w:rPr>
        <w:t>险</w:t>
      </w:r>
      <w:r>
        <w:rPr>
          <w:rFonts w:ascii="宋体" w:hAnsi="宋体" w:cs="宋体"/>
          <w:spacing w:val="5"/>
          <w:sz w:val="24"/>
        </w:rPr>
        <w:t>责任的限制。</w:t>
      </w:r>
    </w:p>
    <w:p>
      <w:pPr>
        <w:adjustRightInd w:val="0"/>
        <w:snapToGrid w:val="0"/>
        <w:spacing w:line="360" w:lineRule="auto"/>
        <w:rPr>
          <w:rFonts w:ascii="宋体" w:hAnsi="宋体" w:cs="宋体"/>
          <w:sz w:val="24"/>
        </w:rPr>
      </w:pPr>
      <w:r>
        <w:rPr>
          <w:rFonts w:ascii="宋体" w:hAnsi="宋体" w:cs="宋体"/>
          <w:spacing w:val="22"/>
          <w:sz w:val="24"/>
          <w14:textOutline w14:w="4356" w14:cap="sq" w14:cmpd="sng" w14:algn="ctr">
            <w14:solidFill>
              <w14:srgbClr w14:val="000000"/>
            </w14:solidFill>
            <w14:prstDash w14:val="solid"/>
            <w14:bevel/>
          </w14:textOutline>
        </w:rPr>
        <w:t>2</w:t>
      </w:r>
      <w:r>
        <w:rPr>
          <w:rFonts w:ascii="宋体" w:hAnsi="宋体" w:cs="宋体"/>
          <w:spacing w:val="12"/>
          <w:sz w:val="24"/>
          <w14:textOutline w14:w="4356" w14:cap="sq" w14:cmpd="sng" w14:algn="ctr">
            <w14:solidFill>
              <w14:srgbClr w14:val="000000"/>
            </w14:solidFill>
            <w14:prstDash w14:val="solid"/>
            <w14:bevel/>
          </w14:textOutline>
        </w:rPr>
        <w:t>.</w:t>
      </w:r>
      <w:r>
        <w:rPr>
          <w:rFonts w:ascii="宋体" w:hAnsi="宋体" w:cs="宋体"/>
          <w:spacing w:val="11"/>
          <w:sz w:val="24"/>
          <w14:textOutline w14:w="4356" w14:cap="sq" w14:cmpd="sng" w14:algn="ctr">
            <w14:solidFill>
              <w14:srgbClr w14:val="000000"/>
            </w14:solidFill>
            <w14:prstDash w14:val="solid"/>
            <w14:bevel/>
          </w14:textOutline>
        </w:rPr>
        <w:t>1.14</w:t>
      </w:r>
      <w:r>
        <w:rPr>
          <w:rFonts w:ascii="宋体" w:hAnsi="宋体" w:cs="宋体"/>
          <w:spacing w:val="11"/>
          <w:sz w:val="24"/>
        </w:rPr>
        <w:t xml:space="preserve">  第三方责任  </w:t>
      </w:r>
      <w:r>
        <w:rPr>
          <w:rFonts w:ascii="宋体" w:hAnsi="宋体" w:cs="宋体"/>
          <w:sz w:val="24"/>
        </w:rPr>
        <w:t>third</w:t>
      </w:r>
      <w:r>
        <w:rPr>
          <w:rFonts w:ascii="宋体" w:hAnsi="宋体" w:cs="宋体"/>
          <w:spacing w:val="11"/>
          <w:sz w:val="24"/>
        </w:rPr>
        <w:t xml:space="preserve"> </w:t>
      </w:r>
      <w:r>
        <w:rPr>
          <w:rFonts w:ascii="宋体" w:hAnsi="宋体" w:cs="宋体"/>
          <w:sz w:val="24"/>
        </w:rPr>
        <w:t>party</w:t>
      </w:r>
      <w:r>
        <w:rPr>
          <w:rFonts w:ascii="宋体" w:hAnsi="宋体" w:cs="宋体"/>
          <w:spacing w:val="11"/>
          <w:sz w:val="24"/>
        </w:rPr>
        <w:t xml:space="preserve"> </w:t>
      </w:r>
      <w:r>
        <w:rPr>
          <w:rFonts w:ascii="宋体" w:hAnsi="宋体" w:cs="宋体"/>
          <w:sz w:val="24"/>
        </w:rPr>
        <w:t>liability</w:t>
      </w:r>
    </w:p>
    <w:p>
      <w:pPr>
        <w:adjustRightInd w:val="0"/>
        <w:snapToGrid w:val="0"/>
        <w:spacing w:line="360" w:lineRule="auto"/>
        <w:rPr>
          <w:rFonts w:ascii="宋体" w:hAnsi="宋体" w:cs="宋体"/>
          <w:sz w:val="24"/>
        </w:rPr>
      </w:pPr>
      <w:r>
        <w:rPr>
          <w:rFonts w:ascii="宋体" w:hAnsi="宋体" w:cs="宋体"/>
          <w:spacing w:val="8"/>
          <w:sz w:val="24"/>
        </w:rPr>
        <w:t>第三方责任是指</w:t>
      </w:r>
      <w:r>
        <w:rPr>
          <w:rFonts w:ascii="宋体" w:hAnsi="宋体" w:cs="宋体"/>
          <w:spacing w:val="4"/>
          <w:sz w:val="24"/>
        </w:rPr>
        <w:t>公民、企事业单位、机关、团体因自身的疏忽或过失等侵权行为，</w:t>
      </w:r>
      <w:r>
        <w:rPr>
          <w:rFonts w:ascii="宋体" w:hAnsi="宋体" w:cs="宋体"/>
          <w:spacing w:val="18"/>
          <w:sz w:val="24"/>
        </w:rPr>
        <w:t>致</w:t>
      </w:r>
      <w:r>
        <w:rPr>
          <w:rFonts w:ascii="宋体" w:hAnsi="宋体" w:cs="宋体"/>
          <w:spacing w:val="17"/>
          <w:sz w:val="24"/>
        </w:rPr>
        <w:t>使</w:t>
      </w:r>
      <w:r>
        <w:rPr>
          <w:rFonts w:ascii="宋体" w:hAnsi="宋体" w:cs="宋体"/>
          <w:spacing w:val="9"/>
          <w:sz w:val="24"/>
        </w:rPr>
        <w:t>他人的人身或财产受到损害，该责任人就应依法承担对受害人的经济赔偿责任。</w:t>
      </w:r>
    </w:p>
    <w:p>
      <w:pPr>
        <w:adjustRightInd w:val="0"/>
        <w:snapToGrid w:val="0"/>
        <w:spacing w:line="360" w:lineRule="auto"/>
        <w:rPr>
          <w:rFonts w:ascii="宋体" w:hAnsi="宋体" w:cs="宋体"/>
          <w:sz w:val="24"/>
        </w:rPr>
      </w:pPr>
      <w:r>
        <w:rPr>
          <w:rFonts w:ascii="宋体" w:hAnsi="宋体" w:cs="宋体"/>
          <w:spacing w:val="15"/>
          <w:sz w:val="24"/>
          <w14:textOutline w14:w="4356" w14:cap="sq" w14:cmpd="sng" w14:algn="ctr">
            <w14:solidFill>
              <w14:srgbClr w14:val="000000"/>
            </w14:solidFill>
            <w14:prstDash w14:val="solid"/>
            <w14:bevel/>
          </w14:textOutline>
        </w:rPr>
        <w:t>2</w:t>
      </w:r>
      <w:r>
        <w:rPr>
          <w:rFonts w:ascii="宋体" w:hAnsi="宋体" w:cs="宋体"/>
          <w:spacing w:val="11"/>
          <w:sz w:val="24"/>
          <w14:textOutline w14:w="4356" w14:cap="sq" w14:cmpd="sng" w14:algn="ctr">
            <w14:solidFill>
              <w14:srgbClr w14:val="000000"/>
            </w14:solidFill>
            <w14:prstDash w14:val="solid"/>
            <w14:bevel/>
          </w14:textOutline>
        </w:rPr>
        <w:t>.1.15</w:t>
      </w:r>
      <w:r>
        <w:rPr>
          <w:rFonts w:ascii="宋体" w:hAnsi="宋体" w:cs="宋体"/>
          <w:spacing w:val="11"/>
          <w:sz w:val="24"/>
        </w:rPr>
        <w:t xml:space="preserve">  质量保险  </w:t>
      </w:r>
      <w:r>
        <w:rPr>
          <w:rFonts w:ascii="宋体" w:hAnsi="宋体" w:cs="宋体"/>
          <w:sz w:val="24"/>
        </w:rPr>
        <w:t>quality</w:t>
      </w:r>
      <w:r>
        <w:rPr>
          <w:rFonts w:ascii="宋体" w:hAnsi="宋体" w:cs="宋体"/>
          <w:spacing w:val="11"/>
          <w:sz w:val="24"/>
        </w:rPr>
        <w:t xml:space="preserve"> </w:t>
      </w:r>
      <w:r>
        <w:rPr>
          <w:rFonts w:ascii="宋体" w:hAnsi="宋体" w:cs="宋体"/>
          <w:sz w:val="24"/>
        </w:rPr>
        <w:t>insurance</w:t>
      </w:r>
    </w:p>
    <w:p>
      <w:pPr>
        <w:adjustRightInd w:val="0"/>
        <w:snapToGrid w:val="0"/>
        <w:spacing w:line="360" w:lineRule="auto"/>
        <w:rPr>
          <w:rFonts w:ascii="宋体" w:hAnsi="宋体" w:cs="宋体"/>
          <w:sz w:val="24"/>
        </w:rPr>
      </w:pPr>
      <w:r>
        <w:rPr>
          <w:rFonts w:ascii="宋体" w:hAnsi="宋体" w:cs="宋体"/>
          <w:spacing w:val="18"/>
          <w:sz w:val="24"/>
        </w:rPr>
        <w:t>质量</w:t>
      </w:r>
      <w:r>
        <w:rPr>
          <w:rFonts w:ascii="宋体" w:hAnsi="宋体" w:cs="宋体"/>
          <w:spacing w:val="15"/>
          <w:sz w:val="24"/>
        </w:rPr>
        <w:t>保</w:t>
      </w:r>
      <w:r>
        <w:rPr>
          <w:rFonts w:ascii="宋体" w:hAnsi="宋体" w:cs="宋体"/>
          <w:spacing w:val="9"/>
          <w:sz w:val="24"/>
        </w:rPr>
        <w:t>险是以投保人所生产的产品为标的，由保险人代替被保险人向权利人提供</w:t>
      </w:r>
      <w:r>
        <w:rPr>
          <w:rFonts w:ascii="宋体" w:hAnsi="宋体" w:cs="宋体"/>
          <w:spacing w:val="5"/>
          <w:sz w:val="24"/>
        </w:rPr>
        <w:t>的一种质量担保。</w:t>
      </w:r>
    </w:p>
    <w:p>
      <w:pPr>
        <w:adjustRightInd w:val="0"/>
        <w:snapToGrid w:val="0"/>
        <w:spacing w:line="360" w:lineRule="auto"/>
        <w:rPr>
          <w:rFonts w:ascii="宋体" w:hAnsi="宋体" w:cs="宋体"/>
          <w:sz w:val="24"/>
        </w:rPr>
      </w:pPr>
      <w:r>
        <w:rPr>
          <w:rFonts w:ascii="宋体" w:hAnsi="宋体" w:cs="宋体"/>
          <w:spacing w:val="12"/>
          <w:sz w:val="24"/>
          <w14:textOutline w14:w="4356" w14:cap="sq" w14:cmpd="sng" w14:algn="ctr">
            <w14:solidFill>
              <w14:srgbClr w14:val="000000"/>
            </w14:solidFill>
            <w14:prstDash w14:val="solid"/>
            <w14:bevel/>
          </w14:textOutline>
        </w:rPr>
        <w:t>2.1.16</w:t>
      </w:r>
      <w:r>
        <w:rPr>
          <w:rFonts w:ascii="宋体" w:hAnsi="宋体" w:cs="宋体"/>
          <w:spacing w:val="12"/>
          <w:sz w:val="24"/>
        </w:rPr>
        <w:t xml:space="preserve">  责任保险  </w:t>
      </w:r>
      <w:r>
        <w:rPr>
          <w:rFonts w:ascii="宋体" w:hAnsi="宋体" w:cs="宋体"/>
          <w:sz w:val="24"/>
        </w:rPr>
        <w:t>liability</w:t>
      </w:r>
      <w:r>
        <w:rPr>
          <w:rFonts w:ascii="宋体" w:hAnsi="宋体" w:cs="宋体"/>
          <w:spacing w:val="11"/>
          <w:sz w:val="24"/>
        </w:rPr>
        <w:t xml:space="preserve"> </w:t>
      </w:r>
      <w:r>
        <w:rPr>
          <w:rFonts w:ascii="宋体" w:hAnsi="宋体" w:cs="宋体"/>
          <w:sz w:val="24"/>
        </w:rPr>
        <w:t>insurance</w:t>
      </w:r>
    </w:p>
    <w:p>
      <w:pPr>
        <w:adjustRightInd w:val="0"/>
        <w:snapToGrid w:val="0"/>
        <w:spacing w:line="360" w:lineRule="auto"/>
        <w:rPr>
          <w:rFonts w:ascii="宋体" w:hAnsi="宋体" w:cs="宋体"/>
          <w:kern w:val="0"/>
          <w:sz w:val="24"/>
        </w:rPr>
      </w:pPr>
      <w:r>
        <w:rPr>
          <w:rFonts w:ascii="宋体" w:hAnsi="宋体" w:cs="宋体"/>
          <w:spacing w:val="11"/>
          <w:sz w:val="24"/>
        </w:rPr>
        <w:t>责</w:t>
      </w:r>
      <w:r>
        <w:rPr>
          <w:rFonts w:ascii="宋体" w:hAnsi="宋体" w:cs="宋体"/>
          <w:spacing w:val="9"/>
          <w:sz w:val="24"/>
        </w:rPr>
        <w:t>任保险是以被保险人的民事损害赔偿责任为保险标的的一种保险。</w:t>
      </w:r>
    </w:p>
    <w:p>
      <w:pPr>
        <w:rPr>
          <w:rFonts w:ascii="宋体" w:hAnsi="宋体" w:cs="宋体"/>
          <w:b/>
          <w:bCs/>
          <w:kern w:val="44"/>
          <w:sz w:val="24"/>
        </w:rPr>
      </w:pPr>
      <w:r>
        <w:rPr>
          <w:rFonts w:hint="eastAsia" w:ascii="宋体" w:hAnsi="宋体" w:cs="宋体"/>
          <w:b/>
          <w:bCs/>
          <w:kern w:val="44"/>
          <w:sz w:val="24"/>
        </w:rPr>
        <w:br w:type="page"/>
      </w:r>
    </w:p>
    <w:p>
      <w:pPr>
        <w:spacing w:line="360" w:lineRule="auto"/>
        <w:jc w:val="center"/>
        <w:outlineLvl w:val="1"/>
        <w:rPr>
          <w:rFonts w:ascii="黑体" w:hAnsi="黑体" w:eastAsia="黑体" w:cs="黑体"/>
          <w:color w:val="000000"/>
          <w:kern w:val="44"/>
          <w:sz w:val="28"/>
          <w:szCs w:val="28"/>
        </w:rPr>
      </w:pPr>
      <w:r>
        <w:rPr>
          <w:rFonts w:hint="eastAsia" w:ascii="黑体" w:hAnsi="黑体" w:eastAsia="黑体" w:cs="黑体"/>
          <w:color w:val="000000"/>
          <w:kern w:val="44"/>
          <w:sz w:val="28"/>
          <w:szCs w:val="28"/>
        </w:rPr>
        <w:t>2.2 符号</w:t>
      </w:r>
      <w:bookmarkEnd w:id="40"/>
    </w:p>
    <w:p>
      <w:pPr>
        <w:adjustRightInd w:val="0"/>
        <w:snapToGrid w:val="0"/>
        <w:spacing w:line="360" w:lineRule="auto"/>
        <w:rPr>
          <w:rFonts w:ascii="宋体" w:hAnsi="宋体" w:cs="宋体"/>
          <w:sz w:val="24"/>
        </w:rPr>
      </w:pPr>
      <w:r>
        <w:rPr>
          <w:rFonts w:hint="eastAsia" w:ascii="宋体" w:hAnsi="宋体" w:cs="宋体"/>
          <w:position w:val="18"/>
          <w:sz w:val="24"/>
        </w:rPr>
        <w:t>Q</w:t>
      </w:r>
      <w:r>
        <w:rPr>
          <w:rFonts w:hint="eastAsia" w:ascii="宋体" w:hAnsi="宋体" w:cs="宋体"/>
          <w:spacing w:val="17"/>
          <w:position w:val="18"/>
          <w:sz w:val="24"/>
        </w:rPr>
        <w:t>—</w:t>
      </w:r>
      <w:r>
        <w:rPr>
          <w:rFonts w:hint="eastAsia" w:ascii="宋体" w:hAnsi="宋体" w:cs="宋体"/>
          <w:spacing w:val="9"/>
          <w:position w:val="18"/>
          <w:sz w:val="24"/>
        </w:rPr>
        <w:t>—建筑门窗工程保险等级评定总得分</w:t>
      </w:r>
    </w:p>
    <w:p>
      <w:pPr>
        <w:adjustRightInd w:val="0"/>
        <w:snapToGrid w:val="0"/>
        <w:spacing w:line="360" w:lineRule="auto"/>
        <w:rPr>
          <w:rFonts w:ascii="宋体" w:hAnsi="宋体" w:cs="宋体"/>
          <w:sz w:val="24"/>
        </w:rPr>
      </w:pPr>
      <w:r>
        <w:rPr>
          <w:rFonts w:hint="eastAsia" w:ascii="宋体" w:hAnsi="宋体" w:cs="宋体"/>
          <w:sz w:val="24"/>
        </w:rPr>
        <w:t>D</w:t>
      </w:r>
      <w:r>
        <w:rPr>
          <w:rFonts w:hint="eastAsia" w:ascii="宋体" w:hAnsi="宋体" w:cs="宋体"/>
          <w:spacing w:val="12"/>
          <w:sz w:val="24"/>
        </w:rPr>
        <w:t>—</w:t>
      </w:r>
      <w:r>
        <w:rPr>
          <w:rFonts w:hint="eastAsia" w:ascii="宋体" w:hAnsi="宋体" w:cs="宋体"/>
          <w:spacing w:val="10"/>
          <w:sz w:val="24"/>
        </w:rPr>
        <w:t>—建筑门窗工程保险技术指标得分</w:t>
      </w:r>
    </w:p>
    <w:p>
      <w:pPr>
        <w:adjustRightInd w:val="0"/>
        <w:snapToGrid w:val="0"/>
        <w:spacing w:line="360" w:lineRule="auto"/>
        <w:rPr>
          <w:rFonts w:ascii="宋体" w:hAnsi="宋体" w:cs="宋体"/>
          <w:sz w:val="24"/>
        </w:rPr>
      </w:pPr>
      <w:r>
        <w:rPr>
          <w:rFonts w:hint="eastAsia" w:ascii="宋体" w:hAnsi="宋体" w:cs="宋体"/>
          <w:sz w:val="24"/>
        </w:rPr>
        <w:t>S——建筑门窗工程保险非技术指标得分</w:t>
      </w:r>
    </w:p>
    <w:p>
      <w:pPr>
        <w:adjustRightInd w:val="0"/>
        <w:snapToGrid w:val="0"/>
        <w:spacing w:line="360" w:lineRule="auto"/>
        <w:rPr>
          <w:rFonts w:ascii="宋体" w:hAnsi="宋体" w:cs="宋体"/>
          <w:sz w:val="24"/>
        </w:rPr>
      </w:pPr>
      <w:r>
        <w:rPr>
          <w:rFonts w:hint="eastAsia" w:ascii="宋体" w:hAnsi="宋体" w:cs="宋体"/>
          <w:i/>
          <w:iCs/>
          <w:spacing w:val="10"/>
          <w:sz w:val="24"/>
        </w:rPr>
        <w:t>ω</w:t>
      </w:r>
      <w:r>
        <w:rPr>
          <w:rFonts w:hint="eastAsia" w:ascii="宋体" w:hAnsi="宋体" w:cs="宋体"/>
          <w:spacing w:val="10"/>
          <w:position w:val="-4"/>
          <w:sz w:val="24"/>
          <w:vertAlign w:val="subscript"/>
        </w:rPr>
        <w:t>0</w:t>
      </w:r>
      <w:r>
        <w:rPr>
          <w:rFonts w:hint="eastAsia" w:ascii="宋体" w:hAnsi="宋体" w:cs="宋体"/>
          <w:spacing w:val="5"/>
          <w:sz w:val="24"/>
        </w:rPr>
        <w:t>——建筑门窗工程保险技术指标的权重系数</w:t>
      </w:r>
    </w:p>
    <w:p>
      <w:pPr>
        <w:adjustRightInd w:val="0"/>
        <w:snapToGrid w:val="0"/>
        <w:spacing w:line="360" w:lineRule="auto"/>
        <w:rPr>
          <w:rFonts w:ascii="宋体" w:hAnsi="宋体" w:cs="宋体"/>
          <w:sz w:val="24"/>
        </w:rPr>
      </w:pPr>
      <w:r>
        <w:rPr>
          <w:rFonts w:hint="eastAsia" w:ascii="宋体" w:hAnsi="宋体" w:cs="宋体"/>
          <w:i/>
          <w:iCs/>
          <w:sz w:val="24"/>
        </w:rPr>
        <w:t>μ</w:t>
      </w:r>
      <w:r>
        <w:rPr>
          <w:rFonts w:hint="eastAsia" w:ascii="宋体" w:hAnsi="宋体" w:cs="宋体"/>
          <w:spacing w:val="9"/>
          <w:position w:val="-4"/>
          <w:sz w:val="24"/>
          <w:vertAlign w:val="subscript"/>
        </w:rPr>
        <w:t>0</w:t>
      </w:r>
      <w:r>
        <w:rPr>
          <w:rFonts w:hint="eastAsia" w:ascii="宋体" w:hAnsi="宋体" w:cs="宋体"/>
          <w:spacing w:val="8"/>
          <w:sz w:val="24"/>
        </w:rPr>
        <w:t>——建筑门窗工程保险非技术指标的权重系数</w:t>
      </w:r>
    </w:p>
    <w:p>
      <w:pPr>
        <w:adjustRightInd w:val="0"/>
        <w:snapToGrid w:val="0"/>
        <w:spacing w:line="360" w:lineRule="auto"/>
        <w:rPr>
          <w:rFonts w:ascii="宋体" w:hAnsi="宋体" w:cs="宋体"/>
          <w:sz w:val="24"/>
        </w:rPr>
      </w:pPr>
      <w:r>
        <w:rPr>
          <w:rFonts w:hint="eastAsia" w:ascii="宋体" w:hAnsi="宋体" w:cs="宋体"/>
          <w:i/>
          <w:iCs/>
          <w:position w:val="5"/>
          <w:sz w:val="24"/>
        </w:rPr>
        <w:t>D</w:t>
      </w:r>
      <w:r>
        <w:rPr>
          <w:rFonts w:hint="eastAsia" w:ascii="宋体" w:hAnsi="宋体" w:cs="宋体"/>
          <w:position w:val="1"/>
          <w:sz w:val="24"/>
          <w:vertAlign w:val="subscript"/>
        </w:rPr>
        <w:t>ij</w:t>
      </w:r>
      <w:r>
        <w:rPr>
          <w:rFonts w:hint="eastAsia" w:ascii="宋体" w:hAnsi="宋体" w:cs="宋体"/>
          <w:spacing w:val="6"/>
          <w:position w:val="5"/>
          <w:sz w:val="24"/>
        </w:rPr>
        <w:t>—</w:t>
      </w:r>
      <w:r>
        <w:rPr>
          <w:rFonts w:hint="eastAsia" w:ascii="宋体" w:hAnsi="宋体" w:cs="宋体"/>
          <w:spacing w:val="4"/>
          <w:position w:val="5"/>
          <w:sz w:val="24"/>
        </w:rPr>
        <w:t>—</w:t>
      </w:r>
      <w:r>
        <w:rPr>
          <w:rFonts w:hint="eastAsia" w:ascii="宋体" w:hAnsi="宋体" w:cs="宋体"/>
          <w:spacing w:val="3"/>
          <w:position w:val="5"/>
          <w:sz w:val="24"/>
        </w:rPr>
        <w:t xml:space="preserve">第 </w:t>
      </w:r>
      <w:r>
        <w:rPr>
          <w:rFonts w:hint="eastAsia" w:ascii="宋体" w:hAnsi="宋体" w:cs="宋体"/>
          <w:position w:val="5"/>
          <w:sz w:val="24"/>
        </w:rPr>
        <w:t>ij</w:t>
      </w:r>
      <w:r>
        <w:rPr>
          <w:rFonts w:hint="eastAsia" w:ascii="宋体" w:hAnsi="宋体" w:cs="宋体"/>
          <w:spacing w:val="3"/>
          <w:position w:val="5"/>
          <w:sz w:val="24"/>
        </w:rPr>
        <w:t xml:space="preserve"> 项门窗工程保险技术指标</w:t>
      </w:r>
    </w:p>
    <w:p>
      <w:pPr>
        <w:adjustRightInd w:val="0"/>
        <w:snapToGrid w:val="0"/>
        <w:spacing w:line="360" w:lineRule="auto"/>
        <w:rPr>
          <w:rFonts w:ascii="宋体" w:hAnsi="宋体" w:cs="宋体"/>
          <w:sz w:val="24"/>
        </w:rPr>
      </w:pPr>
      <w:r>
        <w:rPr>
          <w:rFonts w:hint="eastAsia" w:ascii="宋体" w:hAnsi="宋体" w:cs="宋体"/>
          <w:i/>
          <w:iCs/>
          <w:position w:val="5"/>
          <w:sz w:val="24"/>
        </w:rPr>
        <w:t>R</w:t>
      </w:r>
      <w:r>
        <w:rPr>
          <w:rFonts w:hint="eastAsia" w:ascii="宋体" w:hAnsi="宋体" w:cs="宋体"/>
          <w:position w:val="1"/>
          <w:sz w:val="24"/>
          <w:vertAlign w:val="subscript"/>
        </w:rPr>
        <w:t>ij</w:t>
      </w:r>
      <w:r>
        <w:rPr>
          <w:rFonts w:hint="eastAsia" w:ascii="宋体" w:hAnsi="宋体" w:cs="宋体"/>
          <w:spacing w:val="8"/>
          <w:position w:val="5"/>
          <w:sz w:val="24"/>
        </w:rPr>
        <w:t>——</w:t>
      </w:r>
      <w:r>
        <w:rPr>
          <w:rFonts w:hint="eastAsia" w:ascii="宋体" w:hAnsi="宋体" w:cs="宋体"/>
          <w:spacing w:val="7"/>
          <w:position w:val="5"/>
          <w:sz w:val="24"/>
        </w:rPr>
        <w:t>第</w:t>
      </w:r>
      <w:r>
        <w:rPr>
          <w:rFonts w:hint="eastAsia" w:ascii="宋体" w:hAnsi="宋体" w:cs="宋体"/>
          <w:spacing w:val="4"/>
          <w:position w:val="5"/>
          <w:sz w:val="24"/>
        </w:rPr>
        <w:t xml:space="preserve"> </w:t>
      </w:r>
      <w:r>
        <w:rPr>
          <w:rFonts w:hint="eastAsia" w:ascii="宋体" w:hAnsi="宋体" w:cs="宋体"/>
          <w:position w:val="5"/>
          <w:sz w:val="24"/>
        </w:rPr>
        <w:t>ij</w:t>
      </w:r>
      <w:r>
        <w:rPr>
          <w:rFonts w:hint="eastAsia" w:ascii="宋体" w:hAnsi="宋体" w:cs="宋体"/>
          <w:spacing w:val="4"/>
          <w:position w:val="5"/>
          <w:sz w:val="24"/>
        </w:rPr>
        <w:t xml:space="preserve"> 项门窗工程保险技术指标的权重系数</w:t>
      </w:r>
    </w:p>
    <w:p>
      <w:pPr>
        <w:rPr>
          <w:rFonts w:ascii="宋体" w:hAnsi="宋体" w:cs="宋体"/>
          <w:b/>
          <w:bCs/>
          <w:kern w:val="44"/>
          <w:sz w:val="24"/>
        </w:rPr>
      </w:pPr>
      <w:r>
        <w:rPr>
          <w:rFonts w:hint="eastAsia" w:ascii="宋体" w:hAnsi="宋体" w:cs="宋体"/>
          <w:b/>
          <w:bCs/>
          <w:kern w:val="44"/>
          <w:sz w:val="24"/>
        </w:rPr>
        <w:br w:type="page"/>
      </w:r>
    </w:p>
    <w:p>
      <w:pPr>
        <w:pStyle w:val="2"/>
        <w:keepNext w:val="0"/>
        <w:keepLines w:val="0"/>
        <w:adjustRightInd w:val="0"/>
        <w:snapToGrid w:val="0"/>
        <w:spacing w:before="0" w:after="0" w:line="360" w:lineRule="auto"/>
        <w:jc w:val="center"/>
        <w:rPr>
          <w:rFonts w:cs="宋体"/>
          <w:color w:val="000000"/>
          <w:sz w:val="30"/>
          <w:szCs w:val="30"/>
        </w:rPr>
      </w:pPr>
      <w:bookmarkStart w:id="41" w:name="_Toc7608"/>
      <w:r>
        <w:rPr>
          <w:rFonts w:hint="eastAsia" w:ascii="黑体" w:hAnsi="黑体" w:eastAsia="黑体" w:cs="黑体"/>
          <w:b w:val="0"/>
          <w:bCs w:val="0"/>
          <w:color w:val="000000"/>
          <w:sz w:val="32"/>
          <w:szCs w:val="32"/>
        </w:rPr>
        <w:t>3 基本规定</w:t>
      </w:r>
      <w:bookmarkEnd w:id="38"/>
      <w:bookmarkEnd w:id="39"/>
      <w:bookmarkEnd w:id="41"/>
    </w:p>
    <w:p>
      <w:pPr>
        <w:adjustRightInd w:val="0"/>
        <w:snapToGrid w:val="0"/>
        <w:spacing w:line="360" w:lineRule="auto"/>
        <w:jc w:val="center"/>
        <w:outlineLvl w:val="1"/>
        <w:rPr>
          <w:rFonts w:ascii="黑体" w:hAnsi="黑体" w:eastAsia="黑体" w:cs="黑体"/>
          <w:color w:val="000000"/>
          <w:kern w:val="44"/>
          <w:sz w:val="28"/>
          <w:szCs w:val="28"/>
        </w:rPr>
      </w:pPr>
    </w:p>
    <w:p>
      <w:pPr>
        <w:adjustRightInd w:val="0"/>
        <w:snapToGrid w:val="0"/>
        <w:spacing w:before="240" w:beforeLines="100" w:after="240" w:afterLines="100" w:line="360" w:lineRule="auto"/>
        <w:rPr>
          <w:rFonts w:ascii="宋体" w:hAnsi="宋体" w:cs="宋体"/>
          <w:sz w:val="23"/>
          <w:szCs w:val="23"/>
        </w:rPr>
      </w:pPr>
      <w:r>
        <w:rPr>
          <w:rFonts w:eastAsia="Times New Roman"/>
          <w:b/>
          <w:bCs/>
          <w:spacing w:val="9"/>
          <w:sz w:val="23"/>
          <w:szCs w:val="23"/>
        </w:rPr>
        <w:t>3.</w:t>
      </w:r>
      <w:r>
        <w:rPr>
          <w:rFonts w:hint="eastAsia"/>
          <w:b/>
          <w:bCs/>
          <w:spacing w:val="9"/>
          <w:sz w:val="23"/>
          <w:szCs w:val="23"/>
          <w:lang w:val="en-US" w:eastAsia="zh-CN"/>
        </w:rPr>
        <w:t>0</w:t>
      </w:r>
      <w:r>
        <w:rPr>
          <w:rFonts w:eastAsia="Times New Roman"/>
          <w:b/>
          <w:bCs/>
          <w:spacing w:val="9"/>
          <w:sz w:val="23"/>
          <w:szCs w:val="23"/>
        </w:rPr>
        <w:t>.1</w:t>
      </w:r>
      <w:r>
        <w:rPr>
          <w:rFonts w:eastAsia="Times New Roman"/>
          <w:spacing w:val="9"/>
          <w:sz w:val="23"/>
          <w:szCs w:val="23"/>
        </w:rPr>
        <w:t xml:space="preserve"> </w:t>
      </w:r>
      <w:r>
        <w:rPr>
          <w:rFonts w:ascii="宋体" w:hAnsi="宋体" w:cs="宋体"/>
          <w:spacing w:val="9"/>
          <w:sz w:val="23"/>
          <w:szCs w:val="23"/>
        </w:rPr>
        <w:t>建筑门窗工程保险的投保对象是门窗企业为工程生产的符合保险要求的门窗产品。</w:t>
      </w:r>
    </w:p>
    <w:p>
      <w:pPr>
        <w:adjustRightInd w:val="0"/>
        <w:snapToGrid w:val="0"/>
        <w:spacing w:before="240" w:beforeLines="100" w:after="240" w:afterLines="100" w:line="360" w:lineRule="auto"/>
        <w:rPr>
          <w:rFonts w:ascii="宋体" w:hAnsi="宋体" w:cs="宋体"/>
          <w:sz w:val="23"/>
          <w:szCs w:val="23"/>
        </w:rPr>
      </w:pPr>
      <w:r>
        <w:rPr>
          <w:rFonts w:eastAsia="Times New Roman"/>
          <w:b/>
          <w:bCs/>
          <w:spacing w:val="16"/>
          <w:sz w:val="23"/>
          <w:szCs w:val="23"/>
        </w:rPr>
        <w:t>3.</w:t>
      </w:r>
      <w:r>
        <w:rPr>
          <w:rFonts w:hint="eastAsia"/>
          <w:b/>
          <w:bCs/>
          <w:spacing w:val="16"/>
          <w:sz w:val="23"/>
          <w:szCs w:val="23"/>
          <w:lang w:val="en-US" w:eastAsia="zh-CN"/>
        </w:rPr>
        <w:t>0</w:t>
      </w:r>
      <w:r>
        <w:rPr>
          <w:rFonts w:eastAsia="Times New Roman"/>
          <w:b/>
          <w:bCs/>
          <w:spacing w:val="10"/>
          <w:sz w:val="23"/>
          <w:szCs w:val="23"/>
        </w:rPr>
        <w:t>.</w:t>
      </w:r>
      <w:r>
        <w:rPr>
          <w:rFonts w:eastAsia="Times New Roman"/>
          <w:b/>
          <w:bCs/>
          <w:spacing w:val="8"/>
          <w:sz w:val="23"/>
          <w:szCs w:val="23"/>
        </w:rPr>
        <w:t>2</w:t>
      </w:r>
      <w:r>
        <w:rPr>
          <w:rFonts w:eastAsia="Times New Roman"/>
          <w:spacing w:val="8"/>
          <w:sz w:val="23"/>
          <w:szCs w:val="23"/>
        </w:rPr>
        <w:t xml:space="preserve"> </w:t>
      </w:r>
      <w:r>
        <w:rPr>
          <w:rFonts w:ascii="宋体" w:hAnsi="宋体" w:cs="宋体"/>
          <w:spacing w:val="8"/>
          <w:sz w:val="23"/>
          <w:szCs w:val="23"/>
        </w:rPr>
        <w:t>参与保险评定的建筑门窗工程，所涉及的建筑门窗应符合相应的现行国家标准、行</w:t>
      </w:r>
      <w:r>
        <w:rPr>
          <w:rFonts w:ascii="宋体" w:hAnsi="宋体" w:cs="宋体"/>
          <w:spacing w:val="10"/>
          <w:sz w:val="23"/>
          <w:szCs w:val="23"/>
        </w:rPr>
        <w:t>业标</w:t>
      </w:r>
      <w:r>
        <w:rPr>
          <w:rFonts w:ascii="宋体" w:hAnsi="宋体" w:cs="宋体"/>
          <w:spacing w:val="8"/>
          <w:sz w:val="23"/>
          <w:szCs w:val="23"/>
        </w:rPr>
        <w:t>准</w:t>
      </w:r>
      <w:r>
        <w:rPr>
          <w:rFonts w:ascii="宋体" w:hAnsi="宋体" w:cs="宋体"/>
          <w:spacing w:val="5"/>
          <w:sz w:val="23"/>
          <w:szCs w:val="23"/>
        </w:rPr>
        <w:t>、当地的地方标准或团体标准；超规范限制的项目或超本标准规定而需投保的项目，</w:t>
      </w:r>
      <w:r>
        <w:rPr>
          <w:rFonts w:ascii="宋体" w:hAnsi="宋体" w:cs="宋体"/>
          <w:spacing w:val="16"/>
          <w:sz w:val="23"/>
          <w:szCs w:val="23"/>
        </w:rPr>
        <w:t>应</w:t>
      </w:r>
      <w:r>
        <w:rPr>
          <w:rFonts w:ascii="宋体" w:hAnsi="宋体" w:cs="宋体"/>
          <w:spacing w:val="11"/>
          <w:sz w:val="23"/>
          <w:szCs w:val="23"/>
        </w:rPr>
        <w:t>按</w:t>
      </w:r>
      <w:r>
        <w:rPr>
          <w:rFonts w:ascii="宋体" w:hAnsi="宋体" w:cs="宋体"/>
          <w:spacing w:val="8"/>
          <w:sz w:val="23"/>
          <w:szCs w:val="23"/>
        </w:rPr>
        <w:t>照行业相关要求做专项论证。</w:t>
      </w:r>
    </w:p>
    <w:p>
      <w:pPr>
        <w:adjustRightInd w:val="0"/>
        <w:snapToGrid w:val="0"/>
        <w:spacing w:before="240" w:beforeLines="100" w:after="240" w:afterLines="100" w:line="360" w:lineRule="auto"/>
        <w:rPr>
          <w:rFonts w:ascii="宋体" w:hAnsi="宋体" w:cs="宋体"/>
          <w:sz w:val="23"/>
          <w:szCs w:val="23"/>
        </w:rPr>
      </w:pPr>
      <w:r>
        <w:rPr>
          <w:rFonts w:eastAsia="Times New Roman"/>
          <w:b/>
          <w:bCs/>
          <w:spacing w:val="16"/>
          <w:sz w:val="23"/>
          <w:szCs w:val="23"/>
        </w:rPr>
        <w:t>3.</w:t>
      </w:r>
      <w:r>
        <w:rPr>
          <w:rFonts w:hint="eastAsia"/>
          <w:b/>
          <w:bCs/>
          <w:spacing w:val="16"/>
          <w:sz w:val="23"/>
          <w:szCs w:val="23"/>
          <w:lang w:val="en-US" w:eastAsia="zh-CN"/>
        </w:rPr>
        <w:t>0</w:t>
      </w:r>
      <w:r>
        <w:rPr>
          <w:rFonts w:eastAsia="Times New Roman"/>
          <w:b/>
          <w:bCs/>
          <w:spacing w:val="10"/>
          <w:sz w:val="23"/>
          <w:szCs w:val="23"/>
        </w:rPr>
        <w:t>.</w:t>
      </w:r>
      <w:r>
        <w:rPr>
          <w:rFonts w:eastAsia="Times New Roman"/>
          <w:b/>
          <w:bCs/>
          <w:spacing w:val="8"/>
          <w:sz w:val="23"/>
          <w:szCs w:val="23"/>
        </w:rPr>
        <w:t>3</w:t>
      </w:r>
      <w:r>
        <w:rPr>
          <w:rFonts w:eastAsia="Times New Roman"/>
          <w:spacing w:val="8"/>
          <w:sz w:val="23"/>
          <w:szCs w:val="23"/>
        </w:rPr>
        <w:t xml:space="preserve"> </w:t>
      </w:r>
      <w:r>
        <w:rPr>
          <w:rFonts w:ascii="宋体" w:hAnsi="宋体" w:cs="宋体"/>
          <w:spacing w:val="8"/>
          <w:sz w:val="23"/>
          <w:szCs w:val="23"/>
        </w:rPr>
        <w:t>建筑门窗工程的评定宜在门窗作业的过程中进行，其中门窗设计、加工及组装的质</w:t>
      </w:r>
      <w:r>
        <w:rPr>
          <w:rFonts w:ascii="宋体" w:hAnsi="宋体" w:cs="宋体"/>
          <w:spacing w:val="18"/>
          <w:sz w:val="23"/>
          <w:szCs w:val="23"/>
        </w:rPr>
        <w:t>量</w:t>
      </w:r>
      <w:r>
        <w:rPr>
          <w:rFonts w:ascii="宋体" w:hAnsi="宋体" w:cs="宋体"/>
          <w:spacing w:val="15"/>
          <w:sz w:val="23"/>
          <w:szCs w:val="23"/>
        </w:rPr>
        <w:t>评</w:t>
      </w:r>
      <w:r>
        <w:rPr>
          <w:rFonts w:ascii="宋体" w:hAnsi="宋体" w:cs="宋体"/>
          <w:spacing w:val="9"/>
          <w:sz w:val="23"/>
          <w:szCs w:val="23"/>
        </w:rPr>
        <w:t>定可在门窗工程施工前进行，现场安装质量的评定</w:t>
      </w:r>
      <w:r>
        <w:rPr>
          <w:rFonts w:hint="eastAsia" w:ascii="宋体" w:hAnsi="宋体" w:cs="宋体"/>
          <w:spacing w:val="9"/>
          <w:sz w:val="23"/>
          <w:szCs w:val="23"/>
        </w:rPr>
        <w:t>应</w:t>
      </w:r>
      <w:r>
        <w:rPr>
          <w:rFonts w:ascii="宋体" w:hAnsi="宋体" w:cs="宋体"/>
          <w:spacing w:val="9"/>
          <w:sz w:val="23"/>
          <w:szCs w:val="23"/>
        </w:rPr>
        <w:t>在施工过程中进行。</w:t>
      </w:r>
    </w:p>
    <w:p>
      <w:pPr>
        <w:adjustRightInd w:val="0"/>
        <w:snapToGrid w:val="0"/>
        <w:spacing w:before="240" w:beforeLines="100" w:after="240" w:afterLines="100" w:line="360" w:lineRule="auto"/>
        <w:rPr>
          <w:rFonts w:ascii="宋体" w:hAnsi="宋体" w:cs="宋体"/>
          <w:sz w:val="23"/>
          <w:szCs w:val="23"/>
        </w:rPr>
      </w:pPr>
      <w:r>
        <w:rPr>
          <w:rFonts w:eastAsia="Times New Roman"/>
          <w:b/>
          <w:bCs/>
          <w:spacing w:val="16"/>
          <w:sz w:val="23"/>
          <w:szCs w:val="23"/>
        </w:rPr>
        <w:t>3.</w:t>
      </w:r>
      <w:r>
        <w:rPr>
          <w:rFonts w:hint="eastAsia"/>
          <w:b/>
          <w:bCs/>
          <w:spacing w:val="16"/>
          <w:sz w:val="23"/>
          <w:szCs w:val="23"/>
          <w:lang w:val="en-US" w:eastAsia="zh-CN"/>
        </w:rPr>
        <w:t>0</w:t>
      </w:r>
      <w:r>
        <w:rPr>
          <w:rFonts w:eastAsia="Times New Roman"/>
          <w:b/>
          <w:bCs/>
          <w:spacing w:val="10"/>
          <w:sz w:val="23"/>
          <w:szCs w:val="23"/>
        </w:rPr>
        <w:t>.</w:t>
      </w:r>
      <w:r>
        <w:rPr>
          <w:rFonts w:eastAsia="Times New Roman"/>
          <w:b/>
          <w:bCs/>
          <w:spacing w:val="8"/>
          <w:sz w:val="23"/>
          <w:szCs w:val="23"/>
        </w:rPr>
        <w:t>4</w:t>
      </w:r>
      <w:r>
        <w:rPr>
          <w:rFonts w:eastAsia="Times New Roman"/>
          <w:spacing w:val="8"/>
          <w:sz w:val="23"/>
          <w:szCs w:val="23"/>
        </w:rPr>
        <w:t xml:space="preserve"> </w:t>
      </w:r>
      <w:r>
        <w:rPr>
          <w:rFonts w:ascii="宋体" w:hAnsi="宋体" w:cs="宋体"/>
          <w:spacing w:val="8"/>
          <w:sz w:val="23"/>
          <w:szCs w:val="23"/>
        </w:rPr>
        <w:t>保险评定机构</w:t>
      </w:r>
      <w:r>
        <w:rPr>
          <w:rFonts w:hint="eastAsia" w:ascii="宋体" w:hAnsi="宋体" w:cs="宋体"/>
          <w:spacing w:val="8"/>
          <w:sz w:val="23"/>
          <w:szCs w:val="23"/>
        </w:rPr>
        <w:t>应由</w:t>
      </w:r>
      <w:r>
        <w:rPr>
          <w:rFonts w:ascii="宋体" w:hAnsi="宋体" w:cs="宋体"/>
          <w:spacing w:val="8"/>
          <w:sz w:val="23"/>
          <w:szCs w:val="23"/>
        </w:rPr>
        <w:t>保险机构</w:t>
      </w:r>
      <w:r>
        <w:rPr>
          <w:rFonts w:hint="eastAsia" w:ascii="宋体" w:hAnsi="宋体" w:cs="宋体"/>
          <w:spacing w:val="8"/>
          <w:sz w:val="23"/>
          <w:szCs w:val="23"/>
        </w:rPr>
        <w:t>指</w:t>
      </w:r>
      <w:r>
        <w:rPr>
          <w:rFonts w:ascii="宋体" w:hAnsi="宋体" w:cs="宋体"/>
          <w:spacing w:val="8"/>
          <w:sz w:val="23"/>
          <w:szCs w:val="23"/>
        </w:rPr>
        <w:t>定。</w:t>
      </w:r>
      <w:r>
        <w:rPr>
          <w:rFonts w:hint="eastAsia" w:ascii="宋体" w:hAnsi="宋体" w:cs="宋体"/>
          <w:spacing w:val="8"/>
          <w:sz w:val="23"/>
          <w:szCs w:val="23"/>
        </w:rPr>
        <w:t>保险</w:t>
      </w:r>
      <w:r>
        <w:rPr>
          <w:rFonts w:ascii="宋体" w:hAnsi="宋体" w:cs="宋体"/>
          <w:spacing w:val="8"/>
          <w:sz w:val="23"/>
          <w:szCs w:val="23"/>
        </w:rPr>
        <w:t>评定机构应按照本标准的相关要求，客观、公</w:t>
      </w:r>
      <w:r>
        <w:rPr>
          <w:rFonts w:ascii="宋体" w:hAnsi="宋体" w:cs="宋体"/>
          <w:spacing w:val="12"/>
          <w:sz w:val="23"/>
          <w:szCs w:val="23"/>
        </w:rPr>
        <w:t>正</w:t>
      </w:r>
      <w:r>
        <w:rPr>
          <w:rFonts w:ascii="宋体" w:hAnsi="宋体" w:cs="宋体"/>
          <w:spacing w:val="7"/>
          <w:sz w:val="23"/>
          <w:szCs w:val="23"/>
        </w:rPr>
        <w:t>、合理的进行评定。</w:t>
      </w:r>
    </w:p>
    <w:p>
      <w:pPr>
        <w:adjustRightInd w:val="0"/>
        <w:snapToGrid w:val="0"/>
        <w:spacing w:before="240" w:beforeLines="100" w:after="240" w:afterLines="100" w:line="360" w:lineRule="auto"/>
        <w:rPr>
          <w:rFonts w:ascii="宋体" w:hAnsi="宋体" w:cs="宋体"/>
          <w:sz w:val="23"/>
          <w:szCs w:val="23"/>
        </w:rPr>
      </w:pPr>
      <w:r>
        <w:rPr>
          <w:rFonts w:eastAsia="Times New Roman"/>
          <w:b/>
          <w:bCs/>
          <w:spacing w:val="16"/>
          <w:sz w:val="23"/>
          <w:szCs w:val="23"/>
        </w:rPr>
        <w:t>3</w:t>
      </w:r>
      <w:r>
        <w:rPr>
          <w:rFonts w:eastAsia="Times New Roman"/>
          <w:b/>
          <w:bCs/>
          <w:spacing w:val="12"/>
          <w:sz w:val="23"/>
          <w:szCs w:val="23"/>
        </w:rPr>
        <w:t>.</w:t>
      </w:r>
      <w:r>
        <w:rPr>
          <w:rFonts w:hint="eastAsia"/>
          <w:b/>
          <w:bCs/>
          <w:spacing w:val="8"/>
          <w:sz w:val="23"/>
          <w:szCs w:val="23"/>
          <w:lang w:val="en-US" w:eastAsia="zh-CN"/>
        </w:rPr>
        <w:t>0</w:t>
      </w:r>
      <w:r>
        <w:rPr>
          <w:rFonts w:eastAsia="Times New Roman"/>
          <w:b/>
          <w:bCs/>
          <w:spacing w:val="8"/>
          <w:sz w:val="23"/>
          <w:szCs w:val="23"/>
        </w:rPr>
        <w:t>.5</w:t>
      </w:r>
      <w:r>
        <w:rPr>
          <w:rFonts w:eastAsia="Times New Roman"/>
          <w:spacing w:val="8"/>
          <w:sz w:val="23"/>
          <w:szCs w:val="23"/>
        </w:rPr>
        <w:t xml:space="preserve"> </w:t>
      </w:r>
      <w:r>
        <w:rPr>
          <w:rFonts w:ascii="宋体" w:hAnsi="宋体" w:cs="宋体"/>
          <w:spacing w:val="8"/>
          <w:sz w:val="23"/>
          <w:szCs w:val="23"/>
        </w:rPr>
        <w:t>门窗工程保险中的评定支持机构应为具有门窗检测资质的第三方检测机构。</w:t>
      </w:r>
    </w:p>
    <w:p>
      <w:pPr>
        <w:adjustRightInd w:val="0"/>
        <w:snapToGrid w:val="0"/>
        <w:spacing w:before="240" w:beforeLines="100" w:after="240" w:afterLines="100" w:line="360" w:lineRule="auto"/>
        <w:rPr>
          <w:rFonts w:ascii="宋体" w:hAnsi="宋体" w:cs="宋体"/>
          <w:sz w:val="23"/>
          <w:szCs w:val="23"/>
        </w:rPr>
      </w:pPr>
      <w:r>
        <w:rPr>
          <w:rFonts w:eastAsia="Times New Roman"/>
          <w:b/>
          <w:bCs/>
          <w:spacing w:val="16"/>
          <w:sz w:val="23"/>
          <w:szCs w:val="23"/>
        </w:rPr>
        <w:t>3.</w:t>
      </w:r>
      <w:r>
        <w:rPr>
          <w:rFonts w:hint="eastAsia"/>
          <w:b/>
          <w:bCs/>
          <w:spacing w:val="16"/>
          <w:sz w:val="23"/>
          <w:szCs w:val="23"/>
          <w:lang w:val="en-US" w:eastAsia="zh-CN"/>
        </w:rPr>
        <w:t>0</w:t>
      </w:r>
      <w:r>
        <w:rPr>
          <w:rFonts w:eastAsia="Times New Roman"/>
          <w:b/>
          <w:bCs/>
          <w:spacing w:val="10"/>
          <w:sz w:val="23"/>
          <w:szCs w:val="23"/>
        </w:rPr>
        <w:t>.</w:t>
      </w:r>
      <w:r>
        <w:rPr>
          <w:rFonts w:eastAsia="Times New Roman"/>
          <w:b/>
          <w:bCs/>
          <w:spacing w:val="8"/>
          <w:sz w:val="23"/>
          <w:szCs w:val="23"/>
        </w:rPr>
        <w:t>6</w:t>
      </w:r>
      <w:r>
        <w:rPr>
          <w:rFonts w:eastAsia="Times New Roman"/>
          <w:spacing w:val="8"/>
          <w:sz w:val="23"/>
          <w:szCs w:val="23"/>
        </w:rPr>
        <w:t xml:space="preserve"> </w:t>
      </w:r>
      <w:r>
        <w:rPr>
          <w:rFonts w:ascii="宋体" w:hAnsi="宋体" w:cs="宋体"/>
          <w:spacing w:val="8"/>
          <w:sz w:val="23"/>
          <w:szCs w:val="23"/>
        </w:rPr>
        <w:t>评定机构应按本标准的有关要求，对申请评定方提交的资料进行审查，并应进行现</w:t>
      </w:r>
      <w:r>
        <w:rPr>
          <w:rFonts w:ascii="宋体" w:hAnsi="宋体" w:cs="宋体"/>
          <w:spacing w:val="9"/>
          <w:sz w:val="23"/>
          <w:szCs w:val="23"/>
        </w:rPr>
        <w:t>场查验，出具评定报告</w:t>
      </w:r>
      <w:r>
        <w:rPr>
          <w:rFonts w:hint="eastAsia" w:ascii="宋体" w:hAnsi="宋体" w:cs="宋体"/>
          <w:spacing w:val="9"/>
          <w:sz w:val="23"/>
          <w:szCs w:val="23"/>
        </w:rPr>
        <w:t>并</w:t>
      </w:r>
      <w:r>
        <w:rPr>
          <w:rFonts w:ascii="宋体" w:hAnsi="宋体" w:cs="宋体"/>
          <w:spacing w:val="9"/>
          <w:sz w:val="23"/>
          <w:szCs w:val="23"/>
        </w:rPr>
        <w:t>确定</w:t>
      </w:r>
      <w:r>
        <w:rPr>
          <w:rFonts w:hint="eastAsia" w:ascii="宋体" w:hAnsi="宋体" w:cs="宋体"/>
          <w:spacing w:val="9"/>
          <w:sz w:val="23"/>
          <w:szCs w:val="23"/>
        </w:rPr>
        <w:t>保险评定</w:t>
      </w:r>
      <w:r>
        <w:rPr>
          <w:rFonts w:ascii="宋体" w:hAnsi="宋体" w:cs="宋体"/>
          <w:spacing w:val="9"/>
          <w:sz w:val="23"/>
          <w:szCs w:val="23"/>
        </w:rPr>
        <w:t>等级</w:t>
      </w:r>
      <w:r>
        <w:rPr>
          <w:rFonts w:ascii="宋体" w:hAnsi="宋体" w:cs="宋体"/>
          <w:spacing w:val="6"/>
          <w:sz w:val="23"/>
          <w:szCs w:val="23"/>
        </w:rPr>
        <w:t>。</w:t>
      </w:r>
    </w:p>
    <w:p>
      <w:pPr>
        <w:pStyle w:val="70"/>
        <w:numPr>
          <w:ilvl w:val="0"/>
          <w:numId w:val="0"/>
        </w:numPr>
        <w:adjustRightInd w:val="0"/>
        <w:snapToGrid w:val="0"/>
        <w:spacing w:before="240" w:after="240" w:line="360" w:lineRule="auto"/>
        <w:outlineLvl w:val="9"/>
        <w:rPr>
          <w:rFonts w:ascii="宋体" w:hAnsi="宋体" w:eastAsia="宋体" w:cs="宋体"/>
          <w:sz w:val="24"/>
          <w:szCs w:val="24"/>
        </w:rPr>
      </w:pPr>
      <w:r>
        <w:rPr>
          <w:rFonts w:ascii="Times New Roman" w:eastAsia="Times New Roman"/>
          <w:b/>
          <w:bCs/>
          <w:spacing w:val="16"/>
          <w:sz w:val="23"/>
          <w:szCs w:val="23"/>
        </w:rPr>
        <w:t>3.</w:t>
      </w:r>
      <w:r>
        <w:rPr>
          <w:rFonts w:hint="eastAsia" w:ascii="Times New Roman" w:eastAsia="宋体"/>
          <w:b/>
          <w:bCs/>
          <w:spacing w:val="16"/>
          <w:sz w:val="23"/>
          <w:szCs w:val="23"/>
          <w:lang w:val="en-US" w:eastAsia="zh-CN"/>
        </w:rPr>
        <w:t>0</w:t>
      </w:r>
      <w:r>
        <w:rPr>
          <w:rFonts w:ascii="Times New Roman" w:eastAsia="Times New Roman"/>
          <w:b/>
          <w:bCs/>
          <w:spacing w:val="10"/>
          <w:sz w:val="23"/>
          <w:szCs w:val="23"/>
        </w:rPr>
        <w:t>.</w:t>
      </w:r>
      <w:r>
        <w:rPr>
          <w:rFonts w:ascii="Times New Roman" w:eastAsia="Times New Roman"/>
          <w:b/>
          <w:bCs/>
          <w:spacing w:val="8"/>
          <w:sz w:val="23"/>
          <w:szCs w:val="23"/>
        </w:rPr>
        <w:t>7</w:t>
      </w:r>
      <w:r>
        <w:rPr>
          <w:rFonts w:ascii="Times New Roman" w:eastAsia="Times New Roman"/>
          <w:spacing w:val="8"/>
          <w:sz w:val="23"/>
          <w:szCs w:val="23"/>
        </w:rPr>
        <w:t xml:space="preserve"> </w:t>
      </w:r>
      <w:r>
        <w:rPr>
          <w:rFonts w:ascii="宋体" w:hAnsi="宋体" w:eastAsia="宋体" w:cs="宋体"/>
          <w:spacing w:val="8"/>
          <w:sz w:val="23"/>
          <w:szCs w:val="23"/>
        </w:rPr>
        <w:t>保险公司对门窗工程有除本标准指定内容外的特殊评定内容，可根据具体要求另行</w:t>
      </w:r>
      <w:r>
        <w:rPr>
          <w:rFonts w:ascii="宋体" w:hAnsi="宋体" w:eastAsia="宋体" w:cs="宋体"/>
          <w:spacing w:val="2"/>
          <w:sz w:val="23"/>
          <w:szCs w:val="23"/>
        </w:rPr>
        <w:t>商定</w:t>
      </w:r>
      <w:r>
        <w:rPr>
          <w:rFonts w:ascii="宋体" w:hAnsi="宋体" w:eastAsia="宋体" w:cs="宋体"/>
          <w:spacing w:val="1"/>
          <w:sz w:val="23"/>
          <w:szCs w:val="23"/>
        </w:rPr>
        <w:t>。</w:t>
      </w:r>
    </w:p>
    <w:p>
      <w:pPr>
        <w:adjustRightInd w:val="0"/>
        <w:snapToGrid w:val="0"/>
        <w:spacing w:before="240" w:beforeLines="100" w:after="240" w:afterLines="100" w:line="360" w:lineRule="auto"/>
        <w:rPr>
          <w:rFonts w:ascii="宋体" w:hAnsi="宋体" w:cs="宋体"/>
          <w:sz w:val="23"/>
          <w:szCs w:val="23"/>
        </w:rPr>
      </w:pPr>
      <w:bookmarkStart w:id="42" w:name="_Toc8649"/>
      <w:bookmarkStart w:id="43" w:name="_Toc24538"/>
      <w:r>
        <w:rPr>
          <w:rFonts w:eastAsia="Times New Roman"/>
          <w:b/>
          <w:bCs/>
          <w:spacing w:val="11"/>
          <w:sz w:val="23"/>
          <w:szCs w:val="23"/>
        </w:rPr>
        <w:t>3</w:t>
      </w:r>
      <w:r>
        <w:rPr>
          <w:rFonts w:eastAsia="Times New Roman"/>
          <w:b/>
          <w:bCs/>
          <w:spacing w:val="7"/>
          <w:sz w:val="23"/>
          <w:szCs w:val="23"/>
        </w:rPr>
        <w:t>.</w:t>
      </w:r>
      <w:r>
        <w:rPr>
          <w:rFonts w:hint="eastAsia"/>
          <w:b/>
          <w:bCs/>
          <w:spacing w:val="7"/>
          <w:sz w:val="23"/>
          <w:szCs w:val="23"/>
          <w:lang w:val="en-US" w:eastAsia="zh-CN"/>
        </w:rPr>
        <w:t>0</w:t>
      </w:r>
      <w:r>
        <w:rPr>
          <w:rFonts w:eastAsia="Times New Roman"/>
          <w:b/>
          <w:bCs/>
          <w:spacing w:val="7"/>
          <w:sz w:val="23"/>
          <w:szCs w:val="23"/>
        </w:rPr>
        <w:t>.</w:t>
      </w:r>
      <w:r>
        <w:rPr>
          <w:rFonts w:hint="eastAsia"/>
          <w:b/>
          <w:bCs/>
          <w:spacing w:val="7"/>
          <w:sz w:val="23"/>
          <w:szCs w:val="23"/>
          <w:lang w:val="en-US" w:eastAsia="zh-CN"/>
        </w:rPr>
        <w:t>8</w:t>
      </w:r>
      <w:r>
        <w:rPr>
          <w:rFonts w:eastAsia="Times New Roman"/>
          <w:spacing w:val="7"/>
          <w:sz w:val="23"/>
          <w:szCs w:val="23"/>
        </w:rPr>
        <w:t xml:space="preserve"> </w:t>
      </w:r>
      <w:r>
        <w:rPr>
          <w:rFonts w:ascii="宋体" w:hAnsi="宋体" w:cs="宋体"/>
          <w:spacing w:val="7"/>
          <w:sz w:val="23"/>
          <w:szCs w:val="23"/>
        </w:rPr>
        <w:t>建筑门窗保险</w:t>
      </w:r>
      <w:r>
        <w:rPr>
          <w:rFonts w:hint="eastAsia" w:ascii="宋体" w:hAnsi="宋体" w:cs="宋体"/>
          <w:spacing w:val="7"/>
          <w:sz w:val="23"/>
          <w:szCs w:val="23"/>
        </w:rPr>
        <w:t>的</w:t>
      </w:r>
      <w:r>
        <w:rPr>
          <w:rFonts w:ascii="宋体" w:hAnsi="宋体" w:cs="宋体"/>
          <w:spacing w:val="7"/>
          <w:sz w:val="23"/>
          <w:szCs w:val="23"/>
        </w:rPr>
        <w:t>评定应按下列程序进行：</w:t>
      </w:r>
    </w:p>
    <w:p>
      <w:pPr>
        <w:adjustRightInd w:val="0"/>
        <w:snapToGrid w:val="0"/>
        <w:spacing w:before="240" w:beforeLines="100" w:after="240" w:afterLines="100" w:line="360" w:lineRule="auto"/>
        <w:ind w:firstLine="516" w:firstLineChars="200"/>
        <w:rPr>
          <w:rFonts w:ascii="宋体" w:hAnsi="宋体" w:cs="宋体"/>
          <w:sz w:val="23"/>
          <w:szCs w:val="23"/>
        </w:rPr>
      </w:pPr>
      <w:r>
        <w:rPr>
          <w:rFonts w:eastAsia="Times New Roman"/>
          <w:spacing w:val="14"/>
          <w:sz w:val="23"/>
          <w:szCs w:val="23"/>
        </w:rPr>
        <w:t>1</w:t>
      </w:r>
      <w:r>
        <w:rPr>
          <w:rFonts w:eastAsia="Times New Roman"/>
          <w:spacing w:val="8"/>
          <w:sz w:val="23"/>
          <w:szCs w:val="23"/>
        </w:rPr>
        <w:t xml:space="preserve"> </w:t>
      </w:r>
      <w:r>
        <w:rPr>
          <w:rFonts w:ascii="宋体" w:hAnsi="宋体" w:cs="宋体"/>
          <w:spacing w:val="7"/>
          <w:sz w:val="23"/>
          <w:szCs w:val="23"/>
        </w:rPr>
        <w:t>由投保人 (门窗企业) 向保险经纪或保险公司提出投保需求；</w:t>
      </w:r>
    </w:p>
    <w:p>
      <w:pPr>
        <w:adjustRightInd w:val="0"/>
        <w:snapToGrid w:val="0"/>
        <w:spacing w:before="240" w:beforeLines="100" w:after="240" w:afterLines="100" w:line="360" w:lineRule="auto"/>
        <w:ind w:firstLine="524" w:firstLineChars="200"/>
        <w:rPr>
          <w:rFonts w:ascii="宋体" w:hAnsi="宋体" w:cs="宋体"/>
          <w:sz w:val="23"/>
          <w:szCs w:val="23"/>
        </w:rPr>
      </w:pPr>
      <w:r>
        <w:rPr>
          <w:rFonts w:eastAsia="Times New Roman"/>
          <w:spacing w:val="16"/>
          <w:sz w:val="23"/>
          <w:szCs w:val="23"/>
        </w:rPr>
        <w:t xml:space="preserve">2 </w:t>
      </w:r>
      <w:r>
        <w:rPr>
          <w:rFonts w:hint="eastAsia"/>
          <w:spacing w:val="16"/>
          <w:sz w:val="23"/>
          <w:szCs w:val="23"/>
        </w:rPr>
        <w:t>保险公司</w:t>
      </w:r>
      <w:r>
        <w:rPr>
          <w:rFonts w:ascii="宋体" w:hAnsi="宋体" w:cs="宋体"/>
          <w:spacing w:val="8"/>
          <w:sz w:val="23"/>
          <w:szCs w:val="23"/>
        </w:rPr>
        <w:t>委托评定机构制定核查方案</w:t>
      </w:r>
      <w:r>
        <w:rPr>
          <w:rFonts w:hint="eastAsia" w:ascii="宋体" w:hAnsi="宋体" w:cs="宋体"/>
          <w:spacing w:val="8"/>
          <w:sz w:val="23"/>
          <w:szCs w:val="23"/>
        </w:rPr>
        <w:t>。评定机构根据核查方案要求对投保产品进行风险评定并</w:t>
      </w:r>
      <w:r>
        <w:rPr>
          <w:rFonts w:ascii="宋体" w:hAnsi="宋体" w:cs="宋体"/>
          <w:spacing w:val="8"/>
          <w:sz w:val="23"/>
          <w:szCs w:val="23"/>
        </w:rPr>
        <w:t>提供风险报告；</w:t>
      </w:r>
    </w:p>
    <w:p>
      <w:pPr>
        <w:adjustRightInd w:val="0"/>
        <w:snapToGrid w:val="0"/>
        <w:spacing w:before="240" w:beforeLines="100" w:after="240" w:afterLines="100" w:line="360" w:lineRule="auto"/>
        <w:ind w:firstLine="524" w:firstLineChars="200"/>
        <w:rPr>
          <w:rFonts w:ascii="宋体" w:hAnsi="宋体" w:cs="宋体"/>
          <w:sz w:val="23"/>
          <w:szCs w:val="23"/>
        </w:rPr>
      </w:pPr>
      <w:r>
        <w:rPr>
          <w:rFonts w:eastAsia="Times New Roman"/>
          <w:spacing w:val="16"/>
          <w:sz w:val="23"/>
          <w:szCs w:val="23"/>
        </w:rPr>
        <w:t>3</w:t>
      </w:r>
      <w:r>
        <w:rPr>
          <w:rFonts w:eastAsia="Times New Roman"/>
          <w:spacing w:val="15"/>
          <w:sz w:val="23"/>
          <w:szCs w:val="23"/>
        </w:rPr>
        <w:t xml:space="preserve"> </w:t>
      </w:r>
      <w:r>
        <w:rPr>
          <w:rFonts w:ascii="宋体" w:hAnsi="宋体" w:cs="宋体"/>
          <w:spacing w:val="8"/>
          <w:sz w:val="23"/>
          <w:szCs w:val="23"/>
        </w:rPr>
        <w:t>评定机构出具风险报告后由保险公司报价及承保，投保人确认投保；</w:t>
      </w:r>
    </w:p>
    <w:p>
      <w:pPr>
        <w:adjustRightInd w:val="0"/>
        <w:snapToGrid w:val="0"/>
        <w:spacing w:before="240" w:beforeLines="100" w:after="240" w:afterLines="100" w:line="360" w:lineRule="auto"/>
        <w:ind w:firstLine="516" w:firstLineChars="200"/>
        <w:rPr>
          <w:rFonts w:ascii="宋体" w:hAnsi="宋体" w:cs="宋体"/>
          <w:spacing w:val="7"/>
          <w:sz w:val="23"/>
          <w:szCs w:val="23"/>
        </w:rPr>
      </w:pPr>
      <w:r>
        <w:rPr>
          <w:rFonts w:eastAsia="Times New Roman"/>
          <w:spacing w:val="14"/>
          <w:sz w:val="23"/>
          <w:szCs w:val="23"/>
        </w:rPr>
        <w:t>4</w:t>
      </w:r>
      <w:r>
        <w:rPr>
          <w:rFonts w:eastAsia="Times New Roman"/>
          <w:spacing w:val="8"/>
          <w:sz w:val="23"/>
          <w:szCs w:val="23"/>
        </w:rPr>
        <w:t xml:space="preserve"> </w:t>
      </w:r>
      <w:r>
        <w:rPr>
          <w:rFonts w:ascii="宋体" w:hAnsi="宋体" w:cs="宋体"/>
          <w:spacing w:val="7"/>
          <w:sz w:val="23"/>
          <w:szCs w:val="23"/>
        </w:rPr>
        <w:t>核保通过，保险公司出具保单；</w:t>
      </w:r>
    </w:p>
    <w:p>
      <w:pPr>
        <w:adjustRightInd w:val="0"/>
        <w:snapToGrid w:val="0"/>
        <w:spacing w:before="240" w:beforeLines="100" w:after="240" w:afterLines="100" w:line="360" w:lineRule="auto"/>
        <w:ind w:firstLine="504" w:firstLineChars="200"/>
        <w:rPr>
          <w:rFonts w:cs="宋体"/>
          <w:sz w:val="24"/>
        </w:rPr>
      </w:pPr>
      <w:r>
        <w:rPr>
          <w:rFonts w:eastAsia="Times New Roman"/>
          <w:spacing w:val="11"/>
          <w:sz w:val="23"/>
          <w:szCs w:val="23"/>
        </w:rPr>
        <w:t>5</w:t>
      </w:r>
      <w:r>
        <w:rPr>
          <w:rFonts w:eastAsia="Times New Roman"/>
          <w:spacing w:val="7"/>
          <w:sz w:val="23"/>
          <w:szCs w:val="23"/>
        </w:rPr>
        <w:t xml:space="preserve"> </w:t>
      </w:r>
      <w:r>
        <w:rPr>
          <w:rFonts w:ascii="宋体" w:hAnsi="宋体" w:cs="宋体"/>
          <w:spacing w:val="7"/>
          <w:sz w:val="23"/>
          <w:szCs w:val="23"/>
        </w:rPr>
        <w:t>投保人支付保费，保险生效</w:t>
      </w:r>
      <w:r>
        <w:rPr>
          <w:rFonts w:hint="eastAsia" w:ascii="宋体" w:hAnsi="宋体" w:cs="宋体"/>
          <w:spacing w:val="7"/>
          <w:sz w:val="23"/>
          <w:szCs w:val="23"/>
        </w:rPr>
        <w:t>。</w:t>
      </w:r>
      <w:r>
        <w:rPr>
          <w:sz w:val="24"/>
        </w:rPr>
        <mc:AlternateContent>
          <mc:Choice Requires="wpg">
            <w:drawing>
              <wp:anchor distT="0" distB="0" distL="114300" distR="114300" simplePos="0" relativeHeight="251667456" behindDoc="0" locked="0" layoutInCell="1" allowOverlap="1">
                <wp:simplePos x="0" y="0"/>
                <wp:positionH relativeFrom="column">
                  <wp:posOffset>318135</wp:posOffset>
                </wp:positionH>
                <wp:positionV relativeFrom="paragraph">
                  <wp:posOffset>449580</wp:posOffset>
                </wp:positionV>
                <wp:extent cx="4857750" cy="2927985"/>
                <wp:effectExtent l="4445" t="0" r="14605" b="13335"/>
                <wp:wrapTopAndBottom/>
                <wp:docPr id="5" name="组合 5"/>
                <wp:cNvGraphicFramePr/>
                <a:graphic xmlns:a="http://schemas.openxmlformats.org/drawingml/2006/main">
                  <a:graphicData uri="http://schemas.microsoft.com/office/word/2010/wordprocessingGroup">
                    <wpg:wgp>
                      <wpg:cNvGrpSpPr/>
                      <wpg:grpSpPr>
                        <a:xfrm>
                          <a:off x="0" y="0"/>
                          <a:ext cx="4857750" cy="2928620"/>
                          <a:chOff x="2366" y="126199"/>
                          <a:chExt cx="7650" cy="4612"/>
                        </a:xfrm>
                      </wpg:grpSpPr>
                      <wps:wsp>
                        <wps:cNvPr id="29" name="文本框 29"/>
                        <wps:cNvSpPr txBox="1"/>
                        <wps:spPr>
                          <a:xfrm>
                            <a:off x="2366" y="127387"/>
                            <a:ext cx="1800" cy="1000"/>
                          </a:xfrm>
                          <a:prstGeom prst="rect">
                            <a:avLst/>
                          </a:prstGeom>
                          <a:solidFill>
                            <a:schemeClr val="accent1"/>
                          </a:solidFill>
                          <a:ln w="6350">
                            <a:solidFill>
                              <a:schemeClr val="tx1"/>
                            </a:solidFill>
                          </a:ln>
                        </wps:spPr>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门窗集成或零部件生产企业、安装企业、销售商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5793" y="126494"/>
                            <a:ext cx="1156" cy="391"/>
                          </a:xfrm>
                          <a:prstGeom prst="rect">
                            <a:avLst/>
                          </a:prstGeom>
                          <a:solidFill>
                            <a:srgbClr val="FFC000"/>
                          </a:solidFill>
                          <a:ln w="6350">
                            <a:solidFill>
                              <a:prstClr val="black"/>
                            </a:solidFill>
                          </a:ln>
                        </wps:spPr>
                        <wps:txbx>
                          <w:txbxContent>
                            <w:p>
                              <w:r>
                                <w:rPr>
                                  <w:rFonts w:hint="eastAsia"/>
                                </w:rPr>
                                <w:t>保险经纪</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5154" y="127653"/>
                            <a:ext cx="1191" cy="417"/>
                          </a:xfrm>
                          <a:prstGeom prst="rect">
                            <a:avLst/>
                          </a:prstGeom>
                          <a:solidFill>
                            <a:schemeClr val="accent2"/>
                          </a:solidFill>
                          <a:ln w="6350">
                            <a:solidFill>
                              <a:prstClr val="black"/>
                            </a:solidFill>
                          </a:ln>
                        </wps:spPr>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评定机构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30"/>
                        <wps:cNvSpPr txBox="1"/>
                        <wps:spPr>
                          <a:xfrm>
                            <a:off x="5131" y="129784"/>
                            <a:ext cx="1173" cy="400"/>
                          </a:xfrm>
                          <a:prstGeom prst="rect">
                            <a:avLst/>
                          </a:prstGeom>
                          <a:solidFill>
                            <a:srgbClr val="92D050"/>
                          </a:solidFill>
                          <a:ln w="6350">
                            <a:solidFill>
                              <a:prstClr val="black"/>
                            </a:solidFill>
                          </a:ln>
                        </wps:spPr>
                        <wps:txbx>
                          <w:txbxContent>
                            <w:p>
                              <w:r>
                                <w:rPr>
                                  <w:rFonts w:hint="eastAsia"/>
                                </w:rPr>
                                <w:t>检测机构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8830" y="127637"/>
                            <a:ext cx="1186" cy="417"/>
                          </a:xfrm>
                          <a:prstGeom prst="rect">
                            <a:avLst/>
                          </a:prstGeom>
                          <a:solidFill>
                            <a:srgbClr val="FFFF00"/>
                          </a:solidFill>
                          <a:ln w="6350">
                            <a:solidFill>
                              <a:prstClr val="black"/>
                            </a:solidFill>
                          </a:ln>
                        </wps:spPr>
                        <wps:txbx>
                          <w:txbxContent>
                            <w:p>
                              <w:r>
                                <w:rPr>
                                  <w:rFonts w:hint="eastAsia"/>
                                </w:rPr>
                                <w:t>保险公司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直线箭头连接符 78"/>
                        <wps:cNvCnPr/>
                        <wps:spPr>
                          <a:xfrm flipV="1">
                            <a:off x="3269" y="126690"/>
                            <a:ext cx="2493" cy="700"/>
                          </a:xfrm>
                          <a:prstGeom prst="bentConnector3">
                            <a:avLst>
                              <a:gd name="adj1" fmla="val 261"/>
                            </a:avLst>
                          </a:prstGeom>
                          <a:ln>
                            <a:bevel/>
                            <a:tailEnd type="triangle"/>
                          </a:ln>
                        </wps:spPr>
                        <wps:style>
                          <a:lnRef idx="1">
                            <a:schemeClr val="accent1"/>
                          </a:lnRef>
                          <a:fillRef idx="0">
                            <a:schemeClr val="accent1"/>
                          </a:fillRef>
                          <a:effectRef idx="0">
                            <a:schemeClr val="accent1"/>
                          </a:effectRef>
                          <a:fontRef idx="minor">
                            <a:schemeClr val="tx1"/>
                          </a:fontRef>
                        </wps:style>
                        <wps:bodyPr/>
                      </wps:wsp>
                      <wps:wsp>
                        <wps:cNvPr id="97" name="直线箭头连接符 97"/>
                        <wps:cNvCnPr/>
                        <wps:spPr>
                          <a:xfrm>
                            <a:off x="6949" y="126678"/>
                            <a:ext cx="2427" cy="960"/>
                          </a:xfrm>
                          <a:prstGeom prst="bentConnector3">
                            <a:avLst>
                              <a:gd name="adj1" fmla="val 9997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0" name="直线连接符 100"/>
                        <wps:cNvCnPr/>
                        <wps:spPr>
                          <a:xfrm>
                            <a:off x="6345" y="127775"/>
                            <a:ext cx="2488"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1" name="直线连接符 101"/>
                        <wps:cNvCnPr/>
                        <wps:spPr>
                          <a:xfrm>
                            <a:off x="5709" y="128051"/>
                            <a:ext cx="0" cy="1733"/>
                          </a:xfrm>
                          <a:prstGeom prst="line">
                            <a:avLst/>
                          </a:prstGeom>
                          <a:ln>
                            <a:headEnd type="triangle"/>
                          </a:ln>
                        </wps:spPr>
                        <wps:style>
                          <a:lnRef idx="1">
                            <a:schemeClr val="accent1"/>
                          </a:lnRef>
                          <a:fillRef idx="0">
                            <a:schemeClr val="accent1"/>
                          </a:fillRef>
                          <a:effectRef idx="0">
                            <a:schemeClr val="accent1"/>
                          </a:effectRef>
                          <a:fontRef idx="minor">
                            <a:schemeClr val="tx1"/>
                          </a:fontRef>
                        </wps:style>
                        <wps:bodyPr/>
                      </wps:wsp>
                      <wps:wsp>
                        <wps:cNvPr id="102" name="直线连接符 102"/>
                        <wps:cNvCnPr/>
                        <wps:spPr>
                          <a:xfrm flipH="1">
                            <a:off x="3256" y="128384"/>
                            <a:ext cx="7" cy="2427"/>
                          </a:xfrm>
                          <a:prstGeom prst="line">
                            <a:avLst/>
                          </a:prstGeom>
                          <a:ln>
                            <a:headEnd type="triangle"/>
                          </a:ln>
                        </wps:spPr>
                        <wps:style>
                          <a:lnRef idx="1">
                            <a:schemeClr val="accent1"/>
                          </a:lnRef>
                          <a:fillRef idx="0">
                            <a:schemeClr val="accent1"/>
                          </a:fillRef>
                          <a:effectRef idx="0">
                            <a:schemeClr val="accent1"/>
                          </a:effectRef>
                          <a:fontRef idx="minor">
                            <a:schemeClr val="tx1"/>
                          </a:fontRef>
                        </wps:style>
                        <wps:bodyPr/>
                      </wps:wsp>
                      <wps:wsp>
                        <wps:cNvPr id="103" name="直线连接符 103"/>
                        <wps:cNvCnPr/>
                        <wps:spPr>
                          <a:xfrm>
                            <a:off x="3255" y="130809"/>
                            <a:ext cx="610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4" name="直线连接符 104"/>
                        <wps:cNvCnPr/>
                        <wps:spPr>
                          <a:xfrm flipH="1">
                            <a:off x="9376" y="128051"/>
                            <a:ext cx="14" cy="27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5" name="文本框 105"/>
                        <wps:cNvSpPr txBox="1"/>
                        <wps:spPr>
                          <a:xfrm>
                            <a:off x="3269" y="126199"/>
                            <a:ext cx="1558" cy="458"/>
                          </a:xfrm>
                          <a:prstGeom prst="rect">
                            <a:avLst/>
                          </a:prstGeom>
                          <a:solidFill>
                            <a:schemeClr val="lt1"/>
                          </a:solidFill>
                          <a:ln w="6350">
                            <a:noFill/>
                          </a:ln>
                        </wps:spPr>
                        <wps:txbx>
                          <w:txbxContent>
                            <w:p>
                              <w:r>
                                <w:rPr>
                                  <w:rFonts w:hint="eastAsia"/>
                                </w:rPr>
                                <w:t>提出投保需求</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06" name="文本框 106"/>
                        <wps:cNvSpPr txBox="1"/>
                        <wps:spPr>
                          <a:xfrm>
                            <a:off x="7349" y="126215"/>
                            <a:ext cx="1348" cy="440"/>
                          </a:xfrm>
                          <a:prstGeom prst="rect">
                            <a:avLst/>
                          </a:prstGeom>
                          <a:solidFill>
                            <a:schemeClr val="lt1"/>
                          </a:solidFill>
                          <a:ln w="6350">
                            <a:noFill/>
                          </a:ln>
                        </wps:spPr>
                        <wps:txbx>
                          <w:txbxContent>
                            <w:p>
                              <w:r>
                                <w:rPr>
                                  <w:rFonts w:hint="eastAsia"/>
                                </w:rPr>
                                <w:t>询价及投保</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25" name="文本框 125"/>
                        <wps:cNvSpPr txBox="1"/>
                        <wps:spPr>
                          <a:xfrm>
                            <a:off x="5820" y="128251"/>
                            <a:ext cx="573" cy="1414"/>
                          </a:xfrm>
                          <a:prstGeom prst="rect">
                            <a:avLst/>
                          </a:prstGeom>
                          <a:solidFill>
                            <a:schemeClr val="lt1"/>
                          </a:solidFill>
                          <a:ln w="6350">
                            <a:noFill/>
                          </a:ln>
                        </wps:spPr>
                        <wps:txbx>
                          <w:txbxContent>
                            <w:p>
                              <w:r>
                                <w:rPr>
                                  <w:rFonts w:hint="eastAsia"/>
                                </w:rPr>
                                <w:t>提供检测数据</w:t>
                              </w:r>
                            </w:p>
                          </w:txbxContent>
                        </wps:txbx>
                        <wps:bodyPr rot="0" spcFirstLastPara="0" vertOverflow="overflow" horzOverflow="overflow" vert="eaVert" wrap="none" lIns="91440" tIns="45720" rIns="91440" bIns="45720" numCol="1" spcCol="0" rtlCol="0" fromWordArt="0" anchor="t" anchorCtr="0" forceAA="0" compatLnSpc="1">
                          <a:noAutofit/>
                        </wps:bodyPr>
                      </wps:wsp>
                      <wps:wsp>
                        <wps:cNvPr id="126" name="文本框 126"/>
                        <wps:cNvSpPr txBox="1"/>
                        <wps:spPr>
                          <a:xfrm>
                            <a:off x="6591" y="127257"/>
                            <a:ext cx="1978" cy="393"/>
                          </a:xfrm>
                          <a:prstGeom prst="rect">
                            <a:avLst/>
                          </a:prstGeom>
                          <a:solidFill>
                            <a:schemeClr val="lt1"/>
                          </a:solidFill>
                          <a:ln w="6350">
                            <a:noFill/>
                          </a:ln>
                        </wps:spPr>
                        <wps:txbx>
                          <w:txbxContent>
                            <w:p>
                              <w:r>
                                <w:rPr>
                                  <w:rFonts w:hint="eastAsia"/>
                                </w:rPr>
                                <w:t>提供风险评估报告</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27" name="文本框 127"/>
                        <wps:cNvSpPr txBox="1"/>
                        <wps:spPr>
                          <a:xfrm>
                            <a:off x="7149" y="130344"/>
                            <a:ext cx="2147" cy="399"/>
                          </a:xfrm>
                          <a:prstGeom prst="rect">
                            <a:avLst/>
                          </a:prstGeom>
                          <a:solidFill>
                            <a:schemeClr val="lt1"/>
                          </a:solidFill>
                          <a:ln w="6350">
                            <a:noFill/>
                          </a:ln>
                        </wps:spPr>
                        <wps:txbx>
                          <w:txbxContent>
                            <w:p>
                              <w:r>
                                <w:rPr>
                                  <w:rFonts w:hint="eastAsia"/>
                                </w:rPr>
                                <w:t>核保通过，出具保单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直线连接符 70"/>
                        <wps:cNvCnPr/>
                        <wps:spPr>
                          <a:xfrm>
                            <a:off x="6336" y="127970"/>
                            <a:ext cx="2487" cy="0"/>
                          </a:xfrm>
                          <a:prstGeom prst="line">
                            <a:avLst/>
                          </a:prstGeom>
                          <a:ln>
                            <a:headEnd type="triangle"/>
                          </a:ln>
                        </wps:spPr>
                        <wps:style>
                          <a:lnRef idx="1">
                            <a:schemeClr val="accent1"/>
                          </a:lnRef>
                          <a:fillRef idx="0">
                            <a:schemeClr val="accent1"/>
                          </a:fillRef>
                          <a:effectRef idx="0">
                            <a:schemeClr val="accent1"/>
                          </a:effectRef>
                          <a:fontRef idx="minor">
                            <a:schemeClr val="tx1"/>
                          </a:fontRef>
                        </wps:style>
                        <wps:bodyPr/>
                      </wps:wsp>
                      <wps:wsp>
                        <wps:cNvPr id="71" name="文本框 71"/>
                        <wps:cNvSpPr txBox="1"/>
                        <wps:spPr>
                          <a:xfrm>
                            <a:off x="6912" y="128062"/>
                            <a:ext cx="1348" cy="387"/>
                          </a:xfrm>
                          <a:prstGeom prst="rect">
                            <a:avLst/>
                          </a:prstGeom>
                          <a:solidFill>
                            <a:schemeClr val="lt1"/>
                          </a:solidFill>
                          <a:ln w="6350">
                            <a:noFill/>
                          </a:ln>
                        </wps:spPr>
                        <wps:txbx>
                          <w:txbxContent>
                            <w:p>
                              <w:r>
                                <w:rPr>
                                  <w:rFonts w:hint="eastAsia"/>
                                </w:rPr>
                                <w:t>认定及委托</w:t>
                              </w:r>
                            </w:p>
                          </w:txbxContent>
                        </wps:txbx>
                        <wps:bodyPr rot="0" spcFirstLastPara="0" vertOverflow="overflow" horzOverflow="overflow" vert="horz" wrap="non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05pt;margin-top:35.4pt;height:230.55pt;width:382.5pt;mso-wrap-distance-bottom:0pt;mso-wrap-distance-top:0pt;z-index:251667456;mso-width-relative:page;mso-height-relative:page;" coordorigin="2366,126199" coordsize="7650,4612" o:gfxdata="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CkS3l3YAAAACQEAAA8AAAAAAAAAAQAgAAAAIgAAAGRycy9kb3ducmV2LnhtbFBLAQIUABQAAAAI&#10;AIdO4kBc1h/rDAcAANsyAAAOAAAAAAAAAAEAIAAAACcBAABkcnMvZTJvRG9jLnhtbFBLBQYAAAAA&#10;BgAGAFkBAAClCgAAAAA=&#10;">
                <o:lock v:ext="edit" aspectratio="f"/>
                <v:shape id="_x0000_s1026" o:spid="_x0000_s1026" o:spt="202" type="#_x0000_t202" style="position:absolute;left:2366;top:127387;height:1000;width:1800;" fillcolor="#4F81BD [3204]" filled="t" stroked="t" coordsize="21600,21600" o:gfxdata="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rofO5AAAA2wAA&#10;AA8AAAAAAAAAAQAgAAAAIgAAAGRycy9kb3ducmV2LnhtbFBLAQIUABQAAAAIAIdO4kAzLwWeOwAA&#10;ADkAAAAQAAAAAAAAAAEAIAAAAAgBAABkcnMvc2hhcGV4bWwueG1sUEsFBgAAAAAGAAYAWwEAALID&#10;AAAAAA==&#10;">
                  <v:fill on="t" focussize="0,0"/>
                  <v:stroke weight="0.5pt" color="#000000 [3213]" joinstyle="round"/>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门窗集成或零部件生产企业、安装企业、销售商</w:t>
                        </w:r>
                      </w:p>
                    </w:txbxContent>
                  </v:textbox>
                </v:shape>
                <v:shape id="_x0000_s1026" o:spid="_x0000_s1026" o:spt="202" type="#_x0000_t202" style="position:absolute;left:5793;top:126494;height:391;width:1156;" fillcolor="#FFC000" filled="t" stroked="t" coordsize="21600,21600" o:gfxdata="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PpEG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r>
                          <w:rPr>
                            <w:rFonts w:hint="eastAsia"/>
                          </w:rPr>
                          <w:t>保险经纪</w:t>
                        </w:r>
                      </w:p>
                      <w:p/>
                    </w:txbxContent>
                  </v:textbox>
                </v:shape>
                <v:shape id="_x0000_s1026" o:spid="_x0000_s1026" o:spt="202" type="#_x0000_t202" style="position:absolute;left:5154;top:127653;height:417;width:1191;" fillcolor="#C0504D [3205]" filled="t" stroked="t" coordsize="21600,21600" o:gfxdata="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7bQtS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评定机构</w:t>
                        </w:r>
                      </w:p>
                    </w:txbxContent>
                  </v:textbox>
                </v:shape>
                <v:shape id="_x0000_s1026" o:spid="_x0000_s1026" o:spt="202" type="#_x0000_t202" style="position:absolute;left:5131;top:129784;height:400;width:1173;" fillcolor="#92D050" filled="t" stroked="t" coordsize="21600,21600" o:gfxdata="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6daLsAAADb&#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r>
                          <w:rPr>
                            <w:rFonts w:hint="eastAsia"/>
                          </w:rPr>
                          <w:t>检测机构</w:t>
                        </w:r>
                      </w:p>
                    </w:txbxContent>
                  </v:textbox>
                </v:shape>
                <v:shape id="_x0000_s1026" o:spid="_x0000_s1026" o:spt="202" type="#_x0000_t202" style="position:absolute;left:8830;top:127637;height:417;width:1186;" fillcolor="#FFFF00" filled="t" stroked="t" coordsize="21600,21600" o:gfxdata="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XTNr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r>
                          <w:rPr>
                            <w:rFonts w:hint="eastAsia"/>
                          </w:rPr>
                          <w:t>保险公司</w:t>
                        </w:r>
                      </w:p>
                    </w:txbxContent>
                  </v:textbox>
                </v:shape>
                <v:shape id="直线箭头连接符 78" o:spid="_x0000_s1026" o:spt="34" type="#_x0000_t34" style="position:absolute;left:3269;top:126690;flip:y;height:700;width:2493;" filled="f" stroked="t" coordsize="21600,21600" o:gfxdata="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Zpr25AAAA2wAA&#10;AA8AAAAAAAAAAQAgAAAAIgAAAGRycy9kb3ducmV2LnhtbFBLAQIUABQAAAAIAIdO4kAzLwWeOwAA&#10;ADkAAAAQAAAAAAAAAAEAIAAAAAgBAABkcnMvc2hhcGV4bWwueG1sUEsFBgAAAAAGAAYAWwEAALID&#10;AAAAAA==&#10;" adj="56">
                  <v:fill on="f" focussize="0,0"/>
                  <v:stroke color="#4A7EBB [3204]" joinstyle="bevel" endarrow="block"/>
                  <v:imagedata o:title=""/>
                  <o:lock v:ext="edit" aspectratio="f"/>
                </v:shape>
                <v:shape id="直线箭头连接符 97" o:spid="_x0000_s1026" o:spt="34" type="#_x0000_t34" style="position:absolute;left:6949;top:126678;height:960;width:2427;" filled="f" stroked="t" coordsize="21600,21600" o:gfxdata="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82Jr4A&#10;AADbAAAADwAAAAAAAAABACAAAAAiAAAAZHJzL2Rvd25yZXYueG1sUEsBAhQAFAAAAAgAh07iQDMv&#10;BZ47AAAAOQAAABAAAAAAAAAAAQAgAAAADQEAAGRycy9zaGFwZXhtbC54bWxQSwUGAAAAAAYABgBb&#10;AQAAtwMAAAAA&#10;" adj="21594">
                  <v:fill on="f" focussize="0,0"/>
                  <v:stroke color="#4A7EBB [3204]" joinstyle="round" endarrow="block"/>
                  <v:imagedata o:title=""/>
                  <o:lock v:ext="edit" aspectratio="f"/>
                </v:shape>
                <v:line id="直线连接符 100" o:spid="_x0000_s1026" o:spt="20" style="position:absolute;left:6345;top:127775;height:0;width:2488;" filled="f" stroked="t" coordsize="21600,21600" o:gfxdata="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wagu8AAAA&#10;3AAAAA8AAAAAAAAAAQAgAAAAIgAAAGRycy9kb3ducmV2LnhtbFBLAQIUABQAAAAIAIdO4kAzLwWe&#10;OwAAADkAAAAQAAAAAAAAAAEAIAAAAAsBAABkcnMvc2hhcGV4bWwueG1sUEsFBgAAAAAGAAYAWwEA&#10;ALUDAAAAAA==&#10;">
                  <v:fill on="f" focussize="0,0"/>
                  <v:stroke color="#4A7EBB [3204]" joinstyle="round" endarrow="block"/>
                  <v:imagedata o:title=""/>
                  <o:lock v:ext="edit" aspectratio="f"/>
                </v:line>
                <v:line id="直线连接符 101" o:spid="_x0000_s1026" o:spt="20" style="position:absolute;left:5709;top:128051;height:1733;width:0;" filled="f" stroked="t" coordsize="21600,21600" o:gfxdata="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lI7EbsAAADc&#10;AAAADwAAAAAAAAABACAAAAAiAAAAZHJzL2Rvd25yZXYueG1sUEsBAhQAFAAAAAgAh07iQDMvBZ47&#10;AAAAOQAAABAAAAAAAAAAAQAgAAAACgEAAGRycy9zaGFwZXhtbC54bWxQSwUGAAAAAAYABgBbAQAA&#10;tAMAAAAA&#10;">
                  <v:fill on="f" focussize="0,0"/>
                  <v:stroke color="#4A7EBB [3204]" joinstyle="round" startarrow="block"/>
                  <v:imagedata o:title=""/>
                  <o:lock v:ext="edit" aspectratio="f"/>
                </v:line>
                <v:line id="直线连接符 102" o:spid="_x0000_s1026" o:spt="20" style="position:absolute;left:3256;top:128384;flip:x;height:2427;width:7;" filled="f" stroked="t" coordsize="21600,21600" o:gfxdata="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3Er/&#10;wAAAANwAAAAPAAAAAAAAAAEAIAAAACIAAABkcnMvZG93bnJldi54bWxQSwECFAAUAAAACACHTuJA&#10;My8FnjsAAAA5AAAAEAAAAAAAAAABACAAAAAPAQAAZHJzL3NoYXBleG1sLnhtbFBLBQYAAAAABgAG&#10;AFsBAAC5AwAAAAA=&#10;">
                  <v:fill on="f" focussize="0,0"/>
                  <v:stroke color="#4A7EBB [3204]" joinstyle="round" startarrow="block"/>
                  <v:imagedata o:title=""/>
                  <o:lock v:ext="edit" aspectratio="f"/>
                </v:line>
                <v:line id="直线连接符 103" o:spid="_x0000_s1026" o:spt="20" style="position:absolute;left:3255;top:130809;height:0;width:6106;" filled="f" stroked="t" coordsize="21600,21600" o:gfxdata="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QKArsAAADc&#10;AAAADwAAAAAAAAABACAAAAAiAAAAZHJzL2Rvd25yZXYueG1sUEsBAhQAFAAAAAgAh07iQDMvBZ47&#10;AAAAOQAAABAAAAAAAAAAAQAgAAAACgEAAGRycy9zaGFwZXhtbC54bWxQSwUGAAAAAAYABgBbAQAA&#10;tAMAAAAA&#10;">
                  <v:fill on="f" focussize="0,0"/>
                  <v:stroke color="#4A7EBB [3204]" joinstyle="round"/>
                  <v:imagedata o:title=""/>
                  <o:lock v:ext="edit" aspectratio="f"/>
                </v:line>
                <v:line id="直线连接符 104" o:spid="_x0000_s1026" o:spt="20" style="position:absolute;left:9376;top:128051;flip:x;height:2759;width:14;" filled="f" stroked="t" coordsize="21600,21600" o:gfxdata="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oQS68AAAA&#10;3AAAAA8AAAAAAAAAAQAgAAAAIgAAAGRycy9kb3ducmV2LnhtbFBLAQIUABQAAAAIAIdO4kAzLwWe&#10;OwAAADkAAAAQAAAAAAAAAAEAIAAAAAsBAABkcnMvc2hhcGV4bWwueG1sUEsFBgAAAAAGAAYAWwEA&#10;ALUDAAAAAA==&#10;">
                  <v:fill on="f" focussize="0,0"/>
                  <v:stroke color="#4A7EBB [3204]" joinstyle="round"/>
                  <v:imagedata o:title=""/>
                  <o:lock v:ext="edit" aspectratio="f"/>
                </v:line>
                <v:shape id="_x0000_s1026" o:spid="_x0000_s1026" o:spt="202" type="#_x0000_t202" style="position:absolute;left:3269;top:126199;height:458;width:1558;mso-wrap-style:none;" fillcolor="#FFFFFF [3201]" filled="t" stroked="f" coordsize="21600,21600" o:gfxdata="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7/+g7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r>
                          <w:rPr>
                            <w:rFonts w:hint="eastAsia"/>
                          </w:rPr>
                          <w:t>提出投保需求</w:t>
                        </w:r>
                      </w:p>
                    </w:txbxContent>
                  </v:textbox>
                </v:shape>
                <v:shape id="_x0000_s1026" o:spid="_x0000_s1026" o:spt="202" type="#_x0000_t202" style="position:absolute;left:7349;top:126215;height:440;width:1348;mso-wrap-style:none;" fillcolor="#FFFFFF [3201]" filled="t" stroked="f" coordsize="21600,21600" o:gfxdata="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tYPS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r>
                          <w:rPr>
                            <w:rFonts w:hint="eastAsia"/>
                          </w:rPr>
                          <w:t>询价及投保</w:t>
                        </w:r>
                      </w:p>
                    </w:txbxContent>
                  </v:textbox>
                </v:shape>
                <v:shape id="_x0000_s1026" o:spid="_x0000_s1026" o:spt="202" type="#_x0000_t202" style="position:absolute;left:5820;top:128251;height:1414;width:573;mso-wrap-style:none;" fillcolor="#FFFFFF [3201]" filled="t" stroked="f" coordsize="21600,21600" o:gfxdata="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zcD+ugAAANwA&#10;AAAPAAAAAAAAAAEAIAAAACIAAABkcnMvZG93bnJldi54bWxQSwECFAAUAAAACACHTuJAMy8FnjsA&#10;AAA5AAAAEAAAAAAAAAABACAAAAAJAQAAZHJzL3NoYXBleG1sLnhtbFBLBQYAAAAABgAGAFsBAACz&#10;AwAAAAA=&#10;">
                  <v:fill on="t" focussize="0,0"/>
                  <v:stroke on="f" weight="0.5pt"/>
                  <v:imagedata o:title=""/>
                  <o:lock v:ext="edit" aspectratio="f"/>
                  <v:textbox style="layout-flow:vertical-ideographic;">
                    <w:txbxContent>
                      <w:p>
                        <w:r>
                          <w:rPr>
                            <w:rFonts w:hint="eastAsia"/>
                          </w:rPr>
                          <w:t>提供检测数据</w:t>
                        </w:r>
                      </w:p>
                    </w:txbxContent>
                  </v:textbox>
                </v:shape>
                <v:shape id="_x0000_s1026" o:spid="_x0000_s1026" o:spt="202" type="#_x0000_t202" style="position:absolute;left:6591;top:127257;height:393;width:1978;mso-wrap-style:none;" fillcolor="#FFFFFF [3201]" filled="t" stroked="f" coordsize="21600,21600" o:gfxdata="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2DyU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r>
                          <w:rPr>
                            <w:rFonts w:hint="eastAsia"/>
                          </w:rPr>
                          <w:t>提供风险评估报告</w:t>
                        </w:r>
                      </w:p>
                    </w:txbxContent>
                  </v:textbox>
                </v:shape>
                <v:shape id="_x0000_s1026" o:spid="_x0000_s1026" o:spt="202" type="#_x0000_t202" style="position:absolute;left:7149;top:130344;height:399;width:2147;" fillcolor="#FFFFFF [3201]" filled="t" stroked="f" coordsize="21600,21600" o:gfxdata="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GnlG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r>
                          <w:rPr>
                            <w:rFonts w:hint="eastAsia"/>
                          </w:rPr>
                          <w:t>核保通过，出具保单</w:t>
                        </w:r>
                      </w:p>
                    </w:txbxContent>
                  </v:textbox>
                </v:shape>
                <v:line id="直线连接符 70" o:spid="_x0000_s1026" o:spt="20" style="position:absolute;left:6336;top:127970;height:0;width:2487;" filled="f" stroked="t" coordsize="21600,21600" o:gfxdata="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3F5ougAAANsA&#10;AAAPAAAAAAAAAAEAIAAAACIAAABkcnMvZG93bnJldi54bWxQSwECFAAUAAAACACHTuJAMy8FnjsA&#10;AAA5AAAAEAAAAAAAAAABACAAAAAJAQAAZHJzL3NoYXBleG1sLnhtbFBLBQYAAAAABgAGAFsBAACz&#10;AwAAAAA=&#10;">
                  <v:fill on="f" focussize="0,0"/>
                  <v:stroke color="#4A7EBB [3204]" joinstyle="round" startarrow="block"/>
                  <v:imagedata o:title=""/>
                  <o:lock v:ext="edit" aspectratio="f"/>
                </v:line>
                <v:shape id="_x0000_s1026" o:spid="_x0000_s1026" o:spt="202" type="#_x0000_t202" style="position:absolute;left:6912;top:128062;height:387;width:1348;mso-wrap-style:none;" fillcolor="#FFFFFF [3201]" filled="t" stroked="f" coordsize="21600,21600" o:gfxdata="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BUFUvQAA&#10;ANs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r>
                          <w:rPr>
                            <w:rFonts w:hint="eastAsia"/>
                          </w:rPr>
                          <w:t>认定及委托</w:t>
                        </w:r>
                      </w:p>
                    </w:txbxContent>
                  </v:textbox>
                </v:shape>
                <w10:wrap type="topAndBottom"/>
              </v:group>
            </w:pict>
          </mc:Fallback>
        </mc:AlternateContent>
      </w:r>
    </w:p>
    <w:p>
      <w:pPr>
        <w:pStyle w:val="28"/>
        <w:adjustRightInd w:val="0"/>
        <w:snapToGrid w:val="0"/>
        <w:spacing w:before="240" w:beforeLines="100" w:line="360" w:lineRule="auto"/>
        <w:ind w:firstLine="0" w:firstLineChars="0"/>
        <w:jc w:val="center"/>
        <w:rPr>
          <w:rFonts w:hAnsi="宋体" w:cs="宋体"/>
          <w:szCs w:val="21"/>
        </w:rPr>
      </w:pPr>
      <w:r>
        <w:rPr>
          <w:rFonts w:hint="eastAsia" w:hAnsi="宋体" w:cs="宋体"/>
          <w:szCs w:val="21"/>
        </w:rPr>
        <w:t>图3.</w:t>
      </w:r>
      <w:r>
        <w:rPr>
          <w:rFonts w:hint="eastAsia" w:hAnsi="宋体" w:cs="宋体"/>
          <w:szCs w:val="21"/>
          <w:lang w:val="en-US" w:eastAsia="zh-CN"/>
        </w:rPr>
        <w:t>0</w:t>
      </w:r>
      <w:r>
        <w:rPr>
          <w:rFonts w:hint="eastAsia" w:hAnsi="宋体" w:cs="宋体"/>
          <w:szCs w:val="21"/>
        </w:rPr>
        <w:t>.</w:t>
      </w:r>
      <w:r>
        <w:rPr>
          <w:rFonts w:hint="eastAsia" w:hAnsi="宋体" w:cs="宋体"/>
          <w:szCs w:val="21"/>
          <w:lang w:val="en-US" w:eastAsia="zh-CN"/>
        </w:rPr>
        <w:t>8</w:t>
      </w:r>
      <w:r>
        <w:rPr>
          <w:rFonts w:hint="eastAsia" w:hAnsi="宋体" w:cs="宋体"/>
          <w:szCs w:val="21"/>
        </w:rPr>
        <w:t xml:space="preserve"> 投保流程图</w:t>
      </w:r>
    </w:p>
    <w:bookmarkEnd w:id="42"/>
    <w:bookmarkEnd w:id="43"/>
    <w:p>
      <w:pPr>
        <w:adjustRightInd w:val="0"/>
        <w:snapToGrid w:val="0"/>
        <w:spacing w:before="240" w:beforeLines="100" w:line="360" w:lineRule="auto"/>
        <w:rPr>
          <w:rFonts w:ascii="宋体" w:hAnsi="宋体" w:cs="宋体"/>
          <w:sz w:val="24"/>
        </w:rPr>
      </w:pPr>
      <w:bookmarkStart w:id="44" w:name="_Toc21344"/>
      <w:bookmarkStart w:id="45" w:name="_Toc28124"/>
      <w:r>
        <w:rPr>
          <w:rFonts w:hint="eastAsia" w:ascii="宋体" w:hAnsi="宋体" w:cs="宋体"/>
          <w:b/>
          <w:bCs/>
          <w:spacing w:val="9"/>
          <w:sz w:val="24"/>
        </w:rPr>
        <w:t>3</w:t>
      </w:r>
      <w:r>
        <w:rPr>
          <w:rFonts w:hint="eastAsia" w:ascii="宋体" w:hAnsi="宋体" w:cs="宋体"/>
          <w:b/>
          <w:bCs/>
          <w:spacing w:val="7"/>
          <w:sz w:val="24"/>
        </w:rPr>
        <w:t>.</w:t>
      </w:r>
      <w:r>
        <w:rPr>
          <w:rFonts w:hint="eastAsia" w:ascii="宋体" w:hAnsi="宋体" w:cs="宋体"/>
          <w:b/>
          <w:bCs/>
          <w:spacing w:val="7"/>
          <w:sz w:val="24"/>
          <w:lang w:val="en-US" w:eastAsia="zh-CN"/>
        </w:rPr>
        <w:t>0</w:t>
      </w:r>
      <w:r>
        <w:rPr>
          <w:rFonts w:hint="eastAsia" w:ascii="宋体" w:hAnsi="宋体" w:cs="宋体"/>
          <w:b/>
          <w:bCs/>
          <w:spacing w:val="7"/>
          <w:sz w:val="24"/>
        </w:rPr>
        <w:t>.</w:t>
      </w:r>
      <w:r>
        <w:rPr>
          <w:rFonts w:hint="eastAsia" w:ascii="宋体" w:hAnsi="宋体" w:cs="宋体"/>
          <w:b/>
          <w:bCs/>
          <w:spacing w:val="7"/>
          <w:sz w:val="24"/>
          <w:lang w:val="en-US" w:eastAsia="zh-CN"/>
        </w:rPr>
        <w:t>9</w:t>
      </w:r>
      <w:r>
        <w:rPr>
          <w:rFonts w:hint="eastAsia" w:ascii="宋体" w:hAnsi="宋体" w:cs="宋体"/>
          <w:spacing w:val="7"/>
          <w:sz w:val="24"/>
        </w:rPr>
        <w:t xml:space="preserve"> </w:t>
      </w:r>
      <w:r>
        <w:rPr>
          <w:rFonts w:hint="eastAsia" w:ascii="宋体" w:hAnsi="宋体" w:cs="宋体"/>
          <w:spacing w:val="13"/>
          <w:sz w:val="24"/>
        </w:rPr>
        <w:t>申</w:t>
      </w:r>
      <w:r>
        <w:rPr>
          <w:rFonts w:hint="eastAsia" w:ascii="宋体" w:hAnsi="宋体" w:cs="宋体"/>
          <w:spacing w:val="7"/>
          <w:sz w:val="24"/>
        </w:rPr>
        <w:t>请投保的建筑门窗企业应提供下列资料：</w:t>
      </w:r>
    </w:p>
    <w:p>
      <w:pPr>
        <w:adjustRightInd w:val="0"/>
        <w:snapToGrid w:val="0"/>
        <w:spacing w:line="360" w:lineRule="auto"/>
        <w:ind w:firstLine="520" w:firstLineChars="200"/>
        <w:rPr>
          <w:rFonts w:ascii="宋体" w:hAnsi="宋体" w:cs="宋体"/>
          <w:sz w:val="24"/>
        </w:rPr>
      </w:pPr>
      <w:r>
        <w:rPr>
          <w:rFonts w:hint="eastAsia" w:ascii="宋体" w:hAnsi="宋体" w:cs="宋体"/>
          <w:spacing w:val="10"/>
          <w:sz w:val="24"/>
        </w:rPr>
        <w:t>1</w:t>
      </w:r>
      <w:r>
        <w:rPr>
          <w:rFonts w:hint="eastAsia" w:ascii="宋体" w:hAnsi="宋体" w:cs="宋体"/>
          <w:spacing w:val="6"/>
          <w:sz w:val="24"/>
        </w:rPr>
        <w:t xml:space="preserve"> </w:t>
      </w:r>
      <w:r>
        <w:rPr>
          <w:rFonts w:hint="eastAsia" w:ascii="宋体" w:hAnsi="宋体" w:cs="宋体"/>
          <w:spacing w:val="5"/>
          <w:sz w:val="24"/>
        </w:rPr>
        <w:t>门窗保险投保申请单</w:t>
      </w:r>
    </w:p>
    <w:p>
      <w:pPr>
        <w:adjustRightInd w:val="0"/>
        <w:snapToGrid w:val="0"/>
        <w:spacing w:line="360" w:lineRule="auto"/>
        <w:ind w:firstLine="528" w:firstLineChars="200"/>
        <w:rPr>
          <w:rFonts w:ascii="宋体" w:hAnsi="宋体" w:cs="宋体"/>
          <w:sz w:val="24"/>
        </w:rPr>
      </w:pPr>
      <w:r>
        <w:rPr>
          <w:rFonts w:hint="eastAsia" w:ascii="宋体" w:hAnsi="宋体" w:cs="宋体"/>
          <w:spacing w:val="12"/>
          <w:sz w:val="24"/>
        </w:rPr>
        <w:t>2</w:t>
      </w:r>
      <w:r>
        <w:rPr>
          <w:rFonts w:hint="eastAsia" w:ascii="宋体" w:hAnsi="宋体" w:cs="宋体"/>
          <w:spacing w:val="9"/>
          <w:sz w:val="24"/>
        </w:rPr>
        <w:t xml:space="preserve"> </w:t>
      </w:r>
      <w:r>
        <w:rPr>
          <w:rFonts w:hint="eastAsia" w:ascii="宋体" w:hAnsi="宋体" w:cs="宋体"/>
          <w:spacing w:val="6"/>
          <w:sz w:val="24"/>
        </w:rPr>
        <w:t>门窗企业的基本情况；</w:t>
      </w:r>
    </w:p>
    <w:p>
      <w:pPr>
        <w:adjustRightInd w:val="0"/>
        <w:snapToGrid w:val="0"/>
        <w:spacing w:line="360" w:lineRule="auto"/>
        <w:ind w:firstLine="512" w:firstLineChars="200"/>
        <w:rPr>
          <w:rFonts w:ascii="宋体" w:hAnsi="宋体" w:cs="宋体"/>
          <w:sz w:val="24"/>
        </w:rPr>
      </w:pPr>
      <w:r>
        <w:rPr>
          <w:rFonts w:hint="eastAsia" w:ascii="宋体" w:hAnsi="宋体" w:cs="宋体"/>
          <w:spacing w:val="8"/>
          <w:sz w:val="24"/>
        </w:rPr>
        <w:t>3 门窗型式检验报告及制作、安装过程检验记录</w:t>
      </w:r>
      <w:r>
        <w:rPr>
          <w:rFonts w:hint="eastAsia" w:ascii="宋体" w:hAnsi="宋体" w:cs="宋体"/>
          <w:spacing w:val="5"/>
          <w:sz w:val="24"/>
        </w:rPr>
        <w:t>；</w:t>
      </w:r>
    </w:p>
    <w:p>
      <w:pPr>
        <w:adjustRightInd w:val="0"/>
        <w:snapToGrid w:val="0"/>
        <w:spacing w:line="360" w:lineRule="auto"/>
        <w:ind w:firstLine="516" w:firstLineChars="200"/>
        <w:rPr>
          <w:rFonts w:ascii="宋体" w:hAnsi="宋体" w:cs="宋体"/>
          <w:sz w:val="24"/>
        </w:rPr>
      </w:pPr>
      <w:r>
        <w:rPr>
          <w:rFonts w:hint="eastAsia" w:ascii="宋体" w:hAnsi="宋体" w:cs="宋体"/>
          <w:spacing w:val="9"/>
          <w:sz w:val="24"/>
        </w:rPr>
        <w:t>4</w:t>
      </w:r>
      <w:r>
        <w:rPr>
          <w:rFonts w:hint="eastAsia" w:ascii="宋体" w:hAnsi="宋体" w:cs="宋体"/>
          <w:spacing w:val="8"/>
          <w:sz w:val="24"/>
        </w:rPr>
        <w:t xml:space="preserve"> 产品出厂合规证及使用手册等技术保证资料；</w:t>
      </w:r>
    </w:p>
    <w:p>
      <w:pPr>
        <w:adjustRightInd w:val="0"/>
        <w:snapToGrid w:val="0"/>
        <w:spacing w:line="360" w:lineRule="auto"/>
        <w:ind w:firstLine="516" w:firstLineChars="200"/>
        <w:rPr>
          <w:rFonts w:ascii="宋体" w:hAnsi="宋体" w:cs="宋体"/>
          <w:kern w:val="0"/>
          <w:sz w:val="24"/>
        </w:rPr>
      </w:pPr>
      <w:r>
        <w:rPr>
          <w:rFonts w:hint="eastAsia" w:ascii="宋体" w:hAnsi="宋体" w:cs="宋体"/>
          <w:spacing w:val="9"/>
          <w:sz w:val="24"/>
        </w:rPr>
        <w:t>5</w:t>
      </w:r>
      <w:r>
        <w:rPr>
          <w:rFonts w:hint="eastAsia" w:ascii="宋体" w:hAnsi="宋体" w:cs="宋体"/>
          <w:spacing w:val="6"/>
          <w:sz w:val="24"/>
        </w:rPr>
        <w:t xml:space="preserve"> 门窗生产工艺文件等。</w:t>
      </w:r>
    </w:p>
    <w:p>
      <w:pPr>
        <w:adjustRightInd w:val="0"/>
        <w:snapToGrid w:val="0"/>
        <w:spacing w:line="360" w:lineRule="auto"/>
        <w:rPr>
          <w:rFonts w:ascii="宋体" w:hAnsi="宋体" w:cs="宋体"/>
          <w:sz w:val="24"/>
        </w:rPr>
      </w:pPr>
      <w:r>
        <w:rPr>
          <w:rFonts w:hint="eastAsia" w:ascii="宋体" w:hAnsi="宋体" w:cs="宋体"/>
          <w:kern w:val="0"/>
          <w:sz w:val="24"/>
        </w:rPr>
        <w:t>3.</w:t>
      </w:r>
      <w:r>
        <w:rPr>
          <w:rFonts w:hint="eastAsia" w:ascii="宋体" w:hAnsi="宋体" w:cs="宋体"/>
          <w:kern w:val="0"/>
          <w:sz w:val="24"/>
          <w:lang w:val="en-US" w:eastAsia="zh-CN"/>
        </w:rPr>
        <w:t>0</w:t>
      </w:r>
      <w:r>
        <w:rPr>
          <w:rFonts w:hint="eastAsia" w:ascii="宋体" w:hAnsi="宋体" w:cs="宋体"/>
          <w:kern w:val="0"/>
          <w:sz w:val="24"/>
        </w:rPr>
        <w:t>.</w:t>
      </w:r>
      <w:r>
        <w:rPr>
          <w:rFonts w:hint="eastAsia" w:ascii="宋体" w:hAnsi="宋体" w:cs="宋体"/>
          <w:kern w:val="0"/>
          <w:sz w:val="24"/>
          <w:lang w:val="en-US" w:eastAsia="zh-CN"/>
        </w:rPr>
        <w:t>10</w:t>
      </w:r>
      <w:r>
        <w:rPr>
          <w:rFonts w:hint="eastAsia" w:ascii="宋体" w:hAnsi="宋体" w:cs="宋体"/>
          <w:kern w:val="0"/>
          <w:sz w:val="24"/>
        </w:rPr>
        <w:t xml:space="preserve"> 保险公司应指定评定机构(必要时聘请第三方检测机构做技术支持)，综合分析收集的相关资料，确定评定目的、范围和内容，并制定详细的核查方案。保险公司应与门窗企业、保险经纪公司三方一同确认核查方案的内容。</w:t>
      </w:r>
    </w:p>
    <w:p>
      <w:pPr>
        <w:adjustRightInd w:val="0"/>
        <w:snapToGrid w:val="0"/>
        <w:spacing w:line="360" w:lineRule="auto"/>
        <w:rPr>
          <w:rFonts w:cs="宋体"/>
          <w:kern w:val="0"/>
          <w:sz w:val="24"/>
        </w:rPr>
      </w:pPr>
      <w:r>
        <w:rPr>
          <w:rFonts w:hint="eastAsia" w:ascii="宋体" w:hAnsi="宋体" w:cs="宋体"/>
          <w:kern w:val="0"/>
          <w:sz w:val="24"/>
        </w:rPr>
        <w:t>3.</w:t>
      </w:r>
      <w:r>
        <w:rPr>
          <w:rFonts w:hint="eastAsia" w:ascii="宋体" w:hAnsi="宋体" w:cs="宋体"/>
          <w:kern w:val="0"/>
          <w:sz w:val="24"/>
          <w:lang w:val="en-US" w:eastAsia="zh-CN"/>
        </w:rPr>
        <w:t>0</w:t>
      </w:r>
      <w:r>
        <w:rPr>
          <w:rFonts w:hint="eastAsia" w:ascii="宋体" w:hAnsi="宋体" w:cs="宋体"/>
          <w:kern w:val="0"/>
          <w:sz w:val="24"/>
        </w:rPr>
        <w:t>.</w:t>
      </w:r>
      <w:r>
        <w:rPr>
          <w:rFonts w:hint="eastAsia" w:ascii="宋体" w:hAnsi="宋体" w:cs="宋体"/>
          <w:kern w:val="0"/>
          <w:sz w:val="24"/>
          <w:lang w:val="en-US" w:eastAsia="zh-CN"/>
        </w:rPr>
        <w:t>11</w:t>
      </w:r>
      <w:r>
        <w:rPr>
          <w:rFonts w:hint="eastAsia" w:ascii="宋体" w:hAnsi="宋体" w:cs="宋体"/>
          <w:kern w:val="0"/>
          <w:sz w:val="24"/>
        </w:rPr>
        <w:t xml:space="preserve"> 核查方案的内容</w:t>
      </w:r>
      <w:r>
        <w:rPr>
          <w:rFonts w:hint="eastAsia" w:cs="宋体"/>
          <w:kern w:val="0"/>
          <w:sz w:val="24"/>
        </w:rPr>
        <w:t>应当包含门窗设计、材料质量、产品加工和组装质量要求、产品性能要求、</w:t>
      </w:r>
      <w:r>
        <w:rPr>
          <w:rFonts w:hint="eastAsia"/>
          <w:spacing w:val="8"/>
          <w:sz w:val="23"/>
          <w:szCs w:val="23"/>
        </w:rPr>
        <w:t>施工方案合理性、项目人员要求、现场安装质量核查以及门窗过程施工记录</w:t>
      </w:r>
      <w:r>
        <w:rPr>
          <w:rFonts w:hint="eastAsia" w:cs="宋体"/>
          <w:kern w:val="0"/>
          <w:sz w:val="24"/>
        </w:rPr>
        <w:t>。</w:t>
      </w:r>
    </w:p>
    <w:p>
      <w:pPr>
        <w:adjustRightInd w:val="0"/>
        <w:snapToGrid w:val="0"/>
        <w:spacing w:line="360" w:lineRule="auto"/>
        <w:rPr>
          <w:rFonts w:ascii="宋体" w:hAnsi="宋体" w:cs="宋体"/>
          <w:kern w:val="0"/>
          <w:sz w:val="24"/>
        </w:rPr>
      </w:pPr>
      <w:r>
        <w:rPr>
          <w:rFonts w:hint="eastAsia" w:ascii="宋体" w:hAnsi="宋体" w:cs="宋体"/>
          <w:kern w:val="0"/>
          <w:sz w:val="24"/>
        </w:rPr>
        <w:t>3.</w:t>
      </w:r>
      <w:r>
        <w:rPr>
          <w:rFonts w:hint="eastAsia" w:ascii="宋体" w:hAnsi="宋体" w:cs="宋体"/>
          <w:kern w:val="0"/>
          <w:sz w:val="24"/>
          <w:lang w:val="en-US" w:eastAsia="zh-CN"/>
        </w:rPr>
        <w:t>0</w:t>
      </w:r>
      <w:r>
        <w:rPr>
          <w:rFonts w:hint="eastAsia" w:ascii="宋体" w:hAnsi="宋体" w:cs="宋体"/>
          <w:kern w:val="0"/>
          <w:sz w:val="24"/>
        </w:rPr>
        <w:t>.</w:t>
      </w:r>
      <w:r>
        <w:rPr>
          <w:rFonts w:hint="eastAsia" w:ascii="宋体" w:hAnsi="宋体" w:cs="宋体"/>
          <w:kern w:val="0"/>
          <w:sz w:val="24"/>
          <w:lang w:val="en-US" w:eastAsia="zh-CN"/>
        </w:rPr>
        <w:t>12</w:t>
      </w:r>
      <w:r>
        <w:rPr>
          <w:rFonts w:hint="eastAsia" w:ascii="宋体" w:hAnsi="宋体" w:cs="宋体"/>
          <w:kern w:val="0"/>
          <w:sz w:val="24"/>
        </w:rPr>
        <w:t xml:space="preserve"> 评定机构应按技术性指标和非技术性指标的得分，根据表4.1.1建筑门窗工程保险的评定等级表定级并出具保险核查评定报告。</w:t>
      </w:r>
    </w:p>
    <w:p>
      <w:pPr>
        <w:adjustRightInd w:val="0"/>
        <w:snapToGrid w:val="0"/>
        <w:spacing w:line="360" w:lineRule="auto"/>
        <w:rPr>
          <w:rFonts w:ascii="宋体" w:hAnsi="宋体" w:cs="宋体"/>
          <w:kern w:val="0"/>
          <w:sz w:val="24"/>
        </w:rPr>
      </w:pPr>
      <w:r>
        <w:rPr>
          <w:rFonts w:hint="eastAsia" w:ascii="宋体" w:hAnsi="宋体" w:cs="宋体"/>
          <w:kern w:val="0"/>
          <w:sz w:val="24"/>
        </w:rPr>
        <w:t>3.</w:t>
      </w:r>
      <w:r>
        <w:rPr>
          <w:rFonts w:hint="eastAsia" w:ascii="宋体" w:hAnsi="宋体" w:cs="宋体"/>
          <w:kern w:val="0"/>
          <w:sz w:val="24"/>
          <w:lang w:val="en-US" w:eastAsia="zh-CN"/>
        </w:rPr>
        <w:t>0</w:t>
      </w:r>
      <w:r>
        <w:rPr>
          <w:rFonts w:hint="eastAsia" w:ascii="宋体" w:hAnsi="宋体" w:cs="宋体"/>
          <w:kern w:val="0"/>
          <w:sz w:val="24"/>
        </w:rPr>
        <w:t>.</w:t>
      </w:r>
      <w:r>
        <w:rPr>
          <w:rFonts w:hint="eastAsia" w:ascii="宋体" w:hAnsi="宋体" w:cs="宋体"/>
          <w:kern w:val="0"/>
          <w:sz w:val="24"/>
          <w:lang w:val="en-US" w:eastAsia="zh-CN"/>
        </w:rPr>
        <w:t>13</w:t>
      </w:r>
      <w:r>
        <w:rPr>
          <w:rFonts w:hint="eastAsia" w:ascii="宋体" w:hAnsi="宋体" w:cs="宋体"/>
          <w:kern w:val="0"/>
          <w:sz w:val="24"/>
        </w:rPr>
        <w:t xml:space="preserve"> 保险机构应根据评定机构核查评定报告的等级，与门窗投保人核实后出具相对应的保单。</w:t>
      </w:r>
    </w:p>
    <w:p>
      <w:pPr>
        <w:adjustRightInd w:val="0"/>
        <w:snapToGrid w:val="0"/>
        <w:spacing w:line="360" w:lineRule="auto"/>
        <w:rPr>
          <w:rFonts w:ascii="宋体" w:hAnsi="宋体" w:cs="宋体"/>
          <w:kern w:val="0"/>
          <w:sz w:val="24"/>
        </w:rPr>
      </w:pPr>
      <w:r>
        <w:rPr>
          <w:rFonts w:hint="eastAsia" w:ascii="宋体" w:hAnsi="宋体" w:cs="宋体"/>
          <w:kern w:val="0"/>
          <w:sz w:val="24"/>
        </w:rPr>
        <w:t>3.</w:t>
      </w:r>
      <w:r>
        <w:rPr>
          <w:rFonts w:hint="eastAsia" w:ascii="宋体" w:hAnsi="宋体" w:cs="宋体"/>
          <w:kern w:val="0"/>
          <w:sz w:val="24"/>
          <w:lang w:val="en-US" w:eastAsia="zh-CN"/>
        </w:rPr>
        <w:t>0</w:t>
      </w:r>
      <w:r>
        <w:rPr>
          <w:rFonts w:hint="eastAsia" w:ascii="宋体" w:hAnsi="宋体" w:cs="宋体"/>
          <w:kern w:val="0"/>
          <w:sz w:val="24"/>
        </w:rPr>
        <w:t>.</w:t>
      </w:r>
      <w:r>
        <w:rPr>
          <w:rFonts w:hint="eastAsia" w:ascii="宋体" w:hAnsi="宋体" w:cs="宋体"/>
          <w:kern w:val="0"/>
          <w:sz w:val="24"/>
          <w:lang w:val="en-US" w:eastAsia="zh-CN"/>
        </w:rPr>
        <w:t>14</w:t>
      </w:r>
      <w:r>
        <w:rPr>
          <w:rFonts w:hint="eastAsia" w:ascii="宋体" w:hAnsi="宋体" w:cs="宋体"/>
          <w:kern w:val="0"/>
          <w:sz w:val="24"/>
        </w:rPr>
        <w:t xml:space="preserve"> 保险公司理赔服务</w:t>
      </w:r>
    </w:p>
    <w:p>
      <w:pPr>
        <w:pStyle w:val="28"/>
        <w:spacing w:line="360" w:lineRule="auto"/>
        <w:ind w:firstLine="480"/>
        <w:rPr>
          <w:rFonts w:ascii="Times New Roman" w:cs="宋体"/>
          <w:sz w:val="24"/>
          <w:szCs w:val="24"/>
        </w:rPr>
      </w:pPr>
      <w:r>
        <w:rPr>
          <w:rFonts w:hint="eastAsia" w:ascii="Times New Roman" w:cs="宋体"/>
          <w:sz w:val="24"/>
          <w:szCs w:val="24"/>
        </w:rPr>
        <w:t>对门窗设计合理性，对原材料进场质量控制文件进行检查并抽检复核，对门窗企业（投保人）生产工厂（固定地址）进行生产工艺检查，对整窗产品进行性能复核以及对门窗现场安装质量进行检查。</w:t>
      </w:r>
    </w:p>
    <w:p>
      <w:pPr>
        <w:adjustRightInd w:val="0"/>
        <w:snapToGrid w:val="0"/>
        <w:spacing w:line="360" w:lineRule="auto"/>
        <w:jc w:val="center"/>
        <w:textAlignment w:val="center"/>
      </w:pPr>
      <w:r>
        <w:drawing>
          <wp:inline distT="0" distB="0" distL="114300" distR="114300">
            <wp:extent cx="3608070" cy="2367280"/>
            <wp:effectExtent l="0" t="0" r="3810"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9"/>
                    <a:srcRect b="5061"/>
                    <a:stretch>
                      <a:fillRect/>
                    </a:stretch>
                  </pic:blipFill>
                  <pic:spPr>
                    <a:xfrm>
                      <a:off x="0" y="0"/>
                      <a:ext cx="3608070" cy="2367280"/>
                    </a:xfrm>
                    <a:prstGeom prst="rect">
                      <a:avLst/>
                    </a:prstGeom>
                    <a:noFill/>
                    <a:ln>
                      <a:noFill/>
                    </a:ln>
                  </pic:spPr>
                </pic:pic>
              </a:graphicData>
            </a:graphic>
          </wp:inline>
        </w:drawing>
      </w:r>
    </w:p>
    <w:p>
      <w:pPr>
        <w:adjustRightInd w:val="0"/>
        <w:snapToGrid w:val="0"/>
        <w:spacing w:line="360" w:lineRule="auto"/>
        <w:jc w:val="center"/>
        <w:rPr>
          <w:rFonts w:cs="宋体"/>
          <w:kern w:val="0"/>
          <w:sz w:val="24"/>
        </w:rPr>
      </w:pPr>
      <w:r>
        <w:rPr>
          <w:rFonts w:ascii="宋体" w:hAnsi="宋体" w:cs="宋体"/>
          <w:spacing w:val="6"/>
          <w:sz w:val="20"/>
          <w:szCs w:val="20"/>
        </w:rPr>
        <w:t>图</w:t>
      </w:r>
      <w:r>
        <w:rPr>
          <w:rFonts w:ascii="宋体" w:hAnsi="宋体" w:cs="宋体"/>
          <w:spacing w:val="5"/>
          <w:sz w:val="20"/>
          <w:szCs w:val="20"/>
        </w:rPr>
        <w:t>3.</w:t>
      </w:r>
      <w:r>
        <w:rPr>
          <w:rFonts w:hint="eastAsia" w:ascii="宋体" w:hAnsi="宋体" w:cs="宋体"/>
          <w:spacing w:val="5"/>
          <w:sz w:val="20"/>
          <w:szCs w:val="20"/>
        </w:rPr>
        <w:t>2.7</w:t>
      </w:r>
      <w:r>
        <w:rPr>
          <w:rFonts w:ascii="宋体" w:hAnsi="宋体" w:cs="宋体"/>
          <w:spacing w:val="5"/>
          <w:sz w:val="20"/>
          <w:szCs w:val="20"/>
        </w:rPr>
        <w:t xml:space="preserve"> 理赔流程图</w:t>
      </w:r>
    </w:p>
    <w:p>
      <w:pPr>
        <w:rPr>
          <w:rFonts w:cs="宋体"/>
          <w:kern w:val="0"/>
          <w:sz w:val="24"/>
        </w:rPr>
      </w:pPr>
      <w:r>
        <w:rPr>
          <w:rFonts w:hint="eastAsia" w:cs="宋体"/>
          <w:kern w:val="0"/>
          <w:sz w:val="24"/>
        </w:rPr>
        <w:br w:type="page"/>
      </w:r>
    </w:p>
    <w:p>
      <w:pPr>
        <w:pStyle w:val="2"/>
        <w:keepNext w:val="0"/>
        <w:keepLines w:val="0"/>
        <w:snapToGrid w:val="0"/>
        <w:spacing w:before="0" w:after="0" w:line="312" w:lineRule="auto"/>
        <w:jc w:val="center"/>
        <w:rPr>
          <w:rFonts w:cs="宋体"/>
          <w:color w:val="000000"/>
          <w:sz w:val="30"/>
          <w:szCs w:val="30"/>
        </w:rPr>
      </w:pPr>
      <w:bookmarkStart w:id="46" w:name="_Toc23363"/>
      <w:r>
        <w:rPr>
          <w:rFonts w:hint="eastAsia" w:ascii="黑体" w:hAnsi="黑体" w:eastAsia="黑体" w:cs="黑体"/>
          <w:b w:val="0"/>
          <w:bCs w:val="0"/>
          <w:color w:val="000000"/>
          <w:sz w:val="32"/>
          <w:szCs w:val="32"/>
        </w:rPr>
        <w:t xml:space="preserve">4 </w:t>
      </w:r>
      <w:bookmarkEnd w:id="44"/>
      <w:bookmarkEnd w:id="45"/>
      <w:r>
        <w:rPr>
          <w:rFonts w:hint="eastAsia" w:ascii="黑体" w:hAnsi="黑体" w:eastAsia="黑体" w:cs="黑体"/>
          <w:b w:val="0"/>
          <w:bCs w:val="0"/>
          <w:color w:val="000000"/>
          <w:sz w:val="32"/>
          <w:szCs w:val="32"/>
        </w:rPr>
        <w:t>门窗工程保险核查内容及评定</w:t>
      </w:r>
      <w:bookmarkEnd w:id="46"/>
    </w:p>
    <w:p>
      <w:pPr>
        <w:spacing w:line="360" w:lineRule="auto"/>
        <w:jc w:val="center"/>
        <w:outlineLvl w:val="1"/>
        <w:rPr>
          <w:rFonts w:ascii="黑体" w:hAnsi="黑体" w:eastAsia="黑体" w:cs="黑体"/>
          <w:color w:val="000000"/>
          <w:kern w:val="44"/>
          <w:sz w:val="28"/>
          <w:szCs w:val="28"/>
        </w:rPr>
      </w:pPr>
      <w:r>
        <w:rPr>
          <w:rFonts w:hint="eastAsia" w:ascii="黑体" w:hAnsi="黑体" w:eastAsia="黑体" w:cs="黑体"/>
          <w:color w:val="000000"/>
          <w:kern w:val="44"/>
          <w:sz w:val="28"/>
          <w:szCs w:val="28"/>
        </w:rPr>
        <w:t>4.1一般规定</w:t>
      </w:r>
    </w:p>
    <w:p>
      <w:pPr>
        <w:pStyle w:val="70"/>
        <w:numPr>
          <w:ilvl w:val="0"/>
          <w:numId w:val="0"/>
        </w:numPr>
        <w:spacing w:before="240" w:after="240" w:line="360" w:lineRule="auto"/>
        <w:outlineLvl w:val="9"/>
        <w:rPr>
          <w:rFonts w:ascii="Times New Roman" w:eastAsia="宋体"/>
          <w:sz w:val="24"/>
          <w:szCs w:val="24"/>
        </w:rPr>
      </w:pPr>
      <w:bookmarkStart w:id="47" w:name="_Toc23241"/>
      <w:bookmarkStart w:id="48" w:name="_Toc19776"/>
      <w:r>
        <w:rPr>
          <w:rFonts w:hint="eastAsia" w:ascii="Times New Roman" w:eastAsia="宋体"/>
          <w:sz w:val="24"/>
          <w:szCs w:val="24"/>
        </w:rPr>
        <w:t>4.1.1 建筑门窗保险的评定包括技术性指标与非技术性指标两个部分。</w:t>
      </w:r>
    </w:p>
    <w:p>
      <w:pPr>
        <w:pStyle w:val="70"/>
        <w:numPr>
          <w:ilvl w:val="0"/>
          <w:numId w:val="0"/>
        </w:numPr>
        <w:spacing w:before="240" w:after="240" w:line="360" w:lineRule="auto"/>
        <w:outlineLvl w:val="9"/>
        <w:rPr>
          <w:rFonts w:ascii="Times New Roman" w:eastAsia="宋体"/>
          <w:sz w:val="24"/>
          <w:szCs w:val="24"/>
        </w:rPr>
      </w:pPr>
      <w:r>
        <w:rPr>
          <w:rFonts w:hint="eastAsia" w:ascii="Times New Roman" w:eastAsia="宋体"/>
          <w:sz w:val="24"/>
          <w:szCs w:val="24"/>
        </w:rPr>
        <w:t>4.1.2 技术性指标包括门窗制作质量（D</w:t>
      </w:r>
      <w:r>
        <w:rPr>
          <w:rFonts w:hint="eastAsia" w:ascii="Times New Roman" w:eastAsia="宋体"/>
          <w:sz w:val="24"/>
          <w:szCs w:val="24"/>
          <w:vertAlign w:val="subscript"/>
        </w:rPr>
        <w:t>1</w:t>
      </w:r>
      <w:r>
        <w:rPr>
          <w:rFonts w:hint="eastAsia" w:ascii="Times New Roman" w:eastAsia="宋体"/>
          <w:sz w:val="24"/>
          <w:szCs w:val="24"/>
        </w:rPr>
        <w:t>）和现场安装质量（D</w:t>
      </w:r>
      <w:r>
        <w:rPr>
          <w:rFonts w:hint="eastAsia" w:ascii="Times New Roman" w:eastAsia="宋体"/>
          <w:sz w:val="24"/>
          <w:szCs w:val="24"/>
          <w:vertAlign w:val="subscript"/>
        </w:rPr>
        <w:t>2</w:t>
      </w:r>
      <w:r>
        <w:rPr>
          <w:rFonts w:hint="eastAsia" w:ascii="Times New Roman" w:eastAsia="宋体"/>
          <w:sz w:val="24"/>
          <w:szCs w:val="24"/>
        </w:rPr>
        <w:t>）。其中门窗制作质量包括门窗设计（D</w:t>
      </w:r>
      <w:r>
        <w:rPr>
          <w:rFonts w:hint="eastAsia" w:ascii="Times New Roman" w:eastAsia="宋体"/>
          <w:sz w:val="24"/>
          <w:szCs w:val="24"/>
          <w:vertAlign w:val="subscript"/>
        </w:rPr>
        <w:t>11</w:t>
      </w:r>
      <w:r>
        <w:rPr>
          <w:rFonts w:hint="eastAsia" w:ascii="Times New Roman" w:eastAsia="宋体"/>
          <w:sz w:val="24"/>
          <w:szCs w:val="24"/>
        </w:rPr>
        <w:t>）、材料质量（D</w:t>
      </w:r>
      <w:r>
        <w:rPr>
          <w:rFonts w:hint="eastAsia" w:ascii="Times New Roman" w:eastAsia="宋体"/>
          <w:sz w:val="24"/>
          <w:szCs w:val="24"/>
          <w:vertAlign w:val="subscript"/>
        </w:rPr>
        <w:t>12</w:t>
      </w:r>
      <w:r>
        <w:rPr>
          <w:rFonts w:hint="eastAsia" w:ascii="Times New Roman" w:eastAsia="宋体"/>
          <w:sz w:val="24"/>
          <w:szCs w:val="24"/>
        </w:rPr>
        <w:t>）、产品加工和组装质量（D</w:t>
      </w:r>
      <w:r>
        <w:rPr>
          <w:rFonts w:hint="eastAsia" w:ascii="Times New Roman" w:eastAsia="宋体"/>
          <w:sz w:val="24"/>
          <w:szCs w:val="24"/>
          <w:vertAlign w:val="subscript"/>
        </w:rPr>
        <w:t>13</w:t>
      </w:r>
      <w:r>
        <w:rPr>
          <w:rFonts w:hint="eastAsia" w:ascii="Times New Roman" w:eastAsia="宋体"/>
          <w:sz w:val="24"/>
          <w:szCs w:val="24"/>
        </w:rPr>
        <w:t>）以及产品性能要求（D</w:t>
      </w:r>
      <w:r>
        <w:rPr>
          <w:rFonts w:hint="eastAsia" w:ascii="Times New Roman" w:eastAsia="宋体"/>
          <w:sz w:val="24"/>
          <w:szCs w:val="24"/>
          <w:vertAlign w:val="subscript"/>
        </w:rPr>
        <w:t>14</w:t>
      </w:r>
      <w:r>
        <w:rPr>
          <w:rFonts w:hint="eastAsia" w:ascii="Times New Roman" w:eastAsia="宋体"/>
          <w:sz w:val="24"/>
          <w:szCs w:val="24"/>
        </w:rPr>
        <w:t>）。现场安装质量包括</w:t>
      </w:r>
      <w:r>
        <w:rPr>
          <w:rFonts w:hint="eastAsia" w:ascii="Times New Roman" w:eastAsia="宋体"/>
          <w:spacing w:val="8"/>
          <w:sz w:val="23"/>
          <w:szCs w:val="23"/>
        </w:rPr>
        <w:t>施工方案（D</w:t>
      </w:r>
      <w:r>
        <w:rPr>
          <w:rFonts w:hint="eastAsia" w:ascii="Times New Roman" w:eastAsia="宋体"/>
          <w:spacing w:val="8"/>
          <w:sz w:val="23"/>
          <w:szCs w:val="23"/>
          <w:vertAlign w:val="subscript"/>
        </w:rPr>
        <w:t>21</w:t>
      </w:r>
      <w:r>
        <w:rPr>
          <w:rFonts w:hint="eastAsia" w:ascii="Times New Roman" w:eastAsia="宋体"/>
          <w:spacing w:val="8"/>
          <w:sz w:val="23"/>
          <w:szCs w:val="23"/>
        </w:rPr>
        <w:t>）、项目人员要求（D</w:t>
      </w:r>
      <w:r>
        <w:rPr>
          <w:rFonts w:hint="eastAsia" w:ascii="Times New Roman" w:eastAsia="宋体"/>
          <w:spacing w:val="8"/>
          <w:sz w:val="23"/>
          <w:szCs w:val="23"/>
          <w:vertAlign w:val="subscript"/>
        </w:rPr>
        <w:t>22</w:t>
      </w:r>
      <w:r>
        <w:rPr>
          <w:rFonts w:hint="eastAsia" w:ascii="Times New Roman" w:eastAsia="宋体"/>
          <w:spacing w:val="8"/>
          <w:sz w:val="23"/>
          <w:szCs w:val="23"/>
        </w:rPr>
        <w:t>）、现场安装质量（D</w:t>
      </w:r>
      <w:r>
        <w:rPr>
          <w:rFonts w:hint="eastAsia" w:ascii="Times New Roman" w:eastAsia="宋体"/>
          <w:spacing w:val="8"/>
          <w:sz w:val="23"/>
          <w:szCs w:val="23"/>
          <w:vertAlign w:val="subscript"/>
        </w:rPr>
        <w:t>23</w:t>
      </w:r>
      <w:r>
        <w:rPr>
          <w:rFonts w:hint="eastAsia" w:ascii="Times New Roman" w:eastAsia="宋体"/>
          <w:spacing w:val="8"/>
          <w:sz w:val="23"/>
          <w:szCs w:val="23"/>
        </w:rPr>
        <w:t>）</w:t>
      </w:r>
      <w:r>
        <w:rPr>
          <w:rFonts w:hint="eastAsia" w:ascii="Times New Roman" w:eastAsia="宋体"/>
          <w:sz w:val="24"/>
          <w:szCs w:val="24"/>
        </w:rPr>
        <w:t>以及门窗过程施工记录（D</w:t>
      </w:r>
      <w:r>
        <w:rPr>
          <w:rFonts w:hint="eastAsia" w:ascii="Times New Roman" w:eastAsia="宋体"/>
          <w:sz w:val="24"/>
          <w:szCs w:val="24"/>
          <w:vertAlign w:val="subscript"/>
        </w:rPr>
        <w:t>24</w:t>
      </w:r>
      <w:r>
        <w:rPr>
          <w:rFonts w:hint="eastAsia" w:ascii="Times New Roman" w:eastAsia="宋体"/>
          <w:sz w:val="24"/>
          <w:szCs w:val="24"/>
        </w:rPr>
        <w:t>）。</w:t>
      </w:r>
    </w:p>
    <w:p>
      <w:pPr>
        <w:pStyle w:val="70"/>
        <w:numPr>
          <w:ilvl w:val="0"/>
          <w:numId w:val="0"/>
        </w:numPr>
        <w:spacing w:before="240" w:after="240" w:line="360" w:lineRule="auto"/>
        <w:outlineLvl w:val="9"/>
        <w:rPr>
          <w:rFonts w:ascii="Times New Roman" w:eastAsia="宋体"/>
          <w:sz w:val="24"/>
          <w:szCs w:val="24"/>
        </w:rPr>
      </w:pPr>
      <w:r>
        <w:rPr>
          <w:rFonts w:hint="eastAsia" w:ascii="Times New Roman" w:eastAsia="宋体"/>
          <w:sz w:val="24"/>
          <w:szCs w:val="24"/>
        </w:rPr>
        <w:t>4.1.3 非技术性指标包括企业基础能力（S</w:t>
      </w:r>
      <w:r>
        <w:rPr>
          <w:rFonts w:hint="eastAsia" w:ascii="Times New Roman" w:eastAsia="宋体"/>
          <w:sz w:val="24"/>
          <w:szCs w:val="24"/>
          <w:vertAlign w:val="subscript"/>
        </w:rPr>
        <w:t>1</w:t>
      </w:r>
      <w:r>
        <w:rPr>
          <w:rFonts w:hint="eastAsia" w:ascii="Times New Roman" w:eastAsia="宋体"/>
          <w:sz w:val="24"/>
          <w:szCs w:val="24"/>
        </w:rPr>
        <w:t>）、地理位置（S</w:t>
      </w:r>
      <w:r>
        <w:rPr>
          <w:rFonts w:hint="eastAsia" w:ascii="Times New Roman" w:eastAsia="宋体"/>
          <w:sz w:val="24"/>
          <w:szCs w:val="24"/>
          <w:vertAlign w:val="subscript"/>
        </w:rPr>
        <w:t>2</w:t>
      </w:r>
      <w:r>
        <w:rPr>
          <w:rFonts w:hint="eastAsia" w:ascii="Times New Roman" w:eastAsia="宋体"/>
          <w:sz w:val="24"/>
          <w:szCs w:val="24"/>
        </w:rPr>
        <w:t>）、门窗维护管理（S</w:t>
      </w:r>
      <w:r>
        <w:rPr>
          <w:rFonts w:hint="eastAsia" w:ascii="Times New Roman" w:eastAsia="宋体"/>
          <w:sz w:val="24"/>
          <w:szCs w:val="24"/>
          <w:vertAlign w:val="subscript"/>
        </w:rPr>
        <w:t>3</w:t>
      </w:r>
      <w:r>
        <w:rPr>
          <w:rFonts w:hint="eastAsia" w:ascii="Times New Roman" w:eastAsia="宋体"/>
          <w:sz w:val="24"/>
          <w:szCs w:val="24"/>
        </w:rPr>
        <w:t>）以及损失记录（S</w:t>
      </w:r>
      <w:r>
        <w:rPr>
          <w:rFonts w:hint="eastAsia" w:ascii="Times New Roman" w:eastAsia="宋体"/>
          <w:sz w:val="24"/>
          <w:szCs w:val="24"/>
          <w:vertAlign w:val="subscript"/>
        </w:rPr>
        <w:t>4</w:t>
      </w:r>
      <w:r>
        <w:rPr>
          <w:rFonts w:hint="eastAsia" w:ascii="Times New Roman" w:eastAsia="宋体"/>
          <w:sz w:val="24"/>
          <w:szCs w:val="24"/>
        </w:rPr>
        <w:t>）四个部分。</w:t>
      </w:r>
      <w:bookmarkEnd w:id="47"/>
      <w:bookmarkEnd w:id="48"/>
    </w:p>
    <w:p>
      <w:pPr>
        <w:pStyle w:val="70"/>
        <w:numPr>
          <w:ilvl w:val="0"/>
          <w:numId w:val="0"/>
        </w:numPr>
        <w:spacing w:before="240" w:after="240" w:line="360" w:lineRule="auto"/>
        <w:outlineLvl w:val="9"/>
        <w:rPr>
          <w:rFonts w:ascii="Times New Roman" w:eastAsia="宋体"/>
          <w:sz w:val="24"/>
          <w:szCs w:val="24"/>
        </w:rPr>
      </w:pPr>
      <w:r>
        <w:rPr>
          <w:rFonts w:hint="eastAsia" w:ascii="Times New Roman" w:eastAsia="宋体"/>
          <w:sz w:val="24"/>
          <w:szCs w:val="24"/>
        </w:rPr>
        <w:t>4.1.4 建筑门窗工程保险等级评定应符合表4.1.6的要求。评定体系共有十二类指标，各指标单项总分为100分，每项指标有对应的调整系数。单项评分应有明确的评分依据。</w:t>
      </w:r>
    </w:p>
    <w:p>
      <w:pPr>
        <w:pStyle w:val="70"/>
        <w:numPr>
          <w:ilvl w:val="0"/>
          <w:numId w:val="0"/>
        </w:numPr>
        <w:spacing w:before="240" w:after="240" w:line="360" w:lineRule="auto"/>
        <w:outlineLvl w:val="9"/>
        <w:rPr>
          <w:rFonts w:ascii="Times New Roman" w:eastAsia="宋体"/>
          <w:sz w:val="24"/>
          <w:szCs w:val="24"/>
        </w:rPr>
      </w:pPr>
      <w:bookmarkStart w:id="49" w:name="_Toc30626"/>
      <w:bookmarkStart w:id="50" w:name="_Toc30433"/>
      <w:r>
        <w:rPr>
          <w:rFonts w:hint="eastAsia" w:ascii="Times New Roman" w:eastAsia="宋体"/>
          <w:sz w:val="24"/>
          <w:szCs w:val="24"/>
        </w:rPr>
        <w:t>4.1.5 建筑门窗工程保险的评定等级应按照综合评定得分确定。</w:t>
      </w:r>
      <w:bookmarkEnd w:id="49"/>
      <w:bookmarkEnd w:id="50"/>
    </w:p>
    <w:p>
      <w:pPr>
        <w:pStyle w:val="70"/>
        <w:numPr>
          <w:ilvl w:val="0"/>
          <w:numId w:val="0"/>
        </w:numPr>
        <w:spacing w:before="240" w:after="240" w:line="360" w:lineRule="auto"/>
        <w:ind w:firstLine="2880" w:firstLineChars="1200"/>
        <w:outlineLvl w:val="9"/>
        <w:rPr>
          <w:rFonts w:ascii="宋体" w:hAnsi="宋体" w:eastAsia="宋体" w:cs="宋体"/>
          <w:sz w:val="24"/>
          <w:szCs w:val="24"/>
        </w:rPr>
      </w:pPr>
      <w:r>
        <w:rPr>
          <w:rFonts w:hint="eastAsia" w:ascii="宋体" w:hAnsi="宋体" w:eastAsia="宋体" w:cs="宋体"/>
          <w:sz w:val="24"/>
          <w:szCs w:val="24"/>
        </w:rPr>
        <w:t>表4.1.5 建筑门窗工程保险的评定等级表</w:t>
      </w:r>
    </w:p>
    <w:tbl>
      <w:tblPr>
        <w:tblStyle w:val="39"/>
        <w:tblW w:w="50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511"/>
        <w:gridCol w:w="511"/>
        <w:gridCol w:w="512"/>
        <w:gridCol w:w="512"/>
        <w:gridCol w:w="512"/>
        <w:gridCol w:w="512"/>
        <w:gridCol w:w="512"/>
        <w:gridCol w:w="512"/>
        <w:gridCol w:w="492"/>
        <w:gridCol w:w="492"/>
        <w:gridCol w:w="492"/>
        <w:gridCol w:w="494"/>
        <w:gridCol w:w="1141"/>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vMerge w:val="restart"/>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pStyle w:val="35"/>
              <w:spacing w:line="360" w:lineRule="auto"/>
              <w:ind w:firstLine="482" w:firstLineChars="200"/>
              <w:rPr>
                <w:rFonts w:cs="宋体"/>
                <w:b/>
                <w:bCs/>
                <w:szCs w:val="24"/>
              </w:rPr>
            </w:pPr>
            <w:r>
              <w:rPr>
                <w:rFonts w:hint="eastAsia" w:cs="宋体"/>
                <w:b/>
                <w:bCs/>
                <w:szCs w:val="24"/>
              </w:rPr>
              <w:t>项目</w:t>
            </w:r>
          </w:p>
          <w:p>
            <w:pPr>
              <w:pStyle w:val="35"/>
              <w:spacing w:line="360" w:lineRule="auto"/>
              <w:rPr>
                <w:rFonts w:cs="宋体"/>
                <w:b/>
                <w:bCs/>
                <w:szCs w:val="24"/>
              </w:rPr>
            </w:pPr>
            <w:r>
              <w:rPr>
                <w:rFonts w:hint="eastAsia" w:cs="宋体"/>
                <w:b/>
                <w:bCs/>
                <w:szCs w:val="24"/>
              </w:rPr>
              <w:t>等级</w:t>
            </w:r>
          </w:p>
        </w:tc>
        <w:tc>
          <w:tcPr>
            <w:tcW w:w="4080"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pStyle w:val="35"/>
              <w:snapToGrid w:val="0"/>
              <w:spacing w:before="0" w:beforeAutospacing="0" w:after="0" w:afterAutospacing="0" w:line="360" w:lineRule="auto"/>
              <w:jc w:val="center"/>
              <w:rPr>
                <w:rFonts w:cs="宋体"/>
                <w:b/>
                <w:bCs/>
                <w:szCs w:val="24"/>
                <w:lang w:bidi="ar"/>
              </w:rPr>
            </w:pPr>
            <w:r>
              <w:rPr>
                <w:rFonts w:hint="eastAsia" w:cs="宋体"/>
                <w:b/>
                <w:bCs/>
                <w:szCs w:val="24"/>
                <w:lang w:bidi="ar"/>
              </w:rPr>
              <w:t>技术指标内容</w:t>
            </w:r>
          </w:p>
        </w:tc>
        <w:tc>
          <w:tcPr>
            <w:tcW w:w="1959" w:type="dxa"/>
            <w:gridSpan w:val="4"/>
            <w:vMerge w:val="restart"/>
            <w:tcBorders>
              <w:top w:val="single" w:color="auto" w:sz="4" w:space="0"/>
              <w:left w:val="single" w:color="auto" w:sz="4" w:space="0"/>
              <w:right w:val="single" w:color="auto" w:sz="4" w:space="0"/>
            </w:tcBorders>
            <w:shd w:val="clear" w:color="auto" w:fill="auto"/>
            <w:vAlign w:val="center"/>
          </w:tcPr>
          <w:p>
            <w:pPr>
              <w:pStyle w:val="35"/>
              <w:spacing w:line="360" w:lineRule="auto"/>
              <w:jc w:val="center"/>
              <w:rPr>
                <w:rFonts w:cs="宋体"/>
                <w:b/>
                <w:bCs/>
                <w:szCs w:val="24"/>
              </w:rPr>
            </w:pPr>
            <w:r>
              <w:rPr>
                <w:rFonts w:hint="eastAsia" w:cs="宋体"/>
                <w:b/>
                <w:bCs/>
                <w:szCs w:val="24"/>
                <w:lang w:bidi="ar"/>
              </w:rPr>
              <w:t>非技术指标内容</w:t>
            </w:r>
          </w:p>
        </w:tc>
        <w:tc>
          <w:tcPr>
            <w:tcW w:w="1148" w:type="dxa"/>
            <w:vMerge w:val="restart"/>
            <w:tcBorders>
              <w:top w:val="single" w:color="auto" w:sz="4" w:space="0"/>
              <w:left w:val="single" w:color="auto" w:sz="4" w:space="0"/>
              <w:right w:val="single" w:color="auto" w:sz="4" w:space="0"/>
            </w:tcBorders>
            <w:shd w:val="clear" w:color="auto" w:fill="auto"/>
            <w:vAlign w:val="center"/>
          </w:tcPr>
          <w:p>
            <w:pPr>
              <w:pStyle w:val="35"/>
              <w:spacing w:line="360" w:lineRule="auto"/>
              <w:jc w:val="center"/>
              <w:rPr>
                <w:rFonts w:cs="宋体"/>
                <w:b/>
                <w:bCs/>
                <w:szCs w:val="24"/>
              </w:rPr>
            </w:pPr>
            <w:r>
              <w:rPr>
                <w:rFonts w:hint="eastAsia" w:cs="宋体"/>
                <w:b/>
                <w:bCs/>
                <w:szCs w:val="24"/>
                <w:lang w:bidi="ar"/>
              </w:rPr>
              <w:t>风险      总评</w:t>
            </w:r>
          </w:p>
        </w:tc>
        <w:tc>
          <w:tcPr>
            <w:tcW w:w="1149" w:type="dxa"/>
            <w:vMerge w:val="restart"/>
            <w:tcBorders>
              <w:top w:val="single" w:color="auto" w:sz="4" w:space="0"/>
              <w:left w:val="single" w:color="auto" w:sz="4" w:space="0"/>
              <w:right w:val="single" w:color="auto" w:sz="4" w:space="0"/>
            </w:tcBorders>
            <w:shd w:val="clear" w:color="auto" w:fill="auto"/>
            <w:vAlign w:val="center"/>
          </w:tcPr>
          <w:p>
            <w:pPr>
              <w:pStyle w:val="35"/>
              <w:spacing w:line="360" w:lineRule="auto"/>
              <w:jc w:val="center"/>
              <w:rPr>
                <w:rFonts w:cs="宋体"/>
                <w:b/>
                <w:bCs/>
                <w:szCs w:val="24"/>
              </w:rPr>
            </w:pPr>
            <w:r>
              <w:rPr>
                <w:rFonts w:hint="eastAsia" w:cs="宋体"/>
                <w:b/>
                <w:bCs/>
                <w:szCs w:val="24"/>
                <w:lang w:bidi="ar"/>
              </w:rPr>
              <w:t>是否       承保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vMerge w:val="continue"/>
            <w:tcBorders>
              <w:left w:val="single" w:color="auto" w:sz="4" w:space="0"/>
              <w:right w:val="single" w:color="auto" w:sz="4" w:space="0"/>
              <w:tl2br w:val="single" w:color="auto" w:sz="4" w:space="0"/>
            </w:tcBorders>
            <w:shd w:val="clear" w:color="auto" w:fill="auto"/>
            <w:vAlign w:val="center"/>
          </w:tcPr>
          <w:p>
            <w:pPr>
              <w:pStyle w:val="35"/>
              <w:spacing w:line="360" w:lineRule="auto"/>
              <w:rPr>
                <w:rFonts w:cs="宋体"/>
                <w:b/>
                <w:bCs/>
                <w:szCs w:val="24"/>
              </w:rPr>
            </w:pPr>
          </w:p>
        </w:tc>
        <w:tc>
          <w:tcPr>
            <w:tcW w:w="204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35"/>
              <w:snapToGrid w:val="0"/>
              <w:spacing w:before="0" w:beforeAutospacing="0" w:after="0" w:afterAutospacing="0" w:line="360" w:lineRule="auto"/>
              <w:jc w:val="center"/>
              <w:rPr>
                <w:rFonts w:cs="宋体"/>
                <w:b/>
                <w:bCs/>
                <w:szCs w:val="24"/>
                <w:lang w:bidi="ar"/>
              </w:rPr>
            </w:pPr>
            <w:r>
              <w:rPr>
                <w:rFonts w:hint="eastAsia" w:cs="宋体"/>
                <w:b/>
                <w:bCs/>
                <w:szCs w:val="24"/>
                <w:lang w:bidi="ar"/>
              </w:rPr>
              <w:t>门窗制作质量</w:t>
            </w:r>
          </w:p>
        </w:tc>
        <w:tc>
          <w:tcPr>
            <w:tcW w:w="204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35"/>
              <w:snapToGrid w:val="0"/>
              <w:spacing w:before="0" w:beforeAutospacing="0" w:after="0" w:afterAutospacing="0" w:line="360" w:lineRule="auto"/>
              <w:jc w:val="center"/>
              <w:rPr>
                <w:rFonts w:cs="宋体"/>
                <w:b/>
                <w:bCs/>
                <w:szCs w:val="24"/>
                <w:lang w:bidi="ar"/>
              </w:rPr>
            </w:pPr>
            <w:r>
              <w:rPr>
                <w:rFonts w:hint="eastAsia" w:ascii="Times New Roman"/>
                <w:b/>
                <w:bCs/>
                <w:szCs w:val="24"/>
              </w:rPr>
              <w:t>现场安装质量</w:t>
            </w:r>
          </w:p>
        </w:tc>
        <w:tc>
          <w:tcPr>
            <w:tcW w:w="1959" w:type="dxa"/>
            <w:gridSpan w:val="4"/>
            <w:vMerge w:val="continue"/>
            <w:tcBorders>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b/>
                <w:bCs/>
                <w:szCs w:val="24"/>
                <w:lang w:bidi="ar"/>
              </w:rPr>
            </w:pPr>
          </w:p>
        </w:tc>
        <w:tc>
          <w:tcPr>
            <w:tcW w:w="1148" w:type="dxa"/>
            <w:vMerge w:val="continue"/>
            <w:tcBorders>
              <w:left w:val="single" w:color="auto" w:sz="4" w:space="0"/>
              <w:right w:val="single" w:color="auto" w:sz="4" w:space="0"/>
            </w:tcBorders>
            <w:shd w:val="clear" w:color="auto" w:fill="auto"/>
            <w:vAlign w:val="center"/>
          </w:tcPr>
          <w:p>
            <w:pPr>
              <w:pStyle w:val="35"/>
              <w:spacing w:line="360" w:lineRule="auto"/>
              <w:jc w:val="center"/>
              <w:rPr>
                <w:rFonts w:cs="宋体"/>
                <w:b/>
                <w:bCs/>
                <w:szCs w:val="24"/>
                <w:lang w:bidi="ar"/>
              </w:rPr>
            </w:pPr>
          </w:p>
        </w:tc>
        <w:tc>
          <w:tcPr>
            <w:tcW w:w="1149" w:type="dxa"/>
            <w:vMerge w:val="continue"/>
            <w:tcBorders>
              <w:left w:val="single" w:color="auto" w:sz="4" w:space="0"/>
              <w:right w:val="single" w:color="auto" w:sz="4" w:space="0"/>
            </w:tcBorders>
            <w:shd w:val="clear" w:color="auto" w:fill="auto"/>
            <w:vAlign w:val="center"/>
          </w:tcPr>
          <w:p>
            <w:pPr>
              <w:pStyle w:val="35"/>
              <w:spacing w:line="360" w:lineRule="auto"/>
              <w:jc w:val="center"/>
              <w:rPr>
                <w:rFonts w:cs="宋体"/>
                <w:b/>
                <w:bCs/>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sz w:val="24"/>
              </w:rPr>
            </w:pP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szCs w:val="24"/>
              </w:rPr>
            </w:pPr>
            <w:r>
              <w:rPr>
                <w:rFonts w:hint="eastAsia" w:cs="宋体"/>
                <w:szCs w:val="24"/>
                <w:lang w:bidi="ar"/>
              </w:rPr>
              <w:t>门窗  设计</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szCs w:val="24"/>
              </w:rPr>
            </w:pPr>
            <w:r>
              <w:rPr>
                <w:rFonts w:hint="eastAsia" w:cs="宋体"/>
                <w:szCs w:val="24"/>
              </w:rPr>
              <w:t>材料检验</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szCs w:val="24"/>
              </w:rPr>
            </w:pPr>
            <w:r>
              <w:rPr>
                <w:rFonts w:hint="eastAsia" w:cs="宋体"/>
                <w:szCs w:val="24"/>
                <w:lang w:bidi="ar"/>
              </w:rPr>
              <w:t>加工组装</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szCs w:val="24"/>
              </w:rPr>
            </w:pPr>
            <w:r>
              <w:rPr>
                <w:rFonts w:hint="eastAsia" w:cs="宋体"/>
                <w:szCs w:val="24"/>
                <w:lang w:bidi="ar"/>
              </w:rPr>
              <w:t>产品  性能</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szCs w:val="24"/>
                <w:lang w:bidi="ar"/>
              </w:rPr>
            </w:pPr>
            <w:r>
              <w:rPr>
                <w:rFonts w:hint="eastAsia" w:cs="宋体"/>
                <w:szCs w:val="24"/>
              </w:rPr>
              <w:t>施工方案</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szCs w:val="24"/>
              </w:rPr>
            </w:pPr>
            <w:r>
              <w:rPr>
                <w:rFonts w:hint="eastAsia" w:cs="宋体"/>
                <w:szCs w:val="24"/>
              </w:rPr>
              <w:t>人员要求</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szCs w:val="24"/>
              </w:rPr>
            </w:pPr>
            <w:r>
              <w:rPr>
                <w:rFonts w:hint="eastAsia" w:cs="宋体"/>
                <w:szCs w:val="24"/>
              </w:rPr>
              <w:t>现场安装</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szCs w:val="24"/>
              </w:rPr>
            </w:pPr>
            <w:r>
              <w:rPr>
                <w:rFonts w:hint="eastAsia" w:cs="宋体"/>
                <w:szCs w:val="24"/>
              </w:rPr>
              <w:t>过程施工</w:t>
            </w:r>
          </w:p>
        </w:tc>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szCs w:val="24"/>
              </w:rPr>
            </w:pPr>
            <w:r>
              <w:rPr>
                <w:rFonts w:hint="eastAsia" w:cs="宋体"/>
                <w:szCs w:val="24"/>
              </w:rPr>
              <w:t>企业能力</w:t>
            </w:r>
          </w:p>
        </w:tc>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szCs w:val="24"/>
              </w:rPr>
            </w:pPr>
            <w:r>
              <w:rPr>
                <w:rFonts w:hint="eastAsia" w:cs="宋体"/>
                <w:szCs w:val="24"/>
                <w:lang w:bidi="ar"/>
              </w:rPr>
              <w:t>地理位置</w:t>
            </w:r>
          </w:p>
        </w:tc>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szCs w:val="24"/>
              </w:rPr>
            </w:pPr>
            <w:r>
              <w:rPr>
                <w:rFonts w:hint="eastAsia" w:cs="宋体"/>
                <w:szCs w:val="24"/>
                <w:lang w:bidi="ar"/>
              </w:rPr>
              <w:t>运维管理</w:t>
            </w:r>
          </w:p>
        </w:tc>
        <w:tc>
          <w:tcPr>
            <w:tcW w:w="49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szCs w:val="24"/>
              </w:rPr>
            </w:pPr>
            <w:r>
              <w:rPr>
                <w:rFonts w:hint="eastAsia" w:cs="宋体"/>
                <w:szCs w:val="24"/>
                <w:lang w:bidi="ar"/>
              </w:rPr>
              <w:t>损失记录</w:t>
            </w:r>
          </w:p>
        </w:tc>
        <w:tc>
          <w:tcPr>
            <w:tcW w:w="1148" w:type="dxa"/>
            <w:vMerge w:val="continue"/>
            <w:tcBorders>
              <w:left w:val="single" w:color="auto" w:sz="4" w:space="0"/>
              <w:right w:val="single" w:color="auto" w:sz="4" w:space="0"/>
            </w:tcBorders>
            <w:shd w:val="clear" w:color="auto" w:fill="auto"/>
            <w:vAlign w:val="center"/>
          </w:tcPr>
          <w:p>
            <w:pPr>
              <w:spacing w:line="360" w:lineRule="auto"/>
              <w:rPr>
                <w:rFonts w:ascii="宋体" w:hAnsi="宋体" w:cs="宋体"/>
                <w:sz w:val="24"/>
              </w:rPr>
            </w:pPr>
          </w:p>
        </w:tc>
        <w:tc>
          <w:tcPr>
            <w:tcW w:w="1149" w:type="dxa"/>
            <w:vMerge w:val="continue"/>
            <w:tcBorders>
              <w:left w:val="single" w:color="auto" w:sz="4" w:space="0"/>
              <w:right w:val="single" w:color="auto" w:sz="4" w:space="0"/>
            </w:tcBorders>
            <w:shd w:val="clear" w:color="auto" w:fill="auto"/>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b/>
                <w:bCs/>
                <w:szCs w:val="24"/>
              </w:rPr>
            </w:pPr>
            <w:r>
              <w:rPr>
                <w:rFonts w:hint="eastAsia" w:cs="宋体"/>
                <w:b/>
                <w:bCs/>
                <w:szCs w:val="24"/>
                <w:lang w:bidi="ar"/>
              </w:rPr>
              <w:t>一级（90分以上）</w:t>
            </w:r>
          </w:p>
        </w:tc>
        <w:tc>
          <w:tcPr>
            <w:tcW w:w="6039"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rPr>
                <w:rFonts w:cs="宋体"/>
                <w:szCs w:val="24"/>
                <w:lang w:bidi="ar"/>
              </w:rPr>
            </w:pPr>
            <w:r>
              <w:rPr>
                <w:rFonts w:hint="eastAsia" w:cs="宋体"/>
                <w:szCs w:val="24"/>
                <w:lang w:bidi="ar"/>
              </w:rPr>
              <w:t>满足本标准所有控制项要求，且每类指标的评分项得分不应小于60分，评定总得分达到90分及以上</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rPr>
                <w:rFonts w:cs="宋体"/>
                <w:szCs w:val="24"/>
                <w:lang w:bidi="ar"/>
              </w:rPr>
            </w:pPr>
            <w:r>
              <w:rPr>
                <w:rFonts w:hint="eastAsia" w:cs="宋体"/>
                <w:szCs w:val="24"/>
                <w:lang w:bidi="ar"/>
              </w:rPr>
              <w:t>基本无质量和责任风险</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rPr>
                <w:rFonts w:cs="宋体"/>
                <w:szCs w:val="24"/>
                <w:lang w:bidi="ar"/>
              </w:rPr>
            </w:pPr>
            <w:r>
              <w:rPr>
                <w:rFonts w:hint="eastAsia" w:cs="宋体"/>
                <w:szCs w:val="24"/>
                <w:lang w:bidi="ar"/>
              </w:rPr>
              <w:t>可承保（减费）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szCs w:val="24"/>
              </w:rPr>
            </w:pPr>
            <w:r>
              <w:rPr>
                <w:rFonts w:hint="eastAsia" w:cs="宋体"/>
                <w:b/>
                <w:bCs/>
                <w:szCs w:val="24"/>
                <w:lang w:bidi="ar"/>
              </w:rPr>
              <w:t>二级（80-89分）</w:t>
            </w:r>
          </w:p>
        </w:tc>
        <w:tc>
          <w:tcPr>
            <w:tcW w:w="6039"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rPr>
                <w:rFonts w:cs="宋体"/>
                <w:szCs w:val="24"/>
                <w:lang w:bidi="ar"/>
              </w:rPr>
            </w:pPr>
            <w:r>
              <w:rPr>
                <w:rFonts w:hint="eastAsia" w:cs="宋体"/>
                <w:szCs w:val="24"/>
                <w:lang w:bidi="ar"/>
              </w:rPr>
              <w:t>满足本标准所有控制项要求，且每类指标的评分项得分不应小于60分，评定总得分达到80分及以上</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rPr>
                <w:rFonts w:cs="宋体"/>
                <w:szCs w:val="24"/>
                <w:lang w:bidi="ar"/>
              </w:rPr>
            </w:pPr>
            <w:r>
              <w:rPr>
                <w:rFonts w:hint="eastAsia" w:cs="宋体"/>
                <w:szCs w:val="24"/>
                <w:lang w:bidi="ar"/>
              </w:rPr>
              <w:t>质量可能存在风险但责任风险很小</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rPr>
                <w:rFonts w:cs="宋体"/>
                <w:szCs w:val="24"/>
                <w:lang w:bidi="ar"/>
              </w:rPr>
            </w:pPr>
            <w:r>
              <w:rPr>
                <w:rFonts w:hint="eastAsia" w:cs="宋体"/>
                <w:szCs w:val="24"/>
                <w:lang w:bidi="ar"/>
              </w:rPr>
              <w:t>可承保（标准）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szCs w:val="24"/>
              </w:rPr>
            </w:pPr>
            <w:r>
              <w:rPr>
                <w:rFonts w:hint="eastAsia" w:cs="宋体"/>
                <w:b/>
                <w:bCs/>
                <w:szCs w:val="24"/>
                <w:lang w:bidi="ar"/>
              </w:rPr>
              <w:t>三级（70-79分）</w:t>
            </w:r>
          </w:p>
        </w:tc>
        <w:tc>
          <w:tcPr>
            <w:tcW w:w="6039"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rPr>
                <w:rFonts w:cs="宋体"/>
                <w:szCs w:val="24"/>
                <w:lang w:bidi="ar"/>
              </w:rPr>
            </w:pPr>
            <w:r>
              <w:rPr>
                <w:rFonts w:hint="eastAsia" w:cs="宋体"/>
                <w:szCs w:val="24"/>
                <w:lang w:bidi="ar"/>
              </w:rPr>
              <w:t>满足本标准所有控制项要求，且每类指标的评分项得分不应小于60分，评定总得分达到70分及以上</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rPr>
                <w:rFonts w:cs="宋体"/>
                <w:szCs w:val="24"/>
                <w:lang w:bidi="ar"/>
              </w:rPr>
            </w:pPr>
            <w:r>
              <w:rPr>
                <w:rFonts w:hint="eastAsia" w:cs="宋体"/>
                <w:szCs w:val="24"/>
                <w:lang w:bidi="ar"/>
              </w:rPr>
              <w:t>存在质量缺陷可能有责任风险</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rPr>
                <w:rFonts w:cs="宋体"/>
                <w:szCs w:val="24"/>
                <w:lang w:bidi="ar"/>
              </w:rPr>
            </w:pPr>
            <w:r>
              <w:rPr>
                <w:rFonts w:hint="eastAsia" w:cs="宋体"/>
                <w:szCs w:val="24"/>
                <w:lang w:bidi="ar"/>
              </w:rPr>
              <w:t>可承保（加费）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b/>
                <w:bCs/>
                <w:szCs w:val="24"/>
              </w:rPr>
            </w:pPr>
            <w:r>
              <w:rPr>
                <w:rFonts w:hint="eastAsia" w:cs="宋体"/>
                <w:b/>
                <w:bCs/>
                <w:szCs w:val="24"/>
                <w:lang w:bidi="ar"/>
              </w:rPr>
              <w:t>四级（60-69分）</w:t>
            </w:r>
          </w:p>
        </w:tc>
        <w:tc>
          <w:tcPr>
            <w:tcW w:w="6039"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rPr>
                <w:rFonts w:cs="宋体"/>
                <w:szCs w:val="24"/>
                <w:lang w:bidi="ar"/>
              </w:rPr>
            </w:pPr>
            <w:r>
              <w:rPr>
                <w:rFonts w:hint="eastAsia" w:cs="宋体"/>
                <w:szCs w:val="24"/>
                <w:lang w:bidi="ar"/>
              </w:rPr>
              <w:t>未满足本标准部分控制项要求，每类指标的评分项得分不小于60分，但经整改可以达到要求。评定总得分达到60分以上</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rPr>
                <w:rFonts w:cs="宋体"/>
                <w:szCs w:val="24"/>
                <w:lang w:bidi="ar"/>
              </w:rPr>
            </w:pPr>
            <w:r>
              <w:rPr>
                <w:rFonts w:hint="eastAsia" w:cs="宋体"/>
                <w:szCs w:val="24"/>
                <w:lang w:bidi="ar"/>
              </w:rPr>
              <w:t>有较大质量缺陷风险有较大责任风险</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rPr>
                <w:rFonts w:cs="宋体"/>
                <w:szCs w:val="24"/>
                <w:lang w:bidi="ar"/>
              </w:rPr>
            </w:pPr>
            <w:r>
              <w:rPr>
                <w:rFonts w:hint="eastAsia" w:cs="宋体"/>
                <w:szCs w:val="24"/>
                <w:lang w:bidi="ar"/>
              </w:rPr>
              <w:t>整改达标后才可承保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jc w:val="center"/>
              <w:rPr>
                <w:rFonts w:cs="宋体"/>
                <w:b/>
                <w:bCs/>
                <w:szCs w:val="24"/>
              </w:rPr>
            </w:pPr>
            <w:r>
              <w:rPr>
                <w:rFonts w:hint="eastAsia" w:cs="宋体"/>
                <w:b/>
                <w:bCs/>
                <w:szCs w:val="24"/>
                <w:lang w:bidi="ar"/>
              </w:rPr>
              <w:t>五级（60分以下）</w:t>
            </w:r>
          </w:p>
        </w:tc>
        <w:tc>
          <w:tcPr>
            <w:tcW w:w="6039"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rPr>
                <w:rFonts w:cs="宋体"/>
                <w:szCs w:val="24"/>
                <w:lang w:bidi="ar"/>
              </w:rPr>
            </w:pPr>
            <w:r>
              <w:rPr>
                <w:rFonts w:hint="eastAsia" w:cs="宋体"/>
                <w:szCs w:val="24"/>
                <w:lang w:bidi="ar"/>
              </w:rPr>
              <w:t>未满足本标准控制项要求虽经整改也不可以达到要求的，或评定总得分低于60分</w:t>
            </w:r>
          </w:p>
        </w:tc>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rPr>
                <w:rFonts w:cs="宋体"/>
                <w:szCs w:val="24"/>
                <w:lang w:bidi="ar"/>
              </w:rPr>
            </w:pPr>
            <w:r>
              <w:rPr>
                <w:rFonts w:hint="eastAsia" w:cs="宋体"/>
                <w:szCs w:val="24"/>
                <w:lang w:bidi="ar"/>
              </w:rPr>
              <w:t>有很大质量缺陷风险有很大责任风险</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spacing w:line="360" w:lineRule="auto"/>
              <w:rPr>
                <w:rFonts w:cs="宋体"/>
                <w:szCs w:val="24"/>
                <w:lang w:bidi="ar"/>
              </w:rPr>
            </w:pPr>
            <w:r>
              <w:rPr>
                <w:rFonts w:hint="eastAsia" w:cs="宋体"/>
                <w:szCs w:val="24"/>
                <w:lang w:bidi="ar"/>
              </w:rPr>
              <w:t>不可承保</w:t>
            </w:r>
          </w:p>
        </w:tc>
      </w:tr>
    </w:tbl>
    <w:p>
      <w:pPr>
        <w:pStyle w:val="28"/>
        <w:spacing w:line="360" w:lineRule="auto"/>
        <w:ind w:firstLine="480"/>
        <w:rPr>
          <w:rFonts w:hAnsi="宋体" w:cs="宋体"/>
          <w:sz w:val="24"/>
          <w:szCs w:val="24"/>
          <w:highlight w:val="yellow"/>
        </w:rPr>
      </w:pPr>
    </w:p>
    <w:p>
      <w:pPr>
        <w:spacing w:line="360" w:lineRule="auto"/>
        <w:jc w:val="center"/>
        <w:outlineLvl w:val="1"/>
        <w:rPr>
          <w:rFonts w:eastAsia="黑体"/>
          <w:b/>
          <w:bCs/>
          <w:color w:val="000000"/>
          <w:kern w:val="44"/>
          <w:sz w:val="28"/>
          <w:szCs w:val="28"/>
        </w:rPr>
      </w:pPr>
      <w:r>
        <w:rPr>
          <w:rFonts w:hint="eastAsia" w:ascii="黑体" w:hAnsi="黑体" w:eastAsia="黑体" w:cs="黑体"/>
          <w:color w:val="000000"/>
          <w:kern w:val="44"/>
          <w:sz w:val="28"/>
          <w:szCs w:val="28"/>
        </w:rPr>
        <w:t>4.2门窗技术性指标核查</w:t>
      </w:r>
    </w:p>
    <w:p>
      <w:pPr>
        <w:spacing w:line="360" w:lineRule="auto"/>
        <w:outlineLvl w:val="2"/>
        <w:rPr>
          <w:rFonts w:ascii="宋体" w:hAnsi="宋体" w:cs="宋体"/>
          <w:bCs/>
          <w:kern w:val="44"/>
          <w:sz w:val="24"/>
        </w:rPr>
      </w:pPr>
      <w:r>
        <w:rPr>
          <w:rFonts w:hint="eastAsia" w:ascii="宋体" w:hAnsi="宋体" w:cs="宋体"/>
          <w:bCs/>
          <w:kern w:val="44"/>
          <w:sz w:val="24"/>
        </w:rPr>
        <w:t>4.2.1 门窗设计核查应包含以下内容：</w:t>
      </w:r>
    </w:p>
    <w:p>
      <w:pPr>
        <w:pStyle w:val="28"/>
        <w:spacing w:line="360" w:lineRule="auto"/>
        <w:ind w:firstLine="480"/>
        <w:rPr>
          <w:rFonts w:ascii="Times New Roman"/>
          <w:sz w:val="24"/>
          <w:szCs w:val="24"/>
        </w:rPr>
      </w:pPr>
      <w:r>
        <w:rPr>
          <w:rFonts w:hint="eastAsia" w:ascii="Times New Roman"/>
          <w:sz w:val="24"/>
          <w:szCs w:val="24"/>
        </w:rPr>
        <w:t>1 外窗的设计，应根据现行的相关标准规范，并结合建筑所处地理位置、周边环境、建筑自身特点、使用要求、经济技术条件等确定。</w:t>
      </w:r>
    </w:p>
    <w:p>
      <w:pPr>
        <w:pStyle w:val="28"/>
        <w:spacing w:line="360" w:lineRule="auto"/>
        <w:ind w:firstLine="480"/>
        <w:rPr>
          <w:rFonts w:ascii="Times New Roman"/>
          <w:sz w:val="24"/>
          <w:szCs w:val="24"/>
        </w:rPr>
      </w:pPr>
      <w:r>
        <w:rPr>
          <w:rFonts w:hint="eastAsia" w:ascii="Times New Roman"/>
          <w:sz w:val="24"/>
          <w:szCs w:val="24"/>
        </w:rPr>
        <w:t>2 产品设计应明确外窗的抗风压性能、水密性能、气密性能、保温性能、隔声性能等指标，受力构件根据受载情况和支承条件进行结构验算。</w:t>
      </w:r>
    </w:p>
    <w:p>
      <w:pPr>
        <w:pStyle w:val="28"/>
        <w:spacing w:line="360" w:lineRule="auto"/>
        <w:ind w:firstLine="480"/>
        <w:rPr>
          <w:rFonts w:ascii="Times New Roman"/>
          <w:sz w:val="24"/>
          <w:szCs w:val="24"/>
        </w:rPr>
      </w:pPr>
      <w:r>
        <w:rPr>
          <w:rFonts w:hint="eastAsia" w:ascii="Times New Roman"/>
          <w:sz w:val="24"/>
          <w:szCs w:val="24"/>
        </w:rPr>
        <w:t>3 门窗与主体结构的连接安装的构造应当连接可靠，防渗漏水工艺明确，并提供现场施工安装作业指导文件。</w:t>
      </w:r>
    </w:p>
    <w:p>
      <w:pPr>
        <w:spacing w:line="360" w:lineRule="auto"/>
        <w:outlineLvl w:val="2"/>
        <w:rPr>
          <w:kern w:val="0"/>
          <w:sz w:val="24"/>
        </w:rPr>
      </w:pPr>
      <w:r>
        <w:rPr>
          <w:rFonts w:hint="eastAsia" w:ascii="宋体" w:hAnsi="宋体" w:cs="宋体"/>
          <w:bCs/>
          <w:kern w:val="44"/>
          <w:sz w:val="24"/>
        </w:rPr>
        <w:t>4.2.2 材料质量核查应包含以下内容：</w:t>
      </w:r>
    </w:p>
    <w:p>
      <w:pPr>
        <w:pStyle w:val="28"/>
        <w:spacing w:line="360" w:lineRule="auto"/>
        <w:ind w:firstLine="480"/>
        <w:rPr>
          <w:rFonts w:ascii="Times New Roman"/>
          <w:sz w:val="24"/>
          <w:szCs w:val="24"/>
        </w:rPr>
      </w:pPr>
      <w:r>
        <w:rPr>
          <w:rFonts w:hint="eastAsia" w:ascii="Times New Roman"/>
          <w:sz w:val="24"/>
          <w:szCs w:val="24"/>
        </w:rPr>
        <w:t>1 评定机构应对门窗企业使用材料的选择、采购、存储、检验、验收等环节的质量控制文件进行评价。</w:t>
      </w:r>
    </w:p>
    <w:p>
      <w:pPr>
        <w:pStyle w:val="28"/>
        <w:spacing w:line="360" w:lineRule="auto"/>
        <w:ind w:firstLine="480"/>
        <w:rPr>
          <w:rFonts w:ascii="Times New Roman"/>
          <w:sz w:val="24"/>
          <w:szCs w:val="24"/>
        </w:rPr>
      </w:pPr>
      <w:r>
        <w:rPr>
          <w:rFonts w:hint="eastAsia" w:ascii="Times New Roman"/>
          <w:sz w:val="24"/>
          <w:szCs w:val="24"/>
        </w:rPr>
        <w:t>2 评定机构应对门窗企业使用材料性能的主控项目进行抽检并复核。</w:t>
      </w:r>
    </w:p>
    <w:p>
      <w:pPr>
        <w:pStyle w:val="35"/>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3 门窗用铝合金型材（包括隔热型材）的质量应符合《铝合金建筑型材》GB/T 5237.1~6的规定；截面尺寸及表面质量应符合《铝合金门窗》GB/T 8478的相关规定。</w:t>
      </w:r>
    </w:p>
    <w:p>
      <w:pPr>
        <w:pStyle w:val="35"/>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4 未增塑聚氯乙烯（PVC-U）型材应符合国家现行标准《门、窗用未增塑聚氯乙烯（PVC-U）型材》GB/T8814和《建筑门窗用未增塑聚氯乙烯彩色型材》JG/T263的规定；</w:t>
      </w:r>
    </w:p>
    <w:p>
      <w:pPr>
        <w:pStyle w:val="28"/>
        <w:spacing w:line="360" w:lineRule="auto"/>
        <w:ind w:firstLine="480"/>
        <w:rPr>
          <w:rFonts w:ascii="Times New Roman"/>
          <w:sz w:val="24"/>
          <w:szCs w:val="24"/>
        </w:rPr>
      </w:pPr>
      <w:r>
        <w:rPr>
          <w:rFonts w:hint="eastAsia" w:ascii="Times New Roman"/>
          <w:sz w:val="24"/>
          <w:szCs w:val="24"/>
        </w:rPr>
        <w:t>5 隔热条的原材料质量应符合下列规定：</w:t>
      </w:r>
    </w:p>
    <w:p>
      <w:pPr>
        <w:pStyle w:val="35"/>
        <w:numPr>
          <w:ilvl w:val="0"/>
          <w:numId w:val="13"/>
        </w:numPr>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聚酰胺型材中主要材料应为聚酰胺66和玻璃纤维，不应使用聚酰胺6、PVC、ABS等材料和有碱玻璃纤维，不应使用回收料。</w:t>
      </w:r>
    </w:p>
    <w:p>
      <w:pPr>
        <w:pStyle w:val="35"/>
        <w:numPr>
          <w:ilvl w:val="0"/>
          <w:numId w:val="13"/>
        </w:numPr>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穿条式隔热型材的穿条部位应有防渗水措施，浇注式隔热型材的浇注部位应有可靠的咬齿构造。</w:t>
      </w:r>
    </w:p>
    <w:p>
      <w:pPr>
        <w:pStyle w:val="35"/>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3） 浇注式隔热铝合金型材的隔热胶性能应符合现行国家标准《铝合金建筑型材用隔热材料 第2部分∶聚氨酯隔热胶》GB/T 23615.2中Ⅱ级隔热胶的规定。</w:t>
      </w:r>
    </w:p>
    <w:p>
      <w:pPr>
        <w:pStyle w:val="35"/>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6 玻璃的质量应符合下列规定∶</w:t>
      </w:r>
    </w:p>
    <w:p>
      <w:pPr>
        <w:pStyle w:val="35"/>
        <w:numPr>
          <w:ilvl w:val="0"/>
          <w:numId w:val="14"/>
        </w:numPr>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门窗用玻璃的品种、厚度及最大允许面积应符合现行行业标准《建筑玻璃应用技术规程》JGJ113的规定。</w:t>
      </w:r>
    </w:p>
    <w:p>
      <w:pPr>
        <w:pStyle w:val="35"/>
        <w:numPr>
          <w:ilvl w:val="0"/>
          <w:numId w:val="14"/>
        </w:numPr>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玻璃应进行机械磨边处理，磨轮的目数不应小于180目。</w:t>
      </w:r>
    </w:p>
    <w:p>
      <w:pPr>
        <w:pStyle w:val="35"/>
        <w:numPr>
          <w:ilvl w:val="0"/>
          <w:numId w:val="14"/>
        </w:numPr>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门窗用中空玻璃应符合现行国家标准《中空玻璃》GB/T 11944的规定。</w:t>
      </w:r>
    </w:p>
    <w:p>
      <w:pPr>
        <w:pStyle w:val="35"/>
        <w:numPr>
          <w:ilvl w:val="0"/>
          <w:numId w:val="14"/>
        </w:numPr>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门窗用夹层玻璃应符合现行国家标准《建筑用安全玻璃 第3部分∶夹层玻璃》GB15763.3的规定，夹层玻璃内外片玻璃的厚度差不宜大于3mm。</w:t>
      </w:r>
    </w:p>
    <w:p>
      <w:pPr>
        <w:pStyle w:val="35"/>
        <w:numPr>
          <w:ilvl w:val="0"/>
          <w:numId w:val="14"/>
        </w:numPr>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有耐火完整性要求的外门窗应采用防火玻璃，其性能应符合现行国家标准《建筑用安全玻璃 第1部分∶防火玻璃》GB15763.1的规定。</w:t>
      </w:r>
    </w:p>
    <w:p>
      <w:pPr>
        <w:pStyle w:val="35"/>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7 密封材料的质量应符合下列规定∶</w:t>
      </w:r>
    </w:p>
    <w:p>
      <w:pPr>
        <w:pStyle w:val="35"/>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1） 玻璃与门窗框之间密封用胶应符合现行行业标准《建筑窗用弹性密封胶》JC/T 485的规定。</w:t>
      </w:r>
    </w:p>
    <w:p>
      <w:pPr>
        <w:pStyle w:val="35"/>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2） 门窗框或附框与洞口之间的密封材料应符合国家现行标准《硅酮和改性硅酮建筑密封胶》GB/T 14683 和《单组分聚氨酯泡沫填缝剂》JC/T 936的规定。</w:t>
      </w:r>
    </w:p>
    <w:p>
      <w:pPr>
        <w:pStyle w:val="35"/>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3） 门窗用密封胶条应符合现行国家标准《建筑门窗、幕墙用密封胶条》GB/T 24498的规定，其中密封胶条材料的拉断伸长率变化率应小于40%。</w:t>
      </w:r>
    </w:p>
    <w:p>
      <w:pPr>
        <w:pStyle w:val="35"/>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4） 门窗用密封毛条应符合现行行业标准《建筑门窗密封毛条》JC/T 635的规定，毛条的毛束应经过硅化处理，宜使用平板加片型密封毛条。</w:t>
      </w:r>
    </w:p>
    <w:p>
      <w:pPr>
        <w:pStyle w:val="35"/>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5） 有耐火完整性要求的门窗，所采用的密封胶应符合现行国家标准《建筑用阻燃密封胶》GB/T 24267 的规定；所用的防火材料，烟气毒性的安全级别不应低于现行国家标准《材料产烟毒性危险分级》GB/T 20285规定的ZA级，防火膨胀条应符合现行国家标准《防火膨胀密封件》GB 16807的规定。</w:t>
      </w:r>
    </w:p>
    <w:p>
      <w:pPr>
        <w:pStyle w:val="35"/>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8 五金件、紧固件的原材料质量应符合下列规定∶</w:t>
      </w:r>
    </w:p>
    <w:p>
      <w:pPr>
        <w:pStyle w:val="35"/>
        <w:numPr>
          <w:ilvl w:val="0"/>
          <w:numId w:val="15"/>
        </w:numPr>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门窗五金件的选用应满足力学性能和耐久性的要求，并应符合现行国家标准《建筑门窗五金件通用要求》GB/T 32223的规定。</w:t>
      </w:r>
    </w:p>
    <w:p>
      <w:pPr>
        <w:pStyle w:val="35"/>
        <w:numPr>
          <w:ilvl w:val="0"/>
          <w:numId w:val="15"/>
        </w:numPr>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门窗工程连接用螺钉、螺栓宜使用奥氏体不锈钢材料，凡是在锁闭后直接暴露在外立面的五金件、紧固件应采取有效的防腐措施。五金件与增强型钢或塑料型材连接时，紧固件宜采用十字槽沉头自钻自攻螺钉；门窗受力构件之间的连接不应采用铝合金抽芯铆钉。</w:t>
      </w:r>
    </w:p>
    <w:p>
      <w:pPr>
        <w:pStyle w:val="35"/>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9 附框质量应符合下列规定∶</w:t>
      </w:r>
    </w:p>
    <w:p>
      <w:pPr>
        <w:pStyle w:val="35"/>
        <w:numPr>
          <w:ilvl w:val="0"/>
          <w:numId w:val="16"/>
        </w:numPr>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附框应满足外窗功能要求和耐久性要求，应符合相关标准的规定。</w:t>
      </w:r>
    </w:p>
    <w:p>
      <w:pPr>
        <w:pStyle w:val="35"/>
        <w:numPr>
          <w:ilvl w:val="0"/>
          <w:numId w:val="16"/>
        </w:numPr>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附框材料应有足够的强度，不应在自然温度、湿度等环境发生变化时与基材产生较大的相对形变。</w:t>
      </w:r>
    </w:p>
    <w:p>
      <w:pPr>
        <w:pStyle w:val="35"/>
        <w:numPr>
          <w:ilvl w:val="0"/>
          <w:numId w:val="16"/>
        </w:numPr>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附框与建筑主体结构及窗框之间应可靠连接并有效密封，并满足保温、抗结露、防水等方面的要求。</w:t>
      </w:r>
    </w:p>
    <w:p>
      <w:pPr>
        <w:pStyle w:val="35"/>
        <w:numPr>
          <w:ilvl w:val="0"/>
          <w:numId w:val="16"/>
        </w:numPr>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钢附框的钢材壁厚不应小于2.0mm，内外表面应采用热浸镀锌防腐处理，镀层平均厚度不小于45</w:t>
      </w:r>
      <w:r>
        <w:rPr>
          <w:rFonts w:hint="eastAsia" w:ascii="微软雅黑" w:hAnsi="微软雅黑" w:eastAsia="微软雅黑" w:cs="微软雅黑"/>
          <w:szCs w:val="24"/>
        </w:rPr>
        <w:t>ų</w:t>
      </w:r>
      <w:r>
        <w:rPr>
          <w:rFonts w:hint="eastAsia" w:ascii="Times New Roman" w:hAnsi="Times New Roman"/>
          <w:szCs w:val="24"/>
        </w:rPr>
        <w:t>m。</w:t>
      </w:r>
    </w:p>
    <w:p>
      <w:pPr>
        <w:pStyle w:val="35"/>
        <w:numPr>
          <w:ilvl w:val="0"/>
          <w:numId w:val="16"/>
        </w:numPr>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附框组角应牢固，金属附框焊缝应连续，并采取有效的防腐措施。</w:t>
      </w:r>
    </w:p>
    <w:p>
      <w:pPr>
        <w:pStyle w:val="35"/>
        <w:numPr>
          <w:ilvl w:val="0"/>
          <w:numId w:val="16"/>
        </w:numPr>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在满足强度和耐久性的前提下，应优先选用节能附框。</w:t>
      </w:r>
    </w:p>
    <w:p>
      <w:pPr>
        <w:pStyle w:val="35"/>
        <w:numPr>
          <w:ilvl w:val="0"/>
          <w:numId w:val="16"/>
        </w:numPr>
        <w:spacing w:before="0" w:beforeAutospacing="0" w:after="0" w:afterAutospacing="0" w:line="360" w:lineRule="auto"/>
        <w:ind w:firstLine="480" w:firstLineChars="200"/>
        <w:rPr>
          <w:rFonts w:ascii="Times New Roman" w:hAnsi="Times New Roman"/>
          <w:szCs w:val="24"/>
        </w:rPr>
      </w:pPr>
      <w:r>
        <w:rPr>
          <w:rFonts w:hint="eastAsia" w:ascii="Times New Roman" w:hAnsi="Times New Roman"/>
          <w:szCs w:val="24"/>
        </w:rPr>
        <w:t>附框的加工、组装应在工厂内完成。</w:t>
      </w:r>
    </w:p>
    <w:p>
      <w:pPr>
        <w:pStyle w:val="35"/>
        <w:spacing w:before="0" w:beforeAutospacing="0" w:after="0" w:afterAutospacing="0" w:line="360" w:lineRule="auto"/>
        <w:ind w:firstLine="480" w:firstLineChars="200"/>
        <w:rPr>
          <w:rFonts w:ascii="Times New Roman" w:hAnsi="Times New Roman"/>
          <w:szCs w:val="24"/>
        </w:rPr>
      </w:pPr>
    </w:p>
    <w:p>
      <w:pPr>
        <w:pStyle w:val="35"/>
        <w:spacing w:before="0" w:beforeAutospacing="0" w:after="0" w:afterAutospacing="0" w:line="360" w:lineRule="auto"/>
        <w:ind w:firstLine="480" w:firstLineChars="200"/>
        <w:outlineLvl w:val="2"/>
        <w:rPr>
          <w:rFonts w:ascii="Times New Roman" w:hAnsi="Times New Roman"/>
          <w:szCs w:val="24"/>
        </w:rPr>
      </w:pPr>
      <w:r>
        <w:rPr>
          <w:rFonts w:hint="eastAsia" w:ascii="Times New Roman" w:hAnsi="Times New Roman"/>
          <w:szCs w:val="24"/>
        </w:rPr>
        <w:t>4.2.3 产品加工和组装质量核查应包含以下内容∶</w:t>
      </w:r>
    </w:p>
    <w:p>
      <w:pPr>
        <w:tabs>
          <w:tab w:val="left" w:pos="858"/>
        </w:tabs>
        <w:spacing w:line="360" w:lineRule="auto"/>
        <w:ind w:firstLine="480" w:firstLineChars="200"/>
        <w:rPr>
          <w:kern w:val="44"/>
          <w:sz w:val="24"/>
        </w:rPr>
      </w:pPr>
      <w:r>
        <w:rPr>
          <w:rFonts w:hint="eastAsia"/>
          <w:kern w:val="44"/>
          <w:sz w:val="24"/>
        </w:rPr>
        <w:t>1</w:t>
      </w:r>
      <w:r>
        <w:rPr>
          <w:rFonts w:hint="eastAsia"/>
          <w:b/>
          <w:kern w:val="44"/>
          <w:sz w:val="24"/>
        </w:rPr>
        <w:t xml:space="preserve">  </w:t>
      </w:r>
      <w:r>
        <w:rPr>
          <w:rFonts w:hint="eastAsia"/>
          <w:kern w:val="44"/>
          <w:sz w:val="24"/>
        </w:rPr>
        <w:t>外窗加工制作应依据设计图纸及其他相关技术文件进行。</w:t>
      </w:r>
    </w:p>
    <w:p>
      <w:pPr>
        <w:tabs>
          <w:tab w:val="left" w:pos="858"/>
        </w:tabs>
        <w:spacing w:line="360" w:lineRule="auto"/>
        <w:ind w:firstLine="480" w:firstLineChars="200"/>
        <w:rPr>
          <w:kern w:val="44"/>
          <w:sz w:val="24"/>
        </w:rPr>
      </w:pPr>
      <w:r>
        <w:rPr>
          <w:rFonts w:hint="eastAsia"/>
          <w:kern w:val="44"/>
          <w:sz w:val="24"/>
        </w:rPr>
        <w:t>2  成品窗的框、扇、五金及配件等应在工厂组装完成。</w:t>
      </w:r>
    </w:p>
    <w:p>
      <w:pPr>
        <w:tabs>
          <w:tab w:val="left" w:pos="858"/>
        </w:tabs>
        <w:spacing w:line="360" w:lineRule="auto"/>
        <w:ind w:firstLine="480" w:firstLineChars="200"/>
        <w:rPr>
          <w:kern w:val="44"/>
          <w:sz w:val="24"/>
        </w:rPr>
      </w:pPr>
      <w:r>
        <w:rPr>
          <w:rFonts w:hint="eastAsia"/>
          <w:kern w:val="44"/>
          <w:sz w:val="24"/>
        </w:rPr>
        <w:t>3  加工外窗构件的设备、专用模具和工装器具应满足产品加工精度的要求，量具应定期进行计量检定和校准。</w:t>
      </w:r>
    </w:p>
    <w:p>
      <w:pPr>
        <w:tabs>
          <w:tab w:val="left" w:pos="858"/>
        </w:tabs>
        <w:spacing w:line="360" w:lineRule="auto"/>
        <w:ind w:firstLine="480" w:firstLineChars="200"/>
        <w:rPr>
          <w:kern w:val="44"/>
          <w:sz w:val="24"/>
        </w:rPr>
      </w:pPr>
      <w:r>
        <w:rPr>
          <w:rFonts w:hint="eastAsia"/>
          <w:kern w:val="44"/>
          <w:sz w:val="24"/>
        </w:rPr>
        <w:t>4  加工质量要求：</w:t>
      </w:r>
    </w:p>
    <w:p>
      <w:pPr>
        <w:pStyle w:val="28"/>
        <w:spacing w:line="360" w:lineRule="auto"/>
        <w:ind w:firstLine="480"/>
        <w:rPr>
          <w:rFonts w:ascii="Times New Roman"/>
          <w:sz w:val="24"/>
          <w:szCs w:val="24"/>
        </w:rPr>
      </w:pPr>
      <w:r>
        <w:rPr>
          <w:rFonts w:hint="eastAsia" w:ascii="Times New Roman"/>
          <w:sz w:val="24"/>
          <w:szCs w:val="24"/>
        </w:rPr>
        <w:t xml:space="preserve">1）下料之前应对原材料的型号、表面质量和颜色等进行检查。 </w:t>
      </w:r>
    </w:p>
    <w:p>
      <w:pPr>
        <w:pStyle w:val="28"/>
        <w:spacing w:line="360" w:lineRule="auto"/>
        <w:ind w:firstLine="480"/>
        <w:rPr>
          <w:rFonts w:ascii="Times New Roman"/>
          <w:sz w:val="24"/>
          <w:szCs w:val="24"/>
        </w:rPr>
      </w:pPr>
      <w:r>
        <w:rPr>
          <w:rFonts w:hint="eastAsia" w:ascii="Times New Roman"/>
          <w:sz w:val="24"/>
          <w:szCs w:val="24"/>
        </w:rPr>
        <w:t>2）下料精度∶杆件切割长度尺寸允许偏差应为±0.5mm；杆件斜角切料时端头角度允许偏差应小于-15'；同时应满足平面装配间隙≤0.2mm的要求。</w:t>
      </w:r>
    </w:p>
    <w:p>
      <w:pPr>
        <w:pStyle w:val="28"/>
        <w:spacing w:line="360" w:lineRule="auto"/>
        <w:ind w:firstLine="480"/>
        <w:rPr>
          <w:rFonts w:ascii="Times New Roman"/>
          <w:sz w:val="24"/>
          <w:szCs w:val="24"/>
        </w:rPr>
      </w:pPr>
      <w:r>
        <w:rPr>
          <w:rFonts w:hint="eastAsia" w:ascii="Times New Roman"/>
          <w:sz w:val="24"/>
          <w:szCs w:val="24"/>
        </w:rPr>
        <w:t>3） 下料端口不应有加工变形，型材应清除毛刺。</w:t>
      </w:r>
    </w:p>
    <w:p>
      <w:pPr>
        <w:pStyle w:val="28"/>
        <w:spacing w:line="360" w:lineRule="auto"/>
        <w:ind w:firstLine="480"/>
        <w:rPr>
          <w:rFonts w:ascii="Times New Roman"/>
          <w:sz w:val="24"/>
          <w:szCs w:val="24"/>
        </w:rPr>
      </w:pPr>
      <w:r>
        <w:rPr>
          <w:rFonts w:hint="eastAsia" w:ascii="Times New Roman"/>
          <w:sz w:val="24"/>
          <w:szCs w:val="24"/>
        </w:rPr>
        <w:t>4） 构件的铣削和冲切应满足孔位允许偏差±0.5mm，孔距允许偏差±0.5mm，累计偏差不大于±1.0mm；构件的槽口、豁口、榫头加工尺寸允许偏差应符合表4.2.3的规定。</w:t>
      </w:r>
    </w:p>
    <w:p>
      <w:pPr>
        <w:pStyle w:val="28"/>
        <w:spacing w:line="360" w:lineRule="auto"/>
        <w:ind w:firstLine="0" w:firstLineChars="0"/>
        <w:jc w:val="center"/>
        <w:rPr>
          <w:rFonts w:hAnsi="宋体" w:cs="宋体"/>
          <w:b/>
          <w:bCs/>
          <w:szCs w:val="21"/>
        </w:rPr>
      </w:pPr>
      <w:r>
        <w:rPr>
          <w:rFonts w:hint="eastAsia" w:hAnsi="宋体" w:cs="宋体"/>
          <w:b/>
          <w:bCs/>
          <w:color w:val="000000"/>
          <w:szCs w:val="21"/>
          <w:lang w:bidi="ar"/>
        </w:rPr>
        <w:t>表 4.2.3 构件的槽口、豁口、榫头尺寸允许偏差</w:t>
      </w:r>
    </w:p>
    <w:tbl>
      <w:tblPr>
        <w:tblStyle w:val="39"/>
        <w:tblW w:w="6885"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108" w:type="dxa"/>
          <w:bottom w:w="0" w:type="dxa"/>
          <w:right w:w="108" w:type="dxa"/>
        </w:tblCellMar>
      </w:tblPr>
      <w:tblGrid>
        <w:gridCol w:w="2664"/>
        <w:gridCol w:w="1104"/>
        <w:gridCol w:w="1104"/>
        <w:gridCol w:w="201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00" w:hRule="atLeast"/>
          <w:jc w:val="center"/>
        </w:trPr>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a</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b</w:t>
            </w:r>
          </w:p>
        </w:tc>
        <w:tc>
          <w:tcPr>
            <w:tcW w:w="0" w:type="auto"/>
            <w:tcBorders>
              <w:tl2br w:val="nil"/>
              <w:tr2bl w:val="nil"/>
            </w:tcBorders>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c</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00" w:hRule="atLeast"/>
          <w:jc w:val="center"/>
        </w:trPr>
        <w:tc>
          <w:tcPr>
            <w:tcW w:w="2664" w:type="dxa"/>
            <w:vMerge w:val="restart"/>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槽口、豁口允许偏差</w:t>
            </w:r>
          </w:p>
        </w:tc>
        <w:tc>
          <w:tcPr>
            <w:tcW w:w="0" w:type="auto"/>
            <w:tcBorders>
              <w:tl2br w:val="nil"/>
              <w:tr2bl w:val="nil"/>
            </w:tcBorders>
            <w:shd w:val="clear" w:color="auto" w:fill="FFFFFF"/>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0.5</w:t>
            </w:r>
          </w:p>
        </w:tc>
        <w:tc>
          <w:tcPr>
            <w:tcW w:w="0" w:type="auto"/>
            <w:tcBorders>
              <w:tl2br w:val="nil"/>
              <w:tr2bl w:val="nil"/>
            </w:tcBorders>
            <w:shd w:val="clear" w:color="auto" w:fill="FFFFFF"/>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0.5</w:t>
            </w:r>
          </w:p>
        </w:tc>
        <w:tc>
          <w:tcPr>
            <w:tcW w:w="2013" w:type="dxa"/>
            <w:vMerge w:val="restart"/>
            <w:tcBorders>
              <w:tl2br w:val="nil"/>
              <w:tr2bl w:val="nil"/>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00" w:hRule="atLeast"/>
          <w:jc w:val="center"/>
        </w:trPr>
        <w:tc>
          <w:tcPr>
            <w:tcW w:w="2664"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0" w:type="auto"/>
            <w:tcBorders>
              <w:tl2br w:val="nil"/>
              <w:tr2bl w:val="nil"/>
            </w:tcBorders>
            <w:shd w:val="clear" w:color="auto" w:fill="FFFFFF"/>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0.0</w:t>
            </w:r>
          </w:p>
        </w:tc>
        <w:tc>
          <w:tcPr>
            <w:tcW w:w="0" w:type="auto"/>
            <w:tcBorders>
              <w:tl2br w:val="nil"/>
              <w:tr2bl w:val="nil"/>
            </w:tcBorders>
            <w:shd w:val="clear" w:color="auto" w:fill="FFFFFF"/>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0.0</w:t>
            </w:r>
          </w:p>
        </w:tc>
        <w:tc>
          <w:tcPr>
            <w:tcW w:w="2013" w:type="dxa"/>
            <w:vMerge w:val="continue"/>
            <w:tcBorders>
              <w:tl2br w:val="nil"/>
              <w:tr2bl w:val="nil"/>
            </w:tcBorders>
            <w:shd w:val="clear" w:color="auto" w:fill="FFFFFF"/>
            <w:vAlign w:val="center"/>
          </w:tcPr>
          <w:p>
            <w:pPr>
              <w:jc w:val="center"/>
              <w:rPr>
                <w:rFonts w:ascii="宋体" w:hAnsi="宋体" w:cs="宋体"/>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00" w:hRule="atLeast"/>
          <w:jc w:val="center"/>
        </w:trPr>
        <w:tc>
          <w:tcPr>
            <w:tcW w:w="2664" w:type="dxa"/>
            <w:vMerge w:val="restart"/>
            <w:tcBorders>
              <w:tl2br w:val="nil"/>
              <w:tr2bl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榫头允许偏差</w:t>
            </w:r>
          </w:p>
        </w:tc>
        <w:tc>
          <w:tcPr>
            <w:tcW w:w="0" w:type="auto"/>
            <w:tcBorders>
              <w:tl2br w:val="nil"/>
              <w:tr2bl w:val="nil"/>
            </w:tcBorders>
            <w:shd w:val="clear" w:color="auto" w:fill="FFFFFF"/>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0.0</w:t>
            </w:r>
          </w:p>
        </w:tc>
        <w:tc>
          <w:tcPr>
            <w:tcW w:w="0" w:type="auto"/>
            <w:tcBorders>
              <w:tl2br w:val="nil"/>
              <w:tr2bl w:val="nil"/>
            </w:tcBorders>
            <w:shd w:val="clear" w:color="auto" w:fill="FFFFFF"/>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0.0</w:t>
            </w:r>
          </w:p>
        </w:tc>
        <w:tc>
          <w:tcPr>
            <w:tcW w:w="2013" w:type="dxa"/>
            <w:vMerge w:val="restart"/>
            <w:tcBorders>
              <w:tl2br w:val="nil"/>
              <w:tr2bl w:val="nil"/>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00" w:hRule="atLeast"/>
          <w:jc w:val="center"/>
        </w:trPr>
        <w:tc>
          <w:tcPr>
            <w:tcW w:w="2664" w:type="dxa"/>
            <w:vMerge w:val="continue"/>
            <w:tcBorders>
              <w:tl2br w:val="nil"/>
              <w:tr2bl w:val="nil"/>
            </w:tcBorders>
            <w:shd w:val="clear" w:color="auto" w:fill="auto"/>
            <w:vAlign w:val="center"/>
          </w:tcPr>
          <w:p>
            <w:pPr>
              <w:jc w:val="center"/>
              <w:rPr>
                <w:rFonts w:ascii="宋体" w:hAnsi="宋体" w:cs="宋体"/>
                <w:color w:val="000000"/>
                <w:szCs w:val="21"/>
              </w:rPr>
            </w:pPr>
          </w:p>
        </w:tc>
        <w:tc>
          <w:tcPr>
            <w:tcW w:w="0" w:type="auto"/>
            <w:tcBorders>
              <w:tl2br w:val="nil"/>
              <w:tr2bl w:val="nil"/>
            </w:tcBorders>
            <w:shd w:val="clear" w:color="auto" w:fill="FFFFFF"/>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-0.5</w:t>
            </w:r>
          </w:p>
        </w:tc>
        <w:tc>
          <w:tcPr>
            <w:tcW w:w="0" w:type="auto"/>
            <w:tcBorders>
              <w:tl2br w:val="nil"/>
              <w:tr2bl w:val="nil"/>
            </w:tcBorders>
            <w:shd w:val="clear" w:color="auto" w:fill="FFFFFF"/>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-0.5</w:t>
            </w:r>
          </w:p>
        </w:tc>
        <w:tc>
          <w:tcPr>
            <w:tcW w:w="2013" w:type="dxa"/>
            <w:vMerge w:val="continue"/>
            <w:tcBorders>
              <w:tl2br w:val="nil"/>
              <w:tr2bl w:val="nil"/>
            </w:tcBorders>
            <w:shd w:val="clear" w:color="auto" w:fill="FFFFFF"/>
            <w:vAlign w:val="center"/>
          </w:tcPr>
          <w:p>
            <w:pPr>
              <w:jc w:val="center"/>
              <w:rPr>
                <w:rFonts w:ascii="宋体" w:hAnsi="宋体" w:cs="宋体"/>
                <w:color w:val="000000"/>
                <w:szCs w:val="21"/>
              </w:rPr>
            </w:pPr>
          </w:p>
        </w:tc>
      </w:tr>
    </w:tbl>
    <w:p>
      <w:pPr>
        <w:pStyle w:val="28"/>
        <w:spacing w:line="360" w:lineRule="auto"/>
        <w:ind w:firstLine="480"/>
        <w:jc w:val="center"/>
        <w:rPr>
          <w:rFonts w:ascii="Times New Roman"/>
          <w:sz w:val="24"/>
          <w:szCs w:val="24"/>
        </w:rPr>
      </w:pPr>
    </w:p>
    <w:p>
      <w:pPr>
        <w:tabs>
          <w:tab w:val="left" w:pos="858"/>
        </w:tabs>
        <w:spacing w:line="360" w:lineRule="auto"/>
        <w:ind w:firstLine="480" w:firstLineChars="200"/>
        <w:rPr>
          <w:kern w:val="44"/>
          <w:sz w:val="24"/>
        </w:rPr>
      </w:pPr>
      <w:r>
        <w:rPr>
          <w:rFonts w:hint="eastAsia"/>
          <w:kern w:val="44"/>
          <w:sz w:val="24"/>
        </w:rPr>
        <w:t xml:space="preserve">5  组装质量要求： </w:t>
      </w:r>
    </w:p>
    <w:p>
      <w:pPr>
        <w:numPr>
          <w:ilvl w:val="0"/>
          <w:numId w:val="17"/>
        </w:numPr>
        <w:tabs>
          <w:tab w:val="left" w:pos="858"/>
        </w:tabs>
        <w:spacing w:line="360" w:lineRule="auto"/>
        <w:ind w:firstLine="480" w:firstLineChars="200"/>
        <w:rPr>
          <w:sz w:val="24"/>
        </w:rPr>
      </w:pPr>
      <w:r>
        <w:rPr>
          <w:rFonts w:hint="eastAsia"/>
          <w:kern w:val="44"/>
          <w:sz w:val="24"/>
        </w:rPr>
        <w:t>门窗组角质量（包括</w:t>
      </w:r>
      <w:r>
        <w:rPr>
          <w:rFonts w:hint="eastAsia"/>
          <w:sz w:val="24"/>
        </w:rPr>
        <w:t>接合面高低差、拼缝、错角等）应符合GB/T8478的要求。</w:t>
      </w:r>
    </w:p>
    <w:p>
      <w:pPr>
        <w:numPr>
          <w:ilvl w:val="0"/>
          <w:numId w:val="17"/>
        </w:numPr>
        <w:tabs>
          <w:tab w:val="left" w:pos="858"/>
        </w:tabs>
        <w:spacing w:line="360" w:lineRule="auto"/>
        <w:ind w:firstLine="480" w:firstLineChars="200"/>
        <w:rPr>
          <w:sz w:val="24"/>
        </w:rPr>
      </w:pPr>
      <w:r>
        <w:rPr>
          <w:rFonts w:hint="eastAsia"/>
          <w:sz w:val="24"/>
        </w:rPr>
        <w:t>组角密封胶及注胶质量（相容性、表干时间、挤出性、硬度、剪切强度等）应符合JC/T2560、GB/T13477.5的要求。</w:t>
      </w:r>
    </w:p>
    <w:p>
      <w:pPr>
        <w:numPr>
          <w:ilvl w:val="0"/>
          <w:numId w:val="17"/>
        </w:numPr>
        <w:tabs>
          <w:tab w:val="left" w:pos="858"/>
        </w:tabs>
        <w:spacing w:line="360" w:lineRule="auto"/>
        <w:ind w:firstLine="480" w:firstLineChars="200"/>
        <w:rPr>
          <w:sz w:val="24"/>
        </w:rPr>
      </w:pPr>
      <w:r>
        <w:rPr>
          <w:rFonts w:hint="eastAsia"/>
          <w:sz w:val="24"/>
        </w:rPr>
        <w:t>组角部位密封胶条应保持连续且不易脱出，胶条硬度、拉伸强度、拉断伸长率及热空气老化性能等指标应符合GB/T24498的要求。</w:t>
      </w:r>
    </w:p>
    <w:p>
      <w:pPr>
        <w:numPr>
          <w:ilvl w:val="0"/>
          <w:numId w:val="17"/>
        </w:numPr>
        <w:tabs>
          <w:tab w:val="left" w:pos="858"/>
        </w:tabs>
        <w:spacing w:line="360" w:lineRule="auto"/>
        <w:ind w:firstLine="480" w:firstLineChars="200"/>
        <w:rPr>
          <w:sz w:val="24"/>
        </w:rPr>
      </w:pPr>
      <w:r>
        <w:rPr>
          <w:rFonts w:hint="eastAsia"/>
          <w:sz w:val="24"/>
        </w:rPr>
        <w:t>门窗五金件的外观质量、涂层/镀层、耐蚀性、启闭力及操纵灵活性等应满足GB/T32223的要求。</w:t>
      </w:r>
    </w:p>
    <w:p>
      <w:pPr>
        <w:numPr>
          <w:ilvl w:val="0"/>
          <w:numId w:val="17"/>
        </w:numPr>
        <w:tabs>
          <w:tab w:val="left" w:pos="858"/>
        </w:tabs>
        <w:spacing w:line="360" w:lineRule="auto"/>
        <w:ind w:firstLine="480" w:firstLineChars="200"/>
        <w:rPr>
          <w:sz w:val="24"/>
        </w:rPr>
      </w:pPr>
      <w:r>
        <w:rPr>
          <w:rFonts w:hint="eastAsia"/>
          <w:sz w:val="24"/>
        </w:rPr>
        <w:t>门窗装配质量（框扇连接、附件安装、紧固件、五金件安装位置等）应满足GB/T8478-2020、GB/T20909、GB/T28886、GB/T28887的相关要求。</w:t>
      </w:r>
    </w:p>
    <w:p>
      <w:pPr>
        <w:tabs>
          <w:tab w:val="left" w:pos="858"/>
        </w:tabs>
        <w:spacing w:line="360" w:lineRule="auto"/>
        <w:ind w:firstLine="480" w:firstLineChars="200"/>
        <w:rPr>
          <w:kern w:val="44"/>
          <w:sz w:val="24"/>
        </w:rPr>
      </w:pPr>
      <w:r>
        <w:rPr>
          <w:rFonts w:hint="eastAsia"/>
          <w:kern w:val="44"/>
          <w:sz w:val="24"/>
        </w:rPr>
        <w:t>6  门窗出厂安装前应对其外观、装配尺寸偏差、装配质量进行全数检验。</w:t>
      </w:r>
    </w:p>
    <w:p>
      <w:pPr>
        <w:tabs>
          <w:tab w:val="left" w:pos="858"/>
        </w:tabs>
        <w:spacing w:line="360" w:lineRule="auto"/>
        <w:ind w:firstLine="480" w:firstLineChars="200"/>
        <w:rPr>
          <w:kern w:val="44"/>
          <w:sz w:val="24"/>
        </w:rPr>
      </w:pPr>
      <w:r>
        <w:rPr>
          <w:rFonts w:hint="eastAsia"/>
          <w:kern w:val="44"/>
          <w:sz w:val="24"/>
        </w:rPr>
        <w:t>7  门窗出厂宜附带二维码标识，以方便追溯。</w:t>
      </w:r>
    </w:p>
    <w:p>
      <w:pPr>
        <w:tabs>
          <w:tab w:val="left" w:pos="858"/>
        </w:tabs>
        <w:spacing w:line="360" w:lineRule="auto"/>
        <w:ind w:firstLine="480" w:firstLineChars="200"/>
        <w:rPr>
          <w:sz w:val="24"/>
        </w:rPr>
      </w:pPr>
      <w:r>
        <w:rPr>
          <w:rFonts w:hint="eastAsia"/>
          <w:sz w:val="24"/>
        </w:rPr>
        <w:t>8  评定机构对门窗企业加工组装体系评价应包括针对产品生产的工艺流程图、工艺卡片、设备工装等方面的评价。加工组装体系文件应包括加工流程、工序、组装精度及设备加工精度、操作流程等关键技术内容。</w:t>
      </w:r>
    </w:p>
    <w:p>
      <w:pPr>
        <w:spacing w:line="360" w:lineRule="auto"/>
        <w:ind w:firstLine="480" w:firstLineChars="200"/>
        <w:outlineLvl w:val="2"/>
        <w:rPr>
          <w:rFonts w:ascii="宋体" w:hAnsi="宋体" w:cs="宋体"/>
          <w:bCs/>
          <w:kern w:val="44"/>
          <w:sz w:val="24"/>
        </w:rPr>
      </w:pPr>
      <w:r>
        <w:rPr>
          <w:rFonts w:hint="eastAsia" w:ascii="宋体" w:hAnsi="宋体" w:cs="宋体"/>
          <w:bCs/>
          <w:kern w:val="44"/>
          <w:sz w:val="24"/>
        </w:rPr>
        <w:t>4.2.4 产品性能要求应包含以下内容：</w:t>
      </w:r>
    </w:p>
    <w:p>
      <w:pPr>
        <w:pStyle w:val="28"/>
        <w:spacing w:line="360" w:lineRule="auto"/>
        <w:ind w:firstLine="480"/>
        <w:rPr>
          <w:rFonts w:ascii="Times New Roman"/>
          <w:sz w:val="24"/>
          <w:szCs w:val="24"/>
        </w:rPr>
      </w:pPr>
      <w:r>
        <w:rPr>
          <w:rFonts w:hint="eastAsia" w:ascii="Times New Roman"/>
          <w:sz w:val="24"/>
          <w:szCs w:val="24"/>
        </w:rPr>
        <w:t>1 铝合金外窗应满足现行国家标准《铝合金门窗》GB/T 8478的相关要求，塑料外窗应满足现行国家标准《建筑用塑料窗》GB/T 28887的相关要求；木外窗应符合现行国家标准《木门窗》GB/T 29498的相关要求；铝木复合外窗应符合现行国家标准《建筑用节能门窗  第1部分∶铝木复合门窗》GB/T 29734.1的相关要求；铝塑复合外窗应满足现行国家标准《建筑用节能门窗  第2 部分∶铝塑复合门窗》GB/T 29734.2的相关要求。</w:t>
      </w:r>
    </w:p>
    <w:p>
      <w:pPr>
        <w:pStyle w:val="28"/>
        <w:spacing w:line="360" w:lineRule="auto"/>
        <w:ind w:firstLine="480"/>
        <w:rPr>
          <w:rFonts w:ascii="Times New Roman"/>
          <w:sz w:val="24"/>
          <w:szCs w:val="24"/>
        </w:rPr>
      </w:pPr>
      <w:r>
        <w:rPr>
          <w:rFonts w:hint="eastAsia" w:ascii="Times New Roman"/>
          <w:sz w:val="24"/>
          <w:szCs w:val="24"/>
        </w:rPr>
        <w:t>2 外窗的气密、水密、抗风压性能指标值，应满足项目要求，不应低于现行国家标准《建筑幕墙门窗通用技术条件》GB/T 31433中气密6级、水密3级、抗风压3级的要求。</w:t>
      </w:r>
    </w:p>
    <w:p>
      <w:pPr>
        <w:pStyle w:val="28"/>
        <w:spacing w:line="360" w:lineRule="auto"/>
        <w:ind w:firstLine="480"/>
        <w:rPr>
          <w:rFonts w:ascii="Times New Roman"/>
          <w:sz w:val="24"/>
          <w:szCs w:val="24"/>
        </w:rPr>
      </w:pPr>
      <w:r>
        <w:rPr>
          <w:rFonts w:hint="eastAsia" w:ascii="Times New Roman"/>
          <w:sz w:val="24"/>
          <w:szCs w:val="24"/>
        </w:rPr>
        <w:t>3 门窗产品性能的检测应包含表4.2.4中的必要性能，在有要求的情况下可以包含表4.2.4中的可选性能。</w:t>
      </w:r>
    </w:p>
    <w:p>
      <w:pPr>
        <w:pStyle w:val="28"/>
        <w:spacing w:line="360" w:lineRule="auto"/>
        <w:ind w:firstLine="480"/>
        <w:jc w:val="center"/>
        <w:rPr>
          <w:rFonts w:ascii="Times New Roman"/>
          <w:sz w:val="24"/>
          <w:szCs w:val="24"/>
        </w:rPr>
      </w:pPr>
      <w:r>
        <w:rPr>
          <w:rFonts w:hint="eastAsia" w:ascii="Times New Roman"/>
          <w:sz w:val="24"/>
          <w:szCs w:val="24"/>
        </w:rPr>
        <w:t>表4.2.4 门窗物理性能检测要求表</w:t>
      </w:r>
    </w:p>
    <w:p>
      <w:pPr>
        <w:spacing w:line="360" w:lineRule="auto"/>
        <w:jc w:val="center"/>
        <w:rPr>
          <w:sz w:val="24"/>
        </w:rPr>
      </w:pPr>
      <w:r>
        <w:rPr>
          <w:rFonts w:hint="eastAsia"/>
          <w:sz w:val="24"/>
        </w:rPr>
        <w:drawing>
          <wp:inline distT="0" distB="0" distL="114300" distR="114300">
            <wp:extent cx="4860290" cy="2336800"/>
            <wp:effectExtent l="0" t="0" r="1270" b="10160"/>
            <wp:docPr id="11" name="图片 11" descr="166606316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6063161937"/>
                    <pic:cNvPicPr>
                      <a:picLocks noChangeAspect="1"/>
                    </pic:cNvPicPr>
                  </pic:nvPicPr>
                  <pic:blipFill>
                    <a:blip r:embed="rId30"/>
                    <a:srcRect t="9932"/>
                    <a:stretch>
                      <a:fillRect/>
                    </a:stretch>
                  </pic:blipFill>
                  <pic:spPr>
                    <a:xfrm>
                      <a:off x="0" y="0"/>
                      <a:ext cx="4860290" cy="2336800"/>
                    </a:xfrm>
                    <a:prstGeom prst="rect">
                      <a:avLst/>
                    </a:prstGeom>
                  </pic:spPr>
                </pic:pic>
              </a:graphicData>
            </a:graphic>
          </wp:inline>
        </w:drawing>
      </w:r>
    </w:p>
    <w:p>
      <w:pPr>
        <w:spacing w:line="360" w:lineRule="auto"/>
        <w:jc w:val="center"/>
        <w:rPr>
          <w:b/>
          <w:kern w:val="44"/>
          <w:sz w:val="24"/>
        </w:rPr>
      </w:pPr>
      <w:r>
        <w:rPr>
          <w:rFonts w:hint="eastAsia"/>
          <w:sz w:val="24"/>
        </w:rPr>
        <w:drawing>
          <wp:inline distT="0" distB="0" distL="114300" distR="114300">
            <wp:extent cx="4860290" cy="3891915"/>
            <wp:effectExtent l="0" t="0" r="1270" b="9525"/>
            <wp:docPr id="12" name="图片 12" descr="166606319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6063190601"/>
                    <pic:cNvPicPr>
                      <a:picLocks noChangeAspect="1"/>
                    </pic:cNvPicPr>
                  </pic:nvPicPr>
                  <pic:blipFill>
                    <a:blip r:embed="rId31"/>
                    <a:stretch>
                      <a:fillRect/>
                    </a:stretch>
                  </pic:blipFill>
                  <pic:spPr>
                    <a:xfrm>
                      <a:off x="0" y="0"/>
                      <a:ext cx="4860290" cy="3891915"/>
                    </a:xfrm>
                    <a:prstGeom prst="rect">
                      <a:avLst/>
                    </a:prstGeom>
                  </pic:spPr>
                </pic:pic>
              </a:graphicData>
            </a:graphic>
          </wp:inline>
        </w:drawing>
      </w:r>
    </w:p>
    <w:p>
      <w:pPr>
        <w:spacing w:line="360" w:lineRule="auto"/>
        <w:ind w:firstLine="480" w:firstLineChars="200"/>
        <w:outlineLvl w:val="2"/>
        <w:rPr>
          <w:rFonts w:ascii="宋体" w:hAnsi="宋体" w:cs="宋体"/>
          <w:bCs/>
          <w:kern w:val="44"/>
          <w:sz w:val="24"/>
        </w:rPr>
      </w:pPr>
      <w:r>
        <w:rPr>
          <w:rFonts w:hint="eastAsia" w:ascii="宋体" w:hAnsi="宋体" w:cs="宋体"/>
          <w:bCs/>
          <w:kern w:val="44"/>
          <w:sz w:val="24"/>
        </w:rPr>
        <w:t>4.2.5 施工方案应包含外窗洞口处理措施、窗框(或附框)与墙体连接以及外窗四周的防水、密封、保温做法等施工工艺。</w:t>
      </w:r>
    </w:p>
    <w:p>
      <w:pPr>
        <w:spacing w:line="360" w:lineRule="auto"/>
        <w:ind w:firstLine="480" w:firstLineChars="200"/>
        <w:outlineLvl w:val="2"/>
        <w:rPr>
          <w:rFonts w:ascii="宋体" w:hAnsi="宋体" w:cs="宋体"/>
          <w:bCs/>
          <w:kern w:val="44"/>
          <w:sz w:val="24"/>
        </w:rPr>
      </w:pPr>
      <w:r>
        <w:rPr>
          <w:rFonts w:hint="eastAsia" w:ascii="宋体" w:hAnsi="宋体" w:cs="宋体"/>
          <w:bCs/>
          <w:kern w:val="44"/>
          <w:sz w:val="24"/>
        </w:rPr>
        <w:t>4.2.6 门窗安装人员应符合现行行业标准《建筑门窗安装工职业技能标准》JGJ/T 464的规定。</w:t>
      </w:r>
    </w:p>
    <w:p>
      <w:pPr>
        <w:pStyle w:val="28"/>
        <w:spacing w:line="360" w:lineRule="auto"/>
        <w:ind w:firstLine="480"/>
        <w:outlineLvl w:val="2"/>
        <w:rPr>
          <w:rFonts w:ascii="Times New Roman"/>
          <w:sz w:val="24"/>
          <w:szCs w:val="24"/>
        </w:rPr>
      </w:pPr>
      <w:r>
        <w:rPr>
          <w:rFonts w:hint="eastAsia" w:hAnsi="宋体" w:cs="宋体"/>
          <w:bCs/>
          <w:kern w:val="44"/>
          <w:sz w:val="24"/>
          <w:szCs w:val="24"/>
        </w:rPr>
        <w:t>4.2.7 现场安装质量</w:t>
      </w:r>
      <w:r>
        <w:rPr>
          <w:rFonts w:hint="eastAsia" w:ascii="Times New Roman"/>
          <w:sz w:val="24"/>
          <w:szCs w:val="24"/>
        </w:rPr>
        <w:t>应符合下列规定∶</w:t>
      </w:r>
    </w:p>
    <w:p>
      <w:pPr>
        <w:pStyle w:val="28"/>
        <w:numPr>
          <w:ilvl w:val="0"/>
          <w:numId w:val="18"/>
        </w:numPr>
        <w:spacing w:line="360" w:lineRule="auto"/>
        <w:ind w:firstLine="480"/>
        <w:rPr>
          <w:rFonts w:ascii="Times New Roman"/>
          <w:sz w:val="24"/>
          <w:szCs w:val="24"/>
        </w:rPr>
      </w:pPr>
      <w:r>
        <w:rPr>
          <w:rFonts w:hint="eastAsia" w:ascii="Times New Roman"/>
          <w:sz w:val="24"/>
          <w:szCs w:val="24"/>
        </w:rPr>
        <w:t>外窗及所有材料进场时应按设计要求对其类型、品种、系列、规格、数量、开启方向、外观和尺寸等进行验收，材料应完好，技术资料齐全。</w:t>
      </w:r>
    </w:p>
    <w:p>
      <w:pPr>
        <w:pStyle w:val="28"/>
        <w:numPr>
          <w:ilvl w:val="0"/>
          <w:numId w:val="18"/>
        </w:numPr>
        <w:spacing w:line="360" w:lineRule="auto"/>
        <w:ind w:firstLine="480"/>
        <w:rPr>
          <w:rFonts w:ascii="Times New Roman"/>
          <w:sz w:val="24"/>
          <w:szCs w:val="24"/>
        </w:rPr>
      </w:pPr>
      <w:r>
        <w:rPr>
          <w:rFonts w:hint="eastAsia" w:ascii="Times New Roman"/>
          <w:sz w:val="24"/>
          <w:szCs w:val="24"/>
        </w:rPr>
        <w:t>施工前应复核外窗安装洞口尺寸，洞口宽、高尺寸允许偏差应在±10mm内。</w:t>
      </w:r>
    </w:p>
    <w:p>
      <w:pPr>
        <w:pStyle w:val="28"/>
        <w:numPr>
          <w:ilvl w:val="0"/>
          <w:numId w:val="18"/>
        </w:numPr>
        <w:spacing w:line="360" w:lineRule="auto"/>
        <w:ind w:firstLine="480"/>
        <w:rPr>
          <w:rFonts w:ascii="Times New Roman"/>
          <w:sz w:val="24"/>
          <w:szCs w:val="24"/>
        </w:rPr>
      </w:pPr>
      <w:r>
        <w:rPr>
          <w:rFonts w:hint="eastAsia" w:ascii="Times New Roman"/>
          <w:sz w:val="24"/>
          <w:szCs w:val="24"/>
        </w:rPr>
        <w:t>当门窗宽度、高度大于1500mm时，门窗框与附框四周间隙应按门窗材料的热膨胀系数调整间隙值，四周间隙宜控制在5mm～8mm；</w:t>
      </w:r>
    </w:p>
    <w:p>
      <w:pPr>
        <w:pStyle w:val="28"/>
        <w:spacing w:line="360" w:lineRule="auto"/>
        <w:ind w:firstLine="480"/>
        <w:rPr>
          <w:rFonts w:ascii="Times New Roman"/>
          <w:sz w:val="24"/>
          <w:szCs w:val="24"/>
        </w:rPr>
      </w:pPr>
      <w:r>
        <w:rPr>
          <w:rFonts w:hint="eastAsia" w:ascii="Times New Roman"/>
          <w:sz w:val="24"/>
          <w:szCs w:val="24"/>
        </w:rPr>
        <w:t>4） 门窗框与附框之间安装固定点位置及中心距应满足设计要求，距角部的距离不应大于150mm，其余部位的中心距不应大于400mm，在窗框受力杆件中心位置两侧100mm内应设置固定点，固定门窗框的紧固件规格、型号应符合设计要求，不应漏打，安装应牢固；</w:t>
      </w:r>
    </w:p>
    <w:p>
      <w:pPr>
        <w:pStyle w:val="28"/>
        <w:spacing w:line="360" w:lineRule="auto"/>
        <w:ind w:firstLine="480"/>
        <w:rPr>
          <w:rFonts w:ascii="Times New Roman"/>
          <w:sz w:val="24"/>
          <w:szCs w:val="24"/>
        </w:rPr>
      </w:pPr>
      <w:r>
        <w:rPr>
          <w:rFonts w:hint="eastAsia" w:ascii="Times New Roman"/>
          <w:sz w:val="24"/>
          <w:szCs w:val="24"/>
        </w:rPr>
        <w:t>5） 门窗框与附框之间缝隙在螺钉部位应垫实；当采用螺钉紧固时，门窗框不应有变形，螺钉连接部位应进行密封处理；</w:t>
      </w:r>
    </w:p>
    <w:p>
      <w:pPr>
        <w:pStyle w:val="28"/>
        <w:spacing w:line="360" w:lineRule="auto"/>
        <w:ind w:firstLine="480"/>
        <w:rPr>
          <w:rFonts w:ascii="Times New Roman"/>
          <w:sz w:val="24"/>
          <w:szCs w:val="24"/>
        </w:rPr>
      </w:pPr>
      <w:r>
        <w:rPr>
          <w:rFonts w:hint="eastAsia" w:ascii="Times New Roman"/>
          <w:sz w:val="24"/>
          <w:szCs w:val="24"/>
        </w:rPr>
        <w:t>6） 附框与窗框之间应设置支承垫块和定位垫块，并保证窗框与附框内口间隙均匀。支承垫块应均匀分布在框型材下面且不得堵塞泄水孔。</w:t>
      </w:r>
    </w:p>
    <w:p>
      <w:pPr>
        <w:spacing w:line="360" w:lineRule="auto"/>
        <w:ind w:firstLine="480" w:firstLineChars="200"/>
        <w:rPr>
          <w:sz w:val="24"/>
        </w:rPr>
      </w:pPr>
      <w:r>
        <w:rPr>
          <w:rFonts w:hint="eastAsia"/>
          <w:sz w:val="24"/>
        </w:rPr>
        <w:t>7） 与水泥砂浆接触的金属门窗框应进行防腐处理。</w:t>
      </w:r>
    </w:p>
    <w:p>
      <w:pPr>
        <w:spacing w:line="360" w:lineRule="auto"/>
        <w:ind w:firstLine="480" w:firstLineChars="200"/>
        <w:outlineLvl w:val="2"/>
        <w:rPr>
          <w:rFonts w:ascii="宋体" w:hAnsi="宋体" w:cs="宋体"/>
          <w:bCs/>
          <w:kern w:val="44"/>
          <w:sz w:val="24"/>
        </w:rPr>
      </w:pPr>
      <w:r>
        <w:rPr>
          <w:rFonts w:hint="eastAsia" w:ascii="宋体" w:hAnsi="宋体" w:cs="宋体"/>
          <w:bCs/>
          <w:kern w:val="44"/>
          <w:sz w:val="24"/>
        </w:rPr>
        <w:t xml:space="preserve">4.2.8 </w:t>
      </w:r>
      <w:r>
        <w:rPr>
          <w:rFonts w:hint="eastAsia"/>
          <w:sz w:val="24"/>
        </w:rPr>
        <w:t>门窗过程施工记录应包含预埋件和锚固件、隐蔽部位的防腐和填嵌处理以及高层金属窗防雷连接点等隐蔽部位的处理措施。</w:t>
      </w:r>
    </w:p>
    <w:p>
      <w:pPr>
        <w:rPr>
          <w:sz w:val="24"/>
        </w:rPr>
      </w:pPr>
      <w:bookmarkStart w:id="51" w:name="_Toc1085"/>
      <w:bookmarkStart w:id="52" w:name="_Toc4669"/>
      <w:r>
        <w:rPr>
          <w:rFonts w:hint="eastAsia"/>
          <w:sz w:val="24"/>
        </w:rPr>
        <w:br w:type="page"/>
      </w:r>
    </w:p>
    <w:p>
      <w:pPr>
        <w:pStyle w:val="28"/>
        <w:spacing w:line="360" w:lineRule="auto"/>
        <w:ind w:firstLine="480"/>
        <w:rPr>
          <w:rFonts w:ascii="Times New Roman"/>
          <w:sz w:val="24"/>
          <w:szCs w:val="24"/>
        </w:rPr>
      </w:pPr>
    </w:p>
    <w:p>
      <w:pPr>
        <w:spacing w:line="360" w:lineRule="auto"/>
        <w:jc w:val="center"/>
        <w:outlineLvl w:val="1"/>
        <w:rPr>
          <w:rFonts w:eastAsia="黑体"/>
          <w:b/>
          <w:bCs/>
          <w:color w:val="000000"/>
          <w:kern w:val="44"/>
          <w:sz w:val="28"/>
          <w:szCs w:val="28"/>
        </w:rPr>
      </w:pPr>
      <w:r>
        <w:rPr>
          <w:rFonts w:hint="eastAsia" w:ascii="黑体" w:hAnsi="黑体" w:eastAsia="黑体" w:cs="黑体"/>
          <w:color w:val="000000"/>
          <w:kern w:val="44"/>
          <w:sz w:val="28"/>
          <w:szCs w:val="28"/>
        </w:rPr>
        <w:t>4.3 门窗非技术性指标核查</w:t>
      </w:r>
    </w:p>
    <w:p>
      <w:pPr>
        <w:spacing w:line="360" w:lineRule="auto"/>
        <w:jc w:val="left"/>
        <w:rPr>
          <w:kern w:val="44"/>
          <w:sz w:val="24"/>
        </w:rPr>
      </w:pPr>
      <w:r>
        <w:rPr>
          <w:rFonts w:hint="eastAsia"/>
          <w:kern w:val="44"/>
          <w:sz w:val="24"/>
        </w:rPr>
        <w:t>4.3.1  门窗非技术性指标包括：企业能力、地理位置、运维管理和损失记录。</w:t>
      </w:r>
    </w:p>
    <w:p>
      <w:pPr>
        <w:spacing w:line="360" w:lineRule="auto"/>
        <w:jc w:val="left"/>
        <w:rPr>
          <w:kern w:val="44"/>
          <w:sz w:val="24"/>
        </w:rPr>
      </w:pPr>
      <w:r>
        <w:rPr>
          <w:rFonts w:hint="eastAsia"/>
          <w:kern w:val="44"/>
          <w:sz w:val="24"/>
        </w:rPr>
        <w:t>4.3.2  企业能力评定包括生产企业基础数据、企业管理能力、定型产品研发与技术管理、安全生产管理及企业声誉五个部分，具体评分见附录B。</w:t>
      </w:r>
    </w:p>
    <w:p>
      <w:pPr>
        <w:spacing w:line="360" w:lineRule="auto"/>
        <w:rPr>
          <w:kern w:val="44"/>
          <w:sz w:val="24"/>
        </w:rPr>
      </w:pPr>
      <w:r>
        <w:rPr>
          <w:rFonts w:hint="eastAsia"/>
          <w:kern w:val="44"/>
          <w:sz w:val="24"/>
        </w:rPr>
        <w:t>4.3.3  地理位置指产品所在的安装地点，也是保险合同约定的地点；如出现安装地址与保险地址不一致，则本次投保无效。</w:t>
      </w:r>
    </w:p>
    <w:p>
      <w:pPr>
        <w:spacing w:line="360" w:lineRule="auto"/>
        <w:rPr>
          <w:kern w:val="44"/>
          <w:sz w:val="24"/>
        </w:rPr>
      </w:pPr>
      <w:r>
        <w:rPr>
          <w:rFonts w:hint="eastAsia"/>
          <w:kern w:val="44"/>
          <w:sz w:val="24"/>
        </w:rPr>
        <w:t>4.3.4  损失记录是指投标产品在保险期内发生质量问题，发生理赔的相关记录，将影响下期保险评估。</w:t>
      </w:r>
    </w:p>
    <w:p>
      <w:pPr>
        <w:spacing w:line="360" w:lineRule="auto"/>
        <w:rPr>
          <w:kern w:val="44"/>
          <w:sz w:val="24"/>
        </w:rPr>
      </w:pPr>
      <w:r>
        <w:rPr>
          <w:rFonts w:hint="eastAsia"/>
          <w:kern w:val="44"/>
          <w:sz w:val="24"/>
        </w:rPr>
        <w:t>4.3.5  门窗非技术指标的评定要求参见附录C 非技术性评定指标。</w:t>
      </w:r>
    </w:p>
    <w:p>
      <w:pPr>
        <w:pStyle w:val="70"/>
        <w:numPr>
          <w:ilvl w:val="0"/>
          <w:numId w:val="0"/>
        </w:numPr>
        <w:spacing w:beforeLines="0" w:afterLines="0" w:line="360" w:lineRule="auto"/>
        <w:jc w:val="center"/>
        <w:outlineLvl w:val="0"/>
        <w:rPr>
          <w:rFonts w:hAnsi="黑体" w:cs="黑体"/>
          <w:color w:val="000000"/>
          <w:kern w:val="44"/>
          <w:sz w:val="32"/>
          <w:szCs w:val="32"/>
        </w:rPr>
      </w:pPr>
      <w:r>
        <w:rPr>
          <w:rFonts w:hint="eastAsia" w:ascii="宋体" w:hAnsi="宋体" w:eastAsia="宋体" w:cs="宋体"/>
          <w:b/>
          <w:bCs/>
          <w:kern w:val="44"/>
          <w:sz w:val="24"/>
          <w:szCs w:val="24"/>
        </w:rPr>
        <w:br w:type="page"/>
      </w:r>
      <w:bookmarkEnd w:id="51"/>
      <w:bookmarkEnd w:id="52"/>
      <w:bookmarkStart w:id="53" w:name="_Toc27012"/>
      <w:bookmarkStart w:id="54" w:name="_Toc16600"/>
      <w:bookmarkStart w:id="55" w:name="_Toc22756"/>
      <w:r>
        <w:rPr>
          <w:rFonts w:hint="eastAsia" w:hAnsi="黑体" w:cs="黑体"/>
          <w:color w:val="000000"/>
          <w:kern w:val="44"/>
          <w:sz w:val="32"/>
          <w:szCs w:val="32"/>
        </w:rPr>
        <w:t xml:space="preserve">5 </w:t>
      </w:r>
      <w:bookmarkEnd w:id="53"/>
      <w:bookmarkEnd w:id="54"/>
      <w:r>
        <w:rPr>
          <w:rFonts w:hint="eastAsia" w:hAnsi="黑体" w:cs="黑体"/>
          <w:color w:val="000000"/>
          <w:kern w:val="44"/>
          <w:sz w:val="32"/>
          <w:szCs w:val="32"/>
        </w:rPr>
        <w:t>项目技术风险评估</w:t>
      </w:r>
      <w:bookmarkEnd w:id="55"/>
      <w:bookmarkStart w:id="56" w:name="_Toc17503"/>
    </w:p>
    <w:bookmarkEnd w:id="56"/>
    <w:p>
      <w:pPr>
        <w:pStyle w:val="28"/>
        <w:spacing w:line="360" w:lineRule="auto"/>
        <w:ind w:firstLine="0" w:firstLineChars="0"/>
        <w:rPr>
          <w:rFonts w:ascii="Times New Roman" w:cs="宋体"/>
          <w:sz w:val="24"/>
          <w:szCs w:val="24"/>
        </w:rPr>
      </w:pPr>
      <w:bookmarkStart w:id="57" w:name="_Toc11123"/>
      <w:r>
        <w:rPr>
          <w:rFonts w:hint="eastAsia" w:ascii="Times New Roman" w:cs="宋体"/>
          <w:sz w:val="24"/>
          <w:szCs w:val="24"/>
        </w:rPr>
        <w:t>5.0.1 项目评估结果的风险等级评定原则为：评分越高，质量水平越高，风险等级越低。门窗项目应满足本标准节4.2的控制项要求后才能进行投保。项目评估结果的风险等级评定由技术指标D和非技术指标S共同计算得出，每个指标最高100分，最低60分，缺项为0分。综合总分计算公式为：</w:t>
      </w:r>
    </w:p>
    <w:p>
      <w:pPr>
        <w:pStyle w:val="28"/>
        <w:spacing w:line="360" w:lineRule="auto"/>
        <w:ind w:firstLine="480"/>
        <w:jc w:val="center"/>
        <w:rPr>
          <w:rFonts w:ascii="Times New Roman" w:cs="宋体"/>
          <w:sz w:val="24"/>
          <w:szCs w:val="24"/>
        </w:rPr>
      </w:pPr>
      <m:oMathPara>
        <m:oMath>
          <m:r>
            <m:rPr>
              <m:sty m:val="p"/>
            </m:rPr>
            <w:rPr>
              <w:rFonts w:hint="eastAsia" w:ascii="Cambria Math" w:hAnsi="Cambria Math" w:cs="宋体"/>
              <w:sz w:val="24"/>
              <w:szCs w:val="24"/>
            </w:rPr>
            <m:t>Q=</m:t>
          </m:r>
          <m:nary>
            <m:naryPr>
              <m:chr m:val="∑"/>
              <m:limLoc m:val="undOvr"/>
              <m:subHide m:val="1"/>
              <m:supHide m:val="1"/>
              <m:ctrlPr>
                <w:rPr>
                  <w:rFonts w:hint="eastAsia" w:ascii="Cambria Math" w:hAnsi="Cambria Math" w:cs="宋体"/>
                  <w:sz w:val="24"/>
                  <w:szCs w:val="24"/>
                </w:rPr>
              </m:ctrlPr>
            </m:naryPr>
            <m:sub>
              <m:ctrlPr>
                <w:rPr>
                  <w:rFonts w:hint="eastAsia" w:ascii="Cambria Math" w:hAnsi="Cambria Math" w:cs="宋体"/>
                  <w:sz w:val="24"/>
                  <w:szCs w:val="24"/>
                </w:rPr>
              </m:ctrlPr>
            </m:sub>
            <m:sup>
              <m:ctrlPr>
                <w:rPr>
                  <w:rFonts w:hint="eastAsia" w:ascii="Cambria Math" w:hAnsi="Cambria Math" w:cs="宋体"/>
                  <w:sz w:val="24"/>
                  <w:szCs w:val="24"/>
                </w:rPr>
              </m:ctrlPr>
            </m:sup>
            <m:e>
              <m:r>
                <m:rPr>
                  <m:sty m:val="p"/>
                </m:rPr>
                <w:rPr>
                  <w:rFonts w:hint="eastAsia" w:ascii="Cambria Math" w:hAnsi="Cambria Math" w:cs="宋体"/>
                  <w:sz w:val="24"/>
                  <w:szCs w:val="24"/>
                </w:rPr>
                <m:t>（D×</m:t>
              </m:r>
              <m:sSub>
                <m:sSubPr>
                  <m:ctrlPr>
                    <w:rPr>
                      <w:rFonts w:hint="eastAsia" w:ascii="Cambria Math" w:hAnsi="Cambria Math" w:cs="宋体"/>
                      <w:sz w:val="24"/>
                      <w:szCs w:val="24"/>
                    </w:rPr>
                  </m:ctrlPr>
                </m:sSubPr>
                <m:e>
                  <m:r>
                    <m:rPr>
                      <m:sty m:val="p"/>
                    </m:rPr>
                    <w:rPr>
                      <w:rFonts w:hint="eastAsia" w:ascii="Cambria Math" w:hAnsi="Cambria Math" w:cs="宋体"/>
                      <w:sz w:val="24"/>
                      <w:szCs w:val="24"/>
                    </w:rPr>
                    <m:t>ω</m:t>
                  </m:r>
                  <m:ctrlPr>
                    <w:rPr>
                      <w:rFonts w:hint="eastAsia" w:ascii="Cambria Math" w:hAnsi="Cambria Math" w:cs="宋体"/>
                      <w:sz w:val="24"/>
                      <w:szCs w:val="24"/>
                    </w:rPr>
                  </m:ctrlPr>
                </m:e>
                <m:sub>
                  <m:r>
                    <m:rPr>
                      <m:sty m:val="p"/>
                    </m:rPr>
                    <w:rPr>
                      <w:rFonts w:hint="eastAsia" w:ascii="Cambria Math" w:hAnsi="Cambria Math" w:cs="宋体"/>
                      <w:sz w:val="24"/>
                      <w:szCs w:val="24"/>
                    </w:rPr>
                    <m:t>0</m:t>
                  </m:r>
                  <m:ctrlPr>
                    <w:rPr>
                      <w:rFonts w:hint="eastAsia" w:ascii="Cambria Math" w:hAnsi="Cambria Math" w:cs="宋体"/>
                      <w:sz w:val="24"/>
                      <w:szCs w:val="24"/>
                    </w:rPr>
                  </m:ctrlPr>
                </m:sub>
              </m:sSub>
              <m:ctrlPr>
                <w:rPr>
                  <w:rFonts w:hint="eastAsia" w:ascii="Cambria Math" w:hAnsi="Cambria Math" w:cs="宋体"/>
                  <w:sz w:val="24"/>
                  <w:szCs w:val="24"/>
                </w:rPr>
              </m:ctrlPr>
            </m:e>
          </m:nary>
          <m:r>
            <m:rPr>
              <m:sty m:val="p"/>
            </m:rPr>
            <w:rPr>
              <w:rFonts w:hint="eastAsia" w:ascii="Cambria Math" w:hAnsi="Cambria Math" w:cs="宋体"/>
              <w:sz w:val="24"/>
              <w:szCs w:val="24"/>
            </w:rPr>
            <m:t>+S×</m:t>
          </m:r>
          <m:sSub>
            <m:sSubPr>
              <m:ctrlPr>
                <w:rPr>
                  <w:rFonts w:hint="eastAsia" w:ascii="Cambria Math" w:hAnsi="Cambria Math" w:cs="宋体"/>
                  <w:sz w:val="24"/>
                  <w:szCs w:val="24"/>
                </w:rPr>
              </m:ctrlPr>
            </m:sSubPr>
            <m:e>
              <m:r>
                <m:rPr>
                  <m:sty m:val="p"/>
                </m:rPr>
                <w:rPr>
                  <w:rFonts w:ascii="Cambria Math" w:hAnsi="Cambria Math" w:cs="宋体"/>
                  <w:sz w:val="24"/>
                  <w:szCs w:val="24"/>
                </w:rPr>
                <m:t>μ</m:t>
              </m:r>
              <m:ctrlPr>
                <w:rPr>
                  <w:rFonts w:hint="eastAsia" w:ascii="Cambria Math" w:hAnsi="Cambria Math" w:cs="宋体"/>
                  <w:sz w:val="24"/>
                  <w:szCs w:val="24"/>
                </w:rPr>
              </m:ctrlPr>
            </m:e>
            <m:sub>
              <m:r>
                <m:rPr>
                  <m:sty m:val="p"/>
                </m:rPr>
                <w:rPr>
                  <w:rFonts w:hint="eastAsia" w:ascii="Cambria Math" w:hAnsi="Cambria Math" w:cs="宋体"/>
                  <w:sz w:val="24"/>
                  <w:szCs w:val="24"/>
                </w:rPr>
                <m:t>0</m:t>
              </m:r>
              <m:ctrlPr>
                <w:rPr>
                  <w:rFonts w:hint="eastAsia" w:ascii="Cambria Math" w:hAnsi="Cambria Math" w:cs="宋体"/>
                  <w:sz w:val="24"/>
                  <w:szCs w:val="24"/>
                </w:rPr>
              </m:ctrlPr>
            </m:sub>
          </m:sSub>
          <m:r>
            <m:rPr>
              <m:sty m:val="p"/>
            </m:rPr>
            <w:rPr>
              <w:rFonts w:hint="eastAsia" w:ascii="Cambria Math" w:hAnsi="Cambria Math" w:cs="宋体"/>
              <w:sz w:val="24"/>
              <w:szCs w:val="24"/>
            </w:rPr>
            <m:t>）</m:t>
          </m:r>
        </m:oMath>
      </m:oMathPara>
    </w:p>
    <w:p>
      <w:pPr>
        <w:pStyle w:val="28"/>
        <w:spacing w:line="360" w:lineRule="auto"/>
        <w:ind w:firstLine="480"/>
        <w:jc w:val="left"/>
        <w:rPr>
          <w:rFonts w:ascii="Times New Roman" w:cs="宋体"/>
          <w:sz w:val="24"/>
          <w:szCs w:val="24"/>
        </w:rPr>
      </w:pPr>
      <w:r>
        <w:rPr>
          <w:rFonts w:hint="eastAsia" w:ascii="Times New Roman" w:cs="宋体"/>
          <w:sz w:val="24"/>
          <w:szCs w:val="24"/>
        </w:rPr>
        <w:t>其中ω</w:t>
      </w:r>
      <w:r>
        <w:rPr>
          <w:rFonts w:hint="eastAsia" w:ascii="Times New Roman" w:cs="宋体"/>
          <w:sz w:val="24"/>
          <w:szCs w:val="24"/>
          <w:vertAlign w:val="subscript"/>
        </w:rPr>
        <w:t>0</w:t>
      </w:r>
      <w:r>
        <w:rPr>
          <w:rFonts w:hint="eastAsia" w:ascii="Times New Roman" w:cs="宋体"/>
          <w:sz w:val="24"/>
          <w:szCs w:val="24"/>
        </w:rPr>
        <w:t>和</w:t>
      </w:r>
      <m:oMath>
        <m:r>
          <m:rPr>
            <m:sty m:val="p"/>
          </m:rPr>
          <w:rPr>
            <w:rFonts w:ascii="Cambria Math" w:hAnsi="Cambria Math" w:cs="宋体"/>
            <w:sz w:val="24"/>
            <w:szCs w:val="24"/>
          </w:rPr>
          <m:t>μ</m:t>
        </m:r>
      </m:oMath>
      <w:r>
        <w:rPr>
          <w:rFonts w:hint="eastAsia" w:ascii="Times New Roman" w:cs="宋体"/>
          <w:sz w:val="24"/>
          <w:szCs w:val="24"/>
          <w:vertAlign w:val="subscript"/>
        </w:rPr>
        <w:t>0</w:t>
      </w:r>
      <w:r>
        <w:rPr>
          <w:rFonts w:hint="eastAsia" w:ascii="Times New Roman" w:cs="宋体"/>
          <w:sz w:val="24"/>
          <w:szCs w:val="24"/>
        </w:rPr>
        <w:t>为权重系数，权重值见表5.0.1。</w:t>
      </w:r>
    </w:p>
    <w:p>
      <w:pPr>
        <w:spacing w:line="360" w:lineRule="auto"/>
        <w:jc w:val="center"/>
        <w:rPr>
          <w:rFonts w:ascii="宋体" w:hAnsi="宋体" w:cs="宋体"/>
          <w:kern w:val="0"/>
          <w:sz w:val="24"/>
          <w:szCs w:val="21"/>
        </w:rPr>
      </w:pPr>
      <w:r>
        <w:rPr>
          <w:rFonts w:hint="eastAsia" w:ascii="宋体" w:hAnsi="宋体" w:cs="宋体"/>
          <w:kern w:val="0"/>
          <w:sz w:val="24"/>
          <w:szCs w:val="21"/>
        </w:rPr>
        <w:t>表5.0.1风险等级评定中技术指标D和非技术指标S的权重值</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2511"/>
        <w:gridCol w:w="4083"/>
        <w:gridCol w:w="298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2511" w:type="dxa"/>
            <w:tcBorders>
              <w:tl2br w:val="nil"/>
              <w:tr2bl w:val="nil"/>
            </w:tcBorders>
            <w:vAlign w:val="center"/>
          </w:tcPr>
          <w:p>
            <w:pPr>
              <w:spacing w:line="360" w:lineRule="auto"/>
              <w:jc w:val="center"/>
              <w:outlineLvl w:val="1"/>
              <w:rPr>
                <w:rFonts w:cs="宋体"/>
                <w:kern w:val="0"/>
                <w:szCs w:val="21"/>
              </w:rPr>
            </w:pPr>
            <w:r>
              <w:rPr>
                <w:rFonts w:hint="eastAsia" w:cs="宋体"/>
                <w:kern w:val="0"/>
                <w:szCs w:val="21"/>
              </w:rPr>
              <w:t>项目</w:t>
            </w:r>
          </w:p>
        </w:tc>
        <w:tc>
          <w:tcPr>
            <w:tcW w:w="4083" w:type="dxa"/>
            <w:tcBorders>
              <w:tl2br w:val="nil"/>
              <w:tr2bl w:val="nil"/>
            </w:tcBorders>
            <w:vAlign w:val="center"/>
          </w:tcPr>
          <w:p>
            <w:pPr>
              <w:spacing w:line="360" w:lineRule="auto"/>
              <w:jc w:val="center"/>
              <w:outlineLvl w:val="1"/>
              <w:rPr>
                <w:rFonts w:cs="宋体"/>
                <w:kern w:val="0"/>
                <w:szCs w:val="21"/>
              </w:rPr>
            </w:pPr>
            <w:bookmarkStart w:id="58" w:name="_Toc108640838"/>
            <w:bookmarkStart w:id="59" w:name="_Toc96862689"/>
            <w:bookmarkStart w:id="60" w:name="_Toc108640718"/>
            <w:bookmarkStart w:id="61" w:name="_Toc110971710"/>
            <w:r>
              <w:rPr>
                <w:rFonts w:hint="eastAsia" w:cs="宋体"/>
                <w:kern w:val="0"/>
                <w:szCs w:val="21"/>
              </w:rPr>
              <w:t>技术指标</w:t>
            </w:r>
            <w:bookmarkEnd w:id="58"/>
            <w:bookmarkEnd w:id="59"/>
            <w:bookmarkEnd w:id="60"/>
            <w:bookmarkEnd w:id="61"/>
            <w:r>
              <w:rPr>
                <w:rFonts w:hint="eastAsia" w:cs="宋体"/>
                <w:kern w:val="0"/>
                <w:szCs w:val="21"/>
              </w:rPr>
              <w:t>D</w:t>
            </w:r>
          </w:p>
        </w:tc>
        <w:tc>
          <w:tcPr>
            <w:tcW w:w="2982" w:type="dxa"/>
            <w:tcBorders>
              <w:tl2br w:val="nil"/>
              <w:tr2bl w:val="nil"/>
            </w:tcBorders>
            <w:vAlign w:val="center"/>
          </w:tcPr>
          <w:p>
            <w:pPr>
              <w:spacing w:line="360" w:lineRule="auto"/>
              <w:jc w:val="center"/>
              <w:outlineLvl w:val="1"/>
              <w:rPr>
                <w:rFonts w:cs="宋体"/>
                <w:kern w:val="0"/>
                <w:szCs w:val="21"/>
              </w:rPr>
            </w:pPr>
            <w:bookmarkStart w:id="62" w:name="_Toc108640719"/>
            <w:bookmarkStart w:id="63" w:name="_Toc110971711"/>
            <w:bookmarkStart w:id="64" w:name="_Toc108640839"/>
            <w:bookmarkStart w:id="65" w:name="_Toc96862690"/>
            <w:r>
              <w:rPr>
                <w:rFonts w:hint="eastAsia" w:cs="宋体"/>
                <w:kern w:val="0"/>
                <w:szCs w:val="21"/>
              </w:rPr>
              <w:t>非技术指标S</w:t>
            </w:r>
            <w:bookmarkEnd w:id="62"/>
            <w:bookmarkEnd w:id="63"/>
            <w:bookmarkEnd w:id="64"/>
            <w:bookmarkEnd w:id="65"/>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30" w:hRule="atLeast"/>
          <w:jc w:val="center"/>
        </w:trPr>
        <w:tc>
          <w:tcPr>
            <w:tcW w:w="2511" w:type="dxa"/>
            <w:tcBorders>
              <w:tl2br w:val="nil"/>
              <w:tr2bl w:val="nil"/>
            </w:tcBorders>
            <w:vAlign w:val="center"/>
          </w:tcPr>
          <w:p>
            <w:pPr>
              <w:spacing w:line="360" w:lineRule="auto"/>
              <w:jc w:val="center"/>
              <w:outlineLvl w:val="1"/>
              <w:rPr>
                <w:rFonts w:cs="宋体"/>
                <w:kern w:val="0"/>
                <w:szCs w:val="21"/>
              </w:rPr>
            </w:pPr>
            <w:bookmarkStart w:id="66" w:name="_Toc108640720"/>
            <w:bookmarkStart w:id="67" w:name="_Toc110971712"/>
            <w:bookmarkStart w:id="68" w:name="_Toc108640840"/>
            <w:bookmarkStart w:id="69" w:name="_Toc96862691"/>
            <w:r>
              <w:rPr>
                <w:rFonts w:hint="eastAsia" w:cs="宋体"/>
                <w:kern w:val="0"/>
                <w:szCs w:val="21"/>
              </w:rPr>
              <w:t>权重系数</w:t>
            </w:r>
            <w:bookmarkEnd w:id="66"/>
            <w:bookmarkEnd w:id="67"/>
            <w:bookmarkEnd w:id="68"/>
            <w:bookmarkEnd w:id="69"/>
          </w:p>
        </w:tc>
        <w:tc>
          <w:tcPr>
            <w:tcW w:w="4083" w:type="dxa"/>
            <w:tcBorders>
              <w:tl2br w:val="nil"/>
              <w:tr2bl w:val="nil"/>
            </w:tcBorders>
            <w:vAlign w:val="center"/>
          </w:tcPr>
          <w:p>
            <w:pPr>
              <w:spacing w:line="360" w:lineRule="auto"/>
              <w:jc w:val="center"/>
              <w:outlineLvl w:val="1"/>
              <w:rPr>
                <w:rFonts w:cs="宋体"/>
                <w:kern w:val="0"/>
                <w:szCs w:val="21"/>
              </w:rPr>
            </w:pPr>
            <m:oMath>
              <m:sSub>
                <w:bookmarkStart w:id="70" w:name="_Toc96862692"/>
                <w:bookmarkStart w:id="71" w:name="_Toc108640721"/>
                <w:bookmarkStart w:id="72" w:name="_Toc110971713"/>
                <w:bookmarkStart w:id="73" w:name="_Toc108640841"/>
                <m:sSubPr>
                  <m:ctrlPr>
                    <w:rPr>
                      <w:rFonts w:hint="eastAsia" w:ascii="Cambria Math" w:hAnsi="Cambria Math" w:cs="宋体"/>
                      <w:kern w:val="0"/>
                      <w:szCs w:val="21"/>
                    </w:rPr>
                  </m:ctrlPr>
                </m:sSubPr>
                <m:e>
                  <m:r>
                    <m:rPr>
                      <m:sty m:val="p"/>
                    </m:rPr>
                    <w:rPr>
                      <w:rFonts w:hint="eastAsia" w:ascii="Cambria Math" w:hAnsi="Cambria Math" w:cs="宋体"/>
                      <w:kern w:val="0"/>
                      <w:szCs w:val="21"/>
                    </w:rPr>
                    <m:t>ω</m:t>
                  </m:r>
                  <m:ctrlPr>
                    <w:rPr>
                      <w:rFonts w:hint="eastAsia" w:ascii="Cambria Math" w:hAnsi="Cambria Math" w:cs="宋体"/>
                      <w:kern w:val="0"/>
                      <w:szCs w:val="21"/>
                    </w:rPr>
                  </m:ctrlPr>
                </m:e>
                <m:sub>
                  <m:r>
                    <m:rPr>
                      <m:sty m:val="p"/>
                    </m:rPr>
                    <w:rPr>
                      <w:rFonts w:hint="eastAsia" w:ascii="Cambria Math" w:hAnsi="Cambria Math" w:cs="宋体"/>
                      <w:kern w:val="0"/>
                      <w:szCs w:val="21"/>
                    </w:rPr>
                    <m:t>0</m:t>
                  </m:r>
                  <m:ctrlPr>
                    <w:rPr>
                      <w:rFonts w:hint="eastAsia" w:ascii="Cambria Math" w:hAnsi="Cambria Math" w:cs="宋体"/>
                      <w:kern w:val="0"/>
                      <w:szCs w:val="21"/>
                    </w:rPr>
                  </m:ctrlPr>
                </m:sub>
              </m:sSub>
              <m:r>
                <m:rPr>
                  <m:sty m:val="p"/>
                </m:rPr>
                <w:rPr>
                  <w:rFonts w:hint="eastAsia" w:ascii="Cambria Math" w:hAnsi="Cambria Math" w:cs="宋体"/>
                  <w:kern w:val="0"/>
                  <w:szCs w:val="21"/>
                </w:rPr>
                <m:t>=</m:t>
              </m:r>
            </m:oMath>
            <w:r>
              <w:rPr>
                <w:rFonts w:hint="eastAsia" w:cs="宋体"/>
                <w:kern w:val="0"/>
                <w:szCs w:val="21"/>
              </w:rPr>
              <w:t>0.8</w:t>
            </w:r>
            <w:bookmarkEnd w:id="70"/>
            <w:bookmarkEnd w:id="71"/>
            <w:bookmarkEnd w:id="72"/>
            <w:bookmarkEnd w:id="73"/>
          </w:p>
        </w:tc>
        <w:tc>
          <w:tcPr>
            <w:tcW w:w="2982" w:type="dxa"/>
            <w:tcBorders>
              <w:tl2br w:val="nil"/>
              <w:tr2bl w:val="nil"/>
            </w:tcBorders>
            <w:vAlign w:val="center"/>
          </w:tcPr>
          <w:p>
            <w:pPr>
              <w:spacing w:line="360" w:lineRule="auto"/>
              <w:jc w:val="center"/>
              <w:outlineLvl w:val="1"/>
              <w:rPr>
                <w:rFonts w:cs="宋体"/>
                <w:kern w:val="0"/>
                <w:szCs w:val="21"/>
              </w:rPr>
            </w:pPr>
            <m:oMath>
              <m:sSub>
                <w:bookmarkStart w:id="74" w:name="_Toc96862693"/>
                <w:bookmarkStart w:id="75" w:name="_Toc108640842"/>
                <w:bookmarkStart w:id="76" w:name="_Toc108640722"/>
                <w:bookmarkStart w:id="77" w:name="_Toc110971714"/>
                <m:sSubPr>
                  <m:ctrlPr>
                    <w:rPr>
                      <w:rFonts w:hint="eastAsia" w:ascii="Cambria Math" w:hAnsi="Cambria Math" w:cs="宋体"/>
                      <w:kern w:val="0"/>
                      <w:szCs w:val="21"/>
                    </w:rPr>
                  </m:ctrlPr>
                </m:sSubPr>
                <m:e>
                  <m:r>
                    <m:rPr>
                      <m:sty m:val="p"/>
                    </m:rPr>
                    <w:rPr>
                      <w:rFonts w:ascii="Cambria Math" w:hAnsi="Cambria Math" w:cs="宋体"/>
                      <w:kern w:val="0"/>
                      <w:szCs w:val="21"/>
                    </w:rPr>
                    <m:t>μ</m:t>
                  </m:r>
                  <m:ctrlPr>
                    <w:rPr>
                      <w:rFonts w:hint="eastAsia" w:ascii="Cambria Math" w:hAnsi="Cambria Math" w:cs="宋体"/>
                      <w:kern w:val="0"/>
                      <w:szCs w:val="21"/>
                    </w:rPr>
                  </m:ctrlPr>
                </m:e>
                <m:sub>
                  <m:r>
                    <m:rPr>
                      <m:sty m:val="p"/>
                    </m:rPr>
                    <w:rPr>
                      <w:rFonts w:hint="eastAsia" w:ascii="Cambria Math" w:hAnsi="Cambria Math" w:cs="宋体"/>
                      <w:kern w:val="0"/>
                      <w:szCs w:val="21"/>
                    </w:rPr>
                    <m:t>0</m:t>
                  </m:r>
                  <m:ctrlPr>
                    <w:rPr>
                      <w:rFonts w:hint="eastAsia" w:ascii="Cambria Math" w:hAnsi="Cambria Math" w:cs="宋体"/>
                      <w:kern w:val="0"/>
                      <w:szCs w:val="21"/>
                    </w:rPr>
                  </m:ctrlPr>
                </m:sub>
              </m:sSub>
              <m:r>
                <m:rPr>
                  <m:sty m:val="p"/>
                </m:rPr>
                <w:rPr>
                  <w:rFonts w:hint="eastAsia" w:ascii="Cambria Math" w:hAnsi="Cambria Math" w:cs="宋体"/>
                  <w:kern w:val="0"/>
                  <w:szCs w:val="21"/>
                </w:rPr>
                <m:t>=</m:t>
              </m:r>
            </m:oMath>
            <w:r>
              <w:rPr>
                <w:rFonts w:hint="eastAsia" w:cs="宋体"/>
                <w:kern w:val="0"/>
                <w:szCs w:val="21"/>
              </w:rPr>
              <w:t>0.2</w:t>
            </w:r>
            <w:bookmarkEnd w:id="74"/>
            <w:bookmarkEnd w:id="75"/>
            <w:bookmarkEnd w:id="76"/>
            <w:bookmarkEnd w:id="77"/>
          </w:p>
        </w:tc>
      </w:tr>
    </w:tbl>
    <w:p>
      <w:pPr>
        <w:pStyle w:val="58"/>
        <w:numPr>
          <w:ilvl w:val="2"/>
          <w:numId w:val="0"/>
        </w:numPr>
        <w:spacing w:before="0" w:after="0" w:line="360" w:lineRule="auto"/>
        <w:outlineLvl w:val="9"/>
        <w:rPr>
          <w:rFonts w:ascii="Times New Roman" w:cs="宋体"/>
          <w:sz w:val="24"/>
          <w:szCs w:val="24"/>
        </w:rPr>
      </w:pPr>
    </w:p>
    <w:p>
      <w:pPr>
        <w:pStyle w:val="28"/>
        <w:spacing w:line="360" w:lineRule="auto"/>
        <w:ind w:firstLine="0" w:firstLineChars="0"/>
        <w:rPr>
          <w:rFonts w:ascii="Times New Roman" w:cs="宋体"/>
          <w:sz w:val="24"/>
          <w:szCs w:val="24"/>
        </w:rPr>
      </w:pPr>
      <w:r>
        <w:rPr>
          <w:rFonts w:hint="eastAsia" w:ascii="Times New Roman" w:cs="宋体"/>
          <w:sz w:val="24"/>
          <w:szCs w:val="24"/>
        </w:rPr>
        <w:t>5.0.2 技术指标的评定分为门窗设计合理性、原材料进场质量、产品加工关键工序控制管理、产品性能要求检验、施工方案合理性、项目人员要求、现场安装质量核查和门窗过程施工记录八个部分，每部分最高100分，最低60分。综合总分计算公式为：</w:t>
      </w:r>
    </w:p>
    <w:p>
      <w:pPr>
        <w:spacing w:line="360" w:lineRule="auto"/>
        <w:rPr>
          <w:rFonts w:cs="宋体"/>
          <w:sz w:val="24"/>
        </w:rPr>
      </w:pPr>
      <m:oMathPara>
        <m:oMath>
          <m:r>
            <m:rPr>
              <m:sty m:val="p"/>
            </m:rPr>
            <w:rPr>
              <w:rFonts w:hint="eastAsia" w:ascii="Cambria Math" w:hAnsi="Cambria Math" w:cs="宋体"/>
              <w:sz w:val="24"/>
            </w:rPr>
            <m:t>D=</m:t>
          </m:r>
          <m:nary>
            <m:naryPr>
              <m:chr m:val="∑"/>
              <m:limLoc m:val="undOvr"/>
              <m:subHide m:val="1"/>
              <m:supHide m:val="1"/>
              <m:ctrlPr>
                <w:rPr>
                  <w:rFonts w:hint="eastAsia" w:ascii="Cambria Math" w:hAnsi="Cambria Math" w:cs="宋体"/>
                  <w:sz w:val="24"/>
                </w:rPr>
              </m:ctrlPr>
            </m:naryPr>
            <m:sub>
              <m:ctrlPr>
                <w:rPr>
                  <w:rFonts w:hint="eastAsia" w:ascii="Cambria Math" w:hAnsi="Cambria Math" w:cs="宋体"/>
                  <w:sz w:val="24"/>
                </w:rPr>
              </m:ctrlPr>
            </m:sub>
            <m:sup>
              <m:ctrlPr>
                <w:rPr>
                  <w:rFonts w:hint="eastAsia" w:ascii="Cambria Math" w:hAnsi="Cambria Math" w:cs="宋体"/>
                  <w:sz w:val="24"/>
                </w:rPr>
              </m:ctrlPr>
            </m:sup>
            <m:e>
              <m:sSub>
                <m:sSubPr>
                  <m:ctrlPr>
                    <w:rPr>
                      <w:rFonts w:hint="eastAsia" w:ascii="Cambria Math" w:hAnsi="Cambria Math" w:cs="宋体"/>
                      <w:sz w:val="24"/>
                    </w:rPr>
                  </m:ctrlPr>
                </m:sSubPr>
                <m:e>
                  <m:r>
                    <m:rPr>
                      <m:sty m:val="p"/>
                    </m:rPr>
                    <w:rPr>
                      <w:rFonts w:hint="eastAsia" w:ascii="Cambria Math" w:hAnsi="Cambria Math" w:cs="宋体"/>
                      <w:sz w:val="24"/>
                    </w:rPr>
                    <m:t>D</m:t>
                  </m:r>
                  <m:ctrlPr>
                    <w:rPr>
                      <w:rFonts w:hint="eastAsia" w:ascii="Cambria Math" w:hAnsi="Cambria Math" w:cs="宋体"/>
                      <w:sz w:val="24"/>
                    </w:rPr>
                  </m:ctrlPr>
                </m:e>
                <m:sub>
                  <m:r>
                    <m:rPr>
                      <m:sty m:val="p"/>
                    </m:rPr>
                    <w:rPr>
                      <w:rFonts w:hint="eastAsia" w:ascii="Cambria Math" w:hAnsi="Cambria Math" w:cs="宋体"/>
                      <w:sz w:val="24"/>
                    </w:rPr>
                    <m:t>ij</m:t>
                  </m:r>
                  <m:ctrlPr>
                    <w:rPr>
                      <w:rFonts w:hint="eastAsia" w:ascii="Cambria Math" w:hAnsi="Cambria Math" w:cs="宋体"/>
                      <w:sz w:val="24"/>
                    </w:rPr>
                  </m:ctrlPr>
                </m:sub>
              </m:sSub>
              <m:r>
                <m:rPr>
                  <m:sty m:val="p"/>
                </m:rPr>
                <w:rPr>
                  <w:rFonts w:hint="eastAsia" w:ascii="Cambria Math" w:hAnsi="Cambria Math" w:cs="宋体"/>
                  <w:sz w:val="24"/>
                </w:rPr>
                <m:t>×</m:t>
              </m:r>
              <m:sSub>
                <m:sSubPr>
                  <m:ctrlPr>
                    <w:rPr>
                      <w:rFonts w:hint="eastAsia" w:ascii="Cambria Math" w:hAnsi="Cambria Math" w:cs="宋体"/>
                      <w:sz w:val="24"/>
                    </w:rPr>
                  </m:ctrlPr>
                </m:sSubPr>
                <m:e>
                  <m:r>
                    <m:rPr>
                      <m:sty m:val="p"/>
                    </m:rPr>
                    <w:rPr>
                      <w:rFonts w:hint="eastAsia" w:ascii="Cambria Math" w:hAnsi="Cambria Math" w:cs="宋体"/>
                      <w:sz w:val="24"/>
                    </w:rPr>
                    <m:t>R</m:t>
                  </m:r>
                  <m:ctrlPr>
                    <w:rPr>
                      <w:rFonts w:hint="eastAsia" w:ascii="Cambria Math" w:hAnsi="Cambria Math" w:cs="宋体"/>
                      <w:sz w:val="24"/>
                    </w:rPr>
                  </m:ctrlPr>
                </m:e>
                <m:sub>
                  <m:r>
                    <m:rPr>
                      <m:sty m:val="p"/>
                    </m:rPr>
                    <w:rPr>
                      <w:rFonts w:hint="eastAsia" w:ascii="Cambria Math" w:hAnsi="Cambria Math" w:cs="宋体"/>
                      <w:sz w:val="24"/>
                    </w:rPr>
                    <m:t>ij</m:t>
                  </m:r>
                  <m:ctrlPr>
                    <w:rPr>
                      <w:rFonts w:hint="eastAsia" w:ascii="Cambria Math" w:hAnsi="Cambria Math" w:cs="宋体"/>
                      <w:sz w:val="24"/>
                    </w:rPr>
                  </m:ctrlPr>
                </m:sub>
              </m:sSub>
              <m:ctrlPr>
                <w:rPr>
                  <w:rFonts w:hint="eastAsia" w:ascii="Cambria Math" w:hAnsi="Cambria Math" w:cs="宋体"/>
                  <w:sz w:val="24"/>
                </w:rPr>
              </m:ctrlPr>
            </m:e>
          </m:nary>
        </m:oMath>
      </m:oMathPara>
    </w:p>
    <w:p>
      <w:pPr>
        <w:pStyle w:val="28"/>
        <w:spacing w:line="360" w:lineRule="auto"/>
        <w:ind w:firstLine="480"/>
        <w:rPr>
          <w:rFonts w:ascii="Times New Roman" w:cs="宋体"/>
          <w:sz w:val="24"/>
          <w:szCs w:val="24"/>
        </w:rPr>
      </w:pPr>
      <w:r>
        <w:rPr>
          <w:rFonts w:hint="eastAsia" w:ascii="Times New Roman" w:cs="宋体"/>
          <w:sz w:val="24"/>
          <w:szCs w:val="24"/>
        </w:rPr>
        <w:t>其中R</w:t>
      </w:r>
      <w:r>
        <w:rPr>
          <w:rFonts w:hint="eastAsia" w:ascii="Times New Roman" w:cs="宋体"/>
          <w:sz w:val="24"/>
          <w:szCs w:val="24"/>
          <w:vertAlign w:val="subscript"/>
        </w:rPr>
        <w:t>ij</w:t>
      </w:r>
      <w:r>
        <w:rPr>
          <w:rFonts w:hint="eastAsia" w:ascii="Times New Roman" w:cs="宋体"/>
          <w:sz w:val="24"/>
          <w:szCs w:val="24"/>
        </w:rPr>
        <w:t>为权重系数，权重值见表5.0.2。</w:t>
      </w:r>
    </w:p>
    <w:p>
      <w:pPr>
        <w:pStyle w:val="28"/>
        <w:spacing w:line="360" w:lineRule="auto"/>
        <w:ind w:firstLine="480"/>
        <w:jc w:val="center"/>
        <w:rPr>
          <w:rFonts w:hAnsi="宋体" w:cs="宋体"/>
          <w:sz w:val="24"/>
          <w:szCs w:val="24"/>
        </w:rPr>
      </w:pPr>
      <w:r>
        <w:rPr>
          <w:rFonts w:hint="eastAsia" w:hAnsi="宋体" w:cs="宋体"/>
          <w:sz w:val="24"/>
          <w:szCs w:val="24"/>
        </w:rPr>
        <w:t>表5.0.2技术指标的评分项</w:t>
      </w:r>
    </w:p>
    <w:tbl>
      <w:tblPr>
        <w:tblStyle w:val="39"/>
        <w:tblW w:w="912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49"/>
        <w:gridCol w:w="1892"/>
        <w:gridCol w:w="1892"/>
        <w:gridCol w:w="1892"/>
        <w:gridCol w:w="18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1549" w:type="dxa"/>
            <w:tcBorders>
              <w:tl2br w:val="nil"/>
              <w:tr2bl w:val="nil"/>
            </w:tcBorders>
            <w:vAlign w:val="center"/>
          </w:tcPr>
          <w:p>
            <w:pPr>
              <w:pStyle w:val="58"/>
              <w:numPr>
                <w:ilvl w:val="2"/>
                <w:numId w:val="0"/>
              </w:numPr>
              <w:spacing w:before="0" w:after="0" w:line="360" w:lineRule="auto"/>
              <w:rPr>
                <w:rFonts w:hAnsi="宋体" w:cs="宋体"/>
                <w:sz w:val="24"/>
                <w:szCs w:val="24"/>
              </w:rPr>
            </w:pPr>
            <w:r>
              <w:rPr>
                <w:rFonts w:hint="eastAsia" w:hAnsi="宋体" w:cs="宋体"/>
                <w:sz w:val="24"/>
                <w:szCs w:val="24"/>
              </w:rPr>
              <w:t>分部评定名称</w:t>
            </w:r>
          </w:p>
        </w:tc>
        <w:tc>
          <w:tcPr>
            <w:tcW w:w="1892" w:type="dxa"/>
            <w:tcBorders>
              <w:tl2br w:val="nil"/>
              <w:tr2bl w:val="nil"/>
            </w:tcBorders>
            <w:vAlign w:val="center"/>
          </w:tcPr>
          <w:p>
            <w:pPr>
              <w:pStyle w:val="58"/>
              <w:numPr>
                <w:ilvl w:val="2"/>
                <w:numId w:val="0"/>
              </w:numPr>
              <w:spacing w:before="0" w:after="0" w:line="360" w:lineRule="auto"/>
              <w:rPr>
                <w:rFonts w:hAnsi="宋体" w:cs="宋体"/>
                <w:sz w:val="24"/>
                <w:szCs w:val="24"/>
              </w:rPr>
            </w:pPr>
            <w:r>
              <w:rPr>
                <w:rFonts w:hint="eastAsia" w:hAnsi="宋体" w:cs="宋体"/>
                <w:sz w:val="24"/>
                <w:szCs w:val="24"/>
              </w:rPr>
              <w:t>门窗设计R</w:t>
            </w:r>
            <w:r>
              <w:rPr>
                <w:rFonts w:hint="eastAsia" w:hAnsi="宋体" w:cs="宋体"/>
                <w:sz w:val="24"/>
                <w:szCs w:val="24"/>
                <w:vertAlign w:val="subscript"/>
              </w:rPr>
              <w:t>11</w:t>
            </w:r>
          </w:p>
        </w:tc>
        <w:tc>
          <w:tcPr>
            <w:tcW w:w="1892" w:type="dxa"/>
            <w:tcBorders>
              <w:tl2br w:val="nil"/>
              <w:tr2bl w:val="nil"/>
            </w:tcBorders>
            <w:vAlign w:val="center"/>
          </w:tcPr>
          <w:p>
            <w:pPr>
              <w:pStyle w:val="58"/>
              <w:numPr>
                <w:ilvl w:val="2"/>
                <w:numId w:val="0"/>
              </w:numPr>
              <w:spacing w:before="0" w:after="0" w:line="360" w:lineRule="auto"/>
              <w:rPr>
                <w:rFonts w:hAnsi="宋体" w:cs="宋体"/>
                <w:sz w:val="24"/>
                <w:szCs w:val="24"/>
              </w:rPr>
            </w:pPr>
            <w:r>
              <w:rPr>
                <w:rFonts w:hint="eastAsia" w:hAnsi="宋体" w:cs="宋体"/>
                <w:sz w:val="24"/>
                <w:szCs w:val="24"/>
              </w:rPr>
              <w:t>材料质量R</w:t>
            </w:r>
            <w:r>
              <w:rPr>
                <w:rFonts w:hint="eastAsia" w:hAnsi="宋体" w:cs="宋体"/>
                <w:sz w:val="24"/>
                <w:szCs w:val="24"/>
                <w:vertAlign w:val="subscript"/>
              </w:rPr>
              <w:t>12</w:t>
            </w:r>
          </w:p>
        </w:tc>
        <w:tc>
          <w:tcPr>
            <w:tcW w:w="1892" w:type="dxa"/>
            <w:tcBorders>
              <w:tl2br w:val="nil"/>
              <w:tr2bl w:val="nil"/>
            </w:tcBorders>
            <w:vAlign w:val="center"/>
          </w:tcPr>
          <w:p>
            <w:pPr>
              <w:pStyle w:val="58"/>
              <w:numPr>
                <w:ilvl w:val="2"/>
                <w:numId w:val="0"/>
              </w:numPr>
              <w:spacing w:before="0" w:after="0" w:line="360" w:lineRule="auto"/>
              <w:rPr>
                <w:rFonts w:hAnsi="宋体" w:cs="宋体"/>
                <w:sz w:val="24"/>
                <w:szCs w:val="24"/>
              </w:rPr>
            </w:pPr>
            <w:r>
              <w:rPr>
                <w:rFonts w:hint="eastAsia" w:hAnsi="宋体" w:cs="宋体"/>
                <w:sz w:val="24"/>
                <w:szCs w:val="24"/>
              </w:rPr>
              <w:t>产品加工和组装质量要求R</w:t>
            </w:r>
            <w:r>
              <w:rPr>
                <w:rFonts w:hint="eastAsia" w:hAnsi="宋体" w:cs="宋体"/>
                <w:sz w:val="24"/>
                <w:szCs w:val="24"/>
                <w:vertAlign w:val="subscript"/>
              </w:rPr>
              <w:t>13</w:t>
            </w:r>
          </w:p>
        </w:tc>
        <w:tc>
          <w:tcPr>
            <w:tcW w:w="1895" w:type="dxa"/>
            <w:tcBorders>
              <w:tl2br w:val="nil"/>
              <w:tr2bl w:val="nil"/>
            </w:tcBorders>
            <w:vAlign w:val="center"/>
          </w:tcPr>
          <w:p>
            <w:pPr>
              <w:pStyle w:val="58"/>
              <w:numPr>
                <w:ilvl w:val="2"/>
                <w:numId w:val="0"/>
              </w:numPr>
              <w:spacing w:before="0" w:after="0" w:line="360" w:lineRule="auto"/>
              <w:rPr>
                <w:rFonts w:hAnsi="宋体" w:cs="宋体"/>
                <w:sz w:val="24"/>
                <w:szCs w:val="24"/>
              </w:rPr>
            </w:pPr>
            <w:r>
              <w:rPr>
                <w:rFonts w:hint="eastAsia" w:hAnsi="宋体" w:cs="宋体"/>
                <w:sz w:val="24"/>
                <w:szCs w:val="24"/>
              </w:rPr>
              <w:t>产品性能要求R</w:t>
            </w:r>
            <w:r>
              <w:rPr>
                <w:rFonts w:hint="eastAsia" w:hAnsi="宋体" w:cs="宋体"/>
                <w:sz w:val="24"/>
                <w:szCs w:val="24"/>
                <w:vertAlign w:val="subscript"/>
              </w:rPr>
              <w:t>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1549" w:type="dxa"/>
            <w:tcBorders>
              <w:tl2br w:val="nil"/>
              <w:tr2bl w:val="nil"/>
            </w:tcBorders>
            <w:vAlign w:val="center"/>
          </w:tcPr>
          <w:p>
            <w:pPr>
              <w:pStyle w:val="58"/>
              <w:numPr>
                <w:ilvl w:val="2"/>
                <w:numId w:val="0"/>
              </w:numPr>
              <w:spacing w:before="0" w:after="0" w:line="360" w:lineRule="auto"/>
              <w:rPr>
                <w:rFonts w:hAnsi="宋体" w:cs="宋体"/>
                <w:sz w:val="24"/>
                <w:szCs w:val="24"/>
              </w:rPr>
            </w:pPr>
            <w:r>
              <w:rPr>
                <w:rFonts w:hint="eastAsia" w:hAnsi="宋体" w:cs="宋体"/>
                <w:sz w:val="24"/>
                <w:szCs w:val="24"/>
              </w:rPr>
              <w:t>权重系数</w:t>
            </w:r>
          </w:p>
        </w:tc>
        <w:tc>
          <w:tcPr>
            <w:tcW w:w="1892" w:type="dxa"/>
            <w:tcBorders>
              <w:tl2br w:val="nil"/>
              <w:tr2bl w:val="nil"/>
            </w:tcBorders>
            <w:vAlign w:val="center"/>
          </w:tcPr>
          <w:p>
            <w:pPr>
              <w:pStyle w:val="58"/>
              <w:numPr>
                <w:ilvl w:val="2"/>
                <w:numId w:val="0"/>
              </w:numPr>
              <w:spacing w:before="0" w:after="0" w:line="360" w:lineRule="auto"/>
              <w:jc w:val="center"/>
              <w:rPr>
                <w:rFonts w:hAnsi="宋体" w:cs="宋体"/>
                <w:sz w:val="24"/>
                <w:szCs w:val="24"/>
              </w:rPr>
            </w:pPr>
            <w:r>
              <w:rPr>
                <w:rFonts w:hint="eastAsia" w:hAnsi="宋体" w:cs="宋体"/>
                <w:sz w:val="24"/>
                <w:szCs w:val="24"/>
              </w:rPr>
              <w:t>0.10</w:t>
            </w:r>
          </w:p>
        </w:tc>
        <w:tc>
          <w:tcPr>
            <w:tcW w:w="1892" w:type="dxa"/>
            <w:tcBorders>
              <w:tl2br w:val="nil"/>
              <w:tr2bl w:val="nil"/>
            </w:tcBorders>
            <w:vAlign w:val="center"/>
          </w:tcPr>
          <w:p>
            <w:pPr>
              <w:pStyle w:val="58"/>
              <w:numPr>
                <w:ilvl w:val="2"/>
                <w:numId w:val="0"/>
              </w:numPr>
              <w:spacing w:before="0" w:after="0" w:line="360" w:lineRule="auto"/>
              <w:jc w:val="center"/>
              <w:rPr>
                <w:rFonts w:hAnsi="宋体" w:cs="宋体"/>
                <w:sz w:val="24"/>
                <w:szCs w:val="24"/>
              </w:rPr>
            </w:pPr>
            <w:r>
              <w:rPr>
                <w:rFonts w:hint="eastAsia" w:hAnsi="宋体" w:cs="宋体"/>
                <w:sz w:val="24"/>
                <w:szCs w:val="24"/>
              </w:rPr>
              <w:t>0.10</w:t>
            </w:r>
          </w:p>
        </w:tc>
        <w:tc>
          <w:tcPr>
            <w:tcW w:w="1892" w:type="dxa"/>
            <w:tcBorders>
              <w:tl2br w:val="nil"/>
              <w:tr2bl w:val="nil"/>
            </w:tcBorders>
            <w:vAlign w:val="center"/>
          </w:tcPr>
          <w:p>
            <w:pPr>
              <w:pStyle w:val="58"/>
              <w:numPr>
                <w:ilvl w:val="2"/>
                <w:numId w:val="0"/>
              </w:numPr>
              <w:spacing w:before="0" w:after="0" w:line="360" w:lineRule="auto"/>
              <w:jc w:val="center"/>
              <w:rPr>
                <w:rFonts w:hAnsi="宋体" w:cs="宋体"/>
                <w:sz w:val="24"/>
                <w:szCs w:val="24"/>
              </w:rPr>
            </w:pPr>
            <w:r>
              <w:rPr>
                <w:rFonts w:hint="eastAsia" w:hAnsi="宋体" w:cs="宋体"/>
                <w:sz w:val="24"/>
                <w:szCs w:val="24"/>
              </w:rPr>
              <w:t>0.20</w:t>
            </w:r>
          </w:p>
        </w:tc>
        <w:tc>
          <w:tcPr>
            <w:tcW w:w="1895" w:type="dxa"/>
            <w:tcBorders>
              <w:tl2br w:val="nil"/>
              <w:tr2bl w:val="nil"/>
            </w:tcBorders>
            <w:vAlign w:val="center"/>
          </w:tcPr>
          <w:p>
            <w:pPr>
              <w:pStyle w:val="58"/>
              <w:numPr>
                <w:ilvl w:val="2"/>
                <w:numId w:val="0"/>
              </w:numPr>
              <w:spacing w:before="0" w:after="0" w:line="360" w:lineRule="auto"/>
              <w:jc w:val="center"/>
              <w:rPr>
                <w:rFonts w:hAnsi="宋体" w:cs="宋体"/>
                <w:sz w:val="24"/>
                <w:szCs w:val="24"/>
              </w:rPr>
            </w:pPr>
            <w:r>
              <w:rPr>
                <w:rFonts w:hint="eastAsia" w:hAnsi="宋体" w:cs="宋体"/>
                <w:sz w:val="24"/>
                <w:szCs w:val="24"/>
              </w:rPr>
              <w:t>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1549" w:type="dxa"/>
            <w:tcBorders>
              <w:tl2br w:val="nil"/>
              <w:tr2bl w:val="nil"/>
            </w:tcBorders>
            <w:vAlign w:val="center"/>
          </w:tcPr>
          <w:p>
            <w:pPr>
              <w:pStyle w:val="58"/>
              <w:numPr>
                <w:ilvl w:val="2"/>
                <w:numId w:val="0"/>
              </w:numPr>
              <w:spacing w:before="0" w:after="0" w:line="360" w:lineRule="auto"/>
              <w:rPr>
                <w:rFonts w:hAnsi="宋体" w:cs="宋体"/>
                <w:sz w:val="24"/>
                <w:szCs w:val="24"/>
              </w:rPr>
            </w:pPr>
            <w:r>
              <w:rPr>
                <w:rFonts w:hint="eastAsia" w:hAnsi="宋体" w:cs="宋体"/>
                <w:sz w:val="24"/>
                <w:szCs w:val="24"/>
              </w:rPr>
              <w:t>分部评定名称</w:t>
            </w:r>
          </w:p>
        </w:tc>
        <w:tc>
          <w:tcPr>
            <w:tcW w:w="1892" w:type="dxa"/>
            <w:tcBorders>
              <w:tl2br w:val="nil"/>
              <w:tr2bl w:val="nil"/>
            </w:tcBorders>
            <w:vAlign w:val="center"/>
          </w:tcPr>
          <w:p>
            <w:pPr>
              <w:pStyle w:val="58"/>
              <w:numPr>
                <w:ilvl w:val="2"/>
                <w:numId w:val="0"/>
              </w:numPr>
              <w:spacing w:before="0" w:after="0" w:line="360" w:lineRule="auto"/>
              <w:rPr>
                <w:rFonts w:hAnsi="宋体" w:cs="宋体"/>
                <w:sz w:val="24"/>
                <w:szCs w:val="24"/>
              </w:rPr>
            </w:pPr>
            <w:r>
              <w:rPr>
                <w:rFonts w:hint="eastAsia" w:hAnsi="宋体" w:cs="宋体"/>
                <w:sz w:val="24"/>
                <w:szCs w:val="24"/>
              </w:rPr>
              <w:t>施工方案R</w:t>
            </w:r>
            <w:r>
              <w:rPr>
                <w:rFonts w:hint="eastAsia" w:hAnsi="宋体" w:cs="宋体"/>
                <w:sz w:val="24"/>
                <w:szCs w:val="24"/>
                <w:vertAlign w:val="subscript"/>
              </w:rPr>
              <w:t>21</w:t>
            </w:r>
          </w:p>
        </w:tc>
        <w:tc>
          <w:tcPr>
            <w:tcW w:w="1892" w:type="dxa"/>
            <w:tcBorders>
              <w:tl2br w:val="nil"/>
              <w:tr2bl w:val="nil"/>
            </w:tcBorders>
            <w:vAlign w:val="center"/>
          </w:tcPr>
          <w:p>
            <w:pPr>
              <w:pStyle w:val="58"/>
              <w:numPr>
                <w:ilvl w:val="2"/>
                <w:numId w:val="0"/>
              </w:numPr>
              <w:spacing w:before="0" w:after="0" w:line="360" w:lineRule="auto"/>
              <w:rPr>
                <w:rFonts w:hAnsi="宋体" w:cs="宋体"/>
                <w:sz w:val="24"/>
                <w:szCs w:val="24"/>
              </w:rPr>
            </w:pPr>
            <w:r>
              <w:rPr>
                <w:rFonts w:hint="eastAsia" w:hAnsi="宋体" w:cs="宋体"/>
                <w:sz w:val="24"/>
                <w:szCs w:val="24"/>
              </w:rPr>
              <w:t>人员要求R</w:t>
            </w:r>
            <w:r>
              <w:rPr>
                <w:rFonts w:hint="eastAsia" w:hAnsi="宋体" w:cs="宋体"/>
                <w:sz w:val="24"/>
                <w:szCs w:val="24"/>
                <w:vertAlign w:val="subscript"/>
              </w:rPr>
              <w:t>22</w:t>
            </w:r>
          </w:p>
        </w:tc>
        <w:tc>
          <w:tcPr>
            <w:tcW w:w="1892" w:type="dxa"/>
            <w:tcBorders>
              <w:tl2br w:val="nil"/>
              <w:tr2bl w:val="nil"/>
            </w:tcBorders>
            <w:vAlign w:val="center"/>
          </w:tcPr>
          <w:p>
            <w:pPr>
              <w:pStyle w:val="58"/>
              <w:numPr>
                <w:ilvl w:val="2"/>
                <w:numId w:val="0"/>
              </w:numPr>
              <w:spacing w:before="0" w:after="0" w:line="360" w:lineRule="auto"/>
              <w:rPr>
                <w:rFonts w:hAnsi="宋体" w:cs="宋体"/>
                <w:sz w:val="24"/>
                <w:szCs w:val="24"/>
              </w:rPr>
            </w:pPr>
            <w:r>
              <w:rPr>
                <w:rFonts w:hint="eastAsia" w:hAnsi="宋体" w:cs="宋体"/>
                <w:sz w:val="24"/>
                <w:szCs w:val="24"/>
              </w:rPr>
              <w:t>现场安装质量R</w:t>
            </w:r>
            <w:r>
              <w:rPr>
                <w:rFonts w:hint="eastAsia" w:hAnsi="宋体" w:cs="宋体"/>
                <w:sz w:val="24"/>
                <w:szCs w:val="24"/>
                <w:vertAlign w:val="subscript"/>
              </w:rPr>
              <w:t>23</w:t>
            </w:r>
          </w:p>
        </w:tc>
        <w:tc>
          <w:tcPr>
            <w:tcW w:w="1895" w:type="dxa"/>
            <w:tcBorders>
              <w:tl2br w:val="nil"/>
              <w:tr2bl w:val="nil"/>
            </w:tcBorders>
            <w:vAlign w:val="center"/>
          </w:tcPr>
          <w:p>
            <w:pPr>
              <w:pStyle w:val="58"/>
              <w:numPr>
                <w:ilvl w:val="2"/>
                <w:numId w:val="0"/>
              </w:numPr>
              <w:spacing w:before="0" w:after="0" w:line="360" w:lineRule="auto"/>
              <w:rPr>
                <w:rFonts w:hAnsi="宋体" w:cs="宋体"/>
                <w:sz w:val="24"/>
                <w:szCs w:val="24"/>
              </w:rPr>
            </w:pPr>
            <w:r>
              <w:rPr>
                <w:rFonts w:hint="eastAsia" w:hAnsi="宋体" w:cs="宋体"/>
                <w:sz w:val="24"/>
                <w:szCs w:val="24"/>
              </w:rPr>
              <w:t>门窗过程施工记录R</w:t>
            </w:r>
            <w:r>
              <w:rPr>
                <w:rFonts w:hint="eastAsia" w:hAnsi="宋体" w:cs="宋体"/>
                <w:sz w:val="24"/>
                <w:szCs w:val="24"/>
                <w:vertAlign w:val="subscript"/>
              </w:rPr>
              <w:t>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35" w:hRule="atLeast"/>
        </w:trPr>
        <w:tc>
          <w:tcPr>
            <w:tcW w:w="1549" w:type="dxa"/>
            <w:tcBorders>
              <w:tl2br w:val="nil"/>
              <w:tr2bl w:val="nil"/>
            </w:tcBorders>
            <w:vAlign w:val="center"/>
          </w:tcPr>
          <w:p>
            <w:pPr>
              <w:pStyle w:val="58"/>
              <w:numPr>
                <w:ilvl w:val="2"/>
                <w:numId w:val="0"/>
              </w:numPr>
              <w:spacing w:before="0" w:after="0" w:line="360" w:lineRule="auto"/>
              <w:rPr>
                <w:rFonts w:hAnsi="宋体" w:cs="宋体"/>
                <w:sz w:val="24"/>
                <w:szCs w:val="24"/>
              </w:rPr>
            </w:pPr>
            <w:r>
              <w:rPr>
                <w:rFonts w:hint="eastAsia" w:hAnsi="宋体" w:cs="宋体"/>
                <w:sz w:val="24"/>
                <w:szCs w:val="24"/>
              </w:rPr>
              <w:t>权重系数</w:t>
            </w:r>
          </w:p>
        </w:tc>
        <w:tc>
          <w:tcPr>
            <w:tcW w:w="1892" w:type="dxa"/>
            <w:tcBorders>
              <w:tl2br w:val="nil"/>
              <w:tr2bl w:val="nil"/>
            </w:tcBorders>
            <w:vAlign w:val="center"/>
          </w:tcPr>
          <w:p>
            <w:pPr>
              <w:pStyle w:val="58"/>
              <w:numPr>
                <w:ilvl w:val="2"/>
                <w:numId w:val="0"/>
              </w:numPr>
              <w:spacing w:before="0" w:after="0" w:line="360" w:lineRule="auto"/>
              <w:jc w:val="center"/>
              <w:rPr>
                <w:rFonts w:hAnsi="宋体" w:cs="宋体"/>
                <w:sz w:val="24"/>
                <w:szCs w:val="24"/>
              </w:rPr>
            </w:pPr>
            <w:r>
              <w:rPr>
                <w:rFonts w:hint="eastAsia" w:hAnsi="宋体" w:cs="宋体"/>
                <w:sz w:val="24"/>
                <w:szCs w:val="24"/>
              </w:rPr>
              <w:t>0.10</w:t>
            </w:r>
          </w:p>
        </w:tc>
        <w:tc>
          <w:tcPr>
            <w:tcW w:w="1892" w:type="dxa"/>
            <w:tcBorders>
              <w:tl2br w:val="nil"/>
              <w:tr2bl w:val="nil"/>
            </w:tcBorders>
            <w:vAlign w:val="center"/>
          </w:tcPr>
          <w:p>
            <w:pPr>
              <w:pStyle w:val="58"/>
              <w:numPr>
                <w:ilvl w:val="2"/>
                <w:numId w:val="0"/>
              </w:numPr>
              <w:spacing w:before="0" w:after="0" w:line="360" w:lineRule="auto"/>
              <w:jc w:val="center"/>
              <w:rPr>
                <w:rFonts w:hAnsi="宋体" w:cs="宋体"/>
                <w:sz w:val="24"/>
                <w:szCs w:val="24"/>
              </w:rPr>
            </w:pPr>
            <w:r>
              <w:rPr>
                <w:rFonts w:hint="eastAsia" w:hAnsi="宋体" w:cs="宋体"/>
                <w:sz w:val="24"/>
                <w:szCs w:val="24"/>
              </w:rPr>
              <w:t>0.10</w:t>
            </w:r>
          </w:p>
        </w:tc>
        <w:tc>
          <w:tcPr>
            <w:tcW w:w="1892" w:type="dxa"/>
            <w:tcBorders>
              <w:tl2br w:val="nil"/>
              <w:tr2bl w:val="nil"/>
            </w:tcBorders>
            <w:vAlign w:val="center"/>
          </w:tcPr>
          <w:p>
            <w:pPr>
              <w:pStyle w:val="58"/>
              <w:numPr>
                <w:ilvl w:val="2"/>
                <w:numId w:val="0"/>
              </w:numPr>
              <w:spacing w:before="0" w:after="0" w:line="360" w:lineRule="auto"/>
              <w:jc w:val="center"/>
              <w:rPr>
                <w:rFonts w:hAnsi="宋体" w:cs="宋体"/>
                <w:sz w:val="24"/>
                <w:szCs w:val="24"/>
              </w:rPr>
            </w:pPr>
            <w:r>
              <w:rPr>
                <w:rFonts w:hint="eastAsia" w:hAnsi="宋体" w:cs="宋体"/>
                <w:sz w:val="24"/>
                <w:szCs w:val="24"/>
              </w:rPr>
              <w:t>0.20</w:t>
            </w:r>
          </w:p>
        </w:tc>
        <w:tc>
          <w:tcPr>
            <w:tcW w:w="1895" w:type="dxa"/>
            <w:tcBorders>
              <w:tl2br w:val="nil"/>
              <w:tr2bl w:val="nil"/>
            </w:tcBorders>
            <w:vAlign w:val="center"/>
          </w:tcPr>
          <w:p>
            <w:pPr>
              <w:pStyle w:val="58"/>
              <w:numPr>
                <w:ilvl w:val="2"/>
                <w:numId w:val="0"/>
              </w:numPr>
              <w:spacing w:before="0" w:after="0" w:line="360" w:lineRule="auto"/>
              <w:jc w:val="center"/>
              <w:rPr>
                <w:rFonts w:hAnsi="宋体" w:cs="宋体"/>
                <w:sz w:val="24"/>
                <w:szCs w:val="24"/>
              </w:rPr>
            </w:pPr>
            <w:r>
              <w:rPr>
                <w:rFonts w:hint="eastAsia" w:hAnsi="宋体" w:cs="宋体"/>
                <w:sz w:val="24"/>
                <w:szCs w:val="24"/>
              </w:rPr>
              <w:t>0.10</w:t>
            </w:r>
          </w:p>
        </w:tc>
      </w:tr>
    </w:tbl>
    <w:p>
      <w:pPr>
        <w:pStyle w:val="58"/>
        <w:numPr>
          <w:ilvl w:val="0"/>
          <w:numId w:val="0"/>
        </w:numPr>
        <w:spacing w:before="0" w:after="0" w:line="360" w:lineRule="auto"/>
        <w:jc w:val="center"/>
        <w:outlineLvl w:val="9"/>
        <w:rPr>
          <w:rFonts w:ascii="Times New Roman" w:cs="宋体"/>
          <w:sz w:val="24"/>
          <w:szCs w:val="24"/>
        </w:rPr>
      </w:pPr>
    </w:p>
    <w:p>
      <w:pPr>
        <w:pStyle w:val="58"/>
        <w:numPr>
          <w:ilvl w:val="2"/>
          <w:numId w:val="0"/>
        </w:numPr>
        <w:spacing w:before="0" w:after="0" w:line="360" w:lineRule="auto"/>
        <w:outlineLvl w:val="9"/>
        <w:rPr>
          <w:rFonts w:ascii="Times New Roman" w:cs="宋体"/>
          <w:sz w:val="24"/>
          <w:szCs w:val="24"/>
        </w:rPr>
      </w:pPr>
      <w:r>
        <w:rPr>
          <w:rFonts w:hint="eastAsia" w:ascii="Times New Roman" w:cs="宋体"/>
          <w:sz w:val="24"/>
          <w:szCs w:val="24"/>
        </w:rPr>
        <w:t>5.0.3 非技术指标的评定分为企业能力、运维管理、地理位置以及损失记录四个部分，每部分最高100分，最低60，缺项为0分，综合总分计算公式为：</w:t>
      </w:r>
    </w:p>
    <w:p>
      <w:pPr>
        <w:pStyle w:val="58"/>
        <w:numPr>
          <w:ilvl w:val="0"/>
          <w:numId w:val="0"/>
        </w:numPr>
        <w:spacing w:before="0" w:after="0" w:line="360" w:lineRule="auto"/>
        <w:ind w:firstLine="480" w:firstLineChars="200"/>
        <w:jc w:val="center"/>
        <w:outlineLvl w:val="9"/>
        <w:rPr>
          <w:rFonts w:ascii="Times New Roman" w:cs="宋体"/>
          <w:sz w:val="24"/>
          <w:szCs w:val="24"/>
        </w:rPr>
      </w:pPr>
      <m:oMathPara>
        <m:oMath>
          <m:r>
            <m:rPr>
              <m:sty m:val="p"/>
            </m:rPr>
            <w:rPr>
              <w:rFonts w:hint="eastAsia" w:ascii="Cambria Math" w:hAnsi="Cambria Math" w:cs="宋体"/>
              <w:sz w:val="24"/>
              <w:szCs w:val="24"/>
            </w:rPr>
            <m:t>S=</m:t>
          </m:r>
          <m:nary>
            <m:naryPr>
              <m:chr m:val="∑"/>
              <m:limLoc m:val="undOvr"/>
              <m:subHide m:val="1"/>
              <m:supHide m:val="1"/>
              <m:ctrlPr>
                <w:rPr>
                  <w:rFonts w:hint="eastAsia" w:ascii="Cambria Math" w:hAnsi="Cambria Math" w:cs="宋体"/>
                  <w:i/>
                  <w:sz w:val="24"/>
                  <w:szCs w:val="24"/>
                </w:rPr>
              </m:ctrlPr>
            </m:naryPr>
            <m:sub>
              <m:ctrlPr>
                <w:rPr>
                  <w:rFonts w:hint="eastAsia" w:ascii="Cambria Math" w:hAnsi="Cambria Math" w:cs="宋体"/>
                  <w:i/>
                  <w:sz w:val="24"/>
                  <w:szCs w:val="24"/>
                </w:rPr>
              </m:ctrlPr>
            </m:sub>
            <m:sup>
              <m:ctrlPr>
                <w:rPr>
                  <w:rFonts w:hint="eastAsia" w:ascii="Cambria Math" w:hAnsi="Cambria Math" w:cs="宋体"/>
                  <w:i/>
                  <w:sz w:val="24"/>
                  <w:szCs w:val="24"/>
                </w:rPr>
              </m:ctrlPr>
            </m:sup>
            <m:e>
              <m:sSub>
                <m:sSubPr>
                  <m:ctrlPr>
                    <w:rPr>
                      <w:rFonts w:hint="eastAsia" w:ascii="Cambria Math" w:hAnsi="Cambria Math" w:cs="宋体"/>
                      <w:i/>
                      <w:sz w:val="24"/>
                      <w:szCs w:val="24"/>
                    </w:rPr>
                  </m:ctrlPr>
                </m:sSubPr>
                <m:e>
                  <m:r>
                    <m:rPr/>
                    <w:rPr>
                      <w:rFonts w:hint="eastAsia" w:ascii="Cambria Math" w:hAnsi="Cambria Math" w:cs="宋体"/>
                      <w:sz w:val="24"/>
                      <w:szCs w:val="24"/>
                    </w:rPr>
                    <m:t>S</m:t>
                  </m:r>
                  <m:ctrlPr>
                    <w:rPr>
                      <w:rFonts w:hint="eastAsia" w:ascii="Cambria Math" w:hAnsi="Cambria Math" w:cs="宋体"/>
                      <w:i/>
                      <w:sz w:val="24"/>
                      <w:szCs w:val="24"/>
                    </w:rPr>
                  </m:ctrlPr>
                </m:e>
                <m:sub>
                  <m:r>
                    <m:rPr/>
                    <w:rPr>
                      <w:rFonts w:hint="eastAsia" w:ascii="Cambria Math" w:hAnsi="Cambria Math" w:cs="宋体"/>
                      <w:sz w:val="24"/>
                      <w:szCs w:val="24"/>
                    </w:rPr>
                    <m:t>i</m:t>
                  </m:r>
                  <m:ctrlPr>
                    <w:rPr>
                      <w:rFonts w:hint="eastAsia" w:ascii="Cambria Math" w:hAnsi="Cambria Math" w:cs="宋体"/>
                      <w:i/>
                      <w:sz w:val="24"/>
                      <w:szCs w:val="24"/>
                    </w:rPr>
                  </m:ctrlPr>
                </m:sub>
              </m:sSub>
              <m:r>
                <m:rPr/>
                <w:rPr>
                  <w:rFonts w:hint="eastAsia" w:ascii="Cambria Math" w:hAnsi="Cambria Math" w:cs="宋体"/>
                  <w:sz w:val="24"/>
                  <w:szCs w:val="24"/>
                </w:rPr>
                <m:t>×</m:t>
              </m:r>
              <m:sSub>
                <m:sSubPr>
                  <m:ctrlPr>
                    <w:rPr>
                      <w:rFonts w:hint="eastAsia" w:ascii="Cambria Math" w:hAnsi="Cambria Math" w:cs="宋体"/>
                      <w:i/>
                      <w:sz w:val="24"/>
                      <w:szCs w:val="24"/>
                    </w:rPr>
                  </m:ctrlPr>
                </m:sSubPr>
                <m:e>
                  <m:r>
                    <m:rPr/>
                    <w:rPr>
                      <w:rFonts w:ascii="Cambria Math" w:hAnsi="Cambria Math" w:cs="宋体"/>
                      <w:sz w:val="24"/>
                      <w:szCs w:val="24"/>
                    </w:rPr>
                    <m:t>μ</m:t>
                  </m:r>
                  <m:ctrlPr>
                    <w:rPr>
                      <w:rFonts w:hint="eastAsia" w:ascii="Cambria Math" w:hAnsi="Cambria Math" w:cs="宋体"/>
                      <w:i/>
                      <w:sz w:val="24"/>
                      <w:szCs w:val="24"/>
                    </w:rPr>
                  </m:ctrlPr>
                </m:e>
                <m:sub>
                  <m:r>
                    <m:rPr/>
                    <w:rPr>
                      <w:rFonts w:hint="eastAsia" w:ascii="Cambria Math" w:hAnsi="Cambria Math" w:cs="宋体"/>
                      <w:sz w:val="24"/>
                      <w:szCs w:val="24"/>
                    </w:rPr>
                    <m:t>i</m:t>
                  </m:r>
                  <m:ctrlPr>
                    <w:rPr>
                      <w:rFonts w:hint="eastAsia" w:ascii="Cambria Math" w:hAnsi="Cambria Math" w:cs="宋体"/>
                      <w:i/>
                      <w:sz w:val="24"/>
                      <w:szCs w:val="24"/>
                    </w:rPr>
                  </m:ctrlPr>
                </m:sub>
              </m:sSub>
              <m:ctrlPr>
                <w:rPr>
                  <w:rFonts w:hint="eastAsia" w:ascii="Cambria Math" w:hAnsi="Cambria Math" w:cs="宋体"/>
                  <w:i/>
                  <w:sz w:val="24"/>
                  <w:szCs w:val="24"/>
                </w:rPr>
              </m:ctrlPr>
            </m:e>
          </m:nary>
        </m:oMath>
      </m:oMathPara>
    </w:p>
    <w:p>
      <w:pPr>
        <w:pStyle w:val="28"/>
        <w:spacing w:line="360" w:lineRule="auto"/>
        <w:ind w:firstLine="480"/>
        <w:rPr>
          <w:rFonts w:ascii="Times New Roman" w:cs="宋体"/>
          <w:sz w:val="24"/>
          <w:szCs w:val="24"/>
        </w:rPr>
      </w:pPr>
      <w:r>
        <w:rPr>
          <w:rFonts w:hint="eastAsia" w:ascii="Times New Roman" w:cs="宋体"/>
          <w:sz w:val="24"/>
          <w:szCs w:val="24"/>
        </w:rPr>
        <w:t>注：</w:t>
      </w:r>
      <m:oMath>
        <m:r>
          <m:rPr/>
          <w:rPr>
            <w:rFonts w:ascii="Cambria Math" w:hAnsi="Cambria Math" w:cs="宋体"/>
            <w:sz w:val="24"/>
            <w:szCs w:val="24"/>
          </w:rPr>
          <m:t>μ</m:t>
        </m:r>
      </m:oMath>
      <w:r>
        <w:rPr>
          <w:rFonts w:hint="eastAsia" w:ascii="Times New Roman" w:cs="宋体"/>
          <w:sz w:val="24"/>
          <w:szCs w:val="24"/>
          <w:vertAlign w:val="subscript"/>
        </w:rPr>
        <w:t>i</w:t>
      </w:r>
      <w:r>
        <w:rPr>
          <w:rFonts w:hint="eastAsia" w:ascii="Times New Roman" w:cs="宋体"/>
          <w:sz w:val="24"/>
          <w:szCs w:val="24"/>
        </w:rPr>
        <w:t>为权重系数，权重值见表5.0.3。</w:t>
      </w:r>
    </w:p>
    <w:p>
      <w:pPr>
        <w:spacing w:line="360" w:lineRule="auto"/>
        <w:jc w:val="center"/>
        <w:rPr>
          <w:rFonts w:ascii="宋体" w:hAnsi="宋体" w:cs="宋体"/>
          <w:b/>
          <w:bCs/>
          <w:szCs w:val="21"/>
        </w:rPr>
      </w:pPr>
      <w:r>
        <w:rPr>
          <w:rFonts w:hint="eastAsia" w:ascii="宋体" w:hAnsi="宋体" w:cs="宋体"/>
          <w:b/>
          <w:bCs/>
          <w:szCs w:val="21"/>
        </w:rPr>
        <w:t>表5.0.3 非技术指标的评分项</w:t>
      </w:r>
    </w:p>
    <w:tbl>
      <w:tblPr>
        <w:tblStyle w:val="39"/>
        <w:tblW w:w="9456" w:type="dxa"/>
        <w:tblInd w:w="11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34"/>
        <w:gridCol w:w="835"/>
        <w:gridCol w:w="1946"/>
        <w:gridCol w:w="1946"/>
        <w:gridCol w:w="1946"/>
        <w:gridCol w:w="194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21" w:hRule="atLeast"/>
        </w:trPr>
        <w:tc>
          <w:tcPr>
            <w:tcW w:w="1669" w:type="dxa"/>
            <w:gridSpan w:val="2"/>
            <w:tcBorders>
              <w:tl2br w:val="nil"/>
              <w:tr2bl w:val="nil"/>
            </w:tcBorders>
            <w:shd w:val="clear" w:color="auto" w:fill="auto"/>
            <w:vAlign w:val="center"/>
          </w:tcPr>
          <w:p>
            <w:pPr>
              <w:rPr>
                <w:rFonts w:ascii="宋体" w:hAnsi="宋体" w:cs="宋体"/>
                <w:szCs w:val="21"/>
              </w:rPr>
            </w:pPr>
            <w:r>
              <w:rPr>
                <w:rFonts w:hint="eastAsia" w:ascii="宋体" w:hAnsi="宋体" w:cs="宋体"/>
                <w:szCs w:val="21"/>
              </w:rPr>
              <w:t>分部评定名称</w:t>
            </w:r>
          </w:p>
        </w:tc>
        <w:tc>
          <w:tcPr>
            <w:tcW w:w="1946" w:type="dxa"/>
            <w:tcBorders>
              <w:tl2br w:val="nil"/>
              <w:tr2bl w:val="nil"/>
            </w:tcBorders>
            <w:shd w:val="clear" w:color="auto" w:fill="auto"/>
            <w:noWrap/>
            <w:vAlign w:val="center"/>
          </w:tcPr>
          <w:p>
            <w:pPr>
              <w:jc w:val="center"/>
              <w:rPr>
                <w:rFonts w:ascii="宋体" w:hAnsi="宋体" w:cs="宋体"/>
                <w:szCs w:val="21"/>
              </w:rPr>
            </w:pPr>
            <w:r>
              <w:rPr>
                <w:rFonts w:hint="eastAsia" w:ascii="宋体" w:hAnsi="宋体" w:cs="宋体"/>
                <w:szCs w:val="21"/>
              </w:rPr>
              <w:t>企业能力</w:t>
            </w:r>
            <m:oMath>
              <m:r>
                <m:rPr/>
                <w:rPr>
                  <w:rFonts w:ascii="Cambria Math" w:hAnsi="Cambria Math" w:cs="宋体"/>
                  <w:szCs w:val="21"/>
                </w:rPr>
                <m:t>μ</m:t>
              </m:r>
            </m:oMath>
            <w:r>
              <w:rPr>
                <w:rFonts w:hint="eastAsia" w:ascii="宋体" w:hAnsi="宋体" w:cs="宋体"/>
                <w:szCs w:val="21"/>
                <w:vertAlign w:val="subscript"/>
              </w:rPr>
              <w:t>1</w:t>
            </w:r>
          </w:p>
        </w:tc>
        <w:tc>
          <w:tcPr>
            <w:tcW w:w="1946" w:type="dxa"/>
            <w:tcBorders>
              <w:tl2br w:val="nil"/>
              <w:tr2bl w:val="nil"/>
            </w:tcBorders>
            <w:shd w:val="clear" w:color="auto" w:fill="auto"/>
            <w:noWrap/>
            <w:vAlign w:val="center"/>
          </w:tcPr>
          <w:p>
            <w:pPr>
              <w:jc w:val="center"/>
              <w:rPr>
                <w:rFonts w:ascii="宋体" w:hAnsi="宋体" w:cs="宋体"/>
                <w:szCs w:val="21"/>
              </w:rPr>
            </w:pPr>
            <w:r>
              <w:rPr>
                <w:rFonts w:hint="eastAsia" w:ascii="宋体" w:hAnsi="宋体" w:cs="宋体"/>
                <w:szCs w:val="21"/>
              </w:rPr>
              <w:t>运维管理</w:t>
            </w:r>
            <m:oMath>
              <m:r>
                <m:rPr/>
                <w:rPr>
                  <w:rFonts w:ascii="Cambria Math" w:hAnsi="Cambria Math" w:cs="宋体"/>
                  <w:szCs w:val="21"/>
                </w:rPr>
                <m:t>μ</m:t>
              </m:r>
            </m:oMath>
            <w:r>
              <w:rPr>
                <w:rFonts w:hint="eastAsia" w:ascii="宋体" w:hAnsi="宋体" w:cs="宋体"/>
                <w:szCs w:val="21"/>
                <w:vertAlign w:val="subscript"/>
              </w:rPr>
              <w:t>2</w:t>
            </w:r>
          </w:p>
        </w:tc>
        <w:tc>
          <w:tcPr>
            <w:tcW w:w="1946" w:type="dxa"/>
            <w:tcBorders>
              <w:tl2br w:val="nil"/>
              <w:tr2bl w:val="nil"/>
            </w:tcBorders>
            <w:shd w:val="clear" w:color="auto" w:fill="auto"/>
            <w:noWrap/>
            <w:vAlign w:val="center"/>
          </w:tcPr>
          <w:p>
            <w:pPr>
              <w:jc w:val="center"/>
              <w:rPr>
                <w:rFonts w:ascii="宋体" w:hAnsi="宋体" w:cs="宋体"/>
                <w:szCs w:val="21"/>
              </w:rPr>
            </w:pPr>
            <w:r>
              <w:rPr>
                <w:rFonts w:hint="eastAsia" w:ascii="宋体" w:hAnsi="宋体" w:cs="宋体"/>
                <w:szCs w:val="21"/>
              </w:rPr>
              <w:t>地理位置</w:t>
            </w:r>
            <m:oMath>
              <m:r>
                <m:rPr/>
                <w:rPr>
                  <w:rFonts w:ascii="Cambria Math" w:hAnsi="Cambria Math" w:cs="宋体"/>
                  <w:szCs w:val="21"/>
                </w:rPr>
                <m:t>μ</m:t>
              </m:r>
            </m:oMath>
            <w:r>
              <w:rPr>
                <w:rFonts w:hint="eastAsia" w:hAnsi="Cambria Math" w:cs="宋体"/>
                <w:szCs w:val="21"/>
                <w:vertAlign w:val="subscript"/>
              </w:rPr>
              <w:t>3</w:t>
            </w:r>
          </w:p>
        </w:tc>
        <w:tc>
          <w:tcPr>
            <w:tcW w:w="1949" w:type="dxa"/>
            <w:tcBorders>
              <w:tl2br w:val="nil"/>
              <w:tr2bl w:val="nil"/>
            </w:tcBorders>
            <w:shd w:val="clear" w:color="auto" w:fill="auto"/>
            <w:noWrap/>
            <w:vAlign w:val="center"/>
          </w:tcPr>
          <w:p>
            <w:pPr>
              <w:jc w:val="center"/>
              <w:rPr>
                <w:rFonts w:ascii="宋体" w:hAnsi="宋体" w:cs="宋体"/>
                <w:szCs w:val="21"/>
              </w:rPr>
            </w:pPr>
            <w:r>
              <w:rPr>
                <w:rFonts w:hint="eastAsia" w:ascii="宋体" w:hAnsi="宋体" w:cs="宋体"/>
                <w:szCs w:val="21"/>
              </w:rPr>
              <w:t>损失记录</w:t>
            </w:r>
            <m:oMath>
              <m:r>
                <m:rPr/>
                <w:rPr>
                  <w:rFonts w:ascii="Cambria Math" w:hAnsi="Cambria Math" w:cs="宋体"/>
                  <w:szCs w:val="21"/>
                </w:rPr>
                <m:t>μ</m:t>
              </m:r>
            </m:oMath>
            <w:r>
              <w:rPr>
                <w:rFonts w:hint="eastAsia" w:hAnsi="Cambria Math" w:cs="宋体"/>
                <w:szCs w:val="21"/>
                <w:vertAlign w:val="subscript"/>
              </w:rPr>
              <w:t>4</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7" w:hRule="atLeast"/>
        </w:trPr>
        <w:tc>
          <w:tcPr>
            <w:tcW w:w="834" w:type="dxa"/>
            <w:vMerge w:val="restart"/>
            <w:tcBorders>
              <w:tl2br w:val="nil"/>
              <w:tr2bl w:val="nil"/>
            </w:tcBorders>
            <w:shd w:val="clear" w:color="auto" w:fill="auto"/>
            <w:vAlign w:val="center"/>
          </w:tcPr>
          <w:p>
            <w:pPr>
              <w:jc w:val="center"/>
              <w:rPr>
                <w:rFonts w:ascii="宋体" w:hAnsi="宋体" w:cs="宋体"/>
                <w:szCs w:val="21"/>
              </w:rPr>
            </w:pPr>
            <w:bookmarkStart w:id="78" w:name="RANGE!G7"/>
            <w:r>
              <w:rPr>
                <w:rFonts w:hint="eastAsia" w:ascii="宋体" w:hAnsi="宋体" w:cs="宋体"/>
                <w:szCs w:val="21"/>
              </w:rPr>
              <w:t>权重系数</w:t>
            </w:r>
            <w:bookmarkEnd w:id="78"/>
          </w:p>
        </w:tc>
        <w:tc>
          <w:tcPr>
            <w:tcW w:w="835" w:type="dxa"/>
            <w:tcBorders>
              <w:tl2br w:val="nil"/>
              <w:tr2bl w:val="nil"/>
            </w:tcBorders>
            <w:shd w:val="clear" w:color="auto" w:fill="auto"/>
            <w:vAlign w:val="center"/>
          </w:tcPr>
          <w:p>
            <w:pPr>
              <w:jc w:val="center"/>
              <w:rPr>
                <w:rFonts w:ascii="宋体" w:hAnsi="宋体" w:cs="宋体"/>
                <w:szCs w:val="21"/>
              </w:rPr>
            </w:pPr>
            <w:r>
              <w:rPr>
                <w:rFonts w:hint="eastAsia" w:ascii="宋体" w:hAnsi="宋体" w:cs="宋体"/>
                <w:szCs w:val="21"/>
              </w:rPr>
              <w:t>门窗初保</w:t>
            </w:r>
          </w:p>
        </w:tc>
        <w:tc>
          <w:tcPr>
            <w:tcW w:w="1946" w:type="dxa"/>
            <w:tcBorders>
              <w:tl2br w:val="nil"/>
              <w:tr2bl w:val="nil"/>
            </w:tcBorders>
            <w:shd w:val="clear" w:color="auto" w:fill="auto"/>
            <w:vAlign w:val="center"/>
          </w:tcPr>
          <w:p>
            <w:pPr>
              <w:jc w:val="center"/>
              <w:rPr>
                <w:rFonts w:ascii="宋体" w:hAnsi="宋体" w:cs="宋体"/>
                <w:szCs w:val="21"/>
              </w:rPr>
            </w:pPr>
            <w:r>
              <w:rPr>
                <w:rFonts w:hint="eastAsia" w:ascii="宋体" w:hAnsi="宋体" w:cs="宋体"/>
                <w:szCs w:val="21"/>
              </w:rPr>
              <w:t>0.5</w:t>
            </w:r>
          </w:p>
        </w:tc>
        <w:tc>
          <w:tcPr>
            <w:tcW w:w="1946" w:type="dxa"/>
            <w:tcBorders>
              <w:tl2br w:val="nil"/>
              <w:tr2bl w:val="nil"/>
            </w:tcBorders>
            <w:shd w:val="clear" w:color="auto" w:fill="auto"/>
            <w:vAlign w:val="center"/>
          </w:tcPr>
          <w:p>
            <w:pPr>
              <w:jc w:val="center"/>
              <w:rPr>
                <w:rFonts w:ascii="宋体" w:hAnsi="宋体" w:cs="宋体"/>
                <w:szCs w:val="21"/>
              </w:rPr>
            </w:pPr>
            <w:r>
              <w:rPr>
                <w:rFonts w:hint="eastAsia" w:ascii="宋体" w:hAnsi="宋体" w:cs="宋体"/>
                <w:szCs w:val="21"/>
              </w:rPr>
              <w:t>0</w:t>
            </w:r>
          </w:p>
        </w:tc>
        <w:tc>
          <w:tcPr>
            <w:tcW w:w="1946" w:type="dxa"/>
            <w:tcBorders>
              <w:tl2br w:val="nil"/>
              <w:tr2bl w:val="nil"/>
            </w:tcBorders>
            <w:shd w:val="clear" w:color="auto" w:fill="auto"/>
            <w:vAlign w:val="center"/>
          </w:tcPr>
          <w:p>
            <w:pPr>
              <w:jc w:val="center"/>
              <w:rPr>
                <w:rFonts w:ascii="宋体" w:hAnsi="宋体" w:cs="宋体"/>
                <w:szCs w:val="21"/>
              </w:rPr>
            </w:pPr>
            <w:r>
              <w:rPr>
                <w:rFonts w:hint="eastAsia" w:ascii="宋体" w:hAnsi="宋体" w:cs="宋体"/>
                <w:szCs w:val="21"/>
              </w:rPr>
              <w:t>0.2</w:t>
            </w:r>
          </w:p>
        </w:tc>
        <w:tc>
          <w:tcPr>
            <w:tcW w:w="1949" w:type="dxa"/>
            <w:tcBorders>
              <w:tl2br w:val="nil"/>
              <w:tr2bl w:val="nil"/>
            </w:tcBorders>
            <w:shd w:val="clear" w:color="auto" w:fill="auto"/>
            <w:vAlign w:val="center"/>
          </w:tcPr>
          <w:p>
            <w:pPr>
              <w:jc w:val="center"/>
              <w:rPr>
                <w:rFonts w:ascii="宋体" w:hAnsi="宋体" w:cs="宋体"/>
                <w:szCs w:val="21"/>
              </w:rPr>
            </w:pPr>
            <w:r>
              <w:rPr>
                <w:rFonts w:hint="eastAsia" w:ascii="宋体" w:hAnsi="宋体" w:cs="宋体"/>
                <w:szCs w:val="21"/>
              </w:rPr>
              <w:t>0.3</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7" w:hRule="atLeast"/>
        </w:trPr>
        <w:tc>
          <w:tcPr>
            <w:tcW w:w="834" w:type="dxa"/>
            <w:vMerge w:val="continue"/>
            <w:tcBorders>
              <w:tl2br w:val="nil"/>
              <w:tr2bl w:val="nil"/>
            </w:tcBorders>
            <w:shd w:val="clear" w:color="auto" w:fill="auto"/>
            <w:vAlign w:val="center"/>
          </w:tcPr>
          <w:p>
            <w:pPr>
              <w:rPr>
                <w:rFonts w:ascii="宋体" w:hAnsi="宋体" w:cs="宋体"/>
                <w:szCs w:val="21"/>
              </w:rPr>
            </w:pPr>
          </w:p>
        </w:tc>
        <w:tc>
          <w:tcPr>
            <w:tcW w:w="835" w:type="dxa"/>
            <w:tcBorders>
              <w:tl2br w:val="nil"/>
              <w:tr2bl w:val="nil"/>
            </w:tcBorders>
            <w:shd w:val="clear" w:color="auto" w:fill="auto"/>
            <w:vAlign w:val="center"/>
          </w:tcPr>
          <w:p>
            <w:pPr>
              <w:jc w:val="center"/>
              <w:rPr>
                <w:rFonts w:ascii="宋体" w:hAnsi="宋体" w:cs="宋体"/>
                <w:szCs w:val="21"/>
              </w:rPr>
            </w:pPr>
            <w:r>
              <w:rPr>
                <w:rFonts w:hint="eastAsia" w:ascii="宋体" w:hAnsi="宋体" w:cs="宋体"/>
                <w:szCs w:val="21"/>
              </w:rPr>
              <w:t>门窗续保</w:t>
            </w:r>
          </w:p>
        </w:tc>
        <w:tc>
          <w:tcPr>
            <w:tcW w:w="1946" w:type="dxa"/>
            <w:tcBorders>
              <w:tl2br w:val="nil"/>
              <w:tr2bl w:val="nil"/>
            </w:tcBorders>
            <w:shd w:val="clear" w:color="auto" w:fill="auto"/>
            <w:vAlign w:val="center"/>
          </w:tcPr>
          <w:p>
            <w:pPr>
              <w:jc w:val="center"/>
              <w:rPr>
                <w:rFonts w:ascii="宋体" w:hAnsi="宋体" w:cs="宋体"/>
                <w:szCs w:val="21"/>
              </w:rPr>
            </w:pPr>
            <w:r>
              <w:rPr>
                <w:rFonts w:hint="eastAsia" w:ascii="宋体" w:hAnsi="宋体" w:cs="宋体"/>
                <w:szCs w:val="21"/>
              </w:rPr>
              <w:t>0.2</w:t>
            </w:r>
          </w:p>
        </w:tc>
        <w:tc>
          <w:tcPr>
            <w:tcW w:w="1946" w:type="dxa"/>
            <w:tcBorders>
              <w:tl2br w:val="nil"/>
              <w:tr2bl w:val="nil"/>
            </w:tcBorders>
            <w:shd w:val="clear" w:color="auto" w:fill="auto"/>
            <w:vAlign w:val="center"/>
          </w:tcPr>
          <w:p>
            <w:pPr>
              <w:jc w:val="center"/>
              <w:rPr>
                <w:rFonts w:ascii="宋体" w:hAnsi="宋体" w:cs="宋体"/>
                <w:szCs w:val="21"/>
              </w:rPr>
            </w:pPr>
            <w:r>
              <w:rPr>
                <w:rFonts w:hint="eastAsia" w:ascii="宋体" w:hAnsi="宋体" w:cs="宋体"/>
                <w:szCs w:val="21"/>
              </w:rPr>
              <w:t>0.3</w:t>
            </w:r>
          </w:p>
        </w:tc>
        <w:tc>
          <w:tcPr>
            <w:tcW w:w="1946" w:type="dxa"/>
            <w:tcBorders>
              <w:tl2br w:val="nil"/>
              <w:tr2bl w:val="nil"/>
            </w:tcBorders>
            <w:shd w:val="clear" w:color="auto" w:fill="auto"/>
            <w:vAlign w:val="center"/>
          </w:tcPr>
          <w:p>
            <w:pPr>
              <w:jc w:val="center"/>
              <w:rPr>
                <w:rFonts w:ascii="宋体" w:hAnsi="宋体" w:cs="宋体"/>
                <w:szCs w:val="21"/>
              </w:rPr>
            </w:pPr>
            <w:r>
              <w:rPr>
                <w:rFonts w:hint="eastAsia" w:ascii="宋体" w:hAnsi="宋体" w:cs="宋体"/>
                <w:szCs w:val="21"/>
              </w:rPr>
              <w:t>0.2</w:t>
            </w:r>
          </w:p>
        </w:tc>
        <w:tc>
          <w:tcPr>
            <w:tcW w:w="1949" w:type="dxa"/>
            <w:tcBorders>
              <w:tl2br w:val="nil"/>
              <w:tr2bl w:val="nil"/>
            </w:tcBorders>
            <w:shd w:val="clear" w:color="auto" w:fill="auto"/>
            <w:vAlign w:val="center"/>
          </w:tcPr>
          <w:p>
            <w:pPr>
              <w:jc w:val="center"/>
              <w:rPr>
                <w:rFonts w:ascii="宋体" w:hAnsi="宋体" w:cs="宋体"/>
                <w:szCs w:val="21"/>
              </w:rPr>
            </w:pPr>
            <w:r>
              <w:rPr>
                <w:rFonts w:hint="eastAsia" w:ascii="宋体" w:hAnsi="宋体" w:cs="宋体"/>
                <w:szCs w:val="21"/>
              </w:rPr>
              <w:t>0.3</w:t>
            </w:r>
          </w:p>
        </w:tc>
      </w:tr>
    </w:tbl>
    <w:p>
      <w:pPr>
        <w:spacing w:line="360" w:lineRule="auto"/>
        <w:jc w:val="center"/>
        <w:rPr>
          <w:rFonts w:ascii="宋体" w:hAnsi="宋体" w:cs="宋体"/>
          <w:b/>
          <w:bCs/>
          <w:kern w:val="44"/>
          <w:sz w:val="24"/>
        </w:rPr>
      </w:pPr>
    </w:p>
    <w:p>
      <w:pPr>
        <w:spacing w:line="360" w:lineRule="auto"/>
        <w:rPr>
          <w:rFonts w:ascii="宋体" w:hAnsi="宋体" w:cs="宋体"/>
          <w:sz w:val="24"/>
        </w:rPr>
      </w:pPr>
      <w:r>
        <w:rPr>
          <w:rFonts w:hint="eastAsia" w:ascii="宋体" w:hAnsi="宋体" w:cs="宋体"/>
          <w:color w:val="000000"/>
          <w:kern w:val="44"/>
          <w:sz w:val="24"/>
        </w:rPr>
        <w:t>5.0.4 门窗风险评估报告</w:t>
      </w:r>
      <w:bookmarkEnd w:id="57"/>
      <w:r>
        <w:rPr>
          <w:rFonts w:hint="eastAsia" w:ascii="宋体" w:hAnsi="宋体" w:cs="宋体"/>
          <w:sz w:val="24"/>
        </w:rPr>
        <w:t>应包含以下信息：</w:t>
      </w:r>
    </w:p>
    <w:p>
      <w:pPr>
        <w:pStyle w:val="58"/>
        <w:numPr>
          <w:ilvl w:val="2"/>
          <w:numId w:val="0"/>
        </w:numPr>
        <w:spacing w:before="0" w:after="0" w:line="360" w:lineRule="auto"/>
        <w:ind w:firstLine="480" w:firstLineChars="200"/>
        <w:jc w:val="both"/>
        <w:outlineLvl w:val="9"/>
        <w:rPr>
          <w:rFonts w:hAnsi="宋体" w:cs="宋体"/>
          <w:sz w:val="24"/>
          <w:szCs w:val="24"/>
        </w:rPr>
      </w:pPr>
      <w:r>
        <w:rPr>
          <w:rFonts w:hint="eastAsia" w:hAnsi="宋体" w:cs="宋体"/>
          <w:sz w:val="24"/>
          <w:szCs w:val="24"/>
        </w:rPr>
        <w:t>1  门窗生产企业的基本情况介绍和对企业的信息评定结果并打分；</w:t>
      </w:r>
    </w:p>
    <w:p>
      <w:pPr>
        <w:pStyle w:val="58"/>
        <w:numPr>
          <w:ilvl w:val="2"/>
          <w:numId w:val="0"/>
        </w:numPr>
        <w:spacing w:before="0" w:after="0" w:line="360" w:lineRule="auto"/>
        <w:ind w:firstLine="480" w:firstLineChars="200"/>
        <w:jc w:val="both"/>
        <w:outlineLvl w:val="9"/>
        <w:rPr>
          <w:rFonts w:hAnsi="宋体" w:cs="宋体"/>
          <w:sz w:val="24"/>
          <w:szCs w:val="24"/>
        </w:rPr>
      </w:pPr>
      <w:r>
        <w:rPr>
          <w:rFonts w:hint="eastAsia" w:hAnsi="宋体" w:cs="宋体"/>
          <w:sz w:val="24"/>
          <w:szCs w:val="24"/>
        </w:rPr>
        <w:t>2  投保批次门窗的生产、安装、使用和维修情况的基本说明和该批次门窗全过程质量评定结果并打分；</w:t>
      </w:r>
    </w:p>
    <w:p>
      <w:pPr>
        <w:pStyle w:val="58"/>
        <w:numPr>
          <w:ilvl w:val="2"/>
          <w:numId w:val="0"/>
        </w:numPr>
        <w:spacing w:before="0" w:after="0" w:line="360" w:lineRule="auto"/>
        <w:ind w:firstLine="480" w:firstLineChars="200"/>
        <w:jc w:val="both"/>
        <w:outlineLvl w:val="9"/>
        <w:rPr>
          <w:rFonts w:hAnsi="宋体" w:cs="宋体"/>
          <w:sz w:val="24"/>
          <w:szCs w:val="24"/>
        </w:rPr>
      </w:pPr>
      <w:r>
        <w:rPr>
          <w:rFonts w:hint="eastAsia" w:hAnsi="宋体" w:cs="宋体"/>
          <w:sz w:val="24"/>
          <w:szCs w:val="24"/>
        </w:rPr>
        <w:t>3  产品的全部生产编码和安装位置；</w:t>
      </w:r>
    </w:p>
    <w:p>
      <w:pPr>
        <w:pStyle w:val="58"/>
        <w:numPr>
          <w:ilvl w:val="2"/>
          <w:numId w:val="0"/>
        </w:numPr>
        <w:spacing w:before="0" w:after="0" w:line="360" w:lineRule="auto"/>
        <w:ind w:firstLine="480" w:firstLineChars="200"/>
        <w:jc w:val="both"/>
        <w:outlineLvl w:val="9"/>
        <w:rPr>
          <w:rFonts w:hAnsi="宋体" w:cs="宋体"/>
          <w:sz w:val="24"/>
          <w:szCs w:val="24"/>
        </w:rPr>
      </w:pPr>
      <w:r>
        <w:rPr>
          <w:rFonts w:hint="eastAsia" w:hAnsi="宋体" w:cs="宋体"/>
          <w:sz w:val="24"/>
          <w:szCs w:val="24"/>
        </w:rPr>
        <w:t>4  门窗评估结果分数，是否可以投保及保费确定。</w:t>
      </w:r>
    </w:p>
    <w:p>
      <w:pPr>
        <w:pStyle w:val="58"/>
        <w:numPr>
          <w:ilvl w:val="2"/>
          <w:numId w:val="0"/>
        </w:numPr>
        <w:spacing w:before="0" w:after="0" w:line="360" w:lineRule="auto"/>
        <w:ind w:left="420" w:leftChars="200"/>
        <w:outlineLvl w:val="9"/>
        <w:rPr>
          <w:rFonts w:ascii="Times New Roman" w:cs="宋体"/>
          <w:sz w:val="24"/>
          <w:szCs w:val="24"/>
        </w:rPr>
      </w:pPr>
    </w:p>
    <w:p>
      <w:pPr>
        <w:widowControl/>
        <w:spacing w:line="360" w:lineRule="auto"/>
        <w:jc w:val="left"/>
        <w:rPr>
          <w:rFonts w:ascii="宋体" w:hAnsi="宋体" w:cs="宋体"/>
          <w:sz w:val="24"/>
        </w:rPr>
      </w:pPr>
      <w:r>
        <w:rPr>
          <w:rFonts w:hint="eastAsia" w:ascii="宋体" w:hAnsi="宋体" w:cs="宋体"/>
          <w:sz w:val="24"/>
        </w:rPr>
        <w:br w:type="page"/>
      </w:r>
    </w:p>
    <w:p>
      <w:pPr>
        <w:spacing w:line="360" w:lineRule="auto"/>
        <w:jc w:val="center"/>
        <w:outlineLvl w:val="0"/>
        <w:rPr>
          <w:rFonts w:ascii="黑体" w:hAnsi="黑体" w:eastAsia="黑体" w:cs="黑体"/>
          <w:color w:val="000000"/>
          <w:kern w:val="44"/>
          <w:sz w:val="32"/>
          <w:szCs w:val="32"/>
        </w:rPr>
      </w:pPr>
      <w:bookmarkStart w:id="79" w:name="_Toc26394"/>
      <w:bookmarkStart w:id="80" w:name="_Toc29449"/>
      <w:bookmarkStart w:id="81" w:name="_Toc1003"/>
      <w:r>
        <w:rPr>
          <w:rFonts w:hint="eastAsia" w:ascii="黑体" w:hAnsi="黑体" w:eastAsia="黑体" w:cs="黑体"/>
          <w:color w:val="000000"/>
          <w:kern w:val="44"/>
          <w:sz w:val="32"/>
          <w:szCs w:val="32"/>
        </w:rPr>
        <w:t>6 保险</w:t>
      </w:r>
      <w:bookmarkEnd w:id="79"/>
      <w:bookmarkEnd w:id="80"/>
      <w:r>
        <w:rPr>
          <w:rFonts w:hint="eastAsia" w:ascii="黑体" w:hAnsi="黑体" w:eastAsia="黑体" w:cs="黑体"/>
          <w:color w:val="000000"/>
          <w:kern w:val="44"/>
          <w:sz w:val="32"/>
          <w:szCs w:val="32"/>
        </w:rPr>
        <w:t>责任</w:t>
      </w:r>
      <w:bookmarkEnd w:id="81"/>
    </w:p>
    <w:p>
      <w:pPr>
        <w:spacing w:line="360" w:lineRule="auto"/>
        <w:rPr>
          <w:rFonts w:ascii="宋体" w:hAnsi="宋体" w:cs="宋体"/>
          <w:sz w:val="24"/>
          <w:lang w:val="zh-CN"/>
        </w:rPr>
      </w:pPr>
      <w:bookmarkStart w:id="82" w:name="_Toc20026"/>
      <w:r>
        <w:rPr>
          <w:rFonts w:hint="eastAsia" w:ascii="宋体" w:hAnsi="宋体" w:cs="宋体"/>
          <w:kern w:val="44"/>
          <w:sz w:val="24"/>
        </w:rPr>
        <w:t xml:space="preserve">6.0.1 </w:t>
      </w:r>
      <w:bookmarkEnd w:id="82"/>
      <w:r>
        <w:rPr>
          <w:rFonts w:hint="eastAsia" w:ascii="宋体" w:hAnsi="宋体" w:cs="宋体"/>
          <w:sz w:val="24"/>
        </w:rPr>
        <w:t>保险费厘定按照公平、合理、适度的原则，实行优质优价，促进产品质量提高为社会安全做出贡献。在短期内即保持保险费率的稳定，同时又以保险标准的风险状况的变化而保持长期的费率浮动性。</w:t>
      </w:r>
    </w:p>
    <w:p>
      <w:pPr>
        <w:spacing w:line="360" w:lineRule="auto"/>
        <w:rPr>
          <w:rFonts w:ascii="宋体" w:hAnsi="宋体" w:cs="宋体"/>
          <w:kern w:val="36"/>
          <w:sz w:val="24"/>
          <w:lang w:val="zh-CN"/>
        </w:rPr>
      </w:pPr>
      <w:bookmarkStart w:id="83" w:name="_Toc19630"/>
      <w:r>
        <w:rPr>
          <w:rFonts w:hint="eastAsia" w:ascii="宋体" w:hAnsi="宋体" w:cs="宋体"/>
          <w:kern w:val="44"/>
          <w:sz w:val="24"/>
        </w:rPr>
        <w:t>6.0.2</w:t>
      </w:r>
      <w:r>
        <w:rPr>
          <w:rFonts w:hint="eastAsia" w:ascii="宋体" w:hAnsi="宋体" w:cs="宋体"/>
          <w:kern w:val="44"/>
          <w:sz w:val="24"/>
          <w:lang w:val="zh-CN"/>
        </w:rPr>
        <w:t xml:space="preserve"> </w:t>
      </w:r>
      <w:r>
        <w:rPr>
          <w:rFonts w:hint="eastAsia" w:ascii="宋体" w:hAnsi="宋体" w:cs="宋体"/>
          <w:kern w:val="44"/>
          <w:sz w:val="24"/>
        </w:rPr>
        <w:t>门窗工程保险分为</w:t>
      </w:r>
      <w:r>
        <w:rPr>
          <w:rFonts w:hint="eastAsia" w:ascii="宋体" w:hAnsi="宋体" w:cs="宋体"/>
          <w:kern w:val="44"/>
          <w:sz w:val="24"/>
          <w:lang w:val="zh-CN"/>
        </w:rPr>
        <w:t>门窗产品责任保险</w:t>
      </w:r>
      <w:r>
        <w:rPr>
          <w:rFonts w:hint="eastAsia" w:ascii="宋体" w:hAnsi="宋体" w:cs="宋体"/>
          <w:kern w:val="44"/>
          <w:sz w:val="24"/>
        </w:rPr>
        <w:t>和</w:t>
      </w:r>
      <w:r>
        <w:rPr>
          <w:rFonts w:hint="eastAsia" w:ascii="宋体" w:hAnsi="宋体" w:cs="宋体"/>
          <w:kern w:val="36"/>
          <w:sz w:val="24"/>
          <w:lang w:val="zh-CN"/>
        </w:rPr>
        <w:t>门窗产品质量保证保险。</w:t>
      </w:r>
    </w:p>
    <w:bookmarkEnd w:id="83"/>
    <w:p>
      <w:pPr>
        <w:spacing w:line="360" w:lineRule="auto"/>
        <w:rPr>
          <w:rFonts w:ascii="宋体" w:hAnsi="宋体" w:cs="宋体"/>
          <w:sz w:val="24"/>
          <w:lang w:val="zh-CN"/>
        </w:rPr>
      </w:pPr>
      <w:bookmarkStart w:id="84" w:name="_Toc4650"/>
      <w:r>
        <w:rPr>
          <w:rFonts w:hint="eastAsia" w:ascii="宋体" w:hAnsi="宋体" w:cs="宋体"/>
          <w:kern w:val="44"/>
          <w:sz w:val="24"/>
        </w:rPr>
        <w:t xml:space="preserve">6.0.3 </w:t>
      </w:r>
      <w:r>
        <w:rPr>
          <w:rFonts w:hint="eastAsia" w:ascii="宋体" w:hAnsi="宋体" w:cs="宋体"/>
          <w:sz w:val="24"/>
          <w:lang w:val="zh-CN"/>
        </w:rPr>
        <w:t>建筑门窗质量及责任保险费</w:t>
      </w:r>
      <w:r>
        <w:rPr>
          <w:rFonts w:hint="eastAsia" w:ascii="宋体" w:hAnsi="宋体" w:cs="宋体"/>
          <w:sz w:val="24"/>
        </w:rPr>
        <w:t>保费</w:t>
      </w:r>
      <w:r>
        <w:rPr>
          <w:rFonts w:hint="eastAsia" w:ascii="宋体" w:hAnsi="宋体" w:cs="宋体"/>
          <w:sz w:val="24"/>
          <w:lang w:val="zh-CN"/>
        </w:rPr>
        <w:t>M</w:t>
      </w:r>
      <w:r>
        <w:rPr>
          <w:rFonts w:hint="eastAsia" w:ascii="宋体" w:hAnsi="宋体" w:cs="宋体"/>
          <w:sz w:val="24"/>
        </w:rPr>
        <w:t>=</w:t>
      </w:r>
      <w:r>
        <w:rPr>
          <w:rFonts w:hint="eastAsia" w:ascii="宋体" w:hAnsi="宋体" w:cs="宋体"/>
          <w:sz w:val="24"/>
          <w:lang w:val="zh-CN"/>
        </w:rPr>
        <w:t>M</w:t>
      </w:r>
      <w:r>
        <w:rPr>
          <w:rFonts w:hint="eastAsia" w:ascii="宋体" w:hAnsi="宋体" w:cs="宋体"/>
          <w:sz w:val="24"/>
          <w:vertAlign w:val="subscript"/>
          <w:lang w:val="zh-CN"/>
        </w:rPr>
        <w:t>0</w:t>
      </w:r>
      <w:r>
        <w:rPr>
          <w:rFonts w:hint="eastAsia" w:ascii="宋体" w:hAnsi="宋体" w:cs="宋体"/>
          <w:sz w:val="24"/>
          <w:lang w:val="zh-CN"/>
        </w:rPr>
        <w:t>*i（其中M</w:t>
      </w:r>
      <w:r>
        <w:rPr>
          <w:rFonts w:hint="eastAsia" w:ascii="宋体" w:hAnsi="宋体" w:cs="宋体"/>
          <w:sz w:val="24"/>
          <w:vertAlign w:val="subscript"/>
          <w:lang w:val="zh-CN"/>
        </w:rPr>
        <w:t>0</w:t>
      </w:r>
      <w:r>
        <w:rPr>
          <w:rFonts w:hint="eastAsia" w:ascii="宋体" w:hAnsi="宋体" w:cs="宋体"/>
          <w:sz w:val="24"/>
          <w:lang w:val="zh-CN"/>
        </w:rPr>
        <w:t>为基础保费），</w:t>
      </w:r>
      <w:r>
        <w:rPr>
          <w:rFonts w:hint="eastAsia" w:ascii="宋体" w:hAnsi="宋体" w:cs="宋体"/>
          <w:sz w:val="24"/>
        </w:rPr>
        <w:t>其中</w:t>
      </w:r>
      <w:r>
        <w:rPr>
          <w:rFonts w:hint="eastAsia" w:ascii="宋体" w:hAnsi="宋体" w:cs="宋体"/>
          <w:sz w:val="24"/>
          <w:lang w:val="zh-CN"/>
        </w:rPr>
        <w:t>调整系数i=3-0.025*</w:t>
      </w:r>
      <w:r>
        <w:rPr>
          <w:rFonts w:hint="eastAsia" w:ascii="宋体" w:hAnsi="宋体" w:cs="宋体"/>
          <w:sz w:val="24"/>
        </w:rPr>
        <w:t>Q</w:t>
      </w:r>
      <w:r>
        <w:rPr>
          <w:rFonts w:hint="eastAsia" w:ascii="宋体" w:hAnsi="宋体" w:cs="宋体"/>
          <w:sz w:val="24"/>
          <w:lang w:val="zh-CN"/>
        </w:rPr>
        <w:t>（</w:t>
      </w:r>
      <w:r>
        <w:rPr>
          <w:rFonts w:hint="eastAsia" w:ascii="宋体" w:hAnsi="宋体" w:cs="宋体"/>
          <w:sz w:val="24"/>
        </w:rPr>
        <w:t>Q</w:t>
      </w:r>
      <w:r>
        <w:rPr>
          <w:rFonts w:hint="eastAsia" w:ascii="宋体" w:hAnsi="宋体" w:cs="宋体"/>
          <w:sz w:val="24"/>
          <w:lang w:val="zh-CN"/>
        </w:rPr>
        <w:t>为风险等级评估总得分）</w:t>
      </w:r>
    </w:p>
    <w:bookmarkEnd w:id="84"/>
    <w:p>
      <w:pPr>
        <w:spacing w:line="360" w:lineRule="auto"/>
        <w:rPr>
          <w:rFonts w:ascii="宋体" w:hAnsi="宋体" w:cs="宋体"/>
          <w:kern w:val="44"/>
          <w:sz w:val="24"/>
        </w:rPr>
      </w:pPr>
      <w:bookmarkStart w:id="85" w:name="_Toc27737"/>
      <w:r>
        <w:rPr>
          <w:rFonts w:hint="eastAsia" w:ascii="宋体" w:hAnsi="宋体" w:cs="宋体"/>
          <w:kern w:val="44"/>
          <w:sz w:val="24"/>
        </w:rPr>
        <w:t>6.0.4</w:t>
      </w:r>
      <w:r>
        <w:rPr>
          <w:rFonts w:hint="eastAsia" w:ascii="宋体" w:hAnsi="宋体" w:cs="宋体"/>
          <w:kern w:val="44"/>
          <w:sz w:val="24"/>
          <w:lang w:val="zh-CN"/>
        </w:rPr>
        <w:t xml:space="preserve"> </w:t>
      </w:r>
      <w:r>
        <w:rPr>
          <w:rFonts w:hint="eastAsia" w:ascii="宋体" w:hAnsi="宋体" w:cs="宋体"/>
          <w:kern w:val="44"/>
          <w:sz w:val="24"/>
        </w:rPr>
        <w:t>保险公司对门窗产品承保应满足以下要求：</w:t>
      </w:r>
      <w:bookmarkEnd w:id="85"/>
    </w:p>
    <w:p>
      <w:pPr>
        <w:pStyle w:val="162"/>
        <w:ind w:firstLine="0" w:firstLineChars="0"/>
        <w:rPr>
          <w:color w:val="000000"/>
          <w:szCs w:val="24"/>
          <w:lang w:val="zh-CN"/>
        </w:rPr>
      </w:pPr>
      <w:r>
        <w:rPr>
          <w:rFonts w:hint="eastAsia"/>
          <w:color w:val="000000"/>
          <w:szCs w:val="24"/>
        </w:rPr>
        <w:t>1</w:t>
      </w:r>
      <w:r>
        <w:rPr>
          <w:rFonts w:hint="eastAsia"/>
          <w:color w:val="000000"/>
          <w:szCs w:val="24"/>
          <w:lang w:val="zh-CN"/>
        </w:rPr>
        <w:t xml:space="preserve"> 门窗生产企业的研发、生产、管理能力； </w:t>
      </w:r>
    </w:p>
    <w:p>
      <w:pPr>
        <w:pStyle w:val="162"/>
        <w:ind w:firstLine="0" w:firstLineChars="0"/>
        <w:rPr>
          <w:color w:val="000000"/>
          <w:szCs w:val="24"/>
          <w:lang w:val="zh-CN"/>
        </w:rPr>
      </w:pPr>
      <w:r>
        <w:rPr>
          <w:rFonts w:hint="eastAsia"/>
          <w:color w:val="000000"/>
          <w:szCs w:val="24"/>
          <w:lang w:val="zh-CN"/>
        </w:rPr>
        <w:t>2 门窗安全责任可预期保险年限与材料、加工、安装、使用维护等因素评分项相关；</w:t>
      </w:r>
    </w:p>
    <w:p>
      <w:pPr>
        <w:pStyle w:val="162"/>
        <w:ind w:firstLine="0" w:firstLineChars="0"/>
        <w:rPr>
          <w:color w:val="000000"/>
          <w:szCs w:val="24"/>
          <w:lang w:val="zh-CN"/>
        </w:rPr>
      </w:pPr>
      <w:r>
        <w:rPr>
          <w:rFonts w:hint="eastAsia"/>
          <w:color w:val="000000"/>
          <w:szCs w:val="24"/>
          <w:lang w:val="zh-CN"/>
        </w:rPr>
        <w:t>3 影响门窗工程</w:t>
      </w:r>
      <w:r>
        <w:rPr>
          <w:rFonts w:hint="eastAsia"/>
          <w:color w:val="000000"/>
          <w:szCs w:val="24"/>
        </w:rPr>
        <w:t>质量</w:t>
      </w:r>
      <w:r>
        <w:rPr>
          <w:rFonts w:hint="eastAsia"/>
          <w:color w:val="000000"/>
          <w:szCs w:val="24"/>
          <w:lang w:val="zh-CN"/>
        </w:rPr>
        <w:t>除</w:t>
      </w:r>
      <w:r>
        <w:rPr>
          <w:rFonts w:hint="eastAsia"/>
          <w:color w:val="000000"/>
          <w:szCs w:val="24"/>
        </w:rPr>
        <w:t>本标准中列举的内容外</w:t>
      </w:r>
      <w:r>
        <w:rPr>
          <w:rFonts w:hint="eastAsia"/>
          <w:color w:val="000000"/>
          <w:szCs w:val="24"/>
          <w:lang w:val="zh-CN"/>
        </w:rPr>
        <w:t>还有其他可能存在的因素，</w:t>
      </w:r>
      <w:r>
        <w:rPr>
          <w:rFonts w:hint="eastAsia"/>
          <w:color w:val="000000"/>
          <w:szCs w:val="24"/>
        </w:rPr>
        <w:t>保险机构可根据实际情况进行调整，</w:t>
      </w:r>
      <w:r>
        <w:rPr>
          <w:rFonts w:hint="eastAsia"/>
          <w:color w:val="000000"/>
          <w:szCs w:val="24"/>
          <w:lang w:val="zh-CN"/>
        </w:rPr>
        <w:t>但</w:t>
      </w:r>
      <w:r>
        <w:rPr>
          <w:rFonts w:hint="eastAsia"/>
          <w:color w:val="000000"/>
          <w:szCs w:val="24"/>
        </w:rPr>
        <w:t>技术性指标</w:t>
      </w:r>
      <w:r>
        <w:rPr>
          <w:rFonts w:hint="eastAsia"/>
          <w:color w:val="000000"/>
          <w:szCs w:val="24"/>
          <w:lang w:val="zh-CN"/>
        </w:rPr>
        <w:t xml:space="preserve">所占的总权重不应低于0.7，而总权重为1。 </w:t>
      </w:r>
    </w:p>
    <w:p>
      <w:pPr>
        <w:widowControl/>
        <w:jc w:val="left"/>
        <w:rPr>
          <w:color w:val="000000"/>
          <w:kern w:val="0"/>
          <w:lang w:val="zh-CN"/>
        </w:rPr>
      </w:pPr>
      <w:r>
        <w:rPr>
          <w:color w:val="000000"/>
          <w:lang w:val="zh-CN"/>
        </w:rPr>
        <w:br w:type="page"/>
      </w:r>
    </w:p>
    <w:p>
      <w:pPr>
        <w:spacing w:line="360" w:lineRule="auto"/>
        <w:jc w:val="center"/>
        <w:outlineLvl w:val="0"/>
        <w:rPr>
          <w:rFonts w:cs="宋体"/>
          <w:b/>
          <w:bCs/>
          <w:color w:val="000000"/>
          <w:kern w:val="44"/>
          <w:sz w:val="30"/>
          <w:szCs w:val="30"/>
          <w:lang w:val="zh-CN"/>
        </w:rPr>
      </w:pPr>
      <w:bookmarkStart w:id="86" w:name="_Toc117243425"/>
      <w:bookmarkStart w:id="87" w:name="_Toc775"/>
      <w:r>
        <w:rPr>
          <w:rFonts w:hint="eastAsia" w:ascii="黑体" w:hAnsi="黑体" w:eastAsia="黑体" w:cs="黑体"/>
          <w:color w:val="000000"/>
          <w:kern w:val="44"/>
          <w:sz w:val="32"/>
          <w:szCs w:val="32"/>
          <w:lang w:val="zh-CN"/>
        </w:rPr>
        <w:t>7 保险理赔及续保服务</w:t>
      </w:r>
      <w:bookmarkEnd w:id="86"/>
      <w:bookmarkEnd w:id="87"/>
    </w:p>
    <w:p>
      <w:pPr>
        <w:spacing w:line="360" w:lineRule="auto"/>
        <w:rPr>
          <w:rFonts w:ascii="宋体" w:hAnsi="宋体" w:cs="宋体"/>
          <w:color w:val="000000"/>
          <w:sz w:val="24"/>
          <w:lang w:val="zh-CN"/>
        </w:rPr>
      </w:pPr>
      <w:r>
        <w:rPr>
          <w:rFonts w:hint="eastAsia" w:ascii="宋体" w:hAnsi="宋体" w:cs="宋体"/>
          <w:color w:val="000000"/>
          <w:kern w:val="44"/>
          <w:sz w:val="24"/>
          <w:lang w:val="zh-CN"/>
        </w:rPr>
        <w:t>7.</w:t>
      </w:r>
      <w:r>
        <w:rPr>
          <w:rFonts w:hint="eastAsia" w:ascii="宋体" w:hAnsi="宋体" w:cs="宋体"/>
          <w:color w:val="000000"/>
          <w:kern w:val="44"/>
          <w:sz w:val="24"/>
        </w:rPr>
        <w:t>0.</w:t>
      </w:r>
      <w:r>
        <w:rPr>
          <w:rFonts w:hint="eastAsia" w:ascii="宋体" w:hAnsi="宋体" w:cs="宋体"/>
          <w:color w:val="000000"/>
          <w:kern w:val="44"/>
          <w:sz w:val="24"/>
          <w:lang w:val="zh-CN"/>
        </w:rPr>
        <w:t>1</w:t>
      </w:r>
      <w:r>
        <w:rPr>
          <w:rFonts w:hint="eastAsia" w:ascii="宋体" w:hAnsi="宋体" w:cs="宋体"/>
          <w:color w:val="000000"/>
          <w:sz w:val="24"/>
          <w:lang w:val="zh-CN"/>
        </w:rPr>
        <w:t>在保险期限内，如发生保险事故，</w:t>
      </w:r>
      <w:r>
        <w:rPr>
          <w:rFonts w:hint="eastAsia" w:ascii="宋体" w:hAnsi="宋体" w:cs="宋体"/>
          <w:color w:val="000000"/>
          <w:sz w:val="24"/>
        </w:rPr>
        <w:t>可按图7.0.1的流程</w:t>
      </w:r>
      <w:r>
        <w:rPr>
          <w:rFonts w:hint="eastAsia" w:ascii="宋体" w:hAnsi="宋体" w:cs="宋体"/>
          <w:color w:val="000000"/>
          <w:sz w:val="24"/>
          <w:lang w:val="zh-CN"/>
        </w:rPr>
        <w:t>由保险公司提供理赔服务。</w:t>
      </w:r>
      <w:r>
        <w:rPr>
          <w:rFonts w:hint="eastAsia"/>
          <w:color w:val="000000"/>
          <w:sz w:val="24"/>
          <w:lang w:val="zh-CN"/>
        </w:rPr>
        <w:t>对损失发生的原因需要进行技术鉴定的事故，由</w:t>
      </w:r>
      <w:r>
        <w:rPr>
          <w:rFonts w:hint="eastAsia"/>
          <w:color w:val="000000"/>
          <w:sz w:val="24"/>
        </w:rPr>
        <w:t>第三方检测机构</w:t>
      </w:r>
      <w:r>
        <w:rPr>
          <w:rFonts w:hint="eastAsia"/>
          <w:color w:val="000000"/>
          <w:sz w:val="24"/>
          <w:lang w:val="zh-CN"/>
        </w:rPr>
        <w:t>负责技术鉴定，由保险公估公司进行损失估值。</w:t>
      </w:r>
    </w:p>
    <w:p>
      <w:pPr>
        <w:pStyle w:val="162"/>
        <w:ind w:firstLine="0" w:firstLineChars="0"/>
        <w:jc w:val="left"/>
        <w:rPr>
          <w:b/>
          <w:color w:val="000000"/>
          <w:szCs w:val="24"/>
          <w:lang w:val="zh-CN"/>
        </w:rPr>
      </w:pPr>
      <w:r>
        <w:rPr>
          <w:rFonts w:hint="eastAsia"/>
          <w:b/>
          <w:color w:val="000000"/>
          <w:szCs w:val="24"/>
        </w:rPr>
        <w:drawing>
          <wp:inline distT="0" distB="0" distL="0" distR="0">
            <wp:extent cx="5943600" cy="1238250"/>
            <wp:effectExtent l="0" t="0" r="0" b="1143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43600" cy="1238250"/>
                    </a:xfrm>
                    <a:prstGeom prst="rect">
                      <a:avLst/>
                    </a:prstGeom>
                  </pic:spPr>
                </pic:pic>
              </a:graphicData>
            </a:graphic>
          </wp:inline>
        </w:drawing>
      </w:r>
    </w:p>
    <w:p>
      <w:pPr>
        <w:pStyle w:val="162"/>
        <w:ind w:firstLine="0" w:firstLineChars="0"/>
        <w:jc w:val="center"/>
        <w:rPr>
          <w:rFonts w:ascii="宋体" w:hAnsi="宋体" w:cs="宋体"/>
          <w:bCs/>
          <w:color w:val="000000"/>
          <w:szCs w:val="24"/>
        </w:rPr>
      </w:pPr>
      <w:r>
        <w:rPr>
          <w:rFonts w:hint="eastAsia" w:ascii="宋体" w:hAnsi="宋体" w:cs="宋体"/>
          <w:bCs/>
          <w:color w:val="000000"/>
          <w:szCs w:val="24"/>
        </w:rPr>
        <w:t>图7.0.1 保险理赔流程</w:t>
      </w:r>
    </w:p>
    <w:p>
      <w:pPr>
        <w:spacing w:line="360" w:lineRule="auto"/>
        <w:rPr>
          <w:rFonts w:ascii="宋体" w:hAnsi="宋体" w:cs="宋体"/>
          <w:color w:val="000000"/>
          <w:sz w:val="24"/>
          <w:lang w:val="zh-CN"/>
        </w:rPr>
      </w:pPr>
      <w:r>
        <w:rPr>
          <w:rFonts w:hint="eastAsia" w:ascii="宋体" w:hAnsi="宋体" w:cs="宋体"/>
          <w:color w:val="000000"/>
          <w:kern w:val="44"/>
          <w:sz w:val="24"/>
          <w:lang w:val="zh-CN"/>
        </w:rPr>
        <w:t>7.</w:t>
      </w:r>
      <w:r>
        <w:rPr>
          <w:rFonts w:hint="eastAsia" w:ascii="宋体" w:hAnsi="宋体" w:cs="宋体"/>
          <w:color w:val="000000"/>
          <w:kern w:val="44"/>
          <w:sz w:val="24"/>
        </w:rPr>
        <w:t>0.</w:t>
      </w:r>
      <w:r>
        <w:rPr>
          <w:rFonts w:hint="eastAsia" w:ascii="宋体" w:hAnsi="宋体" w:cs="宋体"/>
          <w:color w:val="000000"/>
          <w:kern w:val="44"/>
          <w:sz w:val="24"/>
          <w:lang w:val="zh-CN"/>
        </w:rPr>
        <w:t>2</w:t>
      </w:r>
      <w:r>
        <w:rPr>
          <w:rFonts w:hint="eastAsia" w:ascii="宋体" w:hAnsi="宋体" w:cs="宋体"/>
          <w:color w:val="000000"/>
          <w:sz w:val="24"/>
          <w:lang w:val="zh-CN"/>
        </w:rPr>
        <w:t>在保险期限结束之前，由保险公司启动续保服务。根据</w:t>
      </w:r>
      <w:r>
        <w:rPr>
          <w:rFonts w:hint="eastAsia" w:ascii="宋体" w:hAnsi="宋体" w:cs="宋体"/>
          <w:color w:val="000000"/>
          <w:sz w:val="24"/>
        </w:rPr>
        <w:t>保险评估</w:t>
      </w:r>
      <w:r>
        <w:rPr>
          <w:rFonts w:hint="eastAsia" w:ascii="宋体" w:hAnsi="宋体" w:cs="宋体"/>
          <w:color w:val="000000"/>
          <w:sz w:val="24"/>
          <w:lang w:val="zh-CN"/>
        </w:rPr>
        <w:t>规则，保险公司有权要求投保人在续保前再次提供检验报告。保险公司对门窗工程有除本标准指定内容外的特殊评定内容，可根据具体要求另行商定。</w:t>
      </w:r>
    </w:p>
    <w:p>
      <w:pPr>
        <w:widowControl/>
        <w:jc w:val="left"/>
        <w:rPr>
          <w:rFonts w:ascii="黑体" w:eastAsia="黑体"/>
          <w:color w:val="000000"/>
          <w:lang w:val="zh-CN"/>
        </w:rPr>
        <w:sectPr>
          <w:headerReference r:id="rId17" w:type="default"/>
          <w:footerReference r:id="rId18" w:type="default"/>
          <w:pgSz w:w="11911" w:h="16838"/>
          <w:pgMar w:top="567" w:right="1134" w:bottom="1134" w:left="1417" w:header="720" w:footer="720" w:gutter="0"/>
          <w:pgNumType w:fmt="decimal"/>
          <w:cols w:space="0" w:num="1"/>
          <w:formProt w:val="0"/>
          <w:docGrid w:linePitch="312" w:charSpace="0"/>
        </w:sectPr>
      </w:pPr>
      <w:r>
        <w:rPr>
          <w:rFonts w:ascii="黑体" w:eastAsia="黑体"/>
          <w:color w:val="000000"/>
          <w:lang w:val="zh-CN"/>
        </w:rPr>
        <w:br w:type="page"/>
      </w:r>
    </w:p>
    <w:p>
      <w:pPr>
        <w:spacing w:line="360" w:lineRule="auto"/>
        <w:jc w:val="center"/>
        <w:outlineLvl w:val="0"/>
        <w:rPr>
          <w:rFonts w:cs="宋体"/>
          <w:b/>
          <w:bCs/>
          <w:color w:val="000000"/>
          <w:kern w:val="44"/>
          <w:sz w:val="30"/>
          <w:szCs w:val="30"/>
        </w:rPr>
      </w:pPr>
      <w:bookmarkStart w:id="88" w:name="_Toc333"/>
      <w:r>
        <w:rPr>
          <w:rFonts w:hint="eastAsia" w:ascii="黑体" w:hAnsi="黑体" w:eastAsia="黑体" w:cs="黑体"/>
          <w:color w:val="000000"/>
          <w:kern w:val="44"/>
          <w:sz w:val="32"/>
          <w:szCs w:val="32"/>
        </w:rPr>
        <w:t>附录A 项目必备信息和资料</w:t>
      </w:r>
      <w:bookmarkEnd w:id="88"/>
    </w:p>
    <w:p>
      <w:pPr>
        <w:spacing w:line="360" w:lineRule="auto"/>
        <w:ind w:firstLine="480" w:firstLineChars="200"/>
        <w:rPr>
          <w:rFonts w:ascii="宋体" w:hAnsi="宋体" w:cs="宋体"/>
          <w:kern w:val="0"/>
          <w:sz w:val="24"/>
        </w:rPr>
      </w:pPr>
      <w:r>
        <w:rPr>
          <w:rFonts w:hint="eastAsia" w:ascii="宋体" w:hAnsi="宋体" w:cs="宋体"/>
          <w:kern w:val="0"/>
          <w:sz w:val="24"/>
        </w:rPr>
        <w:t>A.0.1 工厂核查前，门窗企业应提供申请投保产品的相关文件，包括但不限于：</w:t>
      </w:r>
    </w:p>
    <w:p>
      <w:pPr>
        <w:numPr>
          <w:ilvl w:val="0"/>
          <w:numId w:val="19"/>
        </w:numPr>
        <w:spacing w:line="360" w:lineRule="auto"/>
        <w:ind w:firstLine="480" w:firstLineChars="200"/>
        <w:rPr>
          <w:rFonts w:ascii="宋体" w:hAnsi="宋体" w:cs="宋体"/>
          <w:kern w:val="0"/>
          <w:sz w:val="24"/>
        </w:rPr>
      </w:pPr>
      <w:r>
        <w:rPr>
          <w:rFonts w:hint="eastAsia" w:ascii="宋体" w:hAnsi="宋体" w:cs="宋体"/>
          <w:kern w:val="0"/>
          <w:sz w:val="24"/>
        </w:rPr>
        <w:t>工程信息；</w:t>
      </w:r>
    </w:p>
    <w:p>
      <w:pPr>
        <w:numPr>
          <w:ilvl w:val="0"/>
          <w:numId w:val="19"/>
        </w:numPr>
        <w:spacing w:line="360" w:lineRule="auto"/>
        <w:ind w:firstLine="480" w:firstLineChars="200"/>
        <w:rPr>
          <w:rFonts w:ascii="宋体" w:hAnsi="宋体" w:cs="宋体"/>
          <w:kern w:val="0"/>
          <w:sz w:val="24"/>
        </w:rPr>
      </w:pPr>
      <w:r>
        <w:rPr>
          <w:rFonts w:hint="eastAsia" w:ascii="宋体" w:hAnsi="宋体" w:cs="宋体"/>
          <w:kern w:val="0"/>
          <w:sz w:val="24"/>
        </w:rPr>
        <w:t>门窗描述文件；</w:t>
      </w:r>
    </w:p>
    <w:p>
      <w:pPr>
        <w:numPr>
          <w:ilvl w:val="0"/>
          <w:numId w:val="19"/>
        </w:numPr>
        <w:spacing w:line="360" w:lineRule="auto"/>
        <w:ind w:firstLine="480" w:firstLineChars="200"/>
        <w:rPr>
          <w:rFonts w:ascii="宋体" w:hAnsi="宋体" w:cs="宋体"/>
          <w:kern w:val="0"/>
          <w:sz w:val="24"/>
        </w:rPr>
      </w:pPr>
      <w:r>
        <w:rPr>
          <w:rFonts w:hint="eastAsia" w:ascii="宋体" w:hAnsi="宋体" w:cs="宋体"/>
          <w:kern w:val="0"/>
          <w:sz w:val="24"/>
        </w:rPr>
        <w:t>项目门窗性能检测证明文件；</w:t>
      </w:r>
    </w:p>
    <w:p>
      <w:pPr>
        <w:numPr>
          <w:ilvl w:val="0"/>
          <w:numId w:val="19"/>
        </w:numPr>
        <w:spacing w:line="360" w:lineRule="auto"/>
        <w:ind w:firstLine="480" w:firstLineChars="200"/>
        <w:rPr>
          <w:rFonts w:ascii="宋体" w:hAnsi="宋体" w:cs="宋体"/>
          <w:kern w:val="0"/>
          <w:sz w:val="24"/>
        </w:rPr>
      </w:pPr>
      <w:r>
        <w:rPr>
          <w:rFonts w:hint="eastAsia" w:ascii="宋体" w:hAnsi="宋体" w:cs="宋体"/>
          <w:kern w:val="0"/>
          <w:sz w:val="24"/>
        </w:rPr>
        <w:t>工程设计及相关设计计算软件的说明；</w:t>
      </w:r>
    </w:p>
    <w:p>
      <w:pPr>
        <w:numPr>
          <w:ilvl w:val="0"/>
          <w:numId w:val="19"/>
        </w:numPr>
        <w:spacing w:line="360" w:lineRule="auto"/>
        <w:ind w:firstLine="480" w:firstLineChars="200"/>
        <w:rPr>
          <w:rFonts w:ascii="宋体" w:hAnsi="宋体" w:cs="宋体"/>
          <w:kern w:val="0"/>
          <w:sz w:val="24"/>
        </w:rPr>
      </w:pPr>
      <w:r>
        <w:rPr>
          <w:rFonts w:hint="eastAsia" w:ascii="宋体" w:hAnsi="宋体" w:cs="宋体"/>
          <w:kern w:val="0"/>
          <w:sz w:val="24"/>
        </w:rPr>
        <w:t>工厂生产能力证明文件；</w:t>
      </w:r>
    </w:p>
    <w:p>
      <w:pPr>
        <w:numPr>
          <w:ilvl w:val="0"/>
          <w:numId w:val="19"/>
        </w:numPr>
        <w:spacing w:line="360" w:lineRule="auto"/>
        <w:ind w:firstLine="480" w:firstLineChars="200"/>
        <w:rPr>
          <w:rFonts w:ascii="宋体" w:hAnsi="宋体" w:cs="宋体"/>
          <w:kern w:val="0"/>
          <w:sz w:val="24"/>
        </w:rPr>
      </w:pPr>
      <w:r>
        <w:rPr>
          <w:rFonts w:hint="eastAsia" w:ascii="宋体" w:hAnsi="宋体" w:cs="宋体"/>
          <w:kern w:val="0"/>
          <w:sz w:val="24"/>
        </w:rPr>
        <w:t>指导加工组装的工艺流程图、工艺卡片、设备工装及安装指导文件；</w:t>
      </w:r>
    </w:p>
    <w:p>
      <w:pPr>
        <w:numPr>
          <w:ilvl w:val="0"/>
          <w:numId w:val="19"/>
        </w:numPr>
        <w:spacing w:line="360" w:lineRule="auto"/>
        <w:ind w:firstLine="480" w:firstLineChars="200"/>
        <w:rPr>
          <w:rFonts w:ascii="宋体" w:hAnsi="宋体" w:cs="宋体"/>
          <w:kern w:val="0"/>
          <w:sz w:val="24"/>
        </w:rPr>
      </w:pPr>
      <w:r>
        <w:rPr>
          <w:rFonts w:hint="eastAsia" w:ascii="宋体" w:hAnsi="宋体" w:cs="宋体"/>
          <w:kern w:val="0"/>
          <w:sz w:val="24"/>
        </w:rPr>
        <w:t>定型门窗门窗各组配件安装指导文件；</w:t>
      </w:r>
    </w:p>
    <w:p>
      <w:pPr>
        <w:numPr>
          <w:ilvl w:val="0"/>
          <w:numId w:val="19"/>
        </w:numPr>
        <w:spacing w:line="360" w:lineRule="auto"/>
        <w:ind w:firstLine="480" w:firstLineChars="200"/>
        <w:rPr>
          <w:rFonts w:ascii="宋体" w:hAnsi="宋体" w:cs="宋体"/>
          <w:kern w:val="0"/>
          <w:sz w:val="24"/>
        </w:rPr>
      </w:pPr>
      <w:r>
        <w:rPr>
          <w:rFonts w:hint="eastAsia" w:ascii="宋体" w:hAnsi="宋体" w:cs="宋体"/>
          <w:kern w:val="0"/>
          <w:sz w:val="24"/>
        </w:rPr>
        <w:t>保证持续生产能力的生产设备和生产线的证据；</w:t>
      </w:r>
    </w:p>
    <w:p>
      <w:pPr>
        <w:numPr>
          <w:ilvl w:val="0"/>
          <w:numId w:val="19"/>
        </w:numPr>
        <w:spacing w:line="360" w:lineRule="auto"/>
        <w:ind w:firstLine="480" w:firstLineChars="200"/>
        <w:rPr>
          <w:rFonts w:ascii="宋体" w:hAnsi="宋体" w:cs="宋体"/>
          <w:kern w:val="0"/>
          <w:sz w:val="24"/>
        </w:rPr>
      </w:pPr>
      <w:r>
        <w:rPr>
          <w:rFonts w:hint="eastAsia" w:ascii="宋体" w:hAnsi="宋体" w:cs="宋体"/>
          <w:kern w:val="0"/>
          <w:sz w:val="24"/>
        </w:rPr>
        <w:t>材料供应及其质量控制管理文件；</w:t>
      </w:r>
    </w:p>
    <w:p>
      <w:pPr>
        <w:numPr>
          <w:ilvl w:val="0"/>
          <w:numId w:val="19"/>
        </w:numPr>
        <w:spacing w:line="360" w:lineRule="auto"/>
        <w:ind w:firstLine="480" w:firstLineChars="200"/>
        <w:rPr>
          <w:rFonts w:ascii="宋体" w:hAnsi="宋体" w:cs="宋体"/>
          <w:kern w:val="0"/>
          <w:sz w:val="24"/>
        </w:rPr>
      </w:pPr>
      <w:r>
        <w:rPr>
          <w:rFonts w:hint="eastAsia" w:ascii="宋体" w:hAnsi="宋体" w:cs="宋体"/>
          <w:kern w:val="0"/>
          <w:sz w:val="24"/>
        </w:rPr>
        <w:t>工程设计软件、加工生产管理系统及型材自动下料优化系统等程序的说明；</w:t>
      </w:r>
    </w:p>
    <w:p>
      <w:pPr>
        <w:numPr>
          <w:ilvl w:val="0"/>
          <w:numId w:val="19"/>
        </w:numPr>
        <w:spacing w:line="360" w:lineRule="auto"/>
        <w:ind w:firstLine="480" w:firstLineChars="200"/>
        <w:rPr>
          <w:rFonts w:ascii="宋体" w:hAnsi="宋体" w:cs="宋体"/>
          <w:kern w:val="0"/>
          <w:sz w:val="24"/>
        </w:rPr>
      </w:pPr>
      <w:r>
        <w:rPr>
          <w:rFonts w:hint="eastAsia" w:ascii="宋体" w:hAnsi="宋体" w:cs="宋体"/>
          <w:kern w:val="0"/>
          <w:sz w:val="24"/>
        </w:rPr>
        <w:t>定型门窗组装和安装工艺技术信息；</w:t>
      </w:r>
    </w:p>
    <w:p>
      <w:pPr>
        <w:numPr>
          <w:ilvl w:val="0"/>
          <w:numId w:val="19"/>
        </w:numPr>
        <w:spacing w:line="360" w:lineRule="auto"/>
        <w:ind w:firstLine="480" w:firstLineChars="200"/>
        <w:rPr>
          <w:rFonts w:ascii="宋体" w:hAnsi="宋体" w:cs="宋体"/>
          <w:kern w:val="0"/>
          <w:sz w:val="24"/>
        </w:rPr>
      </w:pPr>
      <w:r>
        <w:rPr>
          <w:rFonts w:hint="eastAsia" w:ascii="宋体" w:hAnsi="宋体" w:cs="宋体"/>
          <w:kern w:val="0"/>
          <w:sz w:val="24"/>
        </w:rPr>
        <w:t>定型门窗生产质量管理体系文件；</w:t>
      </w:r>
    </w:p>
    <w:p>
      <w:pPr>
        <w:numPr>
          <w:ilvl w:val="0"/>
          <w:numId w:val="19"/>
        </w:numPr>
        <w:spacing w:line="360" w:lineRule="auto"/>
        <w:ind w:firstLine="480" w:firstLineChars="200"/>
        <w:rPr>
          <w:rFonts w:ascii="宋体" w:hAnsi="宋体" w:cs="宋体"/>
          <w:kern w:val="0"/>
          <w:sz w:val="24"/>
        </w:rPr>
      </w:pPr>
      <w:r>
        <w:rPr>
          <w:rFonts w:hint="eastAsia" w:ascii="宋体" w:hAnsi="宋体" w:cs="宋体"/>
          <w:kern w:val="0"/>
          <w:sz w:val="24"/>
        </w:rPr>
        <w:t>定型门窗安装和维修保养指导文件。</w:t>
      </w:r>
    </w:p>
    <w:p>
      <w:pPr>
        <w:numPr>
          <w:ilvl w:val="0"/>
          <w:numId w:val="19"/>
        </w:numPr>
        <w:spacing w:line="360" w:lineRule="auto"/>
        <w:ind w:firstLine="480" w:firstLineChars="200"/>
        <w:rPr>
          <w:rFonts w:ascii="宋体" w:hAnsi="宋体" w:cs="宋体"/>
          <w:kern w:val="0"/>
          <w:sz w:val="24"/>
        </w:rPr>
        <w:sectPr>
          <w:pgSz w:w="11911" w:h="16838"/>
          <w:pgMar w:top="567" w:right="1134" w:bottom="1134" w:left="1417" w:header="720" w:footer="720" w:gutter="0"/>
          <w:pgNumType w:fmt="decimal"/>
          <w:cols w:space="0" w:num="1"/>
        </w:sectPr>
      </w:pPr>
      <w:r>
        <w:rPr>
          <w:rFonts w:hint="eastAsia" w:ascii="宋体" w:hAnsi="宋体" w:cs="宋体"/>
          <w:kern w:val="0"/>
          <w:sz w:val="24"/>
        </w:rPr>
        <w:t>客户服务管理文件</w:t>
      </w:r>
    </w:p>
    <w:p>
      <w:pPr>
        <w:spacing w:line="360" w:lineRule="auto"/>
        <w:jc w:val="center"/>
        <w:outlineLvl w:val="0"/>
        <w:rPr>
          <w:rFonts w:cs="宋体"/>
          <w:b/>
          <w:bCs/>
          <w:color w:val="000000"/>
          <w:kern w:val="44"/>
          <w:sz w:val="30"/>
          <w:szCs w:val="30"/>
        </w:rPr>
      </w:pPr>
      <w:bookmarkStart w:id="89" w:name="_Toc24342"/>
      <w:r>
        <w:rPr>
          <w:rFonts w:hint="eastAsia" w:ascii="黑体" w:hAnsi="黑体" w:eastAsia="黑体" w:cs="黑体"/>
          <w:color w:val="000000"/>
          <w:kern w:val="44"/>
          <w:sz w:val="32"/>
          <w:szCs w:val="32"/>
        </w:rPr>
        <w:t>附录B 非技术性内容评定指标</w:t>
      </w:r>
      <w:bookmarkEnd w:id="89"/>
    </w:p>
    <w:p>
      <w:pPr>
        <w:spacing w:line="360" w:lineRule="auto"/>
        <w:rPr>
          <w:rFonts w:ascii="宋体" w:hAnsi="宋体" w:cs="宋体"/>
          <w:kern w:val="0"/>
          <w:sz w:val="24"/>
        </w:rPr>
      </w:pPr>
      <w:r>
        <w:rPr>
          <w:rFonts w:hint="eastAsia" w:ascii="宋体" w:hAnsi="宋体" w:cs="宋体"/>
          <w:kern w:val="0"/>
          <w:sz w:val="24"/>
        </w:rPr>
        <w:t>B.0.1 门窗工程保险的非技术性评定包括企业能力和运维管理能力。</w:t>
      </w:r>
    </w:p>
    <w:p>
      <w:pPr>
        <w:spacing w:line="360" w:lineRule="auto"/>
        <w:rPr>
          <w:rFonts w:ascii="宋体" w:hAnsi="宋体" w:cs="宋体"/>
          <w:kern w:val="0"/>
          <w:sz w:val="24"/>
        </w:rPr>
      </w:pPr>
      <w:r>
        <w:rPr>
          <w:rFonts w:hint="eastAsia" w:ascii="宋体" w:hAnsi="宋体" w:cs="宋体"/>
          <w:kern w:val="0"/>
          <w:sz w:val="24"/>
        </w:rPr>
        <w:t>B.0.2 企业基础能力评定包括生产企业基础数据、企业管理能力、定型产品研发与技术管理、安全生产管理及企业声誉五个部分。</w:t>
      </w:r>
    </w:p>
    <w:p>
      <w:pPr>
        <w:spacing w:line="360" w:lineRule="auto"/>
        <w:rPr>
          <w:rFonts w:ascii="宋体" w:hAnsi="宋体" w:cs="宋体"/>
          <w:kern w:val="0"/>
          <w:sz w:val="24"/>
        </w:rPr>
      </w:pPr>
      <w:r>
        <w:rPr>
          <w:rFonts w:hint="eastAsia" w:ascii="宋体" w:hAnsi="宋体" w:cs="宋体"/>
          <w:kern w:val="0"/>
          <w:sz w:val="24"/>
        </w:rPr>
        <w:t>B.0.3 企业能力评定指标S</w:t>
      </w:r>
      <w:r>
        <w:rPr>
          <w:rFonts w:hint="eastAsia" w:ascii="宋体" w:hAnsi="宋体" w:cs="宋体"/>
          <w:kern w:val="0"/>
          <w:sz w:val="24"/>
          <w:vertAlign w:val="subscript"/>
        </w:rPr>
        <w:t>1</w:t>
      </w:r>
      <w:r>
        <w:rPr>
          <w:rFonts w:hint="eastAsia" w:ascii="宋体" w:hAnsi="宋体" w:cs="宋体"/>
          <w:kern w:val="0"/>
          <w:sz w:val="24"/>
        </w:rPr>
        <w:t>（包括五部分内容），每部分总分值为100分，五部分总得分由每部分评定得分值加权计算得出，评分方法应符合表</w:t>
      </w:r>
      <w:r>
        <w:rPr>
          <w:rFonts w:hint="eastAsia" w:ascii="宋体" w:hAnsi="宋体" w:cs="宋体"/>
          <w:kern w:val="0"/>
          <w:szCs w:val="21"/>
        </w:rPr>
        <w:t>B.0.3-1~B.0.3-5的规定</w:t>
      </w:r>
      <w:r>
        <w:rPr>
          <w:rFonts w:hint="eastAsia" w:ascii="宋体" w:hAnsi="宋体" w:cs="宋体"/>
          <w:kern w:val="0"/>
          <w:sz w:val="24"/>
        </w:rPr>
        <w:t>。</w:t>
      </w:r>
    </w:p>
    <w:p>
      <w:pPr>
        <w:spacing w:line="360" w:lineRule="auto"/>
        <w:ind w:firstLine="422" w:firstLineChars="200"/>
        <w:jc w:val="center"/>
        <w:rPr>
          <w:b/>
          <w:bCs/>
          <w:kern w:val="0"/>
          <w:szCs w:val="21"/>
        </w:rPr>
      </w:pPr>
      <w:r>
        <w:rPr>
          <w:rFonts w:hint="eastAsia"/>
          <w:b/>
          <w:bCs/>
          <w:kern w:val="0"/>
          <w:szCs w:val="21"/>
        </w:rPr>
        <w:t>表B.0.3-1 企业基础数据评分表</w:t>
      </w:r>
    </w:p>
    <w:tbl>
      <w:tblPr>
        <w:tblStyle w:val="39"/>
        <w:tblW w:w="9066"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86"/>
        <w:gridCol w:w="4260"/>
        <w:gridCol w:w="1605"/>
        <w:gridCol w:w="241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786" w:type="dxa"/>
            <w:tcBorders>
              <w:tl2br w:val="nil"/>
              <w:tr2bl w:val="nil"/>
            </w:tcBorders>
            <w:vAlign w:val="center"/>
          </w:tcPr>
          <w:p>
            <w:pPr>
              <w:spacing w:line="360" w:lineRule="auto"/>
              <w:jc w:val="center"/>
              <w:rPr>
                <w:kern w:val="0"/>
                <w:szCs w:val="21"/>
              </w:rPr>
            </w:pPr>
            <w:r>
              <w:rPr>
                <w:rFonts w:hint="eastAsia"/>
                <w:kern w:val="0"/>
                <w:szCs w:val="21"/>
              </w:rPr>
              <w:t>序号</w:t>
            </w:r>
          </w:p>
        </w:tc>
        <w:tc>
          <w:tcPr>
            <w:tcW w:w="4260" w:type="dxa"/>
            <w:tcBorders>
              <w:tl2br w:val="nil"/>
              <w:tr2bl w:val="nil"/>
            </w:tcBorders>
            <w:vAlign w:val="center"/>
          </w:tcPr>
          <w:p>
            <w:pPr>
              <w:spacing w:line="360" w:lineRule="auto"/>
              <w:ind w:firstLine="420" w:firstLineChars="200"/>
              <w:jc w:val="center"/>
              <w:rPr>
                <w:kern w:val="0"/>
                <w:szCs w:val="21"/>
              </w:rPr>
            </w:pPr>
            <w:r>
              <w:rPr>
                <w:rFonts w:hint="eastAsia"/>
                <w:kern w:val="0"/>
                <w:szCs w:val="21"/>
              </w:rPr>
              <w:t>评分内容</w:t>
            </w:r>
          </w:p>
        </w:tc>
        <w:tc>
          <w:tcPr>
            <w:tcW w:w="1605" w:type="dxa"/>
            <w:tcBorders>
              <w:tl2br w:val="nil"/>
              <w:tr2bl w:val="nil"/>
            </w:tcBorders>
            <w:vAlign w:val="center"/>
          </w:tcPr>
          <w:p>
            <w:pPr>
              <w:spacing w:line="360" w:lineRule="auto"/>
              <w:jc w:val="center"/>
              <w:rPr>
                <w:kern w:val="0"/>
                <w:szCs w:val="21"/>
              </w:rPr>
            </w:pPr>
            <w:r>
              <w:rPr>
                <w:rFonts w:hint="eastAsia"/>
                <w:kern w:val="0"/>
                <w:szCs w:val="21"/>
              </w:rPr>
              <w:t>建议分值</w:t>
            </w:r>
          </w:p>
        </w:tc>
        <w:tc>
          <w:tcPr>
            <w:tcW w:w="2415" w:type="dxa"/>
            <w:tcBorders>
              <w:tl2br w:val="nil"/>
              <w:tr2bl w:val="nil"/>
            </w:tcBorders>
            <w:vAlign w:val="center"/>
          </w:tcPr>
          <w:p>
            <w:pPr>
              <w:spacing w:line="360" w:lineRule="auto"/>
              <w:jc w:val="center"/>
              <w:rPr>
                <w:kern w:val="0"/>
                <w:szCs w:val="21"/>
              </w:rPr>
            </w:pPr>
            <w:r>
              <w:rPr>
                <w:rFonts w:hint="eastAsia"/>
                <w:kern w:val="0"/>
                <w:szCs w:val="21"/>
              </w:rPr>
              <w:t>核查方法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786" w:type="dxa"/>
            <w:tcBorders>
              <w:tl2br w:val="nil"/>
              <w:tr2bl w:val="nil"/>
            </w:tcBorders>
            <w:vAlign w:val="center"/>
          </w:tcPr>
          <w:p>
            <w:pPr>
              <w:spacing w:line="360" w:lineRule="auto"/>
              <w:jc w:val="center"/>
              <w:rPr>
                <w:kern w:val="0"/>
                <w:szCs w:val="21"/>
              </w:rPr>
            </w:pPr>
            <w:r>
              <w:rPr>
                <w:rFonts w:hint="eastAsia"/>
                <w:kern w:val="0"/>
                <w:szCs w:val="21"/>
              </w:rPr>
              <w:t>1</w:t>
            </w:r>
          </w:p>
        </w:tc>
        <w:tc>
          <w:tcPr>
            <w:tcW w:w="4260" w:type="dxa"/>
            <w:tcBorders>
              <w:tl2br w:val="nil"/>
              <w:tr2bl w:val="nil"/>
            </w:tcBorders>
            <w:vAlign w:val="center"/>
          </w:tcPr>
          <w:p>
            <w:pPr>
              <w:spacing w:line="360" w:lineRule="auto"/>
              <w:jc w:val="center"/>
              <w:rPr>
                <w:kern w:val="0"/>
                <w:szCs w:val="21"/>
              </w:rPr>
            </w:pPr>
            <w:r>
              <w:rPr>
                <w:rFonts w:hint="eastAsia"/>
                <w:kern w:val="0"/>
                <w:szCs w:val="21"/>
              </w:rPr>
              <w:t>注册资本</w:t>
            </w:r>
          </w:p>
        </w:tc>
        <w:tc>
          <w:tcPr>
            <w:tcW w:w="1605" w:type="dxa"/>
            <w:tcBorders>
              <w:tl2br w:val="nil"/>
              <w:tr2bl w:val="nil"/>
            </w:tcBorders>
            <w:vAlign w:val="center"/>
          </w:tcPr>
          <w:p>
            <w:pPr>
              <w:spacing w:line="360" w:lineRule="auto"/>
              <w:ind w:firstLine="420" w:firstLineChars="200"/>
              <w:rPr>
                <w:kern w:val="0"/>
                <w:szCs w:val="21"/>
              </w:rPr>
            </w:pPr>
            <w:r>
              <w:rPr>
                <w:rFonts w:hint="eastAsia"/>
                <w:kern w:val="0"/>
                <w:szCs w:val="21"/>
              </w:rPr>
              <w:t>10-25</w:t>
            </w:r>
          </w:p>
        </w:tc>
        <w:tc>
          <w:tcPr>
            <w:tcW w:w="2415" w:type="dxa"/>
            <w:vMerge w:val="restart"/>
            <w:tcBorders>
              <w:tl2br w:val="nil"/>
              <w:tr2bl w:val="nil"/>
            </w:tcBorders>
          </w:tcPr>
          <w:p>
            <w:pPr>
              <w:spacing w:line="360" w:lineRule="auto"/>
              <w:ind w:firstLine="420" w:firstLineChars="200"/>
              <w:rPr>
                <w:kern w:val="0"/>
                <w:szCs w:val="21"/>
              </w:rPr>
            </w:pPr>
            <w:r>
              <w:rPr>
                <w:rFonts w:hint="eastAsia"/>
                <w:kern w:val="0"/>
                <w:szCs w:val="21"/>
              </w:rPr>
              <w:t>检查证书 和有关文件、工厂实地核查等。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786" w:type="dxa"/>
            <w:tcBorders>
              <w:tl2br w:val="nil"/>
              <w:tr2bl w:val="nil"/>
            </w:tcBorders>
            <w:vAlign w:val="center"/>
          </w:tcPr>
          <w:p>
            <w:pPr>
              <w:spacing w:line="360" w:lineRule="auto"/>
              <w:jc w:val="center"/>
              <w:rPr>
                <w:kern w:val="0"/>
                <w:szCs w:val="21"/>
              </w:rPr>
            </w:pPr>
            <w:r>
              <w:rPr>
                <w:rFonts w:hint="eastAsia"/>
                <w:kern w:val="0"/>
                <w:szCs w:val="21"/>
              </w:rPr>
              <w:t>2</w:t>
            </w:r>
          </w:p>
        </w:tc>
        <w:tc>
          <w:tcPr>
            <w:tcW w:w="4260" w:type="dxa"/>
            <w:tcBorders>
              <w:tl2br w:val="nil"/>
              <w:tr2bl w:val="nil"/>
            </w:tcBorders>
            <w:vAlign w:val="center"/>
          </w:tcPr>
          <w:p>
            <w:pPr>
              <w:spacing w:line="360" w:lineRule="auto"/>
              <w:jc w:val="center"/>
              <w:rPr>
                <w:kern w:val="0"/>
                <w:szCs w:val="21"/>
              </w:rPr>
            </w:pPr>
            <w:r>
              <w:rPr>
                <w:rFonts w:hint="eastAsia"/>
                <w:kern w:val="0"/>
                <w:szCs w:val="21"/>
              </w:rPr>
              <w:t>生产厂房面积</w:t>
            </w:r>
          </w:p>
        </w:tc>
        <w:tc>
          <w:tcPr>
            <w:tcW w:w="1605" w:type="dxa"/>
            <w:tcBorders>
              <w:tl2br w:val="nil"/>
              <w:tr2bl w:val="nil"/>
            </w:tcBorders>
            <w:vAlign w:val="center"/>
          </w:tcPr>
          <w:p>
            <w:pPr>
              <w:spacing w:line="360" w:lineRule="auto"/>
              <w:ind w:firstLine="420" w:firstLineChars="200"/>
              <w:rPr>
                <w:kern w:val="0"/>
                <w:szCs w:val="21"/>
              </w:rPr>
            </w:pPr>
            <w:r>
              <w:rPr>
                <w:rFonts w:hint="eastAsia"/>
                <w:kern w:val="0"/>
                <w:szCs w:val="21"/>
              </w:rPr>
              <w:t>10-25</w:t>
            </w:r>
          </w:p>
        </w:tc>
        <w:tc>
          <w:tcPr>
            <w:tcW w:w="2415" w:type="dxa"/>
            <w:vMerge w:val="continue"/>
            <w:tcBorders>
              <w:tl2br w:val="nil"/>
              <w:tr2bl w:val="nil"/>
            </w:tcBorders>
          </w:tcPr>
          <w:p>
            <w:pPr>
              <w:spacing w:line="360" w:lineRule="auto"/>
              <w:ind w:firstLine="420" w:firstLineChars="200"/>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786" w:type="dxa"/>
            <w:tcBorders>
              <w:tl2br w:val="nil"/>
              <w:tr2bl w:val="nil"/>
            </w:tcBorders>
            <w:vAlign w:val="center"/>
          </w:tcPr>
          <w:p>
            <w:pPr>
              <w:spacing w:line="360" w:lineRule="auto"/>
              <w:jc w:val="center"/>
              <w:rPr>
                <w:kern w:val="0"/>
                <w:szCs w:val="21"/>
              </w:rPr>
            </w:pPr>
            <w:r>
              <w:rPr>
                <w:rFonts w:hint="eastAsia"/>
                <w:kern w:val="0"/>
                <w:szCs w:val="21"/>
              </w:rPr>
              <w:t>3</w:t>
            </w:r>
          </w:p>
        </w:tc>
        <w:tc>
          <w:tcPr>
            <w:tcW w:w="4260" w:type="dxa"/>
            <w:tcBorders>
              <w:tl2br w:val="nil"/>
              <w:tr2bl w:val="nil"/>
            </w:tcBorders>
            <w:vAlign w:val="center"/>
          </w:tcPr>
          <w:p>
            <w:pPr>
              <w:spacing w:line="360" w:lineRule="auto"/>
              <w:jc w:val="center"/>
              <w:rPr>
                <w:kern w:val="0"/>
                <w:szCs w:val="21"/>
              </w:rPr>
            </w:pPr>
            <w:r>
              <w:rPr>
                <w:rFonts w:hint="eastAsia"/>
                <w:kern w:val="0"/>
                <w:szCs w:val="21"/>
              </w:rPr>
              <w:t>工厂工装设备</w:t>
            </w:r>
          </w:p>
        </w:tc>
        <w:tc>
          <w:tcPr>
            <w:tcW w:w="1605" w:type="dxa"/>
            <w:tcBorders>
              <w:tl2br w:val="nil"/>
              <w:tr2bl w:val="nil"/>
            </w:tcBorders>
            <w:vAlign w:val="center"/>
          </w:tcPr>
          <w:p>
            <w:pPr>
              <w:spacing w:line="360" w:lineRule="auto"/>
              <w:ind w:firstLine="420" w:firstLineChars="200"/>
              <w:rPr>
                <w:kern w:val="0"/>
                <w:szCs w:val="21"/>
              </w:rPr>
            </w:pPr>
            <w:r>
              <w:rPr>
                <w:rFonts w:hint="eastAsia"/>
                <w:kern w:val="0"/>
                <w:szCs w:val="21"/>
              </w:rPr>
              <w:t>10-25</w:t>
            </w:r>
          </w:p>
        </w:tc>
        <w:tc>
          <w:tcPr>
            <w:tcW w:w="2415" w:type="dxa"/>
            <w:vMerge w:val="continue"/>
            <w:tcBorders>
              <w:tl2br w:val="nil"/>
              <w:tr2bl w:val="nil"/>
            </w:tcBorders>
          </w:tcPr>
          <w:p>
            <w:pPr>
              <w:spacing w:line="360" w:lineRule="auto"/>
              <w:ind w:firstLine="420" w:firstLineChars="200"/>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786" w:type="dxa"/>
            <w:tcBorders>
              <w:tl2br w:val="nil"/>
              <w:tr2bl w:val="nil"/>
            </w:tcBorders>
            <w:vAlign w:val="center"/>
          </w:tcPr>
          <w:p>
            <w:pPr>
              <w:spacing w:line="360" w:lineRule="auto"/>
              <w:jc w:val="center"/>
              <w:rPr>
                <w:kern w:val="0"/>
                <w:szCs w:val="21"/>
              </w:rPr>
            </w:pPr>
            <w:r>
              <w:rPr>
                <w:rFonts w:hint="eastAsia"/>
                <w:kern w:val="0"/>
                <w:szCs w:val="21"/>
              </w:rPr>
              <w:t>4</w:t>
            </w:r>
          </w:p>
        </w:tc>
        <w:tc>
          <w:tcPr>
            <w:tcW w:w="4260" w:type="dxa"/>
            <w:tcBorders>
              <w:tl2br w:val="nil"/>
              <w:tr2bl w:val="nil"/>
            </w:tcBorders>
            <w:vAlign w:val="center"/>
          </w:tcPr>
          <w:p>
            <w:pPr>
              <w:spacing w:line="360" w:lineRule="auto"/>
              <w:ind w:firstLine="420" w:firstLineChars="200"/>
              <w:jc w:val="center"/>
              <w:rPr>
                <w:kern w:val="0"/>
                <w:szCs w:val="21"/>
              </w:rPr>
            </w:pPr>
            <w:r>
              <w:rPr>
                <w:rFonts w:hint="eastAsia"/>
                <w:kern w:val="0"/>
                <w:szCs w:val="21"/>
              </w:rPr>
              <w:t>专业技术人员数量：</w:t>
            </w:r>
          </w:p>
        </w:tc>
        <w:tc>
          <w:tcPr>
            <w:tcW w:w="1605" w:type="dxa"/>
            <w:tcBorders>
              <w:tl2br w:val="nil"/>
              <w:tr2bl w:val="nil"/>
            </w:tcBorders>
            <w:vAlign w:val="center"/>
          </w:tcPr>
          <w:p>
            <w:pPr>
              <w:spacing w:line="360" w:lineRule="auto"/>
              <w:ind w:firstLine="420" w:firstLineChars="200"/>
              <w:rPr>
                <w:kern w:val="0"/>
                <w:szCs w:val="21"/>
              </w:rPr>
            </w:pPr>
            <w:r>
              <w:rPr>
                <w:rFonts w:hint="eastAsia"/>
                <w:kern w:val="0"/>
                <w:szCs w:val="21"/>
              </w:rPr>
              <w:t>10-25</w:t>
            </w:r>
          </w:p>
        </w:tc>
        <w:tc>
          <w:tcPr>
            <w:tcW w:w="2415" w:type="dxa"/>
            <w:vMerge w:val="continue"/>
            <w:tcBorders>
              <w:tl2br w:val="nil"/>
              <w:tr2bl w:val="nil"/>
            </w:tcBorders>
          </w:tcPr>
          <w:p>
            <w:pPr>
              <w:spacing w:line="360" w:lineRule="auto"/>
              <w:ind w:firstLine="420" w:firstLineChars="200"/>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5046" w:type="dxa"/>
            <w:gridSpan w:val="2"/>
            <w:tcBorders>
              <w:tl2br w:val="nil"/>
              <w:tr2bl w:val="nil"/>
            </w:tcBorders>
            <w:vAlign w:val="center"/>
          </w:tcPr>
          <w:p>
            <w:pPr>
              <w:spacing w:line="360" w:lineRule="auto"/>
              <w:ind w:firstLine="420" w:firstLineChars="200"/>
              <w:jc w:val="center"/>
              <w:rPr>
                <w:kern w:val="0"/>
                <w:szCs w:val="21"/>
              </w:rPr>
            </w:pPr>
            <w:r>
              <w:rPr>
                <w:rFonts w:hint="eastAsia"/>
                <w:kern w:val="0"/>
                <w:szCs w:val="21"/>
              </w:rPr>
              <w:t>合计</w:t>
            </w:r>
          </w:p>
        </w:tc>
        <w:tc>
          <w:tcPr>
            <w:tcW w:w="1605" w:type="dxa"/>
            <w:tcBorders>
              <w:tl2br w:val="nil"/>
              <w:tr2bl w:val="nil"/>
            </w:tcBorders>
            <w:vAlign w:val="center"/>
          </w:tcPr>
          <w:p>
            <w:pPr>
              <w:spacing w:line="360" w:lineRule="auto"/>
              <w:ind w:firstLine="420" w:firstLineChars="200"/>
              <w:rPr>
                <w:kern w:val="0"/>
                <w:szCs w:val="21"/>
              </w:rPr>
            </w:pPr>
            <w:r>
              <w:rPr>
                <w:rFonts w:hint="eastAsia"/>
                <w:kern w:val="0"/>
                <w:szCs w:val="21"/>
              </w:rPr>
              <w:t>40-100</w:t>
            </w:r>
          </w:p>
        </w:tc>
        <w:tc>
          <w:tcPr>
            <w:tcW w:w="2415" w:type="dxa"/>
            <w:vMerge w:val="continue"/>
            <w:tcBorders>
              <w:tl2br w:val="nil"/>
              <w:tr2bl w:val="nil"/>
            </w:tcBorders>
          </w:tcPr>
          <w:p>
            <w:pPr>
              <w:spacing w:line="360" w:lineRule="auto"/>
              <w:ind w:firstLine="420" w:firstLineChars="200"/>
              <w:rPr>
                <w:kern w:val="0"/>
                <w:szCs w:val="21"/>
              </w:rPr>
            </w:pPr>
          </w:p>
        </w:tc>
      </w:tr>
    </w:tbl>
    <w:p>
      <w:pPr>
        <w:spacing w:line="360" w:lineRule="auto"/>
        <w:ind w:firstLine="422" w:firstLineChars="200"/>
        <w:jc w:val="center"/>
        <w:rPr>
          <w:b/>
          <w:bCs/>
          <w:kern w:val="0"/>
          <w:szCs w:val="21"/>
        </w:rPr>
      </w:pPr>
    </w:p>
    <w:p>
      <w:pPr>
        <w:spacing w:line="360" w:lineRule="auto"/>
        <w:ind w:firstLine="422" w:firstLineChars="200"/>
        <w:jc w:val="center"/>
        <w:rPr>
          <w:b/>
          <w:bCs/>
          <w:kern w:val="0"/>
          <w:szCs w:val="21"/>
        </w:rPr>
      </w:pPr>
      <w:r>
        <w:rPr>
          <w:rFonts w:hint="eastAsia"/>
          <w:b/>
          <w:bCs/>
          <w:kern w:val="0"/>
          <w:szCs w:val="21"/>
        </w:rPr>
        <w:t>表B.0.3-2 企业管理能力评分表</w:t>
      </w:r>
    </w:p>
    <w:tbl>
      <w:tblPr>
        <w:tblStyle w:val="39"/>
        <w:tblW w:w="9066"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52"/>
        <w:gridCol w:w="4094"/>
        <w:gridCol w:w="1620"/>
        <w:gridCol w:w="240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952" w:type="dxa"/>
            <w:tcBorders>
              <w:tl2br w:val="nil"/>
              <w:tr2bl w:val="nil"/>
            </w:tcBorders>
            <w:vAlign w:val="center"/>
          </w:tcPr>
          <w:p>
            <w:pPr>
              <w:spacing w:line="360" w:lineRule="auto"/>
              <w:jc w:val="center"/>
              <w:rPr>
                <w:kern w:val="0"/>
                <w:szCs w:val="21"/>
              </w:rPr>
            </w:pPr>
            <w:r>
              <w:rPr>
                <w:rFonts w:hint="eastAsia"/>
                <w:kern w:val="0"/>
                <w:szCs w:val="21"/>
              </w:rPr>
              <w:t>序号</w:t>
            </w:r>
          </w:p>
        </w:tc>
        <w:tc>
          <w:tcPr>
            <w:tcW w:w="4094" w:type="dxa"/>
            <w:tcBorders>
              <w:tl2br w:val="nil"/>
              <w:tr2bl w:val="nil"/>
            </w:tcBorders>
            <w:vAlign w:val="center"/>
          </w:tcPr>
          <w:p>
            <w:pPr>
              <w:spacing w:line="360" w:lineRule="auto"/>
              <w:ind w:firstLine="420" w:firstLineChars="200"/>
              <w:jc w:val="center"/>
              <w:rPr>
                <w:kern w:val="0"/>
                <w:szCs w:val="21"/>
              </w:rPr>
            </w:pPr>
            <w:r>
              <w:rPr>
                <w:rFonts w:hint="eastAsia"/>
                <w:kern w:val="0"/>
                <w:szCs w:val="21"/>
              </w:rPr>
              <w:t>评分项</w:t>
            </w:r>
          </w:p>
        </w:tc>
        <w:tc>
          <w:tcPr>
            <w:tcW w:w="1620" w:type="dxa"/>
            <w:tcBorders>
              <w:tl2br w:val="nil"/>
              <w:tr2bl w:val="nil"/>
            </w:tcBorders>
            <w:vAlign w:val="center"/>
          </w:tcPr>
          <w:p>
            <w:pPr>
              <w:spacing w:line="360" w:lineRule="auto"/>
              <w:jc w:val="center"/>
              <w:rPr>
                <w:kern w:val="0"/>
                <w:szCs w:val="21"/>
              </w:rPr>
            </w:pPr>
            <w:r>
              <w:rPr>
                <w:rFonts w:hint="eastAsia"/>
                <w:kern w:val="0"/>
                <w:szCs w:val="21"/>
              </w:rPr>
              <w:t>评定分值</w:t>
            </w:r>
          </w:p>
        </w:tc>
        <w:tc>
          <w:tcPr>
            <w:tcW w:w="2400" w:type="dxa"/>
            <w:tcBorders>
              <w:tl2br w:val="nil"/>
              <w:tr2bl w:val="nil"/>
            </w:tcBorders>
            <w:vAlign w:val="center"/>
          </w:tcPr>
          <w:p>
            <w:pPr>
              <w:spacing w:line="360" w:lineRule="auto"/>
              <w:jc w:val="center"/>
              <w:rPr>
                <w:kern w:val="0"/>
                <w:szCs w:val="21"/>
              </w:rPr>
            </w:pPr>
            <w:r>
              <w:rPr>
                <w:rFonts w:hint="eastAsia"/>
                <w:kern w:val="0"/>
                <w:szCs w:val="21"/>
              </w:rPr>
              <w:t>核查方法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952" w:type="dxa"/>
            <w:tcBorders>
              <w:tl2br w:val="nil"/>
              <w:tr2bl w:val="nil"/>
            </w:tcBorders>
            <w:vAlign w:val="center"/>
          </w:tcPr>
          <w:p>
            <w:pPr>
              <w:spacing w:line="360" w:lineRule="auto"/>
              <w:ind w:firstLine="420" w:firstLineChars="200"/>
              <w:rPr>
                <w:kern w:val="0"/>
                <w:szCs w:val="21"/>
              </w:rPr>
            </w:pPr>
            <w:r>
              <w:rPr>
                <w:rFonts w:hint="eastAsia"/>
                <w:kern w:val="0"/>
                <w:szCs w:val="21"/>
              </w:rPr>
              <w:t>1</w:t>
            </w:r>
          </w:p>
        </w:tc>
        <w:tc>
          <w:tcPr>
            <w:tcW w:w="4094" w:type="dxa"/>
            <w:tcBorders>
              <w:tl2br w:val="nil"/>
              <w:tr2bl w:val="nil"/>
            </w:tcBorders>
            <w:vAlign w:val="center"/>
          </w:tcPr>
          <w:p>
            <w:pPr>
              <w:spacing w:line="360" w:lineRule="auto"/>
              <w:ind w:firstLine="420" w:firstLineChars="200"/>
              <w:jc w:val="center"/>
              <w:rPr>
                <w:kern w:val="0"/>
                <w:szCs w:val="21"/>
              </w:rPr>
            </w:pPr>
            <w:r>
              <w:rPr>
                <w:rFonts w:hint="eastAsia"/>
                <w:kern w:val="0"/>
                <w:szCs w:val="21"/>
              </w:rPr>
              <w:t>管理文件</w:t>
            </w:r>
          </w:p>
        </w:tc>
        <w:tc>
          <w:tcPr>
            <w:tcW w:w="1620" w:type="dxa"/>
            <w:tcBorders>
              <w:tl2br w:val="nil"/>
              <w:tr2bl w:val="nil"/>
            </w:tcBorders>
            <w:vAlign w:val="center"/>
          </w:tcPr>
          <w:p>
            <w:pPr>
              <w:spacing w:line="360" w:lineRule="auto"/>
              <w:ind w:firstLine="420" w:firstLineChars="200"/>
              <w:rPr>
                <w:kern w:val="0"/>
                <w:szCs w:val="21"/>
              </w:rPr>
            </w:pPr>
            <w:r>
              <w:rPr>
                <w:rFonts w:hint="eastAsia"/>
                <w:kern w:val="0"/>
                <w:szCs w:val="21"/>
              </w:rPr>
              <w:t>5-20</w:t>
            </w:r>
          </w:p>
        </w:tc>
        <w:tc>
          <w:tcPr>
            <w:tcW w:w="2400" w:type="dxa"/>
            <w:vMerge w:val="restart"/>
            <w:tcBorders>
              <w:tl2br w:val="nil"/>
              <w:tr2bl w:val="nil"/>
            </w:tcBorders>
          </w:tcPr>
          <w:p>
            <w:pPr>
              <w:spacing w:line="360" w:lineRule="auto"/>
              <w:ind w:firstLine="420" w:firstLineChars="200"/>
              <w:rPr>
                <w:kern w:val="0"/>
                <w:szCs w:val="21"/>
              </w:rPr>
            </w:pPr>
          </w:p>
          <w:p>
            <w:pPr>
              <w:spacing w:line="360" w:lineRule="auto"/>
              <w:ind w:firstLine="420" w:firstLineChars="200"/>
              <w:jc w:val="center"/>
              <w:rPr>
                <w:kern w:val="0"/>
                <w:szCs w:val="21"/>
              </w:rPr>
            </w:pPr>
            <w:r>
              <w:rPr>
                <w:rFonts w:hint="eastAsia"/>
                <w:kern w:val="0"/>
                <w:szCs w:val="21"/>
              </w:rPr>
              <w:t>检查证书、管理文件和现场检查 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952" w:type="dxa"/>
            <w:tcBorders>
              <w:tl2br w:val="nil"/>
              <w:tr2bl w:val="nil"/>
            </w:tcBorders>
            <w:vAlign w:val="center"/>
          </w:tcPr>
          <w:p>
            <w:pPr>
              <w:spacing w:line="360" w:lineRule="auto"/>
              <w:ind w:firstLine="420" w:firstLineChars="200"/>
              <w:rPr>
                <w:kern w:val="0"/>
                <w:szCs w:val="21"/>
              </w:rPr>
            </w:pPr>
            <w:r>
              <w:rPr>
                <w:rFonts w:hint="eastAsia"/>
                <w:kern w:val="0"/>
                <w:szCs w:val="21"/>
              </w:rPr>
              <w:t>2</w:t>
            </w:r>
          </w:p>
        </w:tc>
        <w:tc>
          <w:tcPr>
            <w:tcW w:w="4094" w:type="dxa"/>
            <w:tcBorders>
              <w:tl2br w:val="nil"/>
              <w:tr2bl w:val="nil"/>
            </w:tcBorders>
            <w:vAlign w:val="center"/>
          </w:tcPr>
          <w:p>
            <w:pPr>
              <w:spacing w:line="360" w:lineRule="auto"/>
              <w:ind w:firstLine="420" w:firstLineChars="200"/>
              <w:jc w:val="center"/>
              <w:rPr>
                <w:kern w:val="0"/>
                <w:szCs w:val="21"/>
              </w:rPr>
            </w:pPr>
            <w:r>
              <w:rPr>
                <w:rFonts w:hint="eastAsia"/>
                <w:kern w:val="0"/>
                <w:szCs w:val="21"/>
              </w:rPr>
              <w:t>管理体系证书</w:t>
            </w:r>
          </w:p>
        </w:tc>
        <w:tc>
          <w:tcPr>
            <w:tcW w:w="1620" w:type="dxa"/>
            <w:tcBorders>
              <w:tl2br w:val="nil"/>
              <w:tr2bl w:val="nil"/>
            </w:tcBorders>
            <w:vAlign w:val="center"/>
          </w:tcPr>
          <w:p>
            <w:pPr>
              <w:spacing w:line="360" w:lineRule="auto"/>
              <w:ind w:firstLine="420" w:firstLineChars="200"/>
              <w:rPr>
                <w:kern w:val="0"/>
                <w:szCs w:val="21"/>
              </w:rPr>
            </w:pPr>
            <w:r>
              <w:rPr>
                <w:rFonts w:hint="eastAsia"/>
                <w:kern w:val="0"/>
                <w:szCs w:val="21"/>
              </w:rPr>
              <w:t>5-15</w:t>
            </w:r>
          </w:p>
        </w:tc>
        <w:tc>
          <w:tcPr>
            <w:tcW w:w="2400" w:type="dxa"/>
            <w:vMerge w:val="continue"/>
            <w:tcBorders>
              <w:tl2br w:val="nil"/>
              <w:tr2bl w:val="nil"/>
            </w:tcBorders>
          </w:tcPr>
          <w:p>
            <w:pPr>
              <w:spacing w:line="360" w:lineRule="auto"/>
              <w:ind w:firstLine="420" w:firstLineChars="200"/>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952" w:type="dxa"/>
            <w:tcBorders>
              <w:tl2br w:val="nil"/>
              <w:tr2bl w:val="nil"/>
            </w:tcBorders>
            <w:vAlign w:val="center"/>
          </w:tcPr>
          <w:p>
            <w:pPr>
              <w:spacing w:line="360" w:lineRule="auto"/>
              <w:ind w:firstLine="420" w:firstLineChars="200"/>
              <w:rPr>
                <w:kern w:val="0"/>
                <w:szCs w:val="21"/>
              </w:rPr>
            </w:pPr>
            <w:r>
              <w:rPr>
                <w:rFonts w:hint="eastAsia"/>
                <w:kern w:val="0"/>
                <w:szCs w:val="21"/>
              </w:rPr>
              <w:t>3</w:t>
            </w:r>
          </w:p>
        </w:tc>
        <w:tc>
          <w:tcPr>
            <w:tcW w:w="4094" w:type="dxa"/>
            <w:tcBorders>
              <w:tl2br w:val="nil"/>
              <w:tr2bl w:val="nil"/>
            </w:tcBorders>
            <w:vAlign w:val="center"/>
          </w:tcPr>
          <w:p>
            <w:pPr>
              <w:spacing w:line="360" w:lineRule="auto"/>
              <w:ind w:firstLine="420" w:firstLineChars="200"/>
              <w:jc w:val="center"/>
              <w:rPr>
                <w:kern w:val="0"/>
                <w:szCs w:val="21"/>
              </w:rPr>
            </w:pPr>
            <w:r>
              <w:rPr>
                <w:rFonts w:hint="eastAsia"/>
                <w:kern w:val="0"/>
                <w:szCs w:val="21"/>
              </w:rPr>
              <w:t>信息化管理：</w:t>
            </w:r>
          </w:p>
        </w:tc>
        <w:tc>
          <w:tcPr>
            <w:tcW w:w="1620" w:type="dxa"/>
            <w:tcBorders>
              <w:tl2br w:val="nil"/>
              <w:tr2bl w:val="nil"/>
            </w:tcBorders>
            <w:vAlign w:val="center"/>
          </w:tcPr>
          <w:p>
            <w:pPr>
              <w:spacing w:line="360" w:lineRule="auto"/>
              <w:ind w:firstLine="420" w:firstLineChars="200"/>
              <w:rPr>
                <w:kern w:val="0"/>
                <w:szCs w:val="21"/>
              </w:rPr>
            </w:pPr>
            <w:r>
              <w:rPr>
                <w:rFonts w:hint="eastAsia"/>
                <w:kern w:val="0"/>
                <w:szCs w:val="21"/>
              </w:rPr>
              <w:t>5-15</w:t>
            </w:r>
          </w:p>
        </w:tc>
        <w:tc>
          <w:tcPr>
            <w:tcW w:w="2400" w:type="dxa"/>
            <w:vMerge w:val="continue"/>
            <w:tcBorders>
              <w:tl2br w:val="nil"/>
              <w:tr2bl w:val="nil"/>
            </w:tcBorders>
          </w:tcPr>
          <w:p>
            <w:pPr>
              <w:spacing w:line="360" w:lineRule="auto"/>
              <w:ind w:firstLine="420" w:firstLineChars="200"/>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952" w:type="dxa"/>
            <w:tcBorders>
              <w:tl2br w:val="nil"/>
              <w:tr2bl w:val="nil"/>
            </w:tcBorders>
            <w:vAlign w:val="center"/>
          </w:tcPr>
          <w:p>
            <w:pPr>
              <w:spacing w:line="360" w:lineRule="auto"/>
              <w:ind w:firstLine="420" w:firstLineChars="200"/>
              <w:rPr>
                <w:kern w:val="0"/>
                <w:szCs w:val="21"/>
              </w:rPr>
            </w:pPr>
            <w:r>
              <w:rPr>
                <w:rFonts w:hint="eastAsia"/>
                <w:kern w:val="0"/>
                <w:szCs w:val="21"/>
              </w:rPr>
              <w:t>4</w:t>
            </w:r>
          </w:p>
        </w:tc>
        <w:tc>
          <w:tcPr>
            <w:tcW w:w="4094" w:type="dxa"/>
            <w:tcBorders>
              <w:tl2br w:val="nil"/>
              <w:tr2bl w:val="nil"/>
            </w:tcBorders>
            <w:vAlign w:val="center"/>
          </w:tcPr>
          <w:p>
            <w:pPr>
              <w:spacing w:line="360" w:lineRule="auto"/>
              <w:ind w:firstLine="420" w:firstLineChars="200"/>
              <w:jc w:val="center"/>
              <w:rPr>
                <w:kern w:val="0"/>
                <w:szCs w:val="21"/>
              </w:rPr>
            </w:pPr>
            <w:r>
              <w:rPr>
                <w:rFonts w:hint="eastAsia"/>
                <w:kern w:val="0"/>
                <w:szCs w:val="21"/>
              </w:rPr>
              <w:t>生产车间管理</w:t>
            </w:r>
          </w:p>
        </w:tc>
        <w:tc>
          <w:tcPr>
            <w:tcW w:w="1620" w:type="dxa"/>
            <w:tcBorders>
              <w:tl2br w:val="nil"/>
              <w:tr2bl w:val="nil"/>
            </w:tcBorders>
            <w:vAlign w:val="center"/>
          </w:tcPr>
          <w:p>
            <w:pPr>
              <w:spacing w:line="360" w:lineRule="auto"/>
              <w:ind w:firstLine="420" w:firstLineChars="200"/>
              <w:rPr>
                <w:kern w:val="0"/>
                <w:szCs w:val="21"/>
              </w:rPr>
            </w:pPr>
            <w:r>
              <w:rPr>
                <w:rFonts w:hint="eastAsia"/>
                <w:kern w:val="0"/>
                <w:szCs w:val="21"/>
              </w:rPr>
              <w:t>5-25</w:t>
            </w:r>
          </w:p>
        </w:tc>
        <w:tc>
          <w:tcPr>
            <w:tcW w:w="2400" w:type="dxa"/>
            <w:vMerge w:val="continue"/>
            <w:tcBorders>
              <w:tl2br w:val="nil"/>
              <w:tr2bl w:val="nil"/>
            </w:tcBorders>
          </w:tcPr>
          <w:p>
            <w:pPr>
              <w:spacing w:line="360" w:lineRule="auto"/>
              <w:ind w:firstLine="420" w:firstLineChars="200"/>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952" w:type="dxa"/>
            <w:tcBorders>
              <w:tl2br w:val="nil"/>
              <w:tr2bl w:val="nil"/>
            </w:tcBorders>
            <w:vAlign w:val="center"/>
          </w:tcPr>
          <w:p>
            <w:pPr>
              <w:spacing w:line="360" w:lineRule="auto"/>
              <w:ind w:firstLine="420" w:firstLineChars="200"/>
              <w:rPr>
                <w:kern w:val="0"/>
                <w:szCs w:val="21"/>
              </w:rPr>
            </w:pPr>
            <w:r>
              <w:rPr>
                <w:rFonts w:hint="eastAsia"/>
                <w:kern w:val="0"/>
                <w:szCs w:val="21"/>
              </w:rPr>
              <w:t>5</w:t>
            </w:r>
          </w:p>
        </w:tc>
        <w:tc>
          <w:tcPr>
            <w:tcW w:w="4094" w:type="dxa"/>
            <w:tcBorders>
              <w:tl2br w:val="nil"/>
              <w:tr2bl w:val="nil"/>
            </w:tcBorders>
            <w:vAlign w:val="center"/>
          </w:tcPr>
          <w:p>
            <w:pPr>
              <w:spacing w:line="360" w:lineRule="auto"/>
              <w:ind w:firstLine="420" w:firstLineChars="200"/>
              <w:jc w:val="center"/>
              <w:rPr>
                <w:kern w:val="0"/>
                <w:szCs w:val="21"/>
              </w:rPr>
            </w:pPr>
            <w:r>
              <w:rPr>
                <w:rFonts w:hint="eastAsia"/>
                <w:kern w:val="0"/>
                <w:szCs w:val="21"/>
              </w:rPr>
              <w:t>关键岗位负责人证书</w:t>
            </w:r>
          </w:p>
        </w:tc>
        <w:tc>
          <w:tcPr>
            <w:tcW w:w="1620" w:type="dxa"/>
            <w:tcBorders>
              <w:tl2br w:val="nil"/>
              <w:tr2bl w:val="nil"/>
            </w:tcBorders>
            <w:vAlign w:val="center"/>
          </w:tcPr>
          <w:p>
            <w:pPr>
              <w:spacing w:line="360" w:lineRule="auto"/>
              <w:ind w:firstLine="420" w:firstLineChars="200"/>
              <w:rPr>
                <w:kern w:val="0"/>
                <w:szCs w:val="21"/>
              </w:rPr>
            </w:pPr>
            <w:r>
              <w:rPr>
                <w:rFonts w:hint="eastAsia"/>
                <w:kern w:val="0"/>
                <w:szCs w:val="21"/>
              </w:rPr>
              <w:t>5-15</w:t>
            </w:r>
          </w:p>
        </w:tc>
        <w:tc>
          <w:tcPr>
            <w:tcW w:w="2400" w:type="dxa"/>
            <w:vMerge w:val="continue"/>
            <w:tcBorders>
              <w:tl2br w:val="nil"/>
              <w:tr2bl w:val="nil"/>
            </w:tcBorders>
          </w:tcPr>
          <w:p>
            <w:pPr>
              <w:spacing w:line="360" w:lineRule="auto"/>
              <w:ind w:firstLine="420" w:firstLineChars="200"/>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952" w:type="dxa"/>
            <w:tcBorders>
              <w:tl2br w:val="nil"/>
              <w:tr2bl w:val="nil"/>
            </w:tcBorders>
            <w:vAlign w:val="center"/>
          </w:tcPr>
          <w:p>
            <w:pPr>
              <w:spacing w:line="360" w:lineRule="auto"/>
              <w:ind w:firstLine="420" w:firstLineChars="200"/>
              <w:rPr>
                <w:kern w:val="0"/>
                <w:szCs w:val="21"/>
              </w:rPr>
            </w:pPr>
            <w:r>
              <w:rPr>
                <w:rFonts w:hint="eastAsia"/>
                <w:kern w:val="0"/>
                <w:szCs w:val="21"/>
              </w:rPr>
              <w:t>6</w:t>
            </w:r>
          </w:p>
        </w:tc>
        <w:tc>
          <w:tcPr>
            <w:tcW w:w="4094" w:type="dxa"/>
            <w:tcBorders>
              <w:tl2br w:val="nil"/>
              <w:tr2bl w:val="nil"/>
            </w:tcBorders>
            <w:vAlign w:val="center"/>
          </w:tcPr>
          <w:p>
            <w:pPr>
              <w:spacing w:line="360" w:lineRule="auto"/>
              <w:ind w:firstLine="420" w:firstLineChars="200"/>
              <w:jc w:val="center"/>
              <w:rPr>
                <w:kern w:val="0"/>
                <w:szCs w:val="21"/>
              </w:rPr>
            </w:pPr>
            <w:r>
              <w:rPr>
                <w:rFonts w:hint="eastAsia"/>
                <w:kern w:val="0"/>
                <w:szCs w:val="21"/>
              </w:rPr>
              <w:t>工人培训管理</w:t>
            </w:r>
          </w:p>
        </w:tc>
        <w:tc>
          <w:tcPr>
            <w:tcW w:w="1620" w:type="dxa"/>
            <w:tcBorders>
              <w:tl2br w:val="nil"/>
              <w:tr2bl w:val="nil"/>
            </w:tcBorders>
            <w:vAlign w:val="center"/>
          </w:tcPr>
          <w:p>
            <w:pPr>
              <w:spacing w:line="360" w:lineRule="auto"/>
              <w:ind w:firstLine="420" w:firstLineChars="200"/>
              <w:rPr>
                <w:kern w:val="0"/>
                <w:szCs w:val="21"/>
              </w:rPr>
            </w:pPr>
            <w:r>
              <w:rPr>
                <w:rFonts w:hint="eastAsia"/>
                <w:kern w:val="0"/>
                <w:szCs w:val="21"/>
              </w:rPr>
              <w:t>5-20</w:t>
            </w:r>
          </w:p>
        </w:tc>
        <w:tc>
          <w:tcPr>
            <w:tcW w:w="2400" w:type="dxa"/>
            <w:vMerge w:val="continue"/>
            <w:tcBorders>
              <w:tl2br w:val="nil"/>
              <w:tr2bl w:val="nil"/>
            </w:tcBorders>
          </w:tcPr>
          <w:p>
            <w:pPr>
              <w:spacing w:line="360" w:lineRule="auto"/>
              <w:ind w:firstLine="420" w:firstLineChars="200"/>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5046" w:type="dxa"/>
            <w:gridSpan w:val="2"/>
            <w:tcBorders>
              <w:tl2br w:val="nil"/>
              <w:tr2bl w:val="nil"/>
            </w:tcBorders>
            <w:vAlign w:val="center"/>
          </w:tcPr>
          <w:p>
            <w:pPr>
              <w:spacing w:line="360" w:lineRule="auto"/>
              <w:ind w:firstLine="420" w:firstLineChars="200"/>
              <w:jc w:val="center"/>
              <w:rPr>
                <w:kern w:val="0"/>
                <w:szCs w:val="21"/>
              </w:rPr>
            </w:pPr>
            <w:r>
              <w:rPr>
                <w:rFonts w:hint="eastAsia"/>
                <w:kern w:val="0"/>
                <w:szCs w:val="21"/>
              </w:rPr>
              <w:t>合计</w:t>
            </w:r>
          </w:p>
        </w:tc>
        <w:tc>
          <w:tcPr>
            <w:tcW w:w="1620" w:type="dxa"/>
            <w:tcBorders>
              <w:tl2br w:val="nil"/>
              <w:tr2bl w:val="nil"/>
            </w:tcBorders>
            <w:vAlign w:val="center"/>
          </w:tcPr>
          <w:p>
            <w:pPr>
              <w:spacing w:line="360" w:lineRule="auto"/>
              <w:ind w:firstLine="420" w:firstLineChars="200"/>
              <w:rPr>
                <w:kern w:val="0"/>
                <w:szCs w:val="21"/>
              </w:rPr>
            </w:pPr>
            <w:r>
              <w:rPr>
                <w:rFonts w:hint="eastAsia"/>
                <w:kern w:val="0"/>
                <w:szCs w:val="21"/>
              </w:rPr>
              <w:t>30-</w:t>
            </w:r>
            <w:r>
              <w:rPr>
                <w:rFonts w:hint="eastAsia"/>
                <w:kern w:val="0"/>
                <w:szCs w:val="21"/>
                <w:lang w:val="zh-CN"/>
              </w:rPr>
              <w:t>100</w:t>
            </w:r>
          </w:p>
        </w:tc>
        <w:tc>
          <w:tcPr>
            <w:tcW w:w="2400" w:type="dxa"/>
            <w:vMerge w:val="continue"/>
            <w:tcBorders>
              <w:tl2br w:val="nil"/>
              <w:tr2bl w:val="nil"/>
            </w:tcBorders>
          </w:tcPr>
          <w:p>
            <w:pPr>
              <w:spacing w:line="360" w:lineRule="auto"/>
              <w:ind w:firstLine="420" w:firstLineChars="200"/>
              <w:rPr>
                <w:kern w:val="0"/>
                <w:szCs w:val="21"/>
              </w:rPr>
            </w:pPr>
          </w:p>
        </w:tc>
      </w:tr>
    </w:tbl>
    <w:p>
      <w:pPr>
        <w:spacing w:line="360" w:lineRule="auto"/>
        <w:ind w:firstLine="422" w:firstLineChars="200"/>
        <w:jc w:val="center"/>
        <w:rPr>
          <w:b/>
          <w:bCs/>
          <w:kern w:val="0"/>
          <w:szCs w:val="21"/>
        </w:rPr>
      </w:pPr>
    </w:p>
    <w:p>
      <w:pPr>
        <w:spacing w:line="360" w:lineRule="auto"/>
        <w:ind w:firstLine="422" w:firstLineChars="200"/>
        <w:jc w:val="center"/>
        <w:rPr>
          <w:b/>
          <w:bCs/>
          <w:kern w:val="0"/>
          <w:szCs w:val="21"/>
        </w:rPr>
      </w:pPr>
      <w:r>
        <w:rPr>
          <w:rFonts w:hint="eastAsia"/>
          <w:b/>
          <w:bCs/>
          <w:kern w:val="0"/>
          <w:szCs w:val="21"/>
        </w:rPr>
        <w:t>表B.0.3-3 定型产品研发与技术管理评分</w:t>
      </w:r>
    </w:p>
    <w:tbl>
      <w:tblPr>
        <w:tblStyle w:val="39"/>
        <w:tblW w:w="9130"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75"/>
        <w:gridCol w:w="4075"/>
        <w:gridCol w:w="1635"/>
        <w:gridCol w:w="244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975" w:type="dxa"/>
            <w:tcBorders>
              <w:tl2br w:val="nil"/>
              <w:tr2bl w:val="nil"/>
            </w:tcBorders>
            <w:vAlign w:val="center"/>
          </w:tcPr>
          <w:p>
            <w:pPr>
              <w:spacing w:line="360" w:lineRule="auto"/>
              <w:jc w:val="center"/>
              <w:rPr>
                <w:kern w:val="0"/>
                <w:szCs w:val="21"/>
              </w:rPr>
            </w:pPr>
            <w:r>
              <w:rPr>
                <w:rFonts w:hint="eastAsia"/>
                <w:kern w:val="0"/>
                <w:szCs w:val="21"/>
              </w:rPr>
              <w:t>序号</w:t>
            </w:r>
          </w:p>
        </w:tc>
        <w:tc>
          <w:tcPr>
            <w:tcW w:w="4075" w:type="dxa"/>
            <w:tcBorders>
              <w:tl2br w:val="nil"/>
              <w:tr2bl w:val="nil"/>
            </w:tcBorders>
            <w:vAlign w:val="center"/>
          </w:tcPr>
          <w:p>
            <w:pPr>
              <w:spacing w:line="360" w:lineRule="auto"/>
              <w:jc w:val="center"/>
              <w:rPr>
                <w:kern w:val="0"/>
                <w:szCs w:val="21"/>
              </w:rPr>
            </w:pPr>
            <w:r>
              <w:rPr>
                <w:rFonts w:hint="eastAsia"/>
                <w:kern w:val="0"/>
                <w:szCs w:val="21"/>
              </w:rPr>
              <w:t>评分项</w:t>
            </w:r>
          </w:p>
        </w:tc>
        <w:tc>
          <w:tcPr>
            <w:tcW w:w="1635" w:type="dxa"/>
            <w:tcBorders>
              <w:tl2br w:val="nil"/>
              <w:tr2bl w:val="nil"/>
            </w:tcBorders>
            <w:vAlign w:val="center"/>
          </w:tcPr>
          <w:p>
            <w:pPr>
              <w:spacing w:line="360" w:lineRule="auto"/>
              <w:jc w:val="center"/>
              <w:rPr>
                <w:kern w:val="0"/>
                <w:szCs w:val="21"/>
              </w:rPr>
            </w:pPr>
            <w:r>
              <w:rPr>
                <w:rFonts w:hint="eastAsia"/>
                <w:kern w:val="0"/>
                <w:szCs w:val="21"/>
              </w:rPr>
              <w:t>评定分值</w:t>
            </w:r>
          </w:p>
        </w:tc>
        <w:tc>
          <w:tcPr>
            <w:tcW w:w="2445" w:type="dxa"/>
            <w:tcBorders>
              <w:tl2br w:val="nil"/>
              <w:tr2bl w:val="nil"/>
            </w:tcBorders>
            <w:vAlign w:val="center"/>
          </w:tcPr>
          <w:p>
            <w:pPr>
              <w:spacing w:line="360" w:lineRule="auto"/>
              <w:jc w:val="center"/>
              <w:rPr>
                <w:kern w:val="0"/>
                <w:szCs w:val="21"/>
              </w:rPr>
            </w:pPr>
            <w:r>
              <w:rPr>
                <w:rFonts w:hint="eastAsia"/>
                <w:kern w:val="0"/>
                <w:szCs w:val="21"/>
              </w:rPr>
              <w:t>核查方法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975" w:type="dxa"/>
            <w:tcBorders>
              <w:tl2br w:val="nil"/>
              <w:tr2bl w:val="nil"/>
            </w:tcBorders>
            <w:vAlign w:val="center"/>
          </w:tcPr>
          <w:p>
            <w:pPr>
              <w:spacing w:line="360" w:lineRule="auto"/>
              <w:ind w:firstLine="420" w:firstLineChars="200"/>
              <w:rPr>
                <w:kern w:val="0"/>
                <w:szCs w:val="21"/>
              </w:rPr>
            </w:pPr>
            <w:r>
              <w:rPr>
                <w:rFonts w:hint="eastAsia"/>
                <w:kern w:val="0"/>
                <w:szCs w:val="21"/>
              </w:rPr>
              <w:t>1</w:t>
            </w:r>
          </w:p>
        </w:tc>
        <w:tc>
          <w:tcPr>
            <w:tcW w:w="4075" w:type="dxa"/>
            <w:tcBorders>
              <w:tl2br w:val="nil"/>
              <w:tr2bl w:val="nil"/>
            </w:tcBorders>
            <w:vAlign w:val="center"/>
          </w:tcPr>
          <w:p>
            <w:pPr>
              <w:tabs>
                <w:tab w:val="center" w:pos="3413"/>
              </w:tabs>
              <w:spacing w:line="360" w:lineRule="auto"/>
              <w:ind w:firstLine="420" w:firstLineChars="200"/>
              <w:jc w:val="center"/>
              <w:rPr>
                <w:kern w:val="0"/>
                <w:szCs w:val="21"/>
              </w:rPr>
            </w:pPr>
            <w:r>
              <w:rPr>
                <w:rFonts w:hint="eastAsia"/>
                <w:kern w:val="0"/>
                <w:szCs w:val="21"/>
              </w:rPr>
              <w:t>产品研发与技术管理体系</w:t>
            </w:r>
          </w:p>
        </w:tc>
        <w:tc>
          <w:tcPr>
            <w:tcW w:w="1635" w:type="dxa"/>
            <w:tcBorders>
              <w:tl2br w:val="nil"/>
              <w:tr2bl w:val="nil"/>
            </w:tcBorders>
            <w:vAlign w:val="center"/>
          </w:tcPr>
          <w:p>
            <w:pPr>
              <w:tabs>
                <w:tab w:val="center" w:pos="3413"/>
              </w:tabs>
              <w:spacing w:line="360" w:lineRule="auto"/>
              <w:ind w:firstLine="210" w:firstLineChars="100"/>
              <w:jc w:val="center"/>
              <w:rPr>
                <w:kern w:val="0"/>
                <w:szCs w:val="21"/>
              </w:rPr>
            </w:pPr>
            <w:r>
              <w:rPr>
                <w:rFonts w:hint="eastAsia"/>
                <w:kern w:val="0"/>
                <w:szCs w:val="21"/>
              </w:rPr>
              <w:t>5-15</w:t>
            </w:r>
          </w:p>
        </w:tc>
        <w:tc>
          <w:tcPr>
            <w:tcW w:w="2445" w:type="dxa"/>
            <w:vMerge w:val="restart"/>
            <w:tcBorders>
              <w:tl2br w:val="nil"/>
              <w:tr2bl w:val="nil"/>
            </w:tcBorders>
          </w:tcPr>
          <w:p>
            <w:pPr>
              <w:spacing w:line="360" w:lineRule="auto"/>
              <w:ind w:firstLine="420" w:firstLineChars="200"/>
              <w:rPr>
                <w:kern w:val="0"/>
                <w:szCs w:val="21"/>
              </w:rPr>
            </w:pPr>
          </w:p>
          <w:p>
            <w:pPr>
              <w:spacing w:line="360" w:lineRule="auto"/>
              <w:ind w:firstLine="420" w:firstLineChars="200"/>
              <w:rPr>
                <w:kern w:val="0"/>
                <w:szCs w:val="21"/>
              </w:rPr>
            </w:pPr>
            <w:r>
              <w:rPr>
                <w:rFonts w:hint="eastAsia"/>
                <w:kern w:val="0"/>
                <w:szCs w:val="21"/>
              </w:rPr>
              <w:t>检查管理文件、生产记录、专利证书、现场抽查等。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975" w:type="dxa"/>
            <w:tcBorders>
              <w:tl2br w:val="nil"/>
              <w:tr2bl w:val="nil"/>
            </w:tcBorders>
            <w:vAlign w:val="center"/>
          </w:tcPr>
          <w:p>
            <w:pPr>
              <w:spacing w:line="360" w:lineRule="auto"/>
              <w:ind w:firstLine="420" w:firstLineChars="200"/>
              <w:rPr>
                <w:kern w:val="0"/>
                <w:szCs w:val="21"/>
              </w:rPr>
            </w:pPr>
            <w:r>
              <w:rPr>
                <w:rFonts w:hint="eastAsia"/>
                <w:kern w:val="0"/>
                <w:szCs w:val="21"/>
              </w:rPr>
              <w:t>2</w:t>
            </w:r>
          </w:p>
        </w:tc>
        <w:tc>
          <w:tcPr>
            <w:tcW w:w="4075" w:type="dxa"/>
            <w:tcBorders>
              <w:tl2br w:val="nil"/>
              <w:tr2bl w:val="nil"/>
            </w:tcBorders>
            <w:vAlign w:val="center"/>
          </w:tcPr>
          <w:p>
            <w:pPr>
              <w:spacing w:line="360" w:lineRule="auto"/>
              <w:ind w:firstLine="420" w:firstLineChars="200"/>
              <w:jc w:val="center"/>
              <w:rPr>
                <w:kern w:val="0"/>
                <w:szCs w:val="21"/>
              </w:rPr>
            </w:pPr>
            <w:r>
              <w:rPr>
                <w:rFonts w:hint="eastAsia"/>
                <w:kern w:val="0"/>
                <w:szCs w:val="21"/>
              </w:rPr>
              <w:t>门窗定型产品技术文件</w:t>
            </w:r>
          </w:p>
        </w:tc>
        <w:tc>
          <w:tcPr>
            <w:tcW w:w="1635" w:type="dxa"/>
            <w:tcBorders>
              <w:tl2br w:val="nil"/>
              <w:tr2bl w:val="nil"/>
            </w:tcBorders>
            <w:vAlign w:val="center"/>
          </w:tcPr>
          <w:p>
            <w:pPr>
              <w:spacing w:line="360" w:lineRule="auto"/>
              <w:ind w:firstLine="210" w:firstLineChars="100"/>
              <w:jc w:val="center"/>
              <w:rPr>
                <w:kern w:val="0"/>
                <w:szCs w:val="21"/>
              </w:rPr>
            </w:pPr>
            <w:r>
              <w:rPr>
                <w:rFonts w:hint="eastAsia"/>
                <w:kern w:val="0"/>
                <w:szCs w:val="21"/>
              </w:rPr>
              <w:t>20-50</w:t>
            </w:r>
          </w:p>
        </w:tc>
        <w:tc>
          <w:tcPr>
            <w:tcW w:w="2445" w:type="dxa"/>
            <w:vMerge w:val="continue"/>
            <w:tcBorders>
              <w:tl2br w:val="nil"/>
              <w:tr2bl w:val="nil"/>
            </w:tcBorders>
          </w:tcPr>
          <w:p>
            <w:pPr>
              <w:spacing w:line="360" w:lineRule="auto"/>
              <w:ind w:firstLine="420" w:firstLineChars="200"/>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975" w:type="dxa"/>
            <w:tcBorders>
              <w:tl2br w:val="nil"/>
              <w:tr2bl w:val="nil"/>
            </w:tcBorders>
            <w:vAlign w:val="center"/>
          </w:tcPr>
          <w:p>
            <w:pPr>
              <w:spacing w:line="360" w:lineRule="auto"/>
              <w:ind w:firstLine="420" w:firstLineChars="200"/>
              <w:rPr>
                <w:kern w:val="0"/>
                <w:szCs w:val="21"/>
              </w:rPr>
            </w:pPr>
            <w:r>
              <w:rPr>
                <w:rFonts w:hint="eastAsia"/>
                <w:kern w:val="0"/>
                <w:szCs w:val="21"/>
              </w:rPr>
              <w:t>3</w:t>
            </w:r>
          </w:p>
        </w:tc>
        <w:tc>
          <w:tcPr>
            <w:tcW w:w="4075" w:type="dxa"/>
            <w:tcBorders>
              <w:tl2br w:val="nil"/>
              <w:tr2bl w:val="nil"/>
            </w:tcBorders>
            <w:vAlign w:val="center"/>
          </w:tcPr>
          <w:p>
            <w:pPr>
              <w:spacing w:line="360" w:lineRule="auto"/>
              <w:ind w:firstLine="420" w:firstLineChars="200"/>
              <w:jc w:val="center"/>
              <w:rPr>
                <w:kern w:val="0"/>
                <w:szCs w:val="21"/>
              </w:rPr>
            </w:pPr>
            <w:r>
              <w:rPr>
                <w:rFonts w:hint="eastAsia"/>
                <w:kern w:val="0"/>
                <w:szCs w:val="21"/>
              </w:rPr>
              <w:t>系统研发检测设备</w:t>
            </w:r>
          </w:p>
        </w:tc>
        <w:tc>
          <w:tcPr>
            <w:tcW w:w="1635" w:type="dxa"/>
            <w:tcBorders>
              <w:tl2br w:val="nil"/>
              <w:tr2bl w:val="nil"/>
            </w:tcBorders>
            <w:vAlign w:val="center"/>
          </w:tcPr>
          <w:p>
            <w:pPr>
              <w:spacing w:line="360" w:lineRule="auto"/>
              <w:ind w:firstLine="210" w:firstLineChars="100"/>
              <w:jc w:val="center"/>
              <w:rPr>
                <w:kern w:val="0"/>
                <w:szCs w:val="21"/>
              </w:rPr>
            </w:pPr>
            <w:r>
              <w:rPr>
                <w:rFonts w:hint="eastAsia"/>
                <w:kern w:val="0"/>
                <w:szCs w:val="21"/>
              </w:rPr>
              <w:t>10-20</w:t>
            </w:r>
          </w:p>
        </w:tc>
        <w:tc>
          <w:tcPr>
            <w:tcW w:w="2445" w:type="dxa"/>
            <w:vMerge w:val="continue"/>
            <w:tcBorders>
              <w:tl2br w:val="nil"/>
              <w:tr2bl w:val="nil"/>
            </w:tcBorders>
          </w:tcPr>
          <w:p>
            <w:pPr>
              <w:spacing w:line="360" w:lineRule="auto"/>
              <w:ind w:firstLine="420" w:firstLineChars="200"/>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975" w:type="dxa"/>
            <w:tcBorders>
              <w:tl2br w:val="nil"/>
              <w:tr2bl w:val="nil"/>
            </w:tcBorders>
            <w:vAlign w:val="center"/>
          </w:tcPr>
          <w:p>
            <w:pPr>
              <w:spacing w:line="360" w:lineRule="auto"/>
              <w:ind w:firstLine="420" w:firstLineChars="200"/>
              <w:rPr>
                <w:kern w:val="0"/>
                <w:szCs w:val="21"/>
              </w:rPr>
            </w:pPr>
            <w:r>
              <w:rPr>
                <w:rFonts w:hint="eastAsia"/>
                <w:kern w:val="0"/>
                <w:szCs w:val="21"/>
              </w:rPr>
              <w:t>4</w:t>
            </w:r>
          </w:p>
        </w:tc>
        <w:tc>
          <w:tcPr>
            <w:tcW w:w="4075" w:type="dxa"/>
            <w:tcBorders>
              <w:tl2br w:val="nil"/>
              <w:tr2bl w:val="nil"/>
            </w:tcBorders>
            <w:vAlign w:val="center"/>
          </w:tcPr>
          <w:p>
            <w:pPr>
              <w:spacing w:line="360" w:lineRule="auto"/>
              <w:ind w:firstLine="420" w:firstLineChars="200"/>
              <w:jc w:val="center"/>
              <w:rPr>
                <w:kern w:val="0"/>
                <w:szCs w:val="21"/>
              </w:rPr>
            </w:pPr>
            <w:r>
              <w:rPr>
                <w:rFonts w:hint="eastAsia"/>
                <w:kern w:val="0"/>
                <w:szCs w:val="21"/>
              </w:rPr>
              <w:t>研发成果</w:t>
            </w:r>
          </w:p>
        </w:tc>
        <w:tc>
          <w:tcPr>
            <w:tcW w:w="1635" w:type="dxa"/>
            <w:tcBorders>
              <w:tl2br w:val="nil"/>
              <w:tr2bl w:val="nil"/>
            </w:tcBorders>
            <w:vAlign w:val="center"/>
          </w:tcPr>
          <w:p>
            <w:pPr>
              <w:spacing w:line="360" w:lineRule="auto"/>
              <w:ind w:firstLine="210" w:firstLineChars="100"/>
              <w:jc w:val="center"/>
              <w:rPr>
                <w:kern w:val="0"/>
                <w:szCs w:val="21"/>
              </w:rPr>
            </w:pPr>
            <w:r>
              <w:rPr>
                <w:rFonts w:hint="eastAsia"/>
                <w:kern w:val="0"/>
                <w:szCs w:val="21"/>
              </w:rPr>
              <w:t>5-15</w:t>
            </w:r>
          </w:p>
        </w:tc>
        <w:tc>
          <w:tcPr>
            <w:tcW w:w="2445" w:type="dxa"/>
            <w:vMerge w:val="continue"/>
            <w:tcBorders>
              <w:tl2br w:val="nil"/>
              <w:tr2bl w:val="nil"/>
            </w:tcBorders>
          </w:tcPr>
          <w:p>
            <w:pPr>
              <w:spacing w:line="360" w:lineRule="auto"/>
              <w:ind w:firstLine="420" w:firstLineChars="200"/>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5050" w:type="dxa"/>
            <w:gridSpan w:val="2"/>
            <w:tcBorders>
              <w:tl2br w:val="nil"/>
              <w:tr2bl w:val="nil"/>
            </w:tcBorders>
            <w:vAlign w:val="center"/>
          </w:tcPr>
          <w:p>
            <w:pPr>
              <w:spacing w:line="360" w:lineRule="auto"/>
              <w:ind w:firstLine="420" w:firstLineChars="200"/>
              <w:jc w:val="center"/>
              <w:rPr>
                <w:kern w:val="0"/>
                <w:szCs w:val="21"/>
              </w:rPr>
            </w:pPr>
            <w:r>
              <w:rPr>
                <w:rFonts w:hint="eastAsia"/>
                <w:kern w:val="0"/>
                <w:szCs w:val="21"/>
              </w:rPr>
              <w:t>合计</w:t>
            </w:r>
          </w:p>
        </w:tc>
        <w:tc>
          <w:tcPr>
            <w:tcW w:w="1635" w:type="dxa"/>
            <w:tcBorders>
              <w:tl2br w:val="nil"/>
              <w:tr2bl w:val="nil"/>
            </w:tcBorders>
            <w:vAlign w:val="center"/>
          </w:tcPr>
          <w:p>
            <w:pPr>
              <w:spacing w:line="360" w:lineRule="auto"/>
              <w:ind w:firstLine="210" w:firstLineChars="100"/>
              <w:jc w:val="center"/>
              <w:rPr>
                <w:kern w:val="0"/>
                <w:szCs w:val="21"/>
              </w:rPr>
            </w:pPr>
            <w:r>
              <w:rPr>
                <w:rFonts w:hint="eastAsia"/>
                <w:kern w:val="0"/>
                <w:szCs w:val="21"/>
              </w:rPr>
              <w:t>40-100</w:t>
            </w:r>
          </w:p>
        </w:tc>
        <w:tc>
          <w:tcPr>
            <w:tcW w:w="2445" w:type="dxa"/>
            <w:vMerge w:val="continue"/>
            <w:tcBorders>
              <w:tl2br w:val="nil"/>
              <w:tr2bl w:val="nil"/>
            </w:tcBorders>
          </w:tcPr>
          <w:p>
            <w:pPr>
              <w:spacing w:line="360" w:lineRule="auto"/>
              <w:ind w:firstLine="420" w:firstLineChars="200"/>
              <w:rPr>
                <w:kern w:val="0"/>
                <w:szCs w:val="21"/>
              </w:rPr>
            </w:pPr>
          </w:p>
        </w:tc>
      </w:tr>
    </w:tbl>
    <w:p>
      <w:pPr>
        <w:spacing w:line="360" w:lineRule="auto"/>
        <w:ind w:firstLine="480" w:firstLineChars="200"/>
        <w:rPr>
          <w:kern w:val="0"/>
          <w:sz w:val="24"/>
        </w:rPr>
      </w:pPr>
    </w:p>
    <w:p>
      <w:pPr>
        <w:spacing w:line="360" w:lineRule="auto"/>
        <w:ind w:firstLine="422" w:firstLineChars="200"/>
        <w:jc w:val="center"/>
        <w:rPr>
          <w:b/>
          <w:bCs/>
          <w:kern w:val="0"/>
          <w:szCs w:val="21"/>
        </w:rPr>
      </w:pPr>
      <w:r>
        <w:rPr>
          <w:rFonts w:hint="eastAsia"/>
          <w:b/>
          <w:bCs/>
          <w:kern w:val="0"/>
          <w:szCs w:val="21"/>
        </w:rPr>
        <w:t xml:space="preserve">表B.0.3-4 安全生产管理评分表 </w:t>
      </w:r>
    </w:p>
    <w:tbl>
      <w:tblPr>
        <w:tblStyle w:val="39"/>
        <w:tblW w:w="4882"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05"/>
        <w:gridCol w:w="3640"/>
        <w:gridCol w:w="1431"/>
        <w:gridCol w:w="216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556" w:type="pct"/>
            <w:tcBorders>
              <w:tl2br w:val="nil"/>
              <w:tr2bl w:val="nil"/>
            </w:tcBorders>
            <w:vAlign w:val="bottom"/>
          </w:tcPr>
          <w:p>
            <w:pPr>
              <w:spacing w:line="360" w:lineRule="auto"/>
              <w:jc w:val="center"/>
              <w:rPr>
                <w:kern w:val="0"/>
                <w:szCs w:val="21"/>
              </w:rPr>
            </w:pPr>
            <w:r>
              <w:rPr>
                <w:rFonts w:hint="eastAsia"/>
                <w:kern w:val="0"/>
                <w:szCs w:val="21"/>
              </w:rPr>
              <w:t>序号</w:t>
            </w:r>
          </w:p>
        </w:tc>
        <w:tc>
          <w:tcPr>
            <w:tcW w:w="2235" w:type="pct"/>
            <w:tcBorders>
              <w:tl2br w:val="nil"/>
              <w:tr2bl w:val="nil"/>
            </w:tcBorders>
            <w:vAlign w:val="bottom"/>
          </w:tcPr>
          <w:p>
            <w:pPr>
              <w:spacing w:line="360" w:lineRule="auto"/>
              <w:jc w:val="center"/>
              <w:rPr>
                <w:kern w:val="0"/>
                <w:szCs w:val="21"/>
              </w:rPr>
            </w:pPr>
            <w:r>
              <w:rPr>
                <w:rFonts w:hint="eastAsia"/>
                <w:kern w:val="0"/>
                <w:szCs w:val="21"/>
              </w:rPr>
              <w:t>评分项</w:t>
            </w:r>
          </w:p>
        </w:tc>
        <w:tc>
          <w:tcPr>
            <w:tcW w:w="879" w:type="pct"/>
            <w:tcBorders>
              <w:tl2br w:val="nil"/>
              <w:tr2bl w:val="nil"/>
            </w:tcBorders>
            <w:vAlign w:val="bottom"/>
          </w:tcPr>
          <w:p>
            <w:pPr>
              <w:spacing w:line="360" w:lineRule="auto"/>
              <w:jc w:val="center"/>
              <w:rPr>
                <w:kern w:val="0"/>
                <w:szCs w:val="21"/>
              </w:rPr>
            </w:pPr>
            <w:r>
              <w:rPr>
                <w:rFonts w:hint="eastAsia"/>
                <w:kern w:val="0"/>
                <w:szCs w:val="21"/>
              </w:rPr>
              <w:t>评定分值</w:t>
            </w:r>
          </w:p>
        </w:tc>
        <w:tc>
          <w:tcPr>
            <w:tcW w:w="1327" w:type="pct"/>
            <w:tcBorders>
              <w:tl2br w:val="nil"/>
              <w:tr2bl w:val="nil"/>
            </w:tcBorders>
            <w:vAlign w:val="bottom"/>
          </w:tcPr>
          <w:p>
            <w:pPr>
              <w:spacing w:line="360" w:lineRule="auto"/>
              <w:jc w:val="center"/>
              <w:rPr>
                <w:kern w:val="0"/>
                <w:szCs w:val="21"/>
              </w:rPr>
            </w:pPr>
            <w:r>
              <w:rPr>
                <w:rFonts w:hint="eastAsia"/>
                <w:kern w:val="0"/>
                <w:szCs w:val="21"/>
              </w:rPr>
              <w:t>核查方法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556" w:type="pct"/>
            <w:tcBorders>
              <w:tl2br w:val="nil"/>
              <w:tr2bl w:val="nil"/>
            </w:tcBorders>
            <w:vAlign w:val="bottom"/>
          </w:tcPr>
          <w:p>
            <w:pPr>
              <w:spacing w:line="360" w:lineRule="auto"/>
              <w:jc w:val="center"/>
              <w:rPr>
                <w:kern w:val="0"/>
                <w:szCs w:val="21"/>
              </w:rPr>
            </w:pPr>
            <w:r>
              <w:rPr>
                <w:rFonts w:hint="eastAsia"/>
                <w:kern w:val="0"/>
                <w:szCs w:val="21"/>
              </w:rPr>
              <w:t>1</w:t>
            </w:r>
          </w:p>
        </w:tc>
        <w:tc>
          <w:tcPr>
            <w:tcW w:w="2235" w:type="pct"/>
            <w:tcBorders>
              <w:tl2br w:val="nil"/>
              <w:tr2bl w:val="nil"/>
            </w:tcBorders>
            <w:vAlign w:val="bottom"/>
          </w:tcPr>
          <w:p>
            <w:pPr>
              <w:spacing w:line="360" w:lineRule="auto"/>
              <w:jc w:val="center"/>
              <w:rPr>
                <w:kern w:val="0"/>
                <w:szCs w:val="21"/>
              </w:rPr>
            </w:pPr>
            <w:r>
              <w:rPr>
                <w:rFonts w:hint="eastAsia"/>
                <w:kern w:val="0"/>
                <w:szCs w:val="21"/>
              </w:rPr>
              <w:t>安全生产管理体系</w:t>
            </w:r>
          </w:p>
        </w:tc>
        <w:tc>
          <w:tcPr>
            <w:tcW w:w="879" w:type="pct"/>
            <w:tcBorders>
              <w:tl2br w:val="nil"/>
              <w:tr2bl w:val="nil"/>
            </w:tcBorders>
            <w:vAlign w:val="bottom"/>
          </w:tcPr>
          <w:p>
            <w:pPr>
              <w:spacing w:line="360" w:lineRule="auto"/>
              <w:jc w:val="center"/>
              <w:rPr>
                <w:kern w:val="0"/>
                <w:szCs w:val="21"/>
              </w:rPr>
            </w:pPr>
            <w:r>
              <w:rPr>
                <w:rFonts w:hint="eastAsia"/>
                <w:kern w:val="0"/>
                <w:szCs w:val="21"/>
              </w:rPr>
              <w:t>10-40</w:t>
            </w:r>
          </w:p>
        </w:tc>
        <w:tc>
          <w:tcPr>
            <w:tcW w:w="1327" w:type="pct"/>
            <w:vMerge w:val="restart"/>
            <w:tcBorders>
              <w:tl2br w:val="nil"/>
              <w:tr2bl w:val="nil"/>
            </w:tcBorders>
            <w:vAlign w:val="center"/>
          </w:tcPr>
          <w:p>
            <w:pPr>
              <w:spacing w:line="360" w:lineRule="auto"/>
              <w:jc w:val="left"/>
              <w:rPr>
                <w:kern w:val="0"/>
                <w:szCs w:val="21"/>
              </w:rPr>
            </w:pPr>
            <w:r>
              <w:rPr>
                <w:rFonts w:hint="eastAsia"/>
                <w:kern w:val="0"/>
                <w:szCs w:val="21"/>
              </w:rPr>
              <w:t xml:space="preserve">  检查管理文件和现场实际落实情况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556" w:type="pct"/>
            <w:tcBorders>
              <w:tl2br w:val="nil"/>
              <w:tr2bl w:val="nil"/>
            </w:tcBorders>
            <w:vAlign w:val="bottom"/>
          </w:tcPr>
          <w:p>
            <w:pPr>
              <w:spacing w:line="360" w:lineRule="auto"/>
              <w:jc w:val="center"/>
              <w:rPr>
                <w:kern w:val="0"/>
                <w:szCs w:val="21"/>
              </w:rPr>
            </w:pPr>
            <w:r>
              <w:rPr>
                <w:rFonts w:hint="eastAsia"/>
                <w:kern w:val="0"/>
                <w:szCs w:val="21"/>
              </w:rPr>
              <w:t>2</w:t>
            </w:r>
          </w:p>
        </w:tc>
        <w:tc>
          <w:tcPr>
            <w:tcW w:w="2235" w:type="pct"/>
            <w:tcBorders>
              <w:tl2br w:val="nil"/>
              <w:tr2bl w:val="nil"/>
            </w:tcBorders>
            <w:vAlign w:val="bottom"/>
          </w:tcPr>
          <w:p>
            <w:pPr>
              <w:spacing w:line="360" w:lineRule="auto"/>
              <w:jc w:val="center"/>
              <w:rPr>
                <w:kern w:val="0"/>
                <w:szCs w:val="21"/>
              </w:rPr>
            </w:pPr>
            <w:r>
              <w:rPr>
                <w:rFonts w:hint="eastAsia"/>
                <w:kern w:val="0"/>
                <w:szCs w:val="21"/>
              </w:rPr>
              <w:t>安全防护设施设备</w:t>
            </w:r>
          </w:p>
        </w:tc>
        <w:tc>
          <w:tcPr>
            <w:tcW w:w="879" w:type="pct"/>
            <w:tcBorders>
              <w:tl2br w:val="nil"/>
              <w:tr2bl w:val="nil"/>
            </w:tcBorders>
            <w:vAlign w:val="bottom"/>
          </w:tcPr>
          <w:p>
            <w:pPr>
              <w:spacing w:line="360" w:lineRule="auto"/>
              <w:jc w:val="center"/>
              <w:rPr>
                <w:kern w:val="0"/>
                <w:szCs w:val="21"/>
              </w:rPr>
            </w:pPr>
            <w:r>
              <w:rPr>
                <w:rFonts w:hint="eastAsia"/>
                <w:kern w:val="0"/>
                <w:szCs w:val="21"/>
              </w:rPr>
              <w:t>10-30</w:t>
            </w:r>
          </w:p>
        </w:tc>
        <w:tc>
          <w:tcPr>
            <w:tcW w:w="1327" w:type="pct"/>
            <w:vMerge w:val="continue"/>
            <w:tcBorders>
              <w:tl2br w:val="nil"/>
              <w:tr2bl w:val="nil"/>
            </w:tcBorders>
            <w:vAlign w:val="bottom"/>
          </w:tcPr>
          <w:p>
            <w:pPr>
              <w:spacing w:line="360" w:lineRule="auto"/>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556" w:type="pct"/>
            <w:tcBorders>
              <w:tl2br w:val="nil"/>
              <w:tr2bl w:val="nil"/>
            </w:tcBorders>
            <w:vAlign w:val="bottom"/>
          </w:tcPr>
          <w:p>
            <w:pPr>
              <w:spacing w:line="360" w:lineRule="auto"/>
              <w:jc w:val="center"/>
              <w:rPr>
                <w:kern w:val="0"/>
                <w:szCs w:val="21"/>
              </w:rPr>
            </w:pPr>
            <w:r>
              <w:rPr>
                <w:rFonts w:hint="eastAsia"/>
                <w:kern w:val="0"/>
                <w:szCs w:val="21"/>
              </w:rPr>
              <w:t>3</w:t>
            </w:r>
          </w:p>
        </w:tc>
        <w:tc>
          <w:tcPr>
            <w:tcW w:w="2235" w:type="pct"/>
            <w:tcBorders>
              <w:tl2br w:val="nil"/>
              <w:tr2bl w:val="nil"/>
            </w:tcBorders>
            <w:vAlign w:val="bottom"/>
          </w:tcPr>
          <w:p>
            <w:pPr>
              <w:spacing w:line="360" w:lineRule="auto"/>
              <w:jc w:val="center"/>
              <w:rPr>
                <w:kern w:val="0"/>
                <w:szCs w:val="21"/>
              </w:rPr>
            </w:pPr>
            <w:r>
              <w:rPr>
                <w:rFonts w:hint="eastAsia"/>
                <w:kern w:val="0"/>
                <w:szCs w:val="21"/>
              </w:rPr>
              <w:t>安全教育及劳动保护</w:t>
            </w:r>
          </w:p>
        </w:tc>
        <w:tc>
          <w:tcPr>
            <w:tcW w:w="879" w:type="pct"/>
            <w:tcBorders>
              <w:tl2br w:val="nil"/>
              <w:tr2bl w:val="nil"/>
            </w:tcBorders>
            <w:vAlign w:val="bottom"/>
          </w:tcPr>
          <w:p>
            <w:pPr>
              <w:spacing w:line="360" w:lineRule="auto"/>
              <w:jc w:val="center"/>
              <w:rPr>
                <w:kern w:val="0"/>
                <w:szCs w:val="21"/>
              </w:rPr>
            </w:pPr>
            <w:r>
              <w:rPr>
                <w:rFonts w:hint="eastAsia"/>
                <w:kern w:val="0"/>
                <w:szCs w:val="21"/>
              </w:rPr>
              <w:t>10-30</w:t>
            </w:r>
          </w:p>
        </w:tc>
        <w:tc>
          <w:tcPr>
            <w:tcW w:w="1327" w:type="pct"/>
            <w:vMerge w:val="continue"/>
            <w:tcBorders>
              <w:tl2br w:val="nil"/>
              <w:tr2bl w:val="nil"/>
            </w:tcBorders>
            <w:vAlign w:val="bottom"/>
          </w:tcPr>
          <w:p>
            <w:pPr>
              <w:spacing w:line="360" w:lineRule="auto"/>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2792" w:type="pct"/>
            <w:gridSpan w:val="2"/>
            <w:tcBorders>
              <w:tl2br w:val="nil"/>
              <w:tr2bl w:val="nil"/>
            </w:tcBorders>
            <w:vAlign w:val="bottom"/>
          </w:tcPr>
          <w:p>
            <w:pPr>
              <w:spacing w:line="360" w:lineRule="auto"/>
              <w:jc w:val="center"/>
              <w:rPr>
                <w:kern w:val="0"/>
                <w:szCs w:val="21"/>
              </w:rPr>
            </w:pPr>
            <w:r>
              <w:rPr>
                <w:rFonts w:hint="eastAsia"/>
                <w:kern w:val="0"/>
                <w:szCs w:val="21"/>
              </w:rPr>
              <w:t>合计</w:t>
            </w:r>
          </w:p>
        </w:tc>
        <w:tc>
          <w:tcPr>
            <w:tcW w:w="879" w:type="pct"/>
            <w:tcBorders>
              <w:tl2br w:val="nil"/>
              <w:tr2bl w:val="nil"/>
            </w:tcBorders>
            <w:vAlign w:val="bottom"/>
          </w:tcPr>
          <w:p>
            <w:pPr>
              <w:spacing w:line="360" w:lineRule="auto"/>
              <w:jc w:val="center"/>
              <w:rPr>
                <w:kern w:val="0"/>
                <w:szCs w:val="21"/>
              </w:rPr>
            </w:pPr>
            <w:r>
              <w:rPr>
                <w:rFonts w:hint="eastAsia"/>
                <w:kern w:val="0"/>
                <w:szCs w:val="21"/>
              </w:rPr>
              <w:t>100</w:t>
            </w:r>
          </w:p>
        </w:tc>
        <w:tc>
          <w:tcPr>
            <w:tcW w:w="1327" w:type="pct"/>
            <w:vMerge w:val="continue"/>
            <w:tcBorders>
              <w:tl2br w:val="nil"/>
              <w:tr2bl w:val="nil"/>
            </w:tcBorders>
            <w:vAlign w:val="bottom"/>
          </w:tcPr>
          <w:p>
            <w:pPr>
              <w:spacing w:line="360" w:lineRule="auto"/>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5000" w:type="pct"/>
            <w:gridSpan w:val="4"/>
            <w:tcBorders>
              <w:tl2br w:val="nil"/>
              <w:tr2bl w:val="nil"/>
            </w:tcBorders>
            <w:vAlign w:val="bottom"/>
          </w:tcPr>
          <w:p>
            <w:pPr>
              <w:spacing w:line="360" w:lineRule="auto"/>
              <w:jc w:val="center"/>
              <w:rPr>
                <w:kern w:val="0"/>
                <w:szCs w:val="21"/>
              </w:rPr>
            </w:pPr>
            <w:r>
              <w:rPr>
                <w:rFonts w:hint="eastAsia"/>
                <w:kern w:val="0"/>
                <w:szCs w:val="21"/>
              </w:rPr>
              <w:t>注： 评定前一年内若发生重大安全事故，则不得参与保险评定</w:t>
            </w:r>
          </w:p>
        </w:tc>
      </w:tr>
    </w:tbl>
    <w:p>
      <w:pPr>
        <w:spacing w:before="120" w:beforeLines="50" w:line="360" w:lineRule="auto"/>
        <w:ind w:firstLine="422" w:firstLineChars="200"/>
        <w:jc w:val="center"/>
        <w:rPr>
          <w:b/>
          <w:bCs/>
          <w:kern w:val="0"/>
          <w:szCs w:val="21"/>
        </w:rPr>
      </w:pPr>
      <w:r>
        <w:rPr>
          <w:rFonts w:hint="eastAsia"/>
          <w:b/>
          <w:bCs/>
          <w:kern w:val="0"/>
          <w:szCs w:val="21"/>
        </w:rPr>
        <w:t>表B.0.3-5 企业声誉评分表</w:t>
      </w:r>
    </w:p>
    <w:tbl>
      <w:tblPr>
        <w:tblStyle w:val="39"/>
        <w:tblpPr w:leftFromText="180" w:rightFromText="180" w:vertAnchor="text" w:horzAnchor="page" w:tblpXSpec="center" w:tblpY="283"/>
        <w:tblOverlap w:val="never"/>
        <w:tblW w:w="4955"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82"/>
        <w:gridCol w:w="3677"/>
        <w:gridCol w:w="1409"/>
        <w:gridCol w:w="239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473" w:type="pct"/>
            <w:tcBorders>
              <w:tl2br w:val="nil"/>
              <w:tr2bl w:val="nil"/>
            </w:tcBorders>
          </w:tcPr>
          <w:p>
            <w:pPr>
              <w:spacing w:line="360" w:lineRule="auto"/>
              <w:jc w:val="center"/>
              <w:rPr>
                <w:kern w:val="0"/>
                <w:szCs w:val="21"/>
              </w:rPr>
            </w:pPr>
            <w:r>
              <w:rPr>
                <w:rFonts w:hint="eastAsia"/>
                <w:kern w:val="0"/>
                <w:szCs w:val="21"/>
              </w:rPr>
              <w:t>序号</w:t>
            </w:r>
          </w:p>
        </w:tc>
        <w:tc>
          <w:tcPr>
            <w:tcW w:w="2224" w:type="pct"/>
            <w:tcBorders>
              <w:tl2br w:val="nil"/>
              <w:tr2bl w:val="nil"/>
            </w:tcBorders>
          </w:tcPr>
          <w:p>
            <w:pPr>
              <w:spacing w:line="360" w:lineRule="auto"/>
              <w:jc w:val="center"/>
              <w:rPr>
                <w:kern w:val="0"/>
                <w:szCs w:val="21"/>
              </w:rPr>
            </w:pPr>
            <w:r>
              <w:rPr>
                <w:rFonts w:hint="eastAsia"/>
                <w:kern w:val="0"/>
                <w:szCs w:val="21"/>
              </w:rPr>
              <w:t>评分项</w:t>
            </w:r>
          </w:p>
        </w:tc>
        <w:tc>
          <w:tcPr>
            <w:tcW w:w="853" w:type="pct"/>
            <w:tcBorders>
              <w:tl2br w:val="nil"/>
              <w:tr2bl w:val="nil"/>
            </w:tcBorders>
          </w:tcPr>
          <w:p>
            <w:pPr>
              <w:spacing w:line="360" w:lineRule="auto"/>
              <w:jc w:val="center"/>
              <w:rPr>
                <w:kern w:val="0"/>
                <w:szCs w:val="21"/>
              </w:rPr>
            </w:pPr>
            <w:r>
              <w:rPr>
                <w:rFonts w:hint="eastAsia"/>
                <w:kern w:val="0"/>
                <w:szCs w:val="21"/>
              </w:rPr>
              <w:t>评定分值</w:t>
            </w:r>
          </w:p>
        </w:tc>
        <w:tc>
          <w:tcPr>
            <w:tcW w:w="1448" w:type="pct"/>
            <w:tcBorders>
              <w:tl2br w:val="nil"/>
              <w:tr2bl w:val="nil"/>
            </w:tcBorders>
          </w:tcPr>
          <w:p>
            <w:pPr>
              <w:spacing w:line="360" w:lineRule="auto"/>
              <w:jc w:val="center"/>
              <w:rPr>
                <w:kern w:val="0"/>
                <w:szCs w:val="21"/>
              </w:rPr>
            </w:pPr>
            <w:r>
              <w:rPr>
                <w:rFonts w:hint="eastAsia"/>
                <w:kern w:val="0"/>
                <w:szCs w:val="21"/>
              </w:rPr>
              <w:t>评定分值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473" w:type="pct"/>
            <w:tcBorders>
              <w:tl2br w:val="nil"/>
              <w:tr2bl w:val="nil"/>
            </w:tcBorders>
          </w:tcPr>
          <w:p>
            <w:pPr>
              <w:spacing w:line="360" w:lineRule="auto"/>
              <w:jc w:val="center"/>
              <w:rPr>
                <w:kern w:val="0"/>
                <w:szCs w:val="21"/>
              </w:rPr>
            </w:pPr>
            <w:r>
              <w:rPr>
                <w:rFonts w:hint="eastAsia"/>
                <w:kern w:val="0"/>
                <w:szCs w:val="21"/>
              </w:rPr>
              <w:t>1</w:t>
            </w:r>
          </w:p>
        </w:tc>
        <w:tc>
          <w:tcPr>
            <w:tcW w:w="2224" w:type="pct"/>
            <w:tcBorders>
              <w:tl2br w:val="nil"/>
              <w:tr2bl w:val="nil"/>
            </w:tcBorders>
          </w:tcPr>
          <w:p>
            <w:pPr>
              <w:spacing w:line="360" w:lineRule="auto"/>
              <w:jc w:val="center"/>
              <w:rPr>
                <w:kern w:val="0"/>
                <w:szCs w:val="21"/>
              </w:rPr>
            </w:pPr>
            <w:r>
              <w:rPr>
                <w:rFonts w:hint="eastAsia"/>
                <w:kern w:val="0"/>
                <w:szCs w:val="21"/>
              </w:rPr>
              <w:t>企业技术实力</w:t>
            </w:r>
          </w:p>
        </w:tc>
        <w:tc>
          <w:tcPr>
            <w:tcW w:w="853" w:type="pct"/>
            <w:tcBorders>
              <w:tl2br w:val="nil"/>
              <w:tr2bl w:val="nil"/>
            </w:tcBorders>
          </w:tcPr>
          <w:p>
            <w:pPr>
              <w:spacing w:line="360" w:lineRule="auto"/>
              <w:jc w:val="center"/>
              <w:rPr>
                <w:kern w:val="0"/>
                <w:szCs w:val="21"/>
              </w:rPr>
            </w:pPr>
            <w:r>
              <w:rPr>
                <w:rFonts w:hint="eastAsia"/>
                <w:kern w:val="0"/>
                <w:szCs w:val="21"/>
              </w:rPr>
              <w:t>10-40</w:t>
            </w:r>
          </w:p>
        </w:tc>
        <w:tc>
          <w:tcPr>
            <w:tcW w:w="1448" w:type="pct"/>
            <w:vMerge w:val="restart"/>
            <w:tcBorders>
              <w:tl2br w:val="nil"/>
              <w:tr2bl w:val="nil"/>
            </w:tcBorders>
          </w:tcPr>
          <w:p>
            <w:pPr>
              <w:spacing w:line="360" w:lineRule="auto"/>
              <w:ind w:firstLine="420" w:firstLineChars="200"/>
              <w:jc w:val="center"/>
              <w:rPr>
                <w:kern w:val="0"/>
                <w:szCs w:val="21"/>
              </w:rPr>
            </w:pPr>
            <w:r>
              <w:rPr>
                <w:rFonts w:hint="eastAsia"/>
                <w:kern w:val="0"/>
                <w:szCs w:val="21"/>
              </w:rPr>
              <w:t>检查荣誉、获奖等证书和相关资料</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473" w:type="pct"/>
            <w:tcBorders>
              <w:tl2br w:val="nil"/>
              <w:tr2bl w:val="nil"/>
            </w:tcBorders>
          </w:tcPr>
          <w:p>
            <w:pPr>
              <w:spacing w:line="360" w:lineRule="auto"/>
              <w:jc w:val="center"/>
              <w:rPr>
                <w:kern w:val="0"/>
                <w:szCs w:val="21"/>
              </w:rPr>
            </w:pPr>
            <w:r>
              <w:rPr>
                <w:rFonts w:hint="eastAsia"/>
                <w:kern w:val="0"/>
                <w:szCs w:val="21"/>
              </w:rPr>
              <w:t>2</w:t>
            </w:r>
          </w:p>
        </w:tc>
        <w:tc>
          <w:tcPr>
            <w:tcW w:w="2224" w:type="pct"/>
            <w:tcBorders>
              <w:tl2br w:val="nil"/>
              <w:tr2bl w:val="nil"/>
            </w:tcBorders>
          </w:tcPr>
          <w:p>
            <w:pPr>
              <w:spacing w:line="360" w:lineRule="auto"/>
              <w:jc w:val="center"/>
              <w:rPr>
                <w:kern w:val="0"/>
                <w:szCs w:val="21"/>
              </w:rPr>
            </w:pPr>
            <w:r>
              <w:rPr>
                <w:rFonts w:hint="eastAsia"/>
                <w:kern w:val="0"/>
                <w:szCs w:val="21"/>
              </w:rPr>
              <w:t>企业信用</w:t>
            </w:r>
          </w:p>
        </w:tc>
        <w:tc>
          <w:tcPr>
            <w:tcW w:w="853" w:type="pct"/>
            <w:tcBorders>
              <w:tl2br w:val="nil"/>
              <w:tr2bl w:val="nil"/>
            </w:tcBorders>
          </w:tcPr>
          <w:p>
            <w:pPr>
              <w:spacing w:line="360" w:lineRule="auto"/>
              <w:jc w:val="center"/>
              <w:rPr>
                <w:kern w:val="0"/>
                <w:szCs w:val="21"/>
              </w:rPr>
            </w:pPr>
            <w:r>
              <w:rPr>
                <w:rFonts w:hint="eastAsia"/>
                <w:kern w:val="0"/>
                <w:szCs w:val="21"/>
              </w:rPr>
              <w:t>5-20</w:t>
            </w:r>
          </w:p>
        </w:tc>
        <w:tc>
          <w:tcPr>
            <w:tcW w:w="1448" w:type="pct"/>
            <w:vMerge w:val="continue"/>
            <w:tcBorders>
              <w:tl2br w:val="nil"/>
              <w:tr2bl w:val="nil"/>
            </w:tcBorders>
          </w:tcPr>
          <w:p>
            <w:pPr>
              <w:spacing w:line="360" w:lineRule="auto"/>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473" w:type="pct"/>
            <w:tcBorders>
              <w:tl2br w:val="nil"/>
              <w:tr2bl w:val="nil"/>
            </w:tcBorders>
          </w:tcPr>
          <w:p>
            <w:pPr>
              <w:spacing w:line="360" w:lineRule="auto"/>
              <w:jc w:val="center"/>
              <w:rPr>
                <w:kern w:val="0"/>
                <w:szCs w:val="21"/>
              </w:rPr>
            </w:pPr>
            <w:r>
              <w:rPr>
                <w:rFonts w:hint="eastAsia"/>
                <w:kern w:val="0"/>
                <w:szCs w:val="21"/>
              </w:rPr>
              <w:t>3</w:t>
            </w:r>
          </w:p>
        </w:tc>
        <w:tc>
          <w:tcPr>
            <w:tcW w:w="2224" w:type="pct"/>
            <w:tcBorders>
              <w:tl2br w:val="nil"/>
              <w:tr2bl w:val="nil"/>
            </w:tcBorders>
          </w:tcPr>
          <w:p>
            <w:pPr>
              <w:spacing w:line="360" w:lineRule="auto"/>
              <w:jc w:val="center"/>
              <w:rPr>
                <w:kern w:val="0"/>
                <w:szCs w:val="21"/>
              </w:rPr>
            </w:pPr>
            <w:r>
              <w:rPr>
                <w:rFonts w:hint="eastAsia"/>
                <w:kern w:val="0"/>
                <w:szCs w:val="21"/>
              </w:rPr>
              <w:t>企业有注册商标</w:t>
            </w:r>
          </w:p>
        </w:tc>
        <w:tc>
          <w:tcPr>
            <w:tcW w:w="853" w:type="pct"/>
            <w:tcBorders>
              <w:tl2br w:val="nil"/>
              <w:tr2bl w:val="nil"/>
            </w:tcBorders>
          </w:tcPr>
          <w:p>
            <w:pPr>
              <w:spacing w:line="360" w:lineRule="auto"/>
              <w:jc w:val="center"/>
              <w:rPr>
                <w:kern w:val="0"/>
                <w:szCs w:val="21"/>
              </w:rPr>
            </w:pPr>
            <w:r>
              <w:rPr>
                <w:rFonts w:hint="eastAsia"/>
                <w:kern w:val="0"/>
                <w:szCs w:val="21"/>
              </w:rPr>
              <w:t>0-10</w:t>
            </w:r>
          </w:p>
        </w:tc>
        <w:tc>
          <w:tcPr>
            <w:tcW w:w="1448" w:type="pct"/>
            <w:vMerge w:val="continue"/>
            <w:tcBorders>
              <w:tl2br w:val="nil"/>
              <w:tr2bl w:val="nil"/>
            </w:tcBorders>
          </w:tcPr>
          <w:p>
            <w:pPr>
              <w:spacing w:line="360" w:lineRule="auto"/>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473" w:type="pct"/>
            <w:tcBorders>
              <w:tl2br w:val="nil"/>
              <w:tr2bl w:val="nil"/>
            </w:tcBorders>
          </w:tcPr>
          <w:p>
            <w:pPr>
              <w:spacing w:line="360" w:lineRule="auto"/>
              <w:jc w:val="center"/>
              <w:rPr>
                <w:kern w:val="0"/>
                <w:szCs w:val="21"/>
              </w:rPr>
            </w:pPr>
            <w:r>
              <w:rPr>
                <w:rFonts w:hint="eastAsia"/>
                <w:kern w:val="0"/>
                <w:szCs w:val="21"/>
              </w:rPr>
              <w:t>4</w:t>
            </w:r>
          </w:p>
        </w:tc>
        <w:tc>
          <w:tcPr>
            <w:tcW w:w="2224" w:type="pct"/>
            <w:tcBorders>
              <w:tl2br w:val="nil"/>
              <w:tr2bl w:val="nil"/>
            </w:tcBorders>
          </w:tcPr>
          <w:p>
            <w:pPr>
              <w:spacing w:line="360" w:lineRule="auto"/>
              <w:jc w:val="center"/>
              <w:rPr>
                <w:kern w:val="0"/>
                <w:szCs w:val="21"/>
              </w:rPr>
            </w:pPr>
            <w:r>
              <w:rPr>
                <w:rFonts w:hint="eastAsia"/>
                <w:kern w:val="0"/>
                <w:szCs w:val="21"/>
              </w:rPr>
              <w:t>员工薪酬与企业社会责任</w:t>
            </w:r>
          </w:p>
        </w:tc>
        <w:tc>
          <w:tcPr>
            <w:tcW w:w="853" w:type="pct"/>
            <w:tcBorders>
              <w:tl2br w:val="nil"/>
              <w:tr2bl w:val="nil"/>
            </w:tcBorders>
          </w:tcPr>
          <w:p>
            <w:pPr>
              <w:spacing w:line="360" w:lineRule="auto"/>
              <w:jc w:val="center"/>
              <w:rPr>
                <w:kern w:val="0"/>
                <w:szCs w:val="21"/>
              </w:rPr>
            </w:pPr>
            <w:r>
              <w:rPr>
                <w:rFonts w:hint="eastAsia"/>
                <w:kern w:val="0"/>
                <w:szCs w:val="21"/>
              </w:rPr>
              <w:t>5-10</w:t>
            </w:r>
          </w:p>
        </w:tc>
        <w:tc>
          <w:tcPr>
            <w:tcW w:w="1448" w:type="pct"/>
            <w:vMerge w:val="continue"/>
            <w:tcBorders>
              <w:tl2br w:val="nil"/>
              <w:tr2bl w:val="nil"/>
            </w:tcBorders>
          </w:tcPr>
          <w:p>
            <w:pPr>
              <w:spacing w:line="360" w:lineRule="auto"/>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473" w:type="pct"/>
            <w:tcBorders>
              <w:tl2br w:val="nil"/>
              <w:tr2bl w:val="nil"/>
            </w:tcBorders>
          </w:tcPr>
          <w:p>
            <w:pPr>
              <w:spacing w:line="360" w:lineRule="auto"/>
              <w:jc w:val="center"/>
              <w:rPr>
                <w:kern w:val="0"/>
                <w:szCs w:val="21"/>
              </w:rPr>
            </w:pPr>
            <w:r>
              <w:rPr>
                <w:rFonts w:hint="eastAsia"/>
                <w:kern w:val="0"/>
                <w:szCs w:val="21"/>
              </w:rPr>
              <w:t>5</w:t>
            </w:r>
          </w:p>
        </w:tc>
        <w:tc>
          <w:tcPr>
            <w:tcW w:w="2224" w:type="pct"/>
            <w:tcBorders>
              <w:tl2br w:val="nil"/>
              <w:tr2bl w:val="nil"/>
            </w:tcBorders>
          </w:tcPr>
          <w:p>
            <w:pPr>
              <w:spacing w:line="360" w:lineRule="auto"/>
              <w:jc w:val="center"/>
              <w:rPr>
                <w:kern w:val="0"/>
                <w:szCs w:val="21"/>
              </w:rPr>
            </w:pPr>
            <w:r>
              <w:rPr>
                <w:rFonts w:hint="eastAsia"/>
                <w:kern w:val="0"/>
                <w:szCs w:val="21"/>
              </w:rPr>
              <w:t>荣誉获得</w:t>
            </w:r>
          </w:p>
        </w:tc>
        <w:tc>
          <w:tcPr>
            <w:tcW w:w="853" w:type="pct"/>
            <w:tcBorders>
              <w:tl2br w:val="nil"/>
              <w:tr2bl w:val="nil"/>
            </w:tcBorders>
          </w:tcPr>
          <w:p>
            <w:pPr>
              <w:spacing w:line="360" w:lineRule="auto"/>
              <w:jc w:val="center"/>
              <w:rPr>
                <w:kern w:val="0"/>
                <w:szCs w:val="21"/>
              </w:rPr>
            </w:pPr>
            <w:r>
              <w:rPr>
                <w:rFonts w:hint="eastAsia"/>
                <w:kern w:val="0"/>
                <w:szCs w:val="21"/>
              </w:rPr>
              <w:t>0-20</w:t>
            </w:r>
          </w:p>
        </w:tc>
        <w:tc>
          <w:tcPr>
            <w:tcW w:w="1448" w:type="pct"/>
            <w:vMerge w:val="continue"/>
            <w:tcBorders>
              <w:tl2br w:val="nil"/>
              <w:tr2bl w:val="nil"/>
            </w:tcBorders>
          </w:tcPr>
          <w:p>
            <w:pPr>
              <w:spacing w:line="360" w:lineRule="auto"/>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2697" w:type="pct"/>
            <w:gridSpan w:val="2"/>
            <w:tcBorders>
              <w:tl2br w:val="nil"/>
              <w:tr2bl w:val="nil"/>
            </w:tcBorders>
          </w:tcPr>
          <w:p>
            <w:pPr>
              <w:spacing w:line="360" w:lineRule="auto"/>
              <w:ind w:firstLine="420" w:firstLineChars="200"/>
              <w:jc w:val="center"/>
              <w:rPr>
                <w:kern w:val="0"/>
                <w:szCs w:val="21"/>
              </w:rPr>
            </w:pPr>
            <w:r>
              <w:rPr>
                <w:rFonts w:hint="eastAsia"/>
                <w:kern w:val="0"/>
                <w:szCs w:val="21"/>
              </w:rPr>
              <w:t>合计</w:t>
            </w:r>
          </w:p>
        </w:tc>
        <w:tc>
          <w:tcPr>
            <w:tcW w:w="853" w:type="pct"/>
            <w:tcBorders>
              <w:tl2br w:val="nil"/>
              <w:tr2bl w:val="nil"/>
            </w:tcBorders>
          </w:tcPr>
          <w:p>
            <w:pPr>
              <w:spacing w:line="360" w:lineRule="auto"/>
              <w:jc w:val="center"/>
              <w:rPr>
                <w:kern w:val="0"/>
                <w:szCs w:val="21"/>
              </w:rPr>
            </w:pPr>
            <w:r>
              <w:rPr>
                <w:rFonts w:hint="eastAsia"/>
                <w:kern w:val="0"/>
                <w:szCs w:val="21"/>
              </w:rPr>
              <w:t>20-100</w:t>
            </w:r>
          </w:p>
        </w:tc>
        <w:tc>
          <w:tcPr>
            <w:tcW w:w="1448" w:type="pct"/>
            <w:vMerge w:val="continue"/>
            <w:tcBorders>
              <w:tl2br w:val="nil"/>
              <w:tr2bl w:val="nil"/>
            </w:tcBorders>
          </w:tcPr>
          <w:p>
            <w:pPr>
              <w:spacing w:line="360" w:lineRule="auto"/>
              <w:jc w:val="center"/>
              <w:rPr>
                <w:kern w:val="0"/>
                <w:szCs w:val="21"/>
              </w:rPr>
            </w:pPr>
          </w:p>
        </w:tc>
      </w:tr>
    </w:tbl>
    <w:p>
      <w:pPr>
        <w:adjustRightInd w:val="0"/>
        <w:snapToGrid w:val="0"/>
        <w:spacing w:line="360" w:lineRule="auto"/>
        <w:rPr>
          <w:kern w:val="0"/>
          <w:sz w:val="24"/>
        </w:rPr>
      </w:pPr>
      <w:bookmarkStart w:id="90" w:name="_Toc15788"/>
      <w:bookmarkStart w:id="91" w:name="_Toc12730"/>
      <w:r>
        <w:rPr>
          <w:rFonts w:hint="eastAsia"/>
          <w:kern w:val="0"/>
          <w:sz w:val="24"/>
        </w:rPr>
        <w:t>B.0.4 门窗维护保养应包含以下内容：</w:t>
      </w:r>
    </w:p>
    <w:p>
      <w:pPr>
        <w:spacing w:line="360" w:lineRule="auto"/>
        <w:jc w:val="left"/>
        <w:rPr>
          <w:kern w:val="0"/>
          <w:sz w:val="24"/>
          <w:lang w:val="zh-CN"/>
        </w:rPr>
      </w:pPr>
      <w:r>
        <w:rPr>
          <w:rFonts w:hint="eastAsia"/>
          <w:kern w:val="0"/>
          <w:sz w:val="24"/>
        </w:rPr>
        <w:t xml:space="preserve">1 </w:t>
      </w:r>
      <w:r>
        <w:rPr>
          <w:rFonts w:hint="eastAsia"/>
          <w:kern w:val="0"/>
          <w:sz w:val="24"/>
          <w:lang w:val="zh-CN"/>
        </w:rPr>
        <w:t>日常维护：</w:t>
      </w:r>
    </w:p>
    <w:p>
      <w:pPr>
        <w:spacing w:line="360" w:lineRule="auto"/>
        <w:jc w:val="left"/>
        <w:rPr>
          <w:kern w:val="0"/>
          <w:sz w:val="24"/>
          <w:lang w:val="zh-CN"/>
        </w:rPr>
      </w:pPr>
      <w:r>
        <w:rPr>
          <w:rFonts w:hint="eastAsia"/>
          <w:kern w:val="0"/>
          <w:sz w:val="24"/>
          <w:lang w:val="zh-CN"/>
        </w:rPr>
        <w:t>1）应保持门窗表面整洁，避免锐器及腐蚀性气体或液体与门窗表面接触；</w:t>
      </w:r>
    </w:p>
    <w:p>
      <w:pPr>
        <w:spacing w:line="360" w:lineRule="auto"/>
        <w:jc w:val="left"/>
        <w:rPr>
          <w:kern w:val="0"/>
          <w:sz w:val="24"/>
          <w:lang w:val="zh-CN"/>
        </w:rPr>
      </w:pPr>
      <w:r>
        <w:rPr>
          <w:rFonts w:hint="eastAsia"/>
          <w:kern w:val="0"/>
          <w:sz w:val="24"/>
          <w:lang w:val="zh-CN"/>
        </w:rPr>
        <w:t>2）检查门窗排水系统，发现堵塞或不畅应及时疏通；</w:t>
      </w:r>
    </w:p>
    <w:p>
      <w:pPr>
        <w:spacing w:line="360" w:lineRule="auto"/>
        <w:jc w:val="left"/>
        <w:rPr>
          <w:kern w:val="0"/>
          <w:sz w:val="24"/>
          <w:lang w:val="zh-CN"/>
        </w:rPr>
      </w:pPr>
      <w:r>
        <w:rPr>
          <w:rFonts w:hint="eastAsia"/>
          <w:kern w:val="0"/>
          <w:sz w:val="24"/>
          <w:lang w:val="zh-CN"/>
        </w:rPr>
        <w:t>3）在使用过程中如发现外墙门、开启窗启闭不灵或附件损坏等现象时，应及时修理或更换；</w:t>
      </w:r>
    </w:p>
    <w:p>
      <w:pPr>
        <w:spacing w:line="360" w:lineRule="auto"/>
        <w:jc w:val="left"/>
        <w:rPr>
          <w:kern w:val="0"/>
          <w:sz w:val="24"/>
          <w:lang w:val="zh-CN"/>
        </w:rPr>
      </w:pPr>
      <w:r>
        <w:rPr>
          <w:rFonts w:hint="eastAsia"/>
          <w:kern w:val="0"/>
          <w:sz w:val="24"/>
          <w:lang w:val="zh-CN"/>
        </w:rPr>
        <w:t>4）当发现密封胶、密封条脱落或损坏时，应及时进行修补与更换；</w:t>
      </w:r>
    </w:p>
    <w:p>
      <w:pPr>
        <w:spacing w:line="360" w:lineRule="auto"/>
        <w:jc w:val="left"/>
        <w:rPr>
          <w:kern w:val="0"/>
          <w:sz w:val="24"/>
          <w:lang w:val="zh-CN"/>
        </w:rPr>
      </w:pPr>
      <w:r>
        <w:rPr>
          <w:rFonts w:hint="eastAsia"/>
          <w:kern w:val="0"/>
          <w:sz w:val="24"/>
          <w:lang w:val="zh-CN"/>
        </w:rPr>
        <w:t>5）当发现门窗构件或附件的螺栓、螺钉松动或锈蚀时，应及时拧紧或更换；</w:t>
      </w:r>
    </w:p>
    <w:p>
      <w:pPr>
        <w:adjustRightInd w:val="0"/>
        <w:snapToGrid w:val="0"/>
        <w:spacing w:line="360" w:lineRule="auto"/>
        <w:rPr>
          <w:kern w:val="0"/>
          <w:sz w:val="24"/>
          <w:lang w:val="zh-CN"/>
        </w:rPr>
      </w:pPr>
      <w:r>
        <w:rPr>
          <w:rFonts w:hint="eastAsia"/>
          <w:kern w:val="0"/>
          <w:sz w:val="24"/>
          <w:lang w:val="zh-CN"/>
        </w:rPr>
        <w:t>6）当发现门窗构件、五金件及连接件损坏或功能障碍，或连接件与主体结构的锚固松动</w:t>
      </w:r>
      <w:r>
        <w:rPr>
          <w:rFonts w:hint="eastAsia"/>
          <w:kern w:val="0"/>
          <w:sz w:val="24"/>
        </w:rPr>
        <w:t>或</w:t>
      </w:r>
      <w:r>
        <w:rPr>
          <w:rFonts w:hint="eastAsia"/>
          <w:kern w:val="0"/>
          <w:sz w:val="24"/>
          <w:lang w:val="zh-CN"/>
        </w:rPr>
        <w:t>脱落，应及时更换或采取措施加固修复；</w:t>
      </w:r>
    </w:p>
    <w:p>
      <w:pPr>
        <w:spacing w:line="360" w:lineRule="auto"/>
        <w:jc w:val="left"/>
        <w:rPr>
          <w:kern w:val="0"/>
          <w:sz w:val="24"/>
          <w:lang w:val="zh-CN"/>
        </w:rPr>
      </w:pPr>
      <w:r>
        <w:rPr>
          <w:rFonts w:hint="eastAsia"/>
          <w:kern w:val="0"/>
          <w:sz w:val="24"/>
        </w:rPr>
        <w:t xml:space="preserve">2 </w:t>
      </w:r>
      <w:r>
        <w:rPr>
          <w:rFonts w:hint="eastAsia"/>
          <w:kern w:val="0"/>
          <w:sz w:val="24"/>
          <w:lang w:val="zh-CN"/>
        </w:rPr>
        <w:t>定期检查：</w:t>
      </w:r>
    </w:p>
    <w:p>
      <w:pPr>
        <w:spacing w:line="360" w:lineRule="auto"/>
        <w:jc w:val="left"/>
        <w:rPr>
          <w:kern w:val="0"/>
          <w:sz w:val="24"/>
          <w:lang w:val="zh-CN"/>
        </w:rPr>
      </w:pPr>
      <w:r>
        <w:rPr>
          <w:rFonts w:hint="eastAsia"/>
          <w:kern w:val="0"/>
          <w:sz w:val="24"/>
          <w:lang w:val="zh-CN"/>
        </w:rPr>
        <w:t>在门窗工程竣工验收一年后，应对门窗工程进行一次全面的检查，检查项目包括：</w:t>
      </w:r>
    </w:p>
    <w:p>
      <w:pPr>
        <w:spacing w:line="360" w:lineRule="auto"/>
        <w:jc w:val="left"/>
        <w:rPr>
          <w:kern w:val="0"/>
          <w:sz w:val="24"/>
          <w:lang w:val="zh-CN"/>
        </w:rPr>
      </w:pPr>
      <w:r>
        <w:rPr>
          <w:rFonts w:hint="eastAsia"/>
          <w:kern w:val="0"/>
          <w:sz w:val="24"/>
          <w:lang w:val="zh-CN"/>
        </w:rPr>
        <w:t>1）门窗整体应无变形、错位、松动，如有，则应对该部位对应的隐蔽结构进行进一步检查；</w:t>
      </w:r>
    </w:p>
    <w:p>
      <w:pPr>
        <w:spacing w:line="360" w:lineRule="auto"/>
        <w:jc w:val="left"/>
        <w:rPr>
          <w:kern w:val="0"/>
          <w:sz w:val="24"/>
          <w:lang w:val="zh-CN"/>
        </w:rPr>
      </w:pPr>
      <w:r>
        <w:rPr>
          <w:rFonts w:hint="eastAsia"/>
          <w:kern w:val="0"/>
          <w:sz w:val="24"/>
          <w:lang w:val="zh-CN"/>
        </w:rPr>
        <w:t>2）门窗的主要承力构件、连接构件和连接螺栓等应无损坏、连接应可靠、无锈蚀等，如存在影响构造安全性的问题，则应做进一步的检测和落实相应的整改措施；</w:t>
      </w:r>
    </w:p>
    <w:p>
      <w:pPr>
        <w:spacing w:line="360" w:lineRule="auto"/>
        <w:jc w:val="left"/>
        <w:rPr>
          <w:kern w:val="0"/>
          <w:sz w:val="24"/>
          <w:lang w:val="zh-CN"/>
        </w:rPr>
      </w:pPr>
      <w:r>
        <w:rPr>
          <w:rFonts w:hint="eastAsia"/>
          <w:kern w:val="0"/>
          <w:sz w:val="24"/>
          <w:lang w:val="zh-CN"/>
        </w:rPr>
        <w:t>3）门窗应无渗漏或密封失效的情况，如有，则应对该部位对应的隐蔽结构进行进一步检查和采取修补措施；</w:t>
      </w:r>
    </w:p>
    <w:p>
      <w:pPr>
        <w:spacing w:line="360" w:lineRule="auto"/>
        <w:jc w:val="left"/>
        <w:rPr>
          <w:kern w:val="0"/>
          <w:sz w:val="24"/>
          <w:lang w:val="zh-CN"/>
        </w:rPr>
      </w:pPr>
      <w:r>
        <w:rPr>
          <w:rFonts w:hint="eastAsia"/>
          <w:kern w:val="0"/>
          <w:sz w:val="24"/>
          <w:lang w:val="zh-CN"/>
        </w:rPr>
        <w:t>4）玻璃面板无松动和损坏现象；</w:t>
      </w:r>
    </w:p>
    <w:p>
      <w:pPr>
        <w:spacing w:line="360" w:lineRule="auto"/>
        <w:jc w:val="left"/>
        <w:rPr>
          <w:kern w:val="0"/>
          <w:sz w:val="24"/>
          <w:lang w:val="zh-CN"/>
        </w:rPr>
      </w:pPr>
      <w:r>
        <w:rPr>
          <w:rFonts w:hint="eastAsia"/>
          <w:kern w:val="0"/>
          <w:sz w:val="24"/>
          <w:lang w:val="zh-CN"/>
        </w:rPr>
        <w:t>5）密封胶无脱胶、开裂、起泡，密封胶条有无脱落、老化等损坏现象；</w:t>
      </w:r>
    </w:p>
    <w:p>
      <w:pPr>
        <w:spacing w:line="360" w:lineRule="auto"/>
        <w:jc w:val="left"/>
        <w:rPr>
          <w:kern w:val="0"/>
          <w:sz w:val="24"/>
          <w:lang w:val="zh-CN"/>
        </w:rPr>
      </w:pPr>
      <w:r>
        <w:rPr>
          <w:rFonts w:hint="eastAsia"/>
          <w:kern w:val="0"/>
          <w:sz w:val="24"/>
          <w:lang w:val="zh-CN"/>
        </w:rPr>
        <w:t>6）开启部分能启闭灵活，五金附件无功能障碍或损坏，安装螺栓或螺钉无松动和失效现象；</w:t>
      </w:r>
    </w:p>
    <w:p>
      <w:pPr>
        <w:adjustRightInd w:val="0"/>
        <w:snapToGrid w:val="0"/>
        <w:spacing w:line="360" w:lineRule="auto"/>
        <w:rPr>
          <w:kern w:val="0"/>
          <w:sz w:val="24"/>
          <w:lang w:val="zh-CN"/>
        </w:rPr>
      </w:pPr>
      <w:r>
        <w:rPr>
          <w:rFonts w:hint="eastAsia"/>
          <w:kern w:val="0"/>
          <w:sz w:val="24"/>
          <w:lang w:val="zh-CN"/>
        </w:rPr>
        <w:t>7）门窗排水系统通畅。</w:t>
      </w:r>
    </w:p>
    <w:p>
      <w:pPr>
        <w:spacing w:line="360" w:lineRule="auto"/>
        <w:jc w:val="left"/>
        <w:rPr>
          <w:kern w:val="0"/>
          <w:sz w:val="24"/>
          <w:lang w:val="zh-CN"/>
        </w:rPr>
      </w:pPr>
      <w:r>
        <w:rPr>
          <w:rFonts w:hint="eastAsia"/>
          <w:kern w:val="0"/>
          <w:sz w:val="24"/>
        </w:rPr>
        <w:t xml:space="preserve">3 </w:t>
      </w:r>
      <w:r>
        <w:rPr>
          <w:rFonts w:hint="eastAsia"/>
          <w:kern w:val="0"/>
          <w:sz w:val="24"/>
          <w:lang w:val="zh-CN"/>
        </w:rPr>
        <w:t>门窗清洗：</w:t>
      </w:r>
    </w:p>
    <w:p>
      <w:pPr>
        <w:spacing w:line="360" w:lineRule="auto"/>
        <w:jc w:val="left"/>
        <w:rPr>
          <w:kern w:val="0"/>
          <w:sz w:val="24"/>
          <w:lang w:val="zh-CN"/>
        </w:rPr>
      </w:pPr>
      <w:r>
        <w:rPr>
          <w:rFonts w:hint="eastAsia"/>
          <w:kern w:val="0"/>
          <w:sz w:val="24"/>
          <w:lang w:val="zh-CN"/>
        </w:rPr>
        <w:t>1）根据门窗面积灰污染程度，确定清洗门窗的次数与周期，每年至少清洗一次；</w:t>
      </w:r>
    </w:p>
    <w:p>
      <w:pPr>
        <w:spacing w:line="360" w:lineRule="auto"/>
        <w:jc w:val="left"/>
        <w:rPr>
          <w:kern w:val="0"/>
          <w:sz w:val="24"/>
          <w:lang w:val="zh-CN"/>
        </w:rPr>
      </w:pPr>
      <w:r>
        <w:rPr>
          <w:rFonts w:hint="eastAsia"/>
          <w:kern w:val="0"/>
          <w:sz w:val="24"/>
        </w:rPr>
        <w:t>2</w:t>
      </w:r>
      <w:r>
        <w:rPr>
          <w:rFonts w:hint="eastAsia"/>
          <w:kern w:val="0"/>
          <w:sz w:val="24"/>
          <w:lang w:val="zh-CN"/>
        </w:rPr>
        <w:t>）清洗镀膜玻璃膜面时不允许使用清洗液，必须用柔软、纯棉抹布擦拭；</w:t>
      </w:r>
    </w:p>
    <w:p>
      <w:pPr>
        <w:spacing w:line="360" w:lineRule="auto"/>
        <w:jc w:val="left"/>
        <w:rPr>
          <w:kern w:val="0"/>
          <w:sz w:val="24"/>
          <w:lang w:val="zh-CN"/>
        </w:rPr>
      </w:pPr>
      <w:r>
        <w:rPr>
          <w:rFonts w:hint="eastAsia"/>
          <w:kern w:val="0"/>
          <w:sz w:val="24"/>
        </w:rPr>
        <w:t>3</w:t>
      </w:r>
      <w:r>
        <w:rPr>
          <w:rFonts w:hint="eastAsia"/>
          <w:kern w:val="0"/>
          <w:sz w:val="24"/>
          <w:lang w:val="zh-CN"/>
        </w:rPr>
        <w:t>）玻璃、铝合金型材清洗时，采用中性清洗剂，清洗剂不能互相反应，不能错用；</w:t>
      </w:r>
    </w:p>
    <w:p>
      <w:pPr>
        <w:spacing w:line="360" w:lineRule="auto"/>
        <w:jc w:val="left"/>
        <w:rPr>
          <w:kern w:val="0"/>
          <w:sz w:val="24"/>
          <w:lang w:val="zh-CN"/>
        </w:rPr>
      </w:pPr>
      <w:r>
        <w:rPr>
          <w:rFonts w:hint="eastAsia"/>
          <w:kern w:val="0"/>
          <w:sz w:val="24"/>
        </w:rPr>
        <w:t>4</w:t>
      </w:r>
      <w:r>
        <w:rPr>
          <w:rFonts w:hint="eastAsia"/>
          <w:kern w:val="0"/>
          <w:sz w:val="24"/>
          <w:lang w:val="zh-CN"/>
        </w:rPr>
        <w:t>）清洗前须先以清洗剂进行检查，证明对铝合金无腐蚀作用之后方可使用，清洗后用清水冲洗干净；</w:t>
      </w:r>
    </w:p>
    <w:p>
      <w:pPr>
        <w:spacing w:line="360" w:lineRule="auto"/>
        <w:jc w:val="left"/>
        <w:rPr>
          <w:kern w:val="0"/>
          <w:sz w:val="24"/>
          <w:lang w:val="zh-CN"/>
        </w:rPr>
      </w:pPr>
      <w:r>
        <w:rPr>
          <w:rFonts w:hint="eastAsia"/>
          <w:kern w:val="0"/>
          <w:sz w:val="24"/>
        </w:rPr>
        <w:t>4 门窗</w:t>
      </w:r>
      <w:r>
        <w:rPr>
          <w:rFonts w:hint="eastAsia"/>
          <w:kern w:val="0"/>
          <w:sz w:val="24"/>
          <w:lang w:val="zh-CN"/>
        </w:rPr>
        <w:t>保养：</w:t>
      </w:r>
    </w:p>
    <w:p>
      <w:pPr>
        <w:spacing w:line="360" w:lineRule="auto"/>
        <w:jc w:val="left"/>
        <w:rPr>
          <w:kern w:val="0"/>
          <w:sz w:val="24"/>
          <w:lang w:val="zh-CN"/>
        </w:rPr>
      </w:pPr>
      <w:r>
        <w:rPr>
          <w:rFonts w:hint="eastAsia"/>
          <w:kern w:val="0"/>
          <w:sz w:val="24"/>
          <w:lang w:val="zh-CN"/>
        </w:rPr>
        <w:t>1）首先应将在施工过程中给门窗及构件表面造成影响的粘附物及时清理干净,以免凝固后清理时，划伤表面的装饰层。</w:t>
      </w:r>
    </w:p>
    <w:p>
      <w:pPr>
        <w:spacing w:line="360" w:lineRule="auto"/>
        <w:jc w:val="left"/>
        <w:rPr>
          <w:kern w:val="0"/>
          <w:sz w:val="24"/>
          <w:lang w:val="zh-CN"/>
        </w:rPr>
      </w:pPr>
      <w:r>
        <w:rPr>
          <w:rFonts w:hint="eastAsia"/>
          <w:kern w:val="0"/>
          <w:sz w:val="24"/>
          <w:lang w:val="zh-CN"/>
        </w:rPr>
        <w:t>2）门窗应采取必要的保护措施，使其不发生碰撞、变色、变形、污染等现象。</w:t>
      </w:r>
    </w:p>
    <w:p>
      <w:pPr>
        <w:spacing w:line="360" w:lineRule="auto"/>
        <w:jc w:val="left"/>
        <w:rPr>
          <w:kern w:val="0"/>
          <w:sz w:val="24"/>
          <w:lang w:val="zh-CN"/>
        </w:rPr>
      </w:pPr>
      <w:r>
        <w:rPr>
          <w:rFonts w:hint="eastAsia"/>
          <w:kern w:val="0"/>
          <w:sz w:val="24"/>
          <w:lang w:val="zh-CN"/>
        </w:rPr>
        <w:t>3）应经常检查门窗的排水系统是否正常，发现排水管堵塞应及时将其疏通。</w:t>
      </w:r>
    </w:p>
    <w:p>
      <w:pPr>
        <w:spacing w:line="360" w:lineRule="auto"/>
        <w:jc w:val="left"/>
        <w:rPr>
          <w:kern w:val="0"/>
          <w:sz w:val="24"/>
          <w:lang w:val="zh-CN"/>
        </w:rPr>
      </w:pPr>
      <w:r>
        <w:rPr>
          <w:rFonts w:hint="eastAsia"/>
          <w:kern w:val="0"/>
          <w:sz w:val="24"/>
        </w:rPr>
        <w:t>4</w:t>
      </w:r>
      <w:r>
        <w:rPr>
          <w:rFonts w:hint="eastAsia"/>
          <w:kern w:val="0"/>
          <w:sz w:val="24"/>
          <w:lang w:val="zh-CN"/>
        </w:rPr>
        <w:t>）在检修过程中发现的破损板块，应请专业门窗公司及时进行更换。</w:t>
      </w:r>
    </w:p>
    <w:p>
      <w:pPr>
        <w:pStyle w:val="70"/>
        <w:numPr>
          <w:ilvl w:val="0"/>
          <w:numId w:val="0"/>
        </w:numPr>
        <w:spacing w:before="240" w:afterLines="0" w:line="360" w:lineRule="auto"/>
        <w:outlineLvl w:val="9"/>
        <w:rPr>
          <w:rFonts w:ascii="Times New Roman" w:eastAsia="宋体"/>
          <w:sz w:val="24"/>
          <w:szCs w:val="24"/>
        </w:rPr>
      </w:pPr>
      <w:r>
        <w:rPr>
          <w:rFonts w:hint="eastAsia" w:ascii="Times New Roman" w:eastAsia="宋体"/>
          <w:sz w:val="24"/>
          <w:szCs w:val="24"/>
        </w:rPr>
        <w:t>B.0.5 运维保养分为门窗运维计划和门窗运维两个部分，</w:t>
      </w:r>
      <w:bookmarkEnd w:id="90"/>
      <w:bookmarkEnd w:id="91"/>
      <w:r>
        <w:rPr>
          <w:rFonts w:hint="eastAsia" w:ascii="Times New Roman" w:eastAsia="宋体"/>
          <w:sz w:val="24"/>
          <w:szCs w:val="24"/>
        </w:rPr>
        <w:t>其评定应满足表B.0.5-1~B.0.5-2的要求。</w:t>
      </w:r>
    </w:p>
    <w:p>
      <w:pPr>
        <w:spacing w:line="360" w:lineRule="auto"/>
        <w:ind w:firstLine="422" w:firstLineChars="200"/>
        <w:jc w:val="center"/>
        <w:rPr>
          <w:b/>
          <w:bCs/>
          <w:kern w:val="0"/>
          <w:szCs w:val="21"/>
        </w:rPr>
      </w:pPr>
      <w:r>
        <w:rPr>
          <w:rFonts w:hint="eastAsia"/>
          <w:b/>
          <w:bCs/>
          <w:kern w:val="0"/>
          <w:szCs w:val="21"/>
        </w:rPr>
        <w:t>表B.0.5-1</w:t>
      </w:r>
      <w:r>
        <w:rPr>
          <w:rFonts w:hint="eastAsia"/>
          <w:b/>
          <w:bCs/>
          <w:kern w:val="0"/>
          <w:szCs w:val="21"/>
          <w:lang w:val="zh-CN"/>
        </w:rPr>
        <w:t xml:space="preserve"> 门窗运维</w:t>
      </w:r>
      <w:r>
        <w:rPr>
          <w:rFonts w:hint="eastAsia"/>
          <w:b/>
          <w:bCs/>
          <w:kern w:val="0"/>
          <w:szCs w:val="21"/>
        </w:rPr>
        <w:t>计划评定</w:t>
      </w:r>
    </w:p>
    <w:tbl>
      <w:tblPr>
        <w:tblStyle w:val="40"/>
        <w:tblW w:w="9085"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768"/>
        <w:gridCol w:w="1275"/>
        <w:gridCol w:w="4200"/>
        <w:gridCol w:w="1262"/>
        <w:gridCol w:w="158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38" w:hRule="atLeast"/>
          <w:jc w:val="center"/>
        </w:trPr>
        <w:tc>
          <w:tcPr>
            <w:tcW w:w="768" w:type="dxa"/>
            <w:tcBorders>
              <w:tl2br w:val="nil"/>
              <w:tr2bl w:val="nil"/>
            </w:tcBorders>
            <w:vAlign w:val="center"/>
          </w:tcPr>
          <w:p>
            <w:pPr>
              <w:spacing w:line="360" w:lineRule="auto"/>
              <w:jc w:val="center"/>
              <w:rPr>
                <w:rFonts w:ascii="宋体"/>
                <w:kern w:val="0"/>
                <w:szCs w:val="21"/>
                <w:lang w:val="zh-CN"/>
              </w:rPr>
            </w:pPr>
            <w:r>
              <w:rPr>
                <w:rFonts w:hint="eastAsia" w:ascii="宋体"/>
                <w:kern w:val="0"/>
                <w:szCs w:val="21"/>
                <w:lang w:val="zh-CN"/>
              </w:rPr>
              <w:t>序号</w:t>
            </w:r>
          </w:p>
        </w:tc>
        <w:tc>
          <w:tcPr>
            <w:tcW w:w="1275" w:type="dxa"/>
            <w:tcBorders>
              <w:tl2br w:val="nil"/>
              <w:tr2bl w:val="nil"/>
            </w:tcBorders>
            <w:vAlign w:val="center"/>
          </w:tcPr>
          <w:p>
            <w:pPr>
              <w:spacing w:line="360" w:lineRule="auto"/>
              <w:jc w:val="center"/>
              <w:rPr>
                <w:rFonts w:ascii="宋体"/>
                <w:kern w:val="0"/>
                <w:szCs w:val="21"/>
                <w:lang w:val="zh-CN"/>
              </w:rPr>
            </w:pPr>
            <w:r>
              <w:rPr>
                <w:rFonts w:hint="eastAsia" w:ascii="宋体"/>
                <w:kern w:val="0"/>
                <w:szCs w:val="21"/>
              </w:rPr>
              <w:t>核</w:t>
            </w:r>
            <w:r>
              <w:rPr>
                <w:rFonts w:hint="eastAsia" w:ascii="宋体"/>
                <w:kern w:val="0"/>
                <w:szCs w:val="21"/>
                <w:lang w:val="zh-CN"/>
              </w:rPr>
              <w:t>查项目</w:t>
            </w:r>
          </w:p>
        </w:tc>
        <w:tc>
          <w:tcPr>
            <w:tcW w:w="4200" w:type="dxa"/>
            <w:tcBorders>
              <w:tl2br w:val="nil"/>
              <w:tr2bl w:val="nil"/>
            </w:tcBorders>
            <w:vAlign w:val="center"/>
          </w:tcPr>
          <w:p>
            <w:pPr>
              <w:spacing w:line="360" w:lineRule="auto"/>
              <w:jc w:val="center"/>
              <w:rPr>
                <w:rFonts w:ascii="宋体"/>
                <w:kern w:val="0"/>
                <w:szCs w:val="21"/>
                <w:lang w:val="zh-CN"/>
              </w:rPr>
            </w:pPr>
            <w:r>
              <w:rPr>
                <w:rFonts w:hint="eastAsia" w:ascii="宋体"/>
                <w:kern w:val="0"/>
                <w:szCs w:val="21"/>
                <w:lang w:val="zh-CN"/>
              </w:rPr>
              <w:t>评定规则</w:t>
            </w:r>
          </w:p>
        </w:tc>
        <w:tc>
          <w:tcPr>
            <w:tcW w:w="1262" w:type="dxa"/>
            <w:tcBorders>
              <w:tl2br w:val="nil"/>
              <w:tr2bl w:val="nil"/>
            </w:tcBorders>
            <w:vAlign w:val="center"/>
          </w:tcPr>
          <w:p>
            <w:pPr>
              <w:spacing w:line="360" w:lineRule="auto"/>
              <w:jc w:val="center"/>
              <w:rPr>
                <w:rFonts w:ascii="宋体"/>
                <w:kern w:val="0"/>
                <w:szCs w:val="21"/>
              </w:rPr>
            </w:pPr>
            <w:r>
              <w:rPr>
                <w:rFonts w:hint="eastAsia" w:ascii="宋体"/>
                <w:kern w:val="0"/>
                <w:szCs w:val="21"/>
              </w:rPr>
              <w:t>评定分值</w:t>
            </w:r>
          </w:p>
        </w:tc>
        <w:tc>
          <w:tcPr>
            <w:tcW w:w="1580" w:type="dxa"/>
            <w:tcBorders>
              <w:tl2br w:val="nil"/>
              <w:tr2bl w:val="nil"/>
            </w:tcBorders>
            <w:vAlign w:val="center"/>
          </w:tcPr>
          <w:p>
            <w:pPr>
              <w:spacing w:line="360" w:lineRule="auto"/>
              <w:jc w:val="center"/>
              <w:rPr>
                <w:rFonts w:ascii="宋体"/>
                <w:kern w:val="0"/>
                <w:szCs w:val="21"/>
              </w:rPr>
            </w:pPr>
            <w:r>
              <w:rPr>
                <w:rFonts w:hint="eastAsia" w:ascii="宋体"/>
                <w:kern w:val="0"/>
                <w:szCs w:val="21"/>
              </w:rPr>
              <w:t>核查方法</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68" w:type="dxa"/>
            <w:tcBorders>
              <w:tl2br w:val="nil"/>
              <w:tr2bl w:val="nil"/>
            </w:tcBorders>
            <w:vAlign w:val="center"/>
          </w:tcPr>
          <w:p>
            <w:pPr>
              <w:spacing w:line="360" w:lineRule="auto"/>
              <w:jc w:val="center"/>
              <w:rPr>
                <w:rFonts w:ascii="宋体"/>
                <w:kern w:val="0"/>
                <w:szCs w:val="21"/>
                <w:lang w:val="zh-CN"/>
              </w:rPr>
            </w:pPr>
            <w:r>
              <w:rPr>
                <w:rFonts w:hint="eastAsia" w:ascii="宋体"/>
                <w:kern w:val="0"/>
                <w:szCs w:val="21"/>
                <w:lang w:val="zh-CN"/>
              </w:rPr>
              <w:t>1</w:t>
            </w:r>
          </w:p>
        </w:tc>
        <w:tc>
          <w:tcPr>
            <w:tcW w:w="1275" w:type="dxa"/>
            <w:tcBorders>
              <w:tl2br w:val="nil"/>
              <w:tr2bl w:val="nil"/>
            </w:tcBorders>
            <w:vAlign w:val="center"/>
          </w:tcPr>
          <w:p>
            <w:pPr>
              <w:spacing w:line="360" w:lineRule="auto"/>
              <w:jc w:val="center"/>
              <w:rPr>
                <w:rFonts w:ascii="宋体"/>
                <w:kern w:val="0"/>
                <w:szCs w:val="21"/>
                <w:lang w:val="zh-CN"/>
              </w:rPr>
            </w:pPr>
            <w:r>
              <w:rPr>
                <w:rFonts w:hint="eastAsia" w:ascii="宋体"/>
                <w:kern w:val="0"/>
                <w:szCs w:val="21"/>
                <w:lang w:val="zh-CN"/>
              </w:rPr>
              <w:t>基本要求</w:t>
            </w:r>
          </w:p>
        </w:tc>
        <w:tc>
          <w:tcPr>
            <w:tcW w:w="4200" w:type="dxa"/>
            <w:tcBorders>
              <w:tl2br w:val="nil"/>
              <w:tr2bl w:val="nil"/>
            </w:tcBorders>
          </w:tcPr>
          <w:p>
            <w:pPr>
              <w:spacing w:line="360" w:lineRule="auto"/>
              <w:rPr>
                <w:rFonts w:ascii="宋体"/>
                <w:kern w:val="0"/>
                <w:szCs w:val="21"/>
                <w:lang w:val="zh-CN"/>
              </w:rPr>
            </w:pPr>
            <w:r>
              <w:rPr>
                <w:rFonts w:hint="eastAsia" w:ascii="宋体"/>
                <w:kern w:val="0"/>
                <w:szCs w:val="21"/>
                <w:lang w:val="zh-CN"/>
              </w:rPr>
              <w:t>是否具有门窗运维阶段的维护、保养制度和操作指引</w:t>
            </w:r>
          </w:p>
        </w:tc>
        <w:tc>
          <w:tcPr>
            <w:tcW w:w="1262" w:type="dxa"/>
            <w:tcBorders>
              <w:tl2br w:val="nil"/>
              <w:tr2bl w:val="nil"/>
            </w:tcBorders>
            <w:vAlign w:val="center"/>
          </w:tcPr>
          <w:p>
            <w:pPr>
              <w:spacing w:line="360" w:lineRule="auto"/>
              <w:jc w:val="center"/>
              <w:rPr>
                <w:rFonts w:ascii="宋体"/>
                <w:kern w:val="0"/>
                <w:szCs w:val="21"/>
              </w:rPr>
            </w:pPr>
            <w:r>
              <w:rPr>
                <w:rFonts w:hint="eastAsia" w:ascii="宋体"/>
                <w:kern w:val="0"/>
                <w:szCs w:val="21"/>
              </w:rPr>
              <w:t>5-20</w:t>
            </w:r>
          </w:p>
        </w:tc>
        <w:tc>
          <w:tcPr>
            <w:tcW w:w="1580" w:type="dxa"/>
            <w:vMerge w:val="restart"/>
            <w:tcBorders>
              <w:tl2br w:val="nil"/>
              <w:tr2bl w:val="nil"/>
            </w:tcBorders>
          </w:tcPr>
          <w:p>
            <w:pPr>
              <w:spacing w:line="360" w:lineRule="auto"/>
              <w:rPr>
                <w:rFonts w:ascii="宋体"/>
                <w:kern w:val="0"/>
                <w:szCs w:val="21"/>
              </w:rPr>
            </w:pPr>
            <w:r>
              <w:rPr>
                <w:rFonts w:hint="eastAsia" w:ascii="宋体"/>
                <w:kern w:val="0"/>
                <w:szCs w:val="21"/>
              </w:rPr>
              <w:t>检查投标企业相关文件及以往工程相关记录</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68" w:type="dxa"/>
            <w:tcBorders>
              <w:tl2br w:val="nil"/>
              <w:tr2bl w:val="nil"/>
            </w:tcBorders>
            <w:vAlign w:val="center"/>
          </w:tcPr>
          <w:p>
            <w:pPr>
              <w:spacing w:line="360" w:lineRule="auto"/>
              <w:jc w:val="center"/>
              <w:rPr>
                <w:rFonts w:ascii="宋体"/>
                <w:kern w:val="0"/>
                <w:szCs w:val="21"/>
                <w:lang w:val="zh-CN"/>
              </w:rPr>
            </w:pPr>
            <w:r>
              <w:rPr>
                <w:rFonts w:hint="eastAsia" w:ascii="宋体"/>
                <w:kern w:val="0"/>
                <w:szCs w:val="21"/>
                <w:lang w:val="zh-CN"/>
              </w:rPr>
              <w:t>2</w:t>
            </w:r>
          </w:p>
        </w:tc>
        <w:tc>
          <w:tcPr>
            <w:tcW w:w="1275" w:type="dxa"/>
            <w:tcBorders>
              <w:tl2br w:val="nil"/>
              <w:tr2bl w:val="nil"/>
            </w:tcBorders>
            <w:vAlign w:val="center"/>
          </w:tcPr>
          <w:p>
            <w:pPr>
              <w:spacing w:line="360" w:lineRule="auto"/>
              <w:jc w:val="center"/>
              <w:rPr>
                <w:rFonts w:ascii="宋体"/>
                <w:kern w:val="0"/>
                <w:szCs w:val="21"/>
                <w:lang w:val="zh-CN"/>
              </w:rPr>
            </w:pPr>
            <w:r>
              <w:rPr>
                <w:rFonts w:hint="eastAsia" w:ascii="宋体"/>
                <w:kern w:val="0"/>
                <w:szCs w:val="21"/>
                <w:lang w:val="zh-CN"/>
              </w:rPr>
              <w:t>定期检查</w:t>
            </w:r>
          </w:p>
        </w:tc>
        <w:tc>
          <w:tcPr>
            <w:tcW w:w="4200" w:type="dxa"/>
            <w:tcBorders>
              <w:tl2br w:val="nil"/>
              <w:tr2bl w:val="nil"/>
            </w:tcBorders>
          </w:tcPr>
          <w:p>
            <w:pPr>
              <w:spacing w:line="360" w:lineRule="auto"/>
              <w:rPr>
                <w:rFonts w:ascii="宋体"/>
                <w:kern w:val="0"/>
                <w:szCs w:val="21"/>
                <w:lang w:val="zh-CN"/>
              </w:rPr>
            </w:pPr>
            <w:r>
              <w:rPr>
                <w:rFonts w:hint="eastAsia" w:ascii="宋体"/>
                <w:kern w:val="0"/>
                <w:szCs w:val="21"/>
                <w:lang w:val="zh-CN"/>
              </w:rPr>
              <w:t>在门窗工程竣工验收一年后，应对门窗工程进行一次全面的检查，此后每5年应检查一次；具有完整的检查记录及缺陷清单</w:t>
            </w:r>
          </w:p>
        </w:tc>
        <w:tc>
          <w:tcPr>
            <w:tcW w:w="1262" w:type="dxa"/>
            <w:tcBorders>
              <w:tl2br w:val="nil"/>
              <w:tr2bl w:val="nil"/>
            </w:tcBorders>
            <w:vAlign w:val="center"/>
          </w:tcPr>
          <w:p>
            <w:pPr>
              <w:spacing w:line="360" w:lineRule="auto"/>
              <w:jc w:val="center"/>
              <w:rPr>
                <w:rFonts w:ascii="宋体"/>
                <w:kern w:val="0"/>
                <w:szCs w:val="21"/>
              </w:rPr>
            </w:pPr>
            <w:r>
              <w:rPr>
                <w:rFonts w:hint="eastAsia" w:ascii="宋体"/>
                <w:kern w:val="0"/>
                <w:szCs w:val="21"/>
              </w:rPr>
              <w:t>5-20</w:t>
            </w:r>
          </w:p>
        </w:tc>
        <w:tc>
          <w:tcPr>
            <w:tcW w:w="1580" w:type="dxa"/>
            <w:vMerge w:val="continue"/>
            <w:tcBorders>
              <w:tl2br w:val="nil"/>
              <w:tr2bl w:val="nil"/>
            </w:tcBorders>
          </w:tcPr>
          <w:p>
            <w:pPr>
              <w:spacing w:line="360" w:lineRule="auto"/>
              <w:rPr>
                <w:rFonts w:ascii="宋体"/>
                <w:kern w:val="0"/>
                <w:szCs w:val="21"/>
                <w:lang w:val="zh-CN"/>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28" w:hRule="atLeast"/>
          <w:jc w:val="center"/>
        </w:trPr>
        <w:tc>
          <w:tcPr>
            <w:tcW w:w="768" w:type="dxa"/>
            <w:tcBorders>
              <w:tl2br w:val="nil"/>
              <w:tr2bl w:val="nil"/>
            </w:tcBorders>
            <w:vAlign w:val="center"/>
          </w:tcPr>
          <w:p>
            <w:pPr>
              <w:spacing w:line="360" w:lineRule="auto"/>
              <w:jc w:val="center"/>
              <w:rPr>
                <w:rFonts w:ascii="宋体"/>
                <w:kern w:val="0"/>
                <w:szCs w:val="21"/>
                <w:lang w:val="zh-CN"/>
              </w:rPr>
            </w:pPr>
            <w:r>
              <w:rPr>
                <w:rFonts w:hint="eastAsia" w:ascii="宋体"/>
                <w:kern w:val="0"/>
                <w:szCs w:val="21"/>
                <w:lang w:val="zh-CN"/>
              </w:rPr>
              <w:t>3</w:t>
            </w:r>
          </w:p>
        </w:tc>
        <w:tc>
          <w:tcPr>
            <w:tcW w:w="1275" w:type="dxa"/>
            <w:tcBorders>
              <w:tl2br w:val="nil"/>
              <w:tr2bl w:val="nil"/>
            </w:tcBorders>
            <w:vAlign w:val="center"/>
          </w:tcPr>
          <w:p>
            <w:pPr>
              <w:spacing w:line="360" w:lineRule="auto"/>
              <w:jc w:val="center"/>
              <w:rPr>
                <w:rFonts w:ascii="宋体"/>
                <w:kern w:val="0"/>
                <w:szCs w:val="21"/>
                <w:lang w:val="zh-CN"/>
              </w:rPr>
            </w:pPr>
            <w:r>
              <w:rPr>
                <w:rFonts w:hint="eastAsia" w:ascii="宋体"/>
                <w:kern w:val="0"/>
                <w:szCs w:val="21"/>
                <w:lang w:val="zh-CN"/>
              </w:rPr>
              <w:t>检查记录</w:t>
            </w:r>
          </w:p>
        </w:tc>
        <w:tc>
          <w:tcPr>
            <w:tcW w:w="4200" w:type="dxa"/>
            <w:tcBorders>
              <w:tl2br w:val="nil"/>
              <w:tr2bl w:val="nil"/>
            </w:tcBorders>
          </w:tcPr>
          <w:p>
            <w:pPr>
              <w:spacing w:line="360" w:lineRule="auto"/>
              <w:rPr>
                <w:rFonts w:ascii="宋体"/>
                <w:kern w:val="0"/>
                <w:szCs w:val="21"/>
                <w:lang w:val="zh-CN"/>
              </w:rPr>
            </w:pPr>
            <w:r>
              <w:rPr>
                <w:rFonts w:hint="eastAsia" w:ascii="宋体"/>
                <w:kern w:val="0"/>
                <w:szCs w:val="21"/>
                <w:lang w:val="zh-CN"/>
              </w:rPr>
              <w:t>根据门窗运维阶段的检查情况，跟进缺陷清单的整改和验收</w:t>
            </w:r>
          </w:p>
        </w:tc>
        <w:tc>
          <w:tcPr>
            <w:tcW w:w="1262" w:type="dxa"/>
            <w:tcBorders>
              <w:tl2br w:val="nil"/>
              <w:tr2bl w:val="nil"/>
            </w:tcBorders>
            <w:vAlign w:val="center"/>
          </w:tcPr>
          <w:p>
            <w:pPr>
              <w:spacing w:line="360" w:lineRule="auto"/>
              <w:jc w:val="center"/>
              <w:rPr>
                <w:rFonts w:ascii="宋体"/>
                <w:kern w:val="0"/>
                <w:szCs w:val="21"/>
              </w:rPr>
            </w:pPr>
            <w:r>
              <w:rPr>
                <w:rFonts w:hint="eastAsia" w:ascii="宋体"/>
                <w:kern w:val="0"/>
                <w:szCs w:val="21"/>
              </w:rPr>
              <w:t>5-20</w:t>
            </w:r>
          </w:p>
        </w:tc>
        <w:tc>
          <w:tcPr>
            <w:tcW w:w="1580" w:type="dxa"/>
            <w:vMerge w:val="continue"/>
            <w:tcBorders>
              <w:tl2br w:val="nil"/>
              <w:tr2bl w:val="nil"/>
            </w:tcBorders>
          </w:tcPr>
          <w:p>
            <w:pPr>
              <w:spacing w:line="360" w:lineRule="auto"/>
              <w:rPr>
                <w:rFonts w:ascii="宋体"/>
                <w:kern w:val="0"/>
                <w:szCs w:val="21"/>
                <w:lang w:val="zh-CN"/>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68" w:type="dxa"/>
            <w:tcBorders>
              <w:tl2br w:val="nil"/>
              <w:tr2bl w:val="nil"/>
            </w:tcBorders>
            <w:vAlign w:val="center"/>
          </w:tcPr>
          <w:p>
            <w:pPr>
              <w:spacing w:line="360" w:lineRule="auto"/>
              <w:jc w:val="center"/>
              <w:rPr>
                <w:rFonts w:ascii="宋体"/>
                <w:kern w:val="0"/>
                <w:szCs w:val="21"/>
                <w:lang w:val="zh-CN"/>
              </w:rPr>
            </w:pPr>
            <w:r>
              <w:rPr>
                <w:rFonts w:hint="eastAsia" w:ascii="宋体"/>
                <w:kern w:val="0"/>
                <w:szCs w:val="21"/>
                <w:lang w:val="zh-CN"/>
              </w:rPr>
              <w:t>4</w:t>
            </w:r>
          </w:p>
        </w:tc>
        <w:tc>
          <w:tcPr>
            <w:tcW w:w="1275" w:type="dxa"/>
            <w:tcBorders>
              <w:tl2br w:val="nil"/>
              <w:tr2bl w:val="nil"/>
            </w:tcBorders>
            <w:vAlign w:val="center"/>
          </w:tcPr>
          <w:p>
            <w:pPr>
              <w:spacing w:line="360" w:lineRule="auto"/>
              <w:jc w:val="center"/>
              <w:rPr>
                <w:rFonts w:ascii="宋体"/>
                <w:kern w:val="0"/>
                <w:szCs w:val="21"/>
                <w:lang w:val="zh-CN"/>
              </w:rPr>
            </w:pPr>
            <w:r>
              <w:rPr>
                <w:rFonts w:hint="eastAsia" w:ascii="宋体"/>
                <w:kern w:val="0"/>
                <w:szCs w:val="21"/>
                <w:lang w:val="zh-CN"/>
              </w:rPr>
              <w:t>检查和检测</w:t>
            </w:r>
          </w:p>
        </w:tc>
        <w:tc>
          <w:tcPr>
            <w:tcW w:w="4200" w:type="dxa"/>
            <w:tcBorders>
              <w:tl2br w:val="nil"/>
              <w:tr2bl w:val="nil"/>
            </w:tcBorders>
          </w:tcPr>
          <w:p>
            <w:pPr>
              <w:spacing w:line="360" w:lineRule="auto"/>
              <w:rPr>
                <w:rFonts w:ascii="宋体"/>
                <w:kern w:val="0"/>
                <w:szCs w:val="21"/>
                <w:lang w:val="zh-CN"/>
              </w:rPr>
            </w:pPr>
            <w:r>
              <w:rPr>
                <w:rFonts w:hint="eastAsia" w:ascii="宋体"/>
                <w:kern w:val="0"/>
                <w:szCs w:val="21"/>
                <w:lang w:val="zh-CN"/>
              </w:rPr>
              <w:t>影响安全、防水、使用性能等关键因素完成缺陷整改后进行必要的检查和检测</w:t>
            </w:r>
          </w:p>
        </w:tc>
        <w:tc>
          <w:tcPr>
            <w:tcW w:w="1262" w:type="dxa"/>
            <w:tcBorders>
              <w:tl2br w:val="nil"/>
              <w:tr2bl w:val="nil"/>
            </w:tcBorders>
            <w:vAlign w:val="center"/>
          </w:tcPr>
          <w:p>
            <w:pPr>
              <w:spacing w:line="360" w:lineRule="auto"/>
              <w:jc w:val="center"/>
              <w:rPr>
                <w:rFonts w:ascii="宋体"/>
                <w:kern w:val="0"/>
                <w:szCs w:val="21"/>
              </w:rPr>
            </w:pPr>
            <w:r>
              <w:rPr>
                <w:rFonts w:hint="eastAsia" w:ascii="宋体"/>
                <w:kern w:val="0"/>
                <w:szCs w:val="21"/>
              </w:rPr>
              <w:t>5-20</w:t>
            </w:r>
          </w:p>
        </w:tc>
        <w:tc>
          <w:tcPr>
            <w:tcW w:w="1580" w:type="dxa"/>
            <w:vMerge w:val="continue"/>
            <w:tcBorders>
              <w:tl2br w:val="nil"/>
              <w:tr2bl w:val="nil"/>
            </w:tcBorders>
          </w:tcPr>
          <w:p>
            <w:pPr>
              <w:spacing w:line="360" w:lineRule="auto"/>
              <w:rPr>
                <w:rFonts w:ascii="宋体"/>
                <w:kern w:val="0"/>
                <w:szCs w:val="21"/>
                <w:lang w:val="zh-CN"/>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68" w:type="dxa"/>
            <w:tcBorders>
              <w:tl2br w:val="nil"/>
              <w:tr2bl w:val="nil"/>
            </w:tcBorders>
            <w:vAlign w:val="center"/>
          </w:tcPr>
          <w:p>
            <w:pPr>
              <w:spacing w:line="360" w:lineRule="auto"/>
              <w:jc w:val="center"/>
              <w:rPr>
                <w:rFonts w:ascii="宋体"/>
                <w:kern w:val="0"/>
                <w:szCs w:val="21"/>
                <w:lang w:val="zh-CN"/>
              </w:rPr>
            </w:pPr>
            <w:r>
              <w:rPr>
                <w:rFonts w:hint="eastAsia" w:ascii="宋体"/>
                <w:kern w:val="0"/>
                <w:szCs w:val="21"/>
                <w:lang w:val="zh-CN"/>
              </w:rPr>
              <w:t>5</w:t>
            </w:r>
          </w:p>
        </w:tc>
        <w:tc>
          <w:tcPr>
            <w:tcW w:w="1275" w:type="dxa"/>
            <w:tcBorders>
              <w:tl2br w:val="nil"/>
              <w:tr2bl w:val="nil"/>
            </w:tcBorders>
            <w:vAlign w:val="center"/>
          </w:tcPr>
          <w:p>
            <w:pPr>
              <w:spacing w:line="360" w:lineRule="auto"/>
              <w:jc w:val="center"/>
              <w:rPr>
                <w:rFonts w:ascii="宋体"/>
                <w:kern w:val="0"/>
                <w:szCs w:val="21"/>
                <w:lang w:val="zh-CN"/>
              </w:rPr>
            </w:pPr>
            <w:r>
              <w:rPr>
                <w:rFonts w:hint="eastAsia" w:ascii="宋体"/>
                <w:kern w:val="0"/>
                <w:szCs w:val="21"/>
                <w:lang w:val="zh-CN"/>
              </w:rPr>
              <w:t>清洗和保养</w:t>
            </w:r>
          </w:p>
        </w:tc>
        <w:tc>
          <w:tcPr>
            <w:tcW w:w="4200" w:type="dxa"/>
            <w:tcBorders>
              <w:tl2br w:val="nil"/>
              <w:tr2bl w:val="nil"/>
            </w:tcBorders>
          </w:tcPr>
          <w:p>
            <w:pPr>
              <w:spacing w:line="360" w:lineRule="auto"/>
              <w:rPr>
                <w:rFonts w:ascii="宋体"/>
                <w:kern w:val="0"/>
                <w:szCs w:val="21"/>
                <w:lang w:val="zh-CN"/>
              </w:rPr>
            </w:pPr>
            <w:r>
              <w:rPr>
                <w:rFonts w:hint="eastAsia" w:ascii="宋体"/>
                <w:kern w:val="0"/>
                <w:szCs w:val="21"/>
                <w:lang w:val="zh-CN"/>
              </w:rPr>
              <w:t>门窗清洗和保养记录，原则上每年至少应清洗一次</w:t>
            </w:r>
          </w:p>
        </w:tc>
        <w:tc>
          <w:tcPr>
            <w:tcW w:w="1262" w:type="dxa"/>
            <w:tcBorders>
              <w:tl2br w:val="nil"/>
              <w:tr2bl w:val="nil"/>
            </w:tcBorders>
            <w:vAlign w:val="center"/>
          </w:tcPr>
          <w:p>
            <w:pPr>
              <w:spacing w:line="360" w:lineRule="auto"/>
              <w:jc w:val="center"/>
              <w:rPr>
                <w:rFonts w:ascii="宋体"/>
                <w:kern w:val="0"/>
                <w:szCs w:val="21"/>
              </w:rPr>
            </w:pPr>
            <w:r>
              <w:rPr>
                <w:rFonts w:hint="eastAsia" w:ascii="宋体"/>
                <w:kern w:val="0"/>
                <w:szCs w:val="21"/>
              </w:rPr>
              <w:t>5-20</w:t>
            </w:r>
          </w:p>
        </w:tc>
        <w:tc>
          <w:tcPr>
            <w:tcW w:w="1580" w:type="dxa"/>
            <w:vMerge w:val="continue"/>
            <w:tcBorders>
              <w:tl2br w:val="nil"/>
              <w:tr2bl w:val="nil"/>
            </w:tcBorders>
          </w:tcPr>
          <w:p>
            <w:pPr>
              <w:spacing w:line="360" w:lineRule="auto"/>
              <w:rPr>
                <w:rFonts w:ascii="宋体"/>
                <w:kern w:val="0"/>
                <w:szCs w:val="21"/>
                <w:lang w:val="zh-CN"/>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6243" w:type="dxa"/>
            <w:gridSpan w:val="3"/>
            <w:tcBorders>
              <w:tl2br w:val="nil"/>
              <w:tr2bl w:val="nil"/>
            </w:tcBorders>
            <w:vAlign w:val="center"/>
          </w:tcPr>
          <w:p>
            <w:pPr>
              <w:spacing w:line="360" w:lineRule="auto"/>
              <w:jc w:val="center"/>
              <w:rPr>
                <w:rFonts w:ascii="宋体"/>
                <w:kern w:val="0"/>
                <w:szCs w:val="21"/>
              </w:rPr>
            </w:pPr>
            <w:r>
              <w:rPr>
                <w:rFonts w:hint="eastAsia" w:ascii="宋体"/>
                <w:kern w:val="0"/>
                <w:szCs w:val="21"/>
              </w:rPr>
              <w:t>合计</w:t>
            </w:r>
          </w:p>
        </w:tc>
        <w:tc>
          <w:tcPr>
            <w:tcW w:w="1262" w:type="dxa"/>
            <w:tcBorders>
              <w:tl2br w:val="nil"/>
              <w:tr2bl w:val="nil"/>
            </w:tcBorders>
            <w:vAlign w:val="center"/>
          </w:tcPr>
          <w:p>
            <w:pPr>
              <w:spacing w:line="360" w:lineRule="auto"/>
              <w:jc w:val="center"/>
              <w:rPr>
                <w:rFonts w:ascii="宋体"/>
                <w:kern w:val="0"/>
                <w:szCs w:val="21"/>
              </w:rPr>
            </w:pPr>
            <w:r>
              <w:rPr>
                <w:rFonts w:hint="eastAsia" w:ascii="宋体"/>
                <w:kern w:val="0"/>
                <w:szCs w:val="21"/>
              </w:rPr>
              <w:t>25-100</w:t>
            </w:r>
          </w:p>
        </w:tc>
        <w:tc>
          <w:tcPr>
            <w:tcW w:w="1580" w:type="dxa"/>
            <w:tcBorders>
              <w:tl2br w:val="nil"/>
              <w:tr2bl w:val="nil"/>
            </w:tcBorders>
          </w:tcPr>
          <w:p>
            <w:pPr>
              <w:spacing w:line="360" w:lineRule="auto"/>
              <w:rPr>
                <w:rFonts w:ascii="宋体"/>
                <w:kern w:val="0"/>
                <w:szCs w:val="21"/>
                <w:lang w:val="zh-CN"/>
              </w:rPr>
            </w:pPr>
          </w:p>
        </w:tc>
      </w:tr>
    </w:tbl>
    <w:p>
      <w:pPr>
        <w:spacing w:line="360" w:lineRule="auto"/>
        <w:rPr>
          <w:kern w:val="0"/>
          <w:sz w:val="24"/>
          <w:lang w:val="zh-CN"/>
        </w:rPr>
      </w:pPr>
    </w:p>
    <w:p>
      <w:pPr>
        <w:spacing w:line="360" w:lineRule="auto"/>
        <w:ind w:firstLine="422" w:firstLineChars="200"/>
        <w:jc w:val="center"/>
        <w:rPr>
          <w:b/>
          <w:bCs/>
          <w:kern w:val="0"/>
          <w:szCs w:val="21"/>
        </w:rPr>
      </w:pPr>
      <w:r>
        <w:rPr>
          <w:rFonts w:hint="eastAsia"/>
          <w:b/>
          <w:bCs/>
          <w:kern w:val="0"/>
          <w:szCs w:val="21"/>
        </w:rPr>
        <w:t>表B.0.5-2</w:t>
      </w:r>
      <w:r>
        <w:rPr>
          <w:rFonts w:hint="eastAsia"/>
          <w:b/>
          <w:bCs/>
          <w:kern w:val="0"/>
          <w:szCs w:val="21"/>
          <w:lang w:val="zh-CN"/>
        </w:rPr>
        <w:t xml:space="preserve"> 门窗运维阶段评分项</w:t>
      </w:r>
    </w:p>
    <w:tbl>
      <w:tblPr>
        <w:tblStyle w:val="39"/>
        <w:tblW w:w="9168"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21"/>
        <w:gridCol w:w="5612"/>
        <w:gridCol w:w="1159"/>
        <w:gridCol w:w="147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7" w:hRule="atLeast"/>
          <w:jc w:val="center"/>
        </w:trPr>
        <w:tc>
          <w:tcPr>
            <w:tcW w:w="921" w:type="dxa"/>
            <w:tcBorders>
              <w:tl2br w:val="nil"/>
              <w:tr2bl w:val="nil"/>
            </w:tcBorders>
            <w:vAlign w:val="center"/>
          </w:tcPr>
          <w:p>
            <w:pPr>
              <w:spacing w:line="360" w:lineRule="auto"/>
              <w:jc w:val="center"/>
              <w:rPr>
                <w:kern w:val="0"/>
                <w:szCs w:val="21"/>
              </w:rPr>
            </w:pPr>
            <w:r>
              <w:rPr>
                <w:rFonts w:hint="eastAsia"/>
                <w:kern w:val="0"/>
                <w:szCs w:val="21"/>
              </w:rPr>
              <w:t>序号</w:t>
            </w:r>
          </w:p>
        </w:tc>
        <w:tc>
          <w:tcPr>
            <w:tcW w:w="5612" w:type="dxa"/>
            <w:tcBorders>
              <w:tl2br w:val="nil"/>
              <w:tr2bl w:val="nil"/>
            </w:tcBorders>
            <w:vAlign w:val="center"/>
          </w:tcPr>
          <w:p>
            <w:pPr>
              <w:spacing w:line="360" w:lineRule="auto"/>
              <w:ind w:firstLine="420" w:firstLineChars="200"/>
              <w:jc w:val="center"/>
              <w:rPr>
                <w:kern w:val="0"/>
                <w:szCs w:val="21"/>
              </w:rPr>
            </w:pPr>
            <w:r>
              <w:rPr>
                <w:rFonts w:hint="eastAsia"/>
                <w:kern w:val="0"/>
                <w:szCs w:val="21"/>
              </w:rPr>
              <w:t>评分内容</w:t>
            </w:r>
          </w:p>
        </w:tc>
        <w:tc>
          <w:tcPr>
            <w:tcW w:w="1159" w:type="dxa"/>
            <w:tcBorders>
              <w:tl2br w:val="nil"/>
              <w:tr2bl w:val="nil"/>
            </w:tcBorders>
            <w:vAlign w:val="center"/>
          </w:tcPr>
          <w:p>
            <w:pPr>
              <w:spacing w:line="360" w:lineRule="auto"/>
              <w:jc w:val="center"/>
              <w:rPr>
                <w:kern w:val="0"/>
                <w:szCs w:val="21"/>
              </w:rPr>
            </w:pPr>
            <w:r>
              <w:rPr>
                <w:rFonts w:hint="eastAsia"/>
                <w:kern w:val="0"/>
                <w:szCs w:val="21"/>
              </w:rPr>
              <w:t>评定分值</w:t>
            </w:r>
          </w:p>
        </w:tc>
        <w:tc>
          <w:tcPr>
            <w:tcW w:w="1476" w:type="dxa"/>
            <w:tcBorders>
              <w:tl2br w:val="nil"/>
              <w:tr2bl w:val="nil"/>
            </w:tcBorders>
            <w:vAlign w:val="center"/>
          </w:tcPr>
          <w:p>
            <w:pPr>
              <w:spacing w:line="360" w:lineRule="auto"/>
              <w:jc w:val="center"/>
              <w:rPr>
                <w:kern w:val="0"/>
                <w:szCs w:val="21"/>
              </w:rPr>
            </w:pPr>
            <w:r>
              <w:rPr>
                <w:rFonts w:hint="eastAsia"/>
                <w:kern w:val="0"/>
                <w:szCs w:val="21"/>
              </w:rPr>
              <w:t>核查方法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94" w:hRule="atLeast"/>
          <w:jc w:val="center"/>
        </w:trPr>
        <w:tc>
          <w:tcPr>
            <w:tcW w:w="921" w:type="dxa"/>
            <w:tcBorders>
              <w:tl2br w:val="nil"/>
              <w:tr2bl w:val="nil"/>
            </w:tcBorders>
            <w:vAlign w:val="center"/>
          </w:tcPr>
          <w:p>
            <w:pPr>
              <w:spacing w:line="360" w:lineRule="auto"/>
              <w:jc w:val="center"/>
              <w:rPr>
                <w:kern w:val="0"/>
                <w:szCs w:val="21"/>
              </w:rPr>
            </w:pPr>
            <w:r>
              <w:rPr>
                <w:rFonts w:hint="eastAsia"/>
                <w:kern w:val="0"/>
                <w:szCs w:val="21"/>
              </w:rPr>
              <w:t>1</w:t>
            </w:r>
          </w:p>
        </w:tc>
        <w:tc>
          <w:tcPr>
            <w:tcW w:w="5612" w:type="dxa"/>
            <w:tcBorders>
              <w:tl2br w:val="nil"/>
              <w:tr2bl w:val="nil"/>
            </w:tcBorders>
            <w:vAlign w:val="center"/>
          </w:tcPr>
          <w:p>
            <w:pPr>
              <w:spacing w:line="360" w:lineRule="auto"/>
              <w:ind w:firstLine="420" w:firstLineChars="200"/>
              <w:rPr>
                <w:kern w:val="0"/>
                <w:szCs w:val="21"/>
              </w:rPr>
            </w:pPr>
            <w:r>
              <w:rPr>
                <w:rFonts w:hint="eastAsia"/>
                <w:kern w:val="0"/>
                <w:szCs w:val="21"/>
                <w:lang w:val="zh-CN"/>
              </w:rPr>
              <w:t>运维指引/制度完整。门窗表面无明显可见的色差、损伤，无功能性障碍；未发现涉及安全和防水的质量缺陷。</w:t>
            </w:r>
          </w:p>
        </w:tc>
        <w:tc>
          <w:tcPr>
            <w:tcW w:w="1159" w:type="dxa"/>
            <w:tcBorders>
              <w:tl2br w:val="nil"/>
              <w:tr2bl w:val="nil"/>
            </w:tcBorders>
          </w:tcPr>
          <w:p>
            <w:pPr>
              <w:spacing w:line="360" w:lineRule="auto"/>
              <w:ind w:firstLine="420" w:firstLineChars="200"/>
              <w:rPr>
                <w:kern w:val="0"/>
                <w:szCs w:val="21"/>
              </w:rPr>
            </w:pPr>
            <w:r>
              <w:rPr>
                <w:rFonts w:hint="eastAsia"/>
                <w:kern w:val="0"/>
                <w:szCs w:val="21"/>
              </w:rPr>
              <w:t>0-25</w:t>
            </w:r>
          </w:p>
        </w:tc>
        <w:tc>
          <w:tcPr>
            <w:tcW w:w="1476" w:type="dxa"/>
            <w:vMerge w:val="restart"/>
            <w:tcBorders>
              <w:tl2br w:val="nil"/>
              <w:tr2bl w:val="nil"/>
            </w:tcBorders>
          </w:tcPr>
          <w:p>
            <w:pPr>
              <w:spacing w:line="360" w:lineRule="auto"/>
              <w:ind w:firstLine="420" w:firstLineChars="200"/>
              <w:rPr>
                <w:kern w:val="0"/>
                <w:szCs w:val="21"/>
              </w:rPr>
            </w:pPr>
            <w:r>
              <w:rPr>
                <w:rFonts w:hint="eastAsia"/>
                <w:kern w:val="0"/>
                <w:szCs w:val="21"/>
              </w:rPr>
              <w:t>检查实际执行记录，实地投标产品用户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94" w:hRule="atLeast"/>
          <w:jc w:val="center"/>
        </w:trPr>
        <w:tc>
          <w:tcPr>
            <w:tcW w:w="921" w:type="dxa"/>
            <w:tcBorders>
              <w:tl2br w:val="nil"/>
              <w:tr2bl w:val="nil"/>
            </w:tcBorders>
            <w:vAlign w:val="center"/>
          </w:tcPr>
          <w:p>
            <w:pPr>
              <w:spacing w:line="360" w:lineRule="auto"/>
              <w:jc w:val="center"/>
              <w:rPr>
                <w:kern w:val="0"/>
                <w:szCs w:val="21"/>
              </w:rPr>
            </w:pPr>
            <w:r>
              <w:rPr>
                <w:rFonts w:hint="eastAsia"/>
                <w:kern w:val="0"/>
                <w:szCs w:val="21"/>
              </w:rPr>
              <w:t>2</w:t>
            </w:r>
          </w:p>
        </w:tc>
        <w:tc>
          <w:tcPr>
            <w:tcW w:w="5612" w:type="dxa"/>
            <w:tcBorders>
              <w:tl2br w:val="nil"/>
              <w:tr2bl w:val="nil"/>
            </w:tcBorders>
            <w:vAlign w:val="center"/>
          </w:tcPr>
          <w:p>
            <w:pPr>
              <w:spacing w:line="360" w:lineRule="auto"/>
              <w:ind w:firstLine="420" w:firstLineChars="200"/>
              <w:rPr>
                <w:kern w:val="0"/>
                <w:szCs w:val="21"/>
              </w:rPr>
            </w:pPr>
            <w:r>
              <w:rPr>
                <w:rFonts w:hint="eastAsia"/>
                <w:kern w:val="0"/>
                <w:szCs w:val="21"/>
                <w:lang w:val="zh-CN"/>
              </w:rPr>
              <w:t>具有竣工后1年全面检查报告，结论为无明显质量问题。定期检查、检测及整改、维修记录完整，不存在质量缺陷和隐患。</w:t>
            </w:r>
          </w:p>
        </w:tc>
        <w:tc>
          <w:tcPr>
            <w:tcW w:w="1159" w:type="dxa"/>
            <w:tcBorders>
              <w:tl2br w:val="nil"/>
              <w:tr2bl w:val="nil"/>
            </w:tcBorders>
          </w:tcPr>
          <w:p>
            <w:pPr>
              <w:spacing w:line="360" w:lineRule="auto"/>
              <w:ind w:firstLine="420" w:firstLineChars="200"/>
              <w:rPr>
                <w:kern w:val="0"/>
                <w:szCs w:val="21"/>
              </w:rPr>
            </w:pPr>
            <w:r>
              <w:rPr>
                <w:rFonts w:hint="eastAsia"/>
                <w:kern w:val="0"/>
                <w:szCs w:val="21"/>
              </w:rPr>
              <w:t>0-25</w:t>
            </w:r>
          </w:p>
        </w:tc>
        <w:tc>
          <w:tcPr>
            <w:tcW w:w="1476" w:type="dxa"/>
            <w:vMerge w:val="continue"/>
            <w:tcBorders>
              <w:tl2br w:val="nil"/>
              <w:tr2bl w:val="nil"/>
            </w:tcBorders>
          </w:tcPr>
          <w:p>
            <w:pPr>
              <w:spacing w:line="360" w:lineRule="auto"/>
              <w:ind w:firstLine="420" w:firstLineChars="200"/>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94" w:hRule="atLeast"/>
          <w:jc w:val="center"/>
        </w:trPr>
        <w:tc>
          <w:tcPr>
            <w:tcW w:w="921" w:type="dxa"/>
            <w:tcBorders>
              <w:tl2br w:val="nil"/>
              <w:tr2bl w:val="nil"/>
            </w:tcBorders>
            <w:vAlign w:val="center"/>
          </w:tcPr>
          <w:p>
            <w:pPr>
              <w:spacing w:line="360" w:lineRule="auto"/>
              <w:jc w:val="center"/>
              <w:rPr>
                <w:kern w:val="0"/>
                <w:szCs w:val="21"/>
              </w:rPr>
            </w:pPr>
            <w:r>
              <w:rPr>
                <w:rFonts w:hint="eastAsia"/>
                <w:kern w:val="0"/>
                <w:szCs w:val="21"/>
              </w:rPr>
              <w:t>3</w:t>
            </w:r>
          </w:p>
        </w:tc>
        <w:tc>
          <w:tcPr>
            <w:tcW w:w="5612" w:type="dxa"/>
            <w:tcBorders>
              <w:tl2br w:val="nil"/>
              <w:tr2bl w:val="nil"/>
            </w:tcBorders>
            <w:vAlign w:val="center"/>
          </w:tcPr>
          <w:p>
            <w:pPr>
              <w:spacing w:line="360" w:lineRule="auto"/>
              <w:ind w:firstLine="420" w:firstLineChars="200"/>
              <w:rPr>
                <w:kern w:val="0"/>
                <w:szCs w:val="21"/>
              </w:rPr>
            </w:pPr>
            <w:r>
              <w:rPr>
                <w:rFonts w:hint="eastAsia"/>
                <w:kern w:val="0"/>
                <w:szCs w:val="21"/>
                <w:lang w:val="zh-CN"/>
              </w:rPr>
              <w:t>门窗清洗、保养记录完整。每年</w:t>
            </w:r>
            <w:r>
              <w:rPr>
                <w:rFonts w:hint="eastAsia"/>
                <w:kern w:val="0"/>
                <w:szCs w:val="21"/>
              </w:rPr>
              <w:t>至少</w:t>
            </w:r>
            <w:r>
              <w:rPr>
                <w:rFonts w:hint="eastAsia"/>
                <w:kern w:val="0"/>
                <w:szCs w:val="21"/>
                <w:lang w:val="zh-CN"/>
              </w:rPr>
              <w:t>清洗</w:t>
            </w:r>
            <w:r>
              <w:rPr>
                <w:rFonts w:hint="eastAsia"/>
                <w:kern w:val="0"/>
                <w:szCs w:val="21"/>
              </w:rPr>
              <w:t>一</w:t>
            </w:r>
            <w:r>
              <w:rPr>
                <w:rFonts w:hint="eastAsia"/>
                <w:kern w:val="0"/>
                <w:szCs w:val="21"/>
                <w:lang w:val="zh-CN"/>
              </w:rPr>
              <w:t>次；清洁剂、清洁工具和设备完全符合要求。</w:t>
            </w:r>
          </w:p>
        </w:tc>
        <w:tc>
          <w:tcPr>
            <w:tcW w:w="1159" w:type="dxa"/>
            <w:tcBorders>
              <w:tl2br w:val="nil"/>
              <w:tr2bl w:val="nil"/>
            </w:tcBorders>
          </w:tcPr>
          <w:p>
            <w:pPr>
              <w:spacing w:line="360" w:lineRule="auto"/>
              <w:ind w:firstLine="420" w:firstLineChars="200"/>
              <w:rPr>
                <w:kern w:val="0"/>
                <w:szCs w:val="21"/>
              </w:rPr>
            </w:pPr>
            <w:r>
              <w:rPr>
                <w:rFonts w:hint="eastAsia"/>
                <w:kern w:val="0"/>
                <w:szCs w:val="21"/>
              </w:rPr>
              <w:t>0-25</w:t>
            </w:r>
          </w:p>
        </w:tc>
        <w:tc>
          <w:tcPr>
            <w:tcW w:w="1476" w:type="dxa"/>
            <w:vMerge w:val="continue"/>
            <w:tcBorders>
              <w:tl2br w:val="nil"/>
              <w:tr2bl w:val="nil"/>
            </w:tcBorders>
          </w:tcPr>
          <w:p>
            <w:pPr>
              <w:spacing w:line="360" w:lineRule="auto"/>
              <w:ind w:firstLine="420" w:firstLineChars="200"/>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94" w:hRule="atLeast"/>
          <w:jc w:val="center"/>
        </w:trPr>
        <w:tc>
          <w:tcPr>
            <w:tcW w:w="921" w:type="dxa"/>
            <w:tcBorders>
              <w:tl2br w:val="nil"/>
              <w:tr2bl w:val="nil"/>
            </w:tcBorders>
            <w:vAlign w:val="center"/>
          </w:tcPr>
          <w:p>
            <w:pPr>
              <w:spacing w:line="360" w:lineRule="auto"/>
              <w:jc w:val="center"/>
              <w:rPr>
                <w:kern w:val="0"/>
                <w:szCs w:val="21"/>
              </w:rPr>
            </w:pPr>
            <w:r>
              <w:rPr>
                <w:rFonts w:hint="eastAsia"/>
                <w:kern w:val="0"/>
                <w:szCs w:val="21"/>
              </w:rPr>
              <w:t>4</w:t>
            </w:r>
          </w:p>
        </w:tc>
        <w:tc>
          <w:tcPr>
            <w:tcW w:w="5612" w:type="dxa"/>
            <w:tcBorders>
              <w:tl2br w:val="nil"/>
              <w:tr2bl w:val="nil"/>
            </w:tcBorders>
            <w:vAlign w:val="center"/>
          </w:tcPr>
          <w:p>
            <w:pPr>
              <w:spacing w:line="360" w:lineRule="auto"/>
              <w:ind w:firstLine="420" w:firstLineChars="200"/>
              <w:rPr>
                <w:kern w:val="0"/>
                <w:szCs w:val="21"/>
              </w:rPr>
            </w:pPr>
            <w:r>
              <w:rPr>
                <w:rFonts w:hint="eastAsia"/>
                <w:kern w:val="0"/>
                <w:szCs w:val="21"/>
                <w:lang w:val="zh-CN"/>
              </w:rPr>
              <w:t>门窗保养记录完整，措施合理，过程及结果等关键性资料（包括但不限于照片/影像等）保存完整、全面。</w:t>
            </w:r>
          </w:p>
        </w:tc>
        <w:tc>
          <w:tcPr>
            <w:tcW w:w="1159" w:type="dxa"/>
            <w:tcBorders>
              <w:tl2br w:val="nil"/>
              <w:tr2bl w:val="nil"/>
            </w:tcBorders>
            <w:vAlign w:val="center"/>
          </w:tcPr>
          <w:p>
            <w:pPr>
              <w:spacing w:line="360" w:lineRule="auto"/>
              <w:ind w:firstLine="420" w:firstLineChars="200"/>
              <w:rPr>
                <w:kern w:val="0"/>
                <w:szCs w:val="21"/>
              </w:rPr>
            </w:pPr>
            <w:r>
              <w:rPr>
                <w:rFonts w:hint="eastAsia"/>
                <w:kern w:val="0"/>
                <w:szCs w:val="21"/>
              </w:rPr>
              <w:t>0-25</w:t>
            </w:r>
          </w:p>
        </w:tc>
        <w:tc>
          <w:tcPr>
            <w:tcW w:w="1476" w:type="dxa"/>
            <w:vMerge w:val="continue"/>
            <w:tcBorders>
              <w:tl2br w:val="nil"/>
              <w:tr2bl w:val="nil"/>
            </w:tcBorders>
            <w:vAlign w:val="center"/>
          </w:tcPr>
          <w:p>
            <w:pPr>
              <w:spacing w:line="360" w:lineRule="auto"/>
              <w:ind w:firstLine="420" w:firstLineChars="200"/>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jc w:val="center"/>
        </w:trPr>
        <w:tc>
          <w:tcPr>
            <w:tcW w:w="6533" w:type="dxa"/>
            <w:gridSpan w:val="2"/>
            <w:tcBorders>
              <w:tl2br w:val="nil"/>
              <w:tr2bl w:val="nil"/>
            </w:tcBorders>
            <w:vAlign w:val="center"/>
          </w:tcPr>
          <w:p>
            <w:pPr>
              <w:spacing w:line="360" w:lineRule="auto"/>
              <w:ind w:firstLine="420" w:firstLineChars="200"/>
              <w:rPr>
                <w:kern w:val="0"/>
                <w:szCs w:val="21"/>
              </w:rPr>
            </w:pPr>
            <w:r>
              <w:rPr>
                <w:rFonts w:hint="eastAsia"/>
                <w:kern w:val="0"/>
                <w:szCs w:val="21"/>
              </w:rPr>
              <w:t>合计</w:t>
            </w:r>
          </w:p>
        </w:tc>
        <w:tc>
          <w:tcPr>
            <w:tcW w:w="1159" w:type="dxa"/>
            <w:tcBorders>
              <w:tl2br w:val="nil"/>
              <w:tr2bl w:val="nil"/>
            </w:tcBorders>
          </w:tcPr>
          <w:p>
            <w:pPr>
              <w:spacing w:line="360" w:lineRule="auto"/>
              <w:ind w:firstLine="420" w:firstLineChars="200"/>
              <w:rPr>
                <w:kern w:val="0"/>
                <w:szCs w:val="21"/>
              </w:rPr>
            </w:pPr>
            <w:r>
              <w:rPr>
                <w:rFonts w:hint="eastAsia"/>
                <w:kern w:val="0"/>
                <w:szCs w:val="21"/>
              </w:rPr>
              <w:t>0-100</w:t>
            </w:r>
          </w:p>
        </w:tc>
        <w:tc>
          <w:tcPr>
            <w:tcW w:w="1476" w:type="dxa"/>
            <w:tcBorders>
              <w:tl2br w:val="nil"/>
              <w:tr2bl w:val="nil"/>
            </w:tcBorders>
          </w:tcPr>
          <w:p>
            <w:pPr>
              <w:spacing w:line="360" w:lineRule="auto"/>
              <w:ind w:firstLine="420" w:firstLineChars="200"/>
              <w:rPr>
                <w:kern w:val="0"/>
                <w:szCs w:val="21"/>
              </w:rPr>
            </w:pPr>
          </w:p>
        </w:tc>
      </w:tr>
    </w:tbl>
    <w:p>
      <w:pPr>
        <w:adjustRightInd w:val="0"/>
        <w:snapToGrid w:val="0"/>
        <w:spacing w:line="360" w:lineRule="auto"/>
        <w:rPr>
          <w:kern w:val="0"/>
          <w:sz w:val="24"/>
        </w:rPr>
      </w:pPr>
    </w:p>
    <w:p>
      <w:pPr>
        <w:rPr>
          <w:rFonts w:ascii="宋体" w:hAnsi="宋体" w:cs="宋体"/>
          <w:b/>
          <w:bCs/>
          <w:kern w:val="44"/>
          <w:sz w:val="24"/>
        </w:rPr>
      </w:pPr>
      <w:r>
        <w:rPr>
          <w:rFonts w:hint="eastAsia" w:ascii="宋体" w:hAnsi="宋体" w:cs="宋体"/>
          <w:b/>
          <w:bCs/>
          <w:kern w:val="44"/>
          <w:sz w:val="24"/>
        </w:rPr>
        <w:br w:type="page"/>
      </w:r>
    </w:p>
    <w:p>
      <w:pPr>
        <w:spacing w:line="360" w:lineRule="auto"/>
        <w:jc w:val="center"/>
        <w:outlineLvl w:val="0"/>
        <w:rPr>
          <w:rFonts w:ascii="黑体" w:hAnsi="黑体" w:eastAsia="黑体" w:cs="黑体"/>
          <w:color w:val="000000"/>
          <w:kern w:val="44"/>
          <w:sz w:val="32"/>
          <w:szCs w:val="32"/>
        </w:rPr>
      </w:pPr>
      <w:bookmarkStart w:id="92" w:name="_Toc6552"/>
      <w:r>
        <w:rPr>
          <w:rFonts w:hint="eastAsia" w:ascii="黑体" w:hAnsi="黑体" w:eastAsia="黑体" w:cs="黑体"/>
          <w:color w:val="000000"/>
          <w:kern w:val="44"/>
          <w:sz w:val="32"/>
          <w:szCs w:val="32"/>
        </w:rPr>
        <w:t>附录C 技术性内容评估指标</w:t>
      </w:r>
      <w:bookmarkEnd w:id="92"/>
    </w:p>
    <w:p>
      <w:pPr>
        <w:spacing w:line="360" w:lineRule="auto"/>
        <w:rPr>
          <w:kern w:val="0"/>
          <w:sz w:val="24"/>
        </w:rPr>
      </w:pPr>
      <w:r>
        <w:rPr>
          <w:rFonts w:hint="eastAsia"/>
          <w:kern w:val="0"/>
          <w:sz w:val="24"/>
        </w:rPr>
        <w:t>C.0.1 建筑门窗设计评定包含设计成果、开启形式以及性能要求等，其评定应符合表C.0.1的要求。</w:t>
      </w:r>
    </w:p>
    <w:p>
      <w:pPr>
        <w:spacing w:line="360" w:lineRule="auto"/>
        <w:jc w:val="center"/>
        <w:rPr>
          <w:b/>
          <w:bCs/>
          <w:kern w:val="0"/>
          <w:szCs w:val="21"/>
        </w:rPr>
      </w:pPr>
      <w:r>
        <w:rPr>
          <w:rFonts w:hint="eastAsia"/>
          <w:kern w:val="0"/>
          <w:sz w:val="24"/>
        </w:rPr>
        <w:t>表C.0.1</w:t>
      </w:r>
      <w:r>
        <w:rPr>
          <w:rFonts w:hint="eastAsia"/>
          <w:b/>
          <w:bCs/>
          <w:kern w:val="0"/>
          <w:szCs w:val="21"/>
        </w:rPr>
        <w:t xml:space="preserve"> 建筑门窗设计评分项及评定</w:t>
      </w:r>
    </w:p>
    <w:tbl>
      <w:tblPr>
        <w:tblStyle w:val="39"/>
        <w:tblW w:w="9180"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931"/>
        <w:gridCol w:w="1208"/>
        <w:gridCol w:w="1925"/>
        <w:gridCol w:w="1665"/>
        <w:gridCol w:w="1665"/>
        <w:gridCol w:w="178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31" w:type="dxa"/>
            <w:vMerge w:val="restart"/>
            <w:tcBorders>
              <w:tl2br w:val="nil"/>
              <w:tr2bl w:val="nil"/>
            </w:tcBorders>
            <w:vAlign w:val="center"/>
          </w:tcPr>
          <w:p>
            <w:pPr>
              <w:spacing w:line="360" w:lineRule="auto"/>
              <w:jc w:val="center"/>
              <w:rPr>
                <w:kern w:val="0"/>
                <w:szCs w:val="21"/>
              </w:rPr>
            </w:pPr>
            <w:r>
              <w:rPr>
                <w:rFonts w:hint="eastAsia"/>
                <w:kern w:val="0"/>
                <w:szCs w:val="21"/>
              </w:rPr>
              <w:t>项目</w:t>
            </w:r>
          </w:p>
        </w:tc>
        <w:tc>
          <w:tcPr>
            <w:tcW w:w="1208" w:type="dxa"/>
            <w:vMerge w:val="restart"/>
            <w:tcBorders>
              <w:tl2br w:val="nil"/>
              <w:tr2bl w:val="nil"/>
            </w:tcBorders>
            <w:vAlign w:val="center"/>
          </w:tcPr>
          <w:p>
            <w:pPr>
              <w:spacing w:line="360" w:lineRule="auto"/>
              <w:jc w:val="center"/>
              <w:rPr>
                <w:kern w:val="0"/>
                <w:szCs w:val="21"/>
              </w:rPr>
            </w:pPr>
            <w:r>
              <w:rPr>
                <w:rFonts w:hint="eastAsia"/>
                <w:kern w:val="0"/>
                <w:szCs w:val="21"/>
              </w:rPr>
              <w:t>检查内容</w:t>
            </w:r>
          </w:p>
        </w:tc>
        <w:tc>
          <w:tcPr>
            <w:tcW w:w="7041" w:type="dxa"/>
            <w:gridSpan w:val="4"/>
            <w:tcBorders>
              <w:tl2br w:val="nil"/>
              <w:tr2bl w:val="nil"/>
            </w:tcBorders>
            <w:vAlign w:val="center"/>
          </w:tcPr>
          <w:p>
            <w:pPr>
              <w:spacing w:line="360" w:lineRule="auto"/>
              <w:jc w:val="center"/>
              <w:rPr>
                <w:kern w:val="0"/>
                <w:szCs w:val="21"/>
              </w:rPr>
            </w:pPr>
            <w:r>
              <w:rPr>
                <w:rFonts w:hint="eastAsia"/>
                <w:kern w:val="0"/>
                <w:szCs w:val="21"/>
              </w:rPr>
              <w:t>评定规则和分级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31" w:type="dxa"/>
            <w:vMerge w:val="continue"/>
            <w:tcBorders>
              <w:tl2br w:val="nil"/>
              <w:tr2bl w:val="nil"/>
            </w:tcBorders>
          </w:tcPr>
          <w:p>
            <w:pPr>
              <w:spacing w:line="360" w:lineRule="auto"/>
              <w:jc w:val="center"/>
              <w:rPr>
                <w:kern w:val="0"/>
                <w:szCs w:val="21"/>
              </w:rPr>
            </w:pPr>
          </w:p>
        </w:tc>
        <w:tc>
          <w:tcPr>
            <w:tcW w:w="1208" w:type="dxa"/>
            <w:vMerge w:val="continue"/>
            <w:tcBorders>
              <w:tl2br w:val="nil"/>
              <w:tr2bl w:val="nil"/>
            </w:tcBorders>
          </w:tcPr>
          <w:p>
            <w:pPr>
              <w:spacing w:line="360" w:lineRule="auto"/>
              <w:jc w:val="center"/>
              <w:rPr>
                <w:kern w:val="0"/>
                <w:szCs w:val="21"/>
              </w:rPr>
            </w:pPr>
          </w:p>
        </w:tc>
        <w:tc>
          <w:tcPr>
            <w:tcW w:w="1925" w:type="dxa"/>
            <w:tcBorders>
              <w:tl2br w:val="nil"/>
              <w:tr2bl w:val="nil"/>
            </w:tcBorders>
          </w:tcPr>
          <w:p>
            <w:pPr>
              <w:spacing w:line="360" w:lineRule="auto"/>
              <w:jc w:val="center"/>
              <w:rPr>
                <w:kern w:val="0"/>
                <w:szCs w:val="21"/>
              </w:rPr>
            </w:pPr>
            <w:r>
              <w:rPr>
                <w:rFonts w:hint="eastAsia"/>
                <w:kern w:val="0"/>
                <w:szCs w:val="21"/>
              </w:rPr>
              <w:t>A级</w:t>
            </w:r>
          </w:p>
        </w:tc>
        <w:tc>
          <w:tcPr>
            <w:tcW w:w="1665" w:type="dxa"/>
            <w:tcBorders>
              <w:tl2br w:val="nil"/>
              <w:tr2bl w:val="nil"/>
            </w:tcBorders>
          </w:tcPr>
          <w:p>
            <w:pPr>
              <w:spacing w:line="360" w:lineRule="auto"/>
              <w:jc w:val="center"/>
              <w:rPr>
                <w:kern w:val="0"/>
                <w:szCs w:val="21"/>
              </w:rPr>
            </w:pPr>
            <w:r>
              <w:rPr>
                <w:rFonts w:hint="eastAsia"/>
                <w:kern w:val="0"/>
                <w:szCs w:val="21"/>
              </w:rPr>
              <w:t>B级</w:t>
            </w:r>
          </w:p>
        </w:tc>
        <w:tc>
          <w:tcPr>
            <w:tcW w:w="1665" w:type="dxa"/>
            <w:tcBorders>
              <w:tl2br w:val="nil"/>
              <w:tr2bl w:val="nil"/>
            </w:tcBorders>
          </w:tcPr>
          <w:p>
            <w:pPr>
              <w:spacing w:line="360" w:lineRule="auto"/>
              <w:jc w:val="center"/>
              <w:rPr>
                <w:kern w:val="0"/>
                <w:szCs w:val="21"/>
              </w:rPr>
            </w:pPr>
            <w:r>
              <w:rPr>
                <w:rFonts w:hint="eastAsia"/>
                <w:kern w:val="0"/>
                <w:szCs w:val="21"/>
              </w:rPr>
              <w:t>C级</w:t>
            </w:r>
          </w:p>
        </w:tc>
        <w:tc>
          <w:tcPr>
            <w:tcW w:w="1786" w:type="dxa"/>
            <w:tcBorders>
              <w:tl2br w:val="nil"/>
              <w:tr2bl w:val="nil"/>
            </w:tcBorders>
          </w:tcPr>
          <w:p>
            <w:pPr>
              <w:spacing w:line="360" w:lineRule="auto"/>
              <w:jc w:val="center"/>
              <w:rPr>
                <w:kern w:val="0"/>
                <w:szCs w:val="21"/>
              </w:rPr>
            </w:pPr>
            <w:r>
              <w:rPr>
                <w:rFonts w:hint="eastAsia"/>
                <w:kern w:val="0"/>
                <w:szCs w:val="21"/>
              </w:rPr>
              <w:t>D级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31" w:type="dxa"/>
            <w:tcBorders>
              <w:tl2br w:val="nil"/>
              <w:tr2bl w:val="nil"/>
            </w:tcBorders>
            <w:vAlign w:val="center"/>
          </w:tcPr>
          <w:p>
            <w:pPr>
              <w:spacing w:line="360" w:lineRule="auto"/>
              <w:jc w:val="center"/>
              <w:rPr>
                <w:kern w:val="0"/>
                <w:szCs w:val="21"/>
              </w:rPr>
            </w:pPr>
            <w:r>
              <w:rPr>
                <w:rFonts w:hint="eastAsia"/>
                <w:kern w:val="0"/>
                <w:szCs w:val="21"/>
              </w:rPr>
              <w:t>资料</w:t>
            </w:r>
          </w:p>
        </w:tc>
        <w:tc>
          <w:tcPr>
            <w:tcW w:w="1208" w:type="dxa"/>
            <w:tcBorders>
              <w:tl2br w:val="nil"/>
              <w:tr2bl w:val="nil"/>
            </w:tcBorders>
            <w:vAlign w:val="center"/>
          </w:tcPr>
          <w:p>
            <w:pPr>
              <w:spacing w:line="360" w:lineRule="auto"/>
              <w:jc w:val="center"/>
              <w:rPr>
                <w:kern w:val="0"/>
                <w:szCs w:val="21"/>
              </w:rPr>
            </w:pPr>
            <w:r>
              <w:rPr>
                <w:rFonts w:hint="eastAsia"/>
                <w:kern w:val="0"/>
                <w:szCs w:val="21"/>
              </w:rPr>
              <w:t>设计成果</w:t>
            </w:r>
          </w:p>
        </w:tc>
        <w:tc>
          <w:tcPr>
            <w:tcW w:w="1925" w:type="dxa"/>
            <w:tcBorders>
              <w:tl2br w:val="nil"/>
              <w:tr2bl w:val="nil"/>
            </w:tcBorders>
            <w:vAlign w:val="center"/>
          </w:tcPr>
          <w:p>
            <w:pPr>
              <w:spacing w:line="360" w:lineRule="auto"/>
              <w:jc w:val="center"/>
              <w:rPr>
                <w:kern w:val="0"/>
                <w:szCs w:val="21"/>
              </w:rPr>
            </w:pPr>
            <w:r>
              <w:rPr>
                <w:rFonts w:hint="eastAsia"/>
                <w:kern w:val="0"/>
                <w:szCs w:val="21"/>
              </w:rPr>
              <w:t>具有设计说明、结构计算、五金件装配图、门窗大样图、门窗节点图、制作安装作业指导书等</w:t>
            </w:r>
          </w:p>
        </w:tc>
        <w:tc>
          <w:tcPr>
            <w:tcW w:w="1665" w:type="dxa"/>
            <w:tcBorders>
              <w:tl2br w:val="nil"/>
              <w:tr2bl w:val="nil"/>
            </w:tcBorders>
            <w:vAlign w:val="center"/>
          </w:tcPr>
          <w:p>
            <w:pPr>
              <w:spacing w:line="360" w:lineRule="auto"/>
              <w:jc w:val="center"/>
              <w:rPr>
                <w:kern w:val="0"/>
                <w:szCs w:val="21"/>
              </w:rPr>
            </w:pPr>
            <w:r>
              <w:rPr>
                <w:rFonts w:hint="eastAsia"/>
                <w:kern w:val="0"/>
                <w:szCs w:val="21"/>
              </w:rPr>
              <w:t>结构计算、五金件装配图、门窗大样图、门窗节点图、制作安装作业指导书等</w:t>
            </w:r>
          </w:p>
        </w:tc>
        <w:tc>
          <w:tcPr>
            <w:tcW w:w="1665" w:type="dxa"/>
            <w:tcBorders>
              <w:tl2br w:val="nil"/>
              <w:tr2bl w:val="nil"/>
            </w:tcBorders>
            <w:vAlign w:val="center"/>
          </w:tcPr>
          <w:p>
            <w:pPr>
              <w:spacing w:line="360" w:lineRule="auto"/>
              <w:jc w:val="center"/>
              <w:rPr>
                <w:kern w:val="0"/>
                <w:szCs w:val="21"/>
              </w:rPr>
            </w:pPr>
            <w:r>
              <w:rPr>
                <w:rFonts w:hint="eastAsia"/>
                <w:kern w:val="0"/>
                <w:szCs w:val="21"/>
              </w:rPr>
              <w:t>结构计算、门窗大样图、门窗节点图、制作安装作业指导书等</w:t>
            </w:r>
          </w:p>
        </w:tc>
        <w:tc>
          <w:tcPr>
            <w:tcW w:w="1786" w:type="dxa"/>
            <w:tcBorders>
              <w:tl2br w:val="nil"/>
              <w:tr2bl w:val="nil"/>
            </w:tcBorders>
            <w:vAlign w:val="center"/>
          </w:tcPr>
          <w:p>
            <w:pPr>
              <w:spacing w:line="360" w:lineRule="auto"/>
              <w:jc w:val="center"/>
              <w:rPr>
                <w:kern w:val="0"/>
                <w:szCs w:val="21"/>
              </w:rPr>
            </w:pPr>
            <w:r>
              <w:rPr>
                <w:rFonts w:hint="eastAsia"/>
                <w:kern w:val="0"/>
                <w:szCs w:val="21"/>
              </w:rPr>
              <w:t>门窗大样图、门窗节点图、制作安装作业指导书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31" w:type="dxa"/>
            <w:tcBorders>
              <w:tl2br w:val="nil"/>
              <w:tr2bl w:val="nil"/>
            </w:tcBorders>
            <w:vAlign w:val="center"/>
          </w:tcPr>
          <w:p>
            <w:pPr>
              <w:spacing w:line="360" w:lineRule="auto"/>
              <w:jc w:val="center"/>
              <w:rPr>
                <w:kern w:val="0"/>
                <w:szCs w:val="21"/>
              </w:rPr>
            </w:pPr>
            <w:r>
              <w:rPr>
                <w:rFonts w:hint="eastAsia"/>
                <w:kern w:val="0"/>
                <w:szCs w:val="21"/>
              </w:rPr>
              <w:t>开启</w:t>
            </w:r>
          </w:p>
        </w:tc>
        <w:tc>
          <w:tcPr>
            <w:tcW w:w="1208" w:type="dxa"/>
            <w:tcBorders>
              <w:tl2br w:val="nil"/>
              <w:tr2bl w:val="nil"/>
            </w:tcBorders>
            <w:vAlign w:val="center"/>
          </w:tcPr>
          <w:p>
            <w:pPr>
              <w:spacing w:line="360" w:lineRule="auto"/>
              <w:jc w:val="center"/>
              <w:rPr>
                <w:kern w:val="0"/>
                <w:szCs w:val="21"/>
              </w:rPr>
            </w:pPr>
            <w:r>
              <w:rPr>
                <w:rFonts w:hint="eastAsia"/>
                <w:kern w:val="0"/>
                <w:szCs w:val="21"/>
              </w:rPr>
              <w:t>开启形式</w:t>
            </w:r>
          </w:p>
        </w:tc>
        <w:tc>
          <w:tcPr>
            <w:tcW w:w="1925" w:type="dxa"/>
            <w:tcBorders>
              <w:tl2br w:val="nil"/>
              <w:tr2bl w:val="nil"/>
            </w:tcBorders>
            <w:vAlign w:val="center"/>
          </w:tcPr>
          <w:p>
            <w:pPr>
              <w:spacing w:line="360" w:lineRule="auto"/>
              <w:jc w:val="center"/>
              <w:rPr>
                <w:kern w:val="0"/>
                <w:szCs w:val="21"/>
              </w:rPr>
            </w:pPr>
            <w:r>
              <w:rPr>
                <w:rFonts w:hint="eastAsia"/>
                <w:kern w:val="0"/>
                <w:szCs w:val="21"/>
              </w:rPr>
              <w:t>上下悬窗</w:t>
            </w:r>
          </w:p>
          <w:p>
            <w:pPr>
              <w:spacing w:line="360" w:lineRule="auto"/>
              <w:jc w:val="center"/>
              <w:rPr>
                <w:kern w:val="0"/>
                <w:szCs w:val="21"/>
              </w:rPr>
            </w:pPr>
            <w:r>
              <w:rPr>
                <w:rFonts w:hint="eastAsia"/>
                <w:kern w:val="0"/>
                <w:szCs w:val="21"/>
              </w:rPr>
              <w:t>上翻门</w:t>
            </w:r>
          </w:p>
          <w:p>
            <w:pPr>
              <w:spacing w:line="360" w:lineRule="auto"/>
              <w:jc w:val="center"/>
              <w:rPr>
                <w:kern w:val="0"/>
                <w:szCs w:val="21"/>
              </w:rPr>
            </w:pPr>
            <w:r>
              <w:rPr>
                <w:rFonts w:hint="eastAsia"/>
                <w:kern w:val="0"/>
                <w:szCs w:val="21"/>
              </w:rPr>
              <w:t>卷帘门</w:t>
            </w:r>
          </w:p>
          <w:p>
            <w:pPr>
              <w:spacing w:line="360" w:lineRule="auto"/>
              <w:jc w:val="center"/>
              <w:rPr>
                <w:kern w:val="0"/>
                <w:szCs w:val="21"/>
              </w:rPr>
            </w:pPr>
            <w:r>
              <w:rPr>
                <w:rFonts w:hint="eastAsia"/>
                <w:kern w:val="0"/>
                <w:szCs w:val="21"/>
              </w:rPr>
              <w:t>上提门</w:t>
            </w:r>
          </w:p>
        </w:tc>
        <w:tc>
          <w:tcPr>
            <w:tcW w:w="1665" w:type="dxa"/>
            <w:tcBorders>
              <w:tl2br w:val="nil"/>
              <w:tr2bl w:val="nil"/>
            </w:tcBorders>
            <w:vAlign w:val="center"/>
          </w:tcPr>
          <w:p>
            <w:pPr>
              <w:spacing w:line="360" w:lineRule="auto"/>
              <w:jc w:val="center"/>
              <w:rPr>
                <w:kern w:val="0"/>
                <w:szCs w:val="21"/>
              </w:rPr>
            </w:pPr>
            <w:r>
              <w:rPr>
                <w:rFonts w:hint="eastAsia"/>
                <w:kern w:val="0"/>
                <w:szCs w:val="21"/>
              </w:rPr>
              <w:t>平开窗</w:t>
            </w:r>
          </w:p>
          <w:p>
            <w:pPr>
              <w:spacing w:line="360" w:lineRule="auto"/>
              <w:jc w:val="center"/>
              <w:rPr>
                <w:kern w:val="0"/>
                <w:szCs w:val="21"/>
              </w:rPr>
            </w:pPr>
            <w:r>
              <w:rPr>
                <w:rFonts w:hint="eastAsia"/>
                <w:kern w:val="0"/>
                <w:szCs w:val="21"/>
              </w:rPr>
              <w:t>平开门</w:t>
            </w:r>
          </w:p>
          <w:p>
            <w:pPr>
              <w:spacing w:line="360" w:lineRule="auto"/>
              <w:jc w:val="center"/>
              <w:rPr>
                <w:kern w:val="0"/>
                <w:szCs w:val="21"/>
              </w:rPr>
            </w:pPr>
            <w:r>
              <w:rPr>
                <w:rFonts w:hint="eastAsia"/>
                <w:kern w:val="0"/>
                <w:szCs w:val="21"/>
              </w:rPr>
              <w:t>平推窗</w:t>
            </w:r>
          </w:p>
          <w:p>
            <w:pPr>
              <w:spacing w:line="360" w:lineRule="auto"/>
              <w:jc w:val="center"/>
              <w:rPr>
                <w:kern w:val="0"/>
                <w:szCs w:val="21"/>
              </w:rPr>
            </w:pPr>
            <w:r>
              <w:rPr>
                <w:rFonts w:hint="eastAsia"/>
                <w:kern w:val="0"/>
                <w:szCs w:val="21"/>
              </w:rPr>
              <w:t>折叠门</w:t>
            </w:r>
          </w:p>
          <w:p>
            <w:pPr>
              <w:spacing w:line="360" w:lineRule="auto"/>
              <w:jc w:val="center"/>
              <w:rPr>
                <w:kern w:val="0"/>
                <w:szCs w:val="21"/>
              </w:rPr>
            </w:pPr>
            <w:r>
              <w:rPr>
                <w:rFonts w:hint="eastAsia"/>
                <w:kern w:val="0"/>
                <w:szCs w:val="21"/>
              </w:rPr>
              <w:t>下滑门</w:t>
            </w:r>
          </w:p>
        </w:tc>
        <w:tc>
          <w:tcPr>
            <w:tcW w:w="3451" w:type="dxa"/>
            <w:gridSpan w:val="2"/>
            <w:tcBorders>
              <w:tl2br w:val="nil"/>
              <w:tr2bl w:val="nil"/>
            </w:tcBorders>
            <w:vAlign w:val="center"/>
          </w:tcPr>
          <w:p>
            <w:pPr>
              <w:spacing w:line="360" w:lineRule="auto"/>
              <w:jc w:val="center"/>
              <w:rPr>
                <w:kern w:val="0"/>
                <w:szCs w:val="21"/>
              </w:rPr>
            </w:pPr>
            <w:r>
              <w:rPr>
                <w:rFonts w:hint="eastAsia"/>
                <w:kern w:val="0"/>
                <w:szCs w:val="21"/>
              </w:rPr>
              <w:t xml:space="preserve">推拉窗 </w:t>
            </w:r>
          </w:p>
          <w:p>
            <w:pPr>
              <w:spacing w:line="360" w:lineRule="auto"/>
              <w:jc w:val="center"/>
              <w:rPr>
                <w:kern w:val="0"/>
                <w:szCs w:val="21"/>
              </w:rPr>
            </w:pPr>
            <w:r>
              <w:rPr>
                <w:rFonts w:hint="eastAsia"/>
                <w:kern w:val="0"/>
                <w:szCs w:val="21"/>
              </w:rPr>
              <w:t>推拉门</w:t>
            </w:r>
          </w:p>
          <w:p>
            <w:pPr>
              <w:spacing w:line="360" w:lineRule="auto"/>
              <w:jc w:val="center"/>
              <w:rPr>
                <w:kern w:val="0"/>
                <w:szCs w:val="21"/>
              </w:rPr>
            </w:pPr>
            <w:r>
              <w:rPr>
                <w:rFonts w:hint="eastAsia"/>
                <w:kern w:val="0"/>
                <w:szCs w:val="21"/>
              </w:rPr>
              <w:t>中悬窗</w:t>
            </w:r>
          </w:p>
          <w:p>
            <w:pPr>
              <w:spacing w:line="360" w:lineRule="auto"/>
              <w:jc w:val="center"/>
              <w:rPr>
                <w:kern w:val="0"/>
                <w:szCs w:val="21"/>
              </w:rPr>
            </w:pPr>
            <w:r>
              <w:rPr>
                <w:rFonts w:hint="eastAsia"/>
                <w:kern w:val="0"/>
                <w:szCs w:val="21"/>
              </w:rPr>
              <w:t>旋转门</w:t>
            </w:r>
          </w:p>
          <w:p>
            <w:pPr>
              <w:spacing w:line="360" w:lineRule="auto"/>
              <w:jc w:val="center"/>
              <w:rPr>
                <w:kern w:val="0"/>
                <w:szCs w:val="21"/>
              </w:rPr>
            </w:pPr>
            <w:r>
              <w:rPr>
                <w:rFonts w:hint="eastAsia"/>
                <w:kern w:val="0"/>
                <w:szCs w:val="21"/>
              </w:rPr>
              <w:t>单扇开启扇面积大于1.8m2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31" w:type="dxa"/>
            <w:tcBorders>
              <w:tl2br w:val="nil"/>
              <w:tr2bl w:val="nil"/>
            </w:tcBorders>
            <w:vAlign w:val="center"/>
          </w:tcPr>
          <w:p>
            <w:pPr>
              <w:spacing w:line="360" w:lineRule="auto"/>
              <w:jc w:val="center"/>
              <w:rPr>
                <w:kern w:val="0"/>
                <w:szCs w:val="21"/>
              </w:rPr>
            </w:pPr>
            <w:r>
              <w:rPr>
                <w:rFonts w:hint="eastAsia"/>
                <w:kern w:val="0"/>
                <w:szCs w:val="21"/>
              </w:rPr>
              <w:t>安全</w:t>
            </w:r>
          </w:p>
        </w:tc>
        <w:tc>
          <w:tcPr>
            <w:tcW w:w="1208" w:type="dxa"/>
            <w:tcBorders>
              <w:tl2br w:val="nil"/>
              <w:tr2bl w:val="nil"/>
            </w:tcBorders>
            <w:vAlign w:val="center"/>
          </w:tcPr>
          <w:p>
            <w:pPr>
              <w:spacing w:line="360" w:lineRule="auto"/>
              <w:jc w:val="center"/>
              <w:rPr>
                <w:kern w:val="0"/>
                <w:szCs w:val="21"/>
              </w:rPr>
            </w:pPr>
            <w:r>
              <w:rPr>
                <w:rFonts w:hint="eastAsia"/>
                <w:kern w:val="0"/>
                <w:szCs w:val="21"/>
              </w:rPr>
              <w:t>抗风压性能、防坠落措施、五金件规格</w:t>
            </w:r>
          </w:p>
        </w:tc>
        <w:tc>
          <w:tcPr>
            <w:tcW w:w="1925" w:type="dxa"/>
            <w:tcBorders>
              <w:tl2br w:val="nil"/>
              <w:tr2bl w:val="nil"/>
            </w:tcBorders>
            <w:vAlign w:val="center"/>
          </w:tcPr>
          <w:p>
            <w:pPr>
              <w:spacing w:line="360" w:lineRule="auto"/>
              <w:jc w:val="center"/>
              <w:rPr>
                <w:kern w:val="0"/>
                <w:szCs w:val="21"/>
              </w:rPr>
            </w:pPr>
            <w:r>
              <w:rPr>
                <w:rFonts w:hint="eastAsia"/>
                <w:kern w:val="0"/>
                <w:szCs w:val="21"/>
              </w:rPr>
              <w:t>主要受力构件尺寸满足规范要求，风荷载标准值冗余不小于30%；防坠措施符合规范和设计要求；五金件规格和材质高于相关规范要求</w:t>
            </w:r>
          </w:p>
        </w:tc>
        <w:tc>
          <w:tcPr>
            <w:tcW w:w="1665" w:type="dxa"/>
            <w:tcBorders>
              <w:tl2br w:val="nil"/>
              <w:tr2bl w:val="nil"/>
            </w:tcBorders>
            <w:vAlign w:val="center"/>
          </w:tcPr>
          <w:p>
            <w:pPr>
              <w:spacing w:line="360" w:lineRule="auto"/>
              <w:jc w:val="center"/>
              <w:rPr>
                <w:kern w:val="0"/>
                <w:szCs w:val="21"/>
              </w:rPr>
            </w:pPr>
            <w:r>
              <w:rPr>
                <w:rFonts w:hint="eastAsia"/>
                <w:kern w:val="0"/>
                <w:szCs w:val="21"/>
              </w:rPr>
              <w:t>主要受力构件尺寸满足规范要求，风荷载标准值冗余不小于20%；防坠措施符合规范和设计要求；五金件规格和材质高于相关规范要求</w:t>
            </w:r>
          </w:p>
        </w:tc>
        <w:tc>
          <w:tcPr>
            <w:tcW w:w="1665" w:type="dxa"/>
            <w:tcBorders>
              <w:tl2br w:val="nil"/>
              <w:tr2bl w:val="nil"/>
            </w:tcBorders>
            <w:vAlign w:val="center"/>
          </w:tcPr>
          <w:p>
            <w:pPr>
              <w:spacing w:line="360" w:lineRule="auto"/>
              <w:jc w:val="center"/>
              <w:rPr>
                <w:kern w:val="0"/>
                <w:szCs w:val="21"/>
              </w:rPr>
            </w:pPr>
            <w:r>
              <w:rPr>
                <w:rFonts w:hint="eastAsia"/>
                <w:kern w:val="0"/>
                <w:szCs w:val="21"/>
              </w:rPr>
              <w:t>主要受力构件尺寸满足规范要求，风荷载标准值冗余不小于10%；防坠措施符合规范和设计要求；五金件规格和材质满足相关规范要求</w:t>
            </w:r>
          </w:p>
        </w:tc>
        <w:tc>
          <w:tcPr>
            <w:tcW w:w="1786" w:type="dxa"/>
            <w:tcBorders>
              <w:tl2br w:val="nil"/>
              <w:tr2bl w:val="nil"/>
            </w:tcBorders>
            <w:vAlign w:val="center"/>
          </w:tcPr>
          <w:p>
            <w:pPr>
              <w:spacing w:line="360" w:lineRule="auto"/>
              <w:jc w:val="center"/>
              <w:rPr>
                <w:kern w:val="0"/>
                <w:szCs w:val="21"/>
              </w:rPr>
            </w:pPr>
            <w:r>
              <w:rPr>
                <w:rFonts w:hint="eastAsia"/>
                <w:kern w:val="0"/>
                <w:szCs w:val="21"/>
              </w:rPr>
              <w:t>主要受力构件尺寸满足规范要求，风荷载标准值冗余不小于5%；防坠措施符合规范和设计要求；五金件规格和材质满足相关规范要求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31" w:type="dxa"/>
            <w:tcBorders>
              <w:tl2br w:val="nil"/>
              <w:tr2bl w:val="nil"/>
            </w:tcBorders>
            <w:vAlign w:val="center"/>
          </w:tcPr>
          <w:p>
            <w:pPr>
              <w:spacing w:line="360" w:lineRule="auto"/>
              <w:jc w:val="center"/>
              <w:rPr>
                <w:kern w:val="0"/>
                <w:szCs w:val="21"/>
              </w:rPr>
            </w:pPr>
            <w:r>
              <w:rPr>
                <w:rFonts w:hint="eastAsia"/>
                <w:kern w:val="0"/>
                <w:szCs w:val="21"/>
              </w:rPr>
              <w:t>防水</w:t>
            </w:r>
          </w:p>
        </w:tc>
        <w:tc>
          <w:tcPr>
            <w:tcW w:w="1208" w:type="dxa"/>
            <w:tcBorders>
              <w:tl2br w:val="nil"/>
              <w:tr2bl w:val="nil"/>
            </w:tcBorders>
            <w:vAlign w:val="center"/>
          </w:tcPr>
          <w:p>
            <w:pPr>
              <w:spacing w:line="360" w:lineRule="auto"/>
              <w:jc w:val="center"/>
              <w:rPr>
                <w:kern w:val="0"/>
                <w:szCs w:val="21"/>
              </w:rPr>
            </w:pPr>
            <w:r>
              <w:rPr>
                <w:rFonts w:hint="eastAsia"/>
                <w:kern w:val="0"/>
                <w:szCs w:val="21"/>
              </w:rPr>
              <w:t xml:space="preserve">水密和气密性能 </w:t>
            </w:r>
          </w:p>
        </w:tc>
        <w:tc>
          <w:tcPr>
            <w:tcW w:w="1925" w:type="dxa"/>
            <w:tcBorders>
              <w:tl2br w:val="nil"/>
              <w:tr2bl w:val="nil"/>
            </w:tcBorders>
            <w:vAlign w:val="center"/>
          </w:tcPr>
          <w:p>
            <w:pPr>
              <w:spacing w:line="360" w:lineRule="auto"/>
              <w:jc w:val="center"/>
              <w:rPr>
                <w:kern w:val="0"/>
                <w:szCs w:val="21"/>
              </w:rPr>
            </w:pPr>
            <w:r>
              <w:rPr>
                <w:rFonts w:hint="eastAsia"/>
                <w:kern w:val="0"/>
                <w:szCs w:val="21"/>
              </w:rPr>
              <w:t>设置有等压原理的导排水构造。开启扇框之间设置3道以上的连续密封构造。</w:t>
            </w:r>
          </w:p>
        </w:tc>
        <w:tc>
          <w:tcPr>
            <w:tcW w:w="1665" w:type="dxa"/>
            <w:tcBorders>
              <w:tl2br w:val="nil"/>
              <w:tr2bl w:val="nil"/>
            </w:tcBorders>
            <w:vAlign w:val="center"/>
          </w:tcPr>
          <w:p>
            <w:pPr>
              <w:spacing w:line="360" w:lineRule="auto"/>
              <w:jc w:val="center"/>
              <w:rPr>
                <w:kern w:val="0"/>
                <w:szCs w:val="21"/>
              </w:rPr>
            </w:pPr>
            <w:r>
              <w:rPr>
                <w:rFonts w:hint="eastAsia"/>
                <w:kern w:val="0"/>
                <w:szCs w:val="21"/>
              </w:rPr>
              <w:t>设置有等压原理的导排水构造。开启扇框之间设置3道的连续密封构造。</w:t>
            </w:r>
          </w:p>
        </w:tc>
        <w:tc>
          <w:tcPr>
            <w:tcW w:w="1665" w:type="dxa"/>
            <w:tcBorders>
              <w:tl2br w:val="nil"/>
              <w:tr2bl w:val="nil"/>
            </w:tcBorders>
            <w:vAlign w:val="center"/>
          </w:tcPr>
          <w:p>
            <w:pPr>
              <w:spacing w:line="360" w:lineRule="auto"/>
              <w:jc w:val="center"/>
              <w:rPr>
                <w:kern w:val="0"/>
                <w:szCs w:val="21"/>
              </w:rPr>
            </w:pPr>
            <w:r>
              <w:rPr>
                <w:rFonts w:hint="eastAsia"/>
                <w:kern w:val="0"/>
                <w:szCs w:val="21"/>
              </w:rPr>
              <w:t>开启扇框之间设置3道以上的连续密封构造。</w:t>
            </w:r>
          </w:p>
        </w:tc>
        <w:tc>
          <w:tcPr>
            <w:tcW w:w="1786" w:type="dxa"/>
            <w:tcBorders>
              <w:tl2br w:val="nil"/>
              <w:tr2bl w:val="nil"/>
            </w:tcBorders>
            <w:vAlign w:val="center"/>
          </w:tcPr>
          <w:p>
            <w:pPr>
              <w:spacing w:line="360" w:lineRule="auto"/>
              <w:jc w:val="center"/>
              <w:rPr>
                <w:kern w:val="0"/>
                <w:szCs w:val="21"/>
              </w:rPr>
            </w:pPr>
            <w:r>
              <w:rPr>
                <w:rFonts w:hint="eastAsia"/>
                <w:kern w:val="0"/>
                <w:szCs w:val="21"/>
              </w:rPr>
              <w:t>开启扇框之间设置3道的连续密封构造。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31" w:type="dxa"/>
            <w:tcBorders>
              <w:tl2br w:val="nil"/>
              <w:tr2bl w:val="nil"/>
            </w:tcBorders>
            <w:vAlign w:val="center"/>
          </w:tcPr>
          <w:p>
            <w:pPr>
              <w:spacing w:line="360" w:lineRule="auto"/>
              <w:jc w:val="center"/>
              <w:rPr>
                <w:kern w:val="0"/>
                <w:szCs w:val="21"/>
              </w:rPr>
            </w:pPr>
            <w:r>
              <w:rPr>
                <w:rFonts w:hint="eastAsia"/>
                <w:kern w:val="0"/>
                <w:szCs w:val="21"/>
              </w:rPr>
              <w:t>节能保温</w:t>
            </w:r>
          </w:p>
        </w:tc>
        <w:tc>
          <w:tcPr>
            <w:tcW w:w="1208" w:type="dxa"/>
            <w:tcBorders>
              <w:tl2br w:val="nil"/>
              <w:tr2bl w:val="nil"/>
            </w:tcBorders>
            <w:vAlign w:val="center"/>
          </w:tcPr>
          <w:p>
            <w:pPr>
              <w:spacing w:line="360" w:lineRule="auto"/>
              <w:jc w:val="center"/>
              <w:rPr>
                <w:kern w:val="0"/>
                <w:szCs w:val="21"/>
              </w:rPr>
            </w:pPr>
            <w:r>
              <w:rPr>
                <w:rFonts w:hint="eastAsia"/>
                <w:kern w:val="0"/>
                <w:szCs w:val="21"/>
              </w:rPr>
              <w:t>节能设计</w:t>
            </w:r>
          </w:p>
        </w:tc>
        <w:tc>
          <w:tcPr>
            <w:tcW w:w="1925" w:type="dxa"/>
            <w:tcBorders>
              <w:tl2br w:val="nil"/>
              <w:tr2bl w:val="nil"/>
            </w:tcBorders>
            <w:vAlign w:val="center"/>
          </w:tcPr>
          <w:p>
            <w:pPr>
              <w:spacing w:line="360" w:lineRule="auto"/>
              <w:jc w:val="center"/>
              <w:rPr>
                <w:kern w:val="0"/>
                <w:szCs w:val="21"/>
              </w:rPr>
            </w:pPr>
            <w:r>
              <w:rPr>
                <w:rFonts w:hint="eastAsia"/>
                <w:kern w:val="0"/>
                <w:szCs w:val="21"/>
              </w:rPr>
              <w:t>整窗传热系数不大于1.0</w:t>
            </w:r>
          </w:p>
        </w:tc>
        <w:tc>
          <w:tcPr>
            <w:tcW w:w="1665" w:type="dxa"/>
            <w:tcBorders>
              <w:tl2br w:val="nil"/>
              <w:tr2bl w:val="nil"/>
            </w:tcBorders>
            <w:vAlign w:val="center"/>
          </w:tcPr>
          <w:p>
            <w:pPr>
              <w:spacing w:line="360" w:lineRule="auto"/>
              <w:jc w:val="center"/>
              <w:rPr>
                <w:kern w:val="0"/>
                <w:szCs w:val="21"/>
              </w:rPr>
            </w:pPr>
            <w:r>
              <w:rPr>
                <w:rFonts w:hint="eastAsia"/>
                <w:kern w:val="0"/>
                <w:szCs w:val="21"/>
              </w:rPr>
              <w:t>整窗传热系数1.0以上-1.5</w:t>
            </w:r>
          </w:p>
        </w:tc>
        <w:tc>
          <w:tcPr>
            <w:tcW w:w="1665" w:type="dxa"/>
            <w:tcBorders>
              <w:tl2br w:val="nil"/>
              <w:tr2bl w:val="nil"/>
            </w:tcBorders>
            <w:vAlign w:val="center"/>
          </w:tcPr>
          <w:p>
            <w:pPr>
              <w:spacing w:line="360" w:lineRule="auto"/>
              <w:jc w:val="center"/>
              <w:rPr>
                <w:kern w:val="0"/>
                <w:szCs w:val="21"/>
              </w:rPr>
            </w:pPr>
            <w:r>
              <w:rPr>
                <w:rFonts w:hint="eastAsia"/>
                <w:kern w:val="0"/>
                <w:szCs w:val="21"/>
              </w:rPr>
              <w:t>整窗传热系数1.5以上-2.0</w:t>
            </w:r>
          </w:p>
        </w:tc>
        <w:tc>
          <w:tcPr>
            <w:tcW w:w="1786" w:type="dxa"/>
            <w:tcBorders>
              <w:tl2br w:val="nil"/>
              <w:tr2bl w:val="nil"/>
            </w:tcBorders>
            <w:vAlign w:val="center"/>
          </w:tcPr>
          <w:p>
            <w:pPr>
              <w:spacing w:line="360" w:lineRule="auto"/>
              <w:jc w:val="center"/>
              <w:rPr>
                <w:kern w:val="0"/>
                <w:szCs w:val="21"/>
              </w:rPr>
            </w:pPr>
            <w:r>
              <w:rPr>
                <w:rFonts w:hint="eastAsia"/>
                <w:kern w:val="0"/>
                <w:szCs w:val="21"/>
              </w:rPr>
              <w:t>整窗传热系数2.0以上</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31" w:type="dxa"/>
            <w:tcBorders>
              <w:tl2br w:val="nil"/>
              <w:tr2bl w:val="nil"/>
            </w:tcBorders>
            <w:vAlign w:val="center"/>
          </w:tcPr>
          <w:p>
            <w:pPr>
              <w:spacing w:line="360" w:lineRule="auto"/>
              <w:jc w:val="center"/>
              <w:rPr>
                <w:kern w:val="0"/>
                <w:szCs w:val="21"/>
              </w:rPr>
            </w:pPr>
            <w:r>
              <w:rPr>
                <w:rFonts w:hint="eastAsia"/>
                <w:kern w:val="0"/>
                <w:szCs w:val="21"/>
              </w:rPr>
              <w:t>备注：</w:t>
            </w:r>
          </w:p>
        </w:tc>
        <w:tc>
          <w:tcPr>
            <w:tcW w:w="6463" w:type="dxa"/>
            <w:gridSpan w:val="4"/>
            <w:tcBorders>
              <w:tl2br w:val="nil"/>
              <w:tr2bl w:val="nil"/>
            </w:tcBorders>
            <w:vAlign w:val="center"/>
          </w:tcPr>
          <w:p>
            <w:pPr>
              <w:spacing w:line="360" w:lineRule="auto"/>
              <w:jc w:val="center"/>
              <w:rPr>
                <w:kern w:val="0"/>
                <w:szCs w:val="21"/>
              </w:rPr>
            </w:pPr>
            <w:r>
              <w:rPr>
                <w:rFonts w:hint="eastAsia"/>
                <w:kern w:val="0"/>
                <w:szCs w:val="21"/>
              </w:rPr>
              <w:t>A级100分，B级75分，C级50分，D级25分</w:t>
            </w:r>
          </w:p>
        </w:tc>
        <w:tc>
          <w:tcPr>
            <w:tcW w:w="1786" w:type="dxa"/>
            <w:tcBorders>
              <w:tl2br w:val="nil"/>
              <w:tr2bl w:val="nil"/>
            </w:tcBorders>
            <w:vAlign w:val="center"/>
          </w:tcPr>
          <w:p>
            <w:pPr>
              <w:spacing w:line="360" w:lineRule="auto"/>
              <w:jc w:val="center"/>
              <w:rPr>
                <w:kern w:val="0"/>
                <w:szCs w:val="21"/>
              </w:rPr>
            </w:pPr>
          </w:p>
        </w:tc>
      </w:tr>
    </w:tbl>
    <w:p>
      <w:pPr>
        <w:spacing w:line="360" w:lineRule="auto"/>
        <w:jc w:val="center"/>
        <w:rPr>
          <w:kern w:val="0"/>
          <w:sz w:val="24"/>
        </w:rPr>
      </w:pPr>
    </w:p>
    <w:p>
      <w:pPr>
        <w:spacing w:line="360" w:lineRule="auto"/>
        <w:rPr>
          <w:kern w:val="0"/>
          <w:sz w:val="24"/>
        </w:rPr>
      </w:pPr>
      <w:r>
        <w:rPr>
          <w:rFonts w:hint="eastAsia"/>
          <w:kern w:val="0"/>
          <w:sz w:val="24"/>
        </w:rPr>
        <w:t>C.0.2 原材料质量控制及评定应符合4.2.2的相关规定，其型材、玻璃、密封胶条、聚酰胺隔热条、五金件及密封胶的评定应符合表C.0.2-1~表C.0.2-6的规定。</w:t>
      </w:r>
    </w:p>
    <w:p>
      <w:pPr>
        <w:spacing w:line="360" w:lineRule="auto"/>
        <w:jc w:val="center"/>
        <w:rPr>
          <w:kern w:val="0"/>
          <w:sz w:val="24"/>
        </w:rPr>
      </w:pPr>
      <w:r>
        <w:rPr>
          <w:rFonts w:hint="eastAsia"/>
          <w:kern w:val="0"/>
          <w:sz w:val="24"/>
        </w:rPr>
        <w:t>表C.0.2-1 型材评定等级</w:t>
      </w:r>
    </w:p>
    <w:tbl>
      <w:tblPr>
        <w:tblStyle w:val="39"/>
        <w:tblW w:w="4999"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64"/>
        <w:gridCol w:w="1077"/>
        <w:gridCol w:w="1690"/>
        <w:gridCol w:w="1715"/>
        <w:gridCol w:w="1829"/>
        <w:gridCol w:w="144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jc w:val="center"/>
        </w:trPr>
        <w:tc>
          <w:tcPr>
            <w:tcW w:w="856" w:type="dxa"/>
            <w:vMerge w:val="restart"/>
            <w:tcBorders>
              <w:tl2br w:val="nil"/>
              <w:tr2bl w:val="nil"/>
            </w:tcBorders>
            <w:vAlign w:val="center"/>
          </w:tcPr>
          <w:p>
            <w:pPr>
              <w:spacing w:line="360" w:lineRule="auto"/>
              <w:rPr>
                <w:kern w:val="0"/>
                <w:szCs w:val="21"/>
              </w:rPr>
            </w:pPr>
            <w:r>
              <w:rPr>
                <w:rFonts w:hint="eastAsia"/>
                <w:kern w:val="0"/>
                <w:szCs w:val="21"/>
              </w:rPr>
              <w:t>序号</w:t>
            </w:r>
          </w:p>
        </w:tc>
        <w:tc>
          <w:tcPr>
            <w:tcW w:w="1209" w:type="dxa"/>
            <w:vMerge w:val="restart"/>
            <w:tcBorders>
              <w:tl2br w:val="nil"/>
              <w:tr2bl w:val="nil"/>
            </w:tcBorders>
            <w:vAlign w:val="center"/>
          </w:tcPr>
          <w:p>
            <w:pPr>
              <w:spacing w:line="360" w:lineRule="auto"/>
              <w:rPr>
                <w:kern w:val="0"/>
                <w:szCs w:val="21"/>
              </w:rPr>
            </w:pPr>
            <w:r>
              <w:rPr>
                <w:rFonts w:hint="eastAsia"/>
                <w:kern w:val="0"/>
                <w:szCs w:val="21"/>
              </w:rPr>
              <w:t>评价项目</w:t>
            </w:r>
          </w:p>
        </w:tc>
        <w:tc>
          <w:tcPr>
            <w:tcW w:w="7510" w:type="dxa"/>
            <w:gridSpan w:val="4"/>
            <w:tcBorders>
              <w:tl2br w:val="nil"/>
              <w:tr2bl w:val="nil"/>
            </w:tcBorders>
            <w:vAlign w:val="center"/>
          </w:tcPr>
          <w:p>
            <w:pPr>
              <w:spacing w:line="360" w:lineRule="auto"/>
              <w:jc w:val="center"/>
              <w:rPr>
                <w:kern w:val="0"/>
                <w:szCs w:val="21"/>
              </w:rPr>
            </w:pPr>
            <w:r>
              <w:rPr>
                <w:rFonts w:hint="eastAsia"/>
                <w:kern w:val="0"/>
                <w:szCs w:val="21"/>
              </w:rPr>
              <w:t>评定等级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856" w:type="dxa"/>
            <w:vMerge w:val="continue"/>
            <w:tcBorders>
              <w:tl2br w:val="nil"/>
              <w:tr2bl w:val="nil"/>
            </w:tcBorders>
            <w:vAlign w:val="center"/>
          </w:tcPr>
          <w:p>
            <w:pPr>
              <w:spacing w:line="360" w:lineRule="auto"/>
              <w:rPr>
                <w:kern w:val="0"/>
                <w:szCs w:val="21"/>
              </w:rPr>
            </w:pPr>
          </w:p>
        </w:tc>
        <w:tc>
          <w:tcPr>
            <w:tcW w:w="1209" w:type="dxa"/>
            <w:vMerge w:val="continue"/>
            <w:tcBorders>
              <w:tl2br w:val="nil"/>
              <w:tr2bl w:val="nil"/>
            </w:tcBorders>
            <w:vAlign w:val="center"/>
          </w:tcPr>
          <w:p>
            <w:pPr>
              <w:spacing w:line="360" w:lineRule="auto"/>
              <w:rPr>
                <w:kern w:val="0"/>
                <w:szCs w:val="21"/>
              </w:rPr>
            </w:pPr>
          </w:p>
        </w:tc>
        <w:tc>
          <w:tcPr>
            <w:tcW w:w="1901" w:type="dxa"/>
            <w:tcBorders>
              <w:tl2br w:val="nil"/>
              <w:tr2bl w:val="nil"/>
            </w:tcBorders>
          </w:tcPr>
          <w:p>
            <w:pPr>
              <w:spacing w:line="360" w:lineRule="auto"/>
              <w:rPr>
                <w:kern w:val="0"/>
                <w:szCs w:val="21"/>
              </w:rPr>
            </w:pPr>
            <w:r>
              <w:rPr>
                <w:rFonts w:hint="eastAsia"/>
                <w:kern w:val="0"/>
                <w:szCs w:val="21"/>
              </w:rPr>
              <w:t>A级</w:t>
            </w:r>
          </w:p>
        </w:tc>
        <w:tc>
          <w:tcPr>
            <w:tcW w:w="1928" w:type="dxa"/>
            <w:tcBorders>
              <w:tl2br w:val="nil"/>
              <w:tr2bl w:val="nil"/>
            </w:tcBorders>
          </w:tcPr>
          <w:p>
            <w:pPr>
              <w:spacing w:line="360" w:lineRule="auto"/>
              <w:rPr>
                <w:kern w:val="0"/>
                <w:szCs w:val="21"/>
              </w:rPr>
            </w:pPr>
            <w:r>
              <w:rPr>
                <w:rFonts w:hint="eastAsia"/>
                <w:kern w:val="0"/>
                <w:szCs w:val="21"/>
              </w:rPr>
              <w:t>B级</w:t>
            </w:r>
          </w:p>
        </w:tc>
        <w:tc>
          <w:tcPr>
            <w:tcW w:w="2057" w:type="dxa"/>
            <w:tcBorders>
              <w:tl2br w:val="nil"/>
              <w:tr2bl w:val="nil"/>
            </w:tcBorders>
          </w:tcPr>
          <w:p>
            <w:pPr>
              <w:spacing w:line="360" w:lineRule="auto"/>
              <w:rPr>
                <w:kern w:val="0"/>
                <w:szCs w:val="21"/>
              </w:rPr>
            </w:pPr>
            <w:r>
              <w:rPr>
                <w:rFonts w:hint="eastAsia"/>
                <w:kern w:val="0"/>
                <w:szCs w:val="21"/>
              </w:rPr>
              <w:t>C级</w:t>
            </w:r>
          </w:p>
        </w:tc>
        <w:tc>
          <w:tcPr>
            <w:tcW w:w="1624" w:type="dxa"/>
            <w:tcBorders>
              <w:tl2br w:val="nil"/>
              <w:tr2bl w:val="nil"/>
            </w:tcBorders>
          </w:tcPr>
          <w:p>
            <w:pPr>
              <w:spacing w:line="360" w:lineRule="auto"/>
              <w:rPr>
                <w:kern w:val="0"/>
                <w:szCs w:val="21"/>
              </w:rPr>
            </w:pPr>
            <w:r>
              <w:rPr>
                <w:rFonts w:hint="eastAsia"/>
                <w:kern w:val="0"/>
                <w:szCs w:val="21"/>
              </w:rPr>
              <w:t>D级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9" w:hRule="atLeast"/>
          <w:jc w:val="center"/>
        </w:trPr>
        <w:tc>
          <w:tcPr>
            <w:tcW w:w="856" w:type="dxa"/>
            <w:tcBorders>
              <w:tl2br w:val="nil"/>
              <w:tr2bl w:val="nil"/>
            </w:tcBorders>
            <w:vAlign w:val="center"/>
          </w:tcPr>
          <w:p>
            <w:pPr>
              <w:spacing w:line="360" w:lineRule="auto"/>
              <w:rPr>
                <w:kern w:val="0"/>
                <w:szCs w:val="21"/>
              </w:rPr>
            </w:pPr>
            <w:r>
              <w:rPr>
                <w:rFonts w:hint="eastAsia"/>
                <w:kern w:val="0"/>
                <w:szCs w:val="21"/>
              </w:rPr>
              <w:t>1</w:t>
            </w:r>
          </w:p>
        </w:tc>
        <w:tc>
          <w:tcPr>
            <w:tcW w:w="1209" w:type="dxa"/>
            <w:tcBorders>
              <w:tl2br w:val="nil"/>
              <w:tr2bl w:val="nil"/>
            </w:tcBorders>
            <w:vAlign w:val="center"/>
          </w:tcPr>
          <w:p>
            <w:pPr>
              <w:spacing w:line="360" w:lineRule="auto"/>
              <w:rPr>
                <w:kern w:val="0"/>
                <w:szCs w:val="21"/>
              </w:rPr>
            </w:pPr>
            <w:r>
              <w:rPr>
                <w:rFonts w:hint="eastAsia"/>
                <w:kern w:val="0"/>
                <w:szCs w:val="21"/>
              </w:rPr>
              <w:t>精度等级</w:t>
            </w:r>
          </w:p>
        </w:tc>
        <w:tc>
          <w:tcPr>
            <w:tcW w:w="1901" w:type="dxa"/>
            <w:tcBorders>
              <w:tl2br w:val="nil"/>
              <w:tr2bl w:val="nil"/>
            </w:tcBorders>
          </w:tcPr>
          <w:p>
            <w:pPr>
              <w:spacing w:line="360" w:lineRule="auto"/>
              <w:rPr>
                <w:kern w:val="0"/>
                <w:szCs w:val="21"/>
              </w:rPr>
            </w:pPr>
            <w:r>
              <w:rPr>
                <w:rFonts w:hint="eastAsia"/>
                <w:kern w:val="0"/>
                <w:szCs w:val="21"/>
              </w:rPr>
              <w:t>型材精度等级选用超高精级</w:t>
            </w:r>
          </w:p>
        </w:tc>
        <w:tc>
          <w:tcPr>
            <w:tcW w:w="1928" w:type="dxa"/>
            <w:tcBorders>
              <w:tl2br w:val="nil"/>
              <w:tr2bl w:val="nil"/>
            </w:tcBorders>
          </w:tcPr>
          <w:p>
            <w:pPr>
              <w:spacing w:line="360" w:lineRule="auto"/>
              <w:rPr>
                <w:kern w:val="0"/>
                <w:szCs w:val="21"/>
              </w:rPr>
            </w:pPr>
            <w:r>
              <w:rPr>
                <w:rFonts w:hint="eastAsia"/>
                <w:kern w:val="0"/>
                <w:szCs w:val="21"/>
              </w:rPr>
              <w:t>型材精度等级选用高精级</w:t>
            </w:r>
          </w:p>
        </w:tc>
        <w:tc>
          <w:tcPr>
            <w:tcW w:w="2057" w:type="dxa"/>
            <w:tcBorders>
              <w:tl2br w:val="nil"/>
              <w:tr2bl w:val="nil"/>
            </w:tcBorders>
          </w:tcPr>
          <w:p>
            <w:pPr>
              <w:spacing w:line="360" w:lineRule="auto"/>
              <w:rPr>
                <w:kern w:val="0"/>
                <w:szCs w:val="21"/>
              </w:rPr>
            </w:pPr>
            <w:r>
              <w:rPr>
                <w:rFonts w:hint="eastAsia"/>
                <w:kern w:val="0"/>
                <w:szCs w:val="21"/>
              </w:rPr>
              <w:t>型材精度等级选用普通级</w:t>
            </w:r>
          </w:p>
        </w:tc>
        <w:tc>
          <w:tcPr>
            <w:tcW w:w="1624" w:type="dxa"/>
            <w:tcBorders>
              <w:tl2br w:val="nil"/>
              <w:tr2bl w:val="nil"/>
            </w:tcBorders>
          </w:tcPr>
          <w:p>
            <w:pPr>
              <w:spacing w:line="360" w:lineRule="auto"/>
              <w:rPr>
                <w:kern w:val="0"/>
                <w:szCs w:val="21"/>
              </w:rPr>
            </w:pPr>
            <w:r>
              <w:rPr>
                <w:rFonts w:hint="eastAsia"/>
                <w:kern w:val="0"/>
                <w:szCs w:val="21"/>
              </w:rPr>
              <w:t>型材精度等级选用低于普通级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9" w:hRule="atLeast"/>
          <w:jc w:val="center"/>
        </w:trPr>
        <w:tc>
          <w:tcPr>
            <w:tcW w:w="856" w:type="dxa"/>
            <w:tcBorders>
              <w:tl2br w:val="nil"/>
              <w:tr2bl w:val="nil"/>
            </w:tcBorders>
            <w:vAlign w:val="center"/>
          </w:tcPr>
          <w:p>
            <w:pPr>
              <w:spacing w:line="360" w:lineRule="auto"/>
              <w:rPr>
                <w:kern w:val="0"/>
                <w:szCs w:val="21"/>
              </w:rPr>
            </w:pPr>
            <w:r>
              <w:rPr>
                <w:rFonts w:hint="eastAsia"/>
                <w:kern w:val="0"/>
                <w:szCs w:val="21"/>
              </w:rPr>
              <w:t>备注</w:t>
            </w:r>
          </w:p>
        </w:tc>
        <w:tc>
          <w:tcPr>
            <w:tcW w:w="8719" w:type="dxa"/>
            <w:gridSpan w:val="5"/>
            <w:tcBorders>
              <w:tl2br w:val="nil"/>
              <w:tr2bl w:val="nil"/>
            </w:tcBorders>
            <w:vAlign w:val="center"/>
          </w:tcPr>
          <w:p>
            <w:pPr>
              <w:spacing w:line="360" w:lineRule="auto"/>
              <w:rPr>
                <w:kern w:val="0"/>
                <w:szCs w:val="21"/>
              </w:rPr>
            </w:pPr>
            <w:r>
              <w:rPr>
                <w:rFonts w:hint="eastAsia"/>
                <w:kern w:val="0"/>
                <w:szCs w:val="21"/>
              </w:rPr>
              <w:t>A级100分，B级75分，C级50分，D级25分</w:t>
            </w:r>
          </w:p>
        </w:tc>
      </w:tr>
    </w:tbl>
    <w:p>
      <w:pPr>
        <w:spacing w:line="360" w:lineRule="auto"/>
        <w:rPr>
          <w:kern w:val="0"/>
          <w:sz w:val="24"/>
        </w:rPr>
      </w:pPr>
    </w:p>
    <w:p>
      <w:pPr>
        <w:spacing w:line="360" w:lineRule="auto"/>
        <w:jc w:val="center"/>
        <w:rPr>
          <w:kern w:val="0"/>
          <w:sz w:val="24"/>
        </w:rPr>
      </w:pPr>
      <w:r>
        <w:rPr>
          <w:rFonts w:hint="eastAsia"/>
          <w:kern w:val="0"/>
          <w:sz w:val="24"/>
        </w:rPr>
        <w:t>表C.0.2-2 玻璃评定等级</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710"/>
        <w:gridCol w:w="1122"/>
        <w:gridCol w:w="1524"/>
        <w:gridCol w:w="1746"/>
        <w:gridCol w:w="1720"/>
        <w:gridCol w:w="170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417" w:type="pct"/>
            <w:vMerge w:val="restart"/>
            <w:tcBorders>
              <w:tl2br w:val="nil"/>
              <w:tr2bl w:val="nil"/>
            </w:tcBorders>
            <w:vAlign w:val="center"/>
          </w:tcPr>
          <w:p>
            <w:pPr>
              <w:spacing w:line="360" w:lineRule="auto"/>
              <w:jc w:val="left"/>
              <w:rPr>
                <w:kern w:val="0"/>
                <w:szCs w:val="21"/>
              </w:rPr>
            </w:pPr>
            <w:r>
              <w:rPr>
                <w:rFonts w:hint="eastAsia"/>
                <w:kern w:val="0"/>
                <w:szCs w:val="21"/>
              </w:rPr>
              <w:t>序号</w:t>
            </w:r>
          </w:p>
        </w:tc>
        <w:tc>
          <w:tcPr>
            <w:tcW w:w="658" w:type="pct"/>
            <w:vMerge w:val="restart"/>
            <w:tcBorders>
              <w:tl2br w:val="nil"/>
              <w:tr2bl w:val="nil"/>
            </w:tcBorders>
            <w:vAlign w:val="center"/>
          </w:tcPr>
          <w:p>
            <w:pPr>
              <w:spacing w:line="360" w:lineRule="auto"/>
              <w:jc w:val="left"/>
              <w:rPr>
                <w:kern w:val="0"/>
                <w:szCs w:val="21"/>
              </w:rPr>
            </w:pPr>
            <w:r>
              <w:rPr>
                <w:rFonts w:hint="eastAsia"/>
                <w:kern w:val="0"/>
                <w:szCs w:val="21"/>
              </w:rPr>
              <w:t>评价项目</w:t>
            </w:r>
          </w:p>
        </w:tc>
        <w:tc>
          <w:tcPr>
            <w:tcW w:w="3924" w:type="pct"/>
            <w:gridSpan w:val="4"/>
            <w:tcBorders>
              <w:tl2br w:val="nil"/>
              <w:tr2bl w:val="nil"/>
            </w:tcBorders>
            <w:vAlign w:val="center"/>
          </w:tcPr>
          <w:p>
            <w:pPr>
              <w:spacing w:line="360" w:lineRule="auto"/>
              <w:jc w:val="left"/>
              <w:rPr>
                <w:kern w:val="0"/>
                <w:szCs w:val="21"/>
              </w:rPr>
            </w:pPr>
            <w:r>
              <w:rPr>
                <w:rFonts w:hint="eastAsia"/>
                <w:kern w:val="0"/>
                <w:szCs w:val="21"/>
              </w:rPr>
              <w:t>评定等级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417" w:type="pct"/>
            <w:vMerge w:val="continue"/>
            <w:tcBorders>
              <w:tl2br w:val="nil"/>
              <w:tr2bl w:val="nil"/>
            </w:tcBorders>
            <w:vAlign w:val="center"/>
          </w:tcPr>
          <w:p>
            <w:pPr>
              <w:spacing w:line="360" w:lineRule="auto"/>
              <w:jc w:val="left"/>
              <w:rPr>
                <w:kern w:val="0"/>
                <w:szCs w:val="21"/>
              </w:rPr>
            </w:pPr>
          </w:p>
        </w:tc>
        <w:tc>
          <w:tcPr>
            <w:tcW w:w="658" w:type="pct"/>
            <w:vMerge w:val="continue"/>
            <w:tcBorders>
              <w:tl2br w:val="nil"/>
              <w:tr2bl w:val="nil"/>
            </w:tcBorders>
            <w:vAlign w:val="center"/>
          </w:tcPr>
          <w:p>
            <w:pPr>
              <w:spacing w:line="360" w:lineRule="auto"/>
              <w:jc w:val="left"/>
              <w:rPr>
                <w:kern w:val="0"/>
                <w:szCs w:val="21"/>
              </w:rPr>
            </w:pPr>
          </w:p>
        </w:tc>
        <w:tc>
          <w:tcPr>
            <w:tcW w:w="894" w:type="pct"/>
            <w:tcBorders>
              <w:tl2br w:val="nil"/>
              <w:tr2bl w:val="nil"/>
            </w:tcBorders>
          </w:tcPr>
          <w:p>
            <w:pPr>
              <w:spacing w:line="360" w:lineRule="auto"/>
              <w:jc w:val="left"/>
              <w:rPr>
                <w:kern w:val="0"/>
                <w:szCs w:val="21"/>
              </w:rPr>
            </w:pPr>
            <w:r>
              <w:rPr>
                <w:rFonts w:hint="eastAsia"/>
                <w:kern w:val="0"/>
                <w:szCs w:val="21"/>
              </w:rPr>
              <w:t>A级</w:t>
            </w:r>
          </w:p>
        </w:tc>
        <w:tc>
          <w:tcPr>
            <w:tcW w:w="1024" w:type="pct"/>
            <w:tcBorders>
              <w:tl2br w:val="nil"/>
              <w:tr2bl w:val="nil"/>
            </w:tcBorders>
          </w:tcPr>
          <w:p>
            <w:pPr>
              <w:spacing w:line="360" w:lineRule="auto"/>
              <w:jc w:val="left"/>
              <w:rPr>
                <w:kern w:val="0"/>
                <w:szCs w:val="21"/>
              </w:rPr>
            </w:pPr>
            <w:r>
              <w:rPr>
                <w:rFonts w:hint="eastAsia"/>
                <w:kern w:val="0"/>
                <w:szCs w:val="21"/>
              </w:rPr>
              <w:t>B级</w:t>
            </w:r>
          </w:p>
        </w:tc>
        <w:tc>
          <w:tcPr>
            <w:tcW w:w="1009" w:type="pct"/>
            <w:tcBorders>
              <w:tl2br w:val="nil"/>
              <w:tr2bl w:val="nil"/>
            </w:tcBorders>
          </w:tcPr>
          <w:p>
            <w:pPr>
              <w:spacing w:line="360" w:lineRule="auto"/>
              <w:jc w:val="left"/>
              <w:rPr>
                <w:kern w:val="0"/>
                <w:szCs w:val="21"/>
              </w:rPr>
            </w:pPr>
            <w:r>
              <w:rPr>
                <w:rFonts w:hint="eastAsia"/>
                <w:kern w:val="0"/>
                <w:szCs w:val="21"/>
              </w:rPr>
              <w:t>C级</w:t>
            </w:r>
          </w:p>
        </w:tc>
        <w:tc>
          <w:tcPr>
            <w:tcW w:w="996" w:type="pct"/>
            <w:tcBorders>
              <w:tl2br w:val="nil"/>
              <w:tr2bl w:val="nil"/>
            </w:tcBorders>
          </w:tcPr>
          <w:p>
            <w:pPr>
              <w:spacing w:line="360" w:lineRule="auto"/>
              <w:jc w:val="left"/>
              <w:rPr>
                <w:kern w:val="0"/>
                <w:szCs w:val="21"/>
              </w:rPr>
            </w:pPr>
            <w:r>
              <w:rPr>
                <w:rFonts w:hint="eastAsia"/>
                <w:kern w:val="0"/>
                <w:szCs w:val="21"/>
              </w:rPr>
              <w:t>D级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417" w:type="pct"/>
            <w:tcBorders>
              <w:tl2br w:val="nil"/>
              <w:tr2bl w:val="nil"/>
            </w:tcBorders>
            <w:vAlign w:val="center"/>
          </w:tcPr>
          <w:p>
            <w:pPr>
              <w:spacing w:line="360" w:lineRule="auto"/>
              <w:jc w:val="left"/>
              <w:rPr>
                <w:kern w:val="0"/>
                <w:szCs w:val="21"/>
              </w:rPr>
            </w:pPr>
            <w:r>
              <w:rPr>
                <w:rFonts w:hint="eastAsia"/>
                <w:kern w:val="0"/>
                <w:szCs w:val="21"/>
              </w:rPr>
              <w:t>1</w:t>
            </w:r>
          </w:p>
        </w:tc>
        <w:tc>
          <w:tcPr>
            <w:tcW w:w="658" w:type="pct"/>
            <w:tcBorders>
              <w:tl2br w:val="nil"/>
              <w:tr2bl w:val="nil"/>
            </w:tcBorders>
            <w:vAlign w:val="center"/>
          </w:tcPr>
          <w:p>
            <w:pPr>
              <w:spacing w:line="360" w:lineRule="auto"/>
              <w:jc w:val="left"/>
              <w:rPr>
                <w:kern w:val="0"/>
                <w:szCs w:val="21"/>
              </w:rPr>
            </w:pPr>
            <w:r>
              <w:rPr>
                <w:rFonts w:hint="eastAsia"/>
                <w:kern w:val="0"/>
                <w:szCs w:val="21"/>
              </w:rPr>
              <w:t>玻璃配置</w:t>
            </w:r>
          </w:p>
        </w:tc>
        <w:tc>
          <w:tcPr>
            <w:tcW w:w="894" w:type="pct"/>
            <w:tcBorders>
              <w:tl2br w:val="nil"/>
              <w:tr2bl w:val="nil"/>
            </w:tcBorders>
            <w:vAlign w:val="center"/>
          </w:tcPr>
          <w:p>
            <w:pPr>
              <w:spacing w:line="360" w:lineRule="auto"/>
              <w:jc w:val="center"/>
              <w:rPr>
                <w:kern w:val="0"/>
                <w:szCs w:val="21"/>
              </w:rPr>
            </w:pPr>
            <w:r>
              <w:rPr>
                <w:rFonts w:hint="eastAsia"/>
                <w:kern w:val="0"/>
                <w:szCs w:val="21"/>
              </w:rPr>
              <w:t>双中空夹胶玻璃</w:t>
            </w:r>
          </w:p>
        </w:tc>
        <w:tc>
          <w:tcPr>
            <w:tcW w:w="1024" w:type="pct"/>
            <w:tcBorders>
              <w:tl2br w:val="nil"/>
              <w:tr2bl w:val="nil"/>
            </w:tcBorders>
            <w:vAlign w:val="center"/>
          </w:tcPr>
          <w:p>
            <w:pPr>
              <w:spacing w:line="360" w:lineRule="auto"/>
              <w:jc w:val="center"/>
              <w:rPr>
                <w:kern w:val="0"/>
                <w:szCs w:val="21"/>
              </w:rPr>
            </w:pPr>
            <w:r>
              <w:rPr>
                <w:rFonts w:hint="eastAsia"/>
                <w:kern w:val="0"/>
                <w:szCs w:val="21"/>
              </w:rPr>
              <w:t>中空夹胶玻璃</w:t>
            </w:r>
          </w:p>
        </w:tc>
        <w:tc>
          <w:tcPr>
            <w:tcW w:w="1009" w:type="pct"/>
            <w:tcBorders>
              <w:tl2br w:val="nil"/>
              <w:tr2bl w:val="nil"/>
            </w:tcBorders>
            <w:vAlign w:val="center"/>
          </w:tcPr>
          <w:p>
            <w:pPr>
              <w:spacing w:line="360" w:lineRule="auto"/>
              <w:jc w:val="center"/>
              <w:rPr>
                <w:kern w:val="0"/>
                <w:szCs w:val="21"/>
              </w:rPr>
            </w:pPr>
            <w:r>
              <w:rPr>
                <w:rFonts w:hint="eastAsia"/>
                <w:kern w:val="0"/>
                <w:szCs w:val="21"/>
              </w:rPr>
              <w:t>中空钢化热浸处理</w:t>
            </w:r>
          </w:p>
        </w:tc>
        <w:tc>
          <w:tcPr>
            <w:tcW w:w="996" w:type="pct"/>
            <w:tcBorders>
              <w:tl2br w:val="nil"/>
              <w:tr2bl w:val="nil"/>
            </w:tcBorders>
            <w:vAlign w:val="center"/>
          </w:tcPr>
          <w:p>
            <w:pPr>
              <w:spacing w:line="360" w:lineRule="auto"/>
              <w:jc w:val="center"/>
              <w:rPr>
                <w:kern w:val="0"/>
                <w:szCs w:val="21"/>
              </w:rPr>
            </w:pPr>
            <w:r>
              <w:rPr>
                <w:rFonts w:hint="eastAsia"/>
                <w:kern w:val="0"/>
                <w:szCs w:val="21"/>
              </w:rPr>
              <w:t>普通中空玻璃</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417" w:type="pct"/>
            <w:tcBorders>
              <w:tl2br w:val="nil"/>
              <w:tr2bl w:val="nil"/>
            </w:tcBorders>
            <w:vAlign w:val="center"/>
          </w:tcPr>
          <w:p>
            <w:pPr>
              <w:spacing w:line="360" w:lineRule="auto"/>
              <w:jc w:val="left"/>
              <w:rPr>
                <w:kern w:val="0"/>
                <w:szCs w:val="21"/>
              </w:rPr>
            </w:pPr>
            <w:r>
              <w:rPr>
                <w:rFonts w:hint="eastAsia"/>
                <w:kern w:val="0"/>
                <w:szCs w:val="21"/>
              </w:rPr>
              <w:t>备注</w:t>
            </w:r>
          </w:p>
        </w:tc>
        <w:tc>
          <w:tcPr>
            <w:tcW w:w="4582" w:type="pct"/>
            <w:gridSpan w:val="5"/>
            <w:tcBorders>
              <w:tl2br w:val="nil"/>
              <w:tr2bl w:val="nil"/>
            </w:tcBorders>
            <w:vAlign w:val="center"/>
          </w:tcPr>
          <w:p>
            <w:pPr>
              <w:spacing w:line="360" w:lineRule="auto"/>
              <w:jc w:val="left"/>
              <w:rPr>
                <w:kern w:val="0"/>
                <w:szCs w:val="21"/>
              </w:rPr>
            </w:pPr>
            <w:r>
              <w:rPr>
                <w:rFonts w:hint="eastAsia"/>
                <w:kern w:val="0"/>
                <w:szCs w:val="21"/>
              </w:rPr>
              <w:t>A级100分，B级75分，C级50分，D级25分</w:t>
            </w:r>
          </w:p>
        </w:tc>
      </w:tr>
    </w:tbl>
    <w:p>
      <w:pPr>
        <w:spacing w:line="360" w:lineRule="auto"/>
        <w:rPr>
          <w:kern w:val="0"/>
          <w:sz w:val="24"/>
        </w:rPr>
      </w:pPr>
    </w:p>
    <w:p>
      <w:pPr>
        <w:spacing w:line="360" w:lineRule="auto"/>
        <w:jc w:val="center"/>
        <w:rPr>
          <w:kern w:val="0"/>
          <w:sz w:val="24"/>
        </w:rPr>
      </w:pPr>
      <w:r>
        <w:rPr>
          <w:rFonts w:hint="eastAsia"/>
          <w:kern w:val="0"/>
          <w:sz w:val="24"/>
        </w:rPr>
        <w:t>表C.0.2-3 密封胶条评定等级</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675"/>
        <w:gridCol w:w="1010"/>
        <w:gridCol w:w="1708"/>
        <w:gridCol w:w="1708"/>
        <w:gridCol w:w="1704"/>
        <w:gridCol w:w="171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31" w:type="dxa"/>
            <w:vMerge w:val="restart"/>
            <w:tcBorders>
              <w:tl2br w:val="nil"/>
              <w:tr2bl w:val="nil"/>
            </w:tcBorders>
            <w:vAlign w:val="center"/>
          </w:tcPr>
          <w:p>
            <w:pPr>
              <w:spacing w:line="360" w:lineRule="auto"/>
              <w:jc w:val="left"/>
              <w:rPr>
                <w:kern w:val="0"/>
                <w:szCs w:val="21"/>
              </w:rPr>
            </w:pPr>
            <w:r>
              <w:rPr>
                <w:rFonts w:hint="eastAsia"/>
                <w:kern w:val="0"/>
                <w:szCs w:val="21"/>
              </w:rPr>
              <w:t>序号</w:t>
            </w:r>
          </w:p>
        </w:tc>
        <w:tc>
          <w:tcPr>
            <w:tcW w:w="1141" w:type="dxa"/>
            <w:vMerge w:val="restart"/>
            <w:tcBorders>
              <w:tl2br w:val="nil"/>
              <w:tr2bl w:val="nil"/>
            </w:tcBorders>
            <w:vAlign w:val="center"/>
          </w:tcPr>
          <w:p>
            <w:pPr>
              <w:spacing w:line="360" w:lineRule="auto"/>
              <w:jc w:val="left"/>
              <w:rPr>
                <w:kern w:val="0"/>
                <w:szCs w:val="21"/>
              </w:rPr>
            </w:pPr>
            <w:r>
              <w:rPr>
                <w:rFonts w:hint="eastAsia"/>
                <w:kern w:val="0"/>
                <w:szCs w:val="21"/>
              </w:rPr>
              <w:t>评价项目</w:t>
            </w:r>
          </w:p>
        </w:tc>
        <w:tc>
          <w:tcPr>
            <w:tcW w:w="7704" w:type="dxa"/>
            <w:gridSpan w:val="4"/>
            <w:tcBorders>
              <w:tl2br w:val="nil"/>
              <w:tr2bl w:val="nil"/>
            </w:tcBorders>
            <w:vAlign w:val="center"/>
          </w:tcPr>
          <w:p>
            <w:pPr>
              <w:spacing w:line="360" w:lineRule="auto"/>
              <w:jc w:val="left"/>
              <w:rPr>
                <w:kern w:val="0"/>
                <w:szCs w:val="21"/>
              </w:rPr>
            </w:pPr>
            <w:r>
              <w:rPr>
                <w:rFonts w:hint="eastAsia"/>
                <w:kern w:val="0"/>
                <w:szCs w:val="21"/>
              </w:rPr>
              <w:t>评定等级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31" w:type="dxa"/>
            <w:vMerge w:val="continue"/>
            <w:tcBorders>
              <w:tl2br w:val="nil"/>
              <w:tr2bl w:val="nil"/>
            </w:tcBorders>
            <w:vAlign w:val="center"/>
          </w:tcPr>
          <w:p>
            <w:pPr>
              <w:spacing w:line="360" w:lineRule="auto"/>
              <w:jc w:val="left"/>
              <w:rPr>
                <w:kern w:val="0"/>
                <w:szCs w:val="21"/>
              </w:rPr>
            </w:pPr>
          </w:p>
        </w:tc>
        <w:tc>
          <w:tcPr>
            <w:tcW w:w="1141" w:type="dxa"/>
            <w:vMerge w:val="continue"/>
            <w:tcBorders>
              <w:tl2br w:val="nil"/>
              <w:tr2bl w:val="nil"/>
            </w:tcBorders>
            <w:vAlign w:val="center"/>
          </w:tcPr>
          <w:p>
            <w:pPr>
              <w:spacing w:line="360" w:lineRule="auto"/>
              <w:jc w:val="left"/>
              <w:rPr>
                <w:kern w:val="0"/>
                <w:szCs w:val="21"/>
              </w:rPr>
            </w:pPr>
          </w:p>
        </w:tc>
        <w:tc>
          <w:tcPr>
            <w:tcW w:w="1924" w:type="dxa"/>
            <w:tcBorders>
              <w:tl2br w:val="nil"/>
              <w:tr2bl w:val="nil"/>
            </w:tcBorders>
          </w:tcPr>
          <w:p>
            <w:pPr>
              <w:spacing w:line="360" w:lineRule="auto"/>
              <w:jc w:val="left"/>
              <w:rPr>
                <w:kern w:val="0"/>
                <w:szCs w:val="21"/>
              </w:rPr>
            </w:pPr>
            <w:r>
              <w:rPr>
                <w:rFonts w:hint="eastAsia"/>
                <w:kern w:val="0"/>
                <w:szCs w:val="21"/>
              </w:rPr>
              <w:t>A级</w:t>
            </w:r>
          </w:p>
        </w:tc>
        <w:tc>
          <w:tcPr>
            <w:tcW w:w="1924" w:type="dxa"/>
            <w:tcBorders>
              <w:tl2br w:val="nil"/>
              <w:tr2bl w:val="nil"/>
            </w:tcBorders>
          </w:tcPr>
          <w:p>
            <w:pPr>
              <w:spacing w:line="360" w:lineRule="auto"/>
              <w:jc w:val="left"/>
              <w:rPr>
                <w:kern w:val="0"/>
                <w:szCs w:val="21"/>
              </w:rPr>
            </w:pPr>
            <w:r>
              <w:rPr>
                <w:rFonts w:hint="eastAsia"/>
                <w:kern w:val="0"/>
                <w:szCs w:val="21"/>
              </w:rPr>
              <w:t>B级</w:t>
            </w:r>
          </w:p>
        </w:tc>
        <w:tc>
          <w:tcPr>
            <w:tcW w:w="1920" w:type="dxa"/>
            <w:tcBorders>
              <w:tl2br w:val="nil"/>
              <w:tr2bl w:val="nil"/>
            </w:tcBorders>
          </w:tcPr>
          <w:p>
            <w:pPr>
              <w:spacing w:line="360" w:lineRule="auto"/>
              <w:jc w:val="left"/>
              <w:rPr>
                <w:kern w:val="0"/>
                <w:szCs w:val="21"/>
              </w:rPr>
            </w:pPr>
            <w:r>
              <w:rPr>
                <w:rFonts w:hint="eastAsia"/>
                <w:kern w:val="0"/>
                <w:szCs w:val="21"/>
              </w:rPr>
              <w:t>C级</w:t>
            </w:r>
          </w:p>
        </w:tc>
        <w:tc>
          <w:tcPr>
            <w:tcW w:w="1936" w:type="dxa"/>
            <w:tcBorders>
              <w:tl2br w:val="nil"/>
              <w:tr2bl w:val="nil"/>
            </w:tcBorders>
          </w:tcPr>
          <w:p>
            <w:pPr>
              <w:spacing w:line="360" w:lineRule="auto"/>
              <w:jc w:val="left"/>
              <w:rPr>
                <w:kern w:val="0"/>
                <w:szCs w:val="21"/>
              </w:rPr>
            </w:pPr>
            <w:r>
              <w:rPr>
                <w:rFonts w:hint="eastAsia"/>
                <w:kern w:val="0"/>
                <w:szCs w:val="21"/>
              </w:rPr>
              <w:t>D级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31" w:type="dxa"/>
            <w:tcBorders>
              <w:tl2br w:val="nil"/>
              <w:tr2bl w:val="nil"/>
            </w:tcBorders>
            <w:vAlign w:val="center"/>
          </w:tcPr>
          <w:p>
            <w:pPr>
              <w:spacing w:line="360" w:lineRule="auto"/>
              <w:jc w:val="center"/>
              <w:rPr>
                <w:kern w:val="0"/>
                <w:szCs w:val="21"/>
              </w:rPr>
            </w:pPr>
            <w:r>
              <w:rPr>
                <w:rFonts w:hint="eastAsia"/>
                <w:kern w:val="0"/>
                <w:szCs w:val="21"/>
              </w:rPr>
              <w:t>1</w:t>
            </w:r>
          </w:p>
        </w:tc>
        <w:tc>
          <w:tcPr>
            <w:tcW w:w="1141" w:type="dxa"/>
            <w:tcBorders>
              <w:tl2br w:val="nil"/>
              <w:tr2bl w:val="nil"/>
            </w:tcBorders>
            <w:vAlign w:val="center"/>
          </w:tcPr>
          <w:p>
            <w:pPr>
              <w:spacing w:line="360" w:lineRule="auto"/>
              <w:jc w:val="left"/>
              <w:rPr>
                <w:kern w:val="0"/>
                <w:szCs w:val="21"/>
              </w:rPr>
            </w:pPr>
            <w:r>
              <w:rPr>
                <w:rFonts w:hint="eastAsia"/>
                <w:kern w:val="0"/>
                <w:szCs w:val="21"/>
              </w:rPr>
              <w:t>外观及物理力学性能</w:t>
            </w:r>
          </w:p>
        </w:tc>
        <w:tc>
          <w:tcPr>
            <w:tcW w:w="1924" w:type="dxa"/>
            <w:tcBorders>
              <w:tl2br w:val="nil"/>
              <w:tr2bl w:val="nil"/>
            </w:tcBorders>
          </w:tcPr>
          <w:p>
            <w:pPr>
              <w:spacing w:line="360" w:lineRule="auto"/>
              <w:jc w:val="left"/>
              <w:rPr>
                <w:kern w:val="0"/>
                <w:szCs w:val="21"/>
              </w:rPr>
            </w:pPr>
            <w:r>
              <w:rPr>
                <w:rFonts w:hint="eastAsia"/>
                <w:kern w:val="0"/>
                <w:szCs w:val="21"/>
              </w:rPr>
              <w:t>使用材料符合GB/T 24498或JG/T 488标准要求；胶条材质为硅橡胶；硬度满足设计要求；能满足气密和水密的使用要求</w:t>
            </w:r>
          </w:p>
        </w:tc>
        <w:tc>
          <w:tcPr>
            <w:tcW w:w="1924" w:type="dxa"/>
            <w:tcBorders>
              <w:tl2br w:val="nil"/>
              <w:tr2bl w:val="nil"/>
            </w:tcBorders>
          </w:tcPr>
          <w:p>
            <w:pPr>
              <w:spacing w:line="360" w:lineRule="auto"/>
              <w:jc w:val="left"/>
              <w:rPr>
                <w:kern w:val="0"/>
                <w:szCs w:val="21"/>
              </w:rPr>
            </w:pPr>
            <w:r>
              <w:rPr>
                <w:rFonts w:hint="eastAsia"/>
                <w:kern w:val="0"/>
                <w:szCs w:val="21"/>
              </w:rPr>
              <w:t>使用材料符合GB/T 24498或JG/T 488标准要求；硬度满足设计要求；能满足气密和水密的使用要求</w:t>
            </w:r>
          </w:p>
        </w:tc>
        <w:tc>
          <w:tcPr>
            <w:tcW w:w="1920" w:type="dxa"/>
            <w:tcBorders>
              <w:tl2br w:val="nil"/>
              <w:tr2bl w:val="nil"/>
            </w:tcBorders>
          </w:tcPr>
          <w:p>
            <w:pPr>
              <w:spacing w:line="360" w:lineRule="auto"/>
              <w:jc w:val="left"/>
              <w:rPr>
                <w:kern w:val="0"/>
                <w:szCs w:val="21"/>
              </w:rPr>
            </w:pPr>
            <w:r>
              <w:rPr>
                <w:rFonts w:hint="eastAsia"/>
                <w:kern w:val="0"/>
                <w:szCs w:val="21"/>
              </w:rPr>
              <w:t>使用材料符合GB/T 24498或JG/T 488标准要求；硬度满足设计要求。</w:t>
            </w:r>
          </w:p>
          <w:p>
            <w:pPr>
              <w:spacing w:line="360" w:lineRule="auto"/>
              <w:jc w:val="left"/>
              <w:rPr>
                <w:kern w:val="0"/>
                <w:szCs w:val="21"/>
              </w:rPr>
            </w:pPr>
            <w:r>
              <w:rPr>
                <w:rFonts w:hint="eastAsia"/>
                <w:kern w:val="0"/>
                <w:szCs w:val="21"/>
              </w:rPr>
              <w:t>个别区域能满足气密和水密的使用要求</w:t>
            </w:r>
          </w:p>
        </w:tc>
        <w:tc>
          <w:tcPr>
            <w:tcW w:w="1936" w:type="dxa"/>
            <w:tcBorders>
              <w:tl2br w:val="nil"/>
              <w:tr2bl w:val="nil"/>
            </w:tcBorders>
          </w:tcPr>
          <w:p>
            <w:pPr>
              <w:spacing w:line="360" w:lineRule="auto"/>
              <w:jc w:val="left"/>
              <w:rPr>
                <w:kern w:val="0"/>
                <w:szCs w:val="21"/>
              </w:rPr>
            </w:pPr>
            <w:r>
              <w:rPr>
                <w:rFonts w:hint="eastAsia"/>
                <w:kern w:val="0"/>
                <w:szCs w:val="21"/>
              </w:rPr>
              <w:t>使用材料不符合GB/T 24498或JG/T 488标准要求。或硬度不满足设计要求。或多处区域已明显影响气密性和水密使用功能</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31" w:type="dxa"/>
            <w:tcBorders>
              <w:tl2br w:val="nil"/>
              <w:tr2bl w:val="nil"/>
            </w:tcBorders>
            <w:vAlign w:val="center"/>
          </w:tcPr>
          <w:p>
            <w:pPr>
              <w:spacing w:line="360" w:lineRule="auto"/>
              <w:jc w:val="center"/>
              <w:rPr>
                <w:kern w:val="0"/>
                <w:szCs w:val="21"/>
              </w:rPr>
            </w:pPr>
            <w:r>
              <w:rPr>
                <w:rFonts w:hint="eastAsia"/>
                <w:kern w:val="0"/>
                <w:szCs w:val="21"/>
              </w:rPr>
              <w:t>2</w:t>
            </w:r>
          </w:p>
        </w:tc>
        <w:tc>
          <w:tcPr>
            <w:tcW w:w="1141" w:type="dxa"/>
            <w:tcBorders>
              <w:tl2br w:val="nil"/>
              <w:tr2bl w:val="nil"/>
            </w:tcBorders>
            <w:vAlign w:val="center"/>
          </w:tcPr>
          <w:p>
            <w:pPr>
              <w:spacing w:line="360" w:lineRule="auto"/>
              <w:jc w:val="left"/>
              <w:rPr>
                <w:kern w:val="0"/>
                <w:szCs w:val="21"/>
              </w:rPr>
            </w:pPr>
            <w:r>
              <w:rPr>
                <w:rFonts w:hint="eastAsia"/>
                <w:kern w:val="0"/>
                <w:szCs w:val="21"/>
              </w:rPr>
              <w:t>安装形式</w:t>
            </w:r>
          </w:p>
        </w:tc>
        <w:tc>
          <w:tcPr>
            <w:tcW w:w="1924" w:type="dxa"/>
            <w:tcBorders>
              <w:tl2br w:val="nil"/>
              <w:tr2bl w:val="nil"/>
            </w:tcBorders>
            <w:vAlign w:val="center"/>
          </w:tcPr>
          <w:p>
            <w:pPr>
              <w:spacing w:line="360" w:lineRule="auto"/>
              <w:jc w:val="center"/>
              <w:rPr>
                <w:kern w:val="0"/>
                <w:szCs w:val="21"/>
              </w:rPr>
            </w:pPr>
            <w:r>
              <w:rPr>
                <w:rFonts w:hint="eastAsia"/>
                <w:kern w:val="0"/>
                <w:szCs w:val="21"/>
              </w:rPr>
              <w:t>整框型胶条</w:t>
            </w:r>
          </w:p>
        </w:tc>
        <w:tc>
          <w:tcPr>
            <w:tcW w:w="1924" w:type="dxa"/>
            <w:tcBorders>
              <w:tl2br w:val="nil"/>
              <w:tr2bl w:val="nil"/>
            </w:tcBorders>
            <w:vAlign w:val="center"/>
          </w:tcPr>
          <w:p>
            <w:pPr>
              <w:spacing w:line="360" w:lineRule="auto"/>
              <w:jc w:val="center"/>
              <w:rPr>
                <w:kern w:val="0"/>
                <w:szCs w:val="21"/>
              </w:rPr>
            </w:pPr>
            <w:r>
              <w:rPr>
                <w:rFonts w:hint="eastAsia"/>
                <w:kern w:val="0"/>
                <w:szCs w:val="21"/>
              </w:rPr>
              <w:t>胶条接缝在上口或侧边</w:t>
            </w:r>
          </w:p>
        </w:tc>
        <w:tc>
          <w:tcPr>
            <w:tcW w:w="1920" w:type="dxa"/>
            <w:tcBorders>
              <w:tl2br w:val="nil"/>
              <w:tr2bl w:val="nil"/>
            </w:tcBorders>
            <w:vAlign w:val="center"/>
          </w:tcPr>
          <w:p>
            <w:pPr>
              <w:spacing w:line="360" w:lineRule="auto"/>
              <w:jc w:val="center"/>
              <w:rPr>
                <w:kern w:val="0"/>
                <w:szCs w:val="21"/>
              </w:rPr>
            </w:pPr>
            <w:r>
              <w:rPr>
                <w:rFonts w:hint="eastAsia"/>
                <w:kern w:val="0"/>
                <w:szCs w:val="21"/>
              </w:rPr>
              <w:t>转角专用拼接胶条</w:t>
            </w:r>
          </w:p>
        </w:tc>
        <w:tc>
          <w:tcPr>
            <w:tcW w:w="1936" w:type="dxa"/>
            <w:tcBorders>
              <w:tl2br w:val="nil"/>
              <w:tr2bl w:val="nil"/>
            </w:tcBorders>
            <w:vAlign w:val="center"/>
          </w:tcPr>
          <w:p>
            <w:pPr>
              <w:spacing w:line="360" w:lineRule="auto"/>
              <w:jc w:val="center"/>
              <w:rPr>
                <w:kern w:val="0"/>
                <w:szCs w:val="21"/>
              </w:rPr>
            </w:pPr>
            <w:r>
              <w:rPr>
                <w:rFonts w:hint="eastAsia"/>
                <w:kern w:val="0"/>
                <w:szCs w:val="21"/>
              </w:rPr>
              <w:t>角部对接粘接</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31" w:type="dxa"/>
            <w:tcBorders>
              <w:tl2br w:val="nil"/>
              <w:tr2bl w:val="nil"/>
            </w:tcBorders>
            <w:vAlign w:val="center"/>
          </w:tcPr>
          <w:p>
            <w:pPr>
              <w:spacing w:line="360" w:lineRule="auto"/>
              <w:jc w:val="center"/>
              <w:rPr>
                <w:kern w:val="0"/>
                <w:szCs w:val="21"/>
              </w:rPr>
            </w:pPr>
            <w:r>
              <w:rPr>
                <w:rFonts w:hint="eastAsia"/>
                <w:kern w:val="0"/>
                <w:szCs w:val="21"/>
              </w:rPr>
              <w:t>3</w:t>
            </w:r>
          </w:p>
        </w:tc>
        <w:tc>
          <w:tcPr>
            <w:tcW w:w="1141" w:type="dxa"/>
            <w:tcBorders>
              <w:tl2br w:val="nil"/>
              <w:tr2bl w:val="nil"/>
            </w:tcBorders>
            <w:vAlign w:val="center"/>
          </w:tcPr>
          <w:p>
            <w:pPr>
              <w:spacing w:line="360" w:lineRule="auto"/>
              <w:jc w:val="left"/>
              <w:rPr>
                <w:kern w:val="0"/>
                <w:szCs w:val="21"/>
              </w:rPr>
            </w:pPr>
            <w:r>
              <w:rPr>
                <w:rFonts w:hint="eastAsia"/>
                <w:kern w:val="0"/>
                <w:szCs w:val="21"/>
              </w:rPr>
              <w:t>阻燃性</w:t>
            </w:r>
          </w:p>
        </w:tc>
        <w:tc>
          <w:tcPr>
            <w:tcW w:w="1924" w:type="dxa"/>
            <w:tcBorders>
              <w:tl2br w:val="nil"/>
              <w:tr2bl w:val="nil"/>
            </w:tcBorders>
          </w:tcPr>
          <w:p>
            <w:pPr>
              <w:spacing w:line="360" w:lineRule="auto"/>
              <w:jc w:val="left"/>
              <w:rPr>
                <w:kern w:val="0"/>
                <w:szCs w:val="21"/>
              </w:rPr>
            </w:pPr>
            <w:r>
              <w:rPr>
                <w:rFonts w:hint="eastAsia"/>
                <w:kern w:val="0"/>
                <w:szCs w:val="21"/>
              </w:rPr>
              <w:t>胶条经检测，燃烧性能符合V-0级和HB级要求</w:t>
            </w:r>
          </w:p>
        </w:tc>
        <w:tc>
          <w:tcPr>
            <w:tcW w:w="1924" w:type="dxa"/>
            <w:tcBorders>
              <w:tl2br w:val="nil"/>
              <w:tr2bl w:val="nil"/>
            </w:tcBorders>
          </w:tcPr>
          <w:p>
            <w:pPr>
              <w:spacing w:line="360" w:lineRule="auto"/>
              <w:jc w:val="left"/>
              <w:rPr>
                <w:kern w:val="0"/>
                <w:szCs w:val="21"/>
              </w:rPr>
            </w:pPr>
            <w:r>
              <w:rPr>
                <w:rFonts w:hint="eastAsia"/>
                <w:kern w:val="0"/>
                <w:szCs w:val="21"/>
              </w:rPr>
              <w:t>胶条经检测，燃烧性能符合V-0级要求</w:t>
            </w:r>
          </w:p>
        </w:tc>
        <w:tc>
          <w:tcPr>
            <w:tcW w:w="1920" w:type="dxa"/>
            <w:tcBorders>
              <w:tl2br w:val="nil"/>
              <w:tr2bl w:val="nil"/>
            </w:tcBorders>
          </w:tcPr>
          <w:p>
            <w:pPr>
              <w:spacing w:line="360" w:lineRule="auto"/>
              <w:jc w:val="left"/>
              <w:rPr>
                <w:kern w:val="0"/>
                <w:szCs w:val="21"/>
              </w:rPr>
            </w:pPr>
            <w:r>
              <w:rPr>
                <w:rFonts w:hint="eastAsia"/>
                <w:kern w:val="0"/>
                <w:szCs w:val="21"/>
              </w:rPr>
              <w:t>胶条经检测，燃烧性能符合HB级要求</w:t>
            </w:r>
          </w:p>
        </w:tc>
        <w:tc>
          <w:tcPr>
            <w:tcW w:w="1936" w:type="dxa"/>
            <w:tcBorders>
              <w:tl2br w:val="nil"/>
              <w:tr2bl w:val="nil"/>
            </w:tcBorders>
          </w:tcPr>
          <w:p>
            <w:pPr>
              <w:spacing w:line="360" w:lineRule="auto"/>
              <w:jc w:val="left"/>
              <w:rPr>
                <w:kern w:val="0"/>
                <w:szCs w:val="21"/>
              </w:rPr>
            </w:pPr>
            <w:r>
              <w:rPr>
                <w:rFonts w:hint="eastAsia"/>
                <w:kern w:val="0"/>
                <w:szCs w:val="21"/>
              </w:rPr>
              <w:t>胶条经检测，燃烧性能不符合HB级要求</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31" w:type="dxa"/>
            <w:tcBorders>
              <w:tl2br w:val="nil"/>
              <w:tr2bl w:val="nil"/>
            </w:tcBorders>
            <w:vAlign w:val="center"/>
          </w:tcPr>
          <w:p>
            <w:pPr>
              <w:spacing w:line="360" w:lineRule="auto"/>
              <w:jc w:val="left"/>
              <w:rPr>
                <w:kern w:val="0"/>
                <w:szCs w:val="21"/>
              </w:rPr>
            </w:pPr>
            <w:r>
              <w:rPr>
                <w:rFonts w:hint="eastAsia"/>
                <w:kern w:val="0"/>
                <w:szCs w:val="21"/>
              </w:rPr>
              <w:t>备注</w:t>
            </w:r>
          </w:p>
        </w:tc>
        <w:tc>
          <w:tcPr>
            <w:tcW w:w="8845" w:type="dxa"/>
            <w:gridSpan w:val="5"/>
            <w:tcBorders>
              <w:tl2br w:val="nil"/>
              <w:tr2bl w:val="nil"/>
            </w:tcBorders>
            <w:vAlign w:val="center"/>
          </w:tcPr>
          <w:p>
            <w:pPr>
              <w:spacing w:line="360" w:lineRule="auto"/>
              <w:jc w:val="left"/>
              <w:rPr>
                <w:kern w:val="0"/>
                <w:szCs w:val="21"/>
              </w:rPr>
            </w:pPr>
            <w:r>
              <w:rPr>
                <w:rFonts w:hint="eastAsia"/>
                <w:kern w:val="0"/>
                <w:szCs w:val="21"/>
              </w:rPr>
              <w:t>A级100分，B级75分，C级50分，D级25分</w:t>
            </w:r>
          </w:p>
        </w:tc>
      </w:tr>
    </w:tbl>
    <w:p>
      <w:pPr>
        <w:spacing w:line="360" w:lineRule="auto"/>
        <w:rPr>
          <w:kern w:val="0"/>
          <w:sz w:val="24"/>
        </w:rPr>
      </w:pPr>
    </w:p>
    <w:p>
      <w:pPr>
        <w:spacing w:line="360" w:lineRule="auto"/>
        <w:jc w:val="center"/>
        <w:rPr>
          <w:kern w:val="0"/>
          <w:sz w:val="24"/>
        </w:rPr>
      </w:pPr>
      <w:r>
        <w:rPr>
          <w:rFonts w:hint="eastAsia"/>
          <w:kern w:val="0"/>
          <w:sz w:val="24"/>
        </w:rPr>
        <w:t>表C.0.2-4 聚酰胺隔热条评定等级</w:t>
      </w:r>
    </w:p>
    <w:tbl>
      <w:tblPr>
        <w:tblStyle w:val="40"/>
        <w:tblW w:w="4946"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631"/>
        <w:gridCol w:w="918"/>
        <w:gridCol w:w="1856"/>
        <w:gridCol w:w="1449"/>
        <w:gridCol w:w="1681"/>
        <w:gridCol w:w="189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74" w:type="pct"/>
            <w:vMerge w:val="restart"/>
            <w:tcBorders>
              <w:tl2br w:val="nil"/>
              <w:tr2bl w:val="nil"/>
            </w:tcBorders>
            <w:vAlign w:val="center"/>
          </w:tcPr>
          <w:p>
            <w:pPr>
              <w:spacing w:line="360" w:lineRule="auto"/>
              <w:jc w:val="center"/>
              <w:rPr>
                <w:rFonts w:ascii="宋体"/>
                <w:kern w:val="0"/>
                <w:szCs w:val="21"/>
              </w:rPr>
            </w:pPr>
            <w:r>
              <w:rPr>
                <w:rFonts w:hint="eastAsia" w:ascii="宋体"/>
                <w:kern w:val="0"/>
                <w:szCs w:val="21"/>
              </w:rPr>
              <w:t>序号</w:t>
            </w:r>
          </w:p>
        </w:tc>
        <w:tc>
          <w:tcPr>
            <w:tcW w:w="544" w:type="pct"/>
            <w:vMerge w:val="restart"/>
            <w:tcBorders>
              <w:tl2br w:val="nil"/>
              <w:tr2bl w:val="nil"/>
            </w:tcBorders>
            <w:vAlign w:val="center"/>
          </w:tcPr>
          <w:p>
            <w:pPr>
              <w:spacing w:line="360" w:lineRule="auto"/>
              <w:jc w:val="center"/>
              <w:rPr>
                <w:rFonts w:ascii="宋体"/>
                <w:kern w:val="0"/>
                <w:szCs w:val="21"/>
              </w:rPr>
            </w:pPr>
            <w:r>
              <w:rPr>
                <w:rFonts w:hint="eastAsia" w:ascii="宋体"/>
                <w:kern w:val="0"/>
                <w:szCs w:val="21"/>
              </w:rPr>
              <w:t>评价项目</w:t>
            </w:r>
          </w:p>
        </w:tc>
        <w:tc>
          <w:tcPr>
            <w:tcW w:w="4081" w:type="pct"/>
            <w:gridSpan w:val="4"/>
            <w:tcBorders>
              <w:tl2br w:val="nil"/>
              <w:tr2bl w:val="nil"/>
            </w:tcBorders>
            <w:vAlign w:val="center"/>
          </w:tcPr>
          <w:p>
            <w:pPr>
              <w:spacing w:line="360" w:lineRule="auto"/>
              <w:jc w:val="center"/>
              <w:rPr>
                <w:rFonts w:ascii="宋体"/>
                <w:kern w:val="0"/>
                <w:szCs w:val="21"/>
              </w:rPr>
            </w:pPr>
            <w:r>
              <w:rPr>
                <w:rFonts w:hint="eastAsia" w:ascii="宋体"/>
                <w:kern w:val="0"/>
                <w:szCs w:val="21"/>
              </w:rPr>
              <w:t>评定等级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74" w:type="pct"/>
            <w:vMerge w:val="continue"/>
            <w:tcBorders>
              <w:tl2br w:val="nil"/>
              <w:tr2bl w:val="nil"/>
            </w:tcBorders>
            <w:vAlign w:val="center"/>
          </w:tcPr>
          <w:p>
            <w:pPr>
              <w:spacing w:line="360" w:lineRule="auto"/>
              <w:jc w:val="center"/>
              <w:rPr>
                <w:rFonts w:ascii="宋体"/>
                <w:kern w:val="0"/>
                <w:szCs w:val="21"/>
              </w:rPr>
            </w:pPr>
          </w:p>
        </w:tc>
        <w:tc>
          <w:tcPr>
            <w:tcW w:w="544" w:type="pct"/>
            <w:vMerge w:val="continue"/>
            <w:tcBorders>
              <w:tl2br w:val="nil"/>
              <w:tr2bl w:val="nil"/>
            </w:tcBorders>
            <w:vAlign w:val="center"/>
          </w:tcPr>
          <w:p>
            <w:pPr>
              <w:spacing w:line="360" w:lineRule="auto"/>
              <w:jc w:val="center"/>
              <w:rPr>
                <w:rFonts w:ascii="宋体"/>
                <w:kern w:val="0"/>
                <w:szCs w:val="21"/>
              </w:rPr>
            </w:pPr>
          </w:p>
        </w:tc>
        <w:tc>
          <w:tcPr>
            <w:tcW w:w="1101" w:type="pct"/>
            <w:tcBorders>
              <w:tl2br w:val="nil"/>
              <w:tr2bl w:val="nil"/>
            </w:tcBorders>
          </w:tcPr>
          <w:p>
            <w:pPr>
              <w:spacing w:line="360" w:lineRule="auto"/>
              <w:jc w:val="center"/>
              <w:rPr>
                <w:rFonts w:ascii="宋体"/>
                <w:kern w:val="0"/>
                <w:szCs w:val="21"/>
              </w:rPr>
            </w:pPr>
            <w:r>
              <w:rPr>
                <w:rFonts w:hint="eastAsia" w:ascii="宋体"/>
                <w:kern w:val="0"/>
                <w:szCs w:val="21"/>
              </w:rPr>
              <w:t>A级</w:t>
            </w:r>
          </w:p>
        </w:tc>
        <w:tc>
          <w:tcPr>
            <w:tcW w:w="859" w:type="pct"/>
            <w:tcBorders>
              <w:tl2br w:val="nil"/>
              <w:tr2bl w:val="nil"/>
            </w:tcBorders>
          </w:tcPr>
          <w:p>
            <w:pPr>
              <w:spacing w:line="360" w:lineRule="auto"/>
              <w:jc w:val="center"/>
              <w:rPr>
                <w:rFonts w:ascii="宋体"/>
                <w:kern w:val="0"/>
                <w:szCs w:val="21"/>
              </w:rPr>
            </w:pPr>
            <w:r>
              <w:rPr>
                <w:rFonts w:hint="eastAsia" w:ascii="宋体"/>
                <w:kern w:val="0"/>
                <w:szCs w:val="21"/>
              </w:rPr>
              <w:t>B级</w:t>
            </w:r>
          </w:p>
        </w:tc>
        <w:tc>
          <w:tcPr>
            <w:tcW w:w="997" w:type="pct"/>
            <w:tcBorders>
              <w:tl2br w:val="nil"/>
              <w:tr2bl w:val="nil"/>
            </w:tcBorders>
          </w:tcPr>
          <w:p>
            <w:pPr>
              <w:spacing w:line="360" w:lineRule="auto"/>
              <w:jc w:val="center"/>
              <w:rPr>
                <w:rFonts w:ascii="宋体"/>
                <w:kern w:val="0"/>
                <w:szCs w:val="21"/>
              </w:rPr>
            </w:pPr>
            <w:r>
              <w:rPr>
                <w:rFonts w:hint="eastAsia" w:ascii="宋体"/>
                <w:kern w:val="0"/>
                <w:szCs w:val="21"/>
              </w:rPr>
              <w:t>C级</w:t>
            </w:r>
          </w:p>
        </w:tc>
        <w:tc>
          <w:tcPr>
            <w:tcW w:w="1122" w:type="pct"/>
            <w:tcBorders>
              <w:tl2br w:val="nil"/>
              <w:tr2bl w:val="nil"/>
            </w:tcBorders>
          </w:tcPr>
          <w:p>
            <w:pPr>
              <w:spacing w:line="360" w:lineRule="auto"/>
              <w:jc w:val="center"/>
              <w:rPr>
                <w:rFonts w:ascii="宋体"/>
                <w:kern w:val="0"/>
                <w:szCs w:val="21"/>
              </w:rPr>
            </w:pPr>
            <w:r>
              <w:rPr>
                <w:rFonts w:hint="eastAsia" w:ascii="宋体"/>
                <w:kern w:val="0"/>
                <w:szCs w:val="21"/>
              </w:rPr>
              <w:t>D级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74" w:type="pct"/>
            <w:tcBorders>
              <w:tl2br w:val="nil"/>
              <w:tr2bl w:val="nil"/>
            </w:tcBorders>
            <w:vAlign w:val="center"/>
          </w:tcPr>
          <w:p>
            <w:pPr>
              <w:spacing w:line="360" w:lineRule="auto"/>
              <w:jc w:val="center"/>
              <w:rPr>
                <w:rFonts w:ascii="宋体"/>
                <w:kern w:val="0"/>
                <w:szCs w:val="21"/>
              </w:rPr>
            </w:pPr>
            <w:r>
              <w:rPr>
                <w:rFonts w:hint="eastAsia" w:ascii="宋体"/>
                <w:kern w:val="0"/>
                <w:szCs w:val="21"/>
              </w:rPr>
              <w:t>1</w:t>
            </w:r>
          </w:p>
        </w:tc>
        <w:tc>
          <w:tcPr>
            <w:tcW w:w="544" w:type="pct"/>
            <w:tcBorders>
              <w:tl2br w:val="nil"/>
              <w:tr2bl w:val="nil"/>
            </w:tcBorders>
            <w:vAlign w:val="center"/>
          </w:tcPr>
          <w:p>
            <w:pPr>
              <w:spacing w:line="360" w:lineRule="auto"/>
              <w:jc w:val="center"/>
              <w:rPr>
                <w:rFonts w:ascii="宋体"/>
                <w:kern w:val="0"/>
                <w:szCs w:val="21"/>
              </w:rPr>
            </w:pPr>
            <w:r>
              <w:rPr>
                <w:rFonts w:hint="eastAsia" w:ascii="宋体"/>
                <w:kern w:val="0"/>
                <w:szCs w:val="21"/>
              </w:rPr>
              <w:t>原材料</w:t>
            </w:r>
          </w:p>
        </w:tc>
        <w:tc>
          <w:tcPr>
            <w:tcW w:w="1101" w:type="pct"/>
            <w:tcBorders>
              <w:tl2br w:val="nil"/>
              <w:tr2bl w:val="nil"/>
            </w:tcBorders>
          </w:tcPr>
          <w:p>
            <w:pPr>
              <w:spacing w:line="360" w:lineRule="auto"/>
              <w:jc w:val="center"/>
              <w:rPr>
                <w:rFonts w:ascii="宋体"/>
                <w:kern w:val="0"/>
                <w:szCs w:val="21"/>
              </w:rPr>
            </w:pPr>
            <w:r>
              <w:rPr>
                <w:rFonts w:hint="eastAsia" w:ascii="宋体"/>
                <w:kern w:val="0"/>
                <w:szCs w:val="21"/>
              </w:rPr>
              <w:t>DSC熔融峰温≥255℃的PA66新料，燃烧残余为透明、细长的玻璃纤维</w:t>
            </w:r>
          </w:p>
        </w:tc>
        <w:tc>
          <w:tcPr>
            <w:tcW w:w="859" w:type="pct"/>
            <w:tcBorders>
              <w:tl2br w:val="nil"/>
              <w:tr2bl w:val="nil"/>
            </w:tcBorders>
          </w:tcPr>
          <w:p>
            <w:pPr>
              <w:spacing w:line="360" w:lineRule="auto"/>
              <w:jc w:val="center"/>
              <w:rPr>
                <w:rFonts w:ascii="宋体"/>
                <w:kern w:val="0"/>
                <w:szCs w:val="21"/>
              </w:rPr>
            </w:pPr>
            <w:r>
              <w:rPr>
                <w:rFonts w:hint="eastAsia" w:ascii="宋体"/>
                <w:kern w:val="0"/>
                <w:szCs w:val="21"/>
              </w:rPr>
              <w:t xml:space="preserve">DSC熔融峰温≥255℃的PA66，燃烧残余为透明、细长的玻璃纤维 </w:t>
            </w:r>
          </w:p>
        </w:tc>
        <w:tc>
          <w:tcPr>
            <w:tcW w:w="997" w:type="pct"/>
            <w:tcBorders>
              <w:tl2br w:val="nil"/>
              <w:tr2bl w:val="nil"/>
            </w:tcBorders>
          </w:tcPr>
          <w:p>
            <w:pPr>
              <w:spacing w:line="360" w:lineRule="auto"/>
              <w:jc w:val="center"/>
              <w:rPr>
                <w:rFonts w:ascii="宋体"/>
                <w:kern w:val="0"/>
                <w:szCs w:val="21"/>
              </w:rPr>
            </w:pPr>
            <w:r>
              <w:rPr>
                <w:rFonts w:hint="eastAsia" w:ascii="宋体"/>
                <w:kern w:val="0"/>
                <w:szCs w:val="21"/>
              </w:rPr>
              <w:t>DSC熔融峰温≤255℃的PA66或含有其他材料，燃烧残余为断碎或含有杂质的玻璃纤维</w:t>
            </w:r>
          </w:p>
        </w:tc>
        <w:tc>
          <w:tcPr>
            <w:tcW w:w="1122" w:type="pct"/>
            <w:tcBorders>
              <w:tl2br w:val="nil"/>
              <w:tr2bl w:val="nil"/>
            </w:tcBorders>
          </w:tcPr>
          <w:p>
            <w:pPr>
              <w:spacing w:line="360" w:lineRule="auto"/>
              <w:jc w:val="center"/>
              <w:rPr>
                <w:rFonts w:ascii="宋体"/>
                <w:kern w:val="0"/>
                <w:szCs w:val="21"/>
              </w:rPr>
            </w:pPr>
            <w:r>
              <w:rPr>
                <w:rFonts w:hint="eastAsia" w:ascii="宋体"/>
                <w:kern w:val="0"/>
                <w:szCs w:val="21"/>
              </w:rPr>
              <w:t>DSC熔融峰温≤250℃的PA66，燃烧残余为断碎玻璃玻纤或其他非玻璃纤维填充材料</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74" w:type="pct"/>
            <w:tcBorders>
              <w:tl2br w:val="nil"/>
              <w:tr2bl w:val="nil"/>
            </w:tcBorders>
            <w:vAlign w:val="center"/>
          </w:tcPr>
          <w:p>
            <w:pPr>
              <w:spacing w:line="360" w:lineRule="auto"/>
              <w:jc w:val="center"/>
              <w:rPr>
                <w:rFonts w:ascii="宋体"/>
                <w:kern w:val="0"/>
                <w:szCs w:val="21"/>
              </w:rPr>
            </w:pPr>
            <w:r>
              <w:rPr>
                <w:rFonts w:hint="eastAsia" w:ascii="宋体"/>
                <w:kern w:val="0"/>
                <w:szCs w:val="21"/>
              </w:rPr>
              <w:t>2</w:t>
            </w:r>
          </w:p>
        </w:tc>
        <w:tc>
          <w:tcPr>
            <w:tcW w:w="544" w:type="pct"/>
            <w:tcBorders>
              <w:tl2br w:val="nil"/>
              <w:tr2bl w:val="nil"/>
            </w:tcBorders>
            <w:vAlign w:val="center"/>
          </w:tcPr>
          <w:p>
            <w:pPr>
              <w:spacing w:line="360" w:lineRule="auto"/>
              <w:jc w:val="center"/>
              <w:rPr>
                <w:rFonts w:ascii="宋体"/>
                <w:kern w:val="0"/>
                <w:szCs w:val="21"/>
              </w:rPr>
            </w:pPr>
            <w:r>
              <w:rPr>
                <w:rFonts w:hint="eastAsia" w:ascii="宋体"/>
                <w:kern w:val="0"/>
                <w:szCs w:val="21"/>
              </w:rPr>
              <w:t>物理力学性能</w:t>
            </w:r>
          </w:p>
        </w:tc>
        <w:tc>
          <w:tcPr>
            <w:tcW w:w="1101" w:type="pct"/>
            <w:tcBorders>
              <w:tl2br w:val="nil"/>
              <w:tr2bl w:val="nil"/>
            </w:tcBorders>
          </w:tcPr>
          <w:p>
            <w:pPr>
              <w:spacing w:line="360" w:lineRule="auto"/>
              <w:jc w:val="center"/>
              <w:rPr>
                <w:rFonts w:ascii="宋体"/>
                <w:kern w:val="0"/>
                <w:szCs w:val="21"/>
              </w:rPr>
            </w:pPr>
            <w:r>
              <w:rPr>
                <w:rFonts w:hint="eastAsia" w:ascii="宋体"/>
                <w:kern w:val="0"/>
                <w:szCs w:val="21"/>
              </w:rPr>
              <w:t>室温、高低温及老化（耐水、热老化）条件下的抗拉强度全部满足GB /T 23615.1-2017</w:t>
            </w:r>
          </w:p>
        </w:tc>
        <w:tc>
          <w:tcPr>
            <w:tcW w:w="859" w:type="pct"/>
            <w:tcBorders>
              <w:tl2br w:val="nil"/>
              <w:tr2bl w:val="nil"/>
            </w:tcBorders>
          </w:tcPr>
          <w:p>
            <w:pPr>
              <w:spacing w:line="360" w:lineRule="auto"/>
              <w:jc w:val="center"/>
              <w:rPr>
                <w:rFonts w:ascii="宋体"/>
                <w:kern w:val="0"/>
                <w:szCs w:val="21"/>
              </w:rPr>
            </w:pPr>
            <w:r>
              <w:rPr>
                <w:rFonts w:hint="eastAsia" w:ascii="宋体"/>
                <w:kern w:val="0"/>
                <w:szCs w:val="21"/>
              </w:rPr>
              <w:t>室温、高低温下的抗拉强度满足GB /T 23615.1-2017</w:t>
            </w:r>
          </w:p>
        </w:tc>
        <w:tc>
          <w:tcPr>
            <w:tcW w:w="997" w:type="pct"/>
            <w:tcBorders>
              <w:tl2br w:val="nil"/>
              <w:tr2bl w:val="nil"/>
            </w:tcBorders>
          </w:tcPr>
          <w:p>
            <w:pPr>
              <w:spacing w:line="360" w:lineRule="auto"/>
              <w:jc w:val="center"/>
              <w:rPr>
                <w:rFonts w:ascii="宋体"/>
                <w:kern w:val="0"/>
                <w:szCs w:val="21"/>
              </w:rPr>
            </w:pPr>
            <w:r>
              <w:rPr>
                <w:rFonts w:hint="eastAsia" w:ascii="宋体"/>
                <w:kern w:val="0"/>
                <w:szCs w:val="21"/>
              </w:rPr>
              <w:t>室温下的抗拉强度满足GB /T 23615.1-2017</w:t>
            </w:r>
          </w:p>
        </w:tc>
        <w:tc>
          <w:tcPr>
            <w:tcW w:w="1122" w:type="pct"/>
            <w:tcBorders>
              <w:tl2br w:val="nil"/>
              <w:tr2bl w:val="nil"/>
            </w:tcBorders>
          </w:tcPr>
          <w:p>
            <w:pPr>
              <w:spacing w:line="360" w:lineRule="auto"/>
              <w:jc w:val="center"/>
              <w:rPr>
                <w:rFonts w:ascii="宋体"/>
                <w:kern w:val="0"/>
                <w:szCs w:val="21"/>
              </w:rPr>
            </w:pPr>
            <w:r>
              <w:rPr>
                <w:rFonts w:hint="eastAsia" w:ascii="宋体"/>
                <w:kern w:val="0"/>
                <w:szCs w:val="21"/>
              </w:rPr>
              <w:t>抗拉强度不满足GB /T 23615.1-2017，</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74" w:type="pct"/>
            <w:tcBorders>
              <w:tl2br w:val="nil"/>
              <w:tr2bl w:val="nil"/>
            </w:tcBorders>
            <w:vAlign w:val="center"/>
          </w:tcPr>
          <w:p>
            <w:pPr>
              <w:spacing w:line="360" w:lineRule="auto"/>
              <w:jc w:val="center"/>
              <w:rPr>
                <w:rFonts w:ascii="宋体"/>
                <w:kern w:val="0"/>
                <w:szCs w:val="21"/>
              </w:rPr>
            </w:pPr>
            <w:r>
              <w:rPr>
                <w:rFonts w:hint="eastAsia" w:ascii="宋体"/>
                <w:kern w:val="0"/>
                <w:szCs w:val="21"/>
              </w:rPr>
              <w:t>3</w:t>
            </w:r>
          </w:p>
        </w:tc>
        <w:tc>
          <w:tcPr>
            <w:tcW w:w="544" w:type="pct"/>
            <w:tcBorders>
              <w:tl2br w:val="nil"/>
              <w:tr2bl w:val="nil"/>
            </w:tcBorders>
            <w:vAlign w:val="center"/>
          </w:tcPr>
          <w:p>
            <w:pPr>
              <w:spacing w:line="360" w:lineRule="auto"/>
              <w:jc w:val="center"/>
              <w:rPr>
                <w:rFonts w:ascii="宋体"/>
                <w:kern w:val="0"/>
                <w:szCs w:val="21"/>
              </w:rPr>
            </w:pPr>
            <w:r>
              <w:rPr>
                <w:rFonts w:hint="eastAsia" w:ascii="宋体"/>
                <w:kern w:val="0"/>
                <w:szCs w:val="21"/>
              </w:rPr>
              <w:t>产品追溯</w:t>
            </w:r>
          </w:p>
        </w:tc>
        <w:tc>
          <w:tcPr>
            <w:tcW w:w="1101" w:type="pct"/>
            <w:tcBorders>
              <w:tl2br w:val="nil"/>
              <w:tr2bl w:val="nil"/>
            </w:tcBorders>
          </w:tcPr>
          <w:p>
            <w:pPr>
              <w:spacing w:line="360" w:lineRule="auto"/>
              <w:jc w:val="center"/>
              <w:rPr>
                <w:rFonts w:ascii="宋体"/>
                <w:kern w:val="0"/>
                <w:szCs w:val="21"/>
              </w:rPr>
            </w:pPr>
            <w:r>
              <w:rPr>
                <w:rFonts w:hint="eastAsia" w:ascii="宋体"/>
                <w:kern w:val="0"/>
                <w:szCs w:val="21"/>
              </w:rPr>
              <w:t>产品表面有不可清除的产品编码，产品编码对应生产批次且可信息追溯</w:t>
            </w:r>
          </w:p>
        </w:tc>
        <w:tc>
          <w:tcPr>
            <w:tcW w:w="859" w:type="pct"/>
            <w:tcBorders>
              <w:tl2br w:val="nil"/>
              <w:tr2bl w:val="nil"/>
            </w:tcBorders>
          </w:tcPr>
          <w:p>
            <w:pPr>
              <w:spacing w:line="360" w:lineRule="auto"/>
              <w:jc w:val="center"/>
              <w:rPr>
                <w:rFonts w:ascii="宋体"/>
                <w:kern w:val="0"/>
                <w:szCs w:val="21"/>
              </w:rPr>
            </w:pPr>
            <w:r>
              <w:rPr>
                <w:rFonts w:hint="eastAsia" w:ascii="宋体"/>
                <w:kern w:val="0"/>
                <w:szCs w:val="21"/>
              </w:rPr>
              <w:t>产品表面有产品编码，产品编码对应生产批次，但不可信息追溯</w:t>
            </w:r>
          </w:p>
        </w:tc>
        <w:tc>
          <w:tcPr>
            <w:tcW w:w="997" w:type="pct"/>
            <w:tcBorders>
              <w:tl2br w:val="nil"/>
              <w:tr2bl w:val="nil"/>
            </w:tcBorders>
          </w:tcPr>
          <w:p>
            <w:pPr>
              <w:spacing w:line="360" w:lineRule="auto"/>
              <w:jc w:val="center"/>
              <w:rPr>
                <w:rFonts w:ascii="宋体"/>
                <w:kern w:val="0"/>
                <w:szCs w:val="21"/>
              </w:rPr>
            </w:pPr>
            <w:r>
              <w:rPr>
                <w:rFonts w:hint="eastAsia" w:ascii="宋体"/>
                <w:kern w:val="0"/>
                <w:szCs w:val="21"/>
              </w:rPr>
              <w:t>产品表面有产品编码，产品编码不对应生产批次，也不可信息追溯</w:t>
            </w:r>
          </w:p>
        </w:tc>
        <w:tc>
          <w:tcPr>
            <w:tcW w:w="1122" w:type="pct"/>
            <w:tcBorders>
              <w:tl2br w:val="nil"/>
              <w:tr2bl w:val="nil"/>
            </w:tcBorders>
          </w:tcPr>
          <w:p>
            <w:pPr>
              <w:spacing w:line="360" w:lineRule="auto"/>
              <w:jc w:val="center"/>
              <w:rPr>
                <w:rFonts w:ascii="宋体"/>
                <w:kern w:val="0"/>
                <w:szCs w:val="21"/>
              </w:rPr>
            </w:pPr>
            <w:r>
              <w:rPr>
                <w:rFonts w:hint="eastAsia" w:ascii="宋体"/>
                <w:kern w:val="0"/>
                <w:szCs w:val="21"/>
              </w:rPr>
              <w:t>无产品编码，不可产品追溯</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74" w:type="pct"/>
            <w:tcBorders>
              <w:tl2br w:val="nil"/>
              <w:tr2bl w:val="nil"/>
            </w:tcBorders>
            <w:vAlign w:val="center"/>
          </w:tcPr>
          <w:p>
            <w:pPr>
              <w:spacing w:line="360" w:lineRule="auto"/>
              <w:jc w:val="center"/>
              <w:rPr>
                <w:rFonts w:ascii="宋体"/>
                <w:kern w:val="0"/>
                <w:szCs w:val="21"/>
              </w:rPr>
            </w:pPr>
            <w:r>
              <w:rPr>
                <w:rFonts w:hint="eastAsia" w:ascii="宋体"/>
                <w:kern w:val="0"/>
                <w:szCs w:val="21"/>
              </w:rPr>
              <w:t>4</w:t>
            </w:r>
          </w:p>
        </w:tc>
        <w:tc>
          <w:tcPr>
            <w:tcW w:w="544" w:type="pct"/>
            <w:tcBorders>
              <w:tl2br w:val="nil"/>
              <w:tr2bl w:val="nil"/>
            </w:tcBorders>
            <w:vAlign w:val="center"/>
          </w:tcPr>
          <w:p>
            <w:pPr>
              <w:spacing w:line="360" w:lineRule="auto"/>
              <w:jc w:val="center"/>
              <w:rPr>
                <w:rFonts w:ascii="宋体"/>
                <w:kern w:val="0"/>
                <w:szCs w:val="21"/>
              </w:rPr>
            </w:pPr>
            <w:r>
              <w:rPr>
                <w:rFonts w:hint="eastAsia" w:ascii="宋体"/>
                <w:kern w:val="0"/>
                <w:szCs w:val="21"/>
              </w:rPr>
              <w:t>质量保证体系</w:t>
            </w:r>
          </w:p>
        </w:tc>
        <w:tc>
          <w:tcPr>
            <w:tcW w:w="1101" w:type="pct"/>
            <w:tcBorders>
              <w:tl2br w:val="nil"/>
              <w:tr2bl w:val="nil"/>
            </w:tcBorders>
          </w:tcPr>
          <w:p>
            <w:pPr>
              <w:spacing w:line="360" w:lineRule="auto"/>
              <w:jc w:val="center"/>
              <w:rPr>
                <w:rFonts w:ascii="宋体"/>
                <w:kern w:val="0"/>
                <w:szCs w:val="21"/>
              </w:rPr>
            </w:pPr>
            <w:r>
              <w:rPr>
                <w:rFonts w:hint="eastAsia" w:ascii="宋体"/>
                <w:kern w:val="0"/>
                <w:szCs w:val="21"/>
              </w:rPr>
              <w:t>能提供产品供应商的ISO质量控制管理体系文件</w:t>
            </w:r>
          </w:p>
        </w:tc>
        <w:tc>
          <w:tcPr>
            <w:tcW w:w="859" w:type="pct"/>
            <w:tcBorders>
              <w:tl2br w:val="nil"/>
              <w:tr2bl w:val="nil"/>
            </w:tcBorders>
          </w:tcPr>
          <w:p>
            <w:pPr>
              <w:spacing w:line="360" w:lineRule="auto"/>
              <w:jc w:val="center"/>
              <w:rPr>
                <w:rFonts w:ascii="宋体"/>
                <w:kern w:val="0"/>
                <w:szCs w:val="21"/>
              </w:rPr>
            </w:pPr>
            <w:r>
              <w:rPr>
                <w:rFonts w:hint="eastAsia" w:ascii="宋体"/>
                <w:kern w:val="0"/>
                <w:szCs w:val="21"/>
              </w:rPr>
              <w:t>能提供产品供应商的ISO质量控制管理体系文件</w:t>
            </w:r>
          </w:p>
        </w:tc>
        <w:tc>
          <w:tcPr>
            <w:tcW w:w="997" w:type="pct"/>
            <w:tcBorders>
              <w:tl2br w:val="nil"/>
              <w:tr2bl w:val="nil"/>
            </w:tcBorders>
          </w:tcPr>
          <w:p>
            <w:pPr>
              <w:spacing w:line="360" w:lineRule="auto"/>
              <w:jc w:val="center"/>
              <w:rPr>
                <w:rFonts w:ascii="宋体"/>
                <w:kern w:val="0"/>
                <w:szCs w:val="21"/>
              </w:rPr>
            </w:pPr>
            <w:r>
              <w:rPr>
                <w:rFonts w:hint="eastAsia" w:ascii="宋体"/>
                <w:kern w:val="0"/>
                <w:szCs w:val="21"/>
              </w:rPr>
              <w:t>无</w:t>
            </w:r>
          </w:p>
        </w:tc>
        <w:tc>
          <w:tcPr>
            <w:tcW w:w="1122" w:type="pct"/>
            <w:tcBorders>
              <w:tl2br w:val="nil"/>
              <w:tr2bl w:val="nil"/>
            </w:tcBorders>
          </w:tcPr>
          <w:p>
            <w:pPr>
              <w:spacing w:line="360" w:lineRule="auto"/>
              <w:jc w:val="center"/>
              <w:rPr>
                <w:rFonts w:ascii="宋体"/>
                <w:kern w:val="0"/>
                <w:szCs w:val="21"/>
              </w:rPr>
            </w:pPr>
            <w:r>
              <w:rPr>
                <w:rFonts w:hint="eastAsia" w:ascii="宋体"/>
                <w:kern w:val="0"/>
                <w:szCs w:val="21"/>
              </w:rPr>
              <w:t>无</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74" w:type="pct"/>
            <w:tcBorders>
              <w:tl2br w:val="nil"/>
              <w:tr2bl w:val="nil"/>
            </w:tcBorders>
            <w:vAlign w:val="center"/>
          </w:tcPr>
          <w:p>
            <w:pPr>
              <w:spacing w:line="360" w:lineRule="auto"/>
              <w:jc w:val="center"/>
              <w:rPr>
                <w:rFonts w:ascii="宋体"/>
                <w:kern w:val="0"/>
                <w:szCs w:val="21"/>
              </w:rPr>
            </w:pPr>
            <w:r>
              <w:rPr>
                <w:rFonts w:hint="eastAsia" w:ascii="宋体"/>
                <w:kern w:val="0"/>
                <w:szCs w:val="21"/>
              </w:rPr>
              <w:t>5</w:t>
            </w:r>
          </w:p>
        </w:tc>
        <w:tc>
          <w:tcPr>
            <w:tcW w:w="544" w:type="pct"/>
            <w:tcBorders>
              <w:tl2br w:val="nil"/>
              <w:tr2bl w:val="nil"/>
            </w:tcBorders>
            <w:vAlign w:val="center"/>
          </w:tcPr>
          <w:p>
            <w:pPr>
              <w:spacing w:line="360" w:lineRule="auto"/>
              <w:jc w:val="center"/>
              <w:rPr>
                <w:rFonts w:ascii="宋体"/>
                <w:kern w:val="0"/>
                <w:szCs w:val="21"/>
              </w:rPr>
            </w:pPr>
            <w:r>
              <w:rPr>
                <w:rFonts w:hint="eastAsia" w:ascii="宋体"/>
                <w:kern w:val="0"/>
                <w:szCs w:val="21"/>
              </w:rPr>
              <w:t>产品保险</w:t>
            </w:r>
          </w:p>
        </w:tc>
        <w:tc>
          <w:tcPr>
            <w:tcW w:w="1101" w:type="pct"/>
            <w:tcBorders>
              <w:tl2br w:val="nil"/>
              <w:tr2bl w:val="nil"/>
            </w:tcBorders>
          </w:tcPr>
          <w:p>
            <w:pPr>
              <w:spacing w:line="360" w:lineRule="auto"/>
              <w:jc w:val="center"/>
              <w:rPr>
                <w:rFonts w:ascii="宋体"/>
                <w:kern w:val="0"/>
                <w:szCs w:val="21"/>
              </w:rPr>
            </w:pPr>
            <w:r>
              <w:rPr>
                <w:rFonts w:hint="eastAsia" w:ascii="宋体"/>
                <w:kern w:val="0"/>
                <w:szCs w:val="21"/>
              </w:rPr>
              <w:t>能提供证明产品供应商对产品投保的文件</w:t>
            </w:r>
          </w:p>
        </w:tc>
        <w:tc>
          <w:tcPr>
            <w:tcW w:w="859" w:type="pct"/>
            <w:tcBorders>
              <w:tl2br w:val="nil"/>
              <w:tr2bl w:val="nil"/>
            </w:tcBorders>
          </w:tcPr>
          <w:p>
            <w:pPr>
              <w:spacing w:line="360" w:lineRule="auto"/>
              <w:jc w:val="center"/>
              <w:rPr>
                <w:rFonts w:ascii="宋体"/>
                <w:kern w:val="0"/>
                <w:szCs w:val="21"/>
              </w:rPr>
            </w:pPr>
            <w:r>
              <w:rPr>
                <w:rFonts w:hint="eastAsia" w:ascii="宋体"/>
                <w:kern w:val="0"/>
                <w:szCs w:val="21"/>
              </w:rPr>
              <w:t>无</w:t>
            </w:r>
          </w:p>
        </w:tc>
        <w:tc>
          <w:tcPr>
            <w:tcW w:w="997" w:type="pct"/>
            <w:tcBorders>
              <w:tl2br w:val="nil"/>
              <w:tr2bl w:val="nil"/>
            </w:tcBorders>
          </w:tcPr>
          <w:p>
            <w:pPr>
              <w:spacing w:line="360" w:lineRule="auto"/>
              <w:jc w:val="center"/>
              <w:rPr>
                <w:rFonts w:ascii="宋体"/>
                <w:kern w:val="0"/>
                <w:szCs w:val="21"/>
              </w:rPr>
            </w:pPr>
            <w:r>
              <w:rPr>
                <w:rFonts w:hint="eastAsia" w:ascii="宋体"/>
                <w:kern w:val="0"/>
                <w:szCs w:val="21"/>
              </w:rPr>
              <w:t>无</w:t>
            </w:r>
          </w:p>
        </w:tc>
        <w:tc>
          <w:tcPr>
            <w:tcW w:w="1122" w:type="pct"/>
            <w:tcBorders>
              <w:tl2br w:val="nil"/>
              <w:tr2bl w:val="nil"/>
            </w:tcBorders>
          </w:tcPr>
          <w:p>
            <w:pPr>
              <w:spacing w:line="360" w:lineRule="auto"/>
              <w:jc w:val="center"/>
              <w:rPr>
                <w:rFonts w:ascii="宋体"/>
                <w:kern w:val="0"/>
                <w:szCs w:val="21"/>
              </w:rPr>
            </w:pPr>
            <w:r>
              <w:rPr>
                <w:rFonts w:hint="eastAsia" w:ascii="宋体"/>
                <w:kern w:val="0"/>
                <w:szCs w:val="21"/>
              </w:rPr>
              <w:t>无</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74" w:type="pct"/>
            <w:tcBorders>
              <w:tl2br w:val="nil"/>
              <w:tr2bl w:val="nil"/>
            </w:tcBorders>
            <w:vAlign w:val="center"/>
          </w:tcPr>
          <w:p>
            <w:pPr>
              <w:spacing w:line="360" w:lineRule="auto"/>
              <w:jc w:val="center"/>
              <w:rPr>
                <w:rFonts w:ascii="宋体"/>
                <w:kern w:val="0"/>
                <w:szCs w:val="21"/>
              </w:rPr>
            </w:pPr>
            <w:r>
              <w:rPr>
                <w:rFonts w:hint="eastAsia" w:ascii="宋体"/>
                <w:kern w:val="0"/>
                <w:szCs w:val="21"/>
              </w:rPr>
              <w:t>备注</w:t>
            </w:r>
          </w:p>
        </w:tc>
        <w:tc>
          <w:tcPr>
            <w:tcW w:w="4625" w:type="pct"/>
            <w:gridSpan w:val="5"/>
            <w:tcBorders>
              <w:tl2br w:val="nil"/>
              <w:tr2bl w:val="nil"/>
            </w:tcBorders>
            <w:vAlign w:val="center"/>
          </w:tcPr>
          <w:p>
            <w:pPr>
              <w:spacing w:line="360" w:lineRule="auto"/>
              <w:jc w:val="left"/>
              <w:rPr>
                <w:rFonts w:ascii="宋体"/>
                <w:kern w:val="0"/>
                <w:sz w:val="24"/>
              </w:rPr>
            </w:pPr>
            <w:r>
              <w:rPr>
                <w:rFonts w:hint="eastAsia" w:ascii="宋体"/>
                <w:kern w:val="0"/>
                <w:sz w:val="24"/>
              </w:rPr>
              <w:t>A级100分，B级75分，C级50分，D级25分</w:t>
            </w:r>
          </w:p>
          <w:p>
            <w:pPr>
              <w:spacing w:line="360" w:lineRule="auto"/>
              <w:jc w:val="left"/>
              <w:rPr>
                <w:rFonts w:ascii="宋体"/>
                <w:kern w:val="0"/>
                <w:szCs w:val="21"/>
              </w:rPr>
            </w:pPr>
            <w:r>
              <w:rPr>
                <w:rFonts w:hint="eastAsia" w:ascii="宋体"/>
                <w:kern w:val="0"/>
                <w:sz w:val="24"/>
              </w:rPr>
              <w:t>当不能证明原材料基材为PA66新料（即基材为PA66回收料或非PA66材质）时，不进行投保。</w:t>
            </w:r>
          </w:p>
        </w:tc>
      </w:tr>
    </w:tbl>
    <w:p>
      <w:pPr>
        <w:spacing w:line="360" w:lineRule="auto"/>
        <w:jc w:val="center"/>
        <w:rPr>
          <w:kern w:val="0"/>
          <w:sz w:val="24"/>
        </w:rPr>
      </w:pPr>
    </w:p>
    <w:p>
      <w:pPr>
        <w:spacing w:line="360" w:lineRule="auto"/>
        <w:jc w:val="center"/>
        <w:rPr>
          <w:kern w:val="0"/>
          <w:sz w:val="24"/>
        </w:rPr>
      </w:pPr>
      <w:r>
        <w:rPr>
          <w:rFonts w:hint="eastAsia"/>
          <w:kern w:val="0"/>
          <w:sz w:val="24"/>
        </w:rPr>
        <w:t>表C.0.2-5 建筑门窗五金件评定等级</w:t>
      </w:r>
    </w:p>
    <w:tbl>
      <w:tblPr>
        <w:tblStyle w:val="39"/>
        <w:tblW w:w="4788"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FFFF00"/>
        <w:tblLayout w:type="autofit"/>
        <w:tblCellMar>
          <w:top w:w="0" w:type="dxa"/>
          <w:left w:w="108" w:type="dxa"/>
          <w:bottom w:w="0" w:type="dxa"/>
          <w:right w:w="108" w:type="dxa"/>
        </w:tblCellMar>
      </w:tblPr>
      <w:tblGrid>
        <w:gridCol w:w="512"/>
        <w:gridCol w:w="949"/>
        <w:gridCol w:w="1713"/>
        <w:gridCol w:w="1647"/>
        <w:gridCol w:w="1533"/>
        <w:gridCol w:w="180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FFFF00"/>
          <w:tblCellMar>
            <w:top w:w="0" w:type="dxa"/>
            <w:left w:w="108" w:type="dxa"/>
            <w:bottom w:w="0" w:type="dxa"/>
            <w:right w:w="108" w:type="dxa"/>
          </w:tblCellMar>
        </w:tblPrEx>
        <w:trPr>
          <w:jc w:val="center"/>
        </w:trPr>
        <w:tc>
          <w:tcPr>
            <w:tcW w:w="314" w:type="pct"/>
            <w:vMerge w:val="restar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序号</w:t>
            </w:r>
          </w:p>
        </w:tc>
        <w:tc>
          <w:tcPr>
            <w:tcW w:w="581" w:type="pct"/>
            <w:vMerge w:val="restar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评价项目</w:t>
            </w:r>
          </w:p>
        </w:tc>
        <w:tc>
          <w:tcPr>
            <w:tcW w:w="4104" w:type="pct"/>
            <w:gridSpan w:val="4"/>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评定等级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FFFF00"/>
          <w:tblCellMar>
            <w:top w:w="0" w:type="dxa"/>
            <w:left w:w="108" w:type="dxa"/>
            <w:bottom w:w="0" w:type="dxa"/>
            <w:right w:w="108" w:type="dxa"/>
          </w:tblCellMar>
        </w:tblPrEx>
        <w:trPr>
          <w:jc w:val="center"/>
        </w:trPr>
        <w:tc>
          <w:tcPr>
            <w:tcW w:w="314" w:type="pct"/>
            <w:vMerge w:val="continue"/>
            <w:tcBorders>
              <w:tl2br w:val="nil"/>
              <w:tr2bl w:val="nil"/>
            </w:tcBorders>
            <w:shd w:val="clear" w:color="auto" w:fill="FFFFFF" w:themeFill="background1"/>
          </w:tcPr>
          <w:p>
            <w:pPr>
              <w:spacing w:line="360" w:lineRule="auto"/>
              <w:jc w:val="center"/>
              <w:rPr>
                <w:kern w:val="0"/>
                <w:szCs w:val="21"/>
              </w:rPr>
            </w:pPr>
          </w:p>
        </w:tc>
        <w:tc>
          <w:tcPr>
            <w:tcW w:w="581" w:type="pct"/>
            <w:vMerge w:val="continue"/>
            <w:tcBorders>
              <w:tl2br w:val="nil"/>
              <w:tr2bl w:val="nil"/>
            </w:tcBorders>
            <w:shd w:val="clear" w:color="auto" w:fill="FFFFFF" w:themeFill="background1"/>
          </w:tcPr>
          <w:p>
            <w:pPr>
              <w:spacing w:line="360" w:lineRule="auto"/>
              <w:jc w:val="center"/>
              <w:rPr>
                <w:kern w:val="0"/>
                <w:szCs w:val="21"/>
              </w:rPr>
            </w:pPr>
          </w:p>
        </w:tc>
        <w:tc>
          <w:tcPr>
            <w:tcW w:w="1049" w:type="pct"/>
            <w:tcBorders>
              <w:tl2br w:val="nil"/>
              <w:tr2bl w:val="nil"/>
            </w:tcBorders>
            <w:shd w:val="clear" w:color="auto" w:fill="FFFFFF" w:themeFill="background1"/>
          </w:tcPr>
          <w:p>
            <w:pPr>
              <w:spacing w:line="360" w:lineRule="auto"/>
              <w:jc w:val="center"/>
              <w:rPr>
                <w:kern w:val="0"/>
                <w:szCs w:val="21"/>
              </w:rPr>
            </w:pPr>
            <w:r>
              <w:rPr>
                <w:rFonts w:hint="eastAsia"/>
                <w:kern w:val="0"/>
                <w:szCs w:val="21"/>
              </w:rPr>
              <w:t>A级</w:t>
            </w:r>
          </w:p>
        </w:tc>
        <w:tc>
          <w:tcPr>
            <w:tcW w:w="1009" w:type="pct"/>
            <w:tcBorders>
              <w:tl2br w:val="nil"/>
              <w:tr2bl w:val="nil"/>
            </w:tcBorders>
            <w:shd w:val="clear" w:color="auto" w:fill="FFFFFF" w:themeFill="background1"/>
          </w:tcPr>
          <w:p>
            <w:pPr>
              <w:spacing w:line="360" w:lineRule="auto"/>
              <w:jc w:val="center"/>
              <w:rPr>
                <w:kern w:val="0"/>
                <w:szCs w:val="21"/>
              </w:rPr>
            </w:pPr>
            <w:r>
              <w:rPr>
                <w:rFonts w:hint="eastAsia"/>
                <w:kern w:val="0"/>
                <w:szCs w:val="21"/>
              </w:rPr>
              <w:t>B级</w:t>
            </w:r>
          </w:p>
        </w:tc>
        <w:tc>
          <w:tcPr>
            <w:tcW w:w="939" w:type="pct"/>
            <w:tcBorders>
              <w:tl2br w:val="nil"/>
              <w:tr2bl w:val="nil"/>
            </w:tcBorders>
            <w:shd w:val="clear" w:color="auto" w:fill="FFFFFF" w:themeFill="background1"/>
          </w:tcPr>
          <w:p>
            <w:pPr>
              <w:spacing w:line="360" w:lineRule="auto"/>
              <w:jc w:val="center"/>
              <w:rPr>
                <w:kern w:val="0"/>
                <w:szCs w:val="21"/>
              </w:rPr>
            </w:pPr>
            <w:r>
              <w:rPr>
                <w:rFonts w:hint="eastAsia"/>
                <w:kern w:val="0"/>
                <w:szCs w:val="21"/>
              </w:rPr>
              <w:t>C级</w:t>
            </w:r>
          </w:p>
        </w:tc>
        <w:tc>
          <w:tcPr>
            <w:tcW w:w="1106" w:type="pct"/>
            <w:tcBorders>
              <w:tl2br w:val="nil"/>
              <w:tr2bl w:val="nil"/>
            </w:tcBorders>
            <w:shd w:val="clear" w:color="auto" w:fill="FFFFFF" w:themeFill="background1"/>
          </w:tcPr>
          <w:p>
            <w:pPr>
              <w:spacing w:line="360" w:lineRule="auto"/>
              <w:jc w:val="center"/>
              <w:rPr>
                <w:kern w:val="0"/>
                <w:szCs w:val="21"/>
              </w:rPr>
            </w:pPr>
            <w:r>
              <w:rPr>
                <w:rFonts w:hint="eastAsia"/>
                <w:kern w:val="0"/>
                <w:szCs w:val="21"/>
              </w:rPr>
              <w:t>D级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FFFF00"/>
          <w:tblCellMar>
            <w:top w:w="0" w:type="dxa"/>
            <w:left w:w="108" w:type="dxa"/>
            <w:bottom w:w="0" w:type="dxa"/>
            <w:right w:w="108" w:type="dxa"/>
          </w:tblCellMar>
        </w:tblPrEx>
        <w:trPr>
          <w:trHeight w:val="769" w:hRule="atLeast"/>
          <w:jc w:val="center"/>
        </w:trPr>
        <w:tc>
          <w:tcPr>
            <w:tcW w:w="314"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1</w:t>
            </w:r>
          </w:p>
        </w:tc>
        <w:tc>
          <w:tcPr>
            <w:tcW w:w="581"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锁闭系统</w:t>
            </w:r>
          </w:p>
          <w:p>
            <w:pPr>
              <w:spacing w:line="360" w:lineRule="auto"/>
              <w:jc w:val="center"/>
              <w:rPr>
                <w:kern w:val="0"/>
                <w:szCs w:val="21"/>
              </w:rPr>
            </w:pPr>
            <w:r>
              <w:rPr>
                <w:rFonts w:hint="eastAsia"/>
                <w:kern w:val="0"/>
                <w:szCs w:val="21"/>
              </w:rPr>
              <w:t>方案</w:t>
            </w:r>
          </w:p>
        </w:tc>
        <w:tc>
          <w:tcPr>
            <w:tcW w:w="1049"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通过转角结构传动，实现窗扇多边多点锁方案的，锁点数量应不低于4个，且均匀分布的</w:t>
            </w:r>
          </w:p>
        </w:tc>
        <w:tc>
          <w:tcPr>
            <w:tcW w:w="1009"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使用两点锁锁闭方案的，且锁闭点均匀分布于一侧</w:t>
            </w:r>
          </w:p>
        </w:tc>
        <w:tc>
          <w:tcPr>
            <w:tcW w:w="939"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在开启扇对角线＜0.7m的建筑窗上使用单个旋压执手的</w:t>
            </w:r>
          </w:p>
        </w:tc>
        <w:tc>
          <w:tcPr>
            <w:tcW w:w="1106"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在开启扇对角线＞0.7m的建筑窗上使用单个旋压执手的，或单组锁闭点的</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04" w:hRule="atLeast"/>
          <w:jc w:val="center"/>
        </w:trPr>
        <w:tc>
          <w:tcPr>
            <w:tcW w:w="314"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2</w:t>
            </w:r>
          </w:p>
        </w:tc>
        <w:tc>
          <w:tcPr>
            <w:tcW w:w="581"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承重选配</w:t>
            </w:r>
          </w:p>
        </w:tc>
        <w:tc>
          <w:tcPr>
            <w:tcW w:w="1049"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滑撑或合页实际能承载的重量是实际工程窗重的2倍</w:t>
            </w:r>
          </w:p>
        </w:tc>
        <w:tc>
          <w:tcPr>
            <w:tcW w:w="1009"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滑撑或合页实际能承载的重量是实际工程窗重的1.8倍</w:t>
            </w:r>
          </w:p>
        </w:tc>
        <w:tc>
          <w:tcPr>
            <w:tcW w:w="939"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滑撑或合页实际能承载的重量是实际工程窗重的1.4倍</w:t>
            </w:r>
          </w:p>
        </w:tc>
        <w:tc>
          <w:tcPr>
            <w:tcW w:w="1106"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滑撑或合页实际能承载的重量比实际工程窗重倍数小于1.4</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FFFF00"/>
          <w:tblCellMar>
            <w:top w:w="0" w:type="dxa"/>
            <w:left w:w="108" w:type="dxa"/>
            <w:bottom w:w="0" w:type="dxa"/>
            <w:right w:w="108" w:type="dxa"/>
          </w:tblCellMar>
        </w:tblPrEx>
        <w:trPr>
          <w:trHeight w:val="1295" w:hRule="atLeast"/>
          <w:jc w:val="center"/>
        </w:trPr>
        <w:tc>
          <w:tcPr>
            <w:tcW w:w="314"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3</w:t>
            </w:r>
          </w:p>
        </w:tc>
        <w:tc>
          <w:tcPr>
            <w:tcW w:w="581"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规格选配</w:t>
            </w:r>
          </w:p>
        </w:tc>
        <w:tc>
          <w:tcPr>
            <w:tcW w:w="1049"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滑撑长度不小于窗高1/2</w:t>
            </w:r>
          </w:p>
        </w:tc>
        <w:tc>
          <w:tcPr>
            <w:tcW w:w="1009"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滑撑长度不小于窗高1/3</w:t>
            </w:r>
          </w:p>
        </w:tc>
        <w:tc>
          <w:tcPr>
            <w:tcW w:w="939"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滑撑长度不小于窗高1/3</w:t>
            </w:r>
          </w:p>
        </w:tc>
        <w:tc>
          <w:tcPr>
            <w:tcW w:w="1106"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滑撑长度小于窗高1/3</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14"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4</w:t>
            </w:r>
          </w:p>
        </w:tc>
        <w:tc>
          <w:tcPr>
            <w:tcW w:w="581"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防脱装置</w:t>
            </w:r>
          </w:p>
        </w:tc>
        <w:tc>
          <w:tcPr>
            <w:tcW w:w="1049"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外开悬窗和外平开窗安装防脱落装置，且防脱落装置不低于支3支</w:t>
            </w:r>
          </w:p>
        </w:tc>
        <w:tc>
          <w:tcPr>
            <w:tcW w:w="1009"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外开悬窗和外平开窗安装防脱落装置，且防脱落装置达到2支</w:t>
            </w:r>
          </w:p>
        </w:tc>
        <w:tc>
          <w:tcPr>
            <w:tcW w:w="939"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外开悬窗和外平开窗安装防脱落装置，且防脱落装置只有1支</w:t>
            </w:r>
          </w:p>
        </w:tc>
        <w:tc>
          <w:tcPr>
            <w:tcW w:w="1106" w:type="pct"/>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外开悬窗和外平开窗未安装防脱落装置</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FFFF00"/>
          <w:tblCellMar>
            <w:top w:w="0" w:type="dxa"/>
            <w:left w:w="108" w:type="dxa"/>
            <w:bottom w:w="0" w:type="dxa"/>
            <w:right w:w="108" w:type="dxa"/>
          </w:tblCellMar>
        </w:tblPrEx>
        <w:trPr>
          <w:jc w:val="center"/>
        </w:trPr>
        <w:tc>
          <w:tcPr>
            <w:tcW w:w="895" w:type="pct"/>
            <w:gridSpan w:val="2"/>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备注</w:t>
            </w:r>
          </w:p>
        </w:tc>
        <w:tc>
          <w:tcPr>
            <w:tcW w:w="4104" w:type="pct"/>
            <w:gridSpan w:val="4"/>
            <w:tcBorders>
              <w:tl2br w:val="nil"/>
              <w:tr2bl w:val="nil"/>
            </w:tcBorders>
            <w:shd w:val="clear" w:color="auto" w:fill="FFFFFF" w:themeFill="background1"/>
            <w:vAlign w:val="center"/>
          </w:tcPr>
          <w:p>
            <w:pPr>
              <w:spacing w:line="360" w:lineRule="auto"/>
              <w:jc w:val="center"/>
              <w:rPr>
                <w:kern w:val="0"/>
                <w:szCs w:val="21"/>
              </w:rPr>
            </w:pPr>
            <w:r>
              <w:rPr>
                <w:rFonts w:hint="eastAsia"/>
                <w:kern w:val="0"/>
                <w:szCs w:val="21"/>
              </w:rPr>
              <w:t>A级100分，B级75分，C级50分，D级25分</w:t>
            </w:r>
          </w:p>
        </w:tc>
      </w:tr>
    </w:tbl>
    <w:p>
      <w:pPr>
        <w:spacing w:line="360" w:lineRule="auto"/>
        <w:jc w:val="center"/>
        <w:rPr>
          <w:kern w:val="0"/>
          <w:sz w:val="24"/>
        </w:rPr>
      </w:pPr>
    </w:p>
    <w:p>
      <w:pPr>
        <w:spacing w:line="360" w:lineRule="auto"/>
        <w:jc w:val="center"/>
        <w:rPr>
          <w:b/>
          <w:bCs/>
          <w:kern w:val="0"/>
          <w:szCs w:val="21"/>
        </w:rPr>
      </w:pPr>
      <w:r>
        <w:rPr>
          <w:rFonts w:hint="eastAsia"/>
          <w:kern w:val="0"/>
          <w:szCs w:val="21"/>
        </w:rPr>
        <w:t>表C.0.2-6</w:t>
      </w:r>
      <w:r>
        <w:rPr>
          <w:rFonts w:hint="eastAsia"/>
          <w:b/>
          <w:bCs/>
          <w:kern w:val="0"/>
          <w:szCs w:val="21"/>
        </w:rPr>
        <w:t xml:space="preserve"> 密封胶的评价项目及评定等级</w:t>
      </w:r>
    </w:p>
    <w:tbl>
      <w:tblPr>
        <w:tblStyle w:val="164"/>
        <w:tblW w:w="5057"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666"/>
        <w:gridCol w:w="1155"/>
        <w:gridCol w:w="1894"/>
        <w:gridCol w:w="1786"/>
        <w:gridCol w:w="1520"/>
        <w:gridCol w:w="141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1" w:hRule="exact"/>
          <w:jc w:val="center"/>
        </w:trPr>
        <w:tc>
          <w:tcPr>
            <w:tcW w:w="395" w:type="pct"/>
            <w:vMerge w:val="restart"/>
            <w:tcBorders>
              <w:tl2br w:val="nil"/>
              <w:tr2bl w:val="nil"/>
            </w:tcBorders>
          </w:tcPr>
          <w:p>
            <w:pPr>
              <w:pStyle w:val="163"/>
              <w:spacing w:before="3" w:line="360" w:lineRule="auto"/>
              <w:rPr>
                <w:rFonts w:hAnsi="Times New Roman" w:cs="Times New Roman"/>
                <w:sz w:val="21"/>
                <w:szCs w:val="21"/>
              </w:rPr>
            </w:pPr>
          </w:p>
          <w:p>
            <w:pPr>
              <w:pStyle w:val="163"/>
              <w:spacing w:line="360" w:lineRule="auto"/>
              <w:ind w:left="164"/>
              <w:rPr>
                <w:rFonts w:hAnsi="Times New Roman" w:cs="Times New Roman"/>
                <w:sz w:val="21"/>
                <w:szCs w:val="21"/>
              </w:rPr>
            </w:pPr>
            <w:r>
              <w:rPr>
                <w:rFonts w:hint="eastAsia" w:hAnsi="Times New Roman" w:cs="Times New Roman"/>
                <w:sz w:val="21"/>
                <w:szCs w:val="21"/>
              </w:rPr>
              <w:t>序号</w:t>
            </w:r>
          </w:p>
        </w:tc>
        <w:tc>
          <w:tcPr>
            <w:tcW w:w="685" w:type="pct"/>
            <w:vMerge w:val="restart"/>
            <w:tcBorders>
              <w:tl2br w:val="nil"/>
              <w:tr2bl w:val="nil"/>
            </w:tcBorders>
          </w:tcPr>
          <w:p>
            <w:pPr>
              <w:pStyle w:val="163"/>
              <w:spacing w:before="3" w:line="360" w:lineRule="auto"/>
              <w:rPr>
                <w:rFonts w:hAnsi="Times New Roman" w:cs="Times New Roman"/>
                <w:sz w:val="21"/>
                <w:szCs w:val="21"/>
              </w:rPr>
            </w:pPr>
          </w:p>
          <w:p>
            <w:pPr>
              <w:pStyle w:val="163"/>
              <w:spacing w:line="360" w:lineRule="auto"/>
              <w:ind w:left="204"/>
              <w:rPr>
                <w:rFonts w:hAnsi="Times New Roman" w:cs="Times New Roman"/>
                <w:sz w:val="21"/>
                <w:szCs w:val="21"/>
              </w:rPr>
            </w:pPr>
            <w:r>
              <w:rPr>
                <w:rFonts w:hint="eastAsia" w:hAnsi="Times New Roman" w:cs="Times New Roman"/>
                <w:sz w:val="21"/>
                <w:szCs w:val="21"/>
              </w:rPr>
              <w:t>评价项目</w:t>
            </w:r>
          </w:p>
        </w:tc>
        <w:tc>
          <w:tcPr>
            <w:tcW w:w="3919" w:type="pct"/>
            <w:gridSpan w:val="4"/>
            <w:tcBorders>
              <w:tl2br w:val="nil"/>
              <w:tr2bl w:val="nil"/>
            </w:tcBorders>
          </w:tcPr>
          <w:p>
            <w:pPr>
              <w:pStyle w:val="163"/>
              <w:spacing w:before="90" w:line="360" w:lineRule="auto"/>
              <w:ind w:left="4"/>
              <w:rPr>
                <w:rFonts w:hAnsi="Times New Roman" w:cs="Times New Roman"/>
                <w:sz w:val="21"/>
                <w:szCs w:val="21"/>
              </w:rPr>
            </w:pPr>
            <w:r>
              <w:rPr>
                <w:rFonts w:hint="eastAsia" w:hAnsi="Times New Roman" w:cs="Times New Roman"/>
                <w:sz w:val="21"/>
                <w:szCs w:val="21"/>
              </w:rPr>
              <w:t>评定等级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3" w:hRule="exact"/>
          <w:jc w:val="center"/>
        </w:trPr>
        <w:tc>
          <w:tcPr>
            <w:tcW w:w="395" w:type="pct"/>
            <w:vMerge w:val="continue"/>
            <w:tcBorders>
              <w:tl2br w:val="nil"/>
              <w:tr2bl w:val="nil"/>
            </w:tcBorders>
          </w:tcPr>
          <w:p>
            <w:pPr>
              <w:spacing w:line="360" w:lineRule="auto"/>
              <w:rPr>
                <w:szCs w:val="21"/>
              </w:rPr>
            </w:pPr>
          </w:p>
        </w:tc>
        <w:tc>
          <w:tcPr>
            <w:tcW w:w="685" w:type="pct"/>
            <w:vMerge w:val="continue"/>
            <w:tcBorders>
              <w:tl2br w:val="nil"/>
              <w:tr2bl w:val="nil"/>
            </w:tcBorders>
          </w:tcPr>
          <w:p>
            <w:pPr>
              <w:spacing w:line="360" w:lineRule="auto"/>
              <w:rPr>
                <w:szCs w:val="21"/>
              </w:rPr>
            </w:pPr>
          </w:p>
        </w:tc>
        <w:tc>
          <w:tcPr>
            <w:tcW w:w="1123" w:type="pct"/>
            <w:tcBorders>
              <w:tl2br w:val="nil"/>
              <w:tr2bl w:val="nil"/>
            </w:tcBorders>
          </w:tcPr>
          <w:p>
            <w:pPr>
              <w:pStyle w:val="163"/>
              <w:spacing w:before="89" w:line="360" w:lineRule="auto"/>
              <w:rPr>
                <w:rFonts w:hAnsi="Times New Roman" w:cs="Times New Roman"/>
                <w:sz w:val="21"/>
                <w:szCs w:val="21"/>
              </w:rPr>
            </w:pPr>
            <w:r>
              <w:rPr>
                <w:rFonts w:hint="eastAsia" w:hAnsi="Times New Roman" w:cs="Times New Roman"/>
                <w:sz w:val="21"/>
                <w:szCs w:val="21"/>
              </w:rPr>
              <w:t>A</w:t>
            </w:r>
            <w:r>
              <w:rPr>
                <w:rFonts w:hint="eastAsia" w:hAnsi="Times New Roman" w:cs="Times New Roman"/>
                <w:spacing w:val="-3"/>
                <w:sz w:val="21"/>
                <w:szCs w:val="21"/>
              </w:rPr>
              <w:t xml:space="preserve"> </w:t>
            </w:r>
            <w:r>
              <w:rPr>
                <w:rFonts w:hint="eastAsia" w:hAnsi="Times New Roman" w:cs="Times New Roman"/>
                <w:sz w:val="21"/>
                <w:szCs w:val="21"/>
              </w:rPr>
              <w:t>级</w:t>
            </w:r>
          </w:p>
        </w:tc>
        <w:tc>
          <w:tcPr>
            <w:tcW w:w="1059" w:type="pct"/>
            <w:tcBorders>
              <w:tl2br w:val="nil"/>
              <w:tr2bl w:val="nil"/>
            </w:tcBorders>
          </w:tcPr>
          <w:p>
            <w:pPr>
              <w:pStyle w:val="163"/>
              <w:spacing w:before="89" w:line="360" w:lineRule="auto"/>
              <w:ind w:right="1"/>
              <w:rPr>
                <w:rFonts w:hAnsi="Times New Roman" w:cs="Times New Roman"/>
                <w:sz w:val="21"/>
                <w:szCs w:val="21"/>
              </w:rPr>
            </w:pPr>
            <w:r>
              <w:rPr>
                <w:rFonts w:hint="eastAsia" w:hAnsi="Times New Roman" w:cs="Times New Roman"/>
                <w:sz w:val="21"/>
                <w:szCs w:val="21"/>
              </w:rPr>
              <w:t>B</w:t>
            </w:r>
            <w:r>
              <w:rPr>
                <w:rFonts w:hint="eastAsia" w:hAnsi="Times New Roman" w:cs="Times New Roman"/>
                <w:spacing w:val="-1"/>
                <w:sz w:val="21"/>
                <w:szCs w:val="21"/>
              </w:rPr>
              <w:t xml:space="preserve"> </w:t>
            </w:r>
            <w:r>
              <w:rPr>
                <w:rFonts w:hint="eastAsia" w:hAnsi="Times New Roman" w:cs="Times New Roman"/>
                <w:sz w:val="21"/>
                <w:szCs w:val="21"/>
              </w:rPr>
              <w:t>级</w:t>
            </w:r>
          </w:p>
        </w:tc>
        <w:tc>
          <w:tcPr>
            <w:tcW w:w="901" w:type="pct"/>
            <w:tcBorders>
              <w:tl2br w:val="nil"/>
              <w:tr2bl w:val="nil"/>
            </w:tcBorders>
          </w:tcPr>
          <w:p>
            <w:pPr>
              <w:pStyle w:val="163"/>
              <w:spacing w:before="89" w:line="360" w:lineRule="auto"/>
              <w:ind w:right="1"/>
              <w:rPr>
                <w:rFonts w:hAnsi="Times New Roman" w:cs="Times New Roman"/>
                <w:sz w:val="21"/>
                <w:szCs w:val="21"/>
              </w:rPr>
            </w:pPr>
            <w:r>
              <w:rPr>
                <w:rFonts w:hint="eastAsia" w:hAnsi="Times New Roman" w:cs="Times New Roman"/>
                <w:sz w:val="21"/>
                <w:szCs w:val="21"/>
              </w:rPr>
              <w:t>C</w:t>
            </w:r>
            <w:r>
              <w:rPr>
                <w:rFonts w:hint="eastAsia" w:hAnsi="Times New Roman" w:cs="Times New Roman"/>
                <w:spacing w:val="-3"/>
                <w:sz w:val="21"/>
                <w:szCs w:val="21"/>
              </w:rPr>
              <w:t xml:space="preserve"> </w:t>
            </w:r>
            <w:r>
              <w:rPr>
                <w:rFonts w:hint="eastAsia" w:hAnsi="Times New Roman" w:cs="Times New Roman"/>
                <w:sz w:val="21"/>
                <w:szCs w:val="21"/>
              </w:rPr>
              <w:t>级</w:t>
            </w:r>
          </w:p>
        </w:tc>
        <w:tc>
          <w:tcPr>
            <w:tcW w:w="835" w:type="pct"/>
            <w:tcBorders>
              <w:tl2br w:val="nil"/>
              <w:tr2bl w:val="nil"/>
            </w:tcBorders>
          </w:tcPr>
          <w:p>
            <w:pPr>
              <w:pStyle w:val="163"/>
              <w:spacing w:before="89" w:line="360" w:lineRule="auto"/>
              <w:ind w:left="4"/>
              <w:rPr>
                <w:rFonts w:hAnsi="Times New Roman" w:cs="Times New Roman"/>
                <w:sz w:val="21"/>
                <w:szCs w:val="21"/>
              </w:rPr>
            </w:pPr>
            <w:r>
              <w:rPr>
                <w:rFonts w:hint="eastAsia" w:hAnsi="Times New Roman" w:cs="Times New Roman"/>
                <w:sz w:val="21"/>
                <w:szCs w:val="21"/>
              </w:rPr>
              <w:t>D</w:t>
            </w:r>
            <w:r>
              <w:rPr>
                <w:rFonts w:hint="eastAsia" w:hAnsi="Times New Roman" w:cs="Times New Roman"/>
                <w:spacing w:val="-3"/>
                <w:sz w:val="21"/>
                <w:szCs w:val="21"/>
              </w:rPr>
              <w:t xml:space="preserve"> </w:t>
            </w:r>
            <w:r>
              <w:rPr>
                <w:rFonts w:hint="eastAsia" w:hAnsi="Times New Roman" w:cs="Times New Roman"/>
                <w:sz w:val="21"/>
                <w:szCs w:val="21"/>
              </w:rPr>
              <w:t>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8" w:hRule="atLeast"/>
          <w:jc w:val="center"/>
        </w:trPr>
        <w:tc>
          <w:tcPr>
            <w:tcW w:w="395" w:type="pct"/>
            <w:tcBorders>
              <w:tl2br w:val="nil"/>
              <w:tr2bl w:val="nil"/>
            </w:tcBorders>
          </w:tcPr>
          <w:p>
            <w:pPr>
              <w:pStyle w:val="163"/>
              <w:spacing w:line="360" w:lineRule="auto"/>
              <w:rPr>
                <w:rFonts w:hAnsi="Times New Roman" w:cs="Times New Roman"/>
                <w:sz w:val="21"/>
                <w:szCs w:val="21"/>
              </w:rPr>
            </w:pPr>
          </w:p>
          <w:p>
            <w:pPr>
              <w:pStyle w:val="163"/>
              <w:spacing w:line="360" w:lineRule="auto"/>
              <w:rPr>
                <w:rFonts w:hAnsi="Times New Roman" w:cs="Times New Roman"/>
                <w:sz w:val="21"/>
                <w:szCs w:val="21"/>
              </w:rPr>
            </w:pPr>
          </w:p>
          <w:p>
            <w:pPr>
              <w:pStyle w:val="163"/>
              <w:spacing w:line="360" w:lineRule="auto"/>
              <w:rPr>
                <w:rFonts w:hAnsi="Times New Roman" w:cs="Times New Roman"/>
                <w:sz w:val="21"/>
                <w:szCs w:val="21"/>
              </w:rPr>
            </w:pPr>
          </w:p>
          <w:p>
            <w:pPr>
              <w:pStyle w:val="163"/>
              <w:spacing w:before="118" w:line="360" w:lineRule="auto"/>
              <w:ind w:right="6"/>
              <w:rPr>
                <w:rFonts w:hAnsi="Times New Roman" w:cs="Times New Roman"/>
                <w:sz w:val="21"/>
                <w:szCs w:val="21"/>
              </w:rPr>
            </w:pPr>
            <w:r>
              <w:rPr>
                <w:rFonts w:hint="eastAsia" w:hAnsi="Times New Roman" w:cs="Times New Roman"/>
                <w:sz w:val="21"/>
                <w:szCs w:val="21"/>
              </w:rPr>
              <w:t>1</w:t>
            </w:r>
          </w:p>
        </w:tc>
        <w:tc>
          <w:tcPr>
            <w:tcW w:w="685" w:type="pct"/>
            <w:tcBorders>
              <w:tl2br w:val="nil"/>
              <w:tr2bl w:val="nil"/>
            </w:tcBorders>
          </w:tcPr>
          <w:p>
            <w:pPr>
              <w:pStyle w:val="163"/>
              <w:spacing w:line="360" w:lineRule="auto"/>
              <w:rPr>
                <w:rFonts w:hAnsi="Times New Roman" w:cs="Times New Roman"/>
                <w:sz w:val="21"/>
                <w:szCs w:val="21"/>
              </w:rPr>
            </w:pPr>
          </w:p>
          <w:p>
            <w:pPr>
              <w:pStyle w:val="163"/>
              <w:spacing w:line="360" w:lineRule="auto"/>
              <w:rPr>
                <w:rFonts w:hAnsi="Times New Roman" w:cs="Times New Roman"/>
                <w:sz w:val="21"/>
                <w:szCs w:val="21"/>
              </w:rPr>
            </w:pPr>
          </w:p>
          <w:p>
            <w:pPr>
              <w:pStyle w:val="163"/>
              <w:spacing w:line="360" w:lineRule="auto"/>
              <w:rPr>
                <w:rFonts w:hAnsi="Times New Roman" w:cs="Times New Roman"/>
                <w:sz w:val="21"/>
                <w:szCs w:val="21"/>
              </w:rPr>
            </w:pPr>
          </w:p>
          <w:p>
            <w:pPr>
              <w:pStyle w:val="163"/>
              <w:spacing w:line="360" w:lineRule="auto"/>
              <w:ind w:left="113"/>
              <w:jc w:val="both"/>
              <w:rPr>
                <w:rFonts w:hAnsi="Times New Roman" w:cs="Times New Roman"/>
                <w:sz w:val="21"/>
                <w:szCs w:val="21"/>
              </w:rPr>
            </w:pPr>
            <w:r>
              <w:rPr>
                <w:rFonts w:hint="eastAsia" w:hAnsi="Times New Roman" w:cs="Times New Roman"/>
                <w:sz w:val="21"/>
                <w:szCs w:val="21"/>
              </w:rPr>
              <w:t>外观及物理力学性能</w:t>
            </w:r>
          </w:p>
        </w:tc>
        <w:tc>
          <w:tcPr>
            <w:tcW w:w="1123" w:type="pct"/>
            <w:tcBorders>
              <w:tl2br w:val="nil"/>
              <w:tr2bl w:val="nil"/>
            </w:tcBorders>
          </w:tcPr>
          <w:p>
            <w:pPr>
              <w:pStyle w:val="163"/>
              <w:spacing w:before="88" w:line="360" w:lineRule="auto"/>
              <w:ind w:left="101"/>
              <w:jc w:val="left"/>
              <w:rPr>
                <w:rFonts w:hAnsi="Times New Roman" w:cs="Times New Roman"/>
                <w:sz w:val="21"/>
                <w:szCs w:val="21"/>
              </w:rPr>
            </w:pPr>
            <w:r>
              <w:rPr>
                <w:rFonts w:hint="eastAsia" w:hAnsi="Times New Roman" w:cs="Times New Roman"/>
                <w:spacing w:val="5"/>
                <w:sz w:val="21"/>
                <w:szCs w:val="21"/>
              </w:rPr>
              <w:t>使用材料符合相应密封胶标准要求，且未添加烷烃增塑剂，且位移能力高于设计要求或位移能力符合设</w:t>
            </w:r>
            <w:r>
              <w:rPr>
                <w:rFonts w:hint="eastAsia" w:hAnsi="Times New Roman" w:cs="Times New Roman"/>
                <w:sz w:val="21"/>
                <w:szCs w:val="21"/>
              </w:rPr>
              <w:t>计</w:t>
            </w:r>
            <w:r>
              <w:rPr>
                <w:rFonts w:hint="eastAsia" w:hAnsi="Times New Roman" w:cs="Times New Roman"/>
                <w:spacing w:val="-57"/>
                <w:sz w:val="21"/>
                <w:szCs w:val="21"/>
              </w:rPr>
              <w:t xml:space="preserve"> </w:t>
            </w:r>
            <w:r>
              <w:rPr>
                <w:rFonts w:hint="eastAsia" w:hAnsi="Times New Roman" w:cs="Times New Roman"/>
                <w:sz w:val="21"/>
                <w:szCs w:val="21"/>
              </w:rPr>
              <w:t>要</w:t>
            </w:r>
            <w:r>
              <w:rPr>
                <w:rFonts w:hint="eastAsia" w:hAnsi="Times New Roman" w:cs="Times New Roman"/>
                <w:spacing w:val="-57"/>
                <w:sz w:val="21"/>
                <w:szCs w:val="21"/>
              </w:rPr>
              <w:t xml:space="preserve"> </w:t>
            </w:r>
            <w:r>
              <w:rPr>
                <w:rFonts w:hint="eastAsia" w:hAnsi="Times New Roman" w:cs="Times New Roman"/>
                <w:sz w:val="21"/>
                <w:szCs w:val="21"/>
              </w:rPr>
              <w:t>求</w:t>
            </w:r>
            <w:r>
              <w:rPr>
                <w:rFonts w:hint="eastAsia" w:hAnsi="Times New Roman" w:cs="Times New Roman"/>
                <w:spacing w:val="-57"/>
                <w:sz w:val="21"/>
                <w:szCs w:val="21"/>
              </w:rPr>
              <w:t xml:space="preserve"> </w:t>
            </w:r>
            <w:r>
              <w:rPr>
                <w:rFonts w:hint="eastAsia" w:hAnsi="Times New Roman" w:cs="Times New Roman"/>
                <w:sz w:val="21"/>
                <w:szCs w:val="21"/>
              </w:rPr>
              <w:t>并</w:t>
            </w:r>
            <w:r>
              <w:rPr>
                <w:rFonts w:hint="eastAsia" w:hAnsi="Times New Roman" w:cs="Times New Roman"/>
                <w:spacing w:val="-57"/>
                <w:sz w:val="21"/>
                <w:szCs w:val="21"/>
              </w:rPr>
              <w:t xml:space="preserve"> </w:t>
            </w:r>
            <w:r>
              <w:rPr>
                <w:rFonts w:hint="eastAsia" w:hAnsi="Times New Roman" w:cs="Times New Roman"/>
                <w:sz w:val="21"/>
                <w:szCs w:val="21"/>
              </w:rPr>
              <w:t>满</w:t>
            </w:r>
            <w:r>
              <w:rPr>
                <w:rFonts w:hint="eastAsia" w:hAnsi="Times New Roman" w:cs="Times New Roman"/>
                <w:spacing w:val="-57"/>
                <w:sz w:val="21"/>
                <w:szCs w:val="21"/>
              </w:rPr>
              <w:t xml:space="preserve"> </w:t>
            </w:r>
            <w:r>
              <w:rPr>
                <w:rFonts w:hint="eastAsia" w:hAnsi="Times New Roman" w:cs="Times New Roman"/>
                <w:sz w:val="21"/>
                <w:szCs w:val="21"/>
              </w:rPr>
              <w:t>足</w:t>
            </w:r>
            <w:r>
              <w:rPr>
                <w:rFonts w:hint="eastAsia" w:hAnsi="Times New Roman" w:cs="Times New Roman"/>
                <w:spacing w:val="-57"/>
                <w:sz w:val="21"/>
                <w:szCs w:val="21"/>
              </w:rPr>
              <w:t xml:space="preserve"> </w:t>
            </w:r>
            <w:r>
              <w:rPr>
                <w:rFonts w:hint="eastAsia" w:hAnsi="Times New Roman" w:cs="Times New Roman"/>
                <w:sz w:val="21"/>
                <w:szCs w:val="21"/>
              </w:rPr>
              <w:t>低</w:t>
            </w:r>
            <w:r>
              <w:rPr>
                <w:rFonts w:hint="eastAsia" w:hAnsi="Times New Roman" w:cs="Times New Roman"/>
                <w:spacing w:val="-57"/>
                <w:sz w:val="21"/>
                <w:szCs w:val="21"/>
              </w:rPr>
              <w:t xml:space="preserve"> </w:t>
            </w:r>
            <w:r>
              <w:rPr>
                <w:rFonts w:hint="eastAsia" w:hAnsi="Times New Roman" w:cs="Times New Roman"/>
                <w:sz w:val="21"/>
                <w:szCs w:val="21"/>
              </w:rPr>
              <w:t>模</w:t>
            </w:r>
            <w:r>
              <w:rPr>
                <w:rFonts w:hint="eastAsia" w:hAnsi="Times New Roman" w:cs="Times New Roman"/>
                <w:spacing w:val="5"/>
                <w:sz w:val="21"/>
                <w:szCs w:val="21"/>
              </w:rPr>
              <w:t>量，无开裂、粉化、发粘、变色、污染等</w:t>
            </w:r>
            <w:r>
              <w:rPr>
                <w:rFonts w:hint="eastAsia" w:hAnsi="Times New Roman" w:cs="Times New Roman"/>
                <w:spacing w:val="-11"/>
                <w:sz w:val="21"/>
                <w:szCs w:val="21"/>
              </w:rPr>
              <w:t>现象，硬度不高于</w:t>
            </w:r>
            <w:r>
              <w:rPr>
                <w:rFonts w:hint="eastAsia" w:hAnsi="Times New Roman" w:cs="Times New Roman"/>
                <w:spacing w:val="-40"/>
                <w:sz w:val="21"/>
                <w:szCs w:val="21"/>
              </w:rPr>
              <w:t xml:space="preserve"> </w:t>
            </w:r>
            <w:r>
              <w:rPr>
                <w:rFonts w:hint="eastAsia" w:hAnsi="Times New Roman" w:cs="Times New Roman"/>
                <w:sz w:val="21"/>
                <w:szCs w:val="21"/>
              </w:rPr>
              <w:t>45</w:t>
            </w:r>
          </w:p>
        </w:tc>
        <w:tc>
          <w:tcPr>
            <w:tcW w:w="1059" w:type="pct"/>
            <w:tcBorders>
              <w:tl2br w:val="nil"/>
              <w:tr2bl w:val="nil"/>
            </w:tcBorders>
          </w:tcPr>
          <w:p>
            <w:pPr>
              <w:pStyle w:val="163"/>
              <w:spacing w:before="88" w:line="360" w:lineRule="auto"/>
              <w:ind w:left="101"/>
              <w:jc w:val="left"/>
              <w:rPr>
                <w:rFonts w:hAnsi="Times New Roman" w:cs="Times New Roman"/>
                <w:sz w:val="21"/>
                <w:szCs w:val="21"/>
              </w:rPr>
            </w:pPr>
            <w:r>
              <w:rPr>
                <w:rFonts w:hint="eastAsia" w:hAnsi="Times New Roman" w:cs="Times New Roman"/>
                <w:spacing w:val="17"/>
                <w:sz w:val="21"/>
                <w:szCs w:val="21"/>
              </w:rPr>
              <w:t>使用材料符合相应</w:t>
            </w:r>
            <w:r>
              <w:rPr>
                <w:rFonts w:hint="eastAsia" w:hAnsi="Times New Roman" w:cs="Times New Roman"/>
                <w:spacing w:val="-4"/>
                <w:sz w:val="21"/>
                <w:szCs w:val="21"/>
              </w:rPr>
              <w:t>密封胶标准要求，且</w:t>
            </w:r>
            <w:r>
              <w:rPr>
                <w:rFonts w:hint="eastAsia" w:hAnsi="Times New Roman" w:cs="Times New Roman"/>
                <w:sz w:val="21"/>
                <w:szCs w:val="21"/>
              </w:rPr>
              <w:t>未添加烷烃增塑剂，</w:t>
            </w:r>
            <w:r>
              <w:rPr>
                <w:rFonts w:hint="eastAsia" w:hAnsi="Times New Roman" w:cs="Times New Roman"/>
                <w:spacing w:val="17"/>
                <w:sz w:val="21"/>
                <w:szCs w:val="21"/>
              </w:rPr>
              <w:t>且位移能力符合设</w:t>
            </w:r>
            <w:r>
              <w:rPr>
                <w:rFonts w:hint="eastAsia" w:hAnsi="Times New Roman" w:cs="Times New Roman"/>
                <w:spacing w:val="-4"/>
                <w:sz w:val="21"/>
                <w:szCs w:val="21"/>
              </w:rPr>
              <w:t>计要求，无开裂、粉化、发粘、变色、污染等现象，硬度不高</w:t>
            </w:r>
            <w:r>
              <w:rPr>
                <w:rFonts w:hint="eastAsia" w:hAnsi="Times New Roman" w:cs="Times New Roman"/>
                <w:sz w:val="21"/>
                <w:szCs w:val="21"/>
              </w:rPr>
              <w:t>于</w:t>
            </w:r>
            <w:r>
              <w:rPr>
                <w:rFonts w:hint="eastAsia" w:hAnsi="Times New Roman" w:cs="Times New Roman"/>
                <w:spacing w:val="-48"/>
                <w:sz w:val="21"/>
                <w:szCs w:val="21"/>
              </w:rPr>
              <w:t xml:space="preserve"> </w:t>
            </w:r>
            <w:r>
              <w:rPr>
                <w:rFonts w:hint="eastAsia" w:hAnsi="Times New Roman" w:cs="Times New Roman"/>
                <w:sz w:val="21"/>
                <w:szCs w:val="21"/>
              </w:rPr>
              <w:t>45</w:t>
            </w:r>
          </w:p>
        </w:tc>
        <w:tc>
          <w:tcPr>
            <w:tcW w:w="901" w:type="pct"/>
            <w:tcBorders>
              <w:tl2br w:val="nil"/>
              <w:tr2bl w:val="nil"/>
            </w:tcBorders>
          </w:tcPr>
          <w:p>
            <w:pPr>
              <w:pStyle w:val="163"/>
              <w:spacing w:before="88" w:line="360" w:lineRule="auto"/>
              <w:ind w:left="101"/>
              <w:jc w:val="left"/>
              <w:rPr>
                <w:rFonts w:hAnsi="Times New Roman" w:cs="Times New Roman"/>
                <w:sz w:val="21"/>
                <w:szCs w:val="21"/>
              </w:rPr>
            </w:pPr>
            <w:r>
              <w:rPr>
                <w:rFonts w:hint="eastAsia" w:hAnsi="Times New Roman" w:cs="Times New Roman"/>
                <w:spacing w:val="-5"/>
                <w:sz w:val="21"/>
                <w:szCs w:val="21"/>
              </w:rPr>
              <w:t>开裂、粉化、发粘、变色、污染等现象出现比</w:t>
            </w:r>
            <w:r>
              <w:rPr>
                <w:rFonts w:hint="eastAsia" w:hAnsi="Times New Roman" w:cs="Times New Roman"/>
                <w:spacing w:val="2"/>
                <w:sz w:val="21"/>
                <w:szCs w:val="21"/>
              </w:rPr>
              <w:t>率低于</w:t>
            </w:r>
            <w:r>
              <w:rPr>
                <w:rFonts w:hint="eastAsia" w:hAnsi="Times New Roman" w:cs="Times New Roman"/>
                <w:spacing w:val="-29"/>
                <w:sz w:val="21"/>
                <w:szCs w:val="21"/>
              </w:rPr>
              <w:t xml:space="preserve"> </w:t>
            </w:r>
            <w:r>
              <w:rPr>
                <w:rFonts w:hint="eastAsia" w:hAnsi="Times New Roman" w:cs="Times New Roman"/>
                <w:sz w:val="21"/>
                <w:szCs w:val="21"/>
              </w:rPr>
              <w:t>5%，且硬度不高于</w:t>
            </w:r>
            <w:r>
              <w:rPr>
                <w:rFonts w:hint="eastAsia" w:hAnsi="Times New Roman" w:cs="Times New Roman"/>
                <w:spacing w:val="-46"/>
                <w:sz w:val="21"/>
                <w:szCs w:val="21"/>
              </w:rPr>
              <w:t xml:space="preserve"> </w:t>
            </w:r>
            <w:r>
              <w:rPr>
                <w:rFonts w:hint="eastAsia" w:hAnsi="Times New Roman" w:cs="Times New Roman"/>
                <w:sz w:val="21"/>
                <w:szCs w:val="21"/>
              </w:rPr>
              <w:t>55</w:t>
            </w:r>
          </w:p>
        </w:tc>
        <w:tc>
          <w:tcPr>
            <w:tcW w:w="835" w:type="pct"/>
            <w:tcBorders>
              <w:tl2br w:val="nil"/>
              <w:tr2bl w:val="nil"/>
            </w:tcBorders>
          </w:tcPr>
          <w:p>
            <w:pPr>
              <w:pStyle w:val="163"/>
              <w:spacing w:before="88" w:line="360" w:lineRule="auto"/>
              <w:ind w:left="101"/>
              <w:rPr>
                <w:rFonts w:hAnsi="Times New Roman" w:cs="Times New Roman"/>
                <w:sz w:val="21"/>
                <w:szCs w:val="21"/>
              </w:rPr>
            </w:pPr>
            <w:r>
              <w:rPr>
                <w:rFonts w:hint="eastAsia" w:hAnsi="Times New Roman" w:cs="Times New Roman"/>
                <w:spacing w:val="2"/>
                <w:sz w:val="21"/>
                <w:szCs w:val="21"/>
              </w:rPr>
              <w:t>开裂、粉化、发粘、变色、污染等现象出现比</w:t>
            </w:r>
            <w:r>
              <w:rPr>
                <w:rFonts w:hint="eastAsia" w:hAnsi="Times New Roman" w:cs="Times New Roman"/>
                <w:sz w:val="21"/>
                <w:szCs w:val="21"/>
              </w:rPr>
              <w:t>率高于</w:t>
            </w:r>
            <w:r>
              <w:rPr>
                <w:rFonts w:hint="eastAsia" w:hAnsi="Times New Roman" w:cs="Times New Roman"/>
                <w:spacing w:val="-43"/>
                <w:sz w:val="21"/>
                <w:szCs w:val="21"/>
              </w:rPr>
              <w:t xml:space="preserve"> </w:t>
            </w:r>
            <w:r>
              <w:rPr>
                <w:rFonts w:hint="eastAsia" w:hAnsi="Times New Roman" w:cs="Times New Roman"/>
                <w:spacing w:val="-10"/>
                <w:sz w:val="21"/>
                <w:szCs w:val="21"/>
              </w:rPr>
              <w:t>5%，或硬度高于</w:t>
            </w:r>
            <w:r>
              <w:rPr>
                <w:rFonts w:hint="eastAsia" w:hAnsi="Times New Roman" w:cs="Times New Roman"/>
                <w:sz w:val="21"/>
                <w:szCs w:val="21"/>
              </w:rPr>
              <w:t>55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08" w:hRule="atLeast"/>
          <w:jc w:val="center"/>
        </w:trPr>
        <w:tc>
          <w:tcPr>
            <w:tcW w:w="395" w:type="pct"/>
            <w:tcBorders>
              <w:tl2br w:val="nil"/>
              <w:tr2bl w:val="nil"/>
            </w:tcBorders>
            <w:vAlign w:val="center"/>
          </w:tcPr>
          <w:p>
            <w:pPr>
              <w:pStyle w:val="163"/>
              <w:spacing w:before="127" w:line="360" w:lineRule="auto"/>
              <w:ind w:right="6"/>
              <w:rPr>
                <w:rFonts w:hAnsi="Times New Roman" w:cs="Times New Roman"/>
                <w:sz w:val="21"/>
                <w:szCs w:val="21"/>
              </w:rPr>
            </w:pPr>
            <w:r>
              <w:rPr>
                <w:rFonts w:hint="eastAsia" w:hAnsi="Times New Roman" w:cs="Times New Roman"/>
                <w:sz w:val="21"/>
                <w:szCs w:val="21"/>
              </w:rPr>
              <w:t>2</w:t>
            </w:r>
          </w:p>
        </w:tc>
        <w:tc>
          <w:tcPr>
            <w:tcW w:w="685" w:type="pct"/>
            <w:tcBorders>
              <w:tl2br w:val="nil"/>
              <w:tr2bl w:val="nil"/>
            </w:tcBorders>
            <w:vAlign w:val="center"/>
          </w:tcPr>
          <w:p>
            <w:pPr>
              <w:pStyle w:val="163"/>
              <w:spacing w:before="90" w:line="360" w:lineRule="auto"/>
              <w:ind w:left="101"/>
              <w:rPr>
                <w:rFonts w:hAnsi="Times New Roman" w:cs="Times New Roman"/>
                <w:sz w:val="21"/>
                <w:szCs w:val="21"/>
              </w:rPr>
            </w:pPr>
            <w:r>
              <w:rPr>
                <w:rFonts w:hint="eastAsia" w:hAnsi="Times New Roman" w:cs="Times New Roman"/>
                <w:spacing w:val="5"/>
                <w:sz w:val="21"/>
                <w:szCs w:val="21"/>
              </w:rPr>
              <w:t>粘结宽度及厚度</w:t>
            </w:r>
          </w:p>
        </w:tc>
        <w:tc>
          <w:tcPr>
            <w:tcW w:w="1123" w:type="pct"/>
            <w:tcBorders>
              <w:tl2br w:val="nil"/>
              <w:tr2bl w:val="nil"/>
            </w:tcBorders>
            <w:vAlign w:val="center"/>
          </w:tcPr>
          <w:p>
            <w:pPr>
              <w:pStyle w:val="163"/>
              <w:spacing w:before="90" w:line="360" w:lineRule="auto"/>
              <w:ind w:left="101"/>
              <w:jc w:val="left"/>
              <w:rPr>
                <w:rFonts w:hAnsi="Times New Roman" w:cs="Times New Roman"/>
                <w:sz w:val="21"/>
                <w:szCs w:val="21"/>
              </w:rPr>
            </w:pPr>
            <w:r>
              <w:rPr>
                <w:rFonts w:hint="eastAsia" w:hAnsi="Times New Roman" w:cs="Times New Roman"/>
                <w:spacing w:val="5"/>
                <w:sz w:val="21"/>
                <w:szCs w:val="21"/>
              </w:rPr>
              <w:t>宽度厚度满足设计要求</w:t>
            </w:r>
          </w:p>
        </w:tc>
        <w:tc>
          <w:tcPr>
            <w:tcW w:w="1059" w:type="pct"/>
            <w:tcBorders>
              <w:tl2br w:val="nil"/>
              <w:tr2bl w:val="nil"/>
            </w:tcBorders>
            <w:vAlign w:val="center"/>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宽度厚度满足设计要求</w:t>
            </w:r>
          </w:p>
        </w:tc>
        <w:tc>
          <w:tcPr>
            <w:tcW w:w="901" w:type="pct"/>
            <w:tcBorders>
              <w:tl2br w:val="nil"/>
              <w:tr2bl w:val="nil"/>
            </w:tcBorders>
            <w:vAlign w:val="center"/>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宽度厚度不满足设计要求的比率低于20%</w:t>
            </w:r>
          </w:p>
        </w:tc>
        <w:tc>
          <w:tcPr>
            <w:tcW w:w="835" w:type="pct"/>
            <w:tcBorders>
              <w:tl2br w:val="nil"/>
              <w:tr2bl w:val="nil"/>
            </w:tcBorders>
            <w:vAlign w:val="center"/>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宽度厚度不满足设计要求的比率高于20%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3" w:hRule="atLeast"/>
          <w:jc w:val="center"/>
        </w:trPr>
        <w:tc>
          <w:tcPr>
            <w:tcW w:w="395" w:type="pct"/>
            <w:tcBorders>
              <w:tl2br w:val="nil"/>
              <w:tr2bl w:val="nil"/>
            </w:tcBorders>
            <w:vAlign w:val="center"/>
          </w:tcPr>
          <w:p>
            <w:pPr>
              <w:pStyle w:val="163"/>
              <w:spacing w:before="127" w:line="360" w:lineRule="auto"/>
              <w:ind w:right="6"/>
              <w:rPr>
                <w:rFonts w:hAnsi="Times New Roman" w:cs="Times New Roman"/>
                <w:sz w:val="21"/>
                <w:szCs w:val="21"/>
              </w:rPr>
            </w:pPr>
            <w:r>
              <w:rPr>
                <w:rFonts w:hint="eastAsia" w:hAnsi="Times New Roman" w:cs="Times New Roman"/>
                <w:sz w:val="21"/>
                <w:szCs w:val="21"/>
              </w:rPr>
              <w:t>3</w:t>
            </w:r>
          </w:p>
        </w:tc>
        <w:tc>
          <w:tcPr>
            <w:tcW w:w="685" w:type="pct"/>
            <w:tcBorders>
              <w:tl2br w:val="nil"/>
              <w:tr2bl w:val="nil"/>
            </w:tcBorders>
            <w:vAlign w:val="center"/>
          </w:tcPr>
          <w:p>
            <w:pPr>
              <w:pStyle w:val="163"/>
              <w:spacing w:before="90" w:line="360" w:lineRule="auto"/>
              <w:ind w:left="101"/>
              <w:rPr>
                <w:rFonts w:hAnsi="Times New Roman" w:cs="Times New Roman"/>
                <w:spacing w:val="5"/>
                <w:sz w:val="21"/>
                <w:szCs w:val="21"/>
              </w:rPr>
            </w:pPr>
            <w:r>
              <w:rPr>
                <w:rFonts w:hint="eastAsia" w:hAnsi="Times New Roman" w:cs="Times New Roman"/>
                <w:spacing w:val="5"/>
                <w:sz w:val="21"/>
                <w:szCs w:val="21"/>
              </w:rPr>
              <w:t>缺陷及粘结性要求</w:t>
            </w:r>
          </w:p>
        </w:tc>
        <w:tc>
          <w:tcPr>
            <w:tcW w:w="1123" w:type="pct"/>
            <w:tcBorders>
              <w:tl2br w:val="nil"/>
              <w:tr2bl w:val="nil"/>
            </w:tcBorders>
            <w:vAlign w:val="center"/>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经过现场抽检，密封胶与基材粘结良好，无气泡、注胶不满等缺陷</w:t>
            </w:r>
          </w:p>
        </w:tc>
        <w:tc>
          <w:tcPr>
            <w:tcW w:w="1059" w:type="pct"/>
            <w:tcBorders>
              <w:tl2br w:val="nil"/>
              <w:tr2bl w:val="nil"/>
            </w:tcBorders>
            <w:vAlign w:val="center"/>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经过现场抽检，密封胶与基材粘结良好，无气泡、注胶不满等缺陷</w:t>
            </w:r>
          </w:p>
        </w:tc>
        <w:tc>
          <w:tcPr>
            <w:tcW w:w="901" w:type="pct"/>
            <w:tcBorders>
              <w:tl2br w:val="nil"/>
              <w:tr2bl w:val="nil"/>
            </w:tcBorders>
            <w:vAlign w:val="center"/>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经过现场抽检，密封胶存在粘结不良、气泡、注胶不饱满等缺陷情况小于20%</w:t>
            </w:r>
          </w:p>
        </w:tc>
        <w:tc>
          <w:tcPr>
            <w:tcW w:w="835" w:type="pct"/>
            <w:tcBorders>
              <w:tl2br w:val="nil"/>
              <w:tr2bl w:val="nil"/>
            </w:tcBorders>
            <w:vAlign w:val="center"/>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经过现场抽检，密封胶存在粘结不良、气泡、注胶不饱满等缺陷情况高于20%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7" w:hRule="atLeast"/>
          <w:jc w:val="center"/>
        </w:trPr>
        <w:tc>
          <w:tcPr>
            <w:tcW w:w="395" w:type="pct"/>
            <w:tcBorders>
              <w:tl2br w:val="nil"/>
              <w:tr2bl w:val="nil"/>
            </w:tcBorders>
            <w:vAlign w:val="center"/>
          </w:tcPr>
          <w:p>
            <w:pPr>
              <w:pStyle w:val="163"/>
              <w:spacing w:before="127" w:line="360" w:lineRule="auto"/>
              <w:ind w:right="6"/>
              <w:rPr>
                <w:rFonts w:hAnsi="Times New Roman" w:cs="Times New Roman"/>
                <w:sz w:val="21"/>
                <w:szCs w:val="21"/>
              </w:rPr>
            </w:pPr>
            <w:r>
              <w:rPr>
                <w:rFonts w:hint="eastAsia" w:hAnsi="Times New Roman" w:cs="Times New Roman"/>
                <w:sz w:val="21"/>
                <w:szCs w:val="21"/>
              </w:rPr>
              <w:t>4</w:t>
            </w:r>
          </w:p>
        </w:tc>
        <w:tc>
          <w:tcPr>
            <w:tcW w:w="685" w:type="pct"/>
            <w:tcBorders>
              <w:tl2br w:val="nil"/>
              <w:tr2bl w:val="nil"/>
            </w:tcBorders>
            <w:vAlign w:val="center"/>
          </w:tcPr>
          <w:p>
            <w:pPr>
              <w:pStyle w:val="163"/>
              <w:spacing w:before="90" w:line="360" w:lineRule="auto"/>
              <w:ind w:left="101"/>
              <w:rPr>
                <w:rFonts w:hAnsi="Times New Roman" w:cs="Times New Roman"/>
                <w:spacing w:val="5"/>
                <w:sz w:val="21"/>
                <w:szCs w:val="21"/>
              </w:rPr>
            </w:pPr>
            <w:r>
              <w:rPr>
                <w:rFonts w:hint="eastAsia" w:hAnsi="Times New Roman" w:cs="Times New Roman"/>
                <w:spacing w:val="5"/>
                <w:sz w:val="21"/>
                <w:szCs w:val="21"/>
              </w:rPr>
              <w:t>耐火及阻燃性能</w:t>
            </w:r>
            <w:r>
              <w:rPr>
                <w:rFonts w:hint="eastAsia" w:hAnsi="Times New Roman" w:cs="Times New Roman"/>
                <w:spacing w:val="5"/>
                <w:sz w:val="21"/>
                <w:szCs w:val="21"/>
                <w:vertAlign w:val="superscript"/>
              </w:rPr>
              <w:t>a</w:t>
            </w:r>
          </w:p>
        </w:tc>
        <w:tc>
          <w:tcPr>
            <w:tcW w:w="1123" w:type="pct"/>
            <w:tcBorders>
              <w:tl2br w:val="nil"/>
              <w:tr2bl w:val="nil"/>
            </w:tcBorders>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所选用密封胶位移能力不低于25级；胶条经检测，燃烧性能符合V-0级要求；无开裂、粉化现象</w:t>
            </w:r>
          </w:p>
        </w:tc>
        <w:tc>
          <w:tcPr>
            <w:tcW w:w="1059" w:type="pct"/>
            <w:tcBorders>
              <w:tl2br w:val="nil"/>
              <w:tr2bl w:val="nil"/>
            </w:tcBorders>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所选用密封胶位移能力不低于20级；胶条经检测，燃烧性能符合V-0级要求；无开裂、粉化现象</w:t>
            </w:r>
          </w:p>
        </w:tc>
        <w:tc>
          <w:tcPr>
            <w:tcW w:w="901" w:type="pct"/>
            <w:tcBorders>
              <w:tl2br w:val="nil"/>
              <w:tr2bl w:val="nil"/>
            </w:tcBorders>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胶条经检测，燃烧性能符合V-0级要求；或开裂、粉化现象低于5%</w:t>
            </w:r>
          </w:p>
        </w:tc>
        <w:tc>
          <w:tcPr>
            <w:tcW w:w="835" w:type="pct"/>
            <w:tcBorders>
              <w:tl2br w:val="nil"/>
              <w:tr2bl w:val="nil"/>
            </w:tcBorders>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胶条经检测，燃烧性能不符合V-0级要求；或开裂、粉化现象超过5%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96" w:hRule="atLeast"/>
          <w:jc w:val="center"/>
        </w:trPr>
        <w:tc>
          <w:tcPr>
            <w:tcW w:w="395" w:type="pct"/>
            <w:tcBorders>
              <w:tl2br w:val="nil"/>
              <w:tr2bl w:val="nil"/>
            </w:tcBorders>
            <w:vAlign w:val="center"/>
          </w:tcPr>
          <w:p>
            <w:pPr>
              <w:pStyle w:val="163"/>
              <w:spacing w:before="127" w:line="360" w:lineRule="auto"/>
              <w:ind w:right="6"/>
              <w:rPr>
                <w:rFonts w:hAnsi="Times New Roman" w:cs="Times New Roman"/>
                <w:sz w:val="21"/>
                <w:szCs w:val="21"/>
              </w:rPr>
            </w:pPr>
            <w:r>
              <w:rPr>
                <w:rFonts w:hint="eastAsia" w:hAnsi="Times New Roman" w:cs="Times New Roman"/>
                <w:sz w:val="21"/>
                <w:szCs w:val="21"/>
              </w:rPr>
              <w:t>5</w:t>
            </w:r>
          </w:p>
        </w:tc>
        <w:tc>
          <w:tcPr>
            <w:tcW w:w="685" w:type="pct"/>
            <w:tcBorders>
              <w:tl2br w:val="nil"/>
              <w:tr2bl w:val="nil"/>
            </w:tcBorders>
            <w:vAlign w:val="center"/>
          </w:tcPr>
          <w:p>
            <w:pPr>
              <w:pStyle w:val="163"/>
              <w:spacing w:before="90" w:line="360" w:lineRule="auto"/>
              <w:ind w:left="101"/>
              <w:rPr>
                <w:rFonts w:hAnsi="Times New Roman" w:cs="Times New Roman"/>
                <w:spacing w:val="5"/>
                <w:sz w:val="21"/>
                <w:szCs w:val="21"/>
              </w:rPr>
            </w:pPr>
            <w:r>
              <w:rPr>
                <w:rFonts w:hint="eastAsia" w:hAnsi="Times New Roman" w:cs="Times New Roman"/>
                <w:spacing w:val="5"/>
                <w:sz w:val="21"/>
                <w:szCs w:val="21"/>
              </w:rPr>
              <w:t>材料绿色建材评价</w:t>
            </w:r>
          </w:p>
        </w:tc>
        <w:tc>
          <w:tcPr>
            <w:tcW w:w="1123" w:type="pct"/>
            <w:tcBorders>
              <w:tl2br w:val="nil"/>
              <w:tr2bl w:val="nil"/>
            </w:tcBorders>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所选用密封胶获得中国绿色建材产品认证证书，且符合三星级的要求</w:t>
            </w:r>
          </w:p>
        </w:tc>
        <w:tc>
          <w:tcPr>
            <w:tcW w:w="1059" w:type="pct"/>
            <w:tcBorders>
              <w:tl2br w:val="nil"/>
              <w:tr2bl w:val="nil"/>
            </w:tcBorders>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所选用密封胶获得中国绿色建材产品认证证书，且符合二星级的要求</w:t>
            </w:r>
          </w:p>
        </w:tc>
        <w:tc>
          <w:tcPr>
            <w:tcW w:w="901" w:type="pct"/>
            <w:tcBorders>
              <w:tl2br w:val="nil"/>
              <w:tr2bl w:val="nil"/>
            </w:tcBorders>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所选用密封胶未获得中国绿色建材产品认证证书</w:t>
            </w:r>
          </w:p>
        </w:tc>
        <w:tc>
          <w:tcPr>
            <w:tcW w:w="835" w:type="pct"/>
            <w:tcBorders>
              <w:tl2br w:val="nil"/>
              <w:tr2bl w:val="nil"/>
            </w:tcBorders>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所选用密封胶未获得中国绿色建材产品认证证书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96" w:hRule="atLeast"/>
          <w:jc w:val="center"/>
        </w:trPr>
        <w:tc>
          <w:tcPr>
            <w:tcW w:w="395" w:type="pct"/>
            <w:tcBorders>
              <w:tl2br w:val="nil"/>
              <w:tr2bl w:val="nil"/>
            </w:tcBorders>
            <w:vAlign w:val="center"/>
          </w:tcPr>
          <w:p>
            <w:pPr>
              <w:pStyle w:val="163"/>
              <w:spacing w:before="127" w:line="360" w:lineRule="auto"/>
              <w:ind w:right="6"/>
              <w:rPr>
                <w:rFonts w:hAnsi="Times New Roman" w:cs="Times New Roman"/>
                <w:sz w:val="21"/>
                <w:szCs w:val="21"/>
              </w:rPr>
            </w:pPr>
            <w:r>
              <w:rPr>
                <w:rFonts w:hint="eastAsia" w:hAnsi="Times New Roman" w:cs="Times New Roman"/>
                <w:sz w:val="21"/>
                <w:szCs w:val="21"/>
              </w:rPr>
              <w:t>6</w:t>
            </w:r>
          </w:p>
        </w:tc>
        <w:tc>
          <w:tcPr>
            <w:tcW w:w="685" w:type="pct"/>
            <w:tcBorders>
              <w:tl2br w:val="nil"/>
              <w:tr2bl w:val="nil"/>
            </w:tcBorders>
            <w:vAlign w:val="center"/>
          </w:tcPr>
          <w:p>
            <w:pPr>
              <w:pStyle w:val="163"/>
              <w:spacing w:before="90" w:line="360" w:lineRule="auto"/>
              <w:ind w:left="101"/>
              <w:rPr>
                <w:rFonts w:hAnsi="Times New Roman" w:cs="Times New Roman"/>
                <w:spacing w:val="5"/>
                <w:sz w:val="21"/>
                <w:szCs w:val="21"/>
              </w:rPr>
            </w:pPr>
            <w:r>
              <w:rPr>
                <w:rFonts w:hint="eastAsia" w:hAnsi="Times New Roman" w:cs="Times New Roman"/>
                <w:spacing w:val="5"/>
                <w:sz w:val="21"/>
                <w:szCs w:val="21"/>
              </w:rPr>
              <w:t>材料绿色环保评价</w:t>
            </w:r>
          </w:p>
        </w:tc>
        <w:tc>
          <w:tcPr>
            <w:tcW w:w="1123" w:type="pct"/>
            <w:tcBorders>
              <w:tl2br w:val="nil"/>
              <w:tr2bl w:val="nil"/>
            </w:tcBorders>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所选用密封胶为脱醇型密封胶</w:t>
            </w:r>
          </w:p>
        </w:tc>
        <w:tc>
          <w:tcPr>
            <w:tcW w:w="1059" w:type="pct"/>
            <w:tcBorders>
              <w:tl2br w:val="nil"/>
              <w:tr2bl w:val="nil"/>
            </w:tcBorders>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所选用密封胶为脱醇型密封胶</w:t>
            </w:r>
          </w:p>
        </w:tc>
        <w:tc>
          <w:tcPr>
            <w:tcW w:w="901" w:type="pct"/>
            <w:tcBorders>
              <w:tl2br w:val="nil"/>
              <w:tr2bl w:val="nil"/>
            </w:tcBorders>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所选用密封胶为脱酮肟型密封胶</w:t>
            </w:r>
          </w:p>
        </w:tc>
        <w:tc>
          <w:tcPr>
            <w:tcW w:w="835" w:type="pct"/>
            <w:tcBorders>
              <w:tl2br w:val="nil"/>
              <w:tr2bl w:val="nil"/>
            </w:tcBorders>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所选用密封胶为脱酮肟型密封胶</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4" w:hRule="atLeast"/>
          <w:jc w:val="center"/>
        </w:trPr>
        <w:tc>
          <w:tcPr>
            <w:tcW w:w="395" w:type="pct"/>
            <w:tcBorders>
              <w:tl2br w:val="nil"/>
              <w:tr2bl w:val="nil"/>
            </w:tcBorders>
            <w:vAlign w:val="center"/>
          </w:tcPr>
          <w:p>
            <w:pPr>
              <w:pStyle w:val="163"/>
              <w:spacing w:before="127" w:line="360" w:lineRule="auto"/>
              <w:ind w:right="6"/>
              <w:rPr>
                <w:rFonts w:hAnsi="Times New Roman" w:cs="Times New Roman"/>
                <w:sz w:val="21"/>
                <w:szCs w:val="21"/>
              </w:rPr>
            </w:pPr>
            <w:r>
              <w:rPr>
                <w:rFonts w:hint="eastAsia" w:hAnsi="Times New Roman" w:cs="Times New Roman"/>
                <w:sz w:val="21"/>
                <w:szCs w:val="21"/>
              </w:rPr>
              <w:t>7</w:t>
            </w:r>
          </w:p>
        </w:tc>
        <w:tc>
          <w:tcPr>
            <w:tcW w:w="685" w:type="pct"/>
            <w:tcBorders>
              <w:tl2br w:val="nil"/>
              <w:tr2bl w:val="nil"/>
            </w:tcBorders>
            <w:vAlign w:val="center"/>
          </w:tcPr>
          <w:p>
            <w:pPr>
              <w:pStyle w:val="163"/>
              <w:spacing w:before="90" w:line="360" w:lineRule="auto"/>
              <w:ind w:left="101"/>
              <w:rPr>
                <w:rFonts w:hAnsi="Times New Roman" w:cs="Times New Roman"/>
                <w:spacing w:val="5"/>
                <w:sz w:val="21"/>
                <w:szCs w:val="21"/>
              </w:rPr>
            </w:pPr>
            <w:r>
              <w:rPr>
                <w:rFonts w:hint="eastAsia" w:hAnsi="Times New Roman" w:cs="Times New Roman"/>
                <w:spacing w:val="5"/>
                <w:sz w:val="21"/>
                <w:szCs w:val="21"/>
              </w:rPr>
              <w:t>质保年限</w:t>
            </w:r>
          </w:p>
        </w:tc>
        <w:tc>
          <w:tcPr>
            <w:tcW w:w="1123" w:type="pct"/>
            <w:tcBorders>
              <w:tl2br w:val="nil"/>
              <w:tr2bl w:val="nil"/>
            </w:tcBorders>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质保年限为20年及以上</w:t>
            </w:r>
          </w:p>
        </w:tc>
        <w:tc>
          <w:tcPr>
            <w:tcW w:w="1059" w:type="pct"/>
            <w:tcBorders>
              <w:tl2br w:val="nil"/>
              <w:tr2bl w:val="nil"/>
            </w:tcBorders>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质保年限为15年及以上</w:t>
            </w:r>
          </w:p>
        </w:tc>
        <w:tc>
          <w:tcPr>
            <w:tcW w:w="901" w:type="pct"/>
            <w:tcBorders>
              <w:tl2br w:val="nil"/>
              <w:tr2bl w:val="nil"/>
            </w:tcBorders>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质保年限为10年及以上</w:t>
            </w:r>
          </w:p>
        </w:tc>
        <w:tc>
          <w:tcPr>
            <w:tcW w:w="835" w:type="pct"/>
            <w:tcBorders>
              <w:tl2br w:val="nil"/>
              <w:tr2bl w:val="nil"/>
            </w:tcBorders>
          </w:tcPr>
          <w:p>
            <w:pPr>
              <w:pStyle w:val="163"/>
              <w:spacing w:before="90" w:line="360" w:lineRule="auto"/>
              <w:ind w:left="101"/>
              <w:jc w:val="left"/>
              <w:rPr>
                <w:rFonts w:hAnsi="Times New Roman" w:cs="Times New Roman"/>
                <w:spacing w:val="5"/>
                <w:sz w:val="21"/>
                <w:szCs w:val="21"/>
              </w:rPr>
            </w:pPr>
            <w:r>
              <w:rPr>
                <w:rFonts w:hint="eastAsia" w:hAnsi="Times New Roman" w:cs="Times New Roman"/>
                <w:spacing w:val="5"/>
                <w:sz w:val="21"/>
                <w:szCs w:val="21"/>
              </w:rPr>
              <w:t>质保年限为10年以下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4" w:hRule="atLeast"/>
          <w:jc w:val="center"/>
        </w:trPr>
        <w:tc>
          <w:tcPr>
            <w:tcW w:w="1080" w:type="pct"/>
            <w:gridSpan w:val="2"/>
            <w:tcBorders>
              <w:tl2br w:val="nil"/>
              <w:tr2bl w:val="nil"/>
            </w:tcBorders>
            <w:vAlign w:val="center"/>
          </w:tcPr>
          <w:p>
            <w:pPr>
              <w:pStyle w:val="163"/>
              <w:spacing w:before="90" w:line="360" w:lineRule="auto"/>
              <w:ind w:left="101"/>
              <w:rPr>
                <w:rFonts w:hAnsi="Times New Roman" w:cs="Times New Roman"/>
                <w:spacing w:val="5"/>
                <w:sz w:val="21"/>
                <w:szCs w:val="21"/>
                <w:lang w:val="en-US"/>
              </w:rPr>
            </w:pPr>
            <w:r>
              <w:rPr>
                <w:rFonts w:hint="eastAsia" w:hAnsi="Times New Roman" w:cs="Times New Roman"/>
                <w:spacing w:val="5"/>
                <w:sz w:val="21"/>
                <w:szCs w:val="21"/>
                <w:lang w:val="en-US"/>
              </w:rPr>
              <w:t>备注</w:t>
            </w:r>
          </w:p>
        </w:tc>
        <w:tc>
          <w:tcPr>
            <w:tcW w:w="3919" w:type="pct"/>
            <w:gridSpan w:val="4"/>
            <w:tcBorders>
              <w:tl2br w:val="nil"/>
              <w:tr2bl w:val="nil"/>
            </w:tcBorders>
          </w:tcPr>
          <w:p>
            <w:pPr>
              <w:pStyle w:val="163"/>
              <w:spacing w:before="90" w:line="360" w:lineRule="auto"/>
              <w:ind w:left="101"/>
              <w:jc w:val="left"/>
              <w:rPr>
                <w:rFonts w:hAnsi="Times New Roman" w:cs="Times New Roman"/>
                <w:kern w:val="0"/>
                <w:sz w:val="21"/>
                <w:szCs w:val="21"/>
                <w:lang w:val="en-US" w:bidi="ar-SA"/>
              </w:rPr>
            </w:pPr>
            <w:r>
              <w:rPr>
                <w:rFonts w:hint="eastAsia" w:hAnsi="Times New Roman" w:cs="Times New Roman"/>
                <w:kern w:val="0"/>
                <w:sz w:val="21"/>
                <w:szCs w:val="21"/>
                <w:lang w:val="en-US" w:bidi="ar-SA"/>
              </w:rPr>
              <w:t>A级100分，B级75分，C级50分，D级25分</w:t>
            </w:r>
          </w:p>
          <w:p>
            <w:pPr>
              <w:tabs>
                <w:tab w:val="left" w:pos="709"/>
              </w:tabs>
              <w:spacing w:line="360" w:lineRule="auto"/>
              <w:rPr>
                <w:kern w:val="0"/>
                <w:szCs w:val="21"/>
              </w:rPr>
            </w:pPr>
            <w:r>
              <w:rPr>
                <w:rFonts w:hint="eastAsia"/>
                <w:sz w:val="24"/>
              </w:rPr>
              <w:t>a. 仅针对需要满足防火要求的密封胶。</w:t>
            </w:r>
          </w:p>
        </w:tc>
      </w:tr>
    </w:tbl>
    <w:p>
      <w:pPr>
        <w:spacing w:line="360" w:lineRule="auto"/>
        <w:rPr>
          <w:sz w:val="24"/>
        </w:rPr>
      </w:pPr>
    </w:p>
    <w:p>
      <w:pPr>
        <w:spacing w:line="360" w:lineRule="auto"/>
        <w:jc w:val="left"/>
        <w:rPr>
          <w:kern w:val="0"/>
          <w:sz w:val="24"/>
        </w:rPr>
      </w:pPr>
      <w:r>
        <w:rPr>
          <w:rFonts w:hint="eastAsia"/>
          <w:kern w:val="0"/>
          <w:sz w:val="24"/>
        </w:rPr>
        <w:t>C.0.3 产品加工关键工序评定应符合表C.0.3的规定。</w:t>
      </w:r>
    </w:p>
    <w:p>
      <w:pPr>
        <w:spacing w:line="360" w:lineRule="auto"/>
        <w:jc w:val="center"/>
        <w:rPr>
          <w:rFonts w:ascii="宋体" w:hAnsi="宋体" w:cs="宋体"/>
          <w:b/>
          <w:bCs/>
          <w:kern w:val="0"/>
          <w:sz w:val="24"/>
        </w:rPr>
      </w:pPr>
      <w:r>
        <w:rPr>
          <w:rFonts w:hint="eastAsia" w:ascii="宋体" w:hAnsi="宋体" w:cs="宋体"/>
          <w:kern w:val="0"/>
          <w:szCs w:val="21"/>
        </w:rPr>
        <w:t>表C.0.3 生产加工过程检查项目及评分表</w:t>
      </w:r>
    </w:p>
    <w:tbl>
      <w:tblPr>
        <w:tblStyle w:val="164"/>
        <w:tblW w:w="5089"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668"/>
        <w:gridCol w:w="1162"/>
        <w:gridCol w:w="1662"/>
        <w:gridCol w:w="1662"/>
        <w:gridCol w:w="1662"/>
        <w:gridCol w:w="166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1" w:hRule="exact"/>
          <w:jc w:val="center"/>
        </w:trPr>
        <w:tc>
          <w:tcPr>
            <w:tcW w:w="394" w:type="pct"/>
            <w:vMerge w:val="restart"/>
            <w:tcBorders>
              <w:tl2br w:val="nil"/>
              <w:tr2bl w:val="nil"/>
            </w:tcBorders>
          </w:tcPr>
          <w:p>
            <w:pPr>
              <w:pStyle w:val="163"/>
              <w:spacing w:before="3" w:line="360" w:lineRule="auto"/>
              <w:rPr>
                <w:rFonts w:hAnsi="Times New Roman" w:cs="Times New Roman"/>
                <w:sz w:val="21"/>
                <w:szCs w:val="21"/>
              </w:rPr>
            </w:pPr>
          </w:p>
          <w:p>
            <w:pPr>
              <w:pStyle w:val="163"/>
              <w:spacing w:line="360" w:lineRule="auto"/>
              <w:ind w:left="164"/>
              <w:rPr>
                <w:rFonts w:hAnsi="Times New Roman" w:cs="Times New Roman"/>
                <w:sz w:val="21"/>
                <w:szCs w:val="21"/>
              </w:rPr>
            </w:pPr>
            <w:r>
              <w:rPr>
                <w:rFonts w:hint="eastAsia" w:hAnsi="Times New Roman" w:cs="Times New Roman"/>
                <w:sz w:val="21"/>
                <w:szCs w:val="21"/>
              </w:rPr>
              <w:t>序号</w:t>
            </w:r>
          </w:p>
        </w:tc>
        <w:tc>
          <w:tcPr>
            <w:tcW w:w="684" w:type="pct"/>
            <w:vMerge w:val="restart"/>
            <w:tcBorders>
              <w:tl2br w:val="nil"/>
              <w:tr2bl w:val="nil"/>
            </w:tcBorders>
          </w:tcPr>
          <w:p>
            <w:pPr>
              <w:pStyle w:val="163"/>
              <w:spacing w:before="3" w:line="360" w:lineRule="auto"/>
              <w:rPr>
                <w:rFonts w:hAnsi="Times New Roman" w:cs="Times New Roman"/>
                <w:sz w:val="21"/>
                <w:szCs w:val="21"/>
              </w:rPr>
            </w:pPr>
          </w:p>
          <w:p>
            <w:pPr>
              <w:pStyle w:val="163"/>
              <w:spacing w:line="360" w:lineRule="auto"/>
              <w:ind w:left="204"/>
              <w:rPr>
                <w:rFonts w:hAnsi="Times New Roman" w:cs="Times New Roman"/>
                <w:sz w:val="21"/>
                <w:szCs w:val="21"/>
              </w:rPr>
            </w:pPr>
            <w:r>
              <w:rPr>
                <w:rFonts w:hint="eastAsia" w:hAnsi="Times New Roman" w:cs="Times New Roman"/>
                <w:sz w:val="21"/>
                <w:szCs w:val="21"/>
              </w:rPr>
              <w:t>评价项目</w:t>
            </w:r>
          </w:p>
        </w:tc>
        <w:tc>
          <w:tcPr>
            <w:tcW w:w="3920" w:type="pct"/>
            <w:gridSpan w:val="4"/>
            <w:tcBorders>
              <w:tl2br w:val="nil"/>
              <w:tr2bl w:val="nil"/>
            </w:tcBorders>
          </w:tcPr>
          <w:p>
            <w:pPr>
              <w:pStyle w:val="163"/>
              <w:spacing w:before="90" w:line="360" w:lineRule="auto"/>
              <w:ind w:left="4"/>
              <w:rPr>
                <w:rFonts w:hAnsi="Times New Roman" w:cs="Times New Roman"/>
                <w:sz w:val="21"/>
                <w:szCs w:val="21"/>
              </w:rPr>
            </w:pPr>
            <w:r>
              <w:rPr>
                <w:rFonts w:hint="eastAsia" w:hAnsi="Times New Roman" w:cs="Times New Roman"/>
                <w:sz w:val="21"/>
                <w:szCs w:val="21"/>
              </w:rPr>
              <w:t>评定等级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3" w:hRule="exact"/>
          <w:jc w:val="center"/>
        </w:trPr>
        <w:tc>
          <w:tcPr>
            <w:tcW w:w="394" w:type="pct"/>
            <w:vMerge w:val="continue"/>
            <w:tcBorders>
              <w:tl2br w:val="nil"/>
              <w:tr2bl w:val="nil"/>
            </w:tcBorders>
          </w:tcPr>
          <w:p>
            <w:pPr>
              <w:spacing w:line="360" w:lineRule="auto"/>
              <w:rPr>
                <w:szCs w:val="21"/>
              </w:rPr>
            </w:pPr>
          </w:p>
        </w:tc>
        <w:tc>
          <w:tcPr>
            <w:tcW w:w="684" w:type="pct"/>
            <w:vMerge w:val="continue"/>
            <w:tcBorders>
              <w:tl2br w:val="nil"/>
              <w:tr2bl w:val="nil"/>
            </w:tcBorders>
          </w:tcPr>
          <w:p>
            <w:pPr>
              <w:spacing w:line="360" w:lineRule="auto"/>
              <w:rPr>
                <w:szCs w:val="21"/>
              </w:rPr>
            </w:pPr>
          </w:p>
        </w:tc>
        <w:tc>
          <w:tcPr>
            <w:tcW w:w="979" w:type="pct"/>
            <w:tcBorders>
              <w:tl2br w:val="nil"/>
              <w:tr2bl w:val="nil"/>
            </w:tcBorders>
          </w:tcPr>
          <w:p>
            <w:pPr>
              <w:pStyle w:val="163"/>
              <w:spacing w:before="89" w:line="360" w:lineRule="auto"/>
              <w:rPr>
                <w:rFonts w:hAnsi="Times New Roman" w:cs="Times New Roman"/>
                <w:sz w:val="21"/>
                <w:szCs w:val="21"/>
              </w:rPr>
            </w:pPr>
            <w:r>
              <w:rPr>
                <w:rFonts w:hint="eastAsia" w:hAnsi="Times New Roman" w:cs="Times New Roman"/>
                <w:sz w:val="21"/>
                <w:szCs w:val="21"/>
              </w:rPr>
              <w:t>A</w:t>
            </w:r>
            <w:r>
              <w:rPr>
                <w:rFonts w:hint="eastAsia" w:hAnsi="Times New Roman" w:cs="Times New Roman"/>
                <w:spacing w:val="-3"/>
                <w:sz w:val="21"/>
                <w:szCs w:val="21"/>
              </w:rPr>
              <w:t xml:space="preserve"> </w:t>
            </w:r>
            <w:r>
              <w:rPr>
                <w:rFonts w:hint="eastAsia" w:hAnsi="Times New Roman" w:cs="Times New Roman"/>
                <w:sz w:val="21"/>
                <w:szCs w:val="21"/>
              </w:rPr>
              <w:t>级</w:t>
            </w:r>
          </w:p>
        </w:tc>
        <w:tc>
          <w:tcPr>
            <w:tcW w:w="979" w:type="pct"/>
            <w:tcBorders>
              <w:tl2br w:val="nil"/>
              <w:tr2bl w:val="nil"/>
            </w:tcBorders>
          </w:tcPr>
          <w:p>
            <w:pPr>
              <w:pStyle w:val="163"/>
              <w:spacing w:before="89" w:line="360" w:lineRule="auto"/>
              <w:ind w:right="1"/>
              <w:rPr>
                <w:rFonts w:hAnsi="Times New Roman" w:cs="Times New Roman"/>
                <w:sz w:val="21"/>
                <w:szCs w:val="21"/>
              </w:rPr>
            </w:pPr>
            <w:r>
              <w:rPr>
                <w:rFonts w:hint="eastAsia" w:hAnsi="Times New Roman" w:cs="Times New Roman"/>
                <w:sz w:val="21"/>
                <w:szCs w:val="21"/>
              </w:rPr>
              <w:t>B</w:t>
            </w:r>
            <w:r>
              <w:rPr>
                <w:rFonts w:hint="eastAsia" w:hAnsi="Times New Roman" w:cs="Times New Roman"/>
                <w:spacing w:val="-1"/>
                <w:sz w:val="21"/>
                <w:szCs w:val="21"/>
              </w:rPr>
              <w:t xml:space="preserve"> </w:t>
            </w:r>
            <w:r>
              <w:rPr>
                <w:rFonts w:hint="eastAsia" w:hAnsi="Times New Roman" w:cs="Times New Roman"/>
                <w:sz w:val="21"/>
                <w:szCs w:val="21"/>
              </w:rPr>
              <w:t>级</w:t>
            </w:r>
          </w:p>
        </w:tc>
        <w:tc>
          <w:tcPr>
            <w:tcW w:w="979" w:type="pct"/>
            <w:tcBorders>
              <w:tl2br w:val="nil"/>
              <w:tr2bl w:val="nil"/>
            </w:tcBorders>
          </w:tcPr>
          <w:p>
            <w:pPr>
              <w:pStyle w:val="163"/>
              <w:spacing w:before="89" w:line="360" w:lineRule="auto"/>
              <w:ind w:right="1"/>
              <w:rPr>
                <w:rFonts w:hAnsi="Times New Roman" w:cs="Times New Roman"/>
                <w:sz w:val="21"/>
                <w:szCs w:val="21"/>
              </w:rPr>
            </w:pPr>
            <w:r>
              <w:rPr>
                <w:rFonts w:hint="eastAsia" w:hAnsi="Times New Roman" w:cs="Times New Roman"/>
                <w:sz w:val="21"/>
                <w:szCs w:val="21"/>
              </w:rPr>
              <w:t>C</w:t>
            </w:r>
            <w:r>
              <w:rPr>
                <w:rFonts w:hint="eastAsia" w:hAnsi="Times New Roman" w:cs="Times New Roman"/>
                <w:spacing w:val="-3"/>
                <w:sz w:val="21"/>
                <w:szCs w:val="21"/>
              </w:rPr>
              <w:t xml:space="preserve"> </w:t>
            </w:r>
            <w:r>
              <w:rPr>
                <w:rFonts w:hint="eastAsia" w:hAnsi="Times New Roman" w:cs="Times New Roman"/>
                <w:sz w:val="21"/>
                <w:szCs w:val="21"/>
              </w:rPr>
              <w:t>级</w:t>
            </w:r>
          </w:p>
        </w:tc>
        <w:tc>
          <w:tcPr>
            <w:tcW w:w="981" w:type="pct"/>
            <w:tcBorders>
              <w:tl2br w:val="nil"/>
              <w:tr2bl w:val="nil"/>
            </w:tcBorders>
          </w:tcPr>
          <w:p>
            <w:pPr>
              <w:pStyle w:val="163"/>
              <w:spacing w:before="89" w:line="360" w:lineRule="auto"/>
              <w:ind w:left="4"/>
              <w:rPr>
                <w:rFonts w:hAnsi="Times New Roman" w:cs="Times New Roman"/>
                <w:sz w:val="21"/>
                <w:szCs w:val="21"/>
              </w:rPr>
            </w:pPr>
            <w:r>
              <w:rPr>
                <w:rFonts w:hint="eastAsia" w:hAnsi="Times New Roman" w:cs="Times New Roman"/>
                <w:sz w:val="21"/>
                <w:szCs w:val="21"/>
              </w:rPr>
              <w:t>D</w:t>
            </w:r>
            <w:r>
              <w:rPr>
                <w:rFonts w:hint="eastAsia" w:hAnsi="Times New Roman" w:cs="Times New Roman"/>
                <w:spacing w:val="-3"/>
                <w:sz w:val="21"/>
                <w:szCs w:val="21"/>
              </w:rPr>
              <w:t xml:space="preserve"> </w:t>
            </w:r>
            <w:r>
              <w:rPr>
                <w:rFonts w:hint="eastAsia" w:hAnsi="Times New Roman" w:cs="Times New Roman"/>
                <w:sz w:val="21"/>
                <w:szCs w:val="21"/>
              </w:rPr>
              <w:t>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8" w:hRule="atLeast"/>
          <w:jc w:val="center"/>
        </w:trPr>
        <w:tc>
          <w:tcPr>
            <w:tcW w:w="394" w:type="pct"/>
            <w:tcBorders>
              <w:tl2br w:val="nil"/>
              <w:tr2bl w:val="nil"/>
            </w:tcBorders>
          </w:tcPr>
          <w:p>
            <w:pPr>
              <w:pStyle w:val="163"/>
              <w:spacing w:before="118" w:line="360" w:lineRule="auto"/>
              <w:ind w:right="6"/>
              <w:rPr>
                <w:rFonts w:hAnsi="Times New Roman" w:cs="Times New Roman"/>
                <w:sz w:val="21"/>
                <w:szCs w:val="21"/>
              </w:rPr>
            </w:pPr>
            <w:r>
              <w:rPr>
                <w:rFonts w:hint="eastAsia" w:hAnsi="Times New Roman" w:cs="Times New Roman"/>
                <w:sz w:val="21"/>
                <w:szCs w:val="21"/>
              </w:rPr>
              <w:t>1</w:t>
            </w:r>
          </w:p>
        </w:tc>
        <w:tc>
          <w:tcPr>
            <w:tcW w:w="684" w:type="pct"/>
            <w:tcBorders>
              <w:tl2br w:val="nil"/>
              <w:tr2bl w:val="nil"/>
            </w:tcBorders>
          </w:tcPr>
          <w:p>
            <w:pPr>
              <w:pStyle w:val="163"/>
              <w:spacing w:line="360" w:lineRule="auto"/>
              <w:jc w:val="left"/>
              <w:rPr>
                <w:rFonts w:hAnsi="Times New Roman" w:cs="Times New Roman"/>
                <w:sz w:val="21"/>
                <w:szCs w:val="21"/>
                <w:lang w:val="en-US"/>
              </w:rPr>
            </w:pPr>
            <w:r>
              <w:rPr>
                <w:rFonts w:hint="eastAsia" w:hAnsi="Times New Roman" w:cs="Times New Roman"/>
                <w:sz w:val="21"/>
                <w:szCs w:val="21"/>
                <w:lang w:val="en-US"/>
              </w:rPr>
              <w:t>加工技术文件</w:t>
            </w:r>
          </w:p>
        </w:tc>
        <w:tc>
          <w:tcPr>
            <w:tcW w:w="979" w:type="pct"/>
            <w:tcBorders>
              <w:tl2br w:val="nil"/>
              <w:tr2bl w:val="nil"/>
            </w:tcBorders>
          </w:tcPr>
          <w:p>
            <w:pPr>
              <w:pStyle w:val="163"/>
              <w:spacing w:before="88" w:line="360" w:lineRule="auto"/>
              <w:ind w:left="101"/>
              <w:jc w:val="left"/>
              <w:rPr>
                <w:rFonts w:hAnsi="Times New Roman" w:cs="Times New Roman"/>
                <w:sz w:val="21"/>
                <w:szCs w:val="21"/>
              </w:rPr>
            </w:pPr>
            <w:r>
              <w:rPr>
                <w:rFonts w:hint="eastAsia" w:hAnsi="Times New Roman" w:cs="Times New Roman"/>
                <w:kern w:val="44"/>
                <w:sz w:val="21"/>
                <w:szCs w:val="21"/>
                <w:lang w:val="en-US" w:bidi="ar-SA"/>
              </w:rPr>
              <w:t>设计图纸及其他相关技术文件</w:t>
            </w:r>
          </w:p>
        </w:tc>
        <w:tc>
          <w:tcPr>
            <w:tcW w:w="979" w:type="pct"/>
            <w:tcBorders>
              <w:tl2br w:val="nil"/>
              <w:tr2bl w:val="nil"/>
            </w:tcBorders>
          </w:tcPr>
          <w:p>
            <w:pPr>
              <w:pStyle w:val="163"/>
              <w:spacing w:before="88" w:line="360" w:lineRule="auto"/>
              <w:ind w:left="101"/>
              <w:jc w:val="left"/>
              <w:rPr>
                <w:rFonts w:hAnsi="Times New Roman" w:cs="Times New Roman"/>
                <w:sz w:val="21"/>
                <w:szCs w:val="21"/>
                <w:lang w:val="en-US"/>
              </w:rPr>
            </w:pPr>
            <w:r>
              <w:rPr>
                <w:rFonts w:hint="eastAsia" w:hAnsi="Times New Roman" w:cs="Times New Roman"/>
                <w:kern w:val="44"/>
                <w:sz w:val="21"/>
                <w:szCs w:val="21"/>
                <w:lang w:val="en-US" w:bidi="ar-SA"/>
              </w:rPr>
              <w:t>设计图纸及其他相关技术文件部分缺失</w:t>
            </w:r>
          </w:p>
        </w:tc>
        <w:tc>
          <w:tcPr>
            <w:tcW w:w="979" w:type="pct"/>
            <w:tcBorders>
              <w:tl2br w:val="nil"/>
              <w:tr2bl w:val="nil"/>
            </w:tcBorders>
          </w:tcPr>
          <w:p>
            <w:pPr>
              <w:pStyle w:val="163"/>
              <w:spacing w:before="88" w:line="360" w:lineRule="auto"/>
              <w:ind w:left="101"/>
              <w:jc w:val="left"/>
              <w:rPr>
                <w:rFonts w:hAnsi="Times New Roman" w:cs="Times New Roman"/>
                <w:sz w:val="21"/>
                <w:szCs w:val="21"/>
                <w:lang w:val="en-US"/>
              </w:rPr>
            </w:pPr>
            <w:r>
              <w:rPr>
                <w:rFonts w:hint="eastAsia" w:hAnsi="Times New Roman" w:cs="Times New Roman"/>
                <w:kern w:val="44"/>
                <w:sz w:val="21"/>
                <w:szCs w:val="21"/>
                <w:lang w:val="en-US" w:bidi="ar-SA"/>
              </w:rPr>
              <w:t>设计图纸及其他相关技术文件缺失</w:t>
            </w:r>
          </w:p>
        </w:tc>
        <w:tc>
          <w:tcPr>
            <w:tcW w:w="981" w:type="pct"/>
            <w:tcBorders>
              <w:tl2br w:val="nil"/>
              <w:tr2bl w:val="nil"/>
            </w:tcBorders>
          </w:tcPr>
          <w:p>
            <w:pPr>
              <w:pStyle w:val="163"/>
              <w:spacing w:before="88" w:line="360" w:lineRule="auto"/>
              <w:ind w:left="101"/>
              <w:jc w:val="left"/>
              <w:rPr>
                <w:rFonts w:hAnsi="Times New Roman" w:cs="Times New Roman"/>
                <w:sz w:val="21"/>
                <w:szCs w:val="21"/>
                <w:lang w:val="en-US"/>
              </w:rPr>
            </w:pPr>
            <w:r>
              <w:rPr>
                <w:rFonts w:hint="eastAsia" w:hAnsi="Times New Roman" w:cs="Times New Roman"/>
                <w:kern w:val="44"/>
                <w:sz w:val="21"/>
                <w:szCs w:val="21"/>
                <w:lang w:val="en-US" w:bidi="ar-SA"/>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8" w:hRule="atLeast"/>
          <w:jc w:val="center"/>
        </w:trPr>
        <w:tc>
          <w:tcPr>
            <w:tcW w:w="394" w:type="pct"/>
            <w:tcBorders>
              <w:tl2br w:val="nil"/>
              <w:tr2bl w:val="nil"/>
            </w:tcBorders>
          </w:tcPr>
          <w:p>
            <w:pPr>
              <w:pStyle w:val="163"/>
              <w:spacing w:before="118" w:line="360" w:lineRule="auto"/>
              <w:ind w:right="6"/>
              <w:rPr>
                <w:rFonts w:hAnsi="Times New Roman" w:cs="Times New Roman"/>
                <w:sz w:val="21"/>
                <w:szCs w:val="21"/>
                <w:lang w:val="en-US"/>
              </w:rPr>
            </w:pPr>
            <w:r>
              <w:rPr>
                <w:rFonts w:hint="eastAsia" w:hAnsi="Times New Roman" w:cs="Times New Roman"/>
                <w:sz w:val="21"/>
                <w:szCs w:val="21"/>
                <w:lang w:val="en-US"/>
              </w:rPr>
              <w:t>2</w:t>
            </w:r>
          </w:p>
        </w:tc>
        <w:tc>
          <w:tcPr>
            <w:tcW w:w="684" w:type="pct"/>
            <w:tcBorders>
              <w:tl2br w:val="nil"/>
              <w:tr2bl w:val="nil"/>
            </w:tcBorders>
          </w:tcPr>
          <w:p>
            <w:pPr>
              <w:pStyle w:val="163"/>
              <w:spacing w:line="360" w:lineRule="auto"/>
              <w:jc w:val="left"/>
              <w:rPr>
                <w:rFonts w:hAnsi="Times New Roman" w:cs="Times New Roman"/>
                <w:sz w:val="21"/>
                <w:szCs w:val="21"/>
                <w:lang w:val="en-US"/>
              </w:rPr>
            </w:pPr>
            <w:r>
              <w:rPr>
                <w:rFonts w:hint="eastAsia" w:hAnsi="Times New Roman" w:cs="Times New Roman"/>
                <w:kern w:val="44"/>
                <w:sz w:val="21"/>
                <w:szCs w:val="21"/>
                <w:lang w:val="en-US" w:bidi="ar-SA"/>
              </w:rPr>
              <w:t>工装及量具</w:t>
            </w:r>
          </w:p>
        </w:tc>
        <w:tc>
          <w:tcPr>
            <w:tcW w:w="979" w:type="pct"/>
            <w:tcBorders>
              <w:tl2br w:val="nil"/>
              <w:tr2bl w:val="nil"/>
            </w:tcBorders>
          </w:tcPr>
          <w:p>
            <w:pPr>
              <w:pStyle w:val="163"/>
              <w:spacing w:before="88" w:line="360" w:lineRule="auto"/>
              <w:ind w:left="101"/>
              <w:jc w:val="left"/>
              <w:rPr>
                <w:rFonts w:hAnsi="Times New Roman" w:cs="Times New Roman"/>
                <w:spacing w:val="5"/>
                <w:sz w:val="21"/>
                <w:szCs w:val="21"/>
                <w:lang w:val="en-US"/>
              </w:rPr>
            </w:pPr>
            <w:r>
              <w:rPr>
                <w:rFonts w:hint="eastAsia" w:hAnsi="Times New Roman" w:cs="Times New Roman"/>
                <w:spacing w:val="2"/>
                <w:sz w:val="21"/>
                <w:szCs w:val="21"/>
                <w:lang w:val="en-US"/>
              </w:rPr>
              <w:t>有专门的加工设备及量具并定期校验</w:t>
            </w:r>
          </w:p>
        </w:tc>
        <w:tc>
          <w:tcPr>
            <w:tcW w:w="979" w:type="pct"/>
            <w:tcBorders>
              <w:tl2br w:val="nil"/>
              <w:tr2bl w:val="nil"/>
            </w:tcBorders>
          </w:tcPr>
          <w:p>
            <w:pPr>
              <w:pStyle w:val="163"/>
              <w:spacing w:before="88" w:line="360" w:lineRule="auto"/>
              <w:ind w:left="101"/>
              <w:jc w:val="left"/>
              <w:rPr>
                <w:rFonts w:hAnsi="Times New Roman" w:cs="Times New Roman"/>
                <w:spacing w:val="17"/>
                <w:sz w:val="21"/>
                <w:szCs w:val="21"/>
                <w:lang w:val="en-US"/>
              </w:rPr>
            </w:pPr>
            <w:r>
              <w:rPr>
                <w:rFonts w:hint="eastAsia" w:hAnsi="Times New Roman" w:cs="Times New Roman"/>
                <w:spacing w:val="2"/>
                <w:sz w:val="21"/>
                <w:szCs w:val="21"/>
                <w:lang w:val="en-US"/>
              </w:rPr>
              <w:t>有专门的加工设备及量具，无定期校验。</w:t>
            </w:r>
          </w:p>
        </w:tc>
        <w:tc>
          <w:tcPr>
            <w:tcW w:w="979" w:type="pct"/>
            <w:tcBorders>
              <w:tl2br w:val="nil"/>
              <w:tr2bl w:val="nil"/>
            </w:tcBorders>
          </w:tcPr>
          <w:p>
            <w:pPr>
              <w:pStyle w:val="163"/>
              <w:spacing w:before="88" w:line="360" w:lineRule="auto"/>
              <w:ind w:left="101"/>
              <w:jc w:val="left"/>
              <w:rPr>
                <w:rFonts w:hAnsi="Times New Roman" w:cs="Times New Roman"/>
                <w:spacing w:val="-5"/>
                <w:sz w:val="21"/>
                <w:szCs w:val="21"/>
              </w:rPr>
            </w:pPr>
            <w:r>
              <w:rPr>
                <w:rFonts w:hint="eastAsia" w:hAnsi="Times New Roman" w:cs="Times New Roman"/>
                <w:spacing w:val="2"/>
                <w:sz w:val="21"/>
                <w:szCs w:val="21"/>
                <w:lang w:val="en-US"/>
              </w:rPr>
              <w:t>有专门的加工设备，无量具</w:t>
            </w:r>
          </w:p>
        </w:tc>
        <w:tc>
          <w:tcPr>
            <w:tcW w:w="981" w:type="pct"/>
            <w:tcBorders>
              <w:tl2br w:val="nil"/>
              <w:tr2bl w:val="nil"/>
            </w:tcBorders>
          </w:tcPr>
          <w:p>
            <w:pPr>
              <w:pStyle w:val="163"/>
              <w:spacing w:before="88" w:line="360" w:lineRule="auto"/>
              <w:ind w:left="101"/>
              <w:jc w:val="left"/>
              <w:rPr>
                <w:rFonts w:hAnsi="Times New Roman" w:cs="Times New Roman"/>
                <w:spacing w:val="2"/>
                <w:sz w:val="21"/>
                <w:szCs w:val="21"/>
                <w:lang w:val="en-US"/>
              </w:rPr>
            </w:pPr>
            <w:r>
              <w:rPr>
                <w:rFonts w:hint="eastAsia" w:hAnsi="Times New Roman" w:cs="Times New Roman"/>
                <w:spacing w:val="2"/>
                <w:sz w:val="21"/>
                <w:szCs w:val="21"/>
                <w:lang w:val="en-US"/>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8" w:hRule="atLeast"/>
          <w:jc w:val="center"/>
        </w:trPr>
        <w:tc>
          <w:tcPr>
            <w:tcW w:w="394" w:type="pct"/>
            <w:tcBorders>
              <w:tl2br w:val="nil"/>
              <w:tr2bl w:val="nil"/>
            </w:tcBorders>
          </w:tcPr>
          <w:p>
            <w:pPr>
              <w:pStyle w:val="163"/>
              <w:spacing w:before="118" w:line="360" w:lineRule="auto"/>
              <w:ind w:right="6"/>
              <w:rPr>
                <w:rFonts w:hAnsi="Times New Roman" w:cs="Times New Roman"/>
                <w:sz w:val="21"/>
                <w:szCs w:val="21"/>
                <w:lang w:val="en-US"/>
              </w:rPr>
            </w:pPr>
            <w:r>
              <w:rPr>
                <w:rFonts w:hint="eastAsia" w:hAnsi="Times New Roman" w:cs="Times New Roman"/>
                <w:sz w:val="21"/>
                <w:szCs w:val="21"/>
                <w:lang w:val="en-US"/>
              </w:rPr>
              <w:t>3</w:t>
            </w:r>
          </w:p>
        </w:tc>
        <w:tc>
          <w:tcPr>
            <w:tcW w:w="684" w:type="pct"/>
            <w:tcBorders>
              <w:tl2br w:val="nil"/>
              <w:tr2bl w:val="nil"/>
            </w:tcBorders>
          </w:tcPr>
          <w:p>
            <w:pPr>
              <w:pStyle w:val="163"/>
              <w:spacing w:line="360" w:lineRule="auto"/>
              <w:jc w:val="left"/>
              <w:rPr>
                <w:rFonts w:hAnsi="Times New Roman" w:cs="Times New Roman"/>
                <w:sz w:val="21"/>
                <w:szCs w:val="21"/>
                <w:lang w:val="en-US"/>
              </w:rPr>
            </w:pPr>
            <w:r>
              <w:rPr>
                <w:rFonts w:hint="eastAsia" w:hAnsi="Times New Roman" w:cs="Times New Roman"/>
                <w:sz w:val="21"/>
                <w:szCs w:val="21"/>
                <w:lang w:val="en-US"/>
              </w:rPr>
              <w:t>型材加工质量</w:t>
            </w:r>
          </w:p>
        </w:tc>
        <w:tc>
          <w:tcPr>
            <w:tcW w:w="979" w:type="pct"/>
            <w:tcBorders>
              <w:tl2br w:val="nil"/>
              <w:tr2bl w:val="nil"/>
            </w:tcBorders>
          </w:tcPr>
          <w:p>
            <w:pPr>
              <w:pStyle w:val="163"/>
              <w:spacing w:before="88" w:line="360" w:lineRule="auto"/>
              <w:ind w:left="101"/>
              <w:jc w:val="left"/>
              <w:rPr>
                <w:rFonts w:hAnsi="Times New Roman" w:cs="Times New Roman"/>
                <w:spacing w:val="5"/>
                <w:sz w:val="21"/>
                <w:szCs w:val="21"/>
              </w:rPr>
            </w:pPr>
            <w:r>
              <w:rPr>
                <w:rFonts w:hint="eastAsia" w:hAnsi="Times New Roman" w:cs="Times New Roman"/>
                <w:kern w:val="0"/>
                <w:sz w:val="21"/>
                <w:szCs w:val="21"/>
                <w:lang w:val="en-US" w:bidi="ar-SA"/>
              </w:rPr>
              <w:t>型材切割长度误差需控制在 0～0.5mm 范围内，型材切割 45 度时最大允许误差-5´。缝隙误差0~0.2mm,高低差±0.3mm，组角连接无错位。</w:t>
            </w:r>
          </w:p>
        </w:tc>
        <w:tc>
          <w:tcPr>
            <w:tcW w:w="979" w:type="pct"/>
            <w:tcBorders>
              <w:tl2br w:val="nil"/>
              <w:tr2bl w:val="nil"/>
            </w:tcBorders>
          </w:tcPr>
          <w:p>
            <w:pPr>
              <w:pStyle w:val="163"/>
              <w:spacing w:before="88" w:line="360" w:lineRule="auto"/>
              <w:ind w:left="101"/>
              <w:jc w:val="left"/>
              <w:rPr>
                <w:rFonts w:hAnsi="Times New Roman" w:cs="Times New Roman"/>
                <w:spacing w:val="17"/>
                <w:sz w:val="21"/>
                <w:szCs w:val="21"/>
              </w:rPr>
            </w:pPr>
            <w:r>
              <w:rPr>
                <w:rFonts w:hint="eastAsia" w:hAnsi="Times New Roman" w:cs="Times New Roman"/>
                <w:kern w:val="0"/>
                <w:sz w:val="21"/>
                <w:szCs w:val="21"/>
                <w:lang w:val="en-US" w:bidi="ar-SA"/>
              </w:rPr>
              <w:t>组角钢片、45°铸件角码以及角码导胶片等配件无遗缺。</w:t>
            </w:r>
          </w:p>
        </w:tc>
        <w:tc>
          <w:tcPr>
            <w:tcW w:w="979" w:type="pct"/>
            <w:tcBorders>
              <w:tl2br w:val="nil"/>
              <w:tr2bl w:val="nil"/>
            </w:tcBorders>
          </w:tcPr>
          <w:p>
            <w:pPr>
              <w:pStyle w:val="163"/>
              <w:spacing w:before="88" w:line="360" w:lineRule="auto"/>
              <w:ind w:left="101"/>
              <w:jc w:val="left"/>
              <w:rPr>
                <w:rFonts w:hAnsi="Times New Roman" w:cs="Times New Roman"/>
                <w:spacing w:val="-5"/>
                <w:sz w:val="21"/>
                <w:szCs w:val="21"/>
              </w:rPr>
            </w:pPr>
            <w:r>
              <w:rPr>
                <w:rFonts w:hint="eastAsia" w:hAnsi="Times New Roman" w:cs="Times New Roman"/>
                <w:kern w:val="0"/>
                <w:sz w:val="21"/>
                <w:szCs w:val="21"/>
                <w:lang w:val="en-US" w:bidi="ar-SA"/>
              </w:rPr>
              <w:t>通风排水孔和注胶销钉孔加工位置和数量正确。</w:t>
            </w:r>
          </w:p>
        </w:tc>
        <w:tc>
          <w:tcPr>
            <w:tcW w:w="981" w:type="pct"/>
            <w:tcBorders>
              <w:tl2br w:val="nil"/>
              <w:tr2bl w:val="nil"/>
            </w:tcBorders>
          </w:tcPr>
          <w:p>
            <w:pPr>
              <w:pStyle w:val="163"/>
              <w:spacing w:before="88" w:line="360" w:lineRule="auto"/>
              <w:ind w:left="101"/>
              <w:jc w:val="left"/>
              <w:rPr>
                <w:rFonts w:hAnsi="Times New Roman" w:cs="Times New Roman"/>
                <w:spacing w:val="2"/>
                <w:sz w:val="21"/>
                <w:szCs w:val="21"/>
              </w:rPr>
            </w:pPr>
            <w:r>
              <w:rPr>
                <w:rFonts w:hint="eastAsia" w:hAnsi="Times New Roman" w:cs="Times New Roman"/>
                <w:kern w:val="0"/>
                <w:sz w:val="21"/>
                <w:szCs w:val="21"/>
                <w:lang w:val="en-US" w:bidi="ar-SA"/>
              </w:rPr>
              <w:t>型材切割后的锯口，要平整，无毛刺，符合组角或连接要求。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8" w:hRule="atLeast"/>
          <w:jc w:val="center"/>
        </w:trPr>
        <w:tc>
          <w:tcPr>
            <w:tcW w:w="394" w:type="pct"/>
            <w:tcBorders>
              <w:tl2br w:val="nil"/>
              <w:tr2bl w:val="nil"/>
            </w:tcBorders>
          </w:tcPr>
          <w:p>
            <w:pPr>
              <w:pStyle w:val="163"/>
              <w:spacing w:before="118" w:line="360" w:lineRule="auto"/>
              <w:ind w:right="6"/>
              <w:rPr>
                <w:rFonts w:hAnsi="Times New Roman" w:cs="Times New Roman"/>
                <w:sz w:val="21"/>
                <w:szCs w:val="21"/>
                <w:lang w:val="en-US"/>
              </w:rPr>
            </w:pPr>
            <w:r>
              <w:rPr>
                <w:rFonts w:hint="eastAsia" w:hAnsi="Times New Roman" w:cs="Times New Roman"/>
                <w:sz w:val="21"/>
                <w:szCs w:val="21"/>
                <w:lang w:val="en-US"/>
              </w:rPr>
              <w:t>4</w:t>
            </w:r>
          </w:p>
        </w:tc>
        <w:tc>
          <w:tcPr>
            <w:tcW w:w="684" w:type="pct"/>
            <w:tcBorders>
              <w:tl2br w:val="nil"/>
              <w:tr2bl w:val="nil"/>
            </w:tcBorders>
          </w:tcPr>
          <w:p>
            <w:pPr>
              <w:pStyle w:val="163"/>
              <w:spacing w:line="360" w:lineRule="auto"/>
              <w:jc w:val="left"/>
              <w:rPr>
                <w:rFonts w:hAnsi="Times New Roman" w:cs="Times New Roman"/>
                <w:sz w:val="21"/>
                <w:szCs w:val="21"/>
                <w:lang w:val="en-US"/>
              </w:rPr>
            </w:pPr>
            <w:r>
              <w:rPr>
                <w:rFonts w:hint="eastAsia" w:hAnsi="Times New Roman" w:cs="Times New Roman"/>
                <w:sz w:val="21"/>
                <w:szCs w:val="21"/>
                <w:lang w:val="en-US"/>
              </w:rPr>
              <w:t>密封胶及胶条加工安装质量</w:t>
            </w:r>
          </w:p>
        </w:tc>
        <w:tc>
          <w:tcPr>
            <w:tcW w:w="979" w:type="pct"/>
            <w:tcBorders>
              <w:tl2br w:val="nil"/>
              <w:tr2bl w:val="nil"/>
            </w:tcBorders>
          </w:tcPr>
          <w:p>
            <w:pPr>
              <w:spacing w:line="360" w:lineRule="auto"/>
              <w:jc w:val="left"/>
              <w:rPr>
                <w:kern w:val="0"/>
                <w:szCs w:val="21"/>
              </w:rPr>
            </w:pPr>
            <w:r>
              <w:rPr>
                <w:rFonts w:hint="eastAsia"/>
                <w:kern w:val="0"/>
                <w:szCs w:val="21"/>
              </w:rPr>
              <w:t>内开窗（包括内倒）中间胶条使用整框一体胶条</w:t>
            </w:r>
          </w:p>
          <w:p>
            <w:pPr>
              <w:pStyle w:val="163"/>
              <w:spacing w:before="88" w:line="360" w:lineRule="auto"/>
              <w:ind w:left="101"/>
              <w:jc w:val="left"/>
              <w:rPr>
                <w:rFonts w:hAnsi="Times New Roman" w:cs="Times New Roman"/>
                <w:spacing w:val="5"/>
                <w:sz w:val="21"/>
                <w:szCs w:val="21"/>
              </w:rPr>
            </w:pPr>
          </w:p>
        </w:tc>
        <w:tc>
          <w:tcPr>
            <w:tcW w:w="979" w:type="pct"/>
            <w:tcBorders>
              <w:tl2br w:val="nil"/>
              <w:tr2bl w:val="nil"/>
            </w:tcBorders>
          </w:tcPr>
          <w:p>
            <w:pPr>
              <w:pStyle w:val="163"/>
              <w:spacing w:before="88" w:line="360" w:lineRule="auto"/>
              <w:ind w:left="101"/>
              <w:jc w:val="left"/>
              <w:rPr>
                <w:rFonts w:hAnsi="Times New Roman" w:cs="Times New Roman"/>
                <w:spacing w:val="17"/>
                <w:sz w:val="21"/>
                <w:szCs w:val="21"/>
              </w:rPr>
            </w:pPr>
            <w:r>
              <w:rPr>
                <w:rFonts w:hint="eastAsia" w:hAnsi="Times New Roman" w:cs="Times New Roman"/>
                <w:kern w:val="0"/>
                <w:sz w:val="21"/>
                <w:szCs w:val="21"/>
                <w:lang w:val="en-US" w:bidi="ar-SA"/>
              </w:rPr>
              <w:t>非整体胶条，参考配切余量：小于1m,余量10mm;大于1m，按1%留余量；</w:t>
            </w:r>
          </w:p>
        </w:tc>
        <w:tc>
          <w:tcPr>
            <w:tcW w:w="979" w:type="pct"/>
            <w:tcBorders>
              <w:tl2br w:val="nil"/>
              <w:tr2bl w:val="nil"/>
            </w:tcBorders>
          </w:tcPr>
          <w:p>
            <w:pPr>
              <w:pStyle w:val="163"/>
              <w:spacing w:before="88" w:line="360" w:lineRule="auto"/>
              <w:ind w:left="101"/>
              <w:jc w:val="left"/>
              <w:rPr>
                <w:rFonts w:hAnsi="Times New Roman" w:cs="Times New Roman"/>
                <w:spacing w:val="-5"/>
                <w:sz w:val="21"/>
                <w:szCs w:val="21"/>
              </w:rPr>
            </w:pPr>
            <w:r>
              <w:rPr>
                <w:rFonts w:hint="eastAsia" w:hAnsi="Times New Roman" w:cs="Times New Roman"/>
                <w:kern w:val="0"/>
                <w:sz w:val="21"/>
                <w:szCs w:val="21"/>
                <w:lang w:val="en-US" w:bidi="ar-SA"/>
              </w:rPr>
              <w:t>安装胶条接头转角位置正确</w:t>
            </w:r>
          </w:p>
        </w:tc>
        <w:tc>
          <w:tcPr>
            <w:tcW w:w="981" w:type="pct"/>
            <w:tcBorders>
              <w:tl2br w:val="nil"/>
              <w:tr2bl w:val="nil"/>
            </w:tcBorders>
          </w:tcPr>
          <w:p>
            <w:pPr>
              <w:pStyle w:val="163"/>
              <w:spacing w:before="88" w:line="360" w:lineRule="auto"/>
              <w:ind w:left="101"/>
              <w:jc w:val="left"/>
              <w:rPr>
                <w:rFonts w:hAnsi="Times New Roman" w:cs="Times New Roman"/>
                <w:spacing w:val="2"/>
                <w:sz w:val="21"/>
                <w:szCs w:val="21"/>
              </w:rPr>
            </w:pPr>
            <w:r>
              <w:rPr>
                <w:rFonts w:hint="eastAsia" w:hAnsi="Times New Roman" w:cs="Times New Roman"/>
                <w:kern w:val="0"/>
                <w:sz w:val="21"/>
                <w:szCs w:val="21"/>
                <w:lang w:val="en-US" w:bidi="ar-SA"/>
              </w:rPr>
              <w:t>注胶孔注双组份胶；密封件注密封胶；注胶饱满，边角位两侧有胶溢出，注胶完成后及时清理表面残胶</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8" w:hRule="atLeast"/>
          <w:jc w:val="center"/>
        </w:trPr>
        <w:tc>
          <w:tcPr>
            <w:tcW w:w="394" w:type="pct"/>
            <w:tcBorders>
              <w:tl2br w:val="nil"/>
              <w:tr2bl w:val="nil"/>
            </w:tcBorders>
          </w:tcPr>
          <w:p>
            <w:pPr>
              <w:pStyle w:val="163"/>
              <w:spacing w:before="118" w:line="360" w:lineRule="auto"/>
              <w:ind w:right="6"/>
              <w:rPr>
                <w:rFonts w:hAnsi="Times New Roman" w:cs="Times New Roman"/>
                <w:sz w:val="21"/>
                <w:szCs w:val="21"/>
                <w:lang w:val="en-US"/>
              </w:rPr>
            </w:pPr>
            <w:r>
              <w:rPr>
                <w:rFonts w:hint="eastAsia" w:hAnsi="Times New Roman" w:cs="Times New Roman"/>
                <w:sz w:val="21"/>
                <w:szCs w:val="21"/>
                <w:lang w:val="en-US"/>
              </w:rPr>
              <w:t>5</w:t>
            </w:r>
          </w:p>
        </w:tc>
        <w:tc>
          <w:tcPr>
            <w:tcW w:w="684" w:type="pct"/>
            <w:tcBorders>
              <w:tl2br w:val="nil"/>
              <w:tr2bl w:val="nil"/>
            </w:tcBorders>
          </w:tcPr>
          <w:p>
            <w:pPr>
              <w:pStyle w:val="163"/>
              <w:spacing w:line="360" w:lineRule="auto"/>
              <w:jc w:val="left"/>
              <w:rPr>
                <w:rFonts w:hAnsi="Times New Roman" w:cs="Times New Roman"/>
                <w:sz w:val="21"/>
                <w:szCs w:val="21"/>
                <w:lang w:val="en-US"/>
              </w:rPr>
            </w:pPr>
            <w:r>
              <w:rPr>
                <w:rFonts w:hint="eastAsia" w:hAnsi="Times New Roman" w:cs="Times New Roman"/>
                <w:sz w:val="21"/>
                <w:szCs w:val="21"/>
                <w:lang w:val="en-US"/>
              </w:rPr>
              <w:t>成品检验及复核</w:t>
            </w:r>
          </w:p>
        </w:tc>
        <w:tc>
          <w:tcPr>
            <w:tcW w:w="979" w:type="pct"/>
            <w:tcBorders>
              <w:tl2br w:val="nil"/>
              <w:tr2bl w:val="nil"/>
            </w:tcBorders>
          </w:tcPr>
          <w:p>
            <w:pPr>
              <w:pStyle w:val="163"/>
              <w:spacing w:before="88" w:line="360" w:lineRule="auto"/>
              <w:ind w:left="101"/>
              <w:jc w:val="left"/>
              <w:rPr>
                <w:rFonts w:hAnsi="Times New Roman" w:cs="Times New Roman"/>
                <w:spacing w:val="5"/>
                <w:sz w:val="21"/>
                <w:szCs w:val="21"/>
              </w:rPr>
            </w:pPr>
            <w:r>
              <w:rPr>
                <w:rFonts w:hint="eastAsia" w:hAnsi="Times New Roman" w:cs="Times New Roman"/>
                <w:kern w:val="0"/>
                <w:sz w:val="21"/>
                <w:szCs w:val="21"/>
                <w:lang w:val="en-US" w:bidi="ar-SA"/>
              </w:rPr>
              <w:t>装配无明显瑕疵，成品最终检验合格，完成二维码标识</w:t>
            </w:r>
          </w:p>
        </w:tc>
        <w:tc>
          <w:tcPr>
            <w:tcW w:w="979" w:type="pct"/>
            <w:tcBorders>
              <w:tl2br w:val="nil"/>
              <w:tr2bl w:val="nil"/>
            </w:tcBorders>
          </w:tcPr>
          <w:p>
            <w:pPr>
              <w:pStyle w:val="163"/>
              <w:spacing w:before="88" w:line="360" w:lineRule="auto"/>
              <w:ind w:left="101"/>
              <w:jc w:val="left"/>
              <w:rPr>
                <w:rFonts w:hAnsi="Times New Roman" w:cs="Times New Roman"/>
                <w:kern w:val="0"/>
                <w:sz w:val="21"/>
                <w:szCs w:val="21"/>
                <w:lang w:val="en-US" w:bidi="ar-SA"/>
              </w:rPr>
            </w:pPr>
            <w:r>
              <w:rPr>
                <w:rFonts w:hint="eastAsia" w:hAnsi="Times New Roman" w:cs="Times New Roman"/>
                <w:kern w:val="0"/>
                <w:sz w:val="21"/>
                <w:szCs w:val="21"/>
                <w:lang w:val="en-US" w:bidi="ar-SA"/>
              </w:rPr>
              <w:t>采用无腐蚀作用材料包装；角部、T连接位、五金外露部件困扎包装；易磕损部位保护密实</w:t>
            </w:r>
          </w:p>
        </w:tc>
        <w:tc>
          <w:tcPr>
            <w:tcW w:w="979" w:type="pct"/>
            <w:tcBorders>
              <w:tl2br w:val="nil"/>
              <w:tr2bl w:val="nil"/>
            </w:tcBorders>
          </w:tcPr>
          <w:p>
            <w:pPr>
              <w:pStyle w:val="163"/>
              <w:spacing w:before="88" w:line="360" w:lineRule="auto"/>
              <w:ind w:left="101"/>
              <w:jc w:val="left"/>
              <w:rPr>
                <w:rFonts w:hAnsi="Times New Roman" w:cs="Times New Roman"/>
                <w:kern w:val="0"/>
                <w:sz w:val="21"/>
                <w:szCs w:val="21"/>
                <w:lang w:val="en-US" w:bidi="ar-SA"/>
              </w:rPr>
            </w:pPr>
            <w:r>
              <w:rPr>
                <w:rFonts w:hint="eastAsia" w:hAnsi="Times New Roman" w:cs="Times New Roman"/>
                <w:kern w:val="0"/>
                <w:sz w:val="21"/>
                <w:szCs w:val="21"/>
                <w:lang w:val="en-US" w:bidi="ar-SA"/>
              </w:rPr>
              <w:t>运输时应拆卸执手，竖直排放并可靠固定；门窗与门窗间、门窗与运输车辆间应用无腐蚀作用的软质材料隔开；五金配件突出部位与门窗其他部位避免接触</w:t>
            </w:r>
          </w:p>
        </w:tc>
        <w:tc>
          <w:tcPr>
            <w:tcW w:w="981" w:type="pct"/>
            <w:tcBorders>
              <w:tl2br w:val="nil"/>
              <w:tr2bl w:val="nil"/>
            </w:tcBorders>
          </w:tcPr>
          <w:p>
            <w:pPr>
              <w:pStyle w:val="163"/>
              <w:spacing w:before="88" w:line="360" w:lineRule="auto"/>
              <w:ind w:left="101"/>
              <w:jc w:val="left"/>
              <w:rPr>
                <w:rFonts w:hAnsi="Times New Roman" w:cs="Times New Roman"/>
                <w:kern w:val="0"/>
                <w:sz w:val="21"/>
                <w:szCs w:val="21"/>
                <w:lang w:val="en-US" w:bidi="ar-SA"/>
              </w:rPr>
            </w:pPr>
            <w:r>
              <w:rPr>
                <w:rFonts w:hint="eastAsia" w:hAnsi="Times New Roman" w:cs="Times New Roman"/>
                <w:kern w:val="0"/>
                <w:sz w:val="21"/>
                <w:szCs w:val="21"/>
                <w:lang w:val="en-US" w:bidi="ar-SA"/>
              </w:rPr>
              <w:t>五金件安装位置正确，无漏装且五金紧固到位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4" w:hRule="atLeast"/>
          <w:jc w:val="center"/>
        </w:trPr>
        <w:tc>
          <w:tcPr>
            <w:tcW w:w="1079" w:type="pct"/>
            <w:gridSpan w:val="2"/>
            <w:tcBorders>
              <w:tl2br w:val="nil"/>
              <w:tr2bl w:val="nil"/>
            </w:tcBorders>
            <w:vAlign w:val="center"/>
          </w:tcPr>
          <w:p>
            <w:pPr>
              <w:pStyle w:val="163"/>
              <w:spacing w:before="90" w:line="360" w:lineRule="auto"/>
              <w:ind w:left="101"/>
              <w:rPr>
                <w:rFonts w:hAnsi="Times New Roman" w:cs="Times New Roman"/>
                <w:spacing w:val="5"/>
                <w:sz w:val="21"/>
                <w:szCs w:val="21"/>
                <w:lang w:val="en-US"/>
              </w:rPr>
            </w:pPr>
            <w:r>
              <w:rPr>
                <w:rFonts w:hint="eastAsia" w:hAnsi="Times New Roman" w:cs="Times New Roman"/>
                <w:spacing w:val="5"/>
                <w:sz w:val="21"/>
                <w:szCs w:val="21"/>
                <w:lang w:val="en-US"/>
              </w:rPr>
              <w:t>备注</w:t>
            </w:r>
          </w:p>
        </w:tc>
        <w:tc>
          <w:tcPr>
            <w:tcW w:w="3920" w:type="pct"/>
            <w:gridSpan w:val="4"/>
            <w:tcBorders>
              <w:tl2br w:val="nil"/>
              <w:tr2bl w:val="nil"/>
            </w:tcBorders>
          </w:tcPr>
          <w:p>
            <w:pPr>
              <w:pStyle w:val="163"/>
              <w:spacing w:before="90" w:line="360" w:lineRule="auto"/>
              <w:ind w:left="101"/>
              <w:jc w:val="left"/>
              <w:rPr>
                <w:rFonts w:hAnsi="Times New Roman" w:cs="Times New Roman"/>
                <w:kern w:val="0"/>
                <w:sz w:val="21"/>
                <w:szCs w:val="21"/>
                <w:lang w:val="en-US" w:bidi="ar-SA"/>
              </w:rPr>
            </w:pPr>
            <w:r>
              <w:rPr>
                <w:rFonts w:hint="eastAsia" w:hAnsi="Times New Roman" w:cs="Times New Roman"/>
                <w:kern w:val="0"/>
                <w:sz w:val="21"/>
                <w:szCs w:val="21"/>
                <w:lang w:val="en-US" w:bidi="ar-SA"/>
              </w:rPr>
              <w:t>1：A级100分，B级75分，C级50分，D级25分；</w:t>
            </w:r>
          </w:p>
          <w:p>
            <w:pPr>
              <w:pStyle w:val="163"/>
              <w:spacing w:before="90" w:line="360" w:lineRule="auto"/>
              <w:ind w:left="101"/>
              <w:jc w:val="left"/>
              <w:rPr>
                <w:rFonts w:hAnsi="Times New Roman" w:cs="Times New Roman"/>
                <w:kern w:val="0"/>
                <w:sz w:val="21"/>
                <w:szCs w:val="21"/>
                <w:lang w:val="en-US" w:bidi="ar-SA"/>
              </w:rPr>
            </w:pPr>
            <w:r>
              <w:rPr>
                <w:rFonts w:hint="eastAsia" w:hAnsi="Times New Roman" w:cs="Times New Roman"/>
                <w:kern w:val="0"/>
                <w:sz w:val="21"/>
                <w:szCs w:val="21"/>
                <w:lang w:val="en-US" w:bidi="ar-SA"/>
              </w:rPr>
              <w:t>2：在满足D级的要求基础上，每多满足一项提高一级。</w:t>
            </w:r>
          </w:p>
        </w:tc>
      </w:tr>
    </w:tbl>
    <w:p>
      <w:pPr>
        <w:spacing w:line="360" w:lineRule="auto"/>
        <w:jc w:val="center"/>
        <w:rPr>
          <w:kern w:val="0"/>
          <w:sz w:val="24"/>
        </w:rPr>
      </w:pPr>
    </w:p>
    <w:p>
      <w:pPr>
        <w:spacing w:line="360" w:lineRule="auto"/>
        <w:jc w:val="left"/>
        <w:rPr>
          <w:kern w:val="0"/>
          <w:sz w:val="24"/>
        </w:rPr>
      </w:pPr>
      <w:bookmarkStart w:id="93" w:name="_Toc8203"/>
      <w:bookmarkStart w:id="94" w:name="_Toc15082"/>
      <w:r>
        <w:rPr>
          <w:rFonts w:hint="eastAsia"/>
          <w:kern w:val="0"/>
          <w:sz w:val="24"/>
        </w:rPr>
        <w:t>C.0.4 产品性能要求评定应符合表C.0.4的规定。</w:t>
      </w:r>
      <w:bookmarkEnd w:id="93"/>
      <w:bookmarkEnd w:id="94"/>
    </w:p>
    <w:p>
      <w:pPr>
        <w:spacing w:line="360" w:lineRule="auto"/>
        <w:jc w:val="center"/>
        <w:rPr>
          <w:rFonts w:ascii="宋体" w:hAnsi="宋体" w:cs="宋体"/>
          <w:b/>
          <w:bCs/>
          <w:kern w:val="0"/>
          <w:szCs w:val="21"/>
        </w:rPr>
      </w:pPr>
      <w:r>
        <w:rPr>
          <w:rFonts w:hint="eastAsia" w:ascii="宋体" w:hAnsi="宋体" w:cs="宋体"/>
          <w:b/>
          <w:bCs/>
          <w:kern w:val="0"/>
          <w:szCs w:val="21"/>
        </w:rPr>
        <w:t>表</w:t>
      </w:r>
      <w:r>
        <w:rPr>
          <w:rFonts w:hint="eastAsia" w:ascii="宋体" w:hAnsi="宋体" w:cs="宋体"/>
          <w:kern w:val="0"/>
          <w:szCs w:val="21"/>
        </w:rPr>
        <w:t xml:space="preserve">C.0.4 </w:t>
      </w:r>
      <w:r>
        <w:rPr>
          <w:rFonts w:hint="eastAsia" w:ascii="宋体" w:hAnsi="宋体" w:cs="宋体"/>
          <w:b/>
          <w:bCs/>
          <w:kern w:val="0"/>
          <w:szCs w:val="21"/>
        </w:rPr>
        <w:t>产品性能评分表</w:t>
      </w:r>
    </w:p>
    <w:tbl>
      <w:tblPr>
        <w:tblStyle w:val="164"/>
        <w:tblW w:w="5105"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669"/>
        <w:gridCol w:w="1166"/>
        <w:gridCol w:w="1667"/>
        <w:gridCol w:w="1667"/>
        <w:gridCol w:w="1667"/>
        <w:gridCol w:w="16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1" w:hRule="exact"/>
          <w:jc w:val="center"/>
        </w:trPr>
        <w:tc>
          <w:tcPr>
            <w:tcW w:w="393" w:type="pct"/>
            <w:vMerge w:val="restart"/>
            <w:tcBorders>
              <w:tl2br w:val="nil"/>
              <w:tr2bl w:val="nil"/>
            </w:tcBorders>
          </w:tcPr>
          <w:p>
            <w:pPr>
              <w:pStyle w:val="163"/>
              <w:spacing w:before="3" w:line="360" w:lineRule="auto"/>
              <w:rPr>
                <w:rFonts w:hAnsi="Times New Roman" w:cs="Times New Roman"/>
                <w:sz w:val="21"/>
                <w:szCs w:val="21"/>
              </w:rPr>
            </w:pPr>
          </w:p>
          <w:p>
            <w:pPr>
              <w:pStyle w:val="163"/>
              <w:spacing w:line="360" w:lineRule="auto"/>
              <w:ind w:left="164"/>
              <w:rPr>
                <w:rFonts w:hAnsi="Times New Roman" w:cs="Times New Roman"/>
                <w:sz w:val="21"/>
                <w:szCs w:val="21"/>
              </w:rPr>
            </w:pPr>
            <w:r>
              <w:rPr>
                <w:rFonts w:hint="eastAsia" w:hAnsi="Times New Roman" w:cs="Times New Roman"/>
                <w:sz w:val="21"/>
                <w:szCs w:val="21"/>
              </w:rPr>
              <w:t>序号</w:t>
            </w:r>
          </w:p>
        </w:tc>
        <w:tc>
          <w:tcPr>
            <w:tcW w:w="685" w:type="pct"/>
            <w:vMerge w:val="restart"/>
            <w:tcBorders>
              <w:tl2br w:val="nil"/>
              <w:tr2bl w:val="nil"/>
            </w:tcBorders>
          </w:tcPr>
          <w:p>
            <w:pPr>
              <w:pStyle w:val="163"/>
              <w:spacing w:before="3" w:line="360" w:lineRule="auto"/>
              <w:rPr>
                <w:rFonts w:hAnsi="Times New Roman" w:cs="Times New Roman"/>
                <w:sz w:val="21"/>
                <w:szCs w:val="21"/>
              </w:rPr>
            </w:pPr>
          </w:p>
          <w:p>
            <w:pPr>
              <w:pStyle w:val="163"/>
              <w:spacing w:line="360" w:lineRule="auto"/>
              <w:ind w:left="204"/>
              <w:rPr>
                <w:rFonts w:hAnsi="Times New Roman" w:cs="Times New Roman"/>
                <w:sz w:val="21"/>
                <w:szCs w:val="21"/>
              </w:rPr>
            </w:pPr>
            <w:r>
              <w:rPr>
                <w:rFonts w:hint="eastAsia" w:hAnsi="Times New Roman" w:cs="Times New Roman"/>
                <w:sz w:val="21"/>
                <w:szCs w:val="21"/>
              </w:rPr>
              <w:t>评价项目</w:t>
            </w:r>
          </w:p>
        </w:tc>
        <w:tc>
          <w:tcPr>
            <w:tcW w:w="3921" w:type="pct"/>
            <w:gridSpan w:val="4"/>
            <w:tcBorders>
              <w:tl2br w:val="nil"/>
              <w:tr2bl w:val="nil"/>
            </w:tcBorders>
          </w:tcPr>
          <w:p>
            <w:pPr>
              <w:pStyle w:val="163"/>
              <w:spacing w:before="90" w:line="360" w:lineRule="auto"/>
              <w:ind w:left="4"/>
              <w:rPr>
                <w:rFonts w:hAnsi="Times New Roman" w:cs="Times New Roman"/>
                <w:sz w:val="21"/>
                <w:szCs w:val="21"/>
              </w:rPr>
            </w:pPr>
            <w:r>
              <w:rPr>
                <w:rFonts w:hint="eastAsia" w:hAnsi="Times New Roman" w:cs="Times New Roman"/>
                <w:sz w:val="21"/>
                <w:szCs w:val="21"/>
              </w:rPr>
              <w:t>评定等级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3" w:hRule="exact"/>
          <w:jc w:val="center"/>
        </w:trPr>
        <w:tc>
          <w:tcPr>
            <w:tcW w:w="393" w:type="pct"/>
            <w:vMerge w:val="continue"/>
            <w:tcBorders>
              <w:tl2br w:val="nil"/>
              <w:tr2bl w:val="nil"/>
            </w:tcBorders>
          </w:tcPr>
          <w:p>
            <w:pPr>
              <w:spacing w:line="360" w:lineRule="auto"/>
              <w:rPr>
                <w:szCs w:val="21"/>
              </w:rPr>
            </w:pPr>
          </w:p>
        </w:tc>
        <w:tc>
          <w:tcPr>
            <w:tcW w:w="685" w:type="pct"/>
            <w:vMerge w:val="continue"/>
            <w:tcBorders>
              <w:tl2br w:val="nil"/>
              <w:tr2bl w:val="nil"/>
            </w:tcBorders>
          </w:tcPr>
          <w:p>
            <w:pPr>
              <w:spacing w:line="360" w:lineRule="auto"/>
              <w:rPr>
                <w:szCs w:val="21"/>
              </w:rPr>
            </w:pPr>
          </w:p>
        </w:tc>
        <w:tc>
          <w:tcPr>
            <w:tcW w:w="979" w:type="pct"/>
            <w:tcBorders>
              <w:tl2br w:val="nil"/>
              <w:tr2bl w:val="nil"/>
            </w:tcBorders>
          </w:tcPr>
          <w:p>
            <w:pPr>
              <w:pStyle w:val="163"/>
              <w:spacing w:before="89" w:line="360" w:lineRule="auto"/>
              <w:rPr>
                <w:rFonts w:hAnsi="Times New Roman" w:cs="Times New Roman"/>
                <w:sz w:val="21"/>
                <w:szCs w:val="21"/>
              </w:rPr>
            </w:pPr>
            <w:r>
              <w:rPr>
                <w:rFonts w:hint="eastAsia" w:hAnsi="Times New Roman" w:cs="Times New Roman"/>
                <w:sz w:val="21"/>
                <w:szCs w:val="21"/>
              </w:rPr>
              <w:t>A</w:t>
            </w:r>
            <w:r>
              <w:rPr>
                <w:rFonts w:hint="eastAsia" w:hAnsi="Times New Roman" w:cs="Times New Roman"/>
                <w:spacing w:val="-3"/>
                <w:sz w:val="21"/>
                <w:szCs w:val="21"/>
              </w:rPr>
              <w:t xml:space="preserve"> </w:t>
            </w:r>
            <w:r>
              <w:rPr>
                <w:rFonts w:hint="eastAsia" w:hAnsi="Times New Roman" w:cs="Times New Roman"/>
                <w:sz w:val="21"/>
                <w:szCs w:val="21"/>
              </w:rPr>
              <w:t>级</w:t>
            </w:r>
          </w:p>
        </w:tc>
        <w:tc>
          <w:tcPr>
            <w:tcW w:w="979" w:type="pct"/>
            <w:tcBorders>
              <w:tl2br w:val="nil"/>
              <w:tr2bl w:val="nil"/>
            </w:tcBorders>
          </w:tcPr>
          <w:p>
            <w:pPr>
              <w:pStyle w:val="163"/>
              <w:spacing w:before="89" w:line="360" w:lineRule="auto"/>
              <w:ind w:right="1"/>
              <w:rPr>
                <w:rFonts w:hAnsi="Times New Roman" w:cs="Times New Roman"/>
                <w:sz w:val="21"/>
                <w:szCs w:val="21"/>
              </w:rPr>
            </w:pPr>
            <w:r>
              <w:rPr>
                <w:rFonts w:hint="eastAsia" w:hAnsi="Times New Roman" w:cs="Times New Roman"/>
                <w:sz w:val="21"/>
                <w:szCs w:val="21"/>
              </w:rPr>
              <w:t>B</w:t>
            </w:r>
            <w:r>
              <w:rPr>
                <w:rFonts w:hint="eastAsia" w:hAnsi="Times New Roman" w:cs="Times New Roman"/>
                <w:spacing w:val="-1"/>
                <w:sz w:val="21"/>
                <w:szCs w:val="21"/>
              </w:rPr>
              <w:t xml:space="preserve"> </w:t>
            </w:r>
            <w:r>
              <w:rPr>
                <w:rFonts w:hint="eastAsia" w:hAnsi="Times New Roman" w:cs="Times New Roman"/>
                <w:sz w:val="21"/>
                <w:szCs w:val="21"/>
              </w:rPr>
              <w:t>级</w:t>
            </w:r>
          </w:p>
        </w:tc>
        <w:tc>
          <w:tcPr>
            <w:tcW w:w="979" w:type="pct"/>
            <w:tcBorders>
              <w:tl2br w:val="nil"/>
              <w:tr2bl w:val="nil"/>
            </w:tcBorders>
          </w:tcPr>
          <w:p>
            <w:pPr>
              <w:pStyle w:val="163"/>
              <w:spacing w:before="89" w:line="360" w:lineRule="auto"/>
              <w:ind w:right="1"/>
              <w:rPr>
                <w:rFonts w:hAnsi="Times New Roman" w:cs="Times New Roman"/>
                <w:sz w:val="21"/>
                <w:szCs w:val="21"/>
              </w:rPr>
            </w:pPr>
            <w:r>
              <w:rPr>
                <w:rFonts w:hint="eastAsia" w:hAnsi="Times New Roman" w:cs="Times New Roman"/>
                <w:sz w:val="21"/>
                <w:szCs w:val="21"/>
              </w:rPr>
              <w:t>C</w:t>
            </w:r>
            <w:r>
              <w:rPr>
                <w:rFonts w:hint="eastAsia" w:hAnsi="Times New Roman" w:cs="Times New Roman"/>
                <w:spacing w:val="-3"/>
                <w:sz w:val="21"/>
                <w:szCs w:val="21"/>
              </w:rPr>
              <w:t xml:space="preserve"> </w:t>
            </w:r>
            <w:r>
              <w:rPr>
                <w:rFonts w:hint="eastAsia" w:hAnsi="Times New Roman" w:cs="Times New Roman"/>
                <w:sz w:val="21"/>
                <w:szCs w:val="21"/>
              </w:rPr>
              <w:t>级</w:t>
            </w:r>
          </w:p>
        </w:tc>
        <w:tc>
          <w:tcPr>
            <w:tcW w:w="983" w:type="pct"/>
            <w:tcBorders>
              <w:tl2br w:val="nil"/>
              <w:tr2bl w:val="nil"/>
            </w:tcBorders>
          </w:tcPr>
          <w:p>
            <w:pPr>
              <w:pStyle w:val="163"/>
              <w:spacing w:before="89" w:line="360" w:lineRule="auto"/>
              <w:ind w:left="4"/>
              <w:rPr>
                <w:rFonts w:hAnsi="Times New Roman" w:cs="Times New Roman"/>
                <w:sz w:val="21"/>
                <w:szCs w:val="21"/>
              </w:rPr>
            </w:pPr>
            <w:r>
              <w:rPr>
                <w:rFonts w:hint="eastAsia" w:hAnsi="Times New Roman" w:cs="Times New Roman"/>
                <w:sz w:val="21"/>
                <w:szCs w:val="21"/>
              </w:rPr>
              <w:t>D</w:t>
            </w:r>
            <w:r>
              <w:rPr>
                <w:rFonts w:hint="eastAsia" w:hAnsi="Times New Roman" w:cs="Times New Roman"/>
                <w:spacing w:val="-3"/>
                <w:sz w:val="21"/>
                <w:szCs w:val="21"/>
              </w:rPr>
              <w:t xml:space="preserve"> </w:t>
            </w:r>
            <w:r>
              <w:rPr>
                <w:rFonts w:hint="eastAsia" w:hAnsi="Times New Roman" w:cs="Times New Roman"/>
                <w:sz w:val="21"/>
                <w:szCs w:val="21"/>
              </w:rPr>
              <w:t>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8" w:hRule="atLeast"/>
          <w:jc w:val="center"/>
        </w:trPr>
        <w:tc>
          <w:tcPr>
            <w:tcW w:w="393" w:type="pct"/>
            <w:tcBorders>
              <w:tl2br w:val="nil"/>
              <w:tr2bl w:val="nil"/>
            </w:tcBorders>
          </w:tcPr>
          <w:p>
            <w:pPr>
              <w:pStyle w:val="163"/>
              <w:spacing w:before="118" w:line="360" w:lineRule="auto"/>
              <w:ind w:right="6"/>
              <w:rPr>
                <w:rFonts w:hAnsi="Times New Roman" w:cs="Times New Roman"/>
                <w:sz w:val="21"/>
                <w:szCs w:val="21"/>
              </w:rPr>
            </w:pPr>
            <w:r>
              <w:rPr>
                <w:rFonts w:hint="eastAsia" w:hAnsi="Times New Roman" w:cs="Times New Roman"/>
                <w:sz w:val="21"/>
                <w:szCs w:val="21"/>
              </w:rPr>
              <w:t>1</w:t>
            </w:r>
          </w:p>
        </w:tc>
        <w:tc>
          <w:tcPr>
            <w:tcW w:w="685" w:type="pct"/>
            <w:tcBorders>
              <w:tl2br w:val="nil"/>
              <w:tr2bl w:val="nil"/>
            </w:tcBorders>
          </w:tcPr>
          <w:p>
            <w:pPr>
              <w:pStyle w:val="163"/>
              <w:spacing w:line="360" w:lineRule="auto"/>
              <w:jc w:val="left"/>
              <w:rPr>
                <w:rFonts w:hAnsi="Times New Roman" w:cs="Times New Roman"/>
                <w:sz w:val="21"/>
                <w:szCs w:val="21"/>
                <w:lang w:val="en-US"/>
              </w:rPr>
            </w:pPr>
            <w:r>
              <w:rPr>
                <w:rFonts w:hint="eastAsia" w:hAnsi="Times New Roman" w:cs="Times New Roman"/>
                <w:sz w:val="21"/>
                <w:szCs w:val="21"/>
                <w:lang w:val="en-US"/>
              </w:rPr>
              <w:t>产品性能要求</w:t>
            </w:r>
          </w:p>
        </w:tc>
        <w:tc>
          <w:tcPr>
            <w:tcW w:w="979" w:type="pct"/>
            <w:tcBorders>
              <w:tl2br w:val="nil"/>
              <w:tr2bl w:val="nil"/>
            </w:tcBorders>
          </w:tcPr>
          <w:p>
            <w:pPr>
              <w:pStyle w:val="163"/>
              <w:spacing w:before="88" w:line="360" w:lineRule="auto"/>
              <w:ind w:left="101"/>
              <w:jc w:val="left"/>
              <w:rPr>
                <w:rFonts w:hAnsi="Times New Roman" w:cs="Times New Roman"/>
                <w:sz w:val="21"/>
                <w:szCs w:val="21"/>
              </w:rPr>
            </w:pPr>
            <w:r>
              <w:rPr>
                <w:rFonts w:hint="eastAsia" w:hAnsi="Times New Roman" w:cs="Times New Roman"/>
                <w:kern w:val="0"/>
                <w:sz w:val="21"/>
                <w:szCs w:val="21"/>
                <w:lang w:val="en-US" w:bidi="ar-SA"/>
              </w:rPr>
              <w:t>有型式试验报告，包含表4.2.4的必检项目和部分可选项目。所有试验数据超过国标、地方标准的最低要求。</w:t>
            </w:r>
          </w:p>
        </w:tc>
        <w:tc>
          <w:tcPr>
            <w:tcW w:w="979" w:type="pct"/>
            <w:tcBorders>
              <w:tl2br w:val="nil"/>
              <w:tr2bl w:val="nil"/>
            </w:tcBorders>
          </w:tcPr>
          <w:p>
            <w:pPr>
              <w:pStyle w:val="163"/>
              <w:spacing w:before="88" w:line="360" w:lineRule="auto"/>
              <w:ind w:left="101"/>
              <w:jc w:val="left"/>
              <w:rPr>
                <w:rFonts w:hAnsi="Times New Roman" w:cs="Times New Roman"/>
                <w:sz w:val="21"/>
                <w:szCs w:val="21"/>
                <w:lang w:val="en-US"/>
              </w:rPr>
            </w:pPr>
            <w:r>
              <w:rPr>
                <w:rFonts w:hint="eastAsia" w:hAnsi="Times New Roman" w:cs="Times New Roman"/>
                <w:kern w:val="0"/>
                <w:sz w:val="21"/>
                <w:szCs w:val="21"/>
                <w:lang w:val="en-US" w:bidi="ar-SA"/>
              </w:rPr>
              <w:t>有型式试验报告，包含表4.2.4的必检项目和部分可选项目。部分试验数据超过国标、地方标准的最低要求。</w:t>
            </w:r>
          </w:p>
        </w:tc>
        <w:tc>
          <w:tcPr>
            <w:tcW w:w="979" w:type="pct"/>
            <w:tcBorders>
              <w:tl2br w:val="nil"/>
              <w:tr2bl w:val="nil"/>
            </w:tcBorders>
          </w:tcPr>
          <w:p>
            <w:pPr>
              <w:pStyle w:val="163"/>
              <w:spacing w:before="88" w:line="360" w:lineRule="auto"/>
              <w:ind w:left="101"/>
              <w:jc w:val="left"/>
              <w:rPr>
                <w:rFonts w:hAnsi="Times New Roman" w:cs="Times New Roman"/>
                <w:sz w:val="21"/>
                <w:szCs w:val="21"/>
                <w:lang w:val="en-US"/>
              </w:rPr>
            </w:pPr>
            <w:r>
              <w:rPr>
                <w:rFonts w:hint="eastAsia" w:hAnsi="Times New Roman" w:cs="Times New Roman"/>
                <w:kern w:val="0"/>
                <w:sz w:val="21"/>
                <w:szCs w:val="21"/>
                <w:lang w:val="en-US" w:bidi="ar-SA"/>
              </w:rPr>
              <w:t>有型式试验报告，包含表4.2.4的必检项目且部分试验数据超过国标、地方标准的最低要求</w:t>
            </w:r>
          </w:p>
        </w:tc>
        <w:tc>
          <w:tcPr>
            <w:tcW w:w="983" w:type="pct"/>
            <w:tcBorders>
              <w:tl2br w:val="nil"/>
              <w:tr2bl w:val="nil"/>
            </w:tcBorders>
          </w:tcPr>
          <w:p>
            <w:pPr>
              <w:pStyle w:val="163"/>
              <w:spacing w:before="88" w:line="360" w:lineRule="auto"/>
              <w:ind w:left="101"/>
              <w:jc w:val="left"/>
              <w:rPr>
                <w:rFonts w:hAnsi="Times New Roman" w:cs="Times New Roman"/>
                <w:sz w:val="21"/>
                <w:szCs w:val="21"/>
                <w:lang w:val="en-US"/>
              </w:rPr>
            </w:pPr>
            <w:r>
              <w:rPr>
                <w:rFonts w:hint="eastAsia" w:hAnsi="Times New Roman" w:cs="Times New Roman"/>
                <w:kern w:val="0"/>
                <w:sz w:val="21"/>
                <w:szCs w:val="21"/>
                <w:lang w:val="en-US" w:bidi="ar-SA"/>
              </w:rPr>
              <w:t>有型式试验报告，包含表4.2.4的必检项目且试验数据指标满足国标、地方标准的最低要求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4" w:hRule="atLeast"/>
          <w:jc w:val="center"/>
        </w:trPr>
        <w:tc>
          <w:tcPr>
            <w:tcW w:w="1078" w:type="pct"/>
            <w:gridSpan w:val="2"/>
            <w:tcBorders>
              <w:tl2br w:val="nil"/>
              <w:tr2bl w:val="nil"/>
            </w:tcBorders>
            <w:vAlign w:val="center"/>
          </w:tcPr>
          <w:p>
            <w:pPr>
              <w:pStyle w:val="163"/>
              <w:spacing w:before="90" w:line="360" w:lineRule="auto"/>
              <w:ind w:left="101"/>
              <w:rPr>
                <w:rFonts w:hAnsi="Times New Roman" w:cs="Times New Roman"/>
                <w:spacing w:val="5"/>
                <w:sz w:val="21"/>
                <w:szCs w:val="21"/>
                <w:lang w:val="en-US"/>
              </w:rPr>
            </w:pPr>
            <w:r>
              <w:rPr>
                <w:rFonts w:hint="eastAsia" w:hAnsi="Times New Roman" w:cs="Times New Roman"/>
                <w:spacing w:val="5"/>
                <w:sz w:val="21"/>
                <w:szCs w:val="21"/>
                <w:lang w:val="en-US"/>
              </w:rPr>
              <w:t>备注</w:t>
            </w:r>
          </w:p>
        </w:tc>
        <w:tc>
          <w:tcPr>
            <w:tcW w:w="3921" w:type="pct"/>
            <w:gridSpan w:val="4"/>
            <w:tcBorders>
              <w:tl2br w:val="nil"/>
              <w:tr2bl w:val="nil"/>
            </w:tcBorders>
          </w:tcPr>
          <w:p>
            <w:pPr>
              <w:pStyle w:val="163"/>
              <w:spacing w:before="90" w:line="360" w:lineRule="auto"/>
              <w:ind w:left="101"/>
              <w:jc w:val="left"/>
              <w:rPr>
                <w:rFonts w:hAnsi="Times New Roman" w:cs="Times New Roman"/>
                <w:kern w:val="0"/>
                <w:sz w:val="21"/>
                <w:szCs w:val="21"/>
                <w:lang w:val="en-US" w:bidi="ar-SA"/>
              </w:rPr>
            </w:pPr>
            <w:r>
              <w:rPr>
                <w:rFonts w:hint="eastAsia" w:hAnsi="Times New Roman" w:cs="Times New Roman"/>
                <w:kern w:val="0"/>
                <w:sz w:val="21"/>
                <w:szCs w:val="21"/>
                <w:lang w:val="en-US" w:bidi="ar-SA"/>
              </w:rPr>
              <w:t>1：A级100分，B级75分，C级50分，D级25分；</w:t>
            </w:r>
          </w:p>
          <w:p>
            <w:pPr>
              <w:pStyle w:val="163"/>
              <w:spacing w:before="90" w:line="360" w:lineRule="auto"/>
              <w:ind w:left="101"/>
              <w:jc w:val="left"/>
              <w:rPr>
                <w:rFonts w:hAnsi="Times New Roman" w:cs="Times New Roman"/>
                <w:kern w:val="0"/>
                <w:sz w:val="21"/>
                <w:szCs w:val="21"/>
                <w:lang w:val="en-US" w:bidi="ar-SA"/>
              </w:rPr>
            </w:pPr>
            <w:r>
              <w:rPr>
                <w:rFonts w:hint="eastAsia" w:hAnsi="Times New Roman" w:cs="Times New Roman"/>
                <w:kern w:val="0"/>
                <w:sz w:val="21"/>
                <w:szCs w:val="21"/>
                <w:lang w:val="en-US" w:bidi="ar-SA"/>
              </w:rPr>
              <w:t>2：在满足D级的要求基础上，每多满足一项提高一级。</w:t>
            </w:r>
          </w:p>
        </w:tc>
      </w:tr>
    </w:tbl>
    <w:p>
      <w:pPr>
        <w:spacing w:line="360" w:lineRule="auto"/>
        <w:jc w:val="left"/>
        <w:rPr>
          <w:kern w:val="0"/>
          <w:sz w:val="24"/>
        </w:rPr>
      </w:pPr>
      <w:bookmarkStart w:id="95" w:name="_Toc15233"/>
      <w:bookmarkStart w:id="96" w:name="_Toc12982"/>
      <w:r>
        <w:rPr>
          <w:rFonts w:hint="eastAsia"/>
          <w:kern w:val="0"/>
          <w:sz w:val="24"/>
        </w:rPr>
        <w:t>C.0.5 门窗工程过程施工记录应符合表C.0.5的规定。</w:t>
      </w:r>
    </w:p>
    <w:p>
      <w:pPr>
        <w:spacing w:line="360" w:lineRule="auto"/>
        <w:jc w:val="center"/>
        <w:rPr>
          <w:kern w:val="0"/>
          <w:szCs w:val="21"/>
        </w:rPr>
      </w:pPr>
      <w:r>
        <w:rPr>
          <w:rFonts w:hint="eastAsia" w:ascii="宋体" w:hAnsi="宋体" w:cs="宋体"/>
          <w:kern w:val="0"/>
          <w:szCs w:val="21"/>
        </w:rPr>
        <w:t>表C.0.5 门窗工程过程施工记录评分表</w:t>
      </w:r>
    </w:p>
    <w:tbl>
      <w:tblPr>
        <w:tblStyle w:val="39"/>
        <w:tblW w:w="4999"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64"/>
        <w:gridCol w:w="1077"/>
        <w:gridCol w:w="1690"/>
        <w:gridCol w:w="1715"/>
        <w:gridCol w:w="1829"/>
        <w:gridCol w:w="144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856" w:type="dxa"/>
            <w:vMerge w:val="restart"/>
            <w:tcBorders>
              <w:tl2br w:val="nil"/>
              <w:tr2bl w:val="nil"/>
            </w:tcBorders>
            <w:vAlign w:val="center"/>
          </w:tcPr>
          <w:p>
            <w:pPr>
              <w:spacing w:line="360" w:lineRule="auto"/>
              <w:rPr>
                <w:kern w:val="0"/>
                <w:szCs w:val="21"/>
              </w:rPr>
            </w:pPr>
            <w:r>
              <w:rPr>
                <w:rFonts w:hint="eastAsia"/>
                <w:kern w:val="0"/>
                <w:szCs w:val="21"/>
              </w:rPr>
              <w:t>序号</w:t>
            </w:r>
          </w:p>
        </w:tc>
        <w:tc>
          <w:tcPr>
            <w:tcW w:w="1209" w:type="dxa"/>
            <w:vMerge w:val="restart"/>
            <w:tcBorders>
              <w:tl2br w:val="nil"/>
              <w:tr2bl w:val="nil"/>
            </w:tcBorders>
            <w:vAlign w:val="center"/>
          </w:tcPr>
          <w:p>
            <w:pPr>
              <w:spacing w:line="360" w:lineRule="auto"/>
              <w:rPr>
                <w:kern w:val="0"/>
                <w:szCs w:val="21"/>
              </w:rPr>
            </w:pPr>
            <w:r>
              <w:rPr>
                <w:rFonts w:hint="eastAsia"/>
                <w:kern w:val="0"/>
                <w:szCs w:val="21"/>
              </w:rPr>
              <w:t>评价项目</w:t>
            </w:r>
          </w:p>
        </w:tc>
        <w:tc>
          <w:tcPr>
            <w:tcW w:w="7510" w:type="dxa"/>
            <w:gridSpan w:val="4"/>
            <w:tcBorders>
              <w:tl2br w:val="nil"/>
              <w:tr2bl w:val="nil"/>
            </w:tcBorders>
            <w:vAlign w:val="center"/>
          </w:tcPr>
          <w:p>
            <w:pPr>
              <w:spacing w:line="360" w:lineRule="auto"/>
              <w:jc w:val="center"/>
              <w:rPr>
                <w:kern w:val="0"/>
                <w:szCs w:val="21"/>
              </w:rPr>
            </w:pPr>
            <w:r>
              <w:rPr>
                <w:rFonts w:hint="eastAsia"/>
                <w:kern w:val="0"/>
                <w:szCs w:val="21"/>
              </w:rPr>
              <w:t>评定等级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856" w:type="dxa"/>
            <w:vMerge w:val="continue"/>
            <w:tcBorders>
              <w:tl2br w:val="nil"/>
              <w:tr2bl w:val="nil"/>
            </w:tcBorders>
            <w:vAlign w:val="center"/>
          </w:tcPr>
          <w:p>
            <w:pPr>
              <w:spacing w:line="360" w:lineRule="auto"/>
              <w:rPr>
                <w:kern w:val="0"/>
                <w:szCs w:val="21"/>
              </w:rPr>
            </w:pPr>
          </w:p>
        </w:tc>
        <w:tc>
          <w:tcPr>
            <w:tcW w:w="1209" w:type="dxa"/>
            <w:vMerge w:val="continue"/>
            <w:tcBorders>
              <w:tl2br w:val="nil"/>
              <w:tr2bl w:val="nil"/>
            </w:tcBorders>
            <w:vAlign w:val="center"/>
          </w:tcPr>
          <w:p>
            <w:pPr>
              <w:spacing w:line="360" w:lineRule="auto"/>
              <w:rPr>
                <w:kern w:val="0"/>
                <w:szCs w:val="21"/>
              </w:rPr>
            </w:pPr>
          </w:p>
        </w:tc>
        <w:tc>
          <w:tcPr>
            <w:tcW w:w="1901" w:type="dxa"/>
            <w:tcBorders>
              <w:tl2br w:val="nil"/>
              <w:tr2bl w:val="nil"/>
            </w:tcBorders>
          </w:tcPr>
          <w:p>
            <w:pPr>
              <w:spacing w:line="360" w:lineRule="auto"/>
              <w:jc w:val="center"/>
              <w:rPr>
                <w:kern w:val="0"/>
                <w:szCs w:val="21"/>
              </w:rPr>
            </w:pPr>
            <w:r>
              <w:rPr>
                <w:rFonts w:hint="eastAsia"/>
                <w:kern w:val="0"/>
                <w:szCs w:val="21"/>
              </w:rPr>
              <w:t>A级</w:t>
            </w:r>
          </w:p>
        </w:tc>
        <w:tc>
          <w:tcPr>
            <w:tcW w:w="1928" w:type="dxa"/>
            <w:tcBorders>
              <w:tl2br w:val="nil"/>
              <w:tr2bl w:val="nil"/>
            </w:tcBorders>
          </w:tcPr>
          <w:p>
            <w:pPr>
              <w:spacing w:line="360" w:lineRule="auto"/>
              <w:jc w:val="center"/>
              <w:rPr>
                <w:kern w:val="0"/>
                <w:szCs w:val="21"/>
              </w:rPr>
            </w:pPr>
            <w:r>
              <w:rPr>
                <w:rFonts w:hint="eastAsia"/>
                <w:kern w:val="0"/>
                <w:szCs w:val="21"/>
              </w:rPr>
              <w:t>B级</w:t>
            </w:r>
          </w:p>
        </w:tc>
        <w:tc>
          <w:tcPr>
            <w:tcW w:w="2057" w:type="dxa"/>
            <w:tcBorders>
              <w:tl2br w:val="nil"/>
              <w:tr2bl w:val="nil"/>
            </w:tcBorders>
          </w:tcPr>
          <w:p>
            <w:pPr>
              <w:spacing w:line="360" w:lineRule="auto"/>
              <w:jc w:val="center"/>
              <w:rPr>
                <w:kern w:val="0"/>
                <w:szCs w:val="21"/>
              </w:rPr>
            </w:pPr>
            <w:r>
              <w:rPr>
                <w:rFonts w:hint="eastAsia"/>
                <w:kern w:val="0"/>
                <w:szCs w:val="21"/>
              </w:rPr>
              <w:t>C级</w:t>
            </w:r>
          </w:p>
        </w:tc>
        <w:tc>
          <w:tcPr>
            <w:tcW w:w="1624" w:type="dxa"/>
            <w:tcBorders>
              <w:tl2br w:val="nil"/>
              <w:tr2bl w:val="nil"/>
            </w:tcBorders>
          </w:tcPr>
          <w:p>
            <w:pPr>
              <w:spacing w:line="360" w:lineRule="auto"/>
              <w:jc w:val="center"/>
              <w:rPr>
                <w:kern w:val="0"/>
                <w:szCs w:val="21"/>
              </w:rPr>
            </w:pPr>
            <w:r>
              <w:rPr>
                <w:rFonts w:hint="eastAsia"/>
                <w:kern w:val="0"/>
                <w:szCs w:val="21"/>
              </w:rPr>
              <w:t>D级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9" w:hRule="atLeast"/>
          <w:jc w:val="center"/>
        </w:trPr>
        <w:tc>
          <w:tcPr>
            <w:tcW w:w="856" w:type="dxa"/>
            <w:tcBorders>
              <w:tl2br w:val="nil"/>
              <w:tr2bl w:val="nil"/>
            </w:tcBorders>
            <w:vAlign w:val="center"/>
          </w:tcPr>
          <w:p>
            <w:pPr>
              <w:spacing w:line="360" w:lineRule="auto"/>
              <w:rPr>
                <w:kern w:val="0"/>
                <w:szCs w:val="21"/>
              </w:rPr>
            </w:pPr>
            <w:r>
              <w:rPr>
                <w:rFonts w:hint="eastAsia"/>
                <w:kern w:val="0"/>
                <w:szCs w:val="21"/>
              </w:rPr>
              <w:t>1</w:t>
            </w:r>
          </w:p>
        </w:tc>
        <w:tc>
          <w:tcPr>
            <w:tcW w:w="1209" w:type="dxa"/>
            <w:tcBorders>
              <w:tl2br w:val="nil"/>
              <w:tr2bl w:val="nil"/>
            </w:tcBorders>
            <w:vAlign w:val="center"/>
          </w:tcPr>
          <w:p>
            <w:pPr>
              <w:spacing w:line="360" w:lineRule="auto"/>
              <w:jc w:val="left"/>
              <w:rPr>
                <w:kern w:val="0"/>
                <w:szCs w:val="21"/>
              </w:rPr>
            </w:pPr>
            <w:r>
              <w:rPr>
                <w:rFonts w:hint="eastAsia"/>
                <w:kern w:val="0"/>
                <w:sz w:val="24"/>
              </w:rPr>
              <w:t>门窗施工方案</w:t>
            </w:r>
          </w:p>
        </w:tc>
        <w:tc>
          <w:tcPr>
            <w:tcW w:w="1901" w:type="dxa"/>
            <w:tcBorders>
              <w:tl2br w:val="nil"/>
              <w:tr2bl w:val="nil"/>
            </w:tcBorders>
          </w:tcPr>
          <w:p>
            <w:pPr>
              <w:spacing w:line="360" w:lineRule="auto"/>
              <w:rPr>
                <w:kern w:val="0"/>
                <w:szCs w:val="21"/>
              </w:rPr>
            </w:pPr>
            <w:r>
              <w:rPr>
                <w:rFonts w:hint="eastAsia"/>
                <w:kern w:val="0"/>
                <w:szCs w:val="21"/>
              </w:rPr>
              <w:t>有纸质成文的门窗施工方案，内容包括外窗洞口处理措施、窗框(或附框)与墙体连接以及外窗四周的防水、密封、保温做法等施工工艺</w:t>
            </w:r>
          </w:p>
        </w:tc>
        <w:tc>
          <w:tcPr>
            <w:tcW w:w="3985" w:type="dxa"/>
            <w:gridSpan w:val="2"/>
            <w:tcBorders>
              <w:tl2br w:val="nil"/>
              <w:tr2bl w:val="nil"/>
            </w:tcBorders>
          </w:tcPr>
          <w:p>
            <w:pPr>
              <w:spacing w:line="360" w:lineRule="auto"/>
              <w:rPr>
                <w:kern w:val="0"/>
                <w:szCs w:val="21"/>
              </w:rPr>
            </w:pPr>
            <w:r>
              <w:rPr>
                <w:rFonts w:hint="eastAsia"/>
                <w:kern w:val="0"/>
                <w:szCs w:val="21"/>
              </w:rPr>
              <w:t>有纸质成文的门窗施工方案，内容不完整，根据内容完整程度调整。</w:t>
            </w:r>
          </w:p>
        </w:tc>
        <w:tc>
          <w:tcPr>
            <w:tcW w:w="1624" w:type="dxa"/>
            <w:tcBorders>
              <w:tl2br w:val="nil"/>
              <w:tr2bl w:val="nil"/>
            </w:tcBorders>
          </w:tcPr>
          <w:p>
            <w:pPr>
              <w:spacing w:line="360" w:lineRule="auto"/>
              <w:rPr>
                <w:kern w:val="0"/>
                <w:szCs w:val="21"/>
              </w:rPr>
            </w:pPr>
            <w:r>
              <w:rPr>
                <w:rFonts w:hint="eastAsia"/>
                <w:kern w:val="0"/>
                <w:szCs w:val="21"/>
              </w:rPr>
              <w:t>无纸质成文的</w:t>
            </w:r>
            <w:r>
              <w:rPr>
                <w:kern w:val="0"/>
                <w:szCs w:val="21"/>
              </w:rPr>
              <w:t>门窗施工方案</w:t>
            </w:r>
            <w:r>
              <w:rPr>
                <w:rFonts w:hint="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9" w:hRule="atLeast"/>
          <w:jc w:val="center"/>
        </w:trPr>
        <w:tc>
          <w:tcPr>
            <w:tcW w:w="856" w:type="dxa"/>
            <w:tcBorders>
              <w:tl2br w:val="nil"/>
              <w:tr2bl w:val="nil"/>
            </w:tcBorders>
            <w:vAlign w:val="center"/>
          </w:tcPr>
          <w:p>
            <w:pPr>
              <w:spacing w:line="360" w:lineRule="auto"/>
              <w:rPr>
                <w:kern w:val="0"/>
                <w:szCs w:val="21"/>
              </w:rPr>
            </w:pPr>
            <w:r>
              <w:rPr>
                <w:rFonts w:hint="eastAsia"/>
                <w:kern w:val="0"/>
                <w:szCs w:val="21"/>
              </w:rPr>
              <w:t>备注</w:t>
            </w:r>
          </w:p>
        </w:tc>
        <w:tc>
          <w:tcPr>
            <w:tcW w:w="8719" w:type="dxa"/>
            <w:gridSpan w:val="5"/>
            <w:tcBorders>
              <w:tl2br w:val="nil"/>
              <w:tr2bl w:val="nil"/>
            </w:tcBorders>
            <w:vAlign w:val="center"/>
          </w:tcPr>
          <w:p>
            <w:pPr>
              <w:spacing w:line="360" w:lineRule="auto"/>
              <w:rPr>
                <w:kern w:val="0"/>
                <w:szCs w:val="21"/>
              </w:rPr>
            </w:pPr>
            <w:r>
              <w:rPr>
                <w:rFonts w:hint="eastAsia"/>
                <w:kern w:val="0"/>
                <w:szCs w:val="21"/>
              </w:rPr>
              <w:t>A级100分，B级75分，C级50分，D级25分</w:t>
            </w:r>
          </w:p>
        </w:tc>
      </w:tr>
    </w:tbl>
    <w:p>
      <w:pPr>
        <w:spacing w:line="360" w:lineRule="auto"/>
        <w:jc w:val="left"/>
        <w:rPr>
          <w:kern w:val="0"/>
          <w:sz w:val="24"/>
        </w:rPr>
      </w:pPr>
    </w:p>
    <w:p>
      <w:pPr>
        <w:spacing w:line="360" w:lineRule="auto"/>
        <w:jc w:val="left"/>
        <w:rPr>
          <w:kern w:val="0"/>
          <w:sz w:val="24"/>
        </w:rPr>
      </w:pPr>
      <w:r>
        <w:rPr>
          <w:rFonts w:hint="eastAsia"/>
          <w:kern w:val="0"/>
          <w:sz w:val="24"/>
        </w:rPr>
        <w:t>C.0.6 门窗安装人员评定应符合表C.0.6的规定。</w:t>
      </w:r>
    </w:p>
    <w:p>
      <w:pPr>
        <w:spacing w:line="360" w:lineRule="auto"/>
        <w:jc w:val="center"/>
        <w:rPr>
          <w:kern w:val="0"/>
          <w:szCs w:val="21"/>
          <w:vertAlign w:val="subscript"/>
        </w:rPr>
      </w:pPr>
      <w:r>
        <w:rPr>
          <w:rFonts w:hint="eastAsia" w:ascii="宋体" w:hAnsi="宋体" w:cs="宋体"/>
          <w:kern w:val="0"/>
          <w:szCs w:val="21"/>
        </w:rPr>
        <w:t>表C.0.6门窗安装人员评分表</w:t>
      </w:r>
    </w:p>
    <w:tbl>
      <w:tblPr>
        <w:tblStyle w:val="39"/>
        <w:tblW w:w="4999"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64"/>
        <w:gridCol w:w="1077"/>
        <w:gridCol w:w="1690"/>
        <w:gridCol w:w="1715"/>
        <w:gridCol w:w="1829"/>
        <w:gridCol w:w="144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856" w:type="dxa"/>
            <w:vMerge w:val="restart"/>
            <w:tcBorders>
              <w:tl2br w:val="nil"/>
              <w:tr2bl w:val="nil"/>
            </w:tcBorders>
            <w:vAlign w:val="center"/>
          </w:tcPr>
          <w:p>
            <w:pPr>
              <w:spacing w:line="360" w:lineRule="auto"/>
              <w:rPr>
                <w:kern w:val="0"/>
                <w:szCs w:val="21"/>
              </w:rPr>
            </w:pPr>
            <w:r>
              <w:rPr>
                <w:rFonts w:hint="eastAsia"/>
                <w:kern w:val="0"/>
                <w:szCs w:val="21"/>
              </w:rPr>
              <w:t>序号</w:t>
            </w:r>
          </w:p>
        </w:tc>
        <w:tc>
          <w:tcPr>
            <w:tcW w:w="1209" w:type="dxa"/>
            <w:vMerge w:val="restart"/>
            <w:tcBorders>
              <w:tl2br w:val="nil"/>
              <w:tr2bl w:val="nil"/>
            </w:tcBorders>
            <w:vAlign w:val="center"/>
          </w:tcPr>
          <w:p>
            <w:pPr>
              <w:spacing w:line="360" w:lineRule="auto"/>
              <w:rPr>
                <w:kern w:val="0"/>
                <w:szCs w:val="21"/>
              </w:rPr>
            </w:pPr>
            <w:r>
              <w:rPr>
                <w:rFonts w:hint="eastAsia"/>
                <w:kern w:val="0"/>
                <w:szCs w:val="21"/>
              </w:rPr>
              <w:t>评价项目</w:t>
            </w:r>
          </w:p>
        </w:tc>
        <w:tc>
          <w:tcPr>
            <w:tcW w:w="7510" w:type="dxa"/>
            <w:gridSpan w:val="4"/>
            <w:tcBorders>
              <w:tl2br w:val="nil"/>
              <w:tr2bl w:val="nil"/>
            </w:tcBorders>
            <w:vAlign w:val="center"/>
          </w:tcPr>
          <w:p>
            <w:pPr>
              <w:spacing w:line="360" w:lineRule="auto"/>
              <w:jc w:val="center"/>
              <w:rPr>
                <w:kern w:val="0"/>
                <w:szCs w:val="21"/>
              </w:rPr>
            </w:pPr>
            <w:r>
              <w:rPr>
                <w:rFonts w:hint="eastAsia"/>
                <w:kern w:val="0"/>
                <w:szCs w:val="21"/>
              </w:rPr>
              <w:t>评定等级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856" w:type="dxa"/>
            <w:vMerge w:val="continue"/>
            <w:tcBorders>
              <w:tl2br w:val="nil"/>
              <w:tr2bl w:val="nil"/>
            </w:tcBorders>
            <w:vAlign w:val="center"/>
          </w:tcPr>
          <w:p>
            <w:pPr>
              <w:spacing w:line="360" w:lineRule="auto"/>
              <w:rPr>
                <w:kern w:val="0"/>
                <w:szCs w:val="21"/>
              </w:rPr>
            </w:pPr>
          </w:p>
        </w:tc>
        <w:tc>
          <w:tcPr>
            <w:tcW w:w="1209" w:type="dxa"/>
            <w:vMerge w:val="continue"/>
            <w:tcBorders>
              <w:tl2br w:val="nil"/>
              <w:tr2bl w:val="nil"/>
            </w:tcBorders>
            <w:vAlign w:val="center"/>
          </w:tcPr>
          <w:p>
            <w:pPr>
              <w:spacing w:line="360" w:lineRule="auto"/>
              <w:rPr>
                <w:kern w:val="0"/>
                <w:szCs w:val="21"/>
              </w:rPr>
            </w:pPr>
          </w:p>
        </w:tc>
        <w:tc>
          <w:tcPr>
            <w:tcW w:w="1901" w:type="dxa"/>
            <w:tcBorders>
              <w:tl2br w:val="nil"/>
              <w:tr2bl w:val="nil"/>
            </w:tcBorders>
          </w:tcPr>
          <w:p>
            <w:pPr>
              <w:spacing w:line="360" w:lineRule="auto"/>
              <w:rPr>
                <w:kern w:val="0"/>
                <w:szCs w:val="21"/>
              </w:rPr>
            </w:pPr>
            <w:r>
              <w:rPr>
                <w:rFonts w:hint="eastAsia"/>
                <w:kern w:val="0"/>
                <w:szCs w:val="21"/>
              </w:rPr>
              <w:t>A级</w:t>
            </w:r>
          </w:p>
        </w:tc>
        <w:tc>
          <w:tcPr>
            <w:tcW w:w="1928" w:type="dxa"/>
            <w:tcBorders>
              <w:tl2br w:val="nil"/>
              <w:tr2bl w:val="nil"/>
            </w:tcBorders>
          </w:tcPr>
          <w:p>
            <w:pPr>
              <w:spacing w:line="360" w:lineRule="auto"/>
              <w:rPr>
                <w:kern w:val="0"/>
                <w:szCs w:val="21"/>
              </w:rPr>
            </w:pPr>
            <w:r>
              <w:rPr>
                <w:rFonts w:hint="eastAsia"/>
                <w:kern w:val="0"/>
                <w:szCs w:val="21"/>
              </w:rPr>
              <w:t>B级</w:t>
            </w:r>
          </w:p>
        </w:tc>
        <w:tc>
          <w:tcPr>
            <w:tcW w:w="2057" w:type="dxa"/>
            <w:tcBorders>
              <w:tl2br w:val="nil"/>
              <w:tr2bl w:val="nil"/>
            </w:tcBorders>
          </w:tcPr>
          <w:p>
            <w:pPr>
              <w:spacing w:line="360" w:lineRule="auto"/>
              <w:rPr>
                <w:kern w:val="0"/>
                <w:szCs w:val="21"/>
              </w:rPr>
            </w:pPr>
            <w:r>
              <w:rPr>
                <w:rFonts w:hint="eastAsia"/>
                <w:kern w:val="0"/>
                <w:szCs w:val="21"/>
              </w:rPr>
              <w:t>C级</w:t>
            </w:r>
          </w:p>
        </w:tc>
        <w:tc>
          <w:tcPr>
            <w:tcW w:w="1624" w:type="dxa"/>
            <w:tcBorders>
              <w:tl2br w:val="nil"/>
              <w:tr2bl w:val="nil"/>
            </w:tcBorders>
          </w:tcPr>
          <w:p>
            <w:pPr>
              <w:spacing w:line="360" w:lineRule="auto"/>
              <w:rPr>
                <w:kern w:val="0"/>
                <w:szCs w:val="21"/>
              </w:rPr>
            </w:pPr>
            <w:r>
              <w:rPr>
                <w:rFonts w:hint="eastAsia"/>
                <w:kern w:val="0"/>
                <w:szCs w:val="21"/>
              </w:rPr>
              <w:t>D级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9" w:hRule="atLeast"/>
          <w:jc w:val="center"/>
        </w:trPr>
        <w:tc>
          <w:tcPr>
            <w:tcW w:w="856" w:type="dxa"/>
            <w:tcBorders>
              <w:tl2br w:val="nil"/>
              <w:tr2bl w:val="nil"/>
            </w:tcBorders>
            <w:vAlign w:val="center"/>
          </w:tcPr>
          <w:p>
            <w:pPr>
              <w:spacing w:line="360" w:lineRule="auto"/>
              <w:rPr>
                <w:kern w:val="0"/>
                <w:szCs w:val="21"/>
              </w:rPr>
            </w:pPr>
            <w:r>
              <w:rPr>
                <w:rFonts w:hint="eastAsia"/>
                <w:kern w:val="0"/>
                <w:szCs w:val="21"/>
              </w:rPr>
              <w:t>1</w:t>
            </w:r>
          </w:p>
        </w:tc>
        <w:tc>
          <w:tcPr>
            <w:tcW w:w="1209" w:type="dxa"/>
            <w:tcBorders>
              <w:tl2br w:val="nil"/>
              <w:tr2bl w:val="nil"/>
            </w:tcBorders>
            <w:vAlign w:val="center"/>
          </w:tcPr>
          <w:p>
            <w:pPr>
              <w:spacing w:line="360" w:lineRule="auto"/>
              <w:jc w:val="left"/>
              <w:rPr>
                <w:kern w:val="0"/>
                <w:szCs w:val="21"/>
              </w:rPr>
            </w:pPr>
            <w:r>
              <w:rPr>
                <w:rFonts w:hint="eastAsia"/>
                <w:kern w:val="0"/>
                <w:szCs w:val="21"/>
              </w:rPr>
              <w:t>门窗安装人员</w:t>
            </w:r>
          </w:p>
        </w:tc>
        <w:tc>
          <w:tcPr>
            <w:tcW w:w="1901" w:type="dxa"/>
            <w:tcBorders>
              <w:tl2br w:val="nil"/>
              <w:tr2bl w:val="nil"/>
            </w:tcBorders>
          </w:tcPr>
          <w:p>
            <w:pPr>
              <w:spacing w:line="360" w:lineRule="auto"/>
              <w:rPr>
                <w:kern w:val="0"/>
                <w:szCs w:val="21"/>
              </w:rPr>
            </w:pPr>
            <w:r>
              <w:rPr>
                <w:rFonts w:hint="eastAsia"/>
                <w:kern w:val="0"/>
                <w:szCs w:val="21"/>
              </w:rPr>
              <w:t>门窗安装人员经过企业外部培训，并持有保险机构认可的资质证书。</w:t>
            </w:r>
          </w:p>
        </w:tc>
        <w:tc>
          <w:tcPr>
            <w:tcW w:w="1928" w:type="dxa"/>
            <w:tcBorders>
              <w:tl2br w:val="nil"/>
              <w:tr2bl w:val="nil"/>
            </w:tcBorders>
          </w:tcPr>
          <w:p>
            <w:pPr>
              <w:spacing w:line="360" w:lineRule="auto"/>
              <w:rPr>
                <w:kern w:val="0"/>
                <w:szCs w:val="21"/>
              </w:rPr>
            </w:pPr>
            <w:r>
              <w:rPr>
                <w:rFonts w:hint="eastAsia"/>
                <w:kern w:val="0"/>
                <w:szCs w:val="21"/>
              </w:rPr>
              <w:t>门窗安装人员经过企业内部及外部培训。</w:t>
            </w:r>
          </w:p>
        </w:tc>
        <w:tc>
          <w:tcPr>
            <w:tcW w:w="2057" w:type="dxa"/>
            <w:tcBorders>
              <w:tl2br w:val="nil"/>
              <w:tr2bl w:val="nil"/>
            </w:tcBorders>
          </w:tcPr>
          <w:p>
            <w:pPr>
              <w:spacing w:line="360" w:lineRule="auto"/>
              <w:rPr>
                <w:kern w:val="0"/>
                <w:szCs w:val="21"/>
              </w:rPr>
            </w:pPr>
            <w:r>
              <w:rPr>
                <w:rFonts w:hint="eastAsia"/>
                <w:kern w:val="0"/>
                <w:szCs w:val="21"/>
              </w:rPr>
              <w:t>门窗安装人员经过企业内部培训。</w:t>
            </w:r>
          </w:p>
        </w:tc>
        <w:tc>
          <w:tcPr>
            <w:tcW w:w="1624" w:type="dxa"/>
            <w:tcBorders>
              <w:tl2br w:val="nil"/>
              <w:tr2bl w:val="nil"/>
            </w:tcBorders>
          </w:tcPr>
          <w:p>
            <w:pPr>
              <w:spacing w:line="360" w:lineRule="auto"/>
              <w:rPr>
                <w:kern w:val="0"/>
                <w:szCs w:val="21"/>
              </w:rPr>
            </w:pPr>
            <w:r>
              <w:rPr>
                <w:rFonts w:hint="eastAsia"/>
                <w:kern w:val="0"/>
                <w:szCs w:val="21"/>
              </w:rPr>
              <w:t>门窗安装人员未经过培训。</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9" w:hRule="atLeast"/>
          <w:jc w:val="center"/>
        </w:trPr>
        <w:tc>
          <w:tcPr>
            <w:tcW w:w="856" w:type="dxa"/>
            <w:tcBorders>
              <w:tl2br w:val="nil"/>
              <w:tr2bl w:val="nil"/>
            </w:tcBorders>
            <w:vAlign w:val="center"/>
          </w:tcPr>
          <w:p>
            <w:pPr>
              <w:spacing w:line="360" w:lineRule="auto"/>
              <w:rPr>
                <w:kern w:val="0"/>
                <w:szCs w:val="21"/>
              </w:rPr>
            </w:pPr>
            <w:r>
              <w:rPr>
                <w:rFonts w:hint="eastAsia"/>
                <w:kern w:val="0"/>
                <w:szCs w:val="21"/>
              </w:rPr>
              <w:t>备注</w:t>
            </w:r>
          </w:p>
        </w:tc>
        <w:tc>
          <w:tcPr>
            <w:tcW w:w="8719" w:type="dxa"/>
            <w:gridSpan w:val="5"/>
            <w:tcBorders>
              <w:tl2br w:val="nil"/>
              <w:tr2bl w:val="nil"/>
            </w:tcBorders>
            <w:vAlign w:val="center"/>
          </w:tcPr>
          <w:p>
            <w:pPr>
              <w:spacing w:line="360" w:lineRule="auto"/>
              <w:rPr>
                <w:kern w:val="0"/>
                <w:szCs w:val="21"/>
              </w:rPr>
            </w:pPr>
            <w:r>
              <w:rPr>
                <w:rFonts w:hint="eastAsia"/>
                <w:kern w:val="0"/>
                <w:szCs w:val="21"/>
              </w:rPr>
              <w:t>A级100分，B级75分，C级50分，D级25分</w:t>
            </w:r>
          </w:p>
        </w:tc>
      </w:tr>
    </w:tbl>
    <w:p>
      <w:pPr>
        <w:spacing w:line="360" w:lineRule="auto"/>
        <w:jc w:val="left"/>
        <w:rPr>
          <w:kern w:val="0"/>
          <w:sz w:val="24"/>
        </w:rPr>
      </w:pPr>
    </w:p>
    <w:p>
      <w:pPr>
        <w:spacing w:line="360" w:lineRule="auto"/>
        <w:jc w:val="left"/>
        <w:rPr>
          <w:rFonts w:ascii="宋体" w:hAnsi="宋体" w:cs="宋体"/>
          <w:kern w:val="0"/>
          <w:sz w:val="24"/>
        </w:rPr>
      </w:pPr>
      <w:r>
        <w:rPr>
          <w:rFonts w:hint="eastAsia" w:ascii="宋体" w:hAnsi="宋体" w:cs="宋体"/>
          <w:kern w:val="0"/>
          <w:sz w:val="24"/>
        </w:rPr>
        <w:t>C.0.7 现场安装质量控制评定应符合表C.0.7的规定。根据现场安装情况与标准工艺的匹配程度进行评分。</w:t>
      </w:r>
      <w:bookmarkEnd w:id="95"/>
      <w:bookmarkEnd w:id="96"/>
    </w:p>
    <w:p>
      <w:pPr>
        <w:spacing w:line="360" w:lineRule="auto"/>
        <w:jc w:val="center"/>
        <w:rPr>
          <w:kern w:val="0"/>
          <w:szCs w:val="21"/>
          <w:vertAlign w:val="subscript"/>
        </w:rPr>
      </w:pPr>
      <w:r>
        <w:rPr>
          <w:rFonts w:hint="eastAsia" w:ascii="宋体" w:hAnsi="宋体" w:cs="宋体"/>
          <w:kern w:val="0"/>
          <w:szCs w:val="21"/>
        </w:rPr>
        <w:t>表C.0.7现场安装质量检查项目及评分表</w:t>
      </w:r>
    </w:p>
    <w:tbl>
      <w:tblPr>
        <w:tblStyle w:val="164"/>
        <w:tblW w:w="5137"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671"/>
        <w:gridCol w:w="1173"/>
        <w:gridCol w:w="1675"/>
        <w:gridCol w:w="1676"/>
        <w:gridCol w:w="1676"/>
        <w:gridCol w:w="169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1" w:hRule="exact"/>
          <w:jc w:val="center"/>
        </w:trPr>
        <w:tc>
          <w:tcPr>
            <w:tcW w:w="392" w:type="pct"/>
            <w:vMerge w:val="restart"/>
            <w:tcBorders>
              <w:tl2br w:val="nil"/>
              <w:tr2bl w:val="nil"/>
            </w:tcBorders>
          </w:tcPr>
          <w:p>
            <w:pPr>
              <w:pStyle w:val="163"/>
              <w:spacing w:before="3" w:line="360" w:lineRule="auto"/>
              <w:rPr>
                <w:rFonts w:hAnsi="Times New Roman" w:cs="Times New Roman"/>
                <w:sz w:val="21"/>
                <w:szCs w:val="21"/>
              </w:rPr>
            </w:pPr>
          </w:p>
          <w:p>
            <w:pPr>
              <w:pStyle w:val="163"/>
              <w:spacing w:line="360" w:lineRule="auto"/>
              <w:ind w:left="164"/>
              <w:rPr>
                <w:rFonts w:hAnsi="Times New Roman" w:cs="Times New Roman"/>
                <w:sz w:val="21"/>
                <w:szCs w:val="21"/>
              </w:rPr>
            </w:pPr>
            <w:r>
              <w:rPr>
                <w:rFonts w:hint="eastAsia" w:hAnsi="Times New Roman" w:cs="Times New Roman"/>
                <w:sz w:val="21"/>
                <w:szCs w:val="21"/>
              </w:rPr>
              <w:t>序号</w:t>
            </w:r>
          </w:p>
        </w:tc>
        <w:tc>
          <w:tcPr>
            <w:tcW w:w="685" w:type="pct"/>
            <w:vMerge w:val="restart"/>
            <w:tcBorders>
              <w:tl2br w:val="nil"/>
              <w:tr2bl w:val="nil"/>
            </w:tcBorders>
          </w:tcPr>
          <w:p>
            <w:pPr>
              <w:pStyle w:val="163"/>
              <w:spacing w:before="3" w:line="360" w:lineRule="auto"/>
              <w:rPr>
                <w:rFonts w:hAnsi="Times New Roman" w:cs="Times New Roman"/>
                <w:sz w:val="21"/>
                <w:szCs w:val="21"/>
              </w:rPr>
            </w:pPr>
          </w:p>
          <w:p>
            <w:pPr>
              <w:pStyle w:val="163"/>
              <w:spacing w:line="360" w:lineRule="auto"/>
              <w:ind w:left="204"/>
              <w:rPr>
                <w:rFonts w:hAnsi="Times New Roman" w:cs="Times New Roman"/>
                <w:sz w:val="21"/>
                <w:szCs w:val="21"/>
              </w:rPr>
            </w:pPr>
            <w:r>
              <w:rPr>
                <w:rFonts w:hint="eastAsia" w:hAnsi="Times New Roman" w:cs="Times New Roman"/>
                <w:sz w:val="21"/>
                <w:szCs w:val="21"/>
              </w:rPr>
              <w:t>评价项目</w:t>
            </w:r>
          </w:p>
        </w:tc>
        <w:tc>
          <w:tcPr>
            <w:tcW w:w="3922" w:type="pct"/>
            <w:gridSpan w:val="4"/>
            <w:tcBorders>
              <w:tl2br w:val="nil"/>
              <w:tr2bl w:val="nil"/>
            </w:tcBorders>
          </w:tcPr>
          <w:p>
            <w:pPr>
              <w:pStyle w:val="163"/>
              <w:spacing w:before="90" w:line="360" w:lineRule="auto"/>
              <w:ind w:left="4"/>
              <w:rPr>
                <w:rFonts w:hAnsi="Times New Roman" w:cs="Times New Roman"/>
                <w:sz w:val="21"/>
                <w:szCs w:val="21"/>
              </w:rPr>
            </w:pPr>
            <w:r>
              <w:rPr>
                <w:rFonts w:hint="eastAsia" w:hAnsi="Times New Roman" w:cs="Times New Roman"/>
                <w:sz w:val="21"/>
                <w:szCs w:val="21"/>
              </w:rPr>
              <w:t>评定等级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3" w:hRule="exact"/>
          <w:jc w:val="center"/>
        </w:trPr>
        <w:tc>
          <w:tcPr>
            <w:tcW w:w="392" w:type="pct"/>
            <w:vMerge w:val="continue"/>
            <w:tcBorders>
              <w:tl2br w:val="nil"/>
              <w:tr2bl w:val="nil"/>
            </w:tcBorders>
          </w:tcPr>
          <w:p>
            <w:pPr>
              <w:spacing w:line="360" w:lineRule="auto"/>
              <w:rPr>
                <w:szCs w:val="21"/>
              </w:rPr>
            </w:pPr>
          </w:p>
        </w:tc>
        <w:tc>
          <w:tcPr>
            <w:tcW w:w="685" w:type="pct"/>
            <w:vMerge w:val="continue"/>
            <w:tcBorders>
              <w:tl2br w:val="nil"/>
              <w:tr2bl w:val="nil"/>
            </w:tcBorders>
          </w:tcPr>
          <w:p>
            <w:pPr>
              <w:spacing w:line="360" w:lineRule="auto"/>
              <w:rPr>
                <w:szCs w:val="21"/>
              </w:rPr>
            </w:pPr>
          </w:p>
        </w:tc>
        <w:tc>
          <w:tcPr>
            <w:tcW w:w="978" w:type="pct"/>
            <w:tcBorders>
              <w:tl2br w:val="nil"/>
              <w:tr2bl w:val="nil"/>
            </w:tcBorders>
          </w:tcPr>
          <w:p>
            <w:pPr>
              <w:pStyle w:val="163"/>
              <w:spacing w:before="89" w:line="360" w:lineRule="auto"/>
              <w:rPr>
                <w:rFonts w:hAnsi="Times New Roman" w:cs="Times New Roman"/>
                <w:sz w:val="21"/>
                <w:szCs w:val="21"/>
              </w:rPr>
            </w:pPr>
            <w:r>
              <w:rPr>
                <w:rFonts w:hint="eastAsia" w:hAnsi="Times New Roman" w:cs="Times New Roman"/>
                <w:sz w:val="21"/>
                <w:szCs w:val="21"/>
              </w:rPr>
              <w:t>A</w:t>
            </w:r>
            <w:r>
              <w:rPr>
                <w:rFonts w:hint="eastAsia" w:hAnsi="Times New Roman" w:cs="Times New Roman"/>
                <w:spacing w:val="-3"/>
                <w:sz w:val="21"/>
                <w:szCs w:val="21"/>
              </w:rPr>
              <w:t xml:space="preserve"> </w:t>
            </w:r>
            <w:r>
              <w:rPr>
                <w:rFonts w:hint="eastAsia" w:hAnsi="Times New Roman" w:cs="Times New Roman"/>
                <w:sz w:val="21"/>
                <w:szCs w:val="21"/>
              </w:rPr>
              <w:t>级</w:t>
            </w:r>
          </w:p>
        </w:tc>
        <w:tc>
          <w:tcPr>
            <w:tcW w:w="978" w:type="pct"/>
            <w:tcBorders>
              <w:tl2br w:val="nil"/>
              <w:tr2bl w:val="nil"/>
            </w:tcBorders>
          </w:tcPr>
          <w:p>
            <w:pPr>
              <w:pStyle w:val="163"/>
              <w:spacing w:before="89" w:line="360" w:lineRule="auto"/>
              <w:ind w:right="1"/>
              <w:rPr>
                <w:rFonts w:hAnsi="Times New Roman" w:cs="Times New Roman"/>
                <w:sz w:val="21"/>
                <w:szCs w:val="21"/>
              </w:rPr>
            </w:pPr>
            <w:r>
              <w:rPr>
                <w:rFonts w:hint="eastAsia" w:hAnsi="Times New Roman" w:cs="Times New Roman"/>
                <w:sz w:val="21"/>
                <w:szCs w:val="21"/>
              </w:rPr>
              <w:t>B</w:t>
            </w:r>
            <w:r>
              <w:rPr>
                <w:rFonts w:hint="eastAsia" w:hAnsi="Times New Roman" w:cs="Times New Roman"/>
                <w:spacing w:val="-1"/>
                <w:sz w:val="21"/>
                <w:szCs w:val="21"/>
              </w:rPr>
              <w:t xml:space="preserve"> </w:t>
            </w:r>
            <w:r>
              <w:rPr>
                <w:rFonts w:hint="eastAsia" w:hAnsi="Times New Roman" w:cs="Times New Roman"/>
                <w:sz w:val="21"/>
                <w:szCs w:val="21"/>
              </w:rPr>
              <w:t>级</w:t>
            </w:r>
          </w:p>
        </w:tc>
        <w:tc>
          <w:tcPr>
            <w:tcW w:w="978" w:type="pct"/>
            <w:tcBorders>
              <w:tl2br w:val="nil"/>
              <w:tr2bl w:val="nil"/>
            </w:tcBorders>
          </w:tcPr>
          <w:p>
            <w:pPr>
              <w:pStyle w:val="163"/>
              <w:spacing w:before="89" w:line="360" w:lineRule="auto"/>
              <w:ind w:right="1"/>
              <w:rPr>
                <w:rFonts w:hAnsi="Times New Roman" w:cs="Times New Roman"/>
                <w:sz w:val="21"/>
                <w:szCs w:val="21"/>
              </w:rPr>
            </w:pPr>
            <w:r>
              <w:rPr>
                <w:rFonts w:hint="eastAsia" w:hAnsi="Times New Roman" w:cs="Times New Roman"/>
                <w:sz w:val="21"/>
                <w:szCs w:val="21"/>
              </w:rPr>
              <w:t>C</w:t>
            </w:r>
            <w:r>
              <w:rPr>
                <w:rFonts w:hint="eastAsia" w:hAnsi="Times New Roman" w:cs="Times New Roman"/>
                <w:spacing w:val="-3"/>
                <w:sz w:val="21"/>
                <w:szCs w:val="21"/>
              </w:rPr>
              <w:t xml:space="preserve"> </w:t>
            </w:r>
            <w:r>
              <w:rPr>
                <w:rFonts w:hint="eastAsia" w:hAnsi="Times New Roman" w:cs="Times New Roman"/>
                <w:sz w:val="21"/>
                <w:szCs w:val="21"/>
              </w:rPr>
              <w:t>级</w:t>
            </w:r>
          </w:p>
        </w:tc>
        <w:tc>
          <w:tcPr>
            <w:tcW w:w="985" w:type="pct"/>
            <w:tcBorders>
              <w:tl2br w:val="nil"/>
              <w:tr2bl w:val="nil"/>
            </w:tcBorders>
          </w:tcPr>
          <w:p>
            <w:pPr>
              <w:pStyle w:val="163"/>
              <w:spacing w:before="89" w:line="360" w:lineRule="auto"/>
              <w:ind w:left="4"/>
              <w:rPr>
                <w:rFonts w:hAnsi="Times New Roman" w:cs="Times New Roman"/>
                <w:sz w:val="21"/>
                <w:szCs w:val="21"/>
              </w:rPr>
            </w:pPr>
            <w:r>
              <w:rPr>
                <w:rFonts w:hint="eastAsia" w:hAnsi="Times New Roman" w:cs="Times New Roman"/>
                <w:sz w:val="21"/>
                <w:szCs w:val="21"/>
              </w:rPr>
              <w:t>D</w:t>
            </w:r>
            <w:r>
              <w:rPr>
                <w:rFonts w:hint="eastAsia" w:hAnsi="Times New Roman" w:cs="Times New Roman"/>
                <w:spacing w:val="-3"/>
                <w:sz w:val="21"/>
                <w:szCs w:val="21"/>
              </w:rPr>
              <w:t xml:space="preserve"> </w:t>
            </w:r>
            <w:r>
              <w:rPr>
                <w:rFonts w:hint="eastAsia" w:hAnsi="Times New Roman" w:cs="Times New Roman"/>
                <w:sz w:val="21"/>
                <w:szCs w:val="21"/>
              </w:rPr>
              <w:t>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8" w:hRule="atLeast"/>
          <w:jc w:val="center"/>
        </w:trPr>
        <w:tc>
          <w:tcPr>
            <w:tcW w:w="392" w:type="pct"/>
            <w:tcBorders>
              <w:tl2br w:val="nil"/>
              <w:tr2bl w:val="nil"/>
            </w:tcBorders>
          </w:tcPr>
          <w:p>
            <w:pPr>
              <w:pStyle w:val="163"/>
              <w:spacing w:before="118" w:line="360" w:lineRule="auto"/>
              <w:ind w:right="6"/>
              <w:rPr>
                <w:rFonts w:hAnsi="Times New Roman" w:cs="Times New Roman"/>
                <w:sz w:val="21"/>
                <w:szCs w:val="21"/>
              </w:rPr>
            </w:pPr>
            <w:r>
              <w:rPr>
                <w:rFonts w:hint="eastAsia" w:hAnsi="Times New Roman" w:cs="Times New Roman"/>
                <w:sz w:val="21"/>
                <w:szCs w:val="21"/>
              </w:rPr>
              <w:t>1</w:t>
            </w:r>
          </w:p>
        </w:tc>
        <w:tc>
          <w:tcPr>
            <w:tcW w:w="685" w:type="pct"/>
            <w:tcBorders>
              <w:tl2br w:val="nil"/>
              <w:tr2bl w:val="nil"/>
            </w:tcBorders>
          </w:tcPr>
          <w:p>
            <w:pPr>
              <w:pStyle w:val="163"/>
              <w:spacing w:line="360" w:lineRule="auto"/>
              <w:jc w:val="left"/>
              <w:rPr>
                <w:rFonts w:hAnsi="Times New Roman" w:cs="Times New Roman"/>
                <w:sz w:val="21"/>
                <w:szCs w:val="21"/>
                <w:lang w:val="en-US"/>
              </w:rPr>
            </w:pPr>
            <w:r>
              <w:rPr>
                <w:rFonts w:hint="eastAsia" w:hAnsi="Times New Roman" w:cs="Times New Roman"/>
                <w:sz w:val="21"/>
                <w:szCs w:val="21"/>
                <w:lang w:val="en-US"/>
              </w:rPr>
              <w:t>安装精度</w:t>
            </w:r>
          </w:p>
        </w:tc>
        <w:tc>
          <w:tcPr>
            <w:tcW w:w="978" w:type="pct"/>
            <w:tcBorders>
              <w:tl2br w:val="nil"/>
              <w:tr2bl w:val="nil"/>
            </w:tcBorders>
          </w:tcPr>
          <w:p>
            <w:pPr>
              <w:pStyle w:val="163"/>
              <w:spacing w:before="88" w:line="360" w:lineRule="auto"/>
              <w:ind w:left="101"/>
              <w:jc w:val="left"/>
              <w:rPr>
                <w:rFonts w:hAnsi="Times New Roman" w:cs="Times New Roman"/>
                <w:sz w:val="21"/>
                <w:szCs w:val="21"/>
              </w:rPr>
            </w:pPr>
            <w:r>
              <w:rPr>
                <w:rFonts w:hint="eastAsia" w:hAnsi="Times New Roman" w:cs="Times New Roman"/>
                <w:sz w:val="21"/>
                <w:szCs w:val="21"/>
              </w:rPr>
              <w:t>胶缝应饱满密实无空洞或凹陷，表面应平滑顺直无断口。室外侧注胶宽度不小于3mm,入槽深度不小于5mm。</w:t>
            </w:r>
          </w:p>
        </w:tc>
        <w:tc>
          <w:tcPr>
            <w:tcW w:w="978" w:type="pct"/>
            <w:tcBorders>
              <w:tl2br w:val="nil"/>
              <w:tr2bl w:val="nil"/>
            </w:tcBorders>
          </w:tcPr>
          <w:p>
            <w:pPr>
              <w:pStyle w:val="163"/>
              <w:spacing w:before="88" w:line="360" w:lineRule="auto"/>
              <w:ind w:left="101"/>
              <w:jc w:val="left"/>
              <w:rPr>
                <w:rFonts w:hAnsi="Times New Roman" w:cs="Times New Roman"/>
                <w:sz w:val="21"/>
                <w:szCs w:val="21"/>
                <w:lang w:val="en-US"/>
              </w:rPr>
            </w:pPr>
            <w:r>
              <w:rPr>
                <w:rFonts w:hAnsi="Times New Roman" w:cs="Times New Roman"/>
                <w:sz w:val="21"/>
                <w:szCs w:val="21"/>
                <w:lang w:val="en-US"/>
              </w:rPr>
              <w:t>安装后主副框实际间隙不应小于4㎜</w:t>
            </w:r>
            <w:r>
              <w:rPr>
                <w:rFonts w:hint="eastAsia" w:hAnsi="Times New Roman" w:cs="Times New Roman"/>
                <w:sz w:val="21"/>
                <w:szCs w:val="21"/>
                <w:lang w:val="en-US"/>
              </w:rPr>
              <w:t>；按间隙大小选用适用的泡沫条塞进缝中，从室内侧打入发泡剂，要求一次成型，密实、无见光、无孔洞。</w:t>
            </w:r>
          </w:p>
        </w:tc>
        <w:tc>
          <w:tcPr>
            <w:tcW w:w="978" w:type="pct"/>
            <w:tcBorders>
              <w:tl2br w:val="nil"/>
              <w:tr2bl w:val="nil"/>
            </w:tcBorders>
          </w:tcPr>
          <w:p>
            <w:pPr>
              <w:pStyle w:val="163"/>
              <w:spacing w:before="88" w:line="360" w:lineRule="auto"/>
              <w:ind w:left="101"/>
              <w:jc w:val="left"/>
              <w:rPr>
                <w:rFonts w:hAnsi="Times New Roman" w:cs="Times New Roman"/>
                <w:sz w:val="21"/>
                <w:szCs w:val="21"/>
                <w:lang w:val="en-US"/>
              </w:rPr>
            </w:pPr>
            <w:r>
              <w:rPr>
                <w:rFonts w:hAnsi="Times New Roman" w:cs="Times New Roman"/>
                <w:sz w:val="21"/>
                <w:szCs w:val="21"/>
                <w:lang w:val="en-US"/>
              </w:rPr>
              <w:t>对角线长度</w:t>
            </w:r>
          </w:p>
          <w:p>
            <w:pPr>
              <w:pStyle w:val="163"/>
              <w:spacing w:before="88" w:line="360" w:lineRule="auto"/>
              <w:ind w:left="101"/>
              <w:jc w:val="left"/>
              <w:rPr>
                <w:rFonts w:hAnsi="Times New Roman" w:cs="Times New Roman"/>
                <w:sz w:val="21"/>
                <w:szCs w:val="21"/>
                <w:lang w:val="en-US"/>
              </w:rPr>
            </w:pPr>
            <w:r>
              <w:rPr>
                <w:rFonts w:hAnsi="Times New Roman" w:cs="Times New Roman"/>
                <w:sz w:val="21"/>
                <w:szCs w:val="21"/>
                <w:lang w:val="en-US"/>
              </w:rPr>
              <w:t>＜3500mm, ≤2mm</w:t>
            </w:r>
          </w:p>
          <w:p>
            <w:pPr>
              <w:pStyle w:val="163"/>
              <w:spacing w:before="88" w:line="360" w:lineRule="auto"/>
              <w:ind w:left="101"/>
              <w:jc w:val="left"/>
              <w:rPr>
                <w:rFonts w:hAnsi="Times New Roman" w:cs="Times New Roman"/>
                <w:sz w:val="21"/>
                <w:szCs w:val="21"/>
                <w:lang w:val="en-US"/>
              </w:rPr>
            </w:pPr>
            <w:r>
              <w:rPr>
                <w:rFonts w:hAnsi="Times New Roman" w:cs="Times New Roman"/>
                <w:sz w:val="21"/>
                <w:szCs w:val="21"/>
                <w:lang w:val="en-US"/>
              </w:rPr>
              <w:t>≥2000mm，＜3500mm，≤3mm</w:t>
            </w:r>
          </w:p>
          <w:p>
            <w:pPr>
              <w:pStyle w:val="163"/>
              <w:spacing w:before="88" w:line="360" w:lineRule="auto"/>
              <w:ind w:left="101"/>
              <w:jc w:val="left"/>
              <w:rPr>
                <w:rFonts w:hAnsi="Times New Roman" w:cs="Times New Roman"/>
                <w:sz w:val="21"/>
                <w:szCs w:val="21"/>
                <w:lang w:val="en-US"/>
              </w:rPr>
            </w:pPr>
            <w:r>
              <w:rPr>
                <w:rFonts w:hAnsi="Times New Roman" w:cs="Times New Roman"/>
                <w:sz w:val="21"/>
                <w:szCs w:val="21"/>
                <w:lang w:val="en-US"/>
              </w:rPr>
              <w:t>≥3500mm，≤4mm</w:t>
            </w:r>
            <w:r>
              <w:rPr>
                <w:rFonts w:hint="eastAsia" w:hAnsi="Times New Roman" w:cs="Times New Roman"/>
                <w:sz w:val="21"/>
                <w:szCs w:val="21"/>
                <w:lang w:val="en-US"/>
              </w:rPr>
              <w:t>；</w:t>
            </w:r>
          </w:p>
          <w:p>
            <w:pPr>
              <w:pStyle w:val="163"/>
              <w:spacing w:before="88" w:line="360" w:lineRule="auto"/>
              <w:ind w:left="101"/>
              <w:jc w:val="left"/>
              <w:rPr>
                <w:rFonts w:hAnsi="Times New Roman" w:cs="Times New Roman"/>
                <w:sz w:val="21"/>
                <w:szCs w:val="21"/>
                <w:lang w:val="en-US"/>
              </w:rPr>
            </w:pPr>
            <w:r>
              <w:rPr>
                <w:rFonts w:hAnsi="Times New Roman" w:cs="Times New Roman"/>
                <w:sz w:val="21"/>
                <w:szCs w:val="21"/>
                <w:lang w:val="en-US"/>
              </w:rPr>
              <w:t xml:space="preserve">拼缝间隙≤0.3mm,拼缝高低差≤0.3mm。 </w:t>
            </w:r>
          </w:p>
        </w:tc>
        <w:tc>
          <w:tcPr>
            <w:tcW w:w="985" w:type="pct"/>
            <w:tcBorders>
              <w:tl2br w:val="nil"/>
              <w:tr2bl w:val="nil"/>
            </w:tcBorders>
          </w:tcPr>
          <w:p>
            <w:pPr>
              <w:pStyle w:val="163"/>
              <w:spacing w:before="88" w:line="360" w:lineRule="auto"/>
              <w:ind w:left="101"/>
              <w:jc w:val="left"/>
              <w:rPr>
                <w:rFonts w:hAnsi="Times New Roman" w:cs="Times New Roman"/>
                <w:sz w:val="21"/>
                <w:szCs w:val="21"/>
                <w:lang w:val="en-US"/>
              </w:rPr>
            </w:pPr>
            <w:r>
              <w:rPr>
                <w:rFonts w:hAnsi="Times New Roman" w:cs="Times New Roman"/>
                <w:sz w:val="21"/>
                <w:szCs w:val="21"/>
                <w:lang w:val="en-US"/>
              </w:rPr>
              <w:t>门窗框正侧面垂直度允许偏差≤2mm；门窗横框的水平度允许偏差≤3mm；门窗横框标高允许偏差≤5mm；门窗竖向偏离允许偏差≤5mm；</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8" w:hRule="atLeast"/>
          <w:jc w:val="center"/>
        </w:trPr>
        <w:tc>
          <w:tcPr>
            <w:tcW w:w="392" w:type="pct"/>
            <w:tcBorders>
              <w:tl2br w:val="nil"/>
              <w:tr2bl w:val="nil"/>
            </w:tcBorders>
          </w:tcPr>
          <w:p>
            <w:pPr>
              <w:pStyle w:val="163"/>
              <w:spacing w:before="118" w:line="360" w:lineRule="auto"/>
              <w:ind w:right="6"/>
              <w:rPr>
                <w:rFonts w:hAnsi="Times New Roman" w:cs="Times New Roman"/>
                <w:sz w:val="21"/>
                <w:szCs w:val="21"/>
                <w:lang w:val="en-US"/>
              </w:rPr>
            </w:pPr>
            <w:r>
              <w:rPr>
                <w:rFonts w:hint="eastAsia" w:hAnsi="Times New Roman" w:cs="Times New Roman"/>
                <w:sz w:val="21"/>
                <w:szCs w:val="21"/>
                <w:lang w:val="en-US"/>
              </w:rPr>
              <w:t>2</w:t>
            </w:r>
          </w:p>
        </w:tc>
        <w:tc>
          <w:tcPr>
            <w:tcW w:w="685" w:type="pct"/>
            <w:tcBorders>
              <w:tl2br w:val="nil"/>
              <w:tr2bl w:val="nil"/>
            </w:tcBorders>
          </w:tcPr>
          <w:p>
            <w:pPr>
              <w:pStyle w:val="163"/>
              <w:spacing w:line="360" w:lineRule="auto"/>
              <w:jc w:val="left"/>
              <w:rPr>
                <w:rFonts w:hAnsi="Times New Roman" w:cs="Times New Roman"/>
                <w:sz w:val="21"/>
                <w:szCs w:val="21"/>
                <w:lang w:val="en-US"/>
              </w:rPr>
            </w:pPr>
            <w:r>
              <w:rPr>
                <w:rFonts w:hint="eastAsia" w:hAnsi="Times New Roman" w:cs="Times New Roman"/>
                <w:sz w:val="21"/>
                <w:szCs w:val="21"/>
                <w:lang w:val="en-US"/>
              </w:rPr>
              <w:t>防水处理</w:t>
            </w:r>
          </w:p>
        </w:tc>
        <w:tc>
          <w:tcPr>
            <w:tcW w:w="978" w:type="pct"/>
            <w:tcBorders>
              <w:tl2br w:val="nil"/>
              <w:tr2bl w:val="nil"/>
            </w:tcBorders>
          </w:tcPr>
          <w:p>
            <w:pPr>
              <w:pStyle w:val="163"/>
              <w:spacing w:before="88" w:line="360" w:lineRule="auto"/>
              <w:ind w:left="101"/>
              <w:jc w:val="left"/>
              <w:rPr>
                <w:rFonts w:hAnsi="Times New Roman" w:cs="Times New Roman"/>
                <w:sz w:val="21"/>
                <w:szCs w:val="21"/>
              </w:rPr>
            </w:pPr>
            <w:r>
              <w:rPr>
                <w:rFonts w:hint="eastAsia" w:hAnsi="Times New Roman" w:cs="Times New Roman"/>
                <w:sz w:val="21"/>
                <w:szCs w:val="21"/>
              </w:rPr>
              <w:t>外门窗窗台部位应按设计要求铺贴防水卷材或涂刷防渗水涂料，或贴防水透气膜</w:t>
            </w:r>
          </w:p>
        </w:tc>
        <w:tc>
          <w:tcPr>
            <w:tcW w:w="978" w:type="pct"/>
            <w:tcBorders>
              <w:tl2br w:val="nil"/>
              <w:tr2bl w:val="nil"/>
            </w:tcBorders>
          </w:tcPr>
          <w:p>
            <w:pPr>
              <w:pStyle w:val="163"/>
              <w:spacing w:before="88" w:line="360" w:lineRule="auto"/>
              <w:ind w:left="101"/>
              <w:jc w:val="left"/>
              <w:rPr>
                <w:rFonts w:hAnsi="Times New Roman" w:cs="Times New Roman"/>
                <w:sz w:val="21"/>
                <w:szCs w:val="21"/>
                <w:lang w:val="en-US"/>
              </w:rPr>
            </w:pPr>
            <w:r>
              <w:rPr>
                <w:rFonts w:hAnsi="Times New Roman" w:cs="Times New Roman"/>
                <w:sz w:val="21"/>
                <w:szCs w:val="21"/>
                <w:lang w:val="en-US"/>
              </w:rPr>
              <w:t>室外侧胶条在四个转角部位应带胶固定且保证密封无间隙，防止渗水。</w:t>
            </w:r>
          </w:p>
        </w:tc>
        <w:tc>
          <w:tcPr>
            <w:tcW w:w="978" w:type="pct"/>
            <w:tcBorders>
              <w:tl2br w:val="nil"/>
              <w:tr2bl w:val="nil"/>
            </w:tcBorders>
          </w:tcPr>
          <w:p>
            <w:pPr>
              <w:pStyle w:val="163"/>
              <w:spacing w:before="88" w:line="360" w:lineRule="auto"/>
              <w:ind w:left="101"/>
              <w:jc w:val="left"/>
              <w:rPr>
                <w:rFonts w:hAnsi="Times New Roman" w:cs="Times New Roman"/>
                <w:sz w:val="21"/>
                <w:szCs w:val="21"/>
                <w:lang w:val="en-US"/>
              </w:rPr>
            </w:pPr>
            <w:r>
              <w:rPr>
                <w:rFonts w:hAnsi="Times New Roman" w:cs="Times New Roman"/>
                <w:sz w:val="21"/>
                <w:szCs w:val="21"/>
                <w:lang w:val="en-US"/>
              </w:rPr>
              <w:t>门窗框两侧底部200mm与下口组成的U形范围内，应填塞干硬性水泥防水砂浆，要求饱满、无明显孔隙和空鼓</w:t>
            </w:r>
          </w:p>
        </w:tc>
        <w:tc>
          <w:tcPr>
            <w:tcW w:w="985" w:type="pct"/>
            <w:tcBorders>
              <w:tl2br w:val="nil"/>
              <w:tr2bl w:val="nil"/>
            </w:tcBorders>
          </w:tcPr>
          <w:p>
            <w:pPr>
              <w:pStyle w:val="163"/>
              <w:spacing w:before="88" w:line="360" w:lineRule="auto"/>
              <w:ind w:left="101"/>
              <w:jc w:val="left"/>
              <w:rPr>
                <w:rFonts w:hAnsi="Times New Roman" w:cs="Times New Roman"/>
                <w:sz w:val="21"/>
                <w:szCs w:val="21"/>
                <w:lang w:val="en-US"/>
              </w:rPr>
            </w:pPr>
            <w:r>
              <w:rPr>
                <w:rFonts w:hAnsi="Times New Roman" w:cs="Times New Roman"/>
                <w:sz w:val="21"/>
                <w:szCs w:val="21"/>
                <w:lang w:val="en-US"/>
              </w:rPr>
              <w:t>玻璃垫块需胶粘固定到位，下口承重垫块不得阻塞泄水孔及排水通道。</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8" w:hRule="atLeast"/>
          <w:jc w:val="center"/>
        </w:trPr>
        <w:tc>
          <w:tcPr>
            <w:tcW w:w="392" w:type="pct"/>
            <w:tcBorders>
              <w:tl2br w:val="nil"/>
              <w:tr2bl w:val="nil"/>
            </w:tcBorders>
          </w:tcPr>
          <w:p>
            <w:pPr>
              <w:pStyle w:val="163"/>
              <w:spacing w:before="118" w:line="360" w:lineRule="auto"/>
              <w:ind w:right="6"/>
              <w:rPr>
                <w:rFonts w:hAnsi="Times New Roman" w:cs="Times New Roman"/>
                <w:sz w:val="21"/>
                <w:szCs w:val="21"/>
                <w:lang w:val="en-US"/>
              </w:rPr>
            </w:pPr>
            <w:r>
              <w:rPr>
                <w:rFonts w:hint="eastAsia" w:hAnsi="Times New Roman" w:cs="Times New Roman"/>
                <w:sz w:val="21"/>
                <w:szCs w:val="21"/>
                <w:lang w:val="en-US"/>
              </w:rPr>
              <w:t>3</w:t>
            </w:r>
          </w:p>
        </w:tc>
        <w:tc>
          <w:tcPr>
            <w:tcW w:w="685" w:type="pct"/>
            <w:tcBorders>
              <w:tl2br w:val="nil"/>
              <w:tr2bl w:val="nil"/>
            </w:tcBorders>
          </w:tcPr>
          <w:p>
            <w:pPr>
              <w:pStyle w:val="163"/>
              <w:spacing w:line="360" w:lineRule="auto"/>
              <w:jc w:val="left"/>
              <w:rPr>
                <w:rFonts w:hAnsi="Times New Roman" w:cs="Times New Roman"/>
                <w:sz w:val="21"/>
                <w:szCs w:val="21"/>
                <w:lang w:val="en-US"/>
              </w:rPr>
            </w:pPr>
            <w:r>
              <w:rPr>
                <w:rFonts w:hint="eastAsia" w:hAnsi="Times New Roman" w:cs="Times New Roman"/>
                <w:sz w:val="21"/>
                <w:szCs w:val="21"/>
                <w:lang w:val="en-US"/>
              </w:rPr>
              <w:t>配件复核</w:t>
            </w:r>
          </w:p>
        </w:tc>
        <w:tc>
          <w:tcPr>
            <w:tcW w:w="978" w:type="pct"/>
            <w:tcBorders>
              <w:tl2br w:val="nil"/>
              <w:tr2bl w:val="nil"/>
            </w:tcBorders>
          </w:tcPr>
          <w:p>
            <w:pPr>
              <w:pStyle w:val="163"/>
              <w:spacing w:before="88" w:line="360" w:lineRule="auto"/>
              <w:ind w:left="101"/>
              <w:jc w:val="left"/>
              <w:rPr>
                <w:rFonts w:hAnsi="Times New Roman" w:cs="Times New Roman"/>
                <w:sz w:val="21"/>
                <w:szCs w:val="21"/>
              </w:rPr>
            </w:pPr>
            <w:r>
              <w:rPr>
                <w:rFonts w:hint="eastAsia" w:hAnsi="Times New Roman" w:cs="Times New Roman"/>
                <w:sz w:val="21"/>
                <w:szCs w:val="21"/>
              </w:rPr>
              <w:t>附件安装齐全，推拉系列有防脱落块、防风块及防撞块。</w:t>
            </w:r>
          </w:p>
        </w:tc>
        <w:tc>
          <w:tcPr>
            <w:tcW w:w="978" w:type="pct"/>
            <w:tcBorders>
              <w:tl2br w:val="nil"/>
              <w:tr2bl w:val="nil"/>
            </w:tcBorders>
          </w:tcPr>
          <w:p>
            <w:pPr>
              <w:pStyle w:val="163"/>
              <w:spacing w:before="88" w:line="360" w:lineRule="auto"/>
              <w:ind w:left="101"/>
              <w:jc w:val="left"/>
              <w:rPr>
                <w:rFonts w:hAnsi="Times New Roman" w:cs="Times New Roman"/>
                <w:sz w:val="21"/>
                <w:szCs w:val="21"/>
                <w:lang w:val="en-US"/>
              </w:rPr>
            </w:pPr>
            <w:r>
              <w:rPr>
                <w:rFonts w:hAnsi="Times New Roman" w:cs="Times New Roman"/>
                <w:sz w:val="21"/>
                <w:szCs w:val="21"/>
                <w:lang w:val="en-US"/>
              </w:rPr>
              <w:t>门窗扇滑槽/传动机构/合页/滑撑/执手开启灵活。</w:t>
            </w:r>
          </w:p>
        </w:tc>
        <w:tc>
          <w:tcPr>
            <w:tcW w:w="978" w:type="pct"/>
            <w:tcBorders>
              <w:tl2br w:val="nil"/>
              <w:tr2bl w:val="nil"/>
            </w:tcBorders>
          </w:tcPr>
          <w:p>
            <w:pPr>
              <w:pStyle w:val="163"/>
              <w:spacing w:before="88" w:line="360" w:lineRule="auto"/>
              <w:ind w:left="101"/>
              <w:jc w:val="left"/>
              <w:rPr>
                <w:rFonts w:hAnsi="Times New Roman" w:cs="Times New Roman"/>
                <w:sz w:val="21"/>
                <w:szCs w:val="21"/>
                <w:lang w:val="en-US"/>
              </w:rPr>
            </w:pPr>
            <w:r>
              <w:rPr>
                <w:rFonts w:hAnsi="Times New Roman" w:cs="Times New Roman"/>
                <w:sz w:val="21"/>
                <w:szCs w:val="21"/>
                <w:lang w:val="en-US"/>
              </w:rPr>
              <w:t>玻璃内外片颜色及位置正确。Low-e膜面或磨砂面朝向符合设计及规范要求。</w:t>
            </w:r>
          </w:p>
        </w:tc>
        <w:tc>
          <w:tcPr>
            <w:tcW w:w="985" w:type="pct"/>
            <w:tcBorders>
              <w:tl2br w:val="nil"/>
              <w:tr2bl w:val="nil"/>
            </w:tcBorders>
          </w:tcPr>
          <w:p>
            <w:pPr>
              <w:pStyle w:val="163"/>
              <w:spacing w:before="88" w:line="360" w:lineRule="auto"/>
              <w:ind w:left="101"/>
              <w:jc w:val="left"/>
              <w:rPr>
                <w:rFonts w:hAnsi="Times New Roman" w:cs="Times New Roman"/>
                <w:sz w:val="21"/>
                <w:szCs w:val="21"/>
                <w:lang w:val="en-US"/>
              </w:rPr>
            </w:pPr>
            <w:r>
              <w:rPr>
                <w:rFonts w:hAnsi="Times New Roman" w:cs="Times New Roman"/>
                <w:sz w:val="21"/>
                <w:szCs w:val="21"/>
                <w:lang w:val="en-US"/>
              </w:rPr>
              <w:t>主副框间隙控制应采用专用主副框间隙的调整块，不得直接用紧固件控制主副框间隙。</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4" w:hRule="atLeast"/>
          <w:jc w:val="center"/>
        </w:trPr>
        <w:tc>
          <w:tcPr>
            <w:tcW w:w="1077" w:type="pct"/>
            <w:gridSpan w:val="2"/>
            <w:tcBorders>
              <w:tl2br w:val="nil"/>
              <w:tr2bl w:val="nil"/>
            </w:tcBorders>
            <w:vAlign w:val="center"/>
          </w:tcPr>
          <w:p>
            <w:pPr>
              <w:pStyle w:val="163"/>
              <w:spacing w:before="90" w:line="360" w:lineRule="auto"/>
              <w:ind w:left="101"/>
              <w:rPr>
                <w:rFonts w:hAnsi="Times New Roman" w:cs="Times New Roman"/>
                <w:spacing w:val="5"/>
                <w:sz w:val="21"/>
                <w:szCs w:val="21"/>
                <w:lang w:val="en-US"/>
              </w:rPr>
            </w:pPr>
            <w:r>
              <w:rPr>
                <w:rFonts w:hint="eastAsia" w:hAnsi="Times New Roman" w:cs="Times New Roman"/>
                <w:spacing w:val="5"/>
                <w:sz w:val="21"/>
                <w:szCs w:val="21"/>
                <w:lang w:val="en-US"/>
              </w:rPr>
              <w:t>备注</w:t>
            </w:r>
          </w:p>
        </w:tc>
        <w:tc>
          <w:tcPr>
            <w:tcW w:w="3922" w:type="pct"/>
            <w:gridSpan w:val="4"/>
            <w:tcBorders>
              <w:tl2br w:val="nil"/>
              <w:tr2bl w:val="nil"/>
            </w:tcBorders>
          </w:tcPr>
          <w:p>
            <w:pPr>
              <w:pStyle w:val="163"/>
              <w:spacing w:before="90" w:line="360" w:lineRule="auto"/>
              <w:ind w:left="101"/>
              <w:jc w:val="left"/>
              <w:rPr>
                <w:rFonts w:hAnsi="Times New Roman" w:cs="Times New Roman"/>
                <w:kern w:val="0"/>
                <w:sz w:val="21"/>
                <w:szCs w:val="21"/>
                <w:lang w:val="en-US" w:bidi="ar-SA"/>
              </w:rPr>
            </w:pPr>
            <w:r>
              <w:rPr>
                <w:rFonts w:hint="eastAsia" w:hAnsi="Times New Roman" w:cs="Times New Roman"/>
                <w:kern w:val="0"/>
                <w:sz w:val="21"/>
                <w:szCs w:val="21"/>
                <w:lang w:val="en-US" w:bidi="ar-SA"/>
              </w:rPr>
              <w:t>1：A级100分，B级75分，C级50分，D级25分；</w:t>
            </w:r>
          </w:p>
          <w:p>
            <w:pPr>
              <w:pStyle w:val="163"/>
              <w:spacing w:before="90" w:line="360" w:lineRule="auto"/>
              <w:ind w:left="101"/>
              <w:jc w:val="left"/>
              <w:rPr>
                <w:rFonts w:hAnsi="Times New Roman" w:cs="Times New Roman"/>
                <w:kern w:val="0"/>
                <w:sz w:val="21"/>
                <w:szCs w:val="21"/>
                <w:lang w:val="en-US" w:bidi="ar-SA"/>
              </w:rPr>
            </w:pPr>
            <w:r>
              <w:rPr>
                <w:rFonts w:hint="eastAsia" w:hAnsi="Times New Roman" w:cs="Times New Roman"/>
                <w:kern w:val="0"/>
                <w:sz w:val="21"/>
                <w:szCs w:val="21"/>
                <w:lang w:val="en-US" w:bidi="ar-SA"/>
              </w:rPr>
              <w:t>2：在满足D级的要求基础上，每多满足一项提高一级。</w:t>
            </w:r>
          </w:p>
        </w:tc>
      </w:tr>
    </w:tbl>
    <w:p>
      <w:pPr>
        <w:spacing w:line="360" w:lineRule="auto"/>
        <w:jc w:val="left"/>
        <w:rPr>
          <w:kern w:val="0"/>
          <w:sz w:val="24"/>
        </w:rPr>
      </w:pPr>
      <w:r>
        <w:rPr>
          <w:rFonts w:hint="eastAsia"/>
          <w:kern w:val="0"/>
          <w:sz w:val="24"/>
        </w:rPr>
        <w:t>C.0.8 门窗工程过程施工记录评定应符合表C.0.8的规定</w:t>
      </w:r>
    </w:p>
    <w:p>
      <w:pPr>
        <w:spacing w:line="360" w:lineRule="auto"/>
        <w:jc w:val="center"/>
        <w:rPr>
          <w:rFonts w:ascii="宋体" w:hAnsi="宋体" w:cs="宋体"/>
          <w:kern w:val="0"/>
          <w:szCs w:val="21"/>
        </w:rPr>
      </w:pPr>
      <w:r>
        <w:rPr>
          <w:rFonts w:hint="eastAsia" w:ascii="宋体" w:hAnsi="宋体" w:cs="宋体"/>
          <w:kern w:val="0"/>
          <w:szCs w:val="21"/>
        </w:rPr>
        <w:t>表C.0.8 门窗过程施工记录评分表</w:t>
      </w:r>
    </w:p>
    <w:tbl>
      <w:tblPr>
        <w:tblStyle w:val="39"/>
        <w:tblW w:w="4999"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64"/>
        <w:gridCol w:w="1077"/>
        <w:gridCol w:w="1690"/>
        <w:gridCol w:w="1715"/>
        <w:gridCol w:w="1829"/>
        <w:gridCol w:w="144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856" w:type="dxa"/>
            <w:vMerge w:val="restart"/>
            <w:tcBorders>
              <w:tl2br w:val="nil"/>
              <w:tr2bl w:val="nil"/>
            </w:tcBorders>
            <w:vAlign w:val="center"/>
          </w:tcPr>
          <w:p>
            <w:pPr>
              <w:spacing w:line="360" w:lineRule="auto"/>
              <w:rPr>
                <w:kern w:val="0"/>
                <w:szCs w:val="21"/>
              </w:rPr>
            </w:pPr>
            <w:r>
              <w:rPr>
                <w:rFonts w:hint="eastAsia"/>
                <w:kern w:val="0"/>
                <w:szCs w:val="21"/>
              </w:rPr>
              <w:t>序号</w:t>
            </w:r>
          </w:p>
        </w:tc>
        <w:tc>
          <w:tcPr>
            <w:tcW w:w="1209" w:type="dxa"/>
            <w:vMerge w:val="restart"/>
            <w:tcBorders>
              <w:tl2br w:val="nil"/>
              <w:tr2bl w:val="nil"/>
            </w:tcBorders>
            <w:vAlign w:val="center"/>
          </w:tcPr>
          <w:p>
            <w:pPr>
              <w:spacing w:line="360" w:lineRule="auto"/>
              <w:rPr>
                <w:kern w:val="0"/>
                <w:szCs w:val="21"/>
              </w:rPr>
            </w:pPr>
            <w:r>
              <w:rPr>
                <w:rFonts w:hint="eastAsia"/>
                <w:kern w:val="0"/>
                <w:szCs w:val="21"/>
              </w:rPr>
              <w:t>评价项目</w:t>
            </w:r>
          </w:p>
        </w:tc>
        <w:tc>
          <w:tcPr>
            <w:tcW w:w="7510" w:type="dxa"/>
            <w:gridSpan w:val="4"/>
            <w:tcBorders>
              <w:tl2br w:val="nil"/>
              <w:tr2bl w:val="nil"/>
            </w:tcBorders>
            <w:vAlign w:val="center"/>
          </w:tcPr>
          <w:p>
            <w:pPr>
              <w:spacing w:line="360" w:lineRule="auto"/>
              <w:jc w:val="center"/>
              <w:rPr>
                <w:kern w:val="0"/>
                <w:szCs w:val="21"/>
              </w:rPr>
            </w:pPr>
            <w:r>
              <w:rPr>
                <w:rFonts w:hint="eastAsia"/>
                <w:kern w:val="0"/>
                <w:szCs w:val="21"/>
              </w:rPr>
              <w:t>评定等级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856" w:type="dxa"/>
            <w:vMerge w:val="continue"/>
            <w:tcBorders>
              <w:tl2br w:val="nil"/>
              <w:tr2bl w:val="nil"/>
            </w:tcBorders>
            <w:vAlign w:val="center"/>
          </w:tcPr>
          <w:p>
            <w:pPr>
              <w:spacing w:line="360" w:lineRule="auto"/>
              <w:rPr>
                <w:kern w:val="0"/>
                <w:szCs w:val="21"/>
              </w:rPr>
            </w:pPr>
          </w:p>
        </w:tc>
        <w:tc>
          <w:tcPr>
            <w:tcW w:w="1209" w:type="dxa"/>
            <w:vMerge w:val="continue"/>
            <w:tcBorders>
              <w:tl2br w:val="nil"/>
              <w:tr2bl w:val="nil"/>
            </w:tcBorders>
            <w:vAlign w:val="center"/>
          </w:tcPr>
          <w:p>
            <w:pPr>
              <w:spacing w:line="360" w:lineRule="auto"/>
              <w:rPr>
                <w:kern w:val="0"/>
                <w:szCs w:val="21"/>
              </w:rPr>
            </w:pPr>
          </w:p>
        </w:tc>
        <w:tc>
          <w:tcPr>
            <w:tcW w:w="1901" w:type="dxa"/>
            <w:tcBorders>
              <w:tl2br w:val="nil"/>
              <w:tr2bl w:val="nil"/>
            </w:tcBorders>
          </w:tcPr>
          <w:p>
            <w:pPr>
              <w:spacing w:line="360" w:lineRule="auto"/>
              <w:rPr>
                <w:kern w:val="0"/>
                <w:szCs w:val="21"/>
              </w:rPr>
            </w:pPr>
            <w:r>
              <w:rPr>
                <w:rFonts w:hint="eastAsia"/>
                <w:kern w:val="0"/>
                <w:szCs w:val="21"/>
              </w:rPr>
              <w:t>A级</w:t>
            </w:r>
          </w:p>
        </w:tc>
        <w:tc>
          <w:tcPr>
            <w:tcW w:w="1928" w:type="dxa"/>
            <w:tcBorders>
              <w:tl2br w:val="nil"/>
              <w:tr2bl w:val="nil"/>
            </w:tcBorders>
          </w:tcPr>
          <w:p>
            <w:pPr>
              <w:spacing w:line="360" w:lineRule="auto"/>
              <w:rPr>
                <w:kern w:val="0"/>
                <w:szCs w:val="21"/>
              </w:rPr>
            </w:pPr>
            <w:r>
              <w:rPr>
                <w:rFonts w:hint="eastAsia"/>
                <w:kern w:val="0"/>
                <w:szCs w:val="21"/>
              </w:rPr>
              <w:t>B级</w:t>
            </w:r>
          </w:p>
        </w:tc>
        <w:tc>
          <w:tcPr>
            <w:tcW w:w="2057" w:type="dxa"/>
            <w:tcBorders>
              <w:tl2br w:val="nil"/>
              <w:tr2bl w:val="nil"/>
            </w:tcBorders>
          </w:tcPr>
          <w:p>
            <w:pPr>
              <w:spacing w:line="360" w:lineRule="auto"/>
              <w:rPr>
                <w:kern w:val="0"/>
                <w:szCs w:val="21"/>
              </w:rPr>
            </w:pPr>
            <w:r>
              <w:rPr>
                <w:rFonts w:hint="eastAsia"/>
                <w:kern w:val="0"/>
                <w:szCs w:val="21"/>
              </w:rPr>
              <w:t>C级</w:t>
            </w:r>
          </w:p>
        </w:tc>
        <w:tc>
          <w:tcPr>
            <w:tcW w:w="1624" w:type="dxa"/>
            <w:tcBorders>
              <w:tl2br w:val="nil"/>
              <w:tr2bl w:val="nil"/>
            </w:tcBorders>
          </w:tcPr>
          <w:p>
            <w:pPr>
              <w:spacing w:line="360" w:lineRule="auto"/>
              <w:rPr>
                <w:kern w:val="0"/>
                <w:szCs w:val="21"/>
              </w:rPr>
            </w:pPr>
            <w:r>
              <w:rPr>
                <w:rFonts w:hint="eastAsia"/>
                <w:kern w:val="0"/>
                <w:szCs w:val="21"/>
              </w:rPr>
              <w:t>D级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9" w:hRule="atLeast"/>
          <w:jc w:val="center"/>
        </w:trPr>
        <w:tc>
          <w:tcPr>
            <w:tcW w:w="856" w:type="dxa"/>
            <w:tcBorders>
              <w:tl2br w:val="nil"/>
              <w:tr2bl w:val="nil"/>
            </w:tcBorders>
            <w:vAlign w:val="center"/>
          </w:tcPr>
          <w:p>
            <w:pPr>
              <w:spacing w:line="360" w:lineRule="auto"/>
              <w:rPr>
                <w:kern w:val="0"/>
                <w:szCs w:val="21"/>
              </w:rPr>
            </w:pPr>
            <w:r>
              <w:rPr>
                <w:rFonts w:hint="eastAsia"/>
                <w:kern w:val="0"/>
                <w:szCs w:val="21"/>
              </w:rPr>
              <w:t>1</w:t>
            </w:r>
          </w:p>
        </w:tc>
        <w:tc>
          <w:tcPr>
            <w:tcW w:w="1209" w:type="dxa"/>
            <w:tcBorders>
              <w:tl2br w:val="nil"/>
              <w:tr2bl w:val="nil"/>
            </w:tcBorders>
            <w:vAlign w:val="center"/>
          </w:tcPr>
          <w:p>
            <w:pPr>
              <w:spacing w:line="360" w:lineRule="auto"/>
              <w:jc w:val="left"/>
              <w:rPr>
                <w:kern w:val="0"/>
                <w:szCs w:val="21"/>
              </w:rPr>
            </w:pPr>
            <w:r>
              <w:rPr>
                <w:rFonts w:hint="eastAsia" w:ascii="宋体" w:hAnsi="宋体" w:cs="宋体"/>
                <w:kern w:val="0"/>
                <w:szCs w:val="21"/>
              </w:rPr>
              <w:t>门窗过程施工记录</w:t>
            </w:r>
          </w:p>
        </w:tc>
        <w:tc>
          <w:tcPr>
            <w:tcW w:w="1901" w:type="dxa"/>
            <w:tcBorders>
              <w:tl2br w:val="nil"/>
              <w:tr2bl w:val="nil"/>
            </w:tcBorders>
          </w:tcPr>
          <w:p>
            <w:pPr>
              <w:spacing w:line="360" w:lineRule="auto"/>
              <w:rPr>
                <w:kern w:val="0"/>
                <w:szCs w:val="21"/>
              </w:rPr>
            </w:pPr>
            <w:r>
              <w:rPr>
                <w:rFonts w:hint="eastAsia"/>
                <w:kern w:val="0"/>
                <w:szCs w:val="21"/>
              </w:rPr>
              <w:t>门窗工程过程施工记录完整，包含视频、照片及文字记录。</w:t>
            </w:r>
          </w:p>
        </w:tc>
        <w:tc>
          <w:tcPr>
            <w:tcW w:w="1928" w:type="dxa"/>
            <w:tcBorders>
              <w:tl2br w:val="nil"/>
              <w:tr2bl w:val="nil"/>
            </w:tcBorders>
          </w:tcPr>
          <w:p>
            <w:pPr>
              <w:spacing w:line="360" w:lineRule="auto"/>
              <w:rPr>
                <w:kern w:val="0"/>
                <w:szCs w:val="21"/>
              </w:rPr>
            </w:pPr>
            <w:r>
              <w:rPr>
                <w:rFonts w:hint="eastAsia"/>
                <w:kern w:val="0"/>
                <w:szCs w:val="21"/>
              </w:rPr>
              <w:t>门窗工程过程施工记录文字记录完整，无视频、照片记录</w:t>
            </w:r>
          </w:p>
        </w:tc>
        <w:tc>
          <w:tcPr>
            <w:tcW w:w="2057" w:type="dxa"/>
            <w:tcBorders>
              <w:tl2br w:val="nil"/>
              <w:tr2bl w:val="nil"/>
            </w:tcBorders>
          </w:tcPr>
          <w:p>
            <w:pPr>
              <w:spacing w:line="360" w:lineRule="auto"/>
              <w:rPr>
                <w:kern w:val="0"/>
                <w:szCs w:val="21"/>
              </w:rPr>
            </w:pPr>
            <w:r>
              <w:rPr>
                <w:rFonts w:hint="eastAsia"/>
                <w:kern w:val="0"/>
                <w:szCs w:val="21"/>
              </w:rPr>
              <w:t>门窗工程过程施工部分完整，隐蔽工程记录不完整，无视频、照片记录。</w:t>
            </w:r>
          </w:p>
        </w:tc>
        <w:tc>
          <w:tcPr>
            <w:tcW w:w="1624" w:type="dxa"/>
            <w:tcBorders>
              <w:tl2br w:val="nil"/>
              <w:tr2bl w:val="nil"/>
            </w:tcBorders>
          </w:tcPr>
          <w:p>
            <w:pPr>
              <w:spacing w:line="360" w:lineRule="auto"/>
              <w:rPr>
                <w:kern w:val="0"/>
                <w:szCs w:val="21"/>
              </w:rPr>
            </w:pPr>
            <w:r>
              <w:rPr>
                <w:rFonts w:hint="eastAsia"/>
                <w:kern w:val="0"/>
                <w:szCs w:val="21"/>
              </w:rPr>
              <w:t>无门窗工程过程施工记录</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9" w:hRule="atLeast"/>
          <w:jc w:val="center"/>
        </w:trPr>
        <w:tc>
          <w:tcPr>
            <w:tcW w:w="856" w:type="dxa"/>
            <w:tcBorders>
              <w:tl2br w:val="nil"/>
              <w:tr2bl w:val="nil"/>
            </w:tcBorders>
            <w:vAlign w:val="center"/>
          </w:tcPr>
          <w:p>
            <w:pPr>
              <w:spacing w:line="360" w:lineRule="auto"/>
              <w:rPr>
                <w:kern w:val="0"/>
                <w:szCs w:val="21"/>
              </w:rPr>
            </w:pPr>
            <w:r>
              <w:rPr>
                <w:rFonts w:hint="eastAsia"/>
                <w:kern w:val="0"/>
                <w:szCs w:val="21"/>
              </w:rPr>
              <w:t>备注</w:t>
            </w:r>
          </w:p>
        </w:tc>
        <w:tc>
          <w:tcPr>
            <w:tcW w:w="8719" w:type="dxa"/>
            <w:gridSpan w:val="5"/>
            <w:tcBorders>
              <w:tl2br w:val="nil"/>
              <w:tr2bl w:val="nil"/>
            </w:tcBorders>
            <w:vAlign w:val="center"/>
          </w:tcPr>
          <w:p>
            <w:pPr>
              <w:spacing w:line="360" w:lineRule="auto"/>
              <w:rPr>
                <w:kern w:val="0"/>
                <w:szCs w:val="21"/>
              </w:rPr>
            </w:pPr>
            <w:r>
              <w:rPr>
                <w:rFonts w:hint="eastAsia"/>
                <w:kern w:val="0"/>
                <w:szCs w:val="21"/>
              </w:rPr>
              <w:t>A级100分，B级75分，C级50分，D级25分</w:t>
            </w:r>
          </w:p>
        </w:tc>
      </w:tr>
    </w:tbl>
    <w:p>
      <w:pPr>
        <w:pStyle w:val="37"/>
        <w:widowControl w:val="0"/>
        <w:spacing w:line="276" w:lineRule="auto"/>
        <w:rPr>
          <w:rFonts w:hint="eastAsia" w:ascii="黑体" w:hAnsi="黑体" w:eastAsia="黑体" w:cs="黑体"/>
        </w:rPr>
        <w:sectPr>
          <w:headerReference r:id="rId19" w:type="default"/>
          <w:footerReference r:id="rId20" w:type="default"/>
          <w:pgSz w:w="11906" w:h="16838"/>
          <w:pgMar w:top="1440" w:right="1800" w:bottom="1440" w:left="1800" w:header="851" w:footer="992" w:gutter="0"/>
          <w:pgNumType w:fmt="decimal"/>
          <w:cols w:space="720" w:num="1"/>
          <w:docGrid w:type="lines" w:linePitch="312" w:charSpace="0"/>
        </w:sectPr>
      </w:pPr>
      <w:bookmarkStart w:id="97" w:name="_Toc3846"/>
      <w:bookmarkStart w:id="98" w:name="_Toc476591357"/>
      <w:bookmarkStart w:id="99" w:name="_Toc5798"/>
      <w:bookmarkStart w:id="100" w:name="_Toc10594"/>
      <w:bookmarkStart w:id="101" w:name="_Toc21526"/>
      <w:bookmarkStart w:id="102" w:name="_Toc7536"/>
      <w:bookmarkStart w:id="103" w:name="_Toc17992"/>
      <w:bookmarkStart w:id="104" w:name="_Toc9109"/>
      <w:bookmarkStart w:id="105" w:name="_Toc423700791"/>
      <w:bookmarkStart w:id="106" w:name="_Toc25730"/>
      <w:bookmarkStart w:id="107" w:name="_Toc404346265"/>
      <w:bookmarkStart w:id="108" w:name="_Toc25528"/>
      <w:bookmarkStart w:id="109" w:name="_Toc406357591"/>
      <w:bookmarkStart w:id="110" w:name="_Toc452977220"/>
      <w:bookmarkStart w:id="111" w:name="_Toc17697"/>
      <w:bookmarkStart w:id="112" w:name="_Toc11305"/>
      <w:bookmarkStart w:id="113" w:name="_Toc16201"/>
      <w:bookmarkStart w:id="114" w:name="_Toc26414"/>
      <w:bookmarkStart w:id="115" w:name="_Toc769"/>
      <w:bookmarkStart w:id="116" w:name="_Toc1517"/>
      <w:bookmarkStart w:id="117" w:name="_Toc415733136"/>
      <w:bookmarkStart w:id="118" w:name="_Toc21819"/>
      <w:bookmarkStart w:id="119" w:name="_Toc27748"/>
    </w:p>
    <w:p>
      <w:pPr>
        <w:pStyle w:val="37"/>
        <w:widowControl w:val="0"/>
        <w:spacing w:line="276" w:lineRule="auto"/>
        <w:outlineLvl w:val="0"/>
        <w:rPr>
          <w:rFonts w:hint="eastAsia" w:ascii="黑体" w:hAnsi="黑体" w:eastAsia="黑体" w:cs="黑体"/>
        </w:rPr>
      </w:pPr>
      <w:bookmarkStart w:id="120" w:name="_Toc5483"/>
      <w:r>
        <w:rPr>
          <w:rFonts w:hint="eastAsia" w:ascii="黑体" w:hAnsi="黑体" w:eastAsia="黑体" w:cs="黑体"/>
        </w:rPr>
        <w:t>本标准用词说明</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pPr>
        <w:widowControl w:val="0"/>
        <w:spacing w:line="276" w:lineRule="auto"/>
        <w:rPr>
          <w:kern w:val="0"/>
          <w:sz w:val="24"/>
        </w:rPr>
      </w:pPr>
      <w:r>
        <w:rPr>
          <w:kern w:val="0"/>
          <w:sz w:val="24"/>
        </w:rPr>
        <w:t>1  为便于在执行本</w:t>
      </w:r>
      <w:r>
        <w:rPr>
          <w:rFonts w:hint="eastAsia"/>
          <w:kern w:val="0"/>
          <w:sz w:val="24"/>
        </w:rPr>
        <w:t>标准</w:t>
      </w:r>
      <w:r>
        <w:rPr>
          <w:kern w:val="0"/>
          <w:sz w:val="24"/>
        </w:rPr>
        <w:t>条文时区别对待，对要求严格程度不同的用词说明如下：</w:t>
      </w:r>
    </w:p>
    <w:p>
      <w:pPr>
        <w:widowControl w:val="0"/>
        <w:spacing w:line="276" w:lineRule="auto"/>
        <w:ind w:firstLine="480" w:firstLineChars="200"/>
        <w:rPr>
          <w:kern w:val="0"/>
          <w:sz w:val="24"/>
        </w:rPr>
      </w:pPr>
      <w:r>
        <w:rPr>
          <w:kern w:val="0"/>
          <w:sz w:val="24"/>
        </w:rPr>
        <w:t>1) 表示很严格，非这样做不可的；</w:t>
      </w:r>
    </w:p>
    <w:p>
      <w:pPr>
        <w:widowControl w:val="0"/>
        <w:spacing w:line="276" w:lineRule="auto"/>
        <w:ind w:firstLine="480" w:firstLineChars="200"/>
        <w:rPr>
          <w:kern w:val="0"/>
          <w:sz w:val="24"/>
        </w:rPr>
      </w:pPr>
      <w:r>
        <w:rPr>
          <w:kern w:val="0"/>
          <w:sz w:val="24"/>
        </w:rPr>
        <w:t xml:space="preserve">   正面词采用“必须”，反面词采用“严禁”；</w:t>
      </w:r>
    </w:p>
    <w:p>
      <w:pPr>
        <w:widowControl w:val="0"/>
        <w:spacing w:line="276" w:lineRule="auto"/>
        <w:ind w:firstLine="480" w:firstLineChars="200"/>
        <w:rPr>
          <w:kern w:val="0"/>
          <w:sz w:val="24"/>
        </w:rPr>
      </w:pPr>
      <w:r>
        <w:rPr>
          <w:kern w:val="0"/>
          <w:sz w:val="24"/>
        </w:rPr>
        <w:t>2) 表示严格，在正常情况下均应这样做的；</w:t>
      </w:r>
    </w:p>
    <w:p>
      <w:pPr>
        <w:widowControl w:val="0"/>
        <w:spacing w:line="276" w:lineRule="auto"/>
        <w:ind w:firstLine="480" w:firstLineChars="200"/>
        <w:rPr>
          <w:kern w:val="0"/>
          <w:sz w:val="24"/>
        </w:rPr>
      </w:pPr>
      <w:r>
        <w:rPr>
          <w:kern w:val="0"/>
          <w:sz w:val="24"/>
        </w:rPr>
        <w:t xml:space="preserve">   正面词采用“应”，反面词采用“不应”或“不得”；</w:t>
      </w:r>
    </w:p>
    <w:p>
      <w:pPr>
        <w:widowControl w:val="0"/>
        <w:spacing w:line="276" w:lineRule="auto"/>
        <w:ind w:firstLine="480" w:firstLineChars="200"/>
        <w:rPr>
          <w:kern w:val="0"/>
          <w:sz w:val="24"/>
        </w:rPr>
      </w:pPr>
      <w:r>
        <w:rPr>
          <w:kern w:val="0"/>
          <w:sz w:val="24"/>
        </w:rPr>
        <w:t>3) 表示允许稍有选择，在条件许可时首先应这样做的：</w:t>
      </w:r>
    </w:p>
    <w:p>
      <w:pPr>
        <w:widowControl w:val="0"/>
        <w:spacing w:line="276" w:lineRule="auto"/>
        <w:ind w:firstLine="480" w:firstLineChars="200"/>
        <w:rPr>
          <w:kern w:val="0"/>
          <w:sz w:val="24"/>
        </w:rPr>
      </w:pPr>
      <w:r>
        <w:rPr>
          <w:kern w:val="0"/>
          <w:sz w:val="24"/>
        </w:rPr>
        <w:t xml:space="preserve">   正面词采用“宜”，反面词采用“不宜”；</w:t>
      </w:r>
    </w:p>
    <w:p>
      <w:pPr>
        <w:widowControl w:val="0"/>
        <w:spacing w:line="276" w:lineRule="auto"/>
        <w:ind w:firstLine="480" w:firstLineChars="200"/>
        <w:rPr>
          <w:kern w:val="0"/>
          <w:sz w:val="24"/>
        </w:rPr>
      </w:pPr>
      <w:r>
        <w:rPr>
          <w:kern w:val="0"/>
          <w:sz w:val="24"/>
        </w:rPr>
        <w:t xml:space="preserve">   表示有选择，在一定条件下可以这样做的，采用“可”。</w:t>
      </w:r>
    </w:p>
    <w:p>
      <w:pPr>
        <w:widowControl w:val="0"/>
        <w:spacing w:line="276" w:lineRule="auto"/>
        <w:rPr>
          <w:kern w:val="0"/>
          <w:sz w:val="24"/>
        </w:rPr>
      </w:pPr>
      <w:r>
        <w:rPr>
          <w:kern w:val="0"/>
          <w:sz w:val="24"/>
        </w:rPr>
        <w:t>2  条文中指明应按其他有关标准执行的写法为：“应符合……的规定”或“应按……执行”。</w:t>
      </w:r>
    </w:p>
    <w:p>
      <w:pPr>
        <w:widowControl w:val="0"/>
        <w:spacing w:line="276" w:lineRule="auto"/>
        <w:jc w:val="left"/>
        <w:rPr>
          <w:kern w:val="0"/>
          <w:sz w:val="24"/>
        </w:rPr>
      </w:pPr>
      <w:bookmarkStart w:id="121" w:name="_Toc366602978"/>
      <w:r>
        <w:rPr>
          <w:kern w:val="0"/>
          <w:sz w:val="24"/>
        </w:rPr>
        <w:br w:type="page"/>
      </w:r>
    </w:p>
    <w:p>
      <w:pPr>
        <w:pStyle w:val="37"/>
        <w:widowControl w:val="0"/>
        <w:spacing w:line="276" w:lineRule="auto"/>
        <w:rPr>
          <w:rFonts w:hint="eastAsia" w:ascii="黑体" w:hAnsi="黑体" w:eastAsia="黑体" w:cs="黑体"/>
        </w:rPr>
      </w:pPr>
      <w:bookmarkStart w:id="122" w:name="_Toc25958"/>
      <w:bookmarkStart w:id="123" w:name="_Toc29316"/>
      <w:bookmarkStart w:id="124" w:name="_Toc423700792"/>
      <w:bookmarkStart w:id="125" w:name="_Toc15180"/>
      <w:bookmarkStart w:id="126" w:name="_Toc30228"/>
      <w:bookmarkStart w:id="127" w:name="_Toc19097"/>
      <w:bookmarkStart w:id="128" w:name="_Toc452977221"/>
      <w:bookmarkStart w:id="129" w:name="_Toc15665"/>
      <w:bookmarkStart w:id="130" w:name="_Toc14808"/>
      <w:bookmarkStart w:id="131" w:name="_Toc12125"/>
      <w:bookmarkStart w:id="132" w:name="_Toc14192"/>
      <w:bookmarkStart w:id="133" w:name="_Toc404346266"/>
      <w:bookmarkStart w:id="134" w:name="_Toc21825"/>
      <w:bookmarkStart w:id="135" w:name="_Toc476591358"/>
      <w:bookmarkStart w:id="136" w:name="_Toc24115"/>
      <w:bookmarkStart w:id="137" w:name="_Toc16148"/>
      <w:bookmarkStart w:id="138" w:name="_Toc5197"/>
      <w:bookmarkStart w:id="139" w:name="_Toc16506"/>
      <w:bookmarkStart w:id="140" w:name="_Toc7254"/>
      <w:bookmarkStart w:id="141" w:name="_Toc415733137"/>
      <w:bookmarkStart w:id="142" w:name="_Toc3672"/>
      <w:bookmarkStart w:id="143" w:name="_Toc406357592"/>
      <w:bookmarkStart w:id="144" w:name="_Toc4473"/>
      <w:bookmarkStart w:id="145" w:name="_Toc27415"/>
      <w:r>
        <w:rPr>
          <w:rFonts w:hint="eastAsia" w:ascii="黑体" w:hAnsi="黑体" w:eastAsia="黑体" w:cs="黑体"/>
        </w:rPr>
        <w:t>引用标准名录</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pPr>
        <w:pStyle w:val="161"/>
        <w:widowControl w:val="0"/>
        <w:numPr>
          <w:ilvl w:val="0"/>
          <w:numId w:val="20"/>
        </w:numPr>
        <w:spacing w:line="276" w:lineRule="auto"/>
        <w:ind w:left="420" w:firstLineChars="0"/>
        <w:rPr>
          <w:rFonts w:hint="eastAsia"/>
          <w:kern w:val="0"/>
          <w:sz w:val="24"/>
        </w:rPr>
      </w:pPr>
      <w:bookmarkStart w:id="146" w:name="_Toc406357593"/>
      <w:r>
        <w:rPr>
          <w:rFonts w:hint="eastAsia"/>
          <w:kern w:val="0"/>
          <w:sz w:val="24"/>
        </w:rPr>
        <w:t>《铝合金建筑型材</w:t>
      </w:r>
      <w:r>
        <w:rPr>
          <w:rFonts w:hint="eastAsia"/>
          <w:kern w:val="0"/>
          <w:sz w:val="24"/>
          <w:lang w:val="en-US" w:eastAsia="zh-CN"/>
        </w:rPr>
        <w:t xml:space="preserve"> </w:t>
      </w:r>
      <w:r>
        <w:rPr>
          <w:rFonts w:hint="eastAsia"/>
          <w:kern w:val="0"/>
          <w:sz w:val="24"/>
        </w:rPr>
        <w:t>第1部分：基材》 GB 5237.1</w:t>
      </w:r>
    </w:p>
    <w:p>
      <w:pPr>
        <w:pStyle w:val="161"/>
        <w:widowControl w:val="0"/>
        <w:numPr>
          <w:ilvl w:val="0"/>
          <w:numId w:val="20"/>
        </w:numPr>
        <w:spacing w:line="276" w:lineRule="auto"/>
        <w:ind w:left="420" w:firstLineChars="0"/>
        <w:rPr>
          <w:rFonts w:hint="eastAsia"/>
          <w:kern w:val="0"/>
          <w:sz w:val="24"/>
        </w:rPr>
      </w:pPr>
      <w:r>
        <w:rPr>
          <w:rFonts w:hint="eastAsia"/>
          <w:kern w:val="0"/>
          <w:sz w:val="24"/>
        </w:rPr>
        <w:t>《铝合金建筑型材</w:t>
      </w:r>
      <w:r>
        <w:rPr>
          <w:rFonts w:hint="eastAsia"/>
          <w:kern w:val="0"/>
          <w:sz w:val="24"/>
          <w:lang w:val="en-US" w:eastAsia="zh-CN"/>
        </w:rPr>
        <w:t xml:space="preserve"> </w:t>
      </w:r>
      <w:r>
        <w:rPr>
          <w:rFonts w:hint="eastAsia"/>
          <w:kern w:val="0"/>
          <w:sz w:val="24"/>
        </w:rPr>
        <w:t>第</w:t>
      </w:r>
      <w:r>
        <w:rPr>
          <w:rFonts w:hint="eastAsia"/>
          <w:kern w:val="0"/>
          <w:sz w:val="24"/>
          <w:lang w:val="en-US" w:eastAsia="zh-CN"/>
        </w:rPr>
        <w:t>2</w:t>
      </w:r>
      <w:r>
        <w:rPr>
          <w:rFonts w:hint="eastAsia"/>
          <w:kern w:val="0"/>
          <w:sz w:val="24"/>
        </w:rPr>
        <w:t>部分：</w:t>
      </w:r>
      <w:r>
        <w:rPr>
          <w:rFonts w:hint="eastAsia"/>
          <w:kern w:val="0"/>
          <w:sz w:val="24"/>
          <w:lang w:val="en-US" w:eastAsia="zh-CN"/>
        </w:rPr>
        <w:t>阳极氧化型材</w:t>
      </w:r>
      <w:r>
        <w:rPr>
          <w:rFonts w:hint="eastAsia"/>
          <w:kern w:val="0"/>
          <w:sz w:val="24"/>
        </w:rPr>
        <w:t>》 GB 5237.</w:t>
      </w:r>
      <w:r>
        <w:rPr>
          <w:rFonts w:hint="eastAsia"/>
          <w:kern w:val="0"/>
          <w:sz w:val="24"/>
          <w:lang w:val="en-US" w:eastAsia="zh-CN"/>
        </w:rPr>
        <w:t>2</w:t>
      </w:r>
    </w:p>
    <w:p>
      <w:pPr>
        <w:pStyle w:val="161"/>
        <w:widowControl w:val="0"/>
        <w:numPr>
          <w:ilvl w:val="0"/>
          <w:numId w:val="20"/>
        </w:numPr>
        <w:spacing w:line="276" w:lineRule="auto"/>
        <w:ind w:left="420" w:firstLineChars="0"/>
        <w:rPr>
          <w:rFonts w:hint="eastAsia"/>
          <w:kern w:val="0"/>
          <w:sz w:val="24"/>
        </w:rPr>
      </w:pPr>
      <w:r>
        <w:rPr>
          <w:rFonts w:hint="eastAsia"/>
          <w:kern w:val="0"/>
          <w:sz w:val="24"/>
        </w:rPr>
        <w:t>《铝合金建筑型材</w:t>
      </w:r>
      <w:r>
        <w:rPr>
          <w:rFonts w:hint="eastAsia"/>
          <w:kern w:val="0"/>
          <w:sz w:val="24"/>
          <w:lang w:val="en-US" w:eastAsia="zh-CN"/>
        </w:rPr>
        <w:t xml:space="preserve"> </w:t>
      </w:r>
      <w:r>
        <w:rPr>
          <w:rFonts w:hint="eastAsia"/>
          <w:kern w:val="0"/>
          <w:sz w:val="24"/>
        </w:rPr>
        <w:t>第</w:t>
      </w:r>
      <w:r>
        <w:rPr>
          <w:rFonts w:hint="eastAsia"/>
          <w:kern w:val="0"/>
          <w:sz w:val="24"/>
          <w:lang w:val="en-US" w:eastAsia="zh-CN"/>
        </w:rPr>
        <w:t>3</w:t>
      </w:r>
      <w:r>
        <w:rPr>
          <w:rFonts w:hint="eastAsia"/>
          <w:kern w:val="0"/>
          <w:sz w:val="24"/>
        </w:rPr>
        <w:t>部分：</w:t>
      </w:r>
      <w:r>
        <w:rPr>
          <w:rFonts w:hint="eastAsia"/>
          <w:kern w:val="0"/>
          <w:sz w:val="24"/>
          <w:lang w:val="en-US" w:eastAsia="zh-CN"/>
        </w:rPr>
        <w:t>电泳涂漆型材</w:t>
      </w:r>
      <w:r>
        <w:rPr>
          <w:rFonts w:hint="eastAsia"/>
          <w:kern w:val="0"/>
          <w:sz w:val="24"/>
        </w:rPr>
        <w:t>》 GB 5237.</w:t>
      </w:r>
      <w:r>
        <w:rPr>
          <w:rFonts w:hint="eastAsia"/>
          <w:kern w:val="0"/>
          <w:sz w:val="24"/>
          <w:lang w:val="en-US" w:eastAsia="zh-CN"/>
        </w:rPr>
        <w:t>3</w:t>
      </w:r>
    </w:p>
    <w:p>
      <w:pPr>
        <w:pStyle w:val="161"/>
        <w:widowControl w:val="0"/>
        <w:numPr>
          <w:ilvl w:val="0"/>
          <w:numId w:val="20"/>
        </w:numPr>
        <w:spacing w:line="276" w:lineRule="auto"/>
        <w:ind w:left="420" w:firstLineChars="0"/>
        <w:rPr>
          <w:rFonts w:hint="eastAsia"/>
          <w:kern w:val="0"/>
          <w:sz w:val="24"/>
        </w:rPr>
      </w:pPr>
      <w:r>
        <w:rPr>
          <w:rFonts w:hint="eastAsia"/>
          <w:kern w:val="0"/>
          <w:sz w:val="24"/>
        </w:rPr>
        <w:t>《铝合金建筑型材</w:t>
      </w:r>
      <w:r>
        <w:rPr>
          <w:rFonts w:hint="eastAsia"/>
          <w:kern w:val="0"/>
          <w:sz w:val="24"/>
          <w:lang w:val="en-US" w:eastAsia="zh-CN"/>
        </w:rPr>
        <w:t xml:space="preserve"> </w:t>
      </w:r>
      <w:r>
        <w:rPr>
          <w:rFonts w:hint="eastAsia"/>
          <w:kern w:val="0"/>
          <w:sz w:val="24"/>
        </w:rPr>
        <w:t>第</w:t>
      </w:r>
      <w:r>
        <w:rPr>
          <w:rFonts w:hint="eastAsia"/>
          <w:kern w:val="0"/>
          <w:sz w:val="24"/>
          <w:lang w:val="en-US" w:eastAsia="zh-CN"/>
        </w:rPr>
        <w:t>4</w:t>
      </w:r>
      <w:r>
        <w:rPr>
          <w:rFonts w:hint="eastAsia"/>
          <w:kern w:val="0"/>
          <w:sz w:val="24"/>
        </w:rPr>
        <w:t>部分：</w:t>
      </w:r>
      <w:r>
        <w:rPr>
          <w:rFonts w:hint="eastAsia"/>
          <w:kern w:val="0"/>
          <w:sz w:val="24"/>
          <w:lang w:val="en-US" w:eastAsia="zh-CN"/>
        </w:rPr>
        <w:t>喷粉型材</w:t>
      </w:r>
      <w:r>
        <w:rPr>
          <w:rFonts w:hint="eastAsia"/>
          <w:kern w:val="0"/>
          <w:sz w:val="24"/>
        </w:rPr>
        <w:t>》 GB 5237.</w:t>
      </w:r>
      <w:r>
        <w:rPr>
          <w:rFonts w:hint="eastAsia"/>
          <w:kern w:val="0"/>
          <w:sz w:val="24"/>
          <w:lang w:val="en-US" w:eastAsia="zh-CN"/>
        </w:rPr>
        <w:t>4</w:t>
      </w:r>
    </w:p>
    <w:p>
      <w:pPr>
        <w:pStyle w:val="161"/>
        <w:widowControl w:val="0"/>
        <w:numPr>
          <w:ilvl w:val="0"/>
          <w:numId w:val="20"/>
        </w:numPr>
        <w:spacing w:line="276" w:lineRule="auto"/>
        <w:ind w:left="420" w:firstLineChars="0"/>
        <w:rPr>
          <w:rFonts w:hint="eastAsia"/>
          <w:kern w:val="0"/>
          <w:sz w:val="24"/>
        </w:rPr>
      </w:pPr>
      <w:r>
        <w:rPr>
          <w:rFonts w:hint="eastAsia"/>
          <w:kern w:val="0"/>
          <w:sz w:val="24"/>
        </w:rPr>
        <w:t>《铝合金建筑型材</w:t>
      </w:r>
      <w:r>
        <w:rPr>
          <w:rFonts w:hint="eastAsia"/>
          <w:kern w:val="0"/>
          <w:sz w:val="24"/>
          <w:lang w:val="en-US" w:eastAsia="zh-CN"/>
        </w:rPr>
        <w:t xml:space="preserve"> </w:t>
      </w:r>
      <w:r>
        <w:rPr>
          <w:rFonts w:hint="eastAsia"/>
          <w:kern w:val="0"/>
          <w:sz w:val="24"/>
        </w:rPr>
        <w:t>第</w:t>
      </w:r>
      <w:r>
        <w:rPr>
          <w:rFonts w:hint="eastAsia"/>
          <w:kern w:val="0"/>
          <w:sz w:val="24"/>
          <w:lang w:val="en-US" w:eastAsia="zh-CN"/>
        </w:rPr>
        <w:t>5</w:t>
      </w:r>
      <w:r>
        <w:rPr>
          <w:rFonts w:hint="eastAsia"/>
          <w:kern w:val="0"/>
          <w:sz w:val="24"/>
        </w:rPr>
        <w:t>部分：</w:t>
      </w:r>
      <w:r>
        <w:rPr>
          <w:rFonts w:hint="eastAsia"/>
          <w:kern w:val="0"/>
          <w:sz w:val="24"/>
          <w:lang w:val="en-US" w:eastAsia="zh-CN"/>
        </w:rPr>
        <w:t>喷漆型材</w:t>
      </w:r>
      <w:r>
        <w:rPr>
          <w:rFonts w:hint="eastAsia"/>
          <w:kern w:val="0"/>
          <w:sz w:val="24"/>
        </w:rPr>
        <w:t>》 GB 5237.</w:t>
      </w:r>
      <w:r>
        <w:rPr>
          <w:rFonts w:hint="eastAsia"/>
          <w:kern w:val="0"/>
          <w:sz w:val="24"/>
          <w:lang w:val="en-US" w:eastAsia="zh-CN"/>
        </w:rPr>
        <w:t>5</w:t>
      </w:r>
    </w:p>
    <w:p>
      <w:pPr>
        <w:pStyle w:val="161"/>
        <w:widowControl w:val="0"/>
        <w:numPr>
          <w:ilvl w:val="0"/>
          <w:numId w:val="20"/>
        </w:numPr>
        <w:spacing w:line="276" w:lineRule="auto"/>
        <w:ind w:left="420" w:firstLineChars="0"/>
        <w:rPr>
          <w:rFonts w:hint="eastAsia"/>
          <w:kern w:val="0"/>
          <w:sz w:val="24"/>
        </w:rPr>
      </w:pPr>
      <w:r>
        <w:rPr>
          <w:rFonts w:hint="eastAsia"/>
          <w:kern w:val="0"/>
          <w:sz w:val="24"/>
        </w:rPr>
        <w:t>《铝合金建筑型材 第6部分：隔热型材》 GB 5237.6</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《建筑门窗洞口尺寸系列》 GB/T 5824</w:t>
      </w:r>
    </w:p>
    <w:p>
      <w:pPr>
        <w:pStyle w:val="161"/>
        <w:widowControl w:val="0"/>
        <w:numPr>
          <w:ilvl w:val="0"/>
          <w:numId w:val="20"/>
        </w:numPr>
        <w:spacing w:line="276" w:lineRule="auto"/>
        <w:ind w:left="0" w:firstLine="0" w:firstLineChars="0"/>
        <w:jc w:val="left"/>
        <w:rPr>
          <w:rFonts w:hint="eastAsia"/>
          <w:kern w:val="0"/>
          <w:sz w:val="24"/>
        </w:rPr>
      </w:pPr>
      <w:r>
        <w:rPr>
          <w:rFonts w:hint="eastAsia"/>
          <w:kern w:val="0"/>
          <w:sz w:val="24"/>
        </w:rPr>
        <w:t>《建筑门窗气密、水密、抗风压性能分级及检测方法》 GB/T 7106</w:t>
      </w:r>
    </w:p>
    <w:p>
      <w:pPr>
        <w:pStyle w:val="161"/>
        <w:widowControl w:val="0"/>
        <w:numPr>
          <w:ilvl w:val="0"/>
          <w:numId w:val="20"/>
        </w:numPr>
        <w:spacing w:line="276" w:lineRule="auto"/>
        <w:ind w:left="420" w:firstLineChars="0"/>
        <w:rPr>
          <w:rFonts w:hint="eastAsia"/>
          <w:kern w:val="0"/>
          <w:sz w:val="24"/>
        </w:rPr>
      </w:pPr>
      <w:r>
        <w:rPr>
          <w:rFonts w:hint="eastAsia"/>
          <w:kern w:val="0"/>
          <w:sz w:val="24"/>
        </w:rPr>
        <w:t>《铝合金门窗》 GB/T 8478</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《建筑外门窗保温性能分级及检测方法》 GB/T 8484</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《建筑门窗空气声隔声性能分级及检测方法》 GB/T 8485</w:t>
      </w:r>
    </w:p>
    <w:p>
      <w:pPr>
        <w:pStyle w:val="161"/>
        <w:widowControl w:val="0"/>
        <w:numPr>
          <w:ilvl w:val="0"/>
          <w:numId w:val="20"/>
        </w:numPr>
        <w:spacing w:line="276" w:lineRule="auto"/>
        <w:ind w:left="420" w:firstLineChars="0"/>
        <w:rPr>
          <w:rFonts w:hint="eastAsia"/>
          <w:kern w:val="0"/>
          <w:sz w:val="24"/>
        </w:rPr>
      </w:pPr>
      <w:r>
        <w:rPr>
          <w:rFonts w:hint="eastAsia"/>
          <w:kern w:val="0"/>
          <w:sz w:val="24"/>
        </w:rPr>
        <w:t>《门、窗用未增塑聚氯乙烯（PVC-U）型材》 GB/T 8814</w:t>
      </w:r>
    </w:p>
    <w:p>
      <w:pPr>
        <w:pStyle w:val="161"/>
        <w:widowControl w:val="0"/>
        <w:numPr>
          <w:ilvl w:val="0"/>
          <w:numId w:val="20"/>
        </w:numPr>
        <w:spacing w:line="276" w:lineRule="auto"/>
        <w:ind w:left="420" w:firstLineChars="0"/>
        <w:rPr>
          <w:rFonts w:hint="eastAsia"/>
          <w:kern w:val="0"/>
          <w:sz w:val="24"/>
        </w:rPr>
      </w:pPr>
      <w:r>
        <w:rPr>
          <w:rFonts w:hint="eastAsia"/>
          <w:kern w:val="0"/>
          <w:sz w:val="24"/>
        </w:rPr>
        <w:t xml:space="preserve">《中空玻璃》 </w:t>
      </w:r>
      <w:bookmarkStart w:id="155" w:name="_GoBack"/>
      <w:bookmarkEnd w:id="155"/>
      <w:r>
        <w:rPr>
          <w:rFonts w:hint="eastAsia"/>
          <w:kern w:val="0"/>
          <w:sz w:val="24"/>
        </w:rPr>
        <w:t>GB/T 11944</w:t>
      </w:r>
    </w:p>
    <w:p>
      <w:pPr>
        <w:pStyle w:val="161"/>
        <w:widowControl w:val="0"/>
        <w:numPr>
          <w:ilvl w:val="0"/>
          <w:numId w:val="20"/>
        </w:numPr>
        <w:spacing w:line="276" w:lineRule="auto"/>
        <w:ind w:left="420" w:firstLineChars="0"/>
        <w:rPr>
          <w:rFonts w:hint="eastAsia"/>
          <w:kern w:val="0"/>
          <w:sz w:val="24"/>
        </w:rPr>
      </w:pPr>
      <w:r>
        <w:rPr>
          <w:rFonts w:hint="eastAsia"/>
          <w:kern w:val="0"/>
          <w:sz w:val="24"/>
        </w:rPr>
        <w:t>《硅酮建筑密封胶》 GB/T 14683</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《建筑用硅酮结构密封胶》 GB 16776</w:t>
      </w:r>
    </w:p>
    <w:p>
      <w:pPr>
        <w:pStyle w:val="161"/>
        <w:widowControl w:val="0"/>
        <w:numPr>
          <w:ilvl w:val="0"/>
          <w:numId w:val="20"/>
        </w:numPr>
        <w:spacing w:line="276" w:lineRule="auto"/>
        <w:ind w:left="420" w:firstLineChars="0"/>
        <w:rPr>
          <w:rFonts w:hint="eastAsia"/>
          <w:kern w:val="0"/>
          <w:sz w:val="24"/>
        </w:rPr>
      </w:pPr>
      <w:r>
        <w:rPr>
          <w:rFonts w:hint="eastAsia"/>
          <w:kern w:val="0"/>
          <w:sz w:val="24"/>
        </w:rPr>
        <w:t>《钢门窗》 GB/T 20909</w:t>
      </w:r>
    </w:p>
    <w:p>
      <w:pPr>
        <w:pStyle w:val="161"/>
        <w:widowControl w:val="0"/>
        <w:numPr>
          <w:ilvl w:val="0"/>
          <w:numId w:val="20"/>
        </w:numPr>
        <w:spacing w:line="276" w:lineRule="auto"/>
        <w:ind w:left="420" w:firstLineChars="0"/>
        <w:rPr>
          <w:rFonts w:hint="eastAsia"/>
          <w:kern w:val="0"/>
          <w:sz w:val="24"/>
        </w:rPr>
      </w:pPr>
      <w:r>
        <w:rPr>
          <w:rFonts w:hint="eastAsia"/>
          <w:kern w:val="0"/>
          <w:sz w:val="24"/>
        </w:rPr>
        <w:t>《铝合金建筑型材用辅助材料 第1部分：聚酰胺隔热条》 GB/T 23615.1</w:t>
      </w:r>
    </w:p>
    <w:p>
      <w:pPr>
        <w:pStyle w:val="161"/>
        <w:widowControl w:val="0"/>
        <w:numPr>
          <w:ilvl w:val="0"/>
          <w:numId w:val="20"/>
        </w:numPr>
        <w:spacing w:line="276" w:lineRule="auto"/>
        <w:ind w:left="420" w:firstLineChars="0"/>
        <w:rPr>
          <w:rFonts w:hint="eastAsia"/>
          <w:kern w:val="0"/>
          <w:sz w:val="24"/>
        </w:rPr>
      </w:pPr>
      <w:r>
        <w:rPr>
          <w:kern w:val="0"/>
          <w:sz w:val="24"/>
        </w:rPr>
        <w:t>《铝合金建筑型材用辅助材料</w:t>
      </w:r>
      <w:r>
        <w:rPr>
          <w:rFonts w:hint="eastAsia"/>
          <w:kern w:val="0"/>
          <w:sz w:val="24"/>
        </w:rPr>
        <w:t xml:space="preserve"> 第2部分：聚氨酯隔热胶</w:t>
      </w:r>
      <w:r>
        <w:rPr>
          <w:kern w:val="0"/>
          <w:sz w:val="24"/>
        </w:rPr>
        <w:t>》</w:t>
      </w:r>
      <w:r>
        <w:rPr>
          <w:rFonts w:hint="eastAsia"/>
          <w:kern w:val="0"/>
          <w:sz w:val="24"/>
        </w:rPr>
        <w:t xml:space="preserve"> </w:t>
      </w:r>
      <w:r>
        <w:rPr>
          <w:kern w:val="0"/>
          <w:sz w:val="24"/>
        </w:rPr>
        <w:t>GB/T</w:t>
      </w:r>
      <w:r>
        <w:rPr>
          <w:rFonts w:hint="eastAsia"/>
          <w:kern w:val="0"/>
          <w:sz w:val="24"/>
        </w:rPr>
        <w:t xml:space="preserve"> </w:t>
      </w:r>
      <w:r>
        <w:rPr>
          <w:kern w:val="0"/>
          <w:sz w:val="24"/>
        </w:rPr>
        <w:t>23615.</w:t>
      </w:r>
      <w:r>
        <w:rPr>
          <w:rFonts w:hint="eastAsia"/>
          <w:kern w:val="0"/>
          <w:sz w:val="24"/>
        </w:rPr>
        <w:t>2</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《建筑门、窗幕墙用密封胶条》 GB/T 24498</w:t>
      </w:r>
    </w:p>
    <w:p>
      <w:pPr>
        <w:pStyle w:val="161"/>
        <w:widowControl w:val="0"/>
        <w:numPr>
          <w:ilvl w:val="0"/>
          <w:numId w:val="20"/>
        </w:numPr>
        <w:spacing w:line="276" w:lineRule="auto"/>
        <w:ind w:left="420" w:firstLineChars="0"/>
        <w:rPr>
          <w:rFonts w:hint="eastAsia"/>
          <w:kern w:val="0"/>
          <w:sz w:val="24"/>
        </w:rPr>
      </w:pPr>
      <w:r>
        <w:rPr>
          <w:rFonts w:hint="eastAsia"/>
          <w:kern w:val="0"/>
          <w:sz w:val="24"/>
        </w:rPr>
        <w:t>《木门窗》 GB/T 29498</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《建筑用节能门窗 第1部分：铝木复合门窗》 GB/T 29734.1</w:t>
      </w:r>
    </w:p>
    <w:p>
      <w:pPr>
        <w:pStyle w:val="161"/>
        <w:widowControl w:val="0"/>
        <w:numPr>
          <w:ilvl w:val="0"/>
          <w:numId w:val="20"/>
        </w:numPr>
        <w:spacing w:line="276" w:lineRule="auto"/>
        <w:ind w:left="420" w:firstLineChars="0"/>
        <w:rPr>
          <w:rFonts w:hint="eastAsia"/>
          <w:kern w:val="0"/>
          <w:sz w:val="24"/>
        </w:rPr>
      </w:pPr>
      <w:r>
        <w:rPr>
          <w:rFonts w:hint="eastAsia"/>
          <w:kern w:val="0"/>
          <w:sz w:val="24"/>
        </w:rPr>
        <w:t>《门窗反复启闭耐久性试验方法》 GB/T 29739</w:t>
      </w:r>
    </w:p>
    <w:p>
      <w:pPr>
        <w:pStyle w:val="161"/>
        <w:widowControl w:val="0"/>
        <w:numPr>
          <w:ilvl w:val="0"/>
          <w:numId w:val="20"/>
        </w:numPr>
        <w:spacing w:line="276" w:lineRule="auto"/>
        <w:ind w:left="420" w:firstLineChars="0"/>
        <w:rPr>
          <w:rFonts w:hint="eastAsia"/>
          <w:kern w:val="0"/>
          <w:sz w:val="24"/>
        </w:rPr>
      </w:pPr>
      <w:r>
        <w:rPr>
          <w:rFonts w:hint="eastAsia"/>
          <w:kern w:val="0"/>
          <w:sz w:val="24"/>
        </w:rPr>
        <w:t>《中空玻璃用弹性密封胶》 GB/T 29755</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《建筑门窗洞口尺寸协调要求》 GB/T 30591</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《建筑幕墙、门窗通用技术条件》 GB/T 31433</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《建筑门窗附框技术要求》GB/T 39866</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《建筑结构荷载规范》 GB 50009</w:t>
      </w:r>
    </w:p>
    <w:p>
      <w:pPr>
        <w:pStyle w:val="161"/>
        <w:widowControl w:val="0"/>
        <w:numPr>
          <w:ilvl w:val="0"/>
          <w:numId w:val="20"/>
        </w:numPr>
        <w:spacing w:line="276" w:lineRule="auto"/>
        <w:ind w:left="420" w:firstLineChars="0"/>
        <w:rPr>
          <w:rFonts w:hint="eastAsia"/>
          <w:kern w:val="0"/>
          <w:sz w:val="24"/>
        </w:rPr>
      </w:pPr>
      <w:r>
        <w:rPr>
          <w:rFonts w:hint="eastAsia"/>
          <w:kern w:val="0"/>
          <w:sz w:val="24"/>
        </w:rPr>
        <w:t>《民用建筑隔声设计规范》 GB 50118</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《建筑装饰装修工程施工质量验收标准》 GB 50210</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《建筑工程施工质量验收统一标准》 GB 50300</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《建筑节能工程施工质量验收标准》 GB 50411</w:t>
      </w:r>
    </w:p>
    <w:p>
      <w:pPr>
        <w:pStyle w:val="161"/>
        <w:widowControl w:val="0"/>
        <w:numPr>
          <w:ilvl w:val="0"/>
          <w:numId w:val="20"/>
        </w:numPr>
        <w:spacing w:line="276" w:lineRule="auto"/>
        <w:ind w:left="420" w:firstLineChars="0"/>
        <w:rPr>
          <w:rFonts w:hint="eastAsia"/>
          <w:kern w:val="0"/>
          <w:sz w:val="24"/>
        </w:rPr>
      </w:pPr>
      <w:r>
        <w:rPr>
          <w:rFonts w:hint="eastAsia"/>
          <w:sz w:val="24"/>
          <w:szCs w:val="24"/>
        </w:rPr>
        <w:t>《建筑门窗玻璃幕墙热工计算规程》J</w:t>
      </w:r>
      <w:r>
        <w:rPr>
          <w:sz w:val="24"/>
          <w:szCs w:val="24"/>
        </w:rPr>
        <w:t>GJ/</w:t>
      </w:r>
      <w:r>
        <w:rPr>
          <w:rFonts w:hint="eastAsia"/>
          <w:sz w:val="24"/>
          <w:szCs w:val="24"/>
        </w:rPr>
        <w:t>T</w:t>
      </w:r>
      <w:r>
        <w:rPr>
          <w:sz w:val="24"/>
          <w:szCs w:val="24"/>
        </w:rPr>
        <w:t xml:space="preserve"> 151</w:t>
      </w:r>
    </w:p>
    <w:p>
      <w:pPr>
        <w:pStyle w:val="161"/>
        <w:widowControl w:val="0"/>
        <w:numPr>
          <w:ilvl w:val="0"/>
          <w:numId w:val="20"/>
        </w:numPr>
        <w:spacing w:line="276" w:lineRule="auto"/>
        <w:ind w:left="420" w:firstLineChars="0"/>
        <w:rPr>
          <w:b/>
        </w:rPr>
      </w:pPr>
      <w:r>
        <w:rPr>
          <w:rFonts w:hint="eastAsia"/>
          <w:kern w:val="0"/>
          <w:sz w:val="24"/>
        </w:rPr>
        <w:t>《建筑门窗工程检测技术规程》JGJ/T 205</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《建筑玻璃应用技术规程》 JGJ 113</w:t>
      </w:r>
    </w:p>
    <w:p>
      <w:pPr>
        <w:pStyle w:val="161"/>
        <w:widowControl w:val="0"/>
        <w:numPr>
          <w:ilvl w:val="0"/>
          <w:numId w:val="20"/>
        </w:numPr>
        <w:spacing w:line="276" w:lineRule="auto"/>
        <w:ind w:left="420" w:firstLineChars="0"/>
        <w:rPr>
          <w:rFonts w:hint="eastAsia"/>
          <w:kern w:val="0"/>
          <w:sz w:val="24"/>
        </w:rPr>
      </w:pPr>
      <w:r>
        <w:rPr>
          <w:rFonts w:hint="eastAsia"/>
          <w:kern w:val="0"/>
          <w:sz w:val="24"/>
        </w:rPr>
        <w:t>《聚氯乙烯（PVC）门窗增强型钢》 JG/T 131</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《建筑用硬质塑料隔热条》 JG/T 174</w:t>
      </w:r>
    </w:p>
    <w:p>
      <w:pPr>
        <w:pStyle w:val="161"/>
        <w:widowControl w:val="0"/>
        <w:numPr>
          <w:ilvl w:val="0"/>
          <w:numId w:val="20"/>
        </w:numPr>
        <w:spacing w:line="276" w:lineRule="auto"/>
        <w:ind w:left="420" w:firstLineChars="0"/>
        <w:rPr>
          <w:rFonts w:hint="eastAsia"/>
          <w:kern w:val="0"/>
          <w:sz w:val="24"/>
        </w:rPr>
      </w:pPr>
      <w:r>
        <w:rPr>
          <w:rFonts w:hint="eastAsia"/>
          <w:kern w:val="0"/>
          <w:sz w:val="24"/>
        </w:rPr>
        <w:t>《聚硫建筑密封膏》 JC/T 483</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《建筑窗用弹性密封剂》 JC/T 485</w:t>
      </w:r>
    </w:p>
    <w:p>
      <w:pPr>
        <w:pStyle w:val="161"/>
        <w:widowControl w:val="0"/>
        <w:numPr>
          <w:ilvl w:val="0"/>
          <w:numId w:val="20"/>
        </w:numPr>
        <w:spacing w:line="276" w:lineRule="auto"/>
        <w:ind w:left="420" w:firstLineChars="0"/>
        <w:rPr>
          <w:rFonts w:hint="eastAsia"/>
          <w:kern w:val="0"/>
          <w:sz w:val="24"/>
        </w:rPr>
      </w:pPr>
      <w:r>
        <w:rPr>
          <w:rFonts w:hint="eastAsia"/>
          <w:kern w:val="0"/>
          <w:sz w:val="24"/>
        </w:rPr>
        <w:t>《建筑门窗密封毛条技术条件》 JC/T 635</w:t>
      </w:r>
    </w:p>
    <w:p>
      <w:pPr>
        <w:pStyle w:val="161"/>
        <w:widowControl w:val="0"/>
        <w:numPr>
          <w:ilvl w:val="0"/>
          <w:numId w:val="20"/>
        </w:numPr>
        <w:spacing w:line="276" w:lineRule="auto"/>
        <w:ind w:left="420" w:firstLineChars="0"/>
        <w:rPr>
          <w:rFonts w:hint="eastAsia"/>
          <w:kern w:val="0"/>
          <w:sz w:val="24"/>
        </w:rPr>
      </w:pPr>
      <w:r>
        <w:rPr>
          <w:rFonts w:hint="eastAsia"/>
          <w:kern w:val="0"/>
          <w:sz w:val="24"/>
        </w:rPr>
        <w:t>《中空玻璃用丁基热熔密封胶》 JC/T 914</w:t>
      </w:r>
    </w:p>
    <w:p>
      <w:pPr>
        <w:pStyle w:val="161"/>
        <w:widowControl w:val="0"/>
        <w:numPr>
          <w:ilvl w:val="0"/>
          <w:numId w:val="20"/>
        </w:numPr>
        <w:spacing w:line="276" w:lineRule="auto"/>
        <w:ind w:left="420" w:firstLineChars="0"/>
        <w:rPr>
          <w:rFonts w:hint="eastAsia"/>
          <w:kern w:val="0"/>
          <w:sz w:val="24"/>
        </w:rPr>
      </w:pPr>
      <w:r>
        <w:rPr>
          <w:rFonts w:hint="eastAsia"/>
          <w:kern w:val="0"/>
          <w:sz w:val="24"/>
        </w:rPr>
        <w:t>《单组分聚氨酯泡沫填缝剂》 JC/T 936</w:t>
      </w:r>
    </w:p>
    <w:p>
      <w:pPr>
        <w:pStyle w:val="161"/>
        <w:widowControl w:val="0"/>
        <w:numPr>
          <w:ilvl w:val="0"/>
          <w:numId w:val="20"/>
        </w:numPr>
        <w:spacing w:line="276" w:lineRule="auto"/>
        <w:ind w:left="420" w:firstLineChars="0"/>
        <w:rPr>
          <w:b/>
        </w:rPr>
      </w:pPr>
      <w:r>
        <w:rPr>
          <w:rFonts w:hint="eastAsia"/>
          <w:kern w:val="0"/>
          <w:sz w:val="24"/>
        </w:rPr>
        <w:t>《中空玻璃用干燥剂》 JC/T 2072</w:t>
      </w:r>
      <w:bookmarkEnd w:id="146"/>
    </w:p>
    <w:p>
      <w:pPr>
        <w:pStyle w:val="161"/>
        <w:widowControl w:val="0"/>
        <w:numPr>
          <w:ilvl w:val="0"/>
          <w:numId w:val="20"/>
        </w:numPr>
        <w:spacing w:line="276" w:lineRule="auto"/>
        <w:ind w:left="420" w:firstLineChars="0"/>
        <w:rPr>
          <w:b/>
        </w:rPr>
      </w:pPr>
      <w:r>
        <w:rPr>
          <w:rFonts w:hint="eastAsia"/>
          <w:kern w:val="0"/>
          <w:sz w:val="24"/>
        </w:rPr>
        <w:t>《透汽防水垫层》JC/T 2291</w:t>
      </w:r>
    </w:p>
    <w:p>
      <w:pPr>
        <w:pStyle w:val="161"/>
        <w:widowControl w:val="0"/>
        <w:numPr>
          <w:ilvl w:val="0"/>
          <w:numId w:val="20"/>
        </w:numPr>
        <w:spacing w:line="276" w:lineRule="auto"/>
        <w:ind w:left="420" w:firstLineChars="0"/>
        <w:rPr>
          <w:b/>
        </w:rPr>
        <w:sectPr>
          <w:pgSz w:w="11906" w:h="16838"/>
          <w:pgMar w:top="1440" w:right="1800" w:bottom="1440" w:left="1800" w:header="851" w:footer="992" w:gutter="0"/>
          <w:pgNumType w:fmt="decimal"/>
          <w:cols w:space="720" w:num="1"/>
          <w:docGrid w:type="lines" w:linePitch="312" w:charSpace="0"/>
        </w:sectPr>
      </w:pPr>
      <w:r>
        <w:rPr>
          <w:rFonts w:hint="eastAsia"/>
          <w:kern w:val="0"/>
          <w:sz w:val="24"/>
        </w:rPr>
        <w:t>《建筑节能工程施工质量验收规程》DGJ 08-113</w:t>
      </w:r>
    </w:p>
    <w:p>
      <w:pPr>
        <w:spacing w:line="255" w:lineRule="auto"/>
        <w:rPr>
          <w:rFonts w:ascii="Arial"/>
        </w:rPr>
      </w:pPr>
      <w:r>
        <w:drawing>
          <wp:anchor distT="0" distB="0" distL="0" distR="0" simplePos="0" relativeHeight="251668480" behindDoc="0" locked="0" layoutInCell="0" allowOverlap="1">
            <wp:simplePos x="0" y="0"/>
            <wp:positionH relativeFrom="page">
              <wp:posOffset>899160</wp:posOffset>
            </wp:positionH>
            <wp:positionV relativeFrom="page">
              <wp:posOffset>2694940</wp:posOffset>
            </wp:positionV>
            <wp:extent cx="6120130" cy="9525"/>
            <wp:effectExtent l="0" t="0" r="0" b="0"/>
            <wp:wrapNone/>
            <wp:docPr id="6" name="IM 1"/>
            <wp:cNvGraphicFramePr/>
            <a:graphic xmlns:a="http://schemas.openxmlformats.org/drawingml/2006/main">
              <a:graphicData uri="http://schemas.openxmlformats.org/drawingml/2006/picture">
                <pic:pic xmlns:pic="http://schemas.openxmlformats.org/drawingml/2006/picture">
                  <pic:nvPicPr>
                    <pic:cNvPr id="6" name="IM 1"/>
                    <pic:cNvPicPr/>
                  </pic:nvPicPr>
                  <pic:blipFill>
                    <a:blip r:embed="rId33"/>
                    <a:stretch>
                      <a:fillRect/>
                    </a:stretch>
                  </pic:blipFill>
                  <pic:spPr>
                    <a:xfrm>
                      <a:off x="0" y="0"/>
                      <a:ext cx="6120130" cy="9525"/>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698500</wp:posOffset>
            </wp:positionH>
            <wp:positionV relativeFrom="page">
              <wp:posOffset>9270365</wp:posOffset>
            </wp:positionV>
            <wp:extent cx="6120130" cy="9525"/>
            <wp:effectExtent l="0" t="0" r="0" b="0"/>
            <wp:wrapNone/>
            <wp:docPr id="7" name="IM 2"/>
            <wp:cNvGraphicFramePr/>
            <a:graphic xmlns:a="http://schemas.openxmlformats.org/drawingml/2006/main">
              <a:graphicData uri="http://schemas.openxmlformats.org/drawingml/2006/picture">
                <pic:pic xmlns:pic="http://schemas.openxmlformats.org/drawingml/2006/picture">
                  <pic:nvPicPr>
                    <pic:cNvPr id="7" name="IM 2"/>
                    <pic:cNvPicPr/>
                  </pic:nvPicPr>
                  <pic:blipFill>
                    <a:blip r:embed="rId34"/>
                    <a:stretch>
                      <a:fillRect/>
                    </a:stretch>
                  </pic:blipFill>
                  <pic:spPr>
                    <a:xfrm>
                      <a:off x="0" y="0"/>
                      <a:ext cx="6120130" cy="9525"/>
                    </a:xfrm>
                    <a:prstGeom prst="rect">
                      <a:avLst/>
                    </a:prstGeom>
                  </pic:spPr>
                </pic:pic>
              </a:graphicData>
            </a:graphic>
          </wp:anchor>
        </w:drawing>
      </w:r>
    </w:p>
    <w:p>
      <w:pPr>
        <w:spacing w:line="255" w:lineRule="auto"/>
        <w:rPr>
          <w:rFonts w:ascii="Arial"/>
        </w:rPr>
      </w:pPr>
    </w:p>
    <w:p>
      <w:pPr>
        <w:spacing w:line="256" w:lineRule="auto"/>
        <w:rPr>
          <w:rFonts w:ascii="Arial"/>
        </w:rPr>
      </w:pPr>
    </w:p>
    <w:p>
      <w:pPr>
        <w:spacing w:before="152" w:line="226" w:lineRule="auto"/>
        <w:ind w:left="371"/>
        <w:outlineLvl w:val="9"/>
        <w:rPr>
          <w:rFonts w:ascii="黑体" w:hAnsi="黑体" w:eastAsia="黑体" w:cs="黑体"/>
          <w:sz w:val="47"/>
          <w:szCs w:val="47"/>
        </w:rPr>
      </w:pPr>
      <w:r>
        <w:rPr>
          <w:rFonts w:ascii="黑体" w:hAnsi="黑体" w:eastAsia="黑体" w:cs="黑体"/>
          <w:spacing w:val="-51"/>
          <w:sz w:val="47"/>
          <w:szCs w:val="47"/>
        </w:rPr>
        <w:t>中</w:t>
      </w:r>
      <w:r>
        <w:rPr>
          <w:rFonts w:ascii="黑体" w:hAnsi="黑体" w:eastAsia="黑体" w:cs="黑体"/>
          <w:spacing w:val="-32"/>
          <w:sz w:val="47"/>
          <w:szCs w:val="47"/>
        </w:rPr>
        <w:t xml:space="preserve"> 国 工 程 建 设 标 准 化 协 会 团 体 标 准</w:t>
      </w:r>
    </w:p>
    <w:p>
      <w:pPr>
        <w:spacing w:before="264" w:line="388" w:lineRule="exact"/>
        <w:ind w:right="268"/>
        <w:jc w:val="right"/>
        <w:rPr>
          <w:rFonts w:ascii="黑体" w:hAnsi="黑体" w:eastAsia="黑体" w:cs="黑体"/>
          <w:sz w:val="28"/>
          <w:szCs w:val="28"/>
        </w:rPr>
      </w:pPr>
      <w:r>
        <w:rPr>
          <w:rFonts w:eastAsia="Times New Roman"/>
          <w:b/>
          <w:bCs/>
          <w:spacing w:val="-16"/>
          <w:position w:val="2"/>
          <w:sz w:val="28"/>
          <w:szCs w:val="28"/>
        </w:rPr>
        <w:t>T/CECS</w:t>
      </w:r>
      <w:r>
        <w:rPr>
          <w:rFonts w:eastAsia="Times New Roman"/>
          <w:spacing w:val="-16"/>
          <w:position w:val="2"/>
          <w:sz w:val="28"/>
          <w:szCs w:val="28"/>
        </w:rPr>
        <w:t xml:space="preserve">  </w:t>
      </w:r>
      <w:r>
        <w:rPr>
          <w:rFonts w:ascii="黑体" w:hAnsi="黑体" w:eastAsia="黑体" w:cs="黑体"/>
          <w:spacing w:val="-16"/>
          <w:position w:val="2"/>
          <w:sz w:val="28"/>
          <w:szCs w:val="28"/>
        </w:rPr>
        <w:t>× × ×—201X</w:t>
      </w:r>
    </w:p>
    <w:p>
      <w:pPr>
        <w:spacing w:line="247" w:lineRule="auto"/>
        <w:rPr>
          <w:rFonts w:ascii="Arial"/>
        </w:rPr>
      </w:pPr>
    </w:p>
    <w:p>
      <w:pPr>
        <w:spacing w:line="247" w:lineRule="auto"/>
        <w:rPr>
          <w:rFonts w:ascii="Arial"/>
        </w:rPr>
      </w:pPr>
    </w:p>
    <w:p>
      <w:pPr>
        <w:spacing w:line="247" w:lineRule="auto"/>
        <w:rPr>
          <w:rFonts w:ascii="Arial"/>
        </w:rPr>
      </w:pPr>
    </w:p>
    <w:p>
      <w:pPr>
        <w:spacing w:line="247" w:lineRule="auto"/>
        <w:rPr>
          <w:rFonts w:ascii="Arial"/>
        </w:rPr>
      </w:pPr>
    </w:p>
    <w:p>
      <w:pPr>
        <w:spacing w:line="247" w:lineRule="auto"/>
        <w:rPr>
          <w:rFonts w:ascii="Arial"/>
        </w:rPr>
      </w:pPr>
    </w:p>
    <w:p>
      <w:pPr>
        <w:spacing w:line="247" w:lineRule="auto"/>
        <w:rPr>
          <w:rFonts w:ascii="Arial"/>
        </w:rPr>
      </w:pPr>
    </w:p>
    <w:p>
      <w:pPr>
        <w:spacing w:line="247" w:lineRule="auto"/>
        <w:rPr>
          <w:rFonts w:ascii="Arial"/>
        </w:rPr>
      </w:pPr>
    </w:p>
    <w:p>
      <w:pPr>
        <w:spacing w:line="247" w:lineRule="auto"/>
        <w:rPr>
          <w:rFonts w:ascii="Arial"/>
        </w:rPr>
      </w:pPr>
    </w:p>
    <w:p>
      <w:pPr>
        <w:spacing w:line="247" w:lineRule="auto"/>
        <w:rPr>
          <w:rFonts w:ascii="Arial"/>
        </w:rPr>
      </w:pPr>
    </w:p>
    <w:p>
      <w:pPr>
        <w:spacing w:line="248" w:lineRule="auto"/>
        <w:rPr>
          <w:rFonts w:ascii="Arial"/>
        </w:rPr>
      </w:pPr>
    </w:p>
    <w:p>
      <w:pPr>
        <w:spacing w:before="169" w:line="222" w:lineRule="auto"/>
        <w:ind w:left="1804"/>
        <w:outlineLvl w:val="9"/>
        <w:rPr>
          <w:rFonts w:ascii="黑体" w:hAnsi="黑体" w:eastAsia="黑体" w:cs="黑体"/>
          <w:sz w:val="52"/>
          <w:szCs w:val="52"/>
        </w:rPr>
      </w:pPr>
      <w:r>
        <w:rPr>
          <w:rFonts w:ascii="黑体" w:hAnsi="黑体" w:eastAsia="黑体" w:cs="黑体"/>
          <w:spacing w:val="-2"/>
          <w:sz w:val="52"/>
          <w:szCs w:val="52"/>
        </w:rPr>
        <w:t>建筑门窗工程保</w:t>
      </w:r>
      <w:r>
        <w:rPr>
          <w:rFonts w:ascii="黑体" w:hAnsi="黑体" w:eastAsia="黑体" w:cs="黑体"/>
          <w:spacing w:val="-1"/>
          <w:sz w:val="52"/>
          <w:szCs w:val="52"/>
        </w:rPr>
        <w:t>险技术标准</w:t>
      </w:r>
    </w:p>
    <w:p>
      <w:pPr>
        <w:spacing w:line="271" w:lineRule="auto"/>
        <w:rPr>
          <w:rFonts w:ascii="Arial"/>
        </w:rPr>
      </w:pPr>
    </w:p>
    <w:p>
      <w:pPr>
        <w:spacing w:before="81" w:line="377" w:lineRule="exact"/>
        <w:ind w:left="1153"/>
        <w:rPr>
          <w:rFonts w:eastAsia="Times New Roman"/>
          <w:sz w:val="28"/>
          <w:szCs w:val="28"/>
        </w:rPr>
      </w:pPr>
      <w:r>
        <w:rPr>
          <w:rFonts w:eastAsia="Times New Roman"/>
          <w:spacing w:val="-1"/>
          <w:position w:val="5"/>
          <w:sz w:val="28"/>
          <w:szCs w:val="28"/>
        </w:rPr>
        <w:t xml:space="preserve">Standard </w:t>
      </w:r>
      <w:r>
        <w:rPr>
          <w:rFonts w:eastAsia="Times New Roman"/>
          <w:position w:val="5"/>
          <w:sz w:val="28"/>
          <w:szCs w:val="28"/>
        </w:rPr>
        <w:t>of</w:t>
      </w:r>
      <w:r>
        <w:rPr>
          <w:rFonts w:eastAsia="Times New Roman"/>
          <w:spacing w:val="-1"/>
          <w:position w:val="5"/>
          <w:sz w:val="28"/>
          <w:szCs w:val="28"/>
        </w:rPr>
        <w:t xml:space="preserve"> </w:t>
      </w:r>
      <w:r>
        <w:rPr>
          <w:rFonts w:eastAsia="Times New Roman"/>
          <w:position w:val="5"/>
          <w:sz w:val="28"/>
          <w:szCs w:val="28"/>
        </w:rPr>
        <w:t>construction</w:t>
      </w:r>
      <w:r>
        <w:rPr>
          <w:rFonts w:eastAsia="Times New Roman"/>
          <w:spacing w:val="-1"/>
          <w:position w:val="5"/>
          <w:sz w:val="28"/>
          <w:szCs w:val="28"/>
        </w:rPr>
        <w:t xml:space="preserve"> </w:t>
      </w:r>
      <w:r>
        <w:rPr>
          <w:rFonts w:eastAsia="Times New Roman"/>
          <w:position w:val="5"/>
          <w:sz w:val="28"/>
          <w:szCs w:val="28"/>
        </w:rPr>
        <w:t>doors</w:t>
      </w:r>
      <w:r>
        <w:rPr>
          <w:rFonts w:eastAsia="Times New Roman"/>
          <w:spacing w:val="-1"/>
          <w:position w:val="5"/>
          <w:sz w:val="28"/>
          <w:szCs w:val="28"/>
        </w:rPr>
        <w:t xml:space="preserve"> </w:t>
      </w:r>
      <w:r>
        <w:rPr>
          <w:rFonts w:eastAsia="Times New Roman"/>
          <w:position w:val="5"/>
          <w:sz w:val="28"/>
          <w:szCs w:val="28"/>
        </w:rPr>
        <w:t>and</w:t>
      </w:r>
      <w:r>
        <w:rPr>
          <w:rFonts w:eastAsia="Times New Roman"/>
          <w:spacing w:val="-1"/>
          <w:position w:val="5"/>
          <w:sz w:val="28"/>
          <w:szCs w:val="28"/>
        </w:rPr>
        <w:t xml:space="preserve"> </w:t>
      </w:r>
      <w:r>
        <w:rPr>
          <w:rFonts w:eastAsia="Times New Roman"/>
          <w:position w:val="5"/>
          <w:sz w:val="28"/>
          <w:szCs w:val="28"/>
        </w:rPr>
        <w:t>windows</w:t>
      </w:r>
      <w:r>
        <w:rPr>
          <w:rFonts w:eastAsia="Times New Roman"/>
          <w:spacing w:val="-1"/>
          <w:position w:val="5"/>
          <w:sz w:val="28"/>
          <w:szCs w:val="28"/>
        </w:rPr>
        <w:t xml:space="preserve"> </w:t>
      </w:r>
      <w:r>
        <w:rPr>
          <w:rFonts w:eastAsia="Times New Roman"/>
          <w:position w:val="5"/>
          <w:sz w:val="28"/>
          <w:szCs w:val="28"/>
        </w:rPr>
        <w:t>engineering</w:t>
      </w:r>
      <w:r>
        <w:rPr>
          <w:rFonts w:eastAsia="Times New Roman"/>
          <w:spacing w:val="-1"/>
          <w:position w:val="5"/>
          <w:sz w:val="28"/>
          <w:szCs w:val="28"/>
        </w:rPr>
        <w:t xml:space="preserve"> </w:t>
      </w:r>
      <w:r>
        <w:rPr>
          <w:rFonts w:eastAsia="Times New Roman"/>
          <w:position w:val="5"/>
          <w:sz w:val="28"/>
          <w:szCs w:val="28"/>
        </w:rPr>
        <w:t>insurance</w:t>
      </w:r>
    </w:p>
    <w:p>
      <w:pPr>
        <w:spacing w:line="242" w:lineRule="auto"/>
        <w:rPr>
          <w:rFonts w:ascii="Arial"/>
        </w:rPr>
      </w:pPr>
    </w:p>
    <w:p>
      <w:pPr>
        <w:spacing w:line="242" w:lineRule="auto"/>
        <w:rPr>
          <w:rFonts w:ascii="Arial"/>
        </w:rPr>
      </w:pPr>
    </w:p>
    <w:p>
      <w:pPr>
        <w:spacing w:line="242" w:lineRule="auto"/>
        <w:rPr>
          <w:rFonts w:ascii="Arial"/>
        </w:rPr>
      </w:pPr>
    </w:p>
    <w:p>
      <w:pPr>
        <w:spacing w:line="242" w:lineRule="auto"/>
        <w:rPr>
          <w:rFonts w:ascii="Arial"/>
        </w:rPr>
      </w:pPr>
    </w:p>
    <w:p>
      <w:pPr>
        <w:spacing w:before="141" w:line="223" w:lineRule="auto"/>
        <w:rPr>
          <w:rFonts w:ascii="宋体" w:hAnsi="宋体" w:cs="宋体"/>
          <w:spacing w:val="36"/>
          <w:sz w:val="43"/>
          <w:szCs w:val="43"/>
        </w:rPr>
      </w:pPr>
    </w:p>
    <w:p>
      <w:pPr>
        <w:spacing w:before="141" w:line="223" w:lineRule="auto"/>
        <w:jc w:val="center"/>
        <w:outlineLvl w:val="0"/>
        <w:rPr>
          <w:rFonts w:ascii="宋体" w:hAnsi="宋体" w:cs="宋体"/>
          <w:sz w:val="43"/>
          <w:szCs w:val="43"/>
        </w:rPr>
      </w:pPr>
      <w:bookmarkStart w:id="147" w:name="_Toc27925"/>
      <w:r>
        <w:rPr>
          <w:rFonts w:ascii="宋体" w:hAnsi="宋体" w:cs="宋体"/>
          <w:spacing w:val="36"/>
          <w:sz w:val="43"/>
          <w:szCs w:val="43"/>
        </w:rPr>
        <w:t>(</w:t>
      </w:r>
      <w:r>
        <w:rPr>
          <w:rFonts w:hint="eastAsia" w:ascii="宋体" w:hAnsi="宋体" w:cs="宋体"/>
          <w:spacing w:val="35"/>
          <w:sz w:val="43"/>
          <w:szCs w:val="43"/>
          <w14:textOutline w14:w="7975" w14:cap="sq" w14:cmpd="sng" w14:algn="ctr">
            <w14:solidFill>
              <w14:srgbClr w14:val="000000"/>
            </w14:solidFill>
            <w14:prstDash w14:val="solid"/>
            <w14:bevel/>
          </w14:textOutline>
        </w:rPr>
        <w:t>条文说明</w:t>
      </w:r>
      <w:r>
        <w:rPr>
          <w:rFonts w:ascii="宋体" w:hAnsi="宋体" w:cs="宋体"/>
          <w:spacing w:val="35"/>
          <w:sz w:val="43"/>
          <w:szCs w:val="43"/>
        </w:rPr>
        <w:t>)</w:t>
      </w:r>
      <w:bookmarkEnd w:id="147"/>
    </w:p>
    <w:p/>
    <w:p/>
    <w:p/>
    <w:p/>
    <w:p/>
    <w:p/>
    <w:p/>
    <w:p/>
    <w:p/>
    <w:p/>
    <w:p/>
    <w:p/>
    <w:p/>
    <w:p>
      <w:pPr>
        <w:sectPr>
          <w:pgSz w:w="11911" w:h="16838"/>
          <w:pgMar w:top="403" w:right="1417" w:bottom="924" w:left="1140" w:header="0" w:footer="714" w:gutter="0"/>
          <w:pgNumType w:fmt="decimal"/>
          <w:cols w:space="0" w:num="1"/>
        </w:sectPr>
      </w:pPr>
    </w:p>
    <w:p>
      <w:pPr>
        <w:spacing w:line="360" w:lineRule="auto"/>
        <w:jc w:val="left"/>
        <w:rPr>
          <w:rFonts w:ascii="黑体" w:hAnsi="黑体" w:eastAsia="黑体" w:cs="黑体"/>
          <w:spacing w:val="-6"/>
          <w:sz w:val="28"/>
          <w:szCs w:val="28"/>
        </w:rPr>
      </w:pPr>
      <w:r>
        <w:rPr>
          <w:rFonts w:ascii="黑体" w:hAnsi="黑体" w:eastAsia="黑体" w:cs="黑体"/>
          <w:spacing w:val="-6"/>
          <w:sz w:val="28"/>
          <w:szCs w:val="28"/>
        </w:rPr>
        <w:t>20XX-XX-X</w:t>
      </w:r>
      <w:r>
        <w:rPr>
          <w:rFonts w:ascii="黑体" w:hAnsi="黑体" w:eastAsia="黑体" w:cs="黑体"/>
          <w:spacing w:val="-4"/>
          <w:sz w:val="28"/>
          <w:szCs w:val="28"/>
        </w:rPr>
        <w:t>X</w:t>
      </w:r>
      <w:r>
        <w:rPr>
          <w:rFonts w:ascii="黑体" w:hAnsi="黑体" w:eastAsia="黑体" w:cs="黑体"/>
          <w:spacing w:val="-6"/>
          <w:sz w:val="28"/>
          <w:szCs w:val="28"/>
        </w:rPr>
        <w:t xml:space="preserve"> 发布</w:t>
      </w:r>
    </w:p>
    <w:p>
      <w:pPr>
        <w:spacing w:line="360" w:lineRule="auto"/>
        <w:jc w:val="left"/>
        <w:rPr>
          <w:rFonts w:ascii="黑体" w:hAnsi="黑体" w:eastAsia="黑体" w:cs="黑体"/>
          <w:sz w:val="28"/>
          <w:szCs w:val="28"/>
        </w:rPr>
      </w:pPr>
      <w:r>
        <w:rPr>
          <w:rFonts w:ascii="黑体" w:hAnsi="黑体" w:eastAsia="黑体" w:cs="黑体"/>
          <w:spacing w:val="-6"/>
          <w:sz w:val="28"/>
          <w:szCs w:val="28"/>
        </w:rPr>
        <w:t>20XX-XX-X</w:t>
      </w:r>
      <w:r>
        <w:rPr>
          <w:rFonts w:ascii="黑体" w:hAnsi="黑体" w:eastAsia="黑体" w:cs="黑体"/>
          <w:spacing w:val="-4"/>
          <w:sz w:val="28"/>
          <w:szCs w:val="28"/>
        </w:rPr>
        <w:t>X</w:t>
      </w:r>
      <w:r>
        <w:rPr>
          <w:rFonts w:ascii="黑体" w:hAnsi="黑体" w:eastAsia="黑体" w:cs="黑体"/>
          <w:spacing w:val="-6"/>
          <w:sz w:val="28"/>
          <w:szCs w:val="28"/>
        </w:rPr>
        <w:t xml:space="preserve"> 实施</w:t>
      </w:r>
    </w:p>
    <w:p>
      <w:pPr>
        <w:spacing w:line="360" w:lineRule="auto"/>
        <w:jc w:val="left"/>
        <w:sectPr>
          <w:type w:val="continuous"/>
          <w:pgSz w:w="11911" w:h="16838"/>
          <w:pgMar w:top="403" w:right="1417" w:bottom="924" w:left="1140" w:header="0" w:footer="714" w:gutter="0"/>
          <w:pgNumType w:fmt="decimal"/>
          <w:cols w:space="0" w:num="1"/>
        </w:sectPr>
      </w:pPr>
    </w:p>
    <w:p>
      <w:pPr>
        <w:spacing w:line="262" w:lineRule="auto"/>
        <w:rPr>
          <w:rFonts w:ascii="Arial"/>
        </w:rPr>
      </w:pPr>
    </w:p>
    <w:p>
      <w:pPr>
        <w:spacing w:line="263" w:lineRule="auto"/>
        <w:rPr>
          <w:rFonts w:ascii="Arial"/>
        </w:rPr>
      </w:pPr>
    </w:p>
    <w:p>
      <w:pPr>
        <w:spacing w:line="263" w:lineRule="auto"/>
        <w:rPr>
          <w:rFonts w:ascii="Arial"/>
        </w:rPr>
      </w:pPr>
    </w:p>
    <w:p>
      <w:pPr>
        <w:spacing w:before="91" w:line="221" w:lineRule="auto"/>
        <w:ind w:left="2216"/>
        <w:rPr>
          <w:rFonts w:ascii="黑体" w:hAnsi="黑体" w:eastAsia="黑体" w:cs="黑体"/>
          <w:sz w:val="28"/>
          <w:szCs w:val="28"/>
        </w:rPr>
      </w:pPr>
      <w:r>
        <w:rPr>
          <w:rFonts w:ascii="黑体" w:hAnsi="黑体" w:eastAsia="黑体" w:cs="黑体"/>
          <w:spacing w:val="99"/>
          <w:sz w:val="28"/>
          <w:szCs w:val="28"/>
        </w:rPr>
        <w:t>中</w:t>
      </w:r>
      <w:r>
        <w:rPr>
          <w:rFonts w:ascii="黑体" w:hAnsi="黑体" w:eastAsia="黑体" w:cs="黑体"/>
          <w:spacing w:val="88"/>
          <w:sz w:val="28"/>
          <w:szCs w:val="28"/>
        </w:rPr>
        <w:t>国工程建设标准化协会</w:t>
      </w:r>
      <w:r>
        <w:rPr>
          <w:rFonts w:ascii="黑体" w:hAnsi="黑体" w:eastAsia="黑体" w:cs="黑体"/>
          <w:spacing w:val="88"/>
          <w:position w:val="2"/>
          <w:sz w:val="28"/>
          <w:szCs w:val="28"/>
        </w:rPr>
        <w:t>发布</w:t>
      </w:r>
    </w:p>
    <w:p>
      <w:pPr>
        <w:sectPr>
          <w:type w:val="continuous"/>
          <w:pgSz w:w="11911" w:h="16838"/>
          <w:pgMar w:top="403" w:right="1417" w:bottom="924" w:left="1140" w:header="0" w:footer="714" w:gutter="0"/>
          <w:pgNumType w:fmt="decimal"/>
          <w:cols w:space="0" w:num="1"/>
        </w:sectPr>
      </w:pPr>
    </w:p>
    <w:p>
      <w:pPr>
        <w:spacing w:line="242" w:lineRule="auto"/>
        <w:rPr>
          <w:rFonts w:ascii="Arial"/>
        </w:rPr>
      </w:pPr>
    </w:p>
    <w:p>
      <w:pPr>
        <w:spacing w:before="101" w:line="228" w:lineRule="auto"/>
        <w:jc w:val="center"/>
        <w:outlineLvl w:val="0"/>
        <w:rPr>
          <w:rFonts w:ascii="黑体" w:hAnsi="黑体" w:eastAsia="黑体" w:cs="黑体"/>
          <w:sz w:val="31"/>
          <w:szCs w:val="31"/>
        </w:rPr>
      </w:pPr>
      <w:bookmarkStart w:id="148" w:name="_Toc713"/>
      <w:r>
        <w:rPr>
          <w:rFonts w:ascii="黑体" w:hAnsi="黑体" w:eastAsia="黑体" w:cs="黑体"/>
          <w:spacing w:val="-4"/>
          <w:sz w:val="31"/>
          <w:szCs w:val="31"/>
        </w:rPr>
        <w:t>目</w:t>
      </w:r>
      <w:r>
        <w:rPr>
          <w:rFonts w:ascii="黑体" w:hAnsi="黑体" w:eastAsia="黑体" w:cs="黑体"/>
          <w:spacing w:val="-3"/>
          <w:sz w:val="31"/>
          <w:szCs w:val="31"/>
        </w:rPr>
        <w:t xml:space="preserve">  次</w:t>
      </w:r>
      <w:bookmarkEnd w:id="148"/>
    </w:p>
    <w:p>
      <w:pPr>
        <w:pStyle w:val="24"/>
        <w:tabs>
          <w:tab w:val="right" w:leader="dot" w:pos="9360"/>
          <w:tab w:val="clear" w:pos="9242"/>
        </w:tabs>
        <w:spacing w:beforeLines="0" w:afterLines="0" w:line="360" w:lineRule="auto"/>
        <w:jc w:val="both"/>
      </w:pPr>
      <w:r>
        <w:rPr>
          <w:rFonts w:hint="eastAsia" w:hAnsi="宋体" w:cs="宋体"/>
        </w:rPr>
        <w:fldChar w:fldCharType="begin"/>
      </w:r>
      <w:r>
        <w:rPr>
          <w:rFonts w:hint="eastAsia" w:hAnsi="宋体" w:cs="宋体"/>
        </w:rPr>
        <w:instrText xml:space="preserve">TOC \o "1-1" \h \u </w:instrText>
      </w:r>
      <w:r>
        <w:rPr>
          <w:rFonts w:hint="eastAsia" w:hAnsi="宋体" w:cs="宋体"/>
        </w:rPr>
        <w:fldChar w:fldCharType="separate"/>
      </w:r>
      <w:r>
        <w:fldChar w:fldCharType="begin"/>
      </w:r>
      <w:r>
        <w:instrText xml:space="preserve"> HYPERLINK \l "_Toc6477" </w:instrText>
      </w:r>
      <w:r>
        <w:fldChar w:fldCharType="separate"/>
      </w:r>
      <w:r>
        <w:rPr>
          <w:rFonts w:hint="eastAsia" w:ascii="黑体" w:hAnsi="黑体" w:eastAsia="黑体" w:cs="黑体"/>
          <w:szCs w:val="32"/>
        </w:rPr>
        <w:t xml:space="preserve">1 </w:t>
      </w:r>
      <w:r>
        <w:rPr>
          <w:rFonts w:hint="eastAsia" w:ascii="黑体" w:hAnsi="黑体" w:eastAsia="黑体" w:cs="黑体"/>
          <w:szCs w:val="32"/>
          <w:lang w:val="zh-CN"/>
        </w:rPr>
        <w:t>总</w:t>
      </w:r>
      <w:r>
        <w:rPr>
          <w:rFonts w:hint="eastAsia" w:ascii="黑体" w:hAnsi="黑体" w:eastAsia="黑体" w:cs="黑体"/>
          <w:szCs w:val="32"/>
        </w:rPr>
        <w:t xml:space="preserve">  </w:t>
      </w:r>
      <w:r>
        <w:rPr>
          <w:rFonts w:hint="eastAsia" w:ascii="黑体" w:hAnsi="黑体" w:eastAsia="黑体" w:cs="黑体"/>
          <w:szCs w:val="32"/>
          <w:lang w:val="zh-CN"/>
        </w:rPr>
        <w:t>则</w:t>
      </w:r>
      <w:r>
        <w:tab/>
      </w:r>
      <w:r>
        <w:rPr>
          <w:rFonts w:hint="eastAsia"/>
        </w:rPr>
        <w:t>1</w:t>
      </w:r>
      <w:r>
        <w:rPr>
          <w:rFonts w:hint="eastAsia"/>
        </w:rPr>
        <w:fldChar w:fldCharType="end"/>
      </w:r>
    </w:p>
    <w:p>
      <w:pPr>
        <w:pStyle w:val="24"/>
        <w:tabs>
          <w:tab w:val="right" w:leader="dot" w:pos="9360"/>
          <w:tab w:val="clear" w:pos="9242"/>
        </w:tabs>
        <w:spacing w:beforeLines="0" w:afterLines="0" w:line="360" w:lineRule="auto"/>
        <w:jc w:val="both"/>
      </w:pPr>
      <w:r>
        <w:fldChar w:fldCharType="begin"/>
      </w:r>
      <w:r>
        <w:instrText xml:space="preserve"> HYPERLINK \l "_Toc14452" </w:instrText>
      </w:r>
      <w:r>
        <w:fldChar w:fldCharType="separate"/>
      </w:r>
      <w:r>
        <w:rPr>
          <w:rFonts w:hint="eastAsia" w:ascii="黑体" w:hAnsi="黑体" w:eastAsia="黑体" w:cs="黑体"/>
          <w:szCs w:val="32"/>
        </w:rPr>
        <w:t>3 基本规定</w:t>
      </w:r>
      <w:r>
        <w:tab/>
      </w:r>
      <w:r>
        <w:rPr>
          <w:rFonts w:hint="eastAsia"/>
        </w:rPr>
        <w:t>2</w:t>
      </w:r>
      <w:r>
        <w:rPr>
          <w:rFonts w:hint="eastAsia"/>
        </w:rPr>
        <w:fldChar w:fldCharType="end"/>
      </w:r>
    </w:p>
    <w:p>
      <w:pPr>
        <w:pStyle w:val="24"/>
        <w:tabs>
          <w:tab w:val="right" w:leader="dot" w:pos="9360"/>
          <w:tab w:val="clear" w:pos="9242"/>
        </w:tabs>
        <w:adjustRightInd w:val="0"/>
        <w:snapToGrid w:val="0"/>
        <w:spacing w:beforeLines="0" w:afterLines="0" w:line="360" w:lineRule="auto"/>
      </w:pPr>
      <w:r>
        <w:fldChar w:fldCharType="begin"/>
      </w:r>
      <w:r>
        <w:instrText xml:space="preserve"> HYPERLINK \l "_Toc13401" </w:instrText>
      </w:r>
      <w:r>
        <w:fldChar w:fldCharType="separate"/>
      </w:r>
      <w:r>
        <w:rPr>
          <w:rFonts w:hint="eastAsia" w:ascii="黑体" w:hAnsi="黑体" w:eastAsia="黑体" w:cs="黑体"/>
          <w:szCs w:val="32"/>
        </w:rPr>
        <w:t>4 门窗工程保险核查内容及评定</w:t>
      </w:r>
      <w:r>
        <w:tab/>
      </w:r>
      <w:r>
        <w:rPr>
          <w:rFonts w:hint="eastAsia"/>
        </w:rPr>
        <w:t>3</w:t>
      </w:r>
      <w:r>
        <w:rPr>
          <w:rFonts w:hint="eastAsia"/>
        </w:rPr>
        <w:fldChar w:fldCharType="end"/>
      </w:r>
    </w:p>
    <w:p>
      <w:pPr>
        <w:pStyle w:val="24"/>
        <w:tabs>
          <w:tab w:val="right" w:leader="dot" w:pos="9360"/>
          <w:tab w:val="clear" w:pos="9242"/>
        </w:tabs>
        <w:spacing w:beforeLines="0" w:afterLines="0" w:line="360" w:lineRule="auto"/>
        <w:jc w:val="both"/>
      </w:pPr>
      <w:r>
        <w:fldChar w:fldCharType="begin"/>
      </w:r>
      <w:r>
        <w:instrText xml:space="preserve"> HYPERLINK \l "_Toc20522" </w:instrText>
      </w:r>
      <w:r>
        <w:fldChar w:fldCharType="separate"/>
      </w:r>
      <w:r>
        <w:rPr>
          <w:rFonts w:hint="eastAsia" w:ascii="黑体" w:hAnsi="黑体" w:eastAsia="黑体" w:cs="黑体"/>
          <w:kern w:val="44"/>
          <w:szCs w:val="32"/>
        </w:rPr>
        <w:t>5 项目技术风险评估</w:t>
      </w:r>
      <w:r>
        <w:tab/>
      </w:r>
      <w:r>
        <w:rPr>
          <w:rFonts w:hint="eastAsia"/>
        </w:rPr>
        <w:t>4</w:t>
      </w:r>
      <w:r>
        <w:rPr>
          <w:rFonts w:hint="eastAsia"/>
        </w:rPr>
        <w:fldChar w:fldCharType="end"/>
      </w:r>
    </w:p>
    <w:p>
      <w:pPr>
        <w:pStyle w:val="24"/>
        <w:tabs>
          <w:tab w:val="right" w:leader="dot" w:pos="9360"/>
          <w:tab w:val="clear" w:pos="9242"/>
        </w:tabs>
        <w:spacing w:beforeLines="0" w:afterLines="0" w:line="360" w:lineRule="auto"/>
        <w:jc w:val="both"/>
      </w:pPr>
      <w:r>
        <w:fldChar w:fldCharType="begin"/>
      </w:r>
      <w:r>
        <w:instrText xml:space="preserve"> HYPERLINK \l "_Toc23339" </w:instrText>
      </w:r>
      <w:r>
        <w:fldChar w:fldCharType="separate"/>
      </w:r>
      <w:r>
        <w:rPr>
          <w:rFonts w:hint="eastAsia" w:ascii="黑体" w:hAnsi="黑体" w:eastAsia="黑体" w:cs="黑体"/>
          <w:kern w:val="44"/>
          <w:szCs w:val="32"/>
        </w:rPr>
        <w:t>6 保险责任</w:t>
      </w:r>
      <w:r>
        <w:tab/>
      </w:r>
      <w:r>
        <w:rPr>
          <w:rFonts w:hint="eastAsia"/>
        </w:rPr>
        <w:t>5</w:t>
      </w:r>
      <w:r>
        <w:rPr>
          <w:rFonts w:hint="eastAsia"/>
        </w:rPr>
        <w:fldChar w:fldCharType="end"/>
      </w:r>
    </w:p>
    <w:p>
      <w:pPr>
        <w:pStyle w:val="24"/>
        <w:tabs>
          <w:tab w:val="right" w:leader="dot" w:pos="9360"/>
          <w:tab w:val="clear" w:pos="9242"/>
        </w:tabs>
        <w:spacing w:beforeLines="0" w:afterLines="0" w:line="360" w:lineRule="auto"/>
        <w:jc w:val="both"/>
      </w:pPr>
      <w:r>
        <w:fldChar w:fldCharType="begin"/>
      </w:r>
      <w:r>
        <w:instrText xml:space="preserve"> HYPERLINK \l "_Toc14330" </w:instrText>
      </w:r>
      <w:r>
        <w:fldChar w:fldCharType="separate"/>
      </w:r>
      <w:r>
        <w:rPr>
          <w:rFonts w:hint="eastAsia" w:ascii="黑体" w:hAnsi="黑体" w:eastAsia="黑体" w:cs="黑体"/>
          <w:kern w:val="44"/>
          <w:szCs w:val="32"/>
          <w:lang w:val="zh-CN"/>
        </w:rPr>
        <w:t>7 保险理赔及续保服务</w:t>
      </w:r>
      <w:r>
        <w:tab/>
      </w:r>
      <w:r>
        <w:rPr>
          <w:rFonts w:hint="eastAsia"/>
        </w:rPr>
        <w:t>6</w:t>
      </w:r>
      <w:r>
        <w:rPr>
          <w:rFonts w:hint="eastAsia"/>
        </w:rPr>
        <w:fldChar w:fldCharType="end"/>
      </w:r>
    </w:p>
    <w:p>
      <w:pPr>
        <w:spacing w:line="348" w:lineRule="auto"/>
        <w:rPr>
          <w:rFonts w:ascii="宋体" w:hAnsi="宋体" w:cs="宋体"/>
          <w:szCs w:val="21"/>
        </w:rPr>
      </w:pPr>
      <w:r>
        <w:rPr>
          <w:rFonts w:hint="eastAsia" w:ascii="宋体" w:hAnsi="宋体" w:cs="宋体"/>
          <w:szCs w:val="21"/>
        </w:rPr>
        <w:fldChar w:fldCharType="end"/>
      </w:r>
    </w:p>
    <w:p>
      <w:pPr>
        <w:rPr>
          <w:rFonts w:ascii="宋体" w:hAnsi="宋体" w:cs="宋体"/>
          <w:szCs w:val="21"/>
        </w:rPr>
      </w:pPr>
      <w:r>
        <w:rPr>
          <w:rFonts w:hint="eastAsia" w:ascii="宋体" w:hAnsi="宋体" w:cs="宋体"/>
          <w:szCs w:val="21"/>
        </w:rPr>
        <w:br w:type="page"/>
      </w:r>
    </w:p>
    <w:p>
      <w:pPr>
        <w:spacing w:before="101" w:line="228" w:lineRule="auto"/>
        <w:jc w:val="center"/>
        <w:outlineLvl w:val="0"/>
        <w:rPr>
          <w:rFonts w:ascii="黑体" w:hAnsi="黑体" w:eastAsia="黑体" w:cs="黑体"/>
          <w:sz w:val="31"/>
          <w:szCs w:val="31"/>
        </w:rPr>
      </w:pPr>
      <w:bookmarkStart w:id="149" w:name="_Toc16537"/>
      <w:r>
        <w:rPr>
          <w:rFonts w:hint="eastAsia" w:ascii="黑体" w:hAnsi="黑体" w:eastAsia="黑体" w:cs="黑体"/>
          <w:spacing w:val="-4"/>
          <w:sz w:val="31"/>
          <w:szCs w:val="31"/>
        </w:rPr>
        <w:t>Content</w:t>
      </w:r>
      <w:bookmarkEnd w:id="149"/>
    </w:p>
    <w:p>
      <w:pPr>
        <w:pStyle w:val="24"/>
        <w:tabs>
          <w:tab w:val="right" w:leader="dot" w:pos="9360"/>
          <w:tab w:val="clear" w:pos="9242"/>
        </w:tabs>
        <w:spacing w:beforeLines="0" w:afterLines="0" w:line="360" w:lineRule="auto"/>
        <w:jc w:val="both"/>
      </w:pPr>
      <w:r>
        <w:rPr>
          <w:rFonts w:hint="eastAsia" w:hAnsi="宋体" w:cs="宋体"/>
        </w:rPr>
        <w:fldChar w:fldCharType="begin"/>
      </w:r>
      <w:r>
        <w:rPr>
          <w:rFonts w:hint="eastAsia" w:hAnsi="宋体" w:cs="宋体"/>
        </w:rPr>
        <w:instrText xml:space="preserve">TOC \o "1-1" \h \u </w:instrText>
      </w:r>
      <w:r>
        <w:rPr>
          <w:rFonts w:hint="eastAsia" w:hAnsi="宋体" w:cs="宋体"/>
        </w:rPr>
        <w:fldChar w:fldCharType="separate"/>
      </w:r>
      <w:r>
        <w:fldChar w:fldCharType="begin"/>
      </w:r>
      <w:r>
        <w:instrText xml:space="preserve"> HYPERLINK \l "_Toc6477" </w:instrText>
      </w:r>
      <w:r>
        <w:fldChar w:fldCharType="separate"/>
      </w:r>
      <w:r>
        <w:rPr>
          <w:rFonts w:hint="eastAsia" w:ascii="黑体" w:hAnsi="黑体" w:eastAsia="黑体" w:cs="黑体"/>
          <w:szCs w:val="32"/>
        </w:rPr>
        <w:t xml:space="preserve">1 </w:t>
      </w:r>
      <w:r>
        <w:rPr>
          <w:rFonts w:hint="eastAsia" w:hAnsi="宋体" w:cs="宋体"/>
          <w:sz w:val="24"/>
          <w:szCs w:val="24"/>
        </w:rPr>
        <w:t>General provisions</w:t>
      </w:r>
      <w:r>
        <w:tab/>
      </w:r>
      <w:r>
        <w:rPr>
          <w:rFonts w:hint="eastAsia"/>
        </w:rPr>
        <w:t>1</w:t>
      </w:r>
      <w:r>
        <w:rPr>
          <w:rFonts w:hint="eastAsia"/>
        </w:rPr>
        <w:fldChar w:fldCharType="end"/>
      </w:r>
    </w:p>
    <w:p>
      <w:pPr>
        <w:pStyle w:val="24"/>
        <w:tabs>
          <w:tab w:val="right" w:leader="dot" w:pos="9360"/>
          <w:tab w:val="clear" w:pos="9242"/>
        </w:tabs>
        <w:spacing w:beforeLines="0" w:afterLines="0" w:line="360" w:lineRule="auto"/>
        <w:jc w:val="both"/>
      </w:pPr>
      <w:r>
        <w:fldChar w:fldCharType="begin"/>
      </w:r>
      <w:r>
        <w:instrText xml:space="preserve"> HYPERLINK \l "_Toc14452" </w:instrText>
      </w:r>
      <w:r>
        <w:fldChar w:fldCharType="separate"/>
      </w:r>
      <w:r>
        <w:rPr>
          <w:rFonts w:hint="eastAsia" w:ascii="黑体" w:hAnsi="黑体" w:eastAsia="黑体" w:cs="黑体"/>
          <w:szCs w:val="32"/>
        </w:rPr>
        <w:t xml:space="preserve">3 </w:t>
      </w:r>
      <w:r>
        <w:rPr>
          <w:rFonts w:hint="eastAsia" w:hAnsi="宋体" w:cs="宋体"/>
          <w:sz w:val="24"/>
          <w:szCs w:val="24"/>
        </w:rPr>
        <w:t>Basic requirement</w:t>
      </w:r>
      <w:r>
        <w:tab/>
      </w:r>
      <w:r>
        <w:rPr>
          <w:rFonts w:hint="eastAsia"/>
        </w:rPr>
        <w:t>2</w:t>
      </w:r>
      <w:r>
        <w:rPr>
          <w:rFonts w:hint="eastAsia"/>
        </w:rPr>
        <w:fldChar w:fldCharType="end"/>
      </w:r>
    </w:p>
    <w:p>
      <w:pPr>
        <w:pStyle w:val="24"/>
        <w:tabs>
          <w:tab w:val="right" w:leader="dot" w:pos="9360"/>
          <w:tab w:val="clear" w:pos="9242"/>
        </w:tabs>
        <w:adjustRightInd w:val="0"/>
        <w:snapToGrid w:val="0"/>
        <w:spacing w:beforeLines="0" w:afterLines="0" w:line="360" w:lineRule="auto"/>
      </w:pPr>
      <w:r>
        <w:fldChar w:fldCharType="begin"/>
      </w:r>
      <w:r>
        <w:instrText xml:space="preserve"> HYPERLINK \l "_Toc13401" </w:instrText>
      </w:r>
      <w:r>
        <w:fldChar w:fldCharType="separate"/>
      </w:r>
      <w:r>
        <w:rPr>
          <w:rFonts w:hint="eastAsia" w:ascii="黑体" w:hAnsi="黑体" w:eastAsia="黑体" w:cs="黑体"/>
          <w:szCs w:val="32"/>
        </w:rPr>
        <w:t xml:space="preserve">4 </w:t>
      </w:r>
      <w:r>
        <w:rPr>
          <w:rFonts w:hint="eastAsia" w:hAnsi="宋体" w:cs="宋体"/>
          <w:sz w:val="24"/>
          <w:szCs w:val="24"/>
        </w:rPr>
        <w:t>Contents and evaluation of door and window engineering insurance</w:t>
      </w:r>
      <w:r>
        <w:tab/>
      </w:r>
      <w:r>
        <w:rPr>
          <w:rFonts w:hint="eastAsia"/>
        </w:rPr>
        <w:t>3</w:t>
      </w:r>
      <w:r>
        <w:rPr>
          <w:rFonts w:hint="eastAsia"/>
        </w:rPr>
        <w:fldChar w:fldCharType="end"/>
      </w:r>
    </w:p>
    <w:p>
      <w:pPr>
        <w:pStyle w:val="24"/>
        <w:tabs>
          <w:tab w:val="right" w:leader="dot" w:pos="9360"/>
          <w:tab w:val="clear" w:pos="9242"/>
        </w:tabs>
        <w:spacing w:beforeLines="0" w:afterLines="0" w:line="360" w:lineRule="auto"/>
        <w:jc w:val="both"/>
      </w:pPr>
      <w:r>
        <w:fldChar w:fldCharType="begin"/>
      </w:r>
      <w:r>
        <w:instrText xml:space="preserve"> HYPERLINK \l "_Toc20522" </w:instrText>
      </w:r>
      <w:r>
        <w:fldChar w:fldCharType="separate"/>
      </w:r>
      <w:r>
        <w:rPr>
          <w:rFonts w:hint="eastAsia" w:ascii="黑体" w:hAnsi="黑体" w:eastAsia="黑体" w:cs="黑体"/>
          <w:kern w:val="44"/>
          <w:szCs w:val="32"/>
        </w:rPr>
        <w:t xml:space="preserve">5 </w:t>
      </w:r>
      <w:r>
        <w:rPr>
          <w:rFonts w:hint="eastAsia" w:hAnsi="宋体" w:cs="宋体"/>
          <w:sz w:val="24"/>
          <w:szCs w:val="24"/>
        </w:rPr>
        <w:t>Technical Risk Assessment in Projects</w:t>
      </w:r>
      <w:r>
        <w:tab/>
      </w:r>
      <w:r>
        <w:rPr>
          <w:rFonts w:hint="eastAsia"/>
        </w:rPr>
        <w:t>4</w:t>
      </w:r>
      <w:r>
        <w:rPr>
          <w:rFonts w:hint="eastAsia"/>
        </w:rPr>
        <w:fldChar w:fldCharType="end"/>
      </w:r>
    </w:p>
    <w:p>
      <w:pPr>
        <w:pStyle w:val="24"/>
        <w:tabs>
          <w:tab w:val="right" w:leader="dot" w:pos="9360"/>
          <w:tab w:val="clear" w:pos="9242"/>
        </w:tabs>
        <w:spacing w:beforeLines="0" w:afterLines="0" w:line="360" w:lineRule="auto"/>
        <w:jc w:val="both"/>
      </w:pPr>
      <w:r>
        <w:fldChar w:fldCharType="begin"/>
      </w:r>
      <w:r>
        <w:instrText xml:space="preserve"> HYPERLINK \l "_Toc23339" </w:instrText>
      </w:r>
      <w:r>
        <w:fldChar w:fldCharType="separate"/>
      </w:r>
      <w:r>
        <w:rPr>
          <w:rFonts w:hint="eastAsia" w:ascii="黑体" w:hAnsi="黑体" w:eastAsia="黑体" w:cs="黑体"/>
          <w:kern w:val="44"/>
          <w:szCs w:val="32"/>
        </w:rPr>
        <w:t xml:space="preserve">6 </w:t>
      </w:r>
      <w:r>
        <w:rPr>
          <w:rFonts w:hint="eastAsia" w:hAnsi="宋体" w:cs="宋体"/>
          <w:sz w:val="24"/>
          <w:szCs w:val="24"/>
        </w:rPr>
        <w:t>Insured liability</w:t>
      </w:r>
      <w:r>
        <w:tab/>
      </w:r>
      <w:r>
        <w:rPr>
          <w:rFonts w:hint="eastAsia"/>
        </w:rPr>
        <w:t>5</w:t>
      </w:r>
      <w:r>
        <w:rPr>
          <w:rFonts w:hint="eastAsia"/>
        </w:rPr>
        <w:fldChar w:fldCharType="end"/>
      </w:r>
    </w:p>
    <w:p>
      <w:pPr>
        <w:pStyle w:val="24"/>
        <w:tabs>
          <w:tab w:val="right" w:leader="dot" w:pos="9360"/>
          <w:tab w:val="clear" w:pos="9242"/>
        </w:tabs>
        <w:spacing w:beforeLines="0" w:afterLines="0" w:line="360" w:lineRule="auto"/>
        <w:jc w:val="both"/>
      </w:pPr>
      <w:r>
        <w:fldChar w:fldCharType="begin"/>
      </w:r>
      <w:r>
        <w:instrText xml:space="preserve"> HYPERLINK \l "_Toc14330" </w:instrText>
      </w:r>
      <w:r>
        <w:fldChar w:fldCharType="separate"/>
      </w:r>
      <w:r>
        <w:rPr>
          <w:rFonts w:hint="eastAsia" w:ascii="黑体" w:hAnsi="黑体" w:eastAsia="黑体" w:cs="黑体"/>
          <w:kern w:val="44"/>
          <w:szCs w:val="32"/>
          <w:lang w:val="zh-CN"/>
        </w:rPr>
        <w:t xml:space="preserve">7 </w:t>
      </w:r>
      <w:r>
        <w:rPr>
          <w:rFonts w:hint="eastAsia" w:hAnsi="宋体" w:cs="宋体"/>
          <w:sz w:val="24"/>
          <w:szCs w:val="24"/>
        </w:rPr>
        <w:t>Insurance claims and renewal of insurance</w:t>
      </w:r>
      <w:r>
        <w:tab/>
      </w:r>
      <w:r>
        <w:rPr>
          <w:rFonts w:hint="eastAsia"/>
        </w:rPr>
        <w:t>6</w:t>
      </w:r>
      <w:r>
        <w:rPr>
          <w:rFonts w:hint="eastAsia"/>
        </w:rPr>
        <w:fldChar w:fldCharType="end"/>
      </w:r>
    </w:p>
    <w:p>
      <w:pPr>
        <w:tabs>
          <w:tab w:val="right" w:leader="dot" w:pos="9395"/>
        </w:tabs>
        <w:spacing w:line="317" w:lineRule="exact"/>
        <w:ind w:left="64"/>
        <w:rPr>
          <w:sz w:val="23"/>
          <w:szCs w:val="23"/>
        </w:rPr>
        <w:sectPr>
          <w:headerReference r:id="rId21" w:type="default"/>
          <w:footerReference r:id="rId22" w:type="default"/>
          <w:pgSz w:w="11911" w:h="16838"/>
          <w:pgMar w:top="1440" w:right="1800" w:bottom="1440" w:left="1800" w:header="0" w:footer="714" w:gutter="0"/>
          <w:pgNumType w:fmt="decimal"/>
          <w:cols w:space="0" w:num="1"/>
        </w:sectPr>
      </w:pPr>
      <w:r>
        <w:rPr>
          <w:rFonts w:hint="eastAsia" w:ascii="宋体" w:hAnsi="宋体" w:cs="宋体"/>
          <w:szCs w:val="21"/>
        </w:rPr>
        <w:fldChar w:fldCharType="end"/>
      </w:r>
    </w:p>
    <w:p>
      <w:pPr>
        <w:spacing w:line="254" w:lineRule="auto"/>
        <w:rPr>
          <w:rFonts w:ascii="Arial"/>
        </w:rPr>
      </w:pPr>
    </w:p>
    <w:p>
      <w:pPr>
        <w:spacing w:line="254" w:lineRule="auto"/>
        <w:rPr>
          <w:rFonts w:ascii="Arial"/>
        </w:rPr>
      </w:pPr>
    </w:p>
    <w:p>
      <w:pPr>
        <w:spacing w:before="95" w:line="360" w:lineRule="auto"/>
        <w:jc w:val="center"/>
        <w:outlineLvl w:val="0"/>
        <w:rPr>
          <w:rFonts w:ascii="宋体" w:hAnsi="宋体" w:cs="宋体"/>
          <w:sz w:val="29"/>
          <w:szCs w:val="29"/>
        </w:rPr>
      </w:pPr>
      <w:bookmarkStart w:id="150" w:name="_Toc21651"/>
      <w:r>
        <w:rPr>
          <w:rFonts w:hint="eastAsia" w:ascii="黑体" w:hAnsi="黑体" w:eastAsia="黑体" w:cs="黑体"/>
          <w:spacing w:val="4"/>
          <w:sz w:val="32"/>
          <w:szCs w:val="32"/>
        </w:rPr>
        <w:t xml:space="preserve">1 </w:t>
      </w:r>
      <w:r>
        <w:rPr>
          <w:rFonts w:hint="eastAsia" w:ascii="黑体" w:hAnsi="黑体" w:eastAsia="黑体" w:cs="黑体"/>
          <w:spacing w:val="4"/>
          <w:sz w:val="32"/>
          <w:szCs w:val="32"/>
          <w14:textOutline w14:w="5448" w14:cap="sq" w14:cmpd="sng" w14:algn="ctr">
            <w14:solidFill>
              <w14:srgbClr w14:val="000000"/>
            </w14:solidFill>
            <w14:prstDash w14:val="solid"/>
            <w14:bevel/>
          </w14:textOutline>
        </w:rPr>
        <w:t>总</w:t>
      </w:r>
      <w:r>
        <w:rPr>
          <w:rFonts w:hint="eastAsia" w:ascii="黑体" w:hAnsi="黑体" w:eastAsia="黑体" w:cs="黑体"/>
          <w:spacing w:val="4"/>
          <w:sz w:val="32"/>
          <w:szCs w:val="32"/>
        </w:rPr>
        <w:t xml:space="preserve">  </w:t>
      </w:r>
      <w:r>
        <w:rPr>
          <w:rFonts w:hint="eastAsia" w:ascii="黑体" w:hAnsi="黑体" w:eastAsia="黑体" w:cs="黑体"/>
          <w:spacing w:val="4"/>
          <w:sz w:val="32"/>
          <w:szCs w:val="32"/>
          <w14:textOutline w14:w="5448" w14:cap="sq" w14:cmpd="sng" w14:algn="ctr">
            <w14:solidFill>
              <w14:srgbClr w14:val="000000"/>
            </w14:solidFill>
            <w14:prstDash w14:val="solid"/>
            <w14:bevel/>
          </w14:textOutline>
        </w:rPr>
        <w:t>则</w:t>
      </w:r>
      <w:bookmarkEnd w:id="150"/>
    </w:p>
    <w:p>
      <w:pPr>
        <w:widowControl/>
        <w:kinsoku w:val="0"/>
        <w:autoSpaceDE w:val="0"/>
        <w:autoSpaceDN w:val="0"/>
        <w:adjustRightInd w:val="0"/>
        <w:snapToGrid w:val="0"/>
        <w:spacing w:line="360" w:lineRule="auto"/>
        <w:textAlignment w:val="baseline"/>
        <w:rPr>
          <w:rFonts w:ascii="宋体" w:hAnsi="宋体" w:cs="宋体"/>
          <w:sz w:val="24"/>
        </w:rPr>
      </w:pPr>
      <w:r>
        <w:rPr>
          <w:rFonts w:ascii="宋体" w:hAnsi="宋体" w:cs="宋体"/>
          <w:spacing w:val="16"/>
          <w:sz w:val="24"/>
        </w:rPr>
        <w:t>1.</w:t>
      </w:r>
      <w:r>
        <w:rPr>
          <w:rFonts w:ascii="宋体" w:hAnsi="宋体" w:cs="宋体"/>
          <w:spacing w:val="13"/>
          <w:sz w:val="24"/>
        </w:rPr>
        <w:t>0</w:t>
      </w:r>
      <w:r>
        <w:rPr>
          <w:rFonts w:ascii="宋体" w:hAnsi="宋体" w:cs="宋体"/>
          <w:spacing w:val="8"/>
          <w:sz w:val="24"/>
        </w:rPr>
        <w:t xml:space="preserve">.2 </w:t>
      </w:r>
      <w:r>
        <w:rPr>
          <w:rFonts w:hint="eastAsia" w:ascii="宋体" w:hAnsi="宋体" w:cs="宋体"/>
          <w:spacing w:val="8"/>
          <w:sz w:val="24"/>
        </w:rPr>
        <w:t>定型门窗指根据设定的性能指标对门窗进行整体的系统设计，固定选用材料(型材、五金件、密封材料、玻璃、附件等)，形成相应的技术文件，并按照技术文件由工厂标准化生产制作、检测、安装、使用维护，达到设定性能指标的门窗</w:t>
      </w:r>
      <w:r>
        <w:rPr>
          <w:rFonts w:ascii="宋体" w:hAnsi="宋体" w:cs="宋体"/>
          <w:spacing w:val="8"/>
          <w:sz w:val="24"/>
        </w:rPr>
        <w:t>。</w:t>
      </w:r>
    </w:p>
    <w:p>
      <w:pPr>
        <w:widowControl/>
        <w:kinsoku w:val="0"/>
        <w:autoSpaceDE w:val="0"/>
        <w:autoSpaceDN w:val="0"/>
        <w:adjustRightInd w:val="0"/>
        <w:snapToGrid w:val="0"/>
        <w:spacing w:line="360" w:lineRule="auto"/>
        <w:textAlignment w:val="baseline"/>
        <w:rPr>
          <w:rFonts w:ascii="宋体" w:hAnsi="宋体" w:cs="宋体"/>
          <w:spacing w:val="6"/>
          <w:sz w:val="20"/>
          <w:szCs w:val="20"/>
        </w:rPr>
      </w:pPr>
      <w:r>
        <w:rPr>
          <w:rFonts w:ascii="宋体" w:hAnsi="宋体" w:cs="宋体"/>
          <w:spacing w:val="6"/>
          <w:sz w:val="20"/>
          <w:szCs w:val="20"/>
        </w:rPr>
        <w:br w:type="page"/>
      </w:r>
    </w:p>
    <w:p>
      <w:pPr>
        <w:spacing w:before="95" w:line="360" w:lineRule="auto"/>
        <w:jc w:val="center"/>
        <w:outlineLvl w:val="0"/>
        <w:rPr>
          <w:rFonts w:ascii="宋体" w:hAnsi="宋体" w:cs="宋体"/>
          <w:sz w:val="32"/>
          <w:szCs w:val="32"/>
        </w:rPr>
      </w:pPr>
      <w:bookmarkStart w:id="151" w:name="_Toc4567"/>
      <w:r>
        <w:rPr>
          <w:rFonts w:hint="eastAsia"/>
          <w:b/>
          <w:bCs/>
          <w:spacing w:val="4"/>
          <w:sz w:val="32"/>
          <w:szCs w:val="32"/>
        </w:rPr>
        <w:t>3</w:t>
      </w:r>
      <w:r>
        <w:rPr>
          <w:rFonts w:eastAsia="Times New Roman"/>
          <w:spacing w:val="4"/>
          <w:sz w:val="32"/>
          <w:szCs w:val="32"/>
        </w:rPr>
        <w:t xml:space="preserve"> </w:t>
      </w:r>
      <w:r>
        <w:rPr>
          <w:rFonts w:hint="eastAsia" w:eastAsia="Times New Roman"/>
          <w:spacing w:val="4"/>
          <w:sz w:val="32"/>
          <w:szCs w:val="32"/>
        </w:rPr>
        <w:t>基本规定</w:t>
      </w:r>
      <w:bookmarkEnd w:id="151"/>
    </w:p>
    <w:p>
      <w:pPr>
        <w:adjustRightInd w:val="0"/>
        <w:snapToGrid w:val="0"/>
        <w:spacing w:line="360" w:lineRule="auto"/>
        <w:jc w:val="center"/>
        <w:outlineLvl w:val="1"/>
        <w:rPr>
          <w:rFonts w:ascii="黑体" w:hAnsi="黑体" w:eastAsia="黑体" w:cs="黑体"/>
          <w:color w:val="000000"/>
          <w:kern w:val="44"/>
          <w:sz w:val="28"/>
          <w:szCs w:val="28"/>
        </w:rPr>
      </w:pPr>
      <w:r>
        <w:rPr>
          <w:rFonts w:hint="eastAsia" w:ascii="黑体" w:hAnsi="黑体" w:eastAsia="黑体" w:cs="黑体"/>
          <w:color w:val="000000"/>
          <w:kern w:val="44"/>
          <w:sz w:val="28"/>
          <w:szCs w:val="28"/>
        </w:rPr>
        <w:t>3.1 一般规定</w:t>
      </w:r>
    </w:p>
    <w:p>
      <w:pPr>
        <w:widowControl/>
        <w:adjustRightInd w:val="0"/>
        <w:snapToGrid w:val="0"/>
        <w:spacing w:line="360" w:lineRule="auto"/>
        <w:rPr>
          <w:rFonts w:ascii="宋体" w:hAnsi="宋体" w:cs="宋体"/>
          <w:spacing w:val="9"/>
          <w:sz w:val="24"/>
        </w:rPr>
      </w:pPr>
      <w:r>
        <w:rPr>
          <w:rFonts w:eastAsia="Times New Roman"/>
          <w:b/>
          <w:bCs/>
          <w:spacing w:val="9"/>
          <w:sz w:val="24"/>
        </w:rPr>
        <w:t>3.1.1</w:t>
      </w:r>
      <w:r>
        <w:rPr>
          <w:rFonts w:eastAsia="Times New Roman"/>
          <w:spacing w:val="9"/>
          <w:sz w:val="24"/>
        </w:rPr>
        <w:t xml:space="preserve"> </w:t>
      </w:r>
      <w:r>
        <w:rPr>
          <w:rFonts w:ascii="宋体" w:hAnsi="宋体" w:cs="宋体"/>
          <w:spacing w:val="9"/>
          <w:sz w:val="24"/>
        </w:rPr>
        <w:t>建筑门窗工程</w:t>
      </w:r>
      <w:r>
        <w:rPr>
          <w:rFonts w:hint="eastAsia" w:ascii="宋体" w:hAnsi="宋体" w:cs="宋体"/>
          <w:spacing w:val="9"/>
          <w:sz w:val="24"/>
        </w:rPr>
        <w:t>的适用范围包括工程门窗和家装门窗。</w:t>
      </w:r>
    </w:p>
    <w:p>
      <w:pPr>
        <w:widowControl/>
        <w:adjustRightInd w:val="0"/>
        <w:snapToGrid w:val="0"/>
        <w:spacing w:line="360" w:lineRule="auto"/>
        <w:rPr>
          <w:rFonts w:ascii="宋体" w:hAnsi="宋体" w:cs="宋体"/>
          <w:spacing w:val="8"/>
          <w:sz w:val="24"/>
        </w:rPr>
      </w:pPr>
      <w:r>
        <w:rPr>
          <w:rFonts w:eastAsia="Times New Roman"/>
          <w:b/>
          <w:bCs/>
          <w:spacing w:val="16"/>
          <w:sz w:val="24"/>
        </w:rPr>
        <w:t>3.1</w:t>
      </w:r>
      <w:r>
        <w:rPr>
          <w:rFonts w:eastAsia="Times New Roman"/>
          <w:b/>
          <w:bCs/>
          <w:spacing w:val="10"/>
          <w:sz w:val="24"/>
        </w:rPr>
        <w:t>.</w:t>
      </w:r>
      <w:r>
        <w:rPr>
          <w:rFonts w:eastAsia="Times New Roman"/>
          <w:b/>
          <w:bCs/>
          <w:spacing w:val="8"/>
          <w:sz w:val="24"/>
        </w:rPr>
        <w:t>4</w:t>
      </w:r>
      <w:r>
        <w:rPr>
          <w:rFonts w:hint="eastAsia"/>
          <w:b/>
          <w:bCs/>
          <w:spacing w:val="8"/>
          <w:sz w:val="24"/>
        </w:rPr>
        <w:t>~3.1.5</w:t>
      </w:r>
      <w:r>
        <w:rPr>
          <w:rFonts w:eastAsia="Times New Roman"/>
          <w:spacing w:val="8"/>
          <w:sz w:val="24"/>
        </w:rPr>
        <w:t xml:space="preserve"> </w:t>
      </w:r>
      <w:r>
        <w:rPr>
          <w:rFonts w:ascii="宋体" w:hAnsi="宋体" w:cs="宋体"/>
          <w:spacing w:val="8"/>
          <w:sz w:val="24"/>
        </w:rPr>
        <w:t>保险</w:t>
      </w:r>
      <w:r>
        <w:rPr>
          <w:rFonts w:hint="eastAsia" w:ascii="宋体" w:hAnsi="宋体" w:cs="宋体"/>
          <w:spacing w:val="8"/>
          <w:sz w:val="24"/>
        </w:rPr>
        <w:t>公司作为承接保险的主体指定</w:t>
      </w:r>
      <w:r>
        <w:rPr>
          <w:rFonts w:ascii="宋体" w:hAnsi="宋体" w:cs="宋体"/>
          <w:spacing w:val="8"/>
          <w:sz w:val="24"/>
        </w:rPr>
        <w:t>评定机构</w:t>
      </w:r>
      <w:r>
        <w:rPr>
          <w:rFonts w:hint="eastAsia" w:ascii="宋体" w:hAnsi="宋体" w:cs="宋体"/>
          <w:spacing w:val="8"/>
          <w:sz w:val="24"/>
        </w:rPr>
        <w:t>对门窗产品进行评定</w:t>
      </w:r>
      <w:r>
        <w:rPr>
          <w:rFonts w:ascii="宋体" w:hAnsi="宋体" w:cs="宋体"/>
          <w:spacing w:val="8"/>
          <w:sz w:val="24"/>
        </w:rPr>
        <w:t>。</w:t>
      </w:r>
      <w:r>
        <w:rPr>
          <w:rFonts w:hint="eastAsia" w:ascii="宋体" w:hAnsi="宋体" w:cs="宋体"/>
          <w:spacing w:val="8"/>
          <w:sz w:val="24"/>
        </w:rPr>
        <w:t>评定机构应对门窗企业和定型的门窗产品进行评定，评定内容包括企业本身、验厂验产品以及现场巡查三部分。评定机构本身不需要具备检测资质，其中检测部分可由保险机构或评定机构委托具有资质的第三方检测机构作为</w:t>
      </w:r>
      <w:r>
        <w:rPr>
          <w:rFonts w:ascii="宋体" w:hAnsi="宋体" w:cs="宋体"/>
          <w:spacing w:val="8"/>
          <w:sz w:val="24"/>
        </w:rPr>
        <w:t>评定</w:t>
      </w:r>
      <w:r>
        <w:rPr>
          <w:rFonts w:hint="eastAsia" w:ascii="宋体" w:hAnsi="宋体" w:cs="宋体"/>
          <w:spacing w:val="8"/>
          <w:sz w:val="24"/>
        </w:rPr>
        <w:t>支持</w:t>
      </w:r>
      <w:r>
        <w:rPr>
          <w:rFonts w:ascii="宋体" w:hAnsi="宋体" w:cs="宋体"/>
          <w:spacing w:val="8"/>
          <w:sz w:val="24"/>
        </w:rPr>
        <w:t>机构</w:t>
      </w:r>
      <w:r>
        <w:rPr>
          <w:rFonts w:hint="eastAsia" w:ascii="宋体" w:hAnsi="宋体" w:cs="宋体"/>
          <w:spacing w:val="8"/>
          <w:sz w:val="24"/>
        </w:rPr>
        <w:t>。</w:t>
      </w:r>
    </w:p>
    <w:p>
      <w:pPr>
        <w:rPr>
          <w:rFonts w:ascii="宋体" w:hAnsi="宋体" w:cs="宋体"/>
          <w:spacing w:val="8"/>
          <w:sz w:val="23"/>
          <w:szCs w:val="23"/>
        </w:rPr>
      </w:pPr>
      <w:r>
        <w:rPr>
          <w:rFonts w:hint="eastAsia" w:ascii="宋体" w:hAnsi="宋体" w:cs="宋体"/>
          <w:spacing w:val="8"/>
          <w:sz w:val="23"/>
          <w:szCs w:val="23"/>
        </w:rPr>
        <w:br w:type="page"/>
      </w:r>
    </w:p>
    <w:p>
      <w:pPr>
        <w:spacing w:before="95" w:line="360" w:lineRule="auto"/>
        <w:jc w:val="center"/>
        <w:outlineLvl w:val="0"/>
        <w:rPr>
          <w:rFonts w:ascii="宋体" w:hAnsi="宋体" w:cs="宋体"/>
          <w:sz w:val="29"/>
          <w:szCs w:val="29"/>
        </w:rPr>
      </w:pPr>
      <w:bookmarkStart w:id="152" w:name="_Toc2594"/>
      <w:r>
        <w:rPr>
          <w:rFonts w:hint="eastAsia"/>
          <w:b/>
          <w:bCs/>
          <w:spacing w:val="4"/>
          <w:sz w:val="29"/>
          <w:szCs w:val="29"/>
        </w:rPr>
        <w:t>4</w:t>
      </w:r>
      <w:r>
        <w:rPr>
          <w:rFonts w:eastAsia="Times New Roman"/>
          <w:spacing w:val="4"/>
          <w:sz w:val="29"/>
          <w:szCs w:val="29"/>
        </w:rPr>
        <w:t xml:space="preserve"> </w:t>
      </w:r>
      <w:r>
        <w:rPr>
          <w:rFonts w:hint="eastAsia" w:eastAsia="Times New Roman"/>
          <w:spacing w:val="4"/>
          <w:sz w:val="29"/>
          <w:szCs w:val="29"/>
        </w:rPr>
        <w:t>门窗工程保险核查内容及评定</w:t>
      </w:r>
      <w:bookmarkEnd w:id="152"/>
    </w:p>
    <w:p>
      <w:pPr>
        <w:spacing w:before="106" w:line="360" w:lineRule="auto"/>
        <w:ind w:right="2" w:firstLine="14"/>
        <w:rPr>
          <w:rFonts w:ascii="宋体" w:hAnsi="宋体" w:cs="宋体"/>
          <w:spacing w:val="7"/>
          <w:sz w:val="24"/>
        </w:rPr>
      </w:pPr>
      <w:r>
        <w:rPr>
          <w:rFonts w:hint="eastAsia" w:ascii="宋体" w:hAnsi="宋体" w:cs="宋体"/>
          <w:spacing w:val="7"/>
          <w:sz w:val="24"/>
        </w:rPr>
        <w:t>4</w:t>
      </w:r>
      <w:r>
        <w:rPr>
          <w:rFonts w:ascii="宋体" w:hAnsi="宋体" w:cs="宋体"/>
          <w:spacing w:val="7"/>
          <w:sz w:val="24"/>
        </w:rPr>
        <w:t>.</w:t>
      </w:r>
      <w:r>
        <w:rPr>
          <w:rFonts w:hint="eastAsia" w:ascii="宋体" w:hAnsi="宋体" w:cs="宋体"/>
          <w:spacing w:val="7"/>
          <w:sz w:val="24"/>
        </w:rPr>
        <w:t>2</w:t>
      </w:r>
      <w:r>
        <w:rPr>
          <w:rFonts w:ascii="宋体" w:hAnsi="宋体" w:cs="宋体"/>
          <w:spacing w:val="7"/>
          <w:sz w:val="24"/>
        </w:rPr>
        <w:t>.1</w:t>
      </w:r>
      <w:r>
        <w:rPr>
          <w:rFonts w:hint="eastAsia" w:ascii="宋体" w:hAnsi="宋体" w:cs="宋体"/>
          <w:spacing w:val="7"/>
          <w:sz w:val="24"/>
        </w:rPr>
        <w:t>~4.2.8</w:t>
      </w:r>
      <w:r>
        <w:rPr>
          <w:rFonts w:ascii="宋体" w:hAnsi="宋体" w:cs="宋体"/>
          <w:spacing w:val="7"/>
          <w:sz w:val="24"/>
        </w:rPr>
        <w:t xml:space="preserve"> </w:t>
      </w:r>
      <w:r>
        <w:rPr>
          <w:rFonts w:hint="eastAsia" w:ascii="宋体" w:hAnsi="宋体" w:cs="宋体"/>
          <w:spacing w:val="7"/>
          <w:sz w:val="24"/>
        </w:rPr>
        <w:t>门窗保险技术性指标核查内容分为门窗制作质量和现场施工质量两个部分。对单一门窗工程的投保前提应该有完整的工厂及质量体系，另一部分则是拥有成熟可靠的施工人员及现场质量管理制度。</w:t>
      </w:r>
    </w:p>
    <w:p>
      <w:pPr>
        <w:spacing w:before="106" w:line="360" w:lineRule="auto"/>
        <w:ind w:right="2" w:firstLine="14"/>
        <w:rPr>
          <w:rFonts w:ascii="宋体" w:hAnsi="宋体" w:cs="宋体"/>
          <w:spacing w:val="7"/>
          <w:sz w:val="24"/>
        </w:rPr>
      </w:pPr>
      <w:r>
        <w:rPr>
          <w:rFonts w:hint="eastAsia" w:ascii="宋体" w:hAnsi="宋体" w:cs="宋体"/>
          <w:spacing w:val="7"/>
          <w:sz w:val="24"/>
        </w:rPr>
        <w:t>4.2.2 如原片采用硼硅酸盐玻璃尚应符合现行行业标准《硼硅酸盐平板玻璃》JC/T2451的规定。</w:t>
      </w:r>
    </w:p>
    <w:p>
      <w:pPr>
        <w:spacing w:line="360" w:lineRule="auto"/>
        <w:rPr>
          <w:sz w:val="24"/>
        </w:rPr>
        <w:sectPr>
          <w:headerReference r:id="rId23" w:type="default"/>
          <w:footerReference r:id="rId24" w:type="default"/>
          <w:pgSz w:w="11911" w:h="16838"/>
          <w:pgMar w:top="1440" w:right="1800" w:bottom="1440" w:left="1800" w:header="0" w:footer="714" w:gutter="0"/>
          <w:pgNumType w:fmt="decimal"/>
          <w:cols w:space="0" w:num="1"/>
        </w:sectPr>
      </w:pPr>
    </w:p>
    <w:p>
      <w:pPr>
        <w:widowControl/>
        <w:kinsoku w:val="0"/>
        <w:adjustRightInd w:val="0"/>
        <w:snapToGrid w:val="0"/>
        <w:spacing w:line="360" w:lineRule="auto"/>
        <w:jc w:val="center"/>
        <w:textAlignment w:val="baseline"/>
        <w:outlineLvl w:val="0"/>
        <w:rPr>
          <w:rFonts w:ascii="宋体" w:hAnsi="宋体" w:cs="宋体"/>
          <w:sz w:val="29"/>
          <w:szCs w:val="29"/>
        </w:rPr>
      </w:pPr>
      <w:bookmarkStart w:id="153" w:name="_Toc32237"/>
      <w:r>
        <w:rPr>
          <w:rFonts w:hint="eastAsia"/>
          <w:spacing w:val="4"/>
          <w:sz w:val="29"/>
          <w:szCs w:val="29"/>
        </w:rPr>
        <w:t>5</w:t>
      </w:r>
      <w:r>
        <w:rPr>
          <w:rFonts w:eastAsia="Times New Roman"/>
          <w:spacing w:val="4"/>
          <w:sz w:val="29"/>
          <w:szCs w:val="29"/>
        </w:rPr>
        <w:t xml:space="preserve"> </w:t>
      </w:r>
      <w:r>
        <w:rPr>
          <w:rFonts w:hint="eastAsia" w:ascii="宋体" w:hAnsi="宋体" w:cs="宋体"/>
          <w:spacing w:val="4"/>
          <w:sz w:val="29"/>
          <w:szCs w:val="29"/>
          <w14:textOutline w14:w="5448" w14:cap="sq" w14:cmpd="sng" w14:algn="ctr">
            <w14:solidFill>
              <w14:srgbClr w14:val="000000"/>
            </w14:solidFill>
            <w14:prstDash w14:val="solid"/>
            <w14:bevel/>
          </w14:textOutline>
        </w:rPr>
        <w:t>项目技术风险评估</w:t>
      </w:r>
      <w:bookmarkEnd w:id="153"/>
    </w:p>
    <w:p>
      <w:pPr>
        <w:widowControl/>
        <w:kinsoku w:val="0"/>
        <w:adjustRightInd w:val="0"/>
        <w:snapToGrid w:val="0"/>
        <w:spacing w:line="360" w:lineRule="auto"/>
        <w:ind w:firstLine="14"/>
        <w:textAlignment w:val="baseline"/>
        <w:rPr>
          <w:rFonts w:ascii="宋体" w:hAnsi="宋体" w:cs="宋体"/>
          <w:sz w:val="24"/>
        </w:rPr>
      </w:pPr>
      <w:r>
        <w:rPr>
          <w:rFonts w:hint="eastAsia" w:ascii="宋体" w:hAnsi="宋体" w:cs="宋体"/>
          <w:spacing w:val="7"/>
          <w:sz w:val="24"/>
        </w:rPr>
        <w:t>5</w:t>
      </w:r>
      <w:r>
        <w:rPr>
          <w:rFonts w:ascii="宋体" w:hAnsi="宋体" w:cs="宋体"/>
          <w:spacing w:val="7"/>
          <w:sz w:val="24"/>
        </w:rPr>
        <w:t>.0.</w:t>
      </w:r>
      <w:r>
        <w:rPr>
          <w:rFonts w:hint="eastAsia" w:ascii="宋体" w:hAnsi="宋体" w:cs="宋体"/>
          <w:spacing w:val="7"/>
          <w:sz w:val="24"/>
        </w:rPr>
        <w:t>3</w:t>
      </w:r>
      <w:r>
        <w:rPr>
          <w:rFonts w:ascii="宋体" w:hAnsi="宋体" w:cs="宋体"/>
          <w:spacing w:val="7"/>
          <w:sz w:val="24"/>
        </w:rPr>
        <w:t xml:space="preserve"> </w:t>
      </w:r>
      <w:r>
        <w:rPr>
          <w:rFonts w:hint="eastAsia" w:ascii="宋体" w:hAnsi="宋体" w:cs="宋体"/>
          <w:spacing w:val="7"/>
          <w:sz w:val="24"/>
        </w:rPr>
        <w:t>对于初次投保的门窗，不需要考虑门窗的运维管理，因此运维管理的权重系数为0。对于家装门窗工程来说，由于地理位置不确定，因此可以地理位置的权重系数可以设置为0，不作考虑。</w:t>
      </w:r>
    </w:p>
    <w:p>
      <w:pPr>
        <w:widowControl/>
        <w:kinsoku w:val="0"/>
        <w:adjustRightInd w:val="0"/>
        <w:snapToGrid w:val="0"/>
        <w:spacing w:line="360" w:lineRule="auto"/>
        <w:textAlignment w:val="baseline"/>
        <w:rPr>
          <w:sz w:val="24"/>
        </w:rPr>
        <w:sectPr>
          <w:headerReference r:id="rId25" w:type="default"/>
          <w:footerReference r:id="rId26" w:type="default"/>
          <w:pgSz w:w="11911" w:h="16838"/>
          <w:pgMar w:top="1440" w:right="1800" w:bottom="1440" w:left="1800" w:header="0" w:footer="714" w:gutter="0"/>
          <w:pgNumType w:fmt="decimal"/>
          <w:cols w:space="0" w:num="1"/>
        </w:sectPr>
      </w:pPr>
    </w:p>
    <w:p>
      <w:pPr>
        <w:spacing w:before="95" w:line="360" w:lineRule="auto"/>
        <w:jc w:val="center"/>
        <w:outlineLvl w:val="0"/>
        <w:rPr>
          <w:rFonts w:ascii="宋体" w:hAnsi="宋体" w:cs="宋体"/>
          <w:sz w:val="29"/>
          <w:szCs w:val="29"/>
        </w:rPr>
      </w:pPr>
      <w:bookmarkStart w:id="154" w:name="_Toc1463"/>
      <w:r>
        <w:rPr>
          <w:rFonts w:hint="eastAsia" w:eastAsia="Times New Roman"/>
          <w:spacing w:val="4"/>
          <w:sz w:val="29"/>
          <w:szCs w:val="29"/>
        </w:rPr>
        <w:t>6 保险责任</w:t>
      </w:r>
      <w:bookmarkEnd w:id="154"/>
    </w:p>
    <w:p>
      <w:pPr>
        <w:widowControl/>
        <w:kinsoku w:val="0"/>
        <w:autoSpaceDE w:val="0"/>
        <w:autoSpaceDN w:val="0"/>
        <w:adjustRightInd w:val="0"/>
        <w:snapToGrid w:val="0"/>
        <w:spacing w:line="360" w:lineRule="auto"/>
        <w:textAlignment w:val="baseline"/>
        <w:rPr>
          <w:rFonts w:ascii="宋体" w:hAnsi="宋体" w:cs="宋体"/>
          <w:spacing w:val="7"/>
          <w:sz w:val="24"/>
        </w:rPr>
      </w:pPr>
      <w:r>
        <w:rPr>
          <w:rFonts w:hint="eastAsia" w:ascii="宋体" w:hAnsi="宋体" w:cs="宋体"/>
          <w:spacing w:val="7"/>
          <w:sz w:val="24"/>
        </w:rPr>
        <w:t>6</w:t>
      </w:r>
      <w:r>
        <w:rPr>
          <w:rFonts w:ascii="宋体" w:hAnsi="宋体" w:cs="宋体"/>
          <w:spacing w:val="7"/>
          <w:sz w:val="24"/>
        </w:rPr>
        <w:t>.0.</w:t>
      </w:r>
      <w:r>
        <w:rPr>
          <w:rFonts w:hint="eastAsia" w:ascii="宋体" w:hAnsi="宋体" w:cs="宋体"/>
          <w:spacing w:val="7"/>
          <w:sz w:val="24"/>
        </w:rPr>
        <w:t>2</w:t>
      </w:r>
      <w:r>
        <w:rPr>
          <w:rFonts w:ascii="宋体" w:hAnsi="宋体" w:cs="宋体"/>
          <w:spacing w:val="7"/>
          <w:sz w:val="24"/>
        </w:rPr>
        <w:t xml:space="preserve"> </w:t>
      </w:r>
      <w:r>
        <w:rPr>
          <w:rFonts w:hint="eastAsia" w:ascii="宋体" w:hAnsi="宋体" w:cs="宋体"/>
          <w:spacing w:val="7"/>
          <w:sz w:val="24"/>
        </w:rPr>
        <w:t>门窗产品责任保险的保险责任范围：在保险期间和约定的追溯期内，在保险单约定的承保区域内，由于保险单中所列被保险产品存在缺陷，造成使用、消费或操作该产品的人或其他任何人的人身伤亡或财产损失，依照中华人民共和国法律（以下简称“依法”）应由被保险人承担赔偿责任，且受损害方在保险期间内首次向被保险人书面提出索赔，被保险人亦在保险期间内向保险人书面提出索赔，保险人依据本合同的约定，在赔偿限额内负责赔偿。</w:t>
      </w:r>
    </w:p>
    <w:p>
      <w:pPr>
        <w:widowControl/>
        <w:kinsoku w:val="0"/>
        <w:autoSpaceDE w:val="0"/>
        <w:autoSpaceDN w:val="0"/>
        <w:adjustRightInd w:val="0"/>
        <w:snapToGrid w:val="0"/>
        <w:spacing w:line="360" w:lineRule="auto"/>
        <w:textAlignment w:val="baseline"/>
        <w:rPr>
          <w:rFonts w:ascii="宋体" w:hAnsi="宋体" w:cs="宋体"/>
          <w:spacing w:val="7"/>
          <w:sz w:val="24"/>
        </w:rPr>
      </w:pPr>
      <w:r>
        <w:rPr>
          <w:rFonts w:hint="eastAsia" w:ascii="宋体" w:hAnsi="宋体" w:cs="宋体"/>
          <w:spacing w:val="7"/>
          <w:sz w:val="24"/>
        </w:rPr>
        <w:t>保险人负责赔偿被保险人实际支付的、事先经保险人书面同意的、与保险事故直接相关的诉讼费、律师费、仲裁费以及其他必要的、合理的费用，但法律费用与责任赔偿金额之和以保险单载明的赔偿限额为限。</w:t>
      </w:r>
    </w:p>
    <w:p>
      <w:pPr>
        <w:widowControl/>
        <w:kinsoku w:val="0"/>
        <w:autoSpaceDE w:val="0"/>
        <w:autoSpaceDN w:val="0"/>
        <w:adjustRightInd w:val="0"/>
        <w:snapToGrid w:val="0"/>
        <w:spacing w:line="360" w:lineRule="auto"/>
        <w:textAlignment w:val="baseline"/>
        <w:rPr>
          <w:rFonts w:ascii="宋体" w:hAnsi="宋体" w:cs="宋体"/>
          <w:spacing w:val="7"/>
          <w:sz w:val="24"/>
        </w:rPr>
      </w:pPr>
      <w:r>
        <w:rPr>
          <w:rFonts w:hint="eastAsia" w:ascii="宋体" w:hAnsi="宋体" w:cs="宋体"/>
          <w:spacing w:val="7"/>
          <w:sz w:val="24"/>
        </w:rPr>
        <w:t>门窗产品质量保证保险的保险责任范围：在本保险单明细表中列明的追溯期起始日之后，由被保险人生产或销售的产品，由于下列原因之一，导致权利人在保险期间内首次向被保险人提出索赔，依法应由被保险人承担修理、更换或退货责任，对于其中产品本身的质量赔偿责任，保险人在保险单明细表中约定的赔偿限额内予以赔偿：</w:t>
      </w:r>
    </w:p>
    <w:p>
      <w:pPr>
        <w:widowControl/>
        <w:kinsoku w:val="0"/>
        <w:autoSpaceDE w:val="0"/>
        <w:autoSpaceDN w:val="0"/>
        <w:adjustRightInd w:val="0"/>
        <w:snapToGrid w:val="0"/>
        <w:spacing w:line="360" w:lineRule="auto"/>
        <w:textAlignment w:val="baseline"/>
        <w:rPr>
          <w:rFonts w:ascii="宋体" w:hAnsi="宋体" w:cs="宋体"/>
          <w:spacing w:val="7"/>
          <w:sz w:val="24"/>
        </w:rPr>
      </w:pPr>
      <w:r>
        <w:rPr>
          <w:rFonts w:hint="eastAsia" w:ascii="宋体" w:hAnsi="宋体" w:cs="宋体"/>
          <w:spacing w:val="7"/>
          <w:sz w:val="24"/>
        </w:rPr>
        <w:t>（一）不具备产品应当具备的使用性能而事先未作说明的；</w:t>
      </w:r>
    </w:p>
    <w:p>
      <w:pPr>
        <w:widowControl/>
        <w:kinsoku w:val="0"/>
        <w:autoSpaceDE w:val="0"/>
        <w:autoSpaceDN w:val="0"/>
        <w:adjustRightInd w:val="0"/>
        <w:snapToGrid w:val="0"/>
        <w:spacing w:line="360" w:lineRule="auto"/>
        <w:textAlignment w:val="baseline"/>
        <w:rPr>
          <w:rFonts w:ascii="宋体" w:hAnsi="宋体" w:cs="宋体"/>
          <w:spacing w:val="7"/>
          <w:sz w:val="24"/>
        </w:rPr>
      </w:pPr>
      <w:r>
        <w:rPr>
          <w:rFonts w:hint="eastAsia" w:ascii="宋体" w:hAnsi="宋体" w:cs="宋体"/>
          <w:spacing w:val="7"/>
          <w:sz w:val="24"/>
        </w:rPr>
        <w:t>（二）不符合在产品或者其包装上注明采用的产品标准的；</w:t>
      </w:r>
    </w:p>
    <w:p>
      <w:pPr>
        <w:widowControl/>
        <w:kinsoku w:val="0"/>
        <w:autoSpaceDE w:val="0"/>
        <w:autoSpaceDN w:val="0"/>
        <w:adjustRightInd w:val="0"/>
        <w:snapToGrid w:val="0"/>
        <w:spacing w:line="360" w:lineRule="auto"/>
        <w:textAlignment w:val="baseline"/>
        <w:rPr>
          <w:rFonts w:ascii="宋体" w:hAnsi="宋体" w:cs="宋体"/>
          <w:spacing w:val="7"/>
          <w:sz w:val="24"/>
        </w:rPr>
      </w:pPr>
      <w:r>
        <w:rPr>
          <w:rFonts w:hint="eastAsia" w:ascii="宋体" w:hAnsi="宋体" w:cs="宋体"/>
          <w:spacing w:val="7"/>
          <w:sz w:val="24"/>
        </w:rPr>
        <w:t>（三）不符合以产品说明、实物样品等方式表明的质量状况的。</w:t>
      </w:r>
    </w:p>
    <w:p>
      <w:pPr>
        <w:widowControl/>
        <w:kinsoku w:val="0"/>
        <w:autoSpaceDE w:val="0"/>
        <w:autoSpaceDN w:val="0"/>
        <w:adjustRightInd w:val="0"/>
        <w:snapToGrid w:val="0"/>
        <w:spacing w:line="360" w:lineRule="auto"/>
        <w:textAlignment w:val="baseline"/>
        <w:rPr>
          <w:rFonts w:ascii="宋体" w:hAnsi="宋体" w:cs="宋体"/>
          <w:spacing w:val="7"/>
          <w:sz w:val="24"/>
        </w:rPr>
      </w:pPr>
      <w:r>
        <w:rPr>
          <w:rFonts w:hint="eastAsia" w:ascii="宋体" w:hAnsi="宋体" w:cs="宋体"/>
          <w:spacing w:val="7"/>
          <w:sz w:val="24"/>
        </w:rPr>
        <w:t>由于保险事故引起的下列必要的、合理的费用，保险人也负责赔偿：由于保险产品的修理、更换或退货引起的应由被保险人承担的鉴定费用、运输费用和交通费用。</w:t>
      </w:r>
    </w:p>
    <w:p>
      <w:pPr>
        <w:pStyle w:val="162"/>
        <w:ind w:firstLine="0" w:firstLineChars="0"/>
        <w:rPr>
          <w:rFonts w:ascii="宋体" w:hAnsi="宋体" w:cs="宋体"/>
          <w:spacing w:val="7"/>
          <w:szCs w:val="24"/>
        </w:rPr>
      </w:pPr>
      <w:r>
        <w:rPr>
          <w:rFonts w:hint="eastAsia"/>
          <w:color w:val="000000"/>
          <w:szCs w:val="24"/>
        </w:rPr>
        <w:t>6.0.3</w:t>
      </w:r>
      <w:r>
        <w:rPr>
          <w:rFonts w:hint="eastAsia"/>
          <w:color w:val="000000"/>
          <w:szCs w:val="24"/>
          <w:lang w:val="zh-CN"/>
        </w:rPr>
        <w:t xml:space="preserve"> 本条给出了门窗安全责任保险保费调整系数的计算公式。该公式设计思路为：引入门窗安全保费调整系数i，i=3-0.25*D（其中D为建筑门窗保险评定总得分）建筑门窗保险评定总得分为80分时，通过计算保费调整系数为1，按基础保费正常投保；建筑门窗保险评定总得分为高于80，i的数值介于1-0.5之间，相应的保费在基础保费M0的基础上做相应降低，体现了工程优质优价的理念；建筑门窗保险评定总得分为80到70分之间时，i的数值介于1-1.25之间，相应的保费在基础保费M0的基础上做相应提高；建筑门窗保险评定总得分为70到60分之间时，现阶段按整改以后在行投保，保费调整系数最高为1.5建筑门窗保险评定总得分得分为60分以下时，不能投保。最终保费M=M0*i，其中M0为基础保费，i为调整系数。基础保费可根据目前场所类、产品类责任保险精算定价基础，按照各保险公司的经营思路进行确定。</w:t>
      </w:r>
    </w:p>
    <w:p>
      <w:pPr>
        <w:spacing w:line="360" w:lineRule="auto"/>
        <w:ind w:left="14"/>
        <w:rPr>
          <w:rFonts w:ascii="宋体" w:hAnsi="宋体" w:cs="宋体"/>
          <w:spacing w:val="8"/>
          <w:sz w:val="24"/>
        </w:rPr>
      </w:pPr>
      <w:r>
        <w:rPr>
          <w:rFonts w:hint="eastAsia" w:ascii="宋体" w:hAnsi="宋体" w:cs="宋体"/>
          <w:spacing w:val="16"/>
          <w:sz w:val="24"/>
        </w:rPr>
        <w:t>6</w:t>
      </w:r>
      <w:r>
        <w:rPr>
          <w:rFonts w:ascii="宋体" w:hAnsi="宋体" w:cs="宋体"/>
          <w:spacing w:val="16"/>
          <w:sz w:val="24"/>
        </w:rPr>
        <w:t>.</w:t>
      </w:r>
      <w:r>
        <w:rPr>
          <w:rFonts w:ascii="宋体" w:hAnsi="宋体" w:cs="宋体"/>
          <w:spacing w:val="13"/>
          <w:sz w:val="24"/>
        </w:rPr>
        <w:t>0</w:t>
      </w:r>
      <w:r>
        <w:rPr>
          <w:rFonts w:ascii="宋体" w:hAnsi="宋体" w:cs="宋体"/>
          <w:spacing w:val="8"/>
          <w:sz w:val="24"/>
        </w:rPr>
        <w:t>.</w:t>
      </w:r>
      <w:r>
        <w:rPr>
          <w:rFonts w:hint="eastAsia" w:ascii="宋体" w:hAnsi="宋体" w:cs="宋体"/>
          <w:spacing w:val="8"/>
          <w:sz w:val="24"/>
        </w:rPr>
        <w:t>4-1</w:t>
      </w:r>
      <w:r>
        <w:rPr>
          <w:rFonts w:ascii="宋体" w:hAnsi="宋体" w:cs="宋体"/>
          <w:spacing w:val="8"/>
          <w:sz w:val="24"/>
        </w:rPr>
        <w:t xml:space="preserve"> </w:t>
      </w:r>
      <w:r>
        <w:rPr>
          <w:rFonts w:hint="eastAsia" w:ascii="宋体" w:hAnsi="宋体" w:cs="宋体"/>
          <w:spacing w:val="8"/>
          <w:sz w:val="24"/>
        </w:rPr>
        <w:t>门窗产品的原材料、产品加工、现场安装、使用维护等技术因素对建筑门窗全寿命安全性影响的重要性应根据不同的建筑工程特点，并依据大数据分析综合确定，各因素评分项的总分可以存在差异。</w:t>
      </w:r>
    </w:p>
    <w:p>
      <w:pPr>
        <w:spacing w:line="360" w:lineRule="auto"/>
        <w:ind w:left="14"/>
        <w:rPr>
          <w:color w:val="000000"/>
          <w:sz w:val="24"/>
          <w:lang w:val="zh-CN"/>
        </w:rPr>
      </w:pPr>
      <w:r>
        <w:rPr>
          <w:rFonts w:hint="eastAsia" w:ascii="宋体" w:hAnsi="宋体" w:cs="宋体"/>
          <w:spacing w:val="16"/>
          <w:sz w:val="24"/>
        </w:rPr>
        <w:t>6</w:t>
      </w:r>
      <w:r>
        <w:rPr>
          <w:rFonts w:ascii="宋体" w:hAnsi="宋体" w:cs="宋体"/>
          <w:spacing w:val="16"/>
          <w:sz w:val="24"/>
        </w:rPr>
        <w:t>.</w:t>
      </w:r>
      <w:r>
        <w:rPr>
          <w:rFonts w:ascii="宋体" w:hAnsi="宋体" w:cs="宋体"/>
          <w:spacing w:val="13"/>
          <w:sz w:val="24"/>
        </w:rPr>
        <w:t>0</w:t>
      </w:r>
      <w:r>
        <w:rPr>
          <w:rFonts w:ascii="宋体" w:hAnsi="宋体" w:cs="宋体"/>
          <w:spacing w:val="8"/>
          <w:sz w:val="24"/>
        </w:rPr>
        <w:t>.</w:t>
      </w:r>
      <w:r>
        <w:rPr>
          <w:rFonts w:hint="eastAsia" w:ascii="宋体" w:hAnsi="宋体" w:cs="宋体"/>
          <w:spacing w:val="8"/>
          <w:sz w:val="24"/>
        </w:rPr>
        <w:t>4-2</w:t>
      </w:r>
      <w:r>
        <w:rPr>
          <w:rFonts w:ascii="宋体" w:hAnsi="宋体" w:cs="宋体"/>
          <w:spacing w:val="8"/>
          <w:sz w:val="24"/>
        </w:rPr>
        <w:t xml:space="preserve"> </w:t>
      </w:r>
      <w:r>
        <w:rPr>
          <w:rFonts w:hint="eastAsia"/>
          <w:color w:val="000000"/>
          <w:sz w:val="24"/>
          <w:lang w:val="zh-CN"/>
        </w:rPr>
        <w:t>可预期保险年限只代表评估时刻的全寿命安全性的状态表现，会因标的的整修、加固等改善性维护措施而动态调整。可预期保险年限不等同于单张保单的保险期间，保险公司可依据保险责任、精算数据、产品特性、客户需求等灵活确定保险期间。</w:t>
      </w:r>
    </w:p>
    <w:p>
      <w:pPr>
        <w:spacing w:line="360" w:lineRule="auto"/>
        <w:ind w:left="14"/>
      </w:pPr>
      <w:r>
        <w:rPr>
          <w:rFonts w:hint="eastAsia" w:ascii="宋体" w:hAnsi="宋体" w:cs="宋体"/>
          <w:spacing w:val="16"/>
          <w:sz w:val="24"/>
        </w:rPr>
        <w:t>6</w:t>
      </w:r>
      <w:r>
        <w:rPr>
          <w:rFonts w:ascii="宋体" w:hAnsi="宋体" w:cs="宋体"/>
          <w:spacing w:val="16"/>
          <w:sz w:val="24"/>
        </w:rPr>
        <w:t>.</w:t>
      </w:r>
      <w:r>
        <w:rPr>
          <w:rFonts w:ascii="宋体" w:hAnsi="宋体" w:cs="宋体"/>
          <w:spacing w:val="13"/>
          <w:sz w:val="24"/>
        </w:rPr>
        <w:t>0</w:t>
      </w:r>
      <w:r>
        <w:rPr>
          <w:rFonts w:ascii="宋体" w:hAnsi="宋体" w:cs="宋体"/>
          <w:spacing w:val="8"/>
          <w:sz w:val="24"/>
        </w:rPr>
        <w:t>.</w:t>
      </w:r>
      <w:r>
        <w:rPr>
          <w:rFonts w:hint="eastAsia" w:ascii="宋体" w:hAnsi="宋体" w:cs="宋体"/>
          <w:spacing w:val="8"/>
          <w:sz w:val="24"/>
        </w:rPr>
        <w:t>4-3</w:t>
      </w:r>
      <w:r>
        <w:rPr>
          <w:rFonts w:ascii="宋体" w:hAnsi="宋体" w:cs="宋体"/>
          <w:spacing w:val="8"/>
          <w:sz w:val="24"/>
        </w:rPr>
        <w:t xml:space="preserve"> </w:t>
      </w:r>
      <w:r>
        <w:rPr>
          <w:rFonts w:hint="eastAsia"/>
          <w:color w:val="000000"/>
          <w:sz w:val="24"/>
          <w:lang w:val="zh-CN"/>
        </w:rPr>
        <w:t>各种影响因素的权重确定后，应保持阶段性稳定，如发生调整应按照保险产品管理办法等相关要求进行披露或公告。最后根据各自权重计算出全因素评价综合得分，全因素评价综合得分可用于保费调整系数的计算。</w:t>
      </w:r>
    </w:p>
    <w:p>
      <w:pPr>
        <w:pStyle w:val="28"/>
        <w:ind w:firstLine="0" w:firstLineChars="0"/>
        <w:rPr>
          <w:rFonts w:ascii="Times New Roman"/>
          <w:sz w:val="24"/>
          <w:szCs w:val="24"/>
        </w:rPr>
      </w:pPr>
    </w:p>
    <w:sectPr>
      <w:pgSz w:w="11911" w:h="16838"/>
      <w:pgMar w:top="567" w:right="1134" w:bottom="1134" w:left="1417" w:header="720" w:footer="720" w:gutter="0"/>
      <w:pgNumType w:fmt="decimal"/>
      <w:cols w:space="0" w:num="1"/>
      <w:formProt w:val="0"/>
      <w:docGrid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宋体">
    <w:altName w:val="宋体"/>
    <w:panose1 w:val="00000000000000000000"/>
    <w:charset w:val="86"/>
    <w:family w:val="swiss"/>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Winterthur">
    <w:altName w:val="Tahoma"/>
    <w:panose1 w:val="00000000000000000000"/>
    <w:charset w:val="00"/>
    <w:family w:val="swiss"/>
    <w:pitch w:val="default"/>
    <w:sig w:usb0="00000000" w:usb1="00000000" w:usb2="00000000" w:usb3="00000000" w:csb0="0000011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320"/>
        <w:tab w:val="right" w:pos="8640"/>
      </w:tabs>
      <w:jc w:val="center"/>
    </w:pPr>
  </w:p>
  <w:p>
    <w:pPr>
      <w:pStyle w:val="22"/>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TaYj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gFNpiN0CAAAmBgAADgAAAAAAAAABACAAAAAfAQAAZHJzL2Uyb0RvYy54bWxQSwUG&#10;AAAAAAYABgBZAQAAbgY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UWq3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D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sUWq3eAgAAJgYAAA4AAAAAAAAAAQAgAAAAHwEAAGRycy9lMm9Eb2MueG1sUEsF&#10;BgAAAAAGAAYAWQEAAG8GA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153"/>
        <w:tab w:val="right" w:pos="8306"/>
      </w:tabs>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rZAf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0rZAfeAgAAJgYAAA4AAAAAAAAAAQAgAAAAHwEAAGRycy9lMm9Eb2MueG1sUEsF&#10;BgAAAAAGAAYAWQEAAG8GA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p>
    <w:pPr>
      <w:pStyle w:val="22"/>
      <w:tabs>
        <w:tab w:val="center" w:pos="4153"/>
        <w:tab w:val="right" w:pos="8306"/>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rPr>
        <w:rFonts w:ascii="宋体" w:hAnsi="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2"/>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gEmgj1QAAAAgBAAAPAAAAAAAAAAEAIAAAACIAAABkcnMvZG93bnJldi54bWxQ&#10;SwECFAAUAAAACACHTuJATZs8594CAAAmBgAADgAAAAAAAAABACAAAAAkAQAAZHJzL2Uyb0RvYy54&#10;bWxQSwUGAAAAAAYABgBZAQAAdAY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153"/>
        <w:tab w:val="right" w:pos="8306"/>
      </w:tabs>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kAk3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J0OMBGmh&#10;4vffvt5//3n/4wuCPRBoq8wE4m4VRNrdpdxB2/T7BjYd712lW/cPjBD4Qd67g7xsZxF1h9JBmkbg&#10;ouDrF4AfHo8rbewrJlvkjAxrqJ+XlWwWxnahfYi7Tcii4dzXkAu0zfDodBj5AwcPgHPhYiELwNhb&#10;XW0+jaPxVXqVJkEyGF0FSZTnwayYJ8GoiM+G+Wk+n+fxZ4cXJ5O6KUsm3H19n8TJ8+qw75WuwodO&#10;MZI3pYNzKRm9Ws65RhsCfVr4n1MYkn8QFj5Ow7uB1RNK8SCJLgfjoBilZ0FSJMNgfBalQRSPL8ej&#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ukAk3eAgAAJgYAAA4AAAAAAAAAAQAgAAAAHwEAAGRycy9lMm9Eb2MueG1sUEsF&#10;BgAAAAAGAAYAWQEAAG8GA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876"/>
      <w:rPr>
        <w:rFonts w:ascii="宋体" w:hAnsi="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2"/>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jMWj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DDG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DjMWjeAgAAJgYAAA4AAAAAAAAAAQAgAAAAHwEAAGRycy9lMm9Eb2MueG1sUEsF&#10;BgAAAAAGAAYAWQEAAG8GA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320"/>
        <w:tab w:val="right"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320"/>
        <w:tab w:val="right" w:pos="8640"/>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320"/>
        <w:tab w:val="right" w:pos="864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320"/>
        <w:tab w:val="right" w:pos="864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320"/>
        <w:tab w:val="right" w:pos="8640"/>
      </w:tabs>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320"/>
        <w:tab w:val="right" w:pos="864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320"/>
        <w:tab w:val="right" w:pos="8640"/>
      </w:tabs>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320"/>
        <w:tab w:val="right" w:pos="8640"/>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sVy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gCSSNFDx&#10;+29f77//vP/xBcEeCLTVdgxxCw2RbneldtA2/b6FTc97V5nG/wMjBH7Auj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1mxXIt0CAAAmBgAADgAAAAAAAAABACAAAAAfAQAAZHJzL2Uyb0RvYy54bWxQSwUG&#10;AAAAAAYABgBZAQAAbgY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5"/>
      <w:rPr>
        <w:rFonts w:hAnsi="黑体"/>
      </w:rPr>
    </w:pPr>
    <w:r>
      <w:rPr>
        <w:rFonts w:ascii="Times New Roman"/>
        <w:b/>
      </w:rPr>
      <w:t>T/</w:t>
    </w:r>
    <w:r>
      <w:rPr>
        <w:rFonts w:hint="eastAsia" w:ascii="Times New Roman"/>
        <w:b/>
      </w:rPr>
      <w:t>CECS</w:t>
    </w:r>
    <w:r>
      <w:rPr>
        <w:rFonts w:hAnsi="黑体"/>
        <w:b/>
      </w:rPr>
      <w:t xml:space="preserve"> </w:t>
    </w:r>
    <w:r>
      <w:rPr>
        <w:rFonts w:hAnsi="黑体"/>
      </w:rPr>
      <w:t>X X X—201X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6"/>
    </w:pPr>
    <w:r>
      <w:rPr>
        <w:rFonts w:ascii="Times New Roman"/>
        <w:b/>
      </w:rPr>
      <w:drawing>
        <wp:anchor distT="0" distB="0" distL="114300" distR="114300" simplePos="0" relativeHeight="251660288" behindDoc="1" locked="0" layoutInCell="0" allowOverlap="1">
          <wp:simplePos x="0" y="0"/>
          <wp:positionH relativeFrom="margin">
            <wp:posOffset>-24130</wp:posOffset>
          </wp:positionH>
          <wp:positionV relativeFrom="margin">
            <wp:posOffset>800100</wp:posOffset>
          </wp:positionV>
          <wp:extent cx="5934710" cy="7894320"/>
          <wp:effectExtent l="0" t="0" r="0" b="0"/>
          <wp:wrapNone/>
          <wp:docPr id="20" name="WordPictureWatermark1780223"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1780223" descr="水印"/>
                  <pic:cNvPicPr>
                    <a:picLocks noChangeAspect="1"/>
                  </pic:cNvPicPr>
                </pic:nvPicPr>
                <pic:blipFill>
                  <a:blip r:embed="rId1">
                    <a:lum bright="70001" contrast="-70000"/>
                  </a:blip>
                  <a:stretch>
                    <a:fillRect/>
                  </a:stretch>
                </pic:blipFill>
                <pic:spPr>
                  <a:xfrm>
                    <a:off x="0" y="0"/>
                    <a:ext cx="5934710" cy="7894320"/>
                  </a:xfrm>
                  <a:prstGeom prst="rect">
                    <a:avLst/>
                  </a:prstGeom>
                  <a:noFill/>
                  <a:ln>
                    <a:noFill/>
                  </a:ln>
                </pic:spPr>
              </pic:pic>
            </a:graphicData>
          </a:graphic>
        </wp:anchor>
      </w:drawing>
    </w:r>
    <w:r>
      <w:rPr>
        <w:rFonts w:ascii="Times New Roman"/>
        <w:b/>
      </w:rPr>
      <w:t>T/</w:t>
    </w:r>
    <w:r>
      <w:rPr>
        <w:rFonts w:hint="eastAsia" w:ascii="Times New Roman"/>
        <w:b/>
      </w:rPr>
      <w:t>CECS</w:t>
    </w:r>
    <w:r>
      <w:rPr>
        <w:rFonts w:hAnsi="黑体"/>
        <w:b/>
      </w:rPr>
      <w:t xml:space="preserve"> </w:t>
    </w:r>
    <w:r>
      <w:rPr>
        <w:rFonts w:hAnsi="黑体"/>
      </w:rPr>
      <w:t>X X X—201X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enter" w:pos="4320"/>
        <w:tab w:val="right" w:pos="8640"/>
      </w:tabs>
    </w:pPr>
  </w:p>
  <w:p>
    <w:r>
      <w:rPr>
        <w:rFonts w:ascii="Winterthur" w:hAnsi="Winterthur"/>
      </w:rPr>
      <mc:AlternateContent>
        <mc:Choice Requires="wps">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635" cy="0"/>
              <wp:effectExtent l="0" t="0" r="0" b="0"/>
              <wp:wrapNone/>
              <wp:docPr id="24" name="Rectangle 1"/>
              <wp:cNvGraphicFramePr>
                <a:graphicFrameLocks xmlns:a="http://schemas.openxmlformats.org/drawingml/2006/main" noGrp="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rgbClr val="FFFFFF"/>
                      </a:solidFill>
                      <a:ln>
                        <a:noFill/>
                      </a:ln>
                      <a:effectLst/>
                    </wps:spPr>
                    <wps:bodyPr vert="horz" wrap="square" anchor="t" anchorCtr="0"/>
                  </wps:wsp>
                </a:graphicData>
              </a:graphic>
              <wp14:sizeRelH relativeFrom="page">
                <wp14:pctWidth>100000</wp14:pctWidth>
              </wp14:sizeRelH>
              <wp14:sizeRelV relativeFrom="page">
                <wp14:pctHeight>100000</wp14:pctHeight>
              </wp14:sizeRelV>
            </wp:anchor>
          </w:drawing>
        </mc:Choice>
        <mc:Fallback>
          <w:pict>
            <v:rect id="Rectangle 1" o:spid="_x0000_s1026" o:spt="1" style="position:absolute;left:0pt;margin-left:0pt;margin-top:0pt;height:0pt;width:0.05pt;mso-position-horizontal-relative:page;mso-position-vertical-relative:page;z-index:-251657216;mso-width-relative:page;mso-height-relative:page;mso-width-percent:1000;mso-height-percent:1000;" fillcolor="#FFFFFF" filled="t" stroked="f" coordsize="21600,21600" o:gfxdata="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Ks7z3PAAAA/wAAAA8AAAAAAAAAAQAg&#10;AAAAIgAAAGRycy9kb3ducmV2LnhtbFBLAQIUABQAAAAIAIdO4kBOFE3sFwIAAFcEAAAOAAAAAAAA&#10;AAEAIAAAAB4BAABkcnMvZTJvRG9jLnhtbFBLBQYAAAAABgAGAFkBAACnBQAAAAA=&#10;">
              <v:fill on="t" focussize="0,0"/>
              <v:stroke on="f"/>
              <v:imagedata o:title=""/>
              <o:lock v:ext="edit" selection="t" grouping="t" rotation="t" adjusthandles="t" text="t" aspectratio="t"/>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tabs>
        <w:tab w:val="center" w:pos="4153"/>
        <w:tab w:val="right"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114300" distR="114300" simplePos="0" relativeHeight="251661312" behindDoc="1" locked="0" layoutInCell="0" allowOverlap="1">
          <wp:simplePos x="0" y="0"/>
          <wp:positionH relativeFrom="page">
            <wp:posOffset>876300</wp:posOffset>
          </wp:positionH>
          <wp:positionV relativeFrom="page">
            <wp:posOffset>1569720</wp:posOffset>
          </wp:positionV>
          <wp:extent cx="5934710" cy="7894320"/>
          <wp:effectExtent l="0" t="0" r="0" b="0"/>
          <wp:wrapNone/>
          <wp:docPr id="8" name="WordPictureWater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1"/>
                  <pic:cNvPicPr>
                    <a:picLocks noChangeAspect="1"/>
                  </pic:cNvPicPr>
                </pic:nvPicPr>
                <pic:blipFill>
                  <a:blip r:embed="rId1"/>
                  <a:stretch>
                    <a:fillRect/>
                  </a:stretch>
                </pic:blipFill>
                <pic:spPr>
                  <a:xfrm>
                    <a:off x="0" y="0"/>
                    <a:ext cx="5934710" cy="7894320"/>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F049C"/>
    <w:multiLevelType w:val="multilevel"/>
    <w:tmpl w:val="837F049C"/>
    <w:lvl w:ilvl="0" w:tentative="0">
      <w:start w:val="1"/>
      <w:numFmt w:val="decimal"/>
      <w:lvlText w:val="%1"/>
      <w:lvlJc w:val="left"/>
      <w:pPr>
        <w:ind w:left="425" w:hanging="425"/>
      </w:pPr>
      <w:rPr>
        <w:rFonts w:hint="eastAsia"/>
      </w:rPr>
    </w:lvl>
    <w:lvl w:ilvl="1" w:tentative="0">
      <w:start w:val="3"/>
      <w:numFmt w:val="decimal"/>
      <w:pStyle w:val="3"/>
      <w:lvlText w:val="%1.%2"/>
      <w:lvlJc w:val="left"/>
      <w:pPr>
        <w:ind w:left="567" w:hanging="567"/>
      </w:pPr>
      <w:rPr>
        <w:rFonts w:hint="default" w:ascii="宋体" w:hAnsi="宋体" w:eastAsia="宋体" w:cs="宋体"/>
      </w:rPr>
    </w:lvl>
    <w:lvl w:ilvl="2" w:tentative="0">
      <w:start w:val="1"/>
      <w:numFmt w:val="decimal"/>
      <w:pStyle w:val="160"/>
      <w:lvlText w:val="%1.%2.%3"/>
      <w:lvlJc w:val="left"/>
      <w:pPr>
        <w:ind w:left="709" w:hanging="709"/>
      </w:pPr>
      <w:rPr>
        <w:rFonts w:hint="default"/>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900D7A84"/>
    <w:multiLevelType w:val="singleLevel"/>
    <w:tmpl w:val="900D7A84"/>
    <w:lvl w:ilvl="0" w:tentative="0">
      <w:start w:val="1"/>
      <w:numFmt w:val="decimal"/>
      <w:suff w:val="space"/>
      <w:lvlText w:val="%1）"/>
      <w:lvlJc w:val="left"/>
    </w:lvl>
  </w:abstractNum>
  <w:abstractNum w:abstractNumId="2">
    <w:nsid w:val="E56D6F26"/>
    <w:multiLevelType w:val="singleLevel"/>
    <w:tmpl w:val="E56D6F26"/>
    <w:lvl w:ilvl="0" w:tentative="0">
      <w:start w:val="1"/>
      <w:numFmt w:val="decimal"/>
      <w:suff w:val="space"/>
      <w:lvlText w:val="%1）"/>
      <w:lvlJc w:val="left"/>
    </w:lvl>
  </w:abstractNum>
  <w:abstractNum w:abstractNumId="3">
    <w:nsid w:val="06086A28"/>
    <w:multiLevelType w:val="singleLevel"/>
    <w:tmpl w:val="06086A28"/>
    <w:lvl w:ilvl="0" w:tentative="0">
      <w:start w:val="1"/>
      <w:numFmt w:val="decimal"/>
      <w:suff w:val="space"/>
      <w:lvlText w:val="%1）"/>
      <w:lvlJc w:val="left"/>
    </w:lvl>
  </w:abstractNum>
  <w:abstractNum w:abstractNumId="4">
    <w:nsid w:val="1748BF6D"/>
    <w:multiLevelType w:val="singleLevel"/>
    <w:tmpl w:val="1748BF6D"/>
    <w:lvl w:ilvl="0" w:tentative="0">
      <w:start w:val="1"/>
      <w:numFmt w:val="decimal"/>
      <w:suff w:val="nothing"/>
      <w:lvlText w:val="%1）"/>
      <w:lvlJc w:val="left"/>
    </w:lvl>
  </w:abstractNum>
  <w:abstractNum w:abstractNumId="5">
    <w:nsid w:val="1DBF583A"/>
    <w:multiLevelType w:val="multilevel"/>
    <w:tmpl w:val="1DBF583A"/>
    <w:lvl w:ilvl="0" w:tentative="0">
      <w:start w:val="1"/>
      <w:numFmt w:val="decimal"/>
      <w:pStyle w:val="102"/>
      <w:suff w:val="nothing"/>
      <w:lvlText w:val="注%1："/>
      <w:lvlJc w:val="left"/>
      <w:pPr>
        <w:ind w:left="811" w:hanging="448"/>
      </w:pPr>
      <w:rPr>
        <w:rFonts w:hint="eastAsia" w:ascii="黑体" w:eastAsia="黑体" w:cs="Times New Roman"/>
        <w:b w:val="0"/>
        <w:i w:val="0"/>
        <w:sz w:val="18"/>
        <w:szCs w:val="18"/>
        <w:vertAlign w:val="baseline"/>
      </w:rPr>
    </w:lvl>
    <w:lvl w:ilvl="1" w:tentative="0">
      <w:start w:val="1"/>
      <w:numFmt w:val="lowerLetter"/>
      <w:lvlText w:val="%2)"/>
      <w:lvlJc w:val="left"/>
      <w:pPr>
        <w:tabs>
          <w:tab w:val="left" w:pos="180"/>
        </w:tabs>
        <w:ind w:left="1172" w:hanging="629"/>
      </w:pPr>
      <w:rPr>
        <w:rFonts w:hint="eastAsia" w:cs="Times New Roman"/>
        <w:vertAlign w:val="baseline"/>
      </w:rPr>
    </w:lvl>
    <w:lvl w:ilvl="2" w:tentative="0">
      <w:start w:val="1"/>
      <w:numFmt w:val="lowerRoman"/>
      <w:lvlText w:val="%3."/>
      <w:lvlJc w:val="right"/>
      <w:pPr>
        <w:tabs>
          <w:tab w:val="left" w:pos="180"/>
        </w:tabs>
        <w:ind w:left="1172" w:hanging="629"/>
      </w:pPr>
      <w:rPr>
        <w:rFonts w:hint="eastAsia" w:cs="Times New Roman"/>
        <w:vertAlign w:val="baseline"/>
      </w:rPr>
    </w:lvl>
    <w:lvl w:ilvl="3" w:tentative="0">
      <w:start w:val="1"/>
      <w:numFmt w:val="decimal"/>
      <w:lvlText w:val="%4."/>
      <w:lvlJc w:val="left"/>
      <w:pPr>
        <w:tabs>
          <w:tab w:val="left" w:pos="180"/>
        </w:tabs>
        <w:ind w:left="1172" w:hanging="629"/>
      </w:pPr>
      <w:rPr>
        <w:rFonts w:hint="eastAsia" w:cs="Times New Roman"/>
        <w:vertAlign w:val="baseline"/>
      </w:rPr>
    </w:lvl>
    <w:lvl w:ilvl="4" w:tentative="0">
      <w:start w:val="1"/>
      <w:numFmt w:val="lowerLetter"/>
      <w:lvlText w:val="%5)"/>
      <w:lvlJc w:val="left"/>
      <w:pPr>
        <w:tabs>
          <w:tab w:val="left" w:pos="180"/>
        </w:tabs>
        <w:ind w:left="1172" w:hanging="629"/>
      </w:pPr>
      <w:rPr>
        <w:rFonts w:hint="eastAsia" w:cs="Times New Roman"/>
        <w:vertAlign w:val="baseline"/>
      </w:rPr>
    </w:lvl>
    <w:lvl w:ilvl="5" w:tentative="0">
      <w:start w:val="1"/>
      <w:numFmt w:val="lowerRoman"/>
      <w:lvlText w:val="%6."/>
      <w:lvlJc w:val="right"/>
      <w:pPr>
        <w:tabs>
          <w:tab w:val="left" w:pos="180"/>
        </w:tabs>
        <w:ind w:left="1172" w:hanging="629"/>
      </w:pPr>
      <w:rPr>
        <w:rFonts w:hint="eastAsia" w:cs="Times New Roman"/>
        <w:vertAlign w:val="baseline"/>
      </w:rPr>
    </w:lvl>
    <w:lvl w:ilvl="6" w:tentative="0">
      <w:start w:val="1"/>
      <w:numFmt w:val="decimal"/>
      <w:lvlText w:val="%7."/>
      <w:lvlJc w:val="left"/>
      <w:pPr>
        <w:tabs>
          <w:tab w:val="left" w:pos="180"/>
        </w:tabs>
        <w:ind w:left="1172" w:hanging="629"/>
      </w:pPr>
      <w:rPr>
        <w:rFonts w:hint="eastAsia" w:cs="Times New Roman"/>
        <w:vertAlign w:val="baseline"/>
      </w:rPr>
    </w:lvl>
    <w:lvl w:ilvl="7" w:tentative="0">
      <w:start w:val="1"/>
      <w:numFmt w:val="lowerLetter"/>
      <w:lvlText w:val="%8)"/>
      <w:lvlJc w:val="left"/>
      <w:pPr>
        <w:tabs>
          <w:tab w:val="left" w:pos="180"/>
        </w:tabs>
        <w:ind w:left="1172" w:hanging="629"/>
      </w:pPr>
      <w:rPr>
        <w:rFonts w:hint="eastAsia" w:cs="Times New Roman"/>
        <w:vertAlign w:val="baseline"/>
      </w:rPr>
    </w:lvl>
    <w:lvl w:ilvl="8" w:tentative="0">
      <w:start w:val="1"/>
      <w:numFmt w:val="lowerRoman"/>
      <w:lvlText w:val="%9."/>
      <w:lvlJc w:val="right"/>
      <w:pPr>
        <w:tabs>
          <w:tab w:val="left" w:pos="180"/>
        </w:tabs>
        <w:ind w:left="1172" w:hanging="629"/>
      </w:pPr>
      <w:rPr>
        <w:rFonts w:hint="eastAsia" w:cs="Times New Roman"/>
        <w:vertAlign w:val="baseline"/>
      </w:rPr>
    </w:lvl>
  </w:abstractNum>
  <w:abstractNum w:abstractNumId="6">
    <w:nsid w:val="1FC91163"/>
    <w:multiLevelType w:val="multilevel"/>
    <w:tmpl w:val="1FC91163"/>
    <w:lvl w:ilvl="0" w:tentative="0">
      <w:start w:val="1"/>
      <w:numFmt w:val="decimal"/>
      <w:pStyle w:val="70"/>
      <w:suff w:val="nothing"/>
      <w:lvlText w:val="%1　"/>
      <w:lvlJc w:val="left"/>
      <w:rPr>
        <w:rFonts w:hint="eastAsia" w:ascii="黑体" w:hAnsi="Times New Roman" w:eastAsia="黑体" w:cs="Times New Roman"/>
        <w:b w:val="0"/>
        <w:i w:val="0"/>
        <w:sz w:val="21"/>
        <w:szCs w:val="21"/>
      </w:rPr>
    </w:lvl>
    <w:lvl w:ilvl="1" w:tentative="0">
      <w:start w:val="1"/>
      <w:numFmt w:val="decimal"/>
      <w:pStyle w:val="54"/>
      <w:suff w:val="nothing"/>
      <w:lvlText w:val="%1.%2　"/>
      <w:lvlJc w:val="left"/>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56"/>
      <w:suff w:val="nothing"/>
      <w:lvlText w:val="%1.%2.%3　"/>
      <w:lvlJc w:val="left"/>
      <w:pPr>
        <w:ind w:left="1701"/>
      </w:pPr>
      <w:rPr>
        <w:rFonts w:hint="eastAsia" w:ascii="黑体" w:hAnsi="Times New Roman" w:eastAsia="黑体" w:cs="Times New Roman"/>
        <w:b w:val="0"/>
        <w:i w:val="0"/>
        <w:sz w:val="21"/>
      </w:rPr>
    </w:lvl>
    <w:lvl w:ilvl="3" w:tentative="0">
      <w:start w:val="1"/>
      <w:numFmt w:val="decimal"/>
      <w:pStyle w:val="92"/>
      <w:suff w:val="nothing"/>
      <w:lvlText w:val="%1.%2.%3.%4　"/>
      <w:lvlJc w:val="left"/>
      <w:rPr>
        <w:rFonts w:hint="eastAsia" w:ascii="黑体" w:hAnsi="Times New Roman" w:eastAsia="黑体" w:cs="Times New Roman"/>
        <w:b w:val="0"/>
        <w:i w:val="0"/>
        <w:sz w:val="21"/>
      </w:rPr>
    </w:lvl>
    <w:lvl w:ilvl="4" w:tentative="0">
      <w:start w:val="1"/>
      <w:numFmt w:val="decimal"/>
      <w:pStyle w:val="94"/>
      <w:suff w:val="nothing"/>
      <w:lvlText w:val="%1.%2.%3.%4.%5　"/>
      <w:lvlJc w:val="left"/>
    </w:lvl>
    <w:lvl w:ilvl="5" w:tentative="0">
      <w:start w:val="1"/>
      <w:numFmt w:val="decimal"/>
      <w:pStyle w:val="93"/>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7">
    <w:nsid w:val="226DB7F1"/>
    <w:multiLevelType w:val="singleLevel"/>
    <w:tmpl w:val="226DB7F1"/>
    <w:lvl w:ilvl="0" w:tentative="0">
      <w:start w:val="1"/>
      <w:numFmt w:val="decimal"/>
      <w:suff w:val="space"/>
      <w:lvlText w:val="%1）"/>
      <w:lvlJc w:val="left"/>
    </w:lvl>
  </w:abstractNum>
  <w:abstractNum w:abstractNumId="8">
    <w:nsid w:val="2A8F7113"/>
    <w:multiLevelType w:val="multilevel"/>
    <w:tmpl w:val="2A8F7113"/>
    <w:lvl w:ilvl="0" w:tentative="0">
      <w:start w:val="1"/>
      <w:numFmt w:val="upperLetter"/>
      <w:pStyle w:val="129"/>
      <w:suff w:val="space"/>
      <w:lvlText w:val="%1"/>
      <w:lvlJc w:val="left"/>
      <w:pPr>
        <w:ind w:left="623" w:hanging="425"/>
      </w:pPr>
      <w:rPr>
        <w:rFonts w:hint="eastAsia" w:cs="Times New Roman"/>
      </w:rPr>
    </w:lvl>
    <w:lvl w:ilvl="1" w:tentative="0">
      <w:start w:val="1"/>
      <w:numFmt w:val="decimal"/>
      <w:pStyle w:val="131"/>
      <w:suff w:val="nothing"/>
      <w:lvlText w:val="图%1.%2　"/>
      <w:lvlJc w:val="left"/>
      <w:pPr>
        <w:ind w:left="1190" w:hanging="567"/>
      </w:pPr>
      <w:rPr>
        <w:rFonts w:hint="eastAsia" w:cs="Times New Roman"/>
      </w:rPr>
    </w:lvl>
    <w:lvl w:ilvl="2" w:tentative="0">
      <w:start w:val="1"/>
      <w:numFmt w:val="decimal"/>
      <w:lvlText w:val="%1.%2.%3"/>
      <w:lvlJc w:val="left"/>
      <w:pPr>
        <w:tabs>
          <w:tab w:val="left" w:pos="1616"/>
        </w:tabs>
        <w:ind w:left="1616" w:hanging="567"/>
      </w:pPr>
      <w:rPr>
        <w:rFonts w:hint="eastAsia" w:cs="Times New Roman"/>
      </w:rPr>
    </w:lvl>
    <w:lvl w:ilvl="3" w:tentative="0">
      <w:start w:val="1"/>
      <w:numFmt w:val="decimal"/>
      <w:lvlText w:val="%1.%2.%3.%4"/>
      <w:lvlJc w:val="left"/>
      <w:pPr>
        <w:tabs>
          <w:tab w:val="left" w:pos="2914"/>
        </w:tabs>
        <w:ind w:left="2182" w:hanging="708"/>
      </w:pPr>
      <w:rPr>
        <w:rFonts w:hint="eastAsia" w:cs="Times New Roman"/>
      </w:rPr>
    </w:lvl>
    <w:lvl w:ilvl="4" w:tentative="0">
      <w:start w:val="1"/>
      <w:numFmt w:val="decimal"/>
      <w:lvlText w:val="%1.%2.%3.%4.%5"/>
      <w:lvlJc w:val="left"/>
      <w:pPr>
        <w:tabs>
          <w:tab w:val="left" w:pos="3699"/>
        </w:tabs>
        <w:ind w:left="2749" w:hanging="850"/>
      </w:pPr>
      <w:rPr>
        <w:rFonts w:hint="eastAsia" w:cs="Times New Roman"/>
      </w:rPr>
    </w:lvl>
    <w:lvl w:ilvl="5" w:tentative="0">
      <w:start w:val="1"/>
      <w:numFmt w:val="decimal"/>
      <w:lvlText w:val="%1.%2.%3.%4.%5.%6"/>
      <w:lvlJc w:val="left"/>
      <w:pPr>
        <w:tabs>
          <w:tab w:val="left" w:pos="4484"/>
        </w:tabs>
        <w:ind w:left="3458" w:hanging="1134"/>
      </w:pPr>
      <w:rPr>
        <w:rFonts w:hint="eastAsia" w:cs="Times New Roman"/>
      </w:rPr>
    </w:lvl>
    <w:lvl w:ilvl="6" w:tentative="0">
      <w:start w:val="1"/>
      <w:numFmt w:val="decimal"/>
      <w:lvlText w:val="%1.%2.%3.%4.%5.%6.%7"/>
      <w:lvlJc w:val="left"/>
      <w:pPr>
        <w:tabs>
          <w:tab w:val="left" w:pos="5269"/>
        </w:tabs>
        <w:ind w:left="4025" w:hanging="1276"/>
      </w:pPr>
      <w:rPr>
        <w:rFonts w:hint="eastAsia" w:cs="Times New Roman"/>
      </w:rPr>
    </w:lvl>
    <w:lvl w:ilvl="7" w:tentative="0">
      <w:start w:val="1"/>
      <w:numFmt w:val="decimal"/>
      <w:lvlText w:val="%1.%2.%3.%4.%5.%6.%7.%8"/>
      <w:lvlJc w:val="left"/>
      <w:pPr>
        <w:tabs>
          <w:tab w:val="left" w:pos="6054"/>
        </w:tabs>
        <w:ind w:left="4592" w:hanging="1418"/>
      </w:pPr>
      <w:rPr>
        <w:rFonts w:hint="eastAsia" w:cs="Times New Roman"/>
      </w:rPr>
    </w:lvl>
    <w:lvl w:ilvl="8" w:tentative="0">
      <w:start w:val="1"/>
      <w:numFmt w:val="decimal"/>
      <w:lvlText w:val="%1.%2.%3.%4.%5.%6.%7.%8.%9"/>
      <w:lvlJc w:val="left"/>
      <w:pPr>
        <w:tabs>
          <w:tab w:val="left" w:pos="6840"/>
        </w:tabs>
        <w:ind w:left="5300" w:hanging="1700"/>
      </w:pPr>
      <w:rPr>
        <w:rFonts w:hint="eastAsia" w:cs="Times New Roman"/>
      </w:rPr>
    </w:lvl>
  </w:abstractNum>
  <w:abstractNum w:abstractNumId="9">
    <w:nsid w:val="2C5917C3"/>
    <w:multiLevelType w:val="multilevel"/>
    <w:tmpl w:val="2C5917C3"/>
    <w:lvl w:ilvl="0" w:tentative="0">
      <w:start w:val="1"/>
      <w:numFmt w:val="none"/>
      <w:pStyle w:val="84"/>
      <w:suff w:val="nothing"/>
      <w:lvlText w:val="%1——"/>
      <w:lvlJc w:val="left"/>
      <w:pPr>
        <w:ind w:left="834" w:hanging="408"/>
      </w:pPr>
      <w:rPr>
        <w:rFonts w:hint="eastAsia" w:cs="Times New Roman"/>
      </w:rPr>
    </w:lvl>
    <w:lvl w:ilvl="1" w:tentative="0">
      <w:start w:val="1"/>
      <w:numFmt w:val="bullet"/>
      <w:pStyle w:val="73"/>
      <w:lvlText w:val=""/>
      <w:lvlJc w:val="left"/>
      <w:pPr>
        <w:tabs>
          <w:tab w:val="left" w:pos="761"/>
        </w:tabs>
        <w:ind w:left="1265" w:hanging="413"/>
      </w:pPr>
      <w:rPr>
        <w:rFonts w:hint="default" w:ascii="Symbol" w:hAnsi="Symbol"/>
        <w:color w:val="auto"/>
      </w:rPr>
    </w:lvl>
    <w:lvl w:ilvl="2" w:tentative="0">
      <w:start w:val="1"/>
      <w:numFmt w:val="bullet"/>
      <w:pStyle w:val="71"/>
      <w:lvlText w:val=""/>
      <w:lvlJc w:val="left"/>
      <w:pPr>
        <w:tabs>
          <w:tab w:val="left" w:pos="1679"/>
        </w:tabs>
        <w:ind w:left="1679" w:hanging="414"/>
      </w:pPr>
      <w:rPr>
        <w:rFonts w:hint="default" w:ascii="Symbol" w:hAnsi="Symbol"/>
        <w:color w:val="auto"/>
      </w:rPr>
    </w:lvl>
    <w:lvl w:ilvl="3" w:tentative="0">
      <w:start w:val="1"/>
      <w:numFmt w:val="decimal"/>
      <w:lvlText w:val="%4."/>
      <w:lvlJc w:val="left"/>
      <w:pPr>
        <w:tabs>
          <w:tab w:val="left" w:pos="2072"/>
        </w:tabs>
        <w:ind w:left="1885" w:hanging="528"/>
      </w:pPr>
      <w:rPr>
        <w:rFonts w:hint="eastAsia" w:cs="Times New Roman"/>
      </w:rPr>
    </w:lvl>
    <w:lvl w:ilvl="4" w:tentative="0">
      <w:start w:val="1"/>
      <w:numFmt w:val="lowerLetter"/>
      <w:lvlText w:val="%5)"/>
      <w:lvlJc w:val="left"/>
      <w:pPr>
        <w:tabs>
          <w:tab w:val="left" w:pos="2384"/>
        </w:tabs>
        <w:ind w:left="2197" w:hanging="528"/>
      </w:pPr>
      <w:rPr>
        <w:rFonts w:hint="eastAsia" w:cs="Times New Roman"/>
      </w:rPr>
    </w:lvl>
    <w:lvl w:ilvl="5" w:tentative="0">
      <w:start w:val="1"/>
      <w:numFmt w:val="lowerRoman"/>
      <w:lvlText w:val="%6."/>
      <w:lvlJc w:val="right"/>
      <w:pPr>
        <w:tabs>
          <w:tab w:val="left" w:pos="2696"/>
        </w:tabs>
        <w:ind w:left="2509" w:hanging="528"/>
      </w:pPr>
      <w:rPr>
        <w:rFonts w:hint="eastAsia" w:cs="Times New Roman"/>
      </w:rPr>
    </w:lvl>
    <w:lvl w:ilvl="6" w:tentative="0">
      <w:start w:val="1"/>
      <w:numFmt w:val="decimal"/>
      <w:lvlText w:val="%7."/>
      <w:lvlJc w:val="left"/>
      <w:pPr>
        <w:tabs>
          <w:tab w:val="left" w:pos="3008"/>
        </w:tabs>
        <w:ind w:left="2821" w:hanging="528"/>
      </w:pPr>
      <w:rPr>
        <w:rFonts w:hint="eastAsia" w:cs="Times New Roman"/>
      </w:rPr>
    </w:lvl>
    <w:lvl w:ilvl="7" w:tentative="0">
      <w:start w:val="1"/>
      <w:numFmt w:val="lowerLetter"/>
      <w:lvlText w:val="%8)"/>
      <w:lvlJc w:val="left"/>
      <w:pPr>
        <w:tabs>
          <w:tab w:val="left" w:pos="3320"/>
        </w:tabs>
        <w:ind w:left="3133" w:hanging="528"/>
      </w:pPr>
      <w:rPr>
        <w:rFonts w:hint="eastAsia" w:cs="Times New Roman"/>
      </w:rPr>
    </w:lvl>
    <w:lvl w:ilvl="8" w:tentative="0">
      <w:start w:val="1"/>
      <w:numFmt w:val="lowerRoman"/>
      <w:lvlText w:val="%9."/>
      <w:lvlJc w:val="right"/>
      <w:pPr>
        <w:tabs>
          <w:tab w:val="left" w:pos="3632"/>
        </w:tabs>
        <w:ind w:left="3445" w:hanging="528"/>
      </w:pPr>
      <w:rPr>
        <w:rFonts w:hint="eastAsia" w:cs="Times New Roman"/>
      </w:rPr>
    </w:lvl>
  </w:abstractNum>
  <w:abstractNum w:abstractNumId="10">
    <w:nsid w:val="3D733618"/>
    <w:multiLevelType w:val="multilevel"/>
    <w:tmpl w:val="3D733618"/>
    <w:lvl w:ilvl="0" w:tentative="0">
      <w:start w:val="1"/>
      <w:numFmt w:val="decimal"/>
      <w:pStyle w:val="29"/>
      <w:lvlText w:val="%1)"/>
      <w:lvlJc w:val="left"/>
      <w:pPr>
        <w:tabs>
          <w:tab w:val="left" w:pos="0"/>
        </w:tabs>
        <w:ind w:left="720" w:hanging="357"/>
      </w:pPr>
      <w:rPr>
        <w:rFonts w:hint="eastAsia" w:cs="Times New Roman"/>
      </w:rPr>
    </w:lvl>
    <w:lvl w:ilvl="1" w:tentative="0">
      <w:start w:val="1"/>
      <w:numFmt w:val="lowerLetter"/>
      <w:lvlText w:val="%2)"/>
      <w:lvlJc w:val="left"/>
      <w:pPr>
        <w:tabs>
          <w:tab w:val="left" w:pos="504"/>
        </w:tabs>
        <w:ind w:left="544" w:hanging="544"/>
      </w:pPr>
      <w:rPr>
        <w:rFonts w:hint="eastAsia" w:cs="Times New Roman"/>
      </w:rPr>
    </w:lvl>
    <w:lvl w:ilvl="2" w:tentative="0">
      <w:start w:val="1"/>
      <w:numFmt w:val="lowerRoman"/>
      <w:lvlText w:val="%3."/>
      <w:lvlJc w:val="right"/>
      <w:pPr>
        <w:tabs>
          <w:tab w:val="left" w:pos="532"/>
        </w:tabs>
        <w:ind w:left="544" w:hanging="544"/>
      </w:pPr>
      <w:rPr>
        <w:rFonts w:hint="eastAsia" w:cs="Times New Roman"/>
      </w:rPr>
    </w:lvl>
    <w:lvl w:ilvl="3" w:tentative="0">
      <w:start w:val="1"/>
      <w:numFmt w:val="decimal"/>
      <w:lvlText w:val="%4."/>
      <w:lvlJc w:val="left"/>
      <w:pPr>
        <w:tabs>
          <w:tab w:val="left" w:pos="560"/>
        </w:tabs>
        <w:ind w:left="544" w:hanging="544"/>
      </w:pPr>
      <w:rPr>
        <w:rFonts w:hint="eastAsia" w:cs="Times New Roman"/>
      </w:rPr>
    </w:lvl>
    <w:lvl w:ilvl="4" w:tentative="0">
      <w:start w:val="1"/>
      <w:numFmt w:val="lowerLetter"/>
      <w:lvlText w:val="%5)"/>
      <w:lvlJc w:val="left"/>
      <w:pPr>
        <w:tabs>
          <w:tab w:val="left" w:pos="588"/>
        </w:tabs>
        <w:ind w:left="544" w:hanging="544"/>
      </w:pPr>
      <w:rPr>
        <w:rFonts w:hint="eastAsia" w:cs="Times New Roman"/>
      </w:rPr>
    </w:lvl>
    <w:lvl w:ilvl="5" w:tentative="0">
      <w:start w:val="1"/>
      <w:numFmt w:val="lowerRoman"/>
      <w:lvlText w:val="%6."/>
      <w:lvlJc w:val="right"/>
      <w:pPr>
        <w:tabs>
          <w:tab w:val="left" w:pos="616"/>
        </w:tabs>
        <w:ind w:left="544" w:hanging="544"/>
      </w:pPr>
      <w:rPr>
        <w:rFonts w:hint="eastAsia" w:cs="Times New Roman"/>
      </w:rPr>
    </w:lvl>
    <w:lvl w:ilvl="6" w:tentative="0">
      <w:start w:val="1"/>
      <w:numFmt w:val="decimal"/>
      <w:lvlText w:val="%7."/>
      <w:lvlJc w:val="left"/>
      <w:pPr>
        <w:tabs>
          <w:tab w:val="left" w:pos="644"/>
        </w:tabs>
        <w:ind w:left="544" w:hanging="544"/>
      </w:pPr>
      <w:rPr>
        <w:rFonts w:hint="eastAsia" w:cs="Times New Roman"/>
      </w:rPr>
    </w:lvl>
    <w:lvl w:ilvl="7" w:tentative="0">
      <w:start w:val="1"/>
      <w:numFmt w:val="lowerLetter"/>
      <w:lvlText w:val="%8)"/>
      <w:lvlJc w:val="left"/>
      <w:pPr>
        <w:tabs>
          <w:tab w:val="left" w:pos="672"/>
        </w:tabs>
        <w:ind w:left="544" w:hanging="544"/>
      </w:pPr>
      <w:rPr>
        <w:rFonts w:hint="eastAsia" w:cs="Times New Roman"/>
      </w:rPr>
    </w:lvl>
    <w:lvl w:ilvl="8" w:tentative="0">
      <w:start w:val="1"/>
      <w:numFmt w:val="lowerRoman"/>
      <w:lvlText w:val="%9."/>
      <w:lvlJc w:val="right"/>
      <w:pPr>
        <w:tabs>
          <w:tab w:val="left" w:pos="700"/>
        </w:tabs>
        <w:ind w:left="544" w:hanging="544"/>
      </w:pPr>
      <w:rPr>
        <w:rFonts w:hint="eastAsia" w:cs="Times New Roman"/>
      </w:rPr>
    </w:lvl>
  </w:abstractNum>
  <w:abstractNum w:abstractNumId="11">
    <w:nsid w:val="44C50F90"/>
    <w:multiLevelType w:val="multilevel"/>
    <w:tmpl w:val="44C50F90"/>
    <w:lvl w:ilvl="0" w:tentative="0">
      <w:start w:val="1"/>
      <w:numFmt w:val="lowerLetter"/>
      <w:pStyle w:val="77"/>
      <w:lvlText w:val="%1)"/>
      <w:lvlJc w:val="left"/>
      <w:pPr>
        <w:tabs>
          <w:tab w:val="left" w:pos="840"/>
        </w:tabs>
        <w:ind w:left="839" w:hanging="419"/>
      </w:pPr>
      <w:rPr>
        <w:rFonts w:hint="eastAsia" w:ascii="宋体" w:eastAsia="宋体" w:cs="Times New Roman"/>
        <w:b w:val="0"/>
        <w:i w:val="0"/>
        <w:sz w:val="21"/>
        <w:szCs w:val="21"/>
      </w:rPr>
    </w:lvl>
    <w:lvl w:ilvl="1" w:tentative="0">
      <w:start w:val="1"/>
      <w:numFmt w:val="decimal"/>
      <w:pStyle w:val="95"/>
      <w:lvlText w:val="%2)"/>
      <w:lvlJc w:val="left"/>
      <w:pPr>
        <w:tabs>
          <w:tab w:val="left" w:pos="1260"/>
        </w:tabs>
        <w:ind w:left="1259" w:hanging="419"/>
      </w:pPr>
      <w:rPr>
        <w:rFonts w:hint="eastAsia" w:cs="Times New Roman"/>
      </w:rPr>
    </w:lvl>
    <w:lvl w:ilvl="2" w:tentative="0">
      <w:start w:val="1"/>
      <w:numFmt w:val="decimal"/>
      <w:pStyle w:val="87"/>
      <w:lvlText w:val="(%3)"/>
      <w:lvlJc w:val="left"/>
      <w:pPr>
        <w:tabs>
          <w:tab w:val="left" w:pos="0"/>
        </w:tabs>
        <w:ind w:left="1679" w:hanging="420"/>
      </w:pPr>
      <w:rPr>
        <w:rFonts w:hint="eastAsia" w:ascii="宋体" w:eastAsia="宋体" w:cs="Times New Roman"/>
        <w:b w:val="0"/>
        <w:i w:val="0"/>
        <w:sz w:val="21"/>
        <w:szCs w:val="21"/>
      </w:rPr>
    </w:lvl>
    <w:lvl w:ilvl="3" w:tentative="0">
      <w:start w:val="1"/>
      <w:numFmt w:val="decimal"/>
      <w:lvlText w:val="%4."/>
      <w:lvlJc w:val="left"/>
      <w:pPr>
        <w:tabs>
          <w:tab w:val="left" w:pos="2100"/>
        </w:tabs>
        <w:ind w:left="2099" w:hanging="419"/>
      </w:pPr>
      <w:rPr>
        <w:rFonts w:hint="eastAsia" w:cs="Times New Roman"/>
      </w:rPr>
    </w:lvl>
    <w:lvl w:ilvl="4" w:tentative="0">
      <w:start w:val="1"/>
      <w:numFmt w:val="lowerLetter"/>
      <w:lvlText w:val="%5)"/>
      <w:lvlJc w:val="left"/>
      <w:pPr>
        <w:tabs>
          <w:tab w:val="left" w:pos="2520"/>
        </w:tabs>
        <w:ind w:left="2519" w:hanging="419"/>
      </w:pPr>
      <w:rPr>
        <w:rFonts w:hint="eastAsia" w:cs="Times New Roman"/>
      </w:rPr>
    </w:lvl>
    <w:lvl w:ilvl="5" w:tentative="0">
      <w:start w:val="1"/>
      <w:numFmt w:val="lowerRoman"/>
      <w:lvlText w:val="%6."/>
      <w:lvlJc w:val="right"/>
      <w:pPr>
        <w:tabs>
          <w:tab w:val="left" w:pos="2940"/>
        </w:tabs>
        <w:ind w:left="2939" w:hanging="419"/>
      </w:pPr>
      <w:rPr>
        <w:rFonts w:hint="eastAsia" w:cs="Times New Roman"/>
      </w:rPr>
    </w:lvl>
    <w:lvl w:ilvl="6" w:tentative="0">
      <w:start w:val="1"/>
      <w:numFmt w:val="decimal"/>
      <w:lvlText w:val="%7."/>
      <w:lvlJc w:val="left"/>
      <w:pPr>
        <w:tabs>
          <w:tab w:val="left" w:pos="3360"/>
        </w:tabs>
        <w:ind w:left="3359" w:hanging="419"/>
      </w:pPr>
      <w:rPr>
        <w:rFonts w:hint="eastAsia" w:cs="Times New Roman"/>
      </w:rPr>
    </w:lvl>
    <w:lvl w:ilvl="7" w:tentative="0">
      <w:start w:val="1"/>
      <w:numFmt w:val="lowerLetter"/>
      <w:lvlText w:val="%8)"/>
      <w:lvlJc w:val="left"/>
      <w:pPr>
        <w:tabs>
          <w:tab w:val="left" w:pos="3780"/>
        </w:tabs>
        <w:ind w:left="3779" w:hanging="419"/>
      </w:pPr>
      <w:rPr>
        <w:rFonts w:hint="eastAsia" w:cs="Times New Roman"/>
      </w:rPr>
    </w:lvl>
    <w:lvl w:ilvl="8" w:tentative="0">
      <w:start w:val="1"/>
      <w:numFmt w:val="lowerRoman"/>
      <w:lvlText w:val="%9."/>
      <w:lvlJc w:val="right"/>
      <w:pPr>
        <w:tabs>
          <w:tab w:val="left" w:pos="4200"/>
        </w:tabs>
        <w:ind w:left="4199" w:hanging="419"/>
      </w:pPr>
      <w:rPr>
        <w:rFonts w:hint="eastAsia" w:cs="Times New Roman"/>
      </w:rPr>
    </w:lvl>
  </w:abstractNum>
  <w:abstractNum w:abstractNumId="12">
    <w:nsid w:val="4B058393"/>
    <w:multiLevelType w:val="singleLevel"/>
    <w:tmpl w:val="4B058393"/>
    <w:lvl w:ilvl="0" w:tentative="0">
      <w:start w:val="1"/>
      <w:numFmt w:val="lowerLetter"/>
      <w:lvlText w:val="%1）"/>
      <w:lvlJc w:val="left"/>
    </w:lvl>
  </w:abstractNum>
  <w:abstractNum w:abstractNumId="13">
    <w:nsid w:val="576F5B95"/>
    <w:multiLevelType w:val="singleLevel"/>
    <w:tmpl w:val="576F5B95"/>
    <w:lvl w:ilvl="0" w:tentative="0">
      <w:start w:val="1"/>
      <w:numFmt w:val="decimal"/>
      <w:suff w:val="nothing"/>
      <w:lvlText w:val="%1）"/>
      <w:lvlJc w:val="left"/>
    </w:lvl>
  </w:abstractNum>
  <w:abstractNum w:abstractNumId="14">
    <w:nsid w:val="5ED00F3C"/>
    <w:multiLevelType w:val="multilevel"/>
    <w:tmpl w:val="5ED00F3C"/>
    <w:lvl w:ilvl="0" w:tentative="0">
      <w:start w:val="1"/>
      <w:numFmt w:val="decimal"/>
      <w:lvlText w:val="%1"/>
      <w:lvlJc w:val="left"/>
      <w:pPr>
        <w:ind w:left="836" w:hanging="420"/>
      </w:pPr>
      <w:rPr>
        <w:rFonts w:hint="default"/>
        <w:b/>
      </w:rPr>
    </w:lvl>
    <w:lvl w:ilvl="1" w:tentative="0">
      <w:start w:val="1"/>
      <w:numFmt w:val="lowerLetter"/>
      <w:lvlText w:val="%2)"/>
      <w:lvlJc w:val="left"/>
      <w:pPr>
        <w:ind w:left="1256" w:hanging="420"/>
      </w:pPr>
    </w:lvl>
    <w:lvl w:ilvl="2" w:tentative="0">
      <w:start w:val="1"/>
      <w:numFmt w:val="lowerRoman"/>
      <w:lvlText w:val="%3."/>
      <w:lvlJc w:val="right"/>
      <w:pPr>
        <w:ind w:left="1676" w:hanging="420"/>
      </w:pPr>
    </w:lvl>
    <w:lvl w:ilvl="3" w:tentative="0">
      <w:start w:val="1"/>
      <w:numFmt w:val="decimal"/>
      <w:lvlText w:val="%4."/>
      <w:lvlJc w:val="left"/>
      <w:pPr>
        <w:ind w:left="2096" w:hanging="420"/>
      </w:pPr>
    </w:lvl>
    <w:lvl w:ilvl="4" w:tentative="0">
      <w:start w:val="1"/>
      <w:numFmt w:val="lowerLetter"/>
      <w:lvlText w:val="%5)"/>
      <w:lvlJc w:val="left"/>
      <w:pPr>
        <w:ind w:left="2516" w:hanging="420"/>
      </w:pPr>
    </w:lvl>
    <w:lvl w:ilvl="5" w:tentative="0">
      <w:start w:val="1"/>
      <w:numFmt w:val="lowerRoman"/>
      <w:lvlText w:val="%6."/>
      <w:lvlJc w:val="right"/>
      <w:pPr>
        <w:ind w:left="2936" w:hanging="420"/>
      </w:pPr>
    </w:lvl>
    <w:lvl w:ilvl="6" w:tentative="0">
      <w:start w:val="1"/>
      <w:numFmt w:val="decimal"/>
      <w:lvlText w:val="%7."/>
      <w:lvlJc w:val="left"/>
      <w:pPr>
        <w:ind w:left="3356" w:hanging="420"/>
      </w:pPr>
    </w:lvl>
    <w:lvl w:ilvl="7" w:tentative="0">
      <w:start w:val="1"/>
      <w:numFmt w:val="lowerLetter"/>
      <w:lvlText w:val="%8)"/>
      <w:lvlJc w:val="left"/>
      <w:pPr>
        <w:ind w:left="3776" w:hanging="420"/>
      </w:pPr>
    </w:lvl>
    <w:lvl w:ilvl="8" w:tentative="0">
      <w:start w:val="1"/>
      <w:numFmt w:val="lowerRoman"/>
      <w:lvlText w:val="%9."/>
      <w:lvlJc w:val="right"/>
      <w:pPr>
        <w:ind w:left="4196" w:hanging="420"/>
      </w:pPr>
    </w:lvl>
  </w:abstractNum>
  <w:abstractNum w:abstractNumId="15">
    <w:nsid w:val="60B55DC2"/>
    <w:multiLevelType w:val="multilevel"/>
    <w:tmpl w:val="60B55DC2"/>
    <w:lvl w:ilvl="0" w:tentative="0">
      <w:start w:val="1"/>
      <w:numFmt w:val="upperLetter"/>
      <w:pStyle w:val="115"/>
      <w:lvlText w:val="%1"/>
      <w:lvlJc w:val="left"/>
      <w:pPr>
        <w:tabs>
          <w:tab w:val="left" w:pos="0"/>
        </w:tabs>
        <w:ind w:hanging="425"/>
      </w:pPr>
      <w:rPr>
        <w:rFonts w:hint="eastAsia" w:cs="Times New Roman"/>
      </w:rPr>
    </w:lvl>
    <w:lvl w:ilvl="1" w:tentative="0">
      <w:start w:val="1"/>
      <w:numFmt w:val="decimal"/>
      <w:pStyle w:val="117"/>
      <w:suff w:val="nothing"/>
      <w:lvlText w:val="表%1.%2　"/>
      <w:lvlJc w:val="left"/>
      <w:pPr>
        <w:ind w:left="567" w:hanging="567"/>
      </w:pPr>
      <w:rPr>
        <w:rFonts w:hint="eastAsia" w:cs="Times New Roman"/>
      </w:rPr>
    </w:lvl>
    <w:lvl w:ilvl="2" w:tentative="0">
      <w:start w:val="1"/>
      <w:numFmt w:val="decimal"/>
      <w:lvlText w:val="%1.%2.%3"/>
      <w:lvlJc w:val="left"/>
      <w:pPr>
        <w:tabs>
          <w:tab w:val="left" w:pos="993"/>
        </w:tabs>
        <w:ind w:left="993" w:hanging="567"/>
      </w:pPr>
      <w:rPr>
        <w:rFonts w:hint="eastAsia" w:cs="Times New Roman"/>
      </w:rPr>
    </w:lvl>
    <w:lvl w:ilvl="3" w:tentative="0">
      <w:start w:val="1"/>
      <w:numFmt w:val="decimal"/>
      <w:lvlText w:val="%1.%2.%3.%4"/>
      <w:lvlJc w:val="left"/>
      <w:pPr>
        <w:tabs>
          <w:tab w:val="left" w:pos="2291"/>
        </w:tabs>
        <w:ind w:left="1559" w:hanging="708"/>
      </w:pPr>
      <w:rPr>
        <w:rFonts w:hint="eastAsia" w:cs="Times New Roman"/>
      </w:rPr>
    </w:lvl>
    <w:lvl w:ilvl="4" w:tentative="0">
      <w:start w:val="1"/>
      <w:numFmt w:val="decimal"/>
      <w:lvlText w:val="%1.%2.%3.%4.%5"/>
      <w:lvlJc w:val="left"/>
      <w:pPr>
        <w:tabs>
          <w:tab w:val="left" w:pos="3076"/>
        </w:tabs>
        <w:ind w:left="2126" w:hanging="850"/>
      </w:pPr>
      <w:rPr>
        <w:rFonts w:hint="eastAsia" w:cs="Times New Roman"/>
      </w:rPr>
    </w:lvl>
    <w:lvl w:ilvl="5" w:tentative="0">
      <w:start w:val="1"/>
      <w:numFmt w:val="decimal"/>
      <w:lvlText w:val="%1.%2.%3.%4.%5.%6"/>
      <w:lvlJc w:val="left"/>
      <w:pPr>
        <w:tabs>
          <w:tab w:val="left" w:pos="3861"/>
        </w:tabs>
        <w:ind w:left="2835" w:hanging="1134"/>
      </w:pPr>
      <w:rPr>
        <w:rFonts w:hint="eastAsia" w:cs="Times New Roman"/>
      </w:rPr>
    </w:lvl>
    <w:lvl w:ilvl="6" w:tentative="0">
      <w:start w:val="1"/>
      <w:numFmt w:val="decimal"/>
      <w:lvlText w:val="%1.%2.%3.%4.%5.%6.%7"/>
      <w:lvlJc w:val="left"/>
      <w:pPr>
        <w:tabs>
          <w:tab w:val="left" w:pos="4646"/>
        </w:tabs>
        <w:ind w:left="3402" w:hanging="1276"/>
      </w:pPr>
      <w:rPr>
        <w:rFonts w:hint="eastAsia" w:cs="Times New Roman"/>
      </w:rPr>
    </w:lvl>
    <w:lvl w:ilvl="7" w:tentative="0">
      <w:start w:val="1"/>
      <w:numFmt w:val="decimal"/>
      <w:lvlText w:val="%1.%2.%3.%4.%5.%6.%7.%8"/>
      <w:lvlJc w:val="left"/>
      <w:pPr>
        <w:tabs>
          <w:tab w:val="left" w:pos="5431"/>
        </w:tabs>
        <w:ind w:left="3969" w:hanging="1418"/>
      </w:pPr>
      <w:rPr>
        <w:rFonts w:hint="eastAsia" w:cs="Times New Roman"/>
      </w:rPr>
    </w:lvl>
    <w:lvl w:ilvl="8" w:tentative="0">
      <w:start w:val="1"/>
      <w:numFmt w:val="decimal"/>
      <w:lvlText w:val="%1.%2.%3.%4.%5.%6.%7.%8.%9"/>
      <w:lvlJc w:val="left"/>
      <w:pPr>
        <w:tabs>
          <w:tab w:val="left" w:pos="6217"/>
        </w:tabs>
        <w:ind w:left="4677" w:hanging="1700"/>
      </w:pPr>
      <w:rPr>
        <w:rFonts w:hint="eastAsia" w:cs="Times New Roman"/>
      </w:rPr>
    </w:lvl>
  </w:abstractNum>
  <w:abstractNum w:abstractNumId="16">
    <w:nsid w:val="646260FA"/>
    <w:multiLevelType w:val="multilevel"/>
    <w:tmpl w:val="646260FA"/>
    <w:lvl w:ilvl="0" w:tentative="0">
      <w:start w:val="1"/>
      <w:numFmt w:val="decimal"/>
      <w:pStyle w:val="126"/>
      <w:suff w:val="nothing"/>
      <w:lvlText w:val="表%1　"/>
      <w:lvlJc w:val="left"/>
      <w:rPr>
        <w:rFonts w:hint="eastAsia" w:ascii="黑体" w:hAnsi="Times New Roman" w:eastAsia="黑体" w:cs="Times New Roman"/>
        <w:b w:val="0"/>
        <w:i w:val="0"/>
        <w:sz w:val="21"/>
        <w:lang w:val="en-US"/>
      </w:rPr>
    </w:lvl>
    <w:lvl w:ilvl="1" w:tentative="0">
      <w:start w:val="1"/>
      <w:numFmt w:val="decimal"/>
      <w:lvlText w:val="%1.%2"/>
      <w:lvlJc w:val="left"/>
      <w:pPr>
        <w:tabs>
          <w:tab w:val="left" w:pos="5245"/>
        </w:tabs>
        <w:ind w:left="5245" w:hanging="567"/>
      </w:pPr>
      <w:rPr>
        <w:rFonts w:hint="eastAsia" w:cs="Times New Roman"/>
      </w:rPr>
    </w:lvl>
    <w:lvl w:ilvl="2" w:tentative="0">
      <w:start w:val="1"/>
      <w:numFmt w:val="decimal"/>
      <w:lvlText w:val="%1.%2.%3"/>
      <w:lvlJc w:val="left"/>
      <w:pPr>
        <w:tabs>
          <w:tab w:val="left" w:pos="5671"/>
        </w:tabs>
        <w:ind w:left="5671" w:hanging="567"/>
      </w:pPr>
      <w:rPr>
        <w:rFonts w:hint="eastAsia" w:cs="Times New Roman"/>
      </w:rPr>
    </w:lvl>
    <w:lvl w:ilvl="3" w:tentative="0">
      <w:start w:val="1"/>
      <w:numFmt w:val="decimal"/>
      <w:lvlText w:val="%1.%2.%3.%4"/>
      <w:lvlJc w:val="left"/>
      <w:pPr>
        <w:tabs>
          <w:tab w:val="left" w:pos="6237"/>
        </w:tabs>
        <w:ind w:left="6237" w:hanging="708"/>
      </w:pPr>
      <w:rPr>
        <w:rFonts w:hint="eastAsia" w:cs="Times New Roman"/>
      </w:rPr>
    </w:lvl>
    <w:lvl w:ilvl="4" w:tentative="0">
      <w:start w:val="1"/>
      <w:numFmt w:val="decimal"/>
      <w:lvlText w:val="%1.%2.%3.%4.%5"/>
      <w:lvlJc w:val="left"/>
      <w:pPr>
        <w:tabs>
          <w:tab w:val="left" w:pos="6804"/>
        </w:tabs>
        <w:ind w:left="6804" w:hanging="850"/>
      </w:pPr>
      <w:rPr>
        <w:rFonts w:hint="eastAsia" w:cs="Times New Roman"/>
      </w:rPr>
    </w:lvl>
    <w:lvl w:ilvl="5" w:tentative="0">
      <w:start w:val="1"/>
      <w:numFmt w:val="decimal"/>
      <w:lvlText w:val="%1.%2.%3.%4.%5.%6"/>
      <w:lvlJc w:val="left"/>
      <w:pPr>
        <w:tabs>
          <w:tab w:val="left" w:pos="7513"/>
        </w:tabs>
        <w:ind w:left="7513" w:hanging="1134"/>
      </w:pPr>
      <w:rPr>
        <w:rFonts w:hint="eastAsia" w:cs="Times New Roman"/>
      </w:rPr>
    </w:lvl>
    <w:lvl w:ilvl="6" w:tentative="0">
      <w:start w:val="1"/>
      <w:numFmt w:val="decimal"/>
      <w:lvlText w:val="%1.%2.%3.%4.%5.%6.%7"/>
      <w:lvlJc w:val="left"/>
      <w:pPr>
        <w:tabs>
          <w:tab w:val="left" w:pos="8080"/>
        </w:tabs>
        <w:ind w:left="8080" w:hanging="1276"/>
      </w:pPr>
      <w:rPr>
        <w:rFonts w:hint="eastAsia" w:cs="Times New Roman"/>
      </w:rPr>
    </w:lvl>
    <w:lvl w:ilvl="7" w:tentative="0">
      <w:start w:val="1"/>
      <w:numFmt w:val="decimal"/>
      <w:lvlText w:val="%1.%2.%3.%4.%5.%6.%7.%8"/>
      <w:lvlJc w:val="left"/>
      <w:pPr>
        <w:tabs>
          <w:tab w:val="left" w:pos="8647"/>
        </w:tabs>
        <w:ind w:left="8647" w:hanging="1418"/>
      </w:pPr>
      <w:rPr>
        <w:rFonts w:hint="eastAsia" w:cs="Times New Roman"/>
      </w:rPr>
    </w:lvl>
    <w:lvl w:ilvl="8" w:tentative="0">
      <w:start w:val="1"/>
      <w:numFmt w:val="decimal"/>
      <w:lvlText w:val="%1.%2.%3.%4.%5.%6.%7.%8.%9"/>
      <w:lvlJc w:val="left"/>
      <w:pPr>
        <w:tabs>
          <w:tab w:val="left" w:pos="9355"/>
        </w:tabs>
        <w:ind w:left="9355" w:hanging="1700"/>
      </w:pPr>
      <w:rPr>
        <w:rFonts w:hint="eastAsia" w:cs="Times New Roman"/>
      </w:rPr>
    </w:lvl>
  </w:abstractNum>
  <w:abstractNum w:abstractNumId="17">
    <w:nsid w:val="657D3FBC"/>
    <w:multiLevelType w:val="multilevel"/>
    <w:tmpl w:val="657D3FBC"/>
    <w:lvl w:ilvl="0" w:tentative="0">
      <w:start w:val="1"/>
      <w:numFmt w:val="upperLetter"/>
      <w:pStyle w:val="112"/>
      <w:suff w:val="nothing"/>
      <w:lvlText w:val="附　录　%1"/>
      <w:lvlJc w:val="left"/>
      <w:rPr>
        <w:rFonts w:hint="eastAsia" w:ascii="黑体" w:hAnsi="Times New Roman" w:eastAsia="黑体" w:cs="Times New Roman"/>
        <w:b w:val="0"/>
        <w:i w:val="0"/>
        <w:spacing w:val="0"/>
        <w:w w:val="100"/>
        <w:sz w:val="21"/>
      </w:rPr>
    </w:lvl>
    <w:lvl w:ilvl="1" w:tentative="0">
      <w:start w:val="1"/>
      <w:numFmt w:val="decimal"/>
      <w:pStyle w:val="136"/>
      <w:suff w:val="nothing"/>
      <w:lvlText w:val="%1.%2　"/>
      <w:lvlJc w:val="left"/>
      <w:rPr>
        <w:rFonts w:hint="eastAsia" w:ascii="黑体" w:hAnsi="Times New Roman" w:eastAsia="黑体" w:cs="Times New Roman"/>
        <w:b w:val="0"/>
        <w:i w:val="0"/>
        <w:snapToGrid/>
        <w:spacing w:val="0"/>
        <w:w w:val="100"/>
        <w:kern w:val="21"/>
        <w:sz w:val="21"/>
      </w:rPr>
    </w:lvl>
    <w:lvl w:ilvl="2" w:tentative="0">
      <w:start w:val="1"/>
      <w:numFmt w:val="decimal"/>
      <w:pStyle w:val="137"/>
      <w:suff w:val="nothing"/>
      <w:lvlText w:val="%1.%2.%3　"/>
      <w:lvlJc w:val="left"/>
      <w:rPr>
        <w:rFonts w:hint="eastAsia" w:ascii="黑体" w:hAnsi="Times New Roman" w:eastAsia="黑体" w:cs="Times New Roman"/>
        <w:b w:val="0"/>
        <w:i w:val="0"/>
        <w:sz w:val="21"/>
      </w:rPr>
    </w:lvl>
    <w:lvl w:ilvl="3" w:tentative="0">
      <w:start w:val="1"/>
      <w:numFmt w:val="decimal"/>
      <w:pStyle w:val="118"/>
      <w:suff w:val="nothing"/>
      <w:lvlText w:val="%1.%2.%3.%4　"/>
      <w:lvlJc w:val="left"/>
      <w:rPr>
        <w:rFonts w:hint="eastAsia" w:ascii="黑体" w:hAnsi="Times New Roman" w:eastAsia="黑体" w:cs="Times New Roman"/>
        <w:b w:val="0"/>
        <w:i w:val="0"/>
        <w:sz w:val="21"/>
      </w:rPr>
    </w:lvl>
    <w:lvl w:ilvl="4" w:tentative="0">
      <w:start w:val="1"/>
      <w:numFmt w:val="decimal"/>
      <w:pStyle w:val="122"/>
      <w:suff w:val="nothing"/>
      <w:lvlText w:val="%1.%2.%3.%4.%5　"/>
      <w:lvlJc w:val="left"/>
      <w:rPr>
        <w:rFonts w:hint="eastAsia" w:ascii="黑体" w:hAnsi="Times New Roman" w:eastAsia="黑体" w:cs="Times New Roman"/>
        <w:b w:val="0"/>
        <w:i w:val="0"/>
        <w:sz w:val="21"/>
      </w:rPr>
    </w:lvl>
    <w:lvl w:ilvl="5" w:tentative="0">
      <w:start w:val="1"/>
      <w:numFmt w:val="decimal"/>
      <w:pStyle w:val="127"/>
      <w:suff w:val="nothing"/>
      <w:lvlText w:val="%1.%2.%3.%4.%5.%6　"/>
      <w:lvlJc w:val="left"/>
      <w:rPr>
        <w:rFonts w:hint="eastAsia" w:ascii="黑体" w:hAnsi="Times New Roman" w:eastAsia="黑体" w:cs="Times New Roman"/>
        <w:b w:val="0"/>
        <w:i w:val="0"/>
        <w:sz w:val="21"/>
      </w:rPr>
    </w:lvl>
    <w:lvl w:ilvl="6" w:tentative="0">
      <w:start w:val="1"/>
      <w:numFmt w:val="decimal"/>
      <w:pStyle w:val="133"/>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18">
    <w:nsid w:val="6AC97518"/>
    <w:multiLevelType w:val="multilevel"/>
    <w:tmpl w:val="6AC97518"/>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9">
    <w:nsid w:val="6D6C07CD"/>
    <w:multiLevelType w:val="multilevel"/>
    <w:tmpl w:val="6D6C07CD"/>
    <w:lvl w:ilvl="0" w:tentative="0">
      <w:start w:val="1"/>
      <w:numFmt w:val="lowerLetter"/>
      <w:pStyle w:val="119"/>
      <w:lvlText w:val="%1)"/>
      <w:lvlJc w:val="left"/>
      <w:pPr>
        <w:tabs>
          <w:tab w:val="left" w:pos="839"/>
        </w:tabs>
        <w:ind w:left="839" w:hanging="419"/>
      </w:pPr>
      <w:rPr>
        <w:rFonts w:hint="eastAsia" w:ascii="宋体" w:eastAsia="宋体" w:cs="Times New Roman"/>
        <w:b w:val="0"/>
        <w:i w:val="0"/>
        <w:sz w:val="21"/>
      </w:rPr>
    </w:lvl>
    <w:lvl w:ilvl="1" w:tentative="0">
      <w:start w:val="1"/>
      <w:numFmt w:val="decimal"/>
      <w:pStyle w:val="125"/>
      <w:lvlText w:val="%2)"/>
      <w:lvlJc w:val="left"/>
      <w:pPr>
        <w:tabs>
          <w:tab w:val="left" w:pos="840"/>
        </w:tabs>
        <w:ind w:left="839" w:hanging="419"/>
      </w:pPr>
      <w:rPr>
        <w:rFonts w:hint="eastAsia" w:ascii="宋体" w:eastAsia="宋体" w:cs="Times New Roman"/>
        <w:b w:val="0"/>
        <w:i w:val="0"/>
        <w:sz w:val="21"/>
      </w:rPr>
    </w:lvl>
    <w:lvl w:ilvl="2" w:tentative="0">
      <w:start w:val="1"/>
      <w:numFmt w:val="lowerRoman"/>
      <w:lvlText w:val="%3."/>
      <w:lvlJc w:val="right"/>
      <w:pPr>
        <w:tabs>
          <w:tab w:val="left" w:pos="1260"/>
        </w:tabs>
        <w:ind w:left="1259" w:hanging="419"/>
      </w:pPr>
      <w:rPr>
        <w:rFonts w:hint="eastAsia" w:cs="Times New Roman"/>
      </w:rPr>
    </w:lvl>
    <w:lvl w:ilvl="3" w:tentative="0">
      <w:start w:val="1"/>
      <w:numFmt w:val="decimal"/>
      <w:lvlText w:val="%4."/>
      <w:lvlJc w:val="left"/>
      <w:pPr>
        <w:tabs>
          <w:tab w:val="left" w:pos="1680"/>
        </w:tabs>
        <w:ind w:left="1679" w:hanging="419"/>
      </w:pPr>
      <w:rPr>
        <w:rFonts w:hint="eastAsia" w:cs="Times New Roman"/>
      </w:rPr>
    </w:lvl>
    <w:lvl w:ilvl="4" w:tentative="0">
      <w:start w:val="1"/>
      <w:numFmt w:val="lowerLetter"/>
      <w:lvlText w:val="%5)"/>
      <w:lvlJc w:val="left"/>
      <w:pPr>
        <w:tabs>
          <w:tab w:val="left" w:pos="2100"/>
        </w:tabs>
        <w:ind w:left="2099" w:hanging="419"/>
      </w:pPr>
      <w:rPr>
        <w:rFonts w:hint="eastAsia" w:cs="Times New Roman"/>
      </w:rPr>
    </w:lvl>
    <w:lvl w:ilvl="5" w:tentative="0">
      <w:start w:val="1"/>
      <w:numFmt w:val="lowerRoman"/>
      <w:lvlText w:val="%6."/>
      <w:lvlJc w:val="right"/>
      <w:pPr>
        <w:tabs>
          <w:tab w:val="left" w:pos="2520"/>
        </w:tabs>
        <w:ind w:left="2519" w:hanging="419"/>
      </w:pPr>
      <w:rPr>
        <w:rFonts w:hint="eastAsia" w:cs="Times New Roman"/>
      </w:rPr>
    </w:lvl>
    <w:lvl w:ilvl="6" w:tentative="0">
      <w:start w:val="1"/>
      <w:numFmt w:val="decimal"/>
      <w:lvlText w:val="%7."/>
      <w:lvlJc w:val="left"/>
      <w:pPr>
        <w:tabs>
          <w:tab w:val="left" w:pos="2940"/>
        </w:tabs>
        <w:ind w:left="2939" w:hanging="419"/>
      </w:pPr>
      <w:rPr>
        <w:rFonts w:hint="eastAsia" w:cs="Times New Roman"/>
      </w:rPr>
    </w:lvl>
    <w:lvl w:ilvl="7" w:tentative="0">
      <w:start w:val="1"/>
      <w:numFmt w:val="lowerLetter"/>
      <w:lvlText w:val="%8)"/>
      <w:lvlJc w:val="left"/>
      <w:pPr>
        <w:tabs>
          <w:tab w:val="left" w:pos="3360"/>
        </w:tabs>
        <w:ind w:left="3359" w:hanging="419"/>
      </w:pPr>
      <w:rPr>
        <w:rFonts w:hint="eastAsia" w:cs="Times New Roman"/>
      </w:rPr>
    </w:lvl>
    <w:lvl w:ilvl="8" w:tentative="0">
      <w:start w:val="1"/>
      <w:numFmt w:val="lowerRoman"/>
      <w:lvlText w:val="%9."/>
      <w:lvlJc w:val="right"/>
      <w:pPr>
        <w:tabs>
          <w:tab w:val="left" w:pos="3780"/>
        </w:tabs>
        <w:ind w:left="3779" w:hanging="419"/>
      </w:pPr>
      <w:rPr>
        <w:rFonts w:hint="eastAsia" w:cs="Times New Roman"/>
      </w:rPr>
    </w:lvl>
  </w:abstractNum>
  <w:num w:numId="1">
    <w:abstractNumId w:val="0"/>
  </w:num>
  <w:num w:numId="2">
    <w:abstractNumId w:val="18"/>
    <w:lvlOverride w:ilvl="0">
      <w:lvl w:ilvl="0" w:tentative="1">
        <w:start w:val="1"/>
        <w:numFmt w:val="decimal"/>
        <w:lvlText w:val="%1"/>
        <w:lvlJc w:val="left"/>
        <w:pPr>
          <w:ind w:left="425" w:hanging="425"/>
        </w:pPr>
        <w:rPr>
          <w:rFonts w:hint="eastAsia"/>
        </w:rPr>
      </w:lvl>
    </w:lvlOverride>
    <w:lvlOverride w:ilvl="1">
      <w:lvl w:ilvl="1" w:tentative="1">
        <w:start w:val="1"/>
        <w:numFmt w:val="decimal"/>
        <w:lvlText w:val="%1.%2"/>
        <w:lvlJc w:val="left"/>
        <w:pPr>
          <w:ind w:left="567" w:hanging="567"/>
        </w:pPr>
        <w:rPr>
          <w:rFonts w:hint="eastAsia"/>
        </w:rPr>
      </w:lvl>
    </w:lvlOverride>
    <w:lvlOverride w:ilvl="2">
      <w:lvl w:ilvl="2" w:tentative="1">
        <w:start w:val="1"/>
        <w:numFmt w:val="decimal"/>
        <w:pStyle w:val="4"/>
        <w:lvlText w:val="%1.%2.%3"/>
        <w:lvlJc w:val="left"/>
        <w:pPr>
          <w:ind w:left="709" w:hanging="709"/>
        </w:pPr>
        <w:rPr>
          <w:rFonts w:hint="eastAsia"/>
        </w:rPr>
      </w:lvl>
    </w:lvlOverride>
    <w:lvlOverride w:ilvl="3">
      <w:lvl w:ilvl="3" w:tentative="1">
        <w:start w:val="1"/>
        <w:numFmt w:val="decimal"/>
        <w:lvlText w:val="%1.%2.%3.%4"/>
        <w:lvlJc w:val="left"/>
        <w:pPr>
          <w:ind w:left="851" w:hanging="851"/>
        </w:pPr>
        <w:rPr>
          <w:rFonts w:hint="eastAsia"/>
        </w:rPr>
      </w:lvl>
    </w:lvlOverride>
    <w:lvlOverride w:ilvl="4">
      <w:lvl w:ilvl="4" w:tentative="1">
        <w:start w:val="1"/>
        <w:numFmt w:val="decimal"/>
        <w:lvlText w:val="%1.%2.%3.%4.%5"/>
        <w:lvlJc w:val="left"/>
        <w:pPr>
          <w:ind w:left="992" w:hanging="992"/>
        </w:pPr>
        <w:rPr>
          <w:rFonts w:hint="eastAsia"/>
        </w:rPr>
      </w:lvl>
    </w:lvlOverride>
    <w:lvlOverride w:ilvl="5">
      <w:lvl w:ilvl="5" w:tentative="1">
        <w:start w:val="1"/>
        <w:numFmt w:val="decima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3">
    <w:abstractNumId w:val="10"/>
  </w:num>
  <w:num w:numId="4">
    <w:abstractNumId w:val="6"/>
  </w:num>
  <w:num w:numId="5">
    <w:abstractNumId w:val="9"/>
  </w:num>
  <w:num w:numId="6">
    <w:abstractNumId w:val="11"/>
  </w:num>
  <w:num w:numId="7">
    <w:abstractNumId w:val="5"/>
  </w:num>
  <w:num w:numId="8">
    <w:abstractNumId w:val="17"/>
  </w:num>
  <w:num w:numId="9">
    <w:abstractNumId w:val="15"/>
  </w:num>
  <w:num w:numId="10">
    <w:abstractNumId w:val="19"/>
  </w:num>
  <w:num w:numId="11">
    <w:abstractNumId w:val="16"/>
  </w:num>
  <w:num w:numId="12">
    <w:abstractNumId w:val="8"/>
  </w:num>
  <w:num w:numId="13">
    <w:abstractNumId w:val="2"/>
  </w:num>
  <w:num w:numId="14">
    <w:abstractNumId w:val="1"/>
  </w:num>
  <w:num w:numId="15">
    <w:abstractNumId w:val="3"/>
  </w:num>
  <w:num w:numId="16">
    <w:abstractNumId w:val="4"/>
  </w:num>
  <w:num w:numId="17">
    <w:abstractNumId w:val="13"/>
  </w:num>
  <w:num w:numId="18">
    <w:abstractNumId w:val="7"/>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removePersonalInformatio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oNotHyphenateCaps/>
  <w:evenAndOddHeaders w:val="1"/>
  <w:drawingGridHorizontalSpacing w:val="210"/>
  <w:drawingGridVerticalSpacing w:val="-7946"/>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JiMjVhOTg5ZWUwZWUwNjc5Mzg0MzI3YjVjMGNlZDMifQ=="/>
  </w:docVars>
  <w:rsids>
    <w:rsidRoot w:val="00346872"/>
    <w:rsid w:val="00000244"/>
    <w:rsid w:val="0000185F"/>
    <w:rsid w:val="00005808"/>
    <w:rsid w:val="0000586F"/>
    <w:rsid w:val="00006E3C"/>
    <w:rsid w:val="00013D86"/>
    <w:rsid w:val="00013E02"/>
    <w:rsid w:val="0002143C"/>
    <w:rsid w:val="00025A65"/>
    <w:rsid w:val="00026C31"/>
    <w:rsid w:val="00027280"/>
    <w:rsid w:val="000320A7"/>
    <w:rsid w:val="00032188"/>
    <w:rsid w:val="000326DC"/>
    <w:rsid w:val="00033B25"/>
    <w:rsid w:val="00034775"/>
    <w:rsid w:val="00035925"/>
    <w:rsid w:val="00040F28"/>
    <w:rsid w:val="00040F55"/>
    <w:rsid w:val="000473C1"/>
    <w:rsid w:val="00047CB9"/>
    <w:rsid w:val="00050D75"/>
    <w:rsid w:val="00054127"/>
    <w:rsid w:val="00060DD9"/>
    <w:rsid w:val="00067073"/>
    <w:rsid w:val="0006793A"/>
    <w:rsid w:val="00067CDF"/>
    <w:rsid w:val="000708BB"/>
    <w:rsid w:val="000713C4"/>
    <w:rsid w:val="000720DC"/>
    <w:rsid w:val="00074FBE"/>
    <w:rsid w:val="000833E3"/>
    <w:rsid w:val="00083A09"/>
    <w:rsid w:val="0009005E"/>
    <w:rsid w:val="00092857"/>
    <w:rsid w:val="00092BEB"/>
    <w:rsid w:val="00097755"/>
    <w:rsid w:val="00097BCD"/>
    <w:rsid w:val="000A20A9"/>
    <w:rsid w:val="000A2F94"/>
    <w:rsid w:val="000A48B1"/>
    <w:rsid w:val="000A4A6F"/>
    <w:rsid w:val="000A6BE9"/>
    <w:rsid w:val="000B3143"/>
    <w:rsid w:val="000B355B"/>
    <w:rsid w:val="000B7F45"/>
    <w:rsid w:val="000C251A"/>
    <w:rsid w:val="000C6B05"/>
    <w:rsid w:val="000C6D47"/>
    <w:rsid w:val="000C6DD6"/>
    <w:rsid w:val="000C73D4"/>
    <w:rsid w:val="000D3D4C"/>
    <w:rsid w:val="000D4F51"/>
    <w:rsid w:val="000D718B"/>
    <w:rsid w:val="000E0C46"/>
    <w:rsid w:val="000E3E53"/>
    <w:rsid w:val="000F030C"/>
    <w:rsid w:val="000F129C"/>
    <w:rsid w:val="000F162A"/>
    <w:rsid w:val="000F3505"/>
    <w:rsid w:val="000F4633"/>
    <w:rsid w:val="0010010F"/>
    <w:rsid w:val="00101596"/>
    <w:rsid w:val="00102CCD"/>
    <w:rsid w:val="001056DE"/>
    <w:rsid w:val="00112201"/>
    <w:rsid w:val="001124C0"/>
    <w:rsid w:val="00113F56"/>
    <w:rsid w:val="00124AEB"/>
    <w:rsid w:val="001276FF"/>
    <w:rsid w:val="00127CF9"/>
    <w:rsid w:val="00127DCA"/>
    <w:rsid w:val="0013175F"/>
    <w:rsid w:val="00132291"/>
    <w:rsid w:val="00132AD9"/>
    <w:rsid w:val="00133C65"/>
    <w:rsid w:val="00134609"/>
    <w:rsid w:val="00140513"/>
    <w:rsid w:val="00142038"/>
    <w:rsid w:val="00147563"/>
    <w:rsid w:val="00150DFA"/>
    <w:rsid w:val="001512B4"/>
    <w:rsid w:val="00151EB7"/>
    <w:rsid w:val="001620A5"/>
    <w:rsid w:val="00164E53"/>
    <w:rsid w:val="0016699D"/>
    <w:rsid w:val="00167785"/>
    <w:rsid w:val="00170096"/>
    <w:rsid w:val="00175159"/>
    <w:rsid w:val="00176208"/>
    <w:rsid w:val="0018211B"/>
    <w:rsid w:val="001840D3"/>
    <w:rsid w:val="001876C7"/>
    <w:rsid w:val="001900F8"/>
    <w:rsid w:val="00191258"/>
    <w:rsid w:val="00192680"/>
    <w:rsid w:val="00192D63"/>
    <w:rsid w:val="00193037"/>
    <w:rsid w:val="00193A2C"/>
    <w:rsid w:val="001954AD"/>
    <w:rsid w:val="0019742D"/>
    <w:rsid w:val="001A0264"/>
    <w:rsid w:val="001A288E"/>
    <w:rsid w:val="001A467A"/>
    <w:rsid w:val="001A5844"/>
    <w:rsid w:val="001A7C25"/>
    <w:rsid w:val="001B01C1"/>
    <w:rsid w:val="001B44E5"/>
    <w:rsid w:val="001B6DC2"/>
    <w:rsid w:val="001B6DE5"/>
    <w:rsid w:val="001B79E6"/>
    <w:rsid w:val="001C149C"/>
    <w:rsid w:val="001C21AC"/>
    <w:rsid w:val="001C47BA"/>
    <w:rsid w:val="001C59EA"/>
    <w:rsid w:val="001D406C"/>
    <w:rsid w:val="001D41EE"/>
    <w:rsid w:val="001D5F95"/>
    <w:rsid w:val="001E0380"/>
    <w:rsid w:val="001E1258"/>
    <w:rsid w:val="001E13B1"/>
    <w:rsid w:val="001E1D5F"/>
    <w:rsid w:val="001E7F62"/>
    <w:rsid w:val="001F3A19"/>
    <w:rsid w:val="001F41AE"/>
    <w:rsid w:val="00205642"/>
    <w:rsid w:val="0021303D"/>
    <w:rsid w:val="002170FD"/>
    <w:rsid w:val="0022108B"/>
    <w:rsid w:val="00234467"/>
    <w:rsid w:val="00236F40"/>
    <w:rsid w:val="00237964"/>
    <w:rsid w:val="00237D8D"/>
    <w:rsid w:val="00240149"/>
    <w:rsid w:val="0024161D"/>
    <w:rsid w:val="00241DA2"/>
    <w:rsid w:val="00247FEE"/>
    <w:rsid w:val="00250E7D"/>
    <w:rsid w:val="00252258"/>
    <w:rsid w:val="002565D5"/>
    <w:rsid w:val="00257738"/>
    <w:rsid w:val="00260545"/>
    <w:rsid w:val="002622C0"/>
    <w:rsid w:val="00262DBE"/>
    <w:rsid w:val="002715A9"/>
    <w:rsid w:val="00273443"/>
    <w:rsid w:val="00274277"/>
    <w:rsid w:val="00274DC2"/>
    <w:rsid w:val="002778AE"/>
    <w:rsid w:val="00281D76"/>
    <w:rsid w:val="0028269A"/>
    <w:rsid w:val="00283590"/>
    <w:rsid w:val="00286553"/>
    <w:rsid w:val="00286973"/>
    <w:rsid w:val="00287D79"/>
    <w:rsid w:val="00294E70"/>
    <w:rsid w:val="00295249"/>
    <w:rsid w:val="00297547"/>
    <w:rsid w:val="002A18ED"/>
    <w:rsid w:val="002A1924"/>
    <w:rsid w:val="002A6638"/>
    <w:rsid w:val="002A7420"/>
    <w:rsid w:val="002B0F12"/>
    <w:rsid w:val="002B1308"/>
    <w:rsid w:val="002B3758"/>
    <w:rsid w:val="002B4554"/>
    <w:rsid w:val="002B63C8"/>
    <w:rsid w:val="002C0665"/>
    <w:rsid w:val="002C4BE1"/>
    <w:rsid w:val="002C51AC"/>
    <w:rsid w:val="002C72D8"/>
    <w:rsid w:val="002C7604"/>
    <w:rsid w:val="002D11FA"/>
    <w:rsid w:val="002E0DDF"/>
    <w:rsid w:val="002E2906"/>
    <w:rsid w:val="002E5635"/>
    <w:rsid w:val="002E64C3"/>
    <w:rsid w:val="002E6A2C"/>
    <w:rsid w:val="002F1D8C"/>
    <w:rsid w:val="002F21DA"/>
    <w:rsid w:val="002F4061"/>
    <w:rsid w:val="002F54F2"/>
    <w:rsid w:val="002F6771"/>
    <w:rsid w:val="002F6C93"/>
    <w:rsid w:val="00301F39"/>
    <w:rsid w:val="00305775"/>
    <w:rsid w:val="00314CDF"/>
    <w:rsid w:val="003201C4"/>
    <w:rsid w:val="00325926"/>
    <w:rsid w:val="00327A8A"/>
    <w:rsid w:val="003357E4"/>
    <w:rsid w:val="00336610"/>
    <w:rsid w:val="00342D77"/>
    <w:rsid w:val="00343F73"/>
    <w:rsid w:val="00345060"/>
    <w:rsid w:val="00346872"/>
    <w:rsid w:val="0034746C"/>
    <w:rsid w:val="00347A46"/>
    <w:rsid w:val="0035323B"/>
    <w:rsid w:val="003609D2"/>
    <w:rsid w:val="00363F22"/>
    <w:rsid w:val="0036450D"/>
    <w:rsid w:val="00375564"/>
    <w:rsid w:val="00383191"/>
    <w:rsid w:val="00383603"/>
    <w:rsid w:val="00386DED"/>
    <w:rsid w:val="00390D4F"/>
    <w:rsid w:val="003912E7"/>
    <w:rsid w:val="00393947"/>
    <w:rsid w:val="00394402"/>
    <w:rsid w:val="003A2275"/>
    <w:rsid w:val="003A3C66"/>
    <w:rsid w:val="003A4F98"/>
    <w:rsid w:val="003A563C"/>
    <w:rsid w:val="003A5D1C"/>
    <w:rsid w:val="003A6A4F"/>
    <w:rsid w:val="003A7088"/>
    <w:rsid w:val="003A7C3C"/>
    <w:rsid w:val="003B00DF"/>
    <w:rsid w:val="003B0B16"/>
    <w:rsid w:val="003B1275"/>
    <w:rsid w:val="003B1778"/>
    <w:rsid w:val="003C010F"/>
    <w:rsid w:val="003C0666"/>
    <w:rsid w:val="003C11CB"/>
    <w:rsid w:val="003C3B55"/>
    <w:rsid w:val="003C6170"/>
    <w:rsid w:val="003C75F3"/>
    <w:rsid w:val="003C78A3"/>
    <w:rsid w:val="003E1867"/>
    <w:rsid w:val="003E24C3"/>
    <w:rsid w:val="003E5729"/>
    <w:rsid w:val="003E6AA3"/>
    <w:rsid w:val="003F3908"/>
    <w:rsid w:val="003F4EE0"/>
    <w:rsid w:val="003F6D28"/>
    <w:rsid w:val="0040087C"/>
    <w:rsid w:val="00401946"/>
    <w:rsid w:val="00402153"/>
    <w:rsid w:val="00402FC1"/>
    <w:rsid w:val="0040559D"/>
    <w:rsid w:val="0040753E"/>
    <w:rsid w:val="0040761C"/>
    <w:rsid w:val="00410BAC"/>
    <w:rsid w:val="00414958"/>
    <w:rsid w:val="00415E2F"/>
    <w:rsid w:val="00425082"/>
    <w:rsid w:val="00431DEB"/>
    <w:rsid w:val="00443C6F"/>
    <w:rsid w:val="00446B29"/>
    <w:rsid w:val="00453EE5"/>
    <w:rsid w:val="00453F9A"/>
    <w:rsid w:val="00454D1B"/>
    <w:rsid w:val="004633E2"/>
    <w:rsid w:val="004669EA"/>
    <w:rsid w:val="00471E91"/>
    <w:rsid w:val="00474675"/>
    <w:rsid w:val="0047470C"/>
    <w:rsid w:val="004764CA"/>
    <w:rsid w:val="00476F7E"/>
    <w:rsid w:val="0047733C"/>
    <w:rsid w:val="00482AFF"/>
    <w:rsid w:val="00483CE7"/>
    <w:rsid w:val="00484E53"/>
    <w:rsid w:val="004A12DD"/>
    <w:rsid w:val="004A2555"/>
    <w:rsid w:val="004A35F9"/>
    <w:rsid w:val="004A4F93"/>
    <w:rsid w:val="004A5F16"/>
    <w:rsid w:val="004A6A18"/>
    <w:rsid w:val="004B105B"/>
    <w:rsid w:val="004B24C1"/>
    <w:rsid w:val="004B2EE5"/>
    <w:rsid w:val="004C0F5F"/>
    <w:rsid w:val="004C13E7"/>
    <w:rsid w:val="004C292F"/>
    <w:rsid w:val="004D06A6"/>
    <w:rsid w:val="004D2FB3"/>
    <w:rsid w:val="004E2061"/>
    <w:rsid w:val="004E6703"/>
    <w:rsid w:val="005000E4"/>
    <w:rsid w:val="00507F47"/>
    <w:rsid w:val="00510280"/>
    <w:rsid w:val="0051081C"/>
    <w:rsid w:val="00513354"/>
    <w:rsid w:val="00513D73"/>
    <w:rsid w:val="00514A43"/>
    <w:rsid w:val="0051734F"/>
    <w:rsid w:val="005174E5"/>
    <w:rsid w:val="00522393"/>
    <w:rsid w:val="00522620"/>
    <w:rsid w:val="00525656"/>
    <w:rsid w:val="00534C02"/>
    <w:rsid w:val="00537385"/>
    <w:rsid w:val="00540A8D"/>
    <w:rsid w:val="0054264B"/>
    <w:rsid w:val="00543786"/>
    <w:rsid w:val="005533D7"/>
    <w:rsid w:val="00567781"/>
    <w:rsid w:val="005703DE"/>
    <w:rsid w:val="0058464E"/>
    <w:rsid w:val="00594FB0"/>
    <w:rsid w:val="005A01CB"/>
    <w:rsid w:val="005A0A0E"/>
    <w:rsid w:val="005A3F97"/>
    <w:rsid w:val="005A404D"/>
    <w:rsid w:val="005A4966"/>
    <w:rsid w:val="005A58FF"/>
    <w:rsid w:val="005A5EAF"/>
    <w:rsid w:val="005A64C0"/>
    <w:rsid w:val="005B3422"/>
    <w:rsid w:val="005B3C11"/>
    <w:rsid w:val="005B4C6E"/>
    <w:rsid w:val="005B7A64"/>
    <w:rsid w:val="005C0408"/>
    <w:rsid w:val="005C040D"/>
    <w:rsid w:val="005C0449"/>
    <w:rsid w:val="005C1C28"/>
    <w:rsid w:val="005C374E"/>
    <w:rsid w:val="005C49CA"/>
    <w:rsid w:val="005C4B15"/>
    <w:rsid w:val="005C5ADE"/>
    <w:rsid w:val="005C630E"/>
    <w:rsid w:val="005C648D"/>
    <w:rsid w:val="005C6DB5"/>
    <w:rsid w:val="005D196A"/>
    <w:rsid w:val="005D40F7"/>
    <w:rsid w:val="005D528A"/>
    <w:rsid w:val="005E192C"/>
    <w:rsid w:val="005E19E7"/>
    <w:rsid w:val="005E34AA"/>
    <w:rsid w:val="005F76DC"/>
    <w:rsid w:val="005F7EFC"/>
    <w:rsid w:val="00606B51"/>
    <w:rsid w:val="00617042"/>
    <w:rsid w:val="0061716C"/>
    <w:rsid w:val="00623260"/>
    <w:rsid w:val="006243A1"/>
    <w:rsid w:val="00632B8F"/>
    <w:rsid w:val="00632E56"/>
    <w:rsid w:val="00635CBA"/>
    <w:rsid w:val="00636A9F"/>
    <w:rsid w:val="00641E4A"/>
    <w:rsid w:val="0064338B"/>
    <w:rsid w:val="00645B13"/>
    <w:rsid w:val="00646542"/>
    <w:rsid w:val="00647C0F"/>
    <w:rsid w:val="00650305"/>
    <w:rsid w:val="006504F4"/>
    <w:rsid w:val="0065180C"/>
    <w:rsid w:val="00654BC9"/>
    <w:rsid w:val="00654EC4"/>
    <w:rsid w:val="006552FD"/>
    <w:rsid w:val="00663AF3"/>
    <w:rsid w:val="0066557F"/>
    <w:rsid w:val="00666B6C"/>
    <w:rsid w:val="00672789"/>
    <w:rsid w:val="00680A8B"/>
    <w:rsid w:val="00682682"/>
    <w:rsid w:val="00682702"/>
    <w:rsid w:val="006831D8"/>
    <w:rsid w:val="006871F7"/>
    <w:rsid w:val="00692368"/>
    <w:rsid w:val="006929F1"/>
    <w:rsid w:val="00693E5B"/>
    <w:rsid w:val="006A1CD4"/>
    <w:rsid w:val="006A2EBC"/>
    <w:rsid w:val="006A3E85"/>
    <w:rsid w:val="006A42F3"/>
    <w:rsid w:val="006A5EA0"/>
    <w:rsid w:val="006A676B"/>
    <w:rsid w:val="006A783B"/>
    <w:rsid w:val="006A7B33"/>
    <w:rsid w:val="006B0706"/>
    <w:rsid w:val="006B4D07"/>
    <w:rsid w:val="006B4E13"/>
    <w:rsid w:val="006B4F71"/>
    <w:rsid w:val="006B75DD"/>
    <w:rsid w:val="006C3CEF"/>
    <w:rsid w:val="006C67E0"/>
    <w:rsid w:val="006C7ABA"/>
    <w:rsid w:val="006D0D60"/>
    <w:rsid w:val="006D1122"/>
    <w:rsid w:val="006D36DB"/>
    <w:rsid w:val="006D3C00"/>
    <w:rsid w:val="006D62A1"/>
    <w:rsid w:val="006E3675"/>
    <w:rsid w:val="006E4A7F"/>
    <w:rsid w:val="006F06A1"/>
    <w:rsid w:val="006F27E2"/>
    <w:rsid w:val="006F4F12"/>
    <w:rsid w:val="00704DF6"/>
    <w:rsid w:val="0070651C"/>
    <w:rsid w:val="007075F9"/>
    <w:rsid w:val="00712415"/>
    <w:rsid w:val="0071298A"/>
    <w:rsid w:val="00712EE2"/>
    <w:rsid w:val="007132A3"/>
    <w:rsid w:val="00716421"/>
    <w:rsid w:val="00717F28"/>
    <w:rsid w:val="00721C13"/>
    <w:rsid w:val="00721D78"/>
    <w:rsid w:val="0072276E"/>
    <w:rsid w:val="0072331B"/>
    <w:rsid w:val="00724D1B"/>
    <w:rsid w:val="00724EFB"/>
    <w:rsid w:val="0072678E"/>
    <w:rsid w:val="0074137C"/>
    <w:rsid w:val="007419C3"/>
    <w:rsid w:val="00741A56"/>
    <w:rsid w:val="007423B9"/>
    <w:rsid w:val="00744AA1"/>
    <w:rsid w:val="007467A7"/>
    <w:rsid w:val="007469DD"/>
    <w:rsid w:val="0074741B"/>
    <w:rsid w:val="0074759E"/>
    <w:rsid w:val="007478EA"/>
    <w:rsid w:val="007540BB"/>
    <w:rsid w:val="0075415C"/>
    <w:rsid w:val="00757C93"/>
    <w:rsid w:val="00763502"/>
    <w:rsid w:val="007676E2"/>
    <w:rsid w:val="007816E2"/>
    <w:rsid w:val="0078301F"/>
    <w:rsid w:val="0078447C"/>
    <w:rsid w:val="00785052"/>
    <w:rsid w:val="007853B8"/>
    <w:rsid w:val="007913AB"/>
    <w:rsid w:val="007913F1"/>
    <w:rsid w:val="007914F7"/>
    <w:rsid w:val="007A11BA"/>
    <w:rsid w:val="007A39F8"/>
    <w:rsid w:val="007B1625"/>
    <w:rsid w:val="007B45A5"/>
    <w:rsid w:val="007B5DEE"/>
    <w:rsid w:val="007B706E"/>
    <w:rsid w:val="007B71EB"/>
    <w:rsid w:val="007B79AB"/>
    <w:rsid w:val="007C561A"/>
    <w:rsid w:val="007C6205"/>
    <w:rsid w:val="007C686A"/>
    <w:rsid w:val="007C728E"/>
    <w:rsid w:val="007D254F"/>
    <w:rsid w:val="007D2C53"/>
    <w:rsid w:val="007D3D60"/>
    <w:rsid w:val="007D6DFD"/>
    <w:rsid w:val="007D7788"/>
    <w:rsid w:val="007E1980"/>
    <w:rsid w:val="007E406B"/>
    <w:rsid w:val="007E4B76"/>
    <w:rsid w:val="007E5EA8"/>
    <w:rsid w:val="007F0CF1"/>
    <w:rsid w:val="007F12A5"/>
    <w:rsid w:val="007F208B"/>
    <w:rsid w:val="007F2E1F"/>
    <w:rsid w:val="007F4CF1"/>
    <w:rsid w:val="007F4E2A"/>
    <w:rsid w:val="007F758D"/>
    <w:rsid w:val="007F7D52"/>
    <w:rsid w:val="008029D7"/>
    <w:rsid w:val="0080569F"/>
    <w:rsid w:val="00805799"/>
    <w:rsid w:val="0080654C"/>
    <w:rsid w:val="008068CD"/>
    <w:rsid w:val="00806ACC"/>
    <w:rsid w:val="008071C6"/>
    <w:rsid w:val="00807EF8"/>
    <w:rsid w:val="008105C4"/>
    <w:rsid w:val="008109A6"/>
    <w:rsid w:val="00816ECF"/>
    <w:rsid w:val="00817A00"/>
    <w:rsid w:val="00823521"/>
    <w:rsid w:val="00823FAD"/>
    <w:rsid w:val="0082589A"/>
    <w:rsid w:val="008331B7"/>
    <w:rsid w:val="00834AAC"/>
    <w:rsid w:val="00835DB3"/>
    <w:rsid w:val="0083617B"/>
    <w:rsid w:val="008371BD"/>
    <w:rsid w:val="008374E2"/>
    <w:rsid w:val="00844C7E"/>
    <w:rsid w:val="008504A8"/>
    <w:rsid w:val="0085237A"/>
    <w:rsid w:val="0085282E"/>
    <w:rsid w:val="008539D3"/>
    <w:rsid w:val="00853EF4"/>
    <w:rsid w:val="0086722A"/>
    <w:rsid w:val="0087198C"/>
    <w:rsid w:val="00872C1F"/>
    <w:rsid w:val="00873B42"/>
    <w:rsid w:val="00881707"/>
    <w:rsid w:val="008856D8"/>
    <w:rsid w:val="00890423"/>
    <w:rsid w:val="00892E82"/>
    <w:rsid w:val="008A6862"/>
    <w:rsid w:val="008B5E21"/>
    <w:rsid w:val="008C1B58"/>
    <w:rsid w:val="008C36DE"/>
    <w:rsid w:val="008C39AE"/>
    <w:rsid w:val="008C590D"/>
    <w:rsid w:val="008D1329"/>
    <w:rsid w:val="008D3384"/>
    <w:rsid w:val="008D385B"/>
    <w:rsid w:val="008D6610"/>
    <w:rsid w:val="008E031B"/>
    <w:rsid w:val="008E197A"/>
    <w:rsid w:val="008E7029"/>
    <w:rsid w:val="008E7234"/>
    <w:rsid w:val="008E7EF6"/>
    <w:rsid w:val="008F0EE4"/>
    <w:rsid w:val="008F1F98"/>
    <w:rsid w:val="008F55AD"/>
    <w:rsid w:val="008F6758"/>
    <w:rsid w:val="009040DD"/>
    <w:rsid w:val="00904B57"/>
    <w:rsid w:val="00905B47"/>
    <w:rsid w:val="00906275"/>
    <w:rsid w:val="00910455"/>
    <w:rsid w:val="0091331C"/>
    <w:rsid w:val="00914989"/>
    <w:rsid w:val="00916B0F"/>
    <w:rsid w:val="00922E46"/>
    <w:rsid w:val="009279DE"/>
    <w:rsid w:val="00930116"/>
    <w:rsid w:val="00931B63"/>
    <w:rsid w:val="009336B6"/>
    <w:rsid w:val="00933FCF"/>
    <w:rsid w:val="0094212C"/>
    <w:rsid w:val="00947836"/>
    <w:rsid w:val="00954689"/>
    <w:rsid w:val="009617C9"/>
    <w:rsid w:val="00961C93"/>
    <w:rsid w:val="00963BFB"/>
    <w:rsid w:val="00965324"/>
    <w:rsid w:val="0097091E"/>
    <w:rsid w:val="00975D8E"/>
    <w:rsid w:val="009760D3"/>
    <w:rsid w:val="00977132"/>
    <w:rsid w:val="00981A4B"/>
    <w:rsid w:val="00982501"/>
    <w:rsid w:val="009833EE"/>
    <w:rsid w:val="009877D3"/>
    <w:rsid w:val="009916B3"/>
    <w:rsid w:val="00994E8F"/>
    <w:rsid w:val="009951DC"/>
    <w:rsid w:val="009959BB"/>
    <w:rsid w:val="00997158"/>
    <w:rsid w:val="009A3A7C"/>
    <w:rsid w:val="009B2ADB"/>
    <w:rsid w:val="009B603A"/>
    <w:rsid w:val="009B6432"/>
    <w:rsid w:val="009C0900"/>
    <w:rsid w:val="009C10BA"/>
    <w:rsid w:val="009C2D0E"/>
    <w:rsid w:val="009C3DAC"/>
    <w:rsid w:val="009C42E0"/>
    <w:rsid w:val="009D5362"/>
    <w:rsid w:val="009E0A80"/>
    <w:rsid w:val="009E1415"/>
    <w:rsid w:val="009E4F97"/>
    <w:rsid w:val="009E5F73"/>
    <w:rsid w:val="009E6116"/>
    <w:rsid w:val="009E6F25"/>
    <w:rsid w:val="009E73C0"/>
    <w:rsid w:val="009E7D41"/>
    <w:rsid w:val="009F7636"/>
    <w:rsid w:val="00A0273E"/>
    <w:rsid w:val="00A02E43"/>
    <w:rsid w:val="00A065F9"/>
    <w:rsid w:val="00A07F34"/>
    <w:rsid w:val="00A10441"/>
    <w:rsid w:val="00A11B70"/>
    <w:rsid w:val="00A132D2"/>
    <w:rsid w:val="00A22154"/>
    <w:rsid w:val="00A25C38"/>
    <w:rsid w:val="00A277BC"/>
    <w:rsid w:val="00A36BBE"/>
    <w:rsid w:val="00A4307A"/>
    <w:rsid w:val="00A456AB"/>
    <w:rsid w:val="00A47EBB"/>
    <w:rsid w:val="00A51CDD"/>
    <w:rsid w:val="00A52CB7"/>
    <w:rsid w:val="00A53AA0"/>
    <w:rsid w:val="00A6730D"/>
    <w:rsid w:val="00A71625"/>
    <w:rsid w:val="00A71B9B"/>
    <w:rsid w:val="00A751C7"/>
    <w:rsid w:val="00A82E83"/>
    <w:rsid w:val="00A8572E"/>
    <w:rsid w:val="00A85928"/>
    <w:rsid w:val="00A87540"/>
    <w:rsid w:val="00A87844"/>
    <w:rsid w:val="00A93C15"/>
    <w:rsid w:val="00A963A4"/>
    <w:rsid w:val="00A97348"/>
    <w:rsid w:val="00AA038C"/>
    <w:rsid w:val="00AA1FCC"/>
    <w:rsid w:val="00AA605F"/>
    <w:rsid w:val="00AA7A09"/>
    <w:rsid w:val="00AB085D"/>
    <w:rsid w:val="00AB3B50"/>
    <w:rsid w:val="00AB6104"/>
    <w:rsid w:val="00AC05B1"/>
    <w:rsid w:val="00AC1C38"/>
    <w:rsid w:val="00AC1F99"/>
    <w:rsid w:val="00AC417D"/>
    <w:rsid w:val="00AD30FA"/>
    <w:rsid w:val="00AD356C"/>
    <w:rsid w:val="00AD6AA8"/>
    <w:rsid w:val="00AE17B9"/>
    <w:rsid w:val="00AE2914"/>
    <w:rsid w:val="00AE5929"/>
    <w:rsid w:val="00AE6D15"/>
    <w:rsid w:val="00AF0C4F"/>
    <w:rsid w:val="00AF3A2E"/>
    <w:rsid w:val="00AF5039"/>
    <w:rsid w:val="00AF57C8"/>
    <w:rsid w:val="00AF7D1C"/>
    <w:rsid w:val="00B04182"/>
    <w:rsid w:val="00B0418E"/>
    <w:rsid w:val="00B0792D"/>
    <w:rsid w:val="00B07AE3"/>
    <w:rsid w:val="00B10F29"/>
    <w:rsid w:val="00B11430"/>
    <w:rsid w:val="00B11F3B"/>
    <w:rsid w:val="00B2664C"/>
    <w:rsid w:val="00B30BDA"/>
    <w:rsid w:val="00B31735"/>
    <w:rsid w:val="00B3246C"/>
    <w:rsid w:val="00B353EB"/>
    <w:rsid w:val="00B407C3"/>
    <w:rsid w:val="00B41B13"/>
    <w:rsid w:val="00B43977"/>
    <w:rsid w:val="00B439C4"/>
    <w:rsid w:val="00B4535E"/>
    <w:rsid w:val="00B52A8C"/>
    <w:rsid w:val="00B53175"/>
    <w:rsid w:val="00B55AFB"/>
    <w:rsid w:val="00B56B25"/>
    <w:rsid w:val="00B57D59"/>
    <w:rsid w:val="00B6245C"/>
    <w:rsid w:val="00B62C42"/>
    <w:rsid w:val="00B636A8"/>
    <w:rsid w:val="00B665C6"/>
    <w:rsid w:val="00B66C2D"/>
    <w:rsid w:val="00B70522"/>
    <w:rsid w:val="00B72354"/>
    <w:rsid w:val="00B7682F"/>
    <w:rsid w:val="00B805AF"/>
    <w:rsid w:val="00B808FE"/>
    <w:rsid w:val="00B80CB1"/>
    <w:rsid w:val="00B869EC"/>
    <w:rsid w:val="00B9397A"/>
    <w:rsid w:val="00B9633D"/>
    <w:rsid w:val="00BA068A"/>
    <w:rsid w:val="00BA1105"/>
    <w:rsid w:val="00BA275C"/>
    <w:rsid w:val="00BA2EBE"/>
    <w:rsid w:val="00BB0F28"/>
    <w:rsid w:val="00BB458A"/>
    <w:rsid w:val="00BB5C89"/>
    <w:rsid w:val="00BB6C37"/>
    <w:rsid w:val="00BC2F18"/>
    <w:rsid w:val="00BD00D3"/>
    <w:rsid w:val="00BD1659"/>
    <w:rsid w:val="00BD3AA9"/>
    <w:rsid w:val="00BD4A18"/>
    <w:rsid w:val="00BD6DB2"/>
    <w:rsid w:val="00BD6E45"/>
    <w:rsid w:val="00BE11CF"/>
    <w:rsid w:val="00BE21AB"/>
    <w:rsid w:val="00BE55CB"/>
    <w:rsid w:val="00BF617A"/>
    <w:rsid w:val="00C0190C"/>
    <w:rsid w:val="00C0379D"/>
    <w:rsid w:val="00C03931"/>
    <w:rsid w:val="00C041F3"/>
    <w:rsid w:val="00C05FE3"/>
    <w:rsid w:val="00C1091E"/>
    <w:rsid w:val="00C12A44"/>
    <w:rsid w:val="00C2025D"/>
    <w:rsid w:val="00C2136D"/>
    <w:rsid w:val="00C214EE"/>
    <w:rsid w:val="00C22655"/>
    <w:rsid w:val="00C2314B"/>
    <w:rsid w:val="00C23E5F"/>
    <w:rsid w:val="00C24971"/>
    <w:rsid w:val="00C25C78"/>
    <w:rsid w:val="00C26BE5"/>
    <w:rsid w:val="00C26E4D"/>
    <w:rsid w:val="00C27909"/>
    <w:rsid w:val="00C27B03"/>
    <w:rsid w:val="00C30AA3"/>
    <w:rsid w:val="00C314E1"/>
    <w:rsid w:val="00C34397"/>
    <w:rsid w:val="00C3600B"/>
    <w:rsid w:val="00C4095D"/>
    <w:rsid w:val="00C42D9C"/>
    <w:rsid w:val="00C54D0C"/>
    <w:rsid w:val="00C601D2"/>
    <w:rsid w:val="00C64816"/>
    <w:rsid w:val="00C657AB"/>
    <w:rsid w:val="00C65BCC"/>
    <w:rsid w:val="00C66970"/>
    <w:rsid w:val="00C824B9"/>
    <w:rsid w:val="00C83BC5"/>
    <w:rsid w:val="00C8691C"/>
    <w:rsid w:val="00C87990"/>
    <w:rsid w:val="00C91026"/>
    <w:rsid w:val="00C93A32"/>
    <w:rsid w:val="00C97AC9"/>
    <w:rsid w:val="00CA168A"/>
    <w:rsid w:val="00CA357E"/>
    <w:rsid w:val="00CA42FF"/>
    <w:rsid w:val="00CA44F9"/>
    <w:rsid w:val="00CA4A69"/>
    <w:rsid w:val="00CB1D69"/>
    <w:rsid w:val="00CB7491"/>
    <w:rsid w:val="00CC2A38"/>
    <w:rsid w:val="00CC3E0C"/>
    <w:rsid w:val="00CC58D3"/>
    <w:rsid w:val="00CC6517"/>
    <w:rsid w:val="00CC784D"/>
    <w:rsid w:val="00CD2E9F"/>
    <w:rsid w:val="00CD6954"/>
    <w:rsid w:val="00CD6992"/>
    <w:rsid w:val="00CE64B3"/>
    <w:rsid w:val="00CF1371"/>
    <w:rsid w:val="00CF1831"/>
    <w:rsid w:val="00D0337B"/>
    <w:rsid w:val="00D079B2"/>
    <w:rsid w:val="00D104DF"/>
    <w:rsid w:val="00D114E9"/>
    <w:rsid w:val="00D21961"/>
    <w:rsid w:val="00D262AF"/>
    <w:rsid w:val="00D26690"/>
    <w:rsid w:val="00D26C48"/>
    <w:rsid w:val="00D271B3"/>
    <w:rsid w:val="00D331E0"/>
    <w:rsid w:val="00D334CF"/>
    <w:rsid w:val="00D33B66"/>
    <w:rsid w:val="00D429C6"/>
    <w:rsid w:val="00D43714"/>
    <w:rsid w:val="00D4386C"/>
    <w:rsid w:val="00D43F58"/>
    <w:rsid w:val="00D46490"/>
    <w:rsid w:val="00D47748"/>
    <w:rsid w:val="00D53003"/>
    <w:rsid w:val="00D54CC3"/>
    <w:rsid w:val="00D57BEB"/>
    <w:rsid w:val="00D6041A"/>
    <w:rsid w:val="00D633EB"/>
    <w:rsid w:val="00D6406C"/>
    <w:rsid w:val="00D65E68"/>
    <w:rsid w:val="00D72E04"/>
    <w:rsid w:val="00D7550D"/>
    <w:rsid w:val="00D82FF7"/>
    <w:rsid w:val="00D847FE"/>
    <w:rsid w:val="00D90DB1"/>
    <w:rsid w:val="00D910B9"/>
    <w:rsid w:val="00D964EA"/>
    <w:rsid w:val="00D966D0"/>
    <w:rsid w:val="00DA0C59"/>
    <w:rsid w:val="00DA0E99"/>
    <w:rsid w:val="00DA3991"/>
    <w:rsid w:val="00DA713E"/>
    <w:rsid w:val="00DA72E1"/>
    <w:rsid w:val="00DB7091"/>
    <w:rsid w:val="00DB7ADF"/>
    <w:rsid w:val="00DB7E6C"/>
    <w:rsid w:val="00DD03B3"/>
    <w:rsid w:val="00DD0F1F"/>
    <w:rsid w:val="00DD4817"/>
    <w:rsid w:val="00DD549C"/>
    <w:rsid w:val="00DD5606"/>
    <w:rsid w:val="00DD5A29"/>
    <w:rsid w:val="00DD5D9D"/>
    <w:rsid w:val="00DE35CB"/>
    <w:rsid w:val="00DE6FA3"/>
    <w:rsid w:val="00DF21E9"/>
    <w:rsid w:val="00DF54FC"/>
    <w:rsid w:val="00DF5E0C"/>
    <w:rsid w:val="00E00F14"/>
    <w:rsid w:val="00E06386"/>
    <w:rsid w:val="00E11334"/>
    <w:rsid w:val="00E15130"/>
    <w:rsid w:val="00E15C46"/>
    <w:rsid w:val="00E17441"/>
    <w:rsid w:val="00E208EC"/>
    <w:rsid w:val="00E210DC"/>
    <w:rsid w:val="00E24EB4"/>
    <w:rsid w:val="00E320ED"/>
    <w:rsid w:val="00E33AFB"/>
    <w:rsid w:val="00E34218"/>
    <w:rsid w:val="00E3531A"/>
    <w:rsid w:val="00E36EB3"/>
    <w:rsid w:val="00E40E03"/>
    <w:rsid w:val="00E45314"/>
    <w:rsid w:val="00E46282"/>
    <w:rsid w:val="00E5216E"/>
    <w:rsid w:val="00E52FCB"/>
    <w:rsid w:val="00E55B73"/>
    <w:rsid w:val="00E62B90"/>
    <w:rsid w:val="00E704A9"/>
    <w:rsid w:val="00E73316"/>
    <w:rsid w:val="00E73825"/>
    <w:rsid w:val="00E75DF9"/>
    <w:rsid w:val="00E773C0"/>
    <w:rsid w:val="00E77CF9"/>
    <w:rsid w:val="00E82344"/>
    <w:rsid w:val="00E83750"/>
    <w:rsid w:val="00E84C82"/>
    <w:rsid w:val="00E84D64"/>
    <w:rsid w:val="00E8528F"/>
    <w:rsid w:val="00E866BD"/>
    <w:rsid w:val="00E87408"/>
    <w:rsid w:val="00E914C4"/>
    <w:rsid w:val="00E91610"/>
    <w:rsid w:val="00E934F5"/>
    <w:rsid w:val="00E938F9"/>
    <w:rsid w:val="00E945EB"/>
    <w:rsid w:val="00E96961"/>
    <w:rsid w:val="00E97F44"/>
    <w:rsid w:val="00EA0615"/>
    <w:rsid w:val="00EA182A"/>
    <w:rsid w:val="00EA39CC"/>
    <w:rsid w:val="00EA72EC"/>
    <w:rsid w:val="00EB11CB"/>
    <w:rsid w:val="00EB1400"/>
    <w:rsid w:val="00EB275A"/>
    <w:rsid w:val="00EB786A"/>
    <w:rsid w:val="00EC1578"/>
    <w:rsid w:val="00EC1C72"/>
    <w:rsid w:val="00EC2A53"/>
    <w:rsid w:val="00EC3CC9"/>
    <w:rsid w:val="00EC680A"/>
    <w:rsid w:val="00ED1F43"/>
    <w:rsid w:val="00ED4040"/>
    <w:rsid w:val="00ED7A44"/>
    <w:rsid w:val="00EE2420"/>
    <w:rsid w:val="00EE2BED"/>
    <w:rsid w:val="00EE374B"/>
    <w:rsid w:val="00EE5812"/>
    <w:rsid w:val="00F02424"/>
    <w:rsid w:val="00F1142B"/>
    <w:rsid w:val="00F11BB5"/>
    <w:rsid w:val="00F125EF"/>
    <w:rsid w:val="00F1417B"/>
    <w:rsid w:val="00F27029"/>
    <w:rsid w:val="00F27644"/>
    <w:rsid w:val="00F31136"/>
    <w:rsid w:val="00F33D6C"/>
    <w:rsid w:val="00F34B99"/>
    <w:rsid w:val="00F428AD"/>
    <w:rsid w:val="00F450D6"/>
    <w:rsid w:val="00F470EB"/>
    <w:rsid w:val="00F4759D"/>
    <w:rsid w:val="00F52DAB"/>
    <w:rsid w:val="00F543F0"/>
    <w:rsid w:val="00F654CE"/>
    <w:rsid w:val="00F71BE8"/>
    <w:rsid w:val="00F735B9"/>
    <w:rsid w:val="00F81D29"/>
    <w:rsid w:val="00F91251"/>
    <w:rsid w:val="00F91C4D"/>
    <w:rsid w:val="00F92FD9"/>
    <w:rsid w:val="00F96661"/>
    <w:rsid w:val="00F97ADF"/>
    <w:rsid w:val="00FA6684"/>
    <w:rsid w:val="00FA731E"/>
    <w:rsid w:val="00FB25D1"/>
    <w:rsid w:val="00FB2B38"/>
    <w:rsid w:val="00FB4F93"/>
    <w:rsid w:val="00FB6903"/>
    <w:rsid w:val="00FC6358"/>
    <w:rsid w:val="00FD132B"/>
    <w:rsid w:val="00FD320D"/>
    <w:rsid w:val="00FE239C"/>
    <w:rsid w:val="00FE23DE"/>
    <w:rsid w:val="00FE2942"/>
    <w:rsid w:val="00FE3EAE"/>
    <w:rsid w:val="00FE7244"/>
    <w:rsid w:val="00FF56BF"/>
    <w:rsid w:val="014A3644"/>
    <w:rsid w:val="01A928E0"/>
    <w:rsid w:val="01C43B1A"/>
    <w:rsid w:val="02FC33D2"/>
    <w:rsid w:val="033C0E47"/>
    <w:rsid w:val="044B7594"/>
    <w:rsid w:val="0593230B"/>
    <w:rsid w:val="05B55F23"/>
    <w:rsid w:val="05FD2B10"/>
    <w:rsid w:val="067C3FE5"/>
    <w:rsid w:val="07095850"/>
    <w:rsid w:val="07794B54"/>
    <w:rsid w:val="07FC75F6"/>
    <w:rsid w:val="07FE0409"/>
    <w:rsid w:val="0A285C81"/>
    <w:rsid w:val="0AE9400E"/>
    <w:rsid w:val="0B6671A9"/>
    <w:rsid w:val="0BFE383B"/>
    <w:rsid w:val="0E966FC2"/>
    <w:rsid w:val="10376C1E"/>
    <w:rsid w:val="13824A64"/>
    <w:rsid w:val="13B660AC"/>
    <w:rsid w:val="146E2F4F"/>
    <w:rsid w:val="14F3618F"/>
    <w:rsid w:val="183F48C2"/>
    <w:rsid w:val="188C4E7D"/>
    <w:rsid w:val="193E2DCB"/>
    <w:rsid w:val="197255CC"/>
    <w:rsid w:val="1AD5475B"/>
    <w:rsid w:val="1C0A3439"/>
    <w:rsid w:val="1F0B0070"/>
    <w:rsid w:val="1FA10D93"/>
    <w:rsid w:val="1FF15DD0"/>
    <w:rsid w:val="21B05C4E"/>
    <w:rsid w:val="225B0691"/>
    <w:rsid w:val="22FD6550"/>
    <w:rsid w:val="235C5B3D"/>
    <w:rsid w:val="2466109C"/>
    <w:rsid w:val="259124D5"/>
    <w:rsid w:val="26080E5F"/>
    <w:rsid w:val="26A5231B"/>
    <w:rsid w:val="275C0574"/>
    <w:rsid w:val="2789569A"/>
    <w:rsid w:val="2834655B"/>
    <w:rsid w:val="284919DC"/>
    <w:rsid w:val="28553D30"/>
    <w:rsid w:val="2B876CDE"/>
    <w:rsid w:val="2C300007"/>
    <w:rsid w:val="30757E25"/>
    <w:rsid w:val="326E1C4D"/>
    <w:rsid w:val="327652E9"/>
    <w:rsid w:val="35844A52"/>
    <w:rsid w:val="35A478E5"/>
    <w:rsid w:val="36656EBD"/>
    <w:rsid w:val="36AF6C5F"/>
    <w:rsid w:val="375135BC"/>
    <w:rsid w:val="38D60E0A"/>
    <w:rsid w:val="3EDA12A1"/>
    <w:rsid w:val="3EE5067F"/>
    <w:rsid w:val="40A376AD"/>
    <w:rsid w:val="40A437D5"/>
    <w:rsid w:val="40F35F40"/>
    <w:rsid w:val="41180401"/>
    <w:rsid w:val="41304DF8"/>
    <w:rsid w:val="416820BA"/>
    <w:rsid w:val="434B318F"/>
    <w:rsid w:val="436853D1"/>
    <w:rsid w:val="455122ED"/>
    <w:rsid w:val="45A525A8"/>
    <w:rsid w:val="472A56EF"/>
    <w:rsid w:val="48B3438D"/>
    <w:rsid w:val="499A5F3D"/>
    <w:rsid w:val="4AEC72D2"/>
    <w:rsid w:val="4CC4168A"/>
    <w:rsid w:val="4D3333E7"/>
    <w:rsid w:val="4D361C03"/>
    <w:rsid w:val="4F950328"/>
    <w:rsid w:val="5144267A"/>
    <w:rsid w:val="528648C0"/>
    <w:rsid w:val="533B7DA0"/>
    <w:rsid w:val="5657719D"/>
    <w:rsid w:val="575552C3"/>
    <w:rsid w:val="590A1163"/>
    <w:rsid w:val="5A9E19B6"/>
    <w:rsid w:val="5E682435"/>
    <w:rsid w:val="5F6105D2"/>
    <w:rsid w:val="5F8271EE"/>
    <w:rsid w:val="5F8616E0"/>
    <w:rsid w:val="62910BE2"/>
    <w:rsid w:val="629A3AA1"/>
    <w:rsid w:val="65B23EF2"/>
    <w:rsid w:val="661060BD"/>
    <w:rsid w:val="6612673F"/>
    <w:rsid w:val="66A95D3B"/>
    <w:rsid w:val="687C5814"/>
    <w:rsid w:val="68B57B5F"/>
    <w:rsid w:val="69667A40"/>
    <w:rsid w:val="6978162A"/>
    <w:rsid w:val="6B8E573F"/>
    <w:rsid w:val="6E937F29"/>
    <w:rsid w:val="6E9C14DC"/>
    <w:rsid w:val="70747429"/>
    <w:rsid w:val="70751422"/>
    <w:rsid w:val="70E46F2A"/>
    <w:rsid w:val="71F64EC2"/>
    <w:rsid w:val="721D6B97"/>
    <w:rsid w:val="74E71800"/>
    <w:rsid w:val="769C305E"/>
    <w:rsid w:val="77B035C4"/>
    <w:rsid w:val="77E25BE9"/>
    <w:rsid w:val="78160331"/>
    <w:rsid w:val="7A1F0FD2"/>
    <w:rsid w:val="7BF22561"/>
    <w:rsid w:val="7E702838"/>
    <w:rsid w:val="7EB541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numPr>
        <w:ilvl w:val="1"/>
        <w:numId w:val="1"/>
      </w:numPr>
      <w:spacing w:before="156" w:beforeLines="45" w:after="156" w:afterLines="45"/>
      <w:outlineLvl w:val="1"/>
    </w:pPr>
    <w:rPr>
      <w:rFonts w:ascii="黑体" w:hAnsi="黑体" w:eastAsia="黑体"/>
      <w:kern w:val="0"/>
      <w:szCs w:val="20"/>
    </w:rPr>
  </w:style>
  <w:style w:type="paragraph" w:styleId="4">
    <w:name w:val="heading 3"/>
    <w:basedOn w:val="3"/>
    <w:next w:val="1"/>
    <w:qFormat/>
    <w:uiPriority w:val="9"/>
    <w:pPr>
      <w:numPr>
        <w:ilvl w:val="2"/>
        <w:numId w:val="2"/>
      </w:numPr>
      <w:outlineLvl w:val="2"/>
    </w:p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41">
    <w:name w:val="Default Paragraph Font"/>
    <w:semiHidden/>
    <w:unhideWhenUsed/>
    <w:uiPriority w:val="1"/>
  </w:style>
  <w:style w:type="table" w:default="1" w:styleId="39">
    <w:name w:val="Normal Table"/>
    <w:semiHidden/>
    <w:unhideWhenUsed/>
    <w:uiPriority w:val="99"/>
    <w:tblPr>
      <w:tblCellMar>
        <w:top w:w="0" w:type="dxa"/>
        <w:left w:w="108" w:type="dxa"/>
        <w:bottom w:w="0" w:type="dxa"/>
        <w:right w:w="108" w:type="dxa"/>
      </w:tblCellMar>
    </w:tblPr>
  </w:style>
  <w:style w:type="paragraph" w:styleId="6">
    <w:name w:val="toc 7"/>
    <w:basedOn w:val="1"/>
    <w:next w:val="1"/>
    <w:semiHidden/>
    <w:qFormat/>
    <w:uiPriority w:val="0"/>
    <w:pPr>
      <w:tabs>
        <w:tab w:val="right" w:leader="dot" w:pos="9241"/>
      </w:tabs>
      <w:ind w:firstLine="500" w:firstLineChars="500"/>
      <w:jc w:val="left"/>
    </w:pPr>
    <w:rPr>
      <w:rFonts w:ascii="宋体"/>
      <w:szCs w:val="21"/>
    </w:rPr>
  </w:style>
  <w:style w:type="paragraph" w:styleId="7">
    <w:name w:val="index 8"/>
    <w:basedOn w:val="1"/>
    <w:next w:val="1"/>
    <w:semiHidden/>
    <w:qFormat/>
    <w:uiPriority w:val="0"/>
    <w:pPr>
      <w:ind w:left="1680" w:hanging="210"/>
      <w:jc w:val="left"/>
    </w:pPr>
    <w:rPr>
      <w:rFonts w:ascii="Calibri" w:hAnsi="Calibri"/>
      <w:sz w:val="20"/>
      <w:szCs w:val="20"/>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index 5"/>
    <w:basedOn w:val="1"/>
    <w:next w:val="1"/>
    <w:semiHidden/>
    <w:qFormat/>
    <w:uiPriority w:val="0"/>
    <w:pPr>
      <w:ind w:left="1050" w:hanging="210"/>
      <w:jc w:val="left"/>
    </w:pPr>
    <w:rPr>
      <w:rFonts w:ascii="Calibri" w:hAnsi="Calibri"/>
      <w:sz w:val="20"/>
      <w:szCs w:val="20"/>
    </w:rPr>
  </w:style>
  <w:style w:type="paragraph" w:styleId="10">
    <w:name w:val="Document Map"/>
    <w:basedOn w:val="1"/>
    <w:semiHidden/>
    <w:qFormat/>
    <w:uiPriority w:val="0"/>
    <w:pPr>
      <w:shd w:val="clear" w:color="auto" w:fill="000080"/>
    </w:pPr>
  </w:style>
  <w:style w:type="paragraph" w:styleId="11">
    <w:name w:val="annotation text"/>
    <w:basedOn w:val="1"/>
    <w:link w:val="49"/>
    <w:semiHidden/>
    <w:qFormat/>
    <w:uiPriority w:val="0"/>
    <w:pPr>
      <w:jc w:val="left"/>
    </w:pPr>
    <w:rPr>
      <w:sz w:val="24"/>
      <w:szCs w:val="20"/>
    </w:rPr>
  </w:style>
  <w:style w:type="paragraph" w:styleId="12">
    <w:name w:val="index 6"/>
    <w:basedOn w:val="1"/>
    <w:next w:val="1"/>
    <w:semiHidden/>
    <w:qFormat/>
    <w:uiPriority w:val="0"/>
    <w:pPr>
      <w:ind w:left="1260" w:hanging="210"/>
      <w:jc w:val="left"/>
    </w:pPr>
    <w:rPr>
      <w:rFonts w:ascii="Calibri" w:hAnsi="Calibri"/>
      <w:sz w:val="20"/>
      <w:szCs w:val="20"/>
    </w:rPr>
  </w:style>
  <w:style w:type="paragraph" w:styleId="13">
    <w:name w:val="Body Text"/>
    <w:basedOn w:val="1"/>
    <w:qFormat/>
    <w:uiPriority w:val="0"/>
    <w:rPr>
      <w:rFonts w:eastAsia="'宋体"/>
    </w:rPr>
  </w:style>
  <w:style w:type="paragraph" w:styleId="14">
    <w:name w:val="Body Text Indent"/>
    <w:basedOn w:val="1"/>
    <w:link w:val="50"/>
    <w:qFormat/>
    <w:uiPriority w:val="0"/>
    <w:pPr>
      <w:ind w:firstLine="359" w:firstLineChars="171"/>
    </w:pPr>
    <w:rPr>
      <w:sz w:val="24"/>
      <w:szCs w:val="20"/>
    </w:rPr>
  </w:style>
  <w:style w:type="paragraph" w:styleId="15">
    <w:name w:val="index 4"/>
    <w:basedOn w:val="1"/>
    <w:next w:val="1"/>
    <w:semiHidden/>
    <w:qFormat/>
    <w:uiPriority w:val="0"/>
    <w:pPr>
      <w:ind w:left="840" w:hanging="210"/>
      <w:jc w:val="left"/>
    </w:pPr>
    <w:rPr>
      <w:rFonts w:ascii="Calibri" w:hAnsi="Calibri"/>
      <w:sz w:val="20"/>
      <w:szCs w:val="20"/>
    </w:rPr>
  </w:style>
  <w:style w:type="paragraph" w:styleId="16">
    <w:name w:val="toc 5"/>
    <w:basedOn w:val="1"/>
    <w:next w:val="1"/>
    <w:semiHidden/>
    <w:qFormat/>
    <w:uiPriority w:val="0"/>
    <w:pPr>
      <w:tabs>
        <w:tab w:val="right" w:leader="dot" w:pos="9241"/>
      </w:tabs>
      <w:ind w:firstLine="300" w:firstLineChars="300"/>
      <w:jc w:val="left"/>
    </w:pPr>
    <w:rPr>
      <w:rFonts w:ascii="宋体"/>
      <w:szCs w:val="21"/>
    </w:rPr>
  </w:style>
  <w:style w:type="paragraph" w:styleId="17">
    <w:name w:val="toc 3"/>
    <w:basedOn w:val="1"/>
    <w:next w:val="1"/>
    <w:semiHidden/>
    <w:qFormat/>
    <w:uiPriority w:val="0"/>
    <w:pPr>
      <w:tabs>
        <w:tab w:val="right" w:leader="dot" w:pos="9241"/>
      </w:tabs>
      <w:ind w:firstLine="100" w:firstLineChars="100"/>
      <w:jc w:val="left"/>
    </w:pPr>
    <w:rPr>
      <w:rFonts w:ascii="宋体"/>
      <w:szCs w:val="21"/>
    </w:rPr>
  </w:style>
  <w:style w:type="paragraph" w:styleId="18">
    <w:name w:val="toc 8"/>
    <w:basedOn w:val="1"/>
    <w:next w:val="1"/>
    <w:semiHidden/>
    <w:qFormat/>
    <w:uiPriority w:val="0"/>
    <w:pPr>
      <w:tabs>
        <w:tab w:val="right" w:leader="dot" w:pos="9241"/>
      </w:tabs>
      <w:ind w:firstLine="607" w:firstLineChars="600"/>
      <w:jc w:val="left"/>
    </w:pPr>
    <w:rPr>
      <w:rFonts w:ascii="宋体"/>
      <w:szCs w:val="21"/>
    </w:rPr>
  </w:style>
  <w:style w:type="paragraph" w:styleId="19">
    <w:name w:val="index 3"/>
    <w:basedOn w:val="1"/>
    <w:next w:val="1"/>
    <w:semiHidden/>
    <w:qFormat/>
    <w:uiPriority w:val="0"/>
    <w:pPr>
      <w:ind w:left="630" w:hanging="210"/>
      <w:jc w:val="left"/>
    </w:pPr>
    <w:rPr>
      <w:rFonts w:ascii="Calibri" w:hAnsi="Calibri"/>
      <w:sz w:val="20"/>
      <w:szCs w:val="20"/>
    </w:rPr>
  </w:style>
  <w:style w:type="paragraph" w:styleId="20">
    <w:name w:val="endnote text"/>
    <w:basedOn w:val="1"/>
    <w:semiHidden/>
    <w:qFormat/>
    <w:uiPriority w:val="0"/>
    <w:pPr>
      <w:snapToGrid w:val="0"/>
      <w:jc w:val="left"/>
    </w:pPr>
  </w:style>
  <w:style w:type="paragraph" w:styleId="21">
    <w:name w:val="Balloon Text"/>
    <w:basedOn w:val="1"/>
    <w:semiHidden/>
    <w:qFormat/>
    <w:uiPriority w:val="0"/>
    <w:rPr>
      <w:sz w:val="18"/>
      <w:szCs w:val="18"/>
    </w:rPr>
  </w:style>
  <w:style w:type="paragraph" w:styleId="22">
    <w:name w:val="footer"/>
    <w:basedOn w:val="1"/>
    <w:qFormat/>
    <w:uiPriority w:val="0"/>
    <w:pPr>
      <w:snapToGrid w:val="0"/>
      <w:ind w:right="210" w:rightChars="100"/>
      <w:jc w:val="right"/>
    </w:pPr>
    <w:rPr>
      <w:sz w:val="18"/>
      <w:szCs w:val="18"/>
    </w:rPr>
  </w:style>
  <w:style w:type="paragraph" w:styleId="23">
    <w:name w:val="header"/>
    <w:basedOn w:val="1"/>
    <w:qFormat/>
    <w:uiPriority w:val="0"/>
    <w:pPr>
      <w:snapToGrid w:val="0"/>
      <w:jc w:val="left"/>
    </w:pPr>
    <w:rPr>
      <w:sz w:val="18"/>
      <w:szCs w:val="18"/>
    </w:rPr>
  </w:style>
  <w:style w:type="paragraph" w:styleId="24">
    <w:name w:val="toc 1"/>
    <w:basedOn w:val="1"/>
    <w:next w:val="1"/>
    <w:semiHidden/>
    <w:qFormat/>
    <w:uiPriority w:val="0"/>
    <w:pPr>
      <w:tabs>
        <w:tab w:val="right" w:leader="dot" w:pos="9242"/>
      </w:tabs>
      <w:spacing w:beforeLines="25" w:afterLines="25"/>
      <w:jc w:val="left"/>
    </w:pPr>
    <w:rPr>
      <w:rFonts w:ascii="宋体"/>
      <w:szCs w:val="21"/>
    </w:rPr>
  </w:style>
  <w:style w:type="paragraph" w:styleId="25">
    <w:name w:val="toc 4"/>
    <w:basedOn w:val="1"/>
    <w:next w:val="1"/>
    <w:semiHidden/>
    <w:qFormat/>
    <w:uiPriority w:val="0"/>
    <w:pPr>
      <w:tabs>
        <w:tab w:val="right" w:leader="dot" w:pos="9241"/>
      </w:tabs>
      <w:ind w:firstLine="200" w:firstLineChars="200"/>
      <w:jc w:val="left"/>
    </w:pPr>
    <w:rPr>
      <w:rFonts w:ascii="宋体"/>
      <w:szCs w:val="21"/>
    </w:rPr>
  </w:style>
  <w:style w:type="paragraph" w:styleId="26">
    <w:name w:val="index heading"/>
    <w:basedOn w:val="1"/>
    <w:next w:val="27"/>
    <w:semiHidden/>
    <w:qFormat/>
    <w:uiPriority w:val="0"/>
    <w:pPr>
      <w:spacing w:before="120" w:after="120"/>
      <w:jc w:val="center"/>
    </w:pPr>
    <w:rPr>
      <w:rFonts w:ascii="Calibri" w:hAnsi="Calibri"/>
      <w:b/>
      <w:bCs/>
      <w:iCs/>
      <w:szCs w:val="20"/>
    </w:rPr>
  </w:style>
  <w:style w:type="paragraph" w:styleId="27">
    <w:name w:val="index 1"/>
    <w:basedOn w:val="1"/>
    <w:next w:val="28"/>
    <w:semiHidden/>
    <w:qFormat/>
    <w:uiPriority w:val="0"/>
    <w:pPr>
      <w:tabs>
        <w:tab w:val="right" w:leader="dot" w:pos="9299"/>
      </w:tabs>
      <w:jc w:val="left"/>
    </w:pPr>
    <w:rPr>
      <w:rFonts w:ascii="宋体"/>
      <w:szCs w:val="21"/>
    </w:rPr>
  </w:style>
  <w:style w:type="paragraph" w:customStyle="1" w:styleId="28">
    <w:name w:val="段"/>
    <w:link w:val="5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9">
    <w:name w:val="footnote text"/>
    <w:basedOn w:val="1"/>
    <w:semiHidden/>
    <w:qFormat/>
    <w:uiPriority w:val="0"/>
    <w:pPr>
      <w:numPr>
        <w:ilvl w:val="0"/>
        <w:numId w:val="3"/>
      </w:numPr>
      <w:snapToGrid w:val="0"/>
      <w:jc w:val="left"/>
    </w:pPr>
    <w:rPr>
      <w:rFonts w:ascii="宋体"/>
      <w:sz w:val="18"/>
      <w:szCs w:val="18"/>
    </w:rPr>
  </w:style>
  <w:style w:type="paragraph" w:styleId="30">
    <w:name w:val="toc 6"/>
    <w:basedOn w:val="1"/>
    <w:next w:val="1"/>
    <w:semiHidden/>
    <w:qFormat/>
    <w:uiPriority w:val="0"/>
    <w:pPr>
      <w:tabs>
        <w:tab w:val="right" w:leader="dot" w:pos="9241"/>
      </w:tabs>
      <w:ind w:firstLine="400" w:firstLineChars="400"/>
      <w:jc w:val="left"/>
    </w:pPr>
    <w:rPr>
      <w:rFonts w:ascii="宋体"/>
      <w:szCs w:val="21"/>
    </w:rPr>
  </w:style>
  <w:style w:type="paragraph" w:styleId="31">
    <w:name w:val="index 7"/>
    <w:basedOn w:val="1"/>
    <w:next w:val="1"/>
    <w:semiHidden/>
    <w:qFormat/>
    <w:uiPriority w:val="0"/>
    <w:pPr>
      <w:ind w:left="1470" w:hanging="210"/>
      <w:jc w:val="left"/>
    </w:pPr>
    <w:rPr>
      <w:rFonts w:ascii="Calibri" w:hAnsi="Calibri"/>
      <w:sz w:val="20"/>
      <w:szCs w:val="20"/>
    </w:rPr>
  </w:style>
  <w:style w:type="paragraph" w:styleId="32">
    <w:name w:val="index 9"/>
    <w:basedOn w:val="1"/>
    <w:next w:val="1"/>
    <w:semiHidden/>
    <w:qFormat/>
    <w:uiPriority w:val="0"/>
    <w:pPr>
      <w:ind w:left="1890" w:hanging="210"/>
      <w:jc w:val="left"/>
    </w:pPr>
    <w:rPr>
      <w:rFonts w:ascii="Calibri" w:hAnsi="Calibri"/>
      <w:sz w:val="20"/>
      <w:szCs w:val="20"/>
    </w:rPr>
  </w:style>
  <w:style w:type="paragraph" w:styleId="33">
    <w:name w:val="toc 2"/>
    <w:basedOn w:val="1"/>
    <w:next w:val="1"/>
    <w:semiHidden/>
    <w:qFormat/>
    <w:uiPriority w:val="0"/>
    <w:pPr>
      <w:tabs>
        <w:tab w:val="right" w:leader="dot" w:pos="9242"/>
      </w:tabs>
    </w:pPr>
    <w:rPr>
      <w:rFonts w:ascii="宋体"/>
      <w:szCs w:val="21"/>
    </w:rPr>
  </w:style>
  <w:style w:type="paragraph" w:styleId="34">
    <w:name w:val="toc 9"/>
    <w:basedOn w:val="1"/>
    <w:next w:val="1"/>
    <w:semiHidden/>
    <w:qFormat/>
    <w:uiPriority w:val="0"/>
    <w:pPr>
      <w:ind w:left="1470"/>
      <w:jc w:val="left"/>
    </w:pPr>
    <w:rPr>
      <w:sz w:val="20"/>
      <w:szCs w:val="20"/>
    </w:rPr>
  </w:style>
  <w:style w:type="paragraph" w:styleId="35">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36">
    <w:name w:val="index 2"/>
    <w:basedOn w:val="1"/>
    <w:next w:val="1"/>
    <w:semiHidden/>
    <w:qFormat/>
    <w:uiPriority w:val="0"/>
    <w:pPr>
      <w:ind w:left="420" w:hanging="210"/>
      <w:jc w:val="left"/>
    </w:pPr>
    <w:rPr>
      <w:rFonts w:ascii="Calibri" w:hAnsi="Calibri"/>
      <w:sz w:val="20"/>
      <w:szCs w:val="20"/>
    </w:rPr>
  </w:style>
  <w:style w:type="paragraph" w:styleId="37">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paragraph" w:styleId="38">
    <w:name w:val="annotation subject"/>
    <w:basedOn w:val="11"/>
    <w:next w:val="11"/>
    <w:link w:val="52"/>
    <w:semiHidden/>
    <w:qFormat/>
    <w:uiPriority w:val="0"/>
    <w:rPr>
      <w:b/>
    </w:rPr>
  </w:style>
  <w:style w:type="table" w:styleId="40">
    <w:name w:val="Table Grid"/>
    <w:basedOn w:val="39"/>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2">
    <w:name w:val="endnote reference"/>
    <w:semiHidden/>
    <w:qFormat/>
    <w:uiPriority w:val="0"/>
    <w:rPr>
      <w:vertAlign w:val="superscript"/>
    </w:rPr>
  </w:style>
  <w:style w:type="character" w:styleId="43">
    <w:name w:val="page number"/>
    <w:qFormat/>
    <w:uiPriority w:val="0"/>
    <w:rPr>
      <w:rFonts w:ascii="Times New Roman" w:hAnsi="Times New Roman" w:eastAsia="宋体"/>
      <w:sz w:val="18"/>
    </w:rPr>
  </w:style>
  <w:style w:type="character" w:styleId="44">
    <w:name w:val="FollowedHyperlink"/>
    <w:qFormat/>
    <w:uiPriority w:val="0"/>
    <w:rPr>
      <w:color w:val="800080"/>
      <w:u w:val="single"/>
    </w:rPr>
  </w:style>
  <w:style w:type="character" w:styleId="45">
    <w:name w:val="Emphasis"/>
    <w:qFormat/>
    <w:uiPriority w:val="20"/>
    <w:rPr>
      <w:i/>
      <w:iCs/>
    </w:rPr>
  </w:style>
  <w:style w:type="character" w:styleId="46">
    <w:name w:val="Hyperlink"/>
    <w:qFormat/>
    <w:uiPriority w:val="0"/>
    <w:rPr>
      <w:color w:val="0000FF"/>
      <w:spacing w:val="0"/>
      <w:w w:val="100"/>
      <w:sz w:val="21"/>
      <w:u w:val="single"/>
    </w:rPr>
  </w:style>
  <w:style w:type="character" w:styleId="47">
    <w:name w:val="annotation reference"/>
    <w:semiHidden/>
    <w:qFormat/>
    <w:uiPriority w:val="0"/>
    <w:rPr>
      <w:sz w:val="21"/>
    </w:rPr>
  </w:style>
  <w:style w:type="character" w:styleId="48">
    <w:name w:val="footnote reference"/>
    <w:semiHidden/>
    <w:qFormat/>
    <w:uiPriority w:val="0"/>
    <w:rPr>
      <w:vertAlign w:val="superscript"/>
    </w:rPr>
  </w:style>
  <w:style w:type="character" w:customStyle="1" w:styleId="49">
    <w:name w:val="批注文字 字符"/>
    <w:link w:val="11"/>
    <w:qFormat/>
    <w:uiPriority w:val="0"/>
    <w:rPr>
      <w:kern w:val="2"/>
      <w:sz w:val="24"/>
    </w:rPr>
  </w:style>
  <w:style w:type="character" w:customStyle="1" w:styleId="50">
    <w:name w:val="正文文本缩进 字符"/>
    <w:link w:val="14"/>
    <w:qFormat/>
    <w:uiPriority w:val="0"/>
    <w:rPr>
      <w:kern w:val="2"/>
      <w:sz w:val="24"/>
    </w:rPr>
  </w:style>
  <w:style w:type="character" w:customStyle="1" w:styleId="51">
    <w:name w:val="段 Char"/>
    <w:link w:val="28"/>
    <w:qFormat/>
    <w:uiPriority w:val="0"/>
    <w:rPr>
      <w:rFonts w:ascii="宋体"/>
      <w:sz w:val="21"/>
      <w:lang w:val="en-US" w:eastAsia="zh-CN" w:bidi="ar-SA"/>
    </w:rPr>
  </w:style>
  <w:style w:type="character" w:customStyle="1" w:styleId="52">
    <w:name w:val="批注主题 字符"/>
    <w:link w:val="38"/>
    <w:qFormat/>
    <w:uiPriority w:val="0"/>
    <w:rPr>
      <w:b/>
      <w:kern w:val="2"/>
      <w:sz w:val="24"/>
    </w:rPr>
  </w:style>
  <w:style w:type="character" w:customStyle="1" w:styleId="53">
    <w:name w:val="一级条标题 Char"/>
    <w:link w:val="54"/>
    <w:qFormat/>
    <w:uiPriority w:val="0"/>
    <w:rPr>
      <w:rFonts w:ascii="黑体" w:eastAsia="黑体"/>
      <w:sz w:val="21"/>
      <w:szCs w:val="21"/>
      <w:lang w:bidi="ar-SA"/>
    </w:rPr>
  </w:style>
  <w:style w:type="paragraph" w:customStyle="1" w:styleId="54">
    <w:name w:val="一级条标题"/>
    <w:next w:val="28"/>
    <w:link w:val="53"/>
    <w:qFormat/>
    <w:uiPriority w:val="0"/>
    <w:pPr>
      <w:numPr>
        <w:ilvl w:val="1"/>
        <w:numId w:val="4"/>
      </w:numPr>
      <w:spacing w:beforeLines="50" w:afterLines="50"/>
      <w:outlineLvl w:val="2"/>
    </w:pPr>
    <w:rPr>
      <w:rFonts w:ascii="黑体" w:hAnsi="Times New Roman" w:eastAsia="黑体" w:cs="Times New Roman"/>
      <w:sz w:val="21"/>
      <w:szCs w:val="21"/>
      <w:lang w:val="en-US" w:eastAsia="zh-CN" w:bidi="ar-SA"/>
    </w:rPr>
  </w:style>
  <w:style w:type="character" w:customStyle="1" w:styleId="55">
    <w:name w:val="二级条标题 Char"/>
    <w:link w:val="56"/>
    <w:qFormat/>
    <w:uiPriority w:val="0"/>
    <w:rPr>
      <w:rFonts w:ascii="黑体" w:eastAsia="黑体"/>
      <w:sz w:val="21"/>
      <w:szCs w:val="21"/>
    </w:rPr>
  </w:style>
  <w:style w:type="paragraph" w:customStyle="1" w:styleId="56">
    <w:name w:val="二级条标题"/>
    <w:basedOn w:val="54"/>
    <w:next w:val="28"/>
    <w:link w:val="55"/>
    <w:qFormat/>
    <w:uiPriority w:val="0"/>
    <w:pPr>
      <w:numPr>
        <w:ilvl w:val="2"/>
      </w:numPr>
      <w:spacing w:before="50" w:after="50"/>
      <w:outlineLvl w:val="3"/>
    </w:pPr>
  </w:style>
  <w:style w:type="character" w:customStyle="1" w:styleId="57">
    <w:name w:val="二级无 Char"/>
    <w:link w:val="58"/>
    <w:qFormat/>
    <w:uiPriority w:val="0"/>
    <w:rPr>
      <w:rFonts w:ascii="宋体"/>
      <w:sz w:val="21"/>
      <w:szCs w:val="21"/>
    </w:rPr>
  </w:style>
  <w:style w:type="paragraph" w:customStyle="1" w:styleId="58">
    <w:name w:val="二级无"/>
    <w:basedOn w:val="56"/>
    <w:link w:val="57"/>
    <w:qFormat/>
    <w:uiPriority w:val="0"/>
    <w:pPr>
      <w:spacing w:beforeLines="0" w:afterLines="0"/>
    </w:pPr>
    <w:rPr>
      <w:rFonts w:ascii="宋体" w:eastAsia="宋体"/>
    </w:rPr>
  </w:style>
  <w:style w:type="character" w:customStyle="1" w:styleId="59">
    <w:name w:val="发布"/>
    <w:qFormat/>
    <w:uiPriority w:val="0"/>
    <w:rPr>
      <w:rFonts w:ascii="黑体" w:eastAsia="黑体"/>
      <w:spacing w:val="85"/>
      <w:w w:val="100"/>
      <w:position w:val="3"/>
      <w:sz w:val="28"/>
    </w:rPr>
  </w:style>
  <w:style w:type="character" w:customStyle="1" w:styleId="60">
    <w:name w:val="附录公式 Char"/>
    <w:link w:val="61"/>
    <w:qFormat/>
    <w:uiPriority w:val="0"/>
    <w:rPr>
      <w:rFonts w:ascii="宋体"/>
      <w:sz w:val="21"/>
      <w:lang w:val="en-US" w:eastAsia="zh-CN"/>
    </w:rPr>
  </w:style>
  <w:style w:type="paragraph" w:customStyle="1" w:styleId="61">
    <w:name w:val="附录公式"/>
    <w:basedOn w:val="28"/>
    <w:next w:val="28"/>
    <w:link w:val="60"/>
    <w:qFormat/>
    <w:uiPriority w:val="0"/>
  </w:style>
  <w:style w:type="character" w:customStyle="1" w:styleId="62">
    <w:name w:val="首示例 Char"/>
    <w:link w:val="63"/>
    <w:qFormat/>
    <w:uiPriority w:val="0"/>
    <w:rPr>
      <w:rFonts w:ascii="宋体"/>
      <w:kern w:val="2"/>
      <w:sz w:val="18"/>
      <w:lang w:bidi="ar-SA"/>
    </w:rPr>
  </w:style>
  <w:style w:type="paragraph" w:customStyle="1" w:styleId="63">
    <w:name w:val="首示例"/>
    <w:next w:val="28"/>
    <w:link w:val="62"/>
    <w:qFormat/>
    <w:uiPriority w:val="0"/>
    <w:pPr>
      <w:tabs>
        <w:tab w:val="left" w:pos="360"/>
      </w:tabs>
    </w:pPr>
    <w:rPr>
      <w:rFonts w:ascii="宋体" w:hAnsi="Times New Roman" w:eastAsia="宋体" w:cs="Times New Roman"/>
      <w:kern w:val="2"/>
      <w:sz w:val="18"/>
      <w:lang w:val="en-US" w:eastAsia="zh-CN" w:bidi="ar-SA"/>
    </w:rPr>
  </w:style>
  <w:style w:type="character" w:customStyle="1" w:styleId="64">
    <w:name w:val="段 Char Char"/>
    <w:qFormat/>
    <w:uiPriority w:val="0"/>
    <w:rPr>
      <w:rFonts w:ascii="宋体"/>
      <w:sz w:val="21"/>
      <w:lang w:val="en-US" w:eastAsia="zh-CN" w:bidi="ar-SA"/>
    </w:rPr>
  </w:style>
  <w:style w:type="character" w:customStyle="1" w:styleId="65">
    <w:name w:val="正文文本缩进 Char"/>
    <w:qFormat/>
    <w:uiPriority w:val="0"/>
    <w:rPr>
      <w:kern w:val="2"/>
      <w:sz w:val="21"/>
      <w:szCs w:val="24"/>
    </w:rPr>
  </w:style>
  <w:style w:type="character" w:customStyle="1" w:styleId="66">
    <w:name w:val="apple-converted-space"/>
    <w:basedOn w:val="41"/>
    <w:qFormat/>
    <w:uiPriority w:val="0"/>
  </w:style>
  <w:style w:type="character" w:customStyle="1" w:styleId="67">
    <w:name w:val="ordinary-span-edit2"/>
    <w:basedOn w:val="41"/>
    <w:qFormat/>
    <w:uiPriority w:val="0"/>
  </w:style>
  <w:style w:type="character" w:customStyle="1" w:styleId="68">
    <w:name w:val="high-light-bg4"/>
    <w:basedOn w:val="41"/>
    <w:qFormat/>
    <w:uiPriority w:val="0"/>
  </w:style>
  <w:style w:type="paragraph" w:customStyle="1" w:styleId="69">
    <w:name w:val="示例×："/>
    <w:basedOn w:val="70"/>
    <w:qFormat/>
    <w:uiPriority w:val="0"/>
    <w:pPr>
      <w:numPr>
        <w:numId w:val="0"/>
      </w:numPr>
      <w:spacing w:beforeLines="0" w:afterLines="0"/>
      <w:ind w:firstLine="363"/>
      <w:outlineLvl w:val="9"/>
    </w:pPr>
    <w:rPr>
      <w:rFonts w:ascii="宋体" w:eastAsia="宋体"/>
      <w:sz w:val="18"/>
      <w:szCs w:val="18"/>
    </w:rPr>
  </w:style>
  <w:style w:type="paragraph" w:customStyle="1" w:styleId="70">
    <w:name w:val="章标题"/>
    <w:next w:val="28"/>
    <w:qFormat/>
    <w:uiPriority w:val="0"/>
    <w:pPr>
      <w:numPr>
        <w:ilvl w:val="0"/>
        <w:numId w:val="4"/>
      </w:numPr>
      <w:spacing w:beforeLines="100" w:afterLines="100"/>
      <w:jc w:val="both"/>
      <w:outlineLvl w:val="1"/>
    </w:pPr>
    <w:rPr>
      <w:rFonts w:ascii="黑体" w:hAnsi="Times New Roman" w:eastAsia="黑体" w:cs="Times New Roman"/>
      <w:sz w:val="21"/>
      <w:lang w:val="en-US" w:eastAsia="zh-CN" w:bidi="ar-SA"/>
    </w:rPr>
  </w:style>
  <w:style w:type="paragraph" w:customStyle="1" w:styleId="71">
    <w:name w:val="列项◆（三级）"/>
    <w:basedOn w:val="1"/>
    <w:qFormat/>
    <w:uiPriority w:val="0"/>
    <w:pPr>
      <w:numPr>
        <w:ilvl w:val="2"/>
        <w:numId w:val="5"/>
      </w:numPr>
      <w:tabs>
        <w:tab w:val="left" w:pos="1678"/>
        <w:tab w:val="clear" w:pos="1679"/>
      </w:tabs>
      <w:ind w:left="1678"/>
    </w:pPr>
    <w:rPr>
      <w:rFonts w:ascii="宋体"/>
      <w:szCs w:val="21"/>
    </w:rPr>
  </w:style>
  <w:style w:type="paragraph" w:customStyle="1" w:styleId="72">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73">
    <w:name w:val="列项●（二级）"/>
    <w:qFormat/>
    <w:uiPriority w:val="0"/>
    <w:pPr>
      <w:numPr>
        <w:ilvl w:val="1"/>
        <w:numId w:val="5"/>
      </w:numPr>
      <w:tabs>
        <w:tab w:val="left" w:pos="840"/>
      </w:tabs>
      <w:jc w:val="both"/>
    </w:pPr>
    <w:rPr>
      <w:rFonts w:ascii="宋体" w:hAnsi="Times New Roman" w:eastAsia="宋体" w:cs="Times New Roman"/>
      <w:sz w:val="21"/>
      <w:lang w:val="en-US" w:eastAsia="zh-CN" w:bidi="ar-SA"/>
    </w:rPr>
  </w:style>
  <w:style w:type="paragraph" w:customStyle="1" w:styleId="74">
    <w:name w:val="参考文献"/>
    <w:basedOn w:val="1"/>
    <w:next w:val="28"/>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75">
    <w:name w:val="标准书眉_偶数页"/>
    <w:basedOn w:val="76"/>
    <w:next w:val="1"/>
    <w:qFormat/>
    <w:uiPriority w:val="0"/>
    <w:pPr>
      <w:tabs>
        <w:tab w:val="center" w:pos="4154"/>
        <w:tab w:val="right" w:pos="8306"/>
      </w:tabs>
      <w:jc w:val="left"/>
    </w:pPr>
  </w:style>
  <w:style w:type="paragraph" w:customStyle="1" w:styleId="76">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77">
    <w:name w:val="字母编号列项（一级）"/>
    <w:qFormat/>
    <w:uiPriority w:val="0"/>
    <w:pPr>
      <w:numPr>
        <w:ilvl w:val="0"/>
        <w:numId w:val="6"/>
      </w:numPr>
      <w:jc w:val="both"/>
    </w:pPr>
    <w:rPr>
      <w:rFonts w:ascii="宋体" w:hAnsi="Times New Roman" w:eastAsia="宋体" w:cs="Times New Roman"/>
      <w:sz w:val="21"/>
      <w:lang w:val="en-US" w:eastAsia="zh-CN" w:bidi="ar-SA"/>
    </w:rPr>
  </w:style>
  <w:style w:type="paragraph" w:customStyle="1" w:styleId="78">
    <w:name w:val="注："/>
    <w:next w:val="28"/>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79">
    <w:name w:val="封面标准文稿编辑信息"/>
    <w:basedOn w:val="80"/>
    <w:qFormat/>
    <w:uiPriority w:val="0"/>
    <w:pPr>
      <w:framePr w:wrap="around"/>
      <w:spacing w:before="180" w:line="180" w:lineRule="exact"/>
    </w:pPr>
    <w:rPr>
      <w:sz w:val="21"/>
    </w:rPr>
  </w:style>
  <w:style w:type="paragraph" w:customStyle="1" w:styleId="80">
    <w:name w:val="封面标准文稿类别"/>
    <w:basedOn w:val="81"/>
    <w:qFormat/>
    <w:uiPriority w:val="0"/>
    <w:pPr>
      <w:framePr w:wrap="around"/>
      <w:spacing w:after="160" w:line="240" w:lineRule="auto"/>
    </w:pPr>
    <w:rPr>
      <w:sz w:val="24"/>
    </w:rPr>
  </w:style>
  <w:style w:type="paragraph" w:customStyle="1" w:styleId="81">
    <w:name w:val="封面一致性程度标识"/>
    <w:basedOn w:val="82"/>
    <w:qFormat/>
    <w:uiPriority w:val="0"/>
    <w:pPr>
      <w:framePr w:wrap="around"/>
      <w:spacing w:before="440"/>
    </w:pPr>
    <w:rPr>
      <w:rFonts w:ascii="宋体" w:eastAsia="宋体"/>
    </w:rPr>
  </w:style>
  <w:style w:type="paragraph" w:customStyle="1" w:styleId="82">
    <w:name w:val="封面标准英文名称"/>
    <w:basedOn w:val="83"/>
    <w:qFormat/>
    <w:uiPriority w:val="0"/>
    <w:pPr>
      <w:framePr w:wrap="around"/>
      <w:spacing w:before="370" w:line="400" w:lineRule="exact"/>
    </w:pPr>
    <w:rPr>
      <w:rFonts w:ascii="Times New Roman"/>
      <w:sz w:val="28"/>
      <w:szCs w:val="28"/>
    </w:rPr>
  </w:style>
  <w:style w:type="paragraph" w:customStyle="1" w:styleId="83">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4">
    <w:name w:val="列项——（一级）"/>
    <w:qFormat/>
    <w:uiPriority w:val="0"/>
    <w:pPr>
      <w:widowControl w:val="0"/>
      <w:numPr>
        <w:ilvl w:val="0"/>
        <w:numId w:val="5"/>
      </w:numPr>
      <w:jc w:val="both"/>
    </w:pPr>
    <w:rPr>
      <w:rFonts w:ascii="宋体" w:hAnsi="Times New Roman" w:eastAsia="宋体" w:cs="Times New Roman"/>
      <w:sz w:val="21"/>
      <w:lang w:val="en-US" w:eastAsia="zh-CN" w:bidi="ar-SA"/>
    </w:rPr>
  </w:style>
  <w:style w:type="paragraph" w:customStyle="1" w:styleId="85">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86">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87">
    <w:name w:val="编号列项（三级）"/>
    <w:qFormat/>
    <w:uiPriority w:val="0"/>
    <w:pPr>
      <w:numPr>
        <w:ilvl w:val="2"/>
        <w:numId w:val="6"/>
      </w:numPr>
    </w:pPr>
    <w:rPr>
      <w:rFonts w:ascii="宋体" w:hAnsi="Times New Roman" w:eastAsia="宋体" w:cs="Times New Roman"/>
      <w:sz w:val="21"/>
      <w:lang w:val="en-US" w:eastAsia="zh-CN" w:bidi="ar-SA"/>
    </w:rPr>
  </w:style>
  <w:style w:type="paragraph" w:customStyle="1" w:styleId="88">
    <w:name w:val="目次、标准名称标题"/>
    <w:basedOn w:val="1"/>
    <w:next w:val="28"/>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89">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240" w:lineRule="atLeast"/>
      <w:jc w:val="distribute"/>
    </w:pPr>
    <w:rPr>
      <w:rFonts w:ascii="宋体" w:hAnsi="Times New Roman" w:eastAsia="宋体" w:cs="Times New Roman"/>
      <w:b/>
      <w:bCs/>
      <w:spacing w:val="20"/>
      <w:w w:val="148"/>
      <w:sz w:val="48"/>
      <w:lang w:val="en-US" w:eastAsia="zh-CN" w:bidi="ar-SA"/>
    </w:rPr>
  </w:style>
  <w:style w:type="paragraph" w:customStyle="1" w:styleId="90">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91">
    <w:name w:val="注×："/>
    <w:qFormat/>
    <w:uiPriority w:val="0"/>
    <w:pPr>
      <w:widowControl w:val="0"/>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92">
    <w:name w:val="三级条标题"/>
    <w:basedOn w:val="56"/>
    <w:next w:val="28"/>
    <w:qFormat/>
    <w:uiPriority w:val="0"/>
    <w:pPr>
      <w:numPr>
        <w:ilvl w:val="3"/>
      </w:numPr>
      <w:outlineLvl w:val="4"/>
    </w:pPr>
  </w:style>
  <w:style w:type="paragraph" w:customStyle="1" w:styleId="93">
    <w:name w:val="五级条标题"/>
    <w:basedOn w:val="94"/>
    <w:next w:val="28"/>
    <w:qFormat/>
    <w:uiPriority w:val="0"/>
    <w:pPr>
      <w:numPr>
        <w:ilvl w:val="5"/>
      </w:numPr>
      <w:outlineLvl w:val="6"/>
    </w:pPr>
  </w:style>
  <w:style w:type="paragraph" w:customStyle="1" w:styleId="94">
    <w:name w:val="四级条标题"/>
    <w:basedOn w:val="92"/>
    <w:next w:val="28"/>
    <w:qFormat/>
    <w:uiPriority w:val="0"/>
    <w:pPr>
      <w:numPr>
        <w:ilvl w:val="4"/>
      </w:numPr>
      <w:outlineLvl w:val="5"/>
    </w:pPr>
  </w:style>
  <w:style w:type="paragraph" w:customStyle="1" w:styleId="95">
    <w:name w:val="数字编号列项（二级）"/>
    <w:qFormat/>
    <w:uiPriority w:val="0"/>
    <w:pPr>
      <w:numPr>
        <w:ilvl w:val="1"/>
        <w:numId w:val="6"/>
      </w:numPr>
      <w:jc w:val="both"/>
    </w:pPr>
    <w:rPr>
      <w:rFonts w:ascii="宋体" w:hAnsi="Times New Roman" w:eastAsia="宋体" w:cs="Times New Roman"/>
      <w:sz w:val="21"/>
      <w:lang w:val="en-US" w:eastAsia="zh-CN" w:bidi="ar-SA"/>
    </w:rPr>
  </w:style>
  <w:style w:type="paragraph" w:customStyle="1" w:styleId="96">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97">
    <w:name w:val="示例"/>
    <w:next w:val="72"/>
    <w:qFormat/>
    <w:uiPriority w:val="0"/>
    <w:pPr>
      <w:widowControl w:val="0"/>
      <w:ind w:firstLine="363"/>
      <w:jc w:val="both"/>
    </w:pPr>
    <w:rPr>
      <w:rFonts w:ascii="宋体" w:hAnsi="Times New Roman" w:eastAsia="宋体" w:cs="Times New Roman"/>
      <w:sz w:val="18"/>
      <w:szCs w:val="18"/>
      <w:lang w:val="en-US" w:eastAsia="zh-CN" w:bidi="ar-SA"/>
    </w:rPr>
  </w:style>
  <w:style w:type="paragraph" w:customStyle="1" w:styleId="98">
    <w:name w:val="修订1"/>
    <w:semiHidden/>
    <w:qFormat/>
    <w:uiPriority w:val="0"/>
    <w:rPr>
      <w:rFonts w:ascii="Times New Roman" w:hAnsi="Times New Roman" w:eastAsia="宋体" w:cs="Times New Roman"/>
      <w:kern w:val="2"/>
      <w:sz w:val="21"/>
      <w:szCs w:val="24"/>
      <w:lang w:val="en-US" w:eastAsia="zh-CN" w:bidi="ar-SA"/>
    </w:rPr>
  </w:style>
  <w:style w:type="paragraph" w:customStyle="1" w:styleId="99">
    <w:name w:val="其他标准称谓"/>
    <w:next w:val="1"/>
    <w:qFormat/>
    <w:uiPriority w:val="0"/>
    <w:pPr>
      <w:framePr w:hSpace="181" w:vSpace="181" w:wrap="around" w:vAnchor="page" w:hAnchor="page" w:x="1419" w:y="2286" w:anchorLock="1"/>
      <w:spacing w:line="240" w:lineRule="atLeast"/>
      <w:jc w:val="distribute"/>
    </w:pPr>
    <w:rPr>
      <w:rFonts w:ascii="黑体" w:hAnsi="宋体" w:eastAsia="黑体" w:cs="Times New Roman"/>
      <w:spacing w:val="-40"/>
      <w:sz w:val="48"/>
      <w:szCs w:val="52"/>
      <w:lang w:val="en-US" w:eastAsia="zh-CN" w:bidi="ar-SA"/>
    </w:rPr>
  </w:style>
  <w:style w:type="paragraph" w:customStyle="1" w:styleId="100">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01">
    <w:name w:val="注：（正文）"/>
    <w:basedOn w:val="78"/>
    <w:next w:val="28"/>
    <w:qFormat/>
    <w:uiPriority w:val="0"/>
  </w:style>
  <w:style w:type="paragraph" w:customStyle="1" w:styleId="102">
    <w:name w:val="注×：（正文）"/>
    <w:qFormat/>
    <w:uiPriority w:val="0"/>
    <w:pPr>
      <w:numPr>
        <w:ilvl w:val="0"/>
        <w:numId w:val="7"/>
      </w:numPr>
      <w:jc w:val="both"/>
    </w:pPr>
    <w:rPr>
      <w:rFonts w:ascii="宋体" w:hAnsi="Times New Roman" w:eastAsia="宋体" w:cs="Times New Roman"/>
      <w:sz w:val="18"/>
      <w:szCs w:val="18"/>
      <w:lang w:val="en-US" w:eastAsia="zh-CN" w:bidi="ar-SA"/>
    </w:rPr>
  </w:style>
  <w:style w:type="paragraph" w:customStyle="1" w:styleId="103">
    <w:name w:val="标准标志"/>
    <w:next w:val="1"/>
    <w:qFormat/>
    <w:uiPriority w:val="0"/>
    <w:pPr>
      <w:framePr w:w="2546" w:h="1389" w:hRule="exact" w:hSpace="181" w:vSpace="181" w:wrap="around" w:vAnchor="margin" w:hAnchor="margin" w:x="6522" w:y="398" w:anchorLock="1"/>
      <w:shd w:val="solid" w:color="FFFFFF" w:fill="FFFFFF"/>
      <w:spacing w:line="240" w:lineRule="atLeast"/>
      <w:jc w:val="right"/>
    </w:pPr>
    <w:rPr>
      <w:rFonts w:ascii="Times New Roman" w:hAnsi="Times New Roman" w:eastAsia="宋体" w:cs="Times New Roman"/>
      <w:b/>
      <w:w w:val="170"/>
      <w:sz w:val="96"/>
      <w:szCs w:val="96"/>
      <w:lang w:val="en-US" w:eastAsia="zh-CN" w:bidi="ar-SA"/>
    </w:rPr>
  </w:style>
  <w:style w:type="paragraph" w:customStyle="1" w:styleId="104">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105">
    <w:name w:val="标准书眉一"/>
    <w:qFormat/>
    <w:uiPriority w:val="0"/>
    <w:pPr>
      <w:jc w:val="both"/>
    </w:pPr>
    <w:rPr>
      <w:rFonts w:ascii="Times New Roman" w:hAnsi="Times New Roman" w:eastAsia="宋体" w:cs="Times New Roman"/>
      <w:lang w:val="en-US" w:eastAsia="zh-CN" w:bidi="ar-SA"/>
    </w:rPr>
  </w:style>
  <w:style w:type="paragraph" w:customStyle="1" w:styleId="106">
    <w:name w:val="参考文献、索引标题"/>
    <w:basedOn w:val="1"/>
    <w:next w:val="28"/>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07">
    <w:name w:val="发布部门"/>
    <w:next w:val="28"/>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08">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09">
    <w:name w:val="封面正文"/>
    <w:qFormat/>
    <w:uiPriority w:val="0"/>
    <w:pPr>
      <w:jc w:val="both"/>
    </w:pPr>
    <w:rPr>
      <w:rFonts w:ascii="Times New Roman" w:hAnsi="Times New Roman" w:eastAsia="宋体" w:cs="Times New Roman"/>
      <w:lang w:val="en-US" w:eastAsia="zh-CN" w:bidi="ar-SA"/>
    </w:rPr>
  </w:style>
  <w:style w:type="paragraph" w:customStyle="1" w:styleId="110">
    <w:name w:val="封面标准英文名称2"/>
    <w:basedOn w:val="82"/>
    <w:qFormat/>
    <w:uiPriority w:val="0"/>
    <w:pPr>
      <w:framePr w:wrap="around" w:y="4469"/>
    </w:pPr>
  </w:style>
  <w:style w:type="paragraph" w:customStyle="1" w:styleId="111">
    <w:name w:val="前言、引言标题"/>
    <w:next w:val="28"/>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12">
    <w:name w:val="附录标识"/>
    <w:basedOn w:val="1"/>
    <w:next w:val="28"/>
    <w:qFormat/>
    <w:uiPriority w:val="0"/>
    <w:pPr>
      <w:keepNext/>
      <w:widowControl/>
      <w:numPr>
        <w:ilvl w:val="0"/>
        <w:numId w:val="8"/>
      </w:numPr>
      <w:shd w:val="clear" w:color="FFFFFF" w:fill="FFFFFF"/>
      <w:tabs>
        <w:tab w:val="left" w:pos="6405"/>
      </w:tabs>
      <w:spacing w:before="640" w:after="280"/>
      <w:jc w:val="center"/>
      <w:outlineLvl w:val="0"/>
    </w:pPr>
    <w:rPr>
      <w:rFonts w:ascii="黑体" w:eastAsia="黑体"/>
      <w:kern w:val="0"/>
      <w:szCs w:val="20"/>
    </w:rPr>
  </w:style>
  <w:style w:type="paragraph" w:customStyle="1" w:styleId="113">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14">
    <w:name w:val="附录标题"/>
    <w:basedOn w:val="28"/>
    <w:next w:val="28"/>
    <w:qFormat/>
    <w:uiPriority w:val="0"/>
    <w:pPr>
      <w:ind w:firstLine="0" w:firstLineChars="0"/>
      <w:jc w:val="center"/>
    </w:pPr>
    <w:rPr>
      <w:rFonts w:ascii="黑体" w:eastAsia="黑体"/>
    </w:rPr>
  </w:style>
  <w:style w:type="paragraph" w:customStyle="1" w:styleId="115">
    <w:name w:val="附录表标号"/>
    <w:basedOn w:val="1"/>
    <w:next w:val="28"/>
    <w:qFormat/>
    <w:uiPriority w:val="0"/>
    <w:pPr>
      <w:numPr>
        <w:ilvl w:val="0"/>
        <w:numId w:val="9"/>
      </w:numPr>
      <w:spacing w:line="14" w:lineRule="exact"/>
      <w:ind w:left="811" w:hanging="448"/>
      <w:jc w:val="center"/>
      <w:outlineLvl w:val="0"/>
    </w:pPr>
    <w:rPr>
      <w:color w:val="FFFFFF"/>
    </w:rPr>
  </w:style>
  <w:style w:type="paragraph" w:customStyle="1" w:styleId="11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17">
    <w:name w:val="附录表标题"/>
    <w:basedOn w:val="1"/>
    <w:next w:val="28"/>
    <w:qFormat/>
    <w:uiPriority w:val="0"/>
    <w:pPr>
      <w:numPr>
        <w:ilvl w:val="1"/>
        <w:numId w:val="9"/>
      </w:numPr>
      <w:tabs>
        <w:tab w:val="left" w:pos="180"/>
      </w:tabs>
      <w:spacing w:beforeLines="50" w:afterLines="50"/>
      <w:jc w:val="center"/>
    </w:pPr>
    <w:rPr>
      <w:rFonts w:ascii="黑体" w:eastAsia="黑体"/>
      <w:szCs w:val="21"/>
    </w:rPr>
  </w:style>
  <w:style w:type="paragraph" w:customStyle="1" w:styleId="118">
    <w:name w:val="附录二级条标题"/>
    <w:basedOn w:val="1"/>
    <w:next w:val="28"/>
    <w:qFormat/>
    <w:uiPriority w:val="0"/>
    <w:pPr>
      <w:widowControl/>
      <w:numPr>
        <w:ilvl w:val="3"/>
        <w:numId w:val="8"/>
      </w:numPr>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119">
    <w:name w:val="附录字母编号列项（一级）"/>
    <w:qFormat/>
    <w:uiPriority w:val="0"/>
    <w:pPr>
      <w:numPr>
        <w:ilvl w:val="0"/>
        <w:numId w:val="10"/>
      </w:numPr>
    </w:pPr>
    <w:rPr>
      <w:rFonts w:ascii="宋体" w:hAnsi="Times New Roman" w:eastAsia="宋体" w:cs="Times New Roman"/>
      <w:sz w:val="21"/>
      <w:lang w:val="en-US" w:eastAsia="zh-CN" w:bidi="ar-SA"/>
    </w:rPr>
  </w:style>
  <w:style w:type="paragraph" w:customStyle="1" w:styleId="120">
    <w:name w:val="附录二级无"/>
    <w:basedOn w:val="118"/>
    <w:qFormat/>
    <w:uiPriority w:val="0"/>
    <w:pPr>
      <w:spacing w:beforeLines="0" w:afterLines="0"/>
    </w:pPr>
    <w:rPr>
      <w:rFonts w:ascii="宋体" w:eastAsia="宋体"/>
      <w:szCs w:val="21"/>
    </w:rPr>
  </w:style>
  <w:style w:type="paragraph" w:customStyle="1" w:styleId="121">
    <w:name w:val="附录公式编号制表符"/>
    <w:basedOn w:val="1"/>
    <w:next w:val="28"/>
    <w:qFormat/>
    <w:uiPriority w:val="0"/>
    <w:pPr>
      <w:widowControl/>
      <w:tabs>
        <w:tab w:val="center" w:pos="4201"/>
        <w:tab w:val="right" w:leader="dot" w:pos="9298"/>
      </w:tabs>
      <w:autoSpaceDE w:val="0"/>
      <w:autoSpaceDN w:val="0"/>
    </w:pPr>
    <w:rPr>
      <w:rFonts w:ascii="宋体"/>
      <w:kern w:val="0"/>
      <w:szCs w:val="20"/>
    </w:rPr>
  </w:style>
  <w:style w:type="paragraph" w:customStyle="1" w:styleId="122">
    <w:name w:val="附录三级条标题"/>
    <w:basedOn w:val="118"/>
    <w:next w:val="28"/>
    <w:qFormat/>
    <w:uiPriority w:val="0"/>
    <w:pPr>
      <w:numPr>
        <w:ilvl w:val="4"/>
      </w:numPr>
      <w:outlineLvl w:val="4"/>
    </w:pPr>
  </w:style>
  <w:style w:type="paragraph" w:customStyle="1" w:styleId="123">
    <w:name w:val="附录三级无"/>
    <w:basedOn w:val="122"/>
    <w:qFormat/>
    <w:uiPriority w:val="0"/>
    <w:pPr>
      <w:spacing w:beforeLines="0" w:afterLines="0"/>
    </w:pPr>
    <w:rPr>
      <w:rFonts w:ascii="宋体" w:eastAsia="宋体"/>
      <w:szCs w:val="21"/>
    </w:rPr>
  </w:style>
  <w:style w:type="paragraph" w:customStyle="1" w:styleId="124">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25">
    <w:name w:val="附录数字编号列项（二级）"/>
    <w:qFormat/>
    <w:uiPriority w:val="0"/>
    <w:pPr>
      <w:numPr>
        <w:ilvl w:val="1"/>
        <w:numId w:val="10"/>
      </w:numPr>
    </w:pPr>
    <w:rPr>
      <w:rFonts w:ascii="宋体" w:hAnsi="Times New Roman" w:eastAsia="宋体" w:cs="Times New Roman"/>
      <w:sz w:val="21"/>
      <w:lang w:val="en-US" w:eastAsia="zh-CN" w:bidi="ar-SA"/>
    </w:rPr>
  </w:style>
  <w:style w:type="paragraph" w:customStyle="1" w:styleId="126">
    <w:name w:val="正文表标题"/>
    <w:next w:val="28"/>
    <w:qFormat/>
    <w:uiPriority w:val="0"/>
    <w:pPr>
      <w:numPr>
        <w:ilvl w:val="0"/>
        <w:numId w:val="11"/>
      </w:numPr>
      <w:spacing w:beforeLines="50" w:afterLines="50"/>
      <w:jc w:val="center"/>
    </w:pPr>
    <w:rPr>
      <w:rFonts w:ascii="黑体" w:hAnsi="Times New Roman" w:eastAsia="黑体" w:cs="Times New Roman"/>
      <w:sz w:val="21"/>
      <w:lang w:val="en-US" w:eastAsia="zh-CN" w:bidi="ar-SA"/>
    </w:rPr>
  </w:style>
  <w:style w:type="paragraph" w:customStyle="1" w:styleId="127">
    <w:name w:val="附录四级条标题"/>
    <w:basedOn w:val="122"/>
    <w:next w:val="28"/>
    <w:qFormat/>
    <w:uiPriority w:val="0"/>
    <w:pPr>
      <w:numPr>
        <w:ilvl w:val="5"/>
      </w:numPr>
      <w:outlineLvl w:val="5"/>
    </w:pPr>
  </w:style>
  <w:style w:type="paragraph" w:customStyle="1" w:styleId="128">
    <w:name w:val="附录四级无"/>
    <w:basedOn w:val="127"/>
    <w:qFormat/>
    <w:uiPriority w:val="0"/>
    <w:pPr>
      <w:spacing w:beforeLines="0" w:afterLines="0"/>
    </w:pPr>
    <w:rPr>
      <w:rFonts w:ascii="宋体" w:eastAsia="宋体"/>
      <w:szCs w:val="21"/>
    </w:rPr>
  </w:style>
  <w:style w:type="paragraph" w:customStyle="1" w:styleId="129">
    <w:name w:val="附录图标号"/>
    <w:basedOn w:val="1"/>
    <w:qFormat/>
    <w:uiPriority w:val="0"/>
    <w:pPr>
      <w:keepNext/>
      <w:pageBreakBefore/>
      <w:widowControl/>
      <w:numPr>
        <w:ilvl w:val="0"/>
        <w:numId w:val="12"/>
      </w:numPr>
      <w:spacing w:line="14" w:lineRule="exact"/>
      <w:ind w:firstLine="363"/>
      <w:jc w:val="center"/>
      <w:outlineLvl w:val="0"/>
    </w:pPr>
    <w:rPr>
      <w:color w:val="FFFFFF"/>
    </w:rPr>
  </w:style>
  <w:style w:type="paragraph" w:customStyle="1" w:styleId="130">
    <w:name w:val="终结线"/>
    <w:basedOn w:val="1"/>
    <w:qFormat/>
    <w:uiPriority w:val="0"/>
    <w:pPr>
      <w:framePr w:hSpace="181" w:vSpace="181" w:wrap="around" w:vAnchor="text" w:hAnchor="margin" w:xAlign="center" w:y="285"/>
    </w:pPr>
  </w:style>
  <w:style w:type="paragraph" w:customStyle="1" w:styleId="131">
    <w:name w:val="附录图标题"/>
    <w:basedOn w:val="1"/>
    <w:next w:val="28"/>
    <w:qFormat/>
    <w:uiPriority w:val="0"/>
    <w:pPr>
      <w:numPr>
        <w:ilvl w:val="1"/>
        <w:numId w:val="12"/>
      </w:numPr>
      <w:tabs>
        <w:tab w:val="left" w:pos="363"/>
      </w:tabs>
      <w:spacing w:beforeLines="50" w:afterLines="50"/>
      <w:jc w:val="center"/>
    </w:pPr>
    <w:rPr>
      <w:rFonts w:ascii="黑体" w:eastAsia="黑体"/>
      <w:szCs w:val="21"/>
    </w:rPr>
  </w:style>
  <w:style w:type="paragraph" w:customStyle="1" w:styleId="132">
    <w:name w:val="图的脚注"/>
    <w:next w:val="28"/>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33">
    <w:name w:val="附录五级条标题"/>
    <w:basedOn w:val="127"/>
    <w:next w:val="28"/>
    <w:qFormat/>
    <w:uiPriority w:val="0"/>
    <w:pPr>
      <w:numPr>
        <w:ilvl w:val="6"/>
      </w:numPr>
      <w:outlineLvl w:val="6"/>
    </w:pPr>
  </w:style>
  <w:style w:type="paragraph" w:customStyle="1" w:styleId="134">
    <w:name w:val="附录五级无"/>
    <w:basedOn w:val="133"/>
    <w:qFormat/>
    <w:uiPriority w:val="0"/>
    <w:pPr>
      <w:spacing w:beforeLines="0" w:afterLines="0"/>
    </w:pPr>
    <w:rPr>
      <w:rFonts w:ascii="宋体" w:eastAsia="宋体"/>
      <w:szCs w:val="21"/>
    </w:rPr>
  </w:style>
  <w:style w:type="paragraph" w:customStyle="1" w:styleId="135">
    <w:name w:val="一级无"/>
    <w:basedOn w:val="54"/>
    <w:qFormat/>
    <w:uiPriority w:val="0"/>
    <w:pPr>
      <w:spacing w:beforeLines="0" w:afterLines="0"/>
    </w:pPr>
    <w:rPr>
      <w:rFonts w:ascii="宋体" w:eastAsia="宋体"/>
    </w:rPr>
  </w:style>
  <w:style w:type="paragraph" w:customStyle="1" w:styleId="136">
    <w:name w:val="附录章标题"/>
    <w:next w:val="28"/>
    <w:qFormat/>
    <w:uiPriority w:val="0"/>
    <w:pPr>
      <w:numPr>
        <w:ilvl w:val="1"/>
        <w:numId w:val="8"/>
      </w:numPr>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37">
    <w:name w:val="附录一级条标题"/>
    <w:basedOn w:val="136"/>
    <w:next w:val="28"/>
    <w:qFormat/>
    <w:uiPriority w:val="0"/>
    <w:pPr>
      <w:numPr>
        <w:ilvl w:val="2"/>
      </w:numPr>
      <w:autoSpaceDN w:val="0"/>
      <w:spacing w:beforeLines="50" w:afterLines="50"/>
      <w:outlineLvl w:val="2"/>
    </w:pPr>
  </w:style>
  <w:style w:type="paragraph" w:customStyle="1" w:styleId="138">
    <w:name w:val="附录一级无"/>
    <w:basedOn w:val="137"/>
    <w:qFormat/>
    <w:uiPriority w:val="0"/>
    <w:pPr>
      <w:spacing w:beforeLines="0" w:afterLines="0"/>
    </w:pPr>
    <w:rPr>
      <w:rFonts w:ascii="宋体" w:eastAsia="宋体"/>
      <w:szCs w:val="21"/>
    </w:rPr>
  </w:style>
  <w:style w:type="paragraph" w:customStyle="1" w:styleId="139">
    <w:name w:val="WPSOffice手动目录 1"/>
    <w:qFormat/>
    <w:uiPriority w:val="0"/>
    <w:rPr>
      <w:rFonts w:ascii="Times New Roman" w:hAnsi="Times New Roman" w:eastAsia="宋体" w:cs="Times New Roman"/>
      <w:lang w:val="en-US" w:eastAsia="zh-CN" w:bidi="ar-SA"/>
    </w:rPr>
  </w:style>
  <w:style w:type="paragraph" w:customStyle="1" w:styleId="140">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1">
    <w:name w:val="封面标准名称2"/>
    <w:basedOn w:val="83"/>
    <w:qFormat/>
    <w:uiPriority w:val="0"/>
    <w:pPr>
      <w:framePr w:wrap="around" w:y="4469"/>
      <w:spacing w:beforeLines="630"/>
    </w:pPr>
  </w:style>
  <w:style w:type="paragraph" w:customStyle="1" w:styleId="142">
    <w:name w:val="其他标准标志"/>
    <w:basedOn w:val="103"/>
    <w:qFormat/>
    <w:uiPriority w:val="0"/>
    <w:pPr>
      <w:framePr w:w="6101" w:wrap="around" w:vAnchor="page" w:hAnchor="page" w:x="4673" w:y="942"/>
    </w:pPr>
    <w:rPr>
      <w:w w:val="130"/>
    </w:rPr>
  </w:style>
  <w:style w:type="paragraph" w:customStyle="1" w:styleId="143">
    <w:name w:val="其他发布部门"/>
    <w:basedOn w:val="107"/>
    <w:qFormat/>
    <w:uiPriority w:val="0"/>
    <w:pPr>
      <w:framePr w:wrap="around" w:y="15310"/>
      <w:spacing w:line="240" w:lineRule="atLeast"/>
    </w:pPr>
    <w:rPr>
      <w:rFonts w:ascii="黑体" w:eastAsia="黑体"/>
      <w:b w:val="0"/>
    </w:rPr>
  </w:style>
  <w:style w:type="paragraph" w:customStyle="1" w:styleId="144">
    <w:name w:val="封面标准文稿类别2"/>
    <w:basedOn w:val="80"/>
    <w:qFormat/>
    <w:uiPriority w:val="0"/>
    <w:pPr>
      <w:framePr w:wrap="around" w:y="4469"/>
    </w:pPr>
  </w:style>
  <w:style w:type="paragraph" w:customStyle="1" w:styleId="145">
    <w:name w:val="三级无"/>
    <w:basedOn w:val="92"/>
    <w:qFormat/>
    <w:uiPriority w:val="0"/>
    <w:pPr>
      <w:spacing w:beforeLines="0" w:afterLines="0"/>
    </w:pPr>
    <w:rPr>
      <w:rFonts w:ascii="宋体" w:eastAsia="宋体"/>
    </w:rPr>
  </w:style>
  <w:style w:type="paragraph" w:customStyle="1" w:styleId="146">
    <w:name w:val="实施日期"/>
    <w:basedOn w:val="85"/>
    <w:qFormat/>
    <w:uiPriority w:val="0"/>
    <w:pPr>
      <w:framePr w:wrap="around" w:vAnchor="page" w:hAnchor="text"/>
      <w:jc w:val="right"/>
    </w:pPr>
  </w:style>
  <w:style w:type="paragraph" w:customStyle="1" w:styleId="147">
    <w:name w:val="示例后文字"/>
    <w:basedOn w:val="28"/>
    <w:next w:val="28"/>
    <w:qFormat/>
    <w:uiPriority w:val="0"/>
    <w:pPr>
      <w:ind w:firstLine="360"/>
    </w:pPr>
    <w:rPr>
      <w:sz w:val="18"/>
    </w:rPr>
  </w:style>
  <w:style w:type="paragraph" w:customStyle="1" w:styleId="148">
    <w:name w:val="四级无"/>
    <w:basedOn w:val="94"/>
    <w:qFormat/>
    <w:uiPriority w:val="0"/>
    <w:pPr>
      <w:spacing w:beforeLines="0" w:afterLines="0"/>
    </w:pPr>
    <w:rPr>
      <w:rFonts w:ascii="宋体" w:eastAsia="宋体"/>
    </w:rPr>
  </w:style>
  <w:style w:type="paragraph" w:customStyle="1" w:styleId="149">
    <w:name w:val="条文脚注"/>
    <w:basedOn w:val="29"/>
    <w:qFormat/>
    <w:uiPriority w:val="0"/>
    <w:pPr>
      <w:numPr>
        <w:numId w:val="0"/>
      </w:numPr>
      <w:jc w:val="both"/>
    </w:pPr>
  </w:style>
  <w:style w:type="paragraph" w:customStyle="1" w:styleId="150">
    <w:name w:val="图标脚注说明"/>
    <w:basedOn w:val="28"/>
    <w:qFormat/>
    <w:uiPriority w:val="0"/>
    <w:pPr>
      <w:ind w:left="840" w:hanging="420" w:firstLineChars="0"/>
    </w:pPr>
    <w:rPr>
      <w:sz w:val="18"/>
      <w:szCs w:val="18"/>
    </w:rPr>
  </w:style>
  <w:style w:type="paragraph" w:customStyle="1" w:styleId="151">
    <w:name w:val="图表脚注说明"/>
    <w:basedOn w:val="1"/>
    <w:qFormat/>
    <w:uiPriority w:val="0"/>
    <w:pPr>
      <w:ind w:left="544" w:hanging="181"/>
    </w:pPr>
    <w:rPr>
      <w:rFonts w:ascii="宋体"/>
      <w:sz w:val="18"/>
      <w:szCs w:val="18"/>
    </w:rPr>
  </w:style>
  <w:style w:type="paragraph" w:customStyle="1" w:styleId="152">
    <w:name w:val="五级无"/>
    <w:basedOn w:val="93"/>
    <w:qFormat/>
    <w:uiPriority w:val="0"/>
    <w:pPr>
      <w:spacing w:beforeLines="0" w:afterLines="0"/>
    </w:pPr>
    <w:rPr>
      <w:rFonts w:ascii="宋体" w:eastAsia="宋体"/>
    </w:rPr>
  </w:style>
  <w:style w:type="paragraph" w:customStyle="1" w:styleId="153">
    <w:name w:val="正文公式编号制表符"/>
    <w:basedOn w:val="28"/>
    <w:next w:val="28"/>
    <w:qFormat/>
    <w:uiPriority w:val="0"/>
    <w:pPr>
      <w:ind w:firstLine="0" w:firstLineChars="0"/>
    </w:pPr>
  </w:style>
  <w:style w:type="paragraph" w:customStyle="1" w:styleId="154">
    <w:name w:val="正文图标题"/>
    <w:next w:val="28"/>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55">
    <w:name w:val="其他发布日期"/>
    <w:basedOn w:val="85"/>
    <w:qFormat/>
    <w:uiPriority w:val="0"/>
    <w:pPr>
      <w:framePr w:wrap="around" w:vAnchor="page" w:hAnchor="text" w:x="1419"/>
    </w:pPr>
  </w:style>
  <w:style w:type="paragraph" w:customStyle="1" w:styleId="156">
    <w:name w:val="其他实施日期"/>
    <w:basedOn w:val="146"/>
    <w:qFormat/>
    <w:uiPriority w:val="0"/>
    <w:pPr>
      <w:framePr w:wrap="around"/>
    </w:pPr>
  </w:style>
  <w:style w:type="paragraph" w:customStyle="1" w:styleId="157">
    <w:name w:val="封面一致性程度标识2"/>
    <w:basedOn w:val="81"/>
    <w:qFormat/>
    <w:uiPriority w:val="0"/>
    <w:pPr>
      <w:framePr w:wrap="around" w:y="4469"/>
    </w:pPr>
  </w:style>
  <w:style w:type="paragraph" w:customStyle="1" w:styleId="158">
    <w:name w:val="封面标准文稿编辑信息2"/>
    <w:basedOn w:val="79"/>
    <w:qFormat/>
    <w:uiPriority w:val="0"/>
    <w:pPr>
      <w:framePr w:wrap="around" w:y="4469"/>
    </w:pPr>
  </w:style>
  <w:style w:type="paragraph" w:styleId="15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60">
    <w:name w:val="样式 标题 3 + 段前: 0.45 行 段后: 0.45 行"/>
    <w:basedOn w:val="4"/>
    <w:qFormat/>
    <w:uiPriority w:val="0"/>
    <w:pPr>
      <w:numPr>
        <w:numId w:val="1"/>
      </w:numPr>
      <w:spacing w:before="45" w:after="45" w:line="120" w:lineRule="exact"/>
    </w:pPr>
    <w:rPr>
      <w:rFonts w:cs="宋体"/>
    </w:rPr>
  </w:style>
  <w:style w:type="paragraph" w:styleId="161">
    <w:name w:val="List Paragraph"/>
    <w:basedOn w:val="1"/>
    <w:qFormat/>
    <w:uiPriority w:val="1"/>
    <w:pPr>
      <w:ind w:firstLine="420" w:firstLineChars="200"/>
    </w:pPr>
  </w:style>
  <w:style w:type="paragraph" w:customStyle="1" w:styleId="162">
    <w:name w:val="4 正文"/>
    <w:basedOn w:val="1"/>
    <w:qFormat/>
    <w:uiPriority w:val="0"/>
    <w:pPr>
      <w:spacing w:line="360" w:lineRule="auto"/>
      <w:ind w:firstLine="200" w:firstLineChars="200"/>
    </w:pPr>
    <w:rPr>
      <w:kern w:val="0"/>
      <w:sz w:val="24"/>
      <w:szCs w:val="20"/>
    </w:rPr>
  </w:style>
  <w:style w:type="paragraph" w:customStyle="1" w:styleId="163">
    <w:name w:val="Table Paragraph"/>
    <w:basedOn w:val="1"/>
    <w:qFormat/>
    <w:uiPriority w:val="1"/>
    <w:pPr>
      <w:autoSpaceDE w:val="0"/>
      <w:autoSpaceDN w:val="0"/>
      <w:jc w:val="center"/>
    </w:pPr>
    <w:rPr>
      <w:rFonts w:hAnsi="宋体" w:cs="宋体"/>
      <w:sz w:val="22"/>
      <w:szCs w:val="22"/>
      <w:lang w:val="zh-CN" w:bidi="zh-CN"/>
    </w:rPr>
  </w:style>
  <w:style w:type="table" w:customStyle="1" w:styleId="164">
    <w:name w:val="Table Normal"/>
    <w:semiHidden/>
    <w:unhideWhenUsed/>
    <w:qFormat/>
    <w:uiPriority w:val="2"/>
    <w:tblPr>
      <w:tblCellMar>
        <w:top w:w="0" w:type="dxa"/>
        <w:left w:w="0" w:type="dxa"/>
        <w:bottom w:w="0" w:type="dxa"/>
        <w:right w:w="0" w:type="dxa"/>
      </w:tblCellMar>
    </w:tblPr>
  </w:style>
  <w:style w:type="character" w:customStyle="1" w:styleId="165">
    <w:name w:val="font31"/>
    <w:basedOn w:val="41"/>
    <w:qFormat/>
    <w:uiPriority w:val="0"/>
    <w:rPr>
      <w:rFonts w:hint="eastAsia" w:ascii="宋体" w:hAnsi="宋体" w:eastAsia="宋体" w:cs="宋体"/>
      <w:color w:val="000000"/>
      <w:sz w:val="20"/>
      <w:szCs w:val="20"/>
      <w:u w:val="none"/>
      <w:vertAlign w:val="superscript"/>
    </w:rPr>
  </w:style>
  <w:style w:type="character" w:customStyle="1" w:styleId="166">
    <w:name w:val="font11"/>
    <w:basedOn w:val="41"/>
    <w:qFormat/>
    <w:uiPriority w:val="0"/>
    <w:rPr>
      <w:rFonts w:hint="eastAsia" w:ascii="宋体" w:hAnsi="宋体" w:eastAsia="宋体" w:cs="宋体"/>
      <w:color w:val="000000"/>
      <w:sz w:val="20"/>
      <w:szCs w:val="20"/>
      <w:u w:val="none"/>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0" Type="http://schemas.openxmlformats.org/officeDocument/2006/relationships/fontTable" Target="fontTable.xml"/><Relationship Id="rId4" Type="http://schemas.openxmlformats.org/officeDocument/2006/relationships/footer" Target="footer1.xml"/><Relationship Id="rId39" Type="http://schemas.microsoft.com/office/2006/relationships/keyMapCustomizations" Target="customizations.xml"/><Relationship Id="rId38" Type="http://schemas.openxmlformats.org/officeDocument/2006/relationships/customXml" Target="../customXml/item3.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theme" Target="theme/theme1.xml"/><Relationship Id="rId26" Type="http://schemas.openxmlformats.org/officeDocument/2006/relationships/footer" Target="footer15.xml"/><Relationship Id="rId25" Type="http://schemas.openxmlformats.org/officeDocument/2006/relationships/header" Target="header9.xml"/><Relationship Id="rId24" Type="http://schemas.openxmlformats.org/officeDocument/2006/relationships/footer" Target="footer14.xml"/><Relationship Id="rId23" Type="http://schemas.openxmlformats.org/officeDocument/2006/relationships/header" Target="header8.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relations xmlns="http://www.yonyou.com/relation"/>
</file>

<file path=customXml/item3.xml><?xml version="1.0" encoding="utf-8"?>
<dataSourceCollection xmlns="http://www.yonyou.com/datasourc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5F81B2-6956-4E57-A004-3780665E15EC}">
  <ds:schemaRefs/>
</ds:datastoreItem>
</file>

<file path=customXml/itemProps3.xml><?xml version="1.0" encoding="utf-8"?>
<ds:datastoreItem xmlns:ds="http://schemas.openxmlformats.org/officeDocument/2006/customXml" ds:itemID="{ECD1E8C4-63A7-4A7A-8BDD-408316D3336E}">
  <ds:schemaRefs/>
</ds:datastoreItem>
</file>

<file path=docProps/app.xml><?xml version="1.0" encoding="utf-8"?>
<Properties xmlns="http://schemas.openxmlformats.org/officeDocument/2006/extended-properties" xmlns:vt="http://schemas.openxmlformats.org/officeDocument/2006/docPropsVTypes">
  <Template>Normal.dotm</Template>
  <Pages>53</Pages>
  <Words>18247</Words>
  <Characters>21192</Characters>
  <Lines>165</Lines>
  <Paragraphs>46</Paragraphs>
  <TotalTime>1</TotalTime>
  <ScaleCrop>false</ScaleCrop>
  <LinksUpToDate>false</LinksUpToDate>
  <CharactersWithSpaces>23922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2023-11-17T02:14:00Z</dcterms:created>
  <cp:lastPrinted>2019-03-21T06:37:00Z</cp:lastPrinted>
  <dcterms:modified xsi:type="dcterms:W3CDTF">2023-11-17T08:30:16Z</dcterms:modified>
  <dc:title>标准名称</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2AA5057860AA4E479A990BB4B344AC6C_13</vt:lpwstr>
  </property>
</Properties>
</file>