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5"/>
        <w:rPr>
          <w:rFonts w:cs="Times New Roman"/>
        </w:rPr>
      </w:pPr>
      <w:r>
        <w:rPr>
          <w:rFonts w:ascii="Times New Roman" w:cs="Times New Roman"/>
        </w:rPr>
        <w:t>ICS</w:t>
      </w:r>
      <w:r>
        <w:rPr>
          <w:rFonts w:hint="eastAsia" w:ascii="MS Mincho" w:hAnsi="MS Mincho" w:eastAsia="MS Mincho" w:cs="MS Mincho"/>
        </w:rPr>
        <w:t> </w:t>
      </w:r>
      <w:bookmarkStart w:id="0" w:name="ICS"/>
      <w:r>
        <w:fldChar w:fldCharType="begin">
          <w:ffData>
            <w:name w:val="ICS"/>
            <w:enabled/>
            <w:calcOnExit w:val="0"/>
            <w:textInput/>
          </w:ffData>
        </w:fldChar>
      </w:r>
      <w:r>
        <w:instrText xml:space="preserve"> FORMTEXT </w:instrText>
      </w:r>
      <w:r>
        <w:fldChar w:fldCharType="separate"/>
      </w:r>
      <w:r>
        <w:t>91.140.70</w:t>
      </w:r>
      <w:r>
        <w:fldChar w:fldCharType="end"/>
      </w:r>
      <w:bookmarkEnd w:id="0"/>
    </w:p>
    <w:p>
      <w:pPr>
        <w:pStyle w:val="125"/>
        <w:rPr>
          <w:rFonts w:cs="Times New Roman"/>
        </w:rPr>
      </w:pPr>
      <w:r>
        <w:rPr>
          <w:rFonts w:hint="eastAsia"/>
        </w:rPr>
        <w:t>Y71</w:t>
      </w:r>
    </w:p>
    <w:p>
      <w:pPr>
        <w:pStyle w:val="66"/>
        <w:rPr>
          <w:rFonts w:cs="Times New Roman"/>
        </w:rPr>
      </w:pPr>
      <w:r>
        <w:rPr>
          <w:rFonts w:hint="eastAsia"/>
        </w:rPr>
        <w:t>团体标准</w:t>
      </w:r>
    </w:p>
    <w:p>
      <w:pPr>
        <w:pStyle w:val="44"/>
        <w:framePr w:x="1817"/>
        <w:rPr>
          <w:rFonts w:cs="Times New Roman"/>
        </w:rPr>
      </w:pPr>
      <w:r>
        <w:rPr>
          <w:rFonts w:hint="eastAsia" w:ascii="Times New Roman" w:cs="Times New Roman"/>
        </w:rPr>
        <w:t>T/CECS  XXXXX-XXXX</w:t>
      </w:r>
    </w:p>
    <w:tbl>
      <w:tblPr>
        <w:tblStyle w:val="30"/>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75"/>
              <w:framePr w:x="1817"/>
              <w:rPr>
                <w:rFonts w:cs="Times New Roman"/>
              </w:rPr>
            </w:pPr>
            <w:bookmarkStart w:id="1" w:name="DT"/>
            <w:r>
              <w:rPr>
                <w:shd w:val="pct10" w:color="auto" w:fill="FFFFFF"/>
              </w:rPr>
              <w:pict>
                <v:rect id="DT" o:spid="_x0000_s1026" o:spt="1" style="position:absolute;left:0pt;margin-left:372.8pt;margin-top:119.8pt;height:18pt;width:90pt;z-index:-251656192;mso-width-relative:page;mso-height-relative:page;" stroked="f" coordsize="21600,21600">
                  <v:path/>
                  <v:fill focussize="0,0"/>
                  <v:stroke on="f"/>
                  <v:imagedata o:title=""/>
                  <o:lock v:ext="edit"/>
                </v:rect>
              </w:pict>
            </w:r>
            <w:bookmarkEnd w:id="1"/>
          </w:p>
        </w:tc>
      </w:tr>
    </w:tbl>
    <w:p>
      <w:pPr>
        <w:pStyle w:val="44"/>
        <w:framePr w:x="1817"/>
        <w:rPr>
          <w:rFonts w:cs="Times New Roman"/>
        </w:rPr>
      </w:pPr>
      <w:r>
        <w:rPr>
          <w:rFonts w:hint="eastAsia" w:cs="Times New Roman"/>
        </w:rPr>
        <w:t>XX</w:t>
      </w:r>
    </w:p>
    <w:p>
      <w:pPr>
        <w:pStyle w:val="44"/>
        <w:framePr w:x="1817"/>
        <w:rPr>
          <w:rFonts w:cs="Times New Roman"/>
        </w:rPr>
      </w:pPr>
    </w:p>
    <w:p>
      <w:pPr>
        <w:pStyle w:val="77"/>
        <w:rPr>
          <w:rFonts w:cs="Times New Roman"/>
        </w:rPr>
      </w:pPr>
      <w:r>
        <w:rPr>
          <w:rFonts w:hint="eastAsia"/>
        </w:rPr>
        <w:t>绿色建材评价  淋浴房</w:t>
      </w:r>
    </w:p>
    <w:p>
      <w:pPr>
        <w:pStyle w:val="78"/>
      </w:pPr>
      <w:r>
        <w:rPr>
          <w:rFonts w:hint="eastAsia"/>
        </w:rPr>
        <w:t xml:space="preserve">Green building material assessment-Shower </w:t>
      </w:r>
    </w:p>
    <w:tbl>
      <w:tblPr>
        <w:tblStyle w:val="30"/>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0"/>
              <w:rPr>
                <w:rFonts w:cs="Times New Roman"/>
              </w:rPr>
            </w:pPr>
            <w:r>
              <w:rPr>
                <w:rFonts w:hint="eastAsia"/>
              </w:rPr>
              <w:t>（</w:t>
            </w:r>
            <w:r>
              <w:rPr>
                <w:rFonts w:hint="eastAsia"/>
                <w:lang w:val="en-US" w:eastAsia="zh-CN"/>
              </w:rPr>
              <w:t>征求意见</w:t>
            </w:r>
            <w:r>
              <w:rPr>
                <w:rFonts w:hint="eastAsia"/>
              </w:rPr>
              <w:t>稿）</w:t>
            </w:r>
            <w:r>
              <w:pict>
                <v:rect id="RQ" o:spid="_x0000_s1027" o:spt="1" style="position:absolute;left:0pt;margin-left:173.3pt;margin-top:337.15pt;height:20pt;width:150pt;z-index:-251655168;mso-width-relative:page;mso-height-relative:page;" stroked="f" coordsize="21600,21600">
                  <v:path/>
                  <v:fill focussize="0,0"/>
                  <v:stroke on="f"/>
                  <v:imagedata o:title=""/>
                  <o:lock v:ext="edit"/>
                  <w10:anchorlock/>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1"/>
              <w:rPr>
                <w:rFonts w:cs="Times New Roman"/>
              </w:rPr>
            </w:pPr>
          </w:p>
        </w:tc>
      </w:tr>
    </w:tbl>
    <w:p>
      <w:pPr>
        <w:pStyle w:val="132"/>
        <w:framePr w:hAnchor="page" w:x="1944"/>
      </w:pPr>
      <w:bookmarkStart w:id="2" w:name="FY"/>
      <w:r>
        <w:rPr>
          <w:rFonts w:hint="eastAsia" w:ascii="黑体" w:cs="黑体"/>
        </w:rPr>
        <w:t>20XX-XX-</w:t>
      </w:r>
      <w:bookmarkEnd w:id="2"/>
      <w:r>
        <w:rPr>
          <w:rFonts w:hint="eastAsia" w:ascii="黑体" w:cs="黑体"/>
        </w:rPr>
        <w:t>XX</w:t>
      </w:r>
      <w:r>
        <w:rPr>
          <w:rFonts w:hint="eastAsia" w:cs="黑体"/>
        </w:rPr>
        <w:t>发布</w:t>
      </w:r>
    </w:p>
    <w:p>
      <w:pPr>
        <w:pStyle w:val="133"/>
        <w:ind w:right="560"/>
        <w:jc w:val="center"/>
      </w:pPr>
      <w:bookmarkStart w:id="3" w:name="SY"/>
      <w:r>
        <w:rPr>
          <w:rFonts w:hint="eastAsia" w:ascii="黑体" w:cs="黑体"/>
        </w:rPr>
        <w:t>20XX-XX-XX实施</w:t>
      </w:r>
      <w:bookmarkEnd w:id="3"/>
    </w:p>
    <w:p>
      <w:pPr>
        <w:pStyle w:val="73"/>
        <w:framePr w:h="1115" w:hRule="exact" w:x="2471" w:y="14889"/>
        <w:rPr>
          <w:rFonts w:cs="Times New Roman"/>
        </w:rPr>
      </w:pPr>
      <w:r>
        <w:rPr>
          <w:rFonts w:hint="eastAsia" w:cs="Times New Roman"/>
        </w:rPr>
        <w:t>中国工程建设标准化协会  发布</w:t>
      </w:r>
    </w:p>
    <w:p>
      <w:pPr>
        <w:pStyle w:val="22"/>
        <w:rPr>
          <w:rFonts w:cs="Times New Roman"/>
        </w:rPr>
        <w:sectPr>
          <w:pgSz w:w="11906" w:h="16838"/>
          <w:pgMar w:top="567" w:right="850" w:bottom="1134" w:left="1418" w:header="0" w:footer="0" w:gutter="0"/>
          <w:pgNumType w:start="1"/>
          <w:cols w:space="425" w:num="1"/>
          <w:docGrid w:type="lines" w:linePitch="312" w:charSpace="0"/>
        </w:sectPr>
      </w:pPr>
      <w:r>
        <w:pict>
          <v:shape id="_x0000_s1044" o:spid="_x0000_s1044" o:spt="32" type="#_x0000_t32" style="position:absolute;left:0pt;margin-left:-0.05pt;margin-top:711.15pt;height:1.5pt;width:505.15pt;z-index:251662336;mso-width-relative:page;mso-height-relative:page;" o:connectortype="straight" filled="f" coordsize="21600,21600">
            <v:path arrowok="t"/>
            <v:fill on="f" focussize="0,0"/>
            <v:stroke/>
            <v:imagedata o:title=""/>
            <o:lock v:ext="edit"/>
          </v:shape>
        </w:pict>
      </w:r>
      <w:r>
        <w:pict>
          <v:line id="_x0000_s1030" o:spid="_x0000_s1030" o:spt="20" style="position:absolute;left:0pt;margin-left:-0.05pt;margin-top:184.25pt;height:0pt;width:481.9pt;z-index:251659264;mso-width-relative:page;mso-height-relative:page;" coordsize="21600,21600">
            <v:path arrowok="t"/>
            <v:fill focussize="0,0"/>
            <v:stroke/>
            <v:imagedata o:title=""/>
            <o:lock v:ext="edit"/>
            <w10:anchorlock/>
          </v:line>
        </w:pict>
      </w:r>
    </w:p>
    <w:p>
      <w:pPr>
        <w:pStyle w:val="47"/>
      </w:pPr>
      <w:bookmarkStart w:id="4" w:name="_Toc351999915"/>
      <w:bookmarkStart w:id="5" w:name="_Toc285888568"/>
      <w:bookmarkStart w:id="6" w:name="_Toc286932007"/>
      <w:bookmarkStart w:id="7" w:name="_Toc285888394"/>
      <w:bookmarkStart w:id="8" w:name="_Toc290563828"/>
      <w:bookmarkStart w:id="9" w:name="_Toc286836950"/>
      <w:bookmarkStart w:id="10" w:name="_Toc323893406"/>
      <w:bookmarkStart w:id="11" w:name="_Toc286073085"/>
      <w:bookmarkStart w:id="12" w:name="_Toc287261340"/>
      <w:bookmarkStart w:id="13" w:name="_Toc290561452"/>
      <w:bookmarkStart w:id="14" w:name="_Toc390162891"/>
      <w:bookmarkStart w:id="15" w:name="_Toc390436129"/>
      <w:bookmarkStart w:id="16" w:name="_Toc319602700"/>
      <w:bookmarkStart w:id="17" w:name="_Toc323893353"/>
      <w:bookmarkStart w:id="18" w:name="_Toc328405105"/>
      <w:bookmarkStart w:id="19" w:name="_Toc328405811"/>
      <w:bookmarkStart w:id="20" w:name="_Toc364870717"/>
      <w:bookmarkStart w:id="21" w:name="_Toc328406327"/>
      <w:bookmarkStart w:id="22" w:name="_Toc328828174"/>
      <w:bookmarkStart w:id="23" w:name="_Toc351989532"/>
      <w:bookmarkStart w:id="24" w:name="_Toc328406192"/>
      <w:bookmarkStart w:id="25" w:name="_Toc364927315"/>
      <w:bookmarkStart w:id="26" w:name="_Toc327973900"/>
      <w:r>
        <w:rPr>
          <w:rFonts w:hint="eastAsia"/>
        </w:rPr>
        <w:t>目</w:t>
      </w:r>
      <w:bookmarkStart w:id="27" w:name="BKML"/>
      <w:r>
        <w:rPr>
          <w:rFonts w:ascii="Cambria Math" w:hAnsi="Cambria Math" w:cs="Cambria Math"/>
        </w:rPr>
        <w:t>  </w:t>
      </w:r>
      <w:r>
        <w:rPr>
          <w:rFonts w:hint="eastAsia"/>
        </w:rPr>
        <w:t>次</w:t>
      </w:r>
      <w:bookmarkEnd w:id="27"/>
    </w:p>
    <w:p>
      <w:pPr>
        <w:pStyle w:val="18"/>
        <w:spacing w:before="78" w:after="78"/>
        <w:rPr>
          <w:rFonts w:asciiTheme="minorHAnsi" w:hAnsiTheme="minorHAnsi" w:eastAsiaTheme="minorEastAsia" w:cstheme="minorBidi"/>
          <w:szCs w:val="22"/>
        </w:rPr>
      </w:pPr>
      <w:r>
        <w:fldChar w:fldCharType="begin" w:fldLock="1"/>
      </w:r>
      <w:r>
        <w:rPr>
          <w:rFonts w:hint="eastAsia"/>
        </w:rPr>
        <w:instrText xml:space="preserve">TOC \h \z \t"前言、引言标题,1,参考文献、索引标题,1,章标题,1,参考文献,1,附录标识,1" \* MERGEFORMAT</w:instrText>
      </w:r>
      <w:r>
        <w:fldChar w:fldCharType="separate"/>
      </w:r>
      <w:r>
        <w:fldChar w:fldCharType="begin"/>
      </w:r>
      <w:r>
        <w:instrText xml:space="preserve"> HYPERLINK \l "_Toc390436380" </w:instrText>
      </w:r>
      <w:r>
        <w:fldChar w:fldCharType="separate"/>
      </w:r>
      <w:r>
        <w:rPr>
          <w:rStyle w:val="36"/>
          <w:rFonts w:hint="eastAsia"/>
        </w:rPr>
        <w:t>前言</w:t>
      </w:r>
      <w:r>
        <w:tab/>
      </w:r>
      <w:r>
        <w:fldChar w:fldCharType="begin" w:fldLock="1"/>
      </w:r>
      <w:r>
        <w:instrText xml:space="preserve"> PAGEREF _Toc390436380 \h </w:instrText>
      </w:r>
      <w:r>
        <w:fldChar w:fldCharType="separate"/>
      </w:r>
      <w:r>
        <w:t>II</w:t>
      </w:r>
      <w:r>
        <w:fldChar w:fldCharType="end"/>
      </w:r>
      <w:r>
        <w:fldChar w:fldCharType="end"/>
      </w:r>
    </w:p>
    <w:p>
      <w:pPr>
        <w:pStyle w:val="18"/>
        <w:spacing w:before="78" w:after="78"/>
        <w:rPr>
          <w:rFonts w:asciiTheme="minorHAnsi" w:hAnsiTheme="minorHAnsi" w:eastAsiaTheme="minorEastAsia" w:cstheme="minorBidi"/>
          <w:szCs w:val="22"/>
        </w:rPr>
      </w:pPr>
      <w:r>
        <w:fldChar w:fldCharType="begin"/>
      </w:r>
      <w:r>
        <w:instrText xml:space="preserve"> HYPERLINK \l "_Toc390436381" </w:instrText>
      </w:r>
      <w:r>
        <w:fldChar w:fldCharType="separate"/>
      </w:r>
      <w:r>
        <w:rPr>
          <w:rStyle w:val="36"/>
          <w:rFonts w:cs="Times New Roman"/>
        </w:rPr>
        <w:t>1</w:t>
      </w:r>
      <w:r>
        <w:rPr>
          <w:rStyle w:val="36"/>
          <w:rFonts w:hint="eastAsia"/>
        </w:rPr>
        <w:t>　范围</w:t>
      </w:r>
      <w:r>
        <w:tab/>
      </w:r>
      <w:r>
        <w:fldChar w:fldCharType="begin" w:fldLock="1"/>
      </w:r>
      <w:r>
        <w:instrText xml:space="preserve"> PAGEREF _Toc390436381 \h </w:instrText>
      </w:r>
      <w:r>
        <w:fldChar w:fldCharType="separate"/>
      </w:r>
      <w:r>
        <w:t>1</w:t>
      </w:r>
      <w:r>
        <w:fldChar w:fldCharType="end"/>
      </w:r>
      <w:r>
        <w:fldChar w:fldCharType="end"/>
      </w:r>
    </w:p>
    <w:p>
      <w:pPr>
        <w:pStyle w:val="18"/>
        <w:spacing w:before="78" w:after="78"/>
        <w:rPr>
          <w:rFonts w:asciiTheme="minorHAnsi" w:hAnsiTheme="minorHAnsi" w:eastAsiaTheme="minorEastAsia" w:cstheme="minorBidi"/>
          <w:szCs w:val="22"/>
        </w:rPr>
      </w:pPr>
      <w:r>
        <w:fldChar w:fldCharType="begin"/>
      </w:r>
      <w:r>
        <w:instrText xml:space="preserve"> HYPERLINK \l "_Toc390436382" </w:instrText>
      </w:r>
      <w:r>
        <w:fldChar w:fldCharType="separate"/>
      </w:r>
      <w:r>
        <w:rPr>
          <w:rStyle w:val="36"/>
          <w:rFonts w:cs="Times New Roman"/>
        </w:rPr>
        <w:t>2</w:t>
      </w:r>
      <w:r>
        <w:rPr>
          <w:rStyle w:val="36"/>
          <w:rFonts w:hint="eastAsia"/>
        </w:rPr>
        <w:t>　规范性引用文件</w:t>
      </w:r>
      <w:r>
        <w:tab/>
      </w:r>
      <w:r>
        <w:fldChar w:fldCharType="begin" w:fldLock="1"/>
      </w:r>
      <w:r>
        <w:instrText xml:space="preserve"> PAGEREF _Toc390436382 \h </w:instrText>
      </w:r>
      <w:r>
        <w:fldChar w:fldCharType="separate"/>
      </w:r>
      <w:r>
        <w:t>1</w:t>
      </w:r>
      <w:r>
        <w:fldChar w:fldCharType="end"/>
      </w:r>
      <w:r>
        <w:fldChar w:fldCharType="end"/>
      </w:r>
    </w:p>
    <w:p>
      <w:pPr>
        <w:pStyle w:val="18"/>
        <w:spacing w:before="78" w:after="78"/>
        <w:rPr>
          <w:rFonts w:asciiTheme="minorHAnsi" w:hAnsiTheme="minorHAnsi" w:eastAsiaTheme="minorEastAsia" w:cstheme="minorBidi"/>
          <w:szCs w:val="22"/>
        </w:rPr>
      </w:pPr>
      <w:r>
        <w:fldChar w:fldCharType="begin"/>
      </w:r>
      <w:r>
        <w:instrText xml:space="preserve"> HYPERLINK \l "_Toc390436383" </w:instrText>
      </w:r>
      <w:r>
        <w:fldChar w:fldCharType="separate"/>
      </w:r>
      <w:r>
        <w:rPr>
          <w:rStyle w:val="36"/>
          <w:rFonts w:cs="Times New Roman"/>
        </w:rPr>
        <w:t>3</w:t>
      </w:r>
      <w:r>
        <w:rPr>
          <w:rStyle w:val="36"/>
          <w:rFonts w:hint="eastAsia"/>
        </w:rPr>
        <w:t>　术语和定义</w:t>
      </w:r>
      <w:r>
        <w:tab/>
      </w:r>
      <w:r>
        <w:fldChar w:fldCharType="begin" w:fldLock="1"/>
      </w:r>
      <w:r>
        <w:instrText xml:space="preserve"> PAGEREF _Toc390436383 \h </w:instrText>
      </w:r>
      <w:r>
        <w:fldChar w:fldCharType="separate"/>
      </w:r>
      <w:r>
        <w:t>1</w:t>
      </w:r>
      <w:r>
        <w:fldChar w:fldCharType="end"/>
      </w:r>
      <w:r>
        <w:fldChar w:fldCharType="end"/>
      </w:r>
    </w:p>
    <w:p>
      <w:pPr>
        <w:pStyle w:val="18"/>
        <w:spacing w:before="78" w:after="78"/>
        <w:rPr>
          <w:rFonts w:asciiTheme="minorHAnsi" w:hAnsiTheme="minorHAnsi" w:eastAsiaTheme="minorEastAsia" w:cstheme="minorBidi"/>
          <w:szCs w:val="22"/>
        </w:rPr>
      </w:pPr>
      <w:r>
        <w:fldChar w:fldCharType="begin"/>
      </w:r>
      <w:r>
        <w:instrText xml:space="preserve"> HYPERLINK \l "_Toc390436384" </w:instrText>
      </w:r>
      <w:r>
        <w:fldChar w:fldCharType="separate"/>
      </w:r>
      <w:r>
        <w:rPr>
          <w:rStyle w:val="36"/>
          <w:rFonts w:cs="Times New Roman"/>
        </w:rPr>
        <w:t>4</w:t>
      </w:r>
      <w:r>
        <w:rPr>
          <w:rStyle w:val="36"/>
          <w:rFonts w:hint="eastAsia"/>
        </w:rPr>
        <w:t>　评价要求</w:t>
      </w:r>
      <w:r>
        <w:tab/>
      </w:r>
      <w:r>
        <w:fldChar w:fldCharType="begin" w:fldLock="1"/>
      </w:r>
      <w:r>
        <w:instrText xml:space="preserve"> PAGEREF _Toc390436384 \h </w:instrText>
      </w:r>
      <w:r>
        <w:fldChar w:fldCharType="separate"/>
      </w:r>
      <w:r>
        <w:t>2</w:t>
      </w:r>
      <w:r>
        <w:fldChar w:fldCharType="end"/>
      </w:r>
      <w:r>
        <w:fldChar w:fldCharType="end"/>
      </w:r>
    </w:p>
    <w:p>
      <w:pPr>
        <w:pStyle w:val="18"/>
        <w:spacing w:before="78" w:after="78"/>
        <w:rPr>
          <w:rFonts w:asciiTheme="minorHAnsi" w:hAnsiTheme="minorHAnsi" w:eastAsiaTheme="minorEastAsia" w:cstheme="minorBidi"/>
          <w:szCs w:val="22"/>
        </w:rPr>
      </w:pPr>
      <w:r>
        <w:fldChar w:fldCharType="begin"/>
      </w:r>
      <w:r>
        <w:instrText xml:space="preserve"> HYPERLINK \l "_Toc390436385" </w:instrText>
      </w:r>
      <w:r>
        <w:fldChar w:fldCharType="separate"/>
      </w:r>
      <w:r>
        <w:rPr>
          <w:rStyle w:val="36"/>
          <w:rFonts w:cs="Times New Roman"/>
        </w:rPr>
        <w:t>5</w:t>
      </w:r>
      <w:r>
        <w:rPr>
          <w:rStyle w:val="36"/>
          <w:rFonts w:hint="eastAsia"/>
        </w:rPr>
        <w:t>　评价方法</w:t>
      </w:r>
      <w:r>
        <w:tab/>
      </w:r>
      <w:r>
        <w:fldChar w:fldCharType="begin" w:fldLock="1"/>
      </w:r>
      <w:r>
        <w:instrText xml:space="preserve"> PAGEREF _Toc390436385 \h </w:instrText>
      </w:r>
      <w:r>
        <w:fldChar w:fldCharType="separate"/>
      </w:r>
      <w:r>
        <w:t>3</w:t>
      </w:r>
      <w:r>
        <w:fldChar w:fldCharType="end"/>
      </w:r>
      <w:r>
        <w:fldChar w:fldCharType="end"/>
      </w:r>
    </w:p>
    <w:p>
      <w:pPr>
        <w:pStyle w:val="18"/>
        <w:spacing w:before="78" w:after="78"/>
        <w:rPr>
          <w:rFonts w:asciiTheme="minorHAnsi" w:hAnsiTheme="minorHAnsi" w:eastAsiaTheme="minorEastAsia" w:cstheme="minorBidi"/>
          <w:szCs w:val="22"/>
        </w:rPr>
      </w:pPr>
    </w:p>
    <w:p>
      <w:pPr>
        <w:pStyle w:val="18"/>
        <w:spacing w:before="78" w:after="78"/>
        <w:rPr>
          <w:rFonts w:asciiTheme="minorHAnsi" w:hAnsiTheme="minorHAnsi" w:eastAsiaTheme="minorEastAsia" w:cstheme="minorBidi"/>
          <w:szCs w:val="22"/>
        </w:rPr>
      </w:pPr>
    </w:p>
    <w:p>
      <w:pPr>
        <w:pStyle w:val="22"/>
      </w:pPr>
      <w:r>
        <w:fldChar w:fldCharType="end"/>
      </w:r>
    </w:p>
    <w:p>
      <w:pPr>
        <w:pStyle w:val="112"/>
        <w:rPr>
          <w:rFonts w:cs="Times New Roman"/>
        </w:rPr>
      </w:pPr>
      <w:bookmarkStart w:id="28" w:name="_Toc390436380"/>
      <w:r>
        <w:rPr>
          <w:rFonts w:hint="eastAsia"/>
        </w:rPr>
        <w:t>前</w:t>
      </w:r>
      <w:bookmarkStart w:id="29" w:name="BKQY"/>
      <w:r>
        <w:rPr>
          <w:rFonts w:cs="Times New Roman"/>
        </w:rPr>
        <w:t>  </w:t>
      </w:r>
      <w:r>
        <w:rPr>
          <w:rFonts w:hint="eastAsia"/>
        </w:rPr>
        <w:t>言</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8"/>
      <w:bookmarkEnd w:id="29"/>
    </w:p>
    <w:p>
      <w:pPr>
        <w:ind w:firstLine="420" w:firstLineChars="200"/>
      </w:pPr>
      <w:r>
        <w:rPr>
          <w:rFonts w:hint="eastAsia"/>
        </w:rPr>
        <w:t>本文件按照GB/T 1.1-2020《标准化工作导则 第1部分：标准化文件的结构和起草规则》给出的规则起草。</w:t>
      </w:r>
    </w:p>
    <w:p>
      <w:pPr>
        <w:ind w:firstLine="420" w:firstLineChars="200"/>
        <w:rPr>
          <w:color w:val="000000"/>
        </w:rPr>
      </w:pPr>
      <w:r>
        <w:rPr>
          <w:rFonts w:hint="eastAsia" w:cs="宋体"/>
          <w:color w:val="000000"/>
        </w:rPr>
        <w:t>本文件是按中国工程建设标准化协会《关于印发&lt;2020年第一批协会标准制定、修订计划&gt;的通知》（建标协字〔2020〕14号）的要求制定。</w:t>
      </w:r>
    </w:p>
    <w:p>
      <w:pPr>
        <w:pStyle w:val="22"/>
      </w:pPr>
      <w:r>
        <w:t>本文件的某些内容可能涉及专利。本文件的发布机构不承担识别这些专利的责任。</w:t>
      </w:r>
    </w:p>
    <w:p>
      <w:pPr>
        <w:pStyle w:val="22"/>
        <w:rPr>
          <w:rFonts w:ascii="Times New Roman"/>
          <w:color w:val="000000"/>
        </w:rPr>
      </w:pPr>
      <w:r>
        <w:rPr>
          <w:rFonts w:ascii="Times New Roman"/>
          <w:color w:val="000000"/>
        </w:rPr>
        <w:t>本</w:t>
      </w:r>
      <w:r>
        <w:rPr>
          <w:rFonts w:hint="eastAsia" w:ascii="Times New Roman"/>
          <w:color w:val="000000"/>
        </w:rPr>
        <w:t>文件</w:t>
      </w:r>
      <w:r>
        <w:rPr>
          <w:rFonts w:ascii="Times New Roman"/>
          <w:color w:val="000000"/>
        </w:rPr>
        <w:t>由中国工程建设标准化协会</w:t>
      </w:r>
      <w:r>
        <w:rPr>
          <w:rFonts w:hint="eastAsia" w:ascii="Times New Roman"/>
          <w:color w:val="000000"/>
        </w:rPr>
        <w:t>提出。</w:t>
      </w:r>
    </w:p>
    <w:p>
      <w:pPr>
        <w:pStyle w:val="22"/>
        <w:rPr>
          <w:rFonts w:ascii="Times New Roman"/>
        </w:rPr>
      </w:pPr>
      <w:r>
        <w:rPr>
          <w:rFonts w:hint="eastAsia"/>
          <w:color w:val="000000"/>
        </w:rPr>
        <w:t>本文件由中国工程建设标准化协会绿色建筑与生态城区分会归口管理</w:t>
      </w:r>
      <w:r>
        <w:rPr>
          <w:rFonts w:ascii="Times New Roman"/>
        </w:rPr>
        <w:t>。</w:t>
      </w:r>
    </w:p>
    <w:p>
      <w:pPr>
        <w:pStyle w:val="22"/>
      </w:pPr>
      <w:r>
        <w:rPr>
          <w:rFonts w:hint="eastAsia"/>
        </w:rPr>
        <w:t>本文件负责起草单位：住房和城乡建设部科技与产业化发展中心。</w:t>
      </w:r>
    </w:p>
    <w:p>
      <w:pPr>
        <w:pStyle w:val="22"/>
        <w:rPr>
          <w:rFonts w:cs="Times New Roman"/>
        </w:rPr>
      </w:pPr>
      <w:r>
        <w:rPr>
          <w:rFonts w:hint="eastAsia" w:cs="Times New Roman"/>
        </w:rPr>
        <w:t>本标准参加起草单位：</w:t>
      </w:r>
    </w:p>
    <w:p>
      <w:pPr>
        <w:ind w:firstLine="420" w:firstLineChars="200"/>
        <w:rPr>
          <w:rFonts w:cs="宋体"/>
        </w:rPr>
      </w:pPr>
      <w:r>
        <w:rPr>
          <w:rFonts w:hint="eastAsia" w:cs="宋体"/>
        </w:rPr>
        <w:t>本标准主要起草人：</w:t>
      </w:r>
    </w:p>
    <w:p>
      <w:pPr>
        <w:ind w:firstLine="420" w:firstLineChars="200"/>
        <w:rPr>
          <w:lang w:val="de-DE"/>
        </w:rPr>
        <w:sectPr>
          <w:headerReference r:id="rId5" w:type="default"/>
          <w:footerReference r:id="rId6" w:type="default"/>
          <w:pgSz w:w="11906" w:h="16838"/>
          <w:pgMar w:top="567" w:right="1134" w:bottom="935" w:left="1418" w:header="1418" w:footer="1134" w:gutter="0"/>
          <w:pgNumType w:fmt="upperRoman" w:start="1"/>
          <w:cols w:space="425" w:num="1"/>
          <w:formProt w:val="0"/>
          <w:docGrid w:type="lines" w:linePitch="312" w:charSpace="0"/>
        </w:sectPr>
      </w:pPr>
      <w:r>
        <w:rPr>
          <w:rFonts w:hint="eastAsia" w:cs="宋体"/>
        </w:rPr>
        <w:t>本标准主要审查人：</w:t>
      </w:r>
    </w:p>
    <w:p>
      <w:pPr>
        <w:pStyle w:val="47"/>
        <w:rPr>
          <w:rFonts w:cs="Times New Roman"/>
        </w:rPr>
      </w:pPr>
      <w:r>
        <w:rPr>
          <w:rFonts w:hint="eastAsia"/>
        </w:rPr>
        <w:t>绿色建材评价  淋浴房</w:t>
      </w:r>
    </w:p>
    <w:p>
      <w:pPr>
        <w:pStyle w:val="42"/>
        <w:spacing w:before="312" w:after="312"/>
        <w:rPr>
          <w:rFonts w:cs="Times New Roman"/>
        </w:rPr>
      </w:pPr>
      <w:bookmarkStart w:id="30" w:name="_Toc285888569"/>
      <w:bookmarkStart w:id="31" w:name="_Toc286073086"/>
      <w:bookmarkStart w:id="32" w:name="_Toc290563829"/>
      <w:bookmarkStart w:id="33" w:name="_Toc351989533"/>
      <w:bookmarkStart w:id="34" w:name="_Toc323893354"/>
      <w:bookmarkStart w:id="35" w:name="_Toc328405106"/>
      <w:bookmarkStart w:id="36" w:name="_Toc364870718"/>
      <w:bookmarkStart w:id="37" w:name="_Toc285888395"/>
      <w:bookmarkStart w:id="38" w:name="_Toc319602701"/>
      <w:bookmarkStart w:id="39" w:name="_Toc286932008"/>
      <w:bookmarkStart w:id="40" w:name="_Toc290561453"/>
      <w:bookmarkStart w:id="41" w:name="_Toc287261341"/>
      <w:bookmarkStart w:id="42" w:name="_Toc390436130"/>
      <w:bookmarkStart w:id="43" w:name="_Toc364927316"/>
      <w:bookmarkStart w:id="44" w:name="_Toc328828175"/>
      <w:bookmarkStart w:id="45" w:name="_Toc327973901"/>
      <w:bookmarkStart w:id="46" w:name="_Toc323893407"/>
      <w:bookmarkStart w:id="47" w:name="_Toc261537127"/>
      <w:bookmarkStart w:id="48" w:name="_Toc390162892"/>
      <w:bookmarkStart w:id="49" w:name="_Toc286836951"/>
      <w:bookmarkStart w:id="50" w:name="_Toc328406193"/>
      <w:bookmarkStart w:id="51" w:name="_Toc328406328"/>
      <w:bookmarkStart w:id="52" w:name="_Toc390436381"/>
      <w:bookmarkStart w:id="53" w:name="_Toc351999916"/>
      <w:bookmarkStart w:id="54" w:name="_Toc328405812"/>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22"/>
        <w:rPr>
          <w:rFonts w:cs="Times New Roman"/>
        </w:rPr>
      </w:pPr>
      <w:r>
        <w:rPr>
          <w:rFonts w:hint="eastAsia"/>
        </w:rPr>
        <w:t>本标准规定了淋浴房产品绿色建材评价的术语和定义、评价要求和评价方法。</w:t>
      </w:r>
    </w:p>
    <w:p>
      <w:pPr>
        <w:pStyle w:val="22"/>
        <w:rPr>
          <w:rFonts w:cs="Times New Roman"/>
        </w:rPr>
      </w:pPr>
      <w:r>
        <w:rPr>
          <w:rFonts w:hint="eastAsia"/>
        </w:rPr>
        <w:t>本标准适用于淋浴房的绿色建材评价。</w:t>
      </w:r>
    </w:p>
    <w:p>
      <w:pPr>
        <w:pStyle w:val="42"/>
        <w:spacing w:before="312" w:after="312"/>
        <w:rPr>
          <w:rFonts w:cs="Times New Roman"/>
        </w:rPr>
      </w:pPr>
      <w:bookmarkStart w:id="55" w:name="_Toc287261342"/>
      <w:bookmarkStart w:id="56" w:name="_Toc351999917"/>
      <w:bookmarkStart w:id="57" w:name="_Toc328405813"/>
      <w:bookmarkStart w:id="58" w:name="_Toc328405107"/>
      <w:bookmarkStart w:id="59" w:name="_Toc286836952"/>
      <w:bookmarkStart w:id="60" w:name="_Toc364870719"/>
      <w:bookmarkStart w:id="61" w:name="_Toc286932009"/>
      <w:bookmarkStart w:id="62" w:name="_Toc285888570"/>
      <w:bookmarkStart w:id="63" w:name="_Toc364927317"/>
      <w:bookmarkStart w:id="64" w:name="_Toc323893355"/>
      <w:bookmarkStart w:id="65" w:name="_Toc390162893"/>
      <w:bookmarkStart w:id="66" w:name="_Toc351989534"/>
      <w:bookmarkStart w:id="67" w:name="_Toc390436131"/>
      <w:bookmarkStart w:id="68" w:name="_Toc290561454"/>
      <w:bookmarkStart w:id="69" w:name="_Toc290563830"/>
      <w:bookmarkStart w:id="70" w:name="_Toc285888396"/>
      <w:bookmarkStart w:id="71" w:name="_Toc261537128"/>
      <w:bookmarkStart w:id="72" w:name="_Toc328406329"/>
      <w:bookmarkStart w:id="73" w:name="_Toc323893408"/>
      <w:bookmarkStart w:id="74" w:name="_Toc390436382"/>
      <w:bookmarkStart w:id="75" w:name="_Toc327973902"/>
      <w:bookmarkStart w:id="76" w:name="_Toc328406194"/>
      <w:bookmarkStart w:id="77" w:name="_Toc286073087"/>
      <w:bookmarkStart w:id="78" w:name="_Toc328828176"/>
      <w:bookmarkStart w:id="79" w:name="_Toc319602702"/>
      <w:r>
        <w:rPr>
          <w:rFonts w:hint="eastAsia"/>
        </w:rPr>
        <w:t>规范性引用文件</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pStyle w:val="22"/>
        <w:rPr>
          <w:rFonts w:cs="Times New Roman"/>
        </w:rPr>
      </w:pPr>
      <w:r>
        <w:rPr>
          <w:rFonts w:hint="eastAsia"/>
        </w:rPr>
        <w:t>下列文件对于本文件的应用是必不可少的。凡是注日期的引用文件，仅注日期的版本适用于本文件。凡是不注日期的引用文件，其最新版本（包括所有的修改单）适用于本文件。</w:t>
      </w:r>
    </w:p>
    <w:p>
      <w:pPr>
        <w:pStyle w:val="42"/>
        <w:spacing w:before="312" w:after="312"/>
        <w:rPr>
          <w:rFonts w:cs="Times New Roman"/>
        </w:rPr>
      </w:pPr>
      <w:bookmarkStart w:id="80" w:name="_Toc285888397"/>
      <w:bookmarkStart w:id="81" w:name="_Toc286073088"/>
      <w:bookmarkStart w:id="82" w:name="_Toc286932010"/>
      <w:bookmarkStart w:id="83" w:name="_Toc286836953"/>
      <w:bookmarkStart w:id="84" w:name="_Toc290563831"/>
      <w:bookmarkStart w:id="85" w:name="_Toc328828177"/>
      <w:bookmarkStart w:id="86" w:name="_Toc390436132"/>
      <w:bookmarkStart w:id="87" w:name="_Toc351999918"/>
      <w:bookmarkStart w:id="88" w:name="_Toc290561455"/>
      <w:bookmarkStart w:id="89" w:name="_Toc328406195"/>
      <w:bookmarkStart w:id="90" w:name="_Toc364927318"/>
      <w:bookmarkStart w:id="91" w:name="_Toc328405108"/>
      <w:bookmarkStart w:id="92" w:name="_Toc323893409"/>
      <w:bookmarkStart w:id="93" w:name="_Toc351989535"/>
      <w:bookmarkStart w:id="94" w:name="_Toc364870720"/>
      <w:bookmarkStart w:id="95" w:name="_Toc287261343"/>
      <w:bookmarkStart w:id="96" w:name="_Toc390436383"/>
      <w:bookmarkStart w:id="97" w:name="_Toc327973903"/>
      <w:bookmarkStart w:id="98" w:name="_Toc328405814"/>
      <w:bookmarkStart w:id="99" w:name="_Toc323893356"/>
      <w:bookmarkStart w:id="100" w:name="_Toc390162894"/>
      <w:bookmarkStart w:id="101" w:name="_Toc328406330"/>
      <w:bookmarkStart w:id="102" w:name="_Toc285888571"/>
      <w:bookmarkStart w:id="103" w:name="_Toc319602703"/>
      <w:r>
        <w:rPr>
          <w:rFonts w:hint="eastAsia"/>
        </w:rPr>
        <w:t>术语和定义</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pStyle w:val="22"/>
        <w:rPr>
          <w:rFonts w:cs="Times New Roman"/>
          <w:color w:val="000000"/>
        </w:rPr>
      </w:pPr>
      <w:r>
        <w:rPr>
          <w:rFonts w:hint="eastAsia"/>
          <w:color w:val="000000"/>
        </w:rPr>
        <w:t>下列术语和定义适用于本文件。</w:t>
      </w:r>
    </w:p>
    <w:p>
      <w:pPr>
        <w:pStyle w:val="39"/>
        <w:spacing w:before="156" w:after="156"/>
        <w:rPr>
          <w:rFonts w:cs="Times New Roman"/>
        </w:rPr>
      </w:pPr>
      <w:bookmarkStart w:id="104" w:name="_Toc323893357"/>
      <w:bookmarkEnd w:id="104"/>
      <w:bookmarkStart w:id="105" w:name="_Toc285888398"/>
    </w:p>
    <w:bookmarkEnd w:id="105"/>
    <w:p>
      <w:pPr>
        <w:pStyle w:val="39"/>
        <w:numPr>
          <w:ilvl w:val="0"/>
          <w:numId w:val="0"/>
        </w:numPr>
        <w:spacing w:before="156" w:after="156"/>
        <w:ind w:firstLine="420" w:firstLineChars="200"/>
      </w:pPr>
      <w:bookmarkStart w:id="106" w:name="_Toc323893358"/>
      <w:r>
        <w:rPr>
          <w:rFonts w:hint="eastAsia"/>
        </w:rPr>
        <w:t>绿色建材</w:t>
      </w:r>
      <w:r>
        <w:t xml:space="preserve"> </w:t>
      </w:r>
      <w:r>
        <w:rPr>
          <w:rFonts w:hint="eastAsia"/>
        </w:rPr>
        <w:t>green</w:t>
      </w:r>
      <w:r>
        <w:t xml:space="preserve"> </w:t>
      </w:r>
      <w:r>
        <w:rPr>
          <w:rFonts w:hint="eastAsia"/>
        </w:rPr>
        <w:t>building</w:t>
      </w:r>
      <w:r>
        <w:t xml:space="preserve"> </w:t>
      </w:r>
      <w:bookmarkEnd w:id="106"/>
      <w:r>
        <w:rPr>
          <w:rFonts w:hint="eastAsia"/>
        </w:rPr>
        <w:t>material</w:t>
      </w:r>
    </w:p>
    <w:p>
      <w:pPr>
        <w:pStyle w:val="22"/>
        <w:rPr>
          <w:rFonts w:cs="Times New Roman"/>
        </w:rPr>
      </w:pPr>
      <w:r>
        <w:rPr>
          <w:rFonts w:hint="eastAsia"/>
        </w:rPr>
        <w:t>在全生命周期内可减少对天然资源消耗和减轻对生态环境影响，具有“节能、减排、安全、便利和可循环”特征的建材产品。</w:t>
      </w:r>
    </w:p>
    <w:p>
      <w:pPr>
        <w:pStyle w:val="39"/>
        <w:spacing w:before="156" w:after="156"/>
        <w:rPr>
          <w:rFonts w:cs="Times New Roman"/>
        </w:rPr>
      </w:pPr>
      <w:bookmarkStart w:id="107" w:name="_Toc323893359"/>
      <w:bookmarkEnd w:id="107"/>
      <w:bookmarkStart w:id="108" w:name="_Toc285888401"/>
    </w:p>
    <w:p>
      <w:pPr>
        <w:pStyle w:val="39"/>
        <w:numPr>
          <w:ilvl w:val="0"/>
          <w:numId w:val="0"/>
        </w:numPr>
        <w:spacing w:before="156" w:after="156"/>
        <w:ind w:firstLine="420" w:firstLineChars="200"/>
      </w:pPr>
      <w:bookmarkStart w:id="109" w:name="_Toc323893360"/>
      <w:r>
        <w:rPr>
          <w:rFonts w:hint="eastAsia"/>
        </w:rPr>
        <w:t>绿色建材评价</w:t>
      </w:r>
      <w:r>
        <w:t xml:space="preserve"> </w:t>
      </w:r>
      <w:bookmarkEnd w:id="109"/>
      <w:r>
        <w:rPr>
          <w:rFonts w:hint="eastAsia"/>
        </w:rPr>
        <w:t>green</w:t>
      </w:r>
      <w:r>
        <w:t xml:space="preserve"> </w:t>
      </w:r>
      <w:r>
        <w:rPr>
          <w:rFonts w:hint="eastAsia"/>
        </w:rPr>
        <w:t>building</w:t>
      </w:r>
      <w:r>
        <w:t xml:space="preserve"> </w:t>
      </w:r>
      <w:r>
        <w:rPr>
          <w:rFonts w:hint="eastAsia"/>
        </w:rPr>
        <w:t>material assessment</w:t>
      </w:r>
    </w:p>
    <w:p>
      <w:pPr>
        <w:pStyle w:val="22"/>
        <w:rPr>
          <w:rFonts w:cs="Times New Roman"/>
          <w:color w:val="000000"/>
        </w:rPr>
      </w:pPr>
      <w:r>
        <w:rPr>
          <w:rFonts w:hint="eastAsia"/>
          <w:color w:val="000000"/>
        </w:rPr>
        <w:t>依据绿色建材评价技术标准，按照程序和要求对申请开展评价的建材产品进行评价，确认其等级的活动。</w:t>
      </w:r>
    </w:p>
    <w:p>
      <w:pPr>
        <w:pStyle w:val="39"/>
        <w:spacing w:before="156" w:after="156"/>
        <w:rPr>
          <w:rFonts w:cs="Times New Roman"/>
        </w:rPr>
      </w:pPr>
      <w:bookmarkStart w:id="110" w:name="_Toc323893361"/>
      <w:bookmarkEnd w:id="110"/>
    </w:p>
    <w:p>
      <w:pPr>
        <w:pStyle w:val="39"/>
        <w:numPr>
          <w:ilvl w:val="0"/>
          <w:numId w:val="0"/>
        </w:numPr>
        <w:spacing w:before="156" w:after="156"/>
        <w:ind w:firstLine="420" w:firstLineChars="200"/>
      </w:pPr>
      <w:bookmarkStart w:id="111" w:name="_Toc323893362"/>
      <w:r>
        <w:rPr>
          <w:rFonts w:hint="eastAsia"/>
        </w:rPr>
        <w:t>评价等级</w:t>
      </w:r>
      <w:r>
        <w:t xml:space="preserve"> </w:t>
      </w:r>
      <w:r>
        <w:rPr>
          <w:rFonts w:hint="eastAsia"/>
        </w:rPr>
        <w:t>assessment</w:t>
      </w:r>
      <w:r>
        <w:t xml:space="preserve"> </w:t>
      </w:r>
      <w:bookmarkEnd w:id="108"/>
      <w:bookmarkEnd w:id="111"/>
      <w:r>
        <w:rPr>
          <w:rFonts w:hint="eastAsia"/>
        </w:rPr>
        <w:t>level</w:t>
      </w:r>
    </w:p>
    <w:p>
      <w:pPr>
        <w:pStyle w:val="22"/>
      </w:pPr>
      <w:r>
        <w:rPr>
          <w:rFonts w:hint="eastAsia"/>
        </w:rPr>
        <w:t>产品评价结果所达到的绿色建材级别，由低到高分为一星级、二星级和三星级。</w:t>
      </w:r>
    </w:p>
    <w:p>
      <w:pPr>
        <w:pStyle w:val="39"/>
        <w:spacing w:before="156" w:after="156"/>
        <w:rPr>
          <w:rFonts w:cs="Times New Roman"/>
        </w:rPr>
      </w:pPr>
      <w:bookmarkStart w:id="112" w:name="_Toc323893363"/>
      <w:bookmarkEnd w:id="112"/>
      <w:bookmarkStart w:id="113" w:name="_Toc285888402"/>
    </w:p>
    <w:p>
      <w:pPr>
        <w:pStyle w:val="39"/>
        <w:numPr>
          <w:ilvl w:val="0"/>
          <w:numId w:val="0"/>
        </w:numPr>
        <w:spacing w:before="156" w:after="156"/>
        <w:ind w:firstLine="420" w:firstLineChars="200"/>
      </w:pPr>
      <w:bookmarkStart w:id="114" w:name="_Toc323893364"/>
      <w:r>
        <w:rPr>
          <w:rFonts w:hint="eastAsia"/>
        </w:rPr>
        <w:t>环境产品声明</w:t>
      </w:r>
      <w:r>
        <w:t xml:space="preserve"> </w:t>
      </w:r>
      <w:r>
        <w:rPr>
          <w:rFonts w:hint="eastAsia"/>
        </w:rPr>
        <w:t>envlronmental product declaration</w:t>
      </w:r>
      <w:r>
        <w:t xml:space="preserve"> </w:t>
      </w:r>
      <w:bookmarkEnd w:id="114"/>
    </w:p>
    <w:p>
      <w:pPr>
        <w:pStyle w:val="22"/>
        <w:rPr>
          <w:rFonts w:cs="Times New Roman"/>
          <w:color w:val="000000"/>
        </w:rPr>
      </w:pPr>
      <w:r>
        <w:rPr>
          <w:rFonts w:hint="eastAsia"/>
          <w:color w:val="000000"/>
        </w:rPr>
        <w:t>提供基于预设参数的量化环境数据的环境声明，必要时包括附加环境信息。</w:t>
      </w:r>
    </w:p>
    <w:p>
      <w:pPr>
        <w:pStyle w:val="39"/>
        <w:spacing w:before="156" w:after="156"/>
        <w:rPr>
          <w:rFonts w:cs="Times New Roman"/>
        </w:rPr>
      </w:pPr>
      <w:bookmarkStart w:id="115" w:name="_Toc323893365"/>
      <w:bookmarkEnd w:id="115"/>
    </w:p>
    <w:p>
      <w:pPr>
        <w:pStyle w:val="39"/>
        <w:numPr>
          <w:ilvl w:val="0"/>
          <w:numId w:val="0"/>
        </w:numPr>
        <w:spacing w:before="156" w:after="156"/>
        <w:ind w:firstLine="420" w:firstLineChars="200"/>
      </w:pPr>
      <w:bookmarkStart w:id="116" w:name="_Toc323893366"/>
      <w:r>
        <w:rPr>
          <w:rFonts w:hint="eastAsia"/>
        </w:rPr>
        <w:t>碳足迹</w:t>
      </w:r>
      <w:r>
        <w:t xml:space="preserve"> </w:t>
      </w:r>
      <w:bookmarkEnd w:id="113"/>
      <w:bookmarkEnd w:id="116"/>
      <w:r>
        <w:rPr>
          <w:rFonts w:hint="eastAsia"/>
        </w:rPr>
        <w:t>carbon footprint</w:t>
      </w:r>
    </w:p>
    <w:p>
      <w:pPr>
        <w:pStyle w:val="22"/>
        <w:rPr>
          <w:rFonts w:cs="Times New Roman"/>
          <w:color w:val="3366FF"/>
        </w:rPr>
      </w:pPr>
      <w:r>
        <w:rPr>
          <w:rFonts w:hint="eastAsia"/>
          <w:color w:val="000000"/>
        </w:rPr>
        <w:t>用以量化过程、过程系统或产品系统温室气体排放的参数，以表现它们对气候变化的贡献</w:t>
      </w:r>
      <w:r>
        <w:rPr>
          <w:rFonts w:hint="eastAsia"/>
          <w:color w:val="3366FF"/>
        </w:rPr>
        <w:t>。</w:t>
      </w:r>
    </w:p>
    <w:p>
      <w:pPr>
        <w:pStyle w:val="39"/>
        <w:spacing w:before="156" w:after="156"/>
        <w:rPr>
          <w:rFonts w:cs="Times New Roman"/>
        </w:rPr>
      </w:pPr>
      <w:bookmarkStart w:id="117" w:name="_Toc323893367"/>
      <w:bookmarkEnd w:id="117"/>
    </w:p>
    <w:p>
      <w:pPr>
        <w:pStyle w:val="39"/>
        <w:numPr>
          <w:ilvl w:val="0"/>
          <w:numId w:val="0"/>
        </w:numPr>
        <w:spacing w:before="156" w:after="156"/>
        <w:ind w:firstLine="420" w:firstLineChars="200"/>
        <w:rPr>
          <w:rFonts w:cs="Times New Roman"/>
        </w:rPr>
      </w:pPr>
      <w:bookmarkStart w:id="118" w:name="_Toc323893368"/>
      <w:r>
        <w:rPr>
          <w:rFonts w:hint="eastAsia"/>
        </w:rPr>
        <w:t>淋浴房</w:t>
      </w:r>
      <w:bookmarkEnd w:id="118"/>
      <w:r>
        <w:rPr>
          <w:rFonts w:hint="eastAsia"/>
        </w:rPr>
        <w:t>shower room</w:t>
      </w:r>
    </w:p>
    <w:p>
      <w:pPr>
        <w:pStyle w:val="22"/>
      </w:pPr>
      <w:r>
        <w:rPr>
          <w:rFonts w:hint="eastAsia"/>
        </w:rPr>
        <w:t>是指由淋浴区周围竖直的固定门或活动门、底盆或浴缸与一面墙或多面墙连接形成的用来使水保留在淋浴区内的装置。一般有蒸汽淋浴房、整体淋浴房、淋浴屏三种产品。</w:t>
      </w:r>
    </w:p>
    <w:p>
      <w:pPr>
        <w:pStyle w:val="42"/>
        <w:spacing w:beforeLines="50" w:afterLines="50"/>
        <w:rPr>
          <w:rFonts w:cs="Times New Roman"/>
        </w:rPr>
      </w:pPr>
      <w:bookmarkStart w:id="119" w:name="_Toc323893369"/>
      <w:bookmarkEnd w:id="119"/>
      <w:r>
        <w:rPr>
          <w:rFonts w:hint="eastAsia"/>
        </w:rPr>
        <w:t>评价要求</w:t>
      </w:r>
    </w:p>
    <w:p>
      <w:pPr>
        <w:pStyle w:val="39"/>
        <w:spacing w:before="156" w:after="156"/>
      </w:pPr>
      <w:r>
        <w:rPr>
          <w:rFonts w:hint="eastAsia"/>
        </w:rPr>
        <w:t>一般要求</w:t>
      </w:r>
    </w:p>
    <w:p>
      <w:pPr>
        <w:pStyle w:val="62"/>
      </w:pPr>
      <w:r>
        <w:rPr>
          <w:rFonts w:hint="eastAsia"/>
        </w:rPr>
        <w:t>淋浴房产品的基本性能QB</w:t>
      </w:r>
      <w:r>
        <w:rPr>
          <w:rFonts w:hint="eastAsia"/>
          <w:lang w:val="en-US" w:eastAsia="zh-CN"/>
        </w:rPr>
        <w:t xml:space="preserve">/T </w:t>
      </w:r>
      <w:r>
        <w:rPr>
          <w:rFonts w:hint="eastAsia"/>
        </w:rPr>
        <w:t>2584的要求。</w:t>
      </w:r>
    </w:p>
    <w:p>
      <w:pPr>
        <w:pStyle w:val="113"/>
        <w:rPr>
          <w:highlight w:val="none"/>
        </w:rPr>
      </w:pPr>
      <w:r>
        <w:rPr>
          <w:rFonts w:hint="eastAsia" w:ascii="宋体" w:hAnsi="Times New Roman" w:eastAsia="宋体" w:cs="宋体"/>
          <w:kern w:val="0"/>
          <w:sz w:val="21"/>
          <w:szCs w:val="21"/>
          <w:highlight w:val="none"/>
          <w:lang w:val="en-US" w:eastAsia="zh-CN" w:bidi="ar-SA"/>
        </w:rPr>
        <w:t>淋浴房玻璃应采用钢化玻璃、贴膜钢化玻璃或夹层玻璃。钢化玻璃应符合GB 15763.2的规定，夹层玻璃应符合GB 15763.3中安全夹层玻璃的规定，玻璃原片应符合GB 11614中的一等品或优等品的规定，抗污易洁涂膜玻璃应符合GB/T 37830的规定。</w:t>
      </w:r>
    </w:p>
    <w:p>
      <w:pPr>
        <w:pStyle w:val="113"/>
        <w:rPr>
          <w:highlight w:val="none"/>
        </w:rPr>
      </w:pPr>
      <w:r>
        <w:rPr>
          <w:rFonts w:hint="eastAsia"/>
          <w:highlight w:val="none"/>
        </w:rPr>
        <w:t>淋浴房产品所使用的铝合金</w:t>
      </w:r>
      <w:r>
        <w:rPr>
          <w:rFonts w:hint="eastAsia"/>
          <w:highlight w:val="none"/>
          <w:lang w:val="en-US" w:eastAsia="zh-CN"/>
        </w:rPr>
        <w:t>型材</w:t>
      </w:r>
      <w:r>
        <w:rPr>
          <w:rFonts w:hint="eastAsia"/>
          <w:highlight w:val="none"/>
        </w:rPr>
        <w:t>应符合GB 5237.2、GB 5237.</w:t>
      </w:r>
      <w:r>
        <w:rPr>
          <w:rFonts w:hint="eastAsia"/>
          <w:highlight w:val="none"/>
          <w:lang w:val="en-US" w:eastAsia="zh-CN"/>
        </w:rPr>
        <w:t>3</w:t>
      </w:r>
      <w:r>
        <w:rPr>
          <w:rFonts w:hint="eastAsia"/>
          <w:highlight w:val="none"/>
          <w:lang w:eastAsia="zh-CN"/>
        </w:rPr>
        <w:t>、</w:t>
      </w:r>
      <w:r>
        <w:rPr>
          <w:rFonts w:hint="eastAsia"/>
          <w:highlight w:val="none"/>
        </w:rPr>
        <w:t>GB 5237.4的</w:t>
      </w:r>
      <w:r>
        <w:rPr>
          <w:rFonts w:hint="eastAsia"/>
          <w:highlight w:val="none"/>
          <w:lang w:val="en-US" w:eastAsia="zh-CN"/>
        </w:rPr>
        <w:t>规定</w:t>
      </w:r>
      <w:r>
        <w:rPr>
          <w:rFonts w:hint="eastAsia"/>
          <w:highlight w:val="none"/>
        </w:rPr>
        <w:t>。</w:t>
      </w:r>
    </w:p>
    <w:p>
      <w:pPr>
        <w:pStyle w:val="113"/>
      </w:pPr>
      <w:r>
        <w:rPr>
          <w:rFonts w:hint="eastAsia"/>
        </w:rPr>
        <w:t>淋浴房产品所使用的淋浴器应符合GB 18145、GB 28378的要求，软管应符合GB/T 23448的要求，花洒应符合GB/T 23447的要求。</w:t>
      </w:r>
    </w:p>
    <w:p>
      <w:pPr>
        <w:pStyle w:val="113"/>
      </w:pPr>
      <w:r>
        <w:rPr>
          <w:rFonts w:hint="eastAsia"/>
        </w:rPr>
        <w:t>淋浴房产品所使用的</w:t>
      </w:r>
      <w:r>
        <w:rPr>
          <w:rFonts w:hint="eastAsia"/>
          <w:lang w:eastAsia="zh-CN"/>
        </w:rPr>
        <w:t>五金件应符合相应明示产品质量要求。</w:t>
      </w:r>
    </w:p>
    <w:p>
      <w:pPr>
        <w:pStyle w:val="62"/>
      </w:pPr>
      <w:bookmarkStart w:id="120" w:name="_Toc285888409"/>
      <w:r>
        <w:rPr>
          <w:rFonts w:hint="eastAsia" w:cs="Times New Roman"/>
        </w:rPr>
        <w:t>生产企业近三年无重大环境污染事件和导致人员死亡的安全生产事故。</w:t>
      </w:r>
    </w:p>
    <w:p>
      <w:pPr>
        <w:pStyle w:val="62"/>
      </w:pPr>
      <w:r>
        <w:rPr>
          <w:rFonts w:hint="eastAsia" w:cs="Times New Roman"/>
        </w:rPr>
        <w:t>一般固体废弃物的收集、贮存、处置应符合GB 18599的相关规定，危险废物的贮存应符合GB 18597的相关规定，后续应交付持有危险废物经营许可证的单位处置。</w:t>
      </w:r>
    </w:p>
    <w:p>
      <w:pPr>
        <w:pStyle w:val="62"/>
      </w:pPr>
      <w:r>
        <w:rPr>
          <w:rFonts w:hint="eastAsia"/>
        </w:rPr>
        <w:t>生产企业应采用国家鼓励的先进技术工艺，不应使用国家或有关部门发布的淘汰或禁止的技术、工艺、装备及相关物质。</w:t>
      </w:r>
    </w:p>
    <w:p>
      <w:pPr>
        <w:pStyle w:val="62"/>
      </w:pPr>
      <w:r>
        <w:rPr>
          <w:rFonts w:hint="eastAsia"/>
        </w:rPr>
        <w:t>生产企业应按照GB/T 19001和GB/T 24001要求建立并运行质量管理体系和环境管理体系。</w:t>
      </w:r>
    </w:p>
    <w:p>
      <w:pPr>
        <w:pStyle w:val="62"/>
      </w:pPr>
      <w:r>
        <w:rPr>
          <w:rFonts w:hint="eastAsia"/>
        </w:rPr>
        <w:t>生产企业近三年无重大产品质量责任事故。</w:t>
      </w:r>
    </w:p>
    <w:p>
      <w:pPr>
        <w:pStyle w:val="62"/>
      </w:pPr>
      <w:r>
        <w:rPr>
          <w:rFonts w:hint="eastAsia"/>
        </w:rPr>
        <w:t>申请不同等级的生产企业还应符合表1的规定。</w:t>
      </w:r>
    </w:p>
    <w:p>
      <w:pPr>
        <w:pStyle w:val="128"/>
        <w:numPr>
          <w:ilvl w:val="0"/>
          <w:numId w:val="0"/>
        </w:numPr>
        <w:spacing w:before="156" w:after="156"/>
        <w:ind w:leftChars="405"/>
        <w:jc w:val="center"/>
      </w:pPr>
      <w:r>
        <w:rPr>
          <w:rFonts w:hint="eastAsia"/>
          <w:lang w:eastAsia="zh-CN"/>
        </w:rPr>
        <w:t>表</w:t>
      </w:r>
      <w:r>
        <w:rPr>
          <w:rFonts w:hint="eastAsia"/>
          <w:lang w:val="en-US" w:eastAsia="zh-CN"/>
        </w:rPr>
        <w:t>1 申请企业其他规定</w:t>
      </w:r>
    </w:p>
    <w:tbl>
      <w:tblPr>
        <w:tblStyle w:val="31"/>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4786"/>
        <w:gridCol w:w="1699"/>
        <w:gridCol w:w="1561"/>
        <w:gridCol w:w="1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2487" w:type="pct"/>
            <w:vMerge w:val="restart"/>
            <w:vAlign w:val="center"/>
          </w:tcPr>
          <w:p>
            <w:pPr>
              <w:jc w:val="center"/>
              <w:rPr>
                <w:rFonts w:ascii="宋体" w:cs="Times New Roman"/>
                <w:kern w:val="0"/>
                <w:sz w:val="18"/>
                <w:szCs w:val="18"/>
              </w:rPr>
            </w:pPr>
            <w:r>
              <w:rPr>
                <w:rFonts w:hint="eastAsia" w:ascii="宋体" w:cs="Times New Roman"/>
                <w:kern w:val="0"/>
                <w:sz w:val="18"/>
                <w:szCs w:val="18"/>
              </w:rPr>
              <w:t>要求</w:t>
            </w:r>
          </w:p>
        </w:tc>
        <w:tc>
          <w:tcPr>
            <w:tcW w:w="2513" w:type="pct"/>
            <w:gridSpan w:val="3"/>
          </w:tcPr>
          <w:p>
            <w:pPr>
              <w:jc w:val="center"/>
              <w:rPr>
                <w:rFonts w:hint="eastAsia" w:ascii="宋体" w:cs="Times New Roman"/>
                <w:kern w:val="0"/>
                <w:sz w:val="18"/>
                <w:szCs w:val="18"/>
              </w:rPr>
            </w:pPr>
            <w:r>
              <w:rPr>
                <w:rFonts w:hint="eastAsia" w:ascii="宋体" w:cs="Times New Roman"/>
                <w:kern w:val="0"/>
                <w:sz w:val="18"/>
                <w:szCs w:val="18"/>
              </w:rPr>
              <w:t>不同评价等级符合项数要求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2487" w:type="pct"/>
            <w:vMerge w:val="continue"/>
          </w:tcPr>
          <w:p>
            <w:pPr>
              <w:pStyle w:val="39"/>
              <w:numPr>
                <w:ilvl w:val="0"/>
                <w:numId w:val="0"/>
              </w:numPr>
              <w:spacing w:before="156" w:after="156"/>
              <w:rPr>
                <w:sz w:val="18"/>
                <w:szCs w:val="18"/>
              </w:rPr>
            </w:pPr>
          </w:p>
        </w:tc>
        <w:tc>
          <w:tcPr>
            <w:tcW w:w="883" w:type="pct"/>
          </w:tcPr>
          <w:p>
            <w:pPr>
              <w:jc w:val="center"/>
              <w:rPr>
                <w:rFonts w:ascii="宋体" w:cs="Times New Roman"/>
                <w:kern w:val="0"/>
                <w:sz w:val="18"/>
                <w:szCs w:val="18"/>
              </w:rPr>
            </w:pPr>
            <w:r>
              <w:rPr>
                <w:rFonts w:hint="eastAsia" w:ascii="宋体" w:cs="Times New Roman"/>
                <w:kern w:val="0"/>
                <w:sz w:val="18"/>
                <w:szCs w:val="18"/>
              </w:rPr>
              <w:t>一星级</w:t>
            </w:r>
          </w:p>
        </w:tc>
        <w:tc>
          <w:tcPr>
            <w:tcW w:w="811" w:type="pct"/>
          </w:tcPr>
          <w:p>
            <w:pPr>
              <w:jc w:val="center"/>
              <w:rPr>
                <w:rFonts w:ascii="宋体" w:cs="Times New Roman"/>
                <w:kern w:val="0"/>
                <w:sz w:val="18"/>
                <w:szCs w:val="18"/>
              </w:rPr>
            </w:pPr>
            <w:r>
              <w:rPr>
                <w:rFonts w:hint="eastAsia" w:ascii="宋体" w:cs="Times New Roman"/>
                <w:kern w:val="0"/>
                <w:sz w:val="18"/>
                <w:szCs w:val="18"/>
              </w:rPr>
              <w:t>二星级</w:t>
            </w:r>
          </w:p>
        </w:tc>
        <w:tc>
          <w:tcPr>
            <w:tcW w:w="819" w:type="pct"/>
          </w:tcPr>
          <w:p>
            <w:pPr>
              <w:jc w:val="center"/>
              <w:rPr>
                <w:rFonts w:ascii="宋体" w:cs="Times New Roman"/>
                <w:kern w:val="0"/>
                <w:sz w:val="18"/>
                <w:szCs w:val="18"/>
              </w:rPr>
            </w:pPr>
            <w:r>
              <w:rPr>
                <w:rFonts w:hint="eastAsia" w:ascii="宋体" w:cs="Times New Roman"/>
                <w:kern w:val="0"/>
                <w:sz w:val="18"/>
                <w:szCs w:val="18"/>
              </w:rPr>
              <w:t>三星级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jc w:val="center"/>
        </w:trPr>
        <w:tc>
          <w:tcPr>
            <w:tcW w:w="2487" w:type="pct"/>
            <w:vAlign w:val="center"/>
          </w:tcPr>
          <w:p>
            <w:pPr>
              <w:jc w:val="center"/>
              <w:rPr>
                <w:rFonts w:hint="eastAsia" w:ascii="宋体" w:cs="Times New Roman"/>
                <w:kern w:val="0"/>
                <w:sz w:val="18"/>
                <w:szCs w:val="18"/>
              </w:rPr>
            </w:pPr>
            <w:r>
              <w:rPr>
                <w:rFonts w:hint="eastAsia" w:ascii="宋体" w:cs="Times New Roman"/>
                <w:kern w:val="0"/>
                <w:sz w:val="18"/>
                <w:szCs w:val="18"/>
              </w:rPr>
              <w:t>提交</w:t>
            </w:r>
            <w:r>
              <w:rPr>
                <w:rFonts w:hint="eastAsia" w:ascii="宋体" w:cs="Times New Roman"/>
                <w:kern w:val="0"/>
                <w:sz w:val="18"/>
                <w:szCs w:val="18"/>
                <w:lang w:eastAsia="zh-CN"/>
              </w:rPr>
              <w:t>淋浴房环</w:t>
            </w:r>
            <w:r>
              <w:rPr>
                <w:rFonts w:hint="eastAsia" w:ascii="宋体" w:cs="Times New Roman"/>
                <w:kern w:val="0"/>
                <w:sz w:val="18"/>
                <w:szCs w:val="18"/>
              </w:rPr>
              <w:t>境产品声明（EPD）和碳足迹报告</w:t>
            </w:r>
          </w:p>
        </w:tc>
        <w:tc>
          <w:tcPr>
            <w:tcW w:w="1693" w:type="pct"/>
            <w:gridSpan w:val="2"/>
            <w:vMerge w:val="restart"/>
            <w:vAlign w:val="center"/>
          </w:tcPr>
          <w:p>
            <w:pPr>
              <w:jc w:val="center"/>
              <w:rPr>
                <w:rFonts w:ascii="宋体" w:cs="Times New Roman"/>
                <w:kern w:val="0"/>
                <w:sz w:val="18"/>
                <w:szCs w:val="18"/>
              </w:rPr>
            </w:pPr>
            <w:r>
              <w:rPr>
                <w:rFonts w:hint="eastAsia" w:ascii="宋体" w:cs="Times New Roman"/>
                <w:kern w:val="0"/>
                <w:sz w:val="18"/>
                <w:szCs w:val="18"/>
              </w:rPr>
              <w:t>至少满足一项</w:t>
            </w:r>
          </w:p>
        </w:tc>
        <w:tc>
          <w:tcPr>
            <w:tcW w:w="819" w:type="pct"/>
            <w:vMerge w:val="restart"/>
            <w:vAlign w:val="center"/>
          </w:tcPr>
          <w:p>
            <w:pPr>
              <w:jc w:val="center"/>
              <w:rPr>
                <w:rFonts w:ascii="宋体" w:cs="Times New Roman"/>
                <w:kern w:val="0"/>
                <w:sz w:val="18"/>
                <w:szCs w:val="18"/>
              </w:rPr>
            </w:pPr>
            <w:r>
              <w:rPr>
                <w:rFonts w:hint="eastAsia" w:ascii="宋体" w:cs="Times New Roman"/>
                <w:kern w:val="0"/>
                <w:sz w:val="18"/>
                <w:szCs w:val="18"/>
              </w:rPr>
              <w:t>至少满足两项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2487" w:type="pct"/>
          </w:tcPr>
          <w:p>
            <w:pPr>
              <w:jc w:val="center"/>
              <w:rPr>
                <w:rFonts w:ascii="宋体" w:cs="Times New Roman"/>
                <w:kern w:val="0"/>
                <w:sz w:val="18"/>
                <w:szCs w:val="18"/>
              </w:rPr>
            </w:pPr>
            <w:r>
              <w:rPr>
                <w:rFonts w:hint="eastAsia" w:ascii="宋体" w:cs="Times New Roman"/>
                <w:kern w:val="0"/>
                <w:sz w:val="18"/>
                <w:szCs w:val="18"/>
              </w:rPr>
              <w:t>企业按照GB/T 28001建立职业健康管理体系</w:t>
            </w:r>
          </w:p>
        </w:tc>
        <w:tc>
          <w:tcPr>
            <w:tcW w:w="1693" w:type="pct"/>
            <w:gridSpan w:val="2"/>
            <w:vMerge w:val="continue"/>
          </w:tcPr>
          <w:p>
            <w:pPr>
              <w:pStyle w:val="39"/>
              <w:numPr>
                <w:ilvl w:val="0"/>
                <w:numId w:val="0"/>
              </w:numPr>
              <w:spacing w:before="156" w:after="156"/>
            </w:pPr>
          </w:p>
        </w:tc>
        <w:tc>
          <w:tcPr>
            <w:tcW w:w="819" w:type="pct"/>
            <w:vMerge w:val="continue"/>
          </w:tcPr>
          <w:p>
            <w:pPr>
              <w:pStyle w:val="39"/>
              <w:numPr>
                <w:ilvl w:val="0"/>
                <w:numId w:val="0"/>
              </w:numPr>
              <w:spacing w:before="156" w:after="156"/>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2487" w:type="pct"/>
          </w:tcPr>
          <w:p>
            <w:pPr>
              <w:jc w:val="center"/>
              <w:rPr>
                <w:rFonts w:ascii="宋体" w:cs="Times New Roman"/>
                <w:kern w:val="0"/>
                <w:sz w:val="18"/>
                <w:szCs w:val="18"/>
              </w:rPr>
            </w:pPr>
            <w:r>
              <w:rPr>
                <w:rFonts w:hint="eastAsia" w:ascii="宋体" w:cs="Times New Roman"/>
                <w:kern w:val="0"/>
                <w:sz w:val="18"/>
                <w:szCs w:val="18"/>
              </w:rPr>
              <w:t>企业按照按照GB</w:t>
            </w:r>
            <w:r>
              <w:rPr>
                <w:rFonts w:ascii="宋体" w:cs="Times New Roman"/>
                <w:kern w:val="0"/>
                <w:sz w:val="18"/>
                <w:szCs w:val="18"/>
              </w:rPr>
              <w:t>/T 23331</w:t>
            </w:r>
            <w:r>
              <w:rPr>
                <w:rFonts w:hint="eastAsia" w:ascii="宋体" w:cs="Times New Roman"/>
                <w:kern w:val="0"/>
                <w:sz w:val="18"/>
                <w:szCs w:val="18"/>
              </w:rPr>
              <w:t>建立能源管理体系</w:t>
            </w:r>
          </w:p>
        </w:tc>
        <w:tc>
          <w:tcPr>
            <w:tcW w:w="1693" w:type="pct"/>
            <w:gridSpan w:val="2"/>
            <w:vMerge w:val="continue"/>
          </w:tcPr>
          <w:p>
            <w:pPr>
              <w:pStyle w:val="39"/>
              <w:numPr>
                <w:ilvl w:val="0"/>
                <w:numId w:val="0"/>
              </w:numPr>
              <w:spacing w:before="156" w:after="156"/>
            </w:pPr>
          </w:p>
        </w:tc>
        <w:tc>
          <w:tcPr>
            <w:tcW w:w="819" w:type="pct"/>
            <w:vMerge w:val="continue"/>
          </w:tcPr>
          <w:p>
            <w:pPr>
              <w:pStyle w:val="39"/>
              <w:numPr>
                <w:ilvl w:val="0"/>
                <w:numId w:val="0"/>
              </w:numPr>
              <w:spacing w:before="156" w:after="156"/>
            </w:pPr>
          </w:p>
        </w:tc>
      </w:tr>
    </w:tbl>
    <w:p>
      <w:pPr>
        <w:pStyle w:val="62"/>
        <w:numPr>
          <w:ilvl w:val="2"/>
          <w:numId w:val="0"/>
        </w:numPr>
      </w:pPr>
    </w:p>
    <w:p>
      <w:pPr>
        <w:pStyle w:val="39"/>
        <w:spacing w:before="156" w:after="156"/>
        <w:rPr>
          <w:rFonts w:cs="Times New Roman"/>
        </w:rPr>
      </w:pPr>
      <w:r>
        <w:rPr>
          <w:rFonts w:hint="eastAsia" w:cs="Times New Roman"/>
        </w:rPr>
        <w:t>评价指标要求</w:t>
      </w:r>
    </w:p>
    <w:p>
      <w:pPr>
        <w:pStyle w:val="22"/>
      </w:pPr>
      <w:r>
        <w:rPr>
          <w:rFonts w:hint="eastAsia"/>
        </w:rPr>
        <w:t>淋浴房产品的评价指标由一级指标和二级指标组成，其中一级指标包括资源属性指标、能源属性指标、环境属性指标和品质属性指标，评价指标要求应符合表</w:t>
      </w:r>
      <w:r>
        <w:rPr>
          <w:rFonts w:hint="eastAsia"/>
          <w:lang w:val="en-US" w:eastAsia="zh-CN"/>
        </w:rPr>
        <w:t>2</w:t>
      </w:r>
      <w:r>
        <w:rPr>
          <w:rFonts w:hint="eastAsia"/>
        </w:rPr>
        <w:t>的规定。</w:t>
      </w:r>
    </w:p>
    <w:p>
      <w:pPr>
        <w:pStyle w:val="128"/>
        <w:numPr>
          <w:ilvl w:val="0"/>
          <w:numId w:val="0"/>
        </w:numPr>
        <w:spacing w:before="156" w:after="156"/>
        <w:ind w:leftChars="405"/>
        <w:jc w:val="center"/>
      </w:pPr>
      <w:r>
        <w:rPr>
          <w:rFonts w:hint="eastAsia"/>
          <w:lang w:eastAsia="zh-CN"/>
        </w:rPr>
        <w:t>表</w:t>
      </w:r>
      <w:r>
        <w:rPr>
          <w:rFonts w:hint="eastAsia"/>
          <w:lang w:val="en-US" w:eastAsia="zh-CN"/>
        </w:rPr>
        <w:t xml:space="preserve">2 </w:t>
      </w:r>
      <w:r>
        <w:rPr>
          <w:rFonts w:hint="eastAsia"/>
        </w:rPr>
        <w:t>淋浴房产品评价指标要求</w:t>
      </w:r>
      <w:r>
        <w:commentReference w:id="0"/>
      </w:r>
    </w:p>
    <w:tbl>
      <w:tblPr>
        <w:tblStyle w:val="30"/>
        <w:tblW w:w="9153"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7"/>
        <w:gridCol w:w="975"/>
        <w:gridCol w:w="1395"/>
        <w:gridCol w:w="945"/>
        <w:gridCol w:w="1246"/>
        <w:gridCol w:w="1230"/>
        <w:gridCol w:w="1260"/>
        <w:gridCol w:w="13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exact"/>
        </w:trPr>
        <w:tc>
          <w:tcPr>
            <w:tcW w:w="797" w:type="dxa"/>
            <w:vMerge w:val="restart"/>
            <w:tcBorders>
              <w:top w:val="single" w:color="auto" w:sz="8" w:space="0"/>
            </w:tcBorders>
            <w:vAlign w:val="center"/>
          </w:tcPr>
          <w:p>
            <w:pPr>
              <w:jc w:val="center"/>
              <w:rPr>
                <w:rFonts w:ascii="宋体"/>
                <w:kern w:val="0"/>
                <w:sz w:val="18"/>
                <w:szCs w:val="18"/>
              </w:rPr>
            </w:pPr>
            <w:r>
              <w:rPr>
                <w:rFonts w:hint="eastAsia" w:ascii="宋体"/>
                <w:kern w:val="0"/>
                <w:sz w:val="18"/>
                <w:szCs w:val="18"/>
              </w:rPr>
              <w:t>一级指标</w:t>
            </w:r>
          </w:p>
        </w:tc>
        <w:tc>
          <w:tcPr>
            <w:tcW w:w="2370" w:type="dxa"/>
            <w:gridSpan w:val="2"/>
            <w:vMerge w:val="restart"/>
            <w:tcBorders>
              <w:top w:val="single" w:color="auto" w:sz="8" w:space="0"/>
            </w:tcBorders>
            <w:vAlign w:val="center"/>
          </w:tcPr>
          <w:p>
            <w:pPr>
              <w:jc w:val="center"/>
              <w:rPr>
                <w:rFonts w:ascii="宋体"/>
                <w:kern w:val="0"/>
                <w:sz w:val="18"/>
                <w:szCs w:val="18"/>
              </w:rPr>
            </w:pPr>
            <w:r>
              <w:rPr>
                <w:rFonts w:hint="eastAsia" w:ascii="宋体"/>
                <w:kern w:val="0"/>
                <w:sz w:val="18"/>
                <w:szCs w:val="18"/>
              </w:rPr>
              <w:t>二级指标</w:t>
            </w:r>
          </w:p>
        </w:tc>
        <w:tc>
          <w:tcPr>
            <w:tcW w:w="945" w:type="dxa"/>
            <w:vMerge w:val="restart"/>
            <w:tcBorders>
              <w:top w:val="single" w:color="auto" w:sz="8" w:space="0"/>
            </w:tcBorders>
            <w:vAlign w:val="center"/>
          </w:tcPr>
          <w:p>
            <w:pPr>
              <w:jc w:val="center"/>
              <w:rPr>
                <w:rFonts w:ascii="宋体"/>
                <w:kern w:val="0"/>
                <w:sz w:val="18"/>
                <w:szCs w:val="18"/>
              </w:rPr>
            </w:pPr>
            <w:r>
              <w:rPr>
                <w:rFonts w:hint="eastAsia" w:ascii="宋体"/>
                <w:kern w:val="0"/>
                <w:sz w:val="18"/>
                <w:szCs w:val="18"/>
              </w:rPr>
              <w:t>单位</w:t>
            </w:r>
          </w:p>
        </w:tc>
        <w:tc>
          <w:tcPr>
            <w:tcW w:w="3736" w:type="dxa"/>
            <w:gridSpan w:val="3"/>
            <w:tcBorders>
              <w:top w:val="single" w:color="auto" w:sz="8" w:space="0"/>
              <w:bottom w:val="single" w:color="auto" w:sz="8" w:space="0"/>
            </w:tcBorders>
            <w:vAlign w:val="center"/>
          </w:tcPr>
          <w:p>
            <w:pPr>
              <w:jc w:val="center"/>
              <w:rPr>
                <w:rFonts w:ascii="宋体"/>
                <w:kern w:val="0"/>
                <w:sz w:val="18"/>
                <w:szCs w:val="18"/>
              </w:rPr>
            </w:pPr>
            <w:r>
              <w:rPr>
                <w:rFonts w:hint="eastAsia" w:ascii="宋体"/>
                <w:kern w:val="0"/>
                <w:sz w:val="18"/>
                <w:szCs w:val="18"/>
              </w:rPr>
              <w:t>基准值</w:t>
            </w:r>
          </w:p>
        </w:tc>
        <w:tc>
          <w:tcPr>
            <w:tcW w:w="1305" w:type="dxa"/>
            <w:vMerge w:val="restart"/>
            <w:tcBorders>
              <w:top w:val="single" w:color="auto" w:sz="8" w:space="0"/>
            </w:tcBorders>
            <w:vAlign w:val="center"/>
          </w:tcPr>
          <w:p>
            <w:pPr>
              <w:jc w:val="center"/>
              <w:rPr>
                <w:rFonts w:hint="eastAsia" w:ascii="宋体"/>
                <w:kern w:val="0"/>
                <w:sz w:val="18"/>
                <w:szCs w:val="18"/>
              </w:rPr>
            </w:pPr>
            <w:r>
              <w:rPr>
                <w:rFonts w:hint="eastAsia" w:ascii="宋体"/>
                <w:kern w:val="0"/>
                <w:sz w:val="18"/>
                <w:szCs w:val="18"/>
              </w:rPr>
              <w:t>评价依据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97" w:type="dxa"/>
            <w:vMerge w:val="continue"/>
          </w:tcPr>
          <w:p>
            <w:pPr>
              <w:jc w:val="center"/>
              <w:rPr>
                <w:rFonts w:ascii="宋体"/>
                <w:kern w:val="0"/>
                <w:sz w:val="18"/>
                <w:szCs w:val="18"/>
              </w:rPr>
            </w:pPr>
          </w:p>
        </w:tc>
        <w:tc>
          <w:tcPr>
            <w:tcW w:w="2370" w:type="dxa"/>
            <w:gridSpan w:val="2"/>
            <w:vMerge w:val="continue"/>
          </w:tcPr>
          <w:p>
            <w:pPr>
              <w:jc w:val="center"/>
              <w:rPr>
                <w:rFonts w:ascii="宋体"/>
                <w:kern w:val="0"/>
                <w:sz w:val="18"/>
                <w:szCs w:val="18"/>
              </w:rPr>
            </w:pPr>
          </w:p>
        </w:tc>
        <w:tc>
          <w:tcPr>
            <w:tcW w:w="945" w:type="dxa"/>
            <w:vMerge w:val="continue"/>
          </w:tcPr>
          <w:p>
            <w:pPr>
              <w:jc w:val="center"/>
              <w:rPr>
                <w:rFonts w:ascii="宋体"/>
                <w:kern w:val="0"/>
                <w:sz w:val="18"/>
                <w:szCs w:val="18"/>
              </w:rPr>
            </w:pPr>
          </w:p>
        </w:tc>
        <w:tc>
          <w:tcPr>
            <w:tcW w:w="1246" w:type="dxa"/>
            <w:tcBorders>
              <w:top w:val="single" w:color="auto" w:sz="8" w:space="0"/>
              <w:bottom w:val="single" w:color="auto" w:sz="8" w:space="0"/>
            </w:tcBorders>
            <w:vAlign w:val="center"/>
          </w:tcPr>
          <w:p>
            <w:pPr>
              <w:jc w:val="center"/>
              <w:rPr>
                <w:rFonts w:ascii="宋体" w:cs="宋体"/>
                <w:kern w:val="0"/>
                <w:sz w:val="18"/>
                <w:szCs w:val="18"/>
              </w:rPr>
            </w:pPr>
            <w:r>
              <w:rPr>
                <w:rFonts w:hint="eastAsia" w:ascii="宋体" w:cs="宋体"/>
                <w:kern w:val="0"/>
                <w:sz w:val="18"/>
                <w:szCs w:val="18"/>
              </w:rPr>
              <w:t>一星级</w:t>
            </w:r>
          </w:p>
        </w:tc>
        <w:tc>
          <w:tcPr>
            <w:tcW w:w="1230" w:type="dxa"/>
            <w:tcBorders>
              <w:top w:val="single" w:color="auto" w:sz="8" w:space="0"/>
              <w:bottom w:val="single" w:color="auto" w:sz="8" w:space="0"/>
            </w:tcBorders>
            <w:vAlign w:val="center"/>
          </w:tcPr>
          <w:p>
            <w:pPr>
              <w:jc w:val="center"/>
              <w:rPr>
                <w:rFonts w:ascii="宋体" w:cs="宋体"/>
                <w:kern w:val="0"/>
                <w:sz w:val="18"/>
                <w:szCs w:val="18"/>
              </w:rPr>
            </w:pPr>
            <w:r>
              <w:rPr>
                <w:rFonts w:hint="eastAsia" w:ascii="宋体" w:cs="宋体"/>
                <w:kern w:val="0"/>
                <w:sz w:val="18"/>
                <w:szCs w:val="18"/>
              </w:rPr>
              <w:t>二星级</w:t>
            </w:r>
          </w:p>
        </w:tc>
        <w:tc>
          <w:tcPr>
            <w:tcW w:w="1260" w:type="dxa"/>
            <w:tcBorders>
              <w:top w:val="single" w:color="auto" w:sz="8" w:space="0"/>
              <w:bottom w:val="single" w:color="auto" w:sz="8" w:space="0"/>
            </w:tcBorders>
            <w:vAlign w:val="center"/>
          </w:tcPr>
          <w:p>
            <w:pPr>
              <w:jc w:val="center"/>
              <w:rPr>
                <w:rFonts w:ascii="宋体" w:cs="宋体"/>
                <w:kern w:val="0"/>
                <w:sz w:val="18"/>
                <w:szCs w:val="18"/>
              </w:rPr>
            </w:pPr>
            <w:r>
              <w:rPr>
                <w:rFonts w:hint="eastAsia" w:ascii="宋体" w:cs="宋体"/>
                <w:kern w:val="0"/>
                <w:sz w:val="18"/>
                <w:szCs w:val="18"/>
              </w:rPr>
              <w:t>三星级</w:t>
            </w:r>
          </w:p>
        </w:tc>
        <w:tc>
          <w:tcPr>
            <w:tcW w:w="1305" w:type="dxa"/>
            <w:vMerge w:val="continue"/>
            <w:tcBorders>
              <w:bottom w:val="single" w:color="auto" w:sz="8" w:space="0"/>
            </w:tcBorders>
            <w:vAlign w:val="center"/>
          </w:tcPr>
          <w:p>
            <w:pPr>
              <w:jc w:val="center"/>
              <w:rPr>
                <w:rFonts w:hint="eastAsia" w:asci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97" w:type="dxa"/>
            <w:vMerge w:val="restart"/>
            <w:vAlign w:val="center"/>
          </w:tcPr>
          <w:p>
            <w:pPr>
              <w:jc w:val="center"/>
              <w:rPr>
                <w:rFonts w:ascii="宋体"/>
                <w:kern w:val="0"/>
                <w:sz w:val="18"/>
                <w:szCs w:val="18"/>
              </w:rPr>
            </w:pPr>
            <w:r>
              <w:rPr>
                <w:rFonts w:hint="eastAsia" w:ascii="宋体"/>
                <w:kern w:val="0"/>
                <w:sz w:val="18"/>
                <w:szCs w:val="18"/>
              </w:rPr>
              <w:t>资源属性</w:t>
            </w:r>
          </w:p>
        </w:tc>
        <w:tc>
          <w:tcPr>
            <w:tcW w:w="2370" w:type="dxa"/>
            <w:gridSpan w:val="2"/>
            <w:vAlign w:val="center"/>
          </w:tcPr>
          <w:p>
            <w:pPr>
              <w:jc w:val="center"/>
              <w:rPr>
                <w:rFonts w:ascii="宋体"/>
                <w:kern w:val="0"/>
                <w:sz w:val="18"/>
                <w:szCs w:val="18"/>
              </w:rPr>
            </w:pPr>
            <w:r>
              <w:rPr>
                <w:rFonts w:hint="eastAsia" w:ascii="宋体"/>
                <w:kern w:val="0"/>
                <w:sz w:val="18"/>
                <w:szCs w:val="18"/>
              </w:rPr>
              <w:t>生产废料综合处置和利用率</w:t>
            </w:r>
          </w:p>
        </w:tc>
        <w:tc>
          <w:tcPr>
            <w:tcW w:w="945" w:type="dxa"/>
            <w:vAlign w:val="center"/>
          </w:tcPr>
          <w:p>
            <w:pPr>
              <w:jc w:val="center"/>
              <w:rPr>
                <w:rFonts w:ascii="宋体"/>
                <w:kern w:val="0"/>
                <w:sz w:val="18"/>
                <w:szCs w:val="18"/>
              </w:rPr>
            </w:pPr>
            <w:r>
              <w:rPr>
                <w:rFonts w:hint="eastAsia" w:ascii="宋体"/>
                <w:kern w:val="0"/>
                <w:sz w:val="18"/>
                <w:szCs w:val="18"/>
              </w:rPr>
              <w:t>%</w:t>
            </w:r>
          </w:p>
        </w:tc>
        <w:tc>
          <w:tcPr>
            <w:tcW w:w="1246" w:type="dxa"/>
            <w:tcBorders>
              <w:top w:val="single" w:color="auto" w:sz="8" w:space="0"/>
              <w:bottom w:val="single" w:color="auto" w:sz="8" w:space="0"/>
            </w:tcBorders>
            <w:vAlign w:val="center"/>
          </w:tcPr>
          <w:p>
            <w:pPr>
              <w:jc w:val="center"/>
              <w:rPr>
                <w:rFonts w:ascii="宋体" w:cs="宋体"/>
                <w:kern w:val="0"/>
                <w:sz w:val="18"/>
                <w:szCs w:val="18"/>
              </w:rPr>
            </w:pPr>
            <w:r>
              <w:rPr>
                <w:rFonts w:hint="eastAsia" w:ascii="宋体" w:cs="宋体"/>
                <w:kern w:val="0"/>
                <w:sz w:val="18"/>
                <w:szCs w:val="18"/>
              </w:rPr>
              <w:t>≥90</w:t>
            </w:r>
          </w:p>
        </w:tc>
        <w:tc>
          <w:tcPr>
            <w:tcW w:w="1230" w:type="dxa"/>
            <w:tcBorders>
              <w:top w:val="single" w:color="auto" w:sz="8" w:space="0"/>
              <w:bottom w:val="single" w:color="auto" w:sz="8" w:space="0"/>
            </w:tcBorders>
            <w:vAlign w:val="center"/>
          </w:tcPr>
          <w:p>
            <w:pPr>
              <w:jc w:val="center"/>
              <w:rPr>
                <w:rFonts w:ascii="宋体" w:cs="宋体"/>
                <w:kern w:val="0"/>
                <w:sz w:val="18"/>
                <w:szCs w:val="18"/>
              </w:rPr>
            </w:pPr>
            <w:r>
              <w:rPr>
                <w:rFonts w:hint="eastAsia" w:ascii="宋体" w:cs="宋体"/>
                <w:kern w:val="0"/>
                <w:sz w:val="18"/>
                <w:szCs w:val="18"/>
              </w:rPr>
              <w:t>≥95</w:t>
            </w:r>
          </w:p>
        </w:tc>
        <w:tc>
          <w:tcPr>
            <w:tcW w:w="1260" w:type="dxa"/>
            <w:tcBorders>
              <w:top w:val="single" w:color="auto" w:sz="8" w:space="0"/>
              <w:bottom w:val="single" w:color="auto" w:sz="8" w:space="0"/>
            </w:tcBorders>
            <w:vAlign w:val="center"/>
          </w:tcPr>
          <w:p>
            <w:pPr>
              <w:jc w:val="center"/>
              <w:rPr>
                <w:rFonts w:ascii="宋体" w:cs="宋体"/>
                <w:kern w:val="0"/>
                <w:sz w:val="18"/>
                <w:szCs w:val="18"/>
              </w:rPr>
            </w:pPr>
            <w:r>
              <w:rPr>
                <w:rFonts w:hint="eastAsia" w:ascii="宋体" w:cs="宋体"/>
                <w:kern w:val="0"/>
                <w:sz w:val="18"/>
                <w:szCs w:val="18"/>
              </w:rPr>
              <w:t>≥100</w:t>
            </w:r>
          </w:p>
        </w:tc>
        <w:tc>
          <w:tcPr>
            <w:tcW w:w="1305" w:type="dxa"/>
            <w:tcBorders>
              <w:top w:val="single" w:color="auto" w:sz="8" w:space="0"/>
              <w:bottom w:val="single" w:color="auto" w:sz="8" w:space="0"/>
            </w:tcBorders>
            <w:vAlign w:val="center"/>
          </w:tcPr>
          <w:p>
            <w:pPr>
              <w:jc w:val="center"/>
              <w:rPr>
                <w:rFonts w:hint="eastAsia" w:ascii="宋体" w:cs="宋体"/>
                <w:kern w:val="0"/>
                <w:sz w:val="18"/>
                <w:szCs w:val="18"/>
              </w:rPr>
            </w:pPr>
            <w:r>
              <w:rPr>
                <w:rFonts w:hint="eastAsia" w:ascii="宋体" w:cs="宋体"/>
                <w:kern w:val="0"/>
                <w:sz w:val="18"/>
                <w:szCs w:val="18"/>
              </w:rPr>
              <w:t>附录A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97" w:type="dxa"/>
            <w:vMerge w:val="continue"/>
            <w:vAlign w:val="center"/>
          </w:tcPr>
          <w:p>
            <w:pPr>
              <w:jc w:val="center"/>
              <w:rPr>
                <w:rFonts w:ascii="宋体"/>
                <w:kern w:val="0"/>
                <w:sz w:val="18"/>
                <w:szCs w:val="18"/>
              </w:rPr>
            </w:pPr>
          </w:p>
        </w:tc>
        <w:tc>
          <w:tcPr>
            <w:tcW w:w="2370" w:type="dxa"/>
            <w:gridSpan w:val="2"/>
            <w:vAlign w:val="center"/>
          </w:tcPr>
          <w:p>
            <w:pPr>
              <w:jc w:val="center"/>
              <w:rPr>
                <w:rFonts w:ascii="宋体"/>
                <w:kern w:val="0"/>
                <w:sz w:val="18"/>
                <w:szCs w:val="18"/>
              </w:rPr>
            </w:pPr>
            <w:r>
              <w:rPr>
                <w:rFonts w:hint="eastAsia" w:ascii="宋体"/>
                <w:kern w:val="0"/>
                <w:sz w:val="18"/>
                <w:szCs w:val="18"/>
              </w:rPr>
              <w:t>单位产品取水量</w:t>
            </w:r>
          </w:p>
        </w:tc>
        <w:tc>
          <w:tcPr>
            <w:tcW w:w="945" w:type="dxa"/>
            <w:vAlign w:val="center"/>
          </w:tcPr>
          <w:p>
            <w:pPr>
              <w:jc w:val="center"/>
              <w:rPr>
                <w:rFonts w:ascii="宋体"/>
                <w:kern w:val="0"/>
                <w:sz w:val="18"/>
                <w:szCs w:val="18"/>
              </w:rPr>
            </w:pPr>
            <w:r>
              <w:rPr>
                <w:rFonts w:hint="eastAsia" w:ascii="宋体"/>
                <w:kern w:val="0"/>
                <w:sz w:val="18"/>
                <w:szCs w:val="18"/>
              </w:rPr>
              <w:t>m</w:t>
            </w:r>
            <w:r>
              <w:rPr>
                <w:rFonts w:hint="eastAsia" w:ascii="宋体"/>
                <w:kern w:val="0"/>
                <w:sz w:val="18"/>
                <w:szCs w:val="18"/>
                <w:vertAlign w:val="superscript"/>
              </w:rPr>
              <w:t>3</w:t>
            </w:r>
            <w:r>
              <w:rPr>
                <w:rFonts w:hint="eastAsia" w:ascii="宋体"/>
                <w:kern w:val="0"/>
                <w:sz w:val="18"/>
                <w:szCs w:val="18"/>
              </w:rPr>
              <w:t>/t</w:t>
            </w:r>
          </w:p>
        </w:tc>
        <w:tc>
          <w:tcPr>
            <w:tcW w:w="3736" w:type="dxa"/>
            <w:gridSpan w:val="3"/>
            <w:tcBorders>
              <w:top w:val="single" w:color="auto" w:sz="8" w:space="0"/>
              <w:bottom w:val="single" w:color="auto" w:sz="8" w:space="0"/>
            </w:tcBorders>
            <w:vAlign w:val="center"/>
          </w:tcPr>
          <w:p>
            <w:pPr>
              <w:jc w:val="center"/>
              <w:rPr>
                <w:rFonts w:ascii="宋体" w:cs="宋体"/>
                <w:kern w:val="0"/>
                <w:sz w:val="18"/>
                <w:szCs w:val="18"/>
              </w:rPr>
            </w:pPr>
            <w:r>
              <w:rPr>
                <w:rFonts w:hint="eastAsia" w:ascii="宋体" w:cs="宋体"/>
                <w:kern w:val="0"/>
                <w:sz w:val="18"/>
                <w:szCs w:val="18"/>
              </w:rPr>
              <w:t>≤6.0</w:t>
            </w:r>
          </w:p>
        </w:tc>
        <w:tc>
          <w:tcPr>
            <w:tcW w:w="1305" w:type="dxa"/>
            <w:tcBorders>
              <w:top w:val="single" w:color="auto" w:sz="8" w:space="0"/>
              <w:bottom w:val="single" w:color="auto" w:sz="8" w:space="0"/>
            </w:tcBorders>
            <w:vAlign w:val="center"/>
          </w:tcPr>
          <w:p>
            <w:pPr>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T/CECS 10041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97" w:type="dxa"/>
            <w:vMerge w:val="continue"/>
            <w:vAlign w:val="center"/>
          </w:tcPr>
          <w:p>
            <w:pPr>
              <w:jc w:val="center"/>
              <w:rPr>
                <w:rFonts w:ascii="宋体"/>
                <w:kern w:val="0"/>
                <w:sz w:val="18"/>
                <w:szCs w:val="18"/>
              </w:rPr>
            </w:pPr>
          </w:p>
        </w:tc>
        <w:tc>
          <w:tcPr>
            <w:tcW w:w="975" w:type="dxa"/>
            <w:vAlign w:val="center"/>
          </w:tcPr>
          <w:p>
            <w:pPr>
              <w:jc w:val="center"/>
              <w:rPr>
                <w:rFonts w:ascii="宋体"/>
                <w:kern w:val="0"/>
                <w:sz w:val="18"/>
                <w:szCs w:val="18"/>
              </w:rPr>
            </w:pPr>
            <w:r>
              <w:rPr>
                <w:rFonts w:hint="eastAsia" w:ascii="宋体"/>
                <w:kern w:val="0"/>
                <w:sz w:val="18"/>
                <w:szCs w:val="18"/>
              </w:rPr>
              <w:t>产品包装</w:t>
            </w:r>
          </w:p>
        </w:tc>
        <w:tc>
          <w:tcPr>
            <w:tcW w:w="1395" w:type="dxa"/>
            <w:vAlign w:val="center"/>
          </w:tcPr>
          <w:p>
            <w:pPr>
              <w:jc w:val="center"/>
              <w:rPr>
                <w:rFonts w:ascii="宋体"/>
                <w:kern w:val="0"/>
                <w:sz w:val="18"/>
                <w:szCs w:val="18"/>
              </w:rPr>
            </w:pPr>
            <w:r>
              <w:rPr>
                <w:rFonts w:hint="eastAsia" w:ascii="宋体"/>
                <w:kern w:val="0"/>
                <w:sz w:val="18"/>
                <w:szCs w:val="18"/>
              </w:rPr>
              <w:t>可循环材料利用率</w:t>
            </w:r>
          </w:p>
        </w:tc>
        <w:tc>
          <w:tcPr>
            <w:tcW w:w="945" w:type="dxa"/>
            <w:vAlign w:val="center"/>
          </w:tcPr>
          <w:p>
            <w:pPr>
              <w:jc w:val="center"/>
              <w:rPr>
                <w:rFonts w:ascii="宋体"/>
                <w:kern w:val="0"/>
                <w:sz w:val="18"/>
                <w:szCs w:val="18"/>
              </w:rPr>
            </w:pPr>
            <w:r>
              <w:rPr>
                <w:rFonts w:hint="eastAsia" w:ascii="宋体"/>
                <w:kern w:val="0"/>
                <w:sz w:val="18"/>
                <w:szCs w:val="18"/>
              </w:rPr>
              <w:t>——</w:t>
            </w:r>
          </w:p>
        </w:tc>
        <w:tc>
          <w:tcPr>
            <w:tcW w:w="1246" w:type="dxa"/>
            <w:tcBorders>
              <w:top w:val="single" w:color="auto" w:sz="8" w:space="0"/>
              <w:bottom w:val="single" w:color="auto" w:sz="8" w:space="0"/>
            </w:tcBorders>
            <w:vAlign w:val="center"/>
          </w:tcPr>
          <w:p>
            <w:pPr>
              <w:jc w:val="center"/>
              <w:rPr>
                <w:rFonts w:ascii="宋体" w:cs="宋体"/>
                <w:kern w:val="0"/>
                <w:sz w:val="18"/>
                <w:szCs w:val="18"/>
              </w:rPr>
            </w:pPr>
            <w:r>
              <w:rPr>
                <w:rFonts w:hint="eastAsia" w:ascii="宋体" w:cs="宋体"/>
                <w:kern w:val="0"/>
                <w:sz w:val="18"/>
                <w:szCs w:val="18"/>
              </w:rPr>
              <w:t>≥75</w:t>
            </w:r>
          </w:p>
        </w:tc>
        <w:tc>
          <w:tcPr>
            <w:tcW w:w="1230" w:type="dxa"/>
            <w:tcBorders>
              <w:top w:val="single" w:color="auto" w:sz="8" w:space="0"/>
              <w:bottom w:val="single" w:color="auto" w:sz="8" w:space="0"/>
            </w:tcBorders>
            <w:vAlign w:val="center"/>
          </w:tcPr>
          <w:p>
            <w:pPr>
              <w:jc w:val="center"/>
              <w:rPr>
                <w:rFonts w:ascii="宋体" w:cs="宋体"/>
                <w:kern w:val="0"/>
                <w:sz w:val="18"/>
                <w:szCs w:val="18"/>
              </w:rPr>
            </w:pPr>
            <w:r>
              <w:rPr>
                <w:rFonts w:hint="eastAsia" w:ascii="宋体" w:cs="宋体"/>
                <w:kern w:val="0"/>
                <w:sz w:val="18"/>
                <w:szCs w:val="18"/>
              </w:rPr>
              <w:t>≥80</w:t>
            </w:r>
          </w:p>
        </w:tc>
        <w:tc>
          <w:tcPr>
            <w:tcW w:w="1260" w:type="dxa"/>
            <w:tcBorders>
              <w:top w:val="single" w:color="auto" w:sz="8" w:space="0"/>
              <w:bottom w:val="single" w:color="auto" w:sz="8" w:space="0"/>
            </w:tcBorders>
            <w:vAlign w:val="center"/>
          </w:tcPr>
          <w:p>
            <w:pPr>
              <w:jc w:val="center"/>
              <w:rPr>
                <w:rFonts w:ascii="宋体" w:cs="宋体"/>
                <w:kern w:val="0"/>
                <w:sz w:val="18"/>
                <w:szCs w:val="18"/>
              </w:rPr>
            </w:pPr>
            <w:r>
              <w:rPr>
                <w:rFonts w:hint="eastAsia" w:ascii="宋体" w:cs="宋体"/>
                <w:kern w:val="0"/>
                <w:sz w:val="18"/>
                <w:szCs w:val="18"/>
              </w:rPr>
              <w:t>≥85</w:t>
            </w:r>
          </w:p>
        </w:tc>
        <w:tc>
          <w:tcPr>
            <w:tcW w:w="1305" w:type="dxa"/>
            <w:tcBorders>
              <w:top w:val="single" w:color="auto" w:sz="8" w:space="0"/>
              <w:bottom w:val="single" w:color="auto" w:sz="8" w:space="0"/>
            </w:tcBorders>
            <w:vAlign w:val="center"/>
          </w:tcPr>
          <w:p>
            <w:pPr>
              <w:jc w:val="center"/>
              <w:rPr>
                <w:rFonts w:hint="eastAsia" w:ascii="宋体" w:cs="宋体"/>
                <w:kern w:val="0"/>
                <w:sz w:val="18"/>
                <w:szCs w:val="18"/>
              </w:rPr>
            </w:pPr>
            <w:r>
              <w:rPr>
                <w:rFonts w:hint="eastAsia" w:ascii="宋体" w:cs="宋体"/>
                <w:kern w:val="0"/>
                <w:sz w:val="18"/>
                <w:szCs w:val="18"/>
              </w:rPr>
              <w:t>GB 31268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97" w:type="dxa"/>
            <w:vMerge w:val="continue"/>
            <w:vAlign w:val="center"/>
          </w:tcPr>
          <w:p>
            <w:pPr>
              <w:jc w:val="center"/>
              <w:rPr>
                <w:rFonts w:ascii="宋体"/>
                <w:kern w:val="0"/>
                <w:sz w:val="18"/>
                <w:szCs w:val="18"/>
              </w:rPr>
            </w:pPr>
          </w:p>
        </w:tc>
        <w:tc>
          <w:tcPr>
            <w:tcW w:w="2370" w:type="dxa"/>
            <w:gridSpan w:val="2"/>
            <w:vAlign w:val="center"/>
          </w:tcPr>
          <w:p>
            <w:pPr>
              <w:jc w:val="center"/>
              <w:rPr>
                <w:rFonts w:ascii="宋体"/>
                <w:kern w:val="0"/>
                <w:sz w:val="18"/>
                <w:szCs w:val="18"/>
              </w:rPr>
            </w:pPr>
            <w:r>
              <w:rPr>
                <w:rFonts w:hint="eastAsia" w:ascii="宋体"/>
                <w:kern w:val="0"/>
                <w:sz w:val="18"/>
                <w:szCs w:val="18"/>
              </w:rPr>
              <w:t>型材材料利用率</w:t>
            </w:r>
          </w:p>
        </w:tc>
        <w:tc>
          <w:tcPr>
            <w:tcW w:w="945" w:type="dxa"/>
            <w:vAlign w:val="center"/>
          </w:tcPr>
          <w:p>
            <w:pPr>
              <w:jc w:val="center"/>
              <w:rPr>
                <w:rFonts w:ascii="宋体"/>
                <w:kern w:val="0"/>
                <w:sz w:val="18"/>
                <w:szCs w:val="18"/>
              </w:rPr>
            </w:pPr>
            <w:r>
              <w:rPr>
                <w:rFonts w:hint="eastAsia" w:ascii="宋体"/>
                <w:kern w:val="0"/>
                <w:sz w:val="18"/>
                <w:szCs w:val="18"/>
              </w:rPr>
              <w:t>%</w:t>
            </w:r>
          </w:p>
        </w:tc>
        <w:tc>
          <w:tcPr>
            <w:tcW w:w="1246" w:type="dxa"/>
            <w:tcBorders>
              <w:top w:val="single" w:color="auto" w:sz="8" w:space="0"/>
              <w:bottom w:val="single" w:color="auto" w:sz="8" w:space="0"/>
            </w:tcBorders>
            <w:vAlign w:val="center"/>
          </w:tcPr>
          <w:p>
            <w:pPr>
              <w:jc w:val="center"/>
              <w:rPr>
                <w:rFonts w:ascii="宋体" w:cs="宋体"/>
                <w:kern w:val="0"/>
                <w:sz w:val="18"/>
                <w:szCs w:val="18"/>
              </w:rPr>
            </w:pPr>
            <w:r>
              <w:rPr>
                <w:rFonts w:hint="eastAsia" w:ascii="宋体" w:cs="宋体"/>
                <w:kern w:val="0"/>
                <w:sz w:val="18"/>
                <w:szCs w:val="18"/>
              </w:rPr>
              <w:t>≥85</w:t>
            </w:r>
          </w:p>
        </w:tc>
        <w:tc>
          <w:tcPr>
            <w:tcW w:w="1230" w:type="dxa"/>
            <w:tcBorders>
              <w:top w:val="single" w:color="auto" w:sz="8" w:space="0"/>
              <w:bottom w:val="single" w:color="auto" w:sz="8" w:space="0"/>
            </w:tcBorders>
            <w:vAlign w:val="center"/>
          </w:tcPr>
          <w:p>
            <w:pPr>
              <w:jc w:val="center"/>
              <w:rPr>
                <w:rFonts w:ascii="宋体" w:cs="宋体"/>
                <w:kern w:val="0"/>
                <w:sz w:val="18"/>
                <w:szCs w:val="18"/>
              </w:rPr>
            </w:pPr>
            <w:r>
              <w:rPr>
                <w:rFonts w:hint="eastAsia" w:ascii="宋体" w:cs="宋体"/>
                <w:kern w:val="0"/>
                <w:sz w:val="18"/>
                <w:szCs w:val="18"/>
              </w:rPr>
              <w:t>≥90</w:t>
            </w:r>
          </w:p>
        </w:tc>
        <w:tc>
          <w:tcPr>
            <w:tcW w:w="1260" w:type="dxa"/>
            <w:tcBorders>
              <w:top w:val="single" w:color="auto" w:sz="8" w:space="0"/>
              <w:bottom w:val="single" w:color="auto" w:sz="8" w:space="0"/>
            </w:tcBorders>
            <w:vAlign w:val="center"/>
          </w:tcPr>
          <w:p>
            <w:pPr>
              <w:jc w:val="center"/>
              <w:rPr>
                <w:rFonts w:ascii="宋体" w:cs="宋体"/>
                <w:kern w:val="0"/>
                <w:sz w:val="18"/>
                <w:szCs w:val="18"/>
              </w:rPr>
            </w:pPr>
            <w:r>
              <w:rPr>
                <w:rFonts w:hint="eastAsia" w:ascii="宋体" w:cs="宋体"/>
                <w:kern w:val="0"/>
                <w:sz w:val="18"/>
                <w:szCs w:val="18"/>
              </w:rPr>
              <w:t>≥95</w:t>
            </w:r>
          </w:p>
        </w:tc>
        <w:tc>
          <w:tcPr>
            <w:tcW w:w="1305" w:type="dxa"/>
            <w:tcBorders>
              <w:top w:val="single" w:color="auto" w:sz="8" w:space="0"/>
              <w:bottom w:val="single" w:color="auto" w:sz="8" w:space="0"/>
            </w:tcBorders>
            <w:vAlign w:val="center"/>
          </w:tcPr>
          <w:p>
            <w:pPr>
              <w:jc w:val="center"/>
              <w:rPr>
                <w:rFonts w:hint="eastAsia" w:ascii="宋体" w:cs="宋体"/>
                <w:kern w:val="0"/>
                <w:sz w:val="18"/>
                <w:szCs w:val="18"/>
              </w:rPr>
            </w:pPr>
            <w:r>
              <w:rPr>
                <w:rFonts w:hint="eastAsia" w:ascii="宋体" w:cs="宋体"/>
                <w:kern w:val="0"/>
                <w:sz w:val="18"/>
                <w:szCs w:val="18"/>
                <w:lang w:val="en-US" w:eastAsia="zh-CN"/>
              </w:rPr>
              <w:t>T/CECS 10041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97" w:type="dxa"/>
            <w:vMerge w:val="continue"/>
            <w:vAlign w:val="center"/>
          </w:tcPr>
          <w:p>
            <w:pPr>
              <w:jc w:val="center"/>
              <w:rPr>
                <w:rFonts w:ascii="宋体"/>
                <w:kern w:val="0"/>
                <w:sz w:val="18"/>
                <w:szCs w:val="18"/>
              </w:rPr>
            </w:pPr>
          </w:p>
        </w:tc>
        <w:tc>
          <w:tcPr>
            <w:tcW w:w="2370" w:type="dxa"/>
            <w:gridSpan w:val="2"/>
            <w:vAlign w:val="center"/>
          </w:tcPr>
          <w:p>
            <w:pPr>
              <w:jc w:val="center"/>
              <w:rPr>
                <w:rFonts w:ascii="宋体"/>
                <w:kern w:val="0"/>
                <w:sz w:val="18"/>
                <w:szCs w:val="18"/>
              </w:rPr>
            </w:pPr>
            <w:r>
              <w:rPr>
                <w:rFonts w:hint="eastAsia" w:ascii="宋体"/>
                <w:kern w:val="0"/>
                <w:sz w:val="18"/>
                <w:szCs w:val="18"/>
              </w:rPr>
              <w:t>玻璃材料利用率</w:t>
            </w:r>
          </w:p>
        </w:tc>
        <w:tc>
          <w:tcPr>
            <w:tcW w:w="945" w:type="dxa"/>
            <w:vAlign w:val="center"/>
          </w:tcPr>
          <w:p>
            <w:pPr>
              <w:jc w:val="center"/>
              <w:rPr>
                <w:rFonts w:ascii="宋体"/>
                <w:kern w:val="0"/>
                <w:sz w:val="18"/>
                <w:szCs w:val="18"/>
              </w:rPr>
            </w:pPr>
            <w:r>
              <w:rPr>
                <w:rFonts w:hint="eastAsia" w:ascii="宋体"/>
                <w:kern w:val="0"/>
                <w:sz w:val="18"/>
                <w:szCs w:val="18"/>
              </w:rPr>
              <w:t>%</w:t>
            </w:r>
          </w:p>
        </w:tc>
        <w:tc>
          <w:tcPr>
            <w:tcW w:w="1246" w:type="dxa"/>
            <w:tcBorders>
              <w:top w:val="single" w:color="auto" w:sz="8" w:space="0"/>
              <w:bottom w:val="single" w:color="auto" w:sz="8" w:space="0"/>
            </w:tcBorders>
            <w:vAlign w:val="center"/>
          </w:tcPr>
          <w:p>
            <w:pPr>
              <w:jc w:val="center"/>
              <w:rPr>
                <w:rFonts w:ascii="宋体" w:cs="宋体"/>
                <w:kern w:val="0"/>
                <w:sz w:val="18"/>
                <w:szCs w:val="18"/>
              </w:rPr>
            </w:pPr>
            <w:r>
              <w:rPr>
                <w:rFonts w:hint="eastAsia" w:ascii="宋体" w:cs="宋体"/>
                <w:kern w:val="0"/>
                <w:sz w:val="18"/>
                <w:szCs w:val="18"/>
              </w:rPr>
              <w:t>≥85</w:t>
            </w:r>
          </w:p>
        </w:tc>
        <w:tc>
          <w:tcPr>
            <w:tcW w:w="1230" w:type="dxa"/>
            <w:tcBorders>
              <w:top w:val="single" w:color="auto" w:sz="8" w:space="0"/>
              <w:bottom w:val="single" w:color="auto" w:sz="8" w:space="0"/>
            </w:tcBorders>
            <w:vAlign w:val="center"/>
          </w:tcPr>
          <w:p>
            <w:pPr>
              <w:jc w:val="center"/>
              <w:rPr>
                <w:rFonts w:ascii="宋体" w:cs="宋体"/>
                <w:kern w:val="0"/>
                <w:sz w:val="18"/>
                <w:szCs w:val="18"/>
              </w:rPr>
            </w:pPr>
            <w:r>
              <w:rPr>
                <w:rFonts w:hint="eastAsia" w:ascii="宋体" w:cs="宋体"/>
                <w:kern w:val="0"/>
                <w:sz w:val="18"/>
                <w:szCs w:val="18"/>
              </w:rPr>
              <w:t>≥90</w:t>
            </w:r>
          </w:p>
        </w:tc>
        <w:tc>
          <w:tcPr>
            <w:tcW w:w="1260" w:type="dxa"/>
            <w:tcBorders>
              <w:top w:val="single" w:color="auto" w:sz="8" w:space="0"/>
              <w:bottom w:val="single" w:color="auto" w:sz="8" w:space="0"/>
            </w:tcBorders>
            <w:vAlign w:val="center"/>
          </w:tcPr>
          <w:p>
            <w:pPr>
              <w:jc w:val="center"/>
              <w:rPr>
                <w:rFonts w:ascii="宋体" w:cs="宋体"/>
                <w:kern w:val="0"/>
                <w:sz w:val="18"/>
                <w:szCs w:val="18"/>
              </w:rPr>
            </w:pPr>
            <w:r>
              <w:rPr>
                <w:rFonts w:hint="eastAsia" w:ascii="宋体" w:cs="宋体"/>
                <w:kern w:val="0"/>
                <w:sz w:val="18"/>
                <w:szCs w:val="18"/>
              </w:rPr>
              <w:t>≥95</w:t>
            </w:r>
          </w:p>
        </w:tc>
        <w:tc>
          <w:tcPr>
            <w:tcW w:w="1305" w:type="dxa"/>
            <w:tcBorders>
              <w:top w:val="single" w:color="auto" w:sz="8" w:space="0"/>
              <w:bottom w:val="single" w:color="auto" w:sz="8" w:space="0"/>
            </w:tcBorders>
            <w:vAlign w:val="center"/>
          </w:tcPr>
          <w:p>
            <w:pPr>
              <w:jc w:val="center"/>
              <w:rPr>
                <w:rFonts w:hint="default" w:ascii="宋体" w:cs="宋体"/>
                <w:kern w:val="0"/>
                <w:sz w:val="18"/>
                <w:szCs w:val="18"/>
                <w:lang w:val="en-US"/>
              </w:rPr>
            </w:pPr>
            <w:r>
              <w:rPr>
                <w:rFonts w:hint="eastAsia" w:ascii="宋体" w:cs="宋体"/>
                <w:kern w:val="0"/>
                <w:sz w:val="18"/>
                <w:szCs w:val="18"/>
                <w:lang w:val="en-US" w:eastAsia="zh-CN"/>
              </w:rPr>
              <w:t>T/CECS 10034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97" w:type="dxa"/>
            <w:vMerge w:val="restart"/>
            <w:vAlign w:val="center"/>
          </w:tcPr>
          <w:p>
            <w:pPr>
              <w:jc w:val="center"/>
              <w:rPr>
                <w:rFonts w:ascii="宋体"/>
                <w:kern w:val="0"/>
                <w:sz w:val="18"/>
                <w:szCs w:val="18"/>
              </w:rPr>
            </w:pPr>
            <w:r>
              <w:rPr>
                <w:rFonts w:hint="eastAsia" w:ascii="宋体"/>
                <w:kern w:val="0"/>
                <w:sz w:val="18"/>
                <w:szCs w:val="18"/>
              </w:rPr>
              <w:t>能源属性</w:t>
            </w:r>
          </w:p>
        </w:tc>
        <w:tc>
          <w:tcPr>
            <w:tcW w:w="2370" w:type="dxa"/>
            <w:gridSpan w:val="2"/>
            <w:vAlign w:val="center"/>
          </w:tcPr>
          <w:p>
            <w:pPr>
              <w:jc w:val="center"/>
              <w:rPr>
                <w:rFonts w:ascii="宋体"/>
                <w:kern w:val="0"/>
                <w:sz w:val="18"/>
                <w:szCs w:val="18"/>
              </w:rPr>
            </w:pPr>
            <w:r>
              <w:rPr>
                <w:rFonts w:hint="eastAsia" w:ascii="宋体"/>
                <w:kern w:val="0"/>
                <w:sz w:val="18"/>
                <w:szCs w:val="18"/>
              </w:rPr>
              <w:t>近三年万元产值用水量下降率</w:t>
            </w:r>
          </w:p>
        </w:tc>
        <w:tc>
          <w:tcPr>
            <w:tcW w:w="945" w:type="dxa"/>
            <w:vAlign w:val="center"/>
          </w:tcPr>
          <w:p>
            <w:pPr>
              <w:jc w:val="center"/>
              <w:rPr>
                <w:rFonts w:ascii="宋体"/>
                <w:kern w:val="0"/>
                <w:sz w:val="18"/>
                <w:szCs w:val="18"/>
              </w:rPr>
            </w:pPr>
            <w:r>
              <w:rPr>
                <w:rFonts w:hint="eastAsia" w:ascii="宋体"/>
                <w:kern w:val="0"/>
                <w:sz w:val="18"/>
                <w:szCs w:val="18"/>
              </w:rPr>
              <w:t>%</w:t>
            </w:r>
          </w:p>
        </w:tc>
        <w:tc>
          <w:tcPr>
            <w:tcW w:w="1246" w:type="dxa"/>
            <w:tcBorders>
              <w:top w:val="single" w:color="auto" w:sz="8" w:space="0"/>
              <w:bottom w:val="single" w:color="auto" w:sz="8" w:space="0"/>
            </w:tcBorders>
            <w:vAlign w:val="center"/>
          </w:tcPr>
          <w:p>
            <w:pPr>
              <w:jc w:val="center"/>
              <w:rPr>
                <w:rFonts w:ascii="宋体" w:cs="宋体"/>
                <w:kern w:val="0"/>
                <w:sz w:val="18"/>
                <w:szCs w:val="18"/>
              </w:rPr>
            </w:pPr>
            <w:r>
              <w:rPr>
                <w:rFonts w:hint="eastAsia" w:ascii="宋体" w:cs="宋体"/>
                <w:kern w:val="0"/>
                <w:sz w:val="18"/>
                <w:szCs w:val="18"/>
              </w:rPr>
              <w:t>0～2</w:t>
            </w:r>
          </w:p>
        </w:tc>
        <w:tc>
          <w:tcPr>
            <w:tcW w:w="1230" w:type="dxa"/>
            <w:tcBorders>
              <w:top w:val="single" w:color="auto" w:sz="8" w:space="0"/>
              <w:bottom w:val="single" w:color="auto" w:sz="8" w:space="0"/>
            </w:tcBorders>
            <w:vAlign w:val="center"/>
          </w:tcPr>
          <w:p>
            <w:pPr>
              <w:jc w:val="center"/>
              <w:rPr>
                <w:rFonts w:ascii="宋体" w:cs="宋体"/>
                <w:kern w:val="0"/>
                <w:sz w:val="18"/>
                <w:szCs w:val="18"/>
              </w:rPr>
            </w:pPr>
            <w:r>
              <w:rPr>
                <w:rFonts w:hint="eastAsia" w:ascii="宋体" w:cs="宋体"/>
                <w:kern w:val="0"/>
                <w:sz w:val="18"/>
                <w:szCs w:val="18"/>
              </w:rPr>
              <w:t>2～4</w:t>
            </w:r>
          </w:p>
        </w:tc>
        <w:tc>
          <w:tcPr>
            <w:tcW w:w="1260" w:type="dxa"/>
            <w:tcBorders>
              <w:top w:val="single" w:color="auto" w:sz="8" w:space="0"/>
              <w:bottom w:val="single" w:color="auto" w:sz="8" w:space="0"/>
            </w:tcBorders>
            <w:vAlign w:val="center"/>
          </w:tcPr>
          <w:p>
            <w:pPr>
              <w:jc w:val="center"/>
              <w:rPr>
                <w:rFonts w:ascii="宋体" w:cs="宋体"/>
                <w:kern w:val="0"/>
                <w:sz w:val="18"/>
                <w:szCs w:val="18"/>
              </w:rPr>
            </w:pPr>
            <w:r>
              <w:rPr>
                <w:rFonts w:hint="eastAsia" w:ascii="宋体" w:cs="宋体"/>
                <w:kern w:val="0"/>
                <w:sz w:val="18"/>
                <w:szCs w:val="18"/>
              </w:rPr>
              <w:t>≥4</w:t>
            </w:r>
          </w:p>
        </w:tc>
        <w:tc>
          <w:tcPr>
            <w:tcW w:w="1305" w:type="dxa"/>
            <w:tcBorders>
              <w:top w:val="single" w:color="auto" w:sz="8" w:space="0"/>
              <w:bottom w:val="single" w:color="auto" w:sz="8" w:space="0"/>
            </w:tcBorders>
            <w:vAlign w:val="center"/>
          </w:tcPr>
          <w:p>
            <w:pPr>
              <w:jc w:val="center"/>
              <w:rPr>
                <w:rFonts w:hint="eastAsia" w:ascii="宋体" w:cs="宋体"/>
                <w:kern w:val="0"/>
                <w:sz w:val="18"/>
                <w:szCs w:val="18"/>
              </w:rPr>
            </w:pPr>
            <w:r>
              <w:rPr>
                <w:rFonts w:hint="eastAsia" w:ascii="宋体" w:cs="宋体"/>
                <w:kern w:val="0"/>
                <w:sz w:val="18"/>
                <w:szCs w:val="18"/>
                <w:lang w:val="en-US" w:eastAsia="zh-CN"/>
              </w:rPr>
              <w:t>T/CECS 10041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97" w:type="dxa"/>
            <w:vMerge w:val="continue"/>
          </w:tcPr>
          <w:p>
            <w:pPr>
              <w:jc w:val="center"/>
              <w:rPr>
                <w:rFonts w:ascii="宋体"/>
                <w:kern w:val="0"/>
                <w:sz w:val="18"/>
                <w:szCs w:val="18"/>
              </w:rPr>
            </w:pPr>
          </w:p>
        </w:tc>
        <w:tc>
          <w:tcPr>
            <w:tcW w:w="2370" w:type="dxa"/>
            <w:gridSpan w:val="2"/>
            <w:vAlign w:val="center"/>
          </w:tcPr>
          <w:p>
            <w:pPr>
              <w:jc w:val="center"/>
              <w:rPr>
                <w:rFonts w:ascii="宋体"/>
                <w:kern w:val="0"/>
                <w:sz w:val="18"/>
                <w:szCs w:val="18"/>
              </w:rPr>
            </w:pPr>
            <w:r>
              <w:rPr>
                <w:rFonts w:hint="eastAsia" w:ascii="宋体"/>
                <w:kern w:val="0"/>
                <w:sz w:val="18"/>
                <w:szCs w:val="18"/>
              </w:rPr>
              <w:t>近三年万元产值用电能耗标煤下降率</w:t>
            </w:r>
          </w:p>
        </w:tc>
        <w:tc>
          <w:tcPr>
            <w:tcW w:w="945" w:type="dxa"/>
            <w:vAlign w:val="center"/>
          </w:tcPr>
          <w:p>
            <w:pPr>
              <w:jc w:val="center"/>
              <w:rPr>
                <w:rFonts w:ascii="宋体"/>
                <w:kern w:val="0"/>
                <w:sz w:val="18"/>
                <w:szCs w:val="18"/>
              </w:rPr>
            </w:pPr>
            <w:r>
              <w:rPr>
                <w:rFonts w:hint="eastAsia" w:ascii="宋体"/>
                <w:kern w:val="0"/>
                <w:sz w:val="18"/>
                <w:szCs w:val="18"/>
              </w:rPr>
              <w:t>%</w:t>
            </w:r>
          </w:p>
        </w:tc>
        <w:tc>
          <w:tcPr>
            <w:tcW w:w="1246" w:type="dxa"/>
            <w:tcBorders>
              <w:top w:val="single" w:color="auto" w:sz="8" w:space="0"/>
              <w:bottom w:val="single" w:color="auto" w:sz="8" w:space="0"/>
            </w:tcBorders>
            <w:vAlign w:val="center"/>
          </w:tcPr>
          <w:p>
            <w:pPr>
              <w:jc w:val="center"/>
              <w:rPr>
                <w:rFonts w:ascii="宋体" w:cs="宋体"/>
                <w:kern w:val="0"/>
                <w:sz w:val="18"/>
                <w:szCs w:val="18"/>
              </w:rPr>
            </w:pPr>
            <w:r>
              <w:rPr>
                <w:rFonts w:hint="eastAsia" w:ascii="宋体" w:cs="宋体"/>
                <w:kern w:val="0"/>
                <w:sz w:val="18"/>
                <w:szCs w:val="18"/>
              </w:rPr>
              <w:t>0～2</w:t>
            </w:r>
          </w:p>
        </w:tc>
        <w:tc>
          <w:tcPr>
            <w:tcW w:w="1230" w:type="dxa"/>
            <w:tcBorders>
              <w:top w:val="single" w:color="auto" w:sz="8" w:space="0"/>
              <w:bottom w:val="single" w:color="auto" w:sz="8" w:space="0"/>
            </w:tcBorders>
            <w:vAlign w:val="center"/>
          </w:tcPr>
          <w:p>
            <w:pPr>
              <w:jc w:val="center"/>
              <w:rPr>
                <w:rFonts w:ascii="宋体" w:cs="宋体"/>
                <w:kern w:val="0"/>
                <w:sz w:val="18"/>
                <w:szCs w:val="18"/>
              </w:rPr>
            </w:pPr>
            <w:r>
              <w:rPr>
                <w:rFonts w:hint="eastAsia" w:ascii="宋体" w:cs="宋体"/>
                <w:kern w:val="0"/>
                <w:sz w:val="18"/>
                <w:szCs w:val="18"/>
              </w:rPr>
              <w:t>2～4</w:t>
            </w:r>
          </w:p>
        </w:tc>
        <w:tc>
          <w:tcPr>
            <w:tcW w:w="1260" w:type="dxa"/>
            <w:tcBorders>
              <w:top w:val="single" w:color="auto" w:sz="8" w:space="0"/>
              <w:bottom w:val="single" w:color="auto" w:sz="8" w:space="0"/>
            </w:tcBorders>
            <w:vAlign w:val="center"/>
          </w:tcPr>
          <w:p>
            <w:pPr>
              <w:jc w:val="center"/>
              <w:rPr>
                <w:rFonts w:ascii="宋体" w:cs="宋体"/>
                <w:kern w:val="0"/>
                <w:sz w:val="18"/>
                <w:szCs w:val="18"/>
              </w:rPr>
            </w:pPr>
            <w:r>
              <w:rPr>
                <w:rFonts w:hint="eastAsia" w:ascii="宋体" w:cs="宋体"/>
                <w:kern w:val="0"/>
                <w:sz w:val="18"/>
                <w:szCs w:val="18"/>
              </w:rPr>
              <w:t>≥4</w:t>
            </w:r>
          </w:p>
        </w:tc>
        <w:tc>
          <w:tcPr>
            <w:tcW w:w="1305" w:type="dxa"/>
            <w:tcBorders>
              <w:top w:val="single" w:color="auto" w:sz="8" w:space="0"/>
              <w:bottom w:val="single" w:color="auto" w:sz="8" w:space="0"/>
            </w:tcBorders>
            <w:vAlign w:val="center"/>
          </w:tcPr>
          <w:p>
            <w:pPr>
              <w:jc w:val="center"/>
              <w:rPr>
                <w:rFonts w:hint="eastAsia" w:ascii="宋体" w:cs="宋体"/>
                <w:kern w:val="0"/>
                <w:sz w:val="18"/>
                <w:szCs w:val="18"/>
              </w:rPr>
            </w:pPr>
            <w:r>
              <w:rPr>
                <w:rFonts w:hint="eastAsia" w:ascii="宋体" w:cs="宋体"/>
                <w:kern w:val="0"/>
                <w:sz w:val="18"/>
                <w:szCs w:val="18"/>
                <w:lang w:val="en-US" w:eastAsia="zh-CN"/>
              </w:rPr>
              <w:t>T/CECS 10041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97" w:type="dxa"/>
            <w:vMerge w:val="continue"/>
          </w:tcPr>
          <w:p>
            <w:pPr>
              <w:jc w:val="center"/>
              <w:rPr>
                <w:rFonts w:ascii="宋体"/>
                <w:kern w:val="0"/>
                <w:sz w:val="18"/>
                <w:szCs w:val="18"/>
              </w:rPr>
            </w:pPr>
          </w:p>
        </w:tc>
        <w:tc>
          <w:tcPr>
            <w:tcW w:w="2370" w:type="dxa"/>
            <w:gridSpan w:val="2"/>
            <w:vAlign w:val="center"/>
          </w:tcPr>
          <w:p>
            <w:pPr>
              <w:jc w:val="center"/>
              <w:rPr>
                <w:rFonts w:ascii="宋体"/>
                <w:kern w:val="0"/>
                <w:sz w:val="18"/>
                <w:szCs w:val="18"/>
              </w:rPr>
            </w:pPr>
            <w:r>
              <w:rPr>
                <w:rFonts w:hint="eastAsia" w:ascii="宋体"/>
                <w:kern w:val="0"/>
                <w:sz w:val="18"/>
                <w:szCs w:val="18"/>
              </w:rPr>
              <w:t>单位产品综合能耗</w:t>
            </w:r>
          </w:p>
        </w:tc>
        <w:tc>
          <w:tcPr>
            <w:tcW w:w="945" w:type="dxa"/>
            <w:vAlign w:val="center"/>
          </w:tcPr>
          <w:p>
            <w:pPr>
              <w:jc w:val="center"/>
              <w:rPr>
                <w:rFonts w:ascii="宋体"/>
                <w:kern w:val="0"/>
                <w:sz w:val="18"/>
                <w:szCs w:val="18"/>
              </w:rPr>
            </w:pPr>
            <w:r>
              <w:rPr>
                <w:rFonts w:ascii="宋体"/>
                <w:kern w:val="0"/>
                <w:sz w:val="18"/>
                <w:szCs w:val="18"/>
              </w:rPr>
              <w:t>K</w:t>
            </w:r>
            <w:r>
              <w:rPr>
                <w:rFonts w:hint="eastAsia" w:ascii="宋体"/>
                <w:kern w:val="0"/>
                <w:sz w:val="18"/>
                <w:szCs w:val="18"/>
              </w:rPr>
              <w:t>gce/t</w:t>
            </w:r>
          </w:p>
        </w:tc>
        <w:tc>
          <w:tcPr>
            <w:tcW w:w="1246" w:type="dxa"/>
            <w:tcBorders>
              <w:top w:val="single" w:color="auto" w:sz="8" w:space="0"/>
              <w:bottom w:val="single" w:color="auto" w:sz="8" w:space="0"/>
            </w:tcBorders>
            <w:vAlign w:val="center"/>
          </w:tcPr>
          <w:p>
            <w:pPr>
              <w:jc w:val="center"/>
              <w:rPr>
                <w:rFonts w:ascii="宋体" w:cs="宋体"/>
                <w:kern w:val="0"/>
                <w:sz w:val="18"/>
                <w:szCs w:val="18"/>
              </w:rPr>
            </w:pPr>
            <w:r>
              <w:rPr>
                <w:rFonts w:hint="eastAsia" w:ascii="宋体" w:cs="宋体"/>
                <w:kern w:val="0"/>
                <w:sz w:val="18"/>
                <w:szCs w:val="18"/>
              </w:rPr>
              <w:t>≤6.0</w:t>
            </w:r>
          </w:p>
        </w:tc>
        <w:tc>
          <w:tcPr>
            <w:tcW w:w="1230" w:type="dxa"/>
            <w:tcBorders>
              <w:top w:val="single" w:color="auto" w:sz="8" w:space="0"/>
              <w:bottom w:val="single" w:color="auto" w:sz="8" w:space="0"/>
            </w:tcBorders>
            <w:vAlign w:val="center"/>
          </w:tcPr>
          <w:p>
            <w:pPr>
              <w:jc w:val="center"/>
              <w:rPr>
                <w:rFonts w:ascii="宋体" w:cs="宋体"/>
                <w:kern w:val="0"/>
                <w:sz w:val="18"/>
                <w:szCs w:val="18"/>
              </w:rPr>
            </w:pPr>
            <w:r>
              <w:rPr>
                <w:rFonts w:hint="eastAsia" w:ascii="宋体" w:cs="宋体"/>
                <w:kern w:val="0"/>
                <w:sz w:val="18"/>
                <w:szCs w:val="18"/>
              </w:rPr>
              <w:t>≤6.0</w:t>
            </w:r>
          </w:p>
        </w:tc>
        <w:tc>
          <w:tcPr>
            <w:tcW w:w="1260" w:type="dxa"/>
            <w:tcBorders>
              <w:top w:val="single" w:color="auto" w:sz="8" w:space="0"/>
              <w:bottom w:val="single" w:color="auto" w:sz="8" w:space="0"/>
            </w:tcBorders>
            <w:vAlign w:val="center"/>
          </w:tcPr>
          <w:p>
            <w:pPr>
              <w:jc w:val="center"/>
              <w:rPr>
                <w:rFonts w:ascii="宋体" w:cs="宋体"/>
                <w:kern w:val="0"/>
                <w:sz w:val="18"/>
                <w:szCs w:val="18"/>
              </w:rPr>
            </w:pPr>
            <w:r>
              <w:rPr>
                <w:rFonts w:hint="eastAsia" w:ascii="宋体" w:cs="宋体"/>
                <w:kern w:val="0"/>
                <w:sz w:val="18"/>
                <w:szCs w:val="18"/>
              </w:rPr>
              <w:t>≤6.0</w:t>
            </w:r>
          </w:p>
        </w:tc>
        <w:tc>
          <w:tcPr>
            <w:tcW w:w="1305" w:type="dxa"/>
            <w:tcBorders>
              <w:top w:val="single" w:color="auto" w:sz="8" w:space="0"/>
              <w:bottom w:val="single" w:color="auto" w:sz="8" w:space="0"/>
            </w:tcBorders>
            <w:vAlign w:val="center"/>
          </w:tcPr>
          <w:p>
            <w:pPr>
              <w:jc w:val="center"/>
              <w:rPr>
                <w:rFonts w:hint="eastAsia" w:ascii="宋体" w:cs="宋体"/>
                <w:kern w:val="0"/>
                <w:sz w:val="18"/>
                <w:szCs w:val="18"/>
              </w:rPr>
            </w:pPr>
            <w:r>
              <w:rPr>
                <w:rFonts w:hint="eastAsia" w:ascii="宋体" w:cs="宋体"/>
                <w:kern w:val="0"/>
                <w:sz w:val="18"/>
                <w:szCs w:val="18"/>
                <w:lang w:val="en-US" w:eastAsia="zh-CN"/>
              </w:rPr>
              <w:t>T/CECS 10041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97" w:type="dxa"/>
            <w:vAlign w:val="center"/>
          </w:tcPr>
          <w:p>
            <w:pPr>
              <w:jc w:val="center"/>
              <w:rPr>
                <w:rFonts w:ascii="宋体"/>
                <w:kern w:val="0"/>
                <w:sz w:val="18"/>
                <w:szCs w:val="18"/>
              </w:rPr>
            </w:pPr>
            <w:r>
              <w:rPr>
                <w:rFonts w:hint="eastAsia" w:ascii="宋体"/>
                <w:kern w:val="0"/>
                <w:sz w:val="18"/>
                <w:szCs w:val="18"/>
              </w:rPr>
              <w:t>环境属性</w:t>
            </w:r>
          </w:p>
        </w:tc>
        <w:tc>
          <w:tcPr>
            <w:tcW w:w="2370" w:type="dxa"/>
            <w:gridSpan w:val="2"/>
            <w:vAlign w:val="center"/>
          </w:tcPr>
          <w:p>
            <w:pPr>
              <w:jc w:val="center"/>
              <w:rPr>
                <w:rFonts w:ascii="宋体"/>
                <w:kern w:val="0"/>
                <w:sz w:val="18"/>
                <w:szCs w:val="18"/>
              </w:rPr>
            </w:pPr>
            <w:r>
              <w:rPr>
                <w:rFonts w:hint="eastAsia" w:ascii="宋体"/>
                <w:kern w:val="0"/>
                <w:sz w:val="18"/>
                <w:szCs w:val="18"/>
              </w:rPr>
              <w:t>产品环境影响和碳足迹</w:t>
            </w:r>
          </w:p>
        </w:tc>
        <w:tc>
          <w:tcPr>
            <w:tcW w:w="945" w:type="dxa"/>
            <w:vAlign w:val="center"/>
          </w:tcPr>
          <w:p>
            <w:pPr>
              <w:jc w:val="center"/>
              <w:rPr>
                <w:rFonts w:ascii="宋体"/>
                <w:kern w:val="0"/>
                <w:sz w:val="18"/>
                <w:szCs w:val="18"/>
              </w:rPr>
            </w:pPr>
            <w:r>
              <w:rPr>
                <w:rFonts w:hint="eastAsia" w:ascii="宋体"/>
                <w:kern w:val="0"/>
                <w:sz w:val="18"/>
                <w:szCs w:val="18"/>
              </w:rPr>
              <w:t>——</w:t>
            </w:r>
          </w:p>
        </w:tc>
        <w:tc>
          <w:tcPr>
            <w:tcW w:w="3736" w:type="dxa"/>
            <w:gridSpan w:val="3"/>
            <w:tcBorders>
              <w:top w:val="single" w:color="auto" w:sz="8" w:space="0"/>
              <w:bottom w:val="single" w:color="auto" w:sz="8" w:space="0"/>
            </w:tcBorders>
            <w:vAlign w:val="center"/>
          </w:tcPr>
          <w:p>
            <w:pPr>
              <w:jc w:val="center"/>
              <w:rPr>
                <w:rFonts w:ascii="宋体" w:cs="宋体"/>
                <w:kern w:val="0"/>
                <w:sz w:val="18"/>
                <w:szCs w:val="18"/>
              </w:rPr>
            </w:pPr>
            <w:r>
              <w:rPr>
                <w:rFonts w:hint="eastAsia" w:ascii="宋体" w:cs="宋体"/>
                <w:kern w:val="0"/>
                <w:sz w:val="18"/>
                <w:szCs w:val="18"/>
              </w:rPr>
              <w:t>进行环境产品声明（EPD）和碳足迹分析</w:t>
            </w:r>
          </w:p>
        </w:tc>
        <w:tc>
          <w:tcPr>
            <w:tcW w:w="1305" w:type="dxa"/>
            <w:tcBorders>
              <w:top w:val="single" w:color="auto" w:sz="8" w:space="0"/>
              <w:bottom w:val="single" w:color="auto" w:sz="8" w:space="0"/>
            </w:tcBorders>
            <w:vAlign w:val="center"/>
          </w:tcPr>
          <w:p>
            <w:pPr>
              <w:jc w:val="center"/>
              <w:rPr>
                <w:rFonts w:hint="eastAsia" w:ascii="宋体" w:cs="宋体"/>
                <w:kern w:val="0"/>
                <w:sz w:val="18"/>
                <w:szCs w:val="18"/>
              </w:rPr>
            </w:pPr>
            <w:r>
              <w:rPr>
                <w:rFonts w:hint="eastAsia" w:ascii="宋体" w:cs="宋体"/>
                <w:kern w:val="0"/>
                <w:sz w:val="18"/>
                <w:szCs w:val="18"/>
              </w:rPr>
              <w:t>GB/T 24025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97" w:type="dxa"/>
            <w:vMerge w:val="restart"/>
            <w:vAlign w:val="center"/>
          </w:tcPr>
          <w:p>
            <w:pPr>
              <w:jc w:val="center"/>
              <w:rPr>
                <w:rFonts w:hint="eastAsia" w:ascii="宋体" w:eastAsia="宋体"/>
                <w:kern w:val="0"/>
                <w:sz w:val="18"/>
                <w:szCs w:val="18"/>
                <w:lang w:eastAsia="zh-CN"/>
              </w:rPr>
            </w:pPr>
            <w:r>
              <w:rPr>
                <w:rFonts w:hint="eastAsia" w:ascii="宋体"/>
                <w:kern w:val="0"/>
                <w:sz w:val="18"/>
                <w:szCs w:val="18"/>
                <w:lang w:eastAsia="zh-CN"/>
              </w:rPr>
              <w:t>品质属性</w:t>
            </w:r>
          </w:p>
        </w:tc>
        <w:tc>
          <w:tcPr>
            <w:tcW w:w="2370" w:type="dxa"/>
            <w:gridSpan w:val="2"/>
            <w:vAlign w:val="center"/>
          </w:tcPr>
          <w:p>
            <w:pPr>
              <w:jc w:val="center"/>
              <w:rPr>
                <w:rFonts w:hint="eastAsia" w:ascii="宋体"/>
                <w:kern w:val="0"/>
                <w:sz w:val="18"/>
                <w:szCs w:val="18"/>
              </w:rPr>
            </w:pPr>
            <w:r>
              <w:rPr>
                <w:rFonts w:hint="eastAsia" w:ascii="宋体"/>
                <w:kern w:val="0"/>
                <w:sz w:val="18"/>
                <w:szCs w:val="18"/>
                <w:lang w:val="en-US" w:eastAsia="zh-CN"/>
              </w:rPr>
              <w:t>安全警示</w:t>
            </w:r>
          </w:p>
        </w:tc>
        <w:tc>
          <w:tcPr>
            <w:tcW w:w="945" w:type="dxa"/>
            <w:vAlign w:val="center"/>
          </w:tcPr>
          <w:p>
            <w:pPr>
              <w:jc w:val="center"/>
              <w:rPr>
                <w:rFonts w:hint="eastAsia" w:ascii="宋体" w:eastAsia="宋体"/>
                <w:kern w:val="0"/>
                <w:sz w:val="18"/>
                <w:szCs w:val="18"/>
                <w:lang w:eastAsia="zh-CN"/>
              </w:rPr>
            </w:pPr>
            <w:r>
              <w:rPr>
                <w:rFonts w:hint="eastAsia" w:ascii="宋体"/>
                <w:kern w:val="0"/>
                <w:sz w:val="18"/>
                <w:szCs w:val="18"/>
                <w:lang w:eastAsia="zh-CN"/>
              </w:rPr>
              <w:t>——</w:t>
            </w:r>
          </w:p>
        </w:tc>
        <w:tc>
          <w:tcPr>
            <w:tcW w:w="3736" w:type="dxa"/>
            <w:gridSpan w:val="3"/>
            <w:tcBorders>
              <w:top w:val="single" w:color="auto" w:sz="8" w:space="0"/>
              <w:bottom w:val="single" w:color="auto" w:sz="8" w:space="0"/>
            </w:tcBorders>
            <w:vAlign w:val="center"/>
          </w:tcPr>
          <w:p>
            <w:pPr>
              <w:jc w:val="left"/>
              <w:rPr>
                <w:rFonts w:hint="eastAsia" w:ascii="宋体"/>
                <w:kern w:val="0"/>
                <w:sz w:val="18"/>
                <w:szCs w:val="18"/>
              </w:rPr>
            </w:pPr>
            <w:r>
              <w:rPr>
                <w:rFonts w:hint="eastAsia" w:ascii="宋体"/>
                <w:kern w:val="0"/>
                <w:sz w:val="18"/>
                <w:szCs w:val="18"/>
                <w:lang w:val="en-US" w:eastAsia="zh-CN"/>
              </w:rPr>
              <w:t>安装后钢化玻璃的明显位置应有警示标识。</w:t>
            </w:r>
          </w:p>
        </w:tc>
        <w:tc>
          <w:tcPr>
            <w:tcW w:w="1305" w:type="dxa"/>
            <w:tcBorders>
              <w:top w:val="single" w:color="auto" w:sz="8" w:space="0"/>
              <w:bottom w:val="single" w:color="auto" w:sz="8" w:space="0"/>
            </w:tcBorders>
            <w:vAlign w:val="center"/>
          </w:tcPr>
          <w:p>
            <w:pPr>
              <w:jc w:val="center"/>
              <w:rPr>
                <w:rFonts w:hint="default" w:ascii="宋体"/>
                <w:kern w:val="0"/>
                <w:sz w:val="18"/>
                <w:szCs w:val="18"/>
                <w:lang w:val="en-US" w:eastAsia="zh-CN"/>
              </w:rPr>
            </w:pPr>
            <w:r>
              <w:rPr>
                <w:rFonts w:hint="eastAsia" w:ascii="宋体"/>
                <w:kern w:val="0"/>
                <w:sz w:val="18"/>
                <w:szCs w:val="18"/>
                <w:lang w:val="en-US" w:eastAsia="zh-CN"/>
              </w:rPr>
              <w:t>QB/T 2584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97" w:type="dxa"/>
            <w:vMerge w:val="continue"/>
            <w:vAlign w:val="center"/>
          </w:tcPr>
          <w:p>
            <w:pPr>
              <w:jc w:val="center"/>
              <w:rPr>
                <w:rFonts w:hint="eastAsia" w:ascii="宋体" w:eastAsia="宋体"/>
                <w:kern w:val="0"/>
                <w:sz w:val="18"/>
                <w:szCs w:val="18"/>
                <w:lang w:eastAsia="zh-CN"/>
              </w:rPr>
            </w:pPr>
          </w:p>
        </w:tc>
        <w:tc>
          <w:tcPr>
            <w:tcW w:w="2370" w:type="dxa"/>
            <w:gridSpan w:val="2"/>
            <w:vAlign w:val="center"/>
          </w:tcPr>
          <w:p>
            <w:pPr>
              <w:jc w:val="center"/>
              <w:rPr>
                <w:rFonts w:hint="eastAsia" w:ascii="宋体" w:hAnsi="Times New Roman" w:eastAsia="宋体" w:cs="Times New Roman"/>
                <w:kern w:val="0"/>
                <w:sz w:val="18"/>
                <w:szCs w:val="18"/>
                <w:highlight w:val="none"/>
                <w:lang w:val="en-US" w:eastAsia="zh-CN" w:bidi="ar-SA"/>
              </w:rPr>
            </w:pPr>
            <w:r>
              <w:rPr>
                <w:rFonts w:hint="eastAsia" w:ascii="宋体"/>
                <w:kern w:val="0"/>
                <w:sz w:val="18"/>
                <w:szCs w:val="18"/>
                <w:highlight w:val="none"/>
                <w:lang w:val="en-US" w:eastAsia="zh-CN"/>
              </w:rPr>
              <w:t>耐久性能</w:t>
            </w:r>
          </w:p>
        </w:tc>
        <w:tc>
          <w:tcPr>
            <w:tcW w:w="945" w:type="dxa"/>
            <w:vAlign w:val="center"/>
          </w:tcPr>
          <w:p>
            <w:pPr>
              <w:jc w:val="center"/>
              <w:rPr>
                <w:rFonts w:hint="eastAsia" w:ascii="宋体" w:hAnsi="Times New Roman" w:eastAsia="宋体" w:cs="Times New Roman"/>
                <w:kern w:val="0"/>
                <w:sz w:val="18"/>
                <w:szCs w:val="18"/>
                <w:highlight w:val="none"/>
                <w:lang w:val="en-US" w:eastAsia="zh-CN" w:bidi="ar-SA"/>
              </w:rPr>
            </w:pPr>
            <w:r>
              <w:rPr>
                <w:rFonts w:hint="eastAsia" w:ascii="宋体"/>
                <w:kern w:val="0"/>
                <w:sz w:val="18"/>
                <w:szCs w:val="18"/>
                <w:highlight w:val="none"/>
              </w:rPr>
              <w:t>次</w:t>
            </w:r>
          </w:p>
        </w:tc>
        <w:tc>
          <w:tcPr>
            <w:tcW w:w="1246" w:type="dxa"/>
            <w:tcBorders>
              <w:top w:val="single" w:color="auto" w:sz="8" w:space="0"/>
              <w:bottom w:val="single" w:color="auto" w:sz="8" w:space="0"/>
            </w:tcBorders>
            <w:vAlign w:val="center"/>
          </w:tcPr>
          <w:p>
            <w:pPr>
              <w:jc w:val="center"/>
              <w:rPr>
                <w:rFonts w:hint="eastAsia" w:ascii="宋体" w:hAnsi="Times New Roman" w:eastAsia="宋体" w:cs="宋体"/>
                <w:kern w:val="0"/>
                <w:sz w:val="18"/>
                <w:szCs w:val="18"/>
                <w:highlight w:val="none"/>
                <w:lang w:val="en-US" w:eastAsia="zh-CN" w:bidi="ar-SA"/>
              </w:rPr>
            </w:pPr>
            <w:r>
              <w:rPr>
                <w:rFonts w:hint="eastAsia" w:ascii="宋体" w:cs="宋体"/>
                <w:kern w:val="0"/>
                <w:sz w:val="18"/>
                <w:szCs w:val="18"/>
                <w:highlight w:val="none"/>
                <w:lang w:val="en-US" w:eastAsia="zh-CN"/>
              </w:rPr>
              <w:t>25</w:t>
            </w:r>
            <w:r>
              <w:rPr>
                <w:rFonts w:hint="eastAsia" w:ascii="宋体" w:cs="宋体"/>
                <w:kern w:val="0"/>
                <w:sz w:val="18"/>
                <w:szCs w:val="18"/>
                <w:highlight w:val="none"/>
              </w:rPr>
              <w:t>000</w:t>
            </w:r>
          </w:p>
        </w:tc>
        <w:tc>
          <w:tcPr>
            <w:tcW w:w="1230" w:type="dxa"/>
            <w:tcBorders>
              <w:top w:val="single" w:color="auto" w:sz="8" w:space="0"/>
              <w:bottom w:val="single" w:color="auto" w:sz="8" w:space="0"/>
            </w:tcBorders>
            <w:vAlign w:val="center"/>
          </w:tcPr>
          <w:p>
            <w:pPr>
              <w:jc w:val="center"/>
              <w:rPr>
                <w:rFonts w:hint="default" w:ascii="宋体" w:hAnsi="Times New Roman" w:eastAsia="宋体" w:cs="宋体"/>
                <w:kern w:val="0"/>
                <w:sz w:val="18"/>
                <w:szCs w:val="18"/>
                <w:highlight w:val="none"/>
                <w:lang w:val="en-US" w:eastAsia="zh-CN" w:bidi="ar-SA"/>
              </w:rPr>
            </w:pPr>
            <w:r>
              <w:rPr>
                <w:rFonts w:hint="eastAsia" w:ascii="宋体" w:cs="宋体"/>
                <w:kern w:val="0"/>
                <w:sz w:val="18"/>
                <w:szCs w:val="18"/>
                <w:highlight w:val="none"/>
                <w:lang w:val="en-US" w:eastAsia="zh-CN"/>
              </w:rPr>
              <w:t>35000</w:t>
            </w:r>
          </w:p>
        </w:tc>
        <w:tc>
          <w:tcPr>
            <w:tcW w:w="1260" w:type="dxa"/>
            <w:tcBorders>
              <w:top w:val="single" w:color="auto" w:sz="8" w:space="0"/>
              <w:bottom w:val="single" w:color="auto" w:sz="8" w:space="0"/>
            </w:tcBorders>
            <w:vAlign w:val="center"/>
          </w:tcPr>
          <w:p>
            <w:pPr>
              <w:jc w:val="center"/>
              <w:rPr>
                <w:rFonts w:hint="eastAsia" w:ascii="宋体" w:hAnsi="Times New Roman" w:eastAsia="宋体" w:cs="宋体"/>
                <w:kern w:val="0"/>
                <w:sz w:val="18"/>
                <w:szCs w:val="18"/>
                <w:highlight w:val="none"/>
                <w:lang w:val="en-US" w:eastAsia="zh-CN" w:bidi="ar-SA"/>
              </w:rPr>
            </w:pPr>
            <w:r>
              <w:rPr>
                <w:rFonts w:hint="eastAsia" w:ascii="宋体" w:cs="宋体"/>
                <w:kern w:val="0"/>
                <w:sz w:val="18"/>
                <w:szCs w:val="18"/>
                <w:highlight w:val="none"/>
                <w:lang w:val="en-US" w:eastAsia="zh-CN"/>
              </w:rPr>
              <w:t>45</w:t>
            </w:r>
            <w:r>
              <w:rPr>
                <w:rFonts w:hint="eastAsia" w:ascii="宋体" w:cs="宋体"/>
                <w:kern w:val="0"/>
                <w:sz w:val="18"/>
                <w:szCs w:val="18"/>
                <w:highlight w:val="none"/>
              </w:rPr>
              <w:t>000</w:t>
            </w:r>
          </w:p>
        </w:tc>
        <w:tc>
          <w:tcPr>
            <w:tcW w:w="1305" w:type="dxa"/>
            <w:tcBorders>
              <w:top w:val="single" w:color="auto" w:sz="8" w:space="0"/>
              <w:bottom w:val="single" w:color="auto" w:sz="8" w:space="0"/>
            </w:tcBorders>
            <w:vAlign w:val="center"/>
          </w:tcPr>
          <w:p>
            <w:pPr>
              <w:jc w:val="center"/>
              <w:rPr>
                <w:rFonts w:hint="eastAsia" w:ascii="宋体" w:cs="宋体"/>
                <w:kern w:val="0"/>
                <w:sz w:val="18"/>
                <w:szCs w:val="18"/>
                <w:highlight w:val="none"/>
                <w:lang w:val="en-US" w:eastAsia="zh-CN"/>
              </w:rPr>
            </w:pPr>
            <w:r>
              <w:rPr>
                <w:rFonts w:hint="eastAsia" w:ascii="宋体"/>
                <w:kern w:val="0"/>
                <w:sz w:val="18"/>
                <w:szCs w:val="18"/>
                <w:lang w:val="en-US" w:eastAsia="zh-CN"/>
              </w:rPr>
              <w:t>QB/T 2584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97" w:type="dxa"/>
            <w:vMerge w:val="continue"/>
            <w:vAlign w:val="center"/>
          </w:tcPr>
          <w:p>
            <w:pPr>
              <w:jc w:val="center"/>
              <w:rPr>
                <w:rFonts w:ascii="宋体"/>
                <w:kern w:val="0"/>
                <w:sz w:val="18"/>
                <w:szCs w:val="18"/>
              </w:rPr>
            </w:pPr>
          </w:p>
        </w:tc>
        <w:tc>
          <w:tcPr>
            <w:tcW w:w="2370" w:type="dxa"/>
            <w:gridSpan w:val="2"/>
            <w:vAlign w:val="center"/>
          </w:tcPr>
          <w:p>
            <w:pPr>
              <w:jc w:val="center"/>
              <w:rPr>
                <w:rFonts w:hint="default" w:ascii="宋体"/>
                <w:kern w:val="0"/>
                <w:sz w:val="18"/>
                <w:szCs w:val="18"/>
                <w:lang w:val="en-US"/>
              </w:rPr>
            </w:pPr>
            <w:r>
              <w:rPr>
                <w:rFonts w:hint="eastAsia" w:ascii="宋体" w:cs="宋体"/>
                <w:kern w:val="0"/>
                <w:sz w:val="18"/>
                <w:szCs w:val="18"/>
                <w:lang w:val="en-US" w:eastAsia="zh-CN"/>
              </w:rPr>
              <w:t>玻璃安全</w:t>
            </w:r>
            <w:r>
              <w:rPr>
                <w:rFonts w:hint="eastAsia" w:ascii="宋体" w:cs="宋体"/>
                <w:kern w:val="0"/>
                <w:sz w:val="18"/>
                <w:szCs w:val="18"/>
                <w:vertAlign w:val="superscript"/>
                <w:lang w:val="en-US" w:eastAsia="zh-CN"/>
              </w:rPr>
              <w:t>a</w:t>
            </w:r>
          </w:p>
        </w:tc>
        <w:tc>
          <w:tcPr>
            <w:tcW w:w="945" w:type="dxa"/>
            <w:vAlign w:val="center"/>
          </w:tcPr>
          <w:p>
            <w:pPr>
              <w:jc w:val="center"/>
              <w:rPr>
                <w:rFonts w:ascii="宋体"/>
                <w:kern w:val="0"/>
                <w:sz w:val="18"/>
                <w:szCs w:val="18"/>
              </w:rPr>
            </w:pPr>
            <w:r>
              <w:rPr>
                <w:rFonts w:hint="eastAsia" w:ascii="宋体"/>
                <w:kern w:val="0"/>
                <w:sz w:val="18"/>
                <w:szCs w:val="18"/>
              </w:rPr>
              <w:t>——</w:t>
            </w:r>
          </w:p>
        </w:tc>
        <w:tc>
          <w:tcPr>
            <w:tcW w:w="3736" w:type="dxa"/>
            <w:gridSpan w:val="3"/>
            <w:tcBorders>
              <w:top w:val="single" w:color="auto" w:sz="8" w:space="0"/>
              <w:bottom w:val="single" w:color="auto" w:sz="8" w:space="0"/>
            </w:tcBorders>
            <w:vAlign w:val="center"/>
          </w:tcPr>
          <w:p>
            <w:pPr>
              <w:rPr>
                <w:rFonts w:ascii="宋体" w:cs="宋体"/>
                <w:kern w:val="0"/>
                <w:sz w:val="18"/>
                <w:szCs w:val="18"/>
              </w:rPr>
            </w:pPr>
            <w:r>
              <w:rPr>
                <w:rFonts w:hint="eastAsia" w:ascii="宋体" w:cs="宋体"/>
                <w:kern w:val="0"/>
                <w:sz w:val="18"/>
                <w:szCs w:val="18"/>
                <w:lang w:val="en-US" w:eastAsia="zh-CN"/>
              </w:rPr>
              <w:t xml:space="preserve">在任何50mm×50mm区域内的碎片数≥40片，且最长颗粒的长度≤75mm。 </w:t>
            </w:r>
          </w:p>
        </w:tc>
        <w:tc>
          <w:tcPr>
            <w:tcW w:w="1305" w:type="dxa"/>
            <w:tcBorders>
              <w:top w:val="single" w:color="auto" w:sz="8" w:space="0"/>
              <w:bottom w:val="single" w:color="auto" w:sz="8" w:space="0"/>
            </w:tcBorders>
            <w:vAlign w:val="center"/>
          </w:tcPr>
          <w:p>
            <w:pPr>
              <w:jc w:val="center"/>
              <w:rPr>
                <w:rFonts w:hint="eastAsia" w:ascii="宋体" w:cs="宋体"/>
                <w:kern w:val="0"/>
                <w:sz w:val="18"/>
                <w:szCs w:val="18"/>
                <w:lang w:val="en-US" w:eastAsia="zh-CN"/>
              </w:rPr>
            </w:pPr>
            <w:r>
              <w:rPr>
                <w:rFonts w:hint="eastAsia" w:ascii="宋体"/>
                <w:kern w:val="0"/>
                <w:sz w:val="18"/>
                <w:szCs w:val="18"/>
                <w:lang w:val="en-US" w:eastAsia="zh-CN"/>
              </w:rPr>
              <w:t>GB 15763.2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97" w:type="dxa"/>
            <w:vMerge w:val="continue"/>
            <w:vAlign w:val="center"/>
          </w:tcPr>
          <w:p>
            <w:pPr>
              <w:jc w:val="center"/>
              <w:rPr>
                <w:rFonts w:ascii="宋体"/>
                <w:kern w:val="0"/>
                <w:sz w:val="18"/>
                <w:szCs w:val="18"/>
              </w:rPr>
            </w:pPr>
          </w:p>
        </w:tc>
        <w:tc>
          <w:tcPr>
            <w:tcW w:w="975" w:type="dxa"/>
            <w:vMerge w:val="restart"/>
            <w:vAlign w:val="center"/>
          </w:tcPr>
          <w:p>
            <w:pPr>
              <w:jc w:val="center"/>
              <w:rPr>
                <w:rFonts w:hint="eastAsia" w:ascii="宋体"/>
                <w:kern w:val="0"/>
                <w:sz w:val="18"/>
                <w:szCs w:val="18"/>
                <w:highlight w:val="none"/>
                <w:lang w:val="en-US" w:eastAsia="zh-CN"/>
              </w:rPr>
            </w:pPr>
            <w:r>
              <w:rPr>
                <w:rFonts w:hint="eastAsia" w:ascii="宋体"/>
                <w:kern w:val="0"/>
                <w:sz w:val="18"/>
                <w:szCs w:val="18"/>
                <w:highlight w:val="none"/>
                <w:lang w:val="en-US" w:eastAsia="zh-CN"/>
              </w:rPr>
              <w:t>表面耐腐蚀</w:t>
            </w:r>
          </w:p>
          <w:p>
            <w:pPr>
              <w:jc w:val="center"/>
              <w:rPr>
                <w:rFonts w:ascii="宋体"/>
                <w:kern w:val="0"/>
                <w:sz w:val="18"/>
                <w:szCs w:val="18"/>
                <w:highlight w:val="none"/>
              </w:rPr>
            </w:pPr>
          </w:p>
        </w:tc>
        <w:tc>
          <w:tcPr>
            <w:tcW w:w="1395" w:type="dxa"/>
            <w:vAlign w:val="center"/>
          </w:tcPr>
          <w:p>
            <w:pPr>
              <w:jc w:val="center"/>
              <w:rPr>
                <w:rFonts w:hint="eastAsia" w:ascii="宋体"/>
                <w:kern w:val="0"/>
                <w:sz w:val="18"/>
                <w:szCs w:val="18"/>
                <w:highlight w:val="none"/>
                <w:lang w:eastAsia="zh-CN"/>
              </w:rPr>
            </w:pPr>
            <w:r>
              <w:rPr>
                <w:rFonts w:hint="eastAsia" w:ascii="宋体"/>
                <w:kern w:val="0"/>
                <w:sz w:val="18"/>
                <w:szCs w:val="18"/>
                <w:highlight w:val="none"/>
                <w:lang w:val="en-US" w:eastAsia="zh-CN"/>
              </w:rPr>
              <w:t>涂(镀)层、阳极氧化膜</w:t>
            </w:r>
          </w:p>
        </w:tc>
        <w:tc>
          <w:tcPr>
            <w:tcW w:w="945" w:type="dxa"/>
            <w:vAlign w:val="center"/>
          </w:tcPr>
          <w:p>
            <w:pPr>
              <w:jc w:val="center"/>
              <w:rPr>
                <w:rFonts w:hint="eastAsia" w:ascii="宋体"/>
                <w:kern w:val="0"/>
                <w:sz w:val="18"/>
                <w:szCs w:val="18"/>
                <w:highlight w:val="none"/>
                <w:lang w:eastAsia="zh-CN"/>
              </w:rPr>
            </w:pPr>
            <w:r>
              <w:rPr>
                <w:rFonts w:hint="eastAsia" w:ascii="宋体"/>
                <w:kern w:val="0"/>
                <w:sz w:val="18"/>
                <w:szCs w:val="18"/>
                <w:highlight w:val="none"/>
                <w:lang w:eastAsia="zh-CN"/>
              </w:rPr>
              <w:t>——</w:t>
            </w:r>
          </w:p>
        </w:tc>
        <w:tc>
          <w:tcPr>
            <w:tcW w:w="1246" w:type="dxa"/>
            <w:tcBorders>
              <w:top w:val="single" w:color="auto" w:sz="8" w:space="0"/>
            </w:tcBorders>
            <w:vAlign w:val="center"/>
          </w:tcPr>
          <w:p>
            <w:pPr>
              <w:jc w:val="center"/>
              <w:rPr>
                <w:rFonts w:hint="default" w:ascii="宋体"/>
                <w:kern w:val="0"/>
                <w:sz w:val="18"/>
                <w:szCs w:val="18"/>
                <w:highlight w:val="none"/>
                <w:lang w:val="en-US" w:eastAsia="zh-CN"/>
              </w:rPr>
            </w:pPr>
            <w:r>
              <w:rPr>
                <w:rFonts w:hint="eastAsia" w:ascii="宋体"/>
                <w:kern w:val="0"/>
                <w:sz w:val="18"/>
                <w:szCs w:val="18"/>
                <w:highlight w:val="none"/>
                <w:lang w:val="en-US" w:eastAsia="zh-CN"/>
              </w:rPr>
              <w:t>乙酸盐雾试验（AASS），24h，达到9级。</w:t>
            </w:r>
          </w:p>
        </w:tc>
        <w:tc>
          <w:tcPr>
            <w:tcW w:w="1230" w:type="dxa"/>
            <w:tcBorders>
              <w:top w:val="single" w:color="auto" w:sz="8" w:space="0"/>
            </w:tcBorders>
            <w:vAlign w:val="center"/>
          </w:tcPr>
          <w:p>
            <w:pPr>
              <w:jc w:val="center"/>
              <w:rPr>
                <w:rFonts w:hint="eastAsia" w:ascii="宋体"/>
                <w:kern w:val="0"/>
                <w:sz w:val="18"/>
                <w:szCs w:val="18"/>
                <w:highlight w:val="none"/>
              </w:rPr>
            </w:pPr>
            <w:r>
              <w:rPr>
                <w:rFonts w:hint="eastAsia" w:ascii="宋体"/>
                <w:kern w:val="0"/>
                <w:sz w:val="18"/>
                <w:szCs w:val="18"/>
                <w:highlight w:val="none"/>
                <w:lang w:val="en-US" w:eastAsia="zh-CN"/>
              </w:rPr>
              <w:t>乙酸盐雾试验(AASS)24h，达到10级。</w:t>
            </w:r>
          </w:p>
        </w:tc>
        <w:tc>
          <w:tcPr>
            <w:tcW w:w="1260" w:type="dxa"/>
            <w:tcBorders>
              <w:top w:val="single" w:color="auto" w:sz="8" w:space="0"/>
            </w:tcBorders>
            <w:vAlign w:val="center"/>
          </w:tcPr>
          <w:p>
            <w:pPr>
              <w:jc w:val="center"/>
              <w:rPr>
                <w:rFonts w:hint="eastAsia" w:ascii="宋体"/>
                <w:kern w:val="0"/>
                <w:sz w:val="18"/>
                <w:szCs w:val="18"/>
                <w:highlight w:val="none"/>
              </w:rPr>
            </w:pPr>
            <w:r>
              <w:rPr>
                <w:rFonts w:hint="eastAsia" w:ascii="宋体"/>
                <w:kern w:val="0"/>
                <w:sz w:val="18"/>
                <w:szCs w:val="18"/>
                <w:highlight w:val="none"/>
                <w:lang w:val="en-US" w:eastAsia="zh-CN"/>
              </w:rPr>
              <w:t>乙酸盐雾试验(AASS)48h，达到10级。</w:t>
            </w:r>
          </w:p>
        </w:tc>
        <w:tc>
          <w:tcPr>
            <w:tcW w:w="1305" w:type="dxa"/>
            <w:tcBorders>
              <w:top w:val="single" w:color="auto" w:sz="8" w:space="0"/>
            </w:tcBorders>
            <w:vAlign w:val="center"/>
          </w:tcPr>
          <w:p>
            <w:pPr>
              <w:jc w:val="center"/>
              <w:rPr>
                <w:rFonts w:hint="default" w:ascii="宋体"/>
                <w:kern w:val="0"/>
                <w:sz w:val="18"/>
                <w:szCs w:val="18"/>
                <w:highlight w:val="none"/>
                <w:lang w:val="en-US" w:eastAsia="zh-CN"/>
              </w:rPr>
            </w:pPr>
            <w:r>
              <w:rPr>
                <w:rFonts w:hint="eastAsia" w:ascii="宋体"/>
                <w:kern w:val="0"/>
                <w:sz w:val="18"/>
                <w:szCs w:val="18"/>
                <w:highlight w:val="none"/>
                <w:lang w:val="en-US" w:eastAsia="zh-CN"/>
              </w:rPr>
              <w:t>GB/T 10125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97" w:type="dxa"/>
            <w:vMerge w:val="continue"/>
            <w:vAlign w:val="center"/>
          </w:tcPr>
          <w:p>
            <w:pPr>
              <w:jc w:val="center"/>
              <w:rPr>
                <w:rFonts w:ascii="宋体"/>
                <w:kern w:val="0"/>
                <w:sz w:val="18"/>
                <w:szCs w:val="18"/>
              </w:rPr>
            </w:pPr>
          </w:p>
        </w:tc>
        <w:tc>
          <w:tcPr>
            <w:tcW w:w="975" w:type="dxa"/>
            <w:vMerge w:val="continue"/>
            <w:vAlign w:val="center"/>
          </w:tcPr>
          <w:p>
            <w:pPr>
              <w:jc w:val="center"/>
              <w:rPr>
                <w:rFonts w:ascii="宋体"/>
                <w:kern w:val="0"/>
                <w:sz w:val="18"/>
                <w:szCs w:val="18"/>
                <w:highlight w:val="none"/>
              </w:rPr>
            </w:pPr>
          </w:p>
        </w:tc>
        <w:tc>
          <w:tcPr>
            <w:tcW w:w="1395" w:type="dxa"/>
            <w:vAlign w:val="center"/>
          </w:tcPr>
          <w:p>
            <w:pPr>
              <w:jc w:val="center"/>
              <w:rPr>
                <w:rFonts w:hint="default" w:ascii="宋体"/>
                <w:kern w:val="0"/>
                <w:sz w:val="18"/>
                <w:szCs w:val="18"/>
                <w:highlight w:val="none"/>
                <w:lang w:val="en-US" w:eastAsia="zh-CN"/>
              </w:rPr>
            </w:pPr>
            <w:r>
              <w:rPr>
                <w:rFonts w:hint="eastAsia" w:ascii="宋体"/>
                <w:kern w:val="0"/>
                <w:sz w:val="18"/>
                <w:szCs w:val="18"/>
                <w:highlight w:val="none"/>
                <w:lang w:val="en-US" w:eastAsia="zh-CN"/>
              </w:rPr>
              <w:t>无涂（镀层）的金属件</w:t>
            </w:r>
          </w:p>
        </w:tc>
        <w:tc>
          <w:tcPr>
            <w:tcW w:w="945" w:type="dxa"/>
            <w:vAlign w:val="center"/>
          </w:tcPr>
          <w:p>
            <w:pPr>
              <w:jc w:val="center"/>
              <w:rPr>
                <w:rFonts w:hint="eastAsia" w:ascii="宋体"/>
                <w:kern w:val="0"/>
                <w:sz w:val="18"/>
                <w:szCs w:val="18"/>
                <w:highlight w:val="none"/>
              </w:rPr>
            </w:pPr>
            <w:r>
              <w:rPr>
                <w:rFonts w:hint="eastAsia" w:ascii="宋体"/>
                <w:kern w:val="0"/>
                <w:sz w:val="18"/>
                <w:szCs w:val="18"/>
                <w:highlight w:val="none"/>
                <w:lang w:eastAsia="zh-CN"/>
              </w:rPr>
              <w:t>——</w:t>
            </w:r>
          </w:p>
        </w:tc>
        <w:tc>
          <w:tcPr>
            <w:tcW w:w="1246" w:type="dxa"/>
            <w:vAlign w:val="center"/>
          </w:tcPr>
          <w:p>
            <w:pPr>
              <w:jc w:val="center"/>
              <w:rPr>
                <w:rFonts w:hint="default" w:ascii="宋体"/>
                <w:kern w:val="0"/>
                <w:sz w:val="18"/>
                <w:szCs w:val="18"/>
                <w:highlight w:val="none"/>
                <w:lang w:val="en-US" w:eastAsia="zh-CN"/>
              </w:rPr>
            </w:pPr>
            <w:r>
              <w:rPr>
                <w:rFonts w:hint="eastAsia" w:ascii="宋体"/>
                <w:kern w:val="0"/>
                <w:sz w:val="18"/>
                <w:szCs w:val="18"/>
                <w:highlight w:val="none"/>
                <w:lang w:val="en-US" w:eastAsia="zh-CN"/>
              </w:rPr>
              <w:t>乙酸盐雾试验（AASS），24h，达到9级。</w:t>
            </w:r>
          </w:p>
        </w:tc>
        <w:tc>
          <w:tcPr>
            <w:tcW w:w="1230" w:type="dxa"/>
            <w:vAlign w:val="center"/>
          </w:tcPr>
          <w:p>
            <w:pPr>
              <w:jc w:val="center"/>
              <w:rPr>
                <w:rFonts w:hint="eastAsia" w:ascii="宋体"/>
                <w:kern w:val="0"/>
                <w:sz w:val="18"/>
                <w:szCs w:val="18"/>
                <w:highlight w:val="none"/>
              </w:rPr>
            </w:pPr>
            <w:r>
              <w:rPr>
                <w:rFonts w:hint="eastAsia" w:ascii="宋体"/>
                <w:kern w:val="0"/>
                <w:sz w:val="18"/>
                <w:szCs w:val="18"/>
                <w:highlight w:val="none"/>
                <w:lang w:val="en-US" w:eastAsia="zh-CN"/>
              </w:rPr>
              <w:t>乙酸盐雾试验(AASS)24h，达到10级。</w:t>
            </w:r>
          </w:p>
        </w:tc>
        <w:tc>
          <w:tcPr>
            <w:tcW w:w="1260" w:type="dxa"/>
            <w:vAlign w:val="center"/>
          </w:tcPr>
          <w:p>
            <w:pPr>
              <w:jc w:val="center"/>
              <w:rPr>
                <w:rFonts w:hint="eastAsia" w:ascii="宋体"/>
                <w:kern w:val="0"/>
                <w:sz w:val="18"/>
                <w:szCs w:val="18"/>
                <w:highlight w:val="none"/>
              </w:rPr>
            </w:pPr>
            <w:r>
              <w:rPr>
                <w:rFonts w:hint="eastAsia" w:ascii="宋体"/>
                <w:kern w:val="0"/>
                <w:sz w:val="18"/>
                <w:szCs w:val="18"/>
                <w:highlight w:val="none"/>
                <w:lang w:val="en-US" w:eastAsia="zh-CN"/>
              </w:rPr>
              <w:t>乙酸盐雾试验(AASS)48h，达到10级。</w:t>
            </w:r>
          </w:p>
        </w:tc>
        <w:tc>
          <w:tcPr>
            <w:tcW w:w="1305" w:type="dxa"/>
            <w:vAlign w:val="center"/>
          </w:tcPr>
          <w:p>
            <w:pPr>
              <w:jc w:val="center"/>
              <w:rPr>
                <w:rFonts w:hint="eastAsia" w:ascii="宋体"/>
                <w:kern w:val="0"/>
                <w:sz w:val="18"/>
                <w:szCs w:val="18"/>
                <w:highlight w:val="none"/>
                <w:lang w:val="en-US" w:eastAsia="zh-CN"/>
              </w:rPr>
            </w:pPr>
            <w:r>
              <w:rPr>
                <w:rFonts w:hint="eastAsia" w:ascii="宋体"/>
                <w:kern w:val="0"/>
                <w:sz w:val="18"/>
                <w:szCs w:val="18"/>
                <w:highlight w:val="none"/>
                <w:lang w:val="en-US" w:eastAsia="zh-CN"/>
              </w:rPr>
              <w:t>GB/T 10125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848" w:type="dxa"/>
            <w:gridSpan w:val="7"/>
            <w:vAlign w:val="center"/>
          </w:tcPr>
          <w:p>
            <w:pPr>
              <w:jc w:val="both"/>
              <w:rPr>
                <w:rFonts w:hint="eastAsia" w:ascii="宋体"/>
                <w:kern w:val="0"/>
                <w:sz w:val="18"/>
                <w:szCs w:val="18"/>
                <w:highlight w:val="yellow"/>
                <w:lang w:eastAsia="zh-CN"/>
              </w:rPr>
            </w:pPr>
            <w:r>
              <w:rPr>
                <w:rFonts w:hint="eastAsia" w:ascii="宋体" w:hAnsi="宋体" w:cs="宋体"/>
                <w:color w:val="000000"/>
                <w:kern w:val="0"/>
                <w:sz w:val="21"/>
                <w:szCs w:val="21"/>
                <w:lang w:val="en-US" w:eastAsia="zh-CN" w:bidi="ar"/>
              </w:rPr>
              <w:t>a:</w:t>
            </w:r>
            <w:r>
              <w:rPr>
                <w:rFonts w:hint="eastAsia" w:ascii="宋体" w:cs="宋体"/>
                <w:kern w:val="0"/>
                <w:sz w:val="18"/>
                <w:szCs w:val="18"/>
                <w:lang w:val="en-US" w:eastAsia="zh-CN"/>
              </w:rPr>
              <w:t>如果挡水屏由多块钢化玻璃组成，应分别进行测试。</w:t>
            </w:r>
          </w:p>
        </w:tc>
        <w:tc>
          <w:tcPr>
            <w:tcW w:w="1305" w:type="dxa"/>
            <w:vAlign w:val="center"/>
          </w:tcPr>
          <w:p>
            <w:pPr>
              <w:jc w:val="both"/>
              <w:rPr>
                <w:rFonts w:hint="eastAsia" w:ascii="宋体" w:hAnsi="宋体" w:cs="宋体"/>
                <w:color w:val="000000"/>
                <w:kern w:val="0"/>
                <w:sz w:val="21"/>
                <w:szCs w:val="21"/>
                <w:lang w:val="en-US" w:eastAsia="zh-CN" w:bidi="ar"/>
              </w:rPr>
            </w:pPr>
          </w:p>
        </w:tc>
      </w:tr>
      <w:bookmarkEnd w:id="120"/>
    </w:tbl>
    <w:p>
      <w:pPr>
        <w:pStyle w:val="42"/>
        <w:spacing w:beforeLines="50" w:afterLines="50"/>
        <w:rPr>
          <w:rFonts w:cs="Times New Roman"/>
        </w:rPr>
      </w:pPr>
      <w:r>
        <w:rPr>
          <w:rFonts w:hint="eastAsia"/>
        </w:rPr>
        <w:t>评价方法</w:t>
      </w:r>
    </w:p>
    <w:p>
      <w:pPr>
        <w:pStyle w:val="127"/>
      </w:pPr>
      <w:r>
        <w:rPr>
          <w:rFonts w:hint="eastAsia"/>
        </w:rPr>
        <w:t>生产企业应按4.1的规定提供国家政策认可的等效文件、近一年内的第三方环境检测报告、近一年内的工作场所职业病危害因素检测报告、管理体系有效运行证明文件、近一年之内的产品型式检验报告、有效期的环境产品声明（EPD）报告和碳足迹报告等相关资料。</w:t>
      </w:r>
    </w:p>
    <w:p>
      <w:pPr>
        <w:pStyle w:val="127"/>
        <w:rPr>
          <w:rFonts w:cs="Times New Roman"/>
        </w:rPr>
      </w:pPr>
      <w:r>
        <w:rPr>
          <w:rFonts w:hint="eastAsia" w:cs="Times New Roman"/>
        </w:rPr>
        <w:t>资源属性中生产废料综合处置和利用率按照附录A</w:t>
      </w:r>
      <w:r>
        <w:rPr>
          <w:rFonts w:hint="eastAsia" w:cs="Times New Roman"/>
          <w:lang w:eastAsia="zh-CN"/>
        </w:rPr>
        <w:t>，</w:t>
      </w:r>
      <w:r>
        <w:rPr>
          <w:rFonts w:hint="eastAsia" w:cs="Times New Roman"/>
        </w:rPr>
        <w:t>单位产品取水量</w:t>
      </w:r>
      <w:r>
        <w:rPr>
          <w:rFonts w:hint="eastAsia" w:cs="Times New Roman"/>
          <w:lang w:eastAsia="zh-CN"/>
        </w:rPr>
        <w:t>、</w:t>
      </w:r>
      <w:r>
        <w:rPr>
          <w:rFonts w:hint="eastAsia" w:cs="Times New Roman"/>
        </w:rPr>
        <w:t>型材材料利用率</w:t>
      </w:r>
      <w:r>
        <w:rPr>
          <w:rFonts w:hint="eastAsia" w:cs="Times New Roman"/>
        </w:rPr>
        <w:t>按照</w:t>
      </w:r>
      <w:r>
        <w:rPr>
          <w:rFonts w:hint="eastAsia" w:cs="Times New Roman"/>
          <w:lang w:val="en-US" w:eastAsia="zh-CN"/>
        </w:rPr>
        <w:t>T/CECS 10041，</w:t>
      </w:r>
      <w:r>
        <w:rPr>
          <w:rFonts w:hint="eastAsia" w:cs="Times New Roman"/>
        </w:rPr>
        <w:t>产品包装</w:t>
      </w:r>
      <w:r>
        <w:rPr>
          <w:rFonts w:hint="eastAsia" w:cs="Times New Roman"/>
          <w:lang w:val="en-US" w:eastAsia="zh-CN"/>
        </w:rPr>
        <w:t>按照</w:t>
      </w:r>
      <w:r>
        <w:rPr>
          <w:rFonts w:hint="eastAsia" w:cs="Times New Roman"/>
        </w:rPr>
        <w:t>GB 31268</w:t>
      </w:r>
      <w:r>
        <w:rPr>
          <w:rFonts w:hint="eastAsia" w:cs="Times New Roman"/>
          <w:lang w:eastAsia="zh-CN"/>
        </w:rPr>
        <w:t>，</w:t>
      </w:r>
      <w:r>
        <w:rPr>
          <w:rFonts w:hint="eastAsia" w:cs="Times New Roman"/>
        </w:rPr>
        <w:t>玻璃材料利用率</w:t>
      </w:r>
      <w:r>
        <w:rPr>
          <w:rFonts w:hint="eastAsia" w:cs="Times New Roman"/>
          <w:lang w:val="en-US" w:eastAsia="zh-CN"/>
        </w:rPr>
        <w:t>按照T/CECS 10034</w:t>
      </w:r>
      <w:r>
        <w:rPr>
          <w:rFonts w:hint="eastAsia" w:cs="Times New Roman"/>
        </w:rPr>
        <w:t>方法进行计算</w:t>
      </w:r>
      <w:r>
        <w:rPr>
          <w:rFonts w:hint="eastAsia" w:cs="Times New Roman"/>
          <w:lang w:eastAsia="zh-CN"/>
        </w:rPr>
        <w:t>。</w:t>
      </w:r>
    </w:p>
    <w:p>
      <w:pPr>
        <w:pStyle w:val="127"/>
        <w:rPr>
          <w:rFonts w:hint="eastAsia" w:cs="Times New Roman"/>
        </w:rPr>
      </w:pPr>
      <w:r>
        <w:rPr>
          <w:rFonts w:hint="eastAsia" w:cs="Times New Roman"/>
        </w:rPr>
        <w:t>能源属性</w:t>
      </w:r>
      <w:r>
        <w:rPr>
          <w:rFonts w:hint="eastAsia" w:cs="Times New Roman"/>
          <w:lang w:val="en-US" w:eastAsia="zh-CN"/>
        </w:rPr>
        <w:t>中</w:t>
      </w:r>
      <w:r>
        <w:rPr>
          <w:rFonts w:hint="eastAsia" w:cs="Times New Roman"/>
        </w:rPr>
        <w:t>近三年万元产值用水量下降率</w:t>
      </w:r>
      <w:r>
        <w:rPr>
          <w:rFonts w:hint="eastAsia" w:cs="Times New Roman"/>
          <w:lang w:eastAsia="zh-CN"/>
        </w:rPr>
        <w:t>、</w:t>
      </w:r>
      <w:r>
        <w:rPr>
          <w:rFonts w:hint="eastAsia" w:cs="Times New Roman"/>
        </w:rPr>
        <w:t>近三年万元产值用电能耗标煤下降率</w:t>
      </w:r>
      <w:r>
        <w:rPr>
          <w:rFonts w:hint="eastAsia" w:cs="Times New Roman"/>
          <w:lang w:eastAsia="zh-CN"/>
        </w:rPr>
        <w:t>、</w:t>
      </w:r>
      <w:r>
        <w:rPr>
          <w:rFonts w:hint="eastAsia" w:cs="Times New Roman"/>
        </w:rPr>
        <w:t>单位产品综合能耗</w:t>
      </w:r>
      <w:r>
        <w:rPr>
          <w:rFonts w:hint="eastAsia" w:cs="Times New Roman"/>
          <w:lang w:val="en-US" w:eastAsia="zh-CN"/>
        </w:rPr>
        <w:t>按照T/CECS 10041</w:t>
      </w:r>
      <w:r>
        <w:rPr>
          <w:rFonts w:hint="eastAsia" w:cs="Times New Roman"/>
        </w:rPr>
        <w:t>方法进行计算</w:t>
      </w:r>
      <w:r>
        <w:rPr>
          <w:rFonts w:hint="eastAsia" w:cs="Times New Roman"/>
          <w:lang w:eastAsia="zh-CN"/>
        </w:rPr>
        <w:t>。</w:t>
      </w:r>
    </w:p>
    <w:p>
      <w:pPr>
        <w:pStyle w:val="127"/>
        <w:rPr>
          <w:rFonts w:hint="eastAsia" w:cs="Times New Roman"/>
        </w:rPr>
      </w:pPr>
      <w:r>
        <w:rPr>
          <w:rFonts w:hint="eastAsia" w:cs="Times New Roman"/>
          <w:lang w:val="en-US" w:eastAsia="zh-CN"/>
        </w:rPr>
        <w:t>环境属性中产品环境影响和碳足迹</w:t>
      </w:r>
      <w:r>
        <w:rPr>
          <w:rFonts w:hint="eastAsia" w:cs="Times New Roman"/>
          <w:lang w:val="en-US" w:eastAsia="zh-CN"/>
        </w:rPr>
        <w:t>按照GB/T 24025方法进行计算。</w:t>
      </w:r>
    </w:p>
    <w:p>
      <w:pPr>
        <w:pStyle w:val="127"/>
        <w:rPr>
          <w:rFonts w:cs="Times New Roman"/>
        </w:rPr>
      </w:pPr>
      <w:r>
        <w:rPr>
          <w:rFonts w:hint="eastAsia" w:cs="Times New Roman"/>
        </w:rPr>
        <w:t>品质属性</w:t>
      </w:r>
      <w:r>
        <w:rPr>
          <w:rFonts w:hint="eastAsia" w:cs="Times New Roman"/>
          <w:lang w:eastAsia="zh-CN"/>
        </w:rPr>
        <w:t>中</w:t>
      </w:r>
      <w:r>
        <w:rPr>
          <w:rFonts w:hint="eastAsia" w:cs="Times New Roman"/>
          <w:lang w:val="en-US" w:eastAsia="zh-CN"/>
        </w:rPr>
        <w:t>安全警示</w:t>
      </w:r>
      <w:r>
        <w:rPr>
          <w:rFonts w:hint="eastAsia" w:cs="Times New Roman"/>
          <w:lang w:eastAsia="zh-CN"/>
        </w:rPr>
        <w:t>、</w:t>
      </w:r>
      <w:r>
        <w:rPr>
          <w:rFonts w:hint="eastAsia" w:cs="Times New Roman"/>
          <w:lang w:val="en-US" w:eastAsia="zh-CN"/>
        </w:rPr>
        <w:t>耐久性能</w:t>
      </w:r>
      <w:r>
        <w:rPr>
          <w:rFonts w:hint="eastAsia" w:cs="Times New Roman"/>
          <w:lang w:eastAsia="zh-CN"/>
        </w:rPr>
        <w:t>项目</w:t>
      </w:r>
      <w:r>
        <w:rPr>
          <w:rFonts w:hint="eastAsia" w:cs="Times New Roman"/>
        </w:rPr>
        <w:t>按照</w:t>
      </w:r>
      <w:r>
        <w:rPr>
          <w:rFonts w:hint="eastAsia" w:cs="Times New Roman"/>
          <w:lang w:val="en-US" w:eastAsia="zh-CN"/>
        </w:rPr>
        <w:t>Q</w:t>
      </w:r>
      <w:r>
        <w:rPr>
          <w:rFonts w:hint="eastAsia" w:cs="Times New Roman"/>
        </w:rPr>
        <w:t>B</w:t>
      </w:r>
      <w:r>
        <w:rPr>
          <w:rFonts w:hint="eastAsia" w:cs="Times New Roman"/>
          <w:lang w:val="en-US" w:eastAsia="zh-CN"/>
        </w:rPr>
        <w:t>/T</w:t>
      </w:r>
      <w:r>
        <w:rPr>
          <w:rFonts w:hint="eastAsia" w:cs="Times New Roman"/>
        </w:rPr>
        <w:t xml:space="preserve"> </w:t>
      </w:r>
      <w:r>
        <w:rPr>
          <w:rFonts w:hint="eastAsia" w:cs="Times New Roman"/>
          <w:lang w:val="en-US" w:eastAsia="zh-CN"/>
        </w:rPr>
        <w:t>2584</w:t>
      </w:r>
      <w:r>
        <w:rPr>
          <w:rFonts w:hint="eastAsia" w:cs="Times New Roman"/>
          <w:lang w:eastAsia="zh-CN"/>
        </w:rPr>
        <w:t>，</w:t>
      </w:r>
      <w:r>
        <w:rPr>
          <w:rFonts w:hint="eastAsia" w:cs="Times New Roman"/>
          <w:lang w:val="en-US" w:eastAsia="zh-CN"/>
        </w:rPr>
        <w:t>玻璃安全</w:t>
      </w:r>
      <w:r>
        <w:rPr>
          <w:rFonts w:hint="eastAsia" w:cs="Times New Roman"/>
          <w:lang w:eastAsia="zh-CN"/>
        </w:rPr>
        <w:t>项目按照</w:t>
      </w:r>
      <w:r>
        <w:rPr>
          <w:rFonts w:hint="eastAsia" w:cs="Times New Roman"/>
        </w:rPr>
        <w:t xml:space="preserve">GB </w:t>
      </w:r>
      <w:r>
        <w:rPr>
          <w:rFonts w:hint="eastAsia" w:cs="Times New Roman"/>
          <w:lang w:val="en-US" w:eastAsia="zh-CN"/>
        </w:rPr>
        <w:t xml:space="preserve">15763.2 </w:t>
      </w:r>
      <w:r>
        <w:rPr>
          <w:rFonts w:hint="eastAsia" w:cs="Times New Roman"/>
        </w:rPr>
        <w:t>、表面处理</w:t>
      </w:r>
      <w:r>
        <w:rPr>
          <w:rFonts w:hint="eastAsia" w:cs="Times New Roman"/>
          <w:lang w:eastAsia="zh-CN"/>
        </w:rPr>
        <w:t>项目按照</w:t>
      </w:r>
      <w:r>
        <w:rPr>
          <w:rFonts w:hint="eastAsia" w:cs="Times New Roman"/>
          <w:lang w:val="en-US" w:eastAsia="zh-CN"/>
        </w:rPr>
        <w:t>GB/T 10125、</w:t>
      </w:r>
      <w:r>
        <w:rPr>
          <w:rFonts w:hint="eastAsia" w:cs="Times New Roman"/>
        </w:rPr>
        <w:t>GB/T 6461规定要求进行测试。</w:t>
      </w:r>
    </w:p>
    <w:p>
      <w:pPr>
        <w:pStyle w:val="127"/>
        <w:rPr>
          <w:rFonts w:cs="Times New Roman"/>
        </w:rPr>
      </w:pPr>
      <w:r>
        <w:rPr>
          <w:rFonts w:hint="eastAsia" w:cs="Times New Roman"/>
        </w:rPr>
        <w:t>生产企业满足第4章对应评价等级的全部要求时，判定评价结果符合该评价等级规定。</w:t>
      </w:r>
    </w:p>
    <w:p>
      <w:pPr>
        <w:pStyle w:val="127"/>
        <w:numPr>
          <w:ilvl w:val="1"/>
          <w:numId w:val="0"/>
        </w:numPr>
      </w:pPr>
      <w:bookmarkStart w:id="121" w:name="_GoBack"/>
      <w:bookmarkEnd w:id="121"/>
    </w:p>
    <w:p>
      <w:r>
        <w:rPr>
          <w:rFonts w:hint="eastAsia"/>
        </w:rPr>
        <w:br w:type="page"/>
      </w:r>
    </w:p>
    <w:p>
      <w:pPr>
        <w:pStyle w:val="83"/>
        <w:keepNext/>
        <w:keepLines w:val="0"/>
        <w:pageBreakBefore w:val="0"/>
        <w:widowControl/>
        <w:tabs>
          <w:tab w:val="left" w:pos="360"/>
        </w:tabs>
        <w:kinsoku/>
        <w:wordWrap/>
        <w:overflowPunct/>
        <w:topLinePunct w:val="0"/>
        <w:autoSpaceDE/>
        <w:autoSpaceDN/>
        <w:bidi w:val="0"/>
        <w:adjustRightInd/>
        <w:snapToGrid w:val="0"/>
        <w:spacing w:before="0" w:after="0" w:line="360" w:lineRule="auto"/>
        <w:ind w:left="0"/>
        <w:textAlignment w:val="auto"/>
      </w:pPr>
    </w:p>
    <w:p>
      <w:pPr>
        <w:pStyle w:val="83"/>
        <w:keepNext/>
        <w:keepLines w:val="0"/>
        <w:pageBreakBefore w:val="0"/>
        <w:widowControl/>
        <w:numPr>
          <w:ilvl w:val="0"/>
          <w:numId w:val="0"/>
        </w:numPr>
        <w:tabs>
          <w:tab w:val="left" w:pos="360"/>
        </w:tabs>
        <w:kinsoku/>
        <w:wordWrap/>
        <w:overflowPunct/>
        <w:topLinePunct w:val="0"/>
        <w:autoSpaceDE/>
        <w:autoSpaceDN/>
        <w:bidi w:val="0"/>
        <w:adjustRightInd/>
        <w:snapToGrid w:val="0"/>
        <w:spacing w:before="0" w:after="0" w:line="360" w:lineRule="auto"/>
        <w:textAlignment w:val="auto"/>
      </w:pPr>
      <w:r>
        <w:rPr>
          <w:rFonts w:hint="eastAsia"/>
        </w:rPr>
        <w:t>（规范性附录）</w:t>
      </w:r>
      <w:r>
        <w:br w:type="textWrapping"/>
      </w:r>
      <w:r>
        <w:rPr>
          <w:rFonts w:hint="eastAsia"/>
          <w:highlight w:val="yellow"/>
        </w:rPr>
        <w:t>指标计算方法</w:t>
      </w:r>
    </w:p>
    <w:p>
      <w:pPr>
        <w:pStyle w:val="101"/>
        <w:tabs>
          <w:tab w:val="left" w:pos="360"/>
        </w:tabs>
        <w:spacing w:before="312" w:after="312"/>
        <w:rPr>
          <w:rFonts w:ascii="Times New Roman"/>
        </w:rPr>
      </w:pPr>
      <w:r>
        <w:rPr>
          <w:rFonts w:hint="eastAsia"/>
          <w:szCs w:val="18"/>
        </w:rPr>
        <w:t>生产废料综合利用率</w:t>
      </w:r>
    </w:p>
    <w:p>
      <w:pPr>
        <w:pStyle w:val="22"/>
      </w:pPr>
      <w:r>
        <w:rPr>
          <w:rFonts w:hint="eastAsia"/>
        </w:rPr>
        <w:t>在生产过程中，利用废料量与产生废料总量的比值，按公式（A.</w:t>
      </w:r>
      <w:r>
        <w:t>1</w:t>
      </w:r>
      <w:r>
        <w:rPr>
          <w:rFonts w:hint="eastAsia"/>
        </w:rPr>
        <w:t>）计算。</w:t>
      </w:r>
    </w:p>
    <w:p>
      <w:pPr>
        <w:pStyle w:val="22"/>
        <w:ind w:firstLine="0" w:firstLineChars="0"/>
        <w:jc w:val="center"/>
      </w:pPr>
      <w:r>
        <w:rPr>
          <w:rFonts w:hint="eastAsia"/>
          <w:position w:val="-26"/>
        </w:rPr>
        <w:object>
          <v:shape id="_x0000_i1025" o:spt="75" type="#_x0000_t75" style="height:31.2pt;width:82.4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t>………………</w:t>
      </w:r>
      <w:r>
        <w:rPr>
          <w:rFonts w:hint="eastAsia"/>
        </w:rPr>
        <w:t>（A.</w:t>
      </w:r>
      <w:r>
        <w:t>1</w:t>
      </w:r>
      <w:r>
        <w:rPr>
          <w:rFonts w:hint="eastAsia"/>
        </w:rPr>
        <w:t>）</w:t>
      </w:r>
    </w:p>
    <w:p>
      <w:pPr>
        <w:pStyle w:val="22"/>
      </w:pPr>
      <w:r>
        <w:rPr>
          <w:rFonts w:hint="eastAsia"/>
        </w:rPr>
        <w:t>式中：</w:t>
      </w:r>
    </w:p>
    <w:p>
      <w:pPr>
        <w:pStyle w:val="22"/>
        <w:rPr>
          <w:rFonts w:ascii="Times New Roman"/>
        </w:rPr>
      </w:pPr>
      <w:r>
        <w:rPr>
          <w:rFonts w:ascii="Times New Roman"/>
          <w:i/>
          <w:iCs/>
        </w:rPr>
        <w:t>K</w:t>
      </w:r>
      <w:r>
        <w:rPr>
          <w:rFonts w:ascii="Times New Roman"/>
          <w:i/>
          <w:iCs/>
          <w:vertAlign w:val="subscript"/>
        </w:rPr>
        <w:t>c</w:t>
      </w:r>
      <w:r>
        <w:rPr>
          <w:rFonts w:hint="eastAsia" w:ascii="Times New Roman"/>
        </w:rPr>
        <w:t>——单位生产废料综合利用率，</w:t>
      </w:r>
      <w:r>
        <w:rPr>
          <w:rFonts w:ascii="Times New Roman"/>
        </w:rPr>
        <w:t>%</w:t>
      </w:r>
      <w:r>
        <w:rPr>
          <w:rFonts w:hint="eastAsia" w:ascii="Times New Roman"/>
        </w:rPr>
        <w:t>；</w:t>
      </w:r>
    </w:p>
    <w:p>
      <w:pPr>
        <w:pStyle w:val="22"/>
        <w:rPr>
          <w:rFonts w:ascii="Times New Roman"/>
        </w:rPr>
      </w:pPr>
      <w:r>
        <w:rPr>
          <w:rFonts w:ascii="Times New Roman"/>
          <w:i/>
          <w:iCs/>
        </w:rPr>
        <w:t>F</w:t>
      </w:r>
      <w:r>
        <w:rPr>
          <w:rFonts w:ascii="Times New Roman"/>
          <w:i/>
          <w:iCs/>
          <w:vertAlign w:val="subscript"/>
        </w:rPr>
        <w:t>c</w:t>
      </w:r>
      <w:r>
        <w:rPr>
          <w:rFonts w:hint="eastAsia" w:ascii="Times New Roman"/>
        </w:rPr>
        <w:t>——评价期（一般为</w:t>
      </w:r>
      <w:r>
        <w:rPr>
          <w:rFonts w:ascii="Times New Roman"/>
        </w:rPr>
        <w:t>1</w:t>
      </w:r>
      <w:r>
        <w:rPr>
          <w:rFonts w:hint="eastAsia" w:ascii="Times New Roman"/>
        </w:rPr>
        <w:t>年）内</w:t>
      </w:r>
      <w:r>
        <w:rPr>
          <w:rFonts w:hint="eastAsia"/>
        </w:rPr>
        <w:t>利用废料总量</w:t>
      </w:r>
      <w:r>
        <w:rPr>
          <w:rFonts w:hint="eastAsia" w:ascii="Times New Roman"/>
        </w:rPr>
        <w:t>，单位为吨（</w:t>
      </w:r>
      <w:r>
        <w:rPr>
          <w:rFonts w:ascii="Times New Roman"/>
        </w:rPr>
        <w:t>t</w:t>
      </w:r>
      <w:r>
        <w:rPr>
          <w:rFonts w:hint="eastAsia" w:ascii="Times New Roman"/>
        </w:rPr>
        <w:t>）；</w:t>
      </w:r>
    </w:p>
    <w:p>
      <w:pPr>
        <w:pStyle w:val="22"/>
        <w:rPr>
          <w:rFonts w:ascii="Times New Roman"/>
        </w:rPr>
      </w:pPr>
      <w:r>
        <w:rPr>
          <w:rFonts w:ascii="Times New Roman"/>
          <w:i/>
          <w:iCs/>
        </w:rPr>
        <w:t>F</w:t>
      </w:r>
      <w:r>
        <w:rPr>
          <w:rFonts w:ascii="Times New Roman"/>
          <w:i/>
          <w:iCs/>
          <w:vertAlign w:val="subscript"/>
        </w:rPr>
        <w:t>g</w:t>
      </w:r>
      <w:r>
        <w:rPr>
          <w:rFonts w:hint="eastAsia" w:ascii="Times New Roman"/>
        </w:rPr>
        <w:t>——评价期（一般为</w:t>
      </w:r>
      <w:r>
        <w:rPr>
          <w:rFonts w:ascii="Times New Roman"/>
        </w:rPr>
        <w:t>1</w:t>
      </w:r>
      <w:r>
        <w:rPr>
          <w:rFonts w:hint="eastAsia" w:ascii="Times New Roman"/>
        </w:rPr>
        <w:t>年）内</w:t>
      </w:r>
      <w:r>
        <w:rPr>
          <w:rFonts w:hint="eastAsia"/>
        </w:rPr>
        <w:t>产生废料总量</w:t>
      </w:r>
      <w:r>
        <w:rPr>
          <w:rFonts w:hint="eastAsia" w:ascii="Times New Roman"/>
        </w:rPr>
        <w:t>，单位为吨（</w:t>
      </w:r>
      <w:r>
        <w:rPr>
          <w:rFonts w:ascii="Times New Roman"/>
        </w:rPr>
        <w:t>t</w:t>
      </w:r>
      <w:r>
        <w:rPr>
          <w:rFonts w:hint="eastAsia" w:ascii="Times New Roman"/>
        </w:rPr>
        <w:t>）。</w:t>
      </w:r>
    </w:p>
    <w:p>
      <w:pPr>
        <w:rPr>
          <w:rFonts w:hint="eastAsia"/>
          <w:lang w:val="en-US" w:eastAsia="zh-CN"/>
        </w:rPr>
      </w:pPr>
    </w:p>
    <w:p>
      <w:pPr>
        <w:jc w:val="center"/>
        <w:rPr>
          <w:rFonts w:hint="default"/>
          <w:lang w:val="en-US" w:eastAsia="zh-CN"/>
        </w:rPr>
      </w:pPr>
    </w:p>
    <w:p>
      <w:pPr>
        <w:jc w:val="center"/>
      </w:pPr>
    </w:p>
    <w:sectPr>
      <w:pgSz w:w="11906" w:h="16838"/>
      <w:pgMar w:top="567" w:right="1134" w:bottom="993" w:left="1365" w:header="557" w:footer="468" w:gutter="0"/>
      <w:pgNumType w:start="1"/>
      <w:cols w:space="425" w:num="1"/>
      <w:formProt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inna" w:date="2023-12-04T12:47:30Z" w:initials="">
    <w:p w14:paraId="34204842">
      <w:pPr>
        <w:pStyle w:val="7"/>
        <w:rPr>
          <w:rFonts w:hint="default" w:eastAsia="宋体"/>
          <w:lang w:val="en-US" w:eastAsia="zh-CN"/>
        </w:rPr>
      </w:pPr>
      <w:r>
        <w:rPr>
          <w:rFonts w:hint="eastAsia"/>
          <w:lang w:val="en-US" w:eastAsia="zh-CN"/>
        </w:rPr>
        <w:t>最后增加一列“评价依据”并补充相关内容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420484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cs="Times New Roman"/>
      </w:rPr>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T/CECS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A4CBD"/>
    <w:multiLevelType w:val="multilevel"/>
    <w:tmpl w:val="03EA4CBD"/>
    <w:lvl w:ilvl="0" w:tentative="0">
      <w:start w:val="1"/>
      <w:numFmt w:val="lowerLetter"/>
      <w:pStyle w:val="58"/>
      <w:lvlText w:val="%1)"/>
      <w:lvlJc w:val="left"/>
      <w:pPr>
        <w:tabs>
          <w:tab w:val="left" w:pos="839"/>
        </w:tabs>
        <w:ind w:left="839" w:hanging="419"/>
      </w:pPr>
      <w:rPr>
        <w:rFonts w:hint="eastAsia" w:ascii="宋体" w:hAnsi="宋体" w:eastAsia="宋体"/>
        <w:b w:val="0"/>
        <w:bCs w:val="0"/>
        <w:i w:val="0"/>
        <w:iCs w:val="0"/>
        <w:sz w:val="21"/>
        <w:szCs w:val="21"/>
      </w:rPr>
    </w:lvl>
    <w:lvl w:ilvl="1" w:tentative="0">
      <w:start w:val="1"/>
      <w:numFmt w:val="lowerRoman"/>
      <w:pStyle w:val="51"/>
      <w:lvlText w:val="%2)"/>
      <w:lvlJc w:val="left"/>
      <w:pPr>
        <w:tabs>
          <w:tab w:val="left" w:pos="1259"/>
        </w:tabs>
        <w:ind w:left="1259" w:hanging="420"/>
      </w:pPr>
      <w:rPr>
        <w:rFonts w:ascii="宋体" w:hAnsi="Times New Roman" w:eastAsia="宋体"/>
        <w:b w:val="0"/>
        <w:bCs w:val="0"/>
        <w:i w:val="0"/>
        <w:iCs w:val="0"/>
        <w:color w:val="auto"/>
        <w:sz w:val="20"/>
        <w:szCs w:val="20"/>
      </w:rPr>
    </w:lvl>
    <w:lvl w:ilvl="2" w:tentative="0">
      <w:start w:val="1"/>
      <w:numFmt w:val="decimal"/>
      <w:pStyle w:val="60"/>
      <w:lvlText w:val="(%3)"/>
      <w:lvlJc w:val="left"/>
      <w:pPr>
        <w:tabs>
          <w:tab w:val="left" w:pos="0"/>
        </w:tabs>
        <w:ind w:left="1678" w:hanging="419"/>
      </w:pPr>
      <w:rPr>
        <w:rFonts w:hint="eastAsia" w:ascii="宋体" w:hAnsi="宋体" w:eastAsia="宋体"/>
        <w:b w:val="0"/>
        <w:bCs w:val="0"/>
        <w:i w:val="0"/>
        <w:iCs w:val="0"/>
        <w:sz w:val="21"/>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419"/>
        </w:tabs>
        <w:ind w:left="419"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bCs w:val="0"/>
        <w:i w:val="0"/>
        <w:iCs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
    <w:nsid w:val="1FC91163"/>
    <w:multiLevelType w:val="multilevel"/>
    <w:tmpl w:val="1FC91163"/>
    <w:lvl w:ilvl="0" w:tentative="0">
      <w:start w:val="1"/>
      <w:numFmt w:val="decimal"/>
      <w:pStyle w:val="42"/>
      <w:suff w:val="nothing"/>
      <w:lvlText w:val="%1　"/>
      <w:lvlJc w:val="left"/>
      <w:rPr>
        <w:rFonts w:hint="eastAsia" w:ascii="黑体" w:hAnsi="Times New Roman" w:eastAsia="黑体"/>
        <w:b w:val="0"/>
        <w:bCs w:val="0"/>
        <w:i w:val="0"/>
        <w:iCs w:val="0"/>
        <w:sz w:val="21"/>
        <w:szCs w:val="21"/>
      </w:rPr>
    </w:lvl>
    <w:lvl w:ilvl="1" w:tentative="0">
      <w:start w:val="1"/>
      <w:numFmt w:val="decimal"/>
      <w:pStyle w:val="39"/>
      <w:suff w:val="nothing"/>
      <w:lvlText w:val="%1.%2　"/>
      <w:lvlJc w:val="left"/>
      <w:rPr>
        <w:rFonts w:hint="eastAsia" w:ascii="黑体" w:hAnsi="Times New Roman" w:eastAsia="黑体"/>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3"/>
      <w:suff w:val="nothing"/>
      <w:lvlText w:val="%1.%2.%3　"/>
      <w:lvlJc w:val="left"/>
      <w:rPr>
        <w:rFonts w:hint="eastAsia" w:ascii="黑体" w:hAnsi="Times New Roman" w:eastAsia="黑体"/>
        <w:b w:val="0"/>
        <w:bCs w:val="0"/>
        <w:i w:val="0"/>
        <w:iCs w:val="0"/>
        <w:color w:val="auto"/>
        <w:sz w:val="21"/>
        <w:szCs w:val="21"/>
      </w:rPr>
    </w:lvl>
    <w:lvl w:ilvl="3" w:tentative="0">
      <w:start w:val="1"/>
      <w:numFmt w:val="decimal"/>
      <w:pStyle w:val="48"/>
      <w:suff w:val="nothing"/>
      <w:lvlText w:val="%1.%2.%3.%4　"/>
      <w:lvlJc w:val="left"/>
      <w:rPr>
        <w:rFonts w:hint="default" w:ascii="黑体" w:hAnsi="Times New Roman" w:eastAsia="黑体"/>
        <w:b w:val="0"/>
        <w:bCs w:val="0"/>
        <w:i w:val="0"/>
        <w:iCs w:val="0"/>
        <w:color w:val="000000" w:themeColor="text1"/>
        <w:sz w:val="21"/>
        <w:szCs w:val="21"/>
      </w:rPr>
    </w:lvl>
    <w:lvl w:ilvl="4" w:tentative="0">
      <w:start w:val="1"/>
      <w:numFmt w:val="decimal"/>
      <w:pStyle w:val="52"/>
      <w:suff w:val="nothing"/>
      <w:lvlText w:val="%1.%2.%3.%4.%5　"/>
      <w:lvlJc w:val="left"/>
      <w:rPr>
        <w:rFonts w:hint="eastAsia" w:ascii="黑体" w:hAnsi="Times New Roman" w:eastAsia="黑体"/>
        <w:b w:val="0"/>
        <w:bCs w:val="0"/>
        <w:i w:val="0"/>
        <w:iCs w:val="0"/>
        <w:sz w:val="21"/>
        <w:szCs w:val="21"/>
      </w:rPr>
    </w:lvl>
    <w:lvl w:ilvl="5" w:tentative="0">
      <w:start w:val="1"/>
      <w:numFmt w:val="decimal"/>
      <w:pStyle w:val="53"/>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4137" w:hanging="567"/>
      </w:pPr>
      <w:rPr>
        <w:rFonts w:hint="eastAsia"/>
        <w:color w:val="000000"/>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
    <w:nsid w:val="2C5917C3"/>
    <w:multiLevelType w:val="multilevel"/>
    <w:tmpl w:val="2C5917C3"/>
    <w:lvl w:ilvl="0" w:tentative="0">
      <w:start w:val="1"/>
      <w:numFmt w:val="none"/>
      <w:pStyle w:val="45"/>
      <w:suff w:val="nothing"/>
      <w:lvlText w:val="%1——"/>
      <w:lvlJc w:val="left"/>
      <w:pPr>
        <w:ind w:left="833" w:hanging="408"/>
      </w:pPr>
      <w:rPr>
        <w:rFonts w:hint="eastAsia"/>
      </w:rPr>
    </w:lvl>
    <w:lvl w:ilvl="1" w:tentative="0">
      <w:start w:val="1"/>
      <w:numFmt w:val="bullet"/>
      <w:pStyle w:val="46"/>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6">
    <w:nsid w:val="60B55DC2"/>
    <w:multiLevelType w:val="multilevel"/>
    <w:tmpl w:val="60B55DC2"/>
    <w:lvl w:ilvl="0" w:tentative="0">
      <w:start w:val="1"/>
      <w:numFmt w:val="upperLetter"/>
      <w:pStyle w:val="85"/>
      <w:lvlText w:val="%1"/>
      <w:lvlJc w:val="left"/>
      <w:pPr>
        <w:tabs>
          <w:tab w:val="left" w:pos="0"/>
        </w:tabs>
        <w:ind w:hanging="425"/>
      </w:pPr>
      <w:rPr>
        <w:rFonts w:hint="eastAsia"/>
      </w:rPr>
    </w:lvl>
    <w:lvl w:ilvl="1" w:tentative="0">
      <w:start w:val="1"/>
      <w:numFmt w:val="decimal"/>
      <w:pStyle w:val="86"/>
      <w:suff w:val="nothing"/>
      <w:lvlText w:val="表%1.%2　"/>
      <w:lvlJc w:val="left"/>
      <w:pPr>
        <w:ind w:left="47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7">
    <w:nsid w:val="646260FA"/>
    <w:multiLevelType w:val="multilevel"/>
    <w:tmpl w:val="646260FA"/>
    <w:lvl w:ilvl="0" w:tentative="0">
      <w:start w:val="1"/>
      <w:numFmt w:val="decimal"/>
      <w:pStyle w:val="128"/>
      <w:suff w:val="nothing"/>
      <w:lvlText w:val="表%1　"/>
      <w:lvlJc w:val="left"/>
      <w:pPr>
        <w:ind w:left="4935"/>
      </w:pPr>
      <w:rPr>
        <w:rFonts w:hint="eastAsia" w:ascii="黑体" w:hAnsi="Times New Roman" w:eastAsia="黑体"/>
        <w:b w:val="0"/>
        <w:bCs w:val="0"/>
        <w:i w:val="0"/>
        <w:iCs w:val="0"/>
        <w:sz w:val="21"/>
        <w:szCs w:val="21"/>
      </w:rPr>
    </w:lvl>
    <w:lvl w:ilvl="1" w:tentative="0">
      <w:start w:val="1"/>
      <w:numFmt w:val="decimal"/>
      <w:lvlText w:val="%1.%2"/>
      <w:lvlJc w:val="left"/>
      <w:pPr>
        <w:tabs>
          <w:tab w:val="left" w:pos="6137"/>
        </w:tabs>
        <w:ind w:left="6137" w:hanging="567"/>
      </w:pPr>
      <w:rPr>
        <w:rFonts w:hint="eastAsia"/>
      </w:rPr>
    </w:lvl>
    <w:lvl w:ilvl="2" w:tentative="0">
      <w:start w:val="1"/>
      <w:numFmt w:val="decimal"/>
      <w:lvlText w:val="%1.%2.%3"/>
      <w:lvlJc w:val="left"/>
      <w:pPr>
        <w:tabs>
          <w:tab w:val="left" w:pos="6563"/>
        </w:tabs>
        <w:ind w:left="6563" w:hanging="567"/>
      </w:pPr>
      <w:rPr>
        <w:rFonts w:hint="eastAsia"/>
      </w:rPr>
    </w:lvl>
    <w:lvl w:ilvl="3" w:tentative="0">
      <w:start w:val="1"/>
      <w:numFmt w:val="decimal"/>
      <w:lvlText w:val="%1.%2.%3.%4"/>
      <w:lvlJc w:val="left"/>
      <w:pPr>
        <w:tabs>
          <w:tab w:val="left" w:pos="7129"/>
        </w:tabs>
        <w:ind w:left="7129" w:hanging="708"/>
      </w:pPr>
      <w:rPr>
        <w:rFonts w:hint="eastAsia"/>
      </w:rPr>
    </w:lvl>
    <w:lvl w:ilvl="4" w:tentative="0">
      <w:start w:val="1"/>
      <w:numFmt w:val="decimal"/>
      <w:lvlText w:val="%1.%2.%3.%4.%5"/>
      <w:lvlJc w:val="left"/>
      <w:pPr>
        <w:tabs>
          <w:tab w:val="left" w:pos="7696"/>
        </w:tabs>
        <w:ind w:left="7696" w:hanging="850"/>
      </w:pPr>
      <w:rPr>
        <w:rFonts w:hint="eastAsia"/>
      </w:rPr>
    </w:lvl>
    <w:lvl w:ilvl="5" w:tentative="0">
      <w:start w:val="1"/>
      <w:numFmt w:val="decimal"/>
      <w:lvlText w:val="%1.%2.%3.%4.%5.%6"/>
      <w:lvlJc w:val="left"/>
      <w:pPr>
        <w:tabs>
          <w:tab w:val="left" w:pos="8405"/>
        </w:tabs>
        <w:ind w:left="8405" w:hanging="1134"/>
      </w:pPr>
      <w:rPr>
        <w:rFonts w:hint="eastAsia"/>
      </w:rPr>
    </w:lvl>
    <w:lvl w:ilvl="6" w:tentative="0">
      <w:start w:val="1"/>
      <w:numFmt w:val="decimal"/>
      <w:lvlText w:val="%1.%2.%3.%4.%5.%6.%7"/>
      <w:lvlJc w:val="left"/>
      <w:pPr>
        <w:tabs>
          <w:tab w:val="left" w:pos="8972"/>
        </w:tabs>
        <w:ind w:left="8972" w:hanging="1276"/>
      </w:pPr>
      <w:rPr>
        <w:rFonts w:hint="eastAsia"/>
      </w:rPr>
    </w:lvl>
    <w:lvl w:ilvl="7" w:tentative="0">
      <w:start w:val="1"/>
      <w:numFmt w:val="decimal"/>
      <w:lvlText w:val="%1.%2.%3.%4.%5.%6.%7.%8"/>
      <w:lvlJc w:val="left"/>
      <w:pPr>
        <w:tabs>
          <w:tab w:val="left" w:pos="9539"/>
        </w:tabs>
        <w:ind w:left="9539" w:hanging="1418"/>
      </w:pPr>
      <w:rPr>
        <w:rFonts w:hint="eastAsia"/>
      </w:rPr>
    </w:lvl>
    <w:lvl w:ilvl="8" w:tentative="0">
      <w:start w:val="1"/>
      <w:numFmt w:val="decimal"/>
      <w:lvlText w:val="%1.%2.%3.%4.%5.%6.%7.%8.%9"/>
      <w:lvlJc w:val="left"/>
      <w:pPr>
        <w:tabs>
          <w:tab w:val="left" w:pos="10247"/>
        </w:tabs>
        <w:ind w:left="10247" w:hanging="1700"/>
      </w:pPr>
      <w:rPr>
        <w:rFonts w:hint="eastAsia"/>
      </w:rPr>
    </w:lvl>
  </w:abstractNum>
  <w:abstractNum w:abstractNumId="8">
    <w:nsid w:val="657D3FBC"/>
    <w:multiLevelType w:val="multilevel"/>
    <w:tmpl w:val="657D3FBC"/>
    <w:lvl w:ilvl="0" w:tentative="0">
      <w:start w:val="1"/>
      <w:numFmt w:val="upperLetter"/>
      <w:pStyle w:val="83"/>
      <w:suff w:val="nothing"/>
      <w:lvlText w:val="附　录　%1"/>
      <w:lvlJc w:val="left"/>
      <w:pPr>
        <w:ind w:left="3990"/>
      </w:pPr>
      <w:rPr>
        <w:rFonts w:hint="eastAsia" w:ascii="黑体" w:hAnsi="Times New Roman" w:eastAsia="黑体"/>
        <w:b w:val="0"/>
        <w:bCs w:val="0"/>
        <w:i w:val="0"/>
        <w:iCs w:val="0"/>
        <w:spacing w:val="0"/>
        <w:w w:val="100"/>
        <w:sz w:val="21"/>
        <w:szCs w:val="21"/>
      </w:rPr>
    </w:lvl>
    <w:lvl w:ilvl="1" w:tentative="0">
      <w:start w:val="1"/>
      <w:numFmt w:val="decimal"/>
      <w:pStyle w:val="101"/>
      <w:suff w:val="nothing"/>
      <w:lvlText w:val="%1.%2　"/>
      <w:lvlJc w:val="left"/>
      <w:rPr>
        <w:rFonts w:hint="eastAsia" w:ascii="黑体" w:hAnsi="Times New Roman" w:eastAsia="黑体"/>
        <w:b w:val="0"/>
        <w:bCs w:val="0"/>
        <w:i w:val="0"/>
        <w:iCs w:val="0"/>
        <w:snapToGrid/>
        <w:color w:val="auto"/>
        <w:spacing w:val="0"/>
        <w:w w:val="100"/>
        <w:kern w:val="21"/>
        <w:sz w:val="21"/>
        <w:szCs w:val="21"/>
      </w:rPr>
    </w:lvl>
    <w:lvl w:ilvl="2" w:tentative="0">
      <w:start w:val="1"/>
      <w:numFmt w:val="decimal"/>
      <w:pStyle w:val="102"/>
      <w:suff w:val="nothing"/>
      <w:lvlText w:val="%1.%2.%3　"/>
      <w:lvlJc w:val="left"/>
      <w:rPr>
        <w:rFonts w:hint="eastAsia" w:ascii="黑体" w:hAnsi="Times New Roman" w:eastAsia="黑体"/>
        <w:b w:val="0"/>
        <w:bCs w:val="0"/>
        <w:i w:val="0"/>
        <w:iCs w:val="0"/>
        <w:sz w:val="21"/>
        <w:szCs w:val="21"/>
      </w:rPr>
    </w:lvl>
    <w:lvl w:ilvl="3" w:tentative="0">
      <w:start w:val="1"/>
      <w:numFmt w:val="decimal"/>
      <w:pStyle w:val="87"/>
      <w:suff w:val="nothing"/>
      <w:lvlText w:val="%1.%2.%3.%4　"/>
      <w:lvlJc w:val="left"/>
      <w:rPr>
        <w:rFonts w:hint="eastAsia" w:ascii="黑体" w:hAnsi="Times New Roman" w:eastAsia="黑体"/>
        <w:b w:val="0"/>
        <w:bCs w:val="0"/>
        <w:i w:val="0"/>
        <w:iCs w:val="0"/>
        <w:sz w:val="21"/>
        <w:szCs w:val="21"/>
      </w:rPr>
    </w:lvl>
    <w:lvl w:ilvl="4" w:tentative="0">
      <w:start w:val="1"/>
      <w:numFmt w:val="decimal"/>
      <w:pStyle w:val="92"/>
      <w:suff w:val="nothing"/>
      <w:lvlText w:val="%1.%2.%3.%4.%5　"/>
      <w:lvlJc w:val="left"/>
      <w:rPr>
        <w:rFonts w:hint="eastAsia" w:ascii="黑体" w:hAnsi="Times New Roman" w:eastAsia="黑体"/>
        <w:b w:val="0"/>
        <w:bCs w:val="0"/>
        <w:i w:val="0"/>
        <w:iCs w:val="0"/>
        <w:sz w:val="21"/>
        <w:szCs w:val="21"/>
      </w:rPr>
    </w:lvl>
    <w:lvl w:ilvl="5" w:tentative="0">
      <w:start w:val="1"/>
      <w:numFmt w:val="decimal"/>
      <w:pStyle w:val="95"/>
      <w:suff w:val="nothing"/>
      <w:lvlText w:val="%1.%2.%3.%4.%5.%6　"/>
      <w:lvlJc w:val="left"/>
      <w:rPr>
        <w:rFonts w:hint="eastAsia" w:ascii="黑体" w:hAnsi="Times New Roman" w:eastAsia="黑体"/>
        <w:b w:val="0"/>
        <w:bCs w:val="0"/>
        <w:i w:val="0"/>
        <w:iCs w:val="0"/>
        <w:sz w:val="21"/>
        <w:szCs w:val="21"/>
      </w:rPr>
    </w:lvl>
    <w:lvl w:ilvl="6" w:tentative="0">
      <w:start w:val="1"/>
      <w:numFmt w:val="decimal"/>
      <w:pStyle w:val="99"/>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bCs w:val="0"/>
        <w:i w:val="0"/>
        <w:iCs w:val="0"/>
        <w:sz w:val="21"/>
        <w:szCs w:val="21"/>
      </w:rPr>
    </w:lvl>
    <w:lvl w:ilvl="1" w:tentative="0">
      <w:start w:val="1"/>
      <w:numFmt w:val="decimal"/>
      <w:pStyle w:val="94"/>
      <w:lvlText w:val="%2)"/>
      <w:lvlJc w:val="left"/>
      <w:pPr>
        <w:tabs>
          <w:tab w:val="left" w:pos="840"/>
        </w:tabs>
        <w:ind w:left="839" w:hanging="419"/>
      </w:pPr>
      <w:rPr>
        <w:rFonts w:hint="eastAsia" w:ascii="宋体" w:eastAsia="宋体"/>
        <w:b w:val="0"/>
        <w:bCs w:val="0"/>
        <w:i w:val="0"/>
        <w:iCs w:val="0"/>
        <w:sz w:val="21"/>
        <w:szCs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5"/>
  </w:num>
  <w:num w:numId="2">
    <w:abstractNumId w:val="2"/>
  </w:num>
  <w:num w:numId="3">
    <w:abstractNumId w:val="4"/>
  </w:num>
  <w:num w:numId="4">
    <w:abstractNumId w:val="0"/>
  </w:num>
  <w:num w:numId="5">
    <w:abstractNumId w:val="1"/>
  </w:num>
  <w:num w:numId="6">
    <w:abstractNumId w:val="8"/>
  </w:num>
  <w:num w:numId="7">
    <w:abstractNumId w:val="6"/>
  </w:num>
  <w:num w:numId="8">
    <w:abstractNumId w:val="9"/>
  </w:num>
  <w:num w:numId="9">
    <w:abstractNumId w:val="3"/>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nna">
    <w15:presenceInfo w15:providerId="WPS Office" w15:userId="2214360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JlM2E5NGVmMTdiOTU1NmMzYWJiMmNiZWJhMzkxYmQifQ=="/>
  </w:docVars>
  <w:rsids>
    <w:rsidRoot w:val="00035925"/>
    <w:rsid w:val="00000244"/>
    <w:rsid w:val="00001422"/>
    <w:rsid w:val="000017D7"/>
    <w:rsid w:val="0000185F"/>
    <w:rsid w:val="00002382"/>
    <w:rsid w:val="00003794"/>
    <w:rsid w:val="00003B90"/>
    <w:rsid w:val="000049F1"/>
    <w:rsid w:val="00004B59"/>
    <w:rsid w:val="00004BFB"/>
    <w:rsid w:val="0000586F"/>
    <w:rsid w:val="00006778"/>
    <w:rsid w:val="00007618"/>
    <w:rsid w:val="0000762D"/>
    <w:rsid w:val="00007923"/>
    <w:rsid w:val="0001053E"/>
    <w:rsid w:val="00010B52"/>
    <w:rsid w:val="000116AC"/>
    <w:rsid w:val="000117AE"/>
    <w:rsid w:val="00011F44"/>
    <w:rsid w:val="0001268E"/>
    <w:rsid w:val="00012A22"/>
    <w:rsid w:val="000130D9"/>
    <w:rsid w:val="00013D86"/>
    <w:rsid w:val="00013E02"/>
    <w:rsid w:val="00015153"/>
    <w:rsid w:val="000154A7"/>
    <w:rsid w:val="0001560F"/>
    <w:rsid w:val="00016605"/>
    <w:rsid w:val="00016BD6"/>
    <w:rsid w:val="00016D01"/>
    <w:rsid w:val="0001741C"/>
    <w:rsid w:val="00017460"/>
    <w:rsid w:val="000213BE"/>
    <w:rsid w:val="0002143C"/>
    <w:rsid w:val="000215D5"/>
    <w:rsid w:val="00021B09"/>
    <w:rsid w:val="00021EA3"/>
    <w:rsid w:val="000225AB"/>
    <w:rsid w:val="00023444"/>
    <w:rsid w:val="000234DD"/>
    <w:rsid w:val="00024549"/>
    <w:rsid w:val="000245C4"/>
    <w:rsid w:val="00024B4E"/>
    <w:rsid w:val="00024E85"/>
    <w:rsid w:val="00025A65"/>
    <w:rsid w:val="00026578"/>
    <w:rsid w:val="00026B2C"/>
    <w:rsid w:val="00026C31"/>
    <w:rsid w:val="00027280"/>
    <w:rsid w:val="00030761"/>
    <w:rsid w:val="00030984"/>
    <w:rsid w:val="00030C18"/>
    <w:rsid w:val="000318D8"/>
    <w:rsid w:val="000320A7"/>
    <w:rsid w:val="00032630"/>
    <w:rsid w:val="00032A2A"/>
    <w:rsid w:val="00032C20"/>
    <w:rsid w:val="0003358A"/>
    <w:rsid w:val="00033986"/>
    <w:rsid w:val="00033A36"/>
    <w:rsid w:val="00034111"/>
    <w:rsid w:val="00034220"/>
    <w:rsid w:val="00034288"/>
    <w:rsid w:val="000344B2"/>
    <w:rsid w:val="00034A36"/>
    <w:rsid w:val="00034AFC"/>
    <w:rsid w:val="000355C7"/>
    <w:rsid w:val="000358FD"/>
    <w:rsid w:val="00035925"/>
    <w:rsid w:val="00035AEC"/>
    <w:rsid w:val="000361D8"/>
    <w:rsid w:val="00036D89"/>
    <w:rsid w:val="00037A63"/>
    <w:rsid w:val="00037C52"/>
    <w:rsid w:val="00041331"/>
    <w:rsid w:val="00041384"/>
    <w:rsid w:val="0004163E"/>
    <w:rsid w:val="00041DFA"/>
    <w:rsid w:val="00042994"/>
    <w:rsid w:val="000429FD"/>
    <w:rsid w:val="0004349A"/>
    <w:rsid w:val="000436E5"/>
    <w:rsid w:val="000437E1"/>
    <w:rsid w:val="0004390A"/>
    <w:rsid w:val="00044B1F"/>
    <w:rsid w:val="00044BA7"/>
    <w:rsid w:val="00044BE3"/>
    <w:rsid w:val="0004556D"/>
    <w:rsid w:val="000466F2"/>
    <w:rsid w:val="00046A46"/>
    <w:rsid w:val="00047F29"/>
    <w:rsid w:val="000500C6"/>
    <w:rsid w:val="000505AA"/>
    <w:rsid w:val="00050E08"/>
    <w:rsid w:val="00051BF1"/>
    <w:rsid w:val="00051F6C"/>
    <w:rsid w:val="000538B1"/>
    <w:rsid w:val="000547F9"/>
    <w:rsid w:val="0005487B"/>
    <w:rsid w:val="00055279"/>
    <w:rsid w:val="000552AF"/>
    <w:rsid w:val="000576CC"/>
    <w:rsid w:val="000624C9"/>
    <w:rsid w:val="000626B2"/>
    <w:rsid w:val="0006340A"/>
    <w:rsid w:val="000637DA"/>
    <w:rsid w:val="00063C8C"/>
    <w:rsid w:val="000649BB"/>
    <w:rsid w:val="0006597C"/>
    <w:rsid w:val="00065D3E"/>
    <w:rsid w:val="00066C61"/>
    <w:rsid w:val="00067CDF"/>
    <w:rsid w:val="000700B3"/>
    <w:rsid w:val="000707D7"/>
    <w:rsid w:val="00070A7B"/>
    <w:rsid w:val="00071F13"/>
    <w:rsid w:val="00072A4F"/>
    <w:rsid w:val="00072C9D"/>
    <w:rsid w:val="00073871"/>
    <w:rsid w:val="00073B2F"/>
    <w:rsid w:val="00073C7C"/>
    <w:rsid w:val="00074FBE"/>
    <w:rsid w:val="00075A33"/>
    <w:rsid w:val="00075D37"/>
    <w:rsid w:val="00075D45"/>
    <w:rsid w:val="000766A4"/>
    <w:rsid w:val="00077465"/>
    <w:rsid w:val="0007791F"/>
    <w:rsid w:val="00077A84"/>
    <w:rsid w:val="000808F1"/>
    <w:rsid w:val="00080D1E"/>
    <w:rsid w:val="00081413"/>
    <w:rsid w:val="000816C6"/>
    <w:rsid w:val="00081BB8"/>
    <w:rsid w:val="00082377"/>
    <w:rsid w:val="00083A09"/>
    <w:rsid w:val="000845F3"/>
    <w:rsid w:val="000856F5"/>
    <w:rsid w:val="000859C7"/>
    <w:rsid w:val="00085D2E"/>
    <w:rsid w:val="00085D6A"/>
    <w:rsid w:val="000866FB"/>
    <w:rsid w:val="000879B8"/>
    <w:rsid w:val="0009005E"/>
    <w:rsid w:val="00090CA0"/>
    <w:rsid w:val="00091050"/>
    <w:rsid w:val="00091AC5"/>
    <w:rsid w:val="0009222A"/>
    <w:rsid w:val="00092857"/>
    <w:rsid w:val="000936F8"/>
    <w:rsid w:val="000937B1"/>
    <w:rsid w:val="000939C0"/>
    <w:rsid w:val="0009562C"/>
    <w:rsid w:val="000963D8"/>
    <w:rsid w:val="000964B2"/>
    <w:rsid w:val="00096AF3"/>
    <w:rsid w:val="000A0156"/>
    <w:rsid w:val="000A0D1E"/>
    <w:rsid w:val="000A1270"/>
    <w:rsid w:val="000A1698"/>
    <w:rsid w:val="000A1B13"/>
    <w:rsid w:val="000A20A9"/>
    <w:rsid w:val="000A2619"/>
    <w:rsid w:val="000A2E7B"/>
    <w:rsid w:val="000A369B"/>
    <w:rsid w:val="000A3977"/>
    <w:rsid w:val="000A3EC6"/>
    <w:rsid w:val="000A4138"/>
    <w:rsid w:val="000A484F"/>
    <w:rsid w:val="000A48B1"/>
    <w:rsid w:val="000A5D50"/>
    <w:rsid w:val="000A62FD"/>
    <w:rsid w:val="000A69AA"/>
    <w:rsid w:val="000B019D"/>
    <w:rsid w:val="000B01EF"/>
    <w:rsid w:val="000B1046"/>
    <w:rsid w:val="000B1E6C"/>
    <w:rsid w:val="000B2092"/>
    <w:rsid w:val="000B214C"/>
    <w:rsid w:val="000B3143"/>
    <w:rsid w:val="000B4826"/>
    <w:rsid w:val="000B48AC"/>
    <w:rsid w:val="000B4B96"/>
    <w:rsid w:val="000B54B3"/>
    <w:rsid w:val="000B563E"/>
    <w:rsid w:val="000B75C8"/>
    <w:rsid w:val="000B78AD"/>
    <w:rsid w:val="000B7996"/>
    <w:rsid w:val="000B7DAF"/>
    <w:rsid w:val="000B7EA9"/>
    <w:rsid w:val="000C0735"/>
    <w:rsid w:val="000C0AAB"/>
    <w:rsid w:val="000C0B4C"/>
    <w:rsid w:val="000C0E73"/>
    <w:rsid w:val="000C13D8"/>
    <w:rsid w:val="000C17CA"/>
    <w:rsid w:val="000C1EB0"/>
    <w:rsid w:val="000C2D81"/>
    <w:rsid w:val="000C4034"/>
    <w:rsid w:val="000C4247"/>
    <w:rsid w:val="000C4A16"/>
    <w:rsid w:val="000C5247"/>
    <w:rsid w:val="000C56AE"/>
    <w:rsid w:val="000C6485"/>
    <w:rsid w:val="000C66BB"/>
    <w:rsid w:val="000C699F"/>
    <w:rsid w:val="000C6A23"/>
    <w:rsid w:val="000C6B05"/>
    <w:rsid w:val="000C6DD6"/>
    <w:rsid w:val="000C703C"/>
    <w:rsid w:val="000C703D"/>
    <w:rsid w:val="000C73D4"/>
    <w:rsid w:val="000C7938"/>
    <w:rsid w:val="000C79FB"/>
    <w:rsid w:val="000D2652"/>
    <w:rsid w:val="000D3BD3"/>
    <w:rsid w:val="000D3CD8"/>
    <w:rsid w:val="000D3D4C"/>
    <w:rsid w:val="000D44F0"/>
    <w:rsid w:val="000D4F51"/>
    <w:rsid w:val="000D50EE"/>
    <w:rsid w:val="000D5A16"/>
    <w:rsid w:val="000D5B34"/>
    <w:rsid w:val="000D5FB7"/>
    <w:rsid w:val="000D62B9"/>
    <w:rsid w:val="000D63E9"/>
    <w:rsid w:val="000D65FA"/>
    <w:rsid w:val="000D718B"/>
    <w:rsid w:val="000D7E04"/>
    <w:rsid w:val="000E08DA"/>
    <w:rsid w:val="000E0C46"/>
    <w:rsid w:val="000E0EFF"/>
    <w:rsid w:val="000E1057"/>
    <w:rsid w:val="000E12FE"/>
    <w:rsid w:val="000E16F5"/>
    <w:rsid w:val="000E1B97"/>
    <w:rsid w:val="000E1E2F"/>
    <w:rsid w:val="000E2B72"/>
    <w:rsid w:val="000E2CE7"/>
    <w:rsid w:val="000E2FD2"/>
    <w:rsid w:val="000E4F01"/>
    <w:rsid w:val="000E55D5"/>
    <w:rsid w:val="000E58F4"/>
    <w:rsid w:val="000E59E8"/>
    <w:rsid w:val="000E64B8"/>
    <w:rsid w:val="000E700D"/>
    <w:rsid w:val="000E74EC"/>
    <w:rsid w:val="000E784E"/>
    <w:rsid w:val="000F02B1"/>
    <w:rsid w:val="000F030C"/>
    <w:rsid w:val="000F129C"/>
    <w:rsid w:val="000F17B2"/>
    <w:rsid w:val="000F1C16"/>
    <w:rsid w:val="000F1CBD"/>
    <w:rsid w:val="000F2147"/>
    <w:rsid w:val="000F21DA"/>
    <w:rsid w:val="000F2305"/>
    <w:rsid w:val="000F375A"/>
    <w:rsid w:val="000F3F68"/>
    <w:rsid w:val="000F4F02"/>
    <w:rsid w:val="000F4F78"/>
    <w:rsid w:val="000F68EE"/>
    <w:rsid w:val="00100047"/>
    <w:rsid w:val="00100501"/>
    <w:rsid w:val="00100BD7"/>
    <w:rsid w:val="00101063"/>
    <w:rsid w:val="0010127B"/>
    <w:rsid w:val="00101B5B"/>
    <w:rsid w:val="001026F6"/>
    <w:rsid w:val="001028E7"/>
    <w:rsid w:val="00102B1D"/>
    <w:rsid w:val="00102CD1"/>
    <w:rsid w:val="00103206"/>
    <w:rsid w:val="0010356D"/>
    <w:rsid w:val="00103A9C"/>
    <w:rsid w:val="00104463"/>
    <w:rsid w:val="001045C9"/>
    <w:rsid w:val="001056DE"/>
    <w:rsid w:val="001067B3"/>
    <w:rsid w:val="001069EB"/>
    <w:rsid w:val="00107133"/>
    <w:rsid w:val="00107504"/>
    <w:rsid w:val="00107575"/>
    <w:rsid w:val="00107A22"/>
    <w:rsid w:val="00107AB8"/>
    <w:rsid w:val="00107DC4"/>
    <w:rsid w:val="00111A98"/>
    <w:rsid w:val="00111EEA"/>
    <w:rsid w:val="001124C0"/>
    <w:rsid w:val="0011298A"/>
    <w:rsid w:val="00112CB6"/>
    <w:rsid w:val="00113F1E"/>
    <w:rsid w:val="0011411F"/>
    <w:rsid w:val="001144EF"/>
    <w:rsid w:val="00115272"/>
    <w:rsid w:val="00116B50"/>
    <w:rsid w:val="00120715"/>
    <w:rsid w:val="00120BD2"/>
    <w:rsid w:val="00121AF5"/>
    <w:rsid w:val="001223FE"/>
    <w:rsid w:val="00122AD6"/>
    <w:rsid w:val="00122D09"/>
    <w:rsid w:val="00123ADB"/>
    <w:rsid w:val="00123DAA"/>
    <w:rsid w:val="00123E49"/>
    <w:rsid w:val="00123F12"/>
    <w:rsid w:val="0012403D"/>
    <w:rsid w:val="00124BA3"/>
    <w:rsid w:val="00125063"/>
    <w:rsid w:val="0012731A"/>
    <w:rsid w:val="0012732A"/>
    <w:rsid w:val="00130D7F"/>
    <w:rsid w:val="00130F9A"/>
    <w:rsid w:val="0013175F"/>
    <w:rsid w:val="001320D3"/>
    <w:rsid w:val="001324DE"/>
    <w:rsid w:val="0013298F"/>
    <w:rsid w:val="00132B0D"/>
    <w:rsid w:val="0013382C"/>
    <w:rsid w:val="00133953"/>
    <w:rsid w:val="001339B2"/>
    <w:rsid w:val="00133EF7"/>
    <w:rsid w:val="0013416B"/>
    <w:rsid w:val="00134508"/>
    <w:rsid w:val="00134667"/>
    <w:rsid w:val="00134E9C"/>
    <w:rsid w:val="001365D8"/>
    <w:rsid w:val="001365E6"/>
    <w:rsid w:val="0013680E"/>
    <w:rsid w:val="00136925"/>
    <w:rsid w:val="001374B2"/>
    <w:rsid w:val="0013762C"/>
    <w:rsid w:val="0013789A"/>
    <w:rsid w:val="001378BC"/>
    <w:rsid w:val="001379E9"/>
    <w:rsid w:val="00137E8C"/>
    <w:rsid w:val="00140196"/>
    <w:rsid w:val="00140341"/>
    <w:rsid w:val="001405E6"/>
    <w:rsid w:val="00140CCE"/>
    <w:rsid w:val="00140DD2"/>
    <w:rsid w:val="00141220"/>
    <w:rsid w:val="00141898"/>
    <w:rsid w:val="001418FF"/>
    <w:rsid w:val="00141ABF"/>
    <w:rsid w:val="00141CCF"/>
    <w:rsid w:val="00141DA9"/>
    <w:rsid w:val="00141F7B"/>
    <w:rsid w:val="001423EE"/>
    <w:rsid w:val="00142F71"/>
    <w:rsid w:val="00143558"/>
    <w:rsid w:val="00143C7D"/>
    <w:rsid w:val="00144D06"/>
    <w:rsid w:val="001458B5"/>
    <w:rsid w:val="00147164"/>
    <w:rsid w:val="001501EB"/>
    <w:rsid w:val="001512B4"/>
    <w:rsid w:val="0015168E"/>
    <w:rsid w:val="00152BBA"/>
    <w:rsid w:val="00153B60"/>
    <w:rsid w:val="001555BD"/>
    <w:rsid w:val="00155DF2"/>
    <w:rsid w:val="00156A6F"/>
    <w:rsid w:val="00156DD7"/>
    <w:rsid w:val="00156E3D"/>
    <w:rsid w:val="001575E9"/>
    <w:rsid w:val="001600B9"/>
    <w:rsid w:val="001602D8"/>
    <w:rsid w:val="001608E6"/>
    <w:rsid w:val="00161615"/>
    <w:rsid w:val="00161825"/>
    <w:rsid w:val="00161B1B"/>
    <w:rsid w:val="00161B70"/>
    <w:rsid w:val="00161BBE"/>
    <w:rsid w:val="001620A5"/>
    <w:rsid w:val="0016362F"/>
    <w:rsid w:val="00163741"/>
    <w:rsid w:val="00164829"/>
    <w:rsid w:val="00164E53"/>
    <w:rsid w:val="001651B6"/>
    <w:rsid w:val="0016699D"/>
    <w:rsid w:val="00166ABD"/>
    <w:rsid w:val="00166C26"/>
    <w:rsid w:val="00167656"/>
    <w:rsid w:val="00167A1B"/>
    <w:rsid w:val="001717EC"/>
    <w:rsid w:val="001728F7"/>
    <w:rsid w:val="00172C1C"/>
    <w:rsid w:val="00173051"/>
    <w:rsid w:val="001739FD"/>
    <w:rsid w:val="00173FFF"/>
    <w:rsid w:val="00175159"/>
    <w:rsid w:val="00176208"/>
    <w:rsid w:val="00176887"/>
    <w:rsid w:val="001768BD"/>
    <w:rsid w:val="001769E8"/>
    <w:rsid w:val="0017705C"/>
    <w:rsid w:val="001773FC"/>
    <w:rsid w:val="00177598"/>
    <w:rsid w:val="00177CDB"/>
    <w:rsid w:val="00177E7B"/>
    <w:rsid w:val="0018045B"/>
    <w:rsid w:val="001816C1"/>
    <w:rsid w:val="00182117"/>
    <w:rsid w:val="0018211B"/>
    <w:rsid w:val="001830C1"/>
    <w:rsid w:val="001840D3"/>
    <w:rsid w:val="00185570"/>
    <w:rsid w:val="00185A04"/>
    <w:rsid w:val="00185BCA"/>
    <w:rsid w:val="00186625"/>
    <w:rsid w:val="00186639"/>
    <w:rsid w:val="001900F8"/>
    <w:rsid w:val="001903A4"/>
    <w:rsid w:val="00190C29"/>
    <w:rsid w:val="00191258"/>
    <w:rsid w:val="0019151E"/>
    <w:rsid w:val="00191EC3"/>
    <w:rsid w:val="00192671"/>
    <w:rsid w:val="00192680"/>
    <w:rsid w:val="00192C51"/>
    <w:rsid w:val="00192DC7"/>
    <w:rsid w:val="00193037"/>
    <w:rsid w:val="00193A2C"/>
    <w:rsid w:val="00193C2E"/>
    <w:rsid w:val="00194833"/>
    <w:rsid w:val="00194F38"/>
    <w:rsid w:val="001960BF"/>
    <w:rsid w:val="001962A6"/>
    <w:rsid w:val="00196337"/>
    <w:rsid w:val="00196FF7"/>
    <w:rsid w:val="00197636"/>
    <w:rsid w:val="00197900"/>
    <w:rsid w:val="00197E7D"/>
    <w:rsid w:val="001A0520"/>
    <w:rsid w:val="001A1710"/>
    <w:rsid w:val="001A17A0"/>
    <w:rsid w:val="001A1EF3"/>
    <w:rsid w:val="001A24CB"/>
    <w:rsid w:val="001A283F"/>
    <w:rsid w:val="001A288E"/>
    <w:rsid w:val="001A3819"/>
    <w:rsid w:val="001A3AAE"/>
    <w:rsid w:val="001A412B"/>
    <w:rsid w:val="001A42C8"/>
    <w:rsid w:val="001A459B"/>
    <w:rsid w:val="001A493B"/>
    <w:rsid w:val="001A4AAA"/>
    <w:rsid w:val="001A4B24"/>
    <w:rsid w:val="001A56F0"/>
    <w:rsid w:val="001A63BE"/>
    <w:rsid w:val="001A70D8"/>
    <w:rsid w:val="001B0051"/>
    <w:rsid w:val="001B0AE5"/>
    <w:rsid w:val="001B0AE6"/>
    <w:rsid w:val="001B0FC8"/>
    <w:rsid w:val="001B101A"/>
    <w:rsid w:val="001B1046"/>
    <w:rsid w:val="001B1163"/>
    <w:rsid w:val="001B1464"/>
    <w:rsid w:val="001B19CA"/>
    <w:rsid w:val="001B210E"/>
    <w:rsid w:val="001B2EFA"/>
    <w:rsid w:val="001B39D6"/>
    <w:rsid w:val="001B3FA3"/>
    <w:rsid w:val="001B4541"/>
    <w:rsid w:val="001B486F"/>
    <w:rsid w:val="001B488F"/>
    <w:rsid w:val="001B5795"/>
    <w:rsid w:val="001B649F"/>
    <w:rsid w:val="001B6DC2"/>
    <w:rsid w:val="001B7399"/>
    <w:rsid w:val="001B73A6"/>
    <w:rsid w:val="001C0100"/>
    <w:rsid w:val="001C1149"/>
    <w:rsid w:val="001C149C"/>
    <w:rsid w:val="001C15EE"/>
    <w:rsid w:val="001C2035"/>
    <w:rsid w:val="001C2091"/>
    <w:rsid w:val="001C21AC"/>
    <w:rsid w:val="001C357A"/>
    <w:rsid w:val="001C45AA"/>
    <w:rsid w:val="001C45DD"/>
    <w:rsid w:val="001C47BA"/>
    <w:rsid w:val="001C4ABD"/>
    <w:rsid w:val="001C51E4"/>
    <w:rsid w:val="001C59EA"/>
    <w:rsid w:val="001C6938"/>
    <w:rsid w:val="001C6C51"/>
    <w:rsid w:val="001C71D8"/>
    <w:rsid w:val="001C71E7"/>
    <w:rsid w:val="001C749E"/>
    <w:rsid w:val="001C770A"/>
    <w:rsid w:val="001C7A36"/>
    <w:rsid w:val="001D0562"/>
    <w:rsid w:val="001D05DF"/>
    <w:rsid w:val="001D09FF"/>
    <w:rsid w:val="001D1C99"/>
    <w:rsid w:val="001D230A"/>
    <w:rsid w:val="001D2C30"/>
    <w:rsid w:val="001D3B3C"/>
    <w:rsid w:val="001D3C4C"/>
    <w:rsid w:val="001D406C"/>
    <w:rsid w:val="001D41EE"/>
    <w:rsid w:val="001D437C"/>
    <w:rsid w:val="001D4499"/>
    <w:rsid w:val="001D46A6"/>
    <w:rsid w:val="001D4CD1"/>
    <w:rsid w:val="001D57D5"/>
    <w:rsid w:val="001D58D1"/>
    <w:rsid w:val="001D5F19"/>
    <w:rsid w:val="001D6659"/>
    <w:rsid w:val="001D74B2"/>
    <w:rsid w:val="001D76EE"/>
    <w:rsid w:val="001D7EA9"/>
    <w:rsid w:val="001E0160"/>
    <w:rsid w:val="001E0380"/>
    <w:rsid w:val="001E05F7"/>
    <w:rsid w:val="001E05FF"/>
    <w:rsid w:val="001E0ADB"/>
    <w:rsid w:val="001E13B1"/>
    <w:rsid w:val="001E18EE"/>
    <w:rsid w:val="001E1916"/>
    <w:rsid w:val="001E1EBC"/>
    <w:rsid w:val="001E1F85"/>
    <w:rsid w:val="001E2B91"/>
    <w:rsid w:val="001E31CC"/>
    <w:rsid w:val="001E43D3"/>
    <w:rsid w:val="001E4ABA"/>
    <w:rsid w:val="001E4CEF"/>
    <w:rsid w:val="001E515C"/>
    <w:rsid w:val="001E5359"/>
    <w:rsid w:val="001E5BB7"/>
    <w:rsid w:val="001E5E82"/>
    <w:rsid w:val="001E65AB"/>
    <w:rsid w:val="001E6EE3"/>
    <w:rsid w:val="001E72D9"/>
    <w:rsid w:val="001E73F7"/>
    <w:rsid w:val="001F1860"/>
    <w:rsid w:val="001F2872"/>
    <w:rsid w:val="001F2A3F"/>
    <w:rsid w:val="001F2ADB"/>
    <w:rsid w:val="001F36A1"/>
    <w:rsid w:val="001F3A19"/>
    <w:rsid w:val="001F3A5F"/>
    <w:rsid w:val="001F4120"/>
    <w:rsid w:val="001F4347"/>
    <w:rsid w:val="001F56D0"/>
    <w:rsid w:val="001F5A56"/>
    <w:rsid w:val="001F5DEE"/>
    <w:rsid w:val="001F5E93"/>
    <w:rsid w:val="001F5F40"/>
    <w:rsid w:val="001F7C44"/>
    <w:rsid w:val="00200217"/>
    <w:rsid w:val="00201899"/>
    <w:rsid w:val="00201CF4"/>
    <w:rsid w:val="00202023"/>
    <w:rsid w:val="002030F2"/>
    <w:rsid w:val="00204D4A"/>
    <w:rsid w:val="0020512B"/>
    <w:rsid w:val="002051E5"/>
    <w:rsid w:val="0020533A"/>
    <w:rsid w:val="002053CC"/>
    <w:rsid w:val="00205E86"/>
    <w:rsid w:val="00206868"/>
    <w:rsid w:val="0020695A"/>
    <w:rsid w:val="0020772C"/>
    <w:rsid w:val="00207741"/>
    <w:rsid w:val="0020793C"/>
    <w:rsid w:val="002079D8"/>
    <w:rsid w:val="00210511"/>
    <w:rsid w:val="00210A5F"/>
    <w:rsid w:val="00211A5D"/>
    <w:rsid w:val="00212969"/>
    <w:rsid w:val="00212D95"/>
    <w:rsid w:val="00214511"/>
    <w:rsid w:val="00214634"/>
    <w:rsid w:val="00214957"/>
    <w:rsid w:val="00214C8F"/>
    <w:rsid w:val="00215B78"/>
    <w:rsid w:val="002168EF"/>
    <w:rsid w:val="002201F8"/>
    <w:rsid w:val="00220B6D"/>
    <w:rsid w:val="002225CA"/>
    <w:rsid w:val="002227AC"/>
    <w:rsid w:val="002229C1"/>
    <w:rsid w:val="00223CF4"/>
    <w:rsid w:val="002302DB"/>
    <w:rsid w:val="00230819"/>
    <w:rsid w:val="0023108E"/>
    <w:rsid w:val="002310CC"/>
    <w:rsid w:val="0023133E"/>
    <w:rsid w:val="002323E2"/>
    <w:rsid w:val="002330EA"/>
    <w:rsid w:val="0023374C"/>
    <w:rsid w:val="00233A10"/>
    <w:rsid w:val="00233EEA"/>
    <w:rsid w:val="00234467"/>
    <w:rsid w:val="00234B0F"/>
    <w:rsid w:val="00235622"/>
    <w:rsid w:val="0023636D"/>
    <w:rsid w:val="0023676A"/>
    <w:rsid w:val="00237D8D"/>
    <w:rsid w:val="0024044E"/>
    <w:rsid w:val="00240536"/>
    <w:rsid w:val="00240EA7"/>
    <w:rsid w:val="0024118B"/>
    <w:rsid w:val="00241DA2"/>
    <w:rsid w:val="00242630"/>
    <w:rsid w:val="0024266A"/>
    <w:rsid w:val="002430D0"/>
    <w:rsid w:val="00243E1D"/>
    <w:rsid w:val="002447B5"/>
    <w:rsid w:val="0024524D"/>
    <w:rsid w:val="0024598A"/>
    <w:rsid w:val="00245F91"/>
    <w:rsid w:val="00246755"/>
    <w:rsid w:val="00246857"/>
    <w:rsid w:val="00246AE2"/>
    <w:rsid w:val="00246F48"/>
    <w:rsid w:val="00246F84"/>
    <w:rsid w:val="00247FEE"/>
    <w:rsid w:val="00250048"/>
    <w:rsid w:val="00250E7D"/>
    <w:rsid w:val="00251253"/>
    <w:rsid w:val="002525A2"/>
    <w:rsid w:val="00252AFC"/>
    <w:rsid w:val="00253908"/>
    <w:rsid w:val="00253A58"/>
    <w:rsid w:val="00253EFB"/>
    <w:rsid w:val="00254153"/>
    <w:rsid w:val="00254185"/>
    <w:rsid w:val="002547B8"/>
    <w:rsid w:val="00254AE8"/>
    <w:rsid w:val="00255321"/>
    <w:rsid w:val="00255DFF"/>
    <w:rsid w:val="002565D5"/>
    <w:rsid w:val="002571C6"/>
    <w:rsid w:val="002600A7"/>
    <w:rsid w:val="002605DC"/>
    <w:rsid w:val="0026171F"/>
    <w:rsid w:val="00261777"/>
    <w:rsid w:val="002617D1"/>
    <w:rsid w:val="00261F90"/>
    <w:rsid w:val="002622C0"/>
    <w:rsid w:val="002627DD"/>
    <w:rsid w:val="00262CB2"/>
    <w:rsid w:val="002641C5"/>
    <w:rsid w:val="0026492E"/>
    <w:rsid w:val="00264FB8"/>
    <w:rsid w:val="00266533"/>
    <w:rsid w:val="0026664D"/>
    <w:rsid w:val="00266CD6"/>
    <w:rsid w:val="00267431"/>
    <w:rsid w:val="002700F7"/>
    <w:rsid w:val="002728AF"/>
    <w:rsid w:val="00272E50"/>
    <w:rsid w:val="00273390"/>
    <w:rsid w:val="002736F0"/>
    <w:rsid w:val="00273DD9"/>
    <w:rsid w:val="0027418E"/>
    <w:rsid w:val="00274593"/>
    <w:rsid w:val="00274B73"/>
    <w:rsid w:val="002753F7"/>
    <w:rsid w:val="002764F8"/>
    <w:rsid w:val="00276ECF"/>
    <w:rsid w:val="002775AF"/>
    <w:rsid w:val="002778AE"/>
    <w:rsid w:val="00277BE6"/>
    <w:rsid w:val="002801F6"/>
    <w:rsid w:val="0028269A"/>
    <w:rsid w:val="00283590"/>
    <w:rsid w:val="0028370F"/>
    <w:rsid w:val="00283800"/>
    <w:rsid w:val="00284089"/>
    <w:rsid w:val="00284BFF"/>
    <w:rsid w:val="00284C4D"/>
    <w:rsid w:val="00284CCE"/>
    <w:rsid w:val="002850F9"/>
    <w:rsid w:val="0028607D"/>
    <w:rsid w:val="002863DE"/>
    <w:rsid w:val="00286973"/>
    <w:rsid w:val="00286B4B"/>
    <w:rsid w:val="00287024"/>
    <w:rsid w:val="00287F7E"/>
    <w:rsid w:val="00287FC7"/>
    <w:rsid w:val="00290074"/>
    <w:rsid w:val="002923FE"/>
    <w:rsid w:val="00292A78"/>
    <w:rsid w:val="00293499"/>
    <w:rsid w:val="002934E6"/>
    <w:rsid w:val="00293BD7"/>
    <w:rsid w:val="002947E5"/>
    <w:rsid w:val="00294E70"/>
    <w:rsid w:val="0029541C"/>
    <w:rsid w:val="00295D20"/>
    <w:rsid w:val="00295EA2"/>
    <w:rsid w:val="00297351"/>
    <w:rsid w:val="002A077C"/>
    <w:rsid w:val="002A13C2"/>
    <w:rsid w:val="002A13DC"/>
    <w:rsid w:val="002A171A"/>
    <w:rsid w:val="002A1924"/>
    <w:rsid w:val="002A1944"/>
    <w:rsid w:val="002A2EDF"/>
    <w:rsid w:val="002A4BF9"/>
    <w:rsid w:val="002A5231"/>
    <w:rsid w:val="002A69C3"/>
    <w:rsid w:val="002A6ECD"/>
    <w:rsid w:val="002A7380"/>
    <w:rsid w:val="002A7420"/>
    <w:rsid w:val="002A78EE"/>
    <w:rsid w:val="002B0B98"/>
    <w:rsid w:val="002B0CBC"/>
    <w:rsid w:val="002B0F12"/>
    <w:rsid w:val="002B10DB"/>
    <w:rsid w:val="002B1308"/>
    <w:rsid w:val="002B1AC7"/>
    <w:rsid w:val="002B27DC"/>
    <w:rsid w:val="002B2E1C"/>
    <w:rsid w:val="002B32D1"/>
    <w:rsid w:val="002B3766"/>
    <w:rsid w:val="002B3BA4"/>
    <w:rsid w:val="002B3EFF"/>
    <w:rsid w:val="002B4554"/>
    <w:rsid w:val="002B4763"/>
    <w:rsid w:val="002B52F2"/>
    <w:rsid w:val="002B62A9"/>
    <w:rsid w:val="002B6BC2"/>
    <w:rsid w:val="002B6DE9"/>
    <w:rsid w:val="002B7803"/>
    <w:rsid w:val="002C05CF"/>
    <w:rsid w:val="002C08E4"/>
    <w:rsid w:val="002C0CF6"/>
    <w:rsid w:val="002C0D2F"/>
    <w:rsid w:val="002C0F0B"/>
    <w:rsid w:val="002C16EB"/>
    <w:rsid w:val="002C1A01"/>
    <w:rsid w:val="002C1B62"/>
    <w:rsid w:val="002C1ECC"/>
    <w:rsid w:val="002C2BAB"/>
    <w:rsid w:val="002C2BC8"/>
    <w:rsid w:val="002C36AF"/>
    <w:rsid w:val="002C3D46"/>
    <w:rsid w:val="002C4025"/>
    <w:rsid w:val="002C4CED"/>
    <w:rsid w:val="002C50E1"/>
    <w:rsid w:val="002C521F"/>
    <w:rsid w:val="002C5D92"/>
    <w:rsid w:val="002C643A"/>
    <w:rsid w:val="002C6849"/>
    <w:rsid w:val="002C6A32"/>
    <w:rsid w:val="002C6CB0"/>
    <w:rsid w:val="002C72D8"/>
    <w:rsid w:val="002C7365"/>
    <w:rsid w:val="002C7DD6"/>
    <w:rsid w:val="002D05D5"/>
    <w:rsid w:val="002D07C7"/>
    <w:rsid w:val="002D0CA6"/>
    <w:rsid w:val="002D11D9"/>
    <w:rsid w:val="002D11FA"/>
    <w:rsid w:val="002D222C"/>
    <w:rsid w:val="002D281C"/>
    <w:rsid w:val="002D2923"/>
    <w:rsid w:val="002D2DAD"/>
    <w:rsid w:val="002D3697"/>
    <w:rsid w:val="002D36D1"/>
    <w:rsid w:val="002D3FC2"/>
    <w:rsid w:val="002D400C"/>
    <w:rsid w:val="002D482B"/>
    <w:rsid w:val="002D5B44"/>
    <w:rsid w:val="002D5E82"/>
    <w:rsid w:val="002D6872"/>
    <w:rsid w:val="002D76E5"/>
    <w:rsid w:val="002D7907"/>
    <w:rsid w:val="002D7DB8"/>
    <w:rsid w:val="002E0DDF"/>
    <w:rsid w:val="002E141E"/>
    <w:rsid w:val="002E1B14"/>
    <w:rsid w:val="002E1CA5"/>
    <w:rsid w:val="002E1F07"/>
    <w:rsid w:val="002E208B"/>
    <w:rsid w:val="002E2906"/>
    <w:rsid w:val="002E31FC"/>
    <w:rsid w:val="002E33B6"/>
    <w:rsid w:val="002E3C62"/>
    <w:rsid w:val="002E4053"/>
    <w:rsid w:val="002E5635"/>
    <w:rsid w:val="002E5955"/>
    <w:rsid w:val="002E5FF4"/>
    <w:rsid w:val="002E64C3"/>
    <w:rsid w:val="002E6A2C"/>
    <w:rsid w:val="002E6BEF"/>
    <w:rsid w:val="002E6EF4"/>
    <w:rsid w:val="002F05E6"/>
    <w:rsid w:val="002F0657"/>
    <w:rsid w:val="002F173E"/>
    <w:rsid w:val="002F1D3E"/>
    <w:rsid w:val="002F1D8C"/>
    <w:rsid w:val="002F21DA"/>
    <w:rsid w:val="002F279F"/>
    <w:rsid w:val="002F320C"/>
    <w:rsid w:val="002F4118"/>
    <w:rsid w:val="002F4543"/>
    <w:rsid w:val="002F488C"/>
    <w:rsid w:val="002F57B7"/>
    <w:rsid w:val="002F587A"/>
    <w:rsid w:val="002F614F"/>
    <w:rsid w:val="002F630B"/>
    <w:rsid w:val="002F656F"/>
    <w:rsid w:val="002F6B4B"/>
    <w:rsid w:val="002F6BA7"/>
    <w:rsid w:val="002F6CAE"/>
    <w:rsid w:val="002F6E31"/>
    <w:rsid w:val="002F769C"/>
    <w:rsid w:val="002F7D3A"/>
    <w:rsid w:val="002F7F45"/>
    <w:rsid w:val="003000D4"/>
    <w:rsid w:val="0030010F"/>
    <w:rsid w:val="00301A9D"/>
    <w:rsid w:val="00301C9D"/>
    <w:rsid w:val="00301F1B"/>
    <w:rsid w:val="00301F39"/>
    <w:rsid w:val="0030261A"/>
    <w:rsid w:val="003028D4"/>
    <w:rsid w:val="00302C9E"/>
    <w:rsid w:val="00303180"/>
    <w:rsid w:val="00304F01"/>
    <w:rsid w:val="00306799"/>
    <w:rsid w:val="00306DB4"/>
    <w:rsid w:val="00307ECF"/>
    <w:rsid w:val="00307ED6"/>
    <w:rsid w:val="00307F82"/>
    <w:rsid w:val="00310295"/>
    <w:rsid w:val="00310A91"/>
    <w:rsid w:val="00310BEB"/>
    <w:rsid w:val="00311006"/>
    <w:rsid w:val="0031182D"/>
    <w:rsid w:val="00311C30"/>
    <w:rsid w:val="0031257A"/>
    <w:rsid w:val="00312ABB"/>
    <w:rsid w:val="00312F64"/>
    <w:rsid w:val="00313C98"/>
    <w:rsid w:val="003145C3"/>
    <w:rsid w:val="00314C5B"/>
    <w:rsid w:val="00315360"/>
    <w:rsid w:val="003158C9"/>
    <w:rsid w:val="00315F51"/>
    <w:rsid w:val="00316583"/>
    <w:rsid w:val="003168FA"/>
    <w:rsid w:val="003207D2"/>
    <w:rsid w:val="00321C79"/>
    <w:rsid w:val="00321EFD"/>
    <w:rsid w:val="00322244"/>
    <w:rsid w:val="00322312"/>
    <w:rsid w:val="00322540"/>
    <w:rsid w:val="00323187"/>
    <w:rsid w:val="003236D4"/>
    <w:rsid w:val="00323E4C"/>
    <w:rsid w:val="00324372"/>
    <w:rsid w:val="00324FDE"/>
    <w:rsid w:val="00325926"/>
    <w:rsid w:val="00325A88"/>
    <w:rsid w:val="00326021"/>
    <w:rsid w:val="003267F4"/>
    <w:rsid w:val="00326A45"/>
    <w:rsid w:val="0032796C"/>
    <w:rsid w:val="00327A3D"/>
    <w:rsid w:val="00327A8A"/>
    <w:rsid w:val="0033032B"/>
    <w:rsid w:val="0033036C"/>
    <w:rsid w:val="003310BA"/>
    <w:rsid w:val="0033112C"/>
    <w:rsid w:val="003332B3"/>
    <w:rsid w:val="00333944"/>
    <w:rsid w:val="0033441E"/>
    <w:rsid w:val="0033583D"/>
    <w:rsid w:val="003360CE"/>
    <w:rsid w:val="00336610"/>
    <w:rsid w:val="00336FA6"/>
    <w:rsid w:val="003372A7"/>
    <w:rsid w:val="00337D68"/>
    <w:rsid w:val="00340399"/>
    <w:rsid w:val="003404C3"/>
    <w:rsid w:val="00340565"/>
    <w:rsid w:val="00340A08"/>
    <w:rsid w:val="00340AB0"/>
    <w:rsid w:val="00340E1C"/>
    <w:rsid w:val="003414FA"/>
    <w:rsid w:val="00341818"/>
    <w:rsid w:val="00341A37"/>
    <w:rsid w:val="00341AF2"/>
    <w:rsid w:val="00341E4A"/>
    <w:rsid w:val="003427E7"/>
    <w:rsid w:val="0034332F"/>
    <w:rsid w:val="003436DE"/>
    <w:rsid w:val="00343833"/>
    <w:rsid w:val="00343CD9"/>
    <w:rsid w:val="00343F73"/>
    <w:rsid w:val="00345060"/>
    <w:rsid w:val="003479EF"/>
    <w:rsid w:val="00350651"/>
    <w:rsid w:val="003507A1"/>
    <w:rsid w:val="00350D6F"/>
    <w:rsid w:val="00351DAF"/>
    <w:rsid w:val="00352C23"/>
    <w:rsid w:val="0035323B"/>
    <w:rsid w:val="003542D3"/>
    <w:rsid w:val="00354E23"/>
    <w:rsid w:val="003552EB"/>
    <w:rsid w:val="003555BB"/>
    <w:rsid w:val="00356C60"/>
    <w:rsid w:val="00360899"/>
    <w:rsid w:val="00360950"/>
    <w:rsid w:val="003609D2"/>
    <w:rsid w:val="003615A0"/>
    <w:rsid w:val="00361DFE"/>
    <w:rsid w:val="00361EB6"/>
    <w:rsid w:val="00361F99"/>
    <w:rsid w:val="003620B9"/>
    <w:rsid w:val="00362FA8"/>
    <w:rsid w:val="00363DC0"/>
    <w:rsid w:val="00363F22"/>
    <w:rsid w:val="00364461"/>
    <w:rsid w:val="003644F1"/>
    <w:rsid w:val="003647F5"/>
    <w:rsid w:val="00364E55"/>
    <w:rsid w:val="0036514F"/>
    <w:rsid w:val="003655FB"/>
    <w:rsid w:val="00365B82"/>
    <w:rsid w:val="00365ED7"/>
    <w:rsid w:val="00366131"/>
    <w:rsid w:val="0036779F"/>
    <w:rsid w:val="00367B99"/>
    <w:rsid w:val="00367FD1"/>
    <w:rsid w:val="00370222"/>
    <w:rsid w:val="003703D8"/>
    <w:rsid w:val="003707BA"/>
    <w:rsid w:val="00370B9A"/>
    <w:rsid w:val="00370B9C"/>
    <w:rsid w:val="003716BA"/>
    <w:rsid w:val="003722BA"/>
    <w:rsid w:val="003727E5"/>
    <w:rsid w:val="00373EA3"/>
    <w:rsid w:val="0037432F"/>
    <w:rsid w:val="0037532E"/>
    <w:rsid w:val="00375564"/>
    <w:rsid w:val="00375771"/>
    <w:rsid w:val="003757D6"/>
    <w:rsid w:val="00375928"/>
    <w:rsid w:val="003765CD"/>
    <w:rsid w:val="003767FA"/>
    <w:rsid w:val="003770AF"/>
    <w:rsid w:val="00377B12"/>
    <w:rsid w:val="00380D05"/>
    <w:rsid w:val="00381050"/>
    <w:rsid w:val="0038123B"/>
    <w:rsid w:val="00381B78"/>
    <w:rsid w:val="0038207A"/>
    <w:rsid w:val="00382F57"/>
    <w:rsid w:val="00383083"/>
    <w:rsid w:val="00383191"/>
    <w:rsid w:val="00383225"/>
    <w:rsid w:val="00383444"/>
    <w:rsid w:val="003837EC"/>
    <w:rsid w:val="00383A74"/>
    <w:rsid w:val="003842EA"/>
    <w:rsid w:val="0038430F"/>
    <w:rsid w:val="0038455F"/>
    <w:rsid w:val="00384C1E"/>
    <w:rsid w:val="003862B0"/>
    <w:rsid w:val="00386B43"/>
    <w:rsid w:val="00386DAD"/>
    <w:rsid w:val="00386DED"/>
    <w:rsid w:val="0038736C"/>
    <w:rsid w:val="003902EA"/>
    <w:rsid w:val="00390377"/>
    <w:rsid w:val="00390E79"/>
    <w:rsid w:val="003912E7"/>
    <w:rsid w:val="00391520"/>
    <w:rsid w:val="0039164C"/>
    <w:rsid w:val="00391A63"/>
    <w:rsid w:val="0039209F"/>
    <w:rsid w:val="00392EDE"/>
    <w:rsid w:val="00393947"/>
    <w:rsid w:val="00393C4F"/>
    <w:rsid w:val="00395C36"/>
    <w:rsid w:val="00396FC2"/>
    <w:rsid w:val="003970D2"/>
    <w:rsid w:val="00397EE2"/>
    <w:rsid w:val="003A084F"/>
    <w:rsid w:val="003A12F7"/>
    <w:rsid w:val="003A184D"/>
    <w:rsid w:val="003A18EE"/>
    <w:rsid w:val="003A2002"/>
    <w:rsid w:val="003A2275"/>
    <w:rsid w:val="003A2715"/>
    <w:rsid w:val="003A34ED"/>
    <w:rsid w:val="003A3A46"/>
    <w:rsid w:val="003A4071"/>
    <w:rsid w:val="003A4459"/>
    <w:rsid w:val="003A4DFD"/>
    <w:rsid w:val="003A6029"/>
    <w:rsid w:val="003A6A4F"/>
    <w:rsid w:val="003A6A92"/>
    <w:rsid w:val="003A7088"/>
    <w:rsid w:val="003A7D40"/>
    <w:rsid w:val="003B00DF"/>
    <w:rsid w:val="003B018A"/>
    <w:rsid w:val="003B0487"/>
    <w:rsid w:val="003B056D"/>
    <w:rsid w:val="003B0E95"/>
    <w:rsid w:val="003B1275"/>
    <w:rsid w:val="003B176C"/>
    <w:rsid w:val="003B1778"/>
    <w:rsid w:val="003B19CD"/>
    <w:rsid w:val="003B1D67"/>
    <w:rsid w:val="003B2041"/>
    <w:rsid w:val="003B3517"/>
    <w:rsid w:val="003B374C"/>
    <w:rsid w:val="003B3D4F"/>
    <w:rsid w:val="003B4497"/>
    <w:rsid w:val="003B50B4"/>
    <w:rsid w:val="003B586E"/>
    <w:rsid w:val="003B60AB"/>
    <w:rsid w:val="003B6568"/>
    <w:rsid w:val="003B743C"/>
    <w:rsid w:val="003B79F5"/>
    <w:rsid w:val="003C0376"/>
    <w:rsid w:val="003C0539"/>
    <w:rsid w:val="003C11CB"/>
    <w:rsid w:val="003C141D"/>
    <w:rsid w:val="003C1B3C"/>
    <w:rsid w:val="003C1F2E"/>
    <w:rsid w:val="003C2C14"/>
    <w:rsid w:val="003C33E5"/>
    <w:rsid w:val="003C348F"/>
    <w:rsid w:val="003C3EFC"/>
    <w:rsid w:val="003C3F4C"/>
    <w:rsid w:val="003C3FA0"/>
    <w:rsid w:val="003C4682"/>
    <w:rsid w:val="003C53A6"/>
    <w:rsid w:val="003C6176"/>
    <w:rsid w:val="003C6534"/>
    <w:rsid w:val="003C6D00"/>
    <w:rsid w:val="003C75F3"/>
    <w:rsid w:val="003C78A3"/>
    <w:rsid w:val="003D026A"/>
    <w:rsid w:val="003D0308"/>
    <w:rsid w:val="003D1165"/>
    <w:rsid w:val="003D211A"/>
    <w:rsid w:val="003D2459"/>
    <w:rsid w:val="003D26CE"/>
    <w:rsid w:val="003D383F"/>
    <w:rsid w:val="003D427E"/>
    <w:rsid w:val="003D46EA"/>
    <w:rsid w:val="003D4BC6"/>
    <w:rsid w:val="003D5165"/>
    <w:rsid w:val="003D546F"/>
    <w:rsid w:val="003D5695"/>
    <w:rsid w:val="003D667B"/>
    <w:rsid w:val="003D6FCF"/>
    <w:rsid w:val="003D728E"/>
    <w:rsid w:val="003D75ED"/>
    <w:rsid w:val="003D7636"/>
    <w:rsid w:val="003E0123"/>
    <w:rsid w:val="003E0A75"/>
    <w:rsid w:val="003E1867"/>
    <w:rsid w:val="003E1EE8"/>
    <w:rsid w:val="003E2696"/>
    <w:rsid w:val="003E2744"/>
    <w:rsid w:val="003E36F5"/>
    <w:rsid w:val="003E392C"/>
    <w:rsid w:val="003E39CA"/>
    <w:rsid w:val="003E4610"/>
    <w:rsid w:val="003E5729"/>
    <w:rsid w:val="003F0136"/>
    <w:rsid w:val="003F1513"/>
    <w:rsid w:val="003F1896"/>
    <w:rsid w:val="003F26D2"/>
    <w:rsid w:val="003F2970"/>
    <w:rsid w:val="003F46E4"/>
    <w:rsid w:val="003F483B"/>
    <w:rsid w:val="003F4EE0"/>
    <w:rsid w:val="003F5824"/>
    <w:rsid w:val="003F66D3"/>
    <w:rsid w:val="003F71E9"/>
    <w:rsid w:val="003F7561"/>
    <w:rsid w:val="00400882"/>
    <w:rsid w:val="004008FF"/>
    <w:rsid w:val="004018EA"/>
    <w:rsid w:val="004020E7"/>
    <w:rsid w:val="00402153"/>
    <w:rsid w:val="00402D8F"/>
    <w:rsid w:val="00402FC1"/>
    <w:rsid w:val="00403A4F"/>
    <w:rsid w:val="00404F54"/>
    <w:rsid w:val="00405675"/>
    <w:rsid w:val="00405960"/>
    <w:rsid w:val="00405B2D"/>
    <w:rsid w:val="00405B5F"/>
    <w:rsid w:val="004060AB"/>
    <w:rsid w:val="00406966"/>
    <w:rsid w:val="0040726B"/>
    <w:rsid w:val="00411372"/>
    <w:rsid w:val="0041153F"/>
    <w:rsid w:val="0041270E"/>
    <w:rsid w:val="00412A83"/>
    <w:rsid w:val="00412CC4"/>
    <w:rsid w:val="00413EF2"/>
    <w:rsid w:val="00414EA8"/>
    <w:rsid w:val="004157EE"/>
    <w:rsid w:val="00415994"/>
    <w:rsid w:val="00415FE1"/>
    <w:rsid w:val="004161F8"/>
    <w:rsid w:val="004162A7"/>
    <w:rsid w:val="004162E9"/>
    <w:rsid w:val="004172BC"/>
    <w:rsid w:val="0042014F"/>
    <w:rsid w:val="00420351"/>
    <w:rsid w:val="00420B89"/>
    <w:rsid w:val="004214C5"/>
    <w:rsid w:val="00421BBB"/>
    <w:rsid w:val="00421CE0"/>
    <w:rsid w:val="004221D6"/>
    <w:rsid w:val="00423442"/>
    <w:rsid w:val="00423F10"/>
    <w:rsid w:val="00424157"/>
    <w:rsid w:val="004249B5"/>
    <w:rsid w:val="00425066"/>
    <w:rsid w:val="00425082"/>
    <w:rsid w:val="0043008A"/>
    <w:rsid w:val="00430147"/>
    <w:rsid w:val="00430243"/>
    <w:rsid w:val="004306FB"/>
    <w:rsid w:val="00430E76"/>
    <w:rsid w:val="00431332"/>
    <w:rsid w:val="00431DEB"/>
    <w:rsid w:val="00432200"/>
    <w:rsid w:val="00432B0A"/>
    <w:rsid w:val="00432F72"/>
    <w:rsid w:val="00433439"/>
    <w:rsid w:val="00433C7F"/>
    <w:rsid w:val="00433DAD"/>
    <w:rsid w:val="004342EF"/>
    <w:rsid w:val="00434A3D"/>
    <w:rsid w:val="00435660"/>
    <w:rsid w:val="00435804"/>
    <w:rsid w:val="00435905"/>
    <w:rsid w:val="00435CCD"/>
    <w:rsid w:val="00436148"/>
    <w:rsid w:val="0043641E"/>
    <w:rsid w:val="0043708C"/>
    <w:rsid w:val="0043727C"/>
    <w:rsid w:val="00437957"/>
    <w:rsid w:val="00440DF2"/>
    <w:rsid w:val="00440F09"/>
    <w:rsid w:val="00441283"/>
    <w:rsid w:val="004412FA"/>
    <w:rsid w:val="00441D71"/>
    <w:rsid w:val="00441FDC"/>
    <w:rsid w:val="004439C1"/>
    <w:rsid w:val="00444C01"/>
    <w:rsid w:val="004453AC"/>
    <w:rsid w:val="00445AC5"/>
    <w:rsid w:val="00446027"/>
    <w:rsid w:val="00446A38"/>
    <w:rsid w:val="00446B29"/>
    <w:rsid w:val="00447021"/>
    <w:rsid w:val="0044721D"/>
    <w:rsid w:val="004474E9"/>
    <w:rsid w:val="0045052A"/>
    <w:rsid w:val="00450A3E"/>
    <w:rsid w:val="004510C9"/>
    <w:rsid w:val="00451127"/>
    <w:rsid w:val="004516AE"/>
    <w:rsid w:val="00451DA6"/>
    <w:rsid w:val="004521D9"/>
    <w:rsid w:val="004526B0"/>
    <w:rsid w:val="00452FDE"/>
    <w:rsid w:val="004532BA"/>
    <w:rsid w:val="00453F9A"/>
    <w:rsid w:val="00454AC2"/>
    <w:rsid w:val="004553BF"/>
    <w:rsid w:val="004554A2"/>
    <w:rsid w:val="00456284"/>
    <w:rsid w:val="004575C5"/>
    <w:rsid w:val="004578D4"/>
    <w:rsid w:val="00460157"/>
    <w:rsid w:val="00460217"/>
    <w:rsid w:val="004604CF"/>
    <w:rsid w:val="0046092D"/>
    <w:rsid w:val="004634E4"/>
    <w:rsid w:val="00463A63"/>
    <w:rsid w:val="00464BF3"/>
    <w:rsid w:val="00464DEF"/>
    <w:rsid w:val="00465EAE"/>
    <w:rsid w:val="00466295"/>
    <w:rsid w:val="004665BF"/>
    <w:rsid w:val="00466AB9"/>
    <w:rsid w:val="00466EC3"/>
    <w:rsid w:val="00467CC9"/>
    <w:rsid w:val="004705FF"/>
    <w:rsid w:val="00470B2B"/>
    <w:rsid w:val="00471E91"/>
    <w:rsid w:val="00472122"/>
    <w:rsid w:val="00472D53"/>
    <w:rsid w:val="004733A5"/>
    <w:rsid w:val="00474247"/>
    <w:rsid w:val="00474334"/>
    <w:rsid w:val="00474608"/>
    <w:rsid w:val="00474675"/>
    <w:rsid w:val="0047470C"/>
    <w:rsid w:val="00474D85"/>
    <w:rsid w:val="004752FF"/>
    <w:rsid w:val="004754BB"/>
    <w:rsid w:val="0047642C"/>
    <w:rsid w:val="00476DBA"/>
    <w:rsid w:val="004771ED"/>
    <w:rsid w:val="00477483"/>
    <w:rsid w:val="004775D1"/>
    <w:rsid w:val="00477EA7"/>
    <w:rsid w:val="004801DA"/>
    <w:rsid w:val="00480203"/>
    <w:rsid w:val="00480398"/>
    <w:rsid w:val="00480649"/>
    <w:rsid w:val="004807A7"/>
    <w:rsid w:val="00480C3C"/>
    <w:rsid w:val="00481084"/>
    <w:rsid w:val="00481930"/>
    <w:rsid w:val="00482E56"/>
    <w:rsid w:val="00483310"/>
    <w:rsid w:val="0048447D"/>
    <w:rsid w:val="00484805"/>
    <w:rsid w:val="00485325"/>
    <w:rsid w:val="0048608F"/>
    <w:rsid w:val="00486819"/>
    <w:rsid w:val="00486F4F"/>
    <w:rsid w:val="00490678"/>
    <w:rsid w:val="004909A5"/>
    <w:rsid w:val="00491669"/>
    <w:rsid w:val="00491BD5"/>
    <w:rsid w:val="004924F3"/>
    <w:rsid w:val="00492845"/>
    <w:rsid w:val="00492937"/>
    <w:rsid w:val="00492BB5"/>
    <w:rsid w:val="00492C64"/>
    <w:rsid w:val="0049318B"/>
    <w:rsid w:val="0049347D"/>
    <w:rsid w:val="0049379F"/>
    <w:rsid w:val="0049475C"/>
    <w:rsid w:val="00495643"/>
    <w:rsid w:val="00496168"/>
    <w:rsid w:val="0049702E"/>
    <w:rsid w:val="00497BDF"/>
    <w:rsid w:val="004A0249"/>
    <w:rsid w:val="004A0357"/>
    <w:rsid w:val="004A21B9"/>
    <w:rsid w:val="004A22D1"/>
    <w:rsid w:val="004A2677"/>
    <w:rsid w:val="004A2FA0"/>
    <w:rsid w:val="004A32AE"/>
    <w:rsid w:val="004A335E"/>
    <w:rsid w:val="004A35F9"/>
    <w:rsid w:val="004A4905"/>
    <w:rsid w:val="004A58BD"/>
    <w:rsid w:val="004A6CF9"/>
    <w:rsid w:val="004A71BD"/>
    <w:rsid w:val="004A77A7"/>
    <w:rsid w:val="004B054D"/>
    <w:rsid w:val="004B11E6"/>
    <w:rsid w:val="004B1934"/>
    <w:rsid w:val="004B1A02"/>
    <w:rsid w:val="004B24C1"/>
    <w:rsid w:val="004B2CAD"/>
    <w:rsid w:val="004B3EEE"/>
    <w:rsid w:val="004B5777"/>
    <w:rsid w:val="004B6C8C"/>
    <w:rsid w:val="004B7B09"/>
    <w:rsid w:val="004C0622"/>
    <w:rsid w:val="004C0F13"/>
    <w:rsid w:val="004C1E34"/>
    <w:rsid w:val="004C28BA"/>
    <w:rsid w:val="004C292F"/>
    <w:rsid w:val="004C3013"/>
    <w:rsid w:val="004C3CAC"/>
    <w:rsid w:val="004C3EFD"/>
    <w:rsid w:val="004C554C"/>
    <w:rsid w:val="004C6AA8"/>
    <w:rsid w:val="004C6E01"/>
    <w:rsid w:val="004C76FD"/>
    <w:rsid w:val="004C7F7E"/>
    <w:rsid w:val="004D00EF"/>
    <w:rsid w:val="004D01D1"/>
    <w:rsid w:val="004D103F"/>
    <w:rsid w:val="004D10B3"/>
    <w:rsid w:val="004D158B"/>
    <w:rsid w:val="004D2367"/>
    <w:rsid w:val="004D35D8"/>
    <w:rsid w:val="004D416B"/>
    <w:rsid w:val="004D5378"/>
    <w:rsid w:val="004D53CB"/>
    <w:rsid w:val="004D54AA"/>
    <w:rsid w:val="004D560B"/>
    <w:rsid w:val="004D56F1"/>
    <w:rsid w:val="004D7C4A"/>
    <w:rsid w:val="004D7CC0"/>
    <w:rsid w:val="004D7F17"/>
    <w:rsid w:val="004E0575"/>
    <w:rsid w:val="004E166F"/>
    <w:rsid w:val="004E2AB9"/>
    <w:rsid w:val="004E3AF8"/>
    <w:rsid w:val="004E4655"/>
    <w:rsid w:val="004E4726"/>
    <w:rsid w:val="004E4866"/>
    <w:rsid w:val="004E4F21"/>
    <w:rsid w:val="004E4FFA"/>
    <w:rsid w:val="004E59ED"/>
    <w:rsid w:val="004E6020"/>
    <w:rsid w:val="004E60F5"/>
    <w:rsid w:val="004E62BB"/>
    <w:rsid w:val="004E7A27"/>
    <w:rsid w:val="004F1A29"/>
    <w:rsid w:val="004F3DA0"/>
    <w:rsid w:val="004F41CC"/>
    <w:rsid w:val="004F4706"/>
    <w:rsid w:val="004F6F22"/>
    <w:rsid w:val="004F6F97"/>
    <w:rsid w:val="004F72D6"/>
    <w:rsid w:val="004F7931"/>
    <w:rsid w:val="00500764"/>
    <w:rsid w:val="0050088D"/>
    <w:rsid w:val="00500AD7"/>
    <w:rsid w:val="00500FC0"/>
    <w:rsid w:val="005019BA"/>
    <w:rsid w:val="00501F85"/>
    <w:rsid w:val="00502304"/>
    <w:rsid w:val="00502981"/>
    <w:rsid w:val="00502E4F"/>
    <w:rsid w:val="0050366F"/>
    <w:rsid w:val="005036FF"/>
    <w:rsid w:val="00504F23"/>
    <w:rsid w:val="00505231"/>
    <w:rsid w:val="00506745"/>
    <w:rsid w:val="00506B3B"/>
    <w:rsid w:val="00507178"/>
    <w:rsid w:val="005071D4"/>
    <w:rsid w:val="0050755A"/>
    <w:rsid w:val="00510280"/>
    <w:rsid w:val="00510F8E"/>
    <w:rsid w:val="00510FDB"/>
    <w:rsid w:val="00511888"/>
    <w:rsid w:val="00512E1A"/>
    <w:rsid w:val="00512FEC"/>
    <w:rsid w:val="00513AF6"/>
    <w:rsid w:val="00513C85"/>
    <w:rsid w:val="00513D73"/>
    <w:rsid w:val="00514A43"/>
    <w:rsid w:val="00514CE2"/>
    <w:rsid w:val="00515DB0"/>
    <w:rsid w:val="00516C36"/>
    <w:rsid w:val="00517402"/>
    <w:rsid w:val="005174E5"/>
    <w:rsid w:val="00517C56"/>
    <w:rsid w:val="00520257"/>
    <w:rsid w:val="00520621"/>
    <w:rsid w:val="00520FF0"/>
    <w:rsid w:val="00521427"/>
    <w:rsid w:val="00521908"/>
    <w:rsid w:val="00522062"/>
    <w:rsid w:val="00522393"/>
    <w:rsid w:val="00522620"/>
    <w:rsid w:val="005226F5"/>
    <w:rsid w:val="00522722"/>
    <w:rsid w:val="0052277F"/>
    <w:rsid w:val="00523860"/>
    <w:rsid w:val="00523DEC"/>
    <w:rsid w:val="00525656"/>
    <w:rsid w:val="00525EEC"/>
    <w:rsid w:val="005263BC"/>
    <w:rsid w:val="0052655C"/>
    <w:rsid w:val="005268C7"/>
    <w:rsid w:val="00526AB9"/>
    <w:rsid w:val="005309FB"/>
    <w:rsid w:val="00531015"/>
    <w:rsid w:val="00531651"/>
    <w:rsid w:val="005317B4"/>
    <w:rsid w:val="0053201B"/>
    <w:rsid w:val="005326C7"/>
    <w:rsid w:val="005329D6"/>
    <w:rsid w:val="00532EE1"/>
    <w:rsid w:val="005339F7"/>
    <w:rsid w:val="00534BDF"/>
    <w:rsid w:val="00534C02"/>
    <w:rsid w:val="00535941"/>
    <w:rsid w:val="00536B3F"/>
    <w:rsid w:val="00536BBA"/>
    <w:rsid w:val="00536CDC"/>
    <w:rsid w:val="005377BC"/>
    <w:rsid w:val="0054008B"/>
    <w:rsid w:val="0054009C"/>
    <w:rsid w:val="0054071C"/>
    <w:rsid w:val="005407B6"/>
    <w:rsid w:val="00540ACD"/>
    <w:rsid w:val="00541475"/>
    <w:rsid w:val="00541B32"/>
    <w:rsid w:val="0054264B"/>
    <w:rsid w:val="0054299D"/>
    <w:rsid w:val="005435BE"/>
    <w:rsid w:val="00543786"/>
    <w:rsid w:val="005443BE"/>
    <w:rsid w:val="005448DD"/>
    <w:rsid w:val="00544B89"/>
    <w:rsid w:val="00544F66"/>
    <w:rsid w:val="00545A79"/>
    <w:rsid w:val="00550633"/>
    <w:rsid w:val="00550C96"/>
    <w:rsid w:val="005517BE"/>
    <w:rsid w:val="0055297B"/>
    <w:rsid w:val="00552F86"/>
    <w:rsid w:val="005533D7"/>
    <w:rsid w:val="00554899"/>
    <w:rsid w:val="0055507D"/>
    <w:rsid w:val="00555C14"/>
    <w:rsid w:val="00556F54"/>
    <w:rsid w:val="00557091"/>
    <w:rsid w:val="00557473"/>
    <w:rsid w:val="0055793F"/>
    <w:rsid w:val="00557FF9"/>
    <w:rsid w:val="00560362"/>
    <w:rsid w:val="00560449"/>
    <w:rsid w:val="0056064D"/>
    <w:rsid w:val="00560D2E"/>
    <w:rsid w:val="00561F5C"/>
    <w:rsid w:val="00562F42"/>
    <w:rsid w:val="00563089"/>
    <w:rsid w:val="00563F9A"/>
    <w:rsid w:val="00564C5A"/>
    <w:rsid w:val="0056530C"/>
    <w:rsid w:val="00565313"/>
    <w:rsid w:val="00565493"/>
    <w:rsid w:val="00565BBB"/>
    <w:rsid w:val="005663D8"/>
    <w:rsid w:val="00566421"/>
    <w:rsid w:val="00566531"/>
    <w:rsid w:val="00567BE1"/>
    <w:rsid w:val="0057038E"/>
    <w:rsid w:val="005703DE"/>
    <w:rsid w:val="0057053F"/>
    <w:rsid w:val="00570668"/>
    <w:rsid w:val="00570C68"/>
    <w:rsid w:val="00570E10"/>
    <w:rsid w:val="005714B0"/>
    <w:rsid w:val="0057159E"/>
    <w:rsid w:val="005718D8"/>
    <w:rsid w:val="00572011"/>
    <w:rsid w:val="005728D5"/>
    <w:rsid w:val="0057312A"/>
    <w:rsid w:val="0057553B"/>
    <w:rsid w:val="00575AAA"/>
    <w:rsid w:val="00577B33"/>
    <w:rsid w:val="0058042A"/>
    <w:rsid w:val="00580C43"/>
    <w:rsid w:val="00581A47"/>
    <w:rsid w:val="00582A9B"/>
    <w:rsid w:val="00582F3A"/>
    <w:rsid w:val="005832FC"/>
    <w:rsid w:val="00583B0F"/>
    <w:rsid w:val="005845D6"/>
    <w:rsid w:val="0058464E"/>
    <w:rsid w:val="00584A89"/>
    <w:rsid w:val="00585390"/>
    <w:rsid w:val="00585D96"/>
    <w:rsid w:val="00586C8C"/>
    <w:rsid w:val="00586EBE"/>
    <w:rsid w:val="0058779E"/>
    <w:rsid w:val="00587C46"/>
    <w:rsid w:val="0059060D"/>
    <w:rsid w:val="00592B8D"/>
    <w:rsid w:val="00593ECA"/>
    <w:rsid w:val="00595B57"/>
    <w:rsid w:val="00595D3D"/>
    <w:rsid w:val="0059610F"/>
    <w:rsid w:val="00596471"/>
    <w:rsid w:val="0059740B"/>
    <w:rsid w:val="005976F5"/>
    <w:rsid w:val="005977D4"/>
    <w:rsid w:val="00597C94"/>
    <w:rsid w:val="005A0077"/>
    <w:rsid w:val="005A01CB"/>
    <w:rsid w:val="005A1547"/>
    <w:rsid w:val="005A15C2"/>
    <w:rsid w:val="005A1A07"/>
    <w:rsid w:val="005A2777"/>
    <w:rsid w:val="005A339F"/>
    <w:rsid w:val="005A54A0"/>
    <w:rsid w:val="005A55CC"/>
    <w:rsid w:val="005A58FF"/>
    <w:rsid w:val="005A5AE0"/>
    <w:rsid w:val="005A5EAF"/>
    <w:rsid w:val="005A64C0"/>
    <w:rsid w:val="005A698D"/>
    <w:rsid w:val="005A71F7"/>
    <w:rsid w:val="005A77E1"/>
    <w:rsid w:val="005A7971"/>
    <w:rsid w:val="005B017E"/>
    <w:rsid w:val="005B02C1"/>
    <w:rsid w:val="005B0379"/>
    <w:rsid w:val="005B0451"/>
    <w:rsid w:val="005B0992"/>
    <w:rsid w:val="005B1101"/>
    <w:rsid w:val="005B1430"/>
    <w:rsid w:val="005B15CC"/>
    <w:rsid w:val="005B189C"/>
    <w:rsid w:val="005B2BE5"/>
    <w:rsid w:val="005B331E"/>
    <w:rsid w:val="005B3BAB"/>
    <w:rsid w:val="005B3C11"/>
    <w:rsid w:val="005B3C9D"/>
    <w:rsid w:val="005B41FD"/>
    <w:rsid w:val="005B466C"/>
    <w:rsid w:val="005B59A9"/>
    <w:rsid w:val="005B5F3B"/>
    <w:rsid w:val="005B6617"/>
    <w:rsid w:val="005B678A"/>
    <w:rsid w:val="005B6AE8"/>
    <w:rsid w:val="005B6BD9"/>
    <w:rsid w:val="005B6D42"/>
    <w:rsid w:val="005B7221"/>
    <w:rsid w:val="005B731A"/>
    <w:rsid w:val="005B79B3"/>
    <w:rsid w:val="005C009A"/>
    <w:rsid w:val="005C0C4E"/>
    <w:rsid w:val="005C0ECC"/>
    <w:rsid w:val="005C191E"/>
    <w:rsid w:val="005C1C28"/>
    <w:rsid w:val="005C1C80"/>
    <w:rsid w:val="005C1E18"/>
    <w:rsid w:val="005C1F76"/>
    <w:rsid w:val="005C2025"/>
    <w:rsid w:val="005C2E24"/>
    <w:rsid w:val="005C31A8"/>
    <w:rsid w:val="005C31AE"/>
    <w:rsid w:val="005C3669"/>
    <w:rsid w:val="005C3E55"/>
    <w:rsid w:val="005C4524"/>
    <w:rsid w:val="005C505B"/>
    <w:rsid w:val="005C518F"/>
    <w:rsid w:val="005C59CA"/>
    <w:rsid w:val="005C5A2E"/>
    <w:rsid w:val="005C6357"/>
    <w:rsid w:val="005C69F2"/>
    <w:rsid w:val="005C6DB5"/>
    <w:rsid w:val="005C6EC6"/>
    <w:rsid w:val="005C778E"/>
    <w:rsid w:val="005D0303"/>
    <w:rsid w:val="005D0603"/>
    <w:rsid w:val="005D0C83"/>
    <w:rsid w:val="005D145E"/>
    <w:rsid w:val="005D39FD"/>
    <w:rsid w:val="005D49AC"/>
    <w:rsid w:val="005D539D"/>
    <w:rsid w:val="005D586A"/>
    <w:rsid w:val="005D5F0D"/>
    <w:rsid w:val="005D626C"/>
    <w:rsid w:val="005D6968"/>
    <w:rsid w:val="005D6FF3"/>
    <w:rsid w:val="005D79B3"/>
    <w:rsid w:val="005D7CE7"/>
    <w:rsid w:val="005E0807"/>
    <w:rsid w:val="005E127C"/>
    <w:rsid w:val="005E1533"/>
    <w:rsid w:val="005E1589"/>
    <w:rsid w:val="005E19E7"/>
    <w:rsid w:val="005E19F1"/>
    <w:rsid w:val="005E1CB1"/>
    <w:rsid w:val="005E222B"/>
    <w:rsid w:val="005E2BEC"/>
    <w:rsid w:val="005E54CE"/>
    <w:rsid w:val="005E6868"/>
    <w:rsid w:val="005E6EB6"/>
    <w:rsid w:val="005E7264"/>
    <w:rsid w:val="005E78A1"/>
    <w:rsid w:val="005E7B21"/>
    <w:rsid w:val="005E7EB3"/>
    <w:rsid w:val="005F0F8B"/>
    <w:rsid w:val="005F1023"/>
    <w:rsid w:val="005F1F17"/>
    <w:rsid w:val="005F2D9D"/>
    <w:rsid w:val="005F2ECB"/>
    <w:rsid w:val="005F3699"/>
    <w:rsid w:val="005F44CD"/>
    <w:rsid w:val="005F5637"/>
    <w:rsid w:val="005F5D34"/>
    <w:rsid w:val="005F64B7"/>
    <w:rsid w:val="005F731C"/>
    <w:rsid w:val="005F7487"/>
    <w:rsid w:val="0060048D"/>
    <w:rsid w:val="006010A9"/>
    <w:rsid w:val="00601718"/>
    <w:rsid w:val="00602F4E"/>
    <w:rsid w:val="00603AE7"/>
    <w:rsid w:val="0060537A"/>
    <w:rsid w:val="00605996"/>
    <w:rsid w:val="00605AE7"/>
    <w:rsid w:val="006067D3"/>
    <w:rsid w:val="00607011"/>
    <w:rsid w:val="00610C46"/>
    <w:rsid w:val="00610EE6"/>
    <w:rsid w:val="00612633"/>
    <w:rsid w:val="00612BA0"/>
    <w:rsid w:val="00613165"/>
    <w:rsid w:val="006132E8"/>
    <w:rsid w:val="006148E6"/>
    <w:rsid w:val="00614EBB"/>
    <w:rsid w:val="00615C64"/>
    <w:rsid w:val="00617121"/>
    <w:rsid w:val="0061716C"/>
    <w:rsid w:val="006205D7"/>
    <w:rsid w:val="00621F9F"/>
    <w:rsid w:val="00622120"/>
    <w:rsid w:val="006243A1"/>
    <w:rsid w:val="006244EC"/>
    <w:rsid w:val="00624A29"/>
    <w:rsid w:val="00624BB9"/>
    <w:rsid w:val="006252CD"/>
    <w:rsid w:val="006253DE"/>
    <w:rsid w:val="00625682"/>
    <w:rsid w:val="00626A1E"/>
    <w:rsid w:val="00626FA0"/>
    <w:rsid w:val="006276CE"/>
    <w:rsid w:val="0063135C"/>
    <w:rsid w:val="00632102"/>
    <w:rsid w:val="00632427"/>
    <w:rsid w:val="00632CFF"/>
    <w:rsid w:val="00632E56"/>
    <w:rsid w:val="0063339B"/>
    <w:rsid w:val="00633A43"/>
    <w:rsid w:val="00634890"/>
    <w:rsid w:val="00634CA9"/>
    <w:rsid w:val="0063506B"/>
    <w:rsid w:val="006353C5"/>
    <w:rsid w:val="00635594"/>
    <w:rsid w:val="00635B18"/>
    <w:rsid w:val="00635CBA"/>
    <w:rsid w:val="00635D8E"/>
    <w:rsid w:val="00636785"/>
    <w:rsid w:val="0063727C"/>
    <w:rsid w:val="00637609"/>
    <w:rsid w:val="00637870"/>
    <w:rsid w:val="006378EA"/>
    <w:rsid w:val="00637AA3"/>
    <w:rsid w:val="00637B88"/>
    <w:rsid w:val="00640EDC"/>
    <w:rsid w:val="006425BE"/>
    <w:rsid w:val="00642939"/>
    <w:rsid w:val="006430C9"/>
    <w:rsid w:val="0064338B"/>
    <w:rsid w:val="00643BC1"/>
    <w:rsid w:val="00644261"/>
    <w:rsid w:val="006444E8"/>
    <w:rsid w:val="0064526F"/>
    <w:rsid w:val="006454B3"/>
    <w:rsid w:val="00645F53"/>
    <w:rsid w:val="00646542"/>
    <w:rsid w:val="00647946"/>
    <w:rsid w:val="00647993"/>
    <w:rsid w:val="00650474"/>
    <w:rsid w:val="006504F4"/>
    <w:rsid w:val="006509B6"/>
    <w:rsid w:val="00650D26"/>
    <w:rsid w:val="00650E9E"/>
    <w:rsid w:val="00651F23"/>
    <w:rsid w:val="006525EB"/>
    <w:rsid w:val="0065294B"/>
    <w:rsid w:val="00653B9C"/>
    <w:rsid w:val="006543CE"/>
    <w:rsid w:val="00654BC9"/>
    <w:rsid w:val="006552FD"/>
    <w:rsid w:val="00655DFB"/>
    <w:rsid w:val="00656738"/>
    <w:rsid w:val="00656D28"/>
    <w:rsid w:val="00660138"/>
    <w:rsid w:val="0066166C"/>
    <w:rsid w:val="00662310"/>
    <w:rsid w:val="006630A6"/>
    <w:rsid w:val="006631C0"/>
    <w:rsid w:val="00663AF3"/>
    <w:rsid w:val="006640F5"/>
    <w:rsid w:val="006651E9"/>
    <w:rsid w:val="0066576A"/>
    <w:rsid w:val="00666716"/>
    <w:rsid w:val="00666B6C"/>
    <w:rsid w:val="00670003"/>
    <w:rsid w:val="00670E22"/>
    <w:rsid w:val="00671DE3"/>
    <w:rsid w:val="00671EDE"/>
    <w:rsid w:val="00673019"/>
    <w:rsid w:val="00673C3D"/>
    <w:rsid w:val="00673DAA"/>
    <w:rsid w:val="00674675"/>
    <w:rsid w:val="00674EA1"/>
    <w:rsid w:val="0067500A"/>
    <w:rsid w:val="006761CE"/>
    <w:rsid w:val="0067622A"/>
    <w:rsid w:val="006766EF"/>
    <w:rsid w:val="00677133"/>
    <w:rsid w:val="00677AD6"/>
    <w:rsid w:val="006800F5"/>
    <w:rsid w:val="006802A5"/>
    <w:rsid w:val="006805AD"/>
    <w:rsid w:val="00680E2C"/>
    <w:rsid w:val="00681A8E"/>
    <w:rsid w:val="00681CB5"/>
    <w:rsid w:val="00682682"/>
    <w:rsid w:val="00682702"/>
    <w:rsid w:val="0068355F"/>
    <w:rsid w:val="00683AE5"/>
    <w:rsid w:val="00685133"/>
    <w:rsid w:val="0068661C"/>
    <w:rsid w:val="00686B39"/>
    <w:rsid w:val="006904E3"/>
    <w:rsid w:val="00691114"/>
    <w:rsid w:val="00691905"/>
    <w:rsid w:val="00691AFC"/>
    <w:rsid w:val="00691B31"/>
    <w:rsid w:val="00692368"/>
    <w:rsid w:val="00692792"/>
    <w:rsid w:val="00692BB6"/>
    <w:rsid w:val="0069382E"/>
    <w:rsid w:val="00693935"/>
    <w:rsid w:val="00694097"/>
    <w:rsid w:val="0069457D"/>
    <w:rsid w:val="00694E51"/>
    <w:rsid w:val="0069539B"/>
    <w:rsid w:val="00696A50"/>
    <w:rsid w:val="0069764D"/>
    <w:rsid w:val="00697694"/>
    <w:rsid w:val="0069773C"/>
    <w:rsid w:val="00697875"/>
    <w:rsid w:val="006A01DC"/>
    <w:rsid w:val="006A05BE"/>
    <w:rsid w:val="006A27F2"/>
    <w:rsid w:val="006A2CB9"/>
    <w:rsid w:val="006A2EBC"/>
    <w:rsid w:val="006A3210"/>
    <w:rsid w:val="006A3CA8"/>
    <w:rsid w:val="006A40A3"/>
    <w:rsid w:val="006A434A"/>
    <w:rsid w:val="006A4433"/>
    <w:rsid w:val="006A4643"/>
    <w:rsid w:val="006A4C36"/>
    <w:rsid w:val="006A566A"/>
    <w:rsid w:val="006A5EA0"/>
    <w:rsid w:val="006A65AA"/>
    <w:rsid w:val="006A6CAB"/>
    <w:rsid w:val="006A6D62"/>
    <w:rsid w:val="006A70DB"/>
    <w:rsid w:val="006A783B"/>
    <w:rsid w:val="006A7B33"/>
    <w:rsid w:val="006B0199"/>
    <w:rsid w:val="006B040E"/>
    <w:rsid w:val="006B0557"/>
    <w:rsid w:val="006B140F"/>
    <w:rsid w:val="006B145D"/>
    <w:rsid w:val="006B1B6F"/>
    <w:rsid w:val="006B2628"/>
    <w:rsid w:val="006B4E13"/>
    <w:rsid w:val="006B4F0C"/>
    <w:rsid w:val="006B6052"/>
    <w:rsid w:val="006B60F0"/>
    <w:rsid w:val="006B6111"/>
    <w:rsid w:val="006B6F1C"/>
    <w:rsid w:val="006B7442"/>
    <w:rsid w:val="006B75DD"/>
    <w:rsid w:val="006B7750"/>
    <w:rsid w:val="006C01D4"/>
    <w:rsid w:val="006C0DFA"/>
    <w:rsid w:val="006C1213"/>
    <w:rsid w:val="006C262E"/>
    <w:rsid w:val="006C2B6A"/>
    <w:rsid w:val="006C32B0"/>
    <w:rsid w:val="006C4C92"/>
    <w:rsid w:val="006C53CC"/>
    <w:rsid w:val="006C5736"/>
    <w:rsid w:val="006C5A00"/>
    <w:rsid w:val="006C61E5"/>
    <w:rsid w:val="006C6217"/>
    <w:rsid w:val="006C67E0"/>
    <w:rsid w:val="006C6888"/>
    <w:rsid w:val="006C7ABA"/>
    <w:rsid w:val="006C7EF8"/>
    <w:rsid w:val="006D094A"/>
    <w:rsid w:val="006D0D60"/>
    <w:rsid w:val="006D0D62"/>
    <w:rsid w:val="006D1122"/>
    <w:rsid w:val="006D1746"/>
    <w:rsid w:val="006D2B5A"/>
    <w:rsid w:val="006D3C00"/>
    <w:rsid w:val="006D3C1A"/>
    <w:rsid w:val="006D428E"/>
    <w:rsid w:val="006D46FC"/>
    <w:rsid w:val="006D5DEF"/>
    <w:rsid w:val="006D605F"/>
    <w:rsid w:val="006D746F"/>
    <w:rsid w:val="006D796B"/>
    <w:rsid w:val="006D7F00"/>
    <w:rsid w:val="006E0779"/>
    <w:rsid w:val="006E0A27"/>
    <w:rsid w:val="006E0D91"/>
    <w:rsid w:val="006E1410"/>
    <w:rsid w:val="006E1E73"/>
    <w:rsid w:val="006E21D9"/>
    <w:rsid w:val="006E2C39"/>
    <w:rsid w:val="006E3675"/>
    <w:rsid w:val="006E4237"/>
    <w:rsid w:val="006E4A7F"/>
    <w:rsid w:val="006E5E81"/>
    <w:rsid w:val="006E6562"/>
    <w:rsid w:val="006E6682"/>
    <w:rsid w:val="006E696E"/>
    <w:rsid w:val="006E74D1"/>
    <w:rsid w:val="006E7741"/>
    <w:rsid w:val="006F013F"/>
    <w:rsid w:val="006F0280"/>
    <w:rsid w:val="006F17EC"/>
    <w:rsid w:val="006F1949"/>
    <w:rsid w:val="006F1CBB"/>
    <w:rsid w:val="006F2015"/>
    <w:rsid w:val="006F2B7A"/>
    <w:rsid w:val="006F3565"/>
    <w:rsid w:val="006F3D32"/>
    <w:rsid w:val="006F7BA0"/>
    <w:rsid w:val="00700FAD"/>
    <w:rsid w:val="00702EED"/>
    <w:rsid w:val="0070350D"/>
    <w:rsid w:val="00703ECA"/>
    <w:rsid w:val="007040C2"/>
    <w:rsid w:val="00704DF6"/>
    <w:rsid w:val="007053F6"/>
    <w:rsid w:val="0070651C"/>
    <w:rsid w:val="00706E51"/>
    <w:rsid w:val="00706FA5"/>
    <w:rsid w:val="00707023"/>
    <w:rsid w:val="00707327"/>
    <w:rsid w:val="0070736F"/>
    <w:rsid w:val="0070783F"/>
    <w:rsid w:val="00711E65"/>
    <w:rsid w:val="00711FD9"/>
    <w:rsid w:val="00712BE1"/>
    <w:rsid w:val="007132A3"/>
    <w:rsid w:val="00713DA3"/>
    <w:rsid w:val="0071511D"/>
    <w:rsid w:val="00715A60"/>
    <w:rsid w:val="00716421"/>
    <w:rsid w:val="00716D35"/>
    <w:rsid w:val="007170FE"/>
    <w:rsid w:val="0071782C"/>
    <w:rsid w:val="00720424"/>
    <w:rsid w:val="0072060F"/>
    <w:rsid w:val="00720808"/>
    <w:rsid w:val="007211C6"/>
    <w:rsid w:val="0072231F"/>
    <w:rsid w:val="0072242E"/>
    <w:rsid w:val="007224E1"/>
    <w:rsid w:val="00722F1E"/>
    <w:rsid w:val="007230B6"/>
    <w:rsid w:val="00723570"/>
    <w:rsid w:val="00723742"/>
    <w:rsid w:val="007238D7"/>
    <w:rsid w:val="00723AEB"/>
    <w:rsid w:val="00723BDD"/>
    <w:rsid w:val="00724118"/>
    <w:rsid w:val="007249AB"/>
    <w:rsid w:val="00724EFB"/>
    <w:rsid w:val="007254F1"/>
    <w:rsid w:val="0072652D"/>
    <w:rsid w:val="007268B6"/>
    <w:rsid w:val="0072717A"/>
    <w:rsid w:val="00727DDC"/>
    <w:rsid w:val="00730974"/>
    <w:rsid w:val="00730CE8"/>
    <w:rsid w:val="007316DA"/>
    <w:rsid w:val="00731A24"/>
    <w:rsid w:val="00732BD7"/>
    <w:rsid w:val="00733378"/>
    <w:rsid w:val="007349A7"/>
    <w:rsid w:val="00734E54"/>
    <w:rsid w:val="00735D6B"/>
    <w:rsid w:val="007363E2"/>
    <w:rsid w:val="00736847"/>
    <w:rsid w:val="00737179"/>
    <w:rsid w:val="00737984"/>
    <w:rsid w:val="0074007F"/>
    <w:rsid w:val="00740535"/>
    <w:rsid w:val="007407AB"/>
    <w:rsid w:val="00740F2C"/>
    <w:rsid w:val="00741894"/>
    <w:rsid w:val="007419C3"/>
    <w:rsid w:val="00741EE1"/>
    <w:rsid w:val="00742212"/>
    <w:rsid w:val="007426F5"/>
    <w:rsid w:val="00742A3E"/>
    <w:rsid w:val="00743363"/>
    <w:rsid w:val="0074348F"/>
    <w:rsid w:val="00743DAF"/>
    <w:rsid w:val="0074421E"/>
    <w:rsid w:val="00744A95"/>
    <w:rsid w:val="00744AE9"/>
    <w:rsid w:val="00744FD3"/>
    <w:rsid w:val="0074506D"/>
    <w:rsid w:val="00745938"/>
    <w:rsid w:val="007467A7"/>
    <w:rsid w:val="007469DD"/>
    <w:rsid w:val="0074741B"/>
    <w:rsid w:val="0074759E"/>
    <w:rsid w:val="007478EA"/>
    <w:rsid w:val="00747BDB"/>
    <w:rsid w:val="0075033C"/>
    <w:rsid w:val="00751B9B"/>
    <w:rsid w:val="0075206A"/>
    <w:rsid w:val="00752601"/>
    <w:rsid w:val="007526ED"/>
    <w:rsid w:val="00753184"/>
    <w:rsid w:val="00753414"/>
    <w:rsid w:val="00753789"/>
    <w:rsid w:val="0075415C"/>
    <w:rsid w:val="00756F41"/>
    <w:rsid w:val="007607BA"/>
    <w:rsid w:val="00760C0C"/>
    <w:rsid w:val="00760E52"/>
    <w:rsid w:val="007610FB"/>
    <w:rsid w:val="007625C4"/>
    <w:rsid w:val="007629E7"/>
    <w:rsid w:val="00762DAF"/>
    <w:rsid w:val="00762EFC"/>
    <w:rsid w:val="0076302C"/>
    <w:rsid w:val="00763502"/>
    <w:rsid w:val="00763E35"/>
    <w:rsid w:val="00764318"/>
    <w:rsid w:val="00764463"/>
    <w:rsid w:val="00764866"/>
    <w:rsid w:val="00764DAC"/>
    <w:rsid w:val="0076565E"/>
    <w:rsid w:val="00765A18"/>
    <w:rsid w:val="00765EF7"/>
    <w:rsid w:val="00765F03"/>
    <w:rsid w:val="00766C0E"/>
    <w:rsid w:val="00767478"/>
    <w:rsid w:val="00767754"/>
    <w:rsid w:val="007701CF"/>
    <w:rsid w:val="0077020F"/>
    <w:rsid w:val="00770EDA"/>
    <w:rsid w:val="00771554"/>
    <w:rsid w:val="00772EC6"/>
    <w:rsid w:val="0077337B"/>
    <w:rsid w:val="00774B26"/>
    <w:rsid w:val="00774CCC"/>
    <w:rsid w:val="00775789"/>
    <w:rsid w:val="007760A9"/>
    <w:rsid w:val="00776AA5"/>
    <w:rsid w:val="00776BED"/>
    <w:rsid w:val="00776D76"/>
    <w:rsid w:val="007771A8"/>
    <w:rsid w:val="007802EE"/>
    <w:rsid w:val="007817AC"/>
    <w:rsid w:val="0078230F"/>
    <w:rsid w:val="0078255D"/>
    <w:rsid w:val="00783C37"/>
    <w:rsid w:val="007854BB"/>
    <w:rsid w:val="00785A1E"/>
    <w:rsid w:val="0078659E"/>
    <w:rsid w:val="0078687F"/>
    <w:rsid w:val="00786C2D"/>
    <w:rsid w:val="00786FD4"/>
    <w:rsid w:val="007903BD"/>
    <w:rsid w:val="007913AB"/>
    <w:rsid w:val="007914F7"/>
    <w:rsid w:val="00793863"/>
    <w:rsid w:val="00793BF3"/>
    <w:rsid w:val="00794351"/>
    <w:rsid w:val="007947B8"/>
    <w:rsid w:val="00795E06"/>
    <w:rsid w:val="007966C1"/>
    <w:rsid w:val="00796D87"/>
    <w:rsid w:val="00797346"/>
    <w:rsid w:val="00797891"/>
    <w:rsid w:val="007A0792"/>
    <w:rsid w:val="007A11BC"/>
    <w:rsid w:val="007A30C5"/>
    <w:rsid w:val="007A351C"/>
    <w:rsid w:val="007A459C"/>
    <w:rsid w:val="007A5F49"/>
    <w:rsid w:val="007A62DD"/>
    <w:rsid w:val="007A66B5"/>
    <w:rsid w:val="007A6A4D"/>
    <w:rsid w:val="007A6A6D"/>
    <w:rsid w:val="007A6B57"/>
    <w:rsid w:val="007A7312"/>
    <w:rsid w:val="007A790F"/>
    <w:rsid w:val="007A7B47"/>
    <w:rsid w:val="007B0E9C"/>
    <w:rsid w:val="007B1625"/>
    <w:rsid w:val="007B1E59"/>
    <w:rsid w:val="007B354C"/>
    <w:rsid w:val="007B4946"/>
    <w:rsid w:val="007B4F36"/>
    <w:rsid w:val="007B51F7"/>
    <w:rsid w:val="007B616F"/>
    <w:rsid w:val="007B6417"/>
    <w:rsid w:val="007B706E"/>
    <w:rsid w:val="007B71EB"/>
    <w:rsid w:val="007B728D"/>
    <w:rsid w:val="007B7EC6"/>
    <w:rsid w:val="007C0900"/>
    <w:rsid w:val="007C095D"/>
    <w:rsid w:val="007C10A5"/>
    <w:rsid w:val="007C123F"/>
    <w:rsid w:val="007C128E"/>
    <w:rsid w:val="007C1A21"/>
    <w:rsid w:val="007C22DB"/>
    <w:rsid w:val="007C2B8E"/>
    <w:rsid w:val="007C2FA5"/>
    <w:rsid w:val="007C3ACB"/>
    <w:rsid w:val="007C53CE"/>
    <w:rsid w:val="007C5E52"/>
    <w:rsid w:val="007C6205"/>
    <w:rsid w:val="007C686A"/>
    <w:rsid w:val="007C69E2"/>
    <w:rsid w:val="007C6B5E"/>
    <w:rsid w:val="007C727F"/>
    <w:rsid w:val="007C728E"/>
    <w:rsid w:val="007C74D8"/>
    <w:rsid w:val="007D03D1"/>
    <w:rsid w:val="007D07EF"/>
    <w:rsid w:val="007D15F5"/>
    <w:rsid w:val="007D270D"/>
    <w:rsid w:val="007D2C53"/>
    <w:rsid w:val="007D319A"/>
    <w:rsid w:val="007D3551"/>
    <w:rsid w:val="007D3A64"/>
    <w:rsid w:val="007D3D0D"/>
    <w:rsid w:val="007D3D60"/>
    <w:rsid w:val="007D451E"/>
    <w:rsid w:val="007D4620"/>
    <w:rsid w:val="007D5455"/>
    <w:rsid w:val="007D5EF8"/>
    <w:rsid w:val="007D625B"/>
    <w:rsid w:val="007D6990"/>
    <w:rsid w:val="007D70DE"/>
    <w:rsid w:val="007D7216"/>
    <w:rsid w:val="007E0965"/>
    <w:rsid w:val="007E13AE"/>
    <w:rsid w:val="007E194E"/>
    <w:rsid w:val="007E1980"/>
    <w:rsid w:val="007E1CB9"/>
    <w:rsid w:val="007E1CE2"/>
    <w:rsid w:val="007E2398"/>
    <w:rsid w:val="007E2A4A"/>
    <w:rsid w:val="007E2EE5"/>
    <w:rsid w:val="007E4B76"/>
    <w:rsid w:val="007E4E76"/>
    <w:rsid w:val="007E51B6"/>
    <w:rsid w:val="007E529A"/>
    <w:rsid w:val="007E52D7"/>
    <w:rsid w:val="007E5DCB"/>
    <w:rsid w:val="007E5EA8"/>
    <w:rsid w:val="007E684E"/>
    <w:rsid w:val="007E7AEF"/>
    <w:rsid w:val="007F09C9"/>
    <w:rsid w:val="007F0CF1"/>
    <w:rsid w:val="007F12A5"/>
    <w:rsid w:val="007F1C11"/>
    <w:rsid w:val="007F26D3"/>
    <w:rsid w:val="007F27A1"/>
    <w:rsid w:val="007F2E9C"/>
    <w:rsid w:val="007F36C2"/>
    <w:rsid w:val="007F3BF9"/>
    <w:rsid w:val="007F3DB3"/>
    <w:rsid w:val="007F3EE5"/>
    <w:rsid w:val="007F41AB"/>
    <w:rsid w:val="007F41BB"/>
    <w:rsid w:val="007F4CF1"/>
    <w:rsid w:val="007F4DA3"/>
    <w:rsid w:val="007F5F75"/>
    <w:rsid w:val="007F640C"/>
    <w:rsid w:val="007F6637"/>
    <w:rsid w:val="007F758D"/>
    <w:rsid w:val="007F7D41"/>
    <w:rsid w:val="007F7D52"/>
    <w:rsid w:val="008001B7"/>
    <w:rsid w:val="00800D0E"/>
    <w:rsid w:val="008020B2"/>
    <w:rsid w:val="008021E8"/>
    <w:rsid w:val="008035F8"/>
    <w:rsid w:val="0080453E"/>
    <w:rsid w:val="00805C20"/>
    <w:rsid w:val="0080654C"/>
    <w:rsid w:val="0080695A"/>
    <w:rsid w:val="008071C6"/>
    <w:rsid w:val="008078D3"/>
    <w:rsid w:val="00807962"/>
    <w:rsid w:val="0081046E"/>
    <w:rsid w:val="008107E3"/>
    <w:rsid w:val="00810974"/>
    <w:rsid w:val="00811031"/>
    <w:rsid w:val="008111AC"/>
    <w:rsid w:val="008116E5"/>
    <w:rsid w:val="008122B6"/>
    <w:rsid w:val="00813BBB"/>
    <w:rsid w:val="00814581"/>
    <w:rsid w:val="0081519F"/>
    <w:rsid w:val="0081575A"/>
    <w:rsid w:val="008162F8"/>
    <w:rsid w:val="00816D7D"/>
    <w:rsid w:val="00817012"/>
    <w:rsid w:val="00817704"/>
    <w:rsid w:val="00817A00"/>
    <w:rsid w:val="00820409"/>
    <w:rsid w:val="00820668"/>
    <w:rsid w:val="00820C3D"/>
    <w:rsid w:val="00820EBE"/>
    <w:rsid w:val="0082171F"/>
    <w:rsid w:val="00821E6C"/>
    <w:rsid w:val="0082406B"/>
    <w:rsid w:val="008249D4"/>
    <w:rsid w:val="00824A71"/>
    <w:rsid w:val="008252EA"/>
    <w:rsid w:val="008261CB"/>
    <w:rsid w:val="008300A0"/>
    <w:rsid w:val="00830869"/>
    <w:rsid w:val="00830EB1"/>
    <w:rsid w:val="00830FF3"/>
    <w:rsid w:val="00831105"/>
    <w:rsid w:val="0083157D"/>
    <w:rsid w:val="0083173E"/>
    <w:rsid w:val="008318B9"/>
    <w:rsid w:val="00831D20"/>
    <w:rsid w:val="00832001"/>
    <w:rsid w:val="00832561"/>
    <w:rsid w:val="008325AB"/>
    <w:rsid w:val="008330C2"/>
    <w:rsid w:val="00833192"/>
    <w:rsid w:val="008332EF"/>
    <w:rsid w:val="00833651"/>
    <w:rsid w:val="00833844"/>
    <w:rsid w:val="00834257"/>
    <w:rsid w:val="00834DB0"/>
    <w:rsid w:val="00835BCC"/>
    <w:rsid w:val="00835DB3"/>
    <w:rsid w:val="00835F9F"/>
    <w:rsid w:val="008360B5"/>
    <w:rsid w:val="0083617B"/>
    <w:rsid w:val="00836460"/>
    <w:rsid w:val="00836729"/>
    <w:rsid w:val="008369C2"/>
    <w:rsid w:val="00836C2C"/>
    <w:rsid w:val="008371BD"/>
    <w:rsid w:val="008372E9"/>
    <w:rsid w:val="0083752A"/>
    <w:rsid w:val="0084007C"/>
    <w:rsid w:val="008402CC"/>
    <w:rsid w:val="00841408"/>
    <w:rsid w:val="00841BD2"/>
    <w:rsid w:val="00841DEE"/>
    <w:rsid w:val="00841F40"/>
    <w:rsid w:val="00842F06"/>
    <w:rsid w:val="0084352A"/>
    <w:rsid w:val="00843666"/>
    <w:rsid w:val="00843674"/>
    <w:rsid w:val="008436AD"/>
    <w:rsid w:val="00844B93"/>
    <w:rsid w:val="00844F22"/>
    <w:rsid w:val="00845198"/>
    <w:rsid w:val="0084535E"/>
    <w:rsid w:val="00845A26"/>
    <w:rsid w:val="00846317"/>
    <w:rsid w:val="0084635C"/>
    <w:rsid w:val="00846625"/>
    <w:rsid w:val="00847A41"/>
    <w:rsid w:val="008504A8"/>
    <w:rsid w:val="008514AC"/>
    <w:rsid w:val="008516DA"/>
    <w:rsid w:val="00851A62"/>
    <w:rsid w:val="0085282E"/>
    <w:rsid w:val="00853AB5"/>
    <w:rsid w:val="00853D75"/>
    <w:rsid w:val="00854769"/>
    <w:rsid w:val="00854771"/>
    <w:rsid w:val="00855A00"/>
    <w:rsid w:val="00855F2A"/>
    <w:rsid w:val="0085608B"/>
    <w:rsid w:val="008569E4"/>
    <w:rsid w:val="008574AF"/>
    <w:rsid w:val="0085763A"/>
    <w:rsid w:val="0085797F"/>
    <w:rsid w:val="00857C5D"/>
    <w:rsid w:val="008600B6"/>
    <w:rsid w:val="00860641"/>
    <w:rsid w:val="00861823"/>
    <w:rsid w:val="0086189F"/>
    <w:rsid w:val="008618D7"/>
    <w:rsid w:val="00861C93"/>
    <w:rsid w:val="00862267"/>
    <w:rsid w:val="00862AD8"/>
    <w:rsid w:val="00862B3A"/>
    <w:rsid w:val="008635FB"/>
    <w:rsid w:val="00864690"/>
    <w:rsid w:val="00865339"/>
    <w:rsid w:val="0086573A"/>
    <w:rsid w:val="00865D0E"/>
    <w:rsid w:val="008660ED"/>
    <w:rsid w:val="0086612A"/>
    <w:rsid w:val="00866A80"/>
    <w:rsid w:val="008674AF"/>
    <w:rsid w:val="00867541"/>
    <w:rsid w:val="00867737"/>
    <w:rsid w:val="00867C4B"/>
    <w:rsid w:val="008705FB"/>
    <w:rsid w:val="008706AC"/>
    <w:rsid w:val="008717B2"/>
    <w:rsid w:val="0087198C"/>
    <w:rsid w:val="00871EE9"/>
    <w:rsid w:val="00871FC8"/>
    <w:rsid w:val="0087236A"/>
    <w:rsid w:val="0087282C"/>
    <w:rsid w:val="00872C1F"/>
    <w:rsid w:val="00872D86"/>
    <w:rsid w:val="00873194"/>
    <w:rsid w:val="00873301"/>
    <w:rsid w:val="0087331A"/>
    <w:rsid w:val="00873B42"/>
    <w:rsid w:val="00873FC5"/>
    <w:rsid w:val="00874293"/>
    <w:rsid w:val="00874338"/>
    <w:rsid w:val="00875AD1"/>
    <w:rsid w:val="00876217"/>
    <w:rsid w:val="0087664F"/>
    <w:rsid w:val="008776AD"/>
    <w:rsid w:val="008802EC"/>
    <w:rsid w:val="00880D22"/>
    <w:rsid w:val="0088189B"/>
    <w:rsid w:val="00881C60"/>
    <w:rsid w:val="00882463"/>
    <w:rsid w:val="0088261B"/>
    <w:rsid w:val="0088369B"/>
    <w:rsid w:val="00883741"/>
    <w:rsid w:val="0088480E"/>
    <w:rsid w:val="008856D8"/>
    <w:rsid w:val="008866DD"/>
    <w:rsid w:val="008866F0"/>
    <w:rsid w:val="00886782"/>
    <w:rsid w:val="008872BC"/>
    <w:rsid w:val="008877D1"/>
    <w:rsid w:val="00890517"/>
    <w:rsid w:val="00890D6D"/>
    <w:rsid w:val="008918E1"/>
    <w:rsid w:val="00891FFB"/>
    <w:rsid w:val="00892705"/>
    <w:rsid w:val="0089280A"/>
    <w:rsid w:val="00892D12"/>
    <w:rsid w:val="00892E82"/>
    <w:rsid w:val="00893059"/>
    <w:rsid w:val="00894977"/>
    <w:rsid w:val="0089673D"/>
    <w:rsid w:val="00896BD4"/>
    <w:rsid w:val="008A0000"/>
    <w:rsid w:val="008A0F1E"/>
    <w:rsid w:val="008A114C"/>
    <w:rsid w:val="008A1FC3"/>
    <w:rsid w:val="008A20C6"/>
    <w:rsid w:val="008A31F6"/>
    <w:rsid w:val="008A36F2"/>
    <w:rsid w:val="008A4644"/>
    <w:rsid w:val="008A58F4"/>
    <w:rsid w:val="008A5F0B"/>
    <w:rsid w:val="008A60DE"/>
    <w:rsid w:val="008A73B6"/>
    <w:rsid w:val="008A7D59"/>
    <w:rsid w:val="008B12BA"/>
    <w:rsid w:val="008B12D7"/>
    <w:rsid w:val="008B1869"/>
    <w:rsid w:val="008B1880"/>
    <w:rsid w:val="008B32C9"/>
    <w:rsid w:val="008B32F6"/>
    <w:rsid w:val="008B3DE3"/>
    <w:rsid w:val="008B4914"/>
    <w:rsid w:val="008B5121"/>
    <w:rsid w:val="008B56E9"/>
    <w:rsid w:val="008B629C"/>
    <w:rsid w:val="008B63AC"/>
    <w:rsid w:val="008B64DD"/>
    <w:rsid w:val="008B6EBD"/>
    <w:rsid w:val="008B7A1F"/>
    <w:rsid w:val="008C10D2"/>
    <w:rsid w:val="008C116F"/>
    <w:rsid w:val="008C1223"/>
    <w:rsid w:val="008C1AF0"/>
    <w:rsid w:val="008C1B58"/>
    <w:rsid w:val="008C1C2D"/>
    <w:rsid w:val="008C1DAA"/>
    <w:rsid w:val="008C209D"/>
    <w:rsid w:val="008C2B90"/>
    <w:rsid w:val="008C3092"/>
    <w:rsid w:val="008C361B"/>
    <w:rsid w:val="008C39AE"/>
    <w:rsid w:val="008C3C9E"/>
    <w:rsid w:val="008C3F16"/>
    <w:rsid w:val="008C433A"/>
    <w:rsid w:val="008C53DB"/>
    <w:rsid w:val="008C577F"/>
    <w:rsid w:val="008C5809"/>
    <w:rsid w:val="008C590D"/>
    <w:rsid w:val="008C5F2A"/>
    <w:rsid w:val="008C6E4A"/>
    <w:rsid w:val="008C71DE"/>
    <w:rsid w:val="008D00C0"/>
    <w:rsid w:val="008D097B"/>
    <w:rsid w:val="008D09D7"/>
    <w:rsid w:val="008D0D78"/>
    <w:rsid w:val="008D108E"/>
    <w:rsid w:val="008D1D58"/>
    <w:rsid w:val="008D1D60"/>
    <w:rsid w:val="008D272B"/>
    <w:rsid w:val="008D290B"/>
    <w:rsid w:val="008D2A6B"/>
    <w:rsid w:val="008D2C87"/>
    <w:rsid w:val="008D3277"/>
    <w:rsid w:val="008D34FA"/>
    <w:rsid w:val="008D43ED"/>
    <w:rsid w:val="008D4984"/>
    <w:rsid w:val="008D4D0D"/>
    <w:rsid w:val="008D6DE9"/>
    <w:rsid w:val="008D6EA0"/>
    <w:rsid w:val="008D7B29"/>
    <w:rsid w:val="008E031B"/>
    <w:rsid w:val="008E161D"/>
    <w:rsid w:val="008E17FF"/>
    <w:rsid w:val="008E3238"/>
    <w:rsid w:val="008E36D3"/>
    <w:rsid w:val="008E3F37"/>
    <w:rsid w:val="008E4851"/>
    <w:rsid w:val="008E5A13"/>
    <w:rsid w:val="008E5C76"/>
    <w:rsid w:val="008E6081"/>
    <w:rsid w:val="008E6EFE"/>
    <w:rsid w:val="008E6F6F"/>
    <w:rsid w:val="008E7029"/>
    <w:rsid w:val="008E7514"/>
    <w:rsid w:val="008E7890"/>
    <w:rsid w:val="008E7EEE"/>
    <w:rsid w:val="008E7EF6"/>
    <w:rsid w:val="008F0FD5"/>
    <w:rsid w:val="008F1207"/>
    <w:rsid w:val="008F140B"/>
    <w:rsid w:val="008F1B5C"/>
    <w:rsid w:val="008F1F98"/>
    <w:rsid w:val="008F3125"/>
    <w:rsid w:val="008F46D6"/>
    <w:rsid w:val="008F5412"/>
    <w:rsid w:val="008F575D"/>
    <w:rsid w:val="008F59EE"/>
    <w:rsid w:val="008F5B76"/>
    <w:rsid w:val="008F6439"/>
    <w:rsid w:val="008F647B"/>
    <w:rsid w:val="008F6758"/>
    <w:rsid w:val="0090037A"/>
    <w:rsid w:val="00900660"/>
    <w:rsid w:val="00901250"/>
    <w:rsid w:val="00901B02"/>
    <w:rsid w:val="00901E1A"/>
    <w:rsid w:val="00901FFF"/>
    <w:rsid w:val="009027FB"/>
    <w:rsid w:val="00902E70"/>
    <w:rsid w:val="00903007"/>
    <w:rsid w:val="009033DF"/>
    <w:rsid w:val="00903EF4"/>
    <w:rsid w:val="009040DD"/>
    <w:rsid w:val="0090419A"/>
    <w:rsid w:val="00904A94"/>
    <w:rsid w:val="0090561C"/>
    <w:rsid w:val="00905B47"/>
    <w:rsid w:val="0090620B"/>
    <w:rsid w:val="009063F2"/>
    <w:rsid w:val="00906EFC"/>
    <w:rsid w:val="00907B3B"/>
    <w:rsid w:val="0091060E"/>
    <w:rsid w:val="00910733"/>
    <w:rsid w:val="009113EA"/>
    <w:rsid w:val="009117F6"/>
    <w:rsid w:val="00911D28"/>
    <w:rsid w:val="00912B9A"/>
    <w:rsid w:val="0091331C"/>
    <w:rsid w:val="00914BD1"/>
    <w:rsid w:val="00914EC9"/>
    <w:rsid w:val="009152B2"/>
    <w:rsid w:val="009158BB"/>
    <w:rsid w:val="00915A02"/>
    <w:rsid w:val="00915E89"/>
    <w:rsid w:val="00915F3E"/>
    <w:rsid w:val="00915FC9"/>
    <w:rsid w:val="00916AA7"/>
    <w:rsid w:val="00917FD3"/>
    <w:rsid w:val="00920324"/>
    <w:rsid w:val="009205A2"/>
    <w:rsid w:val="00920BA2"/>
    <w:rsid w:val="00920DD4"/>
    <w:rsid w:val="009223F7"/>
    <w:rsid w:val="009225CA"/>
    <w:rsid w:val="009238E5"/>
    <w:rsid w:val="009239BA"/>
    <w:rsid w:val="00923DC7"/>
    <w:rsid w:val="00924395"/>
    <w:rsid w:val="00924B63"/>
    <w:rsid w:val="00924F4B"/>
    <w:rsid w:val="009253DA"/>
    <w:rsid w:val="00927486"/>
    <w:rsid w:val="009279DE"/>
    <w:rsid w:val="00930116"/>
    <w:rsid w:val="00932B92"/>
    <w:rsid w:val="00932EC6"/>
    <w:rsid w:val="00933980"/>
    <w:rsid w:val="00933A47"/>
    <w:rsid w:val="00933DE2"/>
    <w:rsid w:val="00934990"/>
    <w:rsid w:val="0093517E"/>
    <w:rsid w:val="00935BBB"/>
    <w:rsid w:val="0093640F"/>
    <w:rsid w:val="00936994"/>
    <w:rsid w:val="009375F9"/>
    <w:rsid w:val="00937D42"/>
    <w:rsid w:val="00941839"/>
    <w:rsid w:val="00941A56"/>
    <w:rsid w:val="00941B1B"/>
    <w:rsid w:val="0094212C"/>
    <w:rsid w:val="009435FA"/>
    <w:rsid w:val="00943C17"/>
    <w:rsid w:val="00943C31"/>
    <w:rsid w:val="0094436F"/>
    <w:rsid w:val="00945EEF"/>
    <w:rsid w:val="00946352"/>
    <w:rsid w:val="009472BF"/>
    <w:rsid w:val="00947787"/>
    <w:rsid w:val="00950177"/>
    <w:rsid w:val="009503FE"/>
    <w:rsid w:val="009507F5"/>
    <w:rsid w:val="0095106C"/>
    <w:rsid w:val="0095176C"/>
    <w:rsid w:val="0095186B"/>
    <w:rsid w:val="00952B0B"/>
    <w:rsid w:val="00953CD9"/>
    <w:rsid w:val="009545C8"/>
    <w:rsid w:val="00954689"/>
    <w:rsid w:val="00954938"/>
    <w:rsid w:val="009549BA"/>
    <w:rsid w:val="00954CC9"/>
    <w:rsid w:val="00954D94"/>
    <w:rsid w:val="00955315"/>
    <w:rsid w:val="009554CA"/>
    <w:rsid w:val="00955FA1"/>
    <w:rsid w:val="009562F6"/>
    <w:rsid w:val="0096109C"/>
    <w:rsid w:val="009617C9"/>
    <w:rsid w:val="00961C93"/>
    <w:rsid w:val="00961DC1"/>
    <w:rsid w:val="00963248"/>
    <w:rsid w:val="009639DA"/>
    <w:rsid w:val="00963C30"/>
    <w:rsid w:val="00963C80"/>
    <w:rsid w:val="00964689"/>
    <w:rsid w:val="009646B9"/>
    <w:rsid w:val="00964BF0"/>
    <w:rsid w:val="009651EE"/>
    <w:rsid w:val="00965324"/>
    <w:rsid w:val="009659F1"/>
    <w:rsid w:val="00966E23"/>
    <w:rsid w:val="0097091E"/>
    <w:rsid w:val="00970CDE"/>
    <w:rsid w:val="009712B6"/>
    <w:rsid w:val="00971BE9"/>
    <w:rsid w:val="009721FA"/>
    <w:rsid w:val="009727DC"/>
    <w:rsid w:val="009729BB"/>
    <w:rsid w:val="00972B05"/>
    <w:rsid w:val="00972D46"/>
    <w:rsid w:val="00973290"/>
    <w:rsid w:val="009744AF"/>
    <w:rsid w:val="00974C29"/>
    <w:rsid w:val="009760D3"/>
    <w:rsid w:val="009760F3"/>
    <w:rsid w:val="0097633E"/>
    <w:rsid w:val="009766BF"/>
    <w:rsid w:val="009769DD"/>
    <w:rsid w:val="0097707A"/>
    <w:rsid w:val="00977132"/>
    <w:rsid w:val="0097770B"/>
    <w:rsid w:val="00980178"/>
    <w:rsid w:val="00980A3F"/>
    <w:rsid w:val="00980C0A"/>
    <w:rsid w:val="00981113"/>
    <w:rsid w:val="00981292"/>
    <w:rsid w:val="00981A4B"/>
    <w:rsid w:val="00981D19"/>
    <w:rsid w:val="00982501"/>
    <w:rsid w:val="00982791"/>
    <w:rsid w:val="00982863"/>
    <w:rsid w:val="0098321B"/>
    <w:rsid w:val="00983A72"/>
    <w:rsid w:val="00983D4E"/>
    <w:rsid w:val="009842C9"/>
    <w:rsid w:val="00984B35"/>
    <w:rsid w:val="009852D4"/>
    <w:rsid w:val="00985A14"/>
    <w:rsid w:val="009869FD"/>
    <w:rsid w:val="00986D28"/>
    <w:rsid w:val="009877D3"/>
    <w:rsid w:val="0099047F"/>
    <w:rsid w:val="009905F3"/>
    <w:rsid w:val="00992218"/>
    <w:rsid w:val="0099335B"/>
    <w:rsid w:val="00993E79"/>
    <w:rsid w:val="009945C3"/>
    <w:rsid w:val="00994CB5"/>
    <w:rsid w:val="00994E8F"/>
    <w:rsid w:val="00994F44"/>
    <w:rsid w:val="009951DC"/>
    <w:rsid w:val="009959BB"/>
    <w:rsid w:val="00996AA2"/>
    <w:rsid w:val="00997158"/>
    <w:rsid w:val="009971FB"/>
    <w:rsid w:val="009976F2"/>
    <w:rsid w:val="00997C04"/>
    <w:rsid w:val="009A099A"/>
    <w:rsid w:val="009A10E6"/>
    <w:rsid w:val="009A1662"/>
    <w:rsid w:val="009A2285"/>
    <w:rsid w:val="009A2BC0"/>
    <w:rsid w:val="009A366B"/>
    <w:rsid w:val="009A3A7C"/>
    <w:rsid w:val="009A4011"/>
    <w:rsid w:val="009A4453"/>
    <w:rsid w:val="009A45A4"/>
    <w:rsid w:val="009A52EB"/>
    <w:rsid w:val="009A64A1"/>
    <w:rsid w:val="009A6B91"/>
    <w:rsid w:val="009A71AA"/>
    <w:rsid w:val="009A743B"/>
    <w:rsid w:val="009A768C"/>
    <w:rsid w:val="009A7BFB"/>
    <w:rsid w:val="009A7FF5"/>
    <w:rsid w:val="009B0538"/>
    <w:rsid w:val="009B07B5"/>
    <w:rsid w:val="009B0EEA"/>
    <w:rsid w:val="009B1269"/>
    <w:rsid w:val="009B1913"/>
    <w:rsid w:val="009B1D06"/>
    <w:rsid w:val="009B2ADB"/>
    <w:rsid w:val="009B2E10"/>
    <w:rsid w:val="009B3982"/>
    <w:rsid w:val="009B404B"/>
    <w:rsid w:val="009B4240"/>
    <w:rsid w:val="009B4B96"/>
    <w:rsid w:val="009B603A"/>
    <w:rsid w:val="009B7AF5"/>
    <w:rsid w:val="009C006A"/>
    <w:rsid w:val="009C0648"/>
    <w:rsid w:val="009C07FC"/>
    <w:rsid w:val="009C0BEC"/>
    <w:rsid w:val="009C0BFC"/>
    <w:rsid w:val="009C1250"/>
    <w:rsid w:val="009C16A6"/>
    <w:rsid w:val="009C1A0B"/>
    <w:rsid w:val="009C1B95"/>
    <w:rsid w:val="009C24C3"/>
    <w:rsid w:val="009C2D0E"/>
    <w:rsid w:val="009C3DAC"/>
    <w:rsid w:val="009C42E0"/>
    <w:rsid w:val="009C43FA"/>
    <w:rsid w:val="009C4B18"/>
    <w:rsid w:val="009C50BE"/>
    <w:rsid w:val="009C6EC5"/>
    <w:rsid w:val="009C7FEB"/>
    <w:rsid w:val="009D068B"/>
    <w:rsid w:val="009D0F8B"/>
    <w:rsid w:val="009D3578"/>
    <w:rsid w:val="009D5362"/>
    <w:rsid w:val="009D54F7"/>
    <w:rsid w:val="009D600C"/>
    <w:rsid w:val="009D7F19"/>
    <w:rsid w:val="009E02FE"/>
    <w:rsid w:val="009E051D"/>
    <w:rsid w:val="009E1415"/>
    <w:rsid w:val="009E1A04"/>
    <w:rsid w:val="009E1E1D"/>
    <w:rsid w:val="009E212B"/>
    <w:rsid w:val="009E2C0B"/>
    <w:rsid w:val="009E2EF1"/>
    <w:rsid w:val="009E3384"/>
    <w:rsid w:val="009E33C2"/>
    <w:rsid w:val="009E35A8"/>
    <w:rsid w:val="009E3A6D"/>
    <w:rsid w:val="009E3F6E"/>
    <w:rsid w:val="009E4295"/>
    <w:rsid w:val="009E551C"/>
    <w:rsid w:val="009E5570"/>
    <w:rsid w:val="009E5802"/>
    <w:rsid w:val="009E59E9"/>
    <w:rsid w:val="009E5DCE"/>
    <w:rsid w:val="009E6116"/>
    <w:rsid w:val="009E61C6"/>
    <w:rsid w:val="009E67FD"/>
    <w:rsid w:val="009E69BF"/>
    <w:rsid w:val="009E6AB5"/>
    <w:rsid w:val="009E718E"/>
    <w:rsid w:val="009F02AC"/>
    <w:rsid w:val="009F039F"/>
    <w:rsid w:val="009F0819"/>
    <w:rsid w:val="009F1570"/>
    <w:rsid w:val="009F2B44"/>
    <w:rsid w:val="009F47BA"/>
    <w:rsid w:val="009F4FDB"/>
    <w:rsid w:val="009F5FE7"/>
    <w:rsid w:val="009F630A"/>
    <w:rsid w:val="009F6E30"/>
    <w:rsid w:val="00A00655"/>
    <w:rsid w:val="00A006AB"/>
    <w:rsid w:val="00A02251"/>
    <w:rsid w:val="00A0238F"/>
    <w:rsid w:val="00A02AE5"/>
    <w:rsid w:val="00A02B2B"/>
    <w:rsid w:val="00A02B7C"/>
    <w:rsid w:val="00A02DB7"/>
    <w:rsid w:val="00A02E43"/>
    <w:rsid w:val="00A035DC"/>
    <w:rsid w:val="00A03A65"/>
    <w:rsid w:val="00A03B5B"/>
    <w:rsid w:val="00A03D64"/>
    <w:rsid w:val="00A03EA7"/>
    <w:rsid w:val="00A045C5"/>
    <w:rsid w:val="00A0526C"/>
    <w:rsid w:val="00A065F9"/>
    <w:rsid w:val="00A06635"/>
    <w:rsid w:val="00A06BED"/>
    <w:rsid w:val="00A07F34"/>
    <w:rsid w:val="00A101E7"/>
    <w:rsid w:val="00A10FA7"/>
    <w:rsid w:val="00A11ECC"/>
    <w:rsid w:val="00A133C1"/>
    <w:rsid w:val="00A144C3"/>
    <w:rsid w:val="00A15C6A"/>
    <w:rsid w:val="00A15DEA"/>
    <w:rsid w:val="00A15E60"/>
    <w:rsid w:val="00A172DA"/>
    <w:rsid w:val="00A17CD1"/>
    <w:rsid w:val="00A17D37"/>
    <w:rsid w:val="00A17E84"/>
    <w:rsid w:val="00A20413"/>
    <w:rsid w:val="00A2047F"/>
    <w:rsid w:val="00A205B7"/>
    <w:rsid w:val="00A209F5"/>
    <w:rsid w:val="00A21208"/>
    <w:rsid w:val="00A22154"/>
    <w:rsid w:val="00A222C4"/>
    <w:rsid w:val="00A22E58"/>
    <w:rsid w:val="00A23E12"/>
    <w:rsid w:val="00A23F53"/>
    <w:rsid w:val="00A2415D"/>
    <w:rsid w:val="00A24415"/>
    <w:rsid w:val="00A24549"/>
    <w:rsid w:val="00A25C36"/>
    <w:rsid w:val="00A25C38"/>
    <w:rsid w:val="00A25FDE"/>
    <w:rsid w:val="00A269DD"/>
    <w:rsid w:val="00A26DA3"/>
    <w:rsid w:val="00A302C5"/>
    <w:rsid w:val="00A3030D"/>
    <w:rsid w:val="00A30580"/>
    <w:rsid w:val="00A312A0"/>
    <w:rsid w:val="00A3191D"/>
    <w:rsid w:val="00A31A43"/>
    <w:rsid w:val="00A325C3"/>
    <w:rsid w:val="00A32C5B"/>
    <w:rsid w:val="00A330E2"/>
    <w:rsid w:val="00A337C8"/>
    <w:rsid w:val="00A33869"/>
    <w:rsid w:val="00A343AF"/>
    <w:rsid w:val="00A34E4E"/>
    <w:rsid w:val="00A35247"/>
    <w:rsid w:val="00A361FD"/>
    <w:rsid w:val="00A363E2"/>
    <w:rsid w:val="00A36A27"/>
    <w:rsid w:val="00A36BBE"/>
    <w:rsid w:val="00A36C51"/>
    <w:rsid w:val="00A378BD"/>
    <w:rsid w:val="00A4169A"/>
    <w:rsid w:val="00A41717"/>
    <w:rsid w:val="00A41964"/>
    <w:rsid w:val="00A41DD6"/>
    <w:rsid w:val="00A426FB"/>
    <w:rsid w:val="00A427EF"/>
    <w:rsid w:val="00A43040"/>
    <w:rsid w:val="00A4307A"/>
    <w:rsid w:val="00A43B71"/>
    <w:rsid w:val="00A43E85"/>
    <w:rsid w:val="00A44036"/>
    <w:rsid w:val="00A443F7"/>
    <w:rsid w:val="00A454FA"/>
    <w:rsid w:val="00A45C34"/>
    <w:rsid w:val="00A45FA7"/>
    <w:rsid w:val="00A4667C"/>
    <w:rsid w:val="00A46BD9"/>
    <w:rsid w:val="00A46C04"/>
    <w:rsid w:val="00A46E9A"/>
    <w:rsid w:val="00A47E30"/>
    <w:rsid w:val="00A47EBB"/>
    <w:rsid w:val="00A47FEB"/>
    <w:rsid w:val="00A51557"/>
    <w:rsid w:val="00A516B0"/>
    <w:rsid w:val="00A51CDD"/>
    <w:rsid w:val="00A51F96"/>
    <w:rsid w:val="00A52412"/>
    <w:rsid w:val="00A524D4"/>
    <w:rsid w:val="00A529D3"/>
    <w:rsid w:val="00A541A0"/>
    <w:rsid w:val="00A5460A"/>
    <w:rsid w:val="00A5497E"/>
    <w:rsid w:val="00A549E6"/>
    <w:rsid w:val="00A54EB1"/>
    <w:rsid w:val="00A54EC8"/>
    <w:rsid w:val="00A55611"/>
    <w:rsid w:val="00A57061"/>
    <w:rsid w:val="00A57267"/>
    <w:rsid w:val="00A57B50"/>
    <w:rsid w:val="00A60218"/>
    <w:rsid w:val="00A6036F"/>
    <w:rsid w:val="00A60494"/>
    <w:rsid w:val="00A604DC"/>
    <w:rsid w:val="00A6051F"/>
    <w:rsid w:val="00A609D8"/>
    <w:rsid w:val="00A60DD4"/>
    <w:rsid w:val="00A6164C"/>
    <w:rsid w:val="00A61857"/>
    <w:rsid w:val="00A61AD8"/>
    <w:rsid w:val="00A62AD8"/>
    <w:rsid w:val="00A63BEF"/>
    <w:rsid w:val="00A65AD6"/>
    <w:rsid w:val="00A66255"/>
    <w:rsid w:val="00A66600"/>
    <w:rsid w:val="00A66636"/>
    <w:rsid w:val="00A672FF"/>
    <w:rsid w:val="00A6730D"/>
    <w:rsid w:val="00A673F9"/>
    <w:rsid w:val="00A67EFC"/>
    <w:rsid w:val="00A70F25"/>
    <w:rsid w:val="00A712B7"/>
    <w:rsid w:val="00A713D0"/>
    <w:rsid w:val="00A71625"/>
    <w:rsid w:val="00A71A48"/>
    <w:rsid w:val="00A71B9B"/>
    <w:rsid w:val="00A7234C"/>
    <w:rsid w:val="00A7276A"/>
    <w:rsid w:val="00A72DDD"/>
    <w:rsid w:val="00A73211"/>
    <w:rsid w:val="00A7390C"/>
    <w:rsid w:val="00A743B9"/>
    <w:rsid w:val="00A751C7"/>
    <w:rsid w:val="00A75B74"/>
    <w:rsid w:val="00A800DE"/>
    <w:rsid w:val="00A804C0"/>
    <w:rsid w:val="00A8123C"/>
    <w:rsid w:val="00A81F87"/>
    <w:rsid w:val="00A8422A"/>
    <w:rsid w:val="00A8425B"/>
    <w:rsid w:val="00A848F1"/>
    <w:rsid w:val="00A85C01"/>
    <w:rsid w:val="00A861CC"/>
    <w:rsid w:val="00A86A4E"/>
    <w:rsid w:val="00A86B91"/>
    <w:rsid w:val="00A86BB2"/>
    <w:rsid w:val="00A86CC8"/>
    <w:rsid w:val="00A871A0"/>
    <w:rsid w:val="00A87220"/>
    <w:rsid w:val="00A873B5"/>
    <w:rsid w:val="00A87844"/>
    <w:rsid w:val="00A901E4"/>
    <w:rsid w:val="00A90277"/>
    <w:rsid w:val="00A907EB"/>
    <w:rsid w:val="00A90A34"/>
    <w:rsid w:val="00A91362"/>
    <w:rsid w:val="00A91A15"/>
    <w:rsid w:val="00A91A99"/>
    <w:rsid w:val="00A93A17"/>
    <w:rsid w:val="00A93C05"/>
    <w:rsid w:val="00A93E3D"/>
    <w:rsid w:val="00A94213"/>
    <w:rsid w:val="00A948EB"/>
    <w:rsid w:val="00A95D0C"/>
    <w:rsid w:val="00A961C4"/>
    <w:rsid w:val="00A962B8"/>
    <w:rsid w:val="00A96741"/>
    <w:rsid w:val="00AA0025"/>
    <w:rsid w:val="00AA038C"/>
    <w:rsid w:val="00AA052E"/>
    <w:rsid w:val="00AA09AB"/>
    <w:rsid w:val="00AA09EB"/>
    <w:rsid w:val="00AA0D2E"/>
    <w:rsid w:val="00AA2225"/>
    <w:rsid w:val="00AA315B"/>
    <w:rsid w:val="00AA3586"/>
    <w:rsid w:val="00AA4B5A"/>
    <w:rsid w:val="00AA4D0E"/>
    <w:rsid w:val="00AA4D17"/>
    <w:rsid w:val="00AA529E"/>
    <w:rsid w:val="00AA57A6"/>
    <w:rsid w:val="00AA5FCF"/>
    <w:rsid w:val="00AA612D"/>
    <w:rsid w:val="00AA699C"/>
    <w:rsid w:val="00AA6D54"/>
    <w:rsid w:val="00AA7937"/>
    <w:rsid w:val="00AA7A09"/>
    <w:rsid w:val="00AA7A5D"/>
    <w:rsid w:val="00AA7D2A"/>
    <w:rsid w:val="00AA7F64"/>
    <w:rsid w:val="00AB03DB"/>
    <w:rsid w:val="00AB075B"/>
    <w:rsid w:val="00AB0C4F"/>
    <w:rsid w:val="00AB11CF"/>
    <w:rsid w:val="00AB2898"/>
    <w:rsid w:val="00AB3B50"/>
    <w:rsid w:val="00AB4158"/>
    <w:rsid w:val="00AB5F4B"/>
    <w:rsid w:val="00AB5F5D"/>
    <w:rsid w:val="00AB7DA1"/>
    <w:rsid w:val="00AC05B1"/>
    <w:rsid w:val="00AC0A4E"/>
    <w:rsid w:val="00AC17E9"/>
    <w:rsid w:val="00AC2A05"/>
    <w:rsid w:val="00AC2BAA"/>
    <w:rsid w:val="00AC420E"/>
    <w:rsid w:val="00AC491D"/>
    <w:rsid w:val="00AC54EA"/>
    <w:rsid w:val="00AC5B6C"/>
    <w:rsid w:val="00AC6907"/>
    <w:rsid w:val="00AC6942"/>
    <w:rsid w:val="00AC6977"/>
    <w:rsid w:val="00AC6B3E"/>
    <w:rsid w:val="00AC6D9F"/>
    <w:rsid w:val="00AC7267"/>
    <w:rsid w:val="00AC7543"/>
    <w:rsid w:val="00AD14A0"/>
    <w:rsid w:val="00AD19B8"/>
    <w:rsid w:val="00AD2137"/>
    <w:rsid w:val="00AD246B"/>
    <w:rsid w:val="00AD32BE"/>
    <w:rsid w:val="00AD33C9"/>
    <w:rsid w:val="00AD356C"/>
    <w:rsid w:val="00AD3E3E"/>
    <w:rsid w:val="00AD4269"/>
    <w:rsid w:val="00AD47FE"/>
    <w:rsid w:val="00AD56F9"/>
    <w:rsid w:val="00AD5B3F"/>
    <w:rsid w:val="00AD6968"/>
    <w:rsid w:val="00AD6FBA"/>
    <w:rsid w:val="00AD7176"/>
    <w:rsid w:val="00AD77F3"/>
    <w:rsid w:val="00AD78EF"/>
    <w:rsid w:val="00AD79AF"/>
    <w:rsid w:val="00AE022D"/>
    <w:rsid w:val="00AE0415"/>
    <w:rsid w:val="00AE157D"/>
    <w:rsid w:val="00AE1B92"/>
    <w:rsid w:val="00AE1C61"/>
    <w:rsid w:val="00AE1CD4"/>
    <w:rsid w:val="00AE233C"/>
    <w:rsid w:val="00AE2914"/>
    <w:rsid w:val="00AE3722"/>
    <w:rsid w:val="00AE3FE9"/>
    <w:rsid w:val="00AE4590"/>
    <w:rsid w:val="00AE466F"/>
    <w:rsid w:val="00AE4E3D"/>
    <w:rsid w:val="00AE4E70"/>
    <w:rsid w:val="00AE4FAC"/>
    <w:rsid w:val="00AE4FCD"/>
    <w:rsid w:val="00AE6D15"/>
    <w:rsid w:val="00AE7941"/>
    <w:rsid w:val="00AF0292"/>
    <w:rsid w:val="00AF25EA"/>
    <w:rsid w:val="00AF2F36"/>
    <w:rsid w:val="00AF3136"/>
    <w:rsid w:val="00AF4831"/>
    <w:rsid w:val="00AF4D8E"/>
    <w:rsid w:val="00AF4F9B"/>
    <w:rsid w:val="00AF5097"/>
    <w:rsid w:val="00B004A1"/>
    <w:rsid w:val="00B00772"/>
    <w:rsid w:val="00B0103D"/>
    <w:rsid w:val="00B01AA0"/>
    <w:rsid w:val="00B01FDD"/>
    <w:rsid w:val="00B028A5"/>
    <w:rsid w:val="00B02F7A"/>
    <w:rsid w:val="00B03212"/>
    <w:rsid w:val="00B04182"/>
    <w:rsid w:val="00B0483E"/>
    <w:rsid w:val="00B06430"/>
    <w:rsid w:val="00B07548"/>
    <w:rsid w:val="00B07A1C"/>
    <w:rsid w:val="00B07AE3"/>
    <w:rsid w:val="00B10592"/>
    <w:rsid w:val="00B109A0"/>
    <w:rsid w:val="00B1107A"/>
    <w:rsid w:val="00B11430"/>
    <w:rsid w:val="00B11979"/>
    <w:rsid w:val="00B11B79"/>
    <w:rsid w:val="00B11BA0"/>
    <w:rsid w:val="00B122AC"/>
    <w:rsid w:val="00B12D7B"/>
    <w:rsid w:val="00B138BE"/>
    <w:rsid w:val="00B14225"/>
    <w:rsid w:val="00B1431B"/>
    <w:rsid w:val="00B150F3"/>
    <w:rsid w:val="00B154CE"/>
    <w:rsid w:val="00B15B17"/>
    <w:rsid w:val="00B16404"/>
    <w:rsid w:val="00B16642"/>
    <w:rsid w:val="00B1671A"/>
    <w:rsid w:val="00B16F96"/>
    <w:rsid w:val="00B17399"/>
    <w:rsid w:val="00B21775"/>
    <w:rsid w:val="00B22010"/>
    <w:rsid w:val="00B22CC7"/>
    <w:rsid w:val="00B22D44"/>
    <w:rsid w:val="00B22FD0"/>
    <w:rsid w:val="00B24C95"/>
    <w:rsid w:val="00B265FC"/>
    <w:rsid w:val="00B26BC9"/>
    <w:rsid w:val="00B27100"/>
    <w:rsid w:val="00B2723A"/>
    <w:rsid w:val="00B2744A"/>
    <w:rsid w:val="00B3060B"/>
    <w:rsid w:val="00B30842"/>
    <w:rsid w:val="00B31CFC"/>
    <w:rsid w:val="00B32581"/>
    <w:rsid w:val="00B32F85"/>
    <w:rsid w:val="00B330A9"/>
    <w:rsid w:val="00B336A1"/>
    <w:rsid w:val="00B336E9"/>
    <w:rsid w:val="00B34604"/>
    <w:rsid w:val="00B34E5B"/>
    <w:rsid w:val="00B35006"/>
    <w:rsid w:val="00B353EB"/>
    <w:rsid w:val="00B35950"/>
    <w:rsid w:val="00B35A39"/>
    <w:rsid w:val="00B369E5"/>
    <w:rsid w:val="00B379EC"/>
    <w:rsid w:val="00B37D41"/>
    <w:rsid w:val="00B40AA3"/>
    <w:rsid w:val="00B40D2B"/>
    <w:rsid w:val="00B41611"/>
    <w:rsid w:val="00B42165"/>
    <w:rsid w:val="00B424E1"/>
    <w:rsid w:val="00B42631"/>
    <w:rsid w:val="00B43328"/>
    <w:rsid w:val="00B43918"/>
    <w:rsid w:val="00B439C4"/>
    <w:rsid w:val="00B443AB"/>
    <w:rsid w:val="00B44897"/>
    <w:rsid w:val="00B45292"/>
    <w:rsid w:val="00B4535E"/>
    <w:rsid w:val="00B456B4"/>
    <w:rsid w:val="00B45D1F"/>
    <w:rsid w:val="00B45FE2"/>
    <w:rsid w:val="00B46904"/>
    <w:rsid w:val="00B46AAF"/>
    <w:rsid w:val="00B4732F"/>
    <w:rsid w:val="00B47BBD"/>
    <w:rsid w:val="00B47D03"/>
    <w:rsid w:val="00B50803"/>
    <w:rsid w:val="00B50EAF"/>
    <w:rsid w:val="00B51E85"/>
    <w:rsid w:val="00B521D9"/>
    <w:rsid w:val="00B52A8C"/>
    <w:rsid w:val="00B52DFD"/>
    <w:rsid w:val="00B53501"/>
    <w:rsid w:val="00B53519"/>
    <w:rsid w:val="00B53571"/>
    <w:rsid w:val="00B53594"/>
    <w:rsid w:val="00B53B4D"/>
    <w:rsid w:val="00B541EC"/>
    <w:rsid w:val="00B54A01"/>
    <w:rsid w:val="00B5519C"/>
    <w:rsid w:val="00B55310"/>
    <w:rsid w:val="00B5645A"/>
    <w:rsid w:val="00B571B4"/>
    <w:rsid w:val="00B575AB"/>
    <w:rsid w:val="00B576D7"/>
    <w:rsid w:val="00B57919"/>
    <w:rsid w:val="00B60817"/>
    <w:rsid w:val="00B613AE"/>
    <w:rsid w:val="00B614BA"/>
    <w:rsid w:val="00B6299D"/>
    <w:rsid w:val="00B636A8"/>
    <w:rsid w:val="00B6395D"/>
    <w:rsid w:val="00B65622"/>
    <w:rsid w:val="00B66154"/>
    <w:rsid w:val="00B66324"/>
    <w:rsid w:val="00B665C6"/>
    <w:rsid w:val="00B67062"/>
    <w:rsid w:val="00B671BD"/>
    <w:rsid w:val="00B67960"/>
    <w:rsid w:val="00B67971"/>
    <w:rsid w:val="00B67A62"/>
    <w:rsid w:val="00B67CA5"/>
    <w:rsid w:val="00B67E03"/>
    <w:rsid w:val="00B70493"/>
    <w:rsid w:val="00B70EFC"/>
    <w:rsid w:val="00B713D5"/>
    <w:rsid w:val="00B7153C"/>
    <w:rsid w:val="00B71DAE"/>
    <w:rsid w:val="00B72131"/>
    <w:rsid w:val="00B728DE"/>
    <w:rsid w:val="00B737E1"/>
    <w:rsid w:val="00B758CD"/>
    <w:rsid w:val="00B77DBE"/>
    <w:rsid w:val="00B77F77"/>
    <w:rsid w:val="00B80452"/>
    <w:rsid w:val="00B805AF"/>
    <w:rsid w:val="00B80B02"/>
    <w:rsid w:val="00B81834"/>
    <w:rsid w:val="00B81F5F"/>
    <w:rsid w:val="00B81F8C"/>
    <w:rsid w:val="00B82545"/>
    <w:rsid w:val="00B828FA"/>
    <w:rsid w:val="00B83790"/>
    <w:rsid w:val="00B83C03"/>
    <w:rsid w:val="00B8426F"/>
    <w:rsid w:val="00B845B3"/>
    <w:rsid w:val="00B84D87"/>
    <w:rsid w:val="00B8537B"/>
    <w:rsid w:val="00B85D43"/>
    <w:rsid w:val="00B8649A"/>
    <w:rsid w:val="00B869EC"/>
    <w:rsid w:val="00B8758D"/>
    <w:rsid w:val="00B875A8"/>
    <w:rsid w:val="00B87EC8"/>
    <w:rsid w:val="00B900EB"/>
    <w:rsid w:val="00B903D4"/>
    <w:rsid w:val="00B92254"/>
    <w:rsid w:val="00B922F5"/>
    <w:rsid w:val="00B92DB3"/>
    <w:rsid w:val="00B92DC0"/>
    <w:rsid w:val="00B92DD3"/>
    <w:rsid w:val="00B93255"/>
    <w:rsid w:val="00B9351F"/>
    <w:rsid w:val="00B93520"/>
    <w:rsid w:val="00B9397A"/>
    <w:rsid w:val="00B94B85"/>
    <w:rsid w:val="00B94C58"/>
    <w:rsid w:val="00B94EE4"/>
    <w:rsid w:val="00B95C6C"/>
    <w:rsid w:val="00B9633D"/>
    <w:rsid w:val="00B96945"/>
    <w:rsid w:val="00B9707D"/>
    <w:rsid w:val="00B970AD"/>
    <w:rsid w:val="00B97370"/>
    <w:rsid w:val="00BA013D"/>
    <w:rsid w:val="00BA0565"/>
    <w:rsid w:val="00BA0580"/>
    <w:rsid w:val="00BA0F4E"/>
    <w:rsid w:val="00BA1657"/>
    <w:rsid w:val="00BA1FEC"/>
    <w:rsid w:val="00BA2772"/>
    <w:rsid w:val="00BA2EBE"/>
    <w:rsid w:val="00BA3324"/>
    <w:rsid w:val="00BA46F2"/>
    <w:rsid w:val="00BA4B19"/>
    <w:rsid w:val="00BA578A"/>
    <w:rsid w:val="00BA5B1E"/>
    <w:rsid w:val="00BA6820"/>
    <w:rsid w:val="00BA6CDC"/>
    <w:rsid w:val="00BA6D5B"/>
    <w:rsid w:val="00BA73B3"/>
    <w:rsid w:val="00BA74A3"/>
    <w:rsid w:val="00BA799A"/>
    <w:rsid w:val="00BA7A7D"/>
    <w:rsid w:val="00BB011E"/>
    <w:rsid w:val="00BB0F28"/>
    <w:rsid w:val="00BB1D38"/>
    <w:rsid w:val="00BB1F0C"/>
    <w:rsid w:val="00BB23E5"/>
    <w:rsid w:val="00BB2E12"/>
    <w:rsid w:val="00BB2EB0"/>
    <w:rsid w:val="00BB30A9"/>
    <w:rsid w:val="00BB37BD"/>
    <w:rsid w:val="00BB3A82"/>
    <w:rsid w:val="00BB458A"/>
    <w:rsid w:val="00BB4630"/>
    <w:rsid w:val="00BB4699"/>
    <w:rsid w:val="00BB48C7"/>
    <w:rsid w:val="00BB577E"/>
    <w:rsid w:val="00BB5782"/>
    <w:rsid w:val="00BB6B84"/>
    <w:rsid w:val="00BB6CEE"/>
    <w:rsid w:val="00BB7640"/>
    <w:rsid w:val="00BB775A"/>
    <w:rsid w:val="00BB77DC"/>
    <w:rsid w:val="00BC03AC"/>
    <w:rsid w:val="00BC147B"/>
    <w:rsid w:val="00BC2254"/>
    <w:rsid w:val="00BC23A0"/>
    <w:rsid w:val="00BC272E"/>
    <w:rsid w:val="00BC2A22"/>
    <w:rsid w:val="00BC448E"/>
    <w:rsid w:val="00BC4520"/>
    <w:rsid w:val="00BC4C58"/>
    <w:rsid w:val="00BC53CF"/>
    <w:rsid w:val="00BC553F"/>
    <w:rsid w:val="00BC5AA5"/>
    <w:rsid w:val="00BC5B44"/>
    <w:rsid w:val="00BC5D88"/>
    <w:rsid w:val="00BD00D3"/>
    <w:rsid w:val="00BD0209"/>
    <w:rsid w:val="00BD0C2C"/>
    <w:rsid w:val="00BD1659"/>
    <w:rsid w:val="00BD2288"/>
    <w:rsid w:val="00BD2C3E"/>
    <w:rsid w:val="00BD2DA4"/>
    <w:rsid w:val="00BD39C2"/>
    <w:rsid w:val="00BD39F3"/>
    <w:rsid w:val="00BD3AA9"/>
    <w:rsid w:val="00BD4A18"/>
    <w:rsid w:val="00BD4E37"/>
    <w:rsid w:val="00BD5575"/>
    <w:rsid w:val="00BD5655"/>
    <w:rsid w:val="00BD5A4B"/>
    <w:rsid w:val="00BD5EA0"/>
    <w:rsid w:val="00BD6442"/>
    <w:rsid w:val="00BD6B3D"/>
    <w:rsid w:val="00BD6DB2"/>
    <w:rsid w:val="00BD753D"/>
    <w:rsid w:val="00BD754B"/>
    <w:rsid w:val="00BE11CF"/>
    <w:rsid w:val="00BE12F1"/>
    <w:rsid w:val="00BE1691"/>
    <w:rsid w:val="00BE198C"/>
    <w:rsid w:val="00BE21AB"/>
    <w:rsid w:val="00BE2858"/>
    <w:rsid w:val="00BE29BC"/>
    <w:rsid w:val="00BE37BB"/>
    <w:rsid w:val="00BE3891"/>
    <w:rsid w:val="00BE39AD"/>
    <w:rsid w:val="00BE3C54"/>
    <w:rsid w:val="00BE4ECD"/>
    <w:rsid w:val="00BE5231"/>
    <w:rsid w:val="00BE55CB"/>
    <w:rsid w:val="00BE78B2"/>
    <w:rsid w:val="00BE7E17"/>
    <w:rsid w:val="00BE7E6D"/>
    <w:rsid w:val="00BF0101"/>
    <w:rsid w:val="00BF0256"/>
    <w:rsid w:val="00BF1723"/>
    <w:rsid w:val="00BF178F"/>
    <w:rsid w:val="00BF1A68"/>
    <w:rsid w:val="00BF1D7B"/>
    <w:rsid w:val="00BF34DB"/>
    <w:rsid w:val="00BF3824"/>
    <w:rsid w:val="00BF4A25"/>
    <w:rsid w:val="00BF4D64"/>
    <w:rsid w:val="00BF5255"/>
    <w:rsid w:val="00BF5DFF"/>
    <w:rsid w:val="00BF600C"/>
    <w:rsid w:val="00BF617A"/>
    <w:rsid w:val="00BF6E37"/>
    <w:rsid w:val="00BF6FF2"/>
    <w:rsid w:val="00BF77BB"/>
    <w:rsid w:val="00BF7B04"/>
    <w:rsid w:val="00C0033E"/>
    <w:rsid w:val="00C005BF"/>
    <w:rsid w:val="00C00979"/>
    <w:rsid w:val="00C00E14"/>
    <w:rsid w:val="00C0148E"/>
    <w:rsid w:val="00C01C84"/>
    <w:rsid w:val="00C02E00"/>
    <w:rsid w:val="00C031F9"/>
    <w:rsid w:val="00C0379D"/>
    <w:rsid w:val="00C03931"/>
    <w:rsid w:val="00C04159"/>
    <w:rsid w:val="00C04538"/>
    <w:rsid w:val="00C0496B"/>
    <w:rsid w:val="00C05171"/>
    <w:rsid w:val="00C05FE3"/>
    <w:rsid w:val="00C07FAE"/>
    <w:rsid w:val="00C10AB8"/>
    <w:rsid w:val="00C129C0"/>
    <w:rsid w:val="00C12A83"/>
    <w:rsid w:val="00C13EAE"/>
    <w:rsid w:val="00C13F1D"/>
    <w:rsid w:val="00C146FD"/>
    <w:rsid w:val="00C1513C"/>
    <w:rsid w:val="00C16F32"/>
    <w:rsid w:val="00C177A9"/>
    <w:rsid w:val="00C2019C"/>
    <w:rsid w:val="00C20495"/>
    <w:rsid w:val="00C20F63"/>
    <w:rsid w:val="00C2136D"/>
    <w:rsid w:val="00C214EE"/>
    <w:rsid w:val="00C2314B"/>
    <w:rsid w:val="00C2394C"/>
    <w:rsid w:val="00C23BDC"/>
    <w:rsid w:val="00C23C5D"/>
    <w:rsid w:val="00C24736"/>
    <w:rsid w:val="00C24971"/>
    <w:rsid w:val="00C24CD2"/>
    <w:rsid w:val="00C24D03"/>
    <w:rsid w:val="00C26854"/>
    <w:rsid w:val="00C26B8A"/>
    <w:rsid w:val="00C26BE5"/>
    <w:rsid w:val="00C26E4D"/>
    <w:rsid w:val="00C2711B"/>
    <w:rsid w:val="00C27909"/>
    <w:rsid w:val="00C27B03"/>
    <w:rsid w:val="00C27D11"/>
    <w:rsid w:val="00C307D0"/>
    <w:rsid w:val="00C308D4"/>
    <w:rsid w:val="00C30C7B"/>
    <w:rsid w:val="00C314E1"/>
    <w:rsid w:val="00C31AB5"/>
    <w:rsid w:val="00C31B53"/>
    <w:rsid w:val="00C31C22"/>
    <w:rsid w:val="00C323D7"/>
    <w:rsid w:val="00C32A7A"/>
    <w:rsid w:val="00C32DDE"/>
    <w:rsid w:val="00C32ED0"/>
    <w:rsid w:val="00C33055"/>
    <w:rsid w:val="00C33771"/>
    <w:rsid w:val="00C33914"/>
    <w:rsid w:val="00C33F6D"/>
    <w:rsid w:val="00C34376"/>
    <w:rsid w:val="00C34397"/>
    <w:rsid w:val="00C34987"/>
    <w:rsid w:val="00C34C56"/>
    <w:rsid w:val="00C360DF"/>
    <w:rsid w:val="00C4017A"/>
    <w:rsid w:val="00C408EF"/>
    <w:rsid w:val="00C4095D"/>
    <w:rsid w:val="00C41F59"/>
    <w:rsid w:val="00C43716"/>
    <w:rsid w:val="00C43C7B"/>
    <w:rsid w:val="00C43E92"/>
    <w:rsid w:val="00C43EA9"/>
    <w:rsid w:val="00C445D9"/>
    <w:rsid w:val="00C44E1A"/>
    <w:rsid w:val="00C457B2"/>
    <w:rsid w:val="00C461D5"/>
    <w:rsid w:val="00C46511"/>
    <w:rsid w:val="00C469BC"/>
    <w:rsid w:val="00C472A7"/>
    <w:rsid w:val="00C501CE"/>
    <w:rsid w:val="00C51260"/>
    <w:rsid w:val="00C5191B"/>
    <w:rsid w:val="00C51EFD"/>
    <w:rsid w:val="00C52464"/>
    <w:rsid w:val="00C55145"/>
    <w:rsid w:val="00C5796C"/>
    <w:rsid w:val="00C57EDE"/>
    <w:rsid w:val="00C601D2"/>
    <w:rsid w:val="00C605F3"/>
    <w:rsid w:val="00C60634"/>
    <w:rsid w:val="00C6114F"/>
    <w:rsid w:val="00C626B6"/>
    <w:rsid w:val="00C63380"/>
    <w:rsid w:val="00C63F07"/>
    <w:rsid w:val="00C64403"/>
    <w:rsid w:val="00C64EB7"/>
    <w:rsid w:val="00C64FED"/>
    <w:rsid w:val="00C65487"/>
    <w:rsid w:val="00C65BCC"/>
    <w:rsid w:val="00C6603B"/>
    <w:rsid w:val="00C6614B"/>
    <w:rsid w:val="00C661ED"/>
    <w:rsid w:val="00C66970"/>
    <w:rsid w:val="00C678A9"/>
    <w:rsid w:val="00C67FC3"/>
    <w:rsid w:val="00C70D5B"/>
    <w:rsid w:val="00C70E64"/>
    <w:rsid w:val="00C72091"/>
    <w:rsid w:val="00C732D3"/>
    <w:rsid w:val="00C73363"/>
    <w:rsid w:val="00C746A6"/>
    <w:rsid w:val="00C74EF2"/>
    <w:rsid w:val="00C75339"/>
    <w:rsid w:val="00C761A4"/>
    <w:rsid w:val="00C825EB"/>
    <w:rsid w:val="00C829C0"/>
    <w:rsid w:val="00C82C22"/>
    <w:rsid w:val="00C841B4"/>
    <w:rsid w:val="00C84374"/>
    <w:rsid w:val="00C8452A"/>
    <w:rsid w:val="00C868C5"/>
    <w:rsid w:val="00C8691C"/>
    <w:rsid w:val="00C874FA"/>
    <w:rsid w:val="00C87865"/>
    <w:rsid w:val="00C87D01"/>
    <w:rsid w:val="00C91865"/>
    <w:rsid w:val="00C9228E"/>
    <w:rsid w:val="00C93AD2"/>
    <w:rsid w:val="00C949EE"/>
    <w:rsid w:val="00C9585B"/>
    <w:rsid w:val="00C970C4"/>
    <w:rsid w:val="00C973D0"/>
    <w:rsid w:val="00C97FF7"/>
    <w:rsid w:val="00CA0340"/>
    <w:rsid w:val="00CA0DFD"/>
    <w:rsid w:val="00CA11A7"/>
    <w:rsid w:val="00CA126F"/>
    <w:rsid w:val="00CA168A"/>
    <w:rsid w:val="00CA28D4"/>
    <w:rsid w:val="00CA357E"/>
    <w:rsid w:val="00CA39C7"/>
    <w:rsid w:val="00CA3C76"/>
    <w:rsid w:val="00CA3E28"/>
    <w:rsid w:val="00CA4042"/>
    <w:rsid w:val="00CA44F9"/>
    <w:rsid w:val="00CA456A"/>
    <w:rsid w:val="00CA45DB"/>
    <w:rsid w:val="00CA478A"/>
    <w:rsid w:val="00CA48C0"/>
    <w:rsid w:val="00CA4A69"/>
    <w:rsid w:val="00CA5407"/>
    <w:rsid w:val="00CA5D4F"/>
    <w:rsid w:val="00CA7C41"/>
    <w:rsid w:val="00CB03AA"/>
    <w:rsid w:val="00CB0530"/>
    <w:rsid w:val="00CB094E"/>
    <w:rsid w:val="00CB0A36"/>
    <w:rsid w:val="00CB2B18"/>
    <w:rsid w:val="00CB3089"/>
    <w:rsid w:val="00CB40CB"/>
    <w:rsid w:val="00CB45CC"/>
    <w:rsid w:val="00CB5868"/>
    <w:rsid w:val="00CB62E9"/>
    <w:rsid w:val="00CB6395"/>
    <w:rsid w:val="00CB7A1B"/>
    <w:rsid w:val="00CB7AED"/>
    <w:rsid w:val="00CC0B97"/>
    <w:rsid w:val="00CC0E81"/>
    <w:rsid w:val="00CC1788"/>
    <w:rsid w:val="00CC21EF"/>
    <w:rsid w:val="00CC2C98"/>
    <w:rsid w:val="00CC3E0C"/>
    <w:rsid w:val="00CC3F2E"/>
    <w:rsid w:val="00CC54A7"/>
    <w:rsid w:val="00CC58D3"/>
    <w:rsid w:val="00CC59D4"/>
    <w:rsid w:val="00CC5B92"/>
    <w:rsid w:val="00CC61DE"/>
    <w:rsid w:val="00CC6735"/>
    <w:rsid w:val="00CC697C"/>
    <w:rsid w:val="00CC7603"/>
    <w:rsid w:val="00CC784D"/>
    <w:rsid w:val="00CD075A"/>
    <w:rsid w:val="00CD09A2"/>
    <w:rsid w:val="00CD0BA2"/>
    <w:rsid w:val="00CD113F"/>
    <w:rsid w:val="00CD13B7"/>
    <w:rsid w:val="00CD1475"/>
    <w:rsid w:val="00CD14EF"/>
    <w:rsid w:val="00CD1BF1"/>
    <w:rsid w:val="00CD1E55"/>
    <w:rsid w:val="00CD262A"/>
    <w:rsid w:val="00CD3448"/>
    <w:rsid w:val="00CD3729"/>
    <w:rsid w:val="00CD3A32"/>
    <w:rsid w:val="00CD40F3"/>
    <w:rsid w:val="00CD423B"/>
    <w:rsid w:val="00CD4432"/>
    <w:rsid w:val="00CD58EF"/>
    <w:rsid w:val="00CD5979"/>
    <w:rsid w:val="00CD5E08"/>
    <w:rsid w:val="00CD61EB"/>
    <w:rsid w:val="00CD61FD"/>
    <w:rsid w:val="00CD627B"/>
    <w:rsid w:val="00CD680E"/>
    <w:rsid w:val="00CD693C"/>
    <w:rsid w:val="00CD6ADE"/>
    <w:rsid w:val="00CE11B5"/>
    <w:rsid w:val="00CE1334"/>
    <w:rsid w:val="00CE1BE6"/>
    <w:rsid w:val="00CE2677"/>
    <w:rsid w:val="00CE30AC"/>
    <w:rsid w:val="00CE44DB"/>
    <w:rsid w:val="00CE45DA"/>
    <w:rsid w:val="00CE4FCF"/>
    <w:rsid w:val="00CE62AB"/>
    <w:rsid w:val="00CE6652"/>
    <w:rsid w:val="00CE6A90"/>
    <w:rsid w:val="00CE6C3B"/>
    <w:rsid w:val="00CE7C21"/>
    <w:rsid w:val="00CF09BB"/>
    <w:rsid w:val="00CF0CAC"/>
    <w:rsid w:val="00CF1A8E"/>
    <w:rsid w:val="00CF2C0E"/>
    <w:rsid w:val="00CF2ED6"/>
    <w:rsid w:val="00CF3713"/>
    <w:rsid w:val="00CF382B"/>
    <w:rsid w:val="00CF462C"/>
    <w:rsid w:val="00CF4BB2"/>
    <w:rsid w:val="00CF4EED"/>
    <w:rsid w:val="00CF5819"/>
    <w:rsid w:val="00CF6AD0"/>
    <w:rsid w:val="00CF6F2F"/>
    <w:rsid w:val="00CF77BB"/>
    <w:rsid w:val="00D01A86"/>
    <w:rsid w:val="00D02164"/>
    <w:rsid w:val="00D023CB"/>
    <w:rsid w:val="00D02ACC"/>
    <w:rsid w:val="00D02F80"/>
    <w:rsid w:val="00D0337B"/>
    <w:rsid w:val="00D041BA"/>
    <w:rsid w:val="00D04535"/>
    <w:rsid w:val="00D045BE"/>
    <w:rsid w:val="00D04854"/>
    <w:rsid w:val="00D049C9"/>
    <w:rsid w:val="00D04B0A"/>
    <w:rsid w:val="00D04D41"/>
    <w:rsid w:val="00D0526A"/>
    <w:rsid w:val="00D0664B"/>
    <w:rsid w:val="00D078F5"/>
    <w:rsid w:val="00D079B2"/>
    <w:rsid w:val="00D10B09"/>
    <w:rsid w:val="00D114E9"/>
    <w:rsid w:val="00D12301"/>
    <w:rsid w:val="00D12888"/>
    <w:rsid w:val="00D12CB2"/>
    <w:rsid w:val="00D12FEE"/>
    <w:rsid w:val="00D14356"/>
    <w:rsid w:val="00D14F75"/>
    <w:rsid w:val="00D1594B"/>
    <w:rsid w:val="00D16022"/>
    <w:rsid w:val="00D16244"/>
    <w:rsid w:val="00D165CD"/>
    <w:rsid w:val="00D166AC"/>
    <w:rsid w:val="00D169E0"/>
    <w:rsid w:val="00D17A13"/>
    <w:rsid w:val="00D17DBD"/>
    <w:rsid w:val="00D17F92"/>
    <w:rsid w:val="00D2016F"/>
    <w:rsid w:val="00D206DC"/>
    <w:rsid w:val="00D209AA"/>
    <w:rsid w:val="00D20B39"/>
    <w:rsid w:val="00D2153E"/>
    <w:rsid w:val="00D224DE"/>
    <w:rsid w:val="00D2266A"/>
    <w:rsid w:val="00D22B5F"/>
    <w:rsid w:val="00D22B76"/>
    <w:rsid w:val="00D23048"/>
    <w:rsid w:val="00D23521"/>
    <w:rsid w:val="00D24D7D"/>
    <w:rsid w:val="00D26AAF"/>
    <w:rsid w:val="00D26ADD"/>
    <w:rsid w:val="00D27524"/>
    <w:rsid w:val="00D276E8"/>
    <w:rsid w:val="00D27A4A"/>
    <w:rsid w:val="00D27C36"/>
    <w:rsid w:val="00D27F7C"/>
    <w:rsid w:val="00D30142"/>
    <w:rsid w:val="00D3023A"/>
    <w:rsid w:val="00D303D5"/>
    <w:rsid w:val="00D31186"/>
    <w:rsid w:val="00D314C0"/>
    <w:rsid w:val="00D319ED"/>
    <w:rsid w:val="00D322AA"/>
    <w:rsid w:val="00D32C7E"/>
    <w:rsid w:val="00D32DA1"/>
    <w:rsid w:val="00D32E04"/>
    <w:rsid w:val="00D33CC9"/>
    <w:rsid w:val="00D33DB4"/>
    <w:rsid w:val="00D33F01"/>
    <w:rsid w:val="00D342BA"/>
    <w:rsid w:val="00D344D8"/>
    <w:rsid w:val="00D3488C"/>
    <w:rsid w:val="00D35488"/>
    <w:rsid w:val="00D358E6"/>
    <w:rsid w:val="00D36AA2"/>
    <w:rsid w:val="00D36BB5"/>
    <w:rsid w:val="00D40577"/>
    <w:rsid w:val="00D4098C"/>
    <w:rsid w:val="00D40A17"/>
    <w:rsid w:val="00D415CF"/>
    <w:rsid w:val="00D41E00"/>
    <w:rsid w:val="00D429A1"/>
    <w:rsid w:val="00D429C6"/>
    <w:rsid w:val="00D42CC1"/>
    <w:rsid w:val="00D43C32"/>
    <w:rsid w:val="00D466C0"/>
    <w:rsid w:val="00D476A3"/>
    <w:rsid w:val="00D47748"/>
    <w:rsid w:val="00D47E7C"/>
    <w:rsid w:val="00D50935"/>
    <w:rsid w:val="00D50AC2"/>
    <w:rsid w:val="00D50FC8"/>
    <w:rsid w:val="00D518EC"/>
    <w:rsid w:val="00D51AB3"/>
    <w:rsid w:val="00D532B5"/>
    <w:rsid w:val="00D53B50"/>
    <w:rsid w:val="00D5472D"/>
    <w:rsid w:val="00D54A3F"/>
    <w:rsid w:val="00D54CC3"/>
    <w:rsid w:val="00D56441"/>
    <w:rsid w:val="00D57775"/>
    <w:rsid w:val="00D579A3"/>
    <w:rsid w:val="00D579E0"/>
    <w:rsid w:val="00D57D70"/>
    <w:rsid w:val="00D6041A"/>
    <w:rsid w:val="00D614F7"/>
    <w:rsid w:val="00D61899"/>
    <w:rsid w:val="00D61933"/>
    <w:rsid w:val="00D62C25"/>
    <w:rsid w:val="00D62F82"/>
    <w:rsid w:val="00D633EB"/>
    <w:rsid w:val="00D63D4E"/>
    <w:rsid w:val="00D63D96"/>
    <w:rsid w:val="00D64D94"/>
    <w:rsid w:val="00D64F4A"/>
    <w:rsid w:val="00D65262"/>
    <w:rsid w:val="00D65280"/>
    <w:rsid w:val="00D66102"/>
    <w:rsid w:val="00D66C1F"/>
    <w:rsid w:val="00D6719B"/>
    <w:rsid w:val="00D6761F"/>
    <w:rsid w:val="00D7027A"/>
    <w:rsid w:val="00D70BFC"/>
    <w:rsid w:val="00D7121C"/>
    <w:rsid w:val="00D712E3"/>
    <w:rsid w:val="00D71794"/>
    <w:rsid w:val="00D71BEA"/>
    <w:rsid w:val="00D72EC0"/>
    <w:rsid w:val="00D7336B"/>
    <w:rsid w:val="00D73AE9"/>
    <w:rsid w:val="00D7428C"/>
    <w:rsid w:val="00D743A4"/>
    <w:rsid w:val="00D75972"/>
    <w:rsid w:val="00D75EA9"/>
    <w:rsid w:val="00D761D0"/>
    <w:rsid w:val="00D76245"/>
    <w:rsid w:val="00D76561"/>
    <w:rsid w:val="00D76633"/>
    <w:rsid w:val="00D80D3F"/>
    <w:rsid w:val="00D8162C"/>
    <w:rsid w:val="00D82262"/>
    <w:rsid w:val="00D82393"/>
    <w:rsid w:val="00D82C9A"/>
    <w:rsid w:val="00D82FF7"/>
    <w:rsid w:val="00D833F7"/>
    <w:rsid w:val="00D83646"/>
    <w:rsid w:val="00D837FE"/>
    <w:rsid w:val="00D83E6B"/>
    <w:rsid w:val="00D847FE"/>
    <w:rsid w:val="00D84CB5"/>
    <w:rsid w:val="00D854CF"/>
    <w:rsid w:val="00D85C73"/>
    <w:rsid w:val="00D86679"/>
    <w:rsid w:val="00D906D7"/>
    <w:rsid w:val="00D907D4"/>
    <w:rsid w:val="00D9086D"/>
    <w:rsid w:val="00D90897"/>
    <w:rsid w:val="00D9100D"/>
    <w:rsid w:val="00D91233"/>
    <w:rsid w:val="00D91C8E"/>
    <w:rsid w:val="00D91FBB"/>
    <w:rsid w:val="00D92C12"/>
    <w:rsid w:val="00D939D7"/>
    <w:rsid w:val="00D94BD6"/>
    <w:rsid w:val="00D95133"/>
    <w:rsid w:val="00D9587A"/>
    <w:rsid w:val="00D95F99"/>
    <w:rsid w:val="00D960F2"/>
    <w:rsid w:val="00D964EA"/>
    <w:rsid w:val="00D96694"/>
    <w:rsid w:val="00D966D0"/>
    <w:rsid w:val="00D96B88"/>
    <w:rsid w:val="00DA0218"/>
    <w:rsid w:val="00DA04A2"/>
    <w:rsid w:val="00DA087D"/>
    <w:rsid w:val="00DA0C59"/>
    <w:rsid w:val="00DA0FDA"/>
    <w:rsid w:val="00DA15C0"/>
    <w:rsid w:val="00DA1E53"/>
    <w:rsid w:val="00DA2520"/>
    <w:rsid w:val="00DA26D5"/>
    <w:rsid w:val="00DA2ABD"/>
    <w:rsid w:val="00DA2DF2"/>
    <w:rsid w:val="00DA30FF"/>
    <w:rsid w:val="00DA357E"/>
    <w:rsid w:val="00DA36A0"/>
    <w:rsid w:val="00DA3991"/>
    <w:rsid w:val="00DA4F86"/>
    <w:rsid w:val="00DA5C08"/>
    <w:rsid w:val="00DA5C0B"/>
    <w:rsid w:val="00DA6102"/>
    <w:rsid w:val="00DA6189"/>
    <w:rsid w:val="00DA7382"/>
    <w:rsid w:val="00DA76C5"/>
    <w:rsid w:val="00DA7E64"/>
    <w:rsid w:val="00DB0146"/>
    <w:rsid w:val="00DB061D"/>
    <w:rsid w:val="00DB0B53"/>
    <w:rsid w:val="00DB1230"/>
    <w:rsid w:val="00DB18FA"/>
    <w:rsid w:val="00DB27A5"/>
    <w:rsid w:val="00DB314C"/>
    <w:rsid w:val="00DB3CBC"/>
    <w:rsid w:val="00DB4AE9"/>
    <w:rsid w:val="00DB69C4"/>
    <w:rsid w:val="00DB7AD4"/>
    <w:rsid w:val="00DB7BA5"/>
    <w:rsid w:val="00DB7D1A"/>
    <w:rsid w:val="00DB7E6C"/>
    <w:rsid w:val="00DC016E"/>
    <w:rsid w:val="00DC1914"/>
    <w:rsid w:val="00DC1997"/>
    <w:rsid w:val="00DC3043"/>
    <w:rsid w:val="00DC346B"/>
    <w:rsid w:val="00DC3E0C"/>
    <w:rsid w:val="00DC3ECF"/>
    <w:rsid w:val="00DC5646"/>
    <w:rsid w:val="00DC77C7"/>
    <w:rsid w:val="00DC78BF"/>
    <w:rsid w:val="00DC7E9D"/>
    <w:rsid w:val="00DD083F"/>
    <w:rsid w:val="00DD0BF5"/>
    <w:rsid w:val="00DD0DE2"/>
    <w:rsid w:val="00DD1523"/>
    <w:rsid w:val="00DD1BC0"/>
    <w:rsid w:val="00DD1C99"/>
    <w:rsid w:val="00DD1E4D"/>
    <w:rsid w:val="00DD20E5"/>
    <w:rsid w:val="00DD2215"/>
    <w:rsid w:val="00DD22F3"/>
    <w:rsid w:val="00DD25CB"/>
    <w:rsid w:val="00DD3C54"/>
    <w:rsid w:val="00DD5134"/>
    <w:rsid w:val="00DD52A0"/>
    <w:rsid w:val="00DD5A29"/>
    <w:rsid w:val="00DD5D9D"/>
    <w:rsid w:val="00DD67F3"/>
    <w:rsid w:val="00DD69B4"/>
    <w:rsid w:val="00DD7099"/>
    <w:rsid w:val="00DD76C1"/>
    <w:rsid w:val="00DD7D0D"/>
    <w:rsid w:val="00DD7F38"/>
    <w:rsid w:val="00DE0205"/>
    <w:rsid w:val="00DE0EEE"/>
    <w:rsid w:val="00DE1181"/>
    <w:rsid w:val="00DE16F0"/>
    <w:rsid w:val="00DE2CB1"/>
    <w:rsid w:val="00DE31E2"/>
    <w:rsid w:val="00DE35CB"/>
    <w:rsid w:val="00DE36C1"/>
    <w:rsid w:val="00DE46BF"/>
    <w:rsid w:val="00DE4993"/>
    <w:rsid w:val="00DE5192"/>
    <w:rsid w:val="00DE54F4"/>
    <w:rsid w:val="00DE554D"/>
    <w:rsid w:val="00DE62AD"/>
    <w:rsid w:val="00DE6E64"/>
    <w:rsid w:val="00DE7310"/>
    <w:rsid w:val="00DE74F2"/>
    <w:rsid w:val="00DE7859"/>
    <w:rsid w:val="00DF0668"/>
    <w:rsid w:val="00DF0821"/>
    <w:rsid w:val="00DF0D17"/>
    <w:rsid w:val="00DF16B2"/>
    <w:rsid w:val="00DF193C"/>
    <w:rsid w:val="00DF1B29"/>
    <w:rsid w:val="00DF1F3B"/>
    <w:rsid w:val="00DF2097"/>
    <w:rsid w:val="00DF21E9"/>
    <w:rsid w:val="00DF25C3"/>
    <w:rsid w:val="00DF2853"/>
    <w:rsid w:val="00DF2A0F"/>
    <w:rsid w:val="00DF2B34"/>
    <w:rsid w:val="00DF3AF8"/>
    <w:rsid w:val="00DF4E7B"/>
    <w:rsid w:val="00DF5FE2"/>
    <w:rsid w:val="00DF642A"/>
    <w:rsid w:val="00DF7441"/>
    <w:rsid w:val="00E00D1D"/>
    <w:rsid w:val="00E00F14"/>
    <w:rsid w:val="00E01697"/>
    <w:rsid w:val="00E0260F"/>
    <w:rsid w:val="00E0386E"/>
    <w:rsid w:val="00E046D6"/>
    <w:rsid w:val="00E049D3"/>
    <w:rsid w:val="00E04BDA"/>
    <w:rsid w:val="00E04C46"/>
    <w:rsid w:val="00E04FB6"/>
    <w:rsid w:val="00E054E7"/>
    <w:rsid w:val="00E05C02"/>
    <w:rsid w:val="00E06386"/>
    <w:rsid w:val="00E07625"/>
    <w:rsid w:val="00E0797F"/>
    <w:rsid w:val="00E1013A"/>
    <w:rsid w:val="00E11739"/>
    <w:rsid w:val="00E11A31"/>
    <w:rsid w:val="00E11CD9"/>
    <w:rsid w:val="00E12A02"/>
    <w:rsid w:val="00E12EEE"/>
    <w:rsid w:val="00E12F91"/>
    <w:rsid w:val="00E131B2"/>
    <w:rsid w:val="00E132B5"/>
    <w:rsid w:val="00E13464"/>
    <w:rsid w:val="00E145C4"/>
    <w:rsid w:val="00E154EB"/>
    <w:rsid w:val="00E15A42"/>
    <w:rsid w:val="00E15EEF"/>
    <w:rsid w:val="00E16701"/>
    <w:rsid w:val="00E169BB"/>
    <w:rsid w:val="00E175D7"/>
    <w:rsid w:val="00E17A95"/>
    <w:rsid w:val="00E17E7D"/>
    <w:rsid w:val="00E217BF"/>
    <w:rsid w:val="00E2368E"/>
    <w:rsid w:val="00E23A10"/>
    <w:rsid w:val="00E23E28"/>
    <w:rsid w:val="00E2490A"/>
    <w:rsid w:val="00E24EB4"/>
    <w:rsid w:val="00E24F0F"/>
    <w:rsid w:val="00E250A7"/>
    <w:rsid w:val="00E25195"/>
    <w:rsid w:val="00E2550D"/>
    <w:rsid w:val="00E25B39"/>
    <w:rsid w:val="00E25D86"/>
    <w:rsid w:val="00E26085"/>
    <w:rsid w:val="00E26274"/>
    <w:rsid w:val="00E265E0"/>
    <w:rsid w:val="00E26B0D"/>
    <w:rsid w:val="00E26D28"/>
    <w:rsid w:val="00E26D55"/>
    <w:rsid w:val="00E277C2"/>
    <w:rsid w:val="00E27A40"/>
    <w:rsid w:val="00E27B34"/>
    <w:rsid w:val="00E27B59"/>
    <w:rsid w:val="00E31751"/>
    <w:rsid w:val="00E31787"/>
    <w:rsid w:val="00E320ED"/>
    <w:rsid w:val="00E32BBD"/>
    <w:rsid w:val="00E33AFB"/>
    <w:rsid w:val="00E33E50"/>
    <w:rsid w:val="00E33F0A"/>
    <w:rsid w:val="00E34218"/>
    <w:rsid w:val="00E345D9"/>
    <w:rsid w:val="00E34EB0"/>
    <w:rsid w:val="00E353B4"/>
    <w:rsid w:val="00E35809"/>
    <w:rsid w:val="00E35D7A"/>
    <w:rsid w:val="00E3705B"/>
    <w:rsid w:val="00E371DF"/>
    <w:rsid w:val="00E373DA"/>
    <w:rsid w:val="00E378BC"/>
    <w:rsid w:val="00E404D0"/>
    <w:rsid w:val="00E40570"/>
    <w:rsid w:val="00E409A6"/>
    <w:rsid w:val="00E40AC6"/>
    <w:rsid w:val="00E412AC"/>
    <w:rsid w:val="00E413B1"/>
    <w:rsid w:val="00E41A5D"/>
    <w:rsid w:val="00E41A84"/>
    <w:rsid w:val="00E425FA"/>
    <w:rsid w:val="00E42E45"/>
    <w:rsid w:val="00E42F33"/>
    <w:rsid w:val="00E4318A"/>
    <w:rsid w:val="00E435F7"/>
    <w:rsid w:val="00E437A7"/>
    <w:rsid w:val="00E43CE8"/>
    <w:rsid w:val="00E44782"/>
    <w:rsid w:val="00E447B5"/>
    <w:rsid w:val="00E453E7"/>
    <w:rsid w:val="00E4571D"/>
    <w:rsid w:val="00E46282"/>
    <w:rsid w:val="00E463D5"/>
    <w:rsid w:val="00E46742"/>
    <w:rsid w:val="00E47A6B"/>
    <w:rsid w:val="00E47D95"/>
    <w:rsid w:val="00E50029"/>
    <w:rsid w:val="00E5166F"/>
    <w:rsid w:val="00E51AA2"/>
    <w:rsid w:val="00E5216E"/>
    <w:rsid w:val="00E52B0D"/>
    <w:rsid w:val="00E52EE2"/>
    <w:rsid w:val="00E532B3"/>
    <w:rsid w:val="00E53A11"/>
    <w:rsid w:val="00E53BB5"/>
    <w:rsid w:val="00E53E91"/>
    <w:rsid w:val="00E550FB"/>
    <w:rsid w:val="00E5517F"/>
    <w:rsid w:val="00E5575D"/>
    <w:rsid w:val="00E55972"/>
    <w:rsid w:val="00E55B09"/>
    <w:rsid w:val="00E56137"/>
    <w:rsid w:val="00E5655E"/>
    <w:rsid w:val="00E570D7"/>
    <w:rsid w:val="00E576D4"/>
    <w:rsid w:val="00E606FD"/>
    <w:rsid w:val="00E61382"/>
    <w:rsid w:val="00E62318"/>
    <w:rsid w:val="00E62666"/>
    <w:rsid w:val="00E63053"/>
    <w:rsid w:val="00E64740"/>
    <w:rsid w:val="00E6479E"/>
    <w:rsid w:val="00E64B7A"/>
    <w:rsid w:val="00E65175"/>
    <w:rsid w:val="00E65770"/>
    <w:rsid w:val="00E658BD"/>
    <w:rsid w:val="00E65FDC"/>
    <w:rsid w:val="00E66A18"/>
    <w:rsid w:val="00E66B1C"/>
    <w:rsid w:val="00E671F8"/>
    <w:rsid w:val="00E67282"/>
    <w:rsid w:val="00E6737A"/>
    <w:rsid w:val="00E70039"/>
    <w:rsid w:val="00E70162"/>
    <w:rsid w:val="00E704C1"/>
    <w:rsid w:val="00E70C0E"/>
    <w:rsid w:val="00E73008"/>
    <w:rsid w:val="00E7302B"/>
    <w:rsid w:val="00E73F59"/>
    <w:rsid w:val="00E7468A"/>
    <w:rsid w:val="00E75048"/>
    <w:rsid w:val="00E75373"/>
    <w:rsid w:val="00E75F5B"/>
    <w:rsid w:val="00E76431"/>
    <w:rsid w:val="00E768FC"/>
    <w:rsid w:val="00E77118"/>
    <w:rsid w:val="00E771AD"/>
    <w:rsid w:val="00E8028B"/>
    <w:rsid w:val="00E80924"/>
    <w:rsid w:val="00E812FE"/>
    <w:rsid w:val="00E81E54"/>
    <w:rsid w:val="00E82344"/>
    <w:rsid w:val="00E82A14"/>
    <w:rsid w:val="00E82F02"/>
    <w:rsid w:val="00E834C0"/>
    <w:rsid w:val="00E836C5"/>
    <w:rsid w:val="00E83CF6"/>
    <w:rsid w:val="00E83D27"/>
    <w:rsid w:val="00E83FB3"/>
    <w:rsid w:val="00E840C7"/>
    <w:rsid w:val="00E846EB"/>
    <w:rsid w:val="00E84A56"/>
    <w:rsid w:val="00E84C82"/>
    <w:rsid w:val="00E84D64"/>
    <w:rsid w:val="00E85EE9"/>
    <w:rsid w:val="00E867D4"/>
    <w:rsid w:val="00E87408"/>
    <w:rsid w:val="00E903CB"/>
    <w:rsid w:val="00E914C4"/>
    <w:rsid w:val="00E91B5D"/>
    <w:rsid w:val="00E91B91"/>
    <w:rsid w:val="00E91FD6"/>
    <w:rsid w:val="00E920D2"/>
    <w:rsid w:val="00E924D7"/>
    <w:rsid w:val="00E92A7E"/>
    <w:rsid w:val="00E92E0C"/>
    <w:rsid w:val="00E934F5"/>
    <w:rsid w:val="00E955EB"/>
    <w:rsid w:val="00E95CE7"/>
    <w:rsid w:val="00E968BE"/>
    <w:rsid w:val="00E96961"/>
    <w:rsid w:val="00E9756B"/>
    <w:rsid w:val="00E97AD3"/>
    <w:rsid w:val="00E97CEA"/>
    <w:rsid w:val="00EA05F3"/>
    <w:rsid w:val="00EA0C1F"/>
    <w:rsid w:val="00EA0FCF"/>
    <w:rsid w:val="00EA0FED"/>
    <w:rsid w:val="00EA153C"/>
    <w:rsid w:val="00EA170E"/>
    <w:rsid w:val="00EA1820"/>
    <w:rsid w:val="00EA18AA"/>
    <w:rsid w:val="00EA19D5"/>
    <w:rsid w:val="00EA1C47"/>
    <w:rsid w:val="00EA357C"/>
    <w:rsid w:val="00EA3F21"/>
    <w:rsid w:val="00EA4B99"/>
    <w:rsid w:val="00EA6978"/>
    <w:rsid w:val="00EA72EC"/>
    <w:rsid w:val="00EA7C82"/>
    <w:rsid w:val="00EB008D"/>
    <w:rsid w:val="00EB011E"/>
    <w:rsid w:val="00EB02E0"/>
    <w:rsid w:val="00EB0A82"/>
    <w:rsid w:val="00EB11CB"/>
    <w:rsid w:val="00EB12AE"/>
    <w:rsid w:val="00EB2288"/>
    <w:rsid w:val="00EB275A"/>
    <w:rsid w:val="00EB3E01"/>
    <w:rsid w:val="00EB3F70"/>
    <w:rsid w:val="00EB4277"/>
    <w:rsid w:val="00EB4C1B"/>
    <w:rsid w:val="00EB4CD2"/>
    <w:rsid w:val="00EB4D46"/>
    <w:rsid w:val="00EB4DCA"/>
    <w:rsid w:val="00EB5596"/>
    <w:rsid w:val="00EB6E57"/>
    <w:rsid w:val="00EB786A"/>
    <w:rsid w:val="00EC00E6"/>
    <w:rsid w:val="00EC132E"/>
    <w:rsid w:val="00EC1578"/>
    <w:rsid w:val="00EC17C1"/>
    <w:rsid w:val="00EC1989"/>
    <w:rsid w:val="00EC1C72"/>
    <w:rsid w:val="00EC232D"/>
    <w:rsid w:val="00EC2437"/>
    <w:rsid w:val="00EC2D0C"/>
    <w:rsid w:val="00EC31BC"/>
    <w:rsid w:val="00EC3667"/>
    <w:rsid w:val="00EC3CC9"/>
    <w:rsid w:val="00EC474D"/>
    <w:rsid w:val="00EC56ED"/>
    <w:rsid w:val="00EC5890"/>
    <w:rsid w:val="00EC5D05"/>
    <w:rsid w:val="00EC680A"/>
    <w:rsid w:val="00EC7195"/>
    <w:rsid w:val="00EC7641"/>
    <w:rsid w:val="00EC792B"/>
    <w:rsid w:val="00EC7966"/>
    <w:rsid w:val="00ED0035"/>
    <w:rsid w:val="00ED0178"/>
    <w:rsid w:val="00ED038E"/>
    <w:rsid w:val="00ED0787"/>
    <w:rsid w:val="00ED10D6"/>
    <w:rsid w:val="00ED129A"/>
    <w:rsid w:val="00ED15C2"/>
    <w:rsid w:val="00ED15E5"/>
    <w:rsid w:val="00ED193A"/>
    <w:rsid w:val="00ED1A25"/>
    <w:rsid w:val="00ED1B55"/>
    <w:rsid w:val="00ED1BA2"/>
    <w:rsid w:val="00ED38DC"/>
    <w:rsid w:val="00ED44A8"/>
    <w:rsid w:val="00ED470D"/>
    <w:rsid w:val="00ED4F89"/>
    <w:rsid w:val="00ED4FAF"/>
    <w:rsid w:val="00ED56E5"/>
    <w:rsid w:val="00ED56FB"/>
    <w:rsid w:val="00ED6FD8"/>
    <w:rsid w:val="00ED7480"/>
    <w:rsid w:val="00ED7F26"/>
    <w:rsid w:val="00EE1771"/>
    <w:rsid w:val="00EE1978"/>
    <w:rsid w:val="00EE1999"/>
    <w:rsid w:val="00EE2297"/>
    <w:rsid w:val="00EE2BED"/>
    <w:rsid w:val="00EE2E75"/>
    <w:rsid w:val="00EE2F13"/>
    <w:rsid w:val="00EE36FA"/>
    <w:rsid w:val="00EE374B"/>
    <w:rsid w:val="00EE3B63"/>
    <w:rsid w:val="00EE3E55"/>
    <w:rsid w:val="00EE6164"/>
    <w:rsid w:val="00EE6946"/>
    <w:rsid w:val="00EE6A1C"/>
    <w:rsid w:val="00EE6CE3"/>
    <w:rsid w:val="00EE7BF0"/>
    <w:rsid w:val="00EE7D9B"/>
    <w:rsid w:val="00EE7E81"/>
    <w:rsid w:val="00EF0BE6"/>
    <w:rsid w:val="00EF227C"/>
    <w:rsid w:val="00EF35FE"/>
    <w:rsid w:val="00EF75AB"/>
    <w:rsid w:val="00F00195"/>
    <w:rsid w:val="00F00FA8"/>
    <w:rsid w:val="00F01619"/>
    <w:rsid w:val="00F01723"/>
    <w:rsid w:val="00F0173F"/>
    <w:rsid w:val="00F01B3E"/>
    <w:rsid w:val="00F02229"/>
    <w:rsid w:val="00F022EE"/>
    <w:rsid w:val="00F02583"/>
    <w:rsid w:val="00F02BFC"/>
    <w:rsid w:val="00F02EBA"/>
    <w:rsid w:val="00F03A01"/>
    <w:rsid w:val="00F048D3"/>
    <w:rsid w:val="00F061E4"/>
    <w:rsid w:val="00F0647A"/>
    <w:rsid w:val="00F07DD4"/>
    <w:rsid w:val="00F07E85"/>
    <w:rsid w:val="00F07EAC"/>
    <w:rsid w:val="00F10A54"/>
    <w:rsid w:val="00F11BB5"/>
    <w:rsid w:val="00F11BD3"/>
    <w:rsid w:val="00F11C93"/>
    <w:rsid w:val="00F1202F"/>
    <w:rsid w:val="00F12DCF"/>
    <w:rsid w:val="00F1338E"/>
    <w:rsid w:val="00F13580"/>
    <w:rsid w:val="00F137EF"/>
    <w:rsid w:val="00F13A72"/>
    <w:rsid w:val="00F13AC6"/>
    <w:rsid w:val="00F13C73"/>
    <w:rsid w:val="00F1417B"/>
    <w:rsid w:val="00F14312"/>
    <w:rsid w:val="00F144F9"/>
    <w:rsid w:val="00F15257"/>
    <w:rsid w:val="00F16619"/>
    <w:rsid w:val="00F17C93"/>
    <w:rsid w:val="00F17F15"/>
    <w:rsid w:val="00F200D8"/>
    <w:rsid w:val="00F2032F"/>
    <w:rsid w:val="00F207FD"/>
    <w:rsid w:val="00F20A4A"/>
    <w:rsid w:val="00F20CCA"/>
    <w:rsid w:val="00F20D33"/>
    <w:rsid w:val="00F222ED"/>
    <w:rsid w:val="00F23B65"/>
    <w:rsid w:val="00F240E7"/>
    <w:rsid w:val="00F24D6D"/>
    <w:rsid w:val="00F255F1"/>
    <w:rsid w:val="00F25B17"/>
    <w:rsid w:val="00F25E55"/>
    <w:rsid w:val="00F25E9C"/>
    <w:rsid w:val="00F26125"/>
    <w:rsid w:val="00F26308"/>
    <w:rsid w:val="00F275DF"/>
    <w:rsid w:val="00F27A1E"/>
    <w:rsid w:val="00F27C8B"/>
    <w:rsid w:val="00F27D74"/>
    <w:rsid w:val="00F30244"/>
    <w:rsid w:val="00F30425"/>
    <w:rsid w:val="00F31215"/>
    <w:rsid w:val="00F31762"/>
    <w:rsid w:val="00F320FA"/>
    <w:rsid w:val="00F3214A"/>
    <w:rsid w:val="00F32AB6"/>
    <w:rsid w:val="00F332D3"/>
    <w:rsid w:val="00F33F62"/>
    <w:rsid w:val="00F33FC6"/>
    <w:rsid w:val="00F34B99"/>
    <w:rsid w:val="00F3549A"/>
    <w:rsid w:val="00F35644"/>
    <w:rsid w:val="00F35AA3"/>
    <w:rsid w:val="00F35E10"/>
    <w:rsid w:val="00F35E9C"/>
    <w:rsid w:val="00F40264"/>
    <w:rsid w:val="00F40804"/>
    <w:rsid w:val="00F416B5"/>
    <w:rsid w:val="00F41D33"/>
    <w:rsid w:val="00F43088"/>
    <w:rsid w:val="00F44116"/>
    <w:rsid w:val="00F4457D"/>
    <w:rsid w:val="00F45851"/>
    <w:rsid w:val="00F45E8B"/>
    <w:rsid w:val="00F466D4"/>
    <w:rsid w:val="00F47D96"/>
    <w:rsid w:val="00F50DF3"/>
    <w:rsid w:val="00F51AE1"/>
    <w:rsid w:val="00F51EDA"/>
    <w:rsid w:val="00F5214A"/>
    <w:rsid w:val="00F52731"/>
    <w:rsid w:val="00F52CE3"/>
    <w:rsid w:val="00F52DAB"/>
    <w:rsid w:val="00F53536"/>
    <w:rsid w:val="00F543F0"/>
    <w:rsid w:val="00F5559F"/>
    <w:rsid w:val="00F56369"/>
    <w:rsid w:val="00F56395"/>
    <w:rsid w:val="00F569A4"/>
    <w:rsid w:val="00F56B7B"/>
    <w:rsid w:val="00F57A44"/>
    <w:rsid w:val="00F57D00"/>
    <w:rsid w:val="00F57E19"/>
    <w:rsid w:val="00F600D2"/>
    <w:rsid w:val="00F60775"/>
    <w:rsid w:val="00F607A1"/>
    <w:rsid w:val="00F61FF5"/>
    <w:rsid w:val="00F621D4"/>
    <w:rsid w:val="00F634C7"/>
    <w:rsid w:val="00F63CCA"/>
    <w:rsid w:val="00F641A0"/>
    <w:rsid w:val="00F64232"/>
    <w:rsid w:val="00F64C91"/>
    <w:rsid w:val="00F67333"/>
    <w:rsid w:val="00F67977"/>
    <w:rsid w:val="00F67D67"/>
    <w:rsid w:val="00F703EE"/>
    <w:rsid w:val="00F70CB3"/>
    <w:rsid w:val="00F71172"/>
    <w:rsid w:val="00F7168F"/>
    <w:rsid w:val="00F718C0"/>
    <w:rsid w:val="00F71A22"/>
    <w:rsid w:val="00F72843"/>
    <w:rsid w:val="00F7284B"/>
    <w:rsid w:val="00F731CF"/>
    <w:rsid w:val="00F738C0"/>
    <w:rsid w:val="00F73C05"/>
    <w:rsid w:val="00F743CF"/>
    <w:rsid w:val="00F74D44"/>
    <w:rsid w:val="00F74E8E"/>
    <w:rsid w:val="00F761C1"/>
    <w:rsid w:val="00F761CF"/>
    <w:rsid w:val="00F776A3"/>
    <w:rsid w:val="00F80472"/>
    <w:rsid w:val="00F806D9"/>
    <w:rsid w:val="00F811B9"/>
    <w:rsid w:val="00F81981"/>
    <w:rsid w:val="00F81D29"/>
    <w:rsid w:val="00F81EA0"/>
    <w:rsid w:val="00F822AC"/>
    <w:rsid w:val="00F82435"/>
    <w:rsid w:val="00F82875"/>
    <w:rsid w:val="00F8288A"/>
    <w:rsid w:val="00F835AA"/>
    <w:rsid w:val="00F83617"/>
    <w:rsid w:val="00F836EF"/>
    <w:rsid w:val="00F83BF6"/>
    <w:rsid w:val="00F84787"/>
    <w:rsid w:val="00F85D09"/>
    <w:rsid w:val="00F86A4F"/>
    <w:rsid w:val="00F86C60"/>
    <w:rsid w:val="00F870A4"/>
    <w:rsid w:val="00F875F8"/>
    <w:rsid w:val="00F879FD"/>
    <w:rsid w:val="00F905E1"/>
    <w:rsid w:val="00F91C4D"/>
    <w:rsid w:val="00F92A2D"/>
    <w:rsid w:val="00F92EB8"/>
    <w:rsid w:val="00F92FD9"/>
    <w:rsid w:val="00F9350D"/>
    <w:rsid w:val="00F946CE"/>
    <w:rsid w:val="00F95342"/>
    <w:rsid w:val="00F95738"/>
    <w:rsid w:val="00F959B1"/>
    <w:rsid w:val="00F9678E"/>
    <w:rsid w:val="00F96B82"/>
    <w:rsid w:val="00F97B7A"/>
    <w:rsid w:val="00FA0AB8"/>
    <w:rsid w:val="00FA1287"/>
    <w:rsid w:val="00FA1773"/>
    <w:rsid w:val="00FA1B61"/>
    <w:rsid w:val="00FA1BA4"/>
    <w:rsid w:val="00FA1EB5"/>
    <w:rsid w:val="00FA34A2"/>
    <w:rsid w:val="00FA353D"/>
    <w:rsid w:val="00FA41AD"/>
    <w:rsid w:val="00FA4A45"/>
    <w:rsid w:val="00FA4FC1"/>
    <w:rsid w:val="00FA501C"/>
    <w:rsid w:val="00FA58C4"/>
    <w:rsid w:val="00FA5962"/>
    <w:rsid w:val="00FA59F6"/>
    <w:rsid w:val="00FA5AB4"/>
    <w:rsid w:val="00FA5C08"/>
    <w:rsid w:val="00FA5CC7"/>
    <w:rsid w:val="00FA628E"/>
    <w:rsid w:val="00FA6556"/>
    <w:rsid w:val="00FA6684"/>
    <w:rsid w:val="00FA7011"/>
    <w:rsid w:val="00FA731E"/>
    <w:rsid w:val="00FA78F3"/>
    <w:rsid w:val="00FB0A59"/>
    <w:rsid w:val="00FB129A"/>
    <w:rsid w:val="00FB1A98"/>
    <w:rsid w:val="00FB1BB4"/>
    <w:rsid w:val="00FB1CCE"/>
    <w:rsid w:val="00FB2B38"/>
    <w:rsid w:val="00FB311B"/>
    <w:rsid w:val="00FB37FE"/>
    <w:rsid w:val="00FB3B0A"/>
    <w:rsid w:val="00FB450E"/>
    <w:rsid w:val="00FB4FDA"/>
    <w:rsid w:val="00FB58C3"/>
    <w:rsid w:val="00FB5A64"/>
    <w:rsid w:val="00FB5C36"/>
    <w:rsid w:val="00FB5CFB"/>
    <w:rsid w:val="00FB5D52"/>
    <w:rsid w:val="00FB5DE3"/>
    <w:rsid w:val="00FB7CE4"/>
    <w:rsid w:val="00FC14ED"/>
    <w:rsid w:val="00FC2E40"/>
    <w:rsid w:val="00FC4652"/>
    <w:rsid w:val="00FC494A"/>
    <w:rsid w:val="00FC5003"/>
    <w:rsid w:val="00FC5C8E"/>
    <w:rsid w:val="00FC6358"/>
    <w:rsid w:val="00FC7750"/>
    <w:rsid w:val="00FC7D95"/>
    <w:rsid w:val="00FC7FBA"/>
    <w:rsid w:val="00FD0B61"/>
    <w:rsid w:val="00FD1412"/>
    <w:rsid w:val="00FD1ED9"/>
    <w:rsid w:val="00FD2DF5"/>
    <w:rsid w:val="00FD2F45"/>
    <w:rsid w:val="00FD320D"/>
    <w:rsid w:val="00FD37B5"/>
    <w:rsid w:val="00FD3FB2"/>
    <w:rsid w:val="00FD4378"/>
    <w:rsid w:val="00FD45CD"/>
    <w:rsid w:val="00FD4A02"/>
    <w:rsid w:val="00FD5171"/>
    <w:rsid w:val="00FD57FF"/>
    <w:rsid w:val="00FD6F5C"/>
    <w:rsid w:val="00FD7EF5"/>
    <w:rsid w:val="00FE0281"/>
    <w:rsid w:val="00FE1DF1"/>
    <w:rsid w:val="00FE23DE"/>
    <w:rsid w:val="00FE299C"/>
    <w:rsid w:val="00FE29FB"/>
    <w:rsid w:val="00FE393F"/>
    <w:rsid w:val="00FE68A5"/>
    <w:rsid w:val="00FE68D1"/>
    <w:rsid w:val="00FE7B0E"/>
    <w:rsid w:val="00FE7F0E"/>
    <w:rsid w:val="00FF039D"/>
    <w:rsid w:val="00FF0493"/>
    <w:rsid w:val="00FF0EAA"/>
    <w:rsid w:val="00FF37EA"/>
    <w:rsid w:val="00FF3FB3"/>
    <w:rsid w:val="00FF4EAA"/>
    <w:rsid w:val="00FF5332"/>
    <w:rsid w:val="00FF5391"/>
    <w:rsid w:val="07AA7F27"/>
    <w:rsid w:val="096E6BD7"/>
    <w:rsid w:val="0C297DFA"/>
    <w:rsid w:val="124D41B3"/>
    <w:rsid w:val="137413DB"/>
    <w:rsid w:val="25F27417"/>
    <w:rsid w:val="278464DF"/>
    <w:rsid w:val="28666C3A"/>
    <w:rsid w:val="2B4F46CE"/>
    <w:rsid w:val="2EC241FA"/>
    <w:rsid w:val="366F3292"/>
    <w:rsid w:val="3B2376B1"/>
    <w:rsid w:val="3D170DEA"/>
    <w:rsid w:val="3DCD46FD"/>
    <w:rsid w:val="55302C6D"/>
    <w:rsid w:val="56EA7B13"/>
    <w:rsid w:val="56F05B65"/>
    <w:rsid w:val="56FD3FC2"/>
    <w:rsid w:val="58B227DD"/>
    <w:rsid w:val="59A136D4"/>
    <w:rsid w:val="5CA45DB1"/>
    <w:rsid w:val="5D581723"/>
    <w:rsid w:val="70DF5704"/>
    <w:rsid w:val="71681909"/>
    <w:rsid w:val="7256105A"/>
    <w:rsid w:val="73885714"/>
    <w:rsid w:val="740F6CB6"/>
    <w:rsid w:val="7BAC30F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4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99" w:name="Balloon Text"/>
    <w:lsdException w:qFormat="1"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99"/>
    <w:pPr>
      <w:tabs>
        <w:tab w:val="right" w:leader="dot" w:pos="9241"/>
      </w:tabs>
      <w:ind w:firstLine="505" w:firstLineChars="500"/>
      <w:jc w:val="left"/>
    </w:pPr>
    <w:rPr>
      <w:rFonts w:ascii="宋体" w:cs="宋体"/>
    </w:rPr>
  </w:style>
  <w:style w:type="paragraph" w:styleId="3">
    <w:name w:val="index 8"/>
    <w:basedOn w:val="1"/>
    <w:next w:val="1"/>
    <w:semiHidden/>
    <w:qFormat/>
    <w:uiPriority w:val="99"/>
    <w:pPr>
      <w:ind w:left="1680" w:hanging="210"/>
      <w:jc w:val="left"/>
    </w:pPr>
    <w:rPr>
      <w:rFonts w:ascii="Calibri" w:hAnsi="Calibri" w:cs="Calibri"/>
      <w:sz w:val="20"/>
      <w:szCs w:val="20"/>
    </w:rPr>
  </w:style>
  <w:style w:type="paragraph" w:styleId="4">
    <w:name w:val="caption"/>
    <w:basedOn w:val="1"/>
    <w:next w:val="1"/>
    <w:qFormat/>
    <w:uiPriority w:val="99"/>
    <w:pPr>
      <w:spacing w:before="152" w:after="160"/>
    </w:pPr>
    <w:rPr>
      <w:rFonts w:ascii="Arial" w:hAnsi="Arial" w:eastAsia="黑体" w:cs="Arial"/>
      <w:sz w:val="20"/>
      <w:szCs w:val="20"/>
    </w:rPr>
  </w:style>
  <w:style w:type="paragraph" w:styleId="5">
    <w:name w:val="index 5"/>
    <w:basedOn w:val="1"/>
    <w:next w:val="1"/>
    <w:semiHidden/>
    <w:qFormat/>
    <w:uiPriority w:val="99"/>
    <w:pPr>
      <w:ind w:left="1050" w:hanging="210"/>
      <w:jc w:val="left"/>
    </w:pPr>
    <w:rPr>
      <w:rFonts w:ascii="Calibri" w:hAnsi="Calibri" w:cs="Calibri"/>
      <w:sz w:val="20"/>
      <w:szCs w:val="20"/>
    </w:rPr>
  </w:style>
  <w:style w:type="paragraph" w:styleId="6">
    <w:name w:val="Document Map"/>
    <w:basedOn w:val="1"/>
    <w:link w:val="124"/>
    <w:semiHidden/>
    <w:qFormat/>
    <w:uiPriority w:val="99"/>
    <w:pPr>
      <w:shd w:val="clear" w:color="auto" w:fill="000080"/>
    </w:pPr>
  </w:style>
  <w:style w:type="paragraph" w:styleId="7">
    <w:name w:val="annotation text"/>
    <w:basedOn w:val="1"/>
    <w:semiHidden/>
    <w:unhideWhenUsed/>
    <w:uiPriority w:val="99"/>
    <w:pPr>
      <w:jc w:val="left"/>
    </w:pPr>
  </w:style>
  <w:style w:type="paragraph" w:styleId="8">
    <w:name w:val="index 6"/>
    <w:basedOn w:val="1"/>
    <w:next w:val="1"/>
    <w:semiHidden/>
    <w:qFormat/>
    <w:uiPriority w:val="99"/>
    <w:pPr>
      <w:ind w:left="1260" w:hanging="210"/>
      <w:jc w:val="left"/>
    </w:pPr>
    <w:rPr>
      <w:rFonts w:ascii="Calibri" w:hAnsi="Calibri" w:cs="Calibri"/>
      <w:sz w:val="20"/>
      <w:szCs w:val="20"/>
    </w:rPr>
  </w:style>
  <w:style w:type="paragraph" w:styleId="9">
    <w:name w:val="index 4"/>
    <w:basedOn w:val="1"/>
    <w:next w:val="1"/>
    <w:semiHidden/>
    <w:qFormat/>
    <w:uiPriority w:val="99"/>
    <w:pPr>
      <w:ind w:left="840" w:hanging="210"/>
      <w:jc w:val="left"/>
    </w:pPr>
    <w:rPr>
      <w:rFonts w:ascii="Calibri" w:hAnsi="Calibri" w:cs="Calibri"/>
      <w:sz w:val="20"/>
      <w:szCs w:val="20"/>
    </w:rPr>
  </w:style>
  <w:style w:type="paragraph" w:styleId="10">
    <w:name w:val="toc 5"/>
    <w:basedOn w:val="1"/>
    <w:next w:val="1"/>
    <w:semiHidden/>
    <w:qFormat/>
    <w:uiPriority w:val="99"/>
    <w:pPr>
      <w:tabs>
        <w:tab w:val="right" w:leader="dot" w:pos="9241"/>
      </w:tabs>
      <w:ind w:firstLine="300" w:firstLineChars="300"/>
      <w:jc w:val="left"/>
    </w:pPr>
    <w:rPr>
      <w:rFonts w:ascii="宋体" w:cs="宋体"/>
    </w:rPr>
  </w:style>
  <w:style w:type="paragraph" w:styleId="11">
    <w:name w:val="toc 3"/>
    <w:basedOn w:val="1"/>
    <w:next w:val="1"/>
    <w:semiHidden/>
    <w:qFormat/>
    <w:uiPriority w:val="99"/>
    <w:pPr>
      <w:tabs>
        <w:tab w:val="right" w:leader="dot" w:pos="9241"/>
      </w:tabs>
      <w:ind w:firstLine="102" w:firstLineChars="100"/>
      <w:jc w:val="left"/>
    </w:pPr>
    <w:rPr>
      <w:rFonts w:ascii="宋体" w:cs="宋体"/>
    </w:rPr>
  </w:style>
  <w:style w:type="paragraph" w:styleId="12">
    <w:name w:val="toc 8"/>
    <w:basedOn w:val="1"/>
    <w:next w:val="1"/>
    <w:semiHidden/>
    <w:qFormat/>
    <w:uiPriority w:val="99"/>
    <w:pPr>
      <w:tabs>
        <w:tab w:val="right" w:leader="dot" w:pos="9241"/>
      </w:tabs>
      <w:ind w:firstLine="607" w:firstLineChars="600"/>
      <w:jc w:val="left"/>
    </w:pPr>
    <w:rPr>
      <w:rFonts w:ascii="宋体" w:cs="宋体"/>
    </w:rPr>
  </w:style>
  <w:style w:type="paragraph" w:styleId="13">
    <w:name w:val="index 3"/>
    <w:basedOn w:val="1"/>
    <w:next w:val="1"/>
    <w:semiHidden/>
    <w:qFormat/>
    <w:uiPriority w:val="99"/>
    <w:pPr>
      <w:ind w:left="630" w:hanging="210"/>
      <w:jc w:val="left"/>
    </w:pPr>
    <w:rPr>
      <w:rFonts w:ascii="Calibri" w:hAnsi="Calibri" w:cs="Calibri"/>
      <w:sz w:val="20"/>
      <w:szCs w:val="20"/>
    </w:rPr>
  </w:style>
  <w:style w:type="paragraph" w:styleId="14">
    <w:name w:val="endnote text"/>
    <w:basedOn w:val="1"/>
    <w:link w:val="123"/>
    <w:semiHidden/>
    <w:qFormat/>
    <w:uiPriority w:val="99"/>
    <w:pPr>
      <w:snapToGrid w:val="0"/>
      <w:jc w:val="left"/>
    </w:pPr>
  </w:style>
  <w:style w:type="paragraph" w:styleId="15">
    <w:name w:val="Balloon Text"/>
    <w:basedOn w:val="1"/>
    <w:link w:val="140"/>
    <w:semiHidden/>
    <w:qFormat/>
    <w:uiPriority w:val="99"/>
    <w:rPr>
      <w:sz w:val="18"/>
      <w:szCs w:val="18"/>
    </w:rPr>
  </w:style>
  <w:style w:type="paragraph" w:styleId="16">
    <w:name w:val="footer"/>
    <w:basedOn w:val="1"/>
    <w:link w:val="54"/>
    <w:qFormat/>
    <w:uiPriority w:val="99"/>
    <w:pPr>
      <w:snapToGrid w:val="0"/>
      <w:ind w:right="210" w:rightChars="100"/>
      <w:jc w:val="right"/>
    </w:pPr>
    <w:rPr>
      <w:sz w:val="18"/>
      <w:szCs w:val="18"/>
    </w:rPr>
  </w:style>
  <w:style w:type="paragraph" w:styleId="17">
    <w:name w:val="header"/>
    <w:basedOn w:val="1"/>
    <w:link w:val="55"/>
    <w:qFormat/>
    <w:uiPriority w:val="99"/>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cs="宋体"/>
    </w:rPr>
  </w:style>
  <w:style w:type="paragraph" w:styleId="19">
    <w:name w:val="toc 4"/>
    <w:basedOn w:val="1"/>
    <w:next w:val="1"/>
    <w:semiHidden/>
    <w:qFormat/>
    <w:uiPriority w:val="99"/>
    <w:pPr>
      <w:tabs>
        <w:tab w:val="right" w:leader="dot" w:pos="9241"/>
      </w:tabs>
      <w:ind w:firstLine="198" w:firstLineChars="200"/>
      <w:jc w:val="left"/>
    </w:pPr>
    <w:rPr>
      <w:rFonts w:ascii="宋体" w:cs="宋体"/>
    </w:rPr>
  </w:style>
  <w:style w:type="paragraph" w:styleId="20">
    <w:name w:val="index heading"/>
    <w:basedOn w:val="1"/>
    <w:next w:val="21"/>
    <w:semiHidden/>
    <w:qFormat/>
    <w:uiPriority w:val="99"/>
    <w:pPr>
      <w:spacing w:before="120" w:after="120"/>
      <w:jc w:val="center"/>
    </w:pPr>
    <w:rPr>
      <w:rFonts w:ascii="Calibri" w:hAnsi="Calibri" w:cs="Calibri"/>
      <w:b/>
      <w:bCs/>
    </w:rPr>
  </w:style>
  <w:style w:type="paragraph" w:styleId="21">
    <w:name w:val="index 1"/>
    <w:basedOn w:val="1"/>
    <w:next w:val="22"/>
    <w:semiHidden/>
    <w:qFormat/>
    <w:uiPriority w:val="99"/>
    <w:pPr>
      <w:tabs>
        <w:tab w:val="right" w:leader="dot" w:pos="9299"/>
      </w:tabs>
      <w:jc w:val="left"/>
    </w:pPr>
    <w:rPr>
      <w:rFonts w:ascii="宋体" w:cs="宋体"/>
    </w:rPr>
  </w:style>
  <w:style w:type="paragraph" w:customStyle="1" w:styleId="22">
    <w:name w:val="段"/>
    <w:link w:val="38"/>
    <w:qFormat/>
    <w:uiPriority w:val="99"/>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23">
    <w:name w:val="footnote text"/>
    <w:basedOn w:val="1"/>
    <w:link w:val="105"/>
    <w:semiHidden/>
    <w:qFormat/>
    <w:uiPriority w:val="99"/>
    <w:pPr>
      <w:numPr>
        <w:ilvl w:val="0"/>
        <w:numId w:val="1"/>
      </w:numPr>
      <w:snapToGrid w:val="0"/>
      <w:jc w:val="left"/>
    </w:pPr>
    <w:rPr>
      <w:rFonts w:ascii="宋体" w:cs="宋体"/>
      <w:sz w:val="18"/>
      <w:szCs w:val="18"/>
    </w:rPr>
  </w:style>
  <w:style w:type="paragraph" w:styleId="24">
    <w:name w:val="toc 6"/>
    <w:basedOn w:val="1"/>
    <w:next w:val="1"/>
    <w:semiHidden/>
    <w:qFormat/>
    <w:uiPriority w:val="99"/>
    <w:pPr>
      <w:tabs>
        <w:tab w:val="right" w:leader="dot" w:pos="9241"/>
      </w:tabs>
      <w:ind w:firstLine="403" w:firstLineChars="400"/>
      <w:jc w:val="left"/>
    </w:pPr>
    <w:rPr>
      <w:rFonts w:ascii="宋体" w:cs="宋体"/>
    </w:rPr>
  </w:style>
  <w:style w:type="paragraph" w:styleId="25">
    <w:name w:val="index 7"/>
    <w:basedOn w:val="1"/>
    <w:next w:val="1"/>
    <w:semiHidden/>
    <w:qFormat/>
    <w:uiPriority w:val="99"/>
    <w:pPr>
      <w:ind w:left="1470" w:hanging="210"/>
      <w:jc w:val="left"/>
    </w:pPr>
    <w:rPr>
      <w:rFonts w:ascii="Calibri" w:hAnsi="Calibri" w:cs="Calibri"/>
      <w:sz w:val="20"/>
      <w:szCs w:val="20"/>
    </w:rPr>
  </w:style>
  <w:style w:type="paragraph" w:styleId="26">
    <w:name w:val="index 9"/>
    <w:basedOn w:val="1"/>
    <w:next w:val="1"/>
    <w:semiHidden/>
    <w:qFormat/>
    <w:uiPriority w:val="99"/>
    <w:pPr>
      <w:ind w:left="1890" w:hanging="210"/>
      <w:jc w:val="left"/>
    </w:pPr>
    <w:rPr>
      <w:rFonts w:ascii="Calibri" w:hAnsi="Calibri" w:cs="Calibri"/>
      <w:sz w:val="20"/>
      <w:szCs w:val="20"/>
    </w:rPr>
  </w:style>
  <w:style w:type="paragraph" w:styleId="27">
    <w:name w:val="toc 2"/>
    <w:basedOn w:val="1"/>
    <w:next w:val="1"/>
    <w:semiHidden/>
    <w:qFormat/>
    <w:uiPriority w:val="99"/>
    <w:pPr>
      <w:tabs>
        <w:tab w:val="right" w:leader="dot" w:pos="9241"/>
      </w:tabs>
    </w:pPr>
    <w:rPr>
      <w:rFonts w:ascii="宋体" w:cs="宋体"/>
    </w:rPr>
  </w:style>
  <w:style w:type="paragraph" w:styleId="28">
    <w:name w:val="toc 9"/>
    <w:basedOn w:val="1"/>
    <w:next w:val="1"/>
    <w:semiHidden/>
    <w:qFormat/>
    <w:uiPriority w:val="99"/>
    <w:pPr>
      <w:ind w:left="1470"/>
      <w:jc w:val="left"/>
    </w:pPr>
    <w:rPr>
      <w:sz w:val="20"/>
      <w:szCs w:val="20"/>
    </w:rPr>
  </w:style>
  <w:style w:type="paragraph" w:styleId="29">
    <w:name w:val="index 2"/>
    <w:basedOn w:val="1"/>
    <w:next w:val="1"/>
    <w:semiHidden/>
    <w:qFormat/>
    <w:uiPriority w:val="99"/>
    <w:pPr>
      <w:ind w:left="420" w:hanging="210"/>
      <w:jc w:val="left"/>
    </w:pPr>
    <w:rPr>
      <w:rFonts w:ascii="Calibri" w:hAnsi="Calibri" w:cs="Calibri"/>
      <w:sz w:val="20"/>
      <w:szCs w:val="20"/>
    </w:rPr>
  </w:style>
  <w:style w:type="table" w:styleId="31">
    <w:name w:val="Table Grid"/>
    <w:basedOn w:val="30"/>
    <w:qFormat/>
    <w:uiPriority w:val="99"/>
    <w:rPr>
      <w:rFonts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endnote reference"/>
    <w:basedOn w:val="32"/>
    <w:semiHidden/>
    <w:qFormat/>
    <w:uiPriority w:val="99"/>
    <w:rPr>
      <w:vertAlign w:val="superscript"/>
    </w:rPr>
  </w:style>
  <w:style w:type="character" w:styleId="34">
    <w:name w:val="page number"/>
    <w:basedOn w:val="32"/>
    <w:qFormat/>
    <w:uiPriority w:val="99"/>
    <w:rPr>
      <w:rFonts w:ascii="Times New Roman" w:hAnsi="Times New Roman" w:eastAsia="宋体" w:cs="Times New Roman"/>
      <w:sz w:val="18"/>
      <w:szCs w:val="18"/>
    </w:rPr>
  </w:style>
  <w:style w:type="character" w:styleId="35">
    <w:name w:val="FollowedHyperlink"/>
    <w:basedOn w:val="32"/>
    <w:qFormat/>
    <w:uiPriority w:val="99"/>
    <w:rPr>
      <w:color w:val="800080"/>
      <w:u w:val="single"/>
    </w:rPr>
  </w:style>
  <w:style w:type="character" w:styleId="36">
    <w:name w:val="Hyperlink"/>
    <w:basedOn w:val="32"/>
    <w:qFormat/>
    <w:uiPriority w:val="99"/>
    <w:rPr>
      <w:color w:val="0000FF"/>
      <w:spacing w:val="0"/>
      <w:w w:val="100"/>
      <w:sz w:val="21"/>
      <w:szCs w:val="21"/>
      <w:u w:val="single"/>
    </w:rPr>
  </w:style>
  <w:style w:type="character" w:styleId="37">
    <w:name w:val="footnote reference"/>
    <w:basedOn w:val="32"/>
    <w:semiHidden/>
    <w:qFormat/>
    <w:uiPriority w:val="99"/>
    <w:rPr>
      <w:vertAlign w:val="superscript"/>
    </w:rPr>
  </w:style>
  <w:style w:type="character" w:customStyle="1" w:styleId="38">
    <w:name w:val="段 Char"/>
    <w:basedOn w:val="32"/>
    <w:link w:val="22"/>
    <w:qFormat/>
    <w:locked/>
    <w:uiPriority w:val="99"/>
    <w:rPr>
      <w:rFonts w:ascii="宋体" w:cs="宋体"/>
      <w:sz w:val="21"/>
      <w:szCs w:val="21"/>
      <w:lang w:val="en-US" w:eastAsia="zh-CN" w:bidi="ar-SA"/>
    </w:rPr>
  </w:style>
  <w:style w:type="paragraph" w:customStyle="1" w:styleId="39">
    <w:name w:val="一级条标题"/>
    <w:next w:val="22"/>
    <w:qFormat/>
    <w:uiPriority w:val="99"/>
    <w:pPr>
      <w:numPr>
        <w:ilvl w:val="1"/>
        <w:numId w:val="2"/>
      </w:numPr>
      <w:spacing w:beforeLines="50" w:afterLines="50"/>
      <w:outlineLvl w:val="2"/>
    </w:pPr>
    <w:rPr>
      <w:rFonts w:ascii="黑体" w:hAnsi="Times New Roman" w:eastAsia="黑体" w:cs="黑体"/>
      <w:sz w:val="21"/>
      <w:szCs w:val="21"/>
      <w:lang w:val="en-US" w:eastAsia="zh-CN" w:bidi="ar-SA"/>
    </w:rPr>
  </w:style>
  <w:style w:type="paragraph" w:customStyle="1" w:styleId="40">
    <w:name w:val="标准书脚_奇数页"/>
    <w:qFormat/>
    <w:uiPriority w:val="99"/>
    <w:pPr>
      <w:spacing w:before="120"/>
      <w:ind w:right="198"/>
      <w:jc w:val="right"/>
    </w:pPr>
    <w:rPr>
      <w:rFonts w:ascii="宋体" w:hAnsi="Times New Roman" w:eastAsia="宋体" w:cs="宋体"/>
      <w:sz w:val="18"/>
      <w:szCs w:val="18"/>
      <w:lang w:val="en-US" w:eastAsia="zh-CN" w:bidi="ar-SA"/>
    </w:rPr>
  </w:style>
  <w:style w:type="paragraph" w:customStyle="1" w:styleId="41">
    <w:name w:val="标准书眉_奇数页"/>
    <w:next w:val="1"/>
    <w:qFormat/>
    <w:uiPriority w:val="99"/>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42">
    <w:name w:val="章标题"/>
    <w:next w:val="22"/>
    <w:qFormat/>
    <w:uiPriority w:val="99"/>
    <w:pPr>
      <w:numPr>
        <w:ilvl w:val="0"/>
        <w:numId w:val="2"/>
      </w:numPr>
      <w:spacing w:beforeLines="100" w:afterLines="100"/>
      <w:jc w:val="both"/>
      <w:outlineLvl w:val="1"/>
    </w:pPr>
    <w:rPr>
      <w:rFonts w:ascii="黑体" w:hAnsi="Times New Roman" w:eastAsia="黑体" w:cs="黑体"/>
      <w:sz w:val="21"/>
      <w:szCs w:val="21"/>
      <w:lang w:val="en-US" w:eastAsia="zh-CN" w:bidi="ar-SA"/>
    </w:rPr>
  </w:style>
  <w:style w:type="paragraph" w:customStyle="1" w:styleId="43">
    <w:name w:val="二级条标题"/>
    <w:basedOn w:val="39"/>
    <w:next w:val="22"/>
    <w:qFormat/>
    <w:uiPriority w:val="99"/>
    <w:pPr>
      <w:numPr>
        <w:ilvl w:val="2"/>
      </w:numPr>
      <w:spacing w:before="50" w:after="50"/>
      <w:outlineLvl w:val="3"/>
    </w:pPr>
  </w:style>
  <w:style w:type="paragraph" w:customStyle="1" w:styleId="44">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黑体"/>
      <w:sz w:val="28"/>
      <w:szCs w:val="28"/>
      <w:lang w:val="en-US" w:eastAsia="zh-CN" w:bidi="ar-SA"/>
    </w:rPr>
  </w:style>
  <w:style w:type="paragraph" w:customStyle="1" w:styleId="45">
    <w:name w:val="列项——（一级）"/>
    <w:qFormat/>
    <w:uiPriority w:val="99"/>
    <w:pPr>
      <w:widowControl w:val="0"/>
      <w:numPr>
        <w:ilvl w:val="0"/>
        <w:numId w:val="3"/>
      </w:numPr>
      <w:jc w:val="both"/>
    </w:pPr>
    <w:rPr>
      <w:rFonts w:ascii="宋体" w:hAnsi="Times New Roman" w:eastAsia="宋体" w:cs="宋体"/>
      <w:sz w:val="21"/>
      <w:szCs w:val="21"/>
      <w:lang w:val="en-US" w:eastAsia="zh-CN" w:bidi="ar-SA"/>
    </w:rPr>
  </w:style>
  <w:style w:type="paragraph" w:customStyle="1" w:styleId="46">
    <w:name w:val="列项●（二级）"/>
    <w:qFormat/>
    <w:uiPriority w:val="99"/>
    <w:pPr>
      <w:numPr>
        <w:ilvl w:val="1"/>
        <w:numId w:val="3"/>
      </w:numPr>
      <w:tabs>
        <w:tab w:val="left" w:pos="840"/>
      </w:tabs>
      <w:jc w:val="both"/>
    </w:pPr>
    <w:rPr>
      <w:rFonts w:ascii="宋体" w:hAnsi="Times New Roman" w:eastAsia="宋体" w:cs="宋体"/>
      <w:sz w:val="21"/>
      <w:szCs w:val="21"/>
      <w:lang w:val="en-US" w:eastAsia="zh-CN" w:bidi="ar-SA"/>
    </w:rPr>
  </w:style>
  <w:style w:type="paragraph" w:customStyle="1" w:styleId="47">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48">
    <w:name w:val="三级条标题"/>
    <w:basedOn w:val="43"/>
    <w:next w:val="22"/>
    <w:qFormat/>
    <w:uiPriority w:val="99"/>
    <w:pPr>
      <w:numPr>
        <w:ilvl w:val="3"/>
      </w:numPr>
      <w:outlineLvl w:val="4"/>
    </w:pPr>
  </w:style>
  <w:style w:type="paragraph" w:customStyle="1" w:styleId="49">
    <w:name w:val="示例"/>
    <w:next w:val="50"/>
    <w:qFormat/>
    <w:uiPriority w:val="99"/>
    <w:pPr>
      <w:widowControl w:val="0"/>
      <w:ind w:firstLine="363"/>
      <w:jc w:val="both"/>
    </w:pPr>
    <w:rPr>
      <w:rFonts w:ascii="宋体" w:hAnsi="Times New Roman" w:eastAsia="宋体" w:cs="宋体"/>
      <w:sz w:val="18"/>
      <w:szCs w:val="18"/>
      <w:lang w:val="en-US" w:eastAsia="zh-CN" w:bidi="ar-SA"/>
    </w:rPr>
  </w:style>
  <w:style w:type="paragraph" w:customStyle="1" w:styleId="50">
    <w:name w:val="示例内容"/>
    <w:qFormat/>
    <w:uiPriority w:val="99"/>
    <w:pPr>
      <w:ind w:firstLine="200" w:firstLineChars="200"/>
    </w:pPr>
    <w:rPr>
      <w:rFonts w:ascii="宋体" w:hAnsi="Times New Roman" w:eastAsia="宋体" w:cs="宋体"/>
      <w:sz w:val="18"/>
      <w:szCs w:val="18"/>
      <w:lang w:val="en-US" w:eastAsia="zh-CN" w:bidi="ar-SA"/>
    </w:rPr>
  </w:style>
  <w:style w:type="paragraph" w:customStyle="1" w:styleId="51">
    <w:name w:val="数字编号列项（二级）"/>
    <w:qFormat/>
    <w:uiPriority w:val="99"/>
    <w:pPr>
      <w:numPr>
        <w:ilvl w:val="1"/>
        <w:numId w:val="4"/>
      </w:numPr>
      <w:jc w:val="both"/>
    </w:pPr>
    <w:rPr>
      <w:rFonts w:ascii="宋体" w:hAnsi="Times New Roman" w:eastAsia="宋体" w:cs="宋体"/>
      <w:sz w:val="21"/>
      <w:szCs w:val="21"/>
      <w:lang w:val="en-US" w:eastAsia="zh-CN" w:bidi="ar-SA"/>
    </w:rPr>
  </w:style>
  <w:style w:type="paragraph" w:customStyle="1" w:styleId="52">
    <w:name w:val="四级条标题"/>
    <w:basedOn w:val="48"/>
    <w:next w:val="22"/>
    <w:qFormat/>
    <w:uiPriority w:val="99"/>
    <w:pPr>
      <w:numPr>
        <w:ilvl w:val="4"/>
      </w:numPr>
      <w:outlineLvl w:val="5"/>
    </w:pPr>
  </w:style>
  <w:style w:type="paragraph" w:customStyle="1" w:styleId="53">
    <w:name w:val="五级条标题"/>
    <w:basedOn w:val="52"/>
    <w:next w:val="22"/>
    <w:qFormat/>
    <w:uiPriority w:val="99"/>
    <w:pPr>
      <w:numPr>
        <w:ilvl w:val="5"/>
      </w:numPr>
      <w:outlineLvl w:val="6"/>
    </w:pPr>
  </w:style>
  <w:style w:type="character" w:customStyle="1" w:styleId="54">
    <w:name w:val="页脚 Char"/>
    <w:basedOn w:val="32"/>
    <w:link w:val="16"/>
    <w:semiHidden/>
    <w:qFormat/>
    <w:locked/>
    <w:uiPriority w:val="99"/>
    <w:rPr>
      <w:sz w:val="18"/>
      <w:szCs w:val="18"/>
    </w:rPr>
  </w:style>
  <w:style w:type="character" w:customStyle="1" w:styleId="55">
    <w:name w:val="页眉 Char"/>
    <w:basedOn w:val="32"/>
    <w:link w:val="17"/>
    <w:semiHidden/>
    <w:qFormat/>
    <w:locked/>
    <w:uiPriority w:val="99"/>
    <w:rPr>
      <w:sz w:val="18"/>
      <w:szCs w:val="18"/>
    </w:rPr>
  </w:style>
  <w:style w:type="paragraph" w:customStyle="1" w:styleId="56">
    <w:name w:val="注："/>
    <w:next w:val="22"/>
    <w:qFormat/>
    <w:uiPriority w:val="99"/>
    <w:pPr>
      <w:widowControl w:val="0"/>
      <w:autoSpaceDE w:val="0"/>
      <w:autoSpaceDN w:val="0"/>
      <w:ind w:left="726" w:hanging="363"/>
      <w:jc w:val="both"/>
    </w:pPr>
    <w:rPr>
      <w:rFonts w:ascii="宋体" w:hAnsi="Times New Roman" w:eastAsia="宋体" w:cs="宋体"/>
      <w:sz w:val="18"/>
      <w:szCs w:val="18"/>
      <w:lang w:val="en-US" w:eastAsia="zh-CN" w:bidi="ar-SA"/>
    </w:rPr>
  </w:style>
  <w:style w:type="paragraph" w:customStyle="1" w:styleId="57">
    <w:name w:val="注×："/>
    <w:qFormat/>
    <w:uiPriority w:val="99"/>
    <w:pPr>
      <w:widowControl w:val="0"/>
      <w:autoSpaceDE w:val="0"/>
      <w:autoSpaceDN w:val="0"/>
      <w:ind w:left="811" w:hanging="448"/>
      <w:jc w:val="both"/>
    </w:pPr>
    <w:rPr>
      <w:rFonts w:ascii="宋体" w:hAnsi="Times New Roman" w:eastAsia="宋体" w:cs="宋体"/>
      <w:sz w:val="18"/>
      <w:szCs w:val="18"/>
      <w:lang w:val="en-US" w:eastAsia="zh-CN" w:bidi="ar-SA"/>
    </w:rPr>
  </w:style>
  <w:style w:type="paragraph" w:customStyle="1" w:styleId="58">
    <w:name w:val="字母编号列项（一级）"/>
    <w:qFormat/>
    <w:uiPriority w:val="99"/>
    <w:pPr>
      <w:numPr>
        <w:ilvl w:val="0"/>
        <w:numId w:val="4"/>
      </w:numPr>
      <w:jc w:val="both"/>
    </w:pPr>
    <w:rPr>
      <w:rFonts w:ascii="宋体" w:hAnsi="Times New Roman" w:eastAsia="宋体" w:cs="宋体"/>
      <w:sz w:val="21"/>
      <w:szCs w:val="21"/>
      <w:lang w:val="en-US" w:eastAsia="zh-CN" w:bidi="ar-SA"/>
    </w:rPr>
  </w:style>
  <w:style w:type="paragraph" w:customStyle="1" w:styleId="59">
    <w:name w:val="列项◆（三级）"/>
    <w:basedOn w:val="1"/>
    <w:qFormat/>
    <w:uiPriority w:val="99"/>
    <w:pPr>
      <w:numPr>
        <w:ilvl w:val="2"/>
        <w:numId w:val="3"/>
      </w:numPr>
    </w:pPr>
    <w:rPr>
      <w:rFonts w:ascii="宋体" w:cs="宋体"/>
    </w:rPr>
  </w:style>
  <w:style w:type="paragraph" w:customStyle="1" w:styleId="60">
    <w:name w:val="编号列项（三级）"/>
    <w:qFormat/>
    <w:uiPriority w:val="99"/>
    <w:pPr>
      <w:numPr>
        <w:ilvl w:val="2"/>
        <w:numId w:val="4"/>
      </w:numPr>
    </w:pPr>
    <w:rPr>
      <w:rFonts w:ascii="宋体" w:hAnsi="Times New Roman" w:eastAsia="宋体" w:cs="宋体"/>
      <w:sz w:val="21"/>
      <w:szCs w:val="21"/>
      <w:lang w:val="en-US" w:eastAsia="zh-CN" w:bidi="ar-SA"/>
    </w:rPr>
  </w:style>
  <w:style w:type="paragraph" w:customStyle="1" w:styleId="61">
    <w:name w:val="示例×："/>
    <w:basedOn w:val="42"/>
    <w:qFormat/>
    <w:uiPriority w:val="99"/>
    <w:pPr>
      <w:numPr>
        <w:numId w:val="0"/>
      </w:numPr>
      <w:spacing w:beforeLines="0" w:afterLines="0"/>
      <w:ind w:firstLine="363"/>
      <w:outlineLvl w:val="9"/>
    </w:pPr>
    <w:rPr>
      <w:rFonts w:ascii="宋体" w:eastAsia="宋体" w:cs="宋体"/>
      <w:sz w:val="18"/>
      <w:szCs w:val="18"/>
    </w:rPr>
  </w:style>
  <w:style w:type="paragraph" w:customStyle="1" w:styleId="62">
    <w:name w:val="二级无"/>
    <w:basedOn w:val="43"/>
    <w:qFormat/>
    <w:uiPriority w:val="99"/>
    <w:pPr>
      <w:spacing w:beforeLines="0" w:afterLines="0"/>
    </w:pPr>
    <w:rPr>
      <w:rFonts w:ascii="宋体" w:eastAsia="宋体" w:cs="宋体"/>
    </w:rPr>
  </w:style>
  <w:style w:type="paragraph" w:customStyle="1" w:styleId="63">
    <w:name w:val="注：（正文）"/>
    <w:basedOn w:val="56"/>
    <w:next w:val="22"/>
    <w:qFormat/>
    <w:uiPriority w:val="99"/>
  </w:style>
  <w:style w:type="paragraph" w:customStyle="1" w:styleId="64">
    <w:name w:val="注×：（正文）"/>
    <w:qFormat/>
    <w:uiPriority w:val="99"/>
    <w:pPr>
      <w:numPr>
        <w:ilvl w:val="0"/>
        <w:numId w:val="5"/>
      </w:numPr>
      <w:jc w:val="both"/>
    </w:pPr>
    <w:rPr>
      <w:rFonts w:ascii="宋体" w:hAnsi="Times New Roman" w:eastAsia="宋体" w:cs="宋体"/>
      <w:sz w:val="18"/>
      <w:szCs w:val="18"/>
      <w:lang w:val="en-US" w:eastAsia="zh-CN" w:bidi="ar-SA"/>
    </w:rPr>
  </w:style>
  <w:style w:type="paragraph" w:customStyle="1" w:styleId="65">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bCs/>
      <w:w w:val="170"/>
      <w:sz w:val="96"/>
      <w:szCs w:val="96"/>
      <w:lang w:val="en-US" w:eastAsia="zh-CN" w:bidi="ar-SA"/>
    </w:rPr>
  </w:style>
  <w:style w:type="paragraph" w:customStyle="1" w:styleId="66">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宋体"/>
      <w:b/>
      <w:bCs/>
      <w:spacing w:val="20"/>
      <w:w w:val="148"/>
      <w:sz w:val="48"/>
      <w:szCs w:val="48"/>
      <w:lang w:val="en-US" w:eastAsia="zh-CN" w:bidi="ar-SA"/>
    </w:rPr>
  </w:style>
  <w:style w:type="paragraph" w:customStyle="1" w:styleId="67">
    <w:name w:val="标准书脚_偶数页"/>
    <w:qFormat/>
    <w:uiPriority w:val="99"/>
    <w:pPr>
      <w:spacing w:before="120"/>
      <w:ind w:left="221"/>
    </w:pPr>
    <w:rPr>
      <w:rFonts w:ascii="宋体" w:hAnsi="Times New Roman" w:eastAsia="宋体" w:cs="宋体"/>
      <w:sz w:val="18"/>
      <w:szCs w:val="18"/>
      <w:lang w:val="en-US" w:eastAsia="zh-CN" w:bidi="ar-SA"/>
    </w:rPr>
  </w:style>
  <w:style w:type="paragraph" w:customStyle="1" w:styleId="68">
    <w:name w:val="标准书眉_偶数页"/>
    <w:basedOn w:val="41"/>
    <w:next w:val="1"/>
    <w:qFormat/>
    <w:uiPriority w:val="99"/>
    <w:pPr>
      <w:jc w:val="left"/>
    </w:pPr>
  </w:style>
  <w:style w:type="paragraph" w:customStyle="1" w:styleId="69">
    <w:name w:val="标准书眉一"/>
    <w:qFormat/>
    <w:uiPriority w:val="99"/>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99"/>
    <w:pPr>
      <w:keepNext/>
      <w:pageBreakBefore/>
      <w:widowControl/>
      <w:shd w:val="clear" w:color="FFFFFF" w:fill="FFFFFF"/>
      <w:spacing w:before="640" w:after="200"/>
      <w:jc w:val="center"/>
      <w:outlineLvl w:val="0"/>
    </w:pPr>
    <w:rPr>
      <w:rFonts w:ascii="黑体" w:eastAsia="黑体" w:cs="黑体"/>
      <w:kern w:val="0"/>
    </w:rPr>
  </w:style>
  <w:style w:type="paragraph" w:customStyle="1" w:styleId="71">
    <w:name w:val="参考文献、索引标题"/>
    <w:basedOn w:val="1"/>
    <w:next w:val="22"/>
    <w:qFormat/>
    <w:uiPriority w:val="99"/>
    <w:pPr>
      <w:keepNext/>
      <w:pageBreakBefore/>
      <w:widowControl/>
      <w:shd w:val="clear" w:color="FFFFFF" w:fill="FFFFFF"/>
      <w:spacing w:before="640" w:after="200"/>
      <w:jc w:val="center"/>
      <w:outlineLvl w:val="0"/>
    </w:pPr>
    <w:rPr>
      <w:rFonts w:ascii="黑体" w:eastAsia="黑体" w:cs="黑体"/>
      <w:kern w:val="0"/>
    </w:rPr>
  </w:style>
  <w:style w:type="character" w:customStyle="1" w:styleId="72">
    <w:name w:val="发布"/>
    <w:basedOn w:val="32"/>
    <w:qFormat/>
    <w:uiPriority w:val="99"/>
    <w:rPr>
      <w:rFonts w:ascii="黑体" w:eastAsia="黑体" w:cs="黑体"/>
      <w:spacing w:val="85"/>
      <w:w w:val="100"/>
      <w:position w:val="3"/>
      <w:sz w:val="28"/>
      <w:szCs w:val="28"/>
    </w:rPr>
  </w:style>
  <w:style w:type="paragraph" w:customStyle="1" w:styleId="73">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宋体"/>
      <w:b/>
      <w:bCs/>
      <w:spacing w:val="20"/>
      <w:w w:val="135"/>
      <w:sz w:val="28"/>
      <w:szCs w:val="28"/>
      <w:lang w:val="en-US" w:eastAsia="zh-CN" w:bidi="ar-SA"/>
    </w:rPr>
  </w:style>
  <w:style w:type="paragraph" w:customStyle="1" w:styleId="74">
    <w:name w:val="发布日期"/>
    <w:qFormat/>
    <w:uiPriority w:val="99"/>
    <w:pPr>
      <w:framePr w:w="3997" w:h="471" w:hRule="exact" w:vSpace="181" w:wrap="around" w:vAnchor="margin" w:hAnchor="page" w:x="7089" w:y="14097" w:anchorLock="1"/>
    </w:pPr>
    <w:rPr>
      <w:rFonts w:ascii="Times New Roman" w:hAnsi="Times New Roman" w:eastAsia="黑体" w:cs="Times New Roman"/>
      <w:sz w:val="28"/>
      <w:szCs w:val="28"/>
      <w:lang w:val="en-US" w:eastAsia="zh-CN" w:bidi="ar-SA"/>
    </w:rPr>
  </w:style>
  <w:style w:type="paragraph" w:customStyle="1" w:styleId="75">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宋体"/>
      <w:sz w:val="21"/>
      <w:szCs w:val="21"/>
      <w:lang w:val="en-US" w:eastAsia="zh-CN" w:bidi="ar-SA"/>
    </w:rPr>
  </w:style>
  <w:style w:type="paragraph" w:customStyle="1" w:styleId="76">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77">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78">
    <w:name w:val="封面标准英文名称"/>
    <w:basedOn w:val="77"/>
    <w:qFormat/>
    <w:uiPriority w:val="99"/>
    <w:pPr>
      <w:spacing w:before="370" w:line="400" w:lineRule="exact"/>
    </w:pPr>
    <w:rPr>
      <w:rFonts w:ascii="Times New Roman" w:cs="Times New Roman"/>
      <w:sz w:val="28"/>
      <w:szCs w:val="28"/>
    </w:rPr>
  </w:style>
  <w:style w:type="paragraph" w:customStyle="1" w:styleId="79">
    <w:name w:val="封面一致性程度标识"/>
    <w:basedOn w:val="78"/>
    <w:qFormat/>
    <w:uiPriority w:val="99"/>
    <w:pPr>
      <w:spacing w:before="440"/>
    </w:pPr>
    <w:rPr>
      <w:rFonts w:ascii="宋体" w:eastAsia="宋体" w:cs="宋体"/>
    </w:rPr>
  </w:style>
  <w:style w:type="paragraph" w:customStyle="1" w:styleId="80">
    <w:name w:val="封面标准文稿类别"/>
    <w:basedOn w:val="79"/>
    <w:qFormat/>
    <w:uiPriority w:val="99"/>
    <w:pPr>
      <w:spacing w:after="160" w:line="240" w:lineRule="auto"/>
    </w:pPr>
    <w:rPr>
      <w:sz w:val="24"/>
      <w:szCs w:val="24"/>
    </w:rPr>
  </w:style>
  <w:style w:type="paragraph" w:customStyle="1" w:styleId="81">
    <w:name w:val="封面标准文稿编辑信息"/>
    <w:basedOn w:val="80"/>
    <w:qFormat/>
    <w:uiPriority w:val="99"/>
    <w:pPr>
      <w:spacing w:before="180" w:line="180" w:lineRule="exact"/>
    </w:pPr>
    <w:rPr>
      <w:sz w:val="21"/>
      <w:szCs w:val="21"/>
    </w:rPr>
  </w:style>
  <w:style w:type="paragraph" w:customStyle="1" w:styleId="82">
    <w:name w:val="封面正文"/>
    <w:qFormat/>
    <w:uiPriority w:val="99"/>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99"/>
    <w:pPr>
      <w:keepNext/>
      <w:widowControl/>
      <w:numPr>
        <w:ilvl w:val="0"/>
        <w:numId w:val="6"/>
      </w:numPr>
      <w:shd w:val="clear" w:color="FFFFFF" w:fill="FFFFFF"/>
      <w:tabs>
        <w:tab w:val="left" w:pos="6405"/>
      </w:tabs>
      <w:spacing w:before="640" w:after="280"/>
      <w:jc w:val="center"/>
      <w:outlineLvl w:val="0"/>
    </w:pPr>
    <w:rPr>
      <w:rFonts w:ascii="黑体" w:eastAsia="黑体" w:cs="黑体"/>
      <w:kern w:val="0"/>
    </w:rPr>
  </w:style>
  <w:style w:type="paragraph" w:customStyle="1" w:styleId="84">
    <w:name w:val="附录标题"/>
    <w:basedOn w:val="22"/>
    <w:next w:val="22"/>
    <w:qFormat/>
    <w:uiPriority w:val="99"/>
    <w:pPr>
      <w:ind w:firstLine="0" w:firstLineChars="0"/>
      <w:jc w:val="center"/>
    </w:pPr>
    <w:rPr>
      <w:rFonts w:ascii="黑体" w:eastAsia="黑体" w:cs="黑体"/>
    </w:rPr>
  </w:style>
  <w:style w:type="paragraph" w:customStyle="1" w:styleId="85">
    <w:name w:val="附录表标号"/>
    <w:basedOn w:val="1"/>
    <w:next w:val="22"/>
    <w:qFormat/>
    <w:uiPriority w:val="99"/>
    <w:pPr>
      <w:numPr>
        <w:ilvl w:val="0"/>
        <w:numId w:val="7"/>
      </w:numPr>
      <w:spacing w:line="14" w:lineRule="exact"/>
      <w:ind w:left="811" w:hanging="448"/>
      <w:jc w:val="center"/>
      <w:outlineLvl w:val="0"/>
    </w:pPr>
    <w:rPr>
      <w:color w:val="FFFFFF"/>
    </w:rPr>
  </w:style>
  <w:style w:type="paragraph" w:customStyle="1" w:styleId="86">
    <w:name w:val="附录表标题"/>
    <w:basedOn w:val="1"/>
    <w:next w:val="22"/>
    <w:qFormat/>
    <w:uiPriority w:val="99"/>
    <w:pPr>
      <w:numPr>
        <w:ilvl w:val="1"/>
        <w:numId w:val="7"/>
      </w:numPr>
      <w:spacing w:beforeLines="50" w:afterLines="50"/>
      <w:jc w:val="center"/>
    </w:pPr>
    <w:rPr>
      <w:rFonts w:ascii="黑体" w:eastAsia="黑体" w:cs="黑体"/>
    </w:rPr>
  </w:style>
  <w:style w:type="paragraph" w:customStyle="1" w:styleId="87">
    <w:name w:val="附录二级条标题"/>
    <w:basedOn w:val="1"/>
    <w:next w:val="22"/>
    <w:qFormat/>
    <w:uiPriority w:val="99"/>
    <w:pPr>
      <w:widowControl/>
      <w:numPr>
        <w:ilvl w:val="3"/>
        <w:numId w:val="6"/>
      </w:numPr>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88">
    <w:name w:val="附录二级无"/>
    <w:basedOn w:val="87"/>
    <w:qFormat/>
    <w:uiPriority w:val="99"/>
    <w:pPr>
      <w:spacing w:beforeLines="0" w:afterLines="0"/>
    </w:pPr>
    <w:rPr>
      <w:rFonts w:ascii="宋体" w:eastAsia="宋体" w:cs="宋体"/>
    </w:rPr>
  </w:style>
  <w:style w:type="paragraph" w:customStyle="1" w:styleId="89">
    <w:name w:val="附录公式"/>
    <w:basedOn w:val="22"/>
    <w:next w:val="22"/>
    <w:link w:val="90"/>
    <w:qFormat/>
    <w:uiPriority w:val="99"/>
  </w:style>
  <w:style w:type="character" w:customStyle="1" w:styleId="90">
    <w:name w:val="附录公式 Char"/>
    <w:basedOn w:val="38"/>
    <w:link w:val="89"/>
    <w:qFormat/>
    <w:locked/>
    <w:uiPriority w:val="99"/>
    <w:rPr>
      <w:rFonts w:ascii="宋体" w:cs="宋体"/>
      <w:sz w:val="21"/>
      <w:szCs w:val="21"/>
      <w:lang w:val="en-US" w:eastAsia="zh-CN" w:bidi="ar-SA"/>
    </w:rPr>
  </w:style>
  <w:style w:type="paragraph" w:customStyle="1" w:styleId="91">
    <w:name w:val="附录公式编号制表符"/>
    <w:basedOn w:val="1"/>
    <w:next w:val="22"/>
    <w:qFormat/>
    <w:uiPriority w:val="99"/>
    <w:pPr>
      <w:widowControl/>
      <w:tabs>
        <w:tab w:val="center" w:pos="4201"/>
        <w:tab w:val="right" w:leader="dot" w:pos="9298"/>
      </w:tabs>
      <w:autoSpaceDE w:val="0"/>
      <w:autoSpaceDN w:val="0"/>
    </w:pPr>
    <w:rPr>
      <w:rFonts w:ascii="宋体" w:cs="宋体"/>
      <w:kern w:val="0"/>
    </w:rPr>
  </w:style>
  <w:style w:type="paragraph" w:customStyle="1" w:styleId="92">
    <w:name w:val="附录三级条标题"/>
    <w:basedOn w:val="87"/>
    <w:next w:val="22"/>
    <w:qFormat/>
    <w:uiPriority w:val="99"/>
    <w:pPr>
      <w:numPr>
        <w:ilvl w:val="4"/>
      </w:numPr>
      <w:outlineLvl w:val="4"/>
    </w:pPr>
  </w:style>
  <w:style w:type="paragraph" w:customStyle="1" w:styleId="93">
    <w:name w:val="附录三级无"/>
    <w:basedOn w:val="92"/>
    <w:qFormat/>
    <w:uiPriority w:val="99"/>
    <w:pPr>
      <w:spacing w:beforeLines="0" w:afterLines="0"/>
    </w:pPr>
    <w:rPr>
      <w:rFonts w:ascii="宋体" w:eastAsia="宋体" w:cs="宋体"/>
    </w:rPr>
  </w:style>
  <w:style w:type="paragraph" w:customStyle="1" w:styleId="94">
    <w:name w:val="附录数字编号列项（二级）"/>
    <w:qFormat/>
    <w:uiPriority w:val="99"/>
    <w:pPr>
      <w:numPr>
        <w:ilvl w:val="1"/>
        <w:numId w:val="8"/>
      </w:numPr>
    </w:pPr>
    <w:rPr>
      <w:rFonts w:ascii="宋体" w:hAnsi="Times New Roman" w:eastAsia="宋体" w:cs="宋体"/>
      <w:sz w:val="21"/>
      <w:szCs w:val="21"/>
      <w:lang w:val="en-US" w:eastAsia="zh-CN" w:bidi="ar-SA"/>
    </w:rPr>
  </w:style>
  <w:style w:type="paragraph" w:customStyle="1" w:styleId="95">
    <w:name w:val="附录四级条标题"/>
    <w:basedOn w:val="92"/>
    <w:next w:val="22"/>
    <w:qFormat/>
    <w:uiPriority w:val="99"/>
    <w:pPr>
      <w:numPr>
        <w:ilvl w:val="5"/>
      </w:numPr>
      <w:outlineLvl w:val="5"/>
    </w:pPr>
  </w:style>
  <w:style w:type="paragraph" w:customStyle="1" w:styleId="96">
    <w:name w:val="附录四级无"/>
    <w:basedOn w:val="95"/>
    <w:qFormat/>
    <w:uiPriority w:val="99"/>
    <w:pPr>
      <w:spacing w:beforeLines="0" w:afterLines="0"/>
    </w:pPr>
    <w:rPr>
      <w:rFonts w:ascii="宋体" w:eastAsia="宋体" w:cs="宋体"/>
    </w:rPr>
  </w:style>
  <w:style w:type="paragraph" w:customStyle="1" w:styleId="97">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98">
    <w:name w:val="附录图标题"/>
    <w:basedOn w:val="1"/>
    <w:next w:val="22"/>
    <w:qFormat/>
    <w:uiPriority w:val="99"/>
    <w:pPr>
      <w:numPr>
        <w:ilvl w:val="1"/>
        <w:numId w:val="9"/>
      </w:numPr>
      <w:tabs>
        <w:tab w:val="left" w:pos="363"/>
      </w:tabs>
      <w:spacing w:beforeLines="50" w:afterLines="50"/>
      <w:jc w:val="center"/>
    </w:pPr>
    <w:rPr>
      <w:rFonts w:ascii="黑体" w:eastAsia="黑体" w:cs="黑体"/>
    </w:rPr>
  </w:style>
  <w:style w:type="paragraph" w:customStyle="1" w:styleId="99">
    <w:name w:val="附录五级条标题"/>
    <w:basedOn w:val="95"/>
    <w:next w:val="22"/>
    <w:qFormat/>
    <w:uiPriority w:val="99"/>
    <w:pPr>
      <w:numPr>
        <w:ilvl w:val="6"/>
      </w:numPr>
      <w:outlineLvl w:val="6"/>
    </w:pPr>
  </w:style>
  <w:style w:type="paragraph" w:customStyle="1" w:styleId="100">
    <w:name w:val="附录五级无"/>
    <w:basedOn w:val="99"/>
    <w:qFormat/>
    <w:uiPriority w:val="99"/>
    <w:pPr>
      <w:spacing w:beforeLines="0" w:afterLines="0"/>
    </w:pPr>
    <w:rPr>
      <w:rFonts w:ascii="宋体" w:eastAsia="宋体" w:cs="宋体"/>
    </w:rPr>
  </w:style>
  <w:style w:type="paragraph" w:customStyle="1" w:styleId="101">
    <w:name w:val="附录章标题"/>
    <w:next w:val="22"/>
    <w:qFormat/>
    <w:uiPriority w:val="99"/>
    <w:pPr>
      <w:numPr>
        <w:ilvl w:val="1"/>
        <w:numId w:val="6"/>
      </w:numPr>
      <w:wordWrap w:val="0"/>
      <w:overflowPunct w:val="0"/>
      <w:autoSpaceDE w:val="0"/>
      <w:spacing w:beforeLines="100" w:afterLines="100"/>
      <w:jc w:val="both"/>
      <w:textAlignment w:val="baseline"/>
      <w:outlineLvl w:val="1"/>
    </w:pPr>
    <w:rPr>
      <w:rFonts w:ascii="黑体" w:hAnsi="Times New Roman" w:eastAsia="黑体" w:cs="黑体"/>
      <w:kern w:val="21"/>
      <w:sz w:val="21"/>
      <w:szCs w:val="21"/>
      <w:lang w:val="en-US" w:eastAsia="zh-CN" w:bidi="ar-SA"/>
    </w:rPr>
  </w:style>
  <w:style w:type="paragraph" w:customStyle="1" w:styleId="102">
    <w:name w:val="附录一级条标题"/>
    <w:basedOn w:val="101"/>
    <w:next w:val="22"/>
    <w:qFormat/>
    <w:uiPriority w:val="99"/>
    <w:pPr>
      <w:numPr>
        <w:ilvl w:val="2"/>
      </w:numPr>
      <w:autoSpaceDN w:val="0"/>
      <w:spacing w:beforeLines="50" w:afterLines="50"/>
      <w:outlineLvl w:val="2"/>
    </w:pPr>
  </w:style>
  <w:style w:type="paragraph" w:customStyle="1" w:styleId="103">
    <w:name w:val="附录一级无"/>
    <w:basedOn w:val="102"/>
    <w:qFormat/>
    <w:uiPriority w:val="99"/>
    <w:pPr>
      <w:spacing w:beforeLines="0" w:afterLines="0"/>
    </w:pPr>
    <w:rPr>
      <w:rFonts w:ascii="宋体" w:eastAsia="宋体" w:cs="宋体"/>
    </w:rPr>
  </w:style>
  <w:style w:type="paragraph" w:customStyle="1" w:styleId="104">
    <w:name w:val="附录字母编号列项（一级）"/>
    <w:qFormat/>
    <w:uiPriority w:val="99"/>
    <w:pPr>
      <w:numPr>
        <w:ilvl w:val="0"/>
        <w:numId w:val="8"/>
      </w:numPr>
    </w:pPr>
    <w:rPr>
      <w:rFonts w:ascii="宋体" w:hAnsi="Times New Roman" w:eastAsia="宋体" w:cs="宋体"/>
      <w:sz w:val="21"/>
      <w:szCs w:val="21"/>
      <w:lang w:val="en-US" w:eastAsia="zh-CN" w:bidi="ar-SA"/>
    </w:rPr>
  </w:style>
  <w:style w:type="character" w:customStyle="1" w:styleId="105">
    <w:name w:val="脚注文本 Char"/>
    <w:basedOn w:val="32"/>
    <w:link w:val="23"/>
    <w:semiHidden/>
    <w:qFormat/>
    <w:locked/>
    <w:uiPriority w:val="99"/>
    <w:rPr>
      <w:rFonts w:ascii="宋体" w:cs="宋体"/>
      <w:kern w:val="2"/>
      <w:sz w:val="18"/>
      <w:szCs w:val="18"/>
    </w:rPr>
  </w:style>
  <w:style w:type="paragraph" w:customStyle="1" w:styleId="106">
    <w:name w:val="列项说明"/>
    <w:basedOn w:val="1"/>
    <w:qFormat/>
    <w:uiPriority w:val="99"/>
    <w:pPr>
      <w:adjustRightInd w:val="0"/>
      <w:spacing w:line="320" w:lineRule="exact"/>
      <w:ind w:left="400" w:leftChars="200" w:hanging="200" w:hangingChars="200"/>
      <w:jc w:val="left"/>
      <w:textAlignment w:val="baseline"/>
    </w:pPr>
    <w:rPr>
      <w:rFonts w:ascii="宋体" w:cs="宋体"/>
      <w:kern w:val="0"/>
    </w:rPr>
  </w:style>
  <w:style w:type="paragraph" w:customStyle="1" w:styleId="107">
    <w:name w:val="列项说明数字编号"/>
    <w:uiPriority w:val="99"/>
    <w:pPr>
      <w:ind w:left="600" w:leftChars="400" w:hanging="200" w:hangingChars="200"/>
    </w:pPr>
    <w:rPr>
      <w:rFonts w:ascii="宋体" w:hAnsi="Times New Roman" w:eastAsia="宋体" w:cs="宋体"/>
      <w:sz w:val="21"/>
      <w:szCs w:val="21"/>
      <w:lang w:val="en-US" w:eastAsia="zh-CN" w:bidi="ar-SA"/>
    </w:rPr>
  </w:style>
  <w:style w:type="paragraph" w:customStyle="1" w:styleId="108">
    <w:name w:val="目次、索引正文"/>
    <w:qFormat/>
    <w:uiPriority w:val="99"/>
    <w:pPr>
      <w:spacing w:line="320" w:lineRule="exact"/>
      <w:jc w:val="both"/>
    </w:pPr>
    <w:rPr>
      <w:rFonts w:ascii="宋体" w:hAnsi="Times New Roman" w:eastAsia="宋体" w:cs="宋体"/>
      <w:sz w:val="21"/>
      <w:szCs w:val="21"/>
      <w:lang w:val="en-US" w:eastAsia="zh-CN" w:bidi="ar-SA"/>
    </w:rPr>
  </w:style>
  <w:style w:type="paragraph" w:customStyle="1" w:styleId="109">
    <w:name w:val="其他标准标志"/>
    <w:basedOn w:val="65"/>
    <w:uiPriority w:val="99"/>
    <w:pPr>
      <w:framePr w:w="6101" w:vAnchor="page" w:hAnchor="page" w:x="4673" w:y="942"/>
    </w:pPr>
    <w:rPr>
      <w:w w:val="130"/>
    </w:rPr>
  </w:style>
  <w:style w:type="paragraph" w:customStyle="1" w:styleId="110">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黑体"/>
      <w:spacing w:val="-40"/>
      <w:sz w:val="48"/>
      <w:szCs w:val="48"/>
      <w:lang w:val="en-US" w:eastAsia="zh-CN" w:bidi="ar-SA"/>
    </w:rPr>
  </w:style>
  <w:style w:type="paragraph" w:customStyle="1" w:styleId="111">
    <w:name w:val="其他发布部门"/>
    <w:basedOn w:val="73"/>
    <w:uiPriority w:val="99"/>
    <w:pPr>
      <w:framePr w:y="15310"/>
      <w:spacing w:line="240" w:lineRule="atLeast"/>
    </w:pPr>
    <w:rPr>
      <w:rFonts w:ascii="黑体" w:eastAsia="黑体" w:cs="黑体"/>
      <w:b w:val="0"/>
      <w:bCs w:val="0"/>
    </w:rPr>
  </w:style>
  <w:style w:type="paragraph" w:customStyle="1" w:styleId="112">
    <w:name w:val="前言、引言标题"/>
    <w:next w:val="22"/>
    <w:qFormat/>
    <w:uiPriority w:val="99"/>
    <w:pPr>
      <w:keepNext/>
      <w:pageBreakBefore/>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113">
    <w:name w:val="三级无"/>
    <w:basedOn w:val="48"/>
    <w:qFormat/>
    <w:uiPriority w:val="99"/>
    <w:pPr>
      <w:spacing w:beforeLines="0" w:afterLines="0"/>
    </w:pPr>
    <w:rPr>
      <w:rFonts w:ascii="宋体" w:eastAsia="宋体" w:cs="宋体"/>
    </w:rPr>
  </w:style>
  <w:style w:type="paragraph" w:customStyle="1" w:styleId="114">
    <w:name w:val="实施日期"/>
    <w:basedOn w:val="74"/>
    <w:qFormat/>
    <w:uiPriority w:val="99"/>
    <w:pPr>
      <w:framePr w:vAnchor="page" w:hAnchor="text"/>
      <w:jc w:val="right"/>
    </w:pPr>
  </w:style>
  <w:style w:type="paragraph" w:customStyle="1" w:styleId="115">
    <w:name w:val="示例后文字"/>
    <w:basedOn w:val="22"/>
    <w:next w:val="22"/>
    <w:uiPriority w:val="99"/>
    <w:pPr>
      <w:ind w:firstLine="360"/>
    </w:pPr>
    <w:rPr>
      <w:sz w:val="18"/>
      <w:szCs w:val="18"/>
    </w:rPr>
  </w:style>
  <w:style w:type="paragraph" w:customStyle="1" w:styleId="116">
    <w:name w:val="首示例"/>
    <w:next w:val="22"/>
    <w:link w:val="117"/>
    <w:qFormat/>
    <w:uiPriority w:val="99"/>
    <w:pPr>
      <w:tabs>
        <w:tab w:val="left" w:pos="360"/>
      </w:tabs>
    </w:pPr>
    <w:rPr>
      <w:rFonts w:ascii="宋体" w:hAnsi="宋体" w:eastAsia="宋体" w:cs="宋体"/>
      <w:kern w:val="2"/>
      <w:sz w:val="18"/>
      <w:szCs w:val="18"/>
      <w:lang w:val="en-US" w:eastAsia="zh-CN" w:bidi="ar-SA"/>
    </w:rPr>
  </w:style>
  <w:style w:type="character" w:customStyle="1" w:styleId="117">
    <w:name w:val="首示例 Char"/>
    <w:basedOn w:val="32"/>
    <w:link w:val="116"/>
    <w:qFormat/>
    <w:locked/>
    <w:uiPriority w:val="99"/>
    <w:rPr>
      <w:rFonts w:ascii="宋体" w:hAnsi="宋体" w:cs="宋体"/>
      <w:kern w:val="2"/>
      <w:sz w:val="18"/>
      <w:szCs w:val="18"/>
      <w:lang w:val="en-US" w:eastAsia="zh-CN" w:bidi="ar-SA"/>
    </w:rPr>
  </w:style>
  <w:style w:type="paragraph" w:customStyle="1" w:styleId="118">
    <w:name w:val="四级无"/>
    <w:basedOn w:val="52"/>
    <w:uiPriority w:val="99"/>
    <w:pPr>
      <w:spacing w:beforeLines="0" w:afterLines="0"/>
    </w:pPr>
    <w:rPr>
      <w:rFonts w:ascii="宋体" w:eastAsia="宋体" w:cs="宋体"/>
    </w:rPr>
  </w:style>
  <w:style w:type="paragraph" w:customStyle="1" w:styleId="119">
    <w:name w:val="条文脚注"/>
    <w:basedOn w:val="23"/>
    <w:qFormat/>
    <w:uiPriority w:val="99"/>
    <w:pPr>
      <w:numPr>
        <w:numId w:val="0"/>
      </w:numPr>
      <w:jc w:val="both"/>
    </w:pPr>
  </w:style>
  <w:style w:type="paragraph" w:customStyle="1" w:styleId="120">
    <w:name w:val="图标脚注说明"/>
    <w:basedOn w:val="22"/>
    <w:qFormat/>
    <w:uiPriority w:val="99"/>
    <w:pPr>
      <w:ind w:left="840" w:hanging="420" w:firstLineChars="0"/>
    </w:pPr>
    <w:rPr>
      <w:sz w:val="18"/>
      <w:szCs w:val="18"/>
    </w:rPr>
  </w:style>
  <w:style w:type="paragraph" w:customStyle="1" w:styleId="121">
    <w:name w:val="图表脚注说明"/>
    <w:basedOn w:val="1"/>
    <w:qFormat/>
    <w:uiPriority w:val="99"/>
    <w:pPr>
      <w:ind w:left="544" w:hanging="181"/>
    </w:pPr>
    <w:rPr>
      <w:rFonts w:ascii="宋体" w:cs="宋体"/>
      <w:sz w:val="18"/>
      <w:szCs w:val="18"/>
    </w:rPr>
  </w:style>
  <w:style w:type="paragraph" w:customStyle="1" w:styleId="122">
    <w:name w:val="图的脚注"/>
    <w:next w:val="22"/>
    <w:qFormat/>
    <w:uiPriority w:val="99"/>
    <w:pPr>
      <w:widowControl w:val="0"/>
      <w:ind w:left="840" w:leftChars="200" w:hanging="420" w:hangingChars="200"/>
      <w:jc w:val="both"/>
    </w:pPr>
    <w:rPr>
      <w:rFonts w:ascii="宋体" w:hAnsi="Times New Roman" w:eastAsia="宋体" w:cs="宋体"/>
      <w:sz w:val="18"/>
      <w:szCs w:val="18"/>
      <w:lang w:val="en-US" w:eastAsia="zh-CN" w:bidi="ar-SA"/>
    </w:rPr>
  </w:style>
  <w:style w:type="character" w:customStyle="1" w:styleId="123">
    <w:name w:val="尾注文本 Char"/>
    <w:basedOn w:val="32"/>
    <w:link w:val="14"/>
    <w:semiHidden/>
    <w:locked/>
    <w:uiPriority w:val="99"/>
    <w:rPr>
      <w:sz w:val="21"/>
      <w:szCs w:val="21"/>
    </w:rPr>
  </w:style>
  <w:style w:type="character" w:customStyle="1" w:styleId="124">
    <w:name w:val="文档结构图 Char"/>
    <w:basedOn w:val="32"/>
    <w:link w:val="6"/>
    <w:semiHidden/>
    <w:qFormat/>
    <w:locked/>
    <w:uiPriority w:val="99"/>
    <w:rPr>
      <w:sz w:val="2"/>
      <w:szCs w:val="2"/>
    </w:rPr>
  </w:style>
  <w:style w:type="paragraph" w:customStyle="1" w:styleId="125">
    <w:name w:val="文献分类号"/>
    <w:uiPriority w:val="99"/>
    <w:pPr>
      <w:framePr w:hSpace="180" w:vSpace="180" w:wrap="around" w:vAnchor="margin" w:hAnchor="margin" w:y="1" w:anchorLock="1"/>
      <w:widowControl w:val="0"/>
      <w:textAlignment w:val="center"/>
    </w:pPr>
    <w:rPr>
      <w:rFonts w:ascii="黑体" w:hAnsi="Times New Roman" w:eastAsia="黑体" w:cs="黑体"/>
      <w:sz w:val="21"/>
      <w:szCs w:val="21"/>
      <w:lang w:val="en-US" w:eastAsia="zh-CN" w:bidi="ar-SA"/>
    </w:rPr>
  </w:style>
  <w:style w:type="paragraph" w:customStyle="1" w:styleId="126">
    <w:name w:val="五级无"/>
    <w:basedOn w:val="53"/>
    <w:qFormat/>
    <w:uiPriority w:val="99"/>
    <w:pPr>
      <w:spacing w:beforeLines="0" w:afterLines="0"/>
    </w:pPr>
    <w:rPr>
      <w:rFonts w:ascii="宋体" w:eastAsia="宋体" w:cs="宋体"/>
    </w:rPr>
  </w:style>
  <w:style w:type="paragraph" w:customStyle="1" w:styleId="127">
    <w:name w:val="一级无"/>
    <w:basedOn w:val="39"/>
    <w:uiPriority w:val="99"/>
    <w:pPr>
      <w:spacing w:beforeLines="0" w:afterLines="0"/>
    </w:pPr>
    <w:rPr>
      <w:rFonts w:ascii="宋体" w:eastAsia="宋体" w:cs="宋体"/>
    </w:rPr>
  </w:style>
  <w:style w:type="paragraph" w:customStyle="1" w:styleId="128">
    <w:name w:val="正文表标题"/>
    <w:next w:val="22"/>
    <w:uiPriority w:val="99"/>
    <w:pPr>
      <w:numPr>
        <w:ilvl w:val="0"/>
        <w:numId w:val="10"/>
      </w:numPr>
      <w:spacing w:beforeLines="50" w:afterLines="50"/>
      <w:jc w:val="center"/>
    </w:pPr>
    <w:rPr>
      <w:rFonts w:ascii="黑体" w:hAnsi="Times New Roman" w:eastAsia="黑体" w:cs="黑体"/>
      <w:sz w:val="21"/>
      <w:szCs w:val="21"/>
      <w:lang w:val="en-US" w:eastAsia="zh-CN" w:bidi="ar-SA"/>
    </w:rPr>
  </w:style>
  <w:style w:type="paragraph" w:customStyle="1" w:styleId="129">
    <w:name w:val="正文公式编号制表符"/>
    <w:basedOn w:val="22"/>
    <w:next w:val="22"/>
    <w:qFormat/>
    <w:uiPriority w:val="99"/>
    <w:pPr>
      <w:ind w:firstLine="0" w:firstLineChars="0"/>
    </w:pPr>
  </w:style>
  <w:style w:type="paragraph" w:customStyle="1" w:styleId="130">
    <w:name w:val="正文图标题"/>
    <w:next w:val="22"/>
    <w:qFormat/>
    <w:uiPriority w:val="99"/>
    <w:p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31">
    <w:name w:val="终结线"/>
    <w:basedOn w:val="1"/>
    <w:qFormat/>
    <w:uiPriority w:val="99"/>
    <w:pPr>
      <w:framePr w:hSpace="181" w:vSpace="181" w:wrap="around" w:vAnchor="text" w:hAnchor="margin" w:xAlign="center" w:y="285"/>
    </w:pPr>
  </w:style>
  <w:style w:type="paragraph" w:customStyle="1" w:styleId="132">
    <w:name w:val="其他发布日期"/>
    <w:basedOn w:val="74"/>
    <w:uiPriority w:val="99"/>
    <w:pPr>
      <w:framePr w:vAnchor="page" w:hAnchor="text" w:x="1419"/>
    </w:pPr>
  </w:style>
  <w:style w:type="paragraph" w:customStyle="1" w:styleId="133">
    <w:name w:val="其他实施日期"/>
    <w:basedOn w:val="114"/>
    <w:uiPriority w:val="99"/>
  </w:style>
  <w:style w:type="paragraph" w:customStyle="1" w:styleId="134">
    <w:name w:val="封面标准名称2"/>
    <w:basedOn w:val="77"/>
    <w:qFormat/>
    <w:uiPriority w:val="99"/>
    <w:pPr>
      <w:framePr w:y="4469"/>
      <w:spacing w:beforeLines="630"/>
    </w:pPr>
  </w:style>
  <w:style w:type="paragraph" w:customStyle="1" w:styleId="135">
    <w:name w:val="封面标准英文名称2"/>
    <w:basedOn w:val="78"/>
    <w:qFormat/>
    <w:uiPriority w:val="99"/>
    <w:pPr>
      <w:framePr w:y="4469"/>
    </w:pPr>
  </w:style>
  <w:style w:type="paragraph" w:customStyle="1" w:styleId="136">
    <w:name w:val="封面一致性程度标识2"/>
    <w:basedOn w:val="79"/>
    <w:qFormat/>
    <w:uiPriority w:val="99"/>
    <w:pPr>
      <w:framePr w:y="4469"/>
    </w:pPr>
  </w:style>
  <w:style w:type="paragraph" w:customStyle="1" w:styleId="137">
    <w:name w:val="封面标准文稿类别2"/>
    <w:basedOn w:val="80"/>
    <w:qFormat/>
    <w:uiPriority w:val="99"/>
    <w:pPr>
      <w:framePr w:y="4469"/>
    </w:pPr>
  </w:style>
  <w:style w:type="paragraph" w:customStyle="1" w:styleId="138">
    <w:name w:val="封面标准文稿编辑信息2"/>
    <w:basedOn w:val="81"/>
    <w:qFormat/>
    <w:uiPriority w:val="99"/>
    <w:pPr>
      <w:framePr w:y="4469"/>
    </w:pPr>
  </w:style>
  <w:style w:type="paragraph" w:customStyle="1" w:styleId="139">
    <w:name w:val="工作单"/>
    <w:basedOn w:val="1"/>
    <w:qFormat/>
    <w:uiPriority w:val="99"/>
    <w:rPr>
      <w:lang w:val="ru-RU"/>
    </w:rPr>
  </w:style>
  <w:style w:type="character" w:customStyle="1" w:styleId="140">
    <w:name w:val="批注框文本 Char"/>
    <w:basedOn w:val="32"/>
    <w:link w:val="15"/>
    <w:qFormat/>
    <w:locked/>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44"/>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EF83CB-07FF-42F4-98A9-EB98315626A0}">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7</Pages>
  <Words>2286</Words>
  <Characters>2848</Characters>
  <Lines>21</Lines>
  <Paragraphs>6</Paragraphs>
  <TotalTime>1</TotalTime>
  <ScaleCrop>false</ScaleCrop>
  <LinksUpToDate>false</LinksUpToDate>
  <CharactersWithSpaces>2928</CharactersWithSpaces>
  <Application>WPS Office_11.1.0.14178_F1E327BC-269C-435d-A152-05C5408002CA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2014-06-10T01:24:00Z</dcterms:created>
  <dc:creator>CNIS</dc:creator>
  <cp:lastModifiedBy>毛頔</cp:lastModifiedBy>
  <cp:lastPrinted>2013-09-17T02:38:00Z</cp:lastPrinted>
  <dcterms:modified xsi:type="dcterms:W3CDTF">2023-12-05T01:26:28Z</dcterms:modified>
  <dc:title>标准名称</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2052-11.1.0.14178</vt:lpwstr>
  </property>
  <property fmtid="{D5CDD505-2E9C-101B-9397-08002B2CF9AE}" pid="3" name="ICV">
    <vt:lpwstr>7BC2061CEDAB44DE8EDF0D9A71E3459A_12</vt:lpwstr>
  </property>
</Properties>
</file>