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rPr>
          <w:rFonts w:cs="Times New Roman"/>
        </w:rPr>
      </w:pPr>
      <w:r>
        <w:rPr>
          <w:rFonts w:ascii="Times New Roman" w:cs="Times New Roman"/>
        </w:rPr>
        <w:t>ICS</w:t>
      </w:r>
      <w:r>
        <w:rPr>
          <w:rFonts w:hint="eastAsia" w:ascii="MS Mincho" w:hAnsi="MS Mincho" w:eastAsia="MS Mincho" w:cs="MS Mincho"/>
        </w:rPr>
        <w:t> </w:t>
      </w:r>
      <w:bookmarkStart w:id="0" w:name="ICS"/>
      <w:r>
        <w:fldChar w:fldCharType="begin">
          <w:ffData>
            <w:name w:val="ICS"/>
            <w:enabled/>
            <w:calcOnExit w:val="0"/>
            <w:textInput/>
          </w:ffData>
        </w:fldChar>
      </w:r>
      <w:r>
        <w:instrText xml:space="preserve"> FORMTEXT </w:instrText>
      </w:r>
      <w:r>
        <w:fldChar w:fldCharType="separate"/>
      </w:r>
      <w:r>
        <w:t>91.140.70</w:t>
      </w:r>
      <w:r>
        <w:fldChar w:fldCharType="end"/>
      </w:r>
      <w:bookmarkEnd w:id="0"/>
    </w:p>
    <w:p>
      <w:pPr>
        <w:pStyle w:val="125"/>
        <w:rPr>
          <w:rFonts w:cs="Times New Roman"/>
        </w:rPr>
      </w:pPr>
      <w:r>
        <w:rPr>
          <w:rFonts w:hint="eastAsia"/>
        </w:rPr>
        <w:t>Y81</w:t>
      </w:r>
    </w:p>
    <w:p>
      <w:pPr>
        <w:pStyle w:val="66"/>
        <w:rPr>
          <w:rFonts w:cs="Times New Roman"/>
        </w:rPr>
      </w:pPr>
      <w:r>
        <w:rPr>
          <w:rFonts w:hint="eastAsia"/>
        </w:rPr>
        <w:t>团体标准</w:t>
      </w:r>
    </w:p>
    <w:p>
      <w:pPr>
        <w:pStyle w:val="44"/>
        <w:framePr w:x="1817"/>
        <w:rPr>
          <w:rFonts w:cs="Times New Roman"/>
        </w:rPr>
      </w:pPr>
      <w:r>
        <w:rPr>
          <w:rFonts w:hint="eastAsia" w:ascii="Times New Roman" w:cs="Times New Roman"/>
        </w:rPr>
        <w:t>T/CECS  XXXXX-XXXX</w:t>
      </w:r>
    </w:p>
    <w:tbl>
      <w:tblPr>
        <w:tblStyle w:val="30"/>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5"/>
              <w:framePr w:x="1817"/>
              <w:rPr>
                <w:rFonts w:cs="Times New Roman"/>
              </w:rPr>
            </w:pPr>
            <w:bookmarkStart w:id="1" w:name="DT"/>
            <w:r>
              <w:rPr>
                <w:shd w:val="pct10" w:color="auto" w:fill="FFFFFF"/>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1521460</wp:posOffset>
                      </wp:positionV>
                      <wp:extent cx="1143000" cy="228600"/>
                      <wp:effectExtent l="635" t="1270" r="0" b="0"/>
                      <wp:wrapNone/>
                      <wp:docPr id="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119.8pt;height:18pt;width:90pt;z-index:-251656192;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FTog2AAAAAsBAAAPAAAAAAAAAAEAIAAAACIA&#10;AABkcnMvZG93bnJldi54bWxQSwECFAAUAAAACACHTuJAzgru1AkCAAAgBAAADgAAAAAAAAABACAA&#10;AAAnAQAAZHJzL2Uyb0RvYy54bWxQSwUGAAAAAAYABgBZAQAAogUAAAAA&#10;">
                      <v:fill on="t" focussize="0,0"/>
                      <v:stroke on="f"/>
                      <v:imagedata o:title=""/>
                      <o:lock v:ext="edit" aspectratio="f"/>
                    </v:rect>
                  </w:pict>
                </mc:Fallback>
              </mc:AlternateContent>
            </w:r>
            <w:bookmarkEnd w:id="1"/>
          </w:p>
        </w:tc>
      </w:tr>
    </w:tbl>
    <w:p>
      <w:pPr>
        <w:pStyle w:val="44"/>
        <w:framePr w:x="1817"/>
        <w:rPr>
          <w:rFonts w:cs="Times New Roman"/>
        </w:rPr>
      </w:pPr>
      <w:r>
        <w:rPr>
          <w:rFonts w:hint="eastAsia" w:cs="Times New Roman"/>
        </w:rPr>
        <w:t>XX</w:t>
      </w:r>
    </w:p>
    <w:p>
      <w:pPr>
        <w:pStyle w:val="44"/>
        <w:framePr w:x="1817"/>
        <w:rPr>
          <w:rFonts w:cs="Times New Roman"/>
        </w:rPr>
      </w:pPr>
    </w:p>
    <w:p>
      <w:pPr>
        <w:pStyle w:val="77"/>
        <w:framePr w:x="1394" w:y="6252"/>
        <w:rPr>
          <w:rFonts w:cs="Times New Roman"/>
        </w:rPr>
      </w:pPr>
      <w:r>
        <w:rPr>
          <w:rFonts w:hint="eastAsia"/>
        </w:rPr>
        <w:t>绿色建材评价  浴室柜</w:t>
      </w:r>
    </w:p>
    <w:p>
      <w:pPr>
        <w:pStyle w:val="78"/>
        <w:framePr w:x="1394" w:y="6252"/>
      </w:pPr>
      <w:r>
        <w:rPr>
          <w:rFonts w:hint="eastAsia"/>
        </w:rPr>
        <w:t>Green building material assessment- Bathroom cabinet</w:t>
      </w:r>
    </w:p>
    <w:tbl>
      <w:tblPr>
        <w:tblStyle w:val="30"/>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0"/>
              <w:framePr w:x="1394" w:y="6252"/>
              <w:rPr>
                <w:rFonts w:hint="default" w:cs="Times New Roman"/>
                <w:lang w:val="en-US"/>
              </w:rPr>
            </w:pPr>
            <w:r>
              <w:rPr>
                <w:rFonts w:hint="eastAsia"/>
                <w:sz w:val="28"/>
              </w:rPr>
              <w:t>（</w:t>
            </w:r>
            <w:r>
              <w:rPr>
                <w:rFonts w:hint="eastAsia"/>
                <w:sz w:val="28"/>
                <w:lang w:val="en-US" w:eastAsia="zh-CN"/>
              </w:rPr>
              <w:t>征求意见稿</w:t>
            </w:r>
            <w:r>
              <w:rPr>
                <w:rFonts w:hint="eastAsia"/>
                <w:sz w:val="28"/>
              </w:rPr>
              <w:t>）</w:t>
            </w: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3175" r="3810" b="0"/>
                      <wp:wrapNone/>
                      <wp:docPr id="3"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9+DXAAAACwEAAA8AAAAAAAAAAQAgAAAAIgAA&#10;AGRycy9kb3ducmV2LnhtbFBLAQIUABQAAAAIAIdO4kDYFl/HCQIAACAEAAAOAAAAAAAAAAEAIAAA&#10;ACYBAABkcnMvZTJvRG9jLnhtbFBLBQYAAAAABgAGAFkBAAChBQ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1"/>
              <w:framePr w:x="1394" w:y="6252"/>
              <w:rPr>
                <w:rFonts w:cs="Times New Roman"/>
              </w:rPr>
            </w:pPr>
          </w:p>
        </w:tc>
      </w:tr>
    </w:tbl>
    <w:p>
      <w:pPr>
        <w:pStyle w:val="132"/>
        <w:framePr w:hAnchor="page" w:x="1944"/>
      </w:pPr>
      <w:bookmarkStart w:id="2" w:name="FY"/>
      <w:r>
        <w:rPr>
          <w:rFonts w:hint="eastAsia" w:ascii="黑体" w:cs="黑体"/>
        </w:rPr>
        <w:t>20XX-XX-</w:t>
      </w:r>
      <w:bookmarkEnd w:id="2"/>
      <w:r>
        <w:rPr>
          <w:rFonts w:hint="eastAsia" w:ascii="黑体" w:cs="黑体"/>
        </w:rPr>
        <w:t>XX</w:t>
      </w:r>
      <w:r>
        <w:rPr>
          <w:rFonts w:hint="eastAsia" w:cs="黑体"/>
        </w:rPr>
        <w:t>发布</w:t>
      </w:r>
    </w:p>
    <w:p>
      <w:pPr>
        <w:pStyle w:val="133"/>
        <w:ind w:right="560"/>
        <w:jc w:val="center"/>
      </w:pPr>
      <w:bookmarkStart w:id="3" w:name="SY"/>
      <w:r>
        <w:rPr>
          <w:rFonts w:hint="eastAsia" w:ascii="黑体" w:cs="黑体"/>
        </w:rPr>
        <w:t>20XX-XX-XX实施</w:t>
      </w:r>
      <w:bookmarkEnd w:id="3"/>
    </w:p>
    <w:p>
      <w:pPr>
        <w:pStyle w:val="73"/>
        <w:framePr w:h="1115" w:hRule="exact" w:x="2471" w:y="14889"/>
        <w:rPr>
          <w:rFonts w:cs="Times New Roman"/>
        </w:rPr>
      </w:pPr>
      <w:r>
        <w:rPr>
          <w:rFonts w:hint="eastAsia" w:cs="Times New Roman"/>
        </w:rPr>
        <w:t>中国工程建设标准化协会  发布</w:t>
      </w:r>
    </w:p>
    <w:p>
      <w:pPr>
        <w:pStyle w:val="22"/>
        <w:rPr>
          <w:rFonts w:cs="Times New Roman"/>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9031605</wp:posOffset>
                </wp:positionV>
                <wp:extent cx="6415405" cy="19050"/>
                <wp:effectExtent l="13970" t="9525" r="9525" b="9525"/>
                <wp:wrapNone/>
                <wp:docPr id="2" name="AutoShape 20"/>
                <wp:cNvGraphicFramePr/>
                <a:graphic xmlns:a="http://schemas.openxmlformats.org/drawingml/2006/main">
                  <a:graphicData uri="http://schemas.microsoft.com/office/word/2010/wordprocessingShape">
                    <wps:wsp>
                      <wps:cNvCnPr>
                        <a:cxnSpLocks noChangeShapeType="1"/>
                      </wps:cNvCnPr>
                      <wps:spPr bwMode="auto">
                        <a:xfrm>
                          <a:off x="0" y="0"/>
                          <a:ext cx="6415405" cy="19050"/>
                        </a:xfrm>
                        <a:prstGeom prst="straightConnector1">
                          <a:avLst/>
                        </a:prstGeom>
                        <a:noFill/>
                        <a:ln w="9525">
                          <a:solidFill>
                            <a:srgbClr val="000000"/>
                          </a:solidFill>
                          <a:round/>
                        </a:ln>
                      </wps:spPr>
                      <wps:bodyPr/>
                    </wps:wsp>
                  </a:graphicData>
                </a:graphic>
              </wp:anchor>
            </w:drawing>
          </mc:Choice>
          <mc:Fallback>
            <w:pict>
              <v:shape id="AutoShape 20" o:spid="_x0000_s1026" o:spt="32" type="#_x0000_t32" style="position:absolute;left:0pt;margin-left:-0.05pt;margin-top:711.15pt;height:1.5pt;width:505.15pt;z-index:251662336;mso-width-relative:page;mso-height-relative:page;" filled="f" stroked="t" coordsize="21600,21600" o:gfxdata="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koizXYAAAADAEAAA8AAAAA&#10;AAAAAQAgAAAAIgAAAGRycy9kb3ducmV2LnhtbFBLAQIUABQAAAAIAIdO4kBgGJMF2wEAALcDAAAO&#10;AAAAAAAAAAEAIAAAACcBAABkcnMvZTJvRG9jLnhtbFBLBQYAAAAABgAGAFkBAAB0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djjMuMgBAACfAwAADgAAAAAAAAABACAAAAAmAQAAZHJz&#10;L2Uyb0RvYy54bWxQSwUGAAAAAAYABgBZAQAAYAUAAAAA&#10;">
                <v:fill on="f" focussize="0,0"/>
                <v:stroke color="#000000" joinstyle="round"/>
                <v:imagedata o:title=""/>
                <o:lock v:ext="edit" aspectratio="f"/>
                <w10:anchorlock/>
              </v:line>
            </w:pict>
          </mc:Fallback>
        </mc:AlternateContent>
      </w:r>
    </w:p>
    <w:p>
      <w:pPr>
        <w:pStyle w:val="47"/>
      </w:pPr>
      <w:bookmarkStart w:id="4" w:name="_Toc351989532"/>
      <w:bookmarkStart w:id="5" w:name="_Toc390162891"/>
      <w:bookmarkStart w:id="6" w:name="_Toc328405105"/>
      <w:bookmarkStart w:id="7" w:name="_Toc351999915"/>
      <w:bookmarkStart w:id="8" w:name="_Toc323893353"/>
      <w:bookmarkStart w:id="9" w:name="_Toc328406192"/>
      <w:bookmarkStart w:id="10" w:name="_Toc286932007"/>
      <w:bookmarkStart w:id="11" w:name="_Toc286836950"/>
      <w:bookmarkStart w:id="12" w:name="_Toc290563828"/>
      <w:bookmarkStart w:id="13" w:name="_Toc285888568"/>
      <w:bookmarkStart w:id="14" w:name="_Toc390436129"/>
      <w:bookmarkStart w:id="15" w:name="_Toc290561452"/>
      <w:bookmarkStart w:id="16" w:name="_Toc327973900"/>
      <w:bookmarkStart w:id="17" w:name="_Toc364870717"/>
      <w:bookmarkStart w:id="18" w:name="_Toc328828174"/>
      <w:bookmarkStart w:id="19" w:name="_Toc319602700"/>
      <w:bookmarkStart w:id="20" w:name="_Toc323893406"/>
      <w:bookmarkStart w:id="21" w:name="_Toc285888394"/>
      <w:bookmarkStart w:id="22" w:name="_Toc328405811"/>
      <w:bookmarkStart w:id="23" w:name="_Toc287261340"/>
      <w:bookmarkStart w:id="24" w:name="_Toc364927315"/>
      <w:bookmarkStart w:id="25" w:name="_Toc328406327"/>
      <w:bookmarkStart w:id="26" w:name="_Toc286073085"/>
      <w:r>
        <w:rPr>
          <w:rFonts w:hint="eastAsia"/>
        </w:rPr>
        <w:t>目</w:t>
      </w:r>
      <w:bookmarkStart w:id="27" w:name="BKML"/>
      <w:r>
        <w:rPr>
          <w:rFonts w:ascii="Cambria Math" w:hAnsi="Cambria Math" w:cs="Cambria Math"/>
        </w:rPr>
        <w:t>  </w:t>
      </w:r>
      <w:r>
        <w:rPr>
          <w:rFonts w:hint="eastAsia"/>
        </w:rPr>
        <w:t>次</w:t>
      </w:r>
      <w:bookmarkEnd w:id="27"/>
    </w:p>
    <w:p>
      <w:pPr>
        <w:pStyle w:val="18"/>
        <w:spacing w:before="78" w:after="78"/>
        <w:rPr>
          <w:rFonts w:asciiTheme="minorHAnsi" w:hAnsiTheme="minorHAnsi" w:eastAsiaTheme="minorEastAsia" w:cstheme="minorBidi"/>
          <w:szCs w:val="22"/>
        </w:rPr>
      </w:pPr>
      <w:r>
        <w:fldChar w:fldCharType="begin" w:fldLock="1"/>
      </w:r>
      <w:r>
        <w:rPr>
          <w:rFonts w:hint="eastAsia"/>
        </w:rPr>
        <w:instrText xml:space="preserve">TOC \h \z \t"前言、引言标题,1,参考文献、索引标题,1,章标题,1,参考文献,1,附录标识,1" \* MERGEFORMAT</w:instrText>
      </w:r>
      <w:r>
        <w:fldChar w:fldCharType="separate"/>
      </w:r>
      <w:r>
        <w:fldChar w:fldCharType="begin"/>
      </w:r>
      <w:r>
        <w:instrText xml:space="preserve"> HYPERLINK \l "_Toc390436380" </w:instrText>
      </w:r>
      <w:r>
        <w:fldChar w:fldCharType="separate"/>
      </w:r>
      <w:r>
        <w:rPr>
          <w:rStyle w:val="36"/>
          <w:rFonts w:hint="eastAsia"/>
        </w:rPr>
        <w:t>前言</w:t>
      </w:r>
      <w:r>
        <w:tab/>
      </w:r>
      <w:r>
        <w:fldChar w:fldCharType="begin" w:fldLock="1"/>
      </w:r>
      <w:r>
        <w:instrText xml:space="preserve"> PAGEREF _Toc390436380 \h </w:instrText>
      </w:r>
      <w:r>
        <w:fldChar w:fldCharType="separate"/>
      </w:r>
      <w:r>
        <w:t>II</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"_Toc390436381" </w:instrText>
      </w:r>
      <w:r>
        <w:fldChar w:fldCharType="separate"/>
      </w:r>
      <w:r>
        <w:rPr>
          <w:rStyle w:val="36"/>
          <w:rFonts w:cs="Times New Roman"/>
        </w:rPr>
        <w:t>1</w:t>
      </w:r>
      <w:r>
        <w:rPr>
          <w:rStyle w:val="36"/>
          <w:rFonts w:hint="eastAsia"/>
        </w:rPr>
        <w:t>　范围</w:t>
      </w:r>
      <w:r>
        <w:tab/>
      </w:r>
      <w:r>
        <w:fldChar w:fldCharType="begin" w:fldLock="1"/>
      </w:r>
      <w:r>
        <w:instrText xml:space="preserve"> PAGEREF _Toc390436381 \h </w:instrText>
      </w:r>
      <w:r>
        <w:fldChar w:fldCharType="separate"/>
      </w:r>
      <w:r>
        <w:t>1</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"_Toc390436382" </w:instrText>
      </w:r>
      <w:r>
        <w:fldChar w:fldCharType="separate"/>
      </w:r>
      <w:r>
        <w:rPr>
          <w:rStyle w:val="36"/>
          <w:rFonts w:cs="Times New Roman"/>
        </w:rPr>
        <w:t>2</w:t>
      </w:r>
      <w:r>
        <w:rPr>
          <w:rStyle w:val="36"/>
          <w:rFonts w:hint="eastAsia"/>
        </w:rPr>
        <w:t>　规范性引用文件</w:t>
      </w:r>
      <w:r>
        <w:tab/>
      </w:r>
      <w:r>
        <w:fldChar w:fldCharType="begin" w:fldLock="1"/>
      </w:r>
      <w:r>
        <w:instrText xml:space="preserve"> PAGEREF _Toc390436382 \h </w:instrText>
      </w:r>
      <w:r>
        <w:fldChar w:fldCharType="separate"/>
      </w:r>
      <w:r>
        <w:t>1</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"_Toc390436383" </w:instrText>
      </w:r>
      <w:r>
        <w:fldChar w:fldCharType="separate"/>
      </w:r>
      <w:r>
        <w:rPr>
          <w:rStyle w:val="36"/>
          <w:rFonts w:cs="Times New Roman"/>
        </w:rPr>
        <w:t>3</w:t>
      </w:r>
      <w:r>
        <w:rPr>
          <w:rStyle w:val="36"/>
          <w:rFonts w:hint="eastAsia"/>
        </w:rPr>
        <w:t>　术语和定义</w:t>
      </w:r>
      <w:r>
        <w:tab/>
      </w:r>
      <w:r>
        <w:fldChar w:fldCharType="begin" w:fldLock="1"/>
      </w:r>
      <w:r>
        <w:instrText xml:space="preserve"> PAGEREF _Toc390436383 \h </w:instrText>
      </w:r>
      <w:r>
        <w:fldChar w:fldCharType="separate"/>
      </w:r>
      <w:r>
        <w:t>1</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"_Toc390436384" </w:instrText>
      </w:r>
      <w:r>
        <w:fldChar w:fldCharType="separate"/>
      </w:r>
      <w:r>
        <w:rPr>
          <w:rStyle w:val="36"/>
          <w:rFonts w:cs="Times New Roman"/>
        </w:rPr>
        <w:t>4</w:t>
      </w:r>
      <w:r>
        <w:rPr>
          <w:rStyle w:val="36"/>
          <w:rFonts w:hint="eastAsia"/>
        </w:rPr>
        <w:t>　评价要求</w:t>
      </w:r>
      <w:r>
        <w:tab/>
      </w:r>
      <w:r>
        <w:fldChar w:fldCharType="begin" w:fldLock="1"/>
      </w:r>
      <w:r>
        <w:instrText xml:space="preserve"> PAGEREF _Toc390436384 \h </w:instrText>
      </w:r>
      <w:r>
        <w:fldChar w:fldCharType="separate"/>
      </w:r>
      <w:r>
        <w:t>2</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"_Toc390436385" </w:instrText>
      </w:r>
      <w:r>
        <w:fldChar w:fldCharType="separate"/>
      </w:r>
      <w:r>
        <w:rPr>
          <w:rStyle w:val="36"/>
          <w:rFonts w:cs="Times New Roman"/>
        </w:rPr>
        <w:t>5</w:t>
      </w:r>
      <w:r>
        <w:rPr>
          <w:rStyle w:val="36"/>
          <w:rFonts w:hint="eastAsia"/>
        </w:rPr>
        <w:t>　评价方法</w:t>
      </w:r>
      <w:r>
        <w:tab/>
      </w:r>
      <w:r>
        <w:fldChar w:fldCharType="begin" w:fldLock="1"/>
      </w:r>
      <w:r>
        <w:instrText xml:space="preserve"> PAGEREF _Toc390436385 \h </w:instrText>
      </w:r>
      <w:r>
        <w:fldChar w:fldCharType="separate"/>
      </w:r>
      <w:r>
        <w:t>3</w:t>
      </w:r>
      <w:r>
        <w:fldChar w:fldCharType="end"/>
      </w:r>
      <w:r>
        <w:fldChar w:fldCharType="end"/>
      </w:r>
    </w:p>
    <w:p>
      <w:pPr>
        <w:pStyle w:val="18"/>
        <w:spacing w:before="78" w:after="78"/>
        <w:rPr>
          <w:rFonts w:asciiTheme="minorHAnsi" w:hAnsiTheme="minorHAnsi" w:eastAsiaTheme="minorEastAsia" w:cstheme="minorBidi"/>
          <w:szCs w:val="22"/>
        </w:rPr>
      </w:pPr>
    </w:p>
    <w:p>
      <w:pPr>
        <w:pStyle w:val="18"/>
        <w:spacing w:before="78" w:after="78"/>
        <w:rPr>
          <w:rFonts w:asciiTheme="minorHAnsi" w:hAnsiTheme="minorHAnsi" w:eastAsiaTheme="minorEastAsia" w:cstheme="minorBidi"/>
          <w:szCs w:val="22"/>
        </w:rPr>
      </w:pPr>
    </w:p>
    <w:p>
      <w:pPr>
        <w:pStyle w:val="22"/>
      </w:pPr>
      <w:r>
        <w:fldChar w:fldCharType="end"/>
      </w:r>
    </w:p>
    <w:p>
      <w:pPr>
        <w:pStyle w:val="112"/>
        <w:rPr>
          <w:rFonts w:cs="Times New Roman"/>
        </w:rPr>
      </w:pPr>
      <w:bookmarkStart w:id="28" w:name="_Toc390436380"/>
      <w:r>
        <w:rPr>
          <w:rFonts w:hint="eastAsia"/>
        </w:rPr>
        <w:t>前</w:t>
      </w:r>
      <w:bookmarkStart w:id="29" w:name="BKQY"/>
      <w:r>
        <w:rPr>
          <w:rFonts w:cs="Times New Roman"/>
        </w:rPr>
        <w:t>  </w:t>
      </w:r>
      <w:r>
        <w:rPr>
          <w:rFonts w:hint="eastAsia"/>
        </w:rP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8"/>
      <w:bookmarkEnd w:id="29"/>
    </w:p>
    <w:p>
      <w:pPr>
        <w:ind w:firstLine="420" w:firstLineChars="200"/>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rPr>
        <w:t>本文件是按中国工程建设标准化协会《关于印发&lt;2020年第一批协会标准制定、修订计划&gt;的通知》（建标协字〔2020〕14号）的要求制定。</w:t>
      </w:r>
    </w:p>
    <w:p>
      <w:pPr>
        <w:pStyle w:val="22"/>
      </w:pPr>
      <w:r>
        <w:t>本文件的某些内容可能涉及专利。本文件的发布机构不承担识别这些专利的责任。</w:t>
      </w:r>
    </w:p>
    <w:p>
      <w:pPr>
        <w:pStyle w:val="22"/>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提出。</w:t>
      </w:r>
    </w:p>
    <w:p>
      <w:pPr>
        <w:pStyle w:val="22"/>
        <w:rPr>
          <w:rFonts w:ascii="Times New Roman"/>
        </w:rPr>
      </w:pPr>
      <w:r>
        <w:rPr>
          <w:rFonts w:hint="eastAsia"/>
          <w:color w:val="000000"/>
        </w:rPr>
        <w:t>本文件由中国工程建设标准化协会绿色建筑与生态城区分会归口管理</w:t>
      </w:r>
      <w:r>
        <w:rPr>
          <w:rFonts w:ascii="Times New Roman"/>
        </w:rPr>
        <w:t>。</w:t>
      </w:r>
    </w:p>
    <w:p>
      <w:pPr>
        <w:pStyle w:val="22"/>
      </w:pPr>
      <w:r>
        <w:rPr>
          <w:rFonts w:hint="eastAsia"/>
        </w:rPr>
        <w:t>本文件负责起草单位：住房和城乡建设部科技与产业化发展中心。</w:t>
      </w:r>
    </w:p>
    <w:p>
      <w:pPr>
        <w:ind w:firstLine="420" w:firstLineChars="200"/>
        <w:rPr>
          <w:rFonts w:hAnsi="Calibri"/>
          <w:szCs w:val="24"/>
        </w:rPr>
      </w:pPr>
      <w:r>
        <w:rPr>
          <w:rFonts w:hAnsi="Calibri"/>
          <w:szCs w:val="24"/>
        </w:rPr>
        <w:t>本</w:t>
      </w:r>
      <w:r>
        <w:rPr>
          <w:rFonts w:hint="eastAsia" w:hAnsi="Calibri"/>
          <w:szCs w:val="24"/>
        </w:rPr>
        <w:t>文件</w:t>
      </w:r>
      <w:r>
        <w:rPr>
          <w:rFonts w:hAnsi="Calibri"/>
          <w:szCs w:val="24"/>
        </w:rPr>
        <w:t>参加起草单位：</w:t>
      </w:r>
    </w:p>
    <w:p>
      <w:pPr>
        <w:ind w:firstLine="420" w:firstLineChars="200"/>
      </w:pPr>
      <w:r>
        <w:t>本</w:t>
      </w:r>
      <w:r>
        <w:rPr>
          <w:rFonts w:hint="eastAsia"/>
        </w:rPr>
        <w:t>文件</w:t>
      </w:r>
      <w:r>
        <w:t>主要起草人：</w:t>
      </w:r>
    </w:p>
    <w:p>
      <w:pPr>
        <w:ind w:firstLine="420" w:firstLineChars="200"/>
        <w:rPr>
          <w:lang w:val="de-DE"/>
        </w:rPr>
        <w:sectPr>
          <w:headerReference r:id="rId5" w:type="default"/>
          <w:footerReference r:id="rId6" w:type="default"/>
          <w:pgSz w:w="11906" w:h="16838"/>
          <w:pgMar w:top="567" w:right="1134" w:bottom="935" w:left="1418" w:header="1418" w:footer="1134" w:gutter="0"/>
          <w:pgNumType w:fmt="upperRoman" w:start="1"/>
          <w:cols w:space="425" w:num="1"/>
          <w:formProt w:val="0"/>
          <w:docGrid w:type="lines" w:linePitch="312" w:charSpace="0"/>
        </w:sectPr>
      </w:pPr>
      <w:r>
        <w:rPr>
          <w:rFonts w:hint="eastAsia"/>
        </w:rPr>
        <w:t>本文件主要审查人：</w:t>
      </w:r>
    </w:p>
    <w:p>
      <w:pPr>
        <w:pStyle w:val="47"/>
        <w:rPr>
          <w:rFonts w:cs="Times New Roman"/>
        </w:rPr>
      </w:pPr>
      <w:r>
        <w:rPr>
          <w:rFonts w:hint="eastAsia"/>
        </w:rPr>
        <w:t>绿色建材评价  浴室柜</w:t>
      </w:r>
    </w:p>
    <w:p>
      <w:pPr>
        <w:pStyle w:val="42"/>
        <w:spacing w:before="312" w:after="312"/>
        <w:rPr>
          <w:rFonts w:cs="Times New Roman"/>
        </w:rPr>
      </w:pPr>
      <w:bookmarkStart w:id="30" w:name="_Toc290563829"/>
      <w:bookmarkStart w:id="31" w:name="_Toc323893354"/>
      <w:bookmarkStart w:id="32" w:name="_Toc351989533"/>
      <w:bookmarkStart w:id="33" w:name="_Toc328828175"/>
      <w:bookmarkStart w:id="34" w:name="_Toc351999916"/>
      <w:bookmarkStart w:id="35" w:name="_Toc327973901"/>
      <w:bookmarkStart w:id="36" w:name="_Toc364927316"/>
      <w:bookmarkStart w:id="37" w:name="_Toc328406193"/>
      <w:bookmarkStart w:id="38" w:name="_Toc390162892"/>
      <w:bookmarkStart w:id="39" w:name="_Toc328405106"/>
      <w:bookmarkStart w:id="40" w:name="_Toc287261341"/>
      <w:bookmarkStart w:id="41" w:name="_Toc390436381"/>
      <w:bookmarkStart w:id="42" w:name="_Toc364870718"/>
      <w:bookmarkStart w:id="43" w:name="_Toc319602701"/>
      <w:bookmarkStart w:id="44" w:name="_Toc323893407"/>
      <w:bookmarkStart w:id="45" w:name="_Toc328406328"/>
      <w:bookmarkStart w:id="46" w:name="_Toc285888569"/>
      <w:bookmarkStart w:id="47" w:name="_Toc285888395"/>
      <w:bookmarkStart w:id="48" w:name="_Toc290561453"/>
      <w:bookmarkStart w:id="49" w:name="_Toc261537127"/>
      <w:bookmarkStart w:id="50" w:name="_Toc328405812"/>
      <w:bookmarkStart w:id="51" w:name="_Toc390436130"/>
      <w:bookmarkStart w:id="52" w:name="_Toc286073086"/>
      <w:bookmarkStart w:id="53" w:name="_Toc286932008"/>
      <w:bookmarkStart w:id="54" w:name="_Toc286836951"/>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22"/>
        <w:rPr>
          <w:rFonts w:cs="Times New Roman"/>
        </w:rPr>
      </w:pPr>
      <w:r>
        <w:rPr>
          <w:rFonts w:hint="eastAsia"/>
        </w:rPr>
        <w:t>本标准规定了浴室柜产品绿色建材评价的术语和定义、评价要求和评价方法。</w:t>
      </w:r>
    </w:p>
    <w:p>
      <w:pPr>
        <w:pStyle w:val="22"/>
        <w:rPr>
          <w:rFonts w:cs="Times New Roman"/>
        </w:rPr>
      </w:pPr>
      <w:r>
        <w:rPr>
          <w:rFonts w:hint="eastAsia"/>
        </w:rPr>
        <w:t>本标准适用于浴室柜的绿色建材评价。</w:t>
      </w:r>
    </w:p>
    <w:p>
      <w:pPr>
        <w:pStyle w:val="42"/>
        <w:spacing w:before="312" w:after="312"/>
      </w:pPr>
      <w:bookmarkStart w:id="55" w:name="_Toc328406194"/>
      <w:bookmarkStart w:id="56" w:name="_Toc390436382"/>
      <w:bookmarkStart w:id="57" w:name="_Toc285888396"/>
      <w:bookmarkStart w:id="58" w:name="_Toc286836952"/>
      <w:bookmarkStart w:id="59" w:name="_Toc290563830"/>
      <w:bookmarkStart w:id="60" w:name="_Toc323893408"/>
      <w:bookmarkStart w:id="61" w:name="_Toc364927317"/>
      <w:bookmarkStart w:id="62" w:name="_Toc328828176"/>
      <w:bookmarkStart w:id="63" w:name="_Toc390436131"/>
      <w:bookmarkStart w:id="64" w:name="_Toc286073087"/>
      <w:bookmarkStart w:id="65" w:name="_Toc328406329"/>
      <w:bookmarkStart w:id="66" w:name="_Toc390162893"/>
      <w:bookmarkStart w:id="67" w:name="_Toc327973902"/>
      <w:bookmarkStart w:id="68" w:name="_Toc287261342"/>
      <w:bookmarkStart w:id="69" w:name="_Toc285888570"/>
      <w:bookmarkStart w:id="70" w:name="_Toc351999917"/>
      <w:bookmarkStart w:id="71" w:name="_Toc290561454"/>
      <w:bookmarkStart w:id="72" w:name="_Toc286932009"/>
      <w:bookmarkStart w:id="73" w:name="_Toc351989534"/>
      <w:bookmarkStart w:id="74" w:name="_Toc328405813"/>
      <w:bookmarkStart w:id="75" w:name="_Toc328405107"/>
      <w:bookmarkStart w:id="76" w:name="_Toc319602702"/>
      <w:bookmarkStart w:id="77" w:name="_Toc261537128"/>
      <w:bookmarkStart w:id="78" w:name="_Toc364870719"/>
      <w:bookmarkStart w:id="79" w:name="_Toc323893355"/>
      <w:r>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22"/>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2"/>
      </w:pPr>
      <w:r>
        <w:t xml:space="preserve">GB 18597 </w:t>
      </w:r>
      <w:r>
        <w:rPr>
          <w:rFonts w:hint="eastAsia"/>
        </w:rPr>
        <w:t xml:space="preserve">    危险废物贮存污染控制标准</w:t>
      </w:r>
    </w:p>
    <w:p>
      <w:pPr>
        <w:pStyle w:val="22"/>
      </w:pPr>
      <w:r>
        <w:rPr>
          <w:rFonts w:hint="eastAsia"/>
        </w:rPr>
        <w:t>GB 1858</w:t>
      </w:r>
      <w:r>
        <w:t xml:space="preserve">4     </w:t>
      </w:r>
      <w:r>
        <w:rPr>
          <w:rFonts w:hint="eastAsia" w:ascii="Times New Roman" w:cstheme="minorEastAsia"/>
          <w:szCs w:val="18"/>
        </w:rPr>
        <w:t xml:space="preserve">室内装饰装修材料 </w:t>
      </w:r>
      <w:r>
        <w:rPr>
          <w:rFonts w:ascii="Times New Roman" w:cstheme="minorEastAsia"/>
          <w:szCs w:val="18"/>
        </w:rPr>
        <w:t xml:space="preserve"> </w:t>
      </w:r>
      <w:r>
        <w:rPr>
          <w:rFonts w:hint="eastAsia" w:ascii="Times New Roman" w:cstheme="minorEastAsia"/>
          <w:szCs w:val="18"/>
        </w:rPr>
        <w:t>木家具中有害物质限量</w:t>
      </w:r>
    </w:p>
    <w:p>
      <w:pPr>
        <w:pStyle w:val="22"/>
      </w:pPr>
      <w:r>
        <w:t xml:space="preserve">GB 18599 </w:t>
      </w:r>
      <w:r>
        <w:rPr>
          <w:rFonts w:hint="eastAsia"/>
        </w:rPr>
        <w:t xml:space="preserve">    一般工业固体废弃物贮存、处置场污染控制标准</w:t>
      </w:r>
    </w:p>
    <w:p>
      <w:pPr>
        <w:pStyle w:val="22"/>
      </w:pPr>
      <w:r>
        <w:t>GB/T</w:t>
      </w:r>
      <w:r>
        <w:rPr>
          <w:rFonts w:hint="eastAsia"/>
        </w:rPr>
        <w:t xml:space="preserve"> 19001   质量管理体系要求</w:t>
      </w:r>
    </w:p>
    <w:p>
      <w:pPr>
        <w:widowControl/>
        <w:tabs>
          <w:tab w:val="center" w:pos="4201"/>
          <w:tab w:val="right" w:leader="dot" w:pos="9298"/>
        </w:tabs>
        <w:autoSpaceDE w:val="0"/>
        <w:autoSpaceDN w:val="0"/>
        <w:ind w:firstLine="420" w:firstLineChars="200"/>
        <w:rPr>
          <w:rFonts w:ascii="宋体" w:cs="宋体"/>
          <w:kern w:val="0"/>
        </w:rPr>
      </w:pPr>
      <w:r>
        <w:rPr>
          <w:rFonts w:hint="eastAsia" w:ascii="宋体" w:cs="宋体"/>
          <w:kern w:val="0"/>
        </w:rPr>
        <w:t xml:space="preserve">GB/T 23331 </w:t>
      </w:r>
      <w:r>
        <w:rPr>
          <w:rFonts w:ascii="宋体" w:cs="宋体"/>
          <w:kern w:val="0"/>
        </w:rPr>
        <w:t xml:space="preserve">  </w:t>
      </w:r>
      <w:r>
        <w:rPr>
          <w:rFonts w:hint="eastAsia" w:ascii="宋体" w:cs="宋体"/>
          <w:kern w:val="0"/>
        </w:rPr>
        <w:t>能源管理体系 要求及使用指南</w:t>
      </w:r>
    </w:p>
    <w:p>
      <w:pPr>
        <w:pStyle w:val="22"/>
      </w:pPr>
      <w:r>
        <w:t>GB/T</w:t>
      </w:r>
      <w:r>
        <w:rPr>
          <w:rFonts w:hint="eastAsia"/>
        </w:rPr>
        <w:t xml:space="preserve"> 24001   环境管理体系要求及使用指南 </w:t>
      </w:r>
    </w:p>
    <w:p>
      <w:pPr>
        <w:pStyle w:val="22"/>
      </w:pPr>
      <w:r>
        <w:t>GB</w:t>
      </w:r>
      <w:r>
        <w:rPr>
          <w:rFonts w:hint="eastAsia"/>
        </w:rPr>
        <w:t xml:space="preserve"> 24977     卫浴家具</w:t>
      </w:r>
    </w:p>
    <w:p>
      <w:pPr>
        <w:pStyle w:val="22"/>
      </w:pPr>
      <w:r>
        <w:t>GB/T</w:t>
      </w:r>
      <w:r>
        <w:rPr>
          <w:rFonts w:hint="eastAsia"/>
        </w:rPr>
        <w:t xml:space="preserve"> 28001   职业健康安全管理体系要求</w:t>
      </w:r>
    </w:p>
    <w:p>
      <w:pPr>
        <w:pStyle w:val="22"/>
        <w:rPr>
          <w:rFonts w:hint="eastAsia"/>
        </w:rPr>
      </w:pPr>
      <w:r>
        <w:rPr>
          <w:rFonts w:hint="eastAsia"/>
        </w:rPr>
        <w:t>G</w:t>
      </w:r>
      <w:r>
        <w:t>B</w:t>
      </w:r>
      <w:r>
        <w:rPr>
          <w:rFonts w:hint="eastAsia"/>
        </w:rPr>
        <w:t>/</w:t>
      </w:r>
      <w:r>
        <w:t xml:space="preserve">T 6461    </w:t>
      </w:r>
      <w:r>
        <w:rPr>
          <w:rFonts w:hint="eastAsia"/>
        </w:rPr>
        <w:t>金属基体上金属和其他无机覆盖层 经腐蚀试验后的试样和试件的评级</w:t>
      </w:r>
    </w:p>
    <w:p>
      <w:pPr>
        <w:pStyle w:val="22"/>
      </w:pPr>
      <w:r>
        <w:rPr>
          <w:rFonts w:hint="eastAsia"/>
        </w:rPr>
        <w:t>GB 6566</w:t>
      </w:r>
      <w:r>
        <w:t xml:space="preserve"> </w:t>
      </w:r>
      <w:r>
        <w:rPr>
          <w:rFonts w:hint="eastAsia"/>
        </w:rPr>
        <w:t xml:space="preserve"> </w:t>
      </w:r>
      <w:r>
        <w:t xml:space="preserve">    </w:t>
      </w:r>
      <w:r>
        <w:rPr>
          <w:rFonts w:hint="eastAsia"/>
        </w:rPr>
        <w:t>建筑材料放射性核素限量</w:t>
      </w:r>
    </w:p>
    <w:p>
      <w:pPr>
        <w:pStyle w:val="42"/>
        <w:spacing w:before="312" w:after="312"/>
        <w:rPr>
          <w:rFonts w:cs="Times New Roman"/>
        </w:rPr>
      </w:pPr>
      <w:bookmarkStart w:id="80" w:name="_Toc328406195"/>
      <w:bookmarkStart w:id="81" w:name="_Toc323893356"/>
      <w:bookmarkStart w:id="82" w:name="_Toc390162894"/>
      <w:bookmarkStart w:id="83" w:name="_Toc328405814"/>
      <w:bookmarkStart w:id="84" w:name="_Toc290563831"/>
      <w:bookmarkStart w:id="85" w:name="_Toc351999918"/>
      <w:bookmarkStart w:id="86" w:name="_Toc351989535"/>
      <w:bookmarkStart w:id="87" w:name="_Toc364927318"/>
      <w:bookmarkStart w:id="88" w:name="_Toc390436383"/>
      <w:bookmarkStart w:id="89" w:name="_Toc286932010"/>
      <w:bookmarkStart w:id="90" w:name="_Toc390436132"/>
      <w:bookmarkStart w:id="91" w:name="_Toc290561455"/>
      <w:bookmarkStart w:id="92" w:name="_Toc328828177"/>
      <w:bookmarkStart w:id="93" w:name="_Toc286073088"/>
      <w:bookmarkStart w:id="94" w:name="_Toc364870720"/>
      <w:bookmarkStart w:id="95" w:name="_Toc287261343"/>
      <w:bookmarkStart w:id="96" w:name="_Toc285888571"/>
      <w:bookmarkStart w:id="97" w:name="_Toc319602703"/>
      <w:bookmarkStart w:id="98" w:name="_Toc328405108"/>
      <w:bookmarkStart w:id="99" w:name="_Toc286836953"/>
      <w:bookmarkStart w:id="100" w:name="_Toc285888397"/>
      <w:bookmarkStart w:id="101" w:name="_Toc328406330"/>
      <w:bookmarkStart w:id="102" w:name="_Toc327973903"/>
      <w:bookmarkStart w:id="103" w:name="_Toc323893409"/>
      <w:r>
        <w:rPr>
          <w:rFonts w:hint="eastAsia"/>
        </w:rPr>
        <w:t>术语和定义</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22"/>
        <w:rPr>
          <w:rFonts w:cs="Times New Roman"/>
          <w:color w:val="000000"/>
        </w:rPr>
      </w:pPr>
      <w:r>
        <w:rPr>
          <w:rFonts w:hint="eastAsia"/>
          <w:color w:val="000000"/>
        </w:rPr>
        <w:t>下列术语和定义适用于本文件。</w:t>
      </w:r>
    </w:p>
    <w:p>
      <w:pPr>
        <w:pStyle w:val="39"/>
        <w:spacing w:before="156" w:after="156"/>
        <w:rPr>
          <w:rFonts w:cs="Times New Roman"/>
        </w:rPr>
      </w:pPr>
      <w:bookmarkStart w:id="104" w:name="_Toc323893357"/>
      <w:bookmarkEnd w:id="104"/>
      <w:bookmarkStart w:id="105" w:name="_Toc285888398"/>
    </w:p>
    <w:bookmarkEnd w:id="105"/>
    <w:p>
      <w:pPr>
        <w:pStyle w:val="39"/>
        <w:numPr>
          <w:ilvl w:val="0"/>
          <w:numId w:val="0"/>
        </w:numPr>
        <w:spacing w:before="156" w:after="156"/>
        <w:ind w:firstLine="420" w:firstLineChars="200"/>
      </w:pPr>
      <w:bookmarkStart w:id="106" w:name="_Toc323893358"/>
      <w:r>
        <w:rPr>
          <w:rFonts w:hint="eastAsia"/>
        </w:rPr>
        <w:t>绿色建材</w:t>
      </w:r>
      <w:r>
        <w:t xml:space="preserve"> </w:t>
      </w:r>
      <w:r>
        <w:rPr>
          <w:rFonts w:hint="eastAsia"/>
        </w:rPr>
        <w:t>green</w:t>
      </w:r>
      <w:r>
        <w:t xml:space="preserve"> </w:t>
      </w:r>
      <w:r>
        <w:rPr>
          <w:rFonts w:hint="eastAsia"/>
        </w:rPr>
        <w:t>building</w:t>
      </w:r>
      <w:r>
        <w:t xml:space="preserve"> </w:t>
      </w:r>
      <w:bookmarkEnd w:id="106"/>
      <w:r>
        <w:rPr>
          <w:rFonts w:hint="eastAsia"/>
        </w:rPr>
        <w:t>material</w:t>
      </w:r>
    </w:p>
    <w:p>
      <w:pPr>
        <w:pStyle w:val="22"/>
        <w:rPr>
          <w:rFonts w:cs="Times New Roman"/>
        </w:rPr>
      </w:pPr>
      <w:r>
        <w:rPr>
          <w:rFonts w:hint="eastAsia"/>
        </w:rPr>
        <w:t>是指在全生命周期内可减少对天然资源消耗和减轻对生态环境影响，具有“节能、减排、安全、便利和可循环”特征的建材产品。</w:t>
      </w:r>
    </w:p>
    <w:p>
      <w:pPr>
        <w:pStyle w:val="39"/>
        <w:spacing w:before="156" w:after="156"/>
        <w:rPr>
          <w:rFonts w:cs="Times New Roman"/>
        </w:rPr>
      </w:pPr>
      <w:bookmarkStart w:id="107" w:name="_Toc323893359"/>
      <w:bookmarkEnd w:id="107"/>
      <w:bookmarkStart w:id="108" w:name="_Toc285888401"/>
    </w:p>
    <w:p>
      <w:pPr>
        <w:pStyle w:val="39"/>
        <w:numPr>
          <w:ilvl w:val="0"/>
          <w:numId w:val="0"/>
        </w:numPr>
        <w:spacing w:before="156" w:after="156"/>
        <w:ind w:firstLine="420" w:firstLineChars="200"/>
      </w:pPr>
      <w:bookmarkStart w:id="109" w:name="_Toc323893360"/>
      <w:r>
        <w:rPr>
          <w:rFonts w:hint="eastAsia"/>
        </w:rPr>
        <w:t>绿色建材评价</w:t>
      </w:r>
      <w:r>
        <w:t xml:space="preserve"> </w:t>
      </w:r>
      <w:bookmarkEnd w:id="109"/>
      <w:r>
        <w:rPr>
          <w:rFonts w:hint="eastAsia"/>
        </w:rPr>
        <w:t>green</w:t>
      </w:r>
      <w:r>
        <w:t xml:space="preserve"> </w:t>
      </w:r>
      <w:r>
        <w:rPr>
          <w:rFonts w:hint="eastAsia"/>
        </w:rPr>
        <w:t>building</w:t>
      </w:r>
      <w:r>
        <w:t xml:space="preserve"> </w:t>
      </w:r>
      <w:r>
        <w:rPr>
          <w:rFonts w:hint="eastAsia"/>
        </w:rPr>
        <w:t>material assessment</w:t>
      </w:r>
    </w:p>
    <w:p>
      <w:pPr>
        <w:pStyle w:val="22"/>
        <w:rPr>
          <w:rFonts w:cs="Times New Roman"/>
          <w:color w:val="000000"/>
        </w:rPr>
      </w:pPr>
      <w:r>
        <w:rPr>
          <w:rFonts w:hint="eastAsia"/>
          <w:color w:val="000000"/>
        </w:rPr>
        <w:t>依据绿色建材评价技术标准，按照程序和要求对申请开展评价的建材产品进行评价，确认其等级的活动。</w:t>
      </w:r>
    </w:p>
    <w:p>
      <w:pPr>
        <w:pStyle w:val="39"/>
        <w:spacing w:before="156" w:after="156"/>
        <w:rPr>
          <w:rFonts w:cs="Times New Roman"/>
        </w:rPr>
      </w:pPr>
      <w:bookmarkStart w:id="110" w:name="_Toc323893361"/>
      <w:bookmarkEnd w:id="110"/>
    </w:p>
    <w:p>
      <w:pPr>
        <w:pStyle w:val="39"/>
        <w:numPr>
          <w:ilvl w:val="0"/>
          <w:numId w:val="0"/>
        </w:numPr>
        <w:spacing w:before="156" w:after="156"/>
        <w:ind w:firstLine="420" w:firstLineChars="200"/>
      </w:pPr>
      <w:bookmarkStart w:id="111" w:name="_Toc323893362"/>
      <w:r>
        <w:rPr>
          <w:rFonts w:hint="eastAsia"/>
        </w:rPr>
        <w:t>评价等级</w:t>
      </w:r>
      <w:r>
        <w:t xml:space="preserve"> </w:t>
      </w:r>
      <w:r>
        <w:rPr>
          <w:rFonts w:hint="eastAsia"/>
        </w:rPr>
        <w:t>assessment</w:t>
      </w:r>
      <w:r>
        <w:t xml:space="preserve"> </w:t>
      </w:r>
      <w:bookmarkEnd w:id="108"/>
      <w:bookmarkEnd w:id="111"/>
      <w:r>
        <w:rPr>
          <w:rFonts w:hint="eastAsia"/>
        </w:rPr>
        <w:t>level</w:t>
      </w:r>
    </w:p>
    <w:p>
      <w:pPr>
        <w:pStyle w:val="22"/>
      </w:pPr>
      <w:r>
        <w:rPr>
          <w:rFonts w:hint="eastAsia"/>
        </w:rPr>
        <w:t>产品评价结果所达到的绿色建材级别，由低到高分为一星级、二星级和三星级。</w:t>
      </w:r>
    </w:p>
    <w:p>
      <w:pPr>
        <w:pStyle w:val="39"/>
        <w:spacing w:before="156" w:after="156"/>
        <w:rPr>
          <w:rFonts w:cs="Times New Roman"/>
        </w:rPr>
      </w:pPr>
      <w:bookmarkStart w:id="112" w:name="_Toc323893363"/>
      <w:bookmarkEnd w:id="112"/>
      <w:bookmarkStart w:id="113" w:name="_Toc285888402"/>
    </w:p>
    <w:p>
      <w:pPr>
        <w:pStyle w:val="39"/>
        <w:numPr>
          <w:ilvl w:val="0"/>
          <w:numId w:val="0"/>
        </w:numPr>
        <w:spacing w:before="156" w:after="156"/>
        <w:ind w:firstLine="420" w:firstLineChars="200"/>
      </w:pPr>
      <w:bookmarkStart w:id="114" w:name="_Toc323893364"/>
      <w:r>
        <w:rPr>
          <w:rFonts w:hint="eastAsia"/>
        </w:rPr>
        <w:t>环境产品声明</w:t>
      </w:r>
      <w:r>
        <w:t xml:space="preserve"> </w:t>
      </w:r>
      <w:r>
        <w:rPr>
          <w:rFonts w:hint="eastAsia"/>
        </w:rPr>
        <w:t>envlronmental product declaration</w:t>
      </w:r>
      <w:r>
        <w:t xml:space="preserve"> </w:t>
      </w:r>
      <w:bookmarkEnd w:id="114"/>
    </w:p>
    <w:p>
      <w:pPr>
        <w:pStyle w:val="22"/>
        <w:rPr>
          <w:rFonts w:cs="Times New Roman"/>
          <w:color w:val="000000"/>
        </w:rPr>
      </w:pPr>
      <w:r>
        <w:rPr>
          <w:rFonts w:hint="eastAsia"/>
          <w:color w:val="000000"/>
        </w:rPr>
        <w:t>提供基于预设参数的量化环境数据的环境声明，必要时包括附加环境信息。</w:t>
      </w:r>
    </w:p>
    <w:p>
      <w:pPr>
        <w:pStyle w:val="39"/>
        <w:spacing w:before="156" w:after="156"/>
        <w:rPr>
          <w:rFonts w:cs="Times New Roman"/>
        </w:rPr>
      </w:pPr>
      <w:bookmarkStart w:id="115" w:name="_Toc323893365"/>
      <w:bookmarkEnd w:id="115"/>
    </w:p>
    <w:p>
      <w:pPr>
        <w:pStyle w:val="39"/>
        <w:numPr>
          <w:ilvl w:val="0"/>
          <w:numId w:val="0"/>
        </w:numPr>
        <w:spacing w:before="156" w:after="156"/>
        <w:ind w:firstLine="420" w:firstLineChars="200"/>
      </w:pPr>
      <w:bookmarkStart w:id="116" w:name="_Toc323893366"/>
      <w:r>
        <w:rPr>
          <w:rFonts w:hint="eastAsia"/>
        </w:rPr>
        <w:t>碳足迹</w:t>
      </w:r>
      <w:r>
        <w:t xml:space="preserve"> </w:t>
      </w:r>
      <w:bookmarkEnd w:id="113"/>
      <w:bookmarkEnd w:id="116"/>
      <w:r>
        <w:rPr>
          <w:rFonts w:hint="eastAsia"/>
        </w:rPr>
        <w:t>carbon footprint</w:t>
      </w:r>
    </w:p>
    <w:p>
      <w:pPr>
        <w:pStyle w:val="22"/>
        <w:rPr>
          <w:rFonts w:cs="Times New Roman"/>
          <w:color w:val="3366FF"/>
        </w:rPr>
      </w:pPr>
      <w:r>
        <w:rPr>
          <w:rFonts w:hint="eastAsia"/>
          <w:color w:val="000000"/>
        </w:rPr>
        <w:t>用以量化过程、过程系统或产品系统温室气体排放的参数，以表现它们对气候变化的贡献</w:t>
      </w:r>
      <w:r>
        <w:rPr>
          <w:rFonts w:hint="eastAsia"/>
          <w:color w:val="3366FF"/>
        </w:rPr>
        <w:t>。</w:t>
      </w:r>
    </w:p>
    <w:p>
      <w:pPr>
        <w:pStyle w:val="39"/>
        <w:spacing w:before="156" w:after="156"/>
        <w:rPr>
          <w:rFonts w:cs="Times New Roman"/>
        </w:rPr>
      </w:pPr>
      <w:bookmarkStart w:id="117" w:name="_Toc323893367"/>
      <w:bookmarkEnd w:id="117"/>
    </w:p>
    <w:p>
      <w:pPr>
        <w:pStyle w:val="39"/>
        <w:numPr>
          <w:ilvl w:val="0"/>
          <w:numId w:val="0"/>
        </w:numPr>
        <w:spacing w:before="156" w:after="156"/>
        <w:ind w:firstLine="420" w:firstLineChars="200"/>
        <w:rPr>
          <w:rFonts w:cs="Times New Roman"/>
        </w:rPr>
      </w:pPr>
      <w:r>
        <w:rPr>
          <w:rFonts w:hint="eastAsia"/>
        </w:rPr>
        <w:t>浴室柜 bathroom cabinet</w:t>
      </w:r>
    </w:p>
    <w:p>
      <w:pPr>
        <w:pStyle w:val="22"/>
      </w:pPr>
      <w:r>
        <w:rPr>
          <w:rFonts w:hint="eastAsia"/>
        </w:rPr>
        <w:t>卫生间、浴室中用于台盆支撑，具有存放、储藏、洗漱、化妆等功能的柜（台）、架类，包括主柜、侧柜、吊柜、台盆、化妆镜或镜柜等配件及其组合。</w:t>
      </w:r>
    </w:p>
    <w:p>
      <w:pPr>
        <w:pStyle w:val="42"/>
        <w:spacing w:before="156" w:beforeLines="50" w:after="156" w:afterLines="50"/>
        <w:rPr>
          <w:rFonts w:cs="Times New Roman"/>
        </w:rPr>
      </w:pPr>
      <w:bookmarkStart w:id="118" w:name="_Toc323893369"/>
      <w:bookmarkEnd w:id="118"/>
      <w:r>
        <w:rPr>
          <w:rFonts w:hint="eastAsia"/>
        </w:rPr>
        <w:t>评价要求</w:t>
      </w:r>
    </w:p>
    <w:p>
      <w:pPr>
        <w:pStyle w:val="39"/>
        <w:spacing w:before="156" w:after="156"/>
      </w:pPr>
      <w:r>
        <w:rPr>
          <w:rFonts w:hint="eastAsia"/>
        </w:rPr>
        <w:t>一般要求</w:t>
      </w:r>
    </w:p>
    <w:p>
      <w:pPr>
        <w:pStyle w:val="62"/>
      </w:pPr>
      <w:r>
        <w:rPr>
          <w:rFonts w:hint="eastAsia"/>
        </w:rPr>
        <w:t>浴室柜产品的基本性能</w:t>
      </w:r>
      <w:r>
        <w:rPr>
          <w:rFonts w:hint="eastAsia"/>
          <w:lang w:val="en-US" w:eastAsia="zh-CN"/>
        </w:rPr>
        <w:t>应满足</w:t>
      </w:r>
      <w:r>
        <w:rPr>
          <w:rFonts w:hint="eastAsia"/>
        </w:rPr>
        <w:t>GB</w:t>
      </w:r>
      <w:r>
        <w:rPr>
          <w:rFonts w:hint="eastAsia"/>
          <w:lang w:val="en-US" w:eastAsia="zh-CN"/>
        </w:rPr>
        <w:t>/T</w:t>
      </w:r>
      <w:r>
        <w:rPr>
          <w:rFonts w:hint="eastAsia"/>
        </w:rPr>
        <w:t xml:space="preserve"> 24977的要求。</w:t>
      </w:r>
    </w:p>
    <w:p>
      <w:pPr>
        <w:pStyle w:val="62"/>
      </w:pPr>
      <w:bookmarkStart w:id="119" w:name="_Toc285888409"/>
      <w:r>
        <w:rPr>
          <w:rFonts w:hint="eastAsia" w:cs="Times New Roman"/>
        </w:rPr>
        <w:t>生产企业近三年无重大环境污染事件和导致人员死亡的安全生产事故。</w:t>
      </w:r>
    </w:p>
    <w:p>
      <w:pPr>
        <w:pStyle w:val="62"/>
      </w:pPr>
      <w:r>
        <w:rPr>
          <w:rFonts w:hint="eastAsia" w:cs="Times New Roman"/>
        </w:rPr>
        <w:t>一般固体废弃物的收集、贮存、处置应符合GB 18599的相关规定，危险废物的贮存应符合GB 18597的相关规定，后续应交付持有危险废物经营许可证的单位处置。</w:t>
      </w:r>
    </w:p>
    <w:p>
      <w:pPr>
        <w:pStyle w:val="62"/>
      </w:pPr>
      <w:r>
        <w:rPr>
          <w:rFonts w:hint="eastAsia"/>
        </w:rPr>
        <w:t>生产企业应采用国家鼓励的先进技术工艺，不应使用国家或有关部门发布的淘汰或禁止的技术、工艺、装备及相关物质。</w:t>
      </w:r>
    </w:p>
    <w:p>
      <w:pPr>
        <w:pStyle w:val="62"/>
      </w:pPr>
      <w:r>
        <w:rPr>
          <w:rFonts w:hint="eastAsia"/>
        </w:rPr>
        <w:t>生产企业应按照GB/T 19001、GB/T 24001要求建立并运行质量管理体系、环境管理体系。</w:t>
      </w:r>
    </w:p>
    <w:p>
      <w:pPr>
        <w:pStyle w:val="62"/>
      </w:pPr>
      <w:r>
        <w:rPr>
          <w:rFonts w:hint="eastAsia"/>
        </w:rPr>
        <w:t>生产企业近三年无重大产品质量责任事故。</w:t>
      </w:r>
    </w:p>
    <w:p>
      <w:pPr>
        <w:pStyle w:val="62"/>
      </w:pPr>
      <w:r>
        <w:rPr>
          <w:rFonts w:hint="eastAsia"/>
        </w:rPr>
        <w:t>申请不同等级的生产企业还应符合表1的规定。</w:t>
      </w:r>
    </w:p>
    <w:p>
      <w:pPr>
        <w:pStyle w:val="62"/>
        <w:numPr>
          <w:ilvl w:val="0"/>
          <w:numId w:val="0"/>
        </w:numPr>
      </w:pPr>
    </w:p>
    <w:tbl>
      <w:tblPr>
        <w:tblStyle w:val="31"/>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786"/>
        <w:gridCol w:w="1699"/>
        <w:gridCol w:w="1561"/>
        <w:gridCol w:w="1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487" w:type="pct"/>
            <w:vMerge w:val="restart"/>
            <w:vAlign w:val="center"/>
          </w:tcPr>
          <w:p>
            <w:pPr>
              <w:jc w:val="center"/>
              <w:rPr>
                <w:rFonts w:ascii="宋体" w:cs="Times New Roman"/>
                <w:kern w:val="0"/>
                <w:sz w:val="18"/>
                <w:szCs w:val="18"/>
              </w:rPr>
            </w:pPr>
            <w:r>
              <w:rPr>
                <w:rFonts w:hint="eastAsia" w:ascii="宋体" w:cs="Times New Roman"/>
                <w:kern w:val="0"/>
                <w:sz w:val="18"/>
                <w:szCs w:val="18"/>
              </w:rPr>
              <w:t>对企业要求</w:t>
            </w:r>
          </w:p>
        </w:tc>
        <w:tc>
          <w:tcPr>
            <w:tcW w:w="2513" w:type="pct"/>
            <w:gridSpan w:val="3"/>
          </w:tcPr>
          <w:p>
            <w:pPr>
              <w:jc w:val="center"/>
              <w:rPr>
                <w:rFonts w:ascii="宋体" w:cs="Times New Roman"/>
                <w:kern w:val="0"/>
                <w:sz w:val="18"/>
                <w:szCs w:val="18"/>
              </w:rPr>
            </w:pPr>
            <w:r>
              <w:rPr>
                <w:rFonts w:hint="eastAsia" w:ascii="宋体" w:cs="Times New Roman"/>
                <w:kern w:val="0"/>
                <w:sz w:val="18"/>
                <w:szCs w:val="18"/>
              </w:rPr>
              <w:t>不同评价等级符合项数要求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487" w:type="pct"/>
            <w:vMerge w:val="continue"/>
          </w:tcPr>
          <w:p>
            <w:pPr>
              <w:pStyle w:val="39"/>
              <w:numPr>
                <w:ilvl w:val="0"/>
                <w:numId w:val="0"/>
              </w:numPr>
              <w:spacing w:before="156" w:after="156"/>
              <w:rPr>
                <w:sz w:val="18"/>
                <w:szCs w:val="18"/>
              </w:rPr>
            </w:pPr>
          </w:p>
        </w:tc>
        <w:tc>
          <w:tcPr>
            <w:tcW w:w="883" w:type="pct"/>
          </w:tcPr>
          <w:p>
            <w:pPr>
              <w:jc w:val="center"/>
              <w:rPr>
                <w:rFonts w:ascii="宋体" w:cs="Times New Roman"/>
                <w:kern w:val="0"/>
                <w:sz w:val="18"/>
                <w:szCs w:val="18"/>
              </w:rPr>
            </w:pPr>
            <w:r>
              <w:rPr>
                <w:rFonts w:hint="eastAsia" w:ascii="宋体" w:cs="Times New Roman"/>
                <w:kern w:val="0"/>
                <w:sz w:val="18"/>
                <w:szCs w:val="18"/>
              </w:rPr>
              <w:t>一星级</w:t>
            </w:r>
          </w:p>
        </w:tc>
        <w:tc>
          <w:tcPr>
            <w:tcW w:w="811" w:type="pct"/>
          </w:tcPr>
          <w:p>
            <w:pPr>
              <w:jc w:val="center"/>
              <w:rPr>
                <w:rFonts w:ascii="宋体" w:cs="Times New Roman"/>
                <w:kern w:val="0"/>
                <w:sz w:val="18"/>
                <w:szCs w:val="18"/>
              </w:rPr>
            </w:pPr>
            <w:r>
              <w:rPr>
                <w:rFonts w:hint="eastAsia" w:ascii="宋体" w:cs="Times New Roman"/>
                <w:kern w:val="0"/>
                <w:sz w:val="18"/>
                <w:szCs w:val="18"/>
              </w:rPr>
              <w:t>二星级</w:t>
            </w:r>
          </w:p>
        </w:tc>
        <w:tc>
          <w:tcPr>
            <w:tcW w:w="819" w:type="pct"/>
          </w:tcPr>
          <w:p>
            <w:pPr>
              <w:jc w:val="center"/>
              <w:rPr>
                <w:rFonts w:ascii="宋体" w:cs="Times New Roman"/>
                <w:kern w:val="0"/>
                <w:sz w:val="18"/>
                <w:szCs w:val="18"/>
              </w:rPr>
            </w:pPr>
            <w:r>
              <w:rPr>
                <w:rFonts w:hint="eastAsia" w:ascii="宋体" w:cs="Times New Roman"/>
                <w:kern w:val="0"/>
                <w:sz w:val="18"/>
                <w:szCs w:val="18"/>
              </w:rPr>
              <w:t>三星级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jc w:val="center"/>
        </w:trPr>
        <w:tc>
          <w:tcPr>
            <w:tcW w:w="2487" w:type="pct"/>
            <w:vAlign w:val="center"/>
          </w:tcPr>
          <w:p>
            <w:pPr>
              <w:jc w:val="center"/>
              <w:rPr>
                <w:rFonts w:ascii="宋体" w:cs="Times New Roman"/>
                <w:kern w:val="0"/>
                <w:sz w:val="18"/>
                <w:szCs w:val="18"/>
              </w:rPr>
            </w:pPr>
            <w:r>
              <w:rPr>
                <w:rFonts w:hint="eastAsia" w:ascii="宋体" w:cs="Times New Roman"/>
                <w:kern w:val="0"/>
                <w:sz w:val="18"/>
                <w:szCs w:val="18"/>
              </w:rPr>
              <w:t>提交浴室柜环境产品声明（EPD）和碳足迹报告</w:t>
            </w:r>
          </w:p>
        </w:tc>
        <w:tc>
          <w:tcPr>
            <w:tcW w:w="1693" w:type="pct"/>
            <w:gridSpan w:val="2"/>
            <w:vMerge w:val="restart"/>
            <w:vAlign w:val="center"/>
          </w:tcPr>
          <w:p>
            <w:pPr>
              <w:jc w:val="center"/>
              <w:rPr>
                <w:rFonts w:ascii="宋体" w:cs="Times New Roman"/>
                <w:kern w:val="0"/>
                <w:sz w:val="18"/>
                <w:szCs w:val="18"/>
              </w:rPr>
            </w:pPr>
            <w:r>
              <w:rPr>
                <w:rFonts w:hint="eastAsia" w:ascii="宋体" w:cs="Times New Roman"/>
                <w:kern w:val="0"/>
                <w:sz w:val="18"/>
                <w:szCs w:val="18"/>
              </w:rPr>
              <w:t>至少满足一项</w:t>
            </w:r>
          </w:p>
        </w:tc>
        <w:tc>
          <w:tcPr>
            <w:tcW w:w="819" w:type="pct"/>
            <w:vMerge w:val="restart"/>
            <w:vAlign w:val="center"/>
          </w:tcPr>
          <w:p>
            <w:pPr>
              <w:jc w:val="center"/>
              <w:rPr>
                <w:rFonts w:ascii="宋体" w:cs="Times New Roman"/>
                <w:kern w:val="0"/>
                <w:sz w:val="18"/>
                <w:szCs w:val="18"/>
              </w:rPr>
            </w:pPr>
            <w:r>
              <w:rPr>
                <w:rFonts w:hint="eastAsia" w:ascii="宋体" w:cs="Times New Roman"/>
                <w:kern w:val="0"/>
                <w:sz w:val="18"/>
                <w:szCs w:val="18"/>
              </w:rPr>
              <w:t>至少满足两项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487" w:type="pct"/>
          </w:tcPr>
          <w:p>
            <w:pPr>
              <w:jc w:val="center"/>
              <w:rPr>
                <w:rFonts w:ascii="宋体" w:cs="Times New Roman"/>
                <w:kern w:val="0"/>
                <w:sz w:val="18"/>
                <w:szCs w:val="18"/>
              </w:rPr>
            </w:pPr>
            <w:r>
              <w:rPr>
                <w:rFonts w:hint="eastAsia" w:ascii="宋体" w:cs="Times New Roman"/>
                <w:kern w:val="0"/>
                <w:sz w:val="18"/>
                <w:szCs w:val="18"/>
              </w:rPr>
              <w:t>企业按照GB/T 28001建立职业健康管理体系</w:t>
            </w:r>
          </w:p>
        </w:tc>
        <w:tc>
          <w:tcPr>
            <w:tcW w:w="1693" w:type="pct"/>
            <w:gridSpan w:val="2"/>
            <w:vMerge w:val="continue"/>
          </w:tcPr>
          <w:p>
            <w:pPr>
              <w:pStyle w:val="39"/>
              <w:numPr>
                <w:ilvl w:val="0"/>
                <w:numId w:val="0"/>
              </w:numPr>
              <w:spacing w:before="156" w:after="156"/>
            </w:pPr>
          </w:p>
        </w:tc>
        <w:tc>
          <w:tcPr>
            <w:tcW w:w="819" w:type="pct"/>
            <w:vMerge w:val="continue"/>
          </w:tcPr>
          <w:p>
            <w:pPr>
              <w:pStyle w:val="39"/>
              <w:numPr>
                <w:ilvl w:val="0"/>
                <w:numId w:val="0"/>
              </w:numPr>
              <w:spacing w:before="156" w:after="156"/>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487" w:type="pct"/>
          </w:tcPr>
          <w:p>
            <w:pPr>
              <w:jc w:val="center"/>
              <w:rPr>
                <w:rFonts w:ascii="宋体" w:cs="Times New Roman"/>
                <w:kern w:val="0"/>
                <w:sz w:val="18"/>
                <w:szCs w:val="18"/>
              </w:rPr>
            </w:pPr>
            <w:r>
              <w:rPr>
                <w:rFonts w:hint="eastAsia" w:ascii="宋体" w:cs="Times New Roman"/>
                <w:kern w:val="0"/>
                <w:sz w:val="18"/>
                <w:szCs w:val="18"/>
              </w:rPr>
              <w:t>企业按照按照GB</w:t>
            </w:r>
            <w:r>
              <w:rPr>
                <w:rFonts w:ascii="宋体" w:cs="Times New Roman"/>
                <w:kern w:val="0"/>
                <w:sz w:val="18"/>
                <w:szCs w:val="18"/>
              </w:rPr>
              <w:t>/T 23331</w:t>
            </w:r>
            <w:r>
              <w:rPr>
                <w:rFonts w:hint="eastAsia" w:ascii="宋体" w:cs="Times New Roman"/>
                <w:kern w:val="0"/>
                <w:sz w:val="18"/>
                <w:szCs w:val="18"/>
              </w:rPr>
              <w:t>建立能源管理体系</w:t>
            </w:r>
          </w:p>
        </w:tc>
        <w:tc>
          <w:tcPr>
            <w:tcW w:w="1693" w:type="pct"/>
            <w:gridSpan w:val="2"/>
            <w:vMerge w:val="continue"/>
          </w:tcPr>
          <w:p>
            <w:pPr>
              <w:pStyle w:val="39"/>
              <w:numPr>
                <w:ilvl w:val="0"/>
                <w:numId w:val="0"/>
              </w:numPr>
              <w:spacing w:before="156" w:after="156"/>
            </w:pPr>
          </w:p>
        </w:tc>
        <w:tc>
          <w:tcPr>
            <w:tcW w:w="819" w:type="pct"/>
            <w:vMerge w:val="continue"/>
          </w:tcPr>
          <w:p>
            <w:pPr>
              <w:pStyle w:val="39"/>
              <w:numPr>
                <w:ilvl w:val="0"/>
                <w:numId w:val="0"/>
              </w:numPr>
              <w:spacing w:before="156" w:after="156"/>
            </w:pPr>
          </w:p>
        </w:tc>
      </w:tr>
    </w:tbl>
    <w:p>
      <w:pPr>
        <w:pStyle w:val="39"/>
        <w:spacing w:before="156" w:after="156"/>
        <w:rPr>
          <w:rFonts w:cs="Times New Roman"/>
        </w:rPr>
      </w:pPr>
      <w:r>
        <w:rPr>
          <w:rFonts w:hint="eastAsia" w:cs="Times New Roman"/>
        </w:rPr>
        <w:t>评价指标要求</w:t>
      </w:r>
    </w:p>
    <w:p>
      <w:pPr>
        <w:pStyle w:val="22"/>
      </w:pPr>
      <w:r>
        <w:rPr>
          <w:rFonts w:hint="eastAsia"/>
        </w:rPr>
        <w:t>浴室柜产品的评价指标由一级指标和二级指标组成，其中一级指标包括资源属性指标、能源属性指标、环境属性指标和品质属性指标，评价指标要求应符合表1的规定。</w:t>
      </w:r>
    </w:p>
    <w:tbl>
      <w:tblPr>
        <w:tblStyle w:val="30"/>
        <w:tblpPr w:leftFromText="180" w:rightFromText="180" w:vertAnchor="text" w:horzAnchor="page" w:tblpX="1458" w:tblpY="469"/>
        <w:tblOverlap w:val="never"/>
        <w:tblW w:w="49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7"/>
        <w:gridCol w:w="396"/>
        <w:gridCol w:w="692"/>
        <w:gridCol w:w="154"/>
        <w:gridCol w:w="126"/>
        <w:gridCol w:w="236"/>
        <w:gridCol w:w="1043"/>
        <w:gridCol w:w="777"/>
        <w:gridCol w:w="1300"/>
        <w:gridCol w:w="40"/>
        <w:gridCol w:w="83"/>
        <w:gridCol w:w="1258"/>
        <w:gridCol w:w="42"/>
        <w:gridCol w:w="1306"/>
        <w:gridCol w:w="9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 w:hRule="exact"/>
        </w:trPr>
        <w:tc>
          <w:tcPr>
            <w:tcW w:w="607" w:type="pct"/>
            <w:vMerge w:val="restart"/>
            <w:vAlign w:val="center"/>
          </w:tcPr>
          <w:p>
            <w:pPr>
              <w:jc w:val="center"/>
              <w:rPr>
                <w:rFonts w:ascii="宋体"/>
                <w:kern w:val="0"/>
                <w:sz w:val="18"/>
                <w:szCs w:val="18"/>
              </w:rPr>
            </w:pPr>
            <w:bookmarkStart w:id="123" w:name="_GoBack" w:colFirst="8" w:colLast="8"/>
            <w:r>
              <w:rPr>
                <w:rFonts w:hint="eastAsia" w:ascii="宋体"/>
                <w:kern w:val="0"/>
                <w:sz w:val="18"/>
                <w:szCs w:val="18"/>
              </w:rPr>
              <w:t>一级指标</w:t>
            </w:r>
          </w:p>
        </w:tc>
        <w:tc>
          <w:tcPr>
            <w:tcW w:w="1375" w:type="pct"/>
            <w:gridSpan w:val="6"/>
            <w:vMerge w:val="restart"/>
            <w:vAlign w:val="center"/>
          </w:tcPr>
          <w:p>
            <w:pPr>
              <w:jc w:val="center"/>
              <w:rPr>
                <w:rFonts w:ascii="宋体"/>
                <w:kern w:val="0"/>
                <w:sz w:val="18"/>
                <w:szCs w:val="18"/>
              </w:rPr>
            </w:pPr>
            <w:r>
              <w:rPr>
                <w:rFonts w:hint="eastAsia" w:ascii="宋体"/>
                <w:kern w:val="0"/>
                <w:sz w:val="18"/>
                <w:szCs w:val="18"/>
              </w:rPr>
              <w:t>二级指标</w:t>
            </w:r>
          </w:p>
        </w:tc>
        <w:tc>
          <w:tcPr>
            <w:tcW w:w="404" w:type="pct"/>
            <w:vMerge w:val="restart"/>
            <w:vAlign w:val="center"/>
          </w:tcPr>
          <w:p>
            <w:pPr>
              <w:jc w:val="center"/>
              <w:rPr>
                <w:rFonts w:ascii="宋体"/>
                <w:kern w:val="0"/>
                <w:sz w:val="18"/>
                <w:szCs w:val="18"/>
              </w:rPr>
            </w:pPr>
            <w:r>
              <w:rPr>
                <w:rFonts w:hint="eastAsia" w:ascii="宋体"/>
                <w:kern w:val="0"/>
                <w:sz w:val="18"/>
                <w:szCs w:val="18"/>
              </w:rPr>
              <w:t>单位</w:t>
            </w:r>
          </w:p>
        </w:tc>
        <w:tc>
          <w:tcPr>
            <w:tcW w:w="2095" w:type="pct"/>
            <w:gridSpan w:val="6"/>
            <w:vAlign w:val="center"/>
          </w:tcPr>
          <w:p>
            <w:pPr>
              <w:jc w:val="center"/>
              <w:rPr>
                <w:rFonts w:ascii="宋体"/>
                <w:kern w:val="0"/>
                <w:sz w:val="18"/>
                <w:szCs w:val="18"/>
              </w:rPr>
            </w:pPr>
            <w:r>
              <w:rPr>
                <w:rFonts w:hint="eastAsia" w:ascii="宋体"/>
                <w:kern w:val="0"/>
                <w:sz w:val="18"/>
                <w:szCs w:val="18"/>
              </w:rPr>
              <w:t>基准值</w:t>
            </w:r>
          </w:p>
        </w:tc>
        <w:tc>
          <w:tcPr>
            <w:tcW w:w="517" w:type="pct"/>
            <w:vMerge w:val="restart"/>
            <w:vAlign w:val="center"/>
          </w:tcPr>
          <w:p>
            <w:pPr>
              <w:jc w:val="center"/>
              <w:rPr>
                <w:rFonts w:hint="default" w:ascii="宋体" w:eastAsia="宋体"/>
                <w:kern w:val="0"/>
                <w:sz w:val="18"/>
                <w:szCs w:val="18"/>
                <w:lang w:val="en-US" w:eastAsia="zh-CN"/>
              </w:rPr>
            </w:pPr>
            <w:r>
              <w:rPr>
                <w:rFonts w:hint="eastAsia" w:ascii="宋体"/>
                <w:kern w:val="0"/>
                <w:sz w:val="18"/>
                <w:szCs w:val="18"/>
                <w:lang w:val="en-US" w:eastAsia="zh-CN"/>
              </w:rPr>
              <w:t>评价依据</w:t>
            </w:r>
          </w:p>
        </w:tc>
      </w:tr>
      <w:bookmarkEnd w:id="12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07" w:type="pct"/>
            <w:vMerge w:val="continue"/>
          </w:tcPr>
          <w:p>
            <w:pPr>
              <w:jc w:val="center"/>
              <w:rPr>
                <w:rFonts w:ascii="宋体"/>
                <w:kern w:val="0"/>
                <w:sz w:val="18"/>
                <w:szCs w:val="18"/>
              </w:rPr>
            </w:pPr>
          </w:p>
        </w:tc>
        <w:tc>
          <w:tcPr>
            <w:tcW w:w="1375" w:type="pct"/>
            <w:gridSpan w:val="6"/>
            <w:vMerge w:val="continue"/>
          </w:tcPr>
          <w:p>
            <w:pPr>
              <w:jc w:val="center"/>
              <w:rPr>
                <w:rFonts w:ascii="宋体"/>
                <w:kern w:val="0"/>
                <w:sz w:val="18"/>
                <w:szCs w:val="18"/>
              </w:rPr>
            </w:pPr>
          </w:p>
        </w:tc>
        <w:tc>
          <w:tcPr>
            <w:tcW w:w="404" w:type="pct"/>
            <w:vMerge w:val="continue"/>
          </w:tcPr>
          <w:p>
            <w:pPr>
              <w:jc w:val="center"/>
              <w:rPr>
                <w:rFonts w:ascii="宋体"/>
                <w:kern w:val="0"/>
                <w:sz w:val="18"/>
                <w:szCs w:val="18"/>
              </w:rPr>
            </w:pPr>
          </w:p>
        </w:tc>
        <w:tc>
          <w:tcPr>
            <w:tcW w:w="676" w:type="pct"/>
            <w:vAlign w:val="center"/>
          </w:tcPr>
          <w:p>
            <w:pPr>
              <w:jc w:val="center"/>
              <w:rPr>
                <w:rFonts w:ascii="宋体" w:cs="宋体"/>
                <w:kern w:val="0"/>
                <w:sz w:val="18"/>
                <w:szCs w:val="18"/>
              </w:rPr>
            </w:pPr>
            <w:r>
              <w:rPr>
                <w:rFonts w:hint="eastAsia" w:ascii="宋体" w:cs="宋体"/>
                <w:kern w:val="0"/>
                <w:sz w:val="18"/>
                <w:szCs w:val="18"/>
              </w:rPr>
              <w:t>一星级</w:t>
            </w:r>
          </w:p>
        </w:tc>
        <w:tc>
          <w:tcPr>
            <w:tcW w:w="740" w:type="pct"/>
            <w:gridSpan w:val="4"/>
            <w:vAlign w:val="center"/>
          </w:tcPr>
          <w:p>
            <w:pPr>
              <w:jc w:val="center"/>
              <w:rPr>
                <w:rFonts w:ascii="宋体" w:cs="宋体"/>
                <w:kern w:val="0"/>
                <w:sz w:val="18"/>
                <w:szCs w:val="18"/>
              </w:rPr>
            </w:pPr>
            <w:r>
              <w:rPr>
                <w:rFonts w:hint="eastAsia" w:ascii="宋体" w:cs="宋体"/>
                <w:kern w:val="0"/>
                <w:sz w:val="18"/>
                <w:szCs w:val="18"/>
              </w:rPr>
              <w:t>二星级</w:t>
            </w:r>
          </w:p>
        </w:tc>
        <w:tc>
          <w:tcPr>
            <w:tcW w:w="678" w:type="pct"/>
            <w:vAlign w:val="center"/>
          </w:tcPr>
          <w:p>
            <w:pPr>
              <w:jc w:val="center"/>
              <w:rPr>
                <w:rFonts w:ascii="宋体" w:cs="宋体"/>
                <w:kern w:val="0"/>
                <w:sz w:val="18"/>
                <w:szCs w:val="18"/>
              </w:rPr>
            </w:pPr>
            <w:r>
              <w:rPr>
                <w:rFonts w:hint="eastAsia" w:ascii="宋体" w:cs="宋体"/>
                <w:kern w:val="0"/>
                <w:sz w:val="18"/>
                <w:szCs w:val="18"/>
              </w:rPr>
              <w:t>三星级</w:t>
            </w:r>
          </w:p>
        </w:tc>
        <w:tc>
          <w:tcPr>
            <w:tcW w:w="517" w:type="pct"/>
            <w:vMerge w:val="continue"/>
            <w:tcBorders/>
            <w:vAlign w:val="center"/>
          </w:tcPr>
          <w:p>
            <w:pPr>
              <w:jc w:val="both"/>
              <w:rPr>
                <w:rFonts w:hint="eastAsia" w:asci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restart"/>
            <w:vAlign w:val="center"/>
          </w:tcPr>
          <w:p>
            <w:pPr>
              <w:jc w:val="center"/>
              <w:rPr>
                <w:rFonts w:ascii="宋体"/>
                <w:kern w:val="0"/>
                <w:sz w:val="18"/>
                <w:szCs w:val="18"/>
              </w:rPr>
            </w:pPr>
            <w:r>
              <w:rPr>
                <w:rFonts w:hint="eastAsia" w:ascii="宋体"/>
                <w:kern w:val="0"/>
                <w:sz w:val="18"/>
                <w:szCs w:val="18"/>
              </w:rPr>
              <w:t>资源属性</w:t>
            </w:r>
          </w:p>
        </w:tc>
        <w:tc>
          <w:tcPr>
            <w:tcW w:w="1375" w:type="pct"/>
            <w:gridSpan w:val="6"/>
            <w:vAlign w:val="center"/>
          </w:tcPr>
          <w:p>
            <w:pPr>
              <w:jc w:val="center"/>
              <w:rPr>
                <w:rFonts w:ascii="宋体"/>
                <w:kern w:val="0"/>
                <w:sz w:val="18"/>
                <w:szCs w:val="18"/>
              </w:rPr>
            </w:pPr>
            <w:r>
              <w:rPr>
                <w:rFonts w:hint="eastAsia" w:ascii="宋体"/>
                <w:kern w:val="0"/>
                <w:sz w:val="18"/>
                <w:szCs w:val="18"/>
              </w:rPr>
              <w:t>生产废料综合处置和利用率</w:t>
            </w:r>
          </w:p>
        </w:tc>
        <w:tc>
          <w:tcPr>
            <w:tcW w:w="404" w:type="pct"/>
            <w:vAlign w:val="center"/>
          </w:tcPr>
          <w:p>
            <w:pPr>
              <w:jc w:val="center"/>
              <w:rPr>
                <w:rFonts w:ascii="宋体"/>
                <w:kern w:val="0"/>
                <w:sz w:val="18"/>
                <w:szCs w:val="18"/>
              </w:rPr>
            </w:pPr>
            <w:r>
              <w:rPr>
                <w:rFonts w:hint="eastAsia" w:ascii="宋体"/>
                <w:kern w:val="0"/>
                <w:sz w:val="18"/>
                <w:szCs w:val="18"/>
              </w:rPr>
              <w:t>%</w:t>
            </w:r>
          </w:p>
        </w:tc>
        <w:tc>
          <w:tcPr>
            <w:tcW w:w="676" w:type="pct"/>
            <w:vAlign w:val="center"/>
          </w:tcPr>
          <w:p>
            <w:pPr>
              <w:jc w:val="center"/>
              <w:rPr>
                <w:rFonts w:ascii="宋体" w:cs="宋体"/>
                <w:kern w:val="0"/>
                <w:sz w:val="18"/>
                <w:szCs w:val="18"/>
              </w:rPr>
            </w:pPr>
            <w:r>
              <w:rPr>
                <w:rFonts w:hint="eastAsia" w:ascii="宋体" w:cs="宋体"/>
                <w:kern w:val="0"/>
                <w:sz w:val="18"/>
                <w:szCs w:val="18"/>
              </w:rPr>
              <w:t>≥90</w:t>
            </w:r>
          </w:p>
        </w:tc>
        <w:tc>
          <w:tcPr>
            <w:tcW w:w="740" w:type="pct"/>
            <w:gridSpan w:val="4"/>
            <w:vAlign w:val="center"/>
          </w:tcPr>
          <w:p>
            <w:pPr>
              <w:jc w:val="center"/>
              <w:rPr>
                <w:rFonts w:ascii="宋体" w:cs="宋体"/>
                <w:kern w:val="0"/>
                <w:sz w:val="18"/>
                <w:szCs w:val="18"/>
              </w:rPr>
            </w:pPr>
            <w:r>
              <w:rPr>
                <w:rFonts w:hint="eastAsia" w:ascii="宋体" w:cs="宋体"/>
                <w:kern w:val="0"/>
                <w:sz w:val="18"/>
                <w:szCs w:val="18"/>
              </w:rPr>
              <w:t>≥95</w:t>
            </w:r>
          </w:p>
        </w:tc>
        <w:tc>
          <w:tcPr>
            <w:tcW w:w="678" w:type="pct"/>
            <w:vAlign w:val="center"/>
          </w:tcPr>
          <w:p>
            <w:pPr>
              <w:jc w:val="center"/>
              <w:rPr>
                <w:rFonts w:ascii="宋体" w:cs="宋体"/>
                <w:kern w:val="0"/>
                <w:sz w:val="18"/>
                <w:szCs w:val="18"/>
              </w:rPr>
            </w:pPr>
            <w:r>
              <w:rPr>
                <w:rFonts w:hint="eastAsia" w:ascii="宋体" w:cs="宋体"/>
                <w:kern w:val="0"/>
                <w:sz w:val="18"/>
                <w:szCs w:val="18"/>
              </w:rPr>
              <w:t>≥100</w:t>
            </w:r>
          </w:p>
        </w:tc>
        <w:tc>
          <w:tcPr>
            <w:tcW w:w="517" w:type="pct"/>
            <w:vAlign w:val="center"/>
          </w:tcPr>
          <w:p>
            <w:pPr>
              <w:jc w:val="center"/>
              <w:rPr>
                <w:rFonts w:hint="eastAsia"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附录A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单位产品取水量</w:t>
            </w:r>
          </w:p>
        </w:tc>
        <w:tc>
          <w:tcPr>
            <w:tcW w:w="404" w:type="pct"/>
            <w:vAlign w:val="center"/>
          </w:tcPr>
          <w:p>
            <w:pPr>
              <w:jc w:val="center"/>
              <w:rPr>
                <w:rFonts w:ascii="宋体"/>
                <w:kern w:val="0"/>
                <w:sz w:val="18"/>
                <w:szCs w:val="18"/>
              </w:rPr>
            </w:pPr>
            <w:r>
              <w:rPr>
                <w:rFonts w:hint="eastAsia" w:ascii="宋体"/>
                <w:kern w:val="0"/>
                <w:sz w:val="18"/>
                <w:szCs w:val="18"/>
              </w:rPr>
              <w:t>m</w:t>
            </w:r>
            <w:r>
              <w:rPr>
                <w:rFonts w:hint="eastAsia" w:ascii="宋体"/>
                <w:kern w:val="0"/>
                <w:sz w:val="18"/>
                <w:szCs w:val="18"/>
                <w:vertAlign w:val="superscript"/>
              </w:rPr>
              <w:t>3</w:t>
            </w:r>
            <w:r>
              <w:rPr>
                <w:rFonts w:hint="eastAsia" w:ascii="宋体"/>
                <w:kern w:val="0"/>
                <w:sz w:val="18"/>
                <w:szCs w:val="18"/>
              </w:rPr>
              <w:t>/t</w:t>
            </w:r>
          </w:p>
        </w:tc>
        <w:tc>
          <w:tcPr>
            <w:tcW w:w="2095" w:type="pct"/>
            <w:gridSpan w:val="6"/>
            <w:vAlign w:val="center"/>
          </w:tcPr>
          <w:p>
            <w:pPr>
              <w:jc w:val="center"/>
              <w:rPr>
                <w:rFonts w:ascii="宋体" w:cs="宋体"/>
                <w:kern w:val="0"/>
                <w:sz w:val="18"/>
                <w:szCs w:val="18"/>
              </w:rPr>
            </w:pPr>
            <w:r>
              <w:rPr>
                <w:rFonts w:hint="eastAsia" w:ascii="宋体" w:cs="宋体"/>
                <w:kern w:val="0"/>
                <w:sz w:val="18"/>
                <w:szCs w:val="18"/>
              </w:rPr>
              <w:t>≤6.0</w:t>
            </w:r>
          </w:p>
        </w:tc>
        <w:tc>
          <w:tcPr>
            <w:tcW w:w="517" w:type="pct"/>
            <w:vMerge w:val="restart"/>
            <w:vAlign w:val="center"/>
          </w:tcPr>
          <w:p>
            <w:pPr>
              <w:jc w:val="center"/>
              <w:rPr>
                <w:rFonts w:hint="eastAsia" w:ascii="Times New Roman" w:hAnsi="Times New Roman" w:eastAsia="宋体" w:cs="宋体"/>
                <w:kern w:val="0"/>
                <w:sz w:val="18"/>
                <w:szCs w:val="18"/>
                <w:lang w:val="en-US"/>
              </w:rPr>
            </w:pPr>
            <w:r>
              <w:rPr>
                <w:rFonts w:hint="eastAsia" w:ascii="Times New Roman" w:hAnsi="Times New Roman" w:eastAsia="宋体" w:cs="宋体"/>
                <w:kern w:val="0"/>
                <w:sz w:val="18"/>
                <w:szCs w:val="18"/>
                <w:lang w:val="en-US" w:eastAsia="zh-CN"/>
              </w:rPr>
              <w:t>根据实际使用量计算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产品外包装可循环材料利用率</w:t>
            </w:r>
          </w:p>
        </w:tc>
        <w:tc>
          <w:tcPr>
            <w:tcW w:w="404" w:type="pct"/>
            <w:vAlign w:val="center"/>
          </w:tcPr>
          <w:p>
            <w:pPr>
              <w:jc w:val="center"/>
              <w:rPr>
                <w:rFonts w:ascii="宋体"/>
                <w:kern w:val="0"/>
                <w:sz w:val="18"/>
                <w:szCs w:val="18"/>
              </w:rPr>
            </w:pPr>
            <w:r>
              <w:rPr>
                <w:rFonts w:hint="eastAsia" w:ascii="宋体"/>
                <w:kern w:val="0"/>
                <w:sz w:val="18"/>
                <w:szCs w:val="18"/>
              </w:rPr>
              <w:t>—</w:t>
            </w:r>
          </w:p>
        </w:tc>
        <w:tc>
          <w:tcPr>
            <w:tcW w:w="740" w:type="pct"/>
            <w:gridSpan w:val="3"/>
            <w:vAlign w:val="center"/>
          </w:tcPr>
          <w:p>
            <w:pPr>
              <w:jc w:val="center"/>
              <w:rPr>
                <w:rFonts w:ascii="宋体" w:cs="宋体"/>
                <w:kern w:val="0"/>
                <w:sz w:val="18"/>
                <w:szCs w:val="18"/>
              </w:rPr>
            </w:pPr>
            <w:r>
              <w:rPr>
                <w:rFonts w:hint="eastAsia" w:ascii="宋体" w:cs="宋体"/>
                <w:kern w:val="0"/>
                <w:sz w:val="18"/>
                <w:szCs w:val="18"/>
              </w:rPr>
              <w:t>≥75</w:t>
            </w:r>
          </w:p>
        </w:tc>
        <w:tc>
          <w:tcPr>
            <w:tcW w:w="676" w:type="pct"/>
            <w:gridSpan w:val="2"/>
            <w:vAlign w:val="center"/>
          </w:tcPr>
          <w:p>
            <w:pPr>
              <w:jc w:val="center"/>
              <w:rPr>
                <w:rFonts w:ascii="宋体" w:cs="宋体"/>
                <w:kern w:val="0"/>
                <w:sz w:val="18"/>
                <w:szCs w:val="18"/>
              </w:rPr>
            </w:pPr>
            <w:r>
              <w:rPr>
                <w:rFonts w:hint="eastAsia" w:ascii="宋体" w:cs="宋体"/>
                <w:kern w:val="0"/>
                <w:sz w:val="18"/>
                <w:szCs w:val="18"/>
              </w:rPr>
              <w:t>≥80</w:t>
            </w:r>
          </w:p>
        </w:tc>
        <w:tc>
          <w:tcPr>
            <w:tcW w:w="678" w:type="pct"/>
            <w:vAlign w:val="center"/>
          </w:tcPr>
          <w:p>
            <w:pPr>
              <w:jc w:val="center"/>
              <w:rPr>
                <w:rFonts w:ascii="宋体" w:cs="宋体"/>
                <w:kern w:val="0"/>
                <w:sz w:val="18"/>
                <w:szCs w:val="18"/>
              </w:rPr>
            </w:pPr>
            <w:r>
              <w:rPr>
                <w:rFonts w:hint="eastAsia" w:ascii="宋体" w:cs="宋体"/>
                <w:kern w:val="0"/>
                <w:sz w:val="18"/>
                <w:szCs w:val="18"/>
              </w:rPr>
              <w:t>≥85</w:t>
            </w:r>
          </w:p>
        </w:tc>
        <w:tc>
          <w:tcPr>
            <w:tcW w:w="517" w:type="pct"/>
            <w:vMerge w:val="continue"/>
            <w:tcBorders/>
            <w:vAlign w:val="center"/>
          </w:tcPr>
          <w:p>
            <w:pPr>
              <w:jc w:val="center"/>
              <w:rPr>
                <w:rFonts w:hint="eastAsia" w:ascii="Times New Roman" w:hAnsi="Times New Roman"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金属材料利用率</w:t>
            </w:r>
          </w:p>
        </w:tc>
        <w:tc>
          <w:tcPr>
            <w:tcW w:w="404" w:type="pct"/>
            <w:vAlign w:val="center"/>
          </w:tcPr>
          <w:p>
            <w:pPr>
              <w:jc w:val="center"/>
              <w:rPr>
                <w:rFonts w:ascii="宋体"/>
                <w:kern w:val="0"/>
                <w:sz w:val="18"/>
                <w:szCs w:val="18"/>
              </w:rPr>
            </w:pPr>
            <w:r>
              <w:rPr>
                <w:rFonts w:hint="eastAsia" w:ascii="宋体"/>
                <w:kern w:val="0"/>
                <w:sz w:val="18"/>
                <w:szCs w:val="18"/>
              </w:rPr>
              <w:t>%</w:t>
            </w:r>
          </w:p>
        </w:tc>
        <w:tc>
          <w:tcPr>
            <w:tcW w:w="740" w:type="pct"/>
            <w:gridSpan w:val="3"/>
            <w:vAlign w:val="center"/>
          </w:tcPr>
          <w:p>
            <w:pPr>
              <w:jc w:val="center"/>
              <w:rPr>
                <w:rFonts w:ascii="宋体" w:cs="宋体"/>
                <w:kern w:val="0"/>
                <w:sz w:val="18"/>
                <w:szCs w:val="18"/>
              </w:rPr>
            </w:pPr>
            <w:r>
              <w:rPr>
                <w:rFonts w:hint="eastAsia" w:ascii="宋体" w:cs="宋体"/>
                <w:kern w:val="0"/>
                <w:sz w:val="18"/>
                <w:szCs w:val="18"/>
              </w:rPr>
              <w:t>≥85</w:t>
            </w:r>
          </w:p>
        </w:tc>
        <w:tc>
          <w:tcPr>
            <w:tcW w:w="676" w:type="pct"/>
            <w:gridSpan w:val="2"/>
            <w:vAlign w:val="center"/>
          </w:tcPr>
          <w:p>
            <w:pPr>
              <w:jc w:val="center"/>
              <w:rPr>
                <w:rFonts w:ascii="宋体" w:cs="宋体"/>
                <w:kern w:val="0"/>
                <w:sz w:val="18"/>
                <w:szCs w:val="18"/>
              </w:rPr>
            </w:pPr>
            <w:r>
              <w:rPr>
                <w:rFonts w:hint="eastAsia" w:ascii="宋体" w:cs="宋体"/>
                <w:kern w:val="0"/>
                <w:sz w:val="18"/>
                <w:szCs w:val="18"/>
              </w:rPr>
              <w:t>≥90</w:t>
            </w:r>
          </w:p>
        </w:tc>
        <w:tc>
          <w:tcPr>
            <w:tcW w:w="678" w:type="pct"/>
            <w:vAlign w:val="center"/>
          </w:tcPr>
          <w:p>
            <w:pPr>
              <w:jc w:val="center"/>
              <w:rPr>
                <w:rFonts w:ascii="宋体" w:cs="宋体"/>
                <w:kern w:val="0"/>
                <w:sz w:val="18"/>
                <w:szCs w:val="18"/>
              </w:rPr>
            </w:pPr>
            <w:r>
              <w:rPr>
                <w:rFonts w:hint="eastAsia" w:ascii="宋体" w:cs="宋体"/>
                <w:kern w:val="0"/>
                <w:sz w:val="18"/>
                <w:szCs w:val="18"/>
              </w:rPr>
              <w:t>≥95</w:t>
            </w:r>
          </w:p>
        </w:tc>
        <w:tc>
          <w:tcPr>
            <w:tcW w:w="517" w:type="pct"/>
            <w:vMerge w:val="continue"/>
            <w:tcBorders/>
            <w:vAlign w:val="center"/>
          </w:tcPr>
          <w:p>
            <w:pPr>
              <w:jc w:val="center"/>
              <w:rPr>
                <w:rFonts w:hint="eastAsia" w:ascii="Times New Roman" w:hAnsi="Times New Roman"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塑料材料利用率</w:t>
            </w:r>
          </w:p>
        </w:tc>
        <w:tc>
          <w:tcPr>
            <w:tcW w:w="404" w:type="pct"/>
            <w:vAlign w:val="center"/>
          </w:tcPr>
          <w:p>
            <w:pPr>
              <w:jc w:val="center"/>
              <w:rPr>
                <w:rFonts w:ascii="宋体"/>
                <w:kern w:val="0"/>
                <w:sz w:val="18"/>
                <w:szCs w:val="18"/>
              </w:rPr>
            </w:pPr>
            <w:r>
              <w:rPr>
                <w:rFonts w:hint="eastAsia" w:ascii="宋体"/>
                <w:kern w:val="0"/>
                <w:sz w:val="18"/>
                <w:szCs w:val="18"/>
              </w:rPr>
              <w:t>%</w:t>
            </w:r>
          </w:p>
        </w:tc>
        <w:tc>
          <w:tcPr>
            <w:tcW w:w="740" w:type="pct"/>
            <w:gridSpan w:val="3"/>
            <w:vAlign w:val="center"/>
          </w:tcPr>
          <w:p>
            <w:pPr>
              <w:jc w:val="center"/>
              <w:rPr>
                <w:rFonts w:ascii="宋体" w:cs="宋体"/>
                <w:kern w:val="0"/>
                <w:sz w:val="18"/>
                <w:szCs w:val="18"/>
              </w:rPr>
            </w:pPr>
            <w:r>
              <w:rPr>
                <w:rFonts w:hint="eastAsia" w:ascii="宋体" w:cs="宋体"/>
                <w:kern w:val="0"/>
                <w:sz w:val="18"/>
                <w:szCs w:val="18"/>
              </w:rPr>
              <w:t>≥85</w:t>
            </w:r>
          </w:p>
        </w:tc>
        <w:tc>
          <w:tcPr>
            <w:tcW w:w="676" w:type="pct"/>
            <w:gridSpan w:val="2"/>
            <w:vAlign w:val="center"/>
          </w:tcPr>
          <w:p>
            <w:pPr>
              <w:jc w:val="center"/>
              <w:rPr>
                <w:rFonts w:ascii="宋体" w:cs="宋体"/>
                <w:kern w:val="0"/>
                <w:sz w:val="18"/>
                <w:szCs w:val="18"/>
              </w:rPr>
            </w:pPr>
            <w:r>
              <w:rPr>
                <w:rFonts w:hint="eastAsia" w:ascii="宋体" w:cs="宋体"/>
                <w:kern w:val="0"/>
                <w:sz w:val="18"/>
                <w:szCs w:val="18"/>
              </w:rPr>
              <w:t>≥90</w:t>
            </w:r>
          </w:p>
        </w:tc>
        <w:tc>
          <w:tcPr>
            <w:tcW w:w="678" w:type="pct"/>
            <w:vAlign w:val="center"/>
          </w:tcPr>
          <w:p>
            <w:pPr>
              <w:jc w:val="center"/>
              <w:rPr>
                <w:rFonts w:ascii="宋体" w:cs="宋体"/>
                <w:kern w:val="0"/>
                <w:sz w:val="18"/>
                <w:szCs w:val="18"/>
              </w:rPr>
            </w:pPr>
            <w:r>
              <w:rPr>
                <w:rFonts w:hint="eastAsia" w:ascii="宋体" w:cs="宋体"/>
                <w:kern w:val="0"/>
                <w:sz w:val="18"/>
                <w:szCs w:val="18"/>
              </w:rPr>
              <w:t>≥95</w:t>
            </w:r>
          </w:p>
        </w:tc>
        <w:tc>
          <w:tcPr>
            <w:tcW w:w="517" w:type="pct"/>
            <w:vMerge w:val="continue"/>
            <w:tcBorders/>
            <w:vAlign w:val="center"/>
          </w:tcPr>
          <w:p>
            <w:pPr>
              <w:jc w:val="center"/>
              <w:rPr>
                <w:rFonts w:hint="eastAsia" w:ascii="Times New Roman" w:hAnsi="Times New Roman"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木质材料利用率</w:t>
            </w:r>
          </w:p>
        </w:tc>
        <w:tc>
          <w:tcPr>
            <w:tcW w:w="404" w:type="pct"/>
            <w:vAlign w:val="center"/>
          </w:tcPr>
          <w:p>
            <w:pPr>
              <w:jc w:val="center"/>
              <w:rPr>
                <w:rFonts w:ascii="宋体"/>
                <w:kern w:val="0"/>
                <w:sz w:val="18"/>
                <w:szCs w:val="18"/>
              </w:rPr>
            </w:pPr>
            <w:r>
              <w:rPr>
                <w:rFonts w:hint="eastAsia" w:ascii="宋体"/>
                <w:kern w:val="0"/>
                <w:sz w:val="18"/>
                <w:szCs w:val="18"/>
              </w:rPr>
              <w:t>%</w:t>
            </w:r>
          </w:p>
        </w:tc>
        <w:tc>
          <w:tcPr>
            <w:tcW w:w="740" w:type="pct"/>
            <w:gridSpan w:val="3"/>
            <w:vAlign w:val="center"/>
          </w:tcPr>
          <w:p>
            <w:pPr>
              <w:jc w:val="center"/>
              <w:rPr>
                <w:rFonts w:ascii="宋体"/>
                <w:kern w:val="0"/>
                <w:sz w:val="18"/>
                <w:szCs w:val="18"/>
              </w:rPr>
            </w:pPr>
            <w:r>
              <w:rPr>
                <w:rFonts w:hint="eastAsia" w:ascii="宋体"/>
                <w:kern w:val="0"/>
                <w:sz w:val="18"/>
                <w:szCs w:val="18"/>
              </w:rPr>
              <w:t>≥85</w:t>
            </w:r>
          </w:p>
        </w:tc>
        <w:tc>
          <w:tcPr>
            <w:tcW w:w="676" w:type="pct"/>
            <w:gridSpan w:val="2"/>
            <w:vAlign w:val="center"/>
          </w:tcPr>
          <w:p>
            <w:pPr>
              <w:jc w:val="center"/>
              <w:rPr>
                <w:rFonts w:ascii="宋体"/>
                <w:kern w:val="0"/>
                <w:sz w:val="18"/>
                <w:szCs w:val="18"/>
              </w:rPr>
            </w:pPr>
            <w:r>
              <w:rPr>
                <w:rFonts w:hint="eastAsia" w:ascii="宋体"/>
                <w:kern w:val="0"/>
                <w:sz w:val="18"/>
                <w:szCs w:val="18"/>
              </w:rPr>
              <w:t>≥90</w:t>
            </w:r>
          </w:p>
        </w:tc>
        <w:tc>
          <w:tcPr>
            <w:tcW w:w="678" w:type="pct"/>
            <w:vAlign w:val="center"/>
          </w:tcPr>
          <w:p>
            <w:pPr>
              <w:jc w:val="center"/>
              <w:rPr>
                <w:rFonts w:ascii="宋体"/>
                <w:kern w:val="0"/>
                <w:sz w:val="18"/>
                <w:szCs w:val="18"/>
              </w:rPr>
            </w:pPr>
            <w:r>
              <w:rPr>
                <w:rFonts w:hint="eastAsia" w:ascii="宋体"/>
                <w:kern w:val="0"/>
                <w:sz w:val="18"/>
                <w:szCs w:val="18"/>
              </w:rPr>
              <w:t>≥95</w:t>
            </w:r>
          </w:p>
        </w:tc>
        <w:tc>
          <w:tcPr>
            <w:tcW w:w="517" w:type="pct"/>
            <w:vMerge w:val="continue"/>
            <w:tcBorders/>
            <w:vAlign w:val="center"/>
          </w:tcPr>
          <w:p>
            <w:pPr>
              <w:jc w:val="center"/>
              <w:rPr>
                <w:rFonts w:hint="eastAsia" w:ascii="Times New Roman" w:hAnsi="Times New Roman"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pStyle w:val="22"/>
              <w:ind w:firstLine="0" w:firstLineChars="0"/>
              <w:jc w:val="center"/>
              <w:rPr>
                <w:rFonts w:cs="Times New Roman"/>
                <w:sz w:val="18"/>
                <w:szCs w:val="18"/>
              </w:rPr>
            </w:pPr>
            <w:r>
              <w:rPr>
                <w:rFonts w:hint="eastAsia" w:cs="Times New Roman"/>
                <w:sz w:val="18"/>
                <w:szCs w:val="18"/>
              </w:rPr>
              <w:t>木材用胶黏剂</w:t>
            </w:r>
          </w:p>
        </w:tc>
        <w:tc>
          <w:tcPr>
            <w:tcW w:w="404" w:type="pct"/>
            <w:vAlign w:val="center"/>
          </w:tcPr>
          <w:p>
            <w:pPr>
              <w:jc w:val="center"/>
              <w:rPr>
                <w:rFonts w:ascii="宋体"/>
                <w:kern w:val="0"/>
                <w:sz w:val="18"/>
                <w:szCs w:val="18"/>
              </w:rPr>
            </w:pPr>
            <w:r>
              <w:rPr>
                <w:rFonts w:hint="eastAsia" w:ascii="宋体"/>
                <w:kern w:val="0"/>
                <w:sz w:val="18"/>
                <w:szCs w:val="18"/>
              </w:rPr>
              <w:t>—</w:t>
            </w:r>
          </w:p>
        </w:tc>
        <w:tc>
          <w:tcPr>
            <w:tcW w:w="2095" w:type="pct"/>
            <w:gridSpan w:val="6"/>
            <w:vAlign w:val="center"/>
          </w:tcPr>
          <w:p>
            <w:pPr>
              <w:jc w:val="center"/>
              <w:rPr>
                <w:rFonts w:ascii="宋体"/>
                <w:kern w:val="0"/>
                <w:sz w:val="18"/>
                <w:szCs w:val="18"/>
              </w:rPr>
            </w:pPr>
            <w:r>
              <w:rPr>
                <w:rFonts w:hint="eastAsia" w:ascii="宋体"/>
                <w:kern w:val="0"/>
                <w:sz w:val="18"/>
                <w:szCs w:val="18"/>
              </w:rPr>
              <w:t>胶黏剂有害物质限量应符合GB 18583</w:t>
            </w:r>
          </w:p>
        </w:tc>
        <w:tc>
          <w:tcPr>
            <w:tcW w:w="517" w:type="pct"/>
            <w:vAlign w:val="center"/>
          </w:tcPr>
          <w:p>
            <w:pPr>
              <w:jc w:val="center"/>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GB 18583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pStyle w:val="22"/>
              <w:ind w:firstLine="0" w:firstLineChars="0"/>
              <w:jc w:val="center"/>
              <w:rPr>
                <w:rFonts w:cs="Times New Roman"/>
                <w:sz w:val="18"/>
                <w:szCs w:val="18"/>
              </w:rPr>
            </w:pPr>
            <w:r>
              <w:rPr>
                <w:rFonts w:hint="eastAsia" w:cs="Times New Roman"/>
                <w:sz w:val="18"/>
                <w:szCs w:val="18"/>
              </w:rPr>
              <w:t>木材用防腐剂、杀虫剂</w:t>
            </w:r>
          </w:p>
        </w:tc>
        <w:tc>
          <w:tcPr>
            <w:tcW w:w="404" w:type="pct"/>
            <w:vAlign w:val="center"/>
          </w:tcPr>
          <w:p>
            <w:pPr>
              <w:jc w:val="center"/>
              <w:rPr>
                <w:rFonts w:ascii="宋体"/>
                <w:kern w:val="0"/>
                <w:sz w:val="18"/>
                <w:szCs w:val="18"/>
              </w:rPr>
            </w:pPr>
            <w:r>
              <w:rPr>
                <w:rFonts w:hint="eastAsia" w:ascii="宋体"/>
                <w:kern w:val="0"/>
                <w:sz w:val="18"/>
                <w:szCs w:val="18"/>
              </w:rPr>
              <w:t>—</w:t>
            </w:r>
          </w:p>
        </w:tc>
        <w:tc>
          <w:tcPr>
            <w:tcW w:w="2095" w:type="pct"/>
            <w:gridSpan w:val="6"/>
            <w:vAlign w:val="center"/>
          </w:tcPr>
          <w:p>
            <w:pPr>
              <w:jc w:val="center"/>
              <w:rPr>
                <w:rFonts w:ascii="宋体"/>
                <w:kern w:val="0"/>
                <w:sz w:val="18"/>
                <w:szCs w:val="18"/>
              </w:rPr>
            </w:pPr>
            <w:r>
              <w:rPr>
                <w:rFonts w:hint="eastAsia" w:asciiTheme="minorEastAsia" w:hAnsiTheme="minorEastAsia" w:eastAsiaTheme="minorEastAsia" w:cstheme="minorEastAsia"/>
                <w:color w:val="000000"/>
                <w:kern w:val="0"/>
                <w:sz w:val="18"/>
                <w:szCs w:val="18"/>
              </w:rPr>
              <w:t>依据GB/T 35601提供原材料使用清单、证明材料和企业自我承诺说明</w:t>
            </w:r>
          </w:p>
        </w:tc>
        <w:tc>
          <w:tcPr>
            <w:tcW w:w="517" w:type="pct"/>
            <w:vAlign w:val="center"/>
          </w:tcPr>
          <w:p>
            <w:pPr>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GB/T 35601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涂料</w:t>
            </w:r>
          </w:p>
        </w:tc>
        <w:tc>
          <w:tcPr>
            <w:tcW w:w="404" w:type="pct"/>
            <w:vAlign w:val="center"/>
          </w:tcPr>
          <w:p>
            <w:pPr>
              <w:jc w:val="center"/>
              <w:rPr>
                <w:rFonts w:ascii="宋体"/>
                <w:kern w:val="0"/>
                <w:sz w:val="18"/>
                <w:szCs w:val="18"/>
              </w:rPr>
            </w:pPr>
            <w:r>
              <w:rPr>
                <w:rFonts w:hint="eastAsia" w:ascii="宋体"/>
                <w:kern w:val="0"/>
                <w:sz w:val="18"/>
                <w:szCs w:val="18"/>
              </w:rPr>
              <w:t>—</w:t>
            </w:r>
          </w:p>
        </w:tc>
        <w:tc>
          <w:tcPr>
            <w:tcW w:w="2095" w:type="pct"/>
            <w:gridSpan w:val="6"/>
            <w:vAlign w:val="center"/>
          </w:tcPr>
          <w:p>
            <w:pPr>
              <w:jc w:val="center"/>
              <w:rPr>
                <w:rFonts w:ascii="宋体"/>
                <w:kern w:val="0"/>
                <w:sz w:val="18"/>
                <w:szCs w:val="18"/>
              </w:rPr>
            </w:pPr>
            <w:r>
              <w:rPr>
                <w:rFonts w:hint="eastAsia" w:ascii="宋体"/>
                <w:kern w:val="0"/>
                <w:sz w:val="18"/>
                <w:szCs w:val="18"/>
              </w:rPr>
              <w:t>应使用水性木器涂料，并符合GB/T 23999的要求</w:t>
            </w:r>
          </w:p>
        </w:tc>
        <w:tc>
          <w:tcPr>
            <w:tcW w:w="517" w:type="pct"/>
            <w:vAlign w:val="center"/>
          </w:tcPr>
          <w:p>
            <w:pPr>
              <w:jc w:val="center"/>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GB/T 23999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restart"/>
            <w:vAlign w:val="center"/>
          </w:tcPr>
          <w:p>
            <w:pPr>
              <w:jc w:val="center"/>
              <w:rPr>
                <w:rFonts w:ascii="宋体"/>
                <w:kern w:val="0"/>
                <w:sz w:val="18"/>
                <w:szCs w:val="18"/>
              </w:rPr>
            </w:pPr>
            <w:r>
              <w:rPr>
                <w:rFonts w:hint="eastAsia" w:ascii="宋体"/>
                <w:kern w:val="0"/>
                <w:sz w:val="18"/>
                <w:szCs w:val="18"/>
              </w:rPr>
              <w:t>能源属性</w:t>
            </w:r>
          </w:p>
        </w:tc>
        <w:tc>
          <w:tcPr>
            <w:tcW w:w="1375" w:type="pct"/>
            <w:gridSpan w:val="6"/>
            <w:vAlign w:val="center"/>
          </w:tcPr>
          <w:p>
            <w:pPr>
              <w:jc w:val="center"/>
              <w:rPr>
                <w:rFonts w:ascii="宋体"/>
                <w:kern w:val="0"/>
                <w:sz w:val="18"/>
                <w:szCs w:val="18"/>
              </w:rPr>
            </w:pPr>
            <w:r>
              <w:rPr>
                <w:rFonts w:hint="eastAsia" w:ascii="宋体"/>
                <w:kern w:val="0"/>
                <w:sz w:val="18"/>
                <w:szCs w:val="18"/>
              </w:rPr>
              <w:t>近三年万元产值用水量下降率</w:t>
            </w:r>
          </w:p>
        </w:tc>
        <w:tc>
          <w:tcPr>
            <w:tcW w:w="404" w:type="pct"/>
            <w:vAlign w:val="center"/>
          </w:tcPr>
          <w:p>
            <w:pPr>
              <w:jc w:val="center"/>
              <w:rPr>
                <w:rFonts w:ascii="宋体"/>
                <w:kern w:val="0"/>
                <w:sz w:val="18"/>
                <w:szCs w:val="18"/>
              </w:rPr>
            </w:pPr>
            <w:r>
              <w:rPr>
                <w:rFonts w:hint="eastAsia" w:ascii="宋体"/>
                <w:kern w:val="0"/>
                <w:sz w:val="18"/>
                <w:szCs w:val="18"/>
              </w:rPr>
              <w:t>%</w:t>
            </w:r>
          </w:p>
        </w:tc>
        <w:tc>
          <w:tcPr>
            <w:tcW w:w="740" w:type="pct"/>
            <w:gridSpan w:val="3"/>
            <w:vAlign w:val="center"/>
          </w:tcPr>
          <w:p>
            <w:pPr>
              <w:jc w:val="center"/>
              <w:rPr>
                <w:rFonts w:ascii="宋体" w:cs="宋体"/>
                <w:kern w:val="0"/>
                <w:sz w:val="18"/>
                <w:szCs w:val="18"/>
              </w:rPr>
            </w:pPr>
            <w:r>
              <w:rPr>
                <w:rFonts w:hint="eastAsia" w:ascii="宋体" w:cs="宋体"/>
                <w:kern w:val="0"/>
                <w:sz w:val="18"/>
                <w:szCs w:val="18"/>
              </w:rPr>
              <w:t>0～2</w:t>
            </w:r>
          </w:p>
        </w:tc>
        <w:tc>
          <w:tcPr>
            <w:tcW w:w="676" w:type="pct"/>
            <w:gridSpan w:val="2"/>
            <w:vAlign w:val="center"/>
          </w:tcPr>
          <w:p>
            <w:pPr>
              <w:jc w:val="center"/>
              <w:rPr>
                <w:rFonts w:ascii="宋体" w:cs="宋体"/>
                <w:kern w:val="0"/>
                <w:sz w:val="18"/>
                <w:szCs w:val="18"/>
              </w:rPr>
            </w:pPr>
            <w:r>
              <w:rPr>
                <w:rFonts w:hint="eastAsia" w:ascii="宋体" w:cs="宋体"/>
                <w:kern w:val="0"/>
                <w:sz w:val="18"/>
                <w:szCs w:val="18"/>
              </w:rPr>
              <w:t>2～4</w:t>
            </w:r>
          </w:p>
        </w:tc>
        <w:tc>
          <w:tcPr>
            <w:tcW w:w="678" w:type="pct"/>
            <w:vAlign w:val="center"/>
          </w:tcPr>
          <w:p>
            <w:pPr>
              <w:jc w:val="center"/>
              <w:rPr>
                <w:rFonts w:ascii="宋体" w:cs="宋体"/>
                <w:kern w:val="0"/>
                <w:sz w:val="18"/>
                <w:szCs w:val="18"/>
              </w:rPr>
            </w:pPr>
            <w:r>
              <w:rPr>
                <w:rFonts w:hint="eastAsia" w:ascii="宋体" w:cs="宋体"/>
                <w:kern w:val="0"/>
                <w:sz w:val="18"/>
                <w:szCs w:val="18"/>
              </w:rPr>
              <w:t>≥4</w:t>
            </w:r>
          </w:p>
        </w:tc>
        <w:tc>
          <w:tcPr>
            <w:tcW w:w="517" w:type="pct"/>
            <w:vAlign w:val="center"/>
          </w:tcPr>
          <w:p>
            <w:pPr>
              <w:jc w:val="center"/>
              <w:rPr>
                <w:rFonts w:hint="eastAsia"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附录B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607" w:type="pct"/>
            <w:vMerge w:val="continue"/>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近三年万元产值用电能耗标煤下降率</w:t>
            </w:r>
          </w:p>
        </w:tc>
        <w:tc>
          <w:tcPr>
            <w:tcW w:w="404" w:type="pct"/>
            <w:vAlign w:val="center"/>
          </w:tcPr>
          <w:p>
            <w:pPr>
              <w:jc w:val="center"/>
              <w:rPr>
                <w:rFonts w:ascii="宋体"/>
                <w:kern w:val="0"/>
                <w:sz w:val="18"/>
                <w:szCs w:val="18"/>
              </w:rPr>
            </w:pPr>
            <w:r>
              <w:rPr>
                <w:rFonts w:hint="eastAsia" w:ascii="宋体"/>
                <w:kern w:val="0"/>
                <w:sz w:val="18"/>
                <w:szCs w:val="18"/>
              </w:rPr>
              <w:t>%</w:t>
            </w:r>
          </w:p>
        </w:tc>
        <w:tc>
          <w:tcPr>
            <w:tcW w:w="740" w:type="pct"/>
            <w:gridSpan w:val="3"/>
            <w:vAlign w:val="center"/>
          </w:tcPr>
          <w:p>
            <w:pPr>
              <w:jc w:val="center"/>
              <w:rPr>
                <w:rFonts w:ascii="宋体" w:cs="宋体"/>
                <w:kern w:val="0"/>
                <w:sz w:val="18"/>
                <w:szCs w:val="18"/>
              </w:rPr>
            </w:pPr>
            <w:r>
              <w:rPr>
                <w:rFonts w:hint="eastAsia" w:ascii="宋体" w:cs="宋体"/>
                <w:kern w:val="0"/>
                <w:sz w:val="18"/>
                <w:szCs w:val="18"/>
              </w:rPr>
              <w:t>0～2</w:t>
            </w:r>
          </w:p>
        </w:tc>
        <w:tc>
          <w:tcPr>
            <w:tcW w:w="676" w:type="pct"/>
            <w:gridSpan w:val="2"/>
            <w:vAlign w:val="center"/>
          </w:tcPr>
          <w:p>
            <w:pPr>
              <w:jc w:val="center"/>
              <w:rPr>
                <w:rFonts w:ascii="宋体" w:cs="宋体"/>
                <w:kern w:val="0"/>
                <w:sz w:val="18"/>
                <w:szCs w:val="18"/>
              </w:rPr>
            </w:pPr>
            <w:r>
              <w:rPr>
                <w:rFonts w:hint="eastAsia" w:ascii="宋体" w:cs="宋体"/>
                <w:kern w:val="0"/>
                <w:sz w:val="18"/>
                <w:szCs w:val="18"/>
              </w:rPr>
              <w:t>2～4</w:t>
            </w:r>
          </w:p>
        </w:tc>
        <w:tc>
          <w:tcPr>
            <w:tcW w:w="678" w:type="pct"/>
            <w:vAlign w:val="center"/>
          </w:tcPr>
          <w:p>
            <w:pPr>
              <w:jc w:val="center"/>
              <w:rPr>
                <w:rFonts w:ascii="宋体" w:cs="宋体"/>
                <w:kern w:val="0"/>
                <w:sz w:val="18"/>
                <w:szCs w:val="18"/>
              </w:rPr>
            </w:pPr>
            <w:r>
              <w:rPr>
                <w:rFonts w:hint="eastAsia" w:ascii="宋体" w:cs="宋体"/>
                <w:kern w:val="0"/>
                <w:sz w:val="18"/>
                <w:szCs w:val="18"/>
              </w:rPr>
              <w:t>≥4</w:t>
            </w:r>
          </w:p>
        </w:tc>
        <w:tc>
          <w:tcPr>
            <w:tcW w:w="517" w:type="pct"/>
            <w:vAlign w:val="center"/>
          </w:tcPr>
          <w:p>
            <w:pPr>
              <w:jc w:val="center"/>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lang w:val="en-US" w:eastAsia="zh-CN"/>
              </w:rPr>
              <w:t>附录B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 w:hRule="atLeast"/>
        </w:trPr>
        <w:tc>
          <w:tcPr>
            <w:tcW w:w="607" w:type="pct"/>
            <w:vMerge w:val="restart"/>
            <w:vAlign w:val="center"/>
          </w:tcPr>
          <w:p>
            <w:pPr>
              <w:jc w:val="center"/>
              <w:rPr>
                <w:rFonts w:ascii="宋体"/>
                <w:kern w:val="0"/>
                <w:sz w:val="18"/>
                <w:szCs w:val="18"/>
              </w:rPr>
            </w:pPr>
            <w:r>
              <w:rPr>
                <w:rFonts w:hint="eastAsia" w:ascii="宋体"/>
                <w:kern w:val="0"/>
                <w:sz w:val="18"/>
                <w:szCs w:val="18"/>
              </w:rPr>
              <w:t>环境属性</w:t>
            </w:r>
          </w:p>
        </w:tc>
        <w:tc>
          <w:tcPr>
            <w:tcW w:w="1375" w:type="pct"/>
            <w:gridSpan w:val="6"/>
            <w:vAlign w:val="center"/>
          </w:tcPr>
          <w:p>
            <w:pPr>
              <w:jc w:val="center"/>
              <w:rPr>
                <w:rFonts w:ascii="宋体"/>
                <w:kern w:val="0"/>
                <w:sz w:val="18"/>
                <w:szCs w:val="18"/>
              </w:rPr>
            </w:pPr>
            <w:r>
              <w:rPr>
                <w:rFonts w:hint="eastAsia" w:ascii="宋体"/>
                <w:kern w:val="0"/>
                <w:sz w:val="18"/>
                <w:szCs w:val="18"/>
              </w:rPr>
              <w:t>工作场所粉尘容许浓度</w:t>
            </w:r>
          </w:p>
        </w:tc>
        <w:tc>
          <w:tcPr>
            <w:tcW w:w="404" w:type="pct"/>
            <w:vAlign w:val="center"/>
          </w:tcPr>
          <w:p>
            <w:pPr>
              <w:jc w:val="center"/>
              <w:rPr>
                <w:rFonts w:ascii="宋体"/>
                <w:kern w:val="0"/>
                <w:sz w:val="18"/>
                <w:szCs w:val="18"/>
              </w:rPr>
            </w:pPr>
            <w:r>
              <w:rPr>
                <w:rFonts w:hint="eastAsia" w:ascii="宋体"/>
                <w:kern w:val="0"/>
                <w:sz w:val="18"/>
                <w:szCs w:val="18"/>
              </w:rPr>
              <w:t>mg/m</w:t>
            </w:r>
            <w:r>
              <w:rPr>
                <w:rFonts w:hint="eastAsia" w:ascii="宋体"/>
                <w:kern w:val="0"/>
                <w:sz w:val="18"/>
                <w:szCs w:val="18"/>
                <w:vertAlign w:val="superscript"/>
              </w:rPr>
              <w:t>3</w:t>
            </w:r>
          </w:p>
        </w:tc>
        <w:tc>
          <w:tcPr>
            <w:tcW w:w="740" w:type="pct"/>
            <w:gridSpan w:val="3"/>
          </w:tcPr>
          <w:p>
            <w:pPr>
              <w:jc w:val="center"/>
            </w:pPr>
            <w:r>
              <w:rPr>
                <w:rFonts w:hint="eastAsia" w:ascii="宋体" w:cs="宋体"/>
                <w:kern w:val="0"/>
                <w:sz w:val="18"/>
                <w:szCs w:val="18"/>
              </w:rPr>
              <w:t>≤4</w:t>
            </w:r>
          </w:p>
        </w:tc>
        <w:tc>
          <w:tcPr>
            <w:tcW w:w="676" w:type="pct"/>
            <w:gridSpan w:val="2"/>
          </w:tcPr>
          <w:p>
            <w:pPr>
              <w:jc w:val="center"/>
            </w:pPr>
            <w:r>
              <w:rPr>
                <w:rFonts w:hint="eastAsia" w:ascii="宋体" w:cs="宋体"/>
                <w:kern w:val="0"/>
                <w:sz w:val="18"/>
                <w:szCs w:val="18"/>
              </w:rPr>
              <w:t>≤3</w:t>
            </w:r>
          </w:p>
        </w:tc>
        <w:tc>
          <w:tcPr>
            <w:tcW w:w="678" w:type="pct"/>
          </w:tcPr>
          <w:p>
            <w:pPr>
              <w:jc w:val="center"/>
            </w:pPr>
            <w:r>
              <w:rPr>
                <w:rFonts w:hint="eastAsia" w:ascii="宋体" w:cs="宋体"/>
                <w:kern w:val="0"/>
                <w:sz w:val="18"/>
                <w:szCs w:val="18"/>
              </w:rPr>
              <w:t>≤2</w:t>
            </w:r>
          </w:p>
        </w:tc>
        <w:tc>
          <w:tcPr>
            <w:tcW w:w="517" w:type="pct"/>
          </w:tcPr>
          <w:p>
            <w:pPr>
              <w:jc w:val="center"/>
              <w:rPr>
                <w:rFonts w:hint="eastAsia" w:ascii="Times New Roman" w:hAnsi="Times New Roman" w:eastAsia="宋体" w:cs="宋体"/>
                <w:kern w:val="0"/>
                <w:sz w:val="18"/>
                <w:szCs w:val="18"/>
              </w:rPr>
            </w:pPr>
            <w:r>
              <w:rPr>
                <w:rFonts w:hint="eastAsia" w:ascii="Times New Roman" w:hAnsi="Times New Roman" w:eastAsia="宋体" w:cs="宋体"/>
                <w:color w:val="000000"/>
                <w:kern w:val="0"/>
                <w:sz w:val="18"/>
                <w:szCs w:val="21"/>
              </w:rPr>
              <w:t>GB 16297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噪音</w:t>
            </w:r>
          </w:p>
        </w:tc>
        <w:tc>
          <w:tcPr>
            <w:tcW w:w="404" w:type="pct"/>
            <w:vAlign w:val="center"/>
          </w:tcPr>
          <w:p>
            <w:pPr>
              <w:jc w:val="center"/>
              <w:rPr>
                <w:rFonts w:ascii="宋体"/>
                <w:kern w:val="0"/>
                <w:sz w:val="18"/>
                <w:szCs w:val="18"/>
              </w:rPr>
            </w:pPr>
            <w:r>
              <w:rPr>
                <w:color w:val="000000"/>
                <w:sz w:val="18"/>
              </w:rPr>
              <w:t>dB</w:t>
            </w:r>
          </w:p>
        </w:tc>
        <w:tc>
          <w:tcPr>
            <w:tcW w:w="740" w:type="pct"/>
            <w:gridSpan w:val="3"/>
            <w:vAlign w:val="center"/>
          </w:tcPr>
          <w:p>
            <w:pPr>
              <w:jc w:val="center"/>
              <w:rPr>
                <w:rFonts w:ascii="宋体" w:cs="宋体"/>
                <w:kern w:val="0"/>
                <w:sz w:val="18"/>
                <w:szCs w:val="18"/>
              </w:rPr>
            </w:pP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70</w:t>
            </w:r>
          </w:p>
        </w:tc>
        <w:tc>
          <w:tcPr>
            <w:tcW w:w="676" w:type="pct"/>
            <w:gridSpan w:val="2"/>
          </w:tcPr>
          <w:p>
            <w:pPr>
              <w:jc w:val="center"/>
              <w:rPr>
                <w:rFonts w:ascii="宋体" w:cs="宋体"/>
                <w:kern w:val="0"/>
                <w:sz w:val="18"/>
                <w:szCs w:val="18"/>
              </w:rPr>
            </w:pP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5</w:t>
            </w:r>
          </w:p>
        </w:tc>
        <w:tc>
          <w:tcPr>
            <w:tcW w:w="678" w:type="pct"/>
          </w:tcPr>
          <w:p>
            <w:pPr>
              <w:jc w:val="center"/>
              <w:rPr>
                <w:rFonts w:ascii="宋体" w:cs="宋体"/>
                <w:kern w:val="0"/>
                <w:sz w:val="18"/>
                <w:szCs w:val="18"/>
              </w:rPr>
            </w:pP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0</w:t>
            </w:r>
          </w:p>
        </w:tc>
        <w:tc>
          <w:tcPr>
            <w:tcW w:w="517" w:type="pct"/>
          </w:tcPr>
          <w:p>
            <w:pPr>
              <w:jc w:val="center"/>
              <w:rPr>
                <w:rFonts w:hint="eastAsia" w:ascii="Times New Roman" w:hAnsi="Times New Roman" w:eastAsia="宋体" w:cs="宋体"/>
                <w:sz w:val="18"/>
                <w:szCs w:val="18"/>
              </w:rPr>
            </w:pPr>
            <w:r>
              <w:rPr>
                <w:rFonts w:hint="eastAsia" w:ascii="Times New Roman" w:hAnsi="Times New Roman" w:eastAsia="宋体" w:cs="宋体"/>
                <w:color w:val="000000"/>
                <w:kern w:val="0"/>
                <w:sz w:val="18"/>
                <w:szCs w:val="18"/>
                <w:highlight w:val="none"/>
              </w:rPr>
              <w:t>GB 12348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cs="宋体"/>
                <w:color w:val="000000"/>
                <w:sz w:val="18"/>
              </w:rPr>
              <w:t>水体污染物排放</w:t>
            </w:r>
          </w:p>
        </w:tc>
        <w:tc>
          <w:tcPr>
            <w:tcW w:w="404" w:type="pct"/>
            <w:vAlign w:val="center"/>
          </w:tcPr>
          <w:p>
            <w:pPr>
              <w:jc w:val="center"/>
              <w:rPr>
                <w:rFonts w:ascii="宋体"/>
                <w:kern w:val="0"/>
                <w:sz w:val="18"/>
                <w:szCs w:val="18"/>
              </w:rPr>
            </w:pPr>
            <w:r>
              <w:rPr>
                <w:color w:val="000000"/>
                <w:sz w:val="18"/>
              </w:rPr>
              <w:t>——</w:t>
            </w:r>
          </w:p>
        </w:tc>
        <w:tc>
          <w:tcPr>
            <w:tcW w:w="2095" w:type="pct"/>
            <w:gridSpan w:val="6"/>
          </w:tcPr>
          <w:p>
            <w:pPr>
              <w:jc w:val="center"/>
              <w:rPr>
                <w:rFonts w:ascii="宋体" w:cs="宋体"/>
                <w:kern w:val="0"/>
                <w:sz w:val="18"/>
                <w:szCs w:val="18"/>
              </w:rPr>
            </w:pPr>
            <w:r>
              <w:rPr>
                <w:rFonts w:hint="eastAsia" w:ascii="宋体" w:cs="宋体"/>
                <w:kern w:val="0"/>
                <w:sz w:val="18"/>
                <w:szCs w:val="18"/>
              </w:rPr>
              <w:t>废水无外排</w:t>
            </w:r>
          </w:p>
        </w:tc>
        <w:tc>
          <w:tcPr>
            <w:tcW w:w="517" w:type="pct"/>
          </w:tcPr>
          <w:p>
            <w:pPr>
              <w:jc w:val="center"/>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GB 8978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607" w:type="pct"/>
            <w:vMerge w:val="restart"/>
            <w:vAlign w:val="center"/>
          </w:tcPr>
          <w:p>
            <w:pPr>
              <w:jc w:val="center"/>
              <w:rPr>
                <w:rFonts w:ascii="宋体"/>
                <w:kern w:val="0"/>
                <w:sz w:val="18"/>
                <w:szCs w:val="18"/>
              </w:rPr>
            </w:pPr>
            <w:r>
              <w:rPr>
                <w:rFonts w:hint="eastAsia" w:ascii="宋体"/>
                <w:kern w:val="0"/>
                <w:sz w:val="18"/>
                <w:szCs w:val="18"/>
              </w:rPr>
              <w:t>品质属性</w:t>
            </w:r>
          </w:p>
        </w:tc>
        <w:tc>
          <w:tcPr>
            <w:tcW w:w="564" w:type="pct"/>
            <w:gridSpan w:val="2"/>
            <w:vAlign w:val="center"/>
          </w:tcPr>
          <w:p>
            <w:pPr>
              <w:jc w:val="center"/>
              <w:rPr>
                <w:rFonts w:ascii="宋体"/>
                <w:kern w:val="0"/>
                <w:sz w:val="18"/>
                <w:szCs w:val="18"/>
              </w:rPr>
            </w:pPr>
            <w:r>
              <w:rPr>
                <w:rFonts w:hint="eastAsia" w:ascii="宋体"/>
                <w:kern w:val="0"/>
                <w:sz w:val="18"/>
                <w:szCs w:val="18"/>
              </w:rPr>
              <w:t>产品寿命</w:t>
            </w:r>
          </w:p>
        </w:tc>
        <w:tc>
          <w:tcPr>
            <w:tcW w:w="810" w:type="pct"/>
            <w:gridSpan w:val="4"/>
            <w:vAlign w:val="center"/>
          </w:tcPr>
          <w:p>
            <w:pPr>
              <w:jc w:val="center"/>
              <w:rPr>
                <w:rFonts w:ascii="宋体"/>
                <w:kern w:val="0"/>
                <w:sz w:val="18"/>
                <w:szCs w:val="18"/>
              </w:rPr>
            </w:pPr>
            <w:r>
              <w:rPr>
                <w:rFonts w:hint="eastAsia" w:ascii="宋体"/>
                <w:kern w:val="0"/>
                <w:sz w:val="18"/>
                <w:szCs w:val="18"/>
              </w:rPr>
              <w:t>拉门耐久性</w:t>
            </w:r>
          </w:p>
        </w:tc>
        <w:tc>
          <w:tcPr>
            <w:tcW w:w="404" w:type="pct"/>
            <w:vAlign w:val="center"/>
          </w:tcPr>
          <w:p>
            <w:pPr>
              <w:jc w:val="center"/>
              <w:rPr>
                <w:rFonts w:ascii="宋体"/>
                <w:kern w:val="0"/>
                <w:sz w:val="18"/>
                <w:szCs w:val="18"/>
              </w:rPr>
            </w:pPr>
            <w:r>
              <w:rPr>
                <w:rFonts w:hint="eastAsia" w:ascii="宋体"/>
                <w:kern w:val="0"/>
                <w:sz w:val="18"/>
                <w:szCs w:val="18"/>
              </w:rPr>
              <w:t>万次</w:t>
            </w:r>
          </w:p>
        </w:tc>
        <w:tc>
          <w:tcPr>
            <w:tcW w:w="740" w:type="pct"/>
            <w:gridSpan w:val="3"/>
            <w:vAlign w:val="center"/>
          </w:tcPr>
          <w:p>
            <w:pPr>
              <w:jc w:val="center"/>
              <w:rPr>
                <w:rFonts w:ascii="宋体" w:cs="宋体"/>
                <w:kern w:val="0"/>
                <w:sz w:val="18"/>
                <w:szCs w:val="18"/>
              </w:rPr>
            </w:pPr>
            <w:r>
              <w:rPr>
                <w:rFonts w:hint="eastAsia" w:ascii="宋体" w:cs="宋体"/>
                <w:kern w:val="0"/>
                <w:sz w:val="18"/>
                <w:szCs w:val="18"/>
              </w:rPr>
              <w:t>8</w:t>
            </w:r>
          </w:p>
        </w:tc>
        <w:tc>
          <w:tcPr>
            <w:tcW w:w="676" w:type="pct"/>
            <w:gridSpan w:val="2"/>
            <w:vAlign w:val="center"/>
          </w:tcPr>
          <w:p>
            <w:pPr>
              <w:jc w:val="center"/>
              <w:rPr>
                <w:rFonts w:ascii="宋体" w:cs="宋体"/>
                <w:kern w:val="0"/>
                <w:sz w:val="18"/>
                <w:szCs w:val="18"/>
              </w:rPr>
            </w:pPr>
            <w:r>
              <w:rPr>
                <w:rFonts w:hint="eastAsia" w:ascii="宋体" w:cs="宋体"/>
                <w:kern w:val="0"/>
                <w:sz w:val="18"/>
                <w:szCs w:val="18"/>
              </w:rPr>
              <w:t>9</w:t>
            </w:r>
          </w:p>
        </w:tc>
        <w:tc>
          <w:tcPr>
            <w:tcW w:w="678" w:type="pct"/>
            <w:vAlign w:val="center"/>
          </w:tcPr>
          <w:p>
            <w:pPr>
              <w:jc w:val="center"/>
              <w:rPr>
                <w:rFonts w:ascii="宋体" w:cs="宋体"/>
                <w:kern w:val="0"/>
                <w:sz w:val="18"/>
                <w:szCs w:val="18"/>
              </w:rPr>
            </w:pPr>
            <w:r>
              <w:rPr>
                <w:rFonts w:hint="eastAsia" w:ascii="宋体" w:cs="宋体"/>
                <w:kern w:val="0"/>
                <w:sz w:val="18"/>
                <w:szCs w:val="18"/>
              </w:rPr>
              <w:t>10</w:t>
            </w:r>
          </w:p>
        </w:tc>
        <w:tc>
          <w:tcPr>
            <w:tcW w:w="517" w:type="pct"/>
            <w:vAlign w:val="center"/>
          </w:tcPr>
          <w:p>
            <w:pPr>
              <w:jc w:val="center"/>
              <w:rPr>
                <w:rFonts w:hint="eastAsia"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GB/T 10357.5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564" w:type="pct"/>
            <w:gridSpan w:val="2"/>
            <w:vMerge w:val="restart"/>
            <w:vAlign w:val="center"/>
          </w:tcPr>
          <w:p>
            <w:pPr>
              <w:jc w:val="center"/>
              <w:rPr>
                <w:rFonts w:ascii="宋体"/>
                <w:kern w:val="0"/>
                <w:sz w:val="18"/>
                <w:szCs w:val="18"/>
              </w:rPr>
            </w:pPr>
            <w:r>
              <w:rPr>
                <w:rFonts w:hint="eastAsia" w:ascii="宋体"/>
                <w:kern w:val="0"/>
                <w:sz w:val="18"/>
                <w:szCs w:val="18"/>
              </w:rPr>
              <w:t>力学强度</w:t>
            </w:r>
          </w:p>
        </w:tc>
        <w:tc>
          <w:tcPr>
            <w:tcW w:w="269" w:type="pct"/>
            <w:gridSpan w:val="3"/>
            <w:vMerge w:val="restart"/>
            <w:vAlign w:val="center"/>
          </w:tcPr>
          <w:p>
            <w:pPr>
              <w:jc w:val="center"/>
              <w:rPr>
                <w:rFonts w:ascii="宋体"/>
                <w:kern w:val="0"/>
                <w:sz w:val="18"/>
                <w:szCs w:val="18"/>
              </w:rPr>
            </w:pPr>
            <w:r>
              <w:rPr>
                <w:rFonts w:hint="eastAsia" w:ascii="宋体"/>
                <w:kern w:val="0"/>
                <w:sz w:val="18"/>
                <w:szCs w:val="18"/>
              </w:rPr>
              <w:t>落地柜</w:t>
            </w:r>
          </w:p>
        </w:tc>
        <w:tc>
          <w:tcPr>
            <w:tcW w:w="541" w:type="pct"/>
            <w:vAlign w:val="center"/>
          </w:tcPr>
          <w:p>
            <w:pPr>
              <w:jc w:val="center"/>
              <w:rPr>
                <w:rFonts w:ascii="宋体"/>
                <w:kern w:val="0"/>
                <w:sz w:val="18"/>
                <w:szCs w:val="18"/>
              </w:rPr>
            </w:pPr>
            <w:r>
              <w:rPr>
                <w:rFonts w:hint="eastAsia" w:ascii="宋体"/>
                <w:kern w:val="0"/>
                <w:sz w:val="18"/>
                <w:szCs w:val="18"/>
              </w:rPr>
              <w:t>垂直静载荷</w:t>
            </w:r>
          </w:p>
        </w:tc>
        <w:tc>
          <w:tcPr>
            <w:tcW w:w="404" w:type="pct"/>
            <w:vMerge w:val="restart"/>
            <w:vAlign w:val="center"/>
          </w:tcPr>
          <w:p>
            <w:pPr>
              <w:jc w:val="center"/>
              <w:rPr>
                <w:rFonts w:ascii="宋体"/>
                <w:kern w:val="0"/>
                <w:sz w:val="18"/>
                <w:szCs w:val="18"/>
              </w:rPr>
            </w:pPr>
            <w:r>
              <w:rPr>
                <w:color w:val="000000"/>
                <w:sz w:val="18"/>
              </w:rPr>
              <w:t>——</w:t>
            </w:r>
          </w:p>
        </w:tc>
        <w:tc>
          <w:tcPr>
            <w:tcW w:w="740" w:type="pct"/>
            <w:gridSpan w:val="3"/>
            <w:vAlign w:val="center"/>
          </w:tcPr>
          <w:p>
            <w:pPr>
              <w:jc w:val="left"/>
              <w:rPr>
                <w:rFonts w:ascii="宋体" w:cs="宋体"/>
                <w:kern w:val="0"/>
                <w:sz w:val="18"/>
                <w:szCs w:val="18"/>
              </w:rPr>
            </w:pPr>
            <w:r>
              <w:rPr>
                <w:rFonts w:hint="eastAsia" w:ascii="宋体" w:cs="宋体"/>
                <w:kern w:val="0"/>
                <w:sz w:val="18"/>
                <w:szCs w:val="18"/>
                <w:lang w:eastAsia="zh-CN"/>
              </w:rPr>
              <w:t>（</w:t>
            </w:r>
            <w:r>
              <w:rPr>
                <w:rFonts w:hint="eastAsia" w:ascii="宋体" w:cs="宋体"/>
                <w:kern w:val="0"/>
                <w:sz w:val="18"/>
                <w:szCs w:val="18"/>
              </w:rPr>
              <w:t>1000</w:t>
            </w:r>
            <w:r>
              <w:rPr>
                <w:rFonts w:hint="eastAsia" w:ascii="宋体" w:cs="宋体"/>
                <w:kern w:val="0"/>
                <w:sz w:val="18"/>
                <w:szCs w:val="18"/>
                <w:lang w:val="en-US" w:eastAsia="zh-CN"/>
              </w:rPr>
              <w:t>±50）</w:t>
            </w:r>
            <w:r>
              <w:rPr>
                <w:rFonts w:hint="eastAsia" w:ascii="宋体" w:cs="宋体"/>
                <w:kern w:val="0"/>
                <w:sz w:val="18"/>
                <w:szCs w:val="18"/>
              </w:rPr>
              <w:t>N，保持10s,加载10次，无损坏</w:t>
            </w:r>
          </w:p>
        </w:tc>
        <w:tc>
          <w:tcPr>
            <w:tcW w:w="676" w:type="pct"/>
            <w:gridSpan w:val="2"/>
            <w:vAlign w:val="center"/>
          </w:tcPr>
          <w:p>
            <w:pPr>
              <w:rPr>
                <w:rFonts w:ascii="宋体" w:cs="宋体"/>
                <w:kern w:val="0"/>
                <w:sz w:val="18"/>
                <w:szCs w:val="18"/>
              </w:rPr>
            </w:pPr>
            <w:r>
              <w:rPr>
                <w:rFonts w:hint="eastAsia" w:ascii="宋体" w:cs="宋体"/>
                <w:kern w:val="0"/>
                <w:sz w:val="18"/>
                <w:szCs w:val="18"/>
                <w:lang w:eastAsia="zh-CN"/>
              </w:rPr>
              <w:t>（</w:t>
            </w:r>
            <w:r>
              <w:rPr>
                <w:rFonts w:hint="eastAsia" w:ascii="宋体" w:cs="宋体"/>
                <w:kern w:val="0"/>
                <w:sz w:val="18"/>
                <w:szCs w:val="18"/>
              </w:rPr>
              <w:t>1</w:t>
            </w:r>
            <w:r>
              <w:rPr>
                <w:rFonts w:hint="eastAsia" w:ascii="宋体" w:cs="宋体"/>
                <w:kern w:val="0"/>
                <w:sz w:val="18"/>
                <w:szCs w:val="18"/>
                <w:lang w:val="en-US" w:eastAsia="zh-CN"/>
              </w:rPr>
              <w:t>2</w:t>
            </w:r>
            <w:r>
              <w:rPr>
                <w:rFonts w:hint="eastAsia" w:ascii="宋体" w:cs="宋体"/>
                <w:kern w:val="0"/>
                <w:sz w:val="18"/>
                <w:szCs w:val="18"/>
              </w:rPr>
              <w:t>00</w:t>
            </w:r>
            <w:r>
              <w:rPr>
                <w:rFonts w:hint="eastAsia" w:ascii="宋体" w:cs="宋体"/>
                <w:kern w:val="0"/>
                <w:sz w:val="18"/>
                <w:szCs w:val="18"/>
                <w:lang w:val="en-US" w:eastAsia="zh-CN"/>
              </w:rPr>
              <w:t>±50）</w:t>
            </w:r>
            <w:r>
              <w:rPr>
                <w:rFonts w:hint="eastAsia" w:ascii="宋体" w:cs="宋体"/>
                <w:kern w:val="0"/>
                <w:sz w:val="18"/>
                <w:szCs w:val="18"/>
              </w:rPr>
              <w:t>N，保持10s,加载10次，无损坏</w:t>
            </w:r>
          </w:p>
        </w:tc>
        <w:tc>
          <w:tcPr>
            <w:tcW w:w="678" w:type="pct"/>
            <w:vAlign w:val="center"/>
          </w:tcPr>
          <w:p>
            <w:pPr>
              <w:rPr>
                <w:rFonts w:ascii="宋体" w:cs="宋体"/>
                <w:kern w:val="0"/>
                <w:sz w:val="18"/>
                <w:szCs w:val="18"/>
              </w:rPr>
            </w:pPr>
            <w:r>
              <w:rPr>
                <w:rFonts w:hint="eastAsia" w:ascii="宋体" w:cs="宋体"/>
                <w:kern w:val="0"/>
                <w:sz w:val="18"/>
                <w:szCs w:val="18"/>
                <w:lang w:eastAsia="zh-CN"/>
              </w:rPr>
              <w:t>（</w:t>
            </w:r>
            <w:r>
              <w:rPr>
                <w:rFonts w:hint="eastAsia" w:ascii="宋体" w:cs="宋体"/>
                <w:kern w:val="0"/>
                <w:sz w:val="18"/>
                <w:szCs w:val="18"/>
                <w:lang w:val="en-US" w:eastAsia="zh-CN"/>
              </w:rPr>
              <w:t>15</w:t>
            </w:r>
            <w:r>
              <w:rPr>
                <w:rFonts w:hint="eastAsia" w:ascii="宋体" w:cs="宋体"/>
                <w:kern w:val="0"/>
                <w:sz w:val="18"/>
                <w:szCs w:val="18"/>
              </w:rPr>
              <w:t>00</w:t>
            </w:r>
            <w:r>
              <w:rPr>
                <w:rFonts w:hint="eastAsia" w:ascii="宋体" w:cs="宋体"/>
                <w:kern w:val="0"/>
                <w:sz w:val="18"/>
                <w:szCs w:val="18"/>
                <w:lang w:val="en-US" w:eastAsia="zh-CN"/>
              </w:rPr>
              <w:t>±50）</w:t>
            </w:r>
            <w:r>
              <w:rPr>
                <w:rFonts w:hint="eastAsia" w:ascii="宋体" w:cs="宋体"/>
                <w:kern w:val="0"/>
                <w:sz w:val="18"/>
                <w:szCs w:val="18"/>
              </w:rPr>
              <w:t>N，保持10s,加载10次，无损坏</w:t>
            </w:r>
          </w:p>
        </w:tc>
        <w:tc>
          <w:tcPr>
            <w:tcW w:w="517" w:type="pct"/>
            <w:vAlign w:val="center"/>
          </w:tcPr>
          <w:p>
            <w:pPr>
              <w:jc w:val="center"/>
              <w:rPr>
                <w:rFonts w:hint="eastAsia"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GB/T 24977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564" w:type="pct"/>
            <w:gridSpan w:val="2"/>
            <w:vMerge w:val="continue"/>
            <w:vAlign w:val="center"/>
          </w:tcPr>
          <w:p>
            <w:pPr>
              <w:jc w:val="center"/>
              <w:rPr>
                <w:rFonts w:ascii="宋体"/>
                <w:kern w:val="0"/>
                <w:sz w:val="18"/>
                <w:szCs w:val="18"/>
              </w:rPr>
            </w:pPr>
          </w:p>
        </w:tc>
        <w:tc>
          <w:tcPr>
            <w:tcW w:w="269" w:type="pct"/>
            <w:gridSpan w:val="3"/>
            <w:vMerge w:val="continue"/>
            <w:vAlign w:val="center"/>
          </w:tcPr>
          <w:p>
            <w:pPr>
              <w:jc w:val="center"/>
              <w:rPr>
                <w:rFonts w:ascii="宋体"/>
                <w:kern w:val="0"/>
                <w:sz w:val="18"/>
                <w:szCs w:val="18"/>
              </w:rPr>
            </w:pPr>
          </w:p>
        </w:tc>
        <w:tc>
          <w:tcPr>
            <w:tcW w:w="541" w:type="pct"/>
            <w:vAlign w:val="center"/>
          </w:tcPr>
          <w:p>
            <w:pPr>
              <w:jc w:val="center"/>
              <w:rPr>
                <w:rFonts w:ascii="宋体"/>
                <w:kern w:val="0"/>
                <w:sz w:val="18"/>
                <w:szCs w:val="18"/>
              </w:rPr>
            </w:pPr>
            <w:r>
              <w:rPr>
                <w:rFonts w:hint="eastAsia" w:ascii="宋体"/>
                <w:kern w:val="0"/>
                <w:sz w:val="18"/>
                <w:szCs w:val="18"/>
              </w:rPr>
              <w:t>沙袋加载试验</w:t>
            </w:r>
          </w:p>
        </w:tc>
        <w:tc>
          <w:tcPr>
            <w:tcW w:w="404" w:type="pct"/>
            <w:vMerge w:val="continue"/>
            <w:vAlign w:val="center"/>
          </w:tcPr>
          <w:p>
            <w:pPr>
              <w:jc w:val="center"/>
              <w:rPr>
                <w:rFonts w:ascii="宋体"/>
                <w:kern w:val="0"/>
                <w:sz w:val="18"/>
                <w:szCs w:val="18"/>
              </w:rPr>
            </w:pPr>
          </w:p>
        </w:tc>
        <w:tc>
          <w:tcPr>
            <w:tcW w:w="740" w:type="pct"/>
            <w:gridSpan w:val="3"/>
            <w:vAlign w:val="center"/>
          </w:tcPr>
          <w:p>
            <w:pPr>
              <w:jc w:val="left"/>
              <w:rPr>
                <w:rFonts w:ascii="宋体" w:cs="宋体"/>
                <w:kern w:val="0"/>
                <w:sz w:val="18"/>
                <w:szCs w:val="18"/>
              </w:rPr>
            </w:pPr>
            <w:r>
              <w:rPr>
                <w:rFonts w:hint="eastAsia" w:ascii="宋体" w:cs="宋体"/>
                <w:kern w:val="0"/>
                <w:sz w:val="18"/>
                <w:szCs w:val="18"/>
                <w:lang w:eastAsia="zh-CN"/>
              </w:rPr>
              <w:t>（</w:t>
            </w:r>
            <w:r>
              <w:rPr>
                <w:rFonts w:hint="eastAsia" w:ascii="宋体" w:cs="宋体"/>
                <w:kern w:val="0"/>
                <w:sz w:val="18"/>
                <w:szCs w:val="18"/>
              </w:rPr>
              <w:t>25</w:t>
            </w:r>
            <w:r>
              <w:rPr>
                <w:rFonts w:hint="eastAsia" w:ascii="宋体" w:cs="宋体"/>
                <w:kern w:val="0"/>
                <w:sz w:val="18"/>
                <w:szCs w:val="18"/>
                <w:lang w:val="en-US" w:eastAsia="zh-CN"/>
              </w:rPr>
              <w:t>±0.5）</w:t>
            </w:r>
            <w:r>
              <w:rPr>
                <w:rFonts w:hint="eastAsia" w:ascii="宋体" w:cs="宋体"/>
                <w:kern w:val="0"/>
                <w:sz w:val="18"/>
                <w:szCs w:val="18"/>
              </w:rPr>
              <w:t>kg沙袋，高度25mm，自由跌落10次，无损坏</w:t>
            </w:r>
          </w:p>
        </w:tc>
        <w:tc>
          <w:tcPr>
            <w:tcW w:w="676" w:type="pct"/>
            <w:gridSpan w:val="2"/>
            <w:vAlign w:val="center"/>
          </w:tcPr>
          <w:p>
            <w:pPr>
              <w:jc w:val="left"/>
              <w:rPr>
                <w:rFonts w:ascii="宋体" w:cs="宋体"/>
                <w:kern w:val="0"/>
                <w:sz w:val="18"/>
                <w:szCs w:val="18"/>
              </w:rPr>
            </w:pPr>
            <w:r>
              <w:rPr>
                <w:rFonts w:hint="eastAsia" w:ascii="宋体" w:cs="宋体"/>
                <w:kern w:val="0"/>
                <w:sz w:val="18"/>
                <w:szCs w:val="18"/>
                <w:lang w:eastAsia="zh-CN"/>
              </w:rPr>
              <w:t>（</w:t>
            </w:r>
            <w:r>
              <w:rPr>
                <w:rFonts w:hint="eastAsia" w:ascii="宋体" w:cs="宋体"/>
                <w:kern w:val="0"/>
                <w:sz w:val="18"/>
                <w:szCs w:val="18"/>
              </w:rPr>
              <w:t>30</w:t>
            </w:r>
            <w:r>
              <w:rPr>
                <w:rFonts w:hint="eastAsia" w:ascii="宋体" w:cs="宋体"/>
                <w:kern w:val="0"/>
                <w:sz w:val="18"/>
                <w:szCs w:val="18"/>
                <w:lang w:val="en-US" w:eastAsia="zh-CN"/>
              </w:rPr>
              <w:t>±0.5）</w:t>
            </w:r>
            <w:r>
              <w:rPr>
                <w:rFonts w:hint="eastAsia" w:ascii="宋体" w:cs="宋体"/>
                <w:kern w:val="0"/>
                <w:sz w:val="18"/>
                <w:szCs w:val="18"/>
              </w:rPr>
              <w:t>kg沙袋，高度25mm，自由跌落10次，无损坏</w:t>
            </w:r>
          </w:p>
        </w:tc>
        <w:tc>
          <w:tcPr>
            <w:tcW w:w="678" w:type="pct"/>
            <w:vAlign w:val="center"/>
          </w:tcPr>
          <w:p>
            <w:pPr>
              <w:jc w:val="left"/>
              <w:rPr>
                <w:rFonts w:ascii="宋体" w:cs="宋体"/>
                <w:kern w:val="0"/>
                <w:sz w:val="18"/>
                <w:szCs w:val="18"/>
              </w:rPr>
            </w:pPr>
            <w:r>
              <w:rPr>
                <w:rFonts w:hint="eastAsia" w:ascii="宋体" w:cs="宋体"/>
                <w:kern w:val="0"/>
                <w:sz w:val="18"/>
                <w:szCs w:val="18"/>
                <w:lang w:eastAsia="zh-CN"/>
              </w:rPr>
              <w:t>（</w:t>
            </w:r>
            <w:r>
              <w:rPr>
                <w:rFonts w:hint="eastAsia" w:ascii="宋体" w:cs="宋体"/>
                <w:kern w:val="0"/>
                <w:sz w:val="18"/>
                <w:szCs w:val="18"/>
              </w:rPr>
              <w:t>35</w:t>
            </w:r>
            <w:r>
              <w:rPr>
                <w:rFonts w:hint="eastAsia" w:ascii="宋体" w:cs="宋体"/>
                <w:kern w:val="0"/>
                <w:sz w:val="18"/>
                <w:szCs w:val="18"/>
                <w:lang w:val="en-US" w:eastAsia="zh-CN"/>
              </w:rPr>
              <w:t>±0.5）</w:t>
            </w:r>
            <w:r>
              <w:rPr>
                <w:rFonts w:hint="eastAsia" w:ascii="宋体" w:cs="宋体"/>
                <w:kern w:val="0"/>
                <w:sz w:val="18"/>
                <w:szCs w:val="18"/>
              </w:rPr>
              <w:t>kg沙袋，高度25mm，自由跌落10次，无损坏</w:t>
            </w:r>
          </w:p>
        </w:tc>
        <w:tc>
          <w:tcPr>
            <w:tcW w:w="517" w:type="pct"/>
            <w:vAlign w:val="center"/>
          </w:tcPr>
          <w:p>
            <w:pPr>
              <w:jc w:val="center"/>
              <w:rPr>
                <w:rFonts w:hint="eastAsia" w:ascii="Times New Roman" w:hAnsi="Times New Roman" w:eastAsia="宋体" w:cs="宋体"/>
                <w:kern w:val="0"/>
                <w:sz w:val="18"/>
                <w:szCs w:val="18"/>
                <w:lang w:eastAsia="zh-CN"/>
              </w:rPr>
            </w:pPr>
            <w:r>
              <w:rPr>
                <w:rFonts w:hint="eastAsia" w:ascii="Times New Roman" w:hAnsi="Times New Roman" w:eastAsia="宋体" w:cs="宋体"/>
                <w:kern w:val="0"/>
                <w:sz w:val="18"/>
                <w:szCs w:val="18"/>
                <w:lang w:val="en-US" w:eastAsia="zh-CN"/>
              </w:rPr>
              <w:t>GB/T 24977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564" w:type="pct"/>
            <w:gridSpan w:val="2"/>
            <w:vMerge w:val="continue"/>
            <w:vAlign w:val="center"/>
          </w:tcPr>
          <w:p>
            <w:pPr>
              <w:jc w:val="center"/>
              <w:rPr>
                <w:rFonts w:ascii="宋体"/>
                <w:kern w:val="0"/>
                <w:sz w:val="18"/>
                <w:szCs w:val="18"/>
              </w:rPr>
            </w:pPr>
          </w:p>
        </w:tc>
        <w:tc>
          <w:tcPr>
            <w:tcW w:w="810" w:type="pct"/>
            <w:gridSpan w:val="4"/>
            <w:vAlign w:val="center"/>
          </w:tcPr>
          <w:p>
            <w:pPr>
              <w:jc w:val="center"/>
              <w:rPr>
                <w:rFonts w:ascii="宋体"/>
                <w:kern w:val="0"/>
                <w:sz w:val="18"/>
                <w:szCs w:val="18"/>
              </w:rPr>
            </w:pPr>
            <w:r>
              <w:rPr>
                <w:rFonts w:hint="eastAsia" w:ascii="宋体"/>
                <w:kern w:val="0"/>
                <w:sz w:val="18"/>
                <w:szCs w:val="18"/>
              </w:rPr>
              <w:t>悬挂柜极限强度（正常安装后台面离地高度＜1m）</w:t>
            </w:r>
          </w:p>
        </w:tc>
        <w:tc>
          <w:tcPr>
            <w:tcW w:w="404" w:type="pct"/>
            <w:vAlign w:val="center"/>
          </w:tcPr>
          <w:p>
            <w:pPr>
              <w:jc w:val="center"/>
              <w:rPr>
                <w:rFonts w:ascii="宋体"/>
                <w:kern w:val="0"/>
                <w:sz w:val="18"/>
                <w:szCs w:val="18"/>
              </w:rPr>
            </w:pPr>
            <w:r>
              <w:rPr>
                <w:color w:val="000000"/>
                <w:sz w:val="18"/>
              </w:rPr>
              <w:t>——</w:t>
            </w:r>
          </w:p>
        </w:tc>
        <w:tc>
          <w:tcPr>
            <w:tcW w:w="740" w:type="pct"/>
            <w:gridSpan w:val="3"/>
            <w:vAlign w:val="center"/>
          </w:tcPr>
          <w:p>
            <w:pPr>
              <w:rPr>
                <w:rFonts w:ascii="宋体" w:cs="宋体"/>
                <w:kern w:val="0"/>
                <w:sz w:val="18"/>
                <w:szCs w:val="18"/>
              </w:rPr>
            </w:pPr>
            <w:r>
              <w:rPr>
                <w:rFonts w:hint="eastAsia" w:ascii="宋体" w:cs="宋体"/>
                <w:kern w:val="0"/>
                <w:sz w:val="18"/>
                <w:szCs w:val="18"/>
                <w:lang w:eastAsia="zh-CN"/>
              </w:rPr>
              <w:t>（</w:t>
            </w:r>
            <w:r>
              <w:rPr>
                <w:rFonts w:hint="eastAsia" w:ascii="宋体" w:cs="宋体"/>
                <w:kern w:val="0"/>
                <w:sz w:val="18"/>
                <w:szCs w:val="18"/>
              </w:rPr>
              <w:t>1000</w:t>
            </w:r>
            <w:r>
              <w:rPr>
                <w:rFonts w:hint="eastAsia" w:ascii="宋体" w:cs="宋体"/>
                <w:kern w:val="0"/>
                <w:sz w:val="18"/>
                <w:szCs w:val="18"/>
                <w:lang w:val="en-US" w:eastAsia="zh-CN"/>
              </w:rPr>
              <w:t>±50）</w:t>
            </w:r>
            <w:r>
              <w:rPr>
                <w:rFonts w:hint="eastAsia" w:ascii="宋体" w:cs="宋体"/>
                <w:kern w:val="0"/>
                <w:sz w:val="18"/>
                <w:szCs w:val="18"/>
              </w:rPr>
              <w:t>N，保持10min，柜体及各零部件连接无松动，连接部位应无变形、裂纹、损坏</w:t>
            </w:r>
          </w:p>
        </w:tc>
        <w:tc>
          <w:tcPr>
            <w:tcW w:w="676" w:type="pct"/>
            <w:gridSpan w:val="2"/>
            <w:vAlign w:val="center"/>
          </w:tcPr>
          <w:p>
            <w:pPr>
              <w:rPr>
                <w:rFonts w:ascii="宋体" w:cs="宋体"/>
                <w:kern w:val="0"/>
                <w:sz w:val="18"/>
                <w:szCs w:val="18"/>
              </w:rPr>
            </w:pPr>
            <w:r>
              <w:rPr>
                <w:rFonts w:hint="eastAsia" w:ascii="宋体" w:cs="宋体"/>
                <w:kern w:val="0"/>
                <w:sz w:val="18"/>
                <w:szCs w:val="18"/>
                <w:lang w:eastAsia="zh-CN"/>
              </w:rPr>
              <w:t>（</w:t>
            </w:r>
            <w:r>
              <w:rPr>
                <w:rFonts w:hint="eastAsia" w:ascii="宋体" w:cs="宋体"/>
                <w:kern w:val="0"/>
                <w:sz w:val="18"/>
                <w:szCs w:val="18"/>
              </w:rPr>
              <w:t>1</w:t>
            </w:r>
            <w:r>
              <w:rPr>
                <w:rFonts w:hint="eastAsia" w:ascii="宋体" w:cs="宋体"/>
                <w:kern w:val="0"/>
                <w:sz w:val="18"/>
                <w:szCs w:val="18"/>
                <w:lang w:val="en-US" w:eastAsia="zh-CN"/>
              </w:rPr>
              <w:t>2</w:t>
            </w:r>
            <w:r>
              <w:rPr>
                <w:rFonts w:hint="eastAsia" w:ascii="宋体" w:cs="宋体"/>
                <w:kern w:val="0"/>
                <w:sz w:val="18"/>
                <w:szCs w:val="18"/>
              </w:rPr>
              <w:t>00</w:t>
            </w:r>
            <w:r>
              <w:rPr>
                <w:rFonts w:hint="eastAsia" w:ascii="宋体" w:cs="宋体"/>
                <w:kern w:val="0"/>
                <w:sz w:val="18"/>
                <w:szCs w:val="18"/>
                <w:lang w:val="en-US" w:eastAsia="zh-CN"/>
              </w:rPr>
              <w:t>±50）</w:t>
            </w:r>
            <w:r>
              <w:rPr>
                <w:rFonts w:hint="eastAsia" w:ascii="宋体" w:cs="宋体"/>
                <w:kern w:val="0"/>
                <w:sz w:val="18"/>
                <w:szCs w:val="18"/>
              </w:rPr>
              <w:t>N，保持10min，柜体及各零部件连接无松动，连接部位应无变形、裂纹、损坏</w:t>
            </w:r>
          </w:p>
        </w:tc>
        <w:tc>
          <w:tcPr>
            <w:tcW w:w="678" w:type="pct"/>
            <w:vAlign w:val="center"/>
          </w:tcPr>
          <w:p>
            <w:pPr>
              <w:rPr>
                <w:rFonts w:ascii="宋体" w:cs="宋体"/>
                <w:kern w:val="0"/>
                <w:sz w:val="18"/>
                <w:szCs w:val="18"/>
              </w:rPr>
            </w:pPr>
            <w:r>
              <w:rPr>
                <w:rFonts w:hint="eastAsia" w:ascii="宋体" w:cs="宋体"/>
                <w:kern w:val="0"/>
                <w:sz w:val="18"/>
                <w:szCs w:val="18"/>
                <w:lang w:eastAsia="zh-CN"/>
              </w:rPr>
              <w:t>（</w:t>
            </w:r>
            <w:r>
              <w:rPr>
                <w:rFonts w:hint="eastAsia" w:ascii="宋体" w:cs="宋体"/>
                <w:kern w:val="0"/>
                <w:sz w:val="18"/>
                <w:szCs w:val="18"/>
                <w:lang w:val="en-US" w:eastAsia="zh-CN"/>
              </w:rPr>
              <w:t>15</w:t>
            </w:r>
            <w:r>
              <w:rPr>
                <w:rFonts w:hint="eastAsia" w:ascii="宋体" w:cs="宋体"/>
                <w:kern w:val="0"/>
                <w:sz w:val="18"/>
                <w:szCs w:val="18"/>
              </w:rPr>
              <w:t>00</w:t>
            </w:r>
            <w:r>
              <w:rPr>
                <w:rFonts w:hint="eastAsia" w:ascii="宋体" w:cs="宋体"/>
                <w:kern w:val="0"/>
                <w:sz w:val="18"/>
                <w:szCs w:val="18"/>
                <w:lang w:val="en-US" w:eastAsia="zh-CN"/>
              </w:rPr>
              <w:t>±50）</w:t>
            </w:r>
            <w:r>
              <w:rPr>
                <w:rFonts w:hint="eastAsia" w:ascii="宋体" w:cs="宋体"/>
                <w:kern w:val="0"/>
                <w:sz w:val="18"/>
                <w:szCs w:val="18"/>
              </w:rPr>
              <w:t>N，保持10min，柜体及各零部件连接无松动，连接部位应无变形、裂纹、损坏</w:t>
            </w:r>
          </w:p>
        </w:tc>
        <w:tc>
          <w:tcPr>
            <w:tcW w:w="517" w:type="pct"/>
            <w:vAlign w:val="center"/>
          </w:tcPr>
          <w:p>
            <w:pPr>
              <w:jc w:val="center"/>
              <w:rPr>
                <w:rFonts w:hint="eastAsia" w:ascii="Times New Roman" w:hAnsi="Times New Roman" w:eastAsia="宋体" w:cs="宋体"/>
                <w:kern w:val="0"/>
                <w:sz w:val="18"/>
                <w:szCs w:val="18"/>
                <w:lang w:eastAsia="zh-CN"/>
              </w:rPr>
            </w:pPr>
            <w:r>
              <w:rPr>
                <w:rFonts w:hint="eastAsia" w:ascii="Times New Roman" w:hAnsi="Times New Roman" w:eastAsia="宋体" w:cs="宋体"/>
                <w:kern w:val="0"/>
                <w:sz w:val="18"/>
                <w:szCs w:val="18"/>
                <w:lang w:val="en-US" w:eastAsia="zh-CN"/>
              </w:rPr>
              <w:t>GB/T 24977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564" w:type="pct"/>
            <w:gridSpan w:val="2"/>
            <w:vMerge w:val="continue"/>
            <w:vAlign w:val="center"/>
          </w:tcPr>
          <w:p>
            <w:pPr>
              <w:jc w:val="center"/>
              <w:rPr>
                <w:rFonts w:ascii="宋体"/>
                <w:kern w:val="0"/>
                <w:sz w:val="18"/>
                <w:szCs w:val="18"/>
              </w:rPr>
            </w:pPr>
          </w:p>
        </w:tc>
        <w:tc>
          <w:tcPr>
            <w:tcW w:w="810" w:type="pct"/>
            <w:gridSpan w:val="4"/>
            <w:vAlign w:val="center"/>
          </w:tcPr>
          <w:p>
            <w:pPr>
              <w:jc w:val="center"/>
              <w:rPr>
                <w:rFonts w:ascii="宋体"/>
                <w:kern w:val="0"/>
                <w:sz w:val="18"/>
                <w:szCs w:val="18"/>
              </w:rPr>
            </w:pPr>
            <w:r>
              <w:rPr>
                <w:rFonts w:hint="eastAsia" w:ascii="宋体"/>
                <w:kern w:val="0"/>
                <w:sz w:val="18"/>
                <w:szCs w:val="18"/>
              </w:rPr>
              <w:t>悬挂柜极限强度（正常安装后台面离地高度</w:t>
            </w:r>
            <w:r>
              <w:rPr>
                <w:rFonts w:hint="eastAsia" w:ascii="宋体" w:cs="宋体"/>
                <w:kern w:val="0"/>
                <w:sz w:val="18"/>
                <w:szCs w:val="18"/>
              </w:rPr>
              <w:t>≥</w:t>
            </w:r>
            <w:r>
              <w:rPr>
                <w:rFonts w:hint="eastAsia" w:ascii="宋体"/>
                <w:kern w:val="0"/>
                <w:sz w:val="18"/>
                <w:szCs w:val="18"/>
              </w:rPr>
              <w:t>1m）</w:t>
            </w:r>
          </w:p>
        </w:tc>
        <w:tc>
          <w:tcPr>
            <w:tcW w:w="404" w:type="pct"/>
            <w:vAlign w:val="center"/>
          </w:tcPr>
          <w:p>
            <w:pPr>
              <w:jc w:val="center"/>
              <w:rPr>
                <w:rFonts w:ascii="宋体"/>
                <w:kern w:val="0"/>
                <w:sz w:val="18"/>
                <w:szCs w:val="18"/>
              </w:rPr>
            </w:pPr>
            <w:r>
              <w:rPr>
                <w:color w:val="000000"/>
                <w:sz w:val="18"/>
              </w:rPr>
              <w:t>——</w:t>
            </w:r>
          </w:p>
        </w:tc>
        <w:tc>
          <w:tcPr>
            <w:tcW w:w="2095" w:type="pct"/>
            <w:gridSpan w:val="6"/>
            <w:vAlign w:val="center"/>
          </w:tcPr>
          <w:p>
            <w:pPr>
              <w:jc w:val="center"/>
              <w:rPr>
                <w:rFonts w:hint="default" w:ascii="宋体" w:eastAsia="宋体" w:cs="宋体"/>
                <w:kern w:val="0"/>
                <w:sz w:val="18"/>
                <w:szCs w:val="18"/>
                <w:lang w:val="en-US" w:eastAsia="zh-CN"/>
              </w:rPr>
            </w:pPr>
            <w:r>
              <w:rPr>
                <w:rFonts w:hint="eastAsia" w:ascii="宋体" w:cs="宋体"/>
                <w:kern w:val="0"/>
                <w:sz w:val="18"/>
                <w:szCs w:val="18"/>
              </w:rPr>
              <w:t>按GB</w:t>
            </w:r>
            <w:r>
              <w:rPr>
                <w:rFonts w:hint="eastAsia" w:ascii="宋体" w:cs="宋体"/>
                <w:kern w:val="0"/>
                <w:sz w:val="18"/>
                <w:szCs w:val="18"/>
                <w:lang w:val="en-US" w:eastAsia="zh-CN"/>
              </w:rPr>
              <w:t>/T</w:t>
            </w:r>
            <w:r>
              <w:rPr>
                <w:rFonts w:hint="eastAsia" w:ascii="宋体" w:cs="宋体"/>
                <w:kern w:val="0"/>
                <w:sz w:val="18"/>
                <w:szCs w:val="18"/>
              </w:rPr>
              <w:t xml:space="preserve"> 24977</w:t>
            </w:r>
            <w:r>
              <w:rPr>
                <w:rFonts w:hint="eastAsia" w:ascii="宋体" w:cs="宋体"/>
                <w:kern w:val="0"/>
                <w:sz w:val="18"/>
                <w:szCs w:val="18"/>
                <w:lang w:val="en-US" w:eastAsia="zh-CN"/>
              </w:rPr>
              <w:t>相关要求</w:t>
            </w:r>
          </w:p>
        </w:tc>
        <w:tc>
          <w:tcPr>
            <w:tcW w:w="517" w:type="pct"/>
            <w:vAlign w:val="center"/>
          </w:tcPr>
          <w:p>
            <w:pPr>
              <w:jc w:val="center"/>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lang w:val="en-US" w:eastAsia="zh-CN"/>
              </w:rPr>
              <w:t>GB/T 24977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耐水性</w:t>
            </w:r>
          </w:p>
        </w:tc>
        <w:tc>
          <w:tcPr>
            <w:tcW w:w="404" w:type="pct"/>
            <w:vAlign w:val="center"/>
          </w:tcPr>
          <w:p>
            <w:pPr>
              <w:jc w:val="center"/>
              <w:rPr>
                <w:rFonts w:ascii="宋体"/>
                <w:kern w:val="0"/>
                <w:sz w:val="18"/>
                <w:szCs w:val="18"/>
              </w:rPr>
            </w:pPr>
          </w:p>
        </w:tc>
        <w:tc>
          <w:tcPr>
            <w:tcW w:w="697" w:type="pct"/>
            <w:gridSpan w:val="2"/>
            <w:vAlign w:val="center"/>
          </w:tcPr>
          <w:p>
            <w:pPr>
              <w:jc w:val="center"/>
              <w:rPr>
                <w:rFonts w:ascii="宋体" w:cs="宋体"/>
                <w:kern w:val="0"/>
                <w:sz w:val="18"/>
                <w:szCs w:val="18"/>
              </w:rPr>
            </w:pPr>
            <w:r>
              <w:rPr>
                <w:rFonts w:hint="eastAsia" w:ascii="宋体" w:cs="宋体"/>
                <w:kern w:val="0"/>
                <w:sz w:val="18"/>
                <w:szCs w:val="18"/>
              </w:rPr>
              <w:t>1</w:t>
            </w:r>
            <w:r>
              <w:rPr>
                <w:rFonts w:ascii="宋体" w:cs="宋体"/>
                <w:kern w:val="0"/>
                <w:sz w:val="18"/>
                <w:szCs w:val="18"/>
              </w:rPr>
              <w:t xml:space="preserve">0 </w:t>
            </w:r>
            <w:r>
              <w:rPr>
                <w:rFonts w:hint="eastAsia" w:ascii="宋体" w:cs="宋体"/>
                <w:kern w:val="0"/>
                <w:sz w:val="18"/>
                <w:szCs w:val="18"/>
              </w:rPr>
              <w:t>min</w:t>
            </w:r>
          </w:p>
        </w:tc>
        <w:tc>
          <w:tcPr>
            <w:tcW w:w="697" w:type="pct"/>
            <w:gridSpan w:val="2"/>
            <w:vAlign w:val="center"/>
          </w:tcPr>
          <w:p>
            <w:pPr>
              <w:jc w:val="center"/>
              <w:rPr>
                <w:rFonts w:ascii="宋体" w:cs="宋体"/>
                <w:kern w:val="0"/>
                <w:sz w:val="18"/>
                <w:szCs w:val="18"/>
              </w:rPr>
            </w:pPr>
            <w:r>
              <w:rPr>
                <w:rFonts w:hint="eastAsia" w:ascii="宋体" w:cs="宋体"/>
                <w:kern w:val="0"/>
                <w:sz w:val="18"/>
                <w:szCs w:val="18"/>
                <w:lang w:val="en-US" w:eastAsia="zh-CN"/>
              </w:rPr>
              <w:t>15</w:t>
            </w:r>
            <w:r>
              <w:rPr>
                <w:rFonts w:ascii="宋体" w:cs="宋体"/>
                <w:kern w:val="0"/>
                <w:sz w:val="18"/>
                <w:szCs w:val="18"/>
              </w:rPr>
              <w:t xml:space="preserve"> </w:t>
            </w:r>
            <w:r>
              <w:rPr>
                <w:rFonts w:hint="eastAsia" w:ascii="宋体" w:cs="宋体"/>
                <w:kern w:val="0"/>
                <w:sz w:val="18"/>
                <w:szCs w:val="18"/>
              </w:rPr>
              <w:t>min</w:t>
            </w:r>
          </w:p>
        </w:tc>
        <w:tc>
          <w:tcPr>
            <w:tcW w:w="700" w:type="pct"/>
            <w:gridSpan w:val="2"/>
            <w:vAlign w:val="center"/>
          </w:tcPr>
          <w:p>
            <w:pPr>
              <w:jc w:val="center"/>
              <w:rPr>
                <w:rFonts w:ascii="宋体" w:cs="宋体"/>
                <w:kern w:val="0"/>
                <w:sz w:val="18"/>
                <w:szCs w:val="18"/>
              </w:rPr>
            </w:pPr>
            <w:r>
              <w:rPr>
                <w:rFonts w:hint="eastAsia" w:ascii="宋体" w:cs="宋体"/>
                <w:kern w:val="0"/>
                <w:sz w:val="18"/>
                <w:szCs w:val="18"/>
                <w:lang w:val="en-US" w:eastAsia="zh-CN"/>
              </w:rPr>
              <w:t>20</w:t>
            </w:r>
            <w:r>
              <w:rPr>
                <w:rFonts w:ascii="宋体" w:cs="宋体"/>
                <w:kern w:val="0"/>
                <w:sz w:val="18"/>
                <w:szCs w:val="18"/>
              </w:rPr>
              <w:t xml:space="preserve"> </w:t>
            </w:r>
            <w:r>
              <w:rPr>
                <w:rFonts w:hint="eastAsia" w:ascii="宋体" w:cs="宋体"/>
                <w:kern w:val="0"/>
                <w:sz w:val="18"/>
                <w:szCs w:val="18"/>
              </w:rPr>
              <w:t>min</w:t>
            </w:r>
          </w:p>
        </w:tc>
        <w:tc>
          <w:tcPr>
            <w:tcW w:w="517" w:type="pct"/>
            <w:vAlign w:val="center"/>
          </w:tcPr>
          <w:p>
            <w:pPr>
              <w:jc w:val="center"/>
              <w:rPr>
                <w:rFonts w:hint="eastAsia"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GB/T 24977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205" w:type="pct"/>
            <w:vMerge w:val="restart"/>
            <w:vAlign w:val="center"/>
          </w:tcPr>
          <w:p>
            <w:pPr>
              <w:jc w:val="center"/>
              <w:rPr>
                <w:rFonts w:ascii="宋体"/>
                <w:kern w:val="0"/>
                <w:sz w:val="18"/>
                <w:szCs w:val="18"/>
              </w:rPr>
            </w:pPr>
            <w:r>
              <w:rPr>
                <w:rFonts w:hint="eastAsia" w:ascii="宋体"/>
                <w:kern w:val="0"/>
                <w:sz w:val="18"/>
                <w:szCs w:val="18"/>
              </w:rPr>
              <w:t>卫生安全</w:t>
            </w:r>
          </w:p>
        </w:tc>
        <w:tc>
          <w:tcPr>
            <w:tcW w:w="1169" w:type="pct"/>
            <w:gridSpan w:val="5"/>
            <w:vAlign w:val="center"/>
          </w:tcPr>
          <w:p>
            <w:pPr>
              <w:rPr>
                <w:rFonts w:ascii="宋体"/>
                <w:kern w:val="0"/>
                <w:sz w:val="18"/>
                <w:szCs w:val="18"/>
              </w:rPr>
            </w:pPr>
            <w:r>
              <w:rPr>
                <w:rFonts w:hint="eastAsia" w:ascii="宋体"/>
                <w:kern w:val="0"/>
                <w:sz w:val="18"/>
                <w:szCs w:val="18"/>
              </w:rPr>
              <w:t>甲醛释放量</w:t>
            </w:r>
          </w:p>
        </w:tc>
        <w:tc>
          <w:tcPr>
            <w:tcW w:w="404" w:type="pct"/>
            <w:vAlign w:val="center"/>
          </w:tcPr>
          <w:p>
            <w:pPr>
              <w:jc w:val="center"/>
              <w:rPr>
                <w:rFonts w:ascii="宋体"/>
                <w:kern w:val="0"/>
                <w:sz w:val="18"/>
                <w:szCs w:val="18"/>
              </w:rPr>
            </w:pPr>
            <w:r>
              <w:rPr>
                <w:rFonts w:hint="eastAsia" w:asciiTheme="minorEastAsia" w:hAnsiTheme="minorEastAsia" w:eastAsiaTheme="minorEastAsia" w:cstheme="minorEastAsia"/>
                <w:sz w:val="18"/>
                <w:szCs w:val="18"/>
              </w:rPr>
              <w:t>mg/m³</w:t>
            </w:r>
          </w:p>
        </w:tc>
        <w:tc>
          <w:tcPr>
            <w:tcW w:w="697" w:type="pct"/>
            <w:gridSpan w:val="2"/>
            <w:vAlign w:val="center"/>
          </w:tcPr>
          <w:p>
            <w:pPr>
              <w:jc w:val="center"/>
              <w:rPr>
                <w:rFonts w:ascii="宋体" w:cs="宋体"/>
                <w:kern w:val="0"/>
                <w:sz w:val="18"/>
                <w:szCs w:val="18"/>
              </w:rPr>
            </w:pPr>
            <w:r>
              <w:rPr>
                <w:rFonts w:hint="eastAsia" w:ascii="宋体" w:cs="宋体"/>
                <w:kern w:val="0"/>
                <w:sz w:val="18"/>
                <w:szCs w:val="18"/>
              </w:rPr>
              <w:t>0</w:t>
            </w:r>
            <w:r>
              <w:rPr>
                <w:rFonts w:ascii="宋体" w:cs="宋体"/>
                <w:kern w:val="0"/>
                <w:sz w:val="18"/>
                <w:szCs w:val="18"/>
              </w:rPr>
              <w:t>.124</w:t>
            </w:r>
          </w:p>
        </w:tc>
        <w:tc>
          <w:tcPr>
            <w:tcW w:w="697" w:type="pct"/>
            <w:gridSpan w:val="2"/>
            <w:vAlign w:val="center"/>
          </w:tcPr>
          <w:p>
            <w:pPr>
              <w:jc w:val="center"/>
              <w:rPr>
                <w:rFonts w:ascii="宋体" w:cs="宋体"/>
                <w:kern w:val="0"/>
                <w:sz w:val="18"/>
                <w:szCs w:val="18"/>
              </w:rPr>
            </w:pPr>
            <w:r>
              <w:rPr>
                <w:rFonts w:hint="eastAsia" w:ascii="宋体" w:cs="宋体"/>
                <w:kern w:val="0"/>
                <w:sz w:val="18"/>
                <w:szCs w:val="18"/>
              </w:rPr>
              <w:t>0</w:t>
            </w:r>
            <w:r>
              <w:rPr>
                <w:rFonts w:ascii="宋体" w:cs="宋体"/>
                <w:kern w:val="0"/>
                <w:sz w:val="18"/>
                <w:szCs w:val="18"/>
              </w:rPr>
              <w:t>.05</w:t>
            </w:r>
          </w:p>
        </w:tc>
        <w:tc>
          <w:tcPr>
            <w:tcW w:w="700" w:type="pct"/>
            <w:gridSpan w:val="2"/>
            <w:vAlign w:val="center"/>
          </w:tcPr>
          <w:p>
            <w:pPr>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0.025</w:t>
            </w:r>
          </w:p>
        </w:tc>
        <w:tc>
          <w:tcPr>
            <w:tcW w:w="517" w:type="pct"/>
            <w:vMerge w:val="restart"/>
            <w:vAlign w:val="center"/>
          </w:tcPr>
          <w:p>
            <w:pPr>
              <w:jc w:val="center"/>
              <w:rPr>
                <w:rFonts w:hint="eastAsia"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GB/T 35607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205" w:type="pct"/>
            <w:vMerge w:val="continue"/>
            <w:vAlign w:val="center"/>
          </w:tcPr>
          <w:p>
            <w:pPr>
              <w:jc w:val="center"/>
              <w:rPr>
                <w:rFonts w:ascii="宋体"/>
                <w:kern w:val="0"/>
                <w:sz w:val="18"/>
                <w:szCs w:val="18"/>
              </w:rPr>
            </w:pPr>
          </w:p>
        </w:tc>
        <w:tc>
          <w:tcPr>
            <w:tcW w:w="439" w:type="pct"/>
            <w:gridSpan w:val="2"/>
            <w:vMerge w:val="restart"/>
            <w:vAlign w:val="center"/>
          </w:tcPr>
          <w:p>
            <w:pPr>
              <w:jc w:val="center"/>
              <w:rPr>
                <w:rFonts w:ascii="宋体"/>
                <w:kern w:val="0"/>
                <w:sz w:val="18"/>
                <w:szCs w:val="18"/>
              </w:rPr>
            </w:pPr>
            <w:r>
              <w:rPr>
                <w:rFonts w:hint="eastAsia" w:asciiTheme="minorEastAsia" w:hAnsiTheme="minorEastAsia" w:eastAsiaTheme="minorEastAsia" w:cstheme="minorEastAsia"/>
                <w:sz w:val="18"/>
                <w:szCs w:val="18"/>
              </w:rPr>
              <w:t>挥发性有机化合物（7</w:t>
            </w:r>
            <w:r>
              <w:rPr>
                <w:rFonts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h）</w:t>
            </w:r>
          </w:p>
        </w:tc>
        <w:tc>
          <w:tcPr>
            <w:tcW w:w="729" w:type="pct"/>
            <w:gridSpan w:val="3"/>
            <w:vAlign w:val="center"/>
          </w:tcPr>
          <w:p>
            <w:pPr>
              <w:jc w:val="center"/>
              <w:rPr>
                <w:rFonts w:ascii="宋体"/>
                <w:kern w:val="0"/>
                <w:sz w:val="18"/>
                <w:szCs w:val="18"/>
              </w:rPr>
            </w:pPr>
            <w:r>
              <w:rPr>
                <w:rFonts w:hint="eastAsia" w:ascii="宋体"/>
                <w:kern w:val="0"/>
                <w:sz w:val="18"/>
                <w:szCs w:val="18"/>
              </w:rPr>
              <w:t>苯</w:t>
            </w:r>
          </w:p>
        </w:tc>
        <w:tc>
          <w:tcPr>
            <w:tcW w:w="404" w:type="pct"/>
            <w:vMerge w:val="restart"/>
            <w:vAlign w:val="center"/>
          </w:tcPr>
          <w:p>
            <w:pPr>
              <w:jc w:val="center"/>
              <w:rPr>
                <w:rFonts w:ascii="宋体"/>
                <w:kern w:val="0"/>
                <w:sz w:val="18"/>
                <w:szCs w:val="18"/>
              </w:rPr>
            </w:pPr>
            <w:r>
              <w:rPr>
                <w:rFonts w:eastAsiaTheme="minorEastAsia"/>
                <w:sz w:val="18"/>
                <w:szCs w:val="18"/>
              </w:rPr>
              <w:t>µ</w:t>
            </w:r>
            <w:r>
              <w:rPr>
                <w:rFonts w:hint="eastAsia" w:asciiTheme="minorEastAsia" w:hAnsiTheme="minorEastAsia" w:eastAsiaTheme="minorEastAsia" w:cstheme="minorEastAsia"/>
                <w:sz w:val="18"/>
                <w:szCs w:val="18"/>
              </w:rPr>
              <w:t>g/m³</w:t>
            </w:r>
          </w:p>
        </w:tc>
        <w:tc>
          <w:tcPr>
            <w:tcW w:w="2095" w:type="pct"/>
            <w:gridSpan w:val="6"/>
            <w:vAlign w:val="center"/>
          </w:tcPr>
          <w:p>
            <w:pPr>
              <w:jc w:val="center"/>
              <w:rPr>
                <w:rFonts w:ascii="宋体" w:cs="宋体"/>
                <w:kern w:val="0"/>
                <w:sz w:val="18"/>
                <w:szCs w:val="18"/>
              </w:rPr>
            </w:pPr>
            <w:r>
              <w:rPr>
                <w:kern w:val="0"/>
                <w:sz w:val="18"/>
                <w:szCs w:val="18"/>
              </w:rPr>
              <w:t>≤</w:t>
            </w:r>
            <w:r>
              <w:rPr>
                <w:rFonts w:hint="eastAsia" w:ascii="宋体" w:cs="宋体"/>
                <w:kern w:val="0"/>
                <w:sz w:val="18"/>
                <w:szCs w:val="18"/>
              </w:rPr>
              <w:t>1</w:t>
            </w:r>
            <w:r>
              <w:rPr>
                <w:rFonts w:ascii="宋体" w:cs="宋体"/>
                <w:kern w:val="0"/>
                <w:sz w:val="18"/>
                <w:szCs w:val="18"/>
              </w:rPr>
              <w:t>0</w:t>
            </w:r>
          </w:p>
        </w:tc>
        <w:tc>
          <w:tcPr>
            <w:tcW w:w="517" w:type="pct"/>
            <w:vMerge w:val="continue"/>
            <w:vAlign w:val="center"/>
          </w:tcPr>
          <w:p>
            <w:pPr>
              <w:jc w:val="center"/>
              <w:rPr>
                <w:rFonts w:hint="eastAsia" w:ascii="Times New Roman" w:hAnsi="Times New Roman" w:eastAsia="宋体" w:cs="宋体"/>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trPr>
        <w:tc>
          <w:tcPr>
            <w:tcW w:w="607" w:type="pct"/>
            <w:vMerge w:val="continue"/>
            <w:vAlign w:val="center"/>
          </w:tcPr>
          <w:p>
            <w:pPr>
              <w:jc w:val="center"/>
              <w:rPr>
                <w:rFonts w:ascii="宋体"/>
                <w:kern w:val="0"/>
                <w:sz w:val="18"/>
                <w:szCs w:val="18"/>
              </w:rPr>
            </w:pPr>
          </w:p>
        </w:tc>
        <w:tc>
          <w:tcPr>
            <w:tcW w:w="205" w:type="pct"/>
            <w:vMerge w:val="continue"/>
            <w:vAlign w:val="center"/>
          </w:tcPr>
          <w:p>
            <w:pPr>
              <w:jc w:val="center"/>
              <w:rPr>
                <w:rFonts w:ascii="宋体"/>
                <w:kern w:val="0"/>
                <w:sz w:val="18"/>
                <w:szCs w:val="18"/>
              </w:rPr>
            </w:pPr>
          </w:p>
        </w:tc>
        <w:tc>
          <w:tcPr>
            <w:tcW w:w="439" w:type="pct"/>
            <w:gridSpan w:val="2"/>
            <w:vMerge w:val="continue"/>
            <w:vAlign w:val="center"/>
          </w:tcPr>
          <w:p>
            <w:pPr>
              <w:jc w:val="center"/>
              <w:rPr>
                <w:rFonts w:asciiTheme="minorEastAsia" w:hAnsiTheme="minorEastAsia" w:eastAsiaTheme="minorEastAsia" w:cstheme="minorEastAsia"/>
                <w:sz w:val="18"/>
                <w:szCs w:val="18"/>
              </w:rPr>
            </w:pPr>
          </w:p>
        </w:tc>
        <w:tc>
          <w:tcPr>
            <w:tcW w:w="729" w:type="pct"/>
            <w:gridSpan w:val="3"/>
            <w:vAlign w:val="center"/>
          </w:tcPr>
          <w:p>
            <w:pPr>
              <w:jc w:val="center"/>
              <w:rPr>
                <w:rFonts w:ascii="宋体"/>
                <w:kern w:val="0"/>
                <w:sz w:val="18"/>
                <w:szCs w:val="18"/>
              </w:rPr>
            </w:pPr>
            <w:r>
              <w:rPr>
                <w:rFonts w:hint="eastAsia" w:asciiTheme="minorEastAsia" w:hAnsiTheme="minorEastAsia" w:eastAsiaTheme="minorEastAsia" w:cstheme="minorEastAsia"/>
                <w:sz w:val="18"/>
                <w:szCs w:val="18"/>
              </w:rPr>
              <w:t>甲苯</w:t>
            </w:r>
          </w:p>
        </w:tc>
        <w:tc>
          <w:tcPr>
            <w:tcW w:w="404" w:type="pct"/>
            <w:vMerge w:val="continue"/>
            <w:vAlign w:val="center"/>
          </w:tcPr>
          <w:p>
            <w:pPr>
              <w:jc w:val="center"/>
              <w:rPr>
                <w:rFonts w:ascii="宋体"/>
                <w:kern w:val="0"/>
                <w:sz w:val="18"/>
                <w:szCs w:val="18"/>
              </w:rPr>
            </w:pPr>
          </w:p>
        </w:tc>
        <w:tc>
          <w:tcPr>
            <w:tcW w:w="2095" w:type="pct"/>
            <w:gridSpan w:val="6"/>
            <w:vAlign w:val="center"/>
          </w:tcPr>
          <w:p>
            <w:pPr>
              <w:jc w:val="center"/>
              <w:rPr>
                <w:rFonts w:ascii="宋体" w:cs="宋体"/>
                <w:kern w:val="0"/>
                <w:sz w:val="18"/>
                <w:szCs w:val="18"/>
              </w:rPr>
            </w:pPr>
            <w:r>
              <w:rPr>
                <w:kern w:val="0"/>
                <w:sz w:val="18"/>
                <w:szCs w:val="18"/>
              </w:rPr>
              <w:t>≤</w:t>
            </w:r>
            <w:r>
              <w:rPr>
                <w:rFonts w:ascii="宋体" w:cs="宋体"/>
                <w:kern w:val="0"/>
                <w:sz w:val="18"/>
                <w:szCs w:val="18"/>
              </w:rPr>
              <w:t>20</w:t>
            </w:r>
          </w:p>
        </w:tc>
        <w:tc>
          <w:tcPr>
            <w:tcW w:w="517" w:type="pct"/>
            <w:vMerge w:val="continue"/>
            <w:vAlign w:val="center"/>
          </w:tcPr>
          <w:p>
            <w:pPr>
              <w:jc w:val="center"/>
              <w:rPr>
                <w:rFonts w:hint="eastAsia" w:ascii="Times New Roman" w:hAnsi="Times New Roman"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205" w:type="pct"/>
            <w:vMerge w:val="continue"/>
            <w:vAlign w:val="center"/>
          </w:tcPr>
          <w:p>
            <w:pPr>
              <w:jc w:val="center"/>
              <w:rPr>
                <w:rFonts w:ascii="宋体"/>
                <w:kern w:val="0"/>
                <w:sz w:val="18"/>
                <w:szCs w:val="18"/>
              </w:rPr>
            </w:pPr>
          </w:p>
        </w:tc>
        <w:tc>
          <w:tcPr>
            <w:tcW w:w="439" w:type="pct"/>
            <w:gridSpan w:val="2"/>
            <w:vMerge w:val="continue"/>
            <w:vAlign w:val="center"/>
          </w:tcPr>
          <w:p>
            <w:pPr>
              <w:jc w:val="center"/>
              <w:rPr>
                <w:rFonts w:asciiTheme="minorEastAsia" w:hAnsiTheme="minorEastAsia" w:eastAsiaTheme="minorEastAsia" w:cstheme="minorEastAsia"/>
                <w:sz w:val="18"/>
                <w:szCs w:val="18"/>
              </w:rPr>
            </w:pPr>
          </w:p>
        </w:tc>
        <w:tc>
          <w:tcPr>
            <w:tcW w:w="729" w:type="pct"/>
            <w:gridSpan w:val="3"/>
            <w:vAlign w:val="center"/>
          </w:tcPr>
          <w:p>
            <w:pPr>
              <w:jc w:val="center"/>
              <w:rPr>
                <w:rFonts w:ascii="宋体"/>
                <w:kern w:val="0"/>
                <w:sz w:val="18"/>
                <w:szCs w:val="18"/>
              </w:rPr>
            </w:pPr>
            <w:r>
              <w:rPr>
                <w:rFonts w:hint="eastAsia" w:asciiTheme="minorEastAsia" w:hAnsiTheme="minorEastAsia" w:eastAsiaTheme="minorEastAsia" w:cstheme="minorEastAsia"/>
                <w:sz w:val="18"/>
                <w:szCs w:val="18"/>
              </w:rPr>
              <w:t>二甲苯</w:t>
            </w:r>
          </w:p>
        </w:tc>
        <w:tc>
          <w:tcPr>
            <w:tcW w:w="404" w:type="pct"/>
            <w:vMerge w:val="continue"/>
            <w:vAlign w:val="center"/>
          </w:tcPr>
          <w:p>
            <w:pPr>
              <w:jc w:val="center"/>
              <w:rPr>
                <w:rFonts w:ascii="宋体"/>
                <w:kern w:val="0"/>
                <w:sz w:val="18"/>
                <w:szCs w:val="18"/>
              </w:rPr>
            </w:pPr>
          </w:p>
        </w:tc>
        <w:tc>
          <w:tcPr>
            <w:tcW w:w="2095" w:type="pct"/>
            <w:gridSpan w:val="6"/>
            <w:vAlign w:val="center"/>
          </w:tcPr>
          <w:p>
            <w:pPr>
              <w:jc w:val="center"/>
              <w:rPr>
                <w:rFonts w:ascii="宋体" w:cs="宋体"/>
                <w:kern w:val="0"/>
                <w:sz w:val="18"/>
                <w:szCs w:val="18"/>
              </w:rPr>
            </w:pPr>
            <w:r>
              <w:rPr>
                <w:kern w:val="0"/>
                <w:sz w:val="18"/>
                <w:szCs w:val="18"/>
              </w:rPr>
              <w:t>≤</w:t>
            </w:r>
            <w:r>
              <w:rPr>
                <w:rFonts w:ascii="宋体" w:cs="宋体"/>
                <w:kern w:val="0"/>
                <w:sz w:val="18"/>
                <w:szCs w:val="18"/>
              </w:rPr>
              <w:t>20</w:t>
            </w:r>
          </w:p>
        </w:tc>
        <w:tc>
          <w:tcPr>
            <w:tcW w:w="517" w:type="pct"/>
            <w:vMerge w:val="continue"/>
            <w:vAlign w:val="center"/>
          </w:tcPr>
          <w:p>
            <w:pPr>
              <w:jc w:val="center"/>
              <w:rPr>
                <w:rFonts w:hint="eastAsia" w:ascii="Times New Roman" w:hAnsi="Times New Roman"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205" w:type="pct"/>
            <w:vMerge w:val="continue"/>
            <w:vAlign w:val="center"/>
          </w:tcPr>
          <w:p>
            <w:pPr>
              <w:jc w:val="center"/>
              <w:rPr>
                <w:rFonts w:ascii="宋体"/>
                <w:kern w:val="0"/>
                <w:sz w:val="18"/>
                <w:szCs w:val="18"/>
              </w:rPr>
            </w:pPr>
          </w:p>
        </w:tc>
        <w:tc>
          <w:tcPr>
            <w:tcW w:w="439" w:type="pct"/>
            <w:gridSpan w:val="2"/>
            <w:vMerge w:val="continue"/>
            <w:vAlign w:val="center"/>
          </w:tcPr>
          <w:p>
            <w:pPr>
              <w:jc w:val="center"/>
              <w:rPr>
                <w:rFonts w:asciiTheme="minorEastAsia" w:hAnsiTheme="minorEastAsia" w:eastAsiaTheme="minorEastAsia" w:cstheme="minorEastAsia"/>
                <w:sz w:val="18"/>
                <w:szCs w:val="18"/>
              </w:rPr>
            </w:pPr>
          </w:p>
        </w:tc>
        <w:tc>
          <w:tcPr>
            <w:tcW w:w="729" w:type="pct"/>
            <w:gridSpan w:val="3"/>
            <w:vAlign w:val="center"/>
          </w:tcPr>
          <w:p>
            <w:pPr>
              <w:jc w:val="center"/>
              <w:rPr>
                <w:rFonts w:ascii="宋体"/>
                <w:kern w:val="0"/>
                <w:sz w:val="18"/>
                <w:szCs w:val="18"/>
              </w:rPr>
            </w:pPr>
            <w:r>
              <w:rPr>
                <w:rFonts w:hint="eastAsia" w:asciiTheme="minorEastAsia" w:hAnsiTheme="minorEastAsia" w:eastAsiaTheme="minorEastAsia" w:cstheme="minorEastAsia"/>
                <w:sz w:val="18"/>
                <w:szCs w:val="18"/>
              </w:rPr>
              <w:t>总挥发性有机化合物（TVOC）</w:t>
            </w:r>
          </w:p>
        </w:tc>
        <w:tc>
          <w:tcPr>
            <w:tcW w:w="404" w:type="pct"/>
            <w:vMerge w:val="continue"/>
            <w:vAlign w:val="center"/>
          </w:tcPr>
          <w:p>
            <w:pPr>
              <w:jc w:val="center"/>
              <w:rPr>
                <w:rFonts w:ascii="宋体"/>
                <w:kern w:val="0"/>
                <w:sz w:val="18"/>
                <w:szCs w:val="18"/>
              </w:rPr>
            </w:pPr>
          </w:p>
        </w:tc>
        <w:tc>
          <w:tcPr>
            <w:tcW w:w="2095" w:type="pct"/>
            <w:gridSpan w:val="6"/>
            <w:vAlign w:val="center"/>
          </w:tcPr>
          <w:p>
            <w:pPr>
              <w:jc w:val="center"/>
              <w:rPr>
                <w:rFonts w:ascii="宋体" w:cs="宋体"/>
                <w:kern w:val="0"/>
                <w:sz w:val="18"/>
                <w:szCs w:val="18"/>
              </w:rPr>
            </w:pPr>
            <w:r>
              <w:rPr>
                <w:kern w:val="0"/>
                <w:sz w:val="18"/>
                <w:szCs w:val="18"/>
              </w:rPr>
              <w:t>≤</w:t>
            </w:r>
            <w:r>
              <w:rPr>
                <w:rFonts w:ascii="宋体" w:cs="宋体"/>
                <w:kern w:val="0"/>
                <w:sz w:val="18"/>
                <w:szCs w:val="18"/>
              </w:rPr>
              <w:t>100</w:t>
            </w:r>
          </w:p>
        </w:tc>
        <w:tc>
          <w:tcPr>
            <w:tcW w:w="517" w:type="pct"/>
            <w:vMerge w:val="continue"/>
            <w:vAlign w:val="center"/>
          </w:tcPr>
          <w:p>
            <w:pPr>
              <w:jc w:val="center"/>
              <w:rPr>
                <w:rFonts w:hint="eastAsia" w:ascii="Times New Roman" w:hAnsi="Times New Roman"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205" w:type="pct"/>
            <w:vMerge w:val="continue"/>
            <w:vAlign w:val="center"/>
          </w:tcPr>
          <w:p>
            <w:pPr>
              <w:jc w:val="center"/>
              <w:rPr>
                <w:rFonts w:ascii="宋体"/>
                <w:kern w:val="0"/>
                <w:sz w:val="18"/>
                <w:szCs w:val="18"/>
              </w:rPr>
            </w:pPr>
          </w:p>
        </w:tc>
        <w:tc>
          <w:tcPr>
            <w:tcW w:w="1169" w:type="pct"/>
            <w:gridSpan w:val="5"/>
            <w:vAlign w:val="center"/>
          </w:tcPr>
          <w:p>
            <w:pPr>
              <w:jc w:val="center"/>
              <w:rPr>
                <w:rFonts w:ascii="宋体"/>
                <w:kern w:val="0"/>
                <w:sz w:val="18"/>
                <w:szCs w:val="18"/>
              </w:rPr>
            </w:pPr>
            <w:r>
              <w:rPr>
                <w:rFonts w:hint="eastAsia" w:asciiTheme="minorEastAsia" w:hAnsiTheme="minorEastAsia" w:eastAsiaTheme="minorEastAsia" w:cstheme="minorEastAsia"/>
                <w:sz w:val="18"/>
                <w:szCs w:val="18"/>
              </w:rPr>
              <w:t>可溶性重金属总含量（铅、镉、铬、汞）</w:t>
            </w:r>
          </w:p>
        </w:tc>
        <w:tc>
          <w:tcPr>
            <w:tcW w:w="404" w:type="pct"/>
            <w:vAlign w:val="center"/>
          </w:tcPr>
          <w:p>
            <w:pPr>
              <w:jc w:val="center"/>
              <w:rPr>
                <w:rFonts w:hint="eastAsia" w:ascii="宋体" w:eastAsiaTheme="minorEastAsia"/>
                <w:kern w:val="0"/>
                <w:sz w:val="18"/>
                <w:szCs w:val="18"/>
                <w:lang w:val="en-US" w:eastAsia="zh-CN"/>
              </w:rPr>
            </w:pPr>
            <w:r>
              <w:rPr>
                <w:rFonts w:hint="eastAsia" w:eastAsiaTheme="minorEastAsia"/>
                <w:sz w:val="18"/>
                <w:szCs w:val="18"/>
              </w:rPr>
              <w:t>m</w:t>
            </w:r>
            <w:r>
              <w:rPr>
                <w:rFonts w:hint="eastAsia" w:asciiTheme="minorEastAsia" w:hAnsiTheme="minorEastAsia" w:eastAsiaTheme="minorEastAsia" w:cstheme="minorEastAsia"/>
                <w:sz w:val="18"/>
                <w:szCs w:val="18"/>
              </w:rPr>
              <w:t>g/</w:t>
            </w:r>
            <w:r>
              <w:rPr>
                <w:rFonts w:hint="eastAsia" w:asciiTheme="minorEastAsia" w:hAnsiTheme="minorEastAsia" w:eastAsiaTheme="minorEastAsia" w:cstheme="minorEastAsia"/>
                <w:sz w:val="18"/>
                <w:szCs w:val="18"/>
                <w:lang w:val="en-US" w:eastAsia="zh-CN"/>
              </w:rPr>
              <w:t>kg</w:t>
            </w:r>
          </w:p>
        </w:tc>
        <w:tc>
          <w:tcPr>
            <w:tcW w:w="2095" w:type="pct"/>
            <w:gridSpan w:val="6"/>
            <w:vAlign w:val="center"/>
          </w:tcPr>
          <w:p>
            <w:pPr>
              <w:jc w:val="center"/>
              <w:rPr>
                <w:rFonts w:ascii="宋体" w:cs="宋体"/>
                <w:kern w:val="0"/>
                <w:sz w:val="18"/>
                <w:szCs w:val="18"/>
              </w:rPr>
            </w:pPr>
            <w:r>
              <w:rPr>
                <w:kern w:val="0"/>
                <w:sz w:val="18"/>
                <w:szCs w:val="18"/>
              </w:rPr>
              <w:t>≤</w:t>
            </w:r>
            <w:r>
              <w:rPr>
                <w:rFonts w:ascii="宋体" w:cs="宋体"/>
                <w:kern w:val="0"/>
                <w:sz w:val="18"/>
                <w:szCs w:val="18"/>
              </w:rPr>
              <w:t>100</w:t>
            </w:r>
          </w:p>
        </w:tc>
        <w:tc>
          <w:tcPr>
            <w:tcW w:w="517" w:type="pct"/>
            <w:vAlign w:val="center"/>
          </w:tcPr>
          <w:p>
            <w:pPr>
              <w:jc w:val="center"/>
              <w:rPr>
                <w:rFonts w:hint="eastAsia" w:ascii="Times New Roman" w:hAnsi="Times New Roman" w:eastAsia="宋体" w:cs="宋体"/>
                <w:kern w:val="0"/>
                <w:sz w:val="18"/>
                <w:szCs w:val="18"/>
                <w:lang w:val="en-US"/>
              </w:rPr>
            </w:pPr>
            <w:r>
              <w:rPr>
                <w:rFonts w:hint="eastAsia" w:ascii="Times New Roman" w:hAnsi="Times New Roman" w:eastAsia="宋体" w:cs="宋体"/>
                <w:kern w:val="0"/>
                <w:sz w:val="18"/>
                <w:szCs w:val="18"/>
                <w:lang w:val="en-US" w:eastAsia="zh-CN"/>
              </w:rPr>
              <w:t>GB 18584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205" w:type="pct"/>
            <w:vMerge w:val="continue"/>
            <w:vAlign w:val="center"/>
          </w:tcPr>
          <w:p>
            <w:pPr>
              <w:jc w:val="center"/>
              <w:rPr>
                <w:rFonts w:ascii="宋体"/>
                <w:kern w:val="0"/>
                <w:sz w:val="18"/>
                <w:szCs w:val="18"/>
              </w:rPr>
            </w:pPr>
          </w:p>
        </w:tc>
        <w:tc>
          <w:tcPr>
            <w:tcW w:w="505" w:type="pct"/>
            <w:gridSpan w:val="3"/>
            <w:vMerge w:val="restart"/>
            <w:vAlign w:val="center"/>
          </w:tcPr>
          <w:p>
            <w:pPr>
              <w:jc w:val="center"/>
              <w:rPr>
                <w:rFonts w:ascii="宋体"/>
                <w:kern w:val="0"/>
                <w:sz w:val="18"/>
                <w:szCs w:val="18"/>
              </w:rPr>
            </w:pPr>
            <w:r>
              <w:rPr>
                <w:rFonts w:hint="eastAsia" w:asciiTheme="minorEastAsia" w:hAnsiTheme="minorEastAsia" w:eastAsiaTheme="minorEastAsia" w:cstheme="minorEastAsia"/>
                <w:sz w:val="18"/>
                <w:szCs w:val="18"/>
              </w:rPr>
              <w:t>放射性核素限量</w:t>
            </w:r>
          </w:p>
        </w:tc>
        <w:tc>
          <w:tcPr>
            <w:tcW w:w="663" w:type="pct"/>
            <w:gridSpan w:val="2"/>
            <w:vAlign w:val="center"/>
          </w:tcPr>
          <w:p>
            <w:pPr>
              <w:rPr>
                <w:rFonts w:ascii="宋体"/>
                <w:kern w:val="0"/>
                <w:sz w:val="18"/>
                <w:szCs w:val="18"/>
              </w:rPr>
            </w:pPr>
            <w:r>
              <w:rPr>
                <w:rFonts w:hint="eastAsia" w:ascii="宋体"/>
                <w:kern w:val="0"/>
                <w:sz w:val="18"/>
                <w:szCs w:val="18"/>
              </w:rPr>
              <w:t>内照射指数</w:t>
            </w:r>
          </w:p>
        </w:tc>
        <w:tc>
          <w:tcPr>
            <w:tcW w:w="404" w:type="pct"/>
            <w:vAlign w:val="center"/>
          </w:tcPr>
          <w:p>
            <w:pPr>
              <w:jc w:val="center"/>
              <w:rPr>
                <w:rFonts w:ascii="宋体"/>
                <w:kern w:val="0"/>
                <w:sz w:val="18"/>
                <w:szCs w:val="18"/>
              </w:rPr>
            </w:pPr>
            <w:r>
              <w:rPr>
                <w:color w:val="000000"/>
                <w:sz w:val="18"/>
              </w:rPr>
              <w:t>——</w:t>
            </w:r>
          </w:p>
        </w:tc>
        <w:tc>
          <w:tcPr>
            <w:tcW w:w="697" w:type="pct"/>
            <w:gridSpan w:val="2"/>
            <w:vAlign w:val="center"/>
          </w:tcPr>
          <w:p>
            <w:pPr>
              <w:jc w:val="center"/>
              <w:rPr>
                <w:rFonts w:ascii="宋体" w:cs="宋体"/>
                <w:kern w:val="0"/>
                <w:sz w:val="18"/>
                <w:szCs w:val="18"/>
              </w:rPr>
            </w:pPr>
            <w:r>
              <w:rPr>
                <w:kern w:val="0"/>
                <w:sz w:val="18"/>
                <w:szCs w:val="18"/>
              </w:rPr>
              <w:t>≤</w:t>
            </w:r>
            <w:r>
              <w:rPr>
                <w:rFonts w:hint="eastAsia" w:ascii="宋体" w:cs="宋体"/>
                <w:kern w:val="0"/>
                <w:sz w:val="18"/>
                <w:szCs w:val="18"/>
              </w:rPr>
              <w:t>1</w:t>
            </w:r>
            <w:r>
              <w:rPr>
                <w:rFonts w:ascii="宋体" w:cs="宋体"/>
                <w:kern w:val="0"/>
                <w:sz w:val="18"/>
                <w:szCs w:val="18"/>
              </w:rPr>
              <w:t>.0</w:t>
            </w:r>
          </w:p>
        </w:tc>
        <w:tc>
          <w:tcPr>
            <w:tcW w:w="697" w:type="pct"/>
            <w:gridSpan w:val="2"/>
            <w:vAlign w:val="center"/>
          </w:tcPr>
          <w:p>
            <w:pPr>
              <w:jc w:val="center"/>
              <w:rPr>
                <w:rFonts w:ascii="宋体" w:cs="宋体"/>
                <w:kern w:val="0"/>
                <w:sz w:val="18"/>
                <w:szCs w:val="18"/>
              </w:rPr>
            </w:pPr>
            <w:r>
              <w:rPr>
                <w:kern w:val="0"/>
                <w:sz w:val="18"/>
                <w:szCs w:val="18"/>
              </w:rPr>
              <w:t>≤0.9</w:t>
            </w:r>
          </w:p>
        </w:tc>
        <w:tc>
          <w:tcPr>
            <w:tcW w:w="700" w:type="pct"/>
            <w:gridSpan w:val="2"/>
            <w:vAlign w:val="center"/>
          </w:tcPr>
          <w:p>
            <w:pPr>
              <w:jc w:val="center"/>
              <w:rPr>
                <w:rFonts w:ascii="宋体" w:cs="宋体"/>
                <w:kern w:val="0"/>
                <w:sz w:val="18"/>
                <w:szCs w:val="18"/>
              </w:rPr>
            </w:pPr>
            <w:r>
              <w:rPr>
                <w:kern w:val="0"/>
                <w:sz w:val="18"/>
                <w:szCs w:val="18"/>
              </w:rPr>
              <w:t>≤0.8</w:t>
            </w:r>
          </w:p>
        </w:tc>
        <w:tc>
          <w:tcPr>
            <w:tcW w:w="517" w:type="pct"/>
            <w:vMerge w:val="restart"/>
            <w:vAlign w:val="center"/>
          </w:tcPr>
          <w:p>
            <w:pPr>
              <w:jc w:val="center"/>
              <w:rPr>
                <w:rFonts w:hint="eastAsia"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GB 6566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07" w:type="pct"/>
            <w:vMerge w:val="continue"/>
            <w:vAlign w:val="center"/>
          </w:tcPr>
          <w:p>
            <w:pPr>
              <w:jc w:val="center"/>
              <w:rPr>
                <w:rFonts w:ascii="宋体"/>
                <w:kern w:val="0"/>
                <w:sz w:val="18"/>
                <w:szCs w:val="18"/>
              </w:rPr>
            </w:pPr>
          </w:p>
        </w:tc>
        <w:tc>
          <w:tcPr>
            <w:tcW w:w="205" w:type="pct"/>
            <w:vMerge w:val="continue"/>
            <w:vAlign w:val="center"/>
          </w:tcPr>
          <w:p>
            <w:pPr>
              <w:jc w:val="center"/>
              <w:rPr>
                <w:rFonts w:ascii="宋体"/>
                <w:kern w:val="0"/>
                <w:sz w:val="18"/>
                <w:szCs w:val="18"/>
              </w:rPr>
            </w:pPr>
          </w:p>
        </w:tc>
        <w:tc>
          <w:tcPr>
            <w:tcW w:w="505" w:type="pct"/>
            <w:gridSpan w:val="3"/>
            <w:vMerge w:val="continue"/>
            <w:vAlign w:val="center"/>
          </w:tcPr>
          <w:p>
            <w:pPr>
              <w:jc w:val="center"/>
              <w:rPr>
                <w:rFonts w:asciiTheme="minorEastAsia" w:hAnsiTheme="minorEastAsia" w:eastAsiaTheme="minorEastAsia" w:cstheme="minorEastAsia"/>
                <w:sz w:val="18"/>
                <w:szCs w:val="18"/>
              </w:rPr>
            </w:pPr>
          </w:p>
        </w:tc>
        <w:tc>
          <w:tcPr>
            <w:tcW w:w="663" w:type="pct"/>
            <w:gridSpan w:val="2"/>
            <w:vAlign w:val="center"/>
          </w:tcPr>
          <w:p>
            <w:pPr>
              <w:rPr>
                <w:rFonts w:ascii="宋体"/>
                <w:kern w:val="0"/>
                <w:sz w:val="18"/>
                <w:szCs w:val="18"/>
              </w:rPr>
            </w:pPr>
            <w:r>
              <w:rPr>
                <w:rFonts w:hint="eastAsia" w:ascii="宋体"/>
                <w:kern w:val="0"/>
                <w:sz w:val="18"/>
                <w:szCs w:val="18"/>
              </w:rPr>
              <w:t>外照射指数</w:t>
            </w:r>
          </w:p>
        </w:tc>
        <w:tc>
          <w:tcPr>
            <w:tcW w:w="404" w:type="pct"/>
            <w:vAlign w:val="center"/>
          </w:tcPr>
          <w:p>
            <w:pPr>
              <w:jc w:val="center"/>
              <w:rPr>
                <w:rFonts w:ascii="宋体"/>
                <w:kern w:val="0"/>
                <w:sz w:val="18"/>
                <w:szCs w:val="18"/>
              </w:rPr>
            </w:pPr>
            <w:r>
              <w:rPr>
                <w:color w:val="000000"/>
                <w:sz w:val="18"/>
              </w:rPr>
              <w:t>——</w:t>
            </w:r>
          </w:p>
        </w:tc>
        <w:tc>
          <w:tcPr>
            <w:tcW w:w="697" w:type="pct"/>
            <w:gridSpan w:val="2"/>
            <w:vAlign w:val="center"/>
          </w:tcPr>
          <w:p>
            <w:pPr>
              <w:jc w:val="center"/>
              <w:rPr>
                <w:rFonts w:ascii="宋体" w:cs="宋体"/>
                <w:kern w:val="0"/>
                <w:sz w:val="18"/>
                <w:szCs w:val="18"/>
              </w:rPr>
            </w:pPr>
            <w:r>
              <w:rPr>
                <w:kern w:val="0"/>
                <w:sz w:val="18"/>
                <w:szCs w:val="18"/>
              </w:rPr>
              <w:t>≤</w:t>
            </w:r>
            <w:r>
              <w:rPr>
                <w:rFonts w:hint="eastAsia" w:ascii="宋体" w:cs="宋体"/>
                <w:kern w:val="0"/>
                <w:sz w:val="18"/>
                <w:szCs w:val="18"/>
              </w:rPr>
              <w:t>1</w:t>
            </w:r>
            <w:r>
              <w:rPr>
                <w:rFonts w:ascii="宋体" w:cs="宋体"/>
                <w:kern w:val="0"/>
                <w:sz w:val="18"/>
                <w:szCs w:val="18"/>
              </w:rPr>
              <w:t>.3</w:t>
            </w:r>
          </w:p>
        </w:tc>
        <w:tc>
          <w:tcPr>
            <w:tcW w:w="697" w:type="pct"/>
            <w:gridSpan w:val="2"/>
            <w:vAlign w:val="center"/>
          </w:tcPr>
          <w:p>
            <w:pPr>
              <w:jc w:val="center"/>
              <w:rPr>
                <w:rFonts w:ascii="宋体" w:cs="宋体"/>
                <w:kern w:val="0"/>
                <w:sz w:val="18"/>
                <w:szCs w:val="18"/>
              </w:rPr>
            </w:pPr>
            <w:r>
              <w:rPr>
                <w:kern w:val="0"/>
                <w:sz w:val="18"/>
                <w:szCs w:val="18"/>
              </w:rPr>
              <w:t>≤1.2</w:t>
            </w:r>
          </w:p>
        </w:tc>
        <w:tc>
          <w:tcPr>
            <w:tcW w:w="700" w:type="pct"/>
            <w:gridSpan w:val="2"/>
            <w:vAlign w:val="center"/>
          </w:tcPr>
          <w:p>
            <w:pPr>
              <w:jc w:val="center"/>
              <w:rPr>
                <w:rFonts w:ascii="宋体" w:cs="宋体"/>
                <w:kern w:val="0"/>
                <w:sz w:val="18"/>
                <w:szCs w:val="18"/>
              </w:rPr>
            </w:pPr>
            <w:r>
              <w:rPr>
                <w:kern w:val="0"/>
                <w:sz w:val="18"/>
                <w:szCs w:val="18"/>
              </w:rPr>
              <w:t>≤1.0</w:t>
            </w:r>
          </w:p>
        </w:tc>
        <w:tc>
          <w:tcPr>
            <w:tcW w:w="517" w:type="pct"/>
            <w:vMerge w:val="continue"/>
            <w:vAlign w:val="center"/>
          </w:tcPr>
          <w:p>
            <w:pPr>
              <w:jc w:val="center"/>
              <w:rPr>
                <w:rFonts w:hint="eastAsia" w:ascii="Times New Roman" w:hAnsi="Times New Roman" w:eastAsia="宋体" w:cs="宋体"/>
                <w:kern w:val="0"/>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6" w:hRule="atLeast"/>
        </w:trPr>
        <w:tc>
          <w:tcPr>
            <w:tcW w:w="607" w:type="pct"/>
            <w:vMerge w:val="continue"/>
            <w:vAlign w:val="center"/>
          </w:tcPr>
          <w:p>
            <w:pPr>
              <w:jc w:val="center"/>
              <w:rPr>
                <w:rFonts w:ascii="宋体"/>
                <w:kern w:val="0"/>
                <w:sz w:val="18"/>
                <w:szCs w:val="18"/>
              </w:rPr>
            </w:pPr>
          </w:p>
        </w:tc>
        <w:tc>
          <w:tcPr>
            <w:tcW w:w="1375" w:type="pct"/>
            <w:gridSpan w:val="6"/>
            <w:vAlign w:val="center"/>
          </w:tcPr>
          <w:p>
            <w:pPr>
              <w:jc w:val="center"/>
              <w:rPr>
                <w:rFonts w:ascii="宋体"/>
                <w:kern w:val="0"/>
                <w:sz w:val="18"/>
                <w:szCs w:val="18"/>
              </w:rPr>
            </w:pPr>
            <w:r>
              <w:rPr>
                <w:rFonts w:hint="eastAsia" w:ascii="宋体"/>
                <w:kern w:val="0"/>
                <w:sz w:val="18"/>
                <w:szCs w:val="18"/>
              </w:rPr>
              <w:t>配件电镀、喷涂层耐腐蚀</w:t>
            </w:r>
          </w:p>
        </w:tc>
        <w:tc>
          <w:tcPr>
            <w:tcW w:w="404" w:type="pct"/>
            <w:vAlign w:val="center"/>
          </w:tcPr>
          <w:p>
            <w:pPr>
              <w:jc w:val="center"/>
              <w:rPr>
                <w:rFonts w:ascii="宋体"/>
                <w:kern w:val="0"/>
                <w:sz w:val="18"/>
                <w:szCs w:val="18"/>
              </w:rPr>
            </w:pPr>
            <w:r>
              <w:rPr>
                <w:rFonts w:hint="eastAsia" w:ascii="宋体"/>
                <w:kern w:val="0"/>
                <w:sz w:val="18"/>
                <w:szCs w:val="18"/>
              </w:rPr>
              <w:t>级</w:t>
            </w:r>
          </w:p>
        </w:tc>
        <w:tc>
          <w:tcPr>
            <w:tcW w:w="2095" w:type="pct"/>
            <w:gridSpan w:val="6"/>
            <w:vAlign w:val="center"/>
          </w:tcPr>
          <w:p>
            <w:pPr>
              <w:jc w:val="center"/>
              <w:rPr>
                <w:rFonts w:ascii="宋体" w:cs="宋体"/>
                <w:kern w:val="0"/>
                <w:sz w:val="18"/>
                <w:szCs w:val="18"/>
              </w:rPr>
            </w:pPr>
            <w:r>
              <w:rPr>
                <w:rFonts w:hint="eastAsia" w:ascii="宋体" w:cs="宋体"/>
                <w:kern w:val="0"/>
                <w:sz w:val="18"/>
                <w:szCs w:val="18"/>
              </w:rPr>
              <w:t>达到GB/T 6461规定10级</w:t>
            </w:r>
          </w:p>
        </w:tc>
        <w:tc>
          <w:tcPr>
            <w:tcW w:w="517" w:type="pct"/>
            <w:vAlign w:val="center"/>
          </w:tcPr>
          <w:p>
            <w:pPr>
              <w:jc w:val="center"/>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GB/T 6461</w:t>
            </w:r>
          </w:p>
        </w:tc>
      </w:tr>
    </w:tbl>
    <w:p>
      <w:pPr>
        <w:pStyle w:val="128"/>
        <w:spacing w:before="156" w:after="156"/>
        <w:ind w:left="-1365" w:leftChars="-650" w:firstLine="2215" w:firstLineChars="1055"/>
      </w:pPr>
      <w:r>
        <w:rPr>
          <w:rFonts w:hint="eastAsia"/>
        </w:rPr>
        <w:t>浴室柜产品评价指标要求</w:t>
      </w:r>
      <w:r>
        <w:commentReference w:id="0"/>
      </w:r>
    </w:p>
    <w:bookmarkEnd w:id="119"/>
    <w:p>
      <w:pPr>
        <w:pStyle w:val="42"/>
        <w:spacing w:before="156" w:beforeLines="50" w:after="156" w:afterLines="50"/>
        <w:rPr>
          <w:rFonts w:cs="Times New Roman"/>
        </w:rPr>
      </w:pPr>
      <w:r>
        <w:rPr>
          <w:rFonts w:hint="eastAsia"/>
        </w:rPr>
        <w:t>评价方法</w:t>
      </w:r>
    </w:p>
    <w:p>
      <w:pPr>
        <w:pStyle w:val="127"/>
        <w:rPr>
          <w:rFonts w:cs="Times New Roman"/>
        </w:rPr>
      </w:pPr>
      <w:r>
        <w:rPr>
          <w:rFonts w:hint="eastAsia"/>
        </w:rPr>
        <w:t>生产企业应按4.1的规定提供国家政策认可的等效文件、近一年内的第三方环境检测报告、工作场所职业病危害因素检测报告、管理体系有效运行证明文件、产品型式检验报告等相关资料。</w:t>
      </w:r>
    </w:p>
    <w:p>
      <w:pPr>
        <w:pStyle w:val="127"/>
        <w:rPr>
          <w:rFonts w:cs="Times New Roman"/>
        </w:rPr>
      </w:pPr>
      <w:r>
        <w:rPr>
          <w:rFonts w:hint="eastAsia" w:cs="Times New Roman"/>
        </w:rPr>
        <w:t>资源属性中生产废料综合处置和利用率按照附录A的方法进行计算。</w:t>
      </w:r>
    </w:p>
    <w:p>
      <w:pPr>
        <w:pStyle w:val="127"/>
        <w:rPr>
          <w:rFonts w:cs="Times New Roman"/>
        </w:rPr>
      </w:pPr>
      <w:r>
        <w:rPr>
          <w:rFonts w:hint="eastAsia" w:cs="Times New Roman"/>
        </w:rPr>
        <w:t>能源属性中</w:t>
      </w:r>
      <w:r>
        <w:rPr>
          <w:rFonts w:hint="eastAsia" w:cs="Times New Roman"/>
          <w:lang w:val="en-US" w:eastAsia="zh-CN"/>
        </w:rPr>
        <w:t>能源</w:t>
      </w:r>
      <w:r>
        <w:rPr>
          <w:rFonts w:hint="eastAsia" w:cs="Times New Roman"/>
        </w:rPr>
        <w:t>使用量下降率按照附录B的方法进行计算。</w:t>
      </w:r>
    </w:p>
    <w:p>
      <w:pPr>
        <w:pStyle w:val="127"/>
        <w:rPr>
          <w:rFonts w:cs="Times New Roman"/>
        </w:rPr>
      </w:pPr>
      <w:r>
        <w:rPr>
          <w:rFonts w:hint="eastAsia" w:cs="Times New Roman"/>
        </w:rPr>
        <w:t>品质属性分别按照G</w:t>
      </w:r>
      <w:r>
        <w:rPr>
          <w:rFonts w:hint="eastAsia" w:cs="Times New Roman"/>
          <w:lang w:val="en-US" w:eastAsia="zh-CN"/>
        </w:rPr>
        <w:t xml:space="preserve">B/T </w:t>
      </w:r>
      <w:r>
        <w:rPr>
          <w:rFonts w:cs="Times New Roman"/>
        </w:rPr>
        <w:t>24977</w:t>
      </w:r>
      <w:r>
        <w:rPr>
          <w:rFonts w:hint="eastAsia" w:cs="Times New Roman"/>
        </w:rPr>
        <w:t>、GB</w:t>
      </w:r>
      <w:r>
        <w:rPr>
          <w:rFonts w:cs="Times New Roman"/>
        </w:rPr>
        <w:t xml:space="preserve"> 6566</w:t>
      </w:r>
      <w:r>
        <w:rPr>
          <w:rFonts w:hint="eastAsia" w:cs="Times New Roman"/>
        </w:rPr>
        <w:t>、GB/</w:t>
      </w:r>
      <w:r>
        <w:rPr>
          <w:rFonts w:cs="Times New Roman"/>
        </w:rPr>
        <w:t>T 6461</w:t>
      </w:r>
      <w:r>
        <w:rPr>
          <w:rFonts w:hint="eastAsia" w:cs="Times New Roman"/>
        </w:rPr>
        <w:t>、GB</w:t>
      </w:r>
      <w:r>
        <w:rPr>
          <w:rFonts w:cs="Times New Roman"/>
        </w:rPr>
        <w:t xml:space="preserve"> 18584</w:t>
      </w:r>
      <w:r>
        <w:rPr>
          <w:rFonts w:hint="eastAsia" w:cs="Times New Roman"/>
        </w:rPr>
        <w:t>规定要求进行测试。</w:t>
      </w:r>
    </w:p>
    <w:p>
      <w:pPr>
        <w:pStyle w:val="127"/>
        <w:rPr>
          <w:rFonts w:cs="Times New Roman"/>
        </w:rPr>
      </w:pPr>
      <w:r>
        <w:rPr>
          <w:rFonts w:hint="eastAsia" w:cs="Times New Roman"/>
        </w:rPr>
        <w:t>生产企业满足第4章对应评价等级的全部要求时，判定评价结果符合该评价等级规定。</w:t>
      </w:r>
    </w:p>
    <w:p>
      <w:pPr>
        <w:widowControl/>
        <w:jc w:val="left"/>
        <w:rPr>
          <w:rFonts w:ascii="宋体"/>
          <w:kern w:val="0"/>
        </w:rPr>
      </w:pPr>
      <w:r>
        <w:br w:type="page"/>
      </w:r>
    </w:p>
    <w:p>
      <w:pPr>
        <w:pStyle w:val="127"/>
        <w:numPr>
          <w:ilvl w:val="0"/>
          <w:numId w:val="0"/>
        </w:numPr>
        <w:rPr>
          <w:rFonts w:cs="Times New Roman"/>
        </w:rPr>
      </w:pPr>
    </w:p>
    <w:p>
      <w:pPr>
        <w:pStyle w:val="83"/>
        <w:tabs>
          <w:tab w:val="left" w:pos="360"/>
        </w:tabs>
        <w:ind w:left="0"/>
      </w:pPr>
      <w:r>
        <w:br w:type="textWrapping"/>
      </w:r>
      <w:r>
        <w:rPr>
          <w:rFonts w:hint="eastAsia"/>
        </w:rPr>
        <w:t>（规范性附录）</w:t>
      </w:r>
      <w:r>
        <w:br w:type="textWrapping"/>
      </w:r>
      <w:r>
        <w:rPr>
          <w:rFonts w:hint="eastAsia"/>
        </w:rPr>
        <w:t>检验方法和指标计算方法</w:t>
      </w:r>
    </w:p>
    <w:p>
      <w:pPr>
        <w:pStyle w:val="101"/>
        <w:tabs>
          <w:tab w:val="left" w:pos="360"/>
        </w:tabs>
        <w:spacing w:before="312" w:after="312"/>
        <w:rPr>
          <w:rFonts w:ascii="Times New Roman"/>
        </w:rPr>
      </w:pPr>
      <w:r>
        <w:rPr>
          <w:rFonts w:hint="eastAsia"/>
          <w:szCs w:val="18"/>
        </w:rPr>
        <w:t>生产废料综合利用率</w:t>
      </w:r>
    </w:p>
    <w:p>
      <w:pPr>
        <w:pStyle w:val="22"/>
      </w:pPr>
      <w:r>
        <w:rPr>
          <w:rFonts w:hint="eastAsia"/>
        </w:rPr>
        <w:t>在生产过程中，利用废料量与产生废料总量的比值，按公式（A.</w:t>
      </w:r>
      <w:r>
        <w:t>1</w:t>
      </w:r>
      <w:r>
        <w:rPr>
          <w:rFonts w:hint="eastAsia"/>
        </w:rPr>
        <w:t>）计算。</w:t>
      </w:r>
    </w:p>
    <w:p>
      <w:pPr>
        <w:pStyle w:val="22"/>
        <w:ind w:firstLine="0" w:firstLineChars="0"/>
        <w:jc w:val="center"/>
      </w:pPr>
      <w:r>
        <w:rPr>
          <w:rFonts w:hint="eastAsia"/>
          <w:position w:val="-26"/>
        </w:rPr>
        <w:object>
          <v:shape id="_x0000_i1025" o:spt="75" type="#_x0000_t75" style="height:31pt;width:82.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t>………………</w:t>
      </w:r>
      <w:r>
        <w:rPr>
          <w:rFonts w:hint="eastAsia"/>
        </w:rPr>
        <w:t>（A.</w:t>
      </w:r>
      <w:r>
        <w:t>1</w:t>
      </w:r>
      <w:r>
        <w:rPr>
          <w:rFonts w:hint="eastAsia"/>
        </w:rPr>
        <w:t>）</w:t>
      </w:r>
    </w:p>
    <w:p>
      <w:pPr>
        <w:pStyle w:val="22"/>
      </w:pPr>
      <w:r>
        <w:rPr>
          <w:rFonts w:hint="eastAsia"/>
        </w:rPr>
        <w:t>式中：</w:t>
      </w:r>
    </w:p>
    <w:p>
      <w:pPr>
        <w:pStyle w:val="22"/>
        <w:rPr>
          <w:rFonts w:ascii="Times New Roman"/>
        </w:rPr>
      </w:pPr>
      <w:r>
        <w:rPr>
          <w:rFonts w:ascii="Times New Roman"/>
          <w:i/>
          <w:iCs/>
        </w:rPr>
        <w:t>K</w:t>
      </w:r>
      <w:r>
        <w:rPr>
          <w:rFonts w:ascii="Times New Roman"/>
          <w:i/>
          <w:iCs/>
          <w:vertAlign w:val="subscript"/>
        </w:rPr>
        <w:t>c</w:t>
      </w:r>
      <w:r>
        <w:rPr>
          <w:rFonts w:hint="eastAsia" w:ascii="Times New Roman"/>
        </w:rPr>
        <w:t>——单位生产废料综合利用率，</w:t>
      </w:r>
      <w:r>
        <w:rPr>
          <w:rFonts w:ascii="Times New Roman"/>
        </w:rPr>
        <w:t>%</w:t>
      </w:r>
      <w:r>
        <w:rPr>
          <w:rFonts w:hint="eastAsia" w:ascii="Times New Roman"/>
        </w:rPr>
        <w:t>；</w:t>
      </w:r>
    </w:p>
    <w:p>
      <w:pPr>
        <w:pStyle w:val="22"/>
        <w:rPr>
          <w:rFonts w:ascii="Times New Roman"/>
        </w:rPr>
      </w:pPr>
      <w:r>
        <w:rPr>
          <w:rFonts w:ascii="Times New Roman"/>
          <w:i/>
          <w:iCs/>
        </w:rPr>
        <w:t>F</w:t>
      </w:r>
      <w:r>
        <w:rPr>
          <w:rFonts w:ascii="Times New Roman"/>
          <w:i/>
          <w:iCs/>
          <w:vertAlign w:val="subscript"/>
        </w:rPr>
        <w:t>c</w:t>
      </w:r>
      <w:r>
        <w:rPr>
          <w:rFonts w:hint="eastAsia" w:ascii="Times New Roman"/>
        </w:rPr>
        <w:t>——评价期（一般为</w:t>
      </w:r>
      <w:r>
        <w:rPr>
          <w:rFonts w:ascii="Times New Roman"/>
        </w:rPr>
        <w:t>1</w:t>
      </w:r>
      <w:r>
        <w:rPr>
          <w:rFonts w:hint="eastAsia" w:ascii="Times New Roman"/>
        </w:rPr>
        <w:t>年）内可重复</w:t>
      </w:r>
      <w:r>
        <w:rPr>
          <w:rFonts w:hint="eastAsia"/>
        </w:rPr>
        <w:t>利用废料总量</w:t>
      </w:r>
      <w:r>
        <w:rPr>
          <w:rFonts w:hint="eastAsia" w:ascii="Times New Roman"/>
        </w:rPr>
        <w:t>，单位为吨（</w:t>
      </w:r>
      <w:r>
        <w:rPr>
          <w:rFonts w:ascii="Times New Roman"/>
        </w:rPr>
        <w:t>t</w:t>
      </w:r>
      <w:r>
        <w:rPr>
          <w:rFonts w:hint="eastAsia" w:ascii="Times New Roman"/>
        </w:rPr>
        <w:t>）；</w:t>
      </w:r>
    </w:p>
    <w:p>
      <w:pPr>
        <w:pStyle w:val="22"/>
        <w:rPr>
          <w:rFonts w:ascii="Times New Roman"/>
        </w:rPr>
      </w:pPr>
      <w:r>
        <w:rPr>
          <w:rFonts w:ascii="Times New Roman"/>
          <w:i/>
          <w:iCs/>
        </w:rPr>
        <w:t>F</w:t>
      </w:r>
      <w:r>
        <w:rPr>
          <w:rFonts w:ascii="Times New Roman"/>
          <w:i/>
          <w:iCs/>
          <w:vertAlign w:val="subscript"/>
        </w:rPr>
        <w:t>g</w:t>
      </w:r>
      <w:r>
        <w:rPr>
          <w:rFonts w:hint="eastAsia" w:ascii="Times New Roman"/>
        </w:rPr>
        <w:t>——评价期（一般为</w:t>
      </w:r>
      <w:r>
        <w:rPr>
          <w:rFonts w:ascii="Times New Roman"/>
        </w:rPr>
        <w:t>1</w:t>
      </w:r>
      <w:r>
        <w:rPr>
          <w:rFonts w:hint="eastAsia" w:ascii="Times New Roman"/>
        </w:rPr>
        <w:t>年）内工厂</w:t>
      </w:r>
      <w:r>
        <w:rPr>
          <w:rFonts w:hint="eastAsia"/>
        </w:rPr>
        <w:t>产生废料总量</w:t>
      </w:r>
      <w:r>
        <w:rPr>
          <w:rFonts w:hint="eastAsia" w:ascii="Times New Roman"/>
        </w:rPr>
        <w:t>，单位为吨（</w:t>
      </w:r>
      <w:r>
        <w:rPr>
          <w:rFonts w:ascii="Times New Roman"/>
        </w:rPr>
        <w:t>t</w:t>
      </w:r>
      <w:r>
        <w:rPr>
          <w:rFonts w:hint="eastAsia" w:ascii="Times New Roman"/>
        </w:rPr>
        <w:t>）。</w:t>
      </w:r>
    </w:p>
    <w:p>
      <w:pPr>
        <w:widowControl/>
        <w:jc w:val="left"/>
        <w:rPr>
          <w:rFonts w:ascii="宋体" w:cs="宋体"/>
          <w:kern w:val="0"/>
        </w:rPr>
      </w:pPr>
      <w:r>
        <w:br w:type="page"/>
      </w:r>
    </w:p>
    <w:p>
      <w:pPr>
        <w:pStyle w:val="22"/>
        <w:ind w:leftChars="-67" w:hanging="140" w:hangingChars="67"/>
      </w:pPr>
    </w:p>
    <w:p>
      <w:pPr>
        <w:pStyle w:val="83"/>
        <w:tabs>
          <w:tab w:val="left" w:pos="360"/>
        </w:tabs>
        <w:ind w:left="0"/>
      </w:pPr>
      <w:r>
        <w:br w:type="textWrapping"/>
      </w:r>
      <w:r>
        <w:rPr>
          <w:rFonts w:hint="eastAsia"/>
        </w:rPr>
        <w:t>（规范性附录）</w:t>
      </w:r>
      <w:r>
        <w:br w:type="textWrapping"/>
      </w:r>
      <w:r>
        <w:rPr>
          <w:rFonts w:hint="eastAsia"/>
        </w:rPr>
        <w:t>检验方法和指标计算方法</w:t>
      </w:r>
    </w:p>
    <w:p>
      <w:pPr>
        <w:pStyle w:val="101"/>
        <w:numPr>
          <w:ilvl w:val="0"/>
          <w:numId w:val="0"/>
        </w:numPr>
        <w:tabs>
          <w:tab w:val="left" w:pos="360"/>
        </w:tabs>
        <w:spacing w:before="312" w:after="312"/>
        <w:rPr>
          <w:rFonts w:ascii="Times New Roman"/>
        </w:rPr>
      </w:pPr>
      <w:bookmarkStart w:id="120" w:name="_Toc11363"/>
      <w:bookmarkStart w:id="121" w:name="_Toc28474_WPSOffice_Level2"/>
      <w:bookmarkStart w:id="122" w:name="_Toc7844"/>
      <w:r>
        <w:rPr>
          <w:rFonts w:hint="eastAsia"/>
          <w:szCs w:val="18"/>
        </w:rPr>
        <w:t>B</w:t>
      </w:r>
      <w:r>
        <w:rPr>
          <w:szCs w:val="18"/>
        </w:rPr>
        <w:t xml:space="preserve">.1 </w:t>
      </w:r>
      <w:r>
        <w:rPr>
          <w:rFonts w:hint="eastAsia"/>
          <w:szCs w:val="18"/>
        </w:rPr>
        <w:t>能源使用下降率</w:t>
      </w:r>
    </w:p>
    <w:p>
      <w:pPr>
        <w:pStyle w:val="22"/>
        <w:rPr>
          <w:rFonts w:ascii="Times New Roman"/>
        </w:rPr>
      </w:pPr>
      <w:r>
        <w:rPr>
          <w:rFonts w:hint="eastAsia" w:ascii="Times New Roman"/>
        </w:rPr>
        <w:t>能源使用下降率为统计期内，与前一年相比生产所用能源下降量与前一年能源消耗总量的比值，按公式</w:t>
      </w:r>
      <w:r>
        <w:rPr>
          <w:rFonts w:hint="eastAsia"/>
        </w:rPr>
        <w:t>（B.</w:t>
      </w:r>
      <w:r>
        <w:t>1</w:t>
      </w:r>
      <w:r>
        <w:rPr>
          <w:rFonts w:hint="eastAsia"/>
        </w:rPr>
        <w:t>）</w:t>
      </w:r>
      <w:r>
        <w:rPr>
          <w:rFonts w:hint="eastAsia" w:ascii="Times New Roman"/>
        </w:rPr>
        <w:t>计算。</w:t>
      </w:r>
    </w:p>
    <w:p>
      <w:pPr>
        <w:pStyle w:val="22"/>
        <w:jc w:val="center"/>
      </w:pPr>
      <w:r>
        <w:rPr>
          <w:rFonts w:hint="eastAsia"/>
          <w:position w:val="-26"/>
        </w:rPr>
        <w:object>
          <v:shape id="_x0000_i1026" o:spt="75" type="#_x0000_t75" style="height:31pt;width:76.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t>………………</w:t>
      </w:r>
      <w:r>
        <w:rPr>
          <w:rFonts w:hint="eastAsia"/>
        </w:rPr>
        <w:t>（B.</w:t>
      </w:r>
      <w:r>
        <w:t>1</w:t>
      </w:r>
      <w:r>
        <w:rPr>
          <w:rFonts w:hint="eastAsia"/>
        </w:rPr>
        <w:t>）</w:t>
      </w:r>
    </w:p>
    <w:p>
      <w:pPr>
        <w:pStyle w:val="22"/>
      </w:pPr>
      <w:r>
        <w:rPr>
          <w:rFonts w:hint="eastAsia"/>
        </w:rPr>
        <w:t>式中：</w:t>
      </w:r>
    </w:p>
    <w:p>
      <w:pPr>
        <w:pStyle w:val="22"/>
        <w:rPr>
          <w:rFonts w:ascii="Times New Roman"/>
        </w:rPr>
      </w:pPr>
      <w:r>
        <w:rPr>
          <w:rFonts w:ascii="Times New Roman"/>
          <w:i/>
          <w:iCs/>
        </w:rPr>
        <w:t>L</w:t>
      </w:r>
      <w:r>
        <w:rPr>
          <w:rFonts w:hint="eastAsia" w:ascii="Times New Roman"/>
        </w:rPr>
        <w:t>——</w:t>
      </w:r>
      <w:r>
        <w:rPr>
          <w:rFonts w:hint="eastAsia"/>
          <w:szCs w:val="18"/>
        </w:rPr>
        <w:t>能源使用下降</w:t>
      </w:r>
      <w:r>
        <w:rPr>
          <w:rFonts w:hint="eastAsia" w:ascii="Times New Roman"/>
        </w:rPr>
        <w:t>率，</w:t>
      </w:r>
      <w:r>
        <w:rPr>
          <w:rFonts w:ascii="Times New Roman"/>
        </w:rPr>
        <w:t>%</w:t>
      </w:r>
      <w:r>
        <w:rPr>
          <w:rFonts w:hint="eastAsia" w:ascii="Times New Roman"/>
        </w:rPr>
        <w:t>；</w:t>
      </w:r>
    </w:p>
    <w:p>
      <w:pPr>
        <w:pStyle w:val="22"/>
        <w:rPr>
          <w:rFonts w:ascii="Times New Roman"/>
        </w:rPr>
      </w:pPr>
      <w:r>
        <w:rPr>
          <w:rFonts w:ascii="Times New Roman"/>
          <w:i/>
          <w:iCs/>
        </w:rPr>
        <w:t>Z</w:t>
      </w:r>
      <w:r>
        <w:rPr>
          <w:rFonts w:ascii="Times New Roman"/>
          <w:i/>
          <w:iCs/>
          <w:vertAlign w:val="subscript"/>
        </w:rPr>
        <w:t>c</w:t>
      </w:r>
      <w:r>
        <w:rPr>
          <w:rFonts w:hint="eastAsia" w:ascii="Times New Roman"/>
        </w:rPr>
        <w:t>——评价期（一般为</w:t>
      </w:r>
      <w:r>
        <w:rPr>
          <w:rFonts w:ascii="Times New Roman"/>
        </w:rPr>
        <w:t>1</w:t>
      </w:r>
      <w:r>
        <w:rPr>
          <w:rFonts w:hint="eastAsia" w:ascii="Times New Roman"/>
        </w:rPr>
        <w:t>年）内与前一年相比生产所用能源下降数量，单位为吨（</w:t>
      </w:r>
      <w:r>
        <w:rPr>
          <w:rFonts w:ascii="Times New Roman"/>
        </w:rPr>
        <w:t>t</w:t>
      </w:r>
      <w:r>
        <w:rPr>
          <w:rFonts w:hint="eastAsia" w:ascii="Times New Roman"/>
        </w:rPr>
        <w:t>）；</w:t>
      </w:r>
    </w:p>
    <w:p>
      <w:pPr>
        <w:pStyle w:val="22"/>
        <w:jc w:val="left"/>
        <w:rPr>
          <w:rFonts w:ascii="Times New Roman"/>
        </w:rPr>
      </w:pPr>
      <w:r>
        <w:rPr>
          <w:rFonts w:ascii="Times New Roman"/>
          <w:i/>
          <w:iCs/>
        </w:rPr>
        <w:t>Z</w:t>
      </w:r>
      <w:r>
        <w:rPr>
          <w:rFonts w:ascii="Times New Roman"/>
          <w:i/>
          <w:iCs/>
          <w:vertAlign w:val="subscript"/>
        </w:rPr>
        <w:t>g</w:t>
      </w:r>
      <w:r>
        <w:rPr>
          <w:rFonts w:hint="eastAsia" w:ascii="Times New Roman"/>
        </w:rPr>
        <w:t>——</w:t>
      </w:r>
      <w:r>
        <w:rPr>
          <w:rFonts w:ascii="Times New Roman"/>
        </w:rPr>
        <w:t>评价期（一般为1年）内</w:t>
      </w:r>
      <w:r>
        <w:rPr>
          <w:rFonts w:hint="eastAsia" w:ascii="Times New Roman"/>
        </w:rPr>
        <w:t>前一年能源消耗总量，单位为吨（t）。</w:t>
      </w:r>
    </w:p>
    <w:bookmarkEnd w:id="120"/>
    <w:bookmarkEnd w:id="121"/>
    <w:bookmarkEnd w:id="122"/>
    <w:p>
      <w:pPr>
        <w:pStyle w:val="22"/>
        <w:ind w:leftChars="-67" w:hanging="140" w:hangingChars="67"/>
      </w:pPr>
    </w:p>
    <w:p>
      <w:pPr>
        <w:pStyle w:val="22"/>
        <w:ind w:leftChars="-67" w:hanging="140" w:hangingChars="67"/>
      </w:pPr>
    </w:p>
    <w:p>
      <w:pPr>
        <w:pStyle w:val="22"/>
        <w:ind w:leftChars="-67" w:hanging="140" w:hangingChars="67"/>
      </w:pPr>
    </w:p>
    <w:sectPr>
      <w:pgSz w:w="11906" w:h="16838"/>
      <w:pgMar w:top="567" w:right="1134" w:bottom="993" w:left="1365" w:header="557" w:footer="468" w:gutter="0"/>
      <w:pgNumType w:start="1"/>
      <w:cols w:space="425"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nna" w:date="2023-12-04T12:43:50Z" w:initials="">
    <w:p w14:paraId="10733EC7">
      <w:pPr>
        <w:pStyle w:val="7"/>
        <w:rPr>
          <w:rFonts w:hint="default" w:eastAsia="宋体"/>
          <w:lang w:val="en-US" w:eastAsia="zh-CN"/>
        </w:rPr>
      </w:pPr>
      <w:r>
        <w:rPr>
          <w:rFonts w:hint="eastAsia"/>
          <w:lang w:val="en-US" w:eastAsia="zh-CN"/>
        </w:rPr>
        <w:t>最右增加一列“评价依据”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733E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cs="Times New Roman"/>
      </w:rPr>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T/CECS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A4CBD"/>
    <w:multiLevelType w:val="multilevel"/>
    <w:tmpl w:val="03EA4CBD"/>
    <w:lvl w:ilvl="0" w:tentative="0">
      <w:start w:val="1"/>
      <w:numFmt w:val="lowerLetter"/>
      <w:pStyle w:val="58"/>
      <w:lvlText w:val="%1)"/>
      <w:lvlJc w:val="left"/>
      <w:pPr>
        <w:tabs>
          <w:tab w:val="left" w:pos="839"/>
        </w:tabs>
        <w:ind w:left="839" w:hanging="419"/>
      </w:pPr>
      <w:rPr>
        <w:rFonts w:hint="eastAsia" w:ascii="宋体" w:hAnsi="宋体" w:eastAsia="宋体"/>
        <w:b w:val="0"/>
        <w:bCs w:val="0"/>
        <w:i w:val="0"/>
        <w:iCs w:val="0"/>
        <w:sz w:val="21"/>
        <w:szCs w:val="21"/>
      </w:rPr>
    </w:lvl>
    <w:lvl w:ilvl="1" w:tentative="0">
      <w:start w:val="1"/>
      <w:numFmt w:val="lowerRoman"/>
      <w:pStyle w:val="51"/>
      <w:lvlText w:val="%2)"/>
      <w:lvlJc w:val="left"/>
      <w:pPr>
        <w:tabs>
          <w:tab w:val="left" w:pos="1259"/>
        </w:tabs>
        <w:ind w:left="1259" w:hanging="420"/>
      </w:pPr>
      <w:rPr>
        <w:rFonts w:ascii="宋体" w:hAnsi="Times New Roman" w:eastAsia="宋体"/>
        <w:b w:val="0"/>
        <w:bCs w:val="0"/>
        <w:i w:val="0"/>
        <w:iCs w:val="0"/>
        <w:color w:val="auto"/>
        <w:sz w:val="20"/>
        <w:szCs w:val="20"/>
      </w:rPr>
    </w:lvl>
    <w:lvl w:ilvl="2" w:tentative="0">
      <w:start w:val="1"/>
      <w:numFmt w:val="decimal"/>
      <w:pStyle w:val="60"/>
      <w:lvlText w:val="(%3)"/>
      <w:lvlJc w:val="left"/>
      <w:pPr>
        <w:tabs>
          <w:tab w:val="left" w:pos="0"/>
        </w:tabs>
        <w:ind w:left="1678" w:hanging="419"/>
      </w:pPr>
      <w:rPr>
        <w:rFonts w:hint="eastAsia" w:ascii="宋体" w:hAnsi="宋体" w:eastAsia="宋体"/>
        <w:b w:val="0"/>
        <w:bCs w:val="0"/>
        <w:i w:val="0"/>
        <w:iCs w:val="0"/>
        <w:sz w:val="21"/>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419"/>
        </w:tabs>
        <w:ind w:left="419"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2"/>
      <w:suff w:val="nothing"/>
      <w:lvlText w:val="%1　"/>
      <w:lvlJc w:val="left"/>
      <w:rPr>
        <w:rFonts w:hint="eastAsia" w:ascii="黑体" w:hAnsi="Times New Roman" w:eastAsia="黑体"/>
        <w:b w:val="0"/>
        <w:bCs w:val="0"/>
        <w:i w:val="0"/>
        <w:iCs w:val="0"/>
        <w:sz w:val="21"/>
        <w:szCs w:val="21"/>
      </w:rPr>
    </w:lvl>
    <w:lvl w:ilvl="1" w:tentative="0">
      <w:start w:val="1"/>
      <w:numFmt w:val="decimal"/>
      <w:pStyle w:val="39"/>
      <w:suff w:val="nothing"/>
      <w:lvlText w:val="%1.%2　"/>
      <w:lvlJc w:val="left"/>
      <w:rPr>
        <w:rFonts w:hint="eastAsia" w:ascii="黑体" w:hAnsi="Times New Roman" w:eastAsia="黑体"/>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3"/>
      <w:suff w:val="nothing"/>
      <w:lvlText w:val="%1.%2.%3　"/>
      <w:lvlJc w:val="left"/>
      <w:rPr>
        <w:rFonts w:hint="eastAsia" w:ascii="黑体" w:hAnsi="Times New Roman" w:eastAsia="黑体"/>
        <w:b w:val="0"/>
        <w:bCs w:val="0"/>
        <w:i w:val="0"/>
        <w:iCs w:val="0"/>
        <w:color w:val="auto"/>
        <w:sz w:val="21"/>
        <w:szCs w:val="21"/>
      </w:rPr>
    </w:lvl>
    <w:lvl w:ilvl="3" w:tentative="0">
      <w:start w:val="1"/>
      <w:numFmt w:val="decimal"/>
      <w:pStyle w:val="48"/>
      <w:suff w:val="nothing"/>
      <w:lvlText w:val="%1.%2.%3.%4　"/>
      <w:lvlJc w:val="left"/>
      <w:rPr>
        <w:rFonts w:hint="eastAsia" w:ascii="黑体" w:hAnsi="Times New Roman" w:eastAsia="黑体"/>
        <w:b w:val="0"/>
        <w:bCs w:val="0"/>
        <w:i w:val="0"/>
        <w:iCs w:val="0"/>
        <w:sz w:val="21"/>
        <w:szCs w:val="21"/>
      </w:rPr>
    </w:lvl>
    <w:lvl w:ilvl="4" w:tentative="0">
      <w:start w:val="1"/>
      <w:numFmt w:val="decimal"/>
      <w:pStyle w:val="52"/>
      <w:suff w:val="nothing"/>
      <w:lvlText w:val="%1.%2.%3.%4.%5　"/>
      <w:lvlJc w:val="left"/>
      <w:rPr>
        <w:rFonts w:hint="eastAsia" w:ascii="黑体" w:hAnsi="Times New Roman" w:eastAsia="黑体"/>
        <w:b w:val="0"/>
        <w:bCs w:val="0"/>
        <w:i w:val="0"/>
        <w:iCs w:val="0"/>
        <w:sz w:val="21"/>
        <w:szCs w:val="21"/>
      </w:rPr>
    </w:lvl>
    <w:lvl w:ilvl="5" w:tentative="0">
      <w:start w:val="1"/>
      <w:numFmt w:val="decimal"/>
      <w:pStyle w:val="53"/>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4137" w:hanging="567"/>
      </w:pPr>
      <w:rPr>
        <w:rFonts w:hint="eastAsia"/>
        <w:color w:val="000000"/>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60B55DC2"/>
    <w:multiLevelType w:val="multilevel"/>
    <w:tmpl w:val="60B55DC2"/>
    <w:lvl w:ilvl="0" w:tentative="0">
      <w:start w:val="1"/>
      <w:numFmt w:val="upperLetter"/>
      <w:pStyle w:val="85"/>
      <w:lvlText w:val="%1"/>
      <w:lvlJc w:val="left"/>
      <w:pPr>
        <w:tabs>
          <w:tab w:val="left" w:pos="0"/>
        </w:tabs>
        <w:ind w:hanging="425"/>
      </w:pPr>
      <w:rPr>
        <w:rFonts w:hint="eastAsia"/>
      </w:rPr>
    </w:lvl>
    <w:lvl w:ilvl="1" w:tentative="0">
      <w:start w:val="1"/>
      <w:numFmt w:val="decimal"/>
      <w:pStyle w:val="86"/>
      <w:suff w:val="nothing"/>
      <w:lvlText w:val="表%1.%2　"/>
      <w:lvlJc w:val="left"/>
      <w:pPr>
        <w:ind w:left="47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tentative="0">
      <w:start w:val="1"/>
      <w:numFmt w:val="decimal"/>
      <w:pStyle w:val="128"/>
      <w:suff w:val="nothing"/>
      <w:lvlText w:val="表%1　"/>
      <w:lvlJc w:val="left"/>
      <w:pPr>
        <w:ind w:left="4935"/>
      </w:pPr>
      <w:rPr>
        <w:rFonts w:hint="eastAsia" w:ascii="黑体" w:hAnsi="Times New Roman" w:eastAsia="黑体"/>
        <w:b w:val="0"/>
        <w:bCs w:val="0"/>
        <w:i w:val="0"/>
        <w:iCs w:val="0"/>
        <w:sz w:val="21"/>
        <w:szCs w:val="21"/>
      </w:rPr>
    </w:lvl>
    <w:lvl w:ilvl="1" w:tentative="0">
      <w:start w:val="1"/>
      <w:numFmt w:val="decimal"/>
      <w:lvlText w:val="%1.%2"/>
      <w:lvlJc w:val="left"/>
      <w:pPr>
        <w:tabs>
          <w:tab w:val="left" w:pos="6137"/>
        </w:tabs>
        <w:ind w:left="6137" w:hanging="567"/>
      </w:pPr>
      <w:rPr>
        <w:rFonts w:hint="eastAsia"/>
      </w:rPr>
    </w:lvl>
    <w:lvl w:ilvl="2" w:tentative="0">
      <w:start w:val="1"/>
      <w:numFmt w:val="decimal"/>
      <w:lvlText w:val="%1.%2.%3"/>
      <w:lvlJc w:val="left"/>
      <w:pPr>
        <w:tabs>
          <w:tab w:val="left" w:pos="6563"/>
        </w:tabs>
        <w:ind w:left="6563" w:hanging="567"/>
      </w:pPr>
      <w:rPr>
        <w:rFonts w:hint="eastAsia"/>
      </w:rPr>
    </w:lvl>
    <w:lvl w:ilvl="3" w:tentative="0">
      <w:start w:val="1"/>
      <w:numFmt w:val="decimal"/>
      <w:lvlText w:val="%1.%2.%3.%4"/>
      <w:lvlJc w:val="left"/>
      <w:pPr>
        <w:tabs>
          <w:tab w:val="left" w:pos="7129"/>
        </w:tabs>
        <w:ind w:left="7129" w:hanging="708"/>
      </w:pPr>
      <w:rPr>
        <w:rFonts w:hint="eastAsia"/>
      </w:rPr>
    </w:lvl>
    <w:lvl w:ilvl="4" w:tentative="0">
      <w:start w:val="1"/>
      <w:numFmt w:val="decimal"/>
      <w:lvlText w:val="%1.%2.%3.%4.%5"/>
      <w:lvlJc w:val="left"/>
      <w:pPr>
        <w:tabs>
          <w:tab w:val="left" w:pos="7696"/>
        </w:tabs>
        <w:ind w:left="7696" w:hanging="850"/>
      </w:pPr>
      <w:rPr>
        <w:rFonts w:hint="eastAsia"/>
      </w:rPr>
    </w:lvl>
    <w:lvl w:ilvl="5" w:tentative="0">
      <w:start w:val="1"/>
      <w:numFmt w:val="decimal"/>
      <w:lvlText w:val="%1.%2.%3.%4.%5.%6"/>
      <w:lvlJc w:val="left"/>
      <w:pPr>
        <w:tabs>
          <w:tab w:val="left" w:pos="8405"/>
        </w:tabs>
        <w:ind w:left="8405" w:hanging="1134"/>
      </w:pPr>
      <w:rPr>
        <w:rFonts w:hint="eastAsia"/>
      </w:rPr>
    </w:lvl>
    <w:lvl w:ilvl="6" w:tentative="0">
      <w:start w:val="1"/>
      <w:numFmt w:val="decimal"/>
      <w:lvlText w:val="%1.%2.%3.%4.%5.%6.%7"/>
      <w:lvlJc w:val="left"/>
      <w:pPr>
        <w:tabs>
          <w:tab w:val="left" w:pos="8972"/>
        </w:tabs>
        <w:ind w:left="8972" w:hanging="1276"/>
      </w:pPr>
      <w:rPr>
        <w:rFonts w:hint="eastAsia"/>
      </w:rPr>
    </w:lvl>
    <w:lvl w:ilvl="7" w:tentative="0">
      <w:start w:val="1"/>
      <w:numFmt w:val="decimal"/>
      <w:lvlText w:val="%1.%2.%3.%4.%5.%6.%7.%8"/>
      <w:lvlJc w:val="left"/>
      <w:pPr>
        <w:tabs>
          <w:tab w:val="left" w:pos="9539"/>
        </w:tabs>
        <w:ind w:left="9539" w:hanging="1418"/>
      </w:pPr>
      <w:rPr>
        <w:rFonts w:hint="eastAsia"/>
      </w:rPr>
    </w:lvl>
    <w:lvl w:ilvl="8" w:tentative="0">
      <w:start w:val="1"/>
      <w:numFmt w:val="decimal"/>
      <w:lvlText w:val="%1.%2.%3.%4.%5.%6.%7.%8.%9"/>
      <w:lvlJc w:val="left"/>
      <w:pPr>
        <w:tabs>
          <w:tab w:val="left" w:pos="10247"/>
        </w:tabs>
        <w:ind w:left="10247" w:hanging="1700"/>
      </w:pPr>
      <w:rPr>
        <w:rFonts w:hint="eastAsia"/>
      </w:rPr>
    </w:lvl>
  </w:abstractNum>
  <w:abstractNum w:abstractNumId="8">
    <w:nsid w:val="657D3FBC"/>
    <w:multiLevelType w:val="multilevel"/>
    <w:tmpl w:val="657D3FBC"/>
    <w:lvl w:ilvl="0" w:tentative="0">
      <w:start w:val="1"/>
      <w:numFmt w:val="upperLetter"/>
      <w:pStyle w:val="83"/>
      <w:suff w:val="nothing"/>
      <w:lvlText w:val="附　录　%1"/>
      <w:lvlJc w:val="left"/>
      <w:pPr>
        <w:ind w:left="3990"/>
      </w:pPr>
      <w:rPr>
        <w:rFonts w:hint="eastAsia" w:ascii="黑体" w:hAnsi="Times New Roman" w:eastAsia="黑体"/>
        <w:b w:val="0"/>
        <w:bCs w:val="0"/>
        <w:i w:val="0"/>
        <w:iCs w:val="0"/>
        <w:spacing w:val="0"/>
        <w:w w:val="100"/>
        <w:sz w:val="21"/>
        <w:szCs w:val="21"/>
      </w:rPr>
    </w:lvl>
    <w:lvl w:ilvl="1" w:tentative="0">
      <w:start w:val="1"/>
      <w:numFmt w:val="decimal"/>
      <w:pStyle w:val="101"/>
      <w:suff w:val="nothing"/>
      <w:lvlText w:val="%1.%2　"/>
      <w:lvlJc w:val="left"/>
      <w:rPr>
        <w:rFonts w:hint="eastAsia" w:ascii="黑体" w:hAnsi="Times New Roman" w:eastAsia="黑体"/>
        <w:b w:val="0"/>
        <w:bCs w:val="0"/>
        <w:i w:val="0"/>
        <w:iCs w:val="0"/>
        <w:snapToGrid/>
        <w:color w:val="auto"/>
        <w:spacing w:val="0"/>
        <w:w w:val="100"/>
        <w:kern w:val="21"/>
        <w:sz w:val="21"/>
        <w:szCs w:val="21"/>
      </w:rPr>
    </w:lvl>
    <w:lvl w:ilvl="2" w:tentative="0">
      <w:start w:val="1"/>
      <w:numFmt w:val="decimal"/>
      <w:pStyle w:val="102"/>
      <w:suff w:val="nothing"/>
      <w:lvlText w:val="%1.%2.%3　"/>
      <w:lvlJc w:val="left"/>
      <w:rPr>
        <w:rFonts w:hint="eastAsia" w:ascii="黑体" w:hAnsi="Times New Roman" w:eastAsia="黑体"/>
        <w:b w:val="0"/>
        <w:bCs w:val="0"/>
        <w:i w:val="0"/>
        <w:iCs w:val="0"/>
        <w:sz w:val="21"/>
        <w:szCs w:val="21"/>
      </w:rPr>
    </w:lvl>
    <w:lvl w:ilvl="3" w:tentative="0">
      <w:start w:val="1"/>
      <w:numFmt w:val="decimal"/>
      <w:pStyle w:val="87"/>
      <w:suff w:val="nothing"/>
      <w:lvlText w:val="%1.%2.%3.%4　"/>
      <w:lvlJc w:val="left"/>
      <w:rPr>
        <w:rFonts w:hint="eastAsia" w:ascii="黑体" w:hAnsi="Times New Roman" w:eastAsia="黑体"/>
        <w:b w:val="0"/>
        <w:bCs w:val="0"/>
        <w:i w:val="0"/>
        <w:iCs w:val="0"/>
        <w:sz w:val="21"/>
        <w:szCs w:val="21"/>
      </w:rPr>
    </w:lvl>
    <w:lvl w:ilvl="4" w:tentative="0">
      <w:start w:val="1"/>
      <w:numFmt w:val="decimal"/>
      <w:pStyle w:val="92"/>
      <w:suff w:val="nothing"/>
      <w:lvlText w:val="%1.%2.%3.%4.%5　"/>
      <w:lvlJc w:val="left"/>
      <w:rPr>
        <w:rFonts w:hint="eastAsia" w:ascii="黑体" w:hAnsi="Times New Roman" w:eastAsia="黑体"/>
        <w:b w:val="0"/>
        <w:bCs w:val="0"/>
        <w:i w:val="0"/>
        <w:iCs w:val="0"/>
        <w:sz w:val="21"/>
        <w:szCs w:val="21"/>
      </w:rPr>
    </w:lvl>
    <w:lvl w:ilvl="5" w:tentative="0">
      <w:start w:val="1"/>
      <w:numFmt w:val="decimal"/>
      <w:pStyle w:val="95"/>
      <w:suff w:val="nothing"/>
      <w:lvlText w:val="%1.%2.%3.%4.%5.%6　"/>
      <w:lvlJc w:val="left"/>
      <w:rPr>
        <w:rFonts w:hint="eastAsia" w:ascii="黑体" w:hAnsi="Times New Roman" w:eastAsia="黑体"/>
        <w:b w:val="0"/>
        <w:bCs w:val="0"/>
        <w:i w:val="0"/>
        <w:iCs w:val="0"/>
        <w:sz w:val="21"/>
        <w:szCs w:val="21"/>
      </w:rPr>
    </w:lvl>
    <w:lvl w:ilvl="6" w:tentative="0">
      <w:start w:val="1"/>
      <w:numFmt w:val="decimal"/>
      <w:pStyle w:val="9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bCs w:val="0"/>
        <w:i w:val="0"/>
        <w:iCs w:val="0"/>
        <w:sz w:val="21"/>
        <w:szCs w:val="21"/>
      </w:rPr>
    </w:lvl>
    <w:lvl w:ilvl="1" w:tentative="0">
      <w:start w:val="1"/>
      <w:numFmt w:val="decimal"/>
      <w:pStyle w:val="94"/>
      <w:lvlText w:val="%2)"/>
      <w:lvlJc w:val="left"/>
      <w:pPr>
        <w:tabs>
          <w:tab w:val="left" w:pos="840"/>
        </w:tabs>
        <w:ind w:left="839" w:hanging="419"/>
      </w:pPr>
      <w:rPr>
        <w:rFonts w:hint="eastAsia" w:ascii="宋体" w:eastAsia="宋体"/>
        <w:b w:val="0"/>
        <w:bCs w:val="0"/>
        <w:i w:val="0"/>
        <w:iCs w:val="0"/>
        <w:sz w:val="21"/>
        <w:szCs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4"/>
  </w:num>
  <w:num w:numId="4">
    <w:abstractNumId w:val="0"/>
  </w:num>
  <w:num w:numId="5">
    <w:abstractNumId w:val="1"/>
  </w:num>
  <w:num w:numId="6">
    <w:abstractNumId w:val="8"/>
  </w:num>
  <w:num w:numId="7">
    <w:abstractNumId w:val="6"/>
  </w:num>
  <w:num w:numId="8">
    <w:abstractNumId w:val="9"/>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na">
    <w15:presenceInfo w15:providerId="WPS Office" w15:userId="2214360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422"/>
    <w:rsid w:val="000017D7"/>
    <w:rsid w:val="0000185F"/>
    <w:rsid w:val="00002382"/>
    <w:rsid w:val="00003794"/>
    <w:rsid w:val="00003B90"/>
    <w:rsid w:val="000049F1"/>
    <w:rsid w:val="00004B59"/>
    <w:rsid w:val="00004BFB"/>
    <w:rsid w:val="0000586F"/>
    <w:rsid w:val="00006778"/>
    <w:rsid w:val="00007618"/>
    <w:rsid w:val="0000762D"/>
    <w:rsid w:val="00007923"/>
    <w:rsid w:val="0001053E"/>
    <w:rsid w:val="00010B52"/>
    <w:rsid w:val="000116AC"/>
    <w:rsid w:val="000117AE"/>
    <w:rsid w:val="00011F44"/>
    <w:rsid w:val="0001268E"/>
    <w:rsid w:val="00012A22"/>
    <w:rsid w:val="000130D9"/>
    <w:rsid w:val="00013D86"/>
    <w:rsid w:val="00013E02"/>
    <w:rsid w:val="00015153"/>
    <w:rsid w:val="000154A7"/>
    <w:rsid w:val="0001560F"/>
    <w:rsid w:val="00016605"/>
    <w:rsid w:val="00016BD6"/>
    <w:rsid w:val="00016D01"/>
    <w:rsid w:val="0001741C"/>
    <w:rsid w:val="00017460"/>
    <w:rsid w:val="000213BE"/>
    <w:rsid w:val="0002143C"/>
    <w:rsid w:val="000215D5"/>
    <w:rsid w:val="00021B09"/>
    <w:rsid w:val="00021EA3"/>
    <w:rsid w:val="000225AB"/>
    <w:rsid w:val="00023444"/>
    <w:rsid w:val="000234DD"/>
    <w:rsid w:val="00024549"/>
    <w:rsid w:val="000245C4"/>
    <w:rsid w:val="00024B4E"/>
    <w:rsid w:val="00024E85"/>
    <w:rsid w:val="00025A65"/>
    <w:rsid w:val="00026578"/>
    <w:rsid w:val="00026B2C"/>
    <w:rsid w:val="00026C31"/>
    <w:rsid w:val="00027280"/>
    <w:rsid w:val="00030761"/>
    <w:rsid w:val="00030984"/>
    <w:rsid w:val="00030C18"/>
    <w:rsid w:val="000318D8"/>
    <w:rsid w:val="000320A7"/>
    <w:rsid w:val="00032630"/>
    <w:rsid w:val="00032A2A"/>
    <w:rsid w:val="00032C20"/>
    <w:rsid w:val="0003358A"/>
    <w:rsid w:val="00033986"/>
    <w:rsid w:val="00033A36"/>
    <w:rsid w:val="00034111"/>
    <w:rsid w:val="00034220"/>
    <w:rsid w:val="00034288"/>
    <w:rsid w:val="000344B2"/>
    <w:rsid w:val="00034A36"/>
    <w:rsid w:val="00034AFC"/>
    <w:rsid w:val="000355C7"/>
    <w:rsid w:val="000358FD"/>
    <w:rsid w:val="00035925"/>
    <w:rsid w:val="00035AEC"/>
    <w:rsid w:val="000361D8"/>
    <w:rsid w:val="00036D89"/>
    <w:rsid w:val="00037A63"/>
    <w:rsid w:val="00037C52"/>
    <w:rsid w:val="00041331"/>
    <w:rsid w:val="00041384"/>
    <w:rsid w:val="0004163E"/>
    <w:rsid w:val="00041DFA"/>
    <w:rsid w:val="00042994"/>
    <w:rsid w:val="000429FD"/>
    <w:rsid w:val="0004349A"/>
    <w:rsid w:val="000436E5"/>
    <w:rsid w:val="000437E1"/>
    <w:rsid w:val="0004390A"/>
    <w:rsid w:val="00044B1F"/>
    <w:rsid w:val="00044BA7"/>
    <w:rsid w:val="00044BE3"/>
    <w:rsid w:val="0004556D"/>
    <w:rsid w:val="000466F2"/>
    <w:rsid w:val="00046A46"/>
    <w:rsid w:val="00047F29"/>
    <w:rsid w:val="000500C6"/>
    <w:rsid w:val="000505AA"/>
    <w:rsid w:val="00050E08"/>
    <w:rsid w:val="00050E20"/>
    <w:rsid w:val="00051BF1"/>
    <w:rsid w:val="00051F6C"/>
    <w:rsid w:val="000538B1"/>
    <w:rsid w:val="000547F9"/>
    <w:rsid w:val="0005487B"/>
    <w:rsid w:val="00055279"/>
    <w:rsid w:val="000552AF"/>
    <w:rsid w:val="000576CC"/>
    <w:rsid w:val="000624C9"/>
    <w:rsid w:val="000626B2"/>
    <w:rsid w:val="0006340A"/>
    <w:rsid w:val="000637DA"/>
    <w:rsid w:val="00063C8C"/>
    <w:rsid w:val="000649BB"/>
    <w:rsid w:val="0006597C"/>
    <w:rsid w:val="00065D3E"/>
    <w:rsid w:val="00066C61"/>
    <w:rsid w:val="00067CDF"/>
    <w:rsid w:val="000700B3"/>
    <w:rsid w:val="000707D7"/>
    <w:rsid w:val="00070A7B"/>
    <w:rsid w:val="00071F13"/>
    <w:rsid w:val="00072A4F"/>
    <w:rsid w:val="00072C9D"/>
    <w:rsid w:val="00073871"/>
    <w:rsid w:val="00073B2F"/>
    <w:rsid w:val="00073C7C"/>
    <w:rsid w:val="00074FBE"/>
    <w:rsid w:val="00075A33"/>
    <w:rsid w:val="00075D37"/>
    <w:rsid w:val="00075D45"/>
    <w:rsid w:val="000766A4"/>
    <w:rsid w:val="00077465"/>
    <w:rsid w:val="0007791F"/>
    <w:rsid w:val="00077A84"/>
    <w:rsid w:val="000808F1"/>
    <w:rsid w:val="00080D1E"/>
    <w:rsid w:val="00081413"/>
    <w:rsid w:val="000816C6"/>
    <w:rsid w:val="00081BB8"/>
    <w:rsid w:val="00082377"/>
    <w:rsid w:val="00083A09"/>
    <w:rsid w:val="000845F3"/>
    <w:rsid w:val="000856F5"/>
    <w:rsid w:val="000859C7"/>
    <w:rsid w:val="00085D2E"/>
    <w:rsid w:val="00085D6A"/>
    <w:rsid w:val="000866FB"/>
    <w:rsid w:val="000879B8"/>
    <w:rsid w:val="0009005E"/>
    <w:rsid w:val="00090CA0"/>
    <w:rsid w:val="00091050"/>
    <w:rsid w:val="00091AC5"/>
    <w:rsid w:val="0009222A"/>
    <w:rsid w:val="00092857"/>
    <w:rsid w:val="000936F8"/>
    <w:rsid w:val="000937B1"/>
    <w:rsid w:val="000939C0"/>
    <w:rsid w:val="0009562C"/>
    <w:rsid w:val="000963D8"/>
    <w:rsid w:val="000964B2"/>
    <w:rsid w:val="00096AF3"/>
    <w:rsid w:val="000A0156"/>
    <w:rsid w:val="000A0D1E"/>
    <w:rsid w:val="000A1270"/>
    <w:rsid w:val="000A1698"/>
    <w:rsid w:val="000A1B13"/>
    <w:rsid w:val="000A20A9"/>
    <w:rsid w:val="000A2619"/>
    <w:rsid w:val="000A2E7B"/>
    <w:rsid w:val="000A369B"/>
    <w:rsid w:val="000A3977"/>
    <w:rsid w:val="000A3EC6"/>
    <w:rsid w:val="000A4138"/>
    <w:rsid w:val="000A484F"/>
    <w:rsid w:val="000A48B1"/>
    <w:rsid w:val="000A5D50"/>
    <w:rsid w:val="000A62FD"/>
    <w:rsid w:val="000A69AA"/>
    <w:rsid w:val="000B019D"/>
    <w:rsid w:val="000B01EF"/>
    <w:rsid w:val="000B1046"/>
    <w:rsid w:val="000B1E6C"/>
    <w:rsid w:val="000B2092"/>
    <w:rsid w:val="000B214C"/>
    <w:rsid w:val="000B2666"/>
    <w:rsid w:val="000B3143"/>
    <w:rsid w:val="000B4826"/>
    <w:rsid w:val="000B48AC"/>
    <w:rsid w:val="000B4B96"/>
    <w:rsid w:val="000B54B3"/>
    <w:rsid w:val="000B563E"/>
    <w:rsid w:val="000B75C8"/>
    <w:rsid w:val="000B78AD"/>
    <w:rsid w:val="000B7996"/>
    <w:rsid w:val="000B7DAF"/>
    <w:rsid w:val="000B7EA9"/>
    <w:rsid w:val="000C0735"/>
    <w:rsid w:val="000C0AAB"/>
    <w:rsid w:val="000C0B4C"/>
    <w:rsid w:val="000C0E73"/>
    <w:rsid w:val="000C13D8"/>
    <w:rsid w:val="000C17CA"/>
    <w:rsid w:val="000C1EB0"/>
    <w:rsid w:val="000C2D81"/>
    <w:rsid w:val="000C4034"/>
    <w:rsid w:val="000C4247"/>
    <w:rsid w:val="000C4A16"/>
    <w:rsid w:val="000C5247"/>
    <w:rsid w:val="000C56AE"/>
    <w:rsid w:val="000C6485"/>
    <w:rsid w:val="000C66BB"/>
    <w:rsid w:val="000C699F"/>
    <w:rsid w:val="000C6A23"/>
    <w:rsid w:val="000C6B05"/>
    <w:rsid w:val="000C6DD6"/>
    <w:rsid w:val="000C703C"/>
    <w:rsid w:val="000C703D"/>
    <w:rsid w:val="000C73D4"/>
    <w:rsid w:val="000C7938"/>
    <w:rsid w:val="000C79FB"/>
    <w:rsid w:val="000D2652"/>
    <w:rsid w:val="000D3BD3"/>
    <w:rsid w:val="000D3CD8"/>
    <w:rsid w:val="000D3D4C"/>
    <w:rsid w:val="000D44F0"/>
    <w:rsid w:val="000D4F51"/>
    <w:rsid w:val="000D50EE"/>
    <w:rsid w:val="000D5A16"/>
    <w:rsid w:val="000D5B34"/>
    <w:rsid w:val="000D5FB7"/>
    <w:rsid w:val="000D62B9"/>
    <w:rsid w:val="000D63E9"/>
    <w:rsid w:val="000D65FA"/>
    <w:rsid w:val="000D718B"/>
    <w:rsid w:val="000D7E04"/>
    <w:rsid w:val="000E08DA"/>
    <w:rsid w:val="000E0C46"/>
    <w:rsid w:val="000E0EFF"/>
    <w:rsid w:val="000E1057"/>
    <w:rsid w:val="000E12FE"/>
    <w:rsid w:val="000E16F5"/>
    <w:rsid w:val="000E1B97"/>
    <w:rsid w:val="000E1E2F"/>
    <w:rsid w:val="000E2B72"/>
    <w:rsid w:val="000E2CE7"/>
    <w:rsid w:val="000E2FD2"/>
    <w:rsid w:val="000E4F01"/>
    <w:rsid w:val="000E55D5"/>
    <w:rsid w:val="000E58F4"/>
    <w:rsid w:val="000E59E8"/>
    <w:rsid w:val="000E64B8"/>
    <w:rsid w:val="000E700D"/>
    <w:rsid w:val="000E74EC"/>
    <w:rsid w:val="000E784E"/>
    <w:rsid w:val="000F02B1"/>
    <w:rsid w:val="000F030C"/>
    <w:rsid w:val="000F129C"/>
    <w:rsid w:val="000F17B2"/>
    <w:rsid w:val="000F1C16"/>
    <w:rsid w:val="000F1CBD"/>
    <w:rsid w:val="000F2147"/>
    <w:rsid w:val="000F21DA"/>
    <w:rsid w:val="000F2305"/>
    <w:rsid w:val="000F375A"/>
    <w:rsid w:val="000F4F02"/>
    <w:rsid w:val="000F4F78"/>
    <w:rsid w:val="000F68EE"/>
    <w:rsid w:val="00100047"/>
    <w:rsid w:val="00100501"/>
    <w:rsid w:val="00100BD7"/>
    <w:rsid w:val="00101063"/>
    <w:rsid w:val="0010127B"/>
    <w:rsid w:val="00101B5B"/>
    <w:rsid w:val="001026F6"/>
    <w:rsid w:val="001028E7"/>
    <w:rsid w:val="00102B1D"/>
    <w:rsid w:val="00102CD1"/>
    <w:rsid w:val="00103206"/>
    <w:rsid w:val="0010356D"/>
    <w:rsid w:val="00103A9C"/>
    <w:rsid w:val="00104463"/>
    <w:rsid w:val="001045C9"/>
    <w:rsid w:val="001056DE"/>
    <w:rsid w:val="001067B3"/>
    <w:rsid w:val="001069EB"/>
    <w:rsid w:val="00107133"/>
    <w:rsid w:val="00107504"/>
    <w:rsid w:val="00107575"/>
    <w:rsid w:val="00107A22"/>
    <w:rsid w:val="00107AB8"/>
    <w:rsid w:val="00107DC4"/>
    <w:rsid w:val="00111A98"/>
    <w:rsid w:val="00111EEA"/>
    <w:rsid w:val="001124C0"/>
    <w:rsid w:val="0011298A"/>
    <w:rsid w:val="00112CB6"/>
    <w:rsid w:val="00113F1E"/>
    <w:rsid w:val="0011411F"/>
    <w:rsid w:val="001144EF"/>
    <w:rsid w:val="00115272"/>
    <w:rsid w:val="00116B50"/>
    <w:rsid w:val="00120715"/>
    <w:rsid w:val="00120BD2"/>
    <w:rsid w:val="00121AF5"/>
    <w:rsid w:val="001223FE"/>
    <w:rsid w:val="00122AD6"/>
    <w:rsid w:val="00122D09"/>
    <w:rsid w:val="00123ADB"/>
    <w:rsid w:val="00123DAA"/>
    <w:rsid w:val="00123E49"/>
    <w:rsid w:val="00123F12"/>
    <w:rsid w:val="0012403D"/>
    <w:rsid w:val="00124BA3"/>
    <w:rsid w:val="00125063"/>
    <w:rsid w:val="0012731A"/>
    <w:rsid w:val="0012732A"/>
    <w:rsid w:val="00130D7F"/>
    <w:rsid w:val="00130F9A"/>
    <w:rsid w:val="0013175F"/>
    <w:rsid w:val="001320D3"/>
    <w:rsid w:val="001324DE"/>
    <w:rsid w:val="0013298F"/>
    <w:rsid w:val="00132B0D"/>
    <w:rsid w:val="0013382C"/>
    <w:rsid w:val="00133953"/>
    <w:rsid w:val="001339B2"/>
    <w:rsid w:val="00133EF7"/>
    <w:rsid w:val="0013416B"/>
    <w:rsid w:val="00134508"/>
    <w:rsid w:val="00134667"/>
    <w:rsid w:val="00134E9C"/>
    <w:rsid w:val="001365D8"/>
    <w:rsid w:val="001365E6"/>
    <w:rsid w:val="0013680E"/>
    <w:rsid w:val="00136925"/>
    <w:rsid w:val="001374B2"/>
    <w:rsid w:val="0013762C"/>
    <w:rsid w:val="0013789A"/>
    <w:rsid w:val="001378BC"/>
    <w:rsid w:val="001379E9"/>
    <w:rsid w:val="00137E8C"/>
    <w:rsid w:val="00140196"/>
    <w:rsid w:val="00140341"/>
    <w:rsid w:val="001405E6"/>
    <w:rsid w:val="00140CCE"/>
    <w:rsid w:val="00140DD2"/>
    <w:rsid w:val="00141220"/>
    <w:rsid w:val="00141898"/>
    <w:rsid w:val="001418FF"/>
    <w:rsid w:val="00141ABF"/>
    <w:rsid w:val="00141CCF"/>
    <w:rsid w:val="00141DA9"/>
    <w:rsid w:val="00141F7B"/>
    <w:rsid w:val="001423EE"/>
    <w:rsid w:val="00142F71"/>
    <w:rsid w:val="00143558"/>
    <w:rsid w:val="00143C7D"/>
    <w:rsid w:val="00144D06"/>
    <w:rsid w:val="001458B5"/>
    <w:rsid w:val="0014655F"/>
    <w:rsid w:val="00147164"/>
    <w:rsid w:val="001501EB"/>
    <w:rsid w:val="001512B4"/>
    <w:rsid w:val="0015168E"/>
    <w:rsid w:val="00152BBA"/>
    <w:rsid w:val="00153B60"/>
    <w:rsid w:val="001555BD"/>
    <w:rsid w:val="00155DF2"/>
    <w:rsid w:val="00156A6F"/>
    <w:rsid w:val="00156DD7"/>
    <w:rsid w:val="00156E3D"/>
    <w:rsid w:val="001575E9"/>
    <w:rsid w:val="001600B9"/>
    <w:rsid w:val="001602D8"/>
    <w:rsid w:val="001608E6"/>
    <w:rsid w:val="00161615"/>
    <w:rsid w:val="00161825"/>
    <w:rsid w:val="00161B1B"/>
    <w:rsid w:val="00161B70"/>
    <w:rsid w:val="00161BBE"/>
    <w:rsid w:val="001620A5"/>
    <w:rsid w:val="0016362F"/>
    <w:rsid w:val="00163741"/>
    <w:rsid w:val="00164829"/>
    <w:rsid w:val="00164E53"/>
    <w:rsid w:val="001651B6"/>
    <w:rsid w:val="0016699D"/>
    <w:rsid w:val="00166ABD"/>
    <w:rsid w:val="00166C26"/>
    <w:rsid w:val="00167656"/>
    <w:rsid w:val="00167A1B"/>
    <w:rsid w:val="00171068"/>
    <w:rsid w:val="001717EC"/>
    <w:rsid w:val="001728F7"/>
    <w:rsid w:val="00172C1C"/>
    <w:rsid w:val="00173051"/>
    <w:rsid w:val="001739FD"/>
    <w:rsid w:val="00173FFF"/>
    <w:rsid w:val="00175159"/>
    <w:rsid w:val="00176208"/>
    <w:rsid w:val="00176887"/>
    <w:rsid w:val="001768BD"/>
    <w:rsid w:val="001769E8"/>
    <w:rsid w:val="0017705C"/>
    <w:rsid w:val="00177279"/>
    <w:rsid w:val="001773FC"/>
    <w:rsid w:val="00177598"/>
    <w:rsid w:val="00177CDB"/>
    <w:rsid w:val="00177E7B"/>
    <w:rsid w:val="0018045B"/>
    <w:rsid w:val="001816C1"/>
    <w:rsid w:val="00182117"/>
    <w:rsid w:val="0018211B"/>
    <w:rsid w:val="001830C1"/>
    <w:rsid w:val="001840D3"/>
    <w:rsid w:val="0018468C"/>
    <w:rsid w:val="00185570"/>
    <w:rsid w:val="00185A04"/>
    <w:rsid w:val="00185BCA"/>
    <w:rsid w:val="00186625"/>
    <w:rsid w:val="00186639"/>
    <w:rsid w:val="001900F8"/>
    <w:rsid w:val="001903A4"/>
    <w:rsid w:val="00190C29"/>
    <w:rsid w:val="00191258"/>
    <w:rsid w:val="0019151E"/>
    <w:rsid w:val="00191EC3"/>
    <w:rsid w:val="00192671"/>
    <w:rsid w:val="00192680"/>
    <w:rsid w:val="0019295C"/>
    <w:rsid w:val="00192C51"/>
    <w:rsid w:val="00192DC7"/>
    <w:rsid w:val="00193037"/>
    <w:rsid w:val="00193A2C"/>
    <w:rsid w:val="00193C2E"/>
    <w:rsid w:val="00194833"/>
    <w:rsid w:val="00194F38"/>
    <w:rsid w:val="001960BF"/>
    <w:rsid w:val="001962A6"/>
    <w:rsid w:val="00196337"/>
    <w:rsid w:val="00196FF7"/>
    <w:rsid w:val="00197636"/>
    <w:rsid w:val="00197900"/>
    <w:rsid w:val="00197E7D"/>
    <w:rsid w:val="001A0520"/>
    <w:rsid w:val="001A1710"/>
    <w:rsid w:val="001A17A0"/>
    <w:rsid w:val="001A1EF3"/>
    <w:rsid w:val="001A24CB"/>
    <w:rsid w:val="001A283F"/>
    <w:rsid w:val="001A288E"/>
    <w:rsid w:val="001A3819"/>
    <w:rsid w:val="001A3AAE"/>
    <w:rsid w:val="001A412B"/>
    <w:rsid w:val="001A42C8"/>
    <w:rsid w:val="001A459B"/>
    <w:rsid w:val="001A493B"/>
    <w:rsid w:val="001A4AAA"/>
    <w:rsid w:val="001A4B24"/>
    <w:rsid w:val="001A56F0"/>
    <w:rsid w:val="001A63BE"/>
    <w:rsid w:val="001A70D8"/>
    <w:rsid w:val="001B0051"/>
    <w:rsid w:val="001B0AE5"/>
    <w:rsid w:val="001B0AE6"/>
    <w:rsid w:val="001B0FC8"/>
    <w:rsid w:val="001B101A"/>
    <w:rsid w:val="001B1046"/>
    <w:rsid w:val="001B1163"/>
    <w:rsid w:val="001B1464"/>
    <w:rsid w:val="001B19CA"/>
    <w:rsid w:val="001B210E"/>
    <w:rsid w:val="001B2EFA"/>
    <w:rsid w:val="001B39D6"/>
    <w:rsid w:val="001B3FA3"/>
    <w:rsid w:val="001B4541"/>
    <w:rsid w:val="001B486F"/>
    <w:rsid w:val="001B488F"/>
    <w:rsid w:val="001B5795"/>
    <w:rsid w:val="001B649F"/>
    <w:rsid w:val="001B6DC2"/>
    <w:rsid w:val="001B7399"/>
    <w:rsid w:val="001B73A6"/>
    <w:rsid w:val="001C0100"/>
    <w:rsid w:val="001C1149"/>
    <w:rsid w:val="001C149C"/>
    <w:rsid w:val="001C15EE"/>
    <w:rsid w:val="001C2035"/>
    <w:rsid w:val="001C2091"/>
    <w:rsid w:val="001C21AC"/>
    <w:rsid w:val="001C357A"/>
    <w:rsid w:val="001C45AA"/>
    <w:rsid w:val="001C45DD"/>
    <w:rsid w:val="001C47BA"/>
    <w:rsid w:val="001C4ABD"/>
    <w:rsid w:val="001C51E4"/>
    <w:rsid w:val="001C59EA"/>
    <w:rsid w:val="001C6938"/>
    <w:rsid w:val="001C6C51"/>
    <w:rsid w:val="001C71D8"/>
    <w:rsid w:val="001C71E7"/>
    <w:rsid w:val="001C749E"/>
    <w:rsid w:val="001C770A"/>
    <w:rsid w:val="001C7A36"/>
    <w:rsid w:val="001D0562"/>
    <w:rsid w:val="001D05DF"/>
    <w:rsid w:val="001D09FF"/>
    <w:rsid w:val="001D1C99"/>
    <w:rsid w:val="001D230A"/>
    <w:rsid w:val="001D2C30"/>
    <w:rsid w:val="001D3B3C"/>
    <w:rsid w:val="001D3C4C"/>
    <w:rsid w:val="001D406C"/>
    <w:rsid w:val="001D41EE"/>
    <w:rsid w:val="001D437C"/>
    <w:rsid w:val="001D4499"/>
    <w:rsid w:val="001D46A6"/>
    <w:rsid w:val="001D4CD1"/>
    <w:rsid w:val="001D57D5"/>
    <w:rsid w:val="001D58D1"/>
    <w:rsid w:val="001D5F19"/>
    <w:rsid w:val="001D6659"/>
    <w:rsid w:val="001D74B2"/>
    <w:rsid w:val="001D76EE"/>
    <w:rsid w:val="001D7EA9"/>
    <w:rsid w:val="001E0160"/>
    <w:rsid w:val="001E0380"/>
    <w:rsid w:val="001E05F7"/>
    <w:rsid w:val="001E05FF"/>
    <w:rsid w:val="001E0ADB"/>
    <w:rsid w:val="001E13B1"/>
    <w:rsid w:val="001E18EE"/>
    <w:rsid w:val="001E1916"/>
    <w:rsid w:val="001E1EBC"/>
    <w:rsid w:val="001E1F85"/>
    <w:rsid w:val="001E2B91"/>
    <w:rsid w:val="001E31CC"/>
    <w:rsid w:val="001E43D3"/>
    <w:rsid w:val="001E4ABA"/>
    <w:rsid w:val="001E4CEF"/>
    <w:rsid w:val="001E515C"/>
    <w:rsid w:val="001E5359"/>
    <w:rsid w:val="001E5ABA"/>
    <w:rsid w:val="001E5BB7"/>
    <w:rsid w:val="001E5E82"/>
    <w:rsid w:val="001E65AB"/>
    <w:rsid w:val="001E6EE3"/>
    <w:rsid w:val="001E72D9"/>
    <w:rsid w:val="001E73F7"/>
    <w:rsid w:val="001F1860"/>
    <w:rsid w:val="001F2872"/>
    <w:rsid w:val="001F2A3F"/>
    <w:rsid w:val="001F2ADB"/>
    <w:rsid w:val="001F36A1"/>
    <w:rsid w:val="001F3A19"/>
    <w:rsid w:val="001F3A5F"/>
    <w:rsid w:val="001F4120"/>
    <w:rsid w:val="001F4347"/>
    <w:rsid w:val="001F56D0"/>
    <w:rsid w:val="001F5A56"/>
    <w:rsid w:val="001F5DEE"/>
    <w:rsid w:val="001F5E93"/>
    <w:rsid w:val="001F5F40"/>
    <w:rsid w:val="001F7C44"/>
    <w:rsid w:val="00200217"/>
    <w:rsid w:val="00201899"/>
    <w:rsid w:val="00201CF4"/>
    <w:rsid w:val="00202023"/>
    <w:rsid w:val="002030F2"/>
    <w:rsid w:val="00204D4A"/>
    <w:rsid w:val="0020512B"/>
    <w:rsid w:val="002051E5"/>
    <w:rsid w:val="0020533A"/>
    <w:rsid w:val="002053CC"/>
    <w:rsid w:val="00205E86"/>
    <w:rsid w:val="00205F74"/>
    <w:rsid w:val="00206868"/>
    <w:rsid w:val="0020695A"/>
    <w:rsid w:val="0020772C"/>
    <w:rsid w:val="00207741"/>
    <w:rsid w:val="0020793C"/>
    <w:rsid w:val="002079D8"/>
    <w:rsid w:val="00210511"/>
    <w:rsid w:val="00210A5F"/>
    <w:rsid w:val="00211A5D"/>
    <w:rsid w:val="00212969"/>
    <w:rsid w:val="00212D95"/>
    <w:rsid w:val="00214511"/>
    <w:rsid w:val="00214634"/>
    <w:rsid w:val="00214957"/>
    <w:rsid w:val="00214C8F"/>
    <w:rsid w:val="00215B78"/>
    <w:rsid w:val="002168EF"/>
    <w:rsid w:val="002201F8"/>
    <w:rsid w:val="00220B6D"/>
    <w:rsid w:val="002225CA"/>
    <w:rsid w:val="002227AC"/>
    <w:rsid w:val="002229C1"/>
    <w:rsid w:val="00223CF4"/>
    <w:rsid w:val="002302DB"/>
    <w:rsid w:val="00230819"/>
    <w:rsid w:val="0023108E"/>
    <w:rsid w:val="002310CC"/>
    <w:rsid w:val="0023133E"/>
    <w:rsid w:val="002323E2"/>
    <w:rsid w:val="002330EA"/>
    <w:rsid w:val="0023374C"/>
    <w:rsid w:val="00233A10"/>
    <w:rsid w:val="00233EEA"/>
    <w:rsid w:val="00234467"/>
    <w:rsid w:val="00234B0F"/>
    <w:rsid w:val="00235622"/>
    <w:rsid w:val="0023636D"/>
    <w:rsid w:val="0023676A"/>
    <w:rsid w:val="00237D8D"/>
    <w:rsid w:val="0024044E"/>
    <w:rsid w:val="00240536"/>
    <w:rsid w:val="00240EA7"/>
    <w:rsid w:val="0024118B"/>
    <w:rsid w:val="00241DA2"/>
    <w:rsid w:val="00242630"/>
    <w:rsid w:val="0024266A"/>
    <w:rsid w:val="002430D0"/>
    <w:rsid w:val="00243E1D"/>
    <w:rsid w:val="002447B5"/>
    <w:rsid w:val="0024524D"/>
    <w:rsid w:val="0024598A"/>
    <w:rsid w:val="00245F91"/>
    <w:rsid w:val="00246755"/>
    <w:rsid w:val="00246857"/>
    <w:rsid w:val="00246AE2"/>
    <w:rsid w:val="00246F48"/>
    <w:rsid w:val="00246F84"/>
    <w:rsid w:val="00247FEE"/>
    <w:rsid w:val="00250048"/>
    <w:rsid w:val="00250E7D"/>
    <w:rsid w:val="00251253"/>
    <w:rsid w:val="002525A2"/>
    <w:rsid w:val="00252AFC"/>
    <w:rsid w:val="00253908"/>
    <w:rsid w:val="00253A58"/>
    <w:rsid w:val="00253EFB"/>
    <w:rsid w:val="00254153"/>
    <w:rsid w:val="00254185"/>
    <w:rsid w:val="002547B8"/>
    <w:rsid w:val="00254AE8"/>
    <w:rsid w:val="00255321"/>
    <w:rsid w:val="00255DFF"/>
    <w:rsid w:val="002565D5"/>
    <w:rsid w:val="002571C6"/>
    <w:rsid w:val="002600A7"/>
    <w:rsid w:val="002605DC"/>
    <w:rsid w:val="0026171F"/>
    <w:rsid w:val="00261777"/>
    <w:rsid w:val="002617D1"/>
    <w:rsid w:val="00261F90"/>
    <w:rsid w:val="002622C0"/>
    <w:rsid w:val="002627DD"/>
    <w:rsid w:val="00262CB2"/>
    <w:rsid w:val="002641C5"/>
    <w:rsid w:val="0026492E"/>
    <w:rsid w:val="00264FB8"/>
    <w:rsid w:val="00266533"/>
    <w:rsid w:val="0026664D"/>
    <w:rsid w:val="00266CD6"/>
    <w:rsid w:val="00267431"/>
    <w:rsid w:val="002700F7"/>
    <w:rsid w:val="002728AF"/>
    <w:rsid w:val="00272E50"/>
    <w:rsid w:val="00273390"/>
    <w:rsid w:val="002736F0"/>
    <w:rsid w:val="00273DD9"/>
    <w:rsid w:val="0027418E"/>
    <w:rsid w:val="00274593"/>
    <w:rsid w:val="002746FF"/>
    <w:rsid w:val="00274B73"/>
    <w:rsid w:val="002753F7"/>
    <w:rsid w:val="002764F8"/>
    <w:rsid w:val="00276ECF"/>
    <w:rsid w:val="002775AF"/>
    <w:rsid w:val="002778AE"/>
    <w:rsid w:val="00277BE6"/>
    <w:rsid w:val="002801F6"/>
    <w:rsid w:val="0028269A"/>
    <w:rsid w:val="00283590"/>
    <w:rsid w:val="0028370F"/>
    <w:rsid w:val="00283800"/>
    <w:rsid w:val="00284089"/>
    <w:rsid w:val="00284BFF"/>
    <w:rsid w:val="00284C4D"/>
    <w:rsid w:val="00284CCE"/>
    <w:rsid w:val="002850F9"/>
    <w:rsid w:val="0028607D"/>
    <w:rsid w:val="002863DE"/>
    <w:rsid w:val="00286973"/>
    <w:rsid w:val="00286B4B"/>
    <w:rsid w:val="00287024"/>
    <w:rsid w:val="00287F7E"/>
    <w:rsid w:val="00287FC7"/>
    <w:rsid w:val="00290074"/>
    <w:rsid w:val="002923FE"/>
    <w:rsid w:val="00292A78"/>
    <w:rsid w:val="00293499"/>
    <w:rsid w:val="002934E6"/>
    <w:rsid w:val="00293BD7"/>
    <w:rsid w:val="002947E5"/>
    <w:rsid w:val="00294E70"/>
    <w:rsid w:val="0029541C"/>
    <w:rsid w:val="00295D20"/>
    <w:rsid w:val="00295EA2"/>
    <w:rsid w:val="00297351"/>
    <w:rsid w:val="002A077C"/>
    <w:rsid w:val="002A13C2"/>
    <w:rsid w:val="002A13DC"/>
    <w:rsid w:val="002A171A"/>
    <w:rsid w:val="002A1924"/>
    <w:rsid w:val="002A1944"/>
    <w:rsid w:val="002A2862"/>
    <w:rsid w:val="002A2EDF"/>
    <w:rsid w:val="002A4BF9"/>
    <w:rsid w:val="002A5231"/>
    <w:rsid w:val="002A69C3"/>
    <w:rsid w:val="002A6ECD"/>
    <w:rsid w:val="002A7380"/>
    <w:rsid w:val="002A7420"/>
    <w:rsid w:val="002A78EE"/>
    <w:rsid w:val="002B0B98"/>
    <w:rsid w:val="002B0CBC"/>
    <w:rsid w:val="002B0F12"/>
    <w:rsid w:val="002B10DB"/>
    <w:rsid w:val="002B1308"/>
    <w:rsid w:val="002B1AC7"/>
    <w:rsid w:val="002B27DC"/>
    <w:rsid w:val="002B2E1C"/>
    <w:rsid w:val="002B32D1"/>
    <w:rsid w:val="002B3766"/>
    <w:rsid w:val="002B3BA4"/>
    <w:rsid w:val="002B3EFF"/>
    <w:rsid w:val="002B4554"/>
    <w:rsid w:val="002B4763"/>
    <w:rsid w:val="002B52F2"/>
    <w:rsid w:val="002B62A9"/>
    <w:rsid w:val="002B6BC2"/>
    <w:rsid w:val="002B6DE9"/>
    <w:rsid w:val="002B7803"/>
    <w:rsid w:val="002C05CF"/>
    <w:rsid w:val="002C08E4"/>
    <w:rsid w:val="002C0CF6"/>
    <w:rsid w:val="002C0D2F"/>
    <w:rsid w:val="002C0F0B"/>
    <w:rsid w:val="002C16EB"/>
    <w:rsid w:val="002C1A01"/>
    <w:rsid w:val="002C1B62"/>
    <w:rsid w:val="002C1ECC"/>
    <w:rsid w:val="002C2BAB"/>
    <w:rsid w:val="002C2BC8"/>
    <w:rsid w:val="002C36AF"/>
    <w:rsid w:val="002C3D46"/>
    <w:rsid w:val="002C4025"/>
    <w:rsid w:val="002C4CED"/>
    <w:rsid w:val="002C50E1"/>
    <w:rsid w:val="002C521F"/>
    <w:rsid w:val="002C5D92"/>
    <w:rsid w:val="002C643A"/>
    <w:rsid w:val="002C6849"/>
    <w:rsid w:val="002C6A32"/>
    <w:rsid w:val="002C6CB0"/>
    <w:rsid w:val="002C72D8"/>
    <w:rsid w:val="002C7365"/>
    <w:rsid w:val="002C7DD6"/>
    <w:rsid w:val="002D05D5"/>
    <w:rsid w:val="002D07C7"/>
    <w:rsid w:val="002D0CA6"/>
    <w:rsid w:val="002D11D9"/>
    <w:rsid w:val="002D11FA"/>
    <w:rsid w:val="002D222C"/>
    <w:rsid w:val="002D281C"/>
    <w:rsid w:val="002D2923"/>
    <w:rsid w:val="002D2DAD"/>
    <w:rsid w:val="002D3697"/>
    <w:rsid w:val="002D36D1"/>
    <w:rsid w:val="002D3FC2"/>
    <w:rsid w:val="002D400C"/>
    <w:rsid w:val="002D482B"/>
    <w:rsid w:val="002D5B44"/>
    <w:rsid w:val="002D5E82"/>
    <w:rsid w:val="002D6872"/>
    <w:rsid w:val="002D76E5"/>
    <w:rsid w:val="002D7907"/>
    <w:rsid w:val="002D7DB8"/>
    <w:rsid w:val="002E0DDF"/>
    <w:rsid w:val="002E141E"/>
    <w:rsid w:val="002E1B14"/>
    <w:rsid w:val="002E1CA5"/>
    <w:rsid w:val="002E1F07"/>
    <w:rsid w:val="002E208B"/>
    <w:rsid w:val="002E2906"/>
    <w:rsid w:val="002E31FC"/>
    <w:rsid w:val="002E33B6"/>
    <w:rsid w:val="002E38FF"/>
    <w:rsid w:val="002E3C62"/>
    <w:rsid w:val="002E4053"/>
    <w:rsid w:val="002E5635"/>
    <w:rsid w:val="002E5955"/>
    <w:rsid w:val="002E5FF4"/>
    <w:rsid w:val="002E64C3"/>
    <w:rsid w:val="002E6A2C"/>
    <w:rsid w:val="002E6BEF"/>
    <w:rsid w:val="002E6EF4"/>
    <w:rsid w:val="002F05E6"/>
    <w:rsid w:val="002F0657"/>
    <w:rsid w:val="002F173E"/>
    <w:rsid w:val="002F1D3E"/>
    <w:rsid w:val="002F1D8C"/>
    <w:rsid w:val="002F21DA"/>
    <w:rsid w:val="002F279F"/>
    <w:rsid w:val="002F320C"/>
    <w:rsid w:val="002F4118"/>
    <w:rsid w:val="002F4543"/>
    <w:rsid w:val="002F488C"/>
    <w:rsid w:val="002F57B7"/>
    <w:rsid w:val="002F587A"/>
    <w:rsid w:val="002F614F"/>
    <w:rsid w:val="002F630B"/>
    <w:rsid w:val="002F656F"/>
    <w:rsid w:val="002F6B4B"/>
    <w:rsid w:val="002F6BA7"/>
    <w:rsid w:val="002F6CAE"/>
    <w:rsid w:val="002F6E31"/>
    <w:rsid w:val="002F769C"/>
    <w:rsid w:val="002F7D3A"/>
    <w:rsid w:val="002F7F45"/>
    <w:rsid w:val="003000D4"/>
    <w:rsid w:val="0030010F"/>
    <w:rsid w:val="00301A9D"/>
    <w:rsid w:val="00301C9D"/>
    <w:rsid w:val="00301F1B"/>
    <w:rsid w:val="00301F39"/>
    <w:rsid w:val="0030261A"/>
    <w:rsid w:val="003028D4"/>
    <w:rsid w:val="00302C9E"/>
    <w:rsid w:val="00303180"/>
    <w:rsid w:val="00304F01"/>
    <w:rsid w:val="00306799"/>
    <w:rsid w:val="00306DB4"/>
    <w:rsid w:val="00307ECF"/>
    <w:rsid w:val="00307ED6"/>
    <w:rsid w:val="00307F82"/>
    <w:rsid w:val="00310295"/>
    <w:rsid w:val="00310A91"/>
    <w:rsid w:val="00310BEB"/>
    <w:rsid w:val="00311006"/>
    <w:rsid w:val="0031182D"/>
    <w:rsid w:val="00311C30"/>
    <w:rsid w:val="0031257A"/>
    <w:rsid w:val="00312ABB"/>
    <w:rsid w:val="00312F64"/>
    <w:rsid w:val="00313C98"/>
    <w:rsid w:val="003145C3"/>
    <w:rsid w:val="00314C5B"/>
    <w:rsid w:val="00315360"/>
    <w:rsid w:val="003158C9"/>
    <w:rsid w:val="00315F51"/>
    <w:rsid w:val="00316583"/>
    <w:rsid w:val="003168FA"/>
    <w:rsid w:val="003207D2"/>
    <w:rsid w:val="00321C79"/>
    <w:rsid w:val="00321EFD"/>
    <w:rsid w:val="00322244"/>
    <w:rsid w:val="00322312"/>
    <w:rsid w:val="00322540"/>
    <w:rsid w:val="00323187"/>
    <w:rsid w:val="003236D4"/>
    <w:rsid w:val="00323E4C"/>
    <w:rsid w:val="00324372"/>
    <w:rsid w:val="00324FDE"/>
    <w:rsid w:val="00325926"/>
    <w:rsid w:val="00325A88"/>
    <w:rsid w:val="00326021"/>
    <w:rsid w:val="003267F4"/>
    <w:rsid w:val="00326A45"/>
    <w:rsid w:val="0032796C"/>
    <w:rsid w:val="00327A3D"/>
    <w:rsid w:val="00327A8A"/>
    <w:rsid w:val="0033032B"/>
    <w:rsid w:val="0033036C"/>
    <w:rsid w:val="003310BA"/>
    <w:rsid w:val="0033112C"/>
    <w:rsid w:val="003332B3"/>
    <w:rsid w:val="00333944"/>
    <w:rsid w:val="0033441E"/>
    <w:rsid w:val="0033583D"/>
    <w:rsid w:val="003360CE"/>
    <w:rsid w:val="00336610"/>
    <w:rsid w:val="00336FA6"/>
    <w:rsid w:val="003372A7"/>
    <w:rsid w:val="00337D68"/>
    <w:rsid w:val="00340399"/>
    <w:rsid w:val="003404C3"/>
    <w:rsid w:val="00340565"/>
    <w:rsid w:val="00340A08"/>
    <w:rsid w:val="00340AB0"/>
    <w:rsid w:val="00340E1C"/>
    <w:rsid w:val="003414FA"/>
    <w:rsid w:val="00341818"/>
    <w:rsid w:val="00341A37"/>
    <w:rsid w:val="00341AF2"/>
    <w:rsid w:val="00341E4A"/>
    <w:rsid w:val="003427E7"/>
    <w:rsid w:val="0034332F"/>
    <w:rsid w:val="003436DE"/>
    <w:rsid w:val="00343833"/>
    <w:rsid w:val="00343CD9"/>
    <w:rsid w:val="00343F73"/>
    <w:rsid w:val="00345060"/>
    <w:rsid w:val="003479EF"/>
    <w:rsid w:val="00350651"/>
    <w:rsid w:val="003507A1"/>
    <w:rsid w:val="00350D6F"/>
    <w:rsid w:val="00351DAF"/>
    <w:rsid w:val="00352C23"/>
    <w:rsid w:val="0035323B"/>
    <w:rsid w:val="003542D3"/>
    <w:rsid w:val="00354E23"/>
    <w:rsid w:val="003552EB"/>
    <w:rsid w:val="003555BB"/>
    <w:rsid w:val="00356C60"/>
    <w:rsid w:val="00360899"/>
    <w:rsid w:val="00360950"/>
    <w:rsid w:val="003609D2"/>
    <w:rsid w:val="003615A0"/>
    <w:rsid w:val="00361DFE"/>
    <w:rsid w:val="00361EB6"/>
    <w:rsid w:val="00361F99"/>
    <w:rsid w:val="003620B9"/>
    <w:rsid w:val="00362FA8"/>
    <w:rsid w:val="00363DC0"/>
    <w:rsid w:val="00363F22"/>
    <w:rsid w:val="00364461"/>
    <w:rsid w:val="003644F1"/>
    <w:rsid w:val="003647F5"/>
    <w:rsid w:val="00364E55"/>
    <w:rsid w:val="0036514F"/>
    <w:rsid w:val="003655FB"/>
    <w:rsid w:val="00365B82"/>
    <w:rsid w:val="00365ED7"/>
    <w:rsid w:val="00366131"/>
    <w:rsid w:val="0036779F"/>
    <w:rsid w:val="00367B99"/>
    <w:rsid w:val="00367FD1"/>
    <w:rsid w:val="00370222"/>
    <w:rsid w:val="003703D8"/>
    <w:rsid w:val="003707BA"/>
    <w:rsid w:val="00370B9A"/>
    <w:rsid w:val="00370B9C"/>
    <w:rsid w:val="003716BA"/>
    <w:rsid w:val="003722BA"/>
    <w:rsid w:val="003727E5"/>
    <w:rsid w:val="00373EA3"/>
    <w:rsid w:val="0037432F"/>
    <w:rsid w:val="0037532E"/>
    <w:rsid w:val="00375564"/>
    <w:rsid w:val="00375771"/>
    <w:rsid w:val="003757D6"/>
    <w:rsid w:val="00375928"/>
    <w:rsid w:val="003765CD"/>
    <w:rsid w:val="003767FA"/>
    <w:rsid w:val="003770AF"/>
    <w:rsid w:val="00377B12"/>
    <w:rsid w:val="00380D05"/>
    <w:rsid w:val="00381050"/>
    <w:rsid w:val="0038123B"/>
    <w:rsid w:val="00381B78"/>
    <w:rsid w:val="0038207A"/>
    <w:rsid w:val="00382F57"/>
    <w:rsid w:val="00383083"/>
    <w:rsid w:val="00383191"/>
    <w:rsid w:val="00383225"/>
    <w:rsid w:val="00383444"/>
    <w:rsid w:val="003837EC"/>
    <w:rsid w:val="00383A74"/>
    <w:rsid w:val="003842EA"/>
    <w:rsid w:val="0038430F"/>
    <w:rsid w:val="0038455F"/>
    <w:rsid w:val="00384C1E"/>
    <w:rsid w:val="003862B0"/>
    <w:rsid w:val="00386B43"/>
    <w:rsid w:val="00386DAD"/>
    <w:rsid w:val="00386DED"/>
    <w:rsid w:val="0038736C"/>
    <w:rsid w:val="003902EA"/>
    <w:rsid w:val="00390377"/>
    <w:rsid w:val="00390E79"/>
    <w:rsid w:val="003912E7"/>
    <w:rsid w:val="00391520"/>
    <w:rsid w:val="0039164C"/>
    <w:rsid w:val="00391A63"/>
    <w:rsid w:val="0039209F"/>
    <w:rsid w:val="00392EDE"/>
    <w:rsid w:val="00393947"/>
    <w:rsid w:val="00393C4F"/>
    <w:rsid w:val="00395C36"/>
    <w:rsid w:val="00396FC2"/>
    <w:rsid w:val="003970D2"/>
    <w:rsid w:val="00397EE2"/>
    <w:rsid w:val="003A084F"/>
    <w:rsid w:val="003A12F7"/>
    <w:rsid w:val="003A184D"/>
    <w:rsid w:val="003A18EE"/>
    <w:rsid w:val="003A2002"/>
    <w:rsid w:val="003A2275"/>
    <w:rsid w:val="003A2715"/>
    <w:rsid w:val="003A34ED"/>
    <w:rsid w:val="003A3A46"/>
    <w:rsid w:val="003A4071"/>
    <w:rsid w:val="003A4459"/>
    <w:rsid w:val="003A4DFD"/>
    <w:rsid w:val="003A6029"/>
    <w:rsid w:val="003A6A4F"/>
    <w:rsid w:val="003A6A92"/>
    <w:rsid w:val="003A7088"/>
    <w:rsid w:val="003A7D40"/>
    <w:rsid w:val="003B00DF"/>
    <w:rsid w:val="003B018A"/>
    <w:rsid w:val="003B0487"/>
    <w:rsid w:val="003B056D"/>
    <w:rsid w:val="003B0E95"/>
    <w:rsid w:val="003B1275"/>
    <w:rsid w:val="003B176C"/>
    <w:rsid w:val="003B1778"/>
    <w:rsid w:val="003B19CD"/>
    <w:rsid w:val="003B1D67"/>
    <w:rsid w:val="003B2041"/>
    <w:rsid w:val="003B3517"/>
    <w:rsid w:val="003B374C"/>
    <w:rsid w:val="003B3D4F"/>
    <w:rsid w:val="003B4497"/>
    <w:rsid w:val="003B50B4"/>
    <w:rsid w:val="003B586E"/>
    <w:rsid w:val="003B60AB"/>
    <w:rsid w:val="003B6568"/>
    <w:rsid w:val="003B743C"/>
    <w:rsid w:val="003B79F5"/>
    <w:rsid w:val="003C0376"/>
    <w:rsid w:val="003C0539"/>
    <w:rsid w:val="003C11CB"/>
    <w:rsid w:val="003C141D"/>
    <w:rsid w:val="003C1B3C"/>
    <w:rsid w:val="003C1F2E"/>
    <w:rsid w:val="003C2C14"/>
    <w:rsid w:val="003C33E5"/>
    <w:rsid w:val="003C348F"/>
    <w:rsid w:val="003C3EFC"/>
    <w:rsid w:val="003C3F4C"/>
    <w:rsid w:val="003C3FA0"/>
    <w:rsid w:val="003C4682"/>
    <w:rsid w:val="003C53A6"/>
    <w:rsid w:val="003C6176"/>
    <w:rsid w:val="003C6534"/>
    <w:rsid w:val="003C6D00"/>
    <w:rsid w:val="003C75F3"/>
    <w:rsid w:val="003C78A3"/>
    <w:rsid w:val="003D026A"/>
    <w:rsid w:val="003D0308"/>
    <w:rsid w:val="003D1165"/>
    <w:rsid w:val="003D211A"/>
    <w:rsid w:val="003D2459"/>
    <w:rsid w:val="003D26CE"/>
    <w:rsid w:val="003D383F"/>
    <w:rsid w:val="003D427E"/>
    <w:rsid w:val="003D46EA"/>
    <w:rsid w:val="003D4BC6"/>
    <w:rsid w:val="003D5165"/>
    <w:rsid w:val="003D546F"/>
    <w:rsid w:val="003D5695"/>
    <w:rsid w:val="003D667B"/>
    <w:rsid w:val="003D6FCF"/>
    <w:rsid w:val="003D728E"/>
    <w:rsid w:val="003D75ED"/>
    <w:rsid w:val="003D7636"/>
    <w:rsid w:val="003E0123"/>
    <w:rsid w:val="003E0A75"/>
    <w:rsid w:val="003E1867"/>
    <w:rsid w:val="003E1EE8"/>
    <w:rsid w:val="003E2696"/>
    <w:rsid w:val="003E2744"/>
    <w:rsid w:val="003E36F5"/>
    <w:rsid w:val="003E392C"/>
    <w:rsid w:val="003E39CA"/>
    <w:rsid w:val="003E4610"/>
    <w:rsid w:val="003E5729"/>
    <w:rsid w:val="003F0136"/>
    <w:rsid w:val="003F1513"/>
    <w:rsid w:val="003F1896"/>
    <w:rsid w:val="003F26D2"/>
    <w:rsid w:val="003F2970"/>
    <w:rsid w:val="003F46E4"/>
    <w:rsid w:val="003F483B"/>
    <w:rsid w:val="003F4EE0"/>
    <w:rsid w:val="003F5824"/>
    <w:rsid w:val="003F66D3"/>
    <w:rsid w:val="003F71E9"/>
    <w:rsid w:val="003F7561"/>
    <w:rsid w:val="00400882"/>
    <w:rsid w:val="004008FF"/>
    <w:rsid w:val="004018EA"/>
    <w:rsid w:val="004020E7"/>
    <w:rsid w:val="00402153"/>
    <w:rsid w:val="00402D8F"/>
    <w:rsid w:val="00402FC1"/>
    <w:rsid w:val="00403A4F"/>
    <w:rsid w:val="00404F54"/>
    <w:rsid w:val="00405675"/>
    <w:rsid w:val="00405960"/>
    <w:rsid w:val="00405B2D"/>
    <w:rsid w:val="00405B5F"/>
    <w:rsid w:val="004060AB"/>
    <w:rsid w:val="00406966"/>
    <w:rsid w:val="0040726B"/>
    <w:rsid w:val="00411372"/>
    <w:rsid w:val="0041153F"/>
    <w:rsid w:val="0041270E"/>
    <w:rsid w:val="00412A83"/>
    <w:rsid w:val="00412CC4"/>
    <w:rsid w:val="00413EF2"/>
    <w:rsid w:val="00414EA8"/>
    <w:rsid w:val="004157EE"/>
    <w:rsid w:val="00415994"/>
    <w:rsid w:val="00415FE1"/>
    <w:rsid w:val="004161F8"/>
    <w:rsid w:val="004162A7"/>
    <w:rsid w:val="004162E9"/>
    <w:rsid w:val="004172BC"/>
    <w:rsid w:val="0042014F"/>
    <w:rsid w:val="00420351"/>
    <w:rsid w:val="00420B89"/>
    <w:rsid w:val="004214C5"/>
    <w:rsid w:val="00421BBB"/>
    <w:rsid w:val="00421CE0"/>
    <w:rsid w:val="004221D6"/>
    <w:rsid w:val="00423442"/>
    <w:rsid w:val="00423F10"/>
    <w:rsid w:val="00424157"/>
    <w:rsid w:val="004249B5"/>
    <w:rsid w:val="00425066"/>
    <w:rsid w:val="00425082"/>
    <w:rsid w:val="0043008A"/>
    <w:rsid w:val="00430147"/>
    <w:rsid w:val="00430243"/>
    <w:rsid w:val="004306FB"/>
    <w:rsid w:val="00430E76"/>
    <w:rsid w:val="00431332"/>
    <w:rsid w:val="00431DEB"/>
    <w:rsid w:val="00432200"/>
    <w:rsid w:val="00432B0A"/>
    <w:rsid w:val="00432F72"/>
    <w:rsid w:val="00433439"/>
    <w:rsid w:val="00433C7F"/>
    <w:rsid w:val="00433DAD"/>
    <w:rsid w:val="004342EF"/>
    <w:rsid w:val="00434A3D"/>
    <w:rsid w:val="00435660"/>
    <w:rsid w:val="00435804"/>
    <w:rsid w:val="00435905"/>
    <w:rsid w:val="00435CCD"/>
    <w:rsid w:val="00436148"/>
    <w:rsid w:val="0043641E"/>
    <w:rsid w:val="0043708C"/>
    <w:rsid w:val="0043727C"/>
    <w:rsid w:val="00437957"/>
    <w:rsid w:val="00440DF2"/>
    <w:rsid w:val="00440F09"/>
    <w:rsid w:val="00441283"/>
    <w:rsid w:val="004412FA"/>
    <w:rsid w:val="00441D71"/>
    <w:rsid w:val="00441FDC"/>
    <w:rsid w:val="004439C1"/>
    <w:rsid w:val="00444C01"/>
    <w:rsid w:val="004453AC"/>
    <w:rsid w:val="00445AC5"/>
    <w:rsid w:val="00446027"/>
    <w:rsid w:val="00446A38"/>
    <w:rsid w:val="00446B29"/>
    <w:rsid w:val="00447021"/>
    <w:rsid w:val="0044721D"/>
    <w:rsid w:val="004474E9"/>
    <w:rsid w:val="0045052A"/>
    <w:rsid w:val="00450A3E"/>
    <w:rsid w:val="004510C9"/>
    <w:rsid w:val="00451127"/>
    <w:rsid w:val="004516AE"/>
    <w:rsid w:val="00451DA6"/>
    <w:rsid w:val="004521D9"/>
    <w:rsid w:val="004526B0"/>
    <w:rsid w:val="00452FDE"/>
    <w:rsid w:val="004532BA"/>
    <w:rsid w:val="00453F9A"/>
    <w:rsid w:val="00454AC2"/>
    <w:rsid w:val="004553BF"/>
    <w:rsid w:val="004554A2"/>
    <w:rsid w:val="00456284"/>
    <w:rsid w:val="004575C5"/>
    <w:rsid w:val="004578D4"/>
    <w:rsid w:val="00460157"/>
    <w:rsid w:val="00460217"/>
    <w:rsid w:val="004604CF"/>
    <w:rsid w:val="0046092D"/>
    <w:rsid w:val="004634E4"/>
    <w:rsid w:val="00463A63"/>
    <w:rsid w:val="00464BF3"/>
    <w:rsid w:val="00464DEF"/>
    <w:rsid w:val="00465EAE"/>
    <w:rsid w:val="00466295"/>
    <w:rsid w:val="004665BF"/>
    <w:rsid w:val="00466AB9"/>
    <w:rsid w:val="00466EC3"/>
    <w:rsid w:val="00467CC9"/>
    <w:rsid w:val="004705FF"/>
    <w:rsid w:val="00470B2B"/>
    <w:rsid w:val="00471E91"/>
    <w:rsid w:val="00472122"/>
    <w:rsid w:val="00472D53"/>
    <w:rsid w:val="004733A5"/>
    <w:rsid w:val="00474247"/>
    <w:rsid w:val="00474334"/>
    <w:rsid w:val="00474608"/>
    <w:rsid w:val="00474675"/>
    <w:rsid w:val="0047470C"/>
    <w:rsid w:val="00474D85"/>
    <w:rsid w:val="004752FF"/>
    <w:rsid w:val="004754BB"/>
    <w:rsid w:val="0047642C"/>
    <w:rsid w:val="00476DBA"/>
    <w:rsid w:val="004771ED"/>
    <w:rsid w:val="00477483"/>
    <w:rsid w:val="004775D1"/>
    <w:rsid w:val="00477EA7"/>
    <w:rsid w:val="004801DA"/>
    <w:rsid w:val="00480203"/>
    <w:rsid w:val="00480398"/>
    <w:rsid w:val="00480649"/>
    <w:rsid w:val="004807A7"/>
    <w:rsid w:val="00480C3C"/>
    <w:rsid w:val="00481084"/>
    <w:rsid w:val="00481930"/>
    <w:rsid w:val="00482E56"/>
    <w:rsid w:val="00483310"/>
    <w:rsid w:val="0048447D"/>
    <w:rsid w:val="00484805"/>
    <w:rsid w:val="00485325"/>
    <w:rsid w:val="0048608F"/>
    <w:rsid w:val="00486819"/>
    <w:rsid w:val="00486F4F"/>
    <w:rsid w:val="00490678"/>
    <w:rsid w:val="004909A5"/>
    <w:rsid w:val="00491669"/>
    <w:rsid w:val="00491BD5"/>
    <w:rsid w:val="004924F3"/>
    <w:rsid w:val="00492845"/>
    <w:rsid w:val="00492937"/>
    <w:rsid w:val="00492C64"/>
    <w:rsid w:val="0049318B"/>
    <w:rsid w:val="0049347D"/>
    <w:rsid w:val="0049379F"/>
    <w:rsid w:val="0049475C"/>
    <w:rsid w:val="00495643"/>
    <w:rsid w:val="00496168"/>
    <w:rsid w:val="0049702E"/>
    <w:rsid w:val="00497BDF"/>
    <w:rsid w:val="004A0249"/>
    <w:rsid w:val="004A0357"/>
    <w:rsid w:val="004A21B9"/>
    <w:rsid w:val="004A22D1"/>
    <w:rsid w:val="004A2677"/>
    <w:rsid w:val="004A2FA0"/>
    <w:rsid w:val="004A32AE"/>
    <w:rsid w:val="004A335E"/>
    <w:rsid w:val="004A35F9"/>
    <w:rsid w:val="004A4905"/>
    <w:rsid w:val="004A58BD"/>
    <w:rsid w:val="004A6CF9"/>
    <w:rsid w:val="004A71BD"/>
    <w:rsid w:val="004A77A7"/>
    <w:rsid w:val="004B054D"/>
    <w:rsid w:val="004B11E6"/>
    <w:rsid w:val="004B1934"/>
    <w:rsid w:val="004B1A02"/>
    <w:rsid w:val="004B24C1"/>
    <w:rsid w:val="004B2CAD"/>
    <w:rsid w:val="004B3EEE"/>
    <w:rsid w:val="004B5777"/>
    <w:rsid w:val="004B6C8C"/>
    <w:rsid w:val="004B7B09"/>
    <w:rsid w:val="004C0622"/>
    <w:rsid w:val="004C0F13"/>
    <w:rsid w:val="004C1E34"/>
    <w:rsid w:val="004C28BA"/>
    <w:rsid w:val="004C292F"/>
    <w:rsid w:val="004C3013"/>
    <w:rsid w:val="004C3CAC"/>
    <w:rsid w:val="004C3EFD"/>
    <w:rsid w:val="004C554C"/>
    <w:rsid w:val="004C6AA8"/>
    <w:rsid w:val="004C6E01"/>
    <w:rsid w:val="004C76FD"/>
    <w:rsid w:val="004C7F7E"/>
    <w:rsid w:val="004D00EF"/>
    <w:rsid w:val="004D01D1"/>
    <w:rsid w:val="004D103F"/>
    <w:rsid w:val="004D10B3"/>
    <w:rsid w:val="004D158B"/>
    <w:rsid w:val="004D2367"/>
    <w:rsid w:val="004D35D8"/>
    <w:rsid w:val="004D416B"/>
    <w:rsid w:val="004D5378"/>
    <w:rsid w:val="004D53CB"/>
    <w:rsid w:val="004D54AA"/>
    <w:rsid w:val="004D560B"/>
    <w:rsid w:val="004D56F1"/>
    <w:rsid w:val="004D7C4A"/>
    <w:rsid w:val="004D7CC0"/>
    <w:rsid w:val="004D7F17"/>
    <w:rsid w:val="004E0575"/>
    <w:rsid w:val="004E166F"/>
    <w:rsid w:val="004E2AB9"/>
    <w:rsid w:val="004E3AF8"/>
    <w:rsid w:val="004E4655"/>
    <w:rsid w:val="004E4726"/>
    <w:rsid w:val="004E4866"/>
    <w:rsid w:val="004E4F21"/>
    <w:rsid w:val="004E4FFA"/>
    <w:rsid w:val="004E59ED"/>
    <w:rsid w:val="004E6020"/>
    <w:rsid w:val="004E60F5"/>
    <w:rsid w:val="004E62BB"/>
    <w:rsid w:val="004E7A27"/>
    <w:rsid w:val="004F1A29"/>
    <w:rsid w:val="004F3DA0"/>
    <w:rsid w:val="004F41CC"/>
    <w:rsid w:val="004F4706"/>
    <w:rsid w:val="004F6F22"/>
    <w:rsid w:val="004F6F97"/>
    <w:rsid w:val="004F72D6"/>
    <w:rsid w:val="004F7931"/>
    <w:rsid w:val="00500764"/>
    <w:rsid w:val="0050088D"/>
    <w:rsid w:val="00500AD7"/>
    <w:rsid w:val="00500FC0"/>
    <w:rsid w:val="005019BA"/>
    <w:rsid w:val="00501F85"/>
    <w:rsid w:val="00502304"/>
    <w:rsid w:val="00502981"/>
    <w:rsid w:val="00502E4F"/>
    <w:rsid w:val="0050366F"/>
    <w:rsid w:val="005036FF"/>
    <w:rsid w:val="00504F23"/>
    <w:rsid w:val="00505231"/>
    <w:rsid w:val="00506745"/>
    <w:rsid w:val="00506B3B"/>
    <w:rsid w:val="00507178"/>
    <w:rsid w:val="005071D4"/>
    <w:rsid w:val="0050755A"/>
    <w:rsid w:val="00510280"/>
    <w:rsid w:val="00510F8E"/>
    <w:rsid w:val="00510FDB"/>
    <w:rsid w:val="00511888"/>
    <w:rsid w:val="00512E1A"/>
    <w:rsid w:val="00512FEC"/>
    <w:rsid w:val="00513AF6"/>
    <w:rsid w:val="00513C85"/>
    <w:rsid w:val="00513D73"/>
    <w:rsid w:val="00514A43"/>
    <w:rsid w:val="00514CE2"/>
    <w:rsid w:val="00515DB0"/>
    <w:rsid w:val="00516C36"/>
    <w:rsid w:val="00517402"/>
    <w:rsid w:val="005174E5"/>
    <w:rsid w:val="00517C56"/>
    <w:rsid w:val="00520257"/>
    <w:rsid w:val="00520621"/>
    <w:rsid w:val="00520FF0"/>
    <w:rsid w:val="00521427"/>
    <w:rsid w:val="00521908"/>
    <w:rsid w:val="00522062"/>
    <w:rsid w:val="00522393"/>
    <w:rsid w:val="00522620"/>
    <w:rsid w:val="005226F5"/>
    <w:rsid w:val="00522722"/>
    <w:rsid w:val="0052277F"/>
    <w:rsid w:val="00523860"/>
    <w:rsid w:val="00523DEC"/>
    <w:rsid w:val="00525656"/>
    <w:rsid w:val="00525EEC"/>
    <w:rsid w:val="005263BC"/>
    <w:rsid w:val="0052655C"/>
    <w:rsid w:val="005268C7"/>
    <w:rsid w:val="00526AB9"/>
    <w:rsid w:val="005309FB"/>
    <w:rsid w:val="00531015"/>
    <w:rsid w:val="00531651"/>
    <w:rsid w:val="005317B4"/>
    <w:rsid w:val="0053201B"/>
    <w:rsid w:val="005326C7"/>
    <w:rsid w:val="005329D6"/>
    <w:rsid w:val="00532EE1"/>
    <w:rsid w:val="005339F7"/>
    <w:rsid w:val="00534BDF"/>
    <w:rsid w:val="00534C02"/>
    <w:rsid w:val="00535941"/>
    <w:rsid w:val="00536B3F"/>
    <w:rsid w:val="00536BBA"/>
    <w:rsid w:val="00536CDC"/>
    <w:rsid w:val="005377BC"/>
    <w:rsid w:val="0054008B"/>
    <w:rsid w:val="0054009C"/>
    <w:rsid w:val="0054071C"/>
    <w:rsid w:val="005407B6"/>
    <w:rsid w:val="00540ACD"/>
    <w:rsid w:val="00541475"/>
    <w:rsid w:val="00541B32"/>
    <w:rsid w:val="00542478"/>
    <w:rsid w:val="0054264B"/>
    <w:rsid w:val="0054299D"/>
    <w:rsid w:val="005435BE"/>
    <w:rsid w:val="00543786"/>
    <w:rsid w:val="005443BE"/>
    <w:rsid w:val="005448DD"/>
    <w:rsid w:val="00544B89"/>
    <w:rsid w:val="00544F66"/>
    <w:rsid w:val="00545A79"/>
    <w:rsid w:val="00550633"/>
    <w:rsid w:val="00550C96"/>
    <w:rsid w:val="005517BE"/>
    <w:rsid w:val="0055297B"/>
    <w:rsid w:val="00552F86"/>
    <w:rsid w:val="005533D7"/>
    <w:rsid w:val="00554899"/>
    <w:rsid w:val="0055507D"/>
    <w:rsid w:val="00555C14"/>
    <w:rsid w:val="00556F54"/>
    <w:rsid w:val="00557091"/>
    <w:rsid w:val="00557473"/>
    <w:rsid w:val="0055793F"/>
    <w:rsid w:val="00557FF9"/>
    <w:rsid w:val="00560362"/>
    <w:rsid w:val="00560449"/>
    <w:rsid w:val="0056064D"/>
    <w:rsid w:val="00560D2E"/>
    <w:rsid w:val="00561F5C"/>
    <w:rsid w:val="00562F42"/>
    <w:rsid w:val="00563089"/>
    <w:rsid w:val="00563F9A"/>
    <w:rsid w:val="00564C5A"/>
    <w:rsid w:val="0056530C"/>
    <w:rsid w:val="00565313"/>
    <w:rsid w:val="00565493"/>
    <w:rsid w:val="00565BBB"/>
    <w:rsid w:val="005663D8"/>
    <w:rsid w:val="00566421"/>
    <w:rsid w:val="00566531"/>
    <w:rsid w:val="00567BE1"/>
    <w:rsid w:val="0057038E"/>
    <w:rsid w:val="005703DE"/>
    <w:rsid w:val="0057053F"/>
    <w:rsid w:val="00570668"/>
    <w:rsid w:val="00570C68"/>
    <w:rsid w:val="00570E10"/>
    <w:rsid w:val="005714B0"/>
    <w:rsid w:val="0057159E"/>
    <w:rsid w:val="005718D8"/>
    <w:rsid w:val="00572011"/>
    <w:rsid w:val="005728D5"/>
    <w:rsid w:val="0057312A"/>
    <w:rsid w:val="0057553B"/>
    <w:rsid w:val="00575AAA"/>
    <w:rsid w:val="00577B33"/>
    <w:rsid w:val="0058042A"/>
    <w:rsid w:val="00580C43"/>
    <w:rsid w:val="00581A47"/>
    <w:rsid w:val="00582A9B"/>
    <w:rsid w:val="00582F3A"/>
    <w:rsid w:val="005832FC"/>
    <w:rsid w:val="00583B0F"/>
    <w:rsid w:val="005845D6"/>
    <w:rsid w:val="0058464E"/>
    <w:rsid w:val="00584A89"/>
    <w:rsid w:val="00585390"/>
    <w:rsid w:val="00585D96"/>
    <w:rsid w:val="00586C8C"/>
    <w:rsid w:val="00586EBE"/>
    <w:rsid w:val="0058779E"/>
    <w:rsid w:val="00587C46"/>
    <w:rsid w:val="0059060D"/>
    <w:rsid w:val="00592B8D"/>
    <w:rsid w:val="00593ECA"/>
    <w:rsid w:val="00595B57"/>
    <w:rsid w:val="00595D3D"/>
    <w:rsid w:val="0059610F"/>
    <w:rsid w:val="00596471"/>
    <w:rsid w:val="0059676E"/>
    <w:rsid w:val="0059740B"/>
    <w:rsid w:val="005976F5"/>
    <w:rsid w:val="005977D4"/>
    <w:rsid w:val="00597C94"/>
    <w:rsid w:val="005A0077"/>
    <w:rsid w:val="005A01CB"/>
    <w:rsid w:val="005A1547"/>
    <w:rsid w:val="005A15C2"/>
    <w:rsid w:val="005A1A07"/>
    <w:rsid w:val="005A2777"/>
    <w:rsid w:val="005A339F"/>
    <w:rsid w:val="005A54A0"/>
    <w:rsid w:val="005A55CC"/>
    <w:rsid w:val="005A58FF"/>
    <w:rsid w:val="005A5AE0"/>
    <w:rsid w:val="005A5EAF"/>
    <w:rsid w:val="005A64C0"/>
    <w:rsid w:val="005A698D"/>
    <w:rsid w:val="005A71F7"/>
    <w:rsid w:val="005A77E1"/>
    <w:rsid w:val="005A7971"/>
    <w:rsid w:val="005B017E"/>
    <w:rsid w:val="005B02C1"/>
    <w:rsid w:val="005B0379"/>
    <w:rsid w:val="005B0451"/>
    <w:rsid w:val="005B0992"/>
    <w:rsid w:val="005B1101"/>
    <w:rsid w:val="005B1430"/>
    <w:rsid w:val="005B15CC"/>
    <w:rsid w:val="005B189C"/>
    <w:rsid w:val="005B2BE5"/>
    <w:rsid w:val="005B331E"/>
    <w:rsid w:val="005B3BAB"/>
    <w:rsid w:val="005B3C11"/>
    <w:rsid w:val="005B3C9D"/>
    <w:rsid w:val="005B41FD"/>
    <w:rsid w:val="005B466C"/>
    <w:rsid w:val="005B59A9"/>
    <w:rsid w:val="005B5F3B"/>
    <w:rsid w:val="005B6617"/>
    <w:rsid w:val="005B678A"/>
    <w:rsid w:val="005B6AE8"/>
    <w:rsid w:val="005B6BD9"/>
    <w:rsid w:val="005B6D42"/>
    <w:rsid w:val="005B7221"/>
    <w:rsid w:val="005B731A"/>
    <w:rsid w:val="005B79B3"/>
    <w:rsid w:val="005C009A"/>
    <w:rsid w:val="005C0C4E"/>
    <w:rsid w:val="005C0ECC"/>
    <w:rsid w:val="005C191E"/>
    <w:rsid w:val="005C1C28"/>
    <w:rsid w:val="005C1C80"/>
    <w:rsid w:val="005C1E18"/>
    <w:rsid w:val="005C1F76"/>
    <w:rsid w:val="005C2025"/>
    <w:rsid w:val="005C2E24"/>
    <w:rsid w:val="005C31A8"/>
    <w:rsid w:val="005C31AE"/>
    <w:rsid w:val="005C3669"/>
    <w:rsid w:val="005C3E55"/>
    <w:rsid w:val="005C4524"/>
    <w:rsid w:val="005C505B"/>
    <w:rsid w:val="005C518F"/>
    <w:rsid w:val="005C59CA"/>
    <w:rsid w:val="005C5A2E"/>
    <w:rsid w:val="005C60BC"/>
    <w:rsid w:val="005C6357"/>
    <w:rsid w:val="005C69F2"/>
    <w:rsid w:val="005C6DB5"/>
    <w:rsid w:val="005C6EC6"/>
    <w:rsid w:val="005C778E"/>
    <w:rsid w:val="005D0303"/>
    <w:rsid w:val="005D0603"/>
    <w:rsid w:val="005D0C83"/>
    <w:rsid w:val="005D145E"/>
    <w:rsid w:val="005D2C6F"/>
    <w:rsid w:val="005D39FD"/>
    <w:rsid w:val="005D49AC"/>
    <w:rsid w:val="005D539D"/>
    <w:rsid w:val="005D586A"/>
    <w:rsid w:val="005D5F0D"/>
    <w:rsid w:val="005D626C"/>
    <w:rsid w:val="005D6968"/>
    <w:rsid w:val="005D6FF3"/>
    <w:rsid w:val="005D79B3"/>
    <w:rsid w:val="005D7CE7"/>
    <w:rsid w:val="005E0807"/>
    <w:rsid w:val="005E127C"/>
    <w:rsid w:val="005E1533"/>
    <w:rsid w:val="005E1589"/>
    <w:rsid w:val="005E19E7"/>
    <w:rsid w:val="005E19F1"/>
    <w:rsid w:val="005E1CB1"/>
    <w:rsid w:val="005E222B"/>
    <w:rsid w:val="005E2BEC"/>
    <w:rsid w:val="005E54CE"/>
    <w:rsid w:val="005E6868"/>
    <w:rsid w:val="005E6EB6"/>
    <w:rsid w:val="005E7264"/>
    <w:rsid w:val="005E78A1"/>
    <w:rsid w:val="005E7B21"/>
    <w:rsid w:val="005E7EB3"/>
    <w:rsid w:val="005F0F8B"/>
    <w:rsid w:val="005F1023"/>
    <w:rsid w:val="005F1F17"/>
    <w:rsid w:val="005F2D9D"/>
    <w:rsid w:val="005F2ECB"/>
    <w:rsid w:val="005F3699"/>
    <w:rsid w:val="005F44CD"/>
    <w:rsid w:val="005F5637"/>
    <w:rsid w:val="005F5D34"/>
    <w:rsid w:val="005F64B7"/>
    <w:rsid w:val="005F731C"/>
    <w:rsid w:val="005F7487"/>
    <w:rsid w:val="0060048D"/>
    <w:rsid w:val="006010A9"/>
    <w:rsid w:val="00601718"/>
    <w:rsid w:val="00602C93"/>
    <w:rsid w:val="00602F4E"/>
    <w:rsid w:val="00603AE7"/>
    <w:rsid w:val="0060537A"/>
    <w:rsid w:val="00605996"/>
    <w:rsid w:val="00605AE7"/>
    <w:rsid w:val="006067D3"/>
    <w:rsid w:val="00607011"/>
    <w:rsid w:val="00610C46"/>
    <w:rsid w:val="00610EE6"/>
    <w:rsid w:val="00612633"/>
    <w:rsid w:val="00612BA0"/>
    <w:rsid w:val="00613165"/>
    <w:rsid w:val="006132E8"/>
    <w:rsid w:val="006148E6"/>
    <w:rsid w:val="00614EBB"/>
    <w:rsid w:val="00615C64"/>
    <w:rsid w:val="00617121"/>
    <w:rsid w:val="0061716C"/>
    <w:rsid w:val="006205D7"/>
    <w:rsid w:val="00621F9F"/>
    <w:rsid w:val="00622120"/>
    <w:rsid w:val="006243A1"/>
    <w:rsid w:val="006244EC"/>
    <w:rsid w:val="00624A29"/>
    <w:rsid w:val="00624BB9"/>
    <w:rsid w:val="006252CD"/>
    <w:rsid w:val="006253DE"/>
    <w:rsid w:val="00625682"/>
    <w:rsid w:val="00626A1E"/>
    <w:rsid w:val="00626FA0"/>
    <w:rsid w:val="006276CE"/>
    <w:rsid w:val="0063135C"/>
    <w:rsid w:val="00632102"/>
    <w:rsid w:val="00632427"/>
    <w:rsid w:val="00632CFF"/>
    <w:rsid w:val="00632E56"/>
    <w:rsid w:val="0063339B"/>
    <w:rsid w:val="00633A43"/>
    <w:rsid w:val="00634890"/>
    <w:rsid w:val="00634CA9"/>
    <w:rsid w:val="0063506B"/>
    <w:rsid w:val="006353C5"/>
    <w:rsid w:val="00635594"/>
    <w:rsid w:val="00635B18"/>
    <w:rsid w:val="00635CBA"/>
    <w:rsid w:val="00635D8E"/>
    <w:rsid w:val="00636785"/>
    <w:rsid w:val="0063727C"/>
    <w:rsid w:val="00637609"/>
    <w:rsid w:val="00637870"/>
    <w:rsid w:val="006378EA"/>
    <w:rsid w:val="00637AA3"/>
    <w:rsid w:val="00637B88"/>
    <w:rsid w:val="00640EDC"/>
    <w:rsid w:val="006425BE"/>
    <w:rsid w:val="00642939"/>
    <w:rsid w:val="006430C9"/>
    <w:rsid w:val="0064338B"/>
    <w:rsid w:val="00643464"/>
    <w:rsid w:val="00643BC1"/>
    <w:rsid w:val="00644261"/>
    <w:rsid w:val="006444E8"/>
    <w:rsid w:val="0064526F"/>
    <w:rsid w:val="006454B3"/>
    <w:rsid w:val="00645F53"/>
    <w:rsid w:val="00646542"/>
    <w:rsid w:val="00647946"/>
    <w:rsid w:val="00647993"/>
    <w:rsid w:val="00650474"/>
    <w:rsid w:val="006504F4"/>
    <w:rsid w:val="006509B6"/>
    <w:rsid w:val="00650D26"/>
    <w:rsid w:val="00650E9E"/>
    <w:rsid w:val="00651F23"/>
    <w:rsid w:val="006525EB"/>
    <w:rsid w:val="0065274E"/>
    <w:rsid w:val="0065294B"/>
    <w:rsid w:val="00653B9C"/>
    <w:rsid w:val="006543CE"/>
    <w:rsid w:val="00654BC9"/>
    <w:rsid w:val="006552FD"/>
    <w:rsid w:val="00655DFB"/>
    <w:rsid w:val="00656738"/>
    <w:rsid w:val="00656D28"/>
    <w:rsid w:val="00660138"/>
    <w:rsid w:val="0066166C"/>
    <w:rsid w:val="00662310"/>
    <w:rsid w:val="006630A6"/>
    <w:rsid w:val="006631C0"/>
    <w:rsid w:val="00663AF3"/>
    <w:rsid w:val="006640F5"/>
    <w:rsid w:val="006651E9"/>
    <w:rsid w:val="0066576A"/>
    <w:rsid w:val="00666716"/>
    <w:rsid w:val="00666B6C"/>
    <w:rsid w:val="00670003"/>
    <w:rsid w:val="00670E22"/>
    <w:rsid w:val="00671DE3"/>
    <w:rsid w:val="00671EDE"/>
    <w:rsid w:val="00673019"/>
    <w:rsid w:val="00673C3D"/>
    <w:rsid w:val="00673DAA"/>
    <w:rsid w:val="00674675"/>
    <w:rsid w:val="00674EA1"/>
    <w:rsid w:val="0067500A"/>
    <w:rsid w:val="006761CE"/>
    <w:rsid w:val="0067622A"/>
    <w:rsid w:val="006766EF"/>
    <w:rsid w:val="00677133"/>
    <w:rsid w:val="00677AD6"/>
    <w:rsid w:val="006800F5"/>
    <w:rsid w:val="006802A5"/>
    <w:rsid w:val="006805AD"/>
    <w:rsid w:val="00680E2C"/>
    <w:rsid w:val="00681A8E"/>
    <w:rsid w:val="00681CB5"/>
    <w:rsid w:val="00682682"/>
    <w:rsid w:val="00682702"/>
    <w:rsid w:val="0068355F"/>
    <w:rsid w:val="00683AE5"/>
    <w:rsid w:val="00685133"/>
    <w:rsid w:val="0068661C"/>
    <w:rsid w:val="00686B39"/>
    <w:rsid w:val="006904E3"/>
    <w:rsid w:val="00691114"/>
    <w:rsid w:val="00691905"/>
    <w:rsid w:val="00691AFC"/>
    <w:rsid w:val="00691B31"/>
    <w:rsid w:val="00692368"/>
    <w:rsid w:val="00692792"/>
    <w:rsid w:val="00692BB6"/>
    <w:rsid w:val="0069382E"/>
    <w:rsid w:val="00693935"/>
    <w:rsid w:val="00694097"/>
    <w:rsid w:val="0069457D"/>
    <w:rsid w:val="00694E51"/>
    <w:rsid w:val="0069539B"/>
    <w:rsid w:val="00696A50"/>
    <w:rsid w:val="0069764D"/>
    <w:rsid w:val="00697694"/>
    <w:rsid w:val="0069773C"/>
    <w:rsid w:val="00697875"/>
    <w:rsid w:val="006A01DC"/>
    <w:rsid w:val="006A05BE"/>
    <w:rsid w:val="006A27F2"/>
    <w:rsid w:val="006A2CB9"/>
    <w:rsid w:val="006A2EBC"/>
    <w:rsid w:val="006A3210"/>
    <w:rsid w:val="006A3CA8"/>
    <w:rsid w:val="006A40A3"/>
    <w:rsid w:val="006A434A"/>
    <w:rsid w:val="006A4433"/>
    <w:rsid w:val="006A4643"/>
    <w:rsid w:val="006A4C36"/>
    <w:rsid w:val="006A566A"/>
    <w:rsid w:val="006A5EA0"/>
    <w:rsid w:val="006A65AA"/>
    <w:rsid w:val="006A6CAB"/>
    <w:rsid w:val="006A6D62"/>
    <w:rsid w:val="006A70DB"/>
    <w:rsid w:val="006A783B"/>
    <w:rsid w:val="006A7B33"/>
    <w:rsid w:val="006B0199"/>
    <w:rsid w:val="006B040E"/>
    <w:rsid w:val="006B0557"/>
    <w:rsid w:val="006B140F"/>
    <w:rsid w:val="006B145D"/>
    <w:rsid w:val="006B1B6F"/>
    <w:rsid w:val="006B2628"/>
    <w:rsid w:val="006B4E13"/>
    <w:rsid w:val="006B4F0C"/>
    <w:rsid w:val="006B6052"/>
    <w:rsid w:val="006B60F0"/>
    <w:rsid w:val="006B6111"/>
    <w:rsid w:val="006B6F1C"/>
    <w:rsid w:val="006B7442"/>
    <w:rsid w:val="006B75DD"/>
    <w:rsid w:val="006B7750"/>
    <w:rsid w:val="006C01D4"/>
    <w:rsid w:val="006C0DFA"/>
    <w:rsid w:val="006C1213"/>
    <w:rsid w:val="006C262E"/>
    <w:rsid w:val="006C2B6A"/>
    <w:rsid w:val="006C32B0"/>
    <w:rsid w:val="006C4C92"/>
    <w:rsid w:val="006C53CC"/>
    <w:rsid w:val="006C5736"/>
    <w:rsid w:val="006C5A00"/>
    <w:rsid w:val="006C61E5"/>
    <w:rsid w:val="006C6217"/>
    <w:rsid w:val="006C67E0"/>
    <w:rsid w:val="006C6888"/>
    <w:rsid w:val="006C7ABA"/>
    <w:rsid w:val="006C7EF8"/>
    <w:rsid w:val="006D0132"/>
    <w:rsid w:val="006D094A"/>
    <w:rsid w:val="006D0D60"/>
    <w:rsid w:val="006D0D62"/>
    <w:rsid w:val="006D1122"/>
    <w:rsid w:val="006D1746"/>
    <w:rsid w:val="006D2B5A"/>
    <w:rsid w:val="006D3C00"/>
    <w:rsid w:val="006D3C1A"/>
    <w:rsid w:val="006D428E"/>
    <w:rsid w:val="006D46FC"/>
    <w:rsid w:val="006D5DEF"/>
    <w:rsid w:val="006D605F"/>
    <w:rsid w:val="006D746F"/>
    <w:rsid w:val="006D796B"/>
    <w:rsid w:val="006D7F00"/>
    <w:rsid w:val="006E0779"/>
    <w:rsid w:val="006E0A27"/>
    <w:rsid w:val="006E0D91"/>
    <w:rsid w:val="006E1410"/>
    <w:rsid w:val="006E1E73"/>
    <w:rsid w:val="006E21D9"/>
    <w:rsid w:val="006E2C39"/>
    <w:rsid w:val="006E3675"/>
    <w:rsid w:val="006E4237"/>
    <w:rsid w:val="006E4A7F"/>
    <w:rsid w:val="006E5E81"/>
    <w:rsid w:val="006E6562"/>
    <w:rsid w:val="006E6682"/>
    <w:rsid w:val="006E696E"/>
    <w:rsid w:val="006E74D1"/>
    <w:rsid w:val="006E7741"/>
    <w:rsid w:val="006F013F"/>
    <w:rsid w:val="006F0280"/>
    <w:rsid w:val="006F17EC"/>
    <w:rsid w:val="006F1949"/>
    <w:rsid w:val="006F1CBB"/>
    <w:rsid w:val="006F2015"/>
    <w:rsid w:val="006F20B7"/>
    <w:rsid w:val="006F2B7A"/>
    <w:rsid w:val="006F3565"/>
    <w:rsid w:val="006F3D32"/>
    <w:rsid w:val="006F7BA0"/>
    <w:rsid w:val="00700FAD"/>
    <w:rsid w:val="00702EED"/>
    <w:rsid w:val="0070350D"/>
    <w:rsid w:val="00703ECA"/>
    <w:rsid w:val="007040C2"/>
    <w:rsid w:val="00704DF6"/>
    <w:rsid w:val="007053F6"/>
    <w:rsid w:val="0070651C"/>
    <w:rsid w:val="00706E51"/>
    <w:rsid w:val="00706FA5"/>
    <w:rsid w:val="00707023"/>
    <w:rsid w:val="00707327"/>
    <w:rsid w:val="0070736F"/>
    <w:rsid w:val="0070783F"/>
    <w:rsid w:val="00711E65"/>
    <w:rsid w:val="00711FD9"/>
    <w:rsid w:val="00712BE1"/>
    <w:rsid w:val="007132A3"/>
    <w:rsid w:val="00713DA3"/>
    <w:rsid w:val="0071511D"/>
    <w:rsid w:val="00715A60"/>
    <w:rsid w:val="00716421"/>
    <w:rsid w:val="00716D35"/>
    <w:rsid w:val="007170FE"/>
    <w:rsid w:val="0071782C"/>
    <w:rsid w:val="00720424"/>
    <w:rsid w:val="0072060F"/>
    <w:rsid w:val="00720808"/>
    <w:rsid w:val="007211C6"/>
    <w:rsid w:val="0072231F"/>
    <w:rsid w:val="0072242E"/>
    <w:rsid w:val="007224E1"/>
    <w:rsid w:val="00722F1E"/>
    <w:rsid w:val="007230B6"/>
    <w:rsid w:val="00723570"/>
    <w:rsid w:val="00723742"/>
    <w:rsid w:val="007238D7"/>
    <w:rsid w:val="00723AEB"/>
    <w:rsid w:val="00723BDD"/>
    <w:rsid w:val="00723E85"/>
    <w:rsid w:val="00724118"/>
    <w:rsid w:val="007249AB"/>
    <w:rsid w:val="00724EFB"/>
    <w:rsid w:val="00724FF4"/>
    <w:rsid w:val="007254F1"/>
    <w:rsid w:val="0072652D"/>
    <w:rsid w:val="007268B6"/>
    <w:rsid w:val="0072717A"/>
    <w:rsid w:val="00727DDC"/>
    <w:rsid w:val="00730974"/>
    <w:rsid w:val="00730CE8"/>
    <w:rsid w:val="007316DA"/>
    <w:rsid w:val="00731A24"/>
    <w:rsid w:val="00732BD7"/>
    <w:rsid w:val="00733378"/>
    <w:rsid w:val="007349A7"/>
    <w:rsid w:val="00734E54"/>
    <w:rsid w:val="00735D6B"/>
    <w:rsid w:val="007363E2"/>
    <w:rsid w:val="00736847"/>
    <w:rsid w:val="00737179"/>
    <w:rsid w:val="00737984"/>
    <w:rsid w:val="0074007F"/>
    <w:rsid w:val="00740535"/>
    <w:rsid w:val="007407AB"/>
    <w:rsid w:val="00740F2C"/>
    <w:rsid w:val="00741894"/>
    <w:rsid w:val="007419C3"/>
    <w:rsid w:val="00741EE1"/>
    <w:rsid w:val="00742212"/>
    <w:rsid w:val="007426F5"/>
    <w:rsid w:val="00742A3E"/>
    <w:rsid w:val="00743363"/>
    <w:rsid w:val="0074348F"/>
    <w:rsid w:val="00743DAF"/>
    <w:rsid w:val="0074421E"/>
    <w:rsid w:val="00744A95"/>
    <w:rsid w:val="00744AE9"/>
    <w:rsid w:val="00744FD3"/>
    <w:rsid w:val="0074506D"/>
    <w:rsid w:val="00745938"/>
    <w:rsid w:val="007467A7"/>
    <w:rsid w:val="007469DD"/>
    <w:rsid w:val="0074741B"/>
    <w:rsid w:val="0074759E"/>
    <w:rsid w:val="007478EA"/>
    <w:rsid w:val="00747BDB"/>
    <w:rsid w:val="0075033C"/>
    <w:rsid w:val="00751B9B"/>
    <w:rsid w:val="0075206A"/>
    <w:rsid w:val="00752601"/>
    <w:rsid w:val="007526ED"/>
    <w:rsid w:val="00753184"/>
    <w:rsid w:val="00753414"/>
    <w:rsid w:val="00753789"/>
    <w:rsid w:val="0075415C"/>
    <w:rsid w:val="00756F41"/>
    <w:rsid w:val="007607BA"/>
    <w:rsid w:val="00760C0C"/>
    <w:rsid w:val="00760E52"/>
    <w:rsid w:val="007610FB"/>
    <w:rsid w:val="0076113A"/>
    <w:rsid w:val="007625C4"/>
    <w:rsid w:val="007629E7"/>
    <w:rsid w:val="00762DAF"/>
    <w:rsid w:val="00762EFC"/>
    <w:rsid w:val="0076302C"/>
    <w:rsid w:val="00763502"/>
    <w:rsid w:val="00763E35"/>
    <w:rsid w:val="00764318"/>
    <w:rsid w:val="00764463"/>
    <w:rsid w:val="00764866"/>
    <w:rsid w:val="00764DAC"/>
    <w:rsid w:val="0076565E"/>
    <w:rsid w:val="00765A18"/>
    <w:rsid w:val="00765EF7"/>
    <w:rsid w:val="00765F03"/>
    <w:rsid w:val="00766C0E"/>
    <w:rsid w:val="00767478"/>
    <w:rsid w:val="00767754"/>
    <w:rsid w:val="00767D5C"/>
    <w:rsid w:val="007701CF"/>
    <w:rsid w:val="0077020F"/>
    <w:rsid w:val="00770EDA"/>
    <w:rsid w:val="00771554"/>
    <w:rsid w:val="00772EC6"/>
    <w:rsid w:val="0077337B"/>
    <w:rsid w:val="00774B26"/>
    <w:rsid w:val="00774CCC"/>
    <w:rsid w:val="00775789"/>
    <w:rsid w:val="007760A9"/>
    <w:rsid w:val="00776AA5"/>
    <w:rsid w:val="00776BED"/>
    <w:rsid w:val="00776D76"/>
    <w:rsid w:val="007771A8"/>
    <w:rsid w:val="007802EE"/>
    <w:rsid w:val="007817AC"/>
    <w:rsid w:val="0078230F"/>
    <w:rsid w:val="0078255D"/>
    <w:rsid w:val="00783C37"/>
    <w:rsid w:val="007854BB"/>
    <w:rsid w:val="00785A1E"/>
    <w:rsid w:val="0078659E"/>
    <w:rsid w:val="0078687F"/>
    <w:rsid w:val="00786C2D"/>
    <w:rsid w:val="00786FD4"/>
    <w:rsid w:val="007903BD"/>
    <w:rsid w:val="007913AB"/>
    <w:rsid w:val="007914F7"/>
    <w:rsid w:val="00793863"/>
    <w:rsid w:val="00793BF3"/>
    <w:rsid w:val="00794351"/>
    <w:rsid w:val="007947B8"/>
    <w:rsid w:val="00795E06"/>
    <w:rsid w:val="007966C1"/>
    <w:rsid w:val="00796D87"/>
    <w:rsid w:val="00797346"/>
    <w:rsid w:val="00797891"/>
    <w:rsid w:val="007A0792"/>
    <w:rsid w:val="007A11BC"/>
    <w:rsid w:val="007A30C5"/>
    <w:rsid w:val="007A351C"/>
    <w:rsid w:val="007A459C"/>
    <w:rsid w:val="007A5F49"/>
    <w:rsid w:val="007A62DD"/>
    <w:rsid w:val="007A66B5"/>
    <w:rsid w:val="007A6A4D"/>
    <w:rsid w:val="007A6A6D"/>
    <w:rsid w:val="007A6B57"/>
    <w:rsid w:val="007A7312"/>
    <w:rsid w:val="007A790F"/>
    <w:rsid w:val="007A7B47"/>
    <w:rsid w:val="007B0E9C"/>
    <w:rsid w:val="007B1625"/>
    <w:rsid w:val="007B1E59"/>
    <w:rsid w:val="007B354C"/>
    <w:rsid w:val="007B3634"/>
    <w:rsid w:val="007B4946"/>
    <w:rsid w:val="007B4F36"/>
    <w:rsid w:val="007B51F7"/>
    <w:rsid w:val="007B616F"/>
    <w:rsid w:val="007B6417"/>
    <w:rsid w:val="007B706E"/>
    <w:rsid w:val="007B71EB"/>
    <w:rsid w:val="007B728D"/>
    <w:rsid w:val="007B7EC6"/>
    <w:rsid w:val="007C0900"/>
    <w:rsid w:val="007C095D"/>
    <w:rsid w:val="007C10A5"/>
    <w:rsid w:val="007C123F"/>
    <w:rsid w:val="007C128E"/>
    <w:rsid w:val="007C1A21"/>
    <w:rsid w:val="007C22DB"/>
    <w:rsid w:val="007C2B8E"/>
    <w:rsid w:val="007C2FA5"/>
    <w:rsid w:val="007C3ACB"/>
    <w:rsid w:val="007C53CE"/>
    <w:rsid w:val="007C5E52"/>
    <w:rsid w:val="007C6205"/>
    <w:rsid w:val="007C686A"/>
    <w:rsid w:val="007C69E2"/>
    <w:rsid w:val="007C6B5E"/>
    <w:rsid w:val="007C727F"/>
    <w:rsid w:val="007C728E"/>
    <w:rsid w:val="007C74D8"/>
    <w:rsid w:val="007D03D1"/>
    <w:rsid w:val="007D07EF"/>
    <w:rsid w:val="007D15F5"/>
    <w:rsid w:val="007D270D"/>
    <w:rsid w:val="007D2C53"/>
    <w:rsid w:val="007D319A"/>
    <w:rsid w:val="007D3551"/>
    <w:rsid w:val="007D3A64"/>
    <w:rsid w:val="007D3D0D"/>
    <w:rsid w:val="007D3D60"/>
    <w:rsid w:val="007D451E"/>
    <w:rsid w:val="007D4620"/>
    <w:rsid w:val="007D5455"/>
    <w:rsid w:val="007D5EF8"/>
    <w:rsid w:val="007D625B"/>
    <w:rsid w:val="007D6990"/>
    <w:rsid w:val="007D70DE"/>
    <w:rsid w:val="007D7216"/>
    <w:rsid w:val="007E0965"/>
    <w:rsid w:val="007E13AE"/>
    <w:rsid w:val="007E194E"/>
    <w:rsid w:val="007E1980"/>
    <w:rsid w:val="007E1CB9"/>
    <w:rsid w:val="007E1CE2"/>
    <w:rsid w:val="007E2398"/>
    <w:rsid w:val="007E2A4A"/>
    <w:rsid w:val="007E2EE5"/>
    <w:rsid w:val="007E4B76"/>
    <w:rsid w:val="007E4E76"/>
    <w:rsid w:val="007E51B6"/>
    <w:rsid w:val="007E529A"/>
    <w:rsid w:val="007E52D7"/>
    <w:rsid w:val="007E5DCB"/>
    <w:rsid w:val="007E5EA8"/>
    <w:rsid w:val="007E684E"/>
    <w:rsid w:val="007E7AEF"/>
    <w:rsid w:val="007F09C9"/>
    <w:rsid w:val="007F0CF1"/>
    <w:rsid w:val="007F12A5"/>
    <w:rsid w:val="007F1C11"/>
    <w:rsid w:val="007F26D3"/>
    <w:rsid w:val="007F27A1"/>
    <w:rsid w:val="007F2E9C"/>
    <w:rsid w:val="007F36C2"/>
    <w:rsid w:val="007F3BF9"/>
    <w:rsid w:val="007F3DB3"/>
    <w:rsid w:val="007F3EE5"/>
    <w:rsid w:val="007F41AB"/>
    <w:rsid w:val="007F41BB"/>
    <w:rsid w:val="007F4CF1"/>
    <w:rsid w:val="007F4DA3"/>
    <w:rsid w:val="007F5F75"/>
    <w:rsid w:val="007F640C"/>
    <w:rsid w:val="007F6637"/>
    <w:rsid w:val="007F758D"/>
    <w:rsid w:val="007F7D41"/>
    <w:rsid w:val="007F7D52"/>
    <w:rsid w:val="008001B7"/>
    <w:rsid w:val="00800D0E"/>
    <w:rsid w:val="008020B2"/>
    <w:rsid w:val="008021E8"/>
    <w:rsid w:val="008035F8"/>
    <w:rsid w:val="0080453E"/>
    <w:rsid w:val="00805C20"/>
    <w:rsid w:val="0080654C"/>
    <w:rsid w:val="0080695A"/>
    <w:rsid w:val="008071C6"/>
    <w:rsid w:val="008078D3"/>
    <w:rsid w:val="00807962"/>
    <w:rsid w:val="00807D88"/>
    <w:rsid w:val="0081046E"/>
    <w:rsid w:val="008107E3"/>
    <w:rsid w:val="00810974"/>
    <w:rsid w:val="00811031"/>
    <w:rsid w:val="008111AC"/>
    <w:rsid w:val="008116E5"/>
    <w:rsid w:val="008122B6"/>
    <w:rsid w:val="00813BBB"/>
    <w:rsid w:val="00814581"/>
    <w:rsid w:val="0081519F"/>
    <w:rsid w:val="0081575A"/>
    <w:rsid w:val="008162F8"/>
    <w:rsid w:val="00816D7D"/>
    <w:rsid w:val="00817012"/>
    <w:rsid w:val="00817704"/>
    <w:rsid w:val="00817A00"/>
    <w:rsid w:val="00820409"/>
    <w:rsid w:val="00820668"/>
    <w:rsid w:val="00820C3D"/>
    <w:rsid w:val="00820EBE"/>
    <w:rsid w:val="0082171F"/>
    <w:rsid w:val="00821E6C"/>
    <w:rsid w:val="0082406B"/>
    <w:rsid w:val="008249D4"/>
    <w:rsid w:val="00824A71"/>
    <w:rsid w:val="008252EA"/>
    <w:rsid w:val="008261CB"/>
    <w:rsid w:val="008300A0"/>
    <w:rsid w:val="00830869"/>
    <w:rsid w:val="00830EB1"/>
    <w:rsid w:val="00830FF3"/>
    <w:rsid w:val="00831105"/>
    <w:rsid w:val="0083157D"/>
    <w:rsid w:val="0083173E"/>
    <w:rsid w:val="008318B9"/>
    <w:rsid w:val="00831D20"/>
    <w:rsid w:val="00832001"/>
    <w:rsid w:val="00832561"/>
    <w:rsid w:val="008325AB"/>
    <w:rsid w:val="008330C2"/>
    <w:rsid w:val="00833192"/>
    <w:rsid w:val="008332EF"/>
    <w:rsid w:val="00833651"/>
    <w:rsid w:val="00833844"/>
    <w:rsid w:val="00834257"/>
    <w:rsid w:val="00834DB0"/>
    <w:rsid w:val="00835BCC"/>
    <w:rsid w:val="00835DB3"/>
    <w:rsid w:val="00835F9F"/>
    <w:rsid w:val="008360B5"/>
    <w:rsid w:val="0083617B"/>
    <w:rsid w:val="00836460"/>
    <w:rsid w:val="00836729"/>
    <w:rsid w:val="008369C2"/>
    <w:rsid w:val="00836C2C"/>
    <w:rsid w:val="008371BD"/>
    <w:rsid w:val="008372E9"/>
    <w:rsid w:val="0083752A"/>
    <w:rsid w:val="0084007C"/>
    <w:rsid w:val="008402CC"/>
    <w:rsid w:val="00841408"/>
    <w:rsid w:val="00841BD2"/>
    <w:rsid w:val="00841DEE"/>
    <w:rsid w:val="00841F40"/>
    <w:rsid w:val="00842F06"/>
    <w:rsid w:val="0084352A"/>
    <w:rsid w:val="00843666"/>
    <w:rsid w:val="00843674"/>
    <w:rsid w:val="008436AD"/>
    <w:rsid w:val="00844B93"/>
    <w:rsid w:val="00844F22"/>
    <w:rsid w:val="00845198"/>
    <w:rsid w:val="0084535E"/>
    <w:rsid w:val="00845A26"/>
    <w:rsid w:val="00846317"/>
    <w:rsid w:val="0084635C"/>
    <w:rsid w:val="00846625"/>
    <w:rsid w:val="00846C6E"/>
    <w:rsid w:val="00847A41"/>
    <w:rsid w:val="008504A8"/>
    <w:rsid w:val="008514AC"/>
    <w:rsid w:val="008516DA"/>
    <w:rsid w:val="00851A62"/>
    <w:rsid w:val="0085282E"/>
    <w:rsid w:val="00853AB5"/>
    <w:rsid w:val="00853D75"/>
    <w:rsid w:val="00854769"/>
    <w:rsid w:val="00854771"/>
    <w:rsid w:val="00855A00"/>
    <w:rsid w:val="00855F2A"/>
    <w:rsid w:val="0085608B"/>
    <w:rsid w:val="008569E4"/>
    <w:rsid w:val="008574AF"/>
    <w:rsid w:val="0085763A"/>
    <w:rsid w:val="0085797F"/>
    <w:rsid w:val="00857C5D"/>
    <w:rsid w:val="008600B6"/>
    <w:rsid w:val="00860641"/>
    <w:rsid w:val="00861823"/>
    <w:rsid w:val="0086189F"/>
    <w:rsid w:val="008618D7"/>
    <w:rsid w:val="00861C93"/>
    <w:rsid w:val="00862267"/>
    <w:rsid w:val="00862AD8"/>
    <w:rsid w:val="00862B3A"/>
    <w:rsid w:val="008635FB"/>
    <w:rsid w:val="00864690"/>
    <w:rsid w:val="00865339"/>
    <w:rsid w:val="0086573A"/>
    <w:rsid w:val="00865D0E"/>
    <w:rsid w:val="008660ED"/>
    <w:rsid w:val="0086612A"/>
    <w:rsid w:val="00866A80"/>
    <w:rsid w:val="008674AF"/>
    <w:rsid w:val="00867541"/>
    <w:rsid w:val="00867737"/>
    <w:rsid w:val="00867C4B"/>
    <w:rsid w:val="008705FB"/>
    <w:rsid w:val="008706AC"/>
    <w:rsid w:val="008717B2"/>
    <w:rsid w:val="0087198C"/>
    <w:rsid w:val="00871EE9"/>
    <w:rsid w:val="00871FC8"/>
    <w:rsid w:val="0087236A"/>
    <w:rsid w:val="0087282C"/>
    <w:rsid w:val="00872C1F"/>
    <w:rsid w:val="00872D86"/>
    <w:rsid w:val="00873194"/>
    <w:rsid w:val="00873301"/>
    <w:rsid w:val="0087331A"/>
    <w:rsid w:val="00873B42"/>
    <w:rsid w:val="00873FC5"/>
    <w:rsid w:val="00874293"/>
    <w:rsid w:val="00874338"/>
    <w:rsid w:val="00875AD1"/>
    <w:rsid w:val="00876217"/>
    <w:rsid w:val="0087664F"/>
    <w:rsid w:val="008776AD"/>
    <w:rsid w:val="008802EC"/>
    <w:rsid w:val="00880D22"/>
    <w:rsid w:val="0088189B"/>
    <w:rsid w:val="00881C60"/>
    <w:rsid w:val="00882463"/>
    <w:rsid w:val="0088261B"/>
    <w:rsid w:val="0088369B"/>
    <w:rsid w:val="00883741"/>
    <w:rsid w:val="0088480E"/>
    <w:rsid w:val="008856D8"/>
    <w:rsid w:val="008866DD"/>
    <w:rsid w:val="008866F0"/>
    <w:rsid w:val="00886782"/>
    <w:rsid w:val="008872BC"/>
    <w:rsid w:val="008877D1"/>
    <w:rsid w:val="00890517"/>
    <w:rsid w:val="00890D6D"/>
    <w:rsid w:val="008918E1"/>
    <w:rsid w:val="00891FFB"/>
    <w:rsid w:val="00892705"/>
    <w:rsid w:val="0089280A"/>
    <w:rsid w:val="00892D12"/>
    <w:rsid w:val="00892E82"/>
    <w:rsid w:val="00893059"/>
    <w:rsid w:val="00894977"/>
    <w:rsid w:val="0089673D"/>
    <w:rsid w:val="00896BD4"/>
    <w:rsid w:val="008A0000"/>
    <w:rsid w:val="008A0F1E"/>
    <w:rsid w:val="008A114C"/>
    <w:rsid w:val="008A1FC3"/>
    <w:rsid w:val="008A20C6"/>
    <w:rsid w:val="008A31F6"/>
    <w:rsid w:val="008A36F2"/>
    <w:rsid w:val="008A4644"/>
    <w:rsid w:val="008A58F4"/>
    <w:rsid w:val="008A5F0B"/>
    <w:rsid w:val="008A60DE"/>
    <w:rsid w:val="008A73B6"/>
    <w:rsid w:val="008A7D59"/>
    <w:rsid w:val="008B0F43"/>
    <w:rsid w:val="008B12BA"/>
    <w:rsid w:val="008B12D7"/>
    <w:rsid w:val="008B1869"/>
    <w:rsid w:val="008B1880"/>
    <w:rsid w:val="008B32C9"/>
    <w:rsid w:val="008B32F6"/>
    <w:rsid w:val="008B3DE3"/>
    <w:rsid w:val="008B4914"/>
    <w:rsid w:val="008B5121"/>
    <w:rsid w:val="008B56E9"/>
    <w:rsid w:val="008B629C"/>
    <w:rsid w:val="008B63AC"/>
    <w:rsid w:val="008B6400"/>
    <w:rsid w:val="008B64DD"/>
    <w:rsid w:val="008B6EBD"/>
    <w:rsid w:val="008B7A1F"/>
    <w:rsid w:val="008C10D2"/>
    <w:rsid w:val="008C116F"/>
    <w:rsid w:val="008C1223"/>
    <w:rsid w:val="008C1AF0"/>
    <w:rsid w:val="008C1B58"/>
    <w:rsid w:val="008C1C2D"/>
    <w:rsid w:val="008C1DAA"/>
    <w:rsid w:val="008C209D"/>
    <w:rsid w:val="008C2B90"/>
    <w:rsid w:val="008C3092"/>
    <w:rsid w:val="008C361B"/>
    <w:rsid w:val="008C39AE"/>
    <w:rsid w:val="008C3C9E"/>
    <w:rsid w:val="008C3F16"/>
    <w:rsid w:val="008C433A"/>
    <w:rsid w:val="008C53DB"/>
    <w:rsid w:val="008C577F"/>
    <w:rsid w:val="008C5809"/>
    <w:rsid w:val="008C590D"/>
    <w:rsid w:val="008C5F2A"/>
    <w:rsid w:val="008C6E4A"/>
    <w:rsid w:val="008C71DE"/>
    <w:rsid w:val="008D00C0"/>
    <w:rsid w:val="008D097B"/>
    <w:rsid w:val="008D09D7"/>
    <w:rsid w:val="008D0D78"/>
    <w:rsid w:val="008D108E"/>
    <w:rsid w:val="008D1D58"/>
    <w:rsid w:val="008D1D60"/>
    <w:rsid w:val="008D272B"/>
    <w:rsid w:val="008D290B"/>
    <w:rsid w:val="008D2A6B"/>
    <w:rsid w:val="008D2C87"/>
    <w:rsid w:val="008D3277"/>
    <w:rsid w:val="008D34FA"/>
    <w:rsid w:val="008D43ED"/>
    <w:rsid w:val="008D4984"/>
    <w:rsid w:val="008D4D0D"/>
    <w:rsid w:val="008D6DE9"/>
    <w:rsid w:val="008D6EA0"/>
    <w:rsid w:val="008D7B29"/>
    <w:rsid w:val="008E031B"/>
    <w:rsid w:val="008E161D"/>
    <w:rsid w:val="008E17FF"/>
    <w:rsid w:val="008E3238"/>
    <w:rsid w:val="008E36D3"/>
    <w:rsid w:val="008E3F37"/>
    <w:rsid w:val="008E4851"/>
    <w:rsid w:val="008E5A13"/>
    <w:rsid w:val="008E5C76"/>
    <w:rsid w:val="008E6081"/>
    <w:rsid w:val="008E6EFE"/>
    <w:rsid w:val="008E6F6F"/>
    <w:rsid w:val="008E7029"/>
    <w:rsid w:val="008E7514"/>
    <w:rsid w:val="008E7890"/>
    <w:rsid w:val="008E7EEE"/>
    <w:rsid w:val="008E7EF6"/>
    <w:rsid w:val="008F0FD5"/>
    <w:rsid w:val="008F1207"/>
    <w:rsid w:val="008F140B"/>
    <w:rsid w:val="008F1B5C"/>
    <w:rsid w:val="008F1F98"/>
    <w:rsid w:val="008F3125"/>
    <w:rsid w:val="008F46D6"/>
    <w:rsid w:val="008F5412"/>
    <w:rsid w:val="008F575D"/>
    <w:rsid w:val="008F59EE"/>
    <w:rsid w:val="008F5B76"/>
    <w:rsid w:val="008F6439"/>
    <w:rsid w:val="008F647B"/>
    <w:rsid w:val="008F6758"/>
    <w:rsid w:val="0090037A"/>
    <w:rsid w:val="00900660"/>
    <w:rsid w:val="00901250"/>
    <w:rsid w:val="00901B02"/>
    <w:rsid w:val="00901E1A"/>
    <w:rsid w:val="00901FFF"/>
    <w:rsid w:val="009027FB"/>
    <w:rsid w:val="00902E70"/>
    <w:rsid w:val="00903007"/>
    <w:rsid w:val="009033DF"/>
    <w:rsid w:val="00903EF4"/>
    <w:rsid w:val="009040DD"/>
    <w:rsid w:val="0090419A"/>
    <w:rsid w:val="009042B3"/>
    <w:rsid w:val="00904A94"/>
    <w:rsid w:val="0090561C"/>
    <w:rsid w:val="00905B47"/>
    <w:rsid w:val="0090620B"/>
    <w:rsid w:val="009063F2"/>
    <w:rsid w:val="00906EFC"/>
    <w:rsid w:val="00907B3B"/>
    <w:rsid w:val="0091060E"/>
    <w:rsid w:val="00910733"/>
    <w:rsid w:val="009113EA"/>
    <w:rsid w:val="009117F6"/>
    <w:rsid w:val="00911D28"/>
    <w:rsid w:val="00912B9A"/>
    <w:rsid w:val="0091331C"/>
    <w:rsid w:val="00914BD1"/>
    <w:rsid w:val="00914EC9"/>
    <w:rsid w:val="009152B2"/>
    <w:rsid w:val="009158BB"/>
    <w:rsid w:val="00915A02"/>
    <w:rsid w:val="00915E89"/>
    <w:rsid w:val="00915F3E"/>
    <w:rsid w:val="00915FC9"/>
    <w:rsid w:val="00916AA7"/>
    <w:rsid w:val="00917FD3"/>
    <w:rsid w:val="00920324"/>
    <w:rsid w:val="009205A2"/>
    <w:rsid w:val="00920BA2"/>
    <w:rsid w:val="00920DD4"/>
    <w:rsid w:val="009223F7"/>
    <w:rsid w:val="009225CA"/>
    <w:rsid w:val="009238E5"/>
    <w:rsid w:val="009239BA"/>
    <w:rsid w:val="00923DC7"/>
    <w:rsid w:val="00924395"/>
    <w:rsid w:val="00924B63"/>
    <w:rsid w:val="00924F4B"/>
    <w:rsid w:val="009253DA"/>
    <w:rsid w:val="00927486"/>
    <w:rsid w:val="009279DE"/>
    <w:rsid w:val="00930116"/>
    <w:rsid w:val="00932B92"/>
    <w:rsid w:val="00932EC6"/>
    <w:rsid w:val="00933980"/>
    <w:rsid w:val="00933A47"/>
    <w:rsid w:val="00933DE2"/>
    <w:rsid w:val="00934254"/>
    <w:rsid w:val="00934990"/>
    <w:rsid w:val="0093517E"/>
    <w:rsid w:val="00935BBB"/>
    <w:rsid w:val="009362BD"/>
    <w:rsid w:val="0093640F"/>
    <w:rsid w:val="00936994"/>
    <w:rsid w:val="009375F9"/>
    <w:rsid w:val="00937D42"/>
    <w:rsid w:val="00941839"/>
    <w:rsid w:val="00941A56"/>
    <w:rsid w:val="00941B1B"/>
    <w:rsid w:val="0094212C"/>
    <w:rsid w:val="00942EA0"/>
    <w:rsid w:val="009435FA"/>
    <w:rsid w:val="00943C17"/>
    <w:rsid w:val="00943C31"/>
    <w:rsid w:val="0094436F"/>
    <w:rsid w:val="00945EEF"/>
    <w:rsid w:val="00946352"/>
    <w:rsid w:val="009472BF"/>
    <w:rsid w:val="00947787"/>
    <w:rsid w:val="00950177"/>
    <w:rsid w:val="009503FE"/>
    <w:rsid w:val="009507F5"/>
    <w:rsid w:val="0095106C"/>
    <w:rsid w:val="0095176C"/>
    <w:rsid w:val="0095186B"/>
    <w:rsid w:val="00952B0B"/>
    <w:rsid w:val="00953CD9"/>
    <w:rsid w:val="009545C8"/>
    <w:rsid w:val="00954689"/>
    <w:rsid w:val="00954938"/>
    <w:rsid w:val="009549BA"/>
    <w:rsid w:val="00954CC9"/>
    <w:rsid w:val="00954D94"/>
    <w:rsid w:val="00955315"/>
    <w:rsid w:val="009554CA"/>
    <w:rsid w:val="00955FA1"/>
    <w:rsid w:val="009562F6"/>
    <w:rsid w:val="0096109C"/>
    <w:rsid w:val="009617C9"/>
    <w:rsid w:val="00961C93"/>
    <w:rsid w:val="00961DC1"/>
    <w:rsid w:val="00963248"/>
    <w:rsid w:val="009639DA"/>
    <w:rsid w:val="00963C30"/>
    <w:rsid w:val="00963C80"/>
    <w:rsid w:val="00964689"/>
    <w:rsid w:val="009646B9"/>
    <w:rsid w:val="00964BF0"/>
    <w:rsid w:val="009651EE"/>
    <w:rsid w:val="00965324"/>
    <w:rsid w:val="009659F1"/>
    <w:rsid w:val="00966E23"/>
    <w:rsid w:val="0097091E"/>
    <w:rsid w:val="00970CDE"/>
    <w:rsid w:val="009712B6"/>
    <w:rsid w:val="00971BE9"/>
    <w:rsid w:val="009721FA"/>
    <w:rsid w:val="009727DC"/>
    <w:rsid w:val="009729BB"/>
    <w:rsid w:val="00972B05"/>
    <w:rsid w:val="00972D46"/>
    <w:rsid w:val="00973290"/>
    <w:rsid w:val="009744AF"/>
    <w:rsid w:val="00974C29"/>
    <w:rsid w:val="009760D3"/>
    <w:rsid w:val="009760F3"/>
    <w:rsid w:val="0097633E"/>
    <w:rsid w:val="009766BF"/>
    <w:rsid w:val="009769DD"/>
    <w:rsid w:val="0097707A"/>
    <w:rsid w:val="00977132"/>
    <w:rsid w:val="0097770B"/>
    <w:rsid w:val="00980178"/>
    <w:rsid w:val="00980A3F"/>
    <w:rsid w:val="00980C0A"/>
    <w:rsid w:val="00981113"/>
    <w:rsid w:val="00981292"/>
    <w:rsid w:val="00981A4B"/>
    <w:rsid w:val="00981D19"/>
    <w:rsid w:val="00982501"/>
    <w:rsid w:val="00982791"/>
    <w:rsid w:val="00982863"/>
    <w:rsid w:val="0098321B"/>
    <w:rsid w:val="00983A72"/>
    <w:rsid w:val="00983D4E"/>
    <w:rsid w:val="009842C9"/>
    <w:rsid w:val="00984B35"/>
    <w:rsid w:val="009852D4"/>
    <w:rsid w:val="00985A14"/>
    <w:rsid w:val="009869FD"/>
    <w:rsid w:val="00986D28"/>
    <w:rsid w:val="009877D3"/>
    <w:rsid w:val="0099047F"/>
    <w:rsid w:val="009905F3"/>
    <w:rsid w:val="00992218"/>
    <w:rsid w:val="0099335B"/>
    <w:rsid w:val="00993E79"/>
    <w:rsid w:val="009945C3"/>
    <w:rsid w:val="00994CB5"/>
    <w:rsid w:val="00994E8F"/>
    <w:rsid w:val="00994F44"/>
    <w:rsid w:val="009951DC"/>
    <w:rsid w:val="009959BB"/>
    <w:rsid w:val="00996AA2"/>
    <w:rsid w:val="00997158"/>
    <w:rsid w:val="009971FB"/>
    <w:rsid w:val="009976F2"/>
    <w:rsid w:val="00997C04"/>
    <w:rsid w:val="009A099A"/>
    <w:rsid w:val="009A10E6"/>
    <w:rsid w:val="009A1662"/>
    <w:rsid w:val="009A2285"/>
    <w:rsid w:val="009A2BC0"/>
    <w:rsid w:val="009A366B"/>
    <w:rsid w:val="009A3A7C"/>
    <w:rsid w:val="009A4011"/>
    <w:rsid w:val="009A4453"/>
    <w:rsid w:val="009A45A4"/>
    <w:rsid w:val="009A52EB"/>
    <w:rsid w:val="009A64A1"/>
    <w:rsid w:val="009A6B91"/>
    <w:rsid w:val="009A71AA"/>
    <w:rsid w:val="009A743B"/>
    <w:rsid w:val="009A768C"/>
    <w:rsid w:val="009A7BFB"/>
    <w:rsid w:val="009A7FF5"/>
    <w:rsid w:val="009B0538"/>
    <w:rsid w:val="009B07B5"/>
    <w:rsid w:val="009B0EEA"/>
    <w:rsid w:val="009B1269"/>
    <w:rsid w:val="009B1913"/>
    <w:rsid w:val="009B1D06"/>
    <w:rsid w:val="009B2ADB"/>
    <w:rsid w:val="009B2E10"/>
    <w:rsid w:val="009B3982"/>
    <w:rsid w:val="009B404B"/>
    <w:rsid w:val="009B4240"/>
    <w:rsid w:val="009B4B96"/>
    <w:rsid w:val="009B603A"/>
    <w:rsid w:val="009B7AF5"/>
    <w:rsid w:val="009C006A"/>
    <w:rsid w:val="009C0648"/>
    <w:rsid w:val="009C07FC"/>
    <w:rsid w:val="009C0BEC"/>
    <w:rsid w:val="009C0BFC"/>
    <w:rsid w:val="009C1250"/>
    <w:rsid w:val="009C16A6"/>
    <w:rsid w:val="009C1A0B"/>
    <w:rsid w:val="009C1B95"/>
    <w:rsid w:val="009C1CB8"/>
    <w:rsid w:val="009C24C3"/>
    <w:rsid w:val="009C2D0E"/>
    <w:rsid w:val="009C3DAC"/>
    <w:rsid w:val="009C42E0"/>
    <w:rsid w:val="009C43FA"/>
    <w:rsid w:val="009C4B18"/>
    <w:rsid w:val="009C50BE"/>
    <w:rsid w:val="009C6EC5"/>
    <w:rsid w:val="009C7FEB"/>
    <w:rsid w:val="009D068B"/>
    <w:rsid w:val="009D0F8B"/>
    <w:rsid w:val="009D3578"/>
    <w:rsid w:val="009D5362"/>
    <w:rsid w:val="009D54F7"/>
    <w:rsid w:val="009D600C"/>
    <w:rsid w:val="009D7F19"/>
    <w:rsid w:val="009E02FE"/>
    <w:rsid w:val="009E051D"/>
    <w:rsid w:val="009E1415"/>
    <w:rsid w:val="009E1A04"/>
    <w:rsid w:val="009E1E1D"/>
    <w:rsid w:val="009E212B"/>
    <w:rsid w:val="009E2C0B"/>
    <w:rsid w:val="009E2EF1"/>
    <w:rsid w:val="009E3384"/>
    <w:rsid w:val="009E33C2"/>
    <w:rsid w:val="009E35A8"/>
    <w:rsid w:val="009E3A6D"/>
    <w:rsid w:val="009E3F6E"/>
    <w:rsid w:val="009E4295"/>
    <w:rsid w:val="009E476A"/>
    <w:rsid w:val="009E551C"/>
    <w:rsid w:val="009E5570"/>
    <w:rsid w:val="009E5802"/>
    <w:rsid w:val="009E59E9"/>
    <w:rsid w:val="009E5DCE"/>
    <w:rsid w:val="009E6116"/>
    <w:rsid w:val="009E61C6"/>
    <w:rsid w:val="009E67FD"/>
    <w:rsid w:val="009E69BF"/>
    <w:rsid w:val="009E6AB5"/>
    <w:rsid w:val="009E718E"/>
    <w:rsid w:val="009F02AC"/>
    <w:rsid w:val="009F039F"/>
    <w:rsid w:val="009F0819"/>
    <w:rsid w:val="009F1570"/>
    <w:rsid w:val="009F2B44"/>
    <w:rsid w:val="009F47BA"/>
    <w:rsid w:val="009F4FDB"/>
    <w:rsid w:val="009F5FE7"/>
    <w:rsid w:val="009F630A"/>
    <w:rsid w:val="009F6E30"/>
    <w:rsid w:val="00A00655"/>
    <w:rsid w:val="00A006AB"/>
    <w:rsid w:val="00A02251"/>
    <w:rsid w:val="00A0238F"/>
    <w:rsid w:val="00A02AE5"/>
    <w:rsid w:val="00A02B2B"/>
    <w:rsid w:val="00A02B7C"/>
    <w:rsid w:val="00A02DB7"/>
    <w:rsid w:val="00A02E43"/>
    <w:rsid w:val="00A035DC"/>
    <w:rsid w:val="00A03A65"/>
    <w:rsid w:val="00A03B5B"/>
    <w:rsid w:val="00A03D64"/>
    <w:rsid w:val="00A03EA7"/>
    <w:rsid w:val="00A045C5"/>
    <w:rsid w:val="00A0526C"/>
    <w:rsid w:val="00A065F9"/>
    <w:rsid w:val="00A06635"/>
    <w:rsid w:val="00A06BED"/>
    <w:rsid w:val="00A07F34"/>
    <w:rsid w:val="00A101E7"/>
    <w:rsid w:val="00A10FA7"/>
    <w:rsid w:val="00A11ECC"/>
    <w:rsid w:val="00A133C1"/>
    <w:rsid w:val="00A144C3"/>
    <w:rsid w:val="00A15C6A"/>
    <w:rsid w:val="00A15DEA"/>
    <w:rsid w:val="00A15E60"/>
    <w:rsid w:val="00A172DA"/>
    <w:rsid w:val="00A17CD1"/>
    <w:rsid w:val="00A17D37"/>
    <w:rsid w:val="00A17E84"/>
    <w:rsid w:val="00A20413"/>
    <w:rsid w:val="00A2047F"/>
    <w:rsid w:val="00A205B7"/>
    <w:rsid w:val="00A209F5"/>
    <w:rsid w:val="00A21208"/>
    <w:rsid w:val="00A22154"/>
    <w:rsid w:val="00A222C4"/>
    <w:rsid w:val="00A22E58"/>
    <w:rsid w:val="00A23E12"/>
    <w:rsid w:val="00A23F53"/>
    <w:rsid w:val="00A2415D"/>
    <w:rsid w:val="00A24415"/>
    <w:rsid w:val="00A24549"/>
    <w:rsid w:val="00A25C36"/>
    <w:rsid w:val="00A25C38"/>
    <w:rsid w:val="00A25FDE"/>
    <w:rsid w:val="00A269DD"/>
    <w:rsid w:val="00A26DA3"/>
    <w:rsid w:val="00A302C5"/>
    <w:rsid w:val="00A3030D"/>
    <w:rsid w:val="00A30580"/>
    <w:rsid w:val="00A312A0"/>
    <w:rsid w:val="00A3191D"/>
    <w:rsid w:val="00A31A43"/>
    <w:rsid w:val="00A325C3"/>
    <w:rsid w:val="00A32C5B"/>
    <w:rsid w:val="00A330E2"/>
    <w:rsid w:val="00A337C8"/>
    <w:rsid w:val="00A33869"/>
    <w:rsid w:val="00A343AF"/>
    <w:rsid w:val="00A34E4E"/>
    <w:rsid w:val="00A35247"/>
    <w:rsid w:val="00A361FD"/>
    <w:rsid w:val="00A363E2"/>
    <w:rsid w:val="00A36A27"/>
    <w:rsid w:val="00A36BBE"/>
    <w:rsid w:val="00A36C51"/>
    <w:rsid w:val="00A378BD"/>
    <w:rsid w:val="00A4169A"/>
    <w:rsid w:val="00A41717"/>
    <w:rsid w:val="00A41964"/>
    <w:rsid w:val="00A41DD6"/>
    <w:rsid w:val="00A426FB"/>
    <w:rsid w:val="00A427EF"/>
    <w:rsid w:val="00A43040"/>
    <w:rsid w:val="00A4307A"/>
    <w:rsid w:val="00A43B71"/>
    <w:rsid w:val="00A43E85"/>
    <w:rsid w:val="00A44036"/>
    <w:rsid w:val="00A443F7"/>
    <w:rsid w:val="00A454FA"/>
    <w:rsid w:val="00A45C34"/>
    <w:rsid w:val="00A45FA7"/>
    <w:rsid w:val="00A4667C"/>
    <w:rsid w:val="00A46BD9"/>
    <w:rsid w:val="00A46C04"/>
    <w:rsid w:val="00A46E9A"/>
    <w:rsid w:val="00A47E30"/>
    <w:rsid w:val="00A47EBB"/>
    <w:rsid w:val="00A47FEB"/>
    <w:rsid w:val="00A51557"/>
    <w:rsid w:val="00A516B0"/>
    <w:rsid w:val="00A51CDD"/>
    <w:rsid w:val="00A51F96"/>
    <w:rsid w:val="00A52412"/>
    <w:rsid w:val="00A524B1"/>
    <w:rsid w:val="00A524D4"/>
    <w:rsid w:val="00A529D3"/>
    <w:rsid w:val="00A541A0"/>
    <w:rsid w:val="00A5460A"/>
    <w:rsid w:val="00A5497E"/>
    <w:rsid w:val="00A549E6"/>
    <w:rsid w:val="00A54EB1"/>
    <w:rsid w:val="00A54EC8"/>
    <w:rsid w:val="00A55611"/>
    <w:rsid w:val="00A57061"/>
    <w:rsid w:val="00A57267"/>
    <w:rsid w:val="00A57B50"/>
    <w:rsid w:val="00A60218"/>
    <w:rsid w:val="00A6036F"/>
    <w:rsid w:val="00A60494"/>
    <w:rsid w:val="00A604DC"/>
    <w:rsid w:val="00A6051F"/>
    <w:rsid w:val="00A609D8"/>
    <w:rsid w:val="00A60DD4"/>
    <w:rsid w:val="00A6164C"/>
    <w:rsid w:val="00A61857"/>
    <w:rsid w:val="00A61AD8"/>
    <w:rsid w:val="00A62AD8"/>
    <w:rsid w:val="00A63BEF"/>
    <w:rsid w:val="00A65AD6"/>
    <w:rsid w:val="00A66255"/>
    <w:rsid w:val="00A66600"/>
    <w:rsid w:val="00A66636"/>
    <w:rsid w:val="00A672FF"/>
    <w:rsid w:val="00A6730D"/>
    <w:rsid w:val="00A673F9"/>
    <w:rsid w:val="00A67EFC"/>
    <w:rsid w:val="00A70F25"/>
    <w:rsid w:val="00A712B7"/>
    <w:rsid w:val="00A713D0"/>
    <w:rsid w:val="00A71625"/>
    <w:rsid w:val="00A71A48"/>
    <w:rsid w:val="00A71B9B"/>
    <w:rsid w:val="00A7234C"/>
    <w:rsid w:val="00A7276A"/>
    <w:rsid w:val="00A72DDD"/>
    <w:rsid w:val="00A73211"/>
    <w:rsid w:val="00A7390C"/>
    <w:rsid w:val="00A743B9"/>
    <w:rsid w:val="00A751C7"/>
    <w:rsid w:val="00A75B74"/>
    <w:rsid w:val="00A800DE"/>
    <w:rsid w:val="00A804C0"/>
    <w:rsid w:val="00A8123C"/>
    <w:rsid w:val="00A81F87"/>
    <w:rsid w:val="00A8422A"/>
    <w:rsid w:val="00A8425B"/>
    <w:rsid w:val="00A848F1"/>
    <w:rsid w:val="00A85C01"/>
    <w:rsid w:val="00A861CC"/>
    <w:rsid w:val="00A86A4E"/>
    <w:rsid w:val="00A86B91"/>
    <w:rsid w:val="00A86BB2"/>
    <w:rsid w:val="00A86CC8"/>
    <w:rsid w:val="00A871A0"/>
    <w:rsid w:val="00A87220"/>
    <w:rsid w:val="00A873B5"/>
    <w:rsid w:val="00A87844"/>
    <w:rsid w:val="00A901E4"/>
    <w:rsid w:val="00A90277"/>
    <w:rsid w:val="00A907EB"/>
    <w:rsid w:val="00A90A34"/>
    <w:rsid w:val="00A91362"/>
    <w:rsid w:val="00A91A15"/>
    <w:rsid w:val="00A91A99"/>
    <w:rsid w:val="00A93A17"/>
    <w:rsid w:val="00A93C05"/>
    <w:rsid w:val="00A93E3D"/>
    <w:rsid w:val="00A94213"/>
    <w:rsid w:val="00A948EB"/>
    <w:rsid w:val="00A95018"/>
    <w:rsid w:val="00A95D0C"/>
    <w:rsid w:val="00A961C4"/>
    <w:rsid w:val="00A962B8"/>
    <w:rsid w:val="00A96741"/>
    <w:rsid w:val="00AA0025"/>
    <w:rsid w:val="00AA038C"/>
    <w:rsid w:val="00AA052E"/>
    <w:rsid w:val="00AA09AB"/>
    <w:rsid w:val="00AA09EB"/>
    <w:rsid w:val="00AA0D2E"/>
    <w:rsid w:val="00AA2225"/>
    <w:rsid w:val="00AA315B"/>
    <w:rsid w:val="00AA3586"/>
    <w:rsid w:val="00AA4B5A"/>
    <w:rsid w:val="00AA4D0E"/>
    <w:rsid w:val="00AA4D17"/>
    <w:rsid w:val="00AA529E"/>
    <w:rsid w:val="00AA57A6"/>
    <w:rsid w:val="00AA5FCF"/>
    <w:rsid w:val="00AA612D"/>
    <w:rsid w:val="00AA699C"/>
    <w:rsid w:val="00AA6D54"/>
    <w:rsid w:val="00AA7937"/>
    <w:rsid w:val="00AA7A09"/>
    <w:rsid w:val="00AA7A5D"/>
    <w:rsid w:val="00AA7D2A"/>
    <w:rsid w:val="00AA7F64"/>
    <w:rsid w:val="00AB03DB"/>
    <w:rsid w:val="00AB075B"/>
    <w:rsid w:val="00AB0C4F"/>
    <w:rsid w:val="00AB11CF"/>
    <w:rsid w:val="00AB2898"/>
    <w:rsid w:val="00AB3B50"/>
    <w:rsid w:val="00AB4158"/>
    <w:rsid w:val="00AB5F4B"/>
    <w:rsid w:val="00AB5F5D"/>
    <w:rsid w:val="00AB7DA1"/>
    <w:rsid w:val="00AC05B1"/>
    <w:rsid w:val="00AC0A4E"/>
    <w:rsid w:val="00AC17E9"/>
    <w:rsid w:val="00AC2A05"/>
    <w:rsid w:val="00AC2BAA"/>
    <w:rsid w:val="00AC420E"/>
    <w:rsid w:val="00AC491D"/>
    <w:rsid w:val="00AC54EA"/>
    <w:rsid w:val="00AC5B6C"/>
    <w:rsid w:val="00AC6907"/>
    <w:rsid w:val="00AC6942"/>
    <w:rsid w:val="00AC6977"/>
    <w:rsid w:val="00AC6B3E"/>
    <w:rsid w:val="00AC6D9F"/>
    <w:rsid w:val="00AC7267"/>
    <w:rsid w:val="00AC73FD"/>
    <w:rsid w:val="00AC7543"/>
    <w:rsid w:val="00AD14A0"/>
    <w:rsid w:val="00AD19B8"/>
    <w:rsid w:val="00AD2137"/>
    <w:rsid w:val="00AD246B"/>
    <w:rsid w:val="00AD32BE"/>
    <w:rsid w:val="00AD33C9"/>
    <w:rsid w:val="00AD356C"/>
    <w:rsid w:val="00AD3E3E"/>
    <w:rsid w:val="00AD4269"/>
    <w:rsid w:val="00AD47FE"/>
    <w:rsid w:val="00AD56F9"/>
    <w:rsid w:val="00AD5B3F"/>
    <w:rsid w:val="00AD6968"/>
    <w:rsid w:val="00AD6FBA"/>
    <w:rsid w:val="00AD7176"/>
    <w:rsid w:val="00AD77F3"/>
    <w:rsid w:val="00AD78EF"/>
    <w:rsid w:val="00AD79AF"/>
    <w:rsid w:val="00AE022D"/>
    <w:rsid w:val="00AE0415"/>
    <w:rsid w:val="00AE157D"/>
    <w:rsid w:val="00AE1B92"/>
    <w:rsid w:val="00AE1C61"/>
    <w:rsid w:val="00AE1CD4"/>
    <w:rsid w:val="00AE233C"/>
    <w:rsid w:val="00AE2914"/>
    <w:rsid w:val="00AE3722"/>
    <w:rsid w:val="00AE3FE9"/>
    <w:rsid w:val="00AE4590"/>
    <w:rsid w:val="00AE466F"/>
    <w:rsid w:val="00AE4E3D"/>
    <w:rsid w:val="00AE4E70"/>
    <w:rsid w:val="00AE4FAC"/>
    <w:rsid w:val="00AE4FCD"/>
    <w:rsid w:val="00AE6D15"/>
    <w:rsid w:val="00AE7941"/>
    <w:rsid w:val="00AF0292"/>
    <w:rsid w:val="00AF25EA"/>
    <w:rsid w:val="00AF2F36"/>
    <w:rsid w:val="00AF3136"/>
    <w:rsid w:val="00AF4831"/>
    <w:rsid w:val="00AF4D8E"/>
    <w:rsid w:val="00AF4F9B"/>
    <w:rsid w:val="00AF5097"/>
    <w:rsid w:val="00B004A1"/>
    <w:rsid w:val="00B00772"/>
    <w:rsid w:val="00B0103D"/>
    <w:rsid w:val="00B01AA0"/>
    <w:rsid w:val="00B01FDD"/>
    <w:rsid w:val="00B028A5"/>
    <w:rsid w:val="00B02F7A"/>
    <w:rsid w:val="00B03212"/>
    <w:rsid w:val="00B04182"/>
    <w:rsid w:val="00B0483E"/>
    <w:rsid w:val="00B063BB"/>
    <w:rsid w:val="00B06430"/>
    <w:rsid w:val="00B07548"/>
    <w:rsid w:val="00B07A1C"/>
    <w:rsid w:val="00B07AE3"/>
    <w:rsid w:val="00B10592"/>
    <w:rsid w:val="00B109A0"/>
    <w:rsid w:val="00B1107A"/>
    <w:rsid w:val="00B11430"/>
    <w:rsid w:val="00B11979"/>
    <w:rsid w:val="00B11B79"/>
    <w:rsid w:val="00B11BA0"/>
    <w:rsid w:val="00B122AC"/>
    <w:rsid w:val="00B12D7B"/>
    <w:rsid w:val="00B13128"/>
    <w:rsid w:val="00B138BE"/>
    <w:rsid w:val="00B14225"/>
    <w:rsid w:val="00B1431B"/>
    <w:rsid w:val="00B150F3"/>
    <w:rsid w:val="00B154CE"/>
    <w:rsid w:val="00B15B17"/>
    <w:rsid w:val="00B16404"/>
    <w:rsid w:val="00B16642"/>
    <w:rsid w:val="00B1671A"/>
    <w:rsid w:val="00B16F96"/>
    <w:rsid w:val="00B17399"/>
    <w:rsid w:val="00B21775"/>
    <w:rsid w:val="00B22010"/>
    <w:rsid w:val="00B22CC7"/>
    <w:rsid w:val="00B22D44"/>
    <w:rsid w:val="00B22FD0"/>
    <w:rsid w:val="00B24C95"/>
    <w:rsid w:val="00B265FC"/>
    <w:rsid w:val="00B26BC9"/>
    <w:rsid w:val="00B27100"/>
    <w:rsid w:val="00B2723A"/>
    <w:rsid w:val="00B2744A"/>
    <w:rsid w:val="00B3060B"/>
    <w:rsid w:val="00B30842"/>
    <w:rsid w:val="00B31CFC"/>
    <w:rsid w:val="00B3203A"/>
    <w:rsid w:val="00B32581"/>
    <w:rsid w:val="00B32F85"/>
    <w:rsid w:val="00B330A9"/>
    <w:rsid w:val="00B336A1"/>
    <w:rsid w:val="00B336E9"/>
    <w:rsid w:val="00B34604"/>
    <w:rsid w:val="00B34E5B"/>
    <w:rsid w:val="00B35006"/>
    <w:rsid w:val="00B353EB"/>
    <w:rsid w:val="00B35950"/>
    <w:rsid w:val="00B35A39"/>
    <w:rsid w:val="00B369E5"/>
    <w:rsid w:val="00B379EC"/>
    <w:rsid w:val="00B37D41"/>
    <w:rsid w:val="00B40AA3"/>
    <w:rsid w:val="00B40D2B"/>
    <w:rsid w:val="00B41611"/>
    <w:rsid w:val="00B42165"/>
    <w:rsid w:val="00B424E1"/>
    <w:rsid w:val="00B42631"/>
    <w:rsid w:val="00B43328"/>
    <w:rsid w:val="00B43918"/>
    <w:rsid w:val="00B439C4"/>
    <w:rsid w:val="00B443AB"/>
    <w:rsid w:val="00B44897"/>
    <w:rsid w:val="00B45292"/>
    <w:rsid w:val="00B4535E"/>
    <w:rsid w:val="00B456B4"/>
    <w:rsid w:val="00B45D1F"/>
    <w:rsid w:val="00B45FE2"/>
    <w:rsid w:val="00B46904"/>
    <w:rsid w:val="00B46AAF"/>
    <w:rsid w:val="00B4732F"/>
    <w:rsid w:val="00B47BBD"/>
    <w:rsid w:val="00B47D03"/>
    <w:rsid w:val="00B50803"/>
    <w:rsid w:val="00B50EAF"/>
    <w:rsid w:val="00B51E85"/>
    <w:rsid w:val="00B521D9"/>
    <w:rsid w:val="00B52A8C"/>
    <w:rsid w:val="00B52DFD"/>
    <w:rsid w:val="00B53501"/>
    <w:rsid w:val="00B53519"/>
    <w:rsid w:val="00B53571"/>
    <w:rsid w:val="00B53594"/>
    <w:rsid w:val="00B53B4D"/>
    <w:rsid w:val="00B541EC"/>
    <w:rsid w:val="00B54A01"/>
    <w:rsid w:val="00B5519C"/>
    <w:rsid w:val="00B55310"/>
    <w:rsid w:val="00B5645A"/>
    <w:rsid w:val="00B571B4"/>
    <w:rsid w:val="00B575AB"/>
    <w:rsid w:val="00B576D7"/>
    <w:rsid w:val="00B57919"/>
    <w:rsid w:val="00B60817"/>
    <w:rsid w:val="00B613AE"/>
    <w:rsid w:val="00B614BA"/>
    <w:rsid w:val="00B6299D"/>
    <w:rsid w:val="00B636A8"/>
    <w:rsid w:val="00B6395D"/>
    <w:rsid w:val="00B65622"/>
    <w:rsid w:val="00B66154"/>
    <w:rsid w:val="00B66324"/>
    <w:rsid w:val="00B665C6"/>
    <w:rsid w:val="00B67062"/>
    <w:rsid w:val="00B671BD"/>
    <w:rsid w:val="00B67960"/>
    <w:rsid w:val="00B67971"/>
    <w:rsid w:val="00B67A62"/>
    <w:rsid w:val="00B67CA5"/>
    <w:rsid w:val="00B67E03"/>
    <w:rsid w:val="00B70493"/>
    <w:rsid w:val="00B70EFC"/>
    <w:rsid w:val="00B713D5"/>
    <w:rsid w:val="00B7153C"/>
    <w:rsid w:val="00B71DAE"/>
    <w:rsid w:val="00B72131"/>
    <w:rsid w:val="00B728DE"/>
    <w:rsid w:val="00B737E1"/>
    <w:rsid w:val="00B758CD"/>
    <w:rsid w:val="00B77DBE"/>
    <w:rsid w:val="00B77F77"/>
    <w:rsid w:val="00B80452"/>
    <w:rsid w:val="00B805AF"/>
    <w:rsid w:val="00B80B02"/>
    <w:rsid w:val="00B81834"/>
    <w:rsid w:val="00B81F5F"/>
    <w:rsid w:val="00B81F8C"/>
    <w:rsid w:val="00B82545"/>
    <w:rsid w:val="00B828FA"/>
    <w:rsid w:val="00B83790"/>
    <w:rsid w:val="00B83C03"/>
    <w:rsid w:val="00B8426F"/>
    <w:rsid w:val="00B845B3"/>
    <w:rsid w:val="00B84D87"/>
    <w:rsid w:val="00B8537B"/>
    <w:rsid w:val="00B85D43"/>
    <w:rsid w:val="00B8649A"/>
    <w:rsid w:val="00B869EC"/>
    <w:rsid w:val="00B8758D"/>
    <w:rsid w:val="00B875A8"/>
    <w:rsid w:val="00B87EC8"/>
    <w:rsid w:val="00B900EB"/>
    <w:rsid w:val="00B903D4"/>
    <w:rsid w:val="00B92254"/>
    <w:rsid w:val="00B922F5"/>
    <w:rsid w:val="00B92DC0"/>
    <w:rsid w:val="00B92DD3"/>
    <w:rsid w:val="00B93255"/>
    <w:rsid w:val="00B9351F"/>
    <w:rsid w:val="00B93520"/>
    <w:rsid w:val="00B9397A"/>
    <w:rsid w:val="00B94B85"/>
    <w:rsid w:val="00B94C58"/>
    <w:rsid w:val="00B94EE4"/>
    <w:rsid w:val="00B95C6C"/>
    <w:rsid w:val="00B9633D"/>
    <w:rsid w:val="00B96945"/>
    <w:rsid w:val="00B9707D"/>
    <w:rsid w:val="00B970AD"/>
    <w:rsid w:val="00B97370"/>
    <w:rsid w:val="00BA013D"/>
    <w:rsid w:val="00BA0565"/>
    <w:rsid w:val="00BA0580"/>
    <w:rsid w:val="00BA0F4E"/>
    <w:rsid w:val="00BA1657"/>
    <w:rsid w:val="00BA1FEC"/>
    <w:rsid w:val="00BA2772"/>
    <w:rsid w:val="00BA2EBE"/>
    <w:rsid w:val="00BA3324"/>
    <w:rsid w:val="00BA46F2"/>
    <w:rsid w:val="00BA4B19"/>
    <w:rsid w:val="00BA578A"/>
    <w:rsid w:val="00BA5B1E"/>
    <w:rsid w:val="00BA6820"/>
    <w:rsid w:val="00BA6CDC"/>
    <w:rsid w:val="00BA6D5B"/>
    <w:rsid w:val="00BA73B3"/>
    <w:rsid w:val="00BA74A3"/>
    <w:rsid w:val="00BA799A"/>
    <w:rsid w:val="00BA7A7D"/>
    <w:rsid w:val="00BB011E"/>
    <w:rsid w:val="00BB0F28"/>
    <w:rsid w:val="00BB1D38"/>
    <w:rsid w:val="00BB1F0C"/>
    <w:rsid w:val="00BB23E5"/>
    <w:rsid w:val="00BB2E12"/>
    <w:rsid w:val="00BB2EB0"/>
    <w:rsid w:val="00BB30A9"/>
    <w:rsid w:val="00BB37BD"/>
    <w:rsid w:val="00BB3A82"/>
    <w:rsid w:val="00BB458A"/>
    <w:rsid w:val="00BB4630"/>
    <w:rsid w:val="00BB4699"/>
    <w:rsid w:val="00BB48C7"/>
    <w:rsid w:val="00BB577E"/>
    <w:rsid w:val="00BB5782"/>
    <w:rsid w:val="00BB6B84"/>
    <w:rsid w:val="00BB6CEE"/>
    <w:rsid w:val="00BB7640"/>
    <w:rsid w:val="00BB775A"/>
    <w:rsid w:val="00BB77DC"/>
    <w:rsid w:val="00BC03AC"/>
    <w:rsid w:val="00BC147B"/>
    <w:rsid w:val="00BC2254"/>
    <w:rsid w:val="00BC23A0"/>
    <w:rsid w:val="00BC272E"/>
    <w:rsid w:val="00BC2A22"/>
    <w:rsid w:val="00BC448E"/>
    <w:rsid w:val="00BC4520"/>
    <w:rsid w:val="00BC4C58"/>
    <w:rsid w:val="00BC53CF"/>
    <w:rsid w:val="00BC553F"/>
    <w:rsid w:val="00BC5AA5"/>
    <w:rsid w:val="00BC5B44"/>
    <w:rsid w:val="00BC5D88"/>
    <w:rsid w:val="00BD00D3"/>
    <w:rsid w:val="00BD0209"/>
    <w:rsid w:val="00BD0C2C"/>
    <w:rsid w:val="00BD1659"/>
    <w:rsid w:val="00BD2288"/>
    <w:rsid w:val="00BD2C3E"/>
    <w:rsid w:val="00BD2DA4"/>
    <w:rsid w:val="00BD39C2"/>
    <w:rsid w:val="00BD39F3"/>
    <w:rsid w:val="00BD3AA9"/>
    <w:rsid w:val="00BD4A18"/>
    <w:rsid w:val="00BD4E37"/>
    <w:rsid w:val="00BD53A1"/>
    <w:rsid w:val="00BD5575"/>
    <w:rsid w:val="00BD5655"/>
    <w:rsid w:val="00BD5A4B"/>
    <w:rsid w:val="00BD5EA0"/>
    <w:rsid w:val="00BD6442"/>
    <w:rsid w:val="00BD6B3D"/>
    <w:rsid w:val="00BD6DB2"/>
    <w:rsid w:val="00BD753D"/>
    <w:rsid w:val="00BD754B"/>
    <w:rsid w:val="00BE11CF"/>
    <w:rsid w:val="00BE12F1"/>
    <w:rsid w:val="00BE1691"/>
    <w:rsid w:val="00BE198C"/>
    <w:rsid w:val="00BE21AB"/>
    <w:rsid w:val="00BE2858"/>
    <w:rsid w:val="00BE29BC"/>
    <w:rsid w:val="00BE37BB"/>
    <w:rsid w:val="00BE3891"/>
    <w:rsid w:val="00BE39AD"/>
    <w:rsid w:val="00BE3C54"/>
    <w:rsid w:val="00BE4ECD"/>
    <w:rsid w:val="00BE5231"/>
    <w:rsid w:val="00BE55CB"/>
    <w:rsid w:val="00BE78B2"/>
    <w:rsid w:val="00BE7E17"/>
    <w:rsid w:val="00BE7E6D"/>
    <w:rsid w:val="00BF0101"/>
    <w:rsid w:val="00BF0256"/>
    <w:rsid w:val="00BF0E1C"/>
    <w:rsid w:val="00BF1723"/>
    <w:rsid w:val="00BF178F"/>
    <w:rsid w:val="00BF1A68"/>
    <w:rsid w:val="00BF1D7B"/>
    <w:rsid w:val="00BF34DB"/>
    <w:rsid w:val="00BF3824"/>
    <w:rsid w:val="00BF4A25"/>
    <w:rsid w:val="00BF4D64"/>
    <w:rsid w:val="00BF5255"/>
    <w:rsid w:val="00BF5DFF"/>
    <w:rsid w:val="00BF600C"/>
    <w:rsid w:val="00BF617A"/>
    <w:rsid w:val="00BF6E37"/>
    <w:rsid w:val="00BF6FF2"/>
    <w:rsid w:val="00BF77BB"/>
    <w:rsid w:val="00BF7B04"/>
    <w:rsid w:val="00C0033E"/>
    <w:rsid w:val="00C005BF"/>
    <w:rsid w:val="00C00979"/>
    <w:rsid w:val="00C00E14"/>
    <w:rsid w:val="00C0148E"/>
    <w:rsid w:val="00C01C84"/>
    <w:rsid w:val="00C02E00"/>
    <w:rsid w:val="00C031F9"/>
    <w:rsid w:val="00C0379D"/>
    <w:rsid w:val="00C03931"/>
    <w:rsid w:val="00C04159"/>
    <w:rsid w:val="00C04538"/>
    <w:rsid w:val="00C0496B"/>
    <w:rsid w:val="00C05171"/>
    <w:rsid w:val="00C05FE3"/>
    <w:rsid w:val="00C07FAE"/>
    <w:rsid w:val="00C10AB8"/>
    <w:rsid w:val="00C129C0"/>
    <w:rsid w:val="00C12A83"/>
    <w:rsid w:val="00C13EAE"/>
    <w:rsid w:val="00C13F1D"/>
    <w:rsid w:val="00C146FD"/>
    <w:rsid w:val="00C1513C"/>
    <w:rsid w:val="00C16F32"/>
    <w:rsid w:val="00C177A9"/>
    <w:rsid w:val="00C2019C"/>
    <w:rsid w:val="00C20495"/>
    <w:rsid w:val="00C20F63"/>
    <w:rsid w:val="00C2136D"/>
    <w:rsid w:val="00C214EE"/>
    <w:rsid w:val="00C2314B"/>
    <w:rsid w:val="00C2394C"/>
    <w:rsid w:val="00C23BDC"/>
    <w:rsid w:val="00C23C5D"/>
    <w:rsid w:val="00C2404D"/>
    <w:rsid w:val="00C24736"/>
    <w:rsid w:val="00C24971"/>
    <w:rsid w:val="00C24CD2"/>
    <w:rsid w:val="00C24D03"/>
    <w:rsid w:val="00C26B8A"/>
    <w:rsid w:val="00C26BE5"/>
    <w:rsid w:val="00C26E4D"/>
    <w:rsid w:val="00C2711B"/>
    <w:rsid w:val="00C27909"/>
    <w:rsid w:val="00C27B03"/>
    <w:rsid w:val="00C27D11"/>
    <w:rsid w:val="00C307D0"/>
    <w:rsid w:val="00C308D4"/>
    <w:rsid w:val="00C30C7B"/>
    <w:rsid w:val="00C314E1"/>
    <w:rsid w:val="00C31AB5"/>
    <w:rsid w:val="00C31B53"/>
    <w:rsid w:val="00C31C22"/>
    <w:rsid w:val="00C323D7"/>
    <w:rsid w:val="00C32A7A"/>
    <w:rsid w:val="00C32DDE"/>
    <w:rsid w:val="00C32ED0"/>
    <w:rsid w:val="00C33055"/>
    <w:rsid w:val="00C33771"/>
    <w:rsid w:val="00C33914"/>
    <w:rsid w:val="00C33F6D"/>
    <w:rsid w:val="00C34376"/>
    <w:rsid w:val="00C34397"/>
    <w:rsid w:val="00C34987"/>
    <w:rsid w:val="00C34C56"/>
    <w:rsid w:val="00C360DF"/>
    <w:rsid w:val="00C4017A"/>
    <w:rsid w:val="00C408EF"/>
    <w:rsid w:val="00C4095D"/>
    <w:rsid w:val="00C41F59"/>
    <w:rsid w:val="00C43716"/>
    <w:rsid w:val="00C43C7B"/>
    <w:rsid w:val="00C43E92"/>
    <w:rsid w:val="00C43EA9"/>
    <w:rsid w:val="00C445D9"/>
    <w:rsid w:val="00C44E1A"/>
    <w:rsid w:val="00C457B2"/>
    <w:rsid w:val="00C461D5"/>
    <w:rsid w:val="00C46511"/>
    <w:rsid w:val="00C469BC"/>
    <w:rsid w:val="00C472A7"/>
    <w:rsid w:val="00C501CE"/>
    <w:rsid w:val="00C51260"/>
    <w:rsid w:val="00C5191B"/>
    <w:rsid w:val="00C51EFD"/>
    <w:rsid w:val="00C52464"/>
    <w:rsid w:val="00C55145"/>
    <w:rsid w:val="00C5796C"/>
    <w:rsid w:val="00C57EDE"/>
    <w:rsid w:val="00C601D2"/>
    <w:rsid w:val="00C605F3"/>
    <w:rsid w:val="00C60634"/>
    <w:rsid w:val="00C6114F"/>
    <w:rsid w:val="00C626B6"/>
    <w:rsid w:val="00C63380"/>
    <w:rsid w:val="00C63F07"/>
    <w:rsid w:val="00C64403"/>
    <w:rsid w:val="00C64EB7"/>
    <w:rsid w:val="00C64FED"/>
    <w:rsid w:val="00C65487"/>
    <w:rsid w:val="00C65BCC"/>
    <w:rsid w:val="00C6603B"/>
    <w:rsid w:val="00C6614B"/>
    <w:rsid w:val="00C661ED"/>
    <w:rsid w:val="00C66970"/>
    <w:rsid w:val="00C678A9"/>
    <w:rsid w:val="00C67FC3"/>
    <w:rsid w:val="00C70D5B"/>
    <w:rsid w:val="00C70E64"/>
    <w:rsid w:val="00C72091"/>
    <w:rsid w:val="00C732D3"/>
    <w:rsid w:val="00C73363"/>
    <w:rsid w:val="00C746A6"/>
    <w:rsid w:val="00C74EF2"/>
    <w:rsid w:val="00C75339"/>
    <w:rsid w:val="00C761A4"/>
    <w:rsid w:val="00C825EB"/>
    <w:rsid w:val="00C829C0"/>
    <w:rsid w:val="00C82C22"/>
    <w:rsid w:val="00C841B4"/>
    <w:rsid w:val="00C84374"/>
    <w:rsid w:val="00C8452A"/>
    <w:rsid w:val="00C868C5"/>
    <w:rsid w:val="00C8691C"/>
    <w:rsid w:val="00C874FA"/>
    <w:rsid w:val="00C87865"/>
    <w:rsid w:val="00C87D01"/>
    <w:rsid w:val="00C91865"/>
    <w:rsid w:val="00C9228E"/>
    <w:rsid w:val="00C93AD2"/>
    <w:rsid w:val="00C949EE"/>
    <w:rsid w:val="00C9585B"/>
    <w:rsid w:val="00C970C4"/>
    <w:rsid w:val="00C973D0"/>
    <w:rsid w:val="00C97FF7"/>
    <w:rsid w:val="00CA0340"/>
    <w:rsid w:val="00CA0DFD"/>
    <w:rsid w:val="00CA11A7"/>
    <w:rsid w:val="00CA168A"/>
    <w:rsid w:val="00CA28D4"/>
    <w:rsid w:val="00CA357E"/>
    <w:rsid w:val="00CA39C7"/>
    <w:rsid w:val="00CA3C76"/>
    <w:rsid w:val="00CA3E28"/>
    <w:rsid w:val="00CA4042"/>
    <w:rsid w:val="00CA44F9"/>
    <w:rsid w:val="00CA456A"/>
    <w:rsid w:val="00CA45DB"/>
    <w:rsid w:val="00CA478A"/>
    <w:rsid w:val="00CA48C0"/>
    <w:rsid w:val="00CA4A69"/>
    <w:rsid w:val="00CA5407"/>
    <w:rsid w:val="00CA5D4F"/>
    <w:rsid w:val="00CA7C41"/>
    <w:rsid w:val="00CB03AA"/>
    <w:rsid w:val="00CB0530"/>
    <w:rsid w:val="00CB094E"/>
    <w:rsid w:val="00CB0A36"/>
    <w:rsid w:val="00CB2B18"/>
    <w:rsid w:val="00CB3089"/>
    <w:rsid w:val="00CB40CB"/>
    <w:rsid w:val="00CB45CC"/>
    <w:rsid w:val="00CB5868"/>
    <w:rsid w:val="00CB62E9"/>
    <w:rsid w:val="00CB6395"/>
    <w:rsid w:val="00CB7A1B"/>
    <w:rsid w:val="00CB7AED"/>
    <w:rsid w:val="00CC0B97"/>
    <w:rsid w:val="00CC0E81"/>
    <w:rsid w:val="00CC1788"/>
    <w:rsid w:val="00CC21EF"/>
    <w:rsid w:val="00CC2C98"/>
    <w:rsid w:val="00CC3E0C"/>
    <w:rsid w:val="00CC3F2E"/>
    <w:rsid w:val="00CC54A7"/>
    <w:rsid w:val="00CC58D3"/>
    <w:rsid w:val="00CC59D4"/>
    <w:rsid w:val="00CC5B92"/>
    <w:rsid w:val="00CC61DE"/>
    <w:rsid w:val="00CC6735"/>
    <w:rsid w:val="00CC697C"/>
    <w:rsid w:val="00CC7603"/>
    <w:rsid w:val="00CC784D"/>
    <w:rsid w:val="00CD075A"/>
    <w:rsid w:val="00CD09A2"/>
    <w:rsid w:val="00CD0BA2"/>
    <w:rsid w:val="00CD0F35"/>
    <w:rsid w:val="00CD113F"/>
    <w:rsid w:val="00CD13B7"/>
    <w:rsid w:val="00CD1475"/>
    <w:rsid w:val="00CD14EF"/>
    <w:rsid w:val="00CD1BF1"/>
    <w:rsid w:val="00CD1E55"/>
    <w:rsid w:val="00CD262A"/>
    <w:rsid w:val="00CD3448"/>
    <w:rsid w:val="00CD3729"/>
    <w:rsid w:val="00CD3A32"/>
    <w:rsid w:val="00CD40F3"/>
    <w:rsid w:val="00CD423B"/>
    <w:rsid w:val="00CD4432"/>
    <w:rsid w:val="00CD58EF"/>
    <w:rsid w:val="00CD5979"/>
    <w:rsid w:val="00CD5E08"/>
    <w:rsid w:val="00CD61EB"/>
    <w:rsid w:val="00CD61FD"/>
    <w:rsid w:val="00CD627B"/>
    <w:rsid w:val="00CD680E"/>
    <w:rsid w:val="00CD693C"/>
    <w:rsid w:val="00CD6ADE"/>
    <w:rsid w:val="00CE11B5"/>
    <w:rsid w:val="00CE1334"/>
    <w:rsid w:val="00CE1BE6"/>
    <w:rsid w:val="00CE2677"/>
    <w:rsid w:val="00CE30AC"/>
    <w:rsid w:val="00CE44DB"/>
    <w:rsid w:val="00CE45DA"/>
    <w:rsid w:val="00CE4FCF"/>
    <w:rsid w:val="00CE62AB"/>
    <w:rsid w:val="00CE6652"/>
    <w:rsid w:val="00CE6A90"/>
    <w:rsid w:val="00CE6C3B"/>
    <w:rsid w:val="00CE7C21"/>
    <w:rsid w:val="00CF09BB"/>
    <w:rsid w:val="00CF0CAC"/>
    <w:rsid w:val="00CF1A8E"/>
    <w:rsid w:val="00CF2C0E"/>
    <w:rsid w:val="00CF2ED6"/>
    <w:rsid w:val="00CF3713"/>
    <w:rsid w:val="00CF382B"/>
    <w:rsid w:val="00CF462C"/>
    <w:rsid w:val="00CF4BB2"/>
    <w:rsid w:val="00CF4EED"/>
    <w:rsid w:val="00CF5819"/>
    <w:rsid w:val="00CF6AD0"/>
    <w:rsid w:val="00CF6F2F"/>
    <w:rsid w:val="00CF77BB"/>
    <w:rsid w:val="00D01A86"/>
    <w:rsid w:val="00D02164"/>
    <w:rsid w:val="00D023CB"/>
    <w:rsid w:val="00D02ACC"/>
    <w:rsid w:val="00D02F80"/>
    <w:rsid w:val="00D0337B"/>
    <w:rsid w:val="00D041BA"/>
    <w:rsid w:val="00D04535"/>
    <w:rsid w:val="00D045BE"/>
    <w:rsid w:val="00D04854"/>
    <w:rsid w:val="00D049C9"/>
    <w:rsid w:val="00D04B0A"/>
    <w:rsid w:val="00D04D41"/>
    <w:rsid w:val="00D0526A"/>
    <w:rsid w:val="00D0664B"/>
    <w:rsid w:val="00D078F5"/>
    <w:rsid w:val="00D079B2"/>
    <w:rsid w:val="00D10B09"/>
    <w:rsid w:val="00D114E9"/>
    <w:rsid w:val="00D12301"/>
    <w:rsid w:val="00D12888"/>
    <w:rsid w:val="00D12CB2"/>
    <w:rsid w:val="00D12FEE"/>
    <w:rsid w:val="00D14356"/>
    <w:rsid w:val="00D14F75"/>
    <w:rsid w:val="00D1594B"/>
    <w:rsid w:val="00D16022"/>
    <w:rsid w:val="00D16244"/>
    <w:rsid w:val="00D165CD"/>
    <w:rsid w:val="00D166AC"/>
    <w:rsid w:val="00D169E0"/>
    <w:rsid w:val="00D17A13"/>
    <w:rsid w:val="00D17DBD"/>
    <w:rsid w:val="00D17F92"/>
    <w:rsid w:val="00D2016F"/>
    <w:rsid w:val="00D206DC"/>
    <w:rsid w:val="00D209AA"/>
    <w:rsid w:val="00D20B39"/>
    <w:rsid w:val="00D2153E"/>
    <w:rsid w:val="00D224DE"/>
    <w:rsid w:val="00D2266A"/>
    <w:rsid w:val="00D22B5F"/>
    <w:rsid w:val="00D22B76"/>
    <w:rsid w:val="00D23048"/>
    <w:rsid w:val="00D23521"/>
    <w:rsid w:val="00D24D7D"/>
    <w:rsid w:val="00D26AAF"/>
    <w:rsid w:val="00D26ADD"/>
    <w:rsid w:val="00D27524"/>
    <w:rsid w:val="00D276E8"/>
    <w:rsid w:val="00D27A4A"/>
    <w:rsid w:val="00D27C36"/>
    <w:rsid w:val="00D27F7C"/>
    <w:rsid w:val="00D30142"/>
    <w:rsid w:val="00D3023A"/>
    <w:rsid w:val="00D303D5"/>
    <w:rsid w:val="00D31186"/>
    <w:rsid w:val="00D314C0"/>
    <w:rsid w:val="00D319ED"/>
    <w:rsid w:val="00D322AA"/>
    <w:rsid w:val="00D32C7E"/>
    <w:rsid w:val="00D32DA1"/>
    <w:rsid w:val="00D32E04"/>
    <w:rsid w:val="00D33CC9"/>
    <w:rsid w:val="00D33DB4"/>
    <w:rsid w:val="00D33F01"/>
    <w:rsid w:val="00D342BA"/>
    <w:rsid w:val="00D344D8"/>
    <w:rsid w:val="00D3488C"/>
    <w:rsid w:val="00D35488"/>
    <w:rsid w:val="00D358E6"/>
    <w:rsid w:val="00D36AA2"/>
    <w:rsid w:val="00D36BB5"/>
    <w:rsid w:val="00D40577"/>
    <w:rsid w:val="00D4098C"/>
    <w:rsid w:val="00D40A17"/>
    <w:rsid w:val="00D415CF"/>
    <w:rsid w:val="00D41E00"/>
    <w:rsid w:val="00D429A1"/>
    <w:rsid w:val="00D429C6"/>
    <w:rsid w:val="00D42CC1"/>
    <w:rsid w:val="00D43C32"/>
    <w:rsid w:val="00D466C0"/>
    <w:rsid w:val="00D476A3"/>
    <w:rsid w:val="00D47748"/>
    <w:rsid w:val="00D47E7C"/>
    <w:rsid w:val="00D50935"/>
    <w:rsid w:val="00D50AC2"/>
    <w:rsid w:val="00D50FC8"/>
    <w:rsid w:val="00D518EC"/>
    <w:rsid w:val="00D51AB3"/>
    <w:rsid w:val="00D532B5"/>
    <w:rsid w:val="00D53B50"/>
    <w:rsid w:val="00D5472D"/>
    <w:rsid w:val="00D54A3F"/>
    <w:rsid w:val="00D54CC3"/>
    <w:rsid w:val="00D56441"/>
    <w:rsid w:val="00D57775"/>
    <w:rsid w:val="00D579A3"/>
    <w:rsid w:val="00D579E0"/>
    <w:rsid w:val="00D57D70"/>
    <w:rsid w:val="00D6041A"/>
    <w:rsid w:val="00D614F7"/>
    <w:rsid w:val="00D61899"/>
    <w:rsid w:val="00D61933"/>
    <w:rsid w:val="00D62C25"/>
    <w:rsid w:val="00D62F82"/>
    <w:rsid w:val="00D633EB"/>
    <w:rsid w:val="00D63D4E"/>
    <w:rsid w:val="00D63D96"/>
    <w:rsid w:val="00D64D94"/>
    <w:rsid w:val="00D64F4A"/>
    <w:rsid w:val="00D65262"/>
    <w:rsid w:val="00D65280"/>
    <w:rsid w:val="00D66102"/>
    <w:rsid w:val="00D66C1F"/>
    <w:rsid w:val="00D6719B"/>
    <w:rsid w:val="00D6761F"/>
    <w:rsid w:val="00D7027A"/>
    <w:rsid w:val="00D70BFC"/>
    <w:rsid w:val="00D7121C"/>
    <w:rsid w:val="00D712E3"/>
    <w:rsid w:val="00D71794"/>
    <w:rsid w:val="00D71BEA"/>
    <w:rsid w:val="00D72EC0"/>
    <w:rsid w:val="00D7336B"/>
    <w:rsid w:val="00D73AE9"/>
    <w:rsid w:val="00D7428C"/>
    <w:rsid w:val="00D743A4"/>
    <w:rsid w:val="00D75972"/>
    <w:rsid w:val="00D75EA9"/>
    <w:rsid w:val="00D761D0"/>
    <w:rsid w:val="00D76245"/>
    <w:rsid w:val="00D76561"/>
    <w:rsid w:val="00D76633"/>
    <w:rsid w:val="00D80D3F"/>
    <w:rsid w:val="00D80DF5"/>
    <w:rsid w:val="00D8162C"/>
    <w:rsid w:val="00D82262"/>
    <w:rsid w:val="00D82393"/>
    <w:rsid w:val="00D82C9A"/>
    <w:rsid w:val="00D82FF7"/>
    <w:rsid w:val="00D833F7"/>
    <w:rsid w:val="00D83646"/>
    <w:rsid w:val="00D837FE"/>
    <w:rsid w:val="00D83E6B"/>
    <w:rsid w:val="00D847FE"/>
    <w:rsid w:val="00D84CB5"/>
    <w:rsid w:val="00D854CF"/>
    <w:rsid w:val="00D85C73"/>
    <w:rsid w:val="00D86679"/>
    <w:rsid w:val="00D906D7"/>
    <w:rsid w:val="00D907D4"/>
    <w:rsid w:val="00D9086D"/>
    <w:rsid w:val="00D90897"/>
    <w:rsid w:val="00D9100D"/>
    <w:rsid w:val="00D91233"/>
    <w:rsid w:val="00D91C8E"/>
    <w:rsid w:val="00D91FBB"/>
    <w:rsid w:val="00D92C12"/>
    <w:rsid w:val="00D939D7"/>
    <w:rsid w:val="00D94BD6"/>
    <w:rsid w:val="00D95133"/>
    <w:rsid w:val="00D9587A"/>
    <w:rsid w:val="00D95F99"/>
    <w:rsid w:val="00D960F2"/>
    <w:rsid w:val="00D964EA"/>
    <w:rsid w:val="00D96694"/>
    <w:rsid w:val="00D966D0"/>
    <w:rsid w:val="00D96B88"/>
    <w:rsid w:val="00DA0218"/>
    <w:rsid w:val="00DA04A2"/>
    <w:rsid w:val="00DA087D"/>
    <w:rsid w:val="00DA0C59"/>
    <w:rsid w:val="00DA0FDA"/>
    <w:rsid w:val="00DA15C0"/>
    <w:rsid w:val="00DA1E53"/>
    <w:rsid w:val="00DA2520"/>
    <w:rsid w:val="00DA26D5"/>
    <w:rsid w:val="00DA2ABD"/>
    <w:rsid w:val="00DA2DF2"/>
    <w:rsid w:val="00DA30FF"/>
    <w:rsid w:val="00DA357E"/>
    <w:rsid w:val="00DA36A0"/>
    <w:rsid w:val="00DA3991"/>
    <w:rsid w:val="00DA4F86"/>
    <w:rsid w:val="00DA5C08"/>
    <w:rsid w:val="00DA5C0B"/>
    <w:rsid w:val="00DA6102"/>
    <w:rsid w:val="00DA6189"/>
    <w:rsid w:val="00DA7382"/>
    <w:rsid w:val="00DA76C5"/>
    <w:rsid w:val="00DA7E64"/>
    <w:rsid w:val="00DB0146"/>
    <w:rsid w:val="00DB061D"/>
    <w:rsid w:val="00DB0B53"/>
    <w:rsid w:val="00DB1230"/>
    <w:rsid w:val="00DB18FA"/>
    <w:rsid w:val="00DB27A5"/>
    <w:rsid w:val="00DB314C"/>
    <w:rsid w:val="00DB3CBC"/>
    <w:rsid w:val="00DB4AE9"/>
    <w:rsid w:val="00DB69C4"/>
    <w:rsid w:val="00DB7AD4"/>
    <w:rsid w:val="00DB7BA5"/>
    <w:rsid w:val="00DB7D1A"/>
    <w:rsid w:val="00DB7E6C"/>
    <w:rsid w:val="00DC016E"/>
    <w:rsid w:val="00DC1914"/>
    <w:rsid w:val="00DC1997"/>
    <w:rsid w:val="00DC3043"/>
    <w:rsid w:val="00DC346B"/>
    <w:rsid w:val="00DC3E0C"/>
    <w:rsid w:val="00DC3ECF"/>
    <w:rsid w:val="00DC5646"/>
    <w:rsid w:val="00DC77C7"/>
    <w:rsid w:val="00DC78BF"/>
    <w:rsid w:val="00DC7E9D"/>
    <w:rsid w:val="00DD083F"/>
    <w:rsid w:val="00DD0BF5"/>
    <w:rsid w:val="00DD0DE2"/>
    <w:rsid w:val="00DD1523"/>
    <w:rsid w:val="00DD1BC0"/>
    <w:rsid w:val="00DD1C99"/>
    <w:rsid w:val="00DD1E4D"/>
    <w:rsid w:val="00DD20E5"/>
    <w:rsid w:val="00DD2215"/>
    <w:rsid w:val="00DD22F3"/>
    <w:rsid w:val="00DD25CB"/>
    <w:rsid w:val="00DD3C54"/>
    <w:rsid w:val="00DD5134"/>
    <w:rsid w:val="00DD52A0"/>
    <w:rsid w:val="00DD5A29"/>
    <w:rsid w:val="00DD5D9D"/>
    <w:rsid w:val="00DD67F3"/>
    <w:rsid w:val="00DD69B4"/>
    <w:rsid w:val="00DD7099"/>
    <w:rsid w:val="00DD76C1"/>
    <w:rsid w:val="00DD7D0D"/>
    <w:rsid w:val="00DD7F38"/>
    <w:rsid w:val="00DE0205"/>
    <w:rsid w:val="00DE0EEE"/>
    <w:rsid w:val="00DE1181"/>
    <w:rsid w:val="00DE16F0"/>
    <w:rsid w:val="00DE2CB1"/>
    <w:rsid w:val="00DE31E2"/>
    <w:rsid w:val="00DE35CB"/>
    <w:rsid w:val="00DE36C1"/>
    <w:rsid w:val="00DE46BF"/>
    <w:rsid w:val="00DE4993"/>
    <w:rsid w:val="00DE5192"/>
    <w:rsid w:val="00DE54F4"/>
    <w:rsid w:val="00DE554D"/>
    <w:rsid w:val="00DE62AD"/>
    <w:rsid w:val="00DE6E64"/>
    <w:rsid w:val="00DE7310"/>
    <w:rsid w:val="00DE74F2"/>
    <w:rsid w:val="00DE7859"/>
    <w:rsid w:val="00DF0668"/>
    <w:rsid w:val="00DF0821"/>
    <w:rsid w:val="00DF0D17"/>
    <w:rsid w:val="00DF16B2"/>
    <w:rsid w:val="00DF193C"/>
    <w:rsid w:val="00DF1B29"/>
    <w:rsid w:val="00DF1F3B"/>
    <w:rsid w:val="00DF2097"/>
    <w:rsid w:val="00DF21E9"/>
    <w:rsid w:val="00DF25C3"/>
    <w:rsid w:val="00DF2853"/>
    <w:rsid w:val="00DF2A0F"/>
    <w:rsid w:val="00DF2B34"/>
    <w:rsid w:val="00DF3AF8"/>
    <w:rsid w:val="00DF4E7B"/>
    <w:rsid w:val="00DF5FE2"/>
    <w:rsid w:val="00DF642A"/>
    <w:rsid w:val="00DF7441"/>
    <w:rsid w:val="00E00D1D"/>
    <w:rsid w:val="00E00F14"/>
    <w:rsid w:val="00E01697"/>
    <w:rsid w:val="00E0260F"/>
    <w:rsid w:val="00E0386E"/>
    <w:rsid w:val="00E046D6"/>
    <w:rsid w:val="00E049D3"/>
    <w:rsid w:val="00E04BDA"/>
    <w:rsid w:val="00E04C46"/>
    <w:rsid w:val="00E04FB6"/>
    <w:rsid w:val="00E054E7"/>
    <w:rsid w:val="00E05C02"/>
    <w:rsid w:val="00E06386"/>
    <w:rsid w:val="00E07625"/>
    <w:rsid w:val="00E0797F"/>
    <w:rsid w:val="00E1013A"/>
    <w:rsid w:val="00E1014A"/>
    <w:rsid w:val="00E11739"/>
    <w:rsid w:val="00E11A31"/>
    <w:rsid w:val="00E11CD9"/>
    <w:rsid w:val="00E12A02"/>
    <w:rsid w:val="00E12EEE"/>
    <w:rsid w:val="00E12F91"/>
    <w:rsid w:val="00E131B2"/>
    <w:rsid w:val="00E132B5"/>
    <w:rsid w:val="00E13464"/>
    <w:rsid w:val="00E145C4"/>
    <w:rsid w:val="00E154EB"/>
    <w:rsid w:val="00E15A42"/>
    <w:rsid w:val="00E15EEF"/>
    <w:rsid w:val="00E16701"/>
    <w:rsid w:val="00E169BB"/>
    <w:rsid w:val="00E175D7"/>
    <w:rsid w:val="00E17A95"/>
    <w:rsid w:val="00E17E7D"/>
    <w:rsid w:val="00E217BF"/>
    <w:rsid w:val="00E2368E"/>
    <w:rsid w:val="00E23A10"/>
    <w:rsid w:val="00E23E28"/>
    <w:rsid w:val="00E2490A"/>
    <w:rsid w:val="00E24EB4"/>
    <w:rsid w:val="00E24F0F"/>
    <w:rsid w:val="00E250A7"/>
    <w:rsid w:val="00E25195"/>
    <w:rsid w:val="00E2550D"/>
    <w:rsid w:val="00E25B39"/>
    <w:rsid w:val="00E25D79"/>
    <w:rsid w:val="00E25D86"/>
    <w:rsid w:val="00E26085"/>
    <w:rsid w:val="00E26274"/>
    <w:rsid w:val="00E265E0"/>
    <w:rsid w:val="00E26B0D"/>
    <w:rsid w:val="00E26D28"/>
    <w:rsid w:val="00E26D55"/>
    <w:rsid w:val="00E277C2"/>
    <w:rsid w:val="00E27A40"/>
    <w:rsid w:val="00E27B34"/>
    <w:rsid w:val="00E27B59"/>
    <w:rsid w:val="00E31751"/>
    <w:rsid w:val="00E31787"/>
    <w:rsid w:val="00E320ED"/>
    <w:rsid w:val="00E32BBD"/>
    <w:rsid w:val="00E33AFB"/>
    <w:rsid w:val="00E33E50"/>
    <w:rsid w:val="00E33F0A"/>
    <w:rsid w:val="00E34218"/>
    <w:rsid w:val="00E345D9"/>
    <w:rsid w:val="00E34EB0"/>
    <w:rsid w:val="00E353B4"/>
    <w:rsid w:val="00E35809"/>
    <w:rsid w:val="00E35D7A"/>
    <w:rsid w:val="00E3705B"/>
    <w:rsid w:val="00E371DF"/>
    <w:rsid w:val="00E373DA"/>
    <w:rsid w:val="00E378BC"/>
    <w:rsid w:val="00E404D0"/>
    <w:rsid w:val="00E40570"/>
    <w:rsid w:val="00E409A6"/>
    <w:rsid w:val="00E40AC6"/>
    <w:rsid w:val="00E412AC"/>
    <w:rsid w:val="00E413B1"/>
    <w:rsid w:val="00E41A5D"/>
    <w:rsid w:val="00E41A84"/>
    <w:rsid w:val="00E425FA"/>
    <w:rsid w:val="00E42E45"/>
    <w:rsid w:val="00E42F33"/>
    <w:rsid w:val="00E4318A"/>
    <w:rsid w:val="00E435F7"/>
    <w:rsid w:val="00E437A7"/>
    <w:rsid w:val="00E43CE8"/>
    <w:rsid w:val="00E44782"/>
    <w:rsid w:val="00E447B5"/>
    <w:rsid w:val="00E453E7"/>
    <w:rsid w:val="00E4571D"/>
    <w:rsid w:val="00E46282"/>
    <w:rsid w:val="00E463D5"/>
    <w:rsid w:val="00E46742"/>
    <w:rsid w:val="00E47A6B"/>
    <w:rsid w:val="00E47D95"/>
    <w:rsid w:val="00E50029"/>
    <w:rsid w:val="00E5166F"/>
    <w:rsid w:val="00E51AA2"/>
    <w:rsid w:val="00E5216E"/>
    <w:rsid w:val="00E52B0D"/>
    <w:rsid w:val="00E52EE2"/>
    <w:rsid w:val="00E532B3"/>
    <w:rsid w:val="00E53A11"/>
    <w:rsid w:val="00E53BB5"/>
    <w:rsid w:val="00E53E91"/>
    <w:rsid w:val="00E550FB"/>
    <w:rsid w:val="00E5517F"/>
    <w:rsid w:val="00E5575D"/>
    <w:rsid w:val="00E55972"/>
    <w:rsid w:val="00E55B09"/>
    <w:rsid w:val="00E56137"/>
    <w:rsid w:val="00E5655E"/>
    <w:rsid w:val="00E570D7"/>
    <w:rsid w:val="00E576D4"/>
    <w:rsid w:val="00E606FD"/>
    <w:rsid w:val="00E61382"/>
    <w:rsid w:val="00E62318"/>
    <w:rsid w:val="00E62666"/>
    <w:rsid w:val="00E63053"/>
    <w:rsid w:val="00E64740"/>
    <w:rsid w:val="00E6479E"/>
    <w:rsid w:val="00E64B7A"/>
    <w:rsid w:val="00E65175"/>
    <w:rsid w:val="00E65770"/>
    <w:rsid w:val="00E658BD"/>
    <w:rsid w:val="00E65FDC"/>
    <w:rsid w:val="00E66A18"/>
    <w:rsid w:val="00E66B1C"/>
    <w:rsid w:val="00E671F8"/>
    <w:rsid w:val="00E67282"/>
    <w:rsid w:val="00E6737A"/>
    <w:rsid w:val="00E70039"/>
    <w:rsid w:val="00E70162"/>
    <w:rsid w:val="00E704C1"/>
    <w:rsid w:val="00E70C0E"/>
    <w:rsid w:val="00E73008"/>
    <w:rsid w:val="00E7302B"/>
    <w:rsid w:val="00E73F59"/>
    <w:rsid w:val="00E7468A"/>
    <w:rsid w:val="00E75048"/>
    <w:rsid w:val="00E75373"/>
    <w:rsid w:val="00E75F5B"/>
    <w:rsid w:val="00E76431"/>
    <w:rsid w:val="00E768FC"/>
    <w:rsid w:val="00E77118"/>
    <w:rsid w:val="00E771AD"/>
    <w:rsid w:val="00E8028B"/>
    <w:rsid w:val="00E80924"/>
    <w:rsid w:val="00E812FE"/>
    <w:rsid w:val="00E81E54"/>
    <w:rsid w:val="00E82344"/>
    <w:rsid w:val="00E82A14"/>
    <w:rsid w:val="00E82F02"/>
    <w:rsid w:val="00E834C0"/>
    <w:rsid w:val="00E836C5"/>
    <w:rsid w:val="00E83CF6"/>
    <w:rsid w:val="00E83D27"/>
    <w:rsid w:val="00E83FB3"/>
    <w:rsid w:val="00E840C7"/>
    <w:rsid w:val="00E846EB"/>
    <w:rsid w:val="00E84A56"/>
    <w:rsid w:val="00E84C82"/>
    <w:rsid w:val="00E84D64"/>
    <w:rsid w:val="00E85EE9"/>
    <w:rsid w:val="00E867D4"/>
    <w:rsid w:val="00E87408"/>
    <w:rsid w:val="00E903CB"/>
    <w:rsid w:val="00E914C4"/>
    <w:rsid w:val="00E91B5D"/>
    <w:rsid w:val="00E91B91"/>
    <w:rsid w:val="00E91FD6"/>
    <w:rsid w:val="00E920D2"/>
    <w:rsid w:val="00E924D7"/>
    <w:rsid w:val="00E92A7E"/>
    <w:rsid w:val="00E92E0C"/>
    <w:rsid w:val="00E934F5"/>
    <w:rsid w:val="00E955EB"/>
    <w:rsid w:val="00E95CE7"/>
    <w:rsid w:val="00E968BE"/>
    <w:rsid w:val="00E96961"/>
    <w:rsid w:val="00E9756B"/>
    <w:rsid w:val="00E97AD3"/>
    <w:rsid w:val="00E97CEA"/>
    <w:rsid w:val="00EA05F3"/>
    <w:rsid w:val="00EA0C1F"/>
    <w:rsid w:val="00EA0FCF"/>
    <w:rsid w:val="00EA0FED"/>
    <w:rsid w:val="00EA153C"/>
    <w:rsid w:val="00EA170E"/>
    <w:rsid w:val="00EA1820"/>
    <w:rsid w:val="00EA18AA"/>
    <w:rsid w:val="00EA19D5"/>
    <w:rsid w:val="00EA1C47"/>
    <w:rsid w:val="00EA357C"/>
    <w:rsid w:val="00EA3F21"/>
    <w:rsid w:val="00EA4B99"/>
    <w:rsid w:val="00EA6978"/>
    <w:rsid w:val="00EA72EC"/>
    <w:rsid w:val="00EA7C82"/>
    <w:rsid w:val="00EB008D"/>
    <w:rsid w:val="00EB011E"/>
    <w:rsid w:val="00EB02E0"/>
    <w:rsid w:val="00EB0A82"/>
    <w:rsid w:val="00EB11CB"/>
    <w:rsid w:val="00EB12AE"/>
    <w:rsid w:val="00EB2288"/>
    <w:rsid w:val="00EB275A"/>
    <w:rsid w:val="00EB3E01"/>
    <w:rsid w:val="00EB3F70"/>
    <w:rsid w:val="00EB4277"/>
    <w:rsid w:val="00EB4C1B"/>
    <w:rsid w:val="00EB4CD2"/>
    <w:rsid w:val="00EB4D46"/>
    <w:rsid w:val="00EB4DCA"/>
    <w:rsid w:val="00EB5596"/>
    <w:rsid w:val="00EB6E57"/>
    <w:rsid w:val="00EB786A"/>
    <w:rsid w:val="00EC00E6"/>
    <w:rsid w:val="00EC0AC6"/>
    <w:rsid w:val="00EC132E"/>
    <w:rsid w:val="00EC1578"/>
    <w:rsid w:val="00EC17C1"/>
    <w:rsid w:val="00EC1989"/>
    <w:rsid w:val="00EC1C72"/>
    <w:rsid w:val="00EC232D"/>
    <w:rsid w:val="00EC2437"/>
    <w:rsid w:val="00EC2D0C"/>
    <w:rsid w:val="00EC31BC"/>
    <w:rsid w:val="00EC3667"/>
    <w:rsid w:val="00EC3CC9"/>
    <w:rsid w:val="00EC474D"/>
    <w:rsid w:val="00EC4830"/>
    <w:rsid w:val="00EC56ED"/>
    <w:rsid w:val="00EC5890"/>
    <w:rsid w:val="00EC5D05"/>
    <w:rsid w:val="00EC680A"/>
    <w:rsid w:val="00EC7195"/>
    <w:rsid w:val="00EC7641"/>
    <w:rsid w:val="00EC792B"/>
    <w:rsid w:val="00EC7966"/>
    <w:rsid w:val="00ED0035"/>
    <w:rsid w:val="00ED0178"/>
    <w:rsid w:val="00ED038E"/>
    <w:rsid w:val="00ED0787"/>
    <w:rsid w:val="00ED10D6"/>
    <w:rsid w:val="00ED129A"/>
    <w:rsid w:val="00ED15C2"/>
    <w:rsid w:val="00ED15E5"/>
    <w:rsid w:val="00ED193A"/>
    <w:rsid w:val="00ED1A25"/>
    <w:rsid w:val="00ED1B55"/>
    <w:rsid w:val="00ED1BA2"/>
    <w:rsid w:val="00ED38DC"/>
    <w:rsid w:val="00ED44A8"/>
    <w:rsid w:val="00ED470D"/>
    <w:rsid w:val="00ED4F89"/>
    <w:rsid w:val="00ED4FAF"/>
    <w:rsid w:val="00ED56E5"/>
    <w:rsid w:val="00ED56FB"/>
    <w:rsid w:val="00ED6FD8"/>
    <w:rsid w:val="00ED7480"/>
    <w:rsid w:val="00ED7F26"/>
    <w:rsid w:val="00EE1771"/>
    <w:rsid w:val="00EE1978"/>
    <w:rsid w:val="00EE1999"/>
    <w:rsid w:val="00EE2297"/>
    <w:rsid w:val="00EE2BED"/>
    <w:rsid w:val="00EE2E75"/>
    <w:rsid w:val="00EE2F13"/>
    <w:rsid w:val="00EE36FA"/>
    <w:rsid w:val="00EE374B"/>
    <w:rsid w:val="00EE3B63"/>
    <w:rsid w:val="00EE3E55"/>
    <w:rsid w:val="00EE6164"/>
    <w:rsid w:val="00EE6946"/>
    <w:rsid w:val="00EE6A1C"/>
    <w:rsid w:val="00EE6CE3"/>
    <w:rsid w:val="00EE7BF0"/>
    <w:rsid w:val="00EE7D9B"/>
    <w:rsid w:val="00EE7E81"/>
    <w:rsid w:val="00EF0BE6"/>
    <w:rsid w:val="00EF227C"/>
    <w:rsid w:val="00EF35FE"/>
    <w:rsid w:val="00EF75AB"/>
    <w:rsid w:val="00F00195"/>
    <w:rsid w:val="00F00FA8"/>
    <w:rsid w:val="00F01619"/>
    <w:rsid w:val="00F01723"/>
    <w:rsid w:val="00F0173F"/>
    <w:rsid w:val="00F01B3E"/>
    <w:rsid w:val="00F02229"/>
    <w:rsid w:val="00F022EE"/>
    <w:rsid w:val="00F02583"/>
    <w:rsid w:val="00F02BFC"/>
    <w:rsid w:val="00F02EBA"/>
    <w:rsid w:val="00F03A01"/>
    <w:rsid w:val="00F048D3"/>
    <w:rsid w:val="00F061E4"/>
    <w:rsid w:val="00F0647A"/>
    <w:rsid w:val="00F07DD4"/>
    <w:rsid w:val="00F07E85"/>
    <w:rsid w:val="00F07EAC"/>
    <w:rsid w:val="00F10A54"/>
    <w:rsid w:val="00F11BB5"/>
    <w:rsid w:val="00F11BD3"/>
    <w:rsid w:val="00F11C93"/>
    <w:rsid w:val="00F1202F"/>
    <w:rsid w:val="00F12DCF"/>
    <w:rsid w:val="00F1338E"/>
    <w:rsid w:val="00F13580"/>
    <w:rsid w:val="00F137EF"/>
    <w:rsid w:val="00F13A72"/>
    <w:rsid w:val="00F13AC6"/>
    <w:rsid w:val="00F13C73"/>
    <w:rsid w:val="00F1417B"/>
    <w:rsid w:val="00F14312"/>
    <w:rsid w:val="00F144F9"/>
    <w:rsid w:val="00F15257"/>
    <w:rsid w:val="00F16619"/>
    <w:rsid w:val="00F17C93"/>
    <w:rsid w:val="00F17F15"/>
    <w:rsid w:val="00F200D8"/>
    <w:rsid w:val="00F2032F"/>
    <w:rsid w:val="00F207FD"/>
    <w:rsid w:val="00F20A4A"/>
    <w:rsid w:val="00F20CCA"/>
    <w:rsid w:val="00F20D33"/>
    <w:rsid w:val="00F222ED"/>
    <w:rsid w:val="00F23B65"/>
    <w:rsid w:val="00F240E7"/>
    <w:rsid w:val="00F24D6D"/>
    <w:rsid w:val="00F255F1"/>
    <w:rsid w:val="00F25B17"/>
    <w:rsid w:val="00F25E55"/>
    <w:rsid w:val="00F25E9C"/>
    <w:rsid w:val="00F26125"/>
    <w:rsid w:val="00F26308"/>
    <w:rsid w:val="00F275DF"/>
    <w:rsid w:val="00F27A1E"/>
    <w:rsid w:val="00F27C8B"/>
    <w:rsid w:val="00F27D74"/>
    <w:rsid w:val="00F30244"/>
    <w:rsid w:val="00F30425"/>
    <w:rsid w:val="00F31215"/>
    <w:rsid w:val="00F31762"/>
    <w:rsid w:val="00F320FA"/>
    <w:rsid w:val="00F3214A"/>
    <w:rsid w:val="00F32AB6"/>
    <w:rsid w:val="00F332D3"/>
    <w:rsid w:val="00F33F62"/>
    <w:rsid w:val="00F33FC6"/>
    <w:rsid w:val="00F34B99"/>
    <w:rsid w:val="00F3549A"/>
    <w:rsid w:val="00F35644"/>
    <w:rsid w:val="00F35AA3"/>
    <w:rsid w:val="00F35E10"/>
    <w:rsid w:val="00F35E9C"/>
    <w:rsid w:val="00F40264"/>
    <w:rsid w:val="00F40804"/>
    <w:rsid w:val="00F416B5"/>
    <w:rsid w:val="00F41D33"/>
    <w:rsid w:val="00F43088"/>
    <w:rsid w:val="00F44116"/>
    <w:rsid w:val="00F4457D"/>
    <w:rsid w:val="00F45851"/>
    <w:rsid w:val="00F45E8B"/>
    <w:rsid w:val="00F466D4"/>
    <w:rsid w:val="00F47D96"/>
    <w:rsid w:val="00F50DF3"/>
    <w:rsid w:val="00F51AE1"/>
    <w:rsid w:val="00F51EDA"/>
    <w:rsid w:val="00F5214A"/>
    <w:rsid w:val="00F52731"/>
    <w:rsid w:val="00F52CE3"/>
    <w:rsid w:val="00F52DAB"/>
    <w:rsid w:val="00F53536"/>
    <w:rsid w:val="00F543F0"/>
    <w:rsid w:val="00F5559F"/>
    <w:rsid w:val="00F56369"/>
    <w:rsid w:val="00F56395"/>
    <w:rsid w:val="00F569A4"/>
    <w:rsid w:val="00F56B7B"/>
    <w:rsid w:val="00F57A44"/>
    <w:rsid w:val="00F57D00"/>
    <w:rsid w:val="00F57E19"/>
    <w:rsid w:val="00F600D2"/>
    <w:rsid w:val="00F60775"/>
    <w:rsid w:val="00F607A1"/>
    <w:rsid w:val="00F61FF5"/>
    <w:rsid w:val="00F621D4"/>
    <w:rsid w:val="00F634C7"/>
    <w:rsid w:val="00F63CCA"/>
    <w:rsid w:val="00F641A0"/>
    <w:rsid w:val="00F64232"/>
    <w:rsid w:val="00F64C91"/>
    <w:rsid w:val="00F67333"/>
    <w:rsid w:val="00F67977"/>
    <w:rsid w:val="00F67D67"/>
    <w:rsid w:val="00F703EE"/>
    <w:rsid w:val="00F70CB3"/>
    <w:rsid w:val="00F71172"/>
    <w:rsid w:val="00F7168F"/>
    <w:rsid w:val="00F718C0"/>
    <w:rsid w:val="00F71A22"/>
    <w:rsid w:val="00F72843"/>
    <w:rsid w:val="00F7284B"/>
    <w:rsid w:val="00F731CF"/>
    <w:rsid w:val="00F738C0"/>
    <w:rsid w:val="00F73C05"/>
    <w:rsid w:val="00F743CF"/>
    <w:rsid w:val="00F74D44"/>
    <w:rsid w:val="00F74E8E"/>
    <w:rsid w:val="00F761C1"/>
    <w:rsid w:val="00F761CF"/>
    <w:rsid w:val="00F776A3"/>
    <w:rsid w:val="00F80472"/>
    <w:rsid w:val="00F806D9"/>
    <w:rsid w:val="00F811B9"/>
    <w:rsid w:val="00F81981"/>
    <w:rsid w:val="00F81D29"/>
    <w:rsid w:val="00F81EA0"/>
    <w:rsid w:val="00F822AC"/>
    <w:rsid w:val="00F82435"/>
    <w:rsid w:val="00F82875"/>
    <w:rsid w:val="00F8288A"/>
    <w:rsid w:val="00F835AA"/>
    <w:rsid w:val="00F83617"/>
    <w:rsid w:val="00F836EF"/>
    <w:rsid w:val="00F83BF6"/>
    <w:rsid w:val="00F84787"/>
    <w:rsid w:val="00F85D09"/>
    <w:rsid w:val="00F86A4F"/>
    <w:rsid w:val="00F86C60"/>
    <w:rsid w:val="00F870A4"/>
    <w:rsid w:val="00F875F8"/>
    <w:rsid w:val="00F879FD"/>
    <w:rsid w:val="00F905E1"/>
    <w:rsid w:val="00F91C4D"/>
    <w:rsid w:val="00F92A2D"/>
    <w:rsid w:val="00F92EB8"/>
    <w:rsid w:val="00F92FD9"/>
    <w:rsid w:val="00F9350D"/>
    <w:rsid w:val="00F946CE"/>
    <w:rsid w:val="00F95342"/>
    <w:rsid w:val="00F95738"/>
    <w:rsid w:val="00F959B1"/>
    <w:rsid w:val="00F9678E"/>
    <w:rsid w:val="00F96B82"/>
    <w:rsid w:val="00F97B7A"/>
    <w:rsid w:val="00FA0AB8"/>
    <w:rsid w:val="00FA1287"/>
    <w:rsid w:val="00FA1773"/>
    <w:rsid w:val="00FA1B61"/>
    <w:rsid w:val="00FA1BA4"/>
    <w:rsid w:val="00FA1EB5"/>
    <w:rsid w:val="00FA34A2"/>
    <w:rsid w:val="00FA353D"/>
    <w:rsid w:val="00FA41AD"/>
    <w:rsid w:val="00FA4A45"/>
    <w:rsid w:val="00FA4FC1"/>
    <w:rsid w:val="00FA501C"/>
    <w:rsid w:val="00FA58C4"/>
    <w:rsid w:val="00FA5962"/>
    <w:rsid w:val="00FA59F6"/>
    <w:rsid w:val="00FA5AB4"/>
    <w:rsid w:val="00FA5C08"/>
    <w:rsid w:val="00FA5CC7"/>
    <w:rsid w:val="00FA628E"/>
    <w:rsid w:val="00FA6556"/>
    <w:rsid w:val="00FA6684"/>
    <w:rsid w:val="00FA7011"/>
    <w:rsid w:val="00FA731E"/>
    <w:rsid w:val="00FA78F3"/>
    <w:rsid w:val="00FB0A59"/>
    <w:rsid w:val="00FB129A"/>
    <w:rsid w:val="00FB1A98"/>
    <w:rsid w:val="00FB1BB4"/>
    <w:rsid w:val="00FB1CCE"/>
    <w:rsid w:val="00FB2B38"/>
    <w:rsid w:val="00FB311B"/>
    <w:rsid w:val="00FB37FE"/>
    <w:rsid w:val="00FB3B0A"/>
    <w:rsid w:val="00FB450E"/>
    <w:rsid w:val="00FB4FDA"/>
    <w:rsid w:val="00FB58C3"/>
    <w:rsid w:val="00FB5A64"/>
    <w:rsid w:val="00FB5C36"/>
    <w:rsid w:val="00FB5CFB"/>
    <w:rsid w:val="00FB5D52"/>
    <w:rsid w:val="00FB5DE3"/>
    <w:rsid w:val="00FB7CE4"/>
    <w:rsid w:val="00FC14ED"/>
    <w:rsid w:val="00FC2E40"/>
    <w:rsid w:val="00FC4652"/>
    <w:rsid w:val="00FC494A"/>
    <w:rsid w:val="00FC5003"/>
    <w:rsid w:val="00FC5C8E"/>
    <w:rsid w:val="00FC6358"/>
    <w:rsid w:val="00FC7750"/>
    <w:rsid w:val="00FC7D95"/>
    <w:rsid w:val="00FC7FBA"/>
    <w:rsid w:val="00FD0B61"/>
    <w:rsid w:val="00FD1412"/>
    <w:rsid w:val="00FD1ED9"/>
    <w:rsid w:val="00FD2DF5"/>
    <w:rsid w:val="00FD2F45"/>
    <w:rsid w:val="00FD320D"/>
    <w:rsid w:val="00FD37B5"/>
    <w:rsid w:val="00FD3FB2"/>
    <w:rsid w:val="00FD4378"/>
    <w:rsid w:val="00FD45CD"/>
    <w:rsid w:val="00FD4A02"/>
    <w:rsid w:val="00FD5171"/>
    <w:rsid w:val="00FD57FF"/>
    <w:rsid w:val="00FD6F5C"/>
    <w:rsid w:val="00FD7EF5"/>
    <w:rsid w:val="00FE0281"/>
    <w:rsid w:val="00FE1DF1"/>
    <w:rsid w:val="00FE23DE"/>
    <w:rsid w:val="00FE299C"/>
    <w:rsid w:val="00FE29FB"/>
    <w:rsid w:val="00FE393F"/>
    <w:rsid w:val="00FE68A5"/>
    <w:rsid w:val="00FE68D1"/>
    <w:rsid w:val="00FE7B0E"/>
    <w:rsid w:val="00FE7F0E"/>
    <w:rsid w:val="00FF039D"/>
    <w:rsid w:val="00FF0493"/>
    <w:rsid w:val="00FF0EAA"/>
    <w:rsid w:val="00FF37EA"/>
    <w:rsid w:val="00FF3FB3"/>
    <w:rsid w:val="00FF4EAA"/>
    <w:rsid w:val="00FF5332"/>
    <w:rsid w:val="00FF5391"/>
    <w:rsid w:val="0BCB4B16"/>
    <w:rsid w:val="16BC473D"/>
    <w:rsid w:val="1E6F3F8C"/>
    <w:rsid w:val="1E8D49B0"/>
    <w:rsid w:val="2B2303E8"/>
    <w:rsid w:val="2F3E191F"/>
    <w:rsid w:val="4A587B8A"/>
    <w:rsid w:val="4DE67EFD"/>
    <w:rsid w:val="553D483D"/>
    <w:rsid w:val="5A4C3E58"/>
    <w:rsid w:val="5A511C57"/>
    <w:rsid w:val="78AC25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99"/>
    <w:pPr>
      <w:tabs>
        <w:tab w:val="right" w:leader="dot" w:pos="9241"/>
      </w:tabs>
      <w:ind w:firstLine="505" w:firstLineChars="500"/>
      <w:jc w:val="left"/>
    </w:pPr>
    <w:rPr>
      <w:rFonts w:ascii="宋体" w:cs="宋体"/>
    </w:rPr>
  </w:style>
  <w:style w:type="paragraph" w:styleId="3">
    <w:name w:val="index 8"/>
    <w:basedOn w:val="1"/>
    <w:next w:val="1"/>
    <w:semiHidden/>
    <w:qFormat/>
    <w:uiPriority w:val="99"/>
    <w:pPr>
      <w:ind w:left="1680" w:hanging="210"/>
      <w:jc w:val="left"/>
    </w:pPr>
    <w:rPr>
      <w:rFonts w:ascii="Calibri" w:hAnsi="Calibri" w:cs="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semiHidden/>
    <w:qFormat/>
    <w:uiPriority w:val="99"/>
    <w:pPr>
      <w:ind w:left="1050" w:hanging="210"/>
      <w:jc w:val="left"/>
    </w:pPr>
    <w:rPr>
      <w:rFonts w:ascii="Calibri" w:hAnsi="Calibri" w:cs="Calibri"/>
      <w:sz w:val="20"/>
      <w:szCs w:val="20"/>
    </w:rPr>
  </w:style>
  <w:style w:type="paragraph" w:styleId="6">
    <w:name w:val="Document Map"/>
    <w:basedOn w:val="1"/>
    <w:link w:val="124"/>
    <w:semiHidden/>
    <w:qFormat/>
    <w:uiPriority w:val="99"/>
    <w:pPr>
      <w:shd w:val="clear" w:color="auto" w:fill="000080"/>
    </w:pPr>
  </w:style>
  <w:style w:type="paragraph" w:styleId="7">
    <w:name w:val="annotation text"/>
    <w:basedOn w:val="1"/>
    <w:semiHidden/>
    <w:unhideWhenUsed/>
    <w:uiPriority w:val="99"/>
    <w:pPr>
      <w:jc w:val="left"/>
    </w:pPr>
  </w:style>
  <w:style w:type="paragraph" w:styleId="8">
    <w:name w:val="index 6"/>
    <w:basedOn w:val="1"/>
    <w:next w:val="1"/>
    <w:semiHidden/>
    <w:qFormat/>
    <w:uiPriority w:val="99"/>
    <w:pPr>
      <w:ind w:left="1260" w:hanging="210"/>
      <w:jc w:val="left"/>
    </w:pPr>
    <w:rPr>
      <w:rFonts w:ascii="Calibri" w:hAnsi="Calibri" w:cs="Calibri"/>
      <w:sz w:val="20"/>
      <w:szCs w:val="20"/>
    </w:rPr>
  </w:style>
  <w:style w:type="paragraph" w:styleId="9">
    <w:name w:val="index 4"/>
    <w:basedOn w:val="1"/>
    <w:next w:val="1"/>
    <w:semiHidden/>
    <w:qFormat/>
    <w:uiPriority w:val="99"/>
    <w:pPr>
      <w:ind w:left="840" w:hanging="210"/>
      <w:jc w:val="left"/>
    </w:pPr>
    <w:rPr>
      <w:rFonts w:ascii="Calibri" w:hAnsi="Calibri" w:cs="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cs="宋体"/>
    </w:rPr>
  </w:style>
  <w:style w:type="paragraph" w:styleId="11">
    <w:name w:val="toc 3"/>
    <w:basedOn w:val="1"/>
    <w:next w:val="1"/>
    <w:semiHidden/>
    <w:qFormat/>
    <w:uiPriority w:val="99"/>
    <w:pPr>
      <w:tabs>
        <w:tab w:val="right" w:leader="dot" w:pos="9241"/>
      </w:tabs>
      <w:ind w:firstLine="102" w:firstLineChars="100"/>
      <w:jc w:val="left"/>
    </w:pPr>
    <w:rPr>
      <w:rFonts w:ascii="宋体" w:cs="宋体"/>
    </w:rPr>
  </w:style>
  <w:style w:type="paragraph" w:styleId="12">
    <w:name w:val="toc 8"/>
    <w:basedOn w:val="1"/>
    <w:next w:val="1"/>
    <w:semiHidden/>
    <w:qFormat/>
    <w:uiPriority w:val="99"/>
    <w:pPr>
      <w:tabs>
        <w:tab w:val="right" w:leader="dot" w:pos="9241"/>
      </w:tabs>
      <w:ind w:firstLine="607" w:firstLineChars="600"/>
      <w:jc w:val="left"/>
    </w:pPr>
    <w:rPr>
      <w:rFonts w:ascii="宋体" w:cs="宋体"/>
    </w:rPr>
  </w:style>
  <w:style w:type="paragraph" w:styleId="13">
    <w:name w:val="index 3"/>
    <w:basedOn w:val="1"/>
    <w:next w:val="1"/>
    <w:semiHidden/>
    <w:qFormat/>
    <w:uiPriority w:val="99"/>
    <w:pPr>
      <w:ind w:left="630" w:hanging="210"/>
      <w:jc w:val="left"/>
    </w:pPr>
    <w:rPr>
      <w:rFonts w:ascii="Calibri" w:hAnsi="Calibri" w:cs="Calibri"/>
      <w:sz w:val="20"/>
      <w:szCs w:val="20"/>
    </w:rPr>
  </w:style>
  <w:style w:type="paragraph" w:styleId="14">
    <w:name w:val="endnote text"/>
    <w:basedOn w:val="1"/>
    <w:link w:val="123"/>
    <w:semiHidden/>
    <w:qFormat/>
    <w:uiPriority w:val="99"/>
    <w:pPr>
      <w:snapToGrid w:val="0"/>
      <w:jc w:val="left"/>
    </w:pPr>
  </w:style>
  <w:style w:type="paragraph" w:styleId="15">
    <w:name w:val="Balloon Text"/>
    <w:basedOn w:val="1"/>
    <w:link w:val="140"/>
    <w:semiHidden/>
    <w:qFormat/>
    <w:uiPriority w:val="99"/>
    <w:rPr>
      <w:sz w:val="18"/>
      <w:szCs w:val="18"/>
    </w:rPr>
  </w:style>
  <w:style w:type="paragraph" w:styleId="16">
    <w:name w:val="footer"/>
    <w:basedOn w:val="1"/>
    <w:link w:val="54"/>
    <w:qFormat/>
    <w:uiPriority w:val="99"/>
    <w:pPr>
      <w:snapToGrid w:val="0"/>
      <w:ind w:right="210" w:rightChars="100"/>
      <w:jc w:val="right"/>
    </w:pPr>
    <w:rPr>
      <w:sz w:val="18"/>
      <w:szCs w:val="18"/>
    </w:rPr>
  </w:style>
  <w:style w:type="paragraph" w:styleId="17">
    <w:name w:val="header"/>
    <w:basedOn w:val="1"/>
    <w:link w:val="55"/>
    <w:qFormat/>
    <w:uiPriority w:val="99"/>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cs="宋体"/>
    </w:rPr>
  </w:style>
  <w:style w:type="paragraph" w:styleId="19">
    <w:name w:val="toc 4"/>
    <w:basedOn w:val="1"/>
    <w:next w:val="1"/>
    <w:semiHidden/>
    <w:qFormat/>
    <w:uiPriority w:val="99"/>
    <w:pPr>
      <w:tabs>
        <w:tab w:val="right" w:leader="dot" w:pos="9241"/>
      </w:tabs>
      <w:ind w:firstLine="198" w:firstLineChars="200"/>
      <w:jc w:val="left"/>
    </w:pPr>
    <w:rPr>
      <w:rFonts w:ascii="宋体" w:cs="宋体"/>
    </w:rPr>
  </w:style>
  <w:style w:type="paragraph" w:styleId="20">
    <w:name w:val="index heading"/>
    <w:basedOn w:val="1"/>
    <w:next w:val="21"/>
    <w:semiHidden/>
    <w:qFormat/>
    <w:uiPriority w:val="99"/>
    <w:pPr>
      <w:spacing w:before="120" w:after="120"/>
      <w:jc w:val="center"/>
    </w:pPr>
    <w:rPr>
      <w:rFonts w:ascii="Calibri" w:hAnsi="Calibri" w:cs="Calibri"/>
      <w:b/>
      <w:bCs/>
    </w:rPr>
  </w:style>
  <w:style w:type="paragraph" w:styleId="21">
    <w:name w:val="index 1"/>
    <w:basedOn w:val="1"/>
    <w:next w:val="22"/>
    <w:semiHidden/>
    <w:qFormat/>
    <w:uiPriority w:val="99"/>
    <w:pPr>
      <w:tabs>
        <w:tab w:val="right" w:leader="dot" w:pos="9299"/>
      </w:tabs>
      <w:jc w:val="left"/>
    </w:pPr>
    <w:rPr>
      <w:rFonts w:ascii="宋体" w:cs="宋体"/>
    </w:rPr>
  </w:style>
  <w:style w:type="paragraph" w:customStyle="1" w:styleId="22">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3">
    <w:name w:val="footnote text"/>
    <w:basedOn w:val="1"/>
    <w:link w:val="105"/>
    <w:semiHidden/>
    <w:qFormat/>
    <w:uiPriority w:val="99"/>
    <w:pPr>
      <w:numPr>
        <w:ilvl w:val="0"/>
        <w:numId w:val="1"/>
      </w:numPr>
      <w:snapToGrid w:val="0"/>
      <w:jc w:val="left"/>
    </w:pPr>
    <w:rPr>
      <w:rFonts w:ascii="宋体" w:cs="宋体"/>
      <w:sz w:val="18"/>
      <w:szCs w:val="18"/>
    </w:rPr>
  </w:style>
  <w:style w:type="paragraph" w:styleId="24">
    <w:name w:val="toc 6"/>
    <w:basedOn w:val="1"/>
    <w:next w:val="1"/>
    <w:semiHidden/>
    <w:qFormat/>
    <w:uiPriority w:val="99"/>
    <w:pPr>
      <w:tabs>
        <w:tab w:val="right" w:leader="dot" w:pos="9241"/>
      </w:tabs>
      <w:ind w:firstLine="403" w:firstLineChars="400"/>
      <w:jc w:val="left"/>
    </w:pPr>
    <w:rPr>
      <w:rFonts w:ascii="宋体" w:cs="宋体"/>
    </w:rPr>
  </w:style>
  <w:style w:type="paragraph" w:styleId="25">
    <w:name w:val="index 7"/>
    <w:basedOn w:val="1"/>
    <w:next w:val="1"/>
    <w:semiHidden/>
    <w:qFormat/>
    <w:uiPriority w:val="99"/>
    <w:pPr>
      <w:ind w:left="1470" w:hanging="210"/>
      <w:jc w:val="left"/>
    </w:pPr>
    <w:rPr>
      <w:rFonts w:ascii="Calibri" w:hAnsi="Calibri" w:cs="Calibri"/>
      <w:sz w:val="20"/>
      <w:szCs w:val="20"/>
    </w:rPr>
  </w:style>
  <w:style w:type="paragraph" w:styleId="26">
    <w:name w:val="index 9"/>
    <w:basedOn w:val="1"/>
    <w:next w:val="1"/>
    <w:semiHidden/>
    <w:qFormat/>
    <w:uiPriority w:val="99"/>
    <w:pPr>
      <w:ind w:left="1890" w:hanging="210"/>
      <w:jc w:val="left"/>
    </w:pPr>
    <w:rPr>
      <w:rFonts w:ascii="Calibri" w:hAnsi="Calibri" w:cs="Calibri"/>
      <w:sz w:val="20"/>
      <w:szCs w:val="20"/>
    </w:rPr>
  </w:style>
  <w:style w:type="paragraph" w:styleId="27">
    <w:name w:val="toc 2"/>
    <w:basedOn w:val="1"/>
    <w:next w:val="1"/>
    <w:semiHidden/>
    <w:qFormat/>
    <w:uiPriority w:val="99"/>
    <w:pPr>
      <w:tabs>
        <w:tab w:val="right" w:leader="dot" w:pos="9241"/>
      </w:tabs>
    </w:pPr>
    <w:rPr>
      <w:rFonts w:ascii="宋体" w:cs="宋体"/>
    </w:rPr>
  </w:style>
  <w:style w:type="paragraph" w:styleId="28">
    <w:name w:val="toc 9"/>
    <w:basedOn w:val="1"/>
    <w:next w:val="1"/>
    <w:semiHidden/>
    <w:qFormat/>
    <w:uiPriority w:val="99"/>
    <w:pPr>
      <w:ind w:left="1470"/>
      <w:jc w:val="left"/>
    </w:pPr>
    <w:rPr>
      <w:sz w:val="20"/>
      <w:szCs w:val="20"/>
    </w:rPr>
  </w:style>
  <w:style w:type="paragraph" w:styleId="29">
    <w:name w:val="index 2"/>
    <w:basedOn w:val="1"/>
    <w:next w:val="1"/>
    <w:semiHidden/>
    <w:qFormat/>
    <w:uiPriority w:val="99"/>
    <w:pPr>
      <w:ind w:left="420" w:hanging="210"/>
      <w:jc w:val="left"/>
    </w:pPr>
    <w:rPr>
      <w:rFonts w:ascii="Calibri" w:hAnsi="Calibri" w:cs="Calibri"/>
      <w:sz w:val="20"/>
      <w:szCs w:val="20"/>
    </w:rPr>
  </w:style>
  <w:style w:type="table" w:styleId="31">
    <w:name w:val="Table Grid"/>
    <w:basedOn w:val="30"/>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basedOn w:val="32"/>
    <w:semiHidden/>
    <w:qFormat/>
    <w:uiPriority w:val="99"/>
    <w:rPr>
      <w:vertAlign w:val="superscript"/>
    </w:rPr>
  </w:style>
  <w:style w:type="character" w:styleId="34">
    <w:name w:val="page number"/>
    <w:basedOn w:val="32"/>
    <w:qFormat/>
    <w:uiPriority w:val="99"/>
    <w:rPr>
      <w:rFonts w:ascii="Times New Roman" w:hAnsi="Times New Roman" w:eastAsia="宋体" w:cs="Times New Roman"/>
      <w:sz w:val="18"/>
      <w:szCs w:val="18"/>
    </w:rPr>
  </w:style>
  <w:style w:type="character" w:styleId="35">
    <w:name w:val="FollowedHyperlink"/>
    <w:basedOn w:val="32"/>
    <w:qFormat/>
    <w:uiPriority w:val="99"/>
    <w:rPr>
      <w:color w:val="800080"/>
      <w:u w:val="single"/>
    </w:rPr>
  </w:style>
  <w:style w:type="character" w:styleId="36">
    <w:name w:val="Hyperlink"/>
    <w:basedOn w:val="32"/>
    <w:qFormat/>
    <w:uiPriority w:val="99"/>
    <w:rPr>
      <w:color w:val="0000FF"/>
      <w:spacing w:val="0"/>
      <w:w w:val="100"/>
      <w:sz w:val="21"/>
      <w:szCs w:val="21"/>
      <w:u w:val="single"/>
    </w:rPr>
  </w:style>
  <w:style w:type="character" w:styleId="37">
    <w:name w:val="footnote reference"/>
    <w:basedOn w:val="32"/>
    <w:semiHidden/>
    <w:qFormat/>
    <w:uiPriority w:val="99"/>
    <w:rPr>
      <w:vertAlign w:val="superscript"/>
    </w:rPr>
  </w:style>
  <w:style w:type="character" w:customStyle="1" w:styleId="38">
    <w:name w:val="段 Char"/>
    <w:basedOn w:val="32"/>
    <w:link w:val="22"/>
    <w:qFormat/>
    <w:locked/>
    <w:uiPriority w:val="0"/>
    <w:rPr>
      <w:rFonts w:ascii="宋体" w:cs="宋体"/>
      <w:sz w:val="21"/>
      <w:szCs w:val="21"/>
      <w:lang w:val="en-US" w:eastAsia="zh-CN" w:bidi="ar-SA"/>
    </w:rPr>
  </w:style>
  <w:style w:type="paragraph" w:customStyle="1" w:styleId="39">
    <w:name w:val="一级条标题"/>
    <w:next w:val="22"/>
    <w:qFormat/>
    <w:uiPriority w:val="99"/>
    <w:pPr>
      <w:numPr>
        <w:ilvl w:val="1"/>
        <w:numId w:val="2"/>
      </w:numPr>
      <w:spacing w:beforeLines="50" w:afterLines="50"/>
      <w:outlineLvl w:val="2"/>
    </w:pPr>
    <w:rPr>
      <w:rFonts w:ascii="黑体" w:hAnsi="Times New Roman" w:eastAsia="黑体" w:cs="黑体"/>
      <w:sz w:val="21"/>
      <w:szCs w:val="21"/>
      <w:lang w:val="en-US" w:eastAsia="zh-CN" w:bidi="ar-SA"/>
    </w:rPr>
  </w:style>
  <w:style w:type="paragraph" w:customStyle="1" w:styleId="40">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41">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42">
    <w:name w:val="章标题"/>
    <w:next w:val="22"/>
    <w:qFormat/>
    <w:uiPriority w:val="0"/>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43">
    <w:name w:val="二级条标题"/>
    <w:basedOn w:val="39"/>
    <w:next w:val="22"/>
    <w:qFormat/>
    <w:uiPriority w:val="0"/>
    <w:pPr>
      <w:numPr>
        <w:ilvl w:val="2"/>
      </w:numPr>
      <w:spacing w:before="50" w:after="50"/>
      <w:outlineLvl w:val="3"/>
    </w:pPr>
  </w:style>
  <w:style w:type="paragraph" w:customStyle="1" w:styleId="44">
    <w:name w:val="封面标准号2"/>
    <w:qFormat/>
    <w:uiPriority w:val="99"/>
    <w:pPr>
      <w:framePr w:w="9140" w:h="1242" w:hRule="exact" w:hSpace="284" w:wrap="auto"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45">
    <w:name w:val="列项——（一级）"/>
    <w:qFormat/>
    <w:uiPriority w:val="99"/>
    <w:pPr>
      <w:widowControl w:val="0"/>
      <w:numPr>
        <w:ilvl w:val="0"/>
        <w:numId w:val="3"/>
      </w:numPr>
      <w:jc w:val="both"/>
    </w:pPr>
    <w:rPr>
      <w:rFonts w:ascii="宋体" w:hAnsi="Times New Roman" w:eastAsia="宋体" w:cs="宋体"/>
      <w:sz w:val="21"/>
      <w:szCs w:val="21"/>
      <w:lang w:val="en-US" w:eastAsia="zh-CN" w:bidi="ar-SA"/>
    </w:rPr>
  </w:style>
  <w:style w:type="paragraph" w:customStyle="1" w:styleId="46">
    <w:name w:val="列项●（二级）"/>
    <w:qFormat/>
    <w:uiPriority w:val="99"/>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47">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48">
    <w:name w:val="三级条标题"/>
    <w:basedOn w:val="43"/>
    <w:next w:val="22"/>
    <w:qFormat/>
    <w:uiPriority w:val="99"/>
    <w:pPr>
      <w:numPr>
        <w:ilvl w:val="3"/>
      </w:numPr>
      <w:outlineLvl w:val="4"/>
    </w:pPr>
  </w:style>
  <w:style w:type="paragraph" w:customStyle="1" w:styleId="49">
    <w:name w:val="示例"/>
    <w:next w:val="50"/>
    <w:qFormat/>
    <w:uiPriority w:val="99"/>
    <w:pPr>
      <w:widowControl w:val="0"/>
      <w:ind w:firstLine="363"/>
      <w:jc w:val="both"/>
    </w:pPr>
    <w:rPr>
      <w:rFonts w:ascii="宋体" w:hAnsi="Times New Roman" w:eastAsia="宋体" w:cs="宋体"/>
      <w:sz w:val="18"/>
      <w:szCs w:val="18"/>
      <w:lang w:val="en-US" w:eastAsia="zh-CN" w:bidi="ar-SA"/>
    </w:rPr>
  </w:style>
  <w:style w:type="paragraph" w:customStyle="1" w:styleId="50">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51">
    <w:name w:val="数字编号列项（二级）"/>
    <w:qFormat/>
    <w:uiPriority w:val="99"/>
    <w:pPr>
      <w:numPr>
        <w:ilvl w:val="1"/>
        <w:numId w:val="4"/>
      </w:numPr>
      <w:jc w:val="both"/>
    </w:pPr>
    <w:rPr>
      <w:rFonts w:ascii="宋体" w:hAnsi="Times New Roman" w:eastAsia="宋体" w:cs="宋体"/>
      <w:sz w:val="21"/>
      <w:szCs w:val="21"/>
      <w:lang w:val="en-US" w:eastAsia="zh-CN" w:bidi="ar-SA"/>
    </w:rPr>
  </w:style>
  <w:style w:type="paragraph" w:customStyle="1" w:styleId="52">
    <w:name w:val="四级条标题"/>
    <w:basedOn w:val="48"/>
    <w:next w:val="22"/>
    <w:qFormat/>
    <w:uiPriority w:val="99"/>
    <w:pPr>
      <w:numPr>
        <w:ilvl w:val="4"/>
      </w:numPr>
      <w:outlineLvl w:val="5"/>
    </w:pPr>
  </w:style>
  <w:style w:type="paragraph" w:customStyle="1" w:styleId="53">
    <w:name w:val="五级条标题"/>
    <w:basedOn w:val="52"/>
    <w:next w:val="22"/>
    <w:qFormat/>
    <w:uiPriority w:val="99"/>
    <w:pPr>
      <w:numPr>
        <w:ilvl w:val="5"/>
      </w:numPr>
      <w:outlineLvl w:val="6"/>
    </w:pPr>
  </w:style>
  <w:style w:type="character" w:customStyle="1" w:styleId="54">
    <w:name w:val="页脚 字符"/>
    <w:basedOn w:val="32"/>
    <w:link w:val="16"/>
    <w:semiHidden/>
    <w:qFormat/>
    <w:locked/>
    <w:uiPriority w:val="99"/>
    <w:rPr>
      <w:sz w:val="18"/>
      <w:szCs w:val="18"/>
    </w:rPr>
  </w:style>
  <w:style w:type="character" w:customStyle="1" w:styleId="55">
    <w:name w:val="页眉 字符"/>
    <w:basedOn w:val="32"/>
    <w:link w:val="17"/>
    <w:semiHidden/>
    <w:qFormat/>
    <w:locked/>
    <w:uiPriority w:val="99"/>
    <w:rPr>
      <w:sz w:val="18"/>
      <w:szCs w:val="18"/>
    </w:rPr>
  </w:style>
  <w:style w:type="paragraph" w:customStyle="1" w:styleId="56">
    <w:name w:val="注："/>
    <w:next w:val="22"/>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57">
    <w:name w:val="注×："/>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58">
    <w:name w:val="字母编号列项（一级）"/>
    <w:qFormat/>
    <w:uiPriority w:val="99"/>
    <w:pPr>
      <w:numPr>
        <w:ilvl w:val="0"/>
        <w:numId w:val="4"/>
      </w:numPr>
      <w:jc w:val="both"/>
    </w:pPr>
    <w:rPr>
      <w:rFonts w:ascii="宋体" w:hAnsi="Times New Roman" w:eastAsia="宋体" w:cs="宋体"/>
      <w:sz w:val="21"/>
      <w:szCs w:val="21"/>
      <w:lang w:val="en-US" w:eastAsia="zh-CN" w:bidi="ar-SA"/>
    </w:rPr>
  </w:style>
  <w:style w:type="paragraph" w:customStyle="1" w:styleId="59">
    <w:name w:val="列项◆（三级）"/>
    <w:basedOn w:val="1"/>
    <w:qFormat/>
    <w:uiPriority w:val="99"/>
    <w:pPr>
      <w:numPr>
        <w:ilvl w:val="2"/>
        <w:numId w:val="3"/>
      </w:numPr>
    </w:pPr>
    <w:rPr>
      <w:rFonts w:ascii="宋体" w:cs="宋体"/>
    </w:rPr>
  </w:style>
  <w:style w:type="paragraph" w:customStyle="1" w:styleId="60">
    <w:name w:val="编号列项（三级）"/>
    <w:qFormat/>
    <w:uiPriority w:val="99"/>
    <w:pPr>
      <w:numPr>
        <w:ilvl w:val="2"/>
        <w:numId w:val="4"/>
      </w:numPr>
    </w:pPr>
    <w:rPr>
      <w:rFonts w:ascii="宋体" w:hAnsi="Times New Roman" w:eastAsia="宋体" w:cs="宋体"/>
      <w:sz w:val="21"/>
      <w:szCs w:val="21"/>
      <w:lang w:val="en-US" w:eastAsia="zh-CN" w:bidi="ar-SA"/>
    </w:rPr>
  </w:style>
  <w:style w:type="paragraph" w:customStyle="1" w:styleId="61">
    <w:name w:val="示例×："/>
    <w:basedOn w:val="42"/>
    <w:qFormat/>
    <w:uiPriority w:val="99"/>
    <w:pPr>
      <w:numPr>
        <w:numId w:val="0"/>
      </w:numPr>
      <w:spacing w:beforeLines="0" w:afterLines="0"/>
      <w:ind w:firstLine="363"/>
      <w:outlineLvl w:val="9"/>
    </w:pPr>
    <w:rPr>
      <w:rFonts w:ascii="宋体" w:eastAsia="宋体" w:cs="宋体"/>
      <w:sz w:val="18"/>
      <w:szCs w:val="18"/>
    </w:rPr>
  </w:style>
  <w:style w:type="paragraph" w:customStyle="1" w:styleId="62">
    <w:name w:val="二级无"/>
    <w:basedOn w:val="43"/>
    <w:qFormat/>
    <w:uiPriority w:val="99"/>
    <w:pPr>
      <w:spacing w:beforeLines="0" w:afterLines="0"/>
    </w:pPr>
    <w:rPr>
      <w:rFonts w:ascii="宋体" w:eastAsia="宋体" w:cs="宋体"/>
    </w:rPr>
  </w:style>
  <w:style w:type="paragraph" w:customStyle="1" w:styleId="63">
    <w:name w:val="注：（正文）"/>
    <w:basedOn w:val="56"/>
    <w:next w:val="22"/>
    <w:qFormat/>
    <w:uiPriority w:val="99"/>
  </w:style>
  <w:style w:type="paragraph" w:customStyle="1" w:styleId="64">
    <w:name w:val="注×：（正文）"/>
    <w:qFormat/>
    <w:uiPriority w:val="99"/>
    <w:pPr>
      <w:numPr>
        <w:ilvl w:val="0"/>
        <w:numId w:val="5"/>
      </w:numPr>
      <w:jc w:val="both"/>
    </w:pPr>
    <w:rPr>
      <w:rFonts w:ascii="宋体" w:hAnsi="Times New Roman" w:eastAsia="宋体" w:cs="宋体"/>
      <w:sz w:val="18"/>
      <w:szCs w:val="18"/>
      <w:lang w:val="en-US" w:eastAsia="zh-CN" w:bidi="ar-SA"/>
    </w:rPr>
  </w:style>
  <w:style w:type="paragraph" w:customStyle="1" w:styleId="65">
    <w:name w:val="标准标志"/>
    <w:next w:val="1"/>
    <w:qFormat/>
    <w:uiPriority w:val="99"/>
    <w:pPr>
      <w:framePr w:w="2546" w:h="1389" w:hRule="exact" w:hSpace="181" w:vSpace="181" w:wrap="auto"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66">
    <w:name w:val="标准称谓"/>
    <w:next w:val="1"/>
    <w:qFormat/>
    <w:uiPriority w:val="99"/>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67">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68">
    <w:name w:val="标准书眉_偶数页"/>
    <w:basedOn w:val="41"/>
    <w:next w:val="1"/>
    <w:qFormat/>
    <w:uiPriority w:val="99"/>
    <w:pPr>
      <w:jc w:val="left"/>
    </w:pPr>
  </w:style>
  <w:style w:type="paragraph" w:customStyle="1" w:styleId="69">
    <w:name w:val="标准书眉一"/>
    <w:qFormat/>
    <w:uiPriority w:val="99"/>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71">
    <w:name w:val="参考文献、索引标题"/>
    <w:basedOn w:val="1"/>
    <w:next w:val="22"/>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72">
    <w:name w:val="发布"/>
    <w:basedOn w:val="32"/>
    <w:qFormat/>
    <w:uiPriority w:val="0"/>
    <w:rPr>
      <w:rFonts w:ascii="黑体" w:eastAsia="黑体" w:cs="黑体"/>
      <w:spacing w:val="85"/>
      <w:w w:val="100"/>
      <w:position w:val="3"/>
      <w:sz w:val="28"/>
      <w:szCs w:val="28"/>
    </w:rPr>
  </w:style>
  <w:style w:type="paragraph" w:customStyle="1" w:styleId="73">
    <w:name w:val="发布部门"/>
    <w:next w:val="22"/>
    <w:qFormat/>
    <w:uiPriority w:val="99"/>
    <w:pPr>
      <w:framePr w:w="7938" w:h="1134" w:hRule="exact" w:hSpace="125" w:vSpace="181" w:wrap="auto"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74">
    <w:name w:val="发布日期"/>
    <w:qFormat/>
    <w:uiPriority w:val="99"/>
    <w:pPr>
      <w:framePr w:w="3997" w:h="471" w:hRule="exact" w:vSpace="181" w:wrap="auto" w:vAnchor="margin" w:hAnchor="page" w:x="7089" w:y="14097" w:anchorLock="1"/>
    </w:pPr>
    <w:rPr>
      <w:rFonts w:ascii="Times New Roman" w:hAnsi="Times New Roman" w:eastAsia="黑体" w:cs="Times New Roman"/>
      <w:sz w:val="28"/>
      <w:szCs w:val="28"/>
      <w:lang w:val="en-US" w:eastAsia="zh-CN" w:bidi="ar-SA"/>
    </w:rPr>
  </w:style>
  <w:style w:type="paragraph" w:customStyle="1" w:styleId="75">
    <w:name w:val="封面标准代替信息"/>
    <w:qFormat/>
    <w:uiPriority w:val="99"/>
    <w:pPr>
      <w:framePr w:w="9140" w:h="1242" w:hRule="exact" w:hSpace="284" w:wrap="auto"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7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77">
    <w:name w:val="封面标准名称"/>
    <w:qFormat/>
    <w:uiPriority w:val="99"/>
    <w:pPr>
      <w:framePr w:w="9639" w:h="6917" w:hRule="exact" w:wrap="auto"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78">
    <w:name w:val="封面标准英文名称"/>
    <w:basedOn w:val="77"/>
    <w:qFormat/>
    <w:uiPriority w:val="99"/>
    <w:pPr>
      <w:spacing w:before="370" w:line="400" w:lineRule="exact"/>
    </w:pPr>
    <w:rPr>
      <w:rFonts w:ascii="Times New Roman" w:cs="Times New Roman"/>
      <w:sz w:val="28"/>
      <w:szCs w:val="28"/>
    </w:rPr>
  </w:style>
  <w:style w:type="paragraph" w:customStyle="1" w:styleId="79">
    <w:name w:val="封面一致性程度标识"/>
    <w:basedOn w:val="78"/>
    <w:qFormat/>
    <w:uiPriority w:val="99"/>
    <w:pPr>
      <w:spacing w:before="440"/>
    </w:pPr>
    <w:rPr>
      <w:rFonts w:ascii="宋体" w:eastAsia="宋体" w:cs="宋体"/>
    </w:rPr>
  </w:style>
  <w:style w:type="paragraph" w:customStyle="1" w:styleId="80">
    <w:name w:val="封面标准文稿类别"/>
    <w:basedOn w:val="79"/>
    <w:qFormat/>
    <w:uiPriority w:val="99"/>
    <w:pPr>
      <w:spacing w:after="160" w:line="240" w:lineRule="auto"/>
    </w:pPr>
    <w:rPr>
      <w:sz w:val="24"/>
      <w:szCs w:val="24"/>
    </w:rPr>
  </w:style>
  <w:style w:type="paragraph" w:customStyle="1" w:styleId="81">
    <w:name w:val="封面标准文稿编辑信息"/>
    <w:basedOn w:val="80"/>
    <w:qFormat/>
    <w:uiPriority w:val="99"/>
    <w:pPr>
      <w:spacing w:before="180" w:line="180" w:lineRule="exact"/>
    </w:pPr>
    <w:rPr>
      <w:sz w:val="21"/>
      <w:szCs w:val="21"/>
    </w:rPr>
  </w:style>
  <w:style w:type="paragraph" w:customStyle="1" w:styleId="82">
    <w:name w:val="封面正文"/>
    <w:qFormat/>
    <w:uiPriority w:val="99"/>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6"/>
      </w:numPr>
      <w:shd w:val="clear" w:color="FFFFFF" w:fill="FFFFFF"/>
      <w:tabs>
        <w:tab w:val="left" w:pos="6405"/>
      </w:tabs>
      <w:spacing w:before="640" w:after="280"/>
      <w:jc w:val="center"/>
      <w:outlineLvl w:val="0"/>
    </w:pPr>
    <w:rPr>
      <w:rFonts w:ascii="黑体" w:eastAsia="黑体" w:cs="黑体"/>
      <w:kern w:val="0"/>
    </w:rPr>
  </w:style>
  <w:style w:type="paragraph" w:customStyle="1" w:styleId="84">
    <w:name w:val="附录标题"/>
    <w:basedOn w:val="22"/>
    <w:next w:val="22"/>
    <w:qFormat/>
    <w:uiPriority w:val="99"/>
    <w:pPr>
      <w:ind w:firstLine="0" w:firstLineChars="0"/>
      <w:jc w:val="center"/>
    </w:pPr>
    <w:rPr>
      <w:rFonts w:ascii="黑体" w:eastAsia="黑体" w:cs="黑体"/>
    </w:rPr>
  </w:style>
  <w:style w:type="paragraph" w:customStyle="1" w:styleId="85">
    <w:name w:val="附录表标号"/>
    <w:basedOn w:val="1"/>
    <w:next w:val="22"/>
    <w:qFormat/>
    <w:uiPriority w:val="99"/>
    <w:pPr>
      <w:numPr>
        <w:ilvl w:val="0"/>
        <w:numId w:val="7"/>
      </w:numPr>
      <w:spacing w:line="14" w:lineRule="exact"/>
      <w:ind w:left="811" w:hanging="448"/>
      <w:jc w:val="center"/>
      <w:outlineLvl w:val="0"/>
    </w:pPr>
    <w:rPr>
      <w:color w:val="FFFFFF"/>
    </w:rPr>
  </w:style>
  <w:style w:type="paragraph" w:customStyle="1" w:styleId="86">
    <w:name w:val="附录表标题"/>
    <w:basedOn w:val="1"/>
    <w:next w:val="22"/>
    <w:qFormat/>
    <w:uiPriority w:val="99"/>
    <w:pPr>
      <w:numPr>
        <w:ilvl w:val="1"/>
        <w:numId w:val="7"/>
      </w:numPr>
      <w:spacing w:beforeLines="50" w:afterLines="50"/>
      <w:jc w:val="center"/>
    </w:pPr>
    <w:rPr>
      <w:rFonts w:ascii="黑体" w:eastAsia="黑体" w:cs="黑体"/>
    </w:rPr>
  </w:style>
  <w:style w:type="paragraph" w:customStyle="1" w:styleId="87">
    <w:name w:val="附录二级条标题"/>
    <w:basedOn w:val="1"/>
    <w:next w:val="22"/>
    <w:qFormat/>
    <w:uiPriority w:val="0"/>
    <w:pPr>
      <w:widowControl/>
      <w:numPr>
        <w:ilvl w:val="3"/>
        <w:numId w:val="6"/>
      </w:numPr>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88">
    <w:name w:val="附录二级无"/>
    <w:basedOn w:val="87"/>
    <w:qFormat/>
    <w:uiPriority w:val="99"/>
    <w:pPr>
      <w:spacing w:beforeLines="0" w:afterLines="0"/>
    </w:pPr>
    <w:rPr>
      <w:rFonts w:ascii="宋体" w:eastAsia="宋体" w:cs="宋体"/>
    </w:rPr>
  </w:style>
  <w:style w:type="paragraph" w:customStyle="1" w:styleId="89">
    <w:name w:val="附录公式"/>
    <w:basedOn w:val="22"/>
    <w:next w:val="22"/>
    <w:link w:val="90"/>
    <w:qFormat/>
    <w:uiPriority w:val="99"/>
  </w:style>
  <w:style w:type="character" w:customStyle="1" w:styleId="90">
    <w:name w:val="附录公式 Char"/>
    <w:basedOn w:val="38"/>
    <w:link w:val="89"/>
    <w:qFormat/>
    <w:locked/>
    <w:uiPriority w:val="99"/>
    <w:rPr>
      <w:rFonts w:ascii="宋体" w:cs="宋体"/>
      <w:sz w:val="21"/>
      <w:szCs w:val="21"/>
      <w:lang w:val="en-US" w:eastAsia="zh-CN" w:bidi="ar-SA"/>
    </w:rPr>
  </w:style>
  <w:style w:type="paragraph" w:customStyle="1" w:styleId="91">
    <w:name w:val="附录公式编号制表符"/>
    <w:basedOn w:val="1"/>
    <w:next w:val="22"/>
    <w:qFormat/>
    <w:uiPriority w:val="99"/>
    <w:pPr>
      <w:widowControl/>
      <w:tabs>
        <w:tab w:val="center" w:pos="4201"/>
        <w:tab w:val="right" w:leader="dot" w:pos="9298"/>
      </w:tabs>
      <w:autoSpaceDE w:val="0"/>
      <w:autoSpaceDN w:val="0"/>
    </w:pPr>
    <w:rPr>
      <w:rFonts w:ascii="宋体" w:cs="宋体"/>
      <w:kern w:val="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99"/>
    <w:pPr>
      <w:spacing w:beforeLines="0" w:afterLines="0"/>
    </w:pPr>
    <w:rPr>
      <w:rFonts w:ascii="宋体" w:eastAsia="宋体" w:cs="宋体"/>
    </w:rPr>
  </w:style>
  <w:style w:type="paragraph" w:customStyle="1" w:styleId="94">
    <w:name w:val="附录数字编号列项（二级）"/>
    <w:qFormat/>
    <w:uiPriority w:val="99"/>
    <w:pPr>
      <w:numPr>
        <w:ilvl w:val="1"/>
        <w:numId w:val="8"/>
      </w:numPr>
    </w:pPr>
    <w:rPr>
      <w:rFonts w:ascii="宋体" w:hAnsi="Times New Roman" w:eastAsia="宋体" w:cs="宋体"/>
      <w:sz w:val="21"/>
      <w:szCs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99"/>
    <w:pPr>
      <w:spacing w:beforeLines="0" w:afterLines="0"/>
    </w:pPr>
    <w:rPr>
      <w:rFonts w:ascii="宋体" w:eastAsia="宋体" w:cs="宋体"/>
    </w:rPr>
  </w:style>
  <w:style w:type="paragraph" w:customStyle="1" w:styleId="97">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98">
    <w:name w:val="附录图标题"/>
    <w:basedOn w:val="1"/>
    <w:next w:val="22"/>
    <w:qFormat/>
    <w:uiPriority w:val="99"/>
    <w:pPr>
      <w:numPr>
        <w:ilvl w:val="1"/>
        <w:numId w:val="9"/>
      </w:numPr>
      <w:tabs>
        <w:tab w:val="left" w:pos="363"/>
      </w:tabs>
      <w:spacing w:beforeLines="50" w:afterLines="50"/>
      <w:jc w:val="center"/>
    </w:pPr>
    <w:rPr>
      <w:rFonts w:ascii="黑体" w:eastAsia="黑体" w:cs="黑体"/>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99"/>
    <w:pPr>
      <w:spacing w:beforeLines="0" w:afterLines="0"/>
    </w:pPr>
    <w:rPr>
      <w:rFonts w:ascii="宋体" w:eastAsia="宋体" w:cs="宋体"/>
    </w:rPr>
  </w:style>
  <w:style w:type="paragraph" w:customStyle="1" w:styleId="101">
    <w:name w:val="附录章标题"/>
    <w:next w:val="22"/>
    <w:qFormat/>
    <w:uiPriority w:val="0"/>
    <w:pPr>
      <w:numPr>
        <w:ilvl w:val="1"/>
        <w:numId w:val="6"/>
      </w:numPr>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99"/>
    <w:pPr>
      <w:spacing w:beforeLines="0" w:afterLines="0"/>
    </w:pPr>
    <w:rPr>
      <w:rFonts w:ascii="宋体" w:eastAsia="宋体" w:cs="宋体"/>
    </w:rPr>
  </w:style>
  <w:style w:type="paragraph" w:customStyle="1" w:styleId="104">
    <w:name w:val="附录字母编号列项（一级）"/>
    <w:qFormat/>
    <w:uiPriority w:val="99"/>
    <w:pPr>
      <w:numPr>
        <w:ilvl w:val="0"/>
        <w:numId w:val="8"/>
      </w:numPr>
    </w:pPr>
    <w:rPr>
      <w:rFonts w:ascii="宋体" w:hAnsi="Times New Roman" w:eastAsia="宋体" w:cs="宋体"/>
      <w:sz w:val="21"/>
      <w:szCs w:val="21"/>
      <w:lang w:val="en-US" w:eastAsia="zh-CN" w:bidi="ar-SA"/>
    </w:rPr>
  </w:style>
  <w:style w:type="character" w:customStyle="1" w:styleId="105">
    <w:name w:val="脚注文本 字符"/>
    <w:basedOn w:val="32"/>
    <w:link w:val="23"/>
    <w:semiHidden/>
    <w:qFormat/>
    <w:locked/>
    <w:uiPriority w:val="99"/>
    <w:rPr>
      <w:rFonts w:ascii="宋体" w:cs="宋体"/>
      <w:kern w:val="2"/>
      <w:sz w:val="18"/>
      <w:szCs w:val="18"/>
    </w:rPr>
  </w:style>
  <w:style w:type="paragraph" w:customStyle="1" w:styleId="106">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07">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08">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09">
    <w:name w:val="其他标准标志"/>
    <w:basedOn w:val="65"/>
    <w:qFormat/>
    <w:uiPriority w:val="99"/>
    <w:pPr>
      <w:framePr w:w="6101" w:vAnchor="page" w:hAnchor="page" w:x="4673" w:y="942"/>
    </w:pPr>
    <w:rPr>
      <w:w w:val="130"/>
    </w:rPr>
  </w:style>
  <w:style w:type="paragraph" w:customStyle="1" w:styleId="110">
    <w:name w:val="其他标准称谓"/>
    <w:next w:val="1"/>
    <w:qFormat/>
    <w:uiPriority w:val="99"/>
    <w:pPr>
      <w:framePr w:hSpace="181" w:vSpace="181" w:wrap="auto"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11">
    <w:name w:val="其他发布部门"/>
    <w:basedOn w:val="73"/>
    <w:qFormat/>
    <w:uiPriority w:val="99"/>
    <w:pPr>
      <w:framePr w:y="15310"/>
      <w:spacing w:line="240" w:lineRule="atLeast"/>
    </w:pPr>
    <w:rPr>
      <w:rFonts w:ascii="黑体" w:eastAsia="黑体" w:cs="黑体"/>
      <w:b w:val="0"/>
      <w:bCs w:val="0"/>
    </w:rPr>
  </w:style>
  <w:style w:type="paragraph" w:customStyle="1" w:styleId="112">
    <w:name w:val="前言、引言标题"/>
    <w:next w:val="22"/>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13">
    <w:name w:val="三级无"/>
    <w:basedOn w:val="48"/>
    <w:qFormat/>
    <w:uiPriority w:val="99"/>
    <w:pPr>
      <w:spacing w:beforeLines="0" w:afterLines="0"/>
    </w:pPr>
    <w:rPr>
      <w:rFonts w:ascii="宋体" w:eastAsia="宋体" w:cs="宋体"/>
    </w:rPr>
  </w:style>
  <w:style w:type="paragraph" w:customStyle="1" w:styleId="114">
    <w:name w:val="实施日期"/>
    <w:basedOn w:val="74"/>
    <w:qFormat/>
    <w:uiPriority w:val="99"/>
    <w:pPr>
      <w:framePr w:vAnchor="page" w:hAnchor="text"/>
      <w:jc w:val="right"/>
    </w:pPr>
  </w:style>
  <w:style w:type="paragraph" w:customStyle="1" w:styleId="115">
    <w:name w:val="示例后文字"/>
    <w:basedOn w:val="22"/>
    <w:next w:val="22"/>
    <w:qFormat/>
    <w:uiPriority w:val="99"/>
    <w:pPr>
      <w:ind w:firstLine="360"/>
    </w:pPr>
    <w:rPr>
      <w:sz w:val="18"/>
      <w:szCs w:val="18"/>
    </w:rPr>
  </w:style>
  <w:style w:type="paragraph" w:customStyle="1" w:styleId="116">
    <w:name w:val="首示例"/>
    <w:next w:val="22"/>
    <w:link w:val="117"/>
    <w:qFormat/>
    <w:uiPriority w:val="99"/>
    <w:pPr>
      <w:tabs>
        <w:tab w:val="left" w:pos="360"/>
      </w:tabs>
    </w:pPr>
    <w:rPr>
      <w:rFonts w:ascii="宋体" w:hAnsi="宋体" w:eastAsia="宋体" w:cs="宋体"/>
      <w:kern w:val="2"/>
      <w:sz w:val="18"/>
      <w:szCs w:val="18"/>
      <w:lang w:val="en-US" w:eastAsia="zh-CN" w:bidi="ar-SA"/>
    </w:rPr>
  </w:style>
  <w:style w:type="character" w:customStyle="1" w:styleId="117">
    <w:name w:val="首示例 Char"/>
    <w:basedOn w:val="32"/>
    <w:link w:val="116"/>
    <w:qFormat/>
    <w:locked/>
    <w:uiPriority w:val="99"/>
    <w:rPr>
      <w:rFonts w:ascii="宋体" w:hAnsi="宋体" w:cs="宋体"/>
      <w:kern w:val="2"/>
      <w:sz w:val="18"/>
      <w:szCs w:val="18"/>
      <w:lang w:val="en-US" w:eastAsia="zh-CN" w:bidi="ar-SA"/>
    </w:rPr>
  </w:style>
  <w:style w:type="paragraph" w:customStyle="1" w:styleId="118">
    <w:name w:val="四级无"/>
    <w:basedOn w:val="52"/>
    <w:qFormat/>
    <w:uiPriority w:val="99"/>
    <w:pPr>
      <w:spacing w:beforeLines="0" w:afterLines="0"/>
    </w:pPr>
    <w:rPr>
      <w:rFonts w:ascii="宋体" w:eastAsia="宋体" w:cs="宋体"/>
    </w:rPr>
  </w:style>
  <w:style w:type="paragraph" w:customStyle="1" w:styleId="119">
    <w:name w:val="条文脚注"/>
    <w:basedOn w:val="23"/>
    <w:qFormat/>
    <w:uiPriority w:val="99"/>
    <w:pPr>
      <w:numPr>
        <w:numId w:val="0"/>
      </w:numPr>
      <w:jc w:val="both"/>
    </w:pPr>
  </w:style>
  <w:style w:type="paragraph" w:customStyle="1" w:styleId="120">
    <w:name w:val="图标脚注说明"/>
    <w:basedOn w:val="22"/>
    <w:qFormat/>
    <w:uiPriority w:val="99"/>
    <w:pPr>
      <w:ind w:left="840" w:hanging="420" w:firstLineChars="0"/>
    </w:pPr>
    <w:rPr>
      <w:sz w:val="18"/>
      <w:szCs w:val="18"/>
    </w:rPr>
  </w:style>
  <w:style w:type="paragraph" w:customStyle="1" w:styleId="121">
    <w:name w:val="图表脚注说明"/>
    <w:basedOn w:val="1"/>
    <w:qFormat/>
    <w:uiPriority w:val="99"/>
    <w:pPr>
      <w:ind w:left="544" w:hanging="181"/>
    </w:pPr>
    <w:rPr>
      <w:rFonts w:ascii="宋体" w:cs="宋体"/>
      <w:sz w:val="18"/>
      <w:szCs w:val="18"/>
    </w:rPr>
  </w:style>
  <w:style w:type="paragraph" w:customStyle="1" w:styleId="122">
    <w:name w:val="图的脚注"/>
    <w:next w:val="22"/>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character" w:customStyle="1" w:styleId="123">
    <w:name w:val="尾注文本 字符"/>
    <w:basedOn w:val="32"/>
    <w:link w:val="14"/>
    <w:semiHidden/>
    <w:qFormat/>
    <w:locked/>
    <w:uiPriority w:val="99"/>
    <w:rPr>
      <w:sz w:val="21"/>
      <w:szCs w:val="21"/>
    </w:rPr>
  </w:style>
  <w:style w:type="character" w:customStyle="1" w:styleId="124">
    <w:name w:val="文档结构图 字符"/>
    <w:basedOn w:val="32"/>
    <w:link w:val="6"/>
    <w:semiHidden/>
    <w:qFormat/>
    <w:locked/>
    <w:uiPriority w:val="99"/>
    <w:rPr>
      <w:sz w:val="2"/>
      <w:szCs w:val="2"/>
    </w:rPr>
  </w:style>
  <w:style w:type="paragraph" w:customStyle="1" w:styleId="125">
    <w:name w:val="文献分类号"/>
    <w:qFormat/>
    <w:uiPriority w:val="99"/>
    <w:pPr>
      <w:framePr w:hSpace="180" w:vSpace="180" w:wrap="auto"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26">
    <w:name w:val="五级无"/>
    <w:basedOn w:val="53"/>
    <w:qFormat/>
    <w:uiPriority w:val="99"/>
    <w:pPr>
      <w:spacing w:beforeLines="0" w:afterLines="0"/>
    </w:pPr>
    <w:rPr>
      <w:rFonts w:ascii="宋体" w:eastAsia="宋体" w:cs="宋体"/>
    </w:rPr>
  </w:style>
  <w:style w:type="paragraph" w:customStyle="1" w:styleId="127">
    <w:name w:val="一级无"/>
    <w:basedOn w:val="39"/>
    <w:qFormat/>
    <w:uiPriority w:val="99"/>
    <w:pPr>
      <w:spacing w:beforeLines="0" w:afterLines="0"/>
    </w:pPr>
    <w:rPr>
      <w:rFonts w:ascii="宋体" w:eastAsia="宋体" w:cs="宋体"/>
    </w:rPr>
  </w:style>
  <w:style w:type="paragraph" w:customStyle="1" w:styleId="128">
    <w:name w:val="正文表标题"/>
    <w:next w:val="22"/>
    <w:qFormat/>
    <w:uiPriority w:val="99"/>
    <w:pPr>
      <w:numPr>
        <w:ilvl w:val="0"/>
        <w:numId w:val="10"/>
      </w:numPr>
      <w:spacing w:beforeLines="50" w:afterLines="50"/>
      <w:jc w:val="center"/>
    </w:pPr>
    <w:rPr>
      <w:rFonts w:ascii="黑体" w:hAnsi="Times New Roman" w:eastAsia="黑体" w:cs="黑体"/>
      <w:sz w:val="21"/>
      <w:szCs w:val="21"/>
      <w:lang w:val="en-US" w:eastAsia="zh-CN" w:bidi="ar-SA"/>
    </w:rPr>
  </w:style>
  <w:style w:type="paragraph" w:customStyle="1" w:styleId="129">
    <w:name w:val="正文公式编号制表符"/>
    <w:basedOn w:val="22"/>
    <w:next w:val="22"/>
    <w:qFormat/>
    <w:uiPriority w:val="99"/>
    <w:pPr>
      <w:ind w:firstLine="0" w:firstLineChars="0"/>
    </w:pPr>
  </w:style>
  <w:style w:type="paragraph" w:customStyle="1" w:styleId="130">
    <w:name w:val="正文图标题"/>
    <w:next w:val="22"/>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1">
    <w:name w:val="终结线"/>
    <w:basedOn w:val="1"/>
    <w:qFormat/>
    <w:uiPriority w:val="99"/>
    <w:pPr>
      <w:framePr w:hSpace="181" w:vSpace="181" w:wrap="auto" w:vAnchor="text" w:hAnchor="margin" w:xAlign="center" w:y="285"/>
    </w:pPr>
  </w:style>
  <w:style w:type="paragraph" w:customStyle="1" w:styleId="132">
    <w:name w:val="其他发布日期"/>
    <w:basedOn w:val="74"/>
    <w:qFormat/>
    <w:uiPriority w:val="99"/>
    <w:pPr>
      <w:framePr w:vAnchor="page" w:hAnchor="text" w:x="1419"/>
    </w:pPr>
  </w:style>
  <w:style w:type="paragraph" w:customStyle="1" w:styleId="133">
    <w:name w:val="其他实施日期"/>
    <w:basedOn w:val="114"/>
    <w:qFormat/>
    <w:uiPriority w:val="99"/>
  </w:style>
  <w:style w:type="paragraph" w:customStyle="1" w:styleId="134">
    <w:name w:val="封面标准名称2"/>
    <w:basedOn w:val="77"/>
    <w:qFormat/>
    <w:uiPriority w:val="99"/>
    <w:pPr>
      <w:framePr w:y="4469"/>
      <w:spacing w:beforeLines="630"/>
    </w:pPr>
  </w:style>
  <w:style w:type="paragraph" w:customStyle="1" w:styleId="135">
    <w:name w:val="封面标准英文名称2"/>
    <w:basedOn w:val="78"/>
    <w:qFormat/>
    <w:uiPriority w:val="99"/>
    <w:pPr>
      <w:framePr w:y="4469"/>
    </w:pPr>
  </w:style>
  <w:style w:type="paragraph" w:customStyle="1" w:styleId="136">
    <w:name w:val="封面一致性程度标识2"/>
    <w:basedOn w:val="79"/>
    <w:qFormat/>
    <w:uiPriority w:val="99"/>
    <w:pPr>
      <w:framePr w:y="4469"/>
    </w:pPr>
  </w:style>
  <w:style w:type="paragraph" w:customStyle="1" w:styleId="137">
    <w:name w:val="封面标准文稿类别2"/>
    <w:basedOn w:val="80"/>
    <w:qFormat/>
    <w:uiPriority w:val="99"/>
    <w:pPr>
      <w:framePr w:y="4469"/>
    </w:pPr>
  </w:style>
  <w:style w:type="paragraph" w:customStyle="1" w:styleId="138">
    <w:name w:val="封面标准文稿编辑信息2"/>
    <w:basedOn w:val="81"/>
    <w:qFormat/>
    <w:uiPriority w:val="99"/>
    <w:pPr>
      <w:framePr w:y="4469"/>
    </w:pPr>
  </w:style>
  <w:style w:type="paragraph" w:customStyle="1" w:styleId="139">
    <w:name w:val="工作单"/>
    <w:basedOn w:val="1"/>
    <w:qFormat/>
    <w:uiPriority w:val="99"/>
    <w:rPr>
      <w:lang w:val="ru-RU"/>
    </w:rPr>
  </w:style>
  <w:style w:type="character" w:customStyle="1" w:styleId="140">
    <w:name w:val="批注框文本 字符"/>
    <w:basedOn w:val="32"/>
    <w:link w:val="15"/>
    <w:qFormat/>
    <w:locked/>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F83CB-07FF-42F4-98A9-EB98315626A0}">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629</Words>
  <Characters>3586</Characters>
  <Lines>29</Lines>
  <Paragraphs>8</Paragraphs>
  <TotalTime>2</TotalTime>
  <ScaleCrop>false</ScaleCrop>
  <LinksUpToDate>false</LinksUpToDate>
  <CharactersWithSpaces>4207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2021-11-11T07:28:00Z</dcterms:created>
  <dc:creator>CNIS</dc:creator>
  <cp:lastModifiedBy>郑妮华</cp:lastModifiedBy>
  <cp:lastPrinted>2013-09-17T02:38:00Z</cp:lastPrinted>
  <dcterms:modified xsi:type="dcterms:W3CDTF">2023-12-05T00:47:43Z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EEFB4960593649D59031CE305EB51D51</vt:lpwstr>
  </property>
</Properties>
</file>