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framePr w:w="9286" w:h="1275" w:hRule="exact" w:wrap="around" w:hAnchor="page" w:x="1432"/>
              <w:rPr>
                <w:rFonts w:hint="eastAsia" w:ascii="Times New Roman" w:eastAsia="黑体"/>
                <w:lang w:val="en-US" w:eastAsia="zh-CN"/>
              </w:rPr>
            </w:pPr>
          </w:p>
          <w:p>
            <w:pPr>
              <w:pStyle w:val="24"/>
              <w:framePr w:w="9286" w:h="1275" w:hRule="exact" w:wrap="around" w:hAnchor="page" w:x="1432"/>
              <w:rPr>
                <w:rFonts w:hint="eastAsia" w:eastAsia="黑体"/>
                <w:lang w:eastAsia="zh-CN"/>
              </w:rPr>
            </w:pPr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746760</wp:posOffset>
                      </wp:positionV>
                      <wp:extent cx="6119495" cy="695325"/>
                      <wp:effectExtent l="4445" t="4445" r="17780" b="16510"/>
                      <wp:wrapNone/>
                      <wp:docPr id="11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949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72"/>
                                      <w:szCs w:val="72"/>
                                    </w:rPr>
                                    <w:t>团体标准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0.4pt;margin-top:58.8pt;height:54.75pt;width:481.85pt;z-index:251667456;mso-width-relative:page;mso-height-relative:margin;mso-height-percent:200;" fillcolor="#FFFFFF" filled="t" stroked="t" coordsize="21600,21600" o:gfxdata="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vKe7nZAAAACAEAAA8AAAAAAAAAAQAgAAAAIgAAAGRy&#10;cy9kb3ducmV2LnhtbFBLAQIUABQAAAAIAIdO4kAtJpd+PQIAAIkEAAAOAAAAAAAAAAEAIAAAACgB&#10;AABkcnMvZTJvRG9jLnhtbFBLBQYAAAAABgAGAFkBAADXBQ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72"/>
                                <w:szCs w:val="72"/>
                              </w:rPr>
                              <w:t>团体标准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2061210</wp:posOffset>
                      </wp:positionV>
                      <wp:extent cx="6120130" cy="0"/>
                      <wp:effectExtent l="0" t="4445" r="0" b="5080"/>
                      <wp:wrapNone/>
                      <wp:docPr id="10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" o:spid="_x0000_s1026" o:spt="20" style="position:absolute;left:0pt;margin-left:-0.05pt;margin-top:162.3pt;height:0pt;width:481.9pt;z-index:251668480;mso-width-relative:page;mso-height-relative:page;" filled="f" stroked="t" coordsize="21600,21600" o:gfxdata="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+6eatYAAAAJAQAADwAAAAAAAAABACAA&#10;AAAiAAAAZHJzL2Rvd25yZXYueG1sUEsBAhQAFAAAAAgAh07iQP4h7yrWAQAAowMAAA4AAAAAAAAA&#10;AQAgAAAAJ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9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uL+zVAAAABwEAAA8AAAAAAAAAAQAgAAAA&#10;IgAAAGRycy9kb3ducmV2LnhtbFBLAQIUABQAAAAIAIdO4kCHwbF4DgIAACAEAAAOAAAAAAAAAAEA&#10;IAAAACQ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25"/>
        <w:framePr w:wrap="around" w:x="1850" w:y="2836"/>
        <w:rPr>
          <w:rFonts w:hAnsi="黑体"/>
        </w:rPr>
      </w:pPr>
      <w:r>
        <w:rPr>
          <w:rFonts w:hint="eastAsia" w:hAnsi="黑体"/>
        </w:rPr>
        <w:t>T</w:t>
      </w:r>
      <w:r>
        <w:rPr>
          <w:rFonts w:hAnsi="黑体"/>
        </w:rPr>
        <w:t>/</w:t>
      </w:r>
      <w:r>
        <w:rPr>
          <w:rFonts w:hint="eastAsia" w:hAnsi="黑体"/>
        </w:rPr>
        <w:t>CECS 100</w:t>
      </w:r>
      <w:r>
        <w:rPr>
          <w:rFonts w:hAnsi="黑体"/>
        </w:rPr>
        <w:t>X</w:t>
      </w:r>
      <w:r>
        <w:rPr>
          <w:rFonts w:hint="eastAsia" w:hAnsi="黑体"/>
        </w:rPr>
        <w:t>X</w:t>
      </w:r>
      <w:r>
        <w:rPr>
          <w:rFonts w:hAnsi="黑体"/>
        </w:rPr>
        <w:t>—</w:t>
      </w:r>
      <w:r>
        <w:rPr>
          <w:rFonts w:hint="eastAsia" w:hAnsi="黑体"/>
        </w:rPr>
        <w:t>202X</w:t>
      </w:r>
    </w:p>
    <w:tbl>
      <w:tblPr>
        <w:tblStyle w:val="1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framePr w:wrap="around" w:x="1850" w:y="2836"/>
            </w:pPr>
            <w:bookmarkStart w:id="0" w:name="DT"/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8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Dyy9YAAAAIAQAADwAAAAAAAAABACAAAAAiAAAA&#10;ZHJzL2Rvd25yZXYueG1sUEsBAhQAFAAAAAgAh07iQOgDjoEJAgAAIA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</w:tc>
      </w:tr>
    </w:tbl>
    <w:p>
      <w:pPr>
        <w:pStyle w:val="25"/>
        <w:framePr w:wrap="around" w:x="1850" w:y="2836"/>
        <w:rPr>
          <w:rFonts w:hAnsi="黑体"/>
        </w:rPr>
      </w:pPr>
      <w:r>
        <w:rPr>
          <w:rFonts w:hint="eastAsia" w:hAnsi="黑体"/>
        </w:rPr>
        <w:tab/>
      </w:r>
    </w:p>
    <w:p>
      <w:pPr>
        <w:pStyle w:val="25"/>
        <w:framePr w:wrap="around" w:x="1850" w:y="2836"/>
        <w:rPr>
          <w:rFonts w:hAnsi="黑体"/>
        </w:rPr>
      </w:pPr>
    </w:p>
    <w:p>
      <w:pPr>
        <w:pStyle w:val="27"/>
        <w:framePr w:wrap="around" w:x="1276" w:y="6324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21258530</wp:posOffset>
                </wp:positionV>
                <wp:extent cx="6119495" cy="695325"/>
                <wp:effectExtent l="4445" t="4445" r="17780" b="16510"/>
                <wp:wrapNone/>
                <wp:docPr id="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72"/>
                                <w:szCs w:val="72"/>
                              </w:rPr>
                              <w:t>团体标准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7" o:spid="_x0000_s1026" o:spt="202" type="#_x0000_t202" style="position:absolute;left:0pt;margin-left:57.25pt;margin-top:1673.9pt;height:54.75pt;width:481.85pt;z-index:251666432;mso-width-relative:page;mso-height-relative:margin;mso-height-percent:200;" fillcolor="#FFFFFF" filled="t" stroked="t" coordsize="21600,21600" o:gfxdata="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U6SGi3QAAAA4BAAAPAAAAAAAAAAEAIAAAACIA&#10;AABkcnMvZG93bnJldi54bWxQSwECFAAUAAAACACHTuJA38DDHj0CAACIBAAADgAAAAAAAAABACAA&#10;AAAsAQAAZHJzL2Uyb0RvYy54bWxQSwUGAAAAAAYABgBZAQAA2w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黑体" w:hAnsi="黑体" w:eastAsia="黑体"/>
                          <w:sz w:val="72"/>
                          <w:szCs w:val="72"/>
                        </w:rPr>
                        <w:t>团体标准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8212455</wp:posOffset>
                </wp:positionV>
                <wp:extent cx="6120130" cy="0"/>
                <wp:effectExtent l="0" t="4445" r="0" b="508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8pt;margin-top:646.65pt;height:0pt;width:481.9pt;z-index:251665408;mso-width-relative:page;mso-height-relative:page;" filled="f" stroked="t" coordsize="21600,21600" o:gfxdata="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SEj+nXAAAADAEAAA8AAAAAAAAAAQAg&#10;AAAAIgAAAGRycy9kb3ducmV2LnhtbFBLAQIUABQAAAAIAIdO4kCWL4cw1gEAAKI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绿色建材评价  </w:t>
      </w:r>
      <w:r>
        <w:rPr>
          <w:rFonts w:hint="eastAsia"/>
          <w:lang w:val="en-US" w:eastAsia="zh-CN"/>
        </w:rPr>
        <w:t>装配式支吊架</w:t>
      </w:r>
    </w:p>
    <w:p>
      <w:pPr>
        <w:pStyle w:val="28"/>
        <w:framePr w:wrap="around" w:x="1276" w:y="6324"/>
        <w:rPr>
          <w:rFonts w:hint="default" w:eastAsia="黑体"/>
          <w:lang w:val="en-US" w:eastAsia="zh-CN"/>
        </w:rPr>
      </w:pPr>
      <w:r>
        <w:t>G</w:t>
      </w:r>
      <w:r>
        <w:rPr>
          <w:rFonts w:hint="eastAsia"/>
        </w:rPr>
        <w:t>reen building material</w:t>
      </w:r>
      <w:r>
        <w:t xml:space="preserve"> </w:t>
      </w:r>
      <w:r>
        <w:rPr>
          <w:rFonts w:hint="eastAsia"/>
        </w:rPr>
        <w:t>assessment</w:t>
      </w:r>
      <w:r>
        <w:t xml:space="preserve"> – </w:t>
      </w:r>
      <w:r>
        <w:rPr>
          <w:rFonts w:hint="eastAsia"/>
          <w:lang w:val="en-US" w:eastAsia="zh-CN"/>
        </w:rPr>
        <w:t>Prefabricated support hanger</w:t>
      </w:r>
    </w:p>
    <w:tbl>
      <w:tblPr>
        <w:tblStyle w:val="14"/>
        <w:tblW w:w="19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  <w:framePr w:wrap="around" w:x="1276" w:y="6324"/>
              <w:rPr>
                <w:sz w:val="28"/>
              </w:rPr>
            </w:pPr>
          </w:p>
          <w:p>
            <w:pPr>
              <w:pStyle w:val="29"/>
              <w:framePr w:wrap="around" w:x="1276" w:y="6324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SxLv7QkCAAAg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312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4Yvl1gAAAAkBAAAPAAAAAAAAAAEAIAAAACIAAABk&#10;cnMvZG93bnJldi54bWxQSwECFAAUAAAACACHTuJAqAqHdQgCAAAgBAAADgAAAAAAAAABACAAAAAl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征求意见稿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  <w:framePr w:wrap="around" w:x="1276" w:y="6324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4144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2BZfxwkCAAAg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5168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4Yvl1gAAAAkBAAAPAAAAAAAAAAEAIAAAACIAAABk&#10;cnMvZG93bnJldi54bWxQSwECFAAUAAAACACHTuJAOw43XwgCAAAgBAAADgAAAAAAAAABACAAAAAl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" w:name="LB"/>
            <w:r>
              <w:rPr>
                <w:sz w:val="21"/>
              </w:rPr>
              <w:instrText xml:space="preserve"> FORMDROPDOWN 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1"/>
              <w:framePr w:wrap="around" w:x="1276" w:y="6324"/>
            </w:pP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1"/>
              <w:framePr w:wrap="around" w:x="1276" w:y="6324"/>
            </w:pPr>
            <w:bookmarkStart w:id="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201901</w:t>
            </w:r>
            <w:r>
              <w:fldChar w:fldCharType="end"/>
            </w:r>
            <w:bookmarkEnd w:id="2"/>
            <w:r>
              <w:rPr>
                <w:rFonts w:hint="eastAsia"/>
              </w:rPr>
              <w:t>18DFSDF</w:t>
            </w:r>
          </w:p>
        </w:tc>
      </w:tr>
    </w:tbl>
    <w:p>
      <w:pPr>
        <w:pStyle w:val="32"/>
        <w:framePr w:wrap="around" w:hAnchor="page" w:x="1698" w:y="14104"/>
      </w:pPr>
      <w:bookmarkStart w:id="3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4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rPr>
          <w:rFonts w:hint="eastAsia"/>
        </w:rPr>
        <w:t>发布</w:t>
      </w:r>
    </w:p>
    <w:p>
      <w:pPr>
        <w:pStyle w:val="34"/>
        <w:framePr w:wrap="around" w:hAnchor="page" w:x="6631" w:y="14089"/>
      </w:pPr>
      <w:bookmarkStart w:id="5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6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7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rPr>
          <w:rFonts w:hint="eastAsia"/>
        </w:rPr>
        <w:t>实施</w:t>
      </w:r>
    </w:p>
    <w:p>
      <w:pPr>
        <w:pStyle w:val="36"/>
        <w:framePr w:wrap="around" w:x="2084" w:y="15049"/>
      </w:pPr>
      <w:r>
        <w:rPr>
          <w:rFonts w:hint="eastAsia"/>
        </w:rPr>
        <w:t>中国工程建设标准化协会</w:t>
      </w:r>
      <w:r>
        <w:rPr>
          <w:rFonts w:hint="eastAsia" w:ascii="MS Mincho" w:hAnsi="MS Mincho" w:eastAsia="MS Mincho" w:cs="MS Mincho"/>
        </w:rPr>
        <w:t>   </w:t>
      </w:r>
      <w:r>
        <w:rPr>
          <w:rStyle w:val="39"/>
          <w:rFonts w:hint="eastAsia"/>
        </w:rPr>
        <w:t>发布</w:t>
      </w:r>
    </w:p>
    <w:p>
      <w:pPr>
        <w:spacing w:before="640" w:after="560" w:line="460" w:lineRule="exact"/>
        <w:jc w:val="center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567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-17145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728.5pt;height:0pt;width:481.9pt;mso-position-vertical-relative:page;z-index:251670528;mso-width-relative:page;mso-height-relative:page;" filled="f" stroked="t" coordsize="21600,21600" o:gfxdata="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uNmatYAAAAMAQAADwAAAAAAAAABACAAAAAiAAAAZHJzL2Rvd25yZXYueG1sUEsBAhQAFAAA&#10;AAgAh07iQExxaCXxAQAA6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before="640" w:after="560"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hint="eastAsia" w:ascii="MS Mincho" w:hAnsi="MS Mincho" w:eastAsia="MS Mincho" w:cs="MS Mincho"/>
          <w:sz w:val="32"/>
          <w:szCs w:val="32"/>
        </w:rPr>
        <w:t>  </w:t>
      </w:r>
      <w:r>
        <w:rPr>
          <w:rFonts w:hint="eastAsia" w:ascii="黑体" w:hAnsi="黑体" w:eastAsia="黑体"/>
          <w:sz w:val="32"/>
          <w:szCs w:val="32"/>
        </w:rPr>
        <w:t>次</w:t>
      </w: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3" \* MERGEFORMAT</w:instrText>
      </w:r>
      <w:r>
        <w:instrText xml:space="preserve"> </w:instrText>
      </w:r>
      <w:r>
        <w:fldChar w:fldCharType="separate"/>
      </w:r>
    </w:p>
    <w:p>
      <w:pPr>
        <w:tabs>
          <w:tab w:val="right" w:leader="dot" w:pos="9240"/>
        </w:tabs>
      </w:pPr>
      <w:r>
        <w:rPr>
          <w:rFonts w:hint="eastAsia"/>
        </w:rPr>
        <w:t>前言</w:t>
      </w:r>
      <w:r>
        <w:tab/>
      </w:r>
      <w:r>
        <w:fldChar w:fldCharType="begin"/>
      </w:r>
      <w:r>
        <w:instrText xml:space="preserve"> = 3 \* ROMAN \* MERGEFORMAT </w:instrText>
      </w:r>
      <w:r>
        <w:fldChar w:fldCharType="separate"/>
      </w:r>
      <w:r>
        <w:t>II</w:t>
      </w:r>
      <w:r>
        <w:fldChar w:fldCharType="end"/>
      </w:r>
    </w:p>
    <w:p>
      <w:pPr>
        <w:tabs>
          <w:tab w:val="right" w:leader="dot" w:pos="92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"_Toc532992114" </w:instrText>
      </w:r>
      <w:r>
        <w:fldChar w:fldCharType="separate"/>
      </w:r>
      <w:r>
        <w:rPr>
          <w:rFonts w:hint="eastAsia"/>
        </w:rPr>
        <w:t>1 范围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fldChar w:fldCharType="end"/>
      </w:r>
    </w:p>
    <w:p>
      <w:pPr>
        <w:tabs>
          <w:tab w:val="right" w:leader="dot" w:pos="9240"/>
        </w:tabs>
      </w:pPr>
      <w:r>
        <w:fldChar w:fldCharType="begin"/>
      </w:r>
      <w:r>
        <w:instrText xml:space="preserve"> HYPERLINK \l "_Toc532992115" </w:instrText>
      </w:r>
      <w:r>
        <w:fldChar w:fldCharType="separate"/>
      </w:r>
      <w:r>
        <w:rPr>
          <w:rFonts w:hint="eastAsia"/>
        </w:rPr>
        <w:t>2 规范性引用文件</w:t>
      </w:r>
      <w:r>
        <w:tab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fldChar w:fldCharType="end"/>
      </w:r>
    </w:p>
    <w:p>
      <w:pPr>
        <w:tabs>
          <w:tab w:val="right" w:leader="dot" w:pos="9240"/>
        </w:tabs>
      </w:pPr>
      <w:r>
        <w:fldChar w:fldCharType="begin"/>
      </w:r>
      <w:r>
        <w:instrText xml:space="preserve"> HYPERLINK \l "_Toc532992116" </w:instrText>
      </w:r>
      <w:r>
        <w:fldChar w:fldCharType="separate"/>
      </w:r>
      <w:r>
        <w:rPr>
          <w:rFonts w:hint="eastAsia"/>
        </w:rPr>
        <w:t>3 术语和定义</w:t>
      </w:r>
      <w:r>
        <w:tab/>
      </w:r>
      <w:r>
        <w:t>1</w:t>
      </w:r>
      <w:r>
        <w:fldChar w:fldCharType="end"/>
      </w:r>
    </w:p>
    <w:p>
      <w:pPr>
        <w:tabs>
          <w:tab w:val="right" w:leader="dot" w:pos="9240"/>
        </w:tabs>
      </w:pPr>
      <w:r>
        <w:fldChar w:fldCharType="begin"/>
      </w:r>
      <w:r>
        <w:instrText xml:space="preserve"> HYPERLINK \l "_Toc532992145" </w:instrText>
      </w:r>
      <w:r>
        <w:fldChar w:fldCharType="separate"/>
      </w:r>
      <w:r>
        <w:rPr>
          <w:rFonts w:hint="eastAsia"/>
        </w:rPr>
        <w:t>4 评价要求</w:t>
      </w:r>
      <w:r>
        <w:rPr>
          <w:rFonts w:hint="eastAsia"/>
        </w:rPr>
        <w:fldChar w:fldCharType="end"/>
      </w:r>
      <w:r>
        <w:tab/>
      </w:r>
      <w:r>
        <w:rPr>
          <w:rFonts w:hint="eastAsia"/>
        </w:rPr>
        <w:t>2</w:t>
      </w:r>
    </w:p>
    <w:p>
      <w:pPr>
        <w:tabs>
          <w:tab w:val="right" w:leader="dot" w:pos="9240"/>
        </w:tabs>
      </w:pPr>
      <w:r>
        <w:fldChar w:fldCharType="begin"/>
      </w:r>
      <w:r>
        <w:instrText xml:space="preserve"> HYPERLINK \l "_Toc532992148" </w:instrText>
      </w:r>
      <w:r>
        <w:fldChar w:fldCharType="separate"/>
      </w:r>
      <w:r>
        <w:rPr>
          <w:rFonts w:hint="eastAsia"/>
        </w:rPr>
        <w:t>5 评价方法</w:t>
      </w:r>
      <w:r>
        <w:rPr>
          <w:rFonts w:hint="eastAsia"/>
        </w:rPr>
        <w:fldChar w:fldCharType="end"/>
      </w:r>
      <w:r>
        <w:tab/>
      </w:r>
      <w:r>
        <w:rPr>
          <w:rFonts w:hint="eastAsia"/>
        </w:rPr>
        <w:t>4</w:t>
      </w: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  <w:sectPr>
          <w:footerReference r:id="rId6" w:type="first"/>
          <w:footerReference r:id="rId5" w:type="default"/>
          <w:pgSz w:w="11906" w:h="16838"/>
          <w:pgMar w:top="567" w:right="1134" w:bottom="1134" w:left="1418" w:header="1418" w:footer="567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0"/>
        <w:keepLines w:val="0"/>
        <w:shd w:val="clear" w:color="FFFFFF" w:fill="FFFFFF"/>
        <w:tabs>
          <w:tab w:val="right" w:leader="do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/>
        </w:rPr>
        <w:t>前</w:t>
      </w:r>
      <w:bookmarkStart w:id="8" w:name="BKQY"/>
      <w:r>
        <w:rPr>
          <w:rFonts w:hint="eastAsia"/>
        </w:rPr>
        <w:t>  言</w:t>
      </w:r>
      <w:bookmarkEnd w:id="8"/>
    </w:p>
    <w:p>
      <w:pPr>
        <w:ind w:firstLine="420" w:firstLineChars="200"/>
      </w:pPr>
      <w:r>
        <w:rPr>
          <w:rFonts w:hint="eastAsia"/>
        </w:rPr>
        <w:t>本文件按照GB/T 1.1-2020《标准化工作导则 第1部分：标准化文件的结构和起草规则》给出的规则起草。</w:t>
      </w:r>
    </w:p>
    <w:p>
      <w:pPr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本文件是按中国工程建设标准化协会《关于印发&lt;20</w:t>
      </w:r>
      <w:r>
        <w:rPr>
          <w:rFonts w:hint="eastAsia" w:cs="宋体"/>
          <w:color w:val="000000"/>
          <w:lang w:val="en-US" w:eastAsia="zh-CN"/>
        </w:rPr>
        <w:t>20</w:t>
      </w:r>
      <w:r>
        <w:rPr>
          <w:rFonts w:hint="eastAsia" w:cs="宋体"/>
          <w:color w:val="000000"/>
        </w:rPr>
        <w:t>年第</w:t>
      </w:r>
      <w:r>
        <w:rPr>
          <w:rFonts w:hint="eastAsia" w:cs="宋体"/>
          <w:color w:val="000000"/>
          <w:lang w:val="en-US" w:eastAsia="zh-CN"/>
        </w:rPr>
        <w:t>一</w:t>
      </w:r>
      <w:r>
        <w:rPr>
          <w:rFonts w:hint="eastAsia" w:cs="宋体"/>
          <w:color w:val="000000"/>
        </w:rPr>
        <w:t>批</w:t>
      </w:r>
      <w:r>
        <w:rPr>
          <w:rFonts w:hint="eastAsia" w:cs="宋体"/>
          <w:color w:val="000000"/>
          <w:lang w:val="en-US" w:eastAsia="zh-CN"/>
        </w:rPr>
        <w:t>协会</w:t>
      </w:r>
      <w:r>
        <w:rPr>
          <w:rFonts w:hint="eastAsia" w:cs="宋体"/>
          <w:color w:val="000000"/>
        </w:rPr>
        <w:t>标准</w:t>
      </w:r>
      <w:r>
        <w:rPr>
          <w:rFonts w:hint="eastAsia" w:cs="宋体"/>
          <w:color w:val="000000"/>
          <w:lang w:val="en-US" w:eastAsia="zh-CN"/>
        </w:rPr>
        <w:t>制定、修订</w:t>
      </w:r>
      <w:r>
        <w:rPr>
          <w:rFonts w:hint="eastAsia" w:cs="宋体"/>
          <w:color w:val="000000"/>
        </w:rPr>
        <w:t>计划&gt;的通知》（建标协字〔20</w:t>
      </w:r>
      <w:r>
        <w:rPr>
          <w:rFonts w:hint="eastAsia" w:cs="宋体"/>
          <w:color w:val="000000"/>
          <w:lang w:val="en-US" w:eastAsia="zh-CN"/>
        </w:rPr>
        <w:t>20</w:t>
      </w:r>
      <w:r>
        <w:rPr>
          <w:rFonts w:hint="eastAsia" w:cs="宋体"/>
          <w:color w:val="000000"/>
        </w:rPr>
        <w:t>〕</w:t>
      </w:r>
      <w:r>
        <w:rPr>
          <w:rFonts w:hint="eastAsia" w:cs="宋体"/>
          <w:color w:val="000000"/>
          <w:lang w:val="en-US" w:eastAsia="zh-CN"/>
        </w:rPr>
        <w:t>1</w:t>
      </w:r>
      <w:r>
        <w:rPr>
          <w:rFonts w:hint="eastAsia" w:cs="宋体"/>
          <w:color w:val="000000"/>
        </w:rPr>
        <w:t>4号）的要求制定。</w:t>
      </w:r>
    </w:p>
    <w:p>
      <w:pPr>
        <w:pStyle w:val="38"/>
      </w:pPr>
      <w:r>
        <w:t>本文件的某些内容可能涉及专利。本文件的发布机构不承担识别这些专利的责任。</w:t>
      </w:r>
    </w:p>
    <w:p>
      <w:pPr>
        <w:pStyle w:val="38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</w:rPr>
        <w:t>由中国工程建设标准化协会</w:t>
      </w:r>
      <w:r>
        <w:rPr>
          <w:rFonts w:hint="eastAsia" w:ascii="Times New Roman"/>
          <w:color w:val="000000"/>
        </w:rPr>
        <w:t>提出。</w:t>
      </w:r>
    </w:p>
    <w:p>
      <w:pPr>
        <w:pStyle w:val="38"/>
        <w:rPr>
          <w:rFonts w:ascii="Times New Roman"/>
        </w:rPr>
      </w:pPr>
      <w:r>
        <w:rPr>
          <w:rFonts w:hint="eastAsia"/>
          <w:color w:val="000000"/>
        </w:rPr>
        <w:t>本文件由中国工程建设标准化协会</w:t>
      </w:r>
      <w:r>
        <w:rPr>
          <w:rFonts w:hint="eastAsia"/>
          <w:color w:val="000000"/>
          <w:lang w:val="en-US" w:eastAsia="zh-CN"/>
        </w:rPr>
        <w:t>建筑材料</w:t>
      </w:r>
      <w:r>
        <w:rPr>
          <w:rFonts w:hint="eastAsia"/>
          <w:color w:val="000000"/>
        </w:rPr>
        <w:t>分会归口管理</w:t>
      </w:r>
      <w:r>
        <w:rPr>
          <w:rFonts w:ascii="Times New Roman"/>
        </w:rPr>
        <w:t>。</w:t>
      </w:r>
    </w:p>
    <w:p>
      <w:pPr>
        <w:pStyle w:val="38"/>
      </w:pPr>
      <w:r>
        <w:rPr>
          <w:rFonts w:hint="eastAsia"/>
        </w:rPr>
        <w:t>本文件负责起草单位：住房和城乡建设部科技与产业化发展中心。</w:t>
      </w:r>
    </w:p>
    <w:p>
      <w:pPr>
        <w:pStyle w:val="9"/>
        <w:keepLines w:val="0"/>
        <w:tabs>
          <w:tab w:val="right" w:leader="do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44" w:firstLineChars="200"/>
        <w:textAlignment w:val="auto"/>
        <w:rPr>
          <w:rFonts w:hint="eastAsia" w:ascii="Times New Roman" w:hAnsi="Times New Roman" w:eastAsia="宋体" w:cs="Times New Roman"/>
          <w:spacing w:val="6"/>
          <w:kern w:val="0"/>
          <w:sz w:val="21"/>
        </w:rPr>
      </w:pPr>
      <w:r>
        <w:rPr>
          <w:rFonts w:hint="eastAsia" w:ascii="Times New Roman" w:hAnsi="Times New Roman" w:eastAsia="宋体" w:cs="Times New Roman"/>
          <w:spacing w:val="6"/>
          <w:kern w:val="0"/>
          <w:sz w:val="21"/>
        </w:rPr>
        <w:t>本文件参加起草单位：</w:t>
      </w:r>
    </w:p>
    <w:p>
      <w:pPr>
        <w:pStyle w:val="9"/>
        <w:keepLines w:val="0"/>
        <w:tabs>
          <w:tab w:val="right" w:leader="do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44" w:firstLineChars="200"/>
        <w:textAlignment w:val="auto"/>
        <w:rPr>
          <w:rFonts w:hint="eastAsia" w:ascii="Times New Roman" w:hAnsi="Times New Roman" w:eastAsia="宋体" w:cs="Times New Roman"/>
          <w:spacing w:val="6"/>
          <w:kern w:val="0"/>
          <w:sz w:val="21"/>
        </w:rPr>
      </w:pPr>
      <w:r>
        <w:rPr>
          <w:rFonts w:hint="eastAsia" w:ascii="Times New Roman" w:hAnsi="Times New Roman" w:eastAsia="宋体" w:cs="Times New Roman"/>
          <w:spacing w:val="6"/>
          <w:kern w:val="0"/>
          <w:sz w:val="21"/>
        </w:rPr>
        <w:t>本文件主要起草人：</w:t>
      </w:r>
    </w:p>
    <w:p>
      <w:pPr>
        <w:pStyle w:val="9"/>
        <w:keepLines w:val="0"/>
        <w:tabs>
          <w:tab w:val="right" w:leader="do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44" w:firstLineChars="200"/>
        <w:textAlignment w:val="auto"/>
      </w:pPr>
      <w:r>
        <w:rPr>
          <w:rFonts w:hint="eastAsia" w:ascii="Times New Roman" w:hAnsi="Times New Roman" w:eastAsia="宋体" w:cs="Times New Roman"/>
          <w:spacing w:val="6"/>
          <w:kern w:val="0"/>
          <w:sz w:val="21"/>
        </w:rPr>
        <w:t>本文件主要审查人</w:t>
      </w:r>
      <w:r>
        <w:rPr>
          <w:rFonts w:hint="eastAsia"/>
        </w:rPr>
        <w:t>：</w:t>
      </w:r>
    </w:p>
    <w:p>
      <w:pPr>
        <w:tabs>
          <w:tab w:val="right" w:leader="dot" w:pos="9240"/>
        </w:tabs>
      </w:pPr>
    </w:p>
    <w:p>
      <w:pPr>
        <w:tabs>
          <w:tab w:val="right" w:leader="dot" w:pos="9240"/>
        </w:tabs>
        <w:rPr>
          <w:rStyle w:val="17"/>
          <w:rFonts w:ascii="MS Mincho" w:hAnsi="MS Mincho" w:eastAsia="MS Mincho"/>
        </w:rPr>
      </w:pPr>
      <w:r>
        <w:fldChar w:fldCharType="end"/>
      </w:r>
    </w:p>
    <w:p>
      <w:pPr>
        <w:pStyle w:val="13"/>
        <w:rPr>
          <w:rStyle w:val="17"/>
          <w:rFonts w:ascii="MS Mincho" w:hAnsi="MS Mincho" w:eastAsia="MS Mincho"/>
        </w:rPr>
      </w:pPr>
    </w:p>
    <w:p>
      <w:pPr>
        <w:pStyle w:val="12"/>
        <w:spacing w:before="78" w:after="78"/>
        <w:sectPr>
          <w:footerReference r:id="rId7" w:type="default"/>
          <w:pgSz w:w="11906" w:h="16838"/>
          <w:pgMar w:top="567" w:right="1134" w:bottom="1134" w:left="1418" w:header="1418" w:footer="567" w:gutter="0"/>
          <w:pgNumType w:fmt="upperRoman" w:start="3"/>
          <w:cols w:space="720" w:num="1"/>
          <w:formProt w:val="0"/>
          <w:docGrid w:type="lines" w:linePitch="312" w:charSpace="0"/>
        </w:sectPr>
      </w:pPr>
      <w:r>
        <w:rPr>
          <w:rFonts w:ascii="MS Mincho" w:hAnsi="MS Mincho" w:eastAsia="MS Mincho"/>
        </w:rPr>
        <w:fldChar w:fldCharType="end"/>
      </w:r>
    </w:p>
    <w:p>
      <w:pPr>
        <w:pStyle w:val="41"/>
        <w:shd w:val="clear" w:color="FFFFFF" w:fill="FFFFFF"/>
        <w:rPr>
          <w:rFonts w:hint="default" w:cs="黑体"/>
          <w:sz w:val="36"/>
          <w:szCs w:val="36"/>
          <w:lang w:val="en-US" w:eastAsia="zh-CN"/>
        </w:rPr>
      </w:pPr>
      <w:r>
        <w:rPr>
          <w:rFonts w:hint="eastAsia" w:cs="黑体"/>
          <w:sz w:val="36"/>
          <w:szCs w:val="36"/>
          <w:lang w:val="en-US" w:eastAsia="zh-CN"/>
        </w:rPr>
        <w:t>绿色建材评价 装配式支吊架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  <w:t>1范围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本文件规定了装配式支吊架绿色建材评价的术语和定义、评价要求和评价方法。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本文件适用于装配式支吊架的绿色建材评价。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  <w:t>2规范性引用文件</w:t>
      </w:r>
    </w:p>
    <w:p>
      <w:pPr>
        <w:spacing w:line="360" w:lineRule="auto"/>
        <w:ind w:firstLine="480" w:firstLineChars="200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 16297 大气污染物综合排放标准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 18597 危险废物贮存污染控制标准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2589 综合能耗计算通则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29115工业企业节约原材料评价导则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 18599 一般工业固体废物贮存、处置场污染控制标准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19001 质量管理体系 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24001 环境管理体系 要求及使用指南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  <w:t>GB/T 28001 职业健康安全管理体系要求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GB/T 29115 工业企业节约原材料评价导则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GB 12348 工业企业厂界环境噪声排放标准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38053-2019 装配式支吊架通用技术要求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4956磁性基体上非磁性覆盖层覆盖层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1839钢产品镀锌层质量试验方法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GB/T 10125人造气氛腐蚀试验盐雾试验</w:t>
      </w:r>
    </w:p>
    <w:p>
      <w:pPr>
        <w:pStyle w:val="42"/>
        <w:numPr>
          <w:ilvl w:val="0"/>
          <w:numId w:val="0"/>
        </w:numPr>
        <w:ind w:leftChars="0"/>
        <w:outlineLvl w:val="0"/>
        <w:rPr>
          <w:bCs/>
          <w:color w:val="000000"/>
          <w:szCs w:val="21"/>
        </w:rPr>
      </w:pPr>
      <w:bookmarkStart w:id="9" w:name="_Toc521666152"/>
      <w:bookmarkStart w:id="10" w:name="_Toc532992116"/>
      <w:bookmarkStart w:id="11" w:name="_Toc509984954"/>
      <w:bookmarkStart w:id="12" w:name="_Toc509139383"/>
      <w:bookmarkStart w:id="13" w:name="_Toc511069681"/>
      <w:bookmarkStart w:id="14" w:name="_Toc519084143"/>
      <w:bookmarkStart w:id="15" w:name="_Toc524004773"/>
      <w:r>
        <w:rPr>
          <w:rFonts w:hint="eastAsia"/>
          <w:bCs/>
          <w:color w:val="000000"/>
          <w:szCs w:val="21"/>
          <w:lang w:val="en-US" w:eastAsia="zh-CN"/>
        </w:rPr>
        <w:t xml:space="preserve">3 </w:t>
      </w:r>
      <w:r>
        <w:rPr>
          <w:rFonts w:hint="eastAsia"/>
          <w:bCs/>
          <w:color w:val="000000"/>
          <w:szCs w:val="21"/>
        </w:rPr>
        <w:t>术语和定义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38"/>
        <w:rPr>
          <w:rFonts w:hint="eastAsia"/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38"/>
        <w:rPr>
          <w:rFonts w:hint="eastAsia"/>
          <w:color w:val="000000"/>
        </w:rPr>
      </w:pPr>
    </w:p>
    <w:p>
      <w:pPr>
        <w:pStyle w:val="43"/>
        <w:numPr>
          <w:ilvl w:val="1"/>
          <w:numId w:val="0"/>
        </w:numPr>
        <w:bidi w:val="0"/>
        <w:ind w:left="0" w:leftChars="0" w:firstLine="0" w:firstLineChars="0"/>
        <w:rPr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</w:t>
      </w: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.1　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z w:val="24"/>
        </w:rPr>
      </w:pPr>
      <w:r>
        <w:rPr>
          <w:rFonts w:hint="eastAsia" w:eastAsia="黑体"/>
        </w:rPr>
        <w:t>绿色建材</w:t>
      </w:r>
      <w:r>
        <w:rPr>
          <w:rFonts w:eastAsia="黑体"/>
        </w:rPr>
        <w:t xml:space="preserve">  green building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在全生命周期内可减少对天然资源消耗和减轻对生态环境影响，具有</w:t>
      </w:r>
      <w:r>
        <w:rPr>
          <w:rFonts w:hint="eastAsia" w:ascii="宋体" w:hAnsi="宋体" w:eastAsia="宋体"/>
          <w:kern w:val="0"/>
          <w:szCs w:val="20"/>
        </w:rPr>
        <w:t>“</w:t>
      </w:r>
      <w:r>
        <w:rPr>
          <w:rFonts w:hint="eastAsia"/>
          <w:kern w:val="0"/>
          <w:szCs w:val="20"/>
        </w:rPr>
        <w:t>节能、减排、安全、便利和可循环</w:t>
      </w:r>
      <w:r>
        <w:rPr>
          <w:rFonts w:hint="eastAsia" w:ascii="宋体" w:hAnsi="宋体" w:eastAsia="宋体"/>
          <w:kern w:val="0"/>
          <w:szCs w:val="20"/>
        </w:rPr>
        <w:t>”</w:t>
      </w:r>
      <w:r>
        <w:rPr>
          <w:rFonts w:hint="eastAsia"/>
          <w:kern w:val="0"/>
          <w:szCs w:val="20"/>
        </w:rPr>
        <w:t>特征的建材产品。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0" w:firstLineChars="0"/>
        <w:outlineLvl w:val="2"/>
        <w:rPr>
          <w:rFonts w:ascii="黑体" w:hAnsi="Times New Roman" w:eastAsia="黑体" w:cs="Times New Roman"/>
          <w:sz w:val="21"/>
          <w:szCs w:val="21"/>
          <w:lang w:val="en-US" w:eastAsia="zh-CN" w:bidi="ar-SA"/>
        </w:rPr>
      </w:pPr>
      <w:bookmarkStart w:id="16" w:name="_Toc532820822"/>
      <w:bookmarkEnd w:id="16"/>
      <w:bookmarkStart w:id="17" w:name="_Toc532820950"/>
      <w:bookmarkEnd w:id="17"/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3.2　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绿色建材评价</w:t>
      </w:r>
      <w:r>
        <w:rPr>
          <w:rFonts w:eastAsia="黑体"/>
        </w:rPr>
        <w:t xml:space="preserve"> green building materials</w:t>
      </w:r>
      <w:r>
        <w:rPr>
          <w:sz w:val="24"/>
        </w:rPr>
        <w:t xml:space="preserve"> </w:t>
      </w:r>
      <w:r>
        <w:rPr>
          <w:rFonts w:eastAsia="黑体"/>
        </w:rPr>
        <w:t xml:space="preserve">assessment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依据绿色建材评价技术标准，按照程序和要求对申请开展评价的建材产品进行评价，确认其等级的活动。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0" w:firstLineChars="0"/>
        <w:outlineLvl w:val="2"/>
        <w:rPr>
          <w:rFonts w:ascii="黑体" w:hAnsi="Times New Roman" w:eastAsia="黑体" w:cs="Times New Roman"/>
          <w:sz w:val="21"/>
          <w:szCs w:val="21"/>
          <w:lang w:val="en-US" w:eastAsia="zh-CN" w:bidi="ar-SA"/>
        </w:rPr>
      </w:pPr>
      <w:bookmarkStart w:id="18" w:name="_Toc532820823"/>
      <w:bookmarkEnd w:id="18"/>
      <w:bookmarkStart w:id="19" w:name="_Toc532820951"/>
      <w:bookmarkEnd w:id="19"/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3.3　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评价等级</w:t>
      </w:r>
      <w:r>
        <w:rPr>
          <w:rFonts w:eastAsia="黑体"/>
        </w:rPr>
        <w:t xml:space="preserve"> assessment level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产品评价结果所达到的绿色建材级别，由低到高分为一星级、二星级和三星级。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0" w:firstLineChars="0"/>
        <w:outlineLvl w:val="2"/>
        <w:rPr>
          <w:rFonts w:ascii="黑体" w:hAnsi="Times New Roman" w:eastAsia="黑体" w:cs="Times New Roman"/>
          <w:sz w:val="21"/>
          <w:szCs w:val="21"/>
          <w:lang w:val="en-US" w:eastAsia="zh-CN" w:bidi="ar-SA"/>
        </w:rPr>
      </w:pPr>
      <w:bookmarkStart w:id="20" w:name="_Toc532820824"/>
      <w:bookmarkEnd w:id="20"/>
      <w:bookmarkStart w:id="21" w:name="_Toc532820952"/>
      <w:bookmarkEnd w:id="21"/>
      <w:bookmarkStart w:id="22" w:name="_Toc16661"/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3.4　</w:t>
      </w:r>
    </w:p>
    <w:bookmarkEnd w:id="22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环境产品声明</w:t>
      </w:r>
      <w:r>
        <w:rPr>
          <w:rFonts w:eastAsia="黑体"/>
        </w:rPr>
        <w:t xml:space="preserve"> environmental product declaration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both"/>
        <w:rPr>
          <w:rFonts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1"/>
          <w:lang w:val="en-US" w:eastAsia="zh-CN" w:bidi="ar-SA"/>
        </w:rPr>
        <w:t>提供基于预设参数的量化环境数据的环境声明，必要时包括附加环境信息。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0" w:firstLineChars="0"/>
        <w:outlineLvl w:val="2"/>
        <w:rPr>
          <w:rFonts w:ascii="黑体" w:hAnsi="Times New Roman" w:eastAsia="黑体" w:cs="Times New Roman"/>
          <w:color w:val="FF0000"/>
          <w:sz w:val="21"/>
          <w:szCs w:val="21"/>
          <w:lang w:val="en-US" w:eastAsia="zh-CN" w:bidi="ar-SA"/>
        </w:rPr>
      </w:pPr>
      <w:bookmarkStart w:id="23" w:name="_Toc30452"/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3.5　</w:t>
      </w:r>
    </w:p>
    <w:bookmarkEnd w:id="23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碳足迹</w:t>
      </w:r>
      <w:r>
        <w:rPr>
          <w:rFonts w:eastAsia="黑体"/>
          <w:color w:val="000000"/>
        </w:rPr>
        <w:t xml:space="preserve">  </w:t>
      </w:r>
      <w:r>
        <w:fldChar w:fldCharType="begin"/>
      </w:r>
      <w:r>
        <w:instrText xml:space="preserve"> HYPERLINK "http://www.baidu.com/link?url=NM-sDc8vF8f6LBJJjre3x3OgH29MNSR7nUOi6mno3-iVlHb3Zlvs9wTbxnKcKC6gPud9_XI7Qg3qobY6J2p3_MuxwSugBbZWQE3OggbMvUq" \t "https://www.baidu.com/_blank" </w:instrText>
      </w:r>
      <w:r>
        <w:fldChar w:fldCharType="separate"/>
      </w:r>
      <w:r>
        <w:rPr>
          <w:rFonts w:eastAsia="黑体"/>
          <w:color w:val="000000"/>
        </w:rPr>
        <w:t>carbon footprint</w:t>
      </w:r>
      <w:r>
        <w:rPr>
          <w:rFonts w:eastAsia="黑体"/>
          <w:color w:val="000000"/>
        </w:rPr>
        <w:fldChar w:fldCharType="end"/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both"/>
        <w:rPr>
          <w:rFonts w:ascii="Times New Roman" w:hAnsi="Times New Roman" w:eastAsia="宋体" w:cs="Times New Roman"/>
          <w:color w:val="000000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 w:bidi="ar-SA"/>
        </w:rPr>
        <w:t>用以量化过程、过程系统或产品系统温室气体排放的参数，以表现它们对气候变化的贡献。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0" w:firstLineChars="0"/>
        <w:outlineLvl w:val="2"/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3.6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420" w:firstLineChars="200"/>
        <w:outlineLvl w:val="2"/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装配式支吊架 prefabricated supports and hangers</w:t>
      </w:r>
    </w:p>
    <w:p>
      <w:pPr>
        <w:spacing w:line="360" w:lineRule="auto"/>
        <w:ind w:firstLine="480" w:firstLineChars="200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工厂预制的连接构件与槽钢在工地现场组装，以重力作用为主要荷载，与建筑结构体牢固连接而成的支吊架。</w:t>
      </w:r>
    </w:p>
    <w:p>
      <w:pPr>
        <w:spacing w:line="360" w:lineRule="auto"/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3.7</w:t>
      </w:r>
    </w:p>
    <w:p>
      <w:pPr>
        <w:numPr>
          <w:ilvl w:val="1"/>
          <w:numId w:val="0"/>
        </w:numPr>
        <w:spacing w:before="156" w:beforeLines="50" w:after="156" w:afterLines="50"/>
        <w:ind w:left="0" w:leftChars="0" w:firstLine="420" w:firstLineChars="200"/>
        <w:outlineLvl w:val="2"/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sz w:val="21"/>
          <w:szCs w:val="21"/>
          <w:u w:val="none"/>
          <w:vertAlign w:val="baseline"/>
          <w:lang w:val="en-US" w:eastAsia="zh-CN" w:bidi="ar-SA"/>
          <w14:shadow w14:blurRad="0" w14:dist="0" w14:dir="0" w14:sx="0" w14:sy="0" w14:kx="0" w14:ky="0" w14:algn="none">
            <w14:srgbClr w14:val="000000"/>
          </w14:shadow>
        </w:rPr>
        <w:t>连接构件 connecting component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槽钢与槽钢之间的连接件、槽钢与混凝土结构之间的连接件、槽钢与钢结构之间的连接件以及槽钢与管道之间的连接件的统称。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  <w:t>4评价要求</w:t>
      </w:r>
    </w:p>
    <w:p>
      <w:pPr>
        <w:spacing w:line="360" w:lineRule="auto"/>
        <w:ind w:firstLine="482" w:firstLineChars="200"/>
        <w:rPr>
          <w:rFonts w:hint="eastAsia" w:eastAsia="仿宋_GB2312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highlight w:val="none"/>
          <w:lang w:val="en-US" w:eastAsia="zh-CN"/>
        </w:rPr>
        <w:t>4.1 一般要求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4.1.1 装配式支吊架产品的基本性能应符合GB/T 38053-2019的规定。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  <w:t>4.1.2 生产企业近3年无重大环境污染事件和重大安全事故。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  <w:t>4.1.3 生产企业一般固体废弃物的收集、贮存、处置应符合GB 18599的相关规定。危险废物的贮存应符合GB 18597的相关规定，后续应交付持有危险废物经营许可的单位处置。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  <w:t>4.1.4 生产企业应按照GB/T 19001和GB/T 24001的规定分别建立并运行质量管理体系和环境管理体系。</w:t>
      </w:r>
    </w:p>
    <w:p>
      <w:pPr>
        <w:spacing w:line="360" w:lineRule="auto"/>
        <w:ind w:firstLine="480" w:firstLineChars="200"/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eastAsia="仿宋_GB2312" w:cs="Times New Roman"/>
          <w:sz w:val="24"/>
          <w:szCs w:val="24"/>
          <w:highlight w:val="none"/>
          <w:lang w:val="en-US" w:eastAsia="zh-CN"/>
        </w:rPr>
        <w:t>4.1.5 生产企业应采用国家鼓励的先进技术，不应使用国家或有关部门发布的淘汰或禁止的技术、工艺、装备及相关物质。</w:t>
      </w:r>
    </w:p>
    <w:p>
      <w:pPr>
        <w:spacing w:line="360" w:lineRule="auto"/>
        <w:ind w:firstLine="482" w:firstLineChars="200"/>
        <w:rPr>
          <w:rFonts w:hint="eastAsia" w:eastAsia="仿宋_GB2312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highlight w:val="none"/>
          <w:lang w:val="en-US" w:eastAsia="zh-CN"/>
        </w:rPr>
        <w:t>4.2 评价指标要求</w:t>
      </w:r>
    </w:p>
    <w:p>
      <w:pPr>
        <w:spacing w:line="360" w:lineRule="auto"/>
        <w:ind w:firstLine="480" w:firstLineChars="200"/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装配式支吊架评价指标包括资源属性指标、能源属性指标、环境属性指标和品质属性指标，具体评价指标要求见表1.</w:t>
      </w:r>
    </w:p>
    <w:p>
      <w:pPr>
        <w:spacing w:line="360" w:lineRule="auto"/>
        <w:jc w:val="center"/>
        <w:rPr>
          <w:rFonts w:hint="default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sz w:val="21"/>
          <w:szCs w:val="21"/>
          <w:highlight w:val="none"/>
          <w:lang w:val="en-US" w:eastAsia="zh-CN"/>
        </w:rPr>
        <w:t>表1 评价指标要求</w:t>
      </w:r>
    </w:p>
    <w:tbl>
      <w:tblPr>
        <w:tblStyle w:val="15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88"/>
        <w:gridCol w:w="1290"/>
        <w:gridCol w:w="782"/>
        <w:gridCol w:w="1667"/>
        <w:gridCol w:w="1718"/>
        <w:gridCol w:w="174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997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58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基准值</w:t>
            </w:r>
          </w:p>
        </w:tc>
        <w:tc>
          <w:tcPr>
            <w:tcW w:w="6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997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一星级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二星级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三星级</w:t>
            </w:r>
          </w:p>
        </w:tc>
        <w:tc>
          <w:tcPr>
            <w:tcW w:w="6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资源属性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钢材综合利用率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附录A.1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能源属性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生产过程非清洁燃料限用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生产过程不使用非清洁燃料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生产过程不使用非清洁燃料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提供证明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生产过程余热利用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安装有效的废气收集处理系统，并进行余热利用。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提供证明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环境属性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厂界环境噪声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dB</w:t>
            </w:r>
          </w:p>
        </w:tc>
        <w:tc>
          <w:tcPr>
            <w:tcW w:w="258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 12348-2008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《工业企业厂界环境噪声排放标准 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产品环境影响和碳足迹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258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进行环境产品声明（EPD）和碳足迹分析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24025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品质属性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表面防护层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热浸镀锌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层厚度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μm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≥45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≥55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≥65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13912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锌铬涂层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厚度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≥8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≥12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18684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电镀锌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层厚度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≥8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≥12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镀锌铝镁层质量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（双面）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g/㎡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≥120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≥180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≥275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GB/T 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力学性能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连接构件承载力性能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—</w:t>
            </w:r>
          </w:p>
        </w:tc>
        <w:tc>
          <w:tcPr>
            <w:tcW w:w="8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槽钢锁扣式：变异系数≤0.1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螺栓对穿式：变异系数≤0.08</w:t>
            </w:r>
          </w:p>
        </w:tc>
        <w:tc>
          <w:tcPr>
            <w:tcW w:w="8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槽钢锁扣式：变异系数≤0.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螺栓对穿式：变异系数≤0.05</w:t>
            </w:r>
          </w:p>
        </w:tc>
        <w:tc>
          <w:tcPr>
            <w:tcW w:w="8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槽钢锁扣式：变异系数≤0.08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螺栓对穿式：变异系数≤0.0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38053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槽钢螺母防滑性能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38053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槽钢螺母抗拉拔性能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38053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角连接件承载力性能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T/CECS 10141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管夹抗拉拔性能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变异系数≤0.1</w:t>
            </w:r>
          </w:p>
        </w:tc>
        <w:tc>
          <w:tcPr>
            <w:tcW w:w="8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变异系数≤0.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变异系数≤0.0</w:t>
            </w: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38053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托臂承载力性能</w:t>
            </w: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38053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防腐性能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热浸镀锌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h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480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720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10125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34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1"/>
                <w:szCs w:val="21"/>
                <w:highlight w:val="none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锌铬涂层</w:t>
            </w:r>
          </w:p>
        </w:tc>
        <w:tc>
          <w:tcPr>
            <w:tcW w:w="39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10125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电镀锌</w:t>
            </w:r>
          </w:p>
        </w:tc>
        <w:tc>
          <w:tcPr>
            <w:tcW w:w="394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8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168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GB/T 10125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</w:rPr>
        <w:t>5</w:t>
      </w:r>
      <w:r>
        <w:rPr>
          <w:rFonts w:hint="eastAsia" w:eastAsia="仿宋_GB2312" w:cs="Times New Roman"/>
          <w:b/>
          <w:bCs/>
          <w:sz w:val="24"/>
          <w:szCs w:val="24"/>
          <w:highlight w:val="none"/>
          <w:lang w:val="en-US" w:eastAsia="zh-CN"/>
        </w:rPr>
        <w:t>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  <w:highlight w:val="none"/>
          <w:lang w:val="en-US" w:eastAsia="zh-CN"/>
        </w:rPr>
        <w:t>5.1 生产企业应按第4章的规定提供相关证明文件</w:t>
      </w:r>
      <w:r>
        <w:rPr>
          <w:rFonts w:hint="eastAsia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eastAsia="仿宋" w:cs="仿宋"/>
          <w:sz w:val="24"/>
          <w:szCs w:val="24"/>
          <w:highlight w:val="none"/>
          <w:lang w:val="en-US" w:eastAsia="zh-CN"/>
        </w:rPr>
        <w:t>5.2 装配式支吊架的品质属性按照表1规定的试验方法进行检测，其中力学性能试验结果按GB/T 38053中附录Ａ进行评估。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" w:cs="仿宋"/>
          <w:sz w:val="24"/>
          <w:szCs w:val="24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" w:cs="仿宋"/>
          <w:sz w:val="24"/>
          <w:szCs w:val="24"/>
          <w:highlight w:val="none"/>
          <w:lang w:val="en-US" w:eastAsia="zh-CN"/>
        </w:rPr>
        <w:t>5.3生产企业满足第4章对应评价等级的全部要求时，判定评价结果符合该评价等级规定。</w:t>
      </w:r>
    </w:p>
    <w:p>
      <w:pPr>
        <w:pStyle w:val="38"/>
        <w:ind w:firstLine="0" w:firstLineChars="0"/>
        <w:jc w:val="center"/>
        <w:outlineLvl w:val="0"/>
        <w:rPr>
          <w:rFonts w:hint="eastAsia" w:ascii="仿宋" w:hAnsi="仿宋" w:eastAsia="仿宋" w:cs="仿宋"/>
          <w:bCs/>
          <w:color w:val="000000"/>
          <w:szCs w:val="21"/>
        </w:rPr>
      </w:pPr>
      <w:bookmarkStart w:id="24" w:name="_Toc456611293"/>
      <w:bookmarkStart w:id="25" w:name="_Toc462063268"/>
      <w:bookmarkStart w:id="26" w:name="_Toc532913775"/>
      <w:bookmarkStart w:id="27" w:name="_Toc532989816"/>
      <w:bookmarkStart w:id="28" w:name="_Toc462063267"/>
      <w:bookmarkStart w:id="29" w:name="_Toc73519997"/>
      <w:bookmarkStart w:id="30" w:name="_Toc459106423"/>
      <w:bookmarkStart w:id="31" w:name="_Toc24439"/>
      <w:bookmarkStart w:id="32" w:name="_Toc11517"/>
      <w:bookmarkStart w:id="33" w:name="_Toc25648"/>
      <w:bookmarkStart w:id="34" w:name="_Toc77252919"/>
      <w:r>
        <w:rPr>
          <w:rFonts w:hint="eastAsia" w:ascii="仿宋" w:hAnsi="仿宋" w:eastAsia="仿宋" w:cs="仿宋"/>
          <w:b/>
          <w:bCs w:val="0"/>
          <w:color w:val="000000"/>
          <w:szCs w:val="21"/>
        </w:rPr>
        <w:t>附录 A</w:t>
      </w:r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hint="eastAsia" w:ascii="仿宋" w:hAnsi="仿宋" w:eastAsia="仿宋" w:cs="仿宋"/>
        </w:rPr>
        <w:br w:type="textWrapping"/>
      </w:r>
      <w:bookmarkStart w:id="35" w:name="_Toc524004822"/>
      <w:bookmarkStart w:id="36" w:name="_Toc77242379"/>
      <w:bookmarkStart w:id="37" w:name="_Toc532820841"/>
      <w:r>
        <w:rPr>
          <w:rFonts w:hint="eastAsia" w:ascii="仿宋" w:hAnsi="仿宋" w:eastAsia="仿宋" w:cs="仿宋"/>
          <w:b/>
          <w:bCs/>
        </w:rPr>
        <w:t>（规范性）</w:t>
      </w:r>
      <w:r>
        <w:rPr>
          <w:rFonts w:hint="eastAsia" w:ascii="仿宋" w:hAnsi="仿宋" w:eastAsia="仿宋" w:cs="仿宋"/>
          <w:b/>
          <w:bCs/>
        </w:rPr>
        <w:br w:type="textWrapping"/>
      </w:r>
      <w:bookmarkEnd w:id="35"/>
      <w:r>
        <w:rPr>
          <w:rFonts w:hint="eastAsia" w:ascii="仿宋" w:hAnsi="仿宋" w:eastAsia="仿宋" w:cs="仿宋"/>
          <w:b/>
          <w:bCs/>
        </w:rPr>
        <w:t>钢材综合利用率计算方法</w:t>
      </w:r>
      <w:bookmarkEnd w:id="31"/>
      <w:bookmarkEnd w:id="32"/>
      <w:bookmarkEnd w:id="33"/>
      <w:bookmarkEnd w:id="34"/>
      <w:bookmarkEnd w:id="36"/>
      <w:bookmarkEnd w:id="37"/>
    </w:p>
    <w:p>
      <w:pPr>
        <w:pStyle w:val="48"/>
        <w:keepNext w:val="0"/>
        <w:keepLines w:val="0"/>
        <w:pageBreakBefore w:val="0"/>
        <w:widowControl/>
        <w:numPr>
          <w:ilvl w:val="0"/>
          <w:numId w:val="0"/>
        </w:numPr>
        <w:kinsoku/>
        <w:topLinePunct w:val="0"/>
        <w:autoSpaceDE w:val="0"/>
        <w:bidi w:val="0"/>
        <w:adjustRightInd/>
        <w:snapToGrid/>
        <w:spacing w:before="312" w:after="312" w:line="360" w:lineRule="auto"/>
        <w:ind w:firstLine="420" w:firstLineChars="200"/>
        <w:outlineLvl w:val="9"/>
        <w:rPr>
          <w:rFonts w:hint="eastAsia" w:ascii="仿宋" w:hAnsi="仿宋" w:eastAsia="仿宋" w:cs="仿宋"/>
        </w:rPr>
      </w:pPr>
      <w:bookmarkStart w:id="38" w:name="_Toc15424"/>
      <w:bookmarkStart w:id="39" w:name="_Toc12229"/>
      <w:bookmarkStart w:id="40" w:name="_Toc15712"/>
      <w:r>
        <w:rPr>
          <w:rFonts w:hint="eastAsia" w:ascii="仿宋" w:hAnsi="仿宋" w:eastAsia="仿宋" w:cs="仿宋"/>
          <w:lang w:val="en-US" w:eastAsia="zh-CN"/>
        </w:rPr>
        <w:t>钢材综合利用率是评价期内</w:t>
      </w:r>
      <w:r>
        <w:rPr>
          <w:rFonts w:hint="eastAsia" w:ascii="仿宋" w:hAnsi="仿宋" w:eastAsia="仿宋" w:cs="仿宋"/>
        </w:rPr>
        <w:t>合格</w:t>
      </w:r>
      <w:r>
        <w:rPr>
          <w:rFonts w:hint="eastAsia" w:ascii="仿宋" w:hAnsi="仿宋" w:eastAsia="仿宋" w:cs="仿宋"/>
          <w:lang w:val="en-US" w:eastAsia="zh-CN"/>
        </w:rPr>
        <w:t>产品</w:t>
      </w:r>
      <w:r>
        <w:rPr>
          <w:rFonts w:hint="eastAsia" w:ascii="仿宋" w:hAnsi="仿宋" w:eastAsia="仿宋" w:cs="仿宋"/>
        </w:rPr>
        <w:t>生产量</w:t>
      </w:r>
      <w:r>
        <w:rPr>
          <w:rFonts w:hint="eastAsia" w:ascii="仿宋" w:hAnsi="仿宋" w:eastAsia="仿宋" w:cs="仿宋"/>
          <w:lang w:val="en-US" w:eastAsia="zh-CN"/>
        </w:rPr>
        <w:t>占</w:t>
      </w:r>
      <w:r>
        <w:rPr>
          <w:rFonts w:hint="eastAsia" w:ascii="仿宋" w:hAnsi="仿宋" w:eastAsia="仿宋" w:cs="仿宋"/>
        </w:rPr>
        <w:t>评价期内钢材消耗量</w:t>
      </w:r>
      <w:r>
        <w:rPr>
          <w:rFonts w:hint="eastAsia" w:ascii="仿宋" w:hAnsi="仿宋" w:eastAsia="仿宋" w:cs="仿宋"/>
          <w:lang w:val="en-US" w:eastAsia="zh-CN"/>
        </w:rPr>
        <w:t>的百分比，钢材综合利用率</w:t>
      </w:r>
      <w:r>
        <w:rPr>
          <w:rFonts w:hint="eastAsia" w:ascii="仿宋" w:hAnsi="仿宋" w:eastAsia="仿宋" w:cs="仿宋"/>
        </w:rPr>
        <w:t>按下式计算：</w:t>
      </w:r>
      <w:bookmarkEnd w:id="38"/>
      <w:bookmarkEnd w:id="39"/>
      <w:bookmarkEnd w:id="40"/>
    </w:p>
    <w:p>
      <w:pPr>
        <w:pStyle w:val="49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before="156" w:after="156"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position w:val="-30"/>
        </w:rPr>
        <w:object>
          <v:shape id="_x0000_i1025" o:spt="75" type="#_x0000_t75" style="height:36.3pt;width:81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(A.</w:t>
      </w:r>
      <w:r>
        <w:rPr>
          <w:rFonts w:hint="eastAsia" w:ascii="仿宋" w:hAnsi="仿宋" w:eastAsia="仿宋" w:cs="仿宋"/>
          <w:lang w:eastAsia="zh-CN"/>
        </w:rPr>
        <w:t>1</w:t>
      </w:r>
      <w:r>
        <w:rPr>
          <w:rFonts w:hint="eastAsia" w:ascii="仿宋" w:hAnsi="仿宋" w:eastAsia="仿宋" w:cs="仿宋"/>
        </w:rPr>
        <w:t>)</w:t>
      </w:r>
    </w:p>
    <w:p>
      <w:pPr>
        <w:pStyle w:val="38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式中：</w:t>
      </w:r>
    </w:p>
    <w:p>
      <w:pPr>
        <w:pStyle w:val="38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/>
        </w:rPr>
        <w:t>G</w:t>
      </w:r>
      <w:r>
        <w:rPr>
          <w:rFonts w:hint="eastAsia" w:ascii="仿宋" w:hAnsi="仿宋" w:eastAsia="仿宋" w:cs="仿宋"/>
          <w:i/>
          <w:vertAlign w:val="subscript"/>
        </w:rPr>
        <w:t>j</w:t>
      </w:r>
      <w:r>
        <w:rPr>
          <w:rFonts w:hint="eastAsia" w:ascii="仿宋" w:hAnsi="仿宋" w:eastAsia="仿宋" w:cs="仿宋"/>
          <w:i/>
        </w:rPr>
        <w:t xml:space="preserve"> </w:t>
      </w:r>
      <w:r>
        <w:rPr>
          <w:rFonts w:hint="eastAsia" w:ascii="仿宋" w:hAnsi="仿宋" w:eastAsia="仿宋" w:cs="仿宋"/>
        </w:rPr>
        <w:t>——评价期内</w:t>
      </w:r>
      <w:r>
        <w:rPr>
          <w:rFonts w:hint="eastAsia" w:ascii="仿宋" w:hAnsi="仿宋" w:eastAsia="仿宋" w:cs="仿宋"/>
          <w:lang w:val="en-US" w:eastAsia="zh-CN"/>
        </w:rPr>
        <w:t>钢材综合利用率</w:t>
      </w:r>
      <w:r>
        <w:rPr>
          <w:rFonts w:hint="eastAsia" w:ascii="仿宋" w:hAnsi="仿宋" w:eastAsia="仿宋" w:cs="仿宋"/>
        </w:rPr>
        <w:t>，单位为百分比（%）；</w:t>
      </w:r>
    </w:p>
    <w:p>
      <w:pPr>
        <w:pStyle w:val="38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/>
        </w:rPr>
        <w:t>N</w:t>
      </w:r>
      <w:r>
        <w:rPr>
          <w:rFonts w:hint="eastAsia" w:ascii="仿宋" w:hAnsi="仿宋" w:eastAsia="仿宋" w:cs="仿宋"/>
          <w:i/>
          <w:vertAlign w:val="subscript"/>
        </w:rPr>
        <w:t>j</w:t>
      </w:r>
      <w:r>
        <w:rPr>
          <w:rFonts w:hint="eastAsia" w:ascii="仿宋" w:hAnsi="仿宋" w:eastAsia="仿宋" w:cs="仿宋"/>
        </w:rPr>
        <w:t>——评价期内合格</w:t>
      </w:r>
      <w:r>
        <w:rPr>
          <w:rFonts w:hint="eastAsia" w:ascii="仿宋" w:hAnsi="仿宋" w:eastAsia="仿宋" w:cs="仿宋"/>
          <w:lang w:val="en-US" w:eastAsia="zh-CN"/>
        </w:rPr>
        <w:t>产品</w:t>
      </w:r>
      <w:r>
        <w:rPr>
          <w:rFonts w:hint="eastAsia" w:ascii="仿宋" w:hAnsi="仿宋" w:eastAsia="仿宋" w:cs="仿宋"/>
        </w:rPr>
        <w:t>生产量，单位为万吨（万t）；</w:t>
      </w:r>
    </w:p>
    <w:p>
      <w:pPr>
        <w:pStyle w:val="38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i/>
        </w:rPr>
        <w:t>N</w:t>
      </w:r>
      <w:r>
        <w:rPr>
          <w:rFonts w:hint="eastAsia" w:ascii="仿宋" w:hAnsi="仿宋" w:eastAsia="仿宋" w:cs="仿宋"/>
          <w:i/>
          <w:vertAlign w:val="subscript"/>
        </w:rPr>
        <w:t>c</w:t>
      </w:r>
      <w:r>
        <w:rPr>
          <w:rFonts w:hint="eastAsia" w:ascii="仿宋" w:hAnsi="仿宋" w:eastAsia="仿宋" w:cs="仿宋"/>
        </w:rPr>
        <w:t>——评价期内钢材消耗量，单位为万吨（万t）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ind w:left="0" w:leftChars="0" w:firstLine="0" w:firstLineChars="0"/>
      </w:pPr>
      <w:bookmarkStart w:id="41" w:name="_GoBack"/>
      <w:bookmarkEnd w:id="41"/>
    </w:p>
    <w:sectPr>
      <w:footerReference r:id="rId8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sdt>
      <w:sdtPr>
        <w:id w:val="-1812861081"/>
      </w:sdtPr>
      <w:sdtContent/>
    </w:sdt>
  </w:p>
  <w:p>
    <w:pPr>
      <w:pStyle w:val="4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639028734"/>
      </w:sdtPr>
      <w:sdtContent/>
    </w:sdt>
  </w:p>
  <w:p>
    <w:pPr>
      <w:pStyle w:val="4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2875915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/>
                            </w:rPr>
                            <w:t>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45pt;margin-top:0pt;height:144pt;width:144pt;mso-position-horizontal-relative:margin;mso-wrap-style:none;z-index:251669504;mso-width-relative:page;mso-height-relative:page;" filled="f" stroked="f" coordsize="21600,21600" o:gfxdata="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BTYnNUAAAAIAQAADwAAAAAAAAABACAAAAAiAAAAZHJzL2Rvd25yZXYueG1sUEsBAhQAFAAA&#10;AAgAh07iQJpGcYwrAgAAVw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lang w:val="en-US"/>
                      </w:rPr>
                    </w:pPr>
                    <w:r>
                      <w:rPr>
                        <w:rFonts w:hint="eastAsia"/>
                        <w:lang w:val="en-US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  <w:sdt>
      <w:sdtPr>
        <w:id w:val="-1154687060"/>
      </w:sdtPr>
      <w:sdtContent/>
    </w:sdt>
  </w:p>
  <w:p>
    <w:pPr>
      <w:pStyle w:val="47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154687060"/>
      </w:sdtPr>
      <w:sdtContent/>
    </w:sdt>
  </w:p>
  <w:p>
    <w:pPr>
      <w:pStyle w:val="4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tabs>
        <w:tab w:val="center" w:pos="4677"/>
        <w:tab w:val="clear" w:pos="4154"/>
        <w:tab w:val="clear" w:pos="8306"/>
      </w:tabs>
      <w:jc w:val="center"/>
    </w:pPr>
    <w:r>
      <w:rPr>
        <w:rFonts w:hint="eastAsia"/>
      </w:rPr>
      <w:t xml:space="preserve">                                                                    </w:t>
    </w:r>
    <w:r>
      <w:t>T/ CECS 100</w:t>
    </w:r>
    <w:r>
      <w:rPr>
        <w:rFonts w:hint="eastAsia"/>
      </w:rPr>
      <w:t>X</w:t>
    </w:r>
    <w:r>
      <w:t>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  <w:lang w:val="en-US"/>
      </w:rPr>
    </w:lvl>
    <w:lvl w:ilvl="1" w:tentative="0">
      <w:start w:val="1"/>
      <w:numFmt w:val="decimal"/>
      <w:pStyle w:val="4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8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zU5MDFhMWRhNWY2ZGFlNzAzZTQxZDBhZjMxZWQifQ=="/>
  </w:docVars>
  <w:rsids>
    <w:rsidRoot w:val="5380421A"/>
    <w:rsid w:val="00D30A99"/>
    <w:rsid w:val="0317446A"/>
    <w:rsid w:val="03DF3D4E"/>
    <w:rsid w:val="04705938"/>
    <w:rsid w:val="04DC74B3"/>
    <w:rsid w:val="056C5D70"/>
    <w:rsid w:val="08DF1F79"/>
    <w:rsid w:val="14394E19"/>
    <w:rsid w:val="14423DE3"/>
    <w:rsid w:val="156601C9"/>
    <w:rsid w:val="17DF3E28"/>
    <w:rsid w:val="18360C3D"/>
    <w:rsid w:val="1B800E7A"/>
    <w:rsid w:val="1C434003"/>
    <w:rsid w:val="1C8833EB"/>
    <w:rsid w:val="1DED1999"/>
    <w:rsid w:val="1F317B77"/>
    <w:rsid w:val="209239FD"/>
    <w:rsid w:val="20EF1353"/>
    <w:rsid w:val="21105885"/>
    <w:rsid w:val="21425423"/>
    <w:rsid w:val="22B71A8D"/>
    <w:rsid w:val="23BC4944"/>
    <w:rsid w:val="244D4110"/>
    <w:rsid w:val="261834B5"/>
    <w:rsid w:val="278E0967"/>
    <w:rsid w:val="285B69D3"/>
    <w:rsid w:val="2E8F2AA0"/>
    <w:rsid w:val="2F727210"/>
    <w:rsid w:val="35763B96"/>
    <w:rsid w:val="3B222190"/>
    <w:rsid w:val="3F5A49DE"/>
    <w:rsid w:val="3F5D4A04"/>
    <w:rsid w:val="3FCB3FB0"/>
    <w:rsid w:val="481E3F27"/>
    <w:rsid w:val="496D4D3E"/>
    <w:rsid w:val="49D86DC3"/>
    <w:rsid w:val="4CD14302"/>
    <w:rsid w:val="51836CB3"/>
    <w:rsid w:val="51B61DE8"/>
    <w:rsid w:val="52A25A07"/>
    <w:rsid w:val="5380421A"/>
    <w:rsid w:val="54624511"/>
    <w:rsid w:val="54C55FEB"/>
    <w:rsid w:val="587839C7"/>
    <w:rsid w:val="5D35760E"/>
    <w:rsid w:val="624A7A89"/>
    <w:rsid w:val="65F962C7"/>
    <w:rsid w:val="664A5B6D"/>
    <w:rsid w:val="669A559F"/>
    <w:rsid w:val="67D258B6"/>
    <w:rsid w:val="6BD64B8C"/>
    <w:rsid w:val="6CC336FC"/>
    <w:rsid w:val="6E005F8D"/>
    <w:rsid w:val="72E81551"/>
    <w:rsid w:val="75805C64"/>
    <w:rsid w:val="77732431"/>
    <w:rsid w:val="7C2428D0"/>
    <w:rsid w:val="7D851F2E"/>
    <w:rsid w:val="7D982ECD"/>
    <w:rsid w:val="7F6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8"/>
    <w:qFormat/>
    <w:uiPriority w:val="0"/>
    <w:pPr>
      <w:ind w:left="0" w:firstLine="0" w:firstLineChars="0"/>
      <w:outlineLvl w:val="0"/>
    </w:pPr>
    <w:rPr>
      <w:rFonts w:ascii="Times New Roman" w:hAnsi="Times New Roman" w:eastAsia="宋体" w:cs="宋体"/>
      <w:bCs/>
      <w:sz w:val="30"/>
      <w:szCs w:val="30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spacing w:line="360" w:lineRule="auto"/>
      <w:ind w:left="0" w:firstLine="0" w:firstLineChars="0"/>
      <w:jc w:val="center"/>
      <w:outlineLvl w:val="1"/>
    </w:pPr>
    <w:rPr>
      <w:b/>
      <w:bCs/>
      <w:szCs w:val="28"/>
    </w:rPr>
  </w:style>
  <w:style w:type="paragraph" w:styleId="6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ascii="Times New Roman" w:hAnsi="Times New Roman" w:cs="Times New Roman"/>
      <w:b/>
      <w:szCs w:val="28"/>
    </w:rPr>
  </w:style>
  <w:style w:type="paragraph" w:styleId="7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eastAsia="黑体" w:cs="Times New Roman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Body Text"/>
    <w:basedOn w:val="1"/>
    <w:qFormat/>
    <w:uiPriority w:val="0"/>
    <w:pPr>
      <w:ind w:firstLine="0" w:firstLineChars="0"/>
    </w:pPr>
    <w:rPr>
      <w:rFonts w:ascii="宋体" w:hAnsi="宋体" w:eastAsia="黑体"/>
      <w:sz w:val="21"/>
      <w:szCs w:val="28"/>
    </w:rPr>
  </w:style>
  <w:style w:type="paragraph" w:styleId="10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  <w:lang w:val="zh-CN"/>
    </w:rPr>
  </w:style>
  <w:style w:type="paragraph" w:styleId="11">
    <w:name w:val="header"/>
    <w:basedOn w:val="1"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customStyle="1" w:styleId="18">
    <w:name w:val="标题 1 字符"/>
    <w:basedOn w:val="16"/>
    <w:link w:val="3"/>
    <w:qFormat/>
    <w:uiPriority w:val="9"/>
    <w:rPr>
      <w:rFonts w:ascii="Times New Roman" w:hAnsi="Times New Roman" w:eastAsia="宋体"/>
      <w:b/>
      <w:bCs/>
      <w:kern w:val="44"/>
      <w:sz w:val="32"/>
      <w:szCs w:val="32"/>
      <w:lang w:val="zh-CN" w:bidi="zh-CN"/>
    </w:rPr>
  </w:style>
  <w:style w:type="character" w:customStyle="1" w:styleId="19">
    <w:name w:val="标题 2 Char"/>
    <w:link w:val="5"/>
    <w:qFormat/>
    <w:uiPriority w:val="0"/>
    <w:rPr>
      <w:rFonts w:ascii="Times New Roman" w:hAnsi="Times New Roman" w:eastAsia="宋体" w:cs="宋体"/>
      <w:b/>
      <w:bCs/>
      <w:sz w:val="28"/>
      <w:szCs w:val="28"/>
      <w:lang w:val="zh-CN" w:bidi="zh-CN"/>
    </w:rPr>
  </w:style>
  <w:style w:type="character" w:customStyle="1" w:styleId="20">
    <w:name w:val="标题 3 Char"/>
    <w:link w:val="6"/>
    <w:qFormat/>
    <w:uiPriority w:val="0"/>
    <w:rPr>
      <w:rFonts w:ascii="Times New Roman" w:hAnsi="Times New Roman" w:eastAsia="宋体" w:cs="Times New Roman"/>
      <w:b/>
      <w:sz w:val="30"/>
      <w:szCs w:val="28"/>
    </w:rPr>
  </w:style>
  <w:style w:type="character" w:customStyle="1" w:styleId="21">
    <w:name w:val="标题 4 Char"/>
    <w:link w:val="7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22">
    <w:name w:val="表头"/>
    <w:basedOn w:val="1"/>
    <w:qFormat/>
    <w:uiPriority w:val="0"/>
    <w:pPr>
      <w:ind w:firstLine="0" w:firstLineChars="0"/>
      <w:jc w:val="center"/>
    </w:pPr>
    <w:rPr>
      <w:rFonts w:ascii="Times New Roman" w:hAnsi="Times New Roman" w:eastAsia="黑体" w:cs="Times New Roman"/>
      <w:sz w:val="21"/>
      <w:szCs w:val="21"/>
    </w:rPr>
  </w:style>
  <w:style w:type="paragraph" w:customStyle="1" w:styleId="23">
    <w:name w:val="表文"/>
    <w:basedOn w:val="1"/>
    <w:qFormat/>
    <w:uiPriority w:val="0"/>
    <w:pPr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customStyle="1" w:styleId="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8">
    <w:name w:val="封面标准英文名称"/>
    <w:basedOn w:val="27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29">
    <w:name w:val="封面标准文稿类别"/>
    <w:basedOn w:val="30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30">
    <w:name w:val="封面一致性程度标识"/>
    <w:basedOn w:val="2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31">
    <w:name w:val="封面标准文稿编辑信息"/>
    <w:basedOn w:val="29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32">
    <w:name w:val="其他发布日期"/>
    <w:basedOn w:val="33"/>
    <w:qFormat/>
    <w:uiPriority w:val="0"/>
    <w:pPr>
      <w:framePr w:wrap="around" w:vAnchor="page" w:hAnchor="text" w:x="1419"/>
    </w:pPr>
  </w:style>
  <w:style w:type="paragraph" w:customStyle="1" w:styleId="3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4">
    <w:name w:val="其他实施日期"/>
    <w:basedOn w:val="35"/>
    <w:qFormat/>
    <w:uiPriority w:val="0"/>
    <w:pPr>
      <w:framePr w:wrap="around"/>
    </w:pPr>
  </w:style>
  <w:style w:type="paragraph" w:customStyle="1" w:styleId="35">
    <w:name w:val="实施日期"/>
    <w:basedOn w:val="33"/>
    <w:qFormat/>
    <w:uiPriority w:val="0"/>
    <w:pPr>
      <w:framePr w:wrap="around" w:vAnchor="page" w:hAnchor="text"/>
      <w:jc w:val="right"/>
    </w:pPr>
  </w:style>
  <w:style w:type="paragraph" w:customStyle="1" w:styleId="36">
    <w:name w:val="其他发布部门"/>
    <w:basedOn w:val="37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37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3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0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1">
    <w:name w:val="目次、标准名称标题"/>
    <w:basedOn w:val="1"/>
    <w:next w:val="3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2">
    <w:name w:val="章标题"/>
    <w:next w:val="38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一级条标题"/>
    <w:next w:val="3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二级条标题"/>
    <w:basedOn w:val="43"/>
    <w:next w:val="38"/>
    <w:qFormat/>
    <w:uiPriority w:val="0"/>
    <w:pPr>
      <w:numPr>
        <w:ilvl w:val="0"/>
        <w:numId w:val="0"/>
      </w:numPr>
      <w:spacing w:before="50" w:after="50"/>
      <w:ind w:left="993"/>
      <w:outlineLvl w:val="3"/>
    </w:pPr>
    <w:rPr>
      <w:lang w:val="zh-CN"/>
    </w:rPr>
  </w:style>
  <w:style w:type="paragraph" w:customStyle="1" w:styleId="45">
    <w:name w:val="Table Paragraph"/>
    <w:basedOn w:val="1"/>
    <w:qFormat/>
    <w:uiPriority w:val="1"/>
  </w:style>
  <w:style w:type="paragraph" w:customStyle="1" w:styleId="4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附录章标题"/>
    <w:next w:val="38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9">
    <w:name w:val="附录公式编号制表符"/>
    <w:basedOn w:val="1"/>
    <w:next w:val="3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1993</Words>
  <Characters>2532</Characters>
  <Lines>0</Lines>
  <Paragraphs>0</Paragraphs>
  <TotalTime>0</TotalTime>
  <ScaleCrop>false</ScaleCrop>
  <LinksUpToDate>false</LinksUpToDate>
  <CharactersWithSpaces>2642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2023-11-28T11:52:00Z</dcterms:created>
  <dc:creator>Linna</dc:creator>
  <cp:lastModifiedBy>庞保雪</cp:lastModifiedBy>
  <dcterms:modified xsi:type="dcterms:W3CDTF">2023-12-04T07:31:43Z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AD3EC74378C14F1B94DA91DA8158275E_11</vt:lpwstr>
  </property>
</Properties>
</file>