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ICS</w:t>
      </w:r>
      <w:r>
        <w:rPr>
          <w:rFonts w:hint="default" w:ascii="Times New Roman" w:hAnsi="Times New Roman" w:eastAsia="MS Mincho" w:cs="Times New Roman"/>
          <w:kern w:val="0"/>
          <w:szCs w:val="21"/>
        </w:rPr>
        <w:t> </w:t>
      </w:r>
      <w:r>
        <w:rPr>
          <w:rFonts w:hint="default" w:ascii="Times New Roman" w:hAnsi="Times New Roman" w:eastAsia="黑体" w:cs="Times New Roman"/>
          <w:kern w:val="0"/>
          <w:szCs w:val="21"/>
        </w:rPr>
        <w:t>91.060</w:t>
      </w:r>
    </w:p>
    <w:tbl>
      <w:tblPr>
        <w:tblStyle w:val="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1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7216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iuL+zVAAAABwEAAA8AAAAA&#10;AAAAAQAgAAAAIgAAAGRycy9kb3ducmV2LnhtbFBLAQIUABQAAAAIAIdO4kDX+O2GpQEAAFkDAAAO&#10;AAAAAAAAAAEAIAAAACQBAABkcnMvZTJvRG9jLnhtbFBLBQYAAAAABgAGAFkBAAA7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P32</w:t>
            </w:r>
          </w:p>
        </w:tc>
      </w:tr>
    </w:tbl>
    <w:p>
      <w:pPr>
        <w:jc w:val="distribute"/>
        <w:rPr>
          <w:rFonts w:hint="default" w:ascii="Times New Roman" w:hAnsi="Times New Roman" w:eastAsia="黑体" w:cs="Times New Roman"/>
          <w:sz w:val="72"/>
          <w:szCs w:val="72"/>
        </w:rPr>
      </w:pPr>
      <w:r>
        <w:rPr>
          <w:rFonts w:hint="default" w:ascii="Times New Roman" w:hAnsi="Times New Roman" w:eastAsia="黑体" w:cs="Times New Roman"/>
          <w:sz w:val="72"/>
          <w:szCs w:val="72"/>
        </w:rPr>
        <w:t>团体标准</w:t>
      </w:r>
    </w:p>
    <w:p>
      <w:pPr>
        <w:pStyle w:val="12"/>
        <w:framePr w:w="0" w:hRule="auto" w:hSpace="0" w:wrap="auto" w:vAnchor="margin" w:hAnchor="text" w:xAlign="left" w:yAlign="in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T/CECS 1000X—</w:t>
      </w:r>
      <w:bookmarkStart w:id="0" w:name="StdNo2"/>
      <w:r>
        <w:rPr>
          <w:rFonts w:hint="default" w:ascii="Times New Roman" w:hAnsi="Times New Roman" w:cs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    </w:t>
      </w:r>
      <w:r>
        <w:rPr>
          <w:rFonts w:hint="default" w:ascii="Times New Roman" w:hAnsi="Times New Roman" w:cs="Times New Roman"/>
        </w:rPr>
        <w:fldChar w:fldCharType="end"/>
      </w:r>
      <w:bookmarkEnd w:id="0"/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  <w:bookmarkStart w:id="1" w:name="FY"/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jc w:val="center"/>
        <w:rPr>
          <w:rFonts w:hint="default" w:ascii="Times New Roman" w:hAnsi="Times New Roman" w:cs="Times New Roman"/>
          <w:sz w:val="52"/>
          <w:szCs w:val="52"/>
        </w:rPr>
      </w:pPr>
      <w:r>
        <w:rPr>
          <w:rFonts w:hint="default" w:ascii="Times New Roman" w:hAnsi="Times New Roman" w:cs="Times New Roman"/>
          <w:sz w:val="52"/>
          <w:szCs w:val="52"/>
        </w:rPr>
        <w:t>绿色建材评价  室内木门</w:t>
      </w:r>
    </w:p>
    <w:p>
      <w:pPr>
        <w:pStyle w:val="13"/>
        <w:framePr w:w="0" w:hRule="auto" w:vSpace="0" w:wrap="auto" w:vAnchor="margin" w:hAnchor="text" w:xAlign="left" w:yAlign="inline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Green building material assessment–interior wooden door</w:t>
      </w: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3"/>
        <w:framePr w:w="0" w:hRule="auto" w:vSpace="0" w:wrap="auto" w:vAnchor="margin" w:hAnchor="text" w:xAlign="left" w:yAlign="inline"/>
        <w:rPr>
          <w:rFonts w:hint="default" w:ascii="Times New Roman" w:hAnsi="Times New Roman" w:cs="Times New Roman"/>
        </w:rPr>
      </w:pPr>
    </w:p>
    <w:p>
      <w:pPr>
        <w:pStyle w:val="14"/>
        <w:framePr w:w="0" w:hRule="auto" w:vSpace="0" w:wrap="auto" w:vAnchor="margin" w:hAnchor="text" w:xAlign="left" w:yAlign="inline"/>
        <w:wordWrap w:val="0"/>
        <w:jc w:val="center"/>
        <w:rPr>
          <w:rFonts w:hint="default" w:ascii="Times New Roman" w:hAnsi="Times New Roman" w:cs="Times New Roman"/>
        </w:rPr>
      </w:pPr>
      <w:bookmarkStart w:id="42" w:name="_GoBack"/>
      <w:bookmarkEnd w:id="42"/>
      <w:r>
        <w:rPr>
          <w:rFonts w:hint="default" w:ascii="Times New Roman" w:hAnsi="Times New Roman" w:cs="Times New Roman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XXXX</w:t>
      </w:r>
      <w:r>
        <w:rPr>
          <w:rFonts w:hint="default" w:ascii="Times New Roman" w:hAnsi="Times New Roman" w:cs="Times New Roman"/>
        </w:rPr>
        <w:fldChar w:fldCharType="end"/>
      </w:r>
      <w:bookmarkEnd w:id="1"/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-</w:t>
      </w:r>
      <w:bookmarkStart w:id="2" w:name="FD"/>
      <w:r>
        <w:rPr>
          <w:rFonts w:hint="default" w:ascii="Times New Roman" w:hAnsi="Times New Roman" w:cs="Times New Roman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bookmarkEnd w:id="2"/>
      <w:r>
        <w:rPr>
          <w:rFonts w:hint="default" w:ascii="Times New Roman" w:hAnsi="Times New Roman" w:cs="Times New Roman"/>
        </w:rPr>
        <w:t>发布</w:t>
      </w:r>
      <w:bookmarkStart w:id="3" w:name="SY"/>
      <w:r>
        <w:rPr>
          <w:rFonts w:hint="default" w:ascii="Times New Roman" w:hAnsi="Times New Roman" w:cs="Times New Roman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XXXX</w:t>
      </w:r>
      <w:r>
        <w:rPr>
          <w:rFonts w:hint="default" w:ascii="Times New Roman" w:hAnsi="Times New Roman" w:cs="Times New Roman"/>
        </w:rPr>
        <w:fldChar w:fldCharType="end"/>
      </w:r>
      <w:bookmarkEnd w:id="3"/>
      <w:r>
        <w:rPr>
          <w:rFonts w:hint="default" w:ascii="Times New Roman" w:hAnsi="Times New Roman" w:cs="Times New Roman"/>
        </w:rPr>
        <w:t>-</w:t>
      </w:r>
      <w:bookmarkStart w:id="4" w:name="SM"/>
      <w:r>
        <w:rPr>
          <w:rFonts w:hint="default" w:ascii="Times New Roman" w:hAnsi="Times New Roman" w:cs="Times New Roman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bookmarkEnd w:id="4"/>
      <w:r>
        <w:rPr>
          <w:rFonts w:hint="default" w:ascii="Times New Roman" w:hAnsi="Times New Roman" w:cs="Times New Roman"/>
        </w:rPr>
        <w:t>-</w:t>
      </w:r>
      <w:bookmarkStart w:id="5" w:name="SD"/>
      <w:r>
        <w:rPr>
          <w:rFonts w:hint="default" w:ascii="Times New Roman" w:hAnsi="Times New Roman" w:cs="Times New Roman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</w:rPr>
        <w:fldChar w:fldCharType="end"/>
      </w:r>
      <w:bookmarkEnd w:id="5"/>
      <w:r>
        <w:rPr>
          <w:rFonts w:hint="default" w:ascii="Times New Roman" w:hAnsi="Times New Roman" w:cs="Times New Roman"/>
        </w:rPr>
        <w:t>实施</w:t>
      </w:r>
    </w:p>
    <w:p>
      <w:pPr>
        <w:pStyle w:val="13"/>
        <w:framePr w:w="0" w:hRule="auto" w:vSpace="0" w:wrap="auto" w:vAnchor="margin" w:hAnchor="text" w:xAlign="left" w:yAlign="inline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-207010</wp:posOffset>
                </wp:positionH>
                <wp:positionV relativeFrom="page">
                  <wp:posOffset>2417445</wp:posOffset>
                </wp:positionV>
                <wp:extent cx="6120130" cy="0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6.3pt;margin-top:190.35pt;height:0pt;width:481.9pt;mso-position-vertical-relative:page;z-index:251661312;mso-width-relative:page;mso-height-relative:page;" filled="f" stroked="t" coordsize="21600,21600" o:gfxdata="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rYubY&#10;AAAACwEAAA8AAAAAAAAAAQAgAAAAIgAAAGRycy9kb3ducmV2LnhtbFBLAQIUABQAAAAIAIdO4kD6&#10;ZeiV5wEAANs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0288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OHvEgH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Vu+4MyBpYY/ff/x9PMX&#10;q4s4Y8CGYu7dJpJUeYdhEzPTQxdt/hMHdiiCHs+CqkNigg5va2L1lrQWz77qcjFETB+VtywbLTfa&#10;Za7QwP4TJkpGoc8h+dg4Nrb8/c3ihuCABq+jhpNpAxWPri930RstH7Qx+QbGfntvIttDbn75cr8J&#10;96+wnGQNOExxxTWNxaBAfnCSpWMgWRy9Bp5LsEpyZhQ9nmyVAUqgzTWRlNo4quCiY7a2Xh6pCbsQ&#10;dT+QEnWpMnuo6aXe04DmqfpzX5Auj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HazzWAAAA&#10;CwEAAA8AAAAAAAAAAQAgAAAAIgAAAGRycy9kb3ducmV2LnhtbFBLAQIUABQAAAAIAIdO4kDh7xIB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>中国工程建设标准化协会</w:t>
      </w:r>
      <w:r>
        <w:rPr>
          <w:rFonts w:hint="default" w:ascii="Times New Roman" w:hAnsi="Times New Roman" w:eastAsia="MS Mincho" w:cs="Times New Roman"/>
        </w:rPr>
        <w:t>   </w:t>
      </w:r>
      <w:r>
        <w:rPr>
          <w:rStyle w:val="15"/>
          <w:rFonts w:hint="default" w:ascii="Times New Roman" w:hAnsi="Times New Roman" w:cs="Times New Roman"/>
        </w:rPr>
        <w:t>发布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T/CECS 1000X—</w:t>
      </w:r>
      <w:r>
        <w:rPr>
          <w:rFonts w:hint="default" w:ascii="Times New Roman" w:hAnsi="Times New Roman" w:cs="Times New Roman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int="default" w:ascii="Times New Roman" w:hAnsi="Times New Roman" w:cs="Times New Roman"/>
        </w:rPr>
        <w:instrText xml:space="preserve"> FORMTEXT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    </w:t>
      </w:r>
      <w:r>
        <w:rPr>
          <w:rFonts w:hint="default" w:ascii="Times New Roman" w:hAnsi="Times New Roman" w:cs="Times New Roman"/>
        </w:rPr>
        <w:fldChar w:fldCharType="end"/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目</w:t>
      </w:r>
      <w:bookmarkStart w:id="6" w:name="BKML"/>
      <w:r>
        <w:rPr>
          <w:rFonts w:hint="default" w:ascii="Times New Roman" w:hAnsi="Times New Roman" w:eastAsia="MS Mincho" w:cs="Times New Roman"/>
          <w:kern w:val="0"/>
          <w:sz w:val="32"/>
          <w:szCs w:val="20"/>
        </w:rPr>
        <w:t>  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次</w:t>
      </w:r>
      <w:bookmarkEnd w:id="6"/>
    </w:p>
    <w:p>
      <w:pPr>
        <w:tabs>
          <w:tab w:val="right" w:leader="dot" w:pos="9241"/>
        </w:tabs>
        <w:spacing w:before="78" w:beforeLines="25" w:after="78" w:afterLines="25"/>
        <w:jc w:val="left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HYPERLINK \l "_Toc104389726"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前  言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= 2 \* ROMAN \* MERGEFORMAT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</w:rPr>
        <w:t>II</w:t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tabs>
          <w:tab w:val="right" w:leader="dot" w:pos="9241"/>
        </w:tabs>
        <w:spacing w:before="78" w:beforeLines="25" w:after="78" w:afterLines="25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TOC \h \z \t "前言、引言标题,1,参考文献、索引标题,1,章标题,1,参考文献,1,附录标识,1,一级条标题,3"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"_Toc532906518"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1 范围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PAGEREF _Toc532906518 \h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5</w:t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tabs>
          <w:tab w:val="right" w:leader="dot" w:pos="9241"/>
        </w:tabs>
        <w:spacing w:before="78" w:beforeLines="25" w:after="78" w:afterLines="25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"_Toc532906519"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2 规范性引用文件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PAGEREF _Toc532906519 \h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5</w:t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tabs>
          <w:tab w:val="right" w:leader="dot" w:pos="9241"/>
        </w:tabs>
        <w:spacing w:before="78" w:beforeLines="25" w:after="78" w:afterLines="25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"_Toc532906520"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</w:rPr>
        <w:t>3 术语和定义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PAGEREF _Toc532906520 \h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5</w:t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tabs>
          <w:tab w:val="right" w:leader="dot" w:pos="9241"/>
        </w:tabs>
        <w:spacing w:before="78" w:beforeLines="25" w:after="78" w:afterLines="25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"_Toc532906526"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</w:rPr>
        <w:t>4 评价要求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PAGEREF _Toc532906526 \h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6</w:t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tabs>
          <w:tab w:val="right" w:leader="dot" w:pos="9241"/>
        </w:tabs>
        <w:spacing w:before="78" w:beforeLines="25" w:after="78" w:afterLines="25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"_Toc532906530"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</w:rPr>
        <w:t>5 评价方法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PAGEREF _Toc532906530 \h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7</w:t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/>
        <w:pageBreakBefore/>
        <w:widowControl/>
        <w:shd w:val="clear" w:color="FFFFFF" w:fill="FFFFFF"/>
        <w:spacing w:before="640" w:after="560"/>
        <w:jc w:val="center"/>
        <w:outlineLvl w:val="0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  <w:bookmarkStart w:id="7" w:name="_Toc532906517"/>
      <w:bookmarkStart w:id="8" w:name="_Toc524004770"/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前</w:t>
      </w:r>
      <w:bookmarkStart w:id="9" w:name="BKQY"/>
      <w:r>
        <w:rPr>
          <w:rFonts w:hint="default" w:ascii="Times New Roman" w:hAnsi="Times New Roman" w:eastAsia="MS Mincho" w:cs="Times New Roman"/>
          <w:kern w:val="0"/>
          <w:sz w:val="32"/>
          <w:szCs w:val="20"/>
        </w:rPr>
        <w:t>  </w:t>
      </w:r>
      <w:r>
        <w:rPr>
          <w:rFonts w:hint="default" w:ascii="Times New Roman" w:hAnsi="Times New Roman" w:eastAsia="黑体" w:cs="Times New Roman"/>
          <w:kern w:val="0"/>
          <w:sz w:val="32"/>
          <w:szCs w:val="20"/>
        </w:rPr>
        <w:t>言</w:t>
      </w:r>
      <w:bookmarkEnd w:id="7"/>
      <w:bookmarkEnd w:id="8"/>
      <w:bookmarkEnd w:id="9"/>
    </w:p>
    <w:p>
      <w:pPr>
        <w:ind w:firstLine="420" w:firstLineChars="200"/>
      </w:pPr>
      <w:r>
        <w:rPr>
          <w:rFonts w:hint="eastAsia"/>
        </w:rPr>
        <w:t>本文件按照GB/T 1.1-2020《标准化工作导则 第1部分：标准化文件的结构和起草规则》给出的规则起草。</w:t>
      </w:r>
    </w:p>
    <w:p>
      <w:pPr>
        <w:ind w:firstLine="420" w:firstLineChars="200"/>
        <w:rPr>
          <w:rFonts w:ascii="Times New Roman" w:hAnsi="Calibri" w:eastAsia="宋体" w:cs="Times New Roman"/>
          <w:color w:val="000000"/>
          <w:kern w:val="0"/>
          <w:sz w:val="21"/>
          <w:szCs w:val="20"/>
          <w:lang w:val="en-US" w:eastAsia="zh-CN" w:bidi="ar-SA"/>
        </w:rPr>
      </w:pPr>
      <w:r>
        <w:rPr>
          <w:rFonts w:hint="eastAsia" w:cs="宋体"/>
          <w:color w:val="000000"/>
        </w:rPr>
        <w:t>本文件是按中国工程建设标准化协会</w:t>
      </w:r>
      <w:r>
        <w:rPr>
          <w:rFonts w:hint="eastAsia" w:ascii="Times New Roman" w:hAnsi="Calibri" w:eastAsia="宋体" w:cs="Times New Roman"/>
          <w:color w:val="000000"/>
          <w:kern w:val="0"/>
          <w:sz w:val="21"/>
          <w:szCs w:val="20"/>
          <w:lang w:val="en-US" w:eastAsia="zh-CN" w:bidi="ar-SA"/>
        </w:rPr>
        <w:t>《关于印发&lt;2020年第一批协会标准制定、修订计划&gt;的通知》（建标协字〔2020〕14号）的要求制定。</w:t>
      </w:r>
    </w:p>
    <w:p>
      <w:pPr>
        <w:pStyle w:val="17"/>
      </w:pPr>
      <w:r>
        <w:t>本文件的某些内容可能涉及专利。本文件的发布机构不承担识别这些专利的责任。</w:t>
      </w:r>
    </w:p>
    <w:p>
      <w:pPr>
        <w:pStyle w:val="17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</w:t>
      </w:r>
      <w:r>
        <w:rPr>
          <w:rFonts w:hint="eastAsia" w:ascii="Times New Roman"/>
          <w:color w:val="000000"/>
        </w:rPr>
        <w:t>文件</w:t>
      </w:r>
      <w:r>
        <w:rPr>
          <w:rFonts w:ascii="Times New Roman"/>
          <w:color w:val="000000"/>
        </w:rPr>
        <w:t>由中国工程建设标准化协会</w:t>
      </w:r>
      <w:r>
        <w:rPr>
          <w:rFonts w:hint="eastAsia" w:ascii="Times New Roman"/>
          <w:color w:val="000000"/>
        </w:rPr>
        <w:t>提出。</w:t>
      </w:r>
    </w:p>
    <w:p>
      <w:pPr>
        <w:pStyle w:val="17"/>
        <w:rPr>
          <w:rFonts w:ascii="Times New Roman"/>
        </w:rPr>
      </w:pPr>
      <w:r>
        <w:rPr>
          <w:rFonts w:hint="eastAsia"/>
          <w:color w:val="000000"/>
        </w:rPr>
        <w:t>本文件由中国工程建设标准化协会</w:t>
      </w:r>
      <w:r>
        <w:rPr>
          <w:rFonts w:hint="eastAsia"/>
          <w:color w:val="000000"/>
          <w:lang w:val="en-US" w:eastAsia="zh-CN"/>
        </w:rPr>
        <w:t>建筑材料</w:t>
      </w:r>
      <w:r>
        <w:rPr>
          <w:rFonts w:hint="eastAsia"/>
          <w:color w:val="000000"/>
        </w:rPr>
        <w:t>分会归口管理</w:t>
      </w:r>
      <w:r>
        <w:rPr>
          <w:rFonts w:ascii="Times New Roman"/>
        </w:rPr>
        <w:t>。</w:t>
      </w:r>
    </w:p>
    <w:p>
      <w:pPr>
        <w:pStyle w:val="17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eastAsia"/>
        </w:rPr>
        <w:t>本文件负责起草单位：住房和城乡建设部科技与产业化发展中心。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本文件参加起草单位：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本文件主要起草人：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本文件主要审查人：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/>
        <w:pageBreakBefore/>
        <w:widowControl/>
        <w:shd w:val="clear" w:color="FFFFFF" w:fill="FFFFFF"/>
        <w:spacing w:before="640" w:after="560" w:line="460" w:lineRule="exact"/>
        <w:jc w:val="center"/>
        <w:outlineLvl w:val="0"/>
        <w:rPr>
          <w:rFonts w:hint="default" w:ascii="Times New Roman" w:hAnsi="Times New Roman" w:eastAsia="黑体" w:cs="Times New Roman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绿色建材评价  室内木门</w:t>
      </w:r>
    </w:p>
    <w:p>
      <w:pPr>
        <w:widowControl/>
        <w:spacing w:before="312" w:beforeLines="100" w:after="312" w:afterLines="100"/>
        <w:outlineLvl w:val="1"/>
        <w:rPr>
          <w:rFonts w:hint="default" w:ascii="Times New Roman" w:hAnsi="Times New Roman" w:eastAsia="黑体" w:cs="Times New Roman"/>
          <w:kern w:val="0"/>
          <w:szCs w:val="20"/>
        </w:rPr>
      </w:pPr>
      <w:bookmarkStart w:id="10" w:name="_Toc524004771"/>
      <w:bookmarkStart w:id="11" w:name="_Toc532906518"/>
      <w:bookmarkStart w:id="12" w:name="_Toc524004350"/>
      <w:r>
        <w:rPr>
          <w:rFonts w:hint="default" w:ascii="Times New Roman" w:hAnsi="Times New Roman" w:eastAsia="黑体" w:cs="Times New Roman"/>
          <w:kern w:val="0"/>
          <w:szCs w:val="20"/>
        </w:rPr>
        <w:t>1.范围</w:t>
      </w:r>
      <w:bookmarkEnd w:id="10"/>
      <w:bookmarkEnd w:id="11"/>
      <w:bookmarkEnd w:id="12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default" w:ascii="Times New Roman" w:hAnsi="Times New Roman" w:eastAsia="宋体" w:cs="Times New Roman"/>
          <w:kern w:val="0"/>
          <w:szCs w:val="20"/>
        </w:rPr>
        <w:t>本文件规定了室内木门评价的术语与定义、评价要求和评价方法。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default" w:ascii="Times New Roman" w:hAnsi="Times New Roman" w:eastAsia="宋体" w:cs="Times New Roman"/>
          <w:kern w:val="0"/>
          <w:szCs w:val="20"/>
        </w:rPr>
        <w:t>本文件适用于室内木门的绿色建材评价。</w:t>
      </w:r>
    </w:p>
    <w:p>
      <w:pPr>
        <w:widowControl/>
        <w:spacing w:before="312" w:beforeLines="100" w:after="312" w:afterLines="100"/>
        <w:outlineLvl w:val="1"/>
        <w:rPr>
          <w:rFonts w:hint="default" w:ascii="Times New Roman" w:hAnsi="Times New Roman" w:eastAsia="黑体" w:cs="Times New Roman"/>
          <w:kern w:val="0"/>
          <w:szCs w:val="20"/>
        </w:rPr>
      </w:pPr>
      <w:bookmarkStart w:id="13" w:name="_Toc532906519"/>
      <w:bookmarkStart w:id="14" w:name="_Toc524004351"/>
      <w:bookmarkStart w:id="15" w:name="_Toc524004772"/>
      <w:r>
        <w:rPr>
          <w:rFonts w:hint="default" w:ascii="Times New Roman" w:hAnsi="Times New Roman" w:eastAsia="黑体" w:cs="Times New Roman"/>
          <w:kern w:val="0"/>
          <w:szCs w:val="20"/>
        </w:rPr>
        <w:t>2.规范性引用文件</w:t>
      </w:r>
      <w:bookmarkEnd w:id="13"/>
      <w:bookmarkEnd w:id="14"/>
      <w:bookmarkEnd w:id="1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3324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木家具通用技术条件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8485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建筑门窗空气声隔声性能分级及检测方法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 8978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污水综合排放标准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 18580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室内装饰装修材料人造板及其制品中甲醛释放限量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 18584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室内装饰装修材料木家具中有害物质限量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 18597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危险废物贮存污染控制标准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 18599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一般工业固体废物贮存和填埋污染控制标准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19001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质量管理体系要求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23331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能源管理体系要求及使用指南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24001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环境管理体系要求及使用指南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24025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4"/>
          <w:highlight w:val="none"/>
        </w:rPr>
        <w:t>环境标志和声明Ⅲ型环境声明原则和程序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29739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门窗反复启闭耐久性试验方法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35379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木门分类和通用技术要求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GB/T 45001</w:t>
      </w: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Cs w:val="24"/>
        </w:rPr>
        <w:t>职业健康安全管理体系要求及使用指南</w:t>
      </w:r>
    </w:p>
    <w:p>
      <w:pPr>
        <w:widowControl/>
        <w:spacing w:before="312" w:beforeLines="100" w:after="312" w:afterLines="100"/>
        <w:outlineLvl w:val="1"/>
        <w:rPr>
          <w:rFonts w:hint="default" w:ascii="Times New Roman" w:hAnsi="Times New Roman" w:eastAsia="黑体" w:cs="Times New Roman"/>
          <w:bCs/>
          <w:color w:val="000000"/>
          <w:kern w:val="0"/>
          <w:szCs w:val="21"/>
        </w:rPr>
      </w:pPr>
      <w:bookmarkStart w:id="16" w:name="_Toc532906521"/>
      <w:bookmarkEnd w:id="16"/>
      <w:bookmarkStart w:id="17" w:name="_Toc532906520"/>
      <w:bookmarkStart w:id="18" w:name="_Toc524004773"/>
      <w:bookmarkStart w:id="19" w:name="_Toc521666152"/>
      <w:bookmarkStart w:id="20" w:name="_Toc519084143"/>
      <w:bookmarkStart w:id="21" w:name="_Toc509984954"/>
      <w:bookmarkStart w:id="22" w:name="_Toc509139383"/>
      <w:bookmarkStart w:id="23" w:name="_Toc511069681"/>
      <w:bookmarkStart w:id="24" w:name="_Toc6509"/>
      <w:r>
        <w:rPr>
          <w:rFonts w:hint="default" w:ascii="Times New Roman" w:hAnsi="Times New Roman" w:eastAsia="黑体" w:cs="Times New Roman"/>
          <w:bCs/>
          <w:color w:val="000000"/>
          <w:kern w:val="0"/>
          <w:szCs w:val="21"/>
        </w:rPr>
        <w:t>3.术语和定义</w:t>
      </w:r>
      <w:bookmarkEnd w:id="17"/>
      <w:bookmarkEnd w:id="18"/>
      <w:bookmarkEnd w:id="19"/>
      <w:bookmarkEnd w:id="20"/>
      <w:bookmarkEnd w:id="21"/>
      <w:bookmarkEnd w:id="22"/>
      <w:bookmarkEnd w:id="23"/>
    </w:p>
    <w:p>
      <w:pPr>
        <w:widowControl/>
        <w:spacing w:before="156" w:beforeLines="50" w:after="156" w:afterLines="50"/>
        <w:jc w:val="left"/>
        <w:outlineLvl w:val="2"/>
        <w:rPr>
          <w:rFonts w:hint="default" w:ascii="Times New Roman" w:hAnsi="Times New Roman" w:eastAsia="黑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t>下列术语和</w:t>
      </w:r>
      <w:r>
        <w:rPr>
          <w:rFonts w:hint="default" w:ascii="Times New Roman" w:hAnsi="Times New Roman" w:eastAsia="宋体" w:cs="Times New Roman"/>
          <w:kern w:val="0"/>
          <w:szCs w:val="20"/>
        </w:rPr>
        <w:t>定义</w:t>
      </w:r>
      <w:r>
        <w:rPr>
          <w:rFonts w:hint="default" w:ascii="Times New Roman" w:hAnsi="Times New Roman" w:eastAsia="宋体" w:cs="Times New Roman"/>
          <w:color w:val="000000"/>
          <w:szCs w:val="24"/>
        </w:rPr>
        <w:t>适用于本文件。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黑体" w:cs="Times New Roman"/>
          <w:szCs w:val="24"/>
        </w:rPr>
        <w:t>3.1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Cs w:val="24"/>
        </w:rPr>
        <w:t>绿色建材  green building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default" w:ascii="Times New Roman" w:hAnsi="Times New Roman" w:eastAsia="宋体" w:cs="Times New Roman"/>
          <w:kern w:val="0"/>
          <w:szCs w:val="20"/>
        </w:rPr>
        <w:t>是指在全生命周期内可减少对天然资源消耗和减轻对生态环境影响，具有“节能、减排、安全、便利和可循环”特征的建材产品。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黑体" w:cs="Times New Roman"/>
          <w:szCs w:val="24"/>
        </w:rPr>
        <w:t>3.2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黑体" w:cs="Times New Roman"/>
          <w:szCs w:val="24"/>
        </w:rPr>
        <w:t xml:space="preserve">绿色建材评价green building materialassessment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default" w:ascii="Times New Roman" w:hAnsi="Times New Roman" w:eastAsia="宋体" w:cs="Times New Roman"/>
          <w:kern w:val="0"/>
          <w:szCs w:val="20"/>
        </w:rPr>
        <w:t>依据绿色建材评价技术标准，按照程序和要求对申请开展评价的建材产品进行评价，确认其等级的活动。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黑体" w:cs="Times New Roman"/>
          <w:szCs w:val="24"/>
        </w:rPr>
        <w:t>3.3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黑体" w:cs="Times New Roman"/>
          <w:szCs w:val="24"/>
        </w:rPr>
        <w:t>评价等级 assessment level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default" w:ascii="Times New Roman" w:hAnsi="Times New Roman" w:eastAsia="宋体" w:cs="Times New Roman"/>
          <w:kern w:val="0"/>
          <w:szCs w:val="20"/>
        </w:rPr>
        <w:t>产品评价结果所达到的绿色建材级别，由低到高分为一星级、二星级和三星级。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3.4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黑体" w:cs="Times New Roman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Cs w:val="24"/>
          <w:highlight w:val="none"/>
        </w:rPr>
        <w:t>环境产品声明 environmental product declaration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提供基于预设参数的量化环境数据的环境声明，必要时包括附加环境信息。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default" w:ascii="Times New Roman" w:hAnsi="Times New Roman" w:eastAsia="宋体" w:cs="Times New Roman"/>
          <w:kern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3.5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黑体" w:cs="Times New Roman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Cs w:val="24"/>
          <w:highlight w:val="none"/>
        </w:rPr>
        <w:t>碳足迹carbon footprint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用以量化过程、过程系统或产品系统温室</w:t>
      </w:r>
      <w:r>
        <w:rPr>
          <w:rFonts w:hint="default" w:ascii="Times New Roman" w:hAnsi="Times New Roman" w:eastAsia="宋体" w:cs="Times New Roman"/>
          <w:kern w:val="0"/>
          <w:szCs w:val="20"/>
        </w:rPr>
        <w:t>气体排放的参数，以表现他们对气候变化的贡献。</w:t>
      </w:r>
    </w:p>
    <w:bookmarkEnd w:id="24"/>
    <w:p>
      <w:pPr>
        <w:widowControl/>
        <w:spacing w:before="312" w:beforeLines="100" w:after="312" w:afterLines="100"/>
        <w:outlineLvl w:val="1"/>
        <w:rPr>
          <w:rFonts w:hint="default" w:ascii="Times New Roman" w:hAnsi="Times New Roman" w:eastAsia="黑体" w:cs="Times New Roman"/>
          <w:bCs/>
          <w:color w:val="000000"/>
          <w:kern w:val="0"/>
          <w:szCs w:val="21"/>
        </w:rPr>
      </w:pPr>
      <w:bookmarkStart w:id="25" w:name="_Toc532906526"/>
      <w:r>
        <w:rPr>
          <w:rFonts w:hint="default" w:ascii="Times New Roman" w:hAnsi="Times New Roman" w:eastAsia="黑体" w:cs="Times New Roman"/>
          <w:bCs/>
          <w:color w:val="000000"/>
          <w:kern w:val="0"/>
          <w:szCs w:val="21"/>
        </w:rPr>
        <w:t>4.评价要求</w:t>
      </w:r>
      <w:bookmarkEnd w:id="25"/>
    </w:p>
    <w:p>
      <w:pPr>
        <w:widowControl/>
        <w:spacing w:before="156" w:beforeLines="50" w:after="156" w:afterLines="50"/>
        <w:jc w:val="left"/>
        <w:outlineLvl w:val="2"/>
        <w:rPr>
          <w:rFonts w:hint="default" w:ascii="Times New Roman" w:hAnsi="Times New Roman" w:eastAsia="黑体" w:cs="Times New Roman"/>
          <w:color w:val="000000"/>
          <w:kern w:val="0"/>
          <w:szCs w:val="21"/>
        </w:rPr>
      </w:pPr>
      <w:bookmarkStart w:id="26" w:name="_Toc532906527"/>
      <w:r>
        <w:rPr>
          <w:rFonts w:hint="default" w:ascii="Times New Roman" w:hAnsi="Times New Roman" w:eastAsia="黑体" w:cs="Times New Roman"/>
          <w:color w:val="000000"/>
          <w:kern w:val="0"/>
          <w:szCs w:val="21"/>
        </w:rPr>
        <w:t>4.1一般要求</w:t>
      </w:r>
      <w:bookmarkEnd w:id="26"/>
    </w:p>
    <w:p>
      <w:pPr>
        <w:widowControl/>
        <w:adjustRightInd w:val="0"/>
        <w:snapToGrid w:val="0"/>
        <w:spacing w:before="156" w:beforeLines="50" w:after="156" w:afterLines="50"/>
        <w:jc w:val="left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bookmarkStart w:id="27" w:name="_Toc462063258"/>
      <w:bookmarkStart w:id="28" w:name="_Toc459106415"/>
      <w:bookmarkStart w:id="29" w:name="_Toc436234466"/>
      <w:r>
        <w:rPr>
          <w:rFonts w:hint="default" w:ascii="Times New Roman" w:hAnsi="Times New Roman" w:eastAsia="黑体" w:cs="Times New Roman"/>
          <w:kern w:val="0"/>
          <w:szCs w:val="21"/>
        </w:rPr>
        <w:t>4.1.1</w:t>
      </w:r>
      <w:bookmarkEnd w:id="27"/>
      <w:bookmarkEnd w:id="28"/>
      <w:r>
        <w:rPr>
          <w:rFonts w:hint="default" w:ascii="Times New Roman" w:hAnsi="Times New Roman" w:eastAsia="宋体" w:cs="Times New Roman"/>
          <w:kern w:val="0"/>
          <w:szCs w:val="21"/>
        </w:rPr>
        <w:t>生产企业近三年无重大环境污染事件和重大安全事故。</w:t>
      </w:r>
    </w:p>
    <w:bookmarkEnd w:id="29"/>
    <w:p>
      <w:pPr>
        <w:widowControl/>
        <w:adjustRightInd w:val="0"/>
        <w:snapToGrid w:val="0"/>
        <w:spacing w:before="156" w:beforeLines="50" w:after="156" w:afterLines="50"/>
        <w:jc w:val="left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bookmarkStart w:id="30" w:name="_Toc436234470"/>
      <w:r>
        <w:rPr>
          <w:rFonts w:hint="default" w:ascii="Times New Roman" w:hAnsi="Times New Roman" w:eastAsia="黑体" w:cs="Times New Roman"/>
          <w:kern w:val="0"/>
          <w:szCs w:val="21"/>
        </w:rPr>
        <w:t>4.1.2</w:t>
      </w:r>
      <w:bookmarkEnd w:id="30"/>
      <w:r>
        <w:rPr>
          <w:rFonts w:hint="default" w:ascii="Times New Roman" w:hAnsi="Times New Roman" w:eastAsia="宋体" w:cs="Times New Roman"/>
          <w:kern w:val="0"/>
          <w:szCs w:val="21"/>
        </w:rPr>
        <w:t>生产企业应按照GB/T 19001、GB/T 24001、和GB/T 45001分别建立并运行质量管理体系、环境管理体系和职业健康安全管理体系。</w:t>
      </w:r>
    </w:p>
    <w:p>
      <w:pPr>
        <w:widowControl/>
        <w:adjustRightInd w:val="0"/>
        <w:snapToGrid w:val="0"/>
        <w:spacing w:before="156" w:beforeLines="50" w:after="156" w:afterLines="50"/>
        <w:jc w:val="left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4.1.3</w:t>
      </w:r>
      <w:r>
        <w:rPr>
          <w:rFonts w:hint="default" w:ascii="Times New Roman" w:hAnsi="Times New Roman" w:eastAsia="宋体" w:cs="Times New Roman"/>
          <w:kern w:val="0"/>
          <w:szCs w:val="21"/>
        </w:rPr>
        <w:t>生产企业应安装有效的粉尘回收装置，并对生产过程中产生的废弃物采取回收利用措施。</w:t>
      </w:r>
    </w:p>
    <w:p>
      <w:pPr>
        <w:widowControl/>
        <w:adjustRightInd w:val="0"/>
        <w:snapToGrid w:val="0"/>
        <w:spacing w:before="156" w:beforeLines="50" w:after="156" w:afterLines="50"/>
        <w:jc w:val="left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4.1.4</w:t>
      </w:r>
      <w:r>
        <w:rPr>
          <w:rFonts w:hint="default" w:ascii="Times New Roman" w:hAnsi="Times New Roman" w:eastAsia="宋体" w:cs="Times New Roman"/>
          <w:kern w:val="0"/>
          <w:szCs w:val="21"/>
        </w:rPr>
        <w:t>生产企业应采用国家鼓励的先进技术工艺，不应使用国家或有关部门发布的淘汰或禁止的技术、工艺、装备及相关物质。</w:t>
      </w:r>
    </w:p>
    <w:p>
      <w:pPr>
        <w:widowControl/>
        <w:adjustRightInd w:val="0"/>
        <w:snapToGrid w:val="0"/>
        <w:spacing w:before="156" w:beforeLines="50" w:after="156" w:afterLines="50"/>
        <w:jc w:val="left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4.1.5</w:t>
      </w:r>
      <w:r>
        <w:rPr>
          <w:rFonts w:hint="default" w:ascii="Times New Roman" w:hAnsi="Times New Roman" w:eastAsia="宋体" w:cs="Times New Roman"/>
          <w:kern w:val="0"/>
          <w:szCs w:val="21"/>
        </w:rPr>
        <w:t>一般固体废弃物的收集、贮存、处置应符合GB 18599的相关规定，危险废物的贮存应符合GB 18597的相关规定，后续应交付给持有危险废物经营许可证的单位处置。</w:t>
      </w:r>
    </w:p>
    <w:p>
      <w:pPr>
        <w:widowControl/>
        <w:adjustRightInd w:val="0"/>
        <w:snapToGrid w:val="0"/>
        <w:spacing w:before="156" w:beforeLines="50" w:after="156" w:afterLines="50"/>
        <w:jc w:val="left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 xml:space="preserve">4.1.6 </w:t>
      </w:r>
      <w:r>
        <w:rPr>
          <w:rFonts w:hint="default" w:ascii="Times New Roman" w:hAnsi="Times New Roman" w:eastAsia="宋体" w:cs="Times New Roman"/>
          <w:kern w:val="0"/>
          <w:szCs w:val="21"/>
        </w:rPr>
        <w:t>产品性能应满足GB/T 29498等标准的要求。</w:t>
      </w:r>
    </w:p>
    <w:p>
      <w:pPr>
        <w:widowControl/>
        <w:adjustRightInd w:val="0"/>
        <w:snapToGrid w:val="0"/>
        <w:spacing w:before="156" w:beforeLines="50" w:after="156" w:afterLines="50"/>
        <w:jc w:val="left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4.1.7</w: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申请不同等级的生产企业还应符合表1的规定。</w:t>
      </w:r>
    </w:p>
    <w:p>
      <w:pPr>
        <w:widowControl/>
        <w:adjustRightInd w:val="0"/>
        <w:snapToGrid w:val="0"/>
        <w:spacing w:before="156" w:beforeLines="50" w:after="156" w:afterLines="50"/>
        <w:jc w:val="center"/>
        <w:outlineLvl w:val="3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表1 申请企业其他规定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134"/>
        <w:gridCol w:w="113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具体规定</w:t>
            </w:r>
          </w:p>
        </w:tc>
        <w:tc>
          <w:tcPr>
            <w:tcW w:w="2108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不同评价等级符合项数要求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一星级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二星级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三星级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按照GB/T 24025提交产品的环境产品声明（EPD）和产品碳足迹报告</w:t>
            </w:r>
          </w:p>
        </w:tc>
        <w:tc>
          <w:tcPr>
            <w:tcW w:w="66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——</w:t>
            </w:r>
          </w:p>
        </w:tc>
        <w:tc>
          <w:tcPr>
            <w:tcW w:w="66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至少1项</w:t>
            </w:r>
          </w:p>
        </w:tc>
        <w:tc>
          <w:tcPr>
            <w:tcW w:w="77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至少2项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按照GB/T 23331建立并运行能源管理体系</w:t>
            </w: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按照GB/T 33000执行安全生产标准化</w:t>
            </w: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通过清洁生产审核</w:t>
            </w: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达到绿色工厂标准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GB/T 36132的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要求</w:t>
            </w: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6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outlineLvl w:val="3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156" w:afterLines="50"/>
        <w:jc w:val="center"/>
        <w:outlineLvl w:val="3"/>
        <w:rPr>
          <w:rFonts w:hint="default" w:ascii="Times New Roman" w:hAnsi="Times New Roman" w:eastAsia="黑体" w:cs="Times New Roman"/>
          <w:kern w:val="0"/>
          <w:szCs w:val="21"/>
        </w:rPr>
      </w:pPr>
    </w:p>
    <w:p>
      <w:pPr>
        <w:widowControl/>
        <w:spacing w:before="156" w:beforeLines="50" w:after="156" w:afterLines="50"/>
        <w:jc w:val="left"/>
        <w:outlineLvl w:val="2"/>
        <w:rPr>
          <w:rFonts w:hint="default" w:ascii="Times New Roman" w:hAnsi="Times New Roman" w:eastAsia="黑体" w:cs="Times New Roman"/>
          <w:color w:val="000000"/>
          <w:kern w:val="0"/>
          <w:szCs w:val="21"/>
        </w:rPr>
      </w:pPr>
      <w:bookmarkStart w:id="31" w:name="_Toc532906528"/>
      <w:bookmarkStart w:id="32" w:name="_Toc496798695"/>
      <w:bookmarkStart w:id="33" w:name="_Toc462063260"/>
      <w:bookmarkStart w:id="34" w:name="_Toc31135"/>
      <w:r>
        <w:rPr>
          <w:rFonts w:hint="default" w:ascii="Times New Roman" w:hAnsi="Times New Roman" w:eastAsia="黑体" w:cs="Times New Roman"/>
          <w:color w:val="000000"/>
          <w:kern w:val="0"/>
          <w:szCs w:val="21"/>
        </w:rPr>
        <w:t>4.2评价指标要求</w:t>
      </w:r>
      <w:bookmarkEnd w:id="31"/>
      <w:bookmarkEnd w:id="32"/>
      <w:bookmarkEnd w:id="33"/>
      <w:bookmarkEnd w:id="34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default" w:ascii="Times New Roman" w:hAnsi="Times New Roman" w:eastAsia="宋体" w:cs="Times New Roman"/>
          <w:kern w:val="0"/>
          <w:szCs w:val="20"/>
        </w:rPr>
        <w:t>指标体系由一级指标和二级指标组成。一级指标包括资源属性指标、能源属性指标、环境属性指标和品质属性指标。室内木门评价指标要求应符合表2的规定。</w:t>
      </w:r>
    </w:p>
    <w:p>
      <w:pPr>
        <w:widowControl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kern w:val="0"/>
          <w:szCs w:val="20"/>
        </w:rPr>
      </w:pPr>
      <w:bookmarkStart w:id="35" w:name="_Toc496798697"/>
      <w:bookmarkStart w:id="36" w:name="_Toc462063266"/>
      <w:bookmarkStart w:id="37" w:name="_Toc532906530"/>
      <w:bookmarkStart w:id="38" w:name="_Toc456611292"/>
      <w:bookmarkStart w:id="39" w:name="_Toc459106422"/>
      <w:r>
        <w:rPr>
          <w:rFonts w:hint="default" w:ascii="Times New Roman" w:hAnsi="Times New Roman" w:eastAsia="黑体" w:cs="Times New Roman"/>
          <w:kern w:val="0"/>
          <w:szCs w:val="20"/>
        </w:rPr>
        <w:t>表</w:t>
      </w:r>
      <w:r>
        <w:rPr>
          <w:rFonts w:hint="eastAsia" w:ascii="Times New Roman" w:hAnsi="Times New Roman" w:eastAsia="黑体" w:cs="Times New Roman"/>
          <w:kern w:val="0"/>
          <w:szCs w:val="2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Cs w:val="20"/>
        </w:rPr>
        <w:t>室内木门评价指标要求</w:t>
      </w:r>
    </w:p>
    <w:tbl>
      <w:tblPr>
        <w:tblStyle w:val="6"/>
        <w:tblW w:w="5065" w:type="pct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638"/>
        <w:gridCol w:w="806"/>
        <w:gridCol w:w="731"/>
        <w:gridCol w:w="3"/>
        <w:gridCol w:w="733"/>
        <w:gridCol w:w="7"/>
        <w:gridCol w:w="739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15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27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66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281" w:type="pct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基准值</w:t>
            </w:r>
          </w:p>
        </w:tc>
        <w:tc>
          <w:tcPr>
            <w:tcW w:w="1308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18"/>
                <w:szCs w:val="18"/>
                <w:lang w:val="en-US" w:eastAsia="zh-CN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一星级</w:t>
            </w:r>
          </w:p>
        </w:tc>
        <w:tc>
          <w:tcPr>
            <w:tcW w:w="426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二星级</w:t>
            </w:r>
          </w:p>
        </w:tc>
        <w:tc>
          <w:tcPr>
            <w:tcW w:w="431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三星级</w:t>
            </w:r>
          </w:p>
        </w:tc>
        <w:tc>
          <w:tcPr>
            <w:tcW w:w="1308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5" w:type="pct"/>
            <w:vMerge w:val="restart"/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152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木材综合利用率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425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≥85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≥90</w:t>
            </w:r>
          </w:p>
        </w:tc>
        <w:tc>
          <w:tcPr>
            <w:tcW w:w="42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≥95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5" w:type="pct"/>
            <w:vMerge w:val="continue"/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2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包装材料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可循环利用率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81" w:type="pct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5" w:type="pct"/>
            <w:vMerge w:val="continue"/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生产过程产生固体废物利用率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423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426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≥95</w:t>
            </w:r>
          </w:p>
        </w:tc>
        <w:tc>
          <w:tcPr>
            <w:tcW w:w="431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≥98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5" w:type="pc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1527" w:type="pc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单位产品综合能耗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ce/set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6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1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15" w:type="pct"/>
            <w:vMerge w:val="restar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碳足迹评价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81" w:type="pct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进行环境产品声明（EPD）和碳足迹分析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TVOC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2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0.15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0.10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0.05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颗粒物PM10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kg/set</w:t>
            </w:r>
          </w:p>
        </w:tc>
        <w:tc>
          <w:tcPr>
            <w:tcW w:w="42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0.15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0.10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0.05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15" w:type="pct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污水排放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kg/set</w:t>
            </w:r>
          </w:p>
        </w:tc>
        <w:tc>
          <w:tcPr>
            <w:tcW w:w="853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0.5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甲醛释放量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≤0.124</w:t>
            </w:r>
          </w:p>
        </w:tc>
        <w:tc>
          <w:tcPr>
            <w:tcW w:w="426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≤0.050</w:t>
            </w:r>
          </w:p>
        </w:tc>
        <w:tc>
          <w:tcPr>
            <w:tcW w:w="431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≤0.025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耐划痕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6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31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表面耐磨性能</w:t>
            </w:r>
          </w:p>
        </w:tc>
        <w:tc>
          <w:tcPr>
            <w:tcW w:w="466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r</w:t>
            </w:r>
          </w:p>
        </w:tc>
        <w:tc>
          <w:tcPr>
            <w:tcW w:w="423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08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表面胶合强度</w:t>
            </w:r>
          </w:p>
        </w:tc>
        <w:tc>
          <w:tcPr>
            <w:tcW w:w="466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Mpa</w:t>
            </w:r>
          </w:p>
        </w:tc>
        <w:tc>
          <w:tcPr>
            <w:tcW w:w="423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≥0.4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≥0.5</w:t>
            </w:r>
          </w:p>
        </w:tc>
        <w:tc>
          <w:tcPr>
            <w:tcW w:w="1308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反复启闭可靠性</w:t>
            </w:r>
          </w:p>
        </w:tc>
        <w:tc>
          <w:tcPr>
            <w:tcW w:w="466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万次</w:t>
            </w:r>
          </w:p>
        </w:tc>
        <w:tc>
          <w:tcPr>
            <w:tcW w:w="423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10</w:t>
            </w:r>
          </w:p>
        </w:tc>
        <w:tc>
          <w:tcPr>
            <w:tcW w:w="426" w:type="pct"/>
            <w:gridSpan w:val="2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15</w:t>
            </w:r>
          </w:p>
        </w:tc>
        <w:tc>
          <w:tcPr>
            <w:tcW w:w="431" w:type="pct"/>
            <w:gridSpan w:val="2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</w:t>
            </w:r>
          </w:p>
        </w:tc>
        <w:tc>
          <w:tcPr>
            <w:tcW w:w="1308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空气声隔声性能</w:t>
            </w:r>
          </w:p>
        </w:tc>
        <w:tc>
          <w:tcPr>
            <w:tcW w:w="466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dB</w:t>
            </w:r>
          </w:p>
        </w:tc>
        <w:tc>
          <w:tcPr>
            <w:tcW w:w="423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20</w:t>
            </w:r>
          </w:p>
        </w:tc>
        <w:tc>
          <w:tcPr>
            <w:tcW w:w="426" w:type="pct"/>
            <w:gridSpan w:val="2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25</w:t>
            </w:r>
          </w:p>
        </w:tc>
        <w:tc>
          <w:tcPr>
            <w:tcW w:w="431" w:type="pct"/>
            <w:gridSpan w:val="2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28</w:t>
            </w:r>
          </w:p>
        </w:tc>
        <w:tc>
          <w:tcPr>
            <w:tcW w:w="1308" w:type="pc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widowControl/>
        <w:spacing w:before="312" w:beforeLines="100" w:after="312" w:afterLines="100"/>
        <w:outlineLvl w:val="1"/>
        <w:rPr>
          <w:rFonts w:hint="default" w:ascii="Times New Roman" w:hAnsi="Times New Roman" w:eastAsia="黑体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Cs w:val="21"/>
        </w:rPr>
        <w:t>5.评价方法</w:t>
      </w:r>
      <w:bookmarkEnd w:id="35"/>
      <w:bookmarkEnd w:id="36"/>
      <w:bookmarkEnd w:id="37"/>
      <w:bookmarkEnd w:id="38"/>
      <w:bookmarkEnd w:id="39"/>
    </w:p>
    <w:p>
      <w:pPr>
        <w:widowControl/>
        <w:spacing w:before="156" w:beforeLines="50" w:after="156" w:afterLines="50"/>
        <w:jc w:val="left"/>
        <w:outlineLvl w:val="2"/>
        <w:rPr>
          <w:rFonts w:hint="default" w:ascii="Times New Roman" w:hAnsi="Times New Roman" w:eastAsia="宋体" w:cs="Times New Roman"/>
          <w:kern w:val="0"/>
          <w:szCs w:val="20"/>
        </w:rPr>
      </w:pPr>
      <w:bookmarkStart w:id="40" w:name="_Toc532906531"/>
      <w:r>
        <w:rPr>
          <w:rFonts w:hint="default" w:ascii="Times New Roman" w:hAnsi="Times New Roman" w:eastAsia="宋体" w:cs="Times New Roman"/>
          <w:kern w:val="0"/>
          <w:szCs w:val="20"/>
        </w:rPr>
        <w:t>5.1生产企业应按第4章的规定提供有效期内的第三方检测报告、管理体系认证证书、安全生产标准化证书、环境产品声明和碳足迹报告、清洁生产审核报告等相关文件。</w:t>
      </w:r>
    </w:p>
    <w:p>
      <w:pPr>
        <w:widowControl/>
        <w:spacing w:before="156" w:beforeLines="50" w:after="156" w:afterLines="50"/>
        <w:jc w:val="left"/>
        <w:outlineLvl w:val="2"/>
        <w:rPr>
          <w:rFonts w:hint="default" w:ascii="Times New Roman" w:hAnsi="Times New Roman" w:eastAsia="宋体" w:cs="Times New Roman"/>
          <w:kern w:val="0"/>
          <w:szCs w:val="20"/>
        </w:rPr>
      </w:pPr>
      <w:r>
        <w:rPr>
          <w:rFonts w:hint="default" w:ascii="Times New Roman" w:hAnsi="Times New Roman" w:eastAsia="宋体" w:cs="Times New Roman"/>
          <w:kern w:val="0"/>
          <w:szCs w:val="20"/>
        </w:rPr>
        <w:t>5.2单位产品综合能耗应按附录A的规定进行，污水排放应按GB 8978的规定进行，甲醛释放量应按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GB 18580</w:t>
      </w:r>
      <w:r>
        <w:rPr>
          <w:rFonts w:hint="default" w:ascii="Times New Roman" w:hAnsi="Times New Roman" w:eastAsia="宋体" w:cs="Times New Roman"/>
          <w:kern w:val="0"/>
          <w:szCs w:val="20"/>
        </w:rPr>
        <w:t>的规定进行，可溶性重金属含量应按GB 18584的规定进行，表面胶合强度应按</w:t>
      </w:r>
      <w:r>
        <w:rPr>
          <w:rFonts w:hint="default" w:ascii="Times New Roman" w:hAnsi="Times New Roman" w:eastAsia="宋体" w:cs="Times New Roman"/>
          <w:kern w:val="0"/>
          <w:szCs w:val="20"/>
          <w:highlight w:val="none"/>
        </w:rPr>
        <w:t>GB/T 3324</w:t>
      </w:r>
      <w:r>
        <w:rPr>
          <w:rFonts w:hint="default" w:ascii="Times New Roman" w:hAnsi="Times New Roman" w:eastAsia="宋体" w:cs="Times New Roman"/>
          <w:kern w:val="0"/>
          <w:szCs w:val="20"/>
        </w:rPr>
        <w:t>的规定进行，反复启闭可靠性应按GB/T 29739的规定进行，空气声隔声性能应按GB/T 8485的规定进行。</w:t>
      </w:r>
    </w:p>
    <w:bookmarkEnd w:id="40"/>
    <w:p>
      <w:pPr>
        <w:widowControl/>
        <w:spacing w:before="156" w:beforeLines="50" w:after="156" w:afterLines="50"/>
        <w:jc w:val="left"/>
        <w:outlineLvl w:val="2"/>
        <w:rPr>
          <w:rFonts w:hint="default" w:ascii="Times New Roman" w:hAnsi="Times New Roman" w:eastAsia="宋体" w:cs="Times New Roman"/>
          <w:kern w:val="0"/>
          <w:szCs w:val="20"/>
        </w:rPr>
      </w:pPr>
      <w:bookmarkStart w:id="41" w:name="_Toc532906532"/>
      <w:r>
        <w:rPr>
          <w:rFonts w:hint="default" w:ascii="Times New Roman" w:hAnsi="Times New Roman" w:eastAsia="宋体" w:cs="Times New Roman"/>
          <w:kern w:val="0"/>
          <w:szCs w:val="20"/>
        </w:rPr>
        <w:t>5.3生产企业满足第4章对应评价等级的全部要求时，判定评价结果符合该评价等级规定。</w:t>
      </w:r>
      <w:bookmarkEnd w:id="41"/>
    </w:p>
    <w:p>
      <w:pPr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附录A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（规范性附录）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评价指标计算方法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A.1 生产过程产生固体废物利用率</w:t>
      </w:r>
    </w:p>
    <w:p>
      <w:pPr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t>室内木门生产过程</w:t>
      </w:r>
      <w:r>
        <w:rPr>
          <w:rFonts w:hint="default" w:ascii="Times New Roman" w:hAnsi="Times New Roman" w:eastAsia="宋体" w:cs="Times New Roman"/>
          <w:kern w:val="0"/>
          <w:szCs w:val="21"/>
        </w:rPr>
        <w:t>产生固体废物利用率，计算时原则上应以近12个月作为统计期计算生产过程产生固体废物利用率。企业正式投产不足12个月时，统计期可适当缩短，但不应少于6个月。按式（A.1）计算：</w:t>
      </w:r>
    </w:p>
    <w:p>
      <w:pPr>
        <w:jc w:val="left"/>
        <w:rPr>
          <w:rFonts w:hint="default" w:ascii="Times New Roman" w:hAnsi="Times New Roman" w:eastAsia="宋体" w:cs="Times New Roman"/>
          <w:kern w:val="0"/>
          <w:szCs w:val="21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</w:t>
      </w:r>
      <w:r>
        <w:rPr>
          <w:rFonts w:hint="default" w:ascii="Times New Roman" w:hAnsi="Times New Roman" w:cs="Times New Roman"/>
          <w:vertAlign w:val="subscript"/>
        </w:rPr>
        <w:t>j</w:t>
      </w:r>
      <w:r>
        <w:rPr>
          <w:rFonts w:hint="default" w:ascii="Times New Roman" w:hAnsi="Times New Roman" w:cs="Times New Roman"/>
        </w:rPr>
        <w:t>=M</w:t>
      </w:r>
      <w:r>
        <w:rPr>
          <w:rFonts w:hint="default" w:ascii="Times New Roman" w:hAnsi="Times New Roman" w:cs="Times New Roman"/>
          <w:vertAlign w:val="subscript"/>
        </w:rPr>
        <w:t>j</w:t>
      </w:r>
      <w:r>
        <w:rPr>
          <w:rFonts w:hint="default" w:ascii="Times New Roman" w:hAnsi="Times New Roman" w:cs="Times New Roman"/>
        </w:rPr>
        <w:t>/M</w:t>
      </w:r>
      <w:r>
        <w:rPr>
          <w:rFonts w:hint="default" w:ascii="Times New Roman" w:hAnsi="Times New Roman" w:cs="Times New Roman"/>
          <w:vertAlign w:val="subscript"/>
        </w:rPr>
        <w:t>c</w:t>
      </w:r>
      <w:r>
        <w:rPr>
          <w:rFonts w:hint="default" w:ascii="Times New Roman" w:hAnsi="Times New Roman" w:cs="Times New Roman"/>
        </w:rPr>
        <w:t>×100%     （A.1）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式中：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</w:t>
      </w:r>
      <w:r>
        <w:rPr>
          <w:rFonts w:hint="default" w:ascii="Times New Roman" w:hAnsi="Times New Roman" w:cs="Times New Roman"/>
          <w:vertAlign w:val="subscript"/>
        </w:rPr>
        <w:t>j</w:t>
      </w:r>
      <w:r>
        <w:rPr>
          <w:rFonts w:hint="default" w:ascii="Times New Roman" w:hAnsi="Times New Roman" w:cs="Times New Roman"/>
        </w:rPr>
        <w:t>——生产过程产生固体废物利用率;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</w:t>
      </w:r>
      <w:r>
        <w:rPr>
          <w:rFonts w:hint="default" w:ascii="Times New Roman" w:hAnsi="Times New Roman" w:cs="Times New Roman"/>
          <w:vertAlign w:val="subscript"/>
        </w:rPr>
        <w:t>j</w:t>
      </w:r>
      <w:r>
        <w:rPr>
          <w:rFonts w:hint="default" w:ascii="Times New Roman" w:hAnsi="Times New Roman" w:cs="Times New Roman"/>
        </w:rPr>
        <w:t>——评价期内综合利用的固体废料量，单位为千克（kg）;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</w:t>
      </w:r>
      <w:r>
        <w:rPr>
          <w:rFonts w:hint="default" w:ascii="Times New Roman" w:hAnsi="Times New Roman" w:cs="Times New Roman"/>
          <w:vertAlign w:val="subscript"/>
        </w:rPr>
        <w:t>c</w:t>
      </w:r>
      <w:r>
        <w:rPr>
          <w:rFonts w:hint="default" w:ascii="Times New Roman" w:hAnsi="Times New Roman" w:cs="Times New Roman"/>
        </w:rPr>
        <w:t>——评价期内生产产生的固体废料总量，单位为千克（kg）。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A.2 单位产品综合能耗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室内木门单位产品综合能耗，统计期为1年，按式（A.2）计算：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vertAlign w:val="subscript"/>
        </w:rPr>
        <w:t>DN</w:t>
      </w:r>
      <w:r>
        <w:rPr>
          <w:rFonts w:hint="default" w:ascii="Times New Roman" w:hAnsi="Times New Roman" w:cs="Times New Roman"/>
        </w:rPr>
        <w:t>=E</w:t>
      </w:r>
      <w:r>
        <w:rPr>
          <w:rFonts w:hint="default" w:ascii="Times New Roman" w:hAnsi="Times New Roman" w:cs="Times New Roman"/>
          <w:vertAlign w:val="subscript"/>
        </w:rPr>
        <w:t>ZN</w:t>
      </w:r>
      <w:r>
        <w:rPr>
          <w:rFonts w:hint="default" w:ascii="Times New Roman" w:hAnsi="Times New Roman" w:cs="Times New Roman"/>
        </w:rPr>
        <w:t>/P           （A.2）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式中：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vertAlign w:val="subscript"/>
        </w:rPr>
        <w:t>DN</w:t>
      </w:r>
      <w:r>
        <w:rPr>
          <w:rFonts w:hint="default" w:ascii="Times New Roman" w:hAnsi="Times New Roman" w:cs="Times New Roman"/>
        </w:rPr>
        <w:t>——单位产品综合耗能，单位为</w:t>
      </w:r>
      <w:r>
        <w:rPr>
          <w:rFonts w:hint="eastAsia" w:ascii="Times New Roman" w:hAnsi="Times New Roman" w:cs="Times New Roman"/>
          <w:lang w:val="en-US" w:eastAsia="zh-CN"/>
        </w:rPr>
        <w:t>千克</w:t>
      </w:r>
      <w:r>
        <w:rPr>
          <w:rFonts w:hint="default" w:ascii="Times New Roman" w:hAnsi="Times New Roman" w:cs="Times New Roman"/>
        </w:rPr>
        <w:t>标准煤每套（</w:t>
      </w:r>
      <w:r>
        <w:rPr>
          <w:rFonts w:hint="eastAsia" w:ascii="Times New Roman" w:hAnsi="Times New Roman" w:cs="Times New Roman"/>
          <w:lang w:val="en-US" w:eastAsia="zh-CN"/>
        </w:rPr>
        <w:t>kg</w:t>
      </w:r>
      <w:r>
        <w:rPr>
          <w:rFonts w:hint="default" w:ascii="Times New Roman" w:hAnsi="Times New Roman" w:cs="Times New Roman"/>
        </w:rPr>
        <w:t>ce/set）;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</w:t>
      </w:r>
      <w:r>
        <w:rPr>
          <w:rFonts w:hint="default" w:ascii="Times New Roman" w:hAnsi="Times New Roman" w:cs="Times New Roman"/>
          <w:vertAlign w:val="subscript"/>
        </w:rPr>
        <w:t>ZN</w:t>
      </w:r>
      <w:r>
        <w:rPr>
          <w:rFonts w:hint="default" w:ascii="Times New Roman" w:hAnsi="Times New Roman" w:cs="Times New Roman"/>
        </w:rPr>
        <w:t>——评价期内产品生产能源消耗总量，单位为</w:t>
      </w:r>
      <w:r>
        <w:rPr>
          <w:rFonts w:hint="eastAsia" w:ascii="Times New Roman" w:hAnsi="Times New Roman" w:cs="Times New Roman"/>
          <w:lang w:val="en-US" w:eastAsia="zh-CN"/>
        </w:rPr>
        <w:t>千克</w:t>
      </w:r>
      <w:r>
        <w:rPr>
          <w:rFonts w:hint="default" w:ascii="Times New Roman" w:hAnsi="Times New Roman" w:cs="Times New Roman"/>
        </w:rPr>
        <w:t>标准煤（</w:t>
      </w:r>
      <w:r>
        <w:rPr>
          <w:rFonts w:hint="eastAsia" w:ascii="Times New Roman" w:hAnsi="Times New Roman" w:cs="Times New Roman"/>
          <w:lang w:val="en-US" w:eastAsia="zh-CN"/>
        </w:rPr>
        <w:t>kg</w:t>
      </w:r>
      <w:r>
        <w:rPr>
          <w:rFonts w:hint="default" w:ascii="Times New Roman" w:hAnsi="Times New Roman" w:cs="Times New Roman"/>
        </w:rPr>
        <w:t>ce）;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P——评价期内合格产品产量，单位为套（set）。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2C7863"/>
    <w:rsid w:val="00082C83"/>
    <w:rsid w:val="00100D43"/>
    <w:rsid w:val="001074C4"/>
    <w:rsid w:val="00153595"/>
    <w:rsid w:val="001875D8"/>
    <w:rsid w:val="001B6056"/>
    <w:rsid w:val="001C67AA"/>
    <w:rsid w:val="001E0CB4"/>
    <w:rsid w:val="001E4B07"/>
    <w:rsid w:val="00230944"/>
    <w:rsid w:val="00241088"/>
    <w:rsid w:val="002871A2"/>
    <w:rsid w:val="002968D5"/>
    <w:rsid w:val="002B35CA"/>
    <w:rsid w:val="002C7863"/>
    <w:rsid w:val="002D314B"/>
    <w:rsid w:val="002E0FE6"/>
    <w:rsid w:val="00307A93"/>
    <w:rsid w:val="00312F1E"/>
    <w:rsid w:val="003255D9"/>
    <w:rsid w:val="00330525"/>
    <w:rsid w:val="00331D5F"/>
    <w:rsid w:val="00342F42"/>
    <w:rsid w:val="0035148B"/>
    <w:rsid w:val="00360317"/>
    <w:rsid w:val="003632B7"/>
    <w:rsid w:val="00366B3D"/>
    <w:rsid w:val="00367C8A"/>
    <w:rsid w:val="003B5D47"/>
    <w:rsid w:val="003B61FD"/>
    <w:rsid w:val="003D7E45"/>
    <w:rsid w:val="003E127C"/>
    <w:rsid w:val="00417D7A"/>
    <w:rsid w:val="00463B18"/>
    <w:rsid w:val="00480F48"/>
    <w:rsid w:val="00480FA9"/>
    <w:rsid w:val="00496339"/>
    <w:rsid w:val="004C6C1B"/>
    <w:rsid w:val="004E3938"/>
    <w:rsid w:val="00500097"/>
    <w:rsid w:val="00501B9F"/>
    <w:rsid w:val="005466A9"/>
    <w:rsid w:val="00562C7D"/>
    <w:rsid w:val="005A53A8"/>
    <w:rsid w:val="005C6496"/>
    <w:rsid w:val="005D7445"/>
    <w:rsid w:val="005E58A1"/>
    <w:rsid w:val="006251A1"/>
    <w:rsid w:val="006358B7"/>
    <w:rsid w:val="00671888"/>
    <w:rsid w:val="00676CDD"/>
    <w:rsid w:val="006A6546"/>
    <w:rsid w:val="006C080F"/>
    <w:rsid w:val="006C1C5C"/>
    <w:rsid w:val="006D13EA"/>
    <w:rsid w:val="00722F53"/>
    <w:rsid w:val="007235EF"/>
    <w:rsid w:val="007674B9"/>
    <w:rsid w:val="007A07B5"/>
    <w:rsid w:val="007A64FE"/>
    <w:rsid w:val="007B28BA"/>
    <w:rsid w:val="007E0D8C"/>
    <w:rsid w:val="007E695C"/>
    <w:rsid w:val="00810F2E"/>
    <w:rsid w:val="00816701"/>
    <w:rsid w:val="008416F0"/>
    <w:rsid w:val="00851163"/>
    <w:rsid w:val="008662B7"/>
    <w:rsid w:val="0086794D"/>
    <w:rsid w:val="00891845"/>
    <w:rsid w:val="008A2EC5"/>
    <w:rsid w:val="008A5920"/>
    <w:rsid w:val="008B5213"/>
    <w:rsid w:val="008E7CA9"/>
    <w:rsid w:val="0090580F"/>
    <w:rsid w:val="00933EF9"/>
    <w:rsid w:val="0095595E"/>
    <w:rsid w:val="009625BC"/>
    <w:rsid w:val="0098605F"/>
    <w:rsid w:val="009B1067"/>
    <w:rsid w:val="009D5156"/>
    <w:rsid w:val="009F15C8"/>
    <w:rsid w:val="009F76E4"/>
    <w:rsid w:val="00A14E40"/>
    <w:rsid w:val="00A55C76"/>
    <w:rsid w:val="00A65330"/>
    <w:rsid w:val="00A66425"/>
    <w:rsid w:val="00A6719E"/>
    <w:rsid w:val="00AA4EBF"/>
    <w:rsid w:val="00AA6733"/>
    <w:rsid w:val="00AB4F71"/>
    <w:rsid w:val="00AC528C"/>
    <w:rsid w:val="00AD0E93"/>
    <w:rsid w:val="00AD74A5"/>
    <w:rsid w:val="00AE27D8"/>
    <w:rsid w:val="00B43BB5"/>
    <w:rsid w:val="00B44CA8"/>
    <w:rsid w:val="00B5786C"/>
    <w:rsid w:val="00B875A4"/>
    <w:rsid w:val="00BC1C33"/>
    <w:rsid w:val="00BE547A"/>
    <w:rsid w:val="00C00109"/>
    <w:rsid w:val="00C005CE"/>
    <w:rsid w:val="00C02917"/>
    <w:rsid w:val="00C0369F"/>
    <w:rsid w:val="00C23E20"/>
    <w:rsid w:val="00C61B66"/>
    <w:rsid w:val="00C626BA"/>
    <w:rsid w:val="00C813A4"/>
    <w:rsid w:val="00C8473C"/>
    <w:rsid w:val="00C84EBB"/>
    <w:rsid w:val="00CD21CC"/>
    <w:rsid w:val="00CD3761"/>
    <w:rsid w:val="00D1210B"/>
    <w:rsid w:val="00D96214"/>
    <w:rsid w:val="00D97266"/>
    <w:rsid w:val="00DC7903"/>
    <w:rsid w:val="00DD40B3"/>
    <w:rsid w:val="00E12A79"/>
    <w:rsid w:val="00E44552"/>
    <w:rsid w:val="00E55B0B"/>
    <w:rsid w:val="00E708B3"/>
    <w:rsid w:val="00EA2604"/>
    <w:rsid w:val="00F52AD8"/>
    <w:rsid w:val="00F55779"/>
    <w:rsid w:val="00F605F4"/>
    <w:rsid w:val="00FC5238"/>
    <w:rsid w:val="030D7ED2"/>
    <w:rsid w:val="11DD0693"/>
    <w:rsid w:val="12791770"/>
    <w:rsid w:val="25FA58D0"/>
    <w:rsid w:val="296C5733"/>
    <w:rsid w:val="2BEE249C"/>
    <w:rsid w:val="2E2C5491"/>
    <w:rsid w:val="35555378"/>
    <w:rsid w:val="3DFA7DDA"/>
    <w:rsid w:val="3E8E2CB5"/>
    <w:rsid w:val="3EDF4109"/>
    <w:rsid w:val="46D479E0"/>
    <w:rsid w:val="4B2B2ECC"/>
    <w:rsid w:val="520B3E30"/>
    <w:rsid w:val="66681143"/>
    <w:rsid w:val="67E32633"/>
    <w:rsid w:val="7DBF1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Calibri" w:eastAsia="黑体" w:cs="Times New Roman"/>
      <w:kern w:val="0"/>
      <w:sz w:val="28"/>
      <w:szCs w:val="28"/>
      <w:lang w:val="en-US" w:eastAsia="zh-CN" w:bidi="ar-SA"/>
    </w:rPr>
  </w:style>
  <w:style w:type="paragraph" w:customStyle="1" w:styleId="13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ascii="Calibri" w:hAnsi="Calibri" w:eastAsia="黑体" w:cs="Times New Roman"/>
      <w:kern w:val="0"/>
      <w:sz w:val="28"/>
      <w:szCs w:val="20"/>
    </w:rPr>
  </w:style>
  <w:style w:type="paragraph" w:customStyle="1" w:styleId="1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Calibri" w:hAnsi="Calibri" w:eastAsia="黑体" w:cs="Times New Roman"/>
      <w:kern w:val="0"/>
      <w:sz w:val="28"/>
      <w:szCs w:val="20"/>
    </w:rPr>
  </w:style>
  <w:style w:type="character" w:customStyle="1" w:styleId="15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6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Calibri" w:eastAsia="黑体" w:cs="Times New Roman"/>
      <w:spacing w:val="20"/>
      <w:w w:val="135"/>
      <w:kern w:val="0"/>
      <w:sz w:val="28"/>
      <w:szCs w:val="20"/>
    </w:rPr>
  </w:style>
  <w:style w:type="paragraph" w:customStyle="1" w:styleId="17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Calibri" w:eastAsia="宋体" w:cs="Times New Roman"/>
      <w:kern w:val="0"/>
      <w:szCs w:val="20"/>
    </w:rPr>
  </w:style>
  <w:style w:type="character" w:styleId="19">
    <w:name w:val="Placeholder Text"/>
    <w:basedOn w:val="8"/>
    <w:semiHidden/>
    <w:qFormat/>
    <w:uiPriority w:val="99"/>
    <w:rPr>
      <w:color w:val="808080"/>
    </w:rPr>
  </w:style>
  <w:style w:type="character" w:customStyle="1" w:styleId="20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2188</Words>
  <Characters>2901</Characters>
  <Lines>31</Lines>
  <Paragraphs>8</Paragraphs>
  <TotalTime>20</TotalTime>
  <ScaleCrop>false</ScaleCrop>
  <LinksUpToDate>false</LinksUpToDate>
  <CharactersWithSpaces>3035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2021-11-03T07:20:00Z</dcterms:created>
  <dc:creator>高伟</dc:creator>
  <cp:lastModifiedBy>Linna</cp:lastModifiedBy>
  <cp:lastPrinted>2022-07-28T03:45:00Z</cp:lastPrinted>
  <dcterms:modified xsi:type="dcterms:W3CDTF">2023-12-04T03:13:33Z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30B121604C37455EAF6254BE0BFDECFE_13</vt:lpwstr>
  </property>
</Properties>
</file>